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E1A" w:rsidRPr="009353E6" w:rsidRDefault="002D3E1A" w:rsidP="00E40CF2">
      <w:pPr>
        <w:pStyle w:val="BodyText"/>
        <w:spacing w:line="240" w:lineRule="auto"/>
        <w:jc w:val="center"/>
        <w:rPr>
          <w:sz w:val="22"/>
          <w:szCs w:val="22"/>
          <w:lang w:val="pl-PL"/>
        </w:rPr>
      </w:pPr>
      <w:bookmarkStart w:id="0" w:name="_GoBack"/>
      <w:bookmarkEnd w:id="0"/>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E40CF2">
      <w:pPr>
        <w:pStyle w:val="BodyText"/>
        <w:spacing w:line="240" w:lineRule="auto"/>
        <w:jc w:val="center"/>
        <w:rPr>
          <w:sz w:val="22"/>
          <w:szCs w:val="22"/>
          <w:lang w:val="pl-PL"/>
        </w:rPr>
      </w:pPr>
    </w:p>
    <w:p w:rsidR="002D3E1A" w:rsidRPr="009353E6" w:rsidRDefault="002D3E1A" w:rsidP="000D5BED">
      <w:pPr>
        <w:pStyle w:val="BodyText"/>
        <w:spacing w:line="240" w:lineRule="auto"/>
        <w:jc w:val="center"/>
        <w:rPr>
          <w:b/>
          <w:sz w:val="22"/>
          <w:szCs w:val="22"/>
          <w:lang w:val="pl-PL"/>
        </w:rPr>
      </w:pPr>
      <w:r w:rsidRPr="009353E6">
        <w:rPr>
          <w:b/>
          <w:sz w:val="22"/>
          <w:szCs w:val="22"/>
          <w:lang w:val="pl-PL"/>
        </w:rPr>
        <w:t>ANEKS</w:t>
      </w:r>
      <w:r w:rsidR="00A02686" w:rsidRPr="009353E6">
        <w:rPr>
          <w:b/>
          <w:sz w:val="22"/>
          <w:szCs w:val="22"/>
          <w:lang w:val="pl-PL"/>
        </w:rPr>
        <w:t> </w:t>
      </w:r>
      <w:r w:rsidRPr="009353E6">
        <w:rPr>
          <w:b/>
          <w:sz w:val="22"/>
          <w:szCs w:val="22"/>
          <w:lang w:val="pl-PL"/>
        </w:rPr>
        <w:t>I</w:t>
      </w:r>
    </w:p>
    <w:p w:rsidR="002D3E1A" w:rsidRPr="009353E6" w:rsidRDefault="002D3E1A" w:rsidP="000D5BED">
      <w:pPr>
        <w:pStyle w:val="BodyText"/>
        <w:spacing w:line="240" w:lineRule="auto"/>
        <w:jc w:val="center"/>
        <w:rPr>
          <w:b/>
          <w:sz w:val="22"/>
          <w:szCs w:val="22"/>
          <w:lang w:val="pl-PL"/>
        </w:rPr>
      </w:pPr>
    </w:p>
    <w:p w:rsidR="002D3E1A" w:rsidRPr="009353E6" w:rsidRDefault="002D3E1A" w:rsidP="00BF0C4F">
      <w:pPr>
        <w:pStyle w:val="QRD1"/>
        <w:rPr>
          <w:lang w:val="pl-PL"/>
        </w:rPr>
      </w:pPr>
      <w:r w:rsidRPr="009353E6">
        <w:rPr>
          <w:lang w:val="pl-PL"/>
        </w:rPr>
        <w:t>CHARAKTERYSTYKA PRODUKTU LECZNICZEGO</w:t>
      </w:r>
    </w:p>
    <w:p w:rsidR="00510588" w:rsidRPr="009353E6" w:rsidRDefault="002D3E1A" w:rsidP="000D5BED">
      <w:pPr>
        <w:pStyle w:val="BodyText"/>
        <w:spacing w:line="240" w:lineRule="auto"/>
        <w:jc w:val="center"/>
        <w:rPr>
          <w:sz w:val="22"/>
          <w:szCs w:val="22"/>
          <w:lang w:val="pl-PL"/>
        </w:rPr>
      </w:pPr>
      <w:r w:rsidRPr="009353E6">
        <w:rPr>
          <w:b/>
          <w:sz w:val="22"/>
          <w:szCs w:val="22"/>
          <w:lang w:val="pl-PL"/>
        </w:rPr>
        <w:br w:type="page"/>
      </w:r>
    </w:p>
    <w:p w:rsidR="002D3E1A" w:rsidRPr="009353E6" w:rsidRDefault="000D5BED" w:rsidP="000D5BED">
      <w:pPr>
        <w:pStyle w:val="BodyText"/>
        <w:tabs>
          <w:tab w:val="left" w:pos="540"/>
        </w:tabs>
        <w:spacing w:line="240" w:lineRule="auto"/>
        <w:jc w:val="left"/>
        <w:rPr>
          <w:b/>
          <w:sz w:val="22"/>
          <w:szCs w:val="22"/>
          <w:lang w:val="pl-PL"/>
        </w:rPr>
      </w:pPr>
      <w:r w:rsidRPr="009353E6">
        <w:rPr>
          <w:b/>
          <w:sz w:val="22"/>
          <w:szCs w:val="22"/>
          <w:lang w:val="pl-PL"/>
        </w:rPr>
        <w:t>1.</w:t>
      </w:r>
      <w:r w:rsidRPr="009353E6">
        <w:rPr>
          <w:b/>
          <w:sz w:val="22"/>
          <w:szCs w:val="22"/>
          <w:lang w:val="pl-PL"/>
        </w:rPr>
        <w:tab/>
      </w:r>
      <w:r w:rsidR="002D3E1A" w:rsidRPr="009353E6">
        <w:rPr>
          <w:b/>
          <w:sz w:val="22"/>
          <w:szCs w:val="22"/>
          <w:lang w:val="pl-PL"/>
        </w:rPr>
        <w:t>NAZWA PRODUKTU LECZNICZEGO</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MicardisPlus 40</w:t>
      </w:r>
      <w:r w:rsidR="00B6297F" w:rsidRPr="009353E6">
        <w:rPr>
          <w:sz w:val="22"/>
          <w:szCs w:val="22"/>
          <w:lang w:val="pl-PL"/>
        </w:rPr>
        <w:t xml:space="preserve"> mg</w:t>
      </w:r>
      <w:r w:rsidRPr="009353E6">
        <w:rPr>
          <w:sz w:val="22"/>
          <w:szCs w:val="22"/>
          <w:lang w:val="pl-PL"/>
        </w:rPr>
        <w:t>/12,5 mg tabletki</w:t>
      </w:r>
    </w:p>
    <w:p w:rsidR="002D3E1A" w:rsidRPr="009353E6" w:rsidRDefault="001B1091" w:rsidP="000D5BED">
      <w:pPr>
        <w:pStyle w:val="BodyText"/>
        <w:spacing w:line="240" w:lineRule="auto"/>
        <w:jc w:val="left"/>
        <w:rPr>
          <w:sz w:val="22"/>
          <w:szCs w:val="22"/>
          <w:lang w:val="pl-PL"/>
        </w:rPr>
      </w:pPr>
      <w:r w:rsidRPr="009353E6">
        <w:rPr>
          <w:sz w:val="22"/>
          <w:szCs w:val="22"/>
          <w:lang w:val="pl-PL"/>
        </w:rPr>
        <w:t>MicardisPlus 80 mg/12,5 mg tabletki</w:t>
      </w:r>
    </w:p>
    <w:p w:rsidR="001B1091" w:rsidRPr="009353E6" w:rsidRDefault="001B1091"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p>
    <w:p w:rsidR="002D3E1A" w:rsidRPr="009353E6" w:rsidRDefault="000D5BED" w:rsidP="000D5BED">
      <w:pPr>
        <w:pStyle w:val="BodyText"/>
        <w:tabs>
          <w:tab w:val="left" w:pos="540"/>
        </w:tabs>
        <w:spacing w:line="240" w:lineRule="auto"/>
        <w:jc w:val="left"/>
        <w:rPr>
          <w:b/>
          <w:sz w:val="22"/>
          <w:szCs w:val="22"/>
          <w:lang w:val="pl-PL"/>
        </w:rPr>
      </w:pPr>
      <w:r w:rsidRPr="009353E6">
        <w:rPr>
          <w:b/>
          <w:sz w:val="22"/>
          <w:szCs w:val="22"/>
          <w:lang w:val="pl-PL"/>
        </w:rPr>
        <w:t>2.</w:t>
      </w:r>
      <w:r w:rsidRPr="009353E6">
        <w:rPr>
          <w:b/>
          <w:sz w:val="22"/>
          <w:szCs w:val="22"/>
          <w:lang w:val="pl-PL"/>
        </w:rPr>
        <w:tab/>
      </w:r>
      <w:r w:rsidR="002D3E1A" w:rsidRPr="009353E6">
        <w:rPr>
          <w:b/>
          <w:sz w:val="22"/>
          <w:szCs w:val="22"/>
          <w:lang w:val="pl-PL"/>
        </w:rPr>
        <w:t xml:space="preserve">SKŁAD JAKOŚCIOWY I ILOŚCIOWY </w:t>
      </w:r>
    </w:p>
    <w:p w:rsidR="002D3E1A" w:rsidRPr="009353E6" w:rsidRDefault="002D3E1A" w:rsidP="000D5BED">
      <w:pPr>
        <w:pStyle w:val="BodyText"/>
        <w:spacing w:line="240" w:lineRule="auto"/>
        <w:jc w:val="left"/>
        <w:rPr>
          <w:sz w:val="22"/>
          <w:szCs w:val="22"/>
          <w:lang w:val="pl-PL"/>
        </w:rPr>
      </w:pPr>
    </w:p>
    <w:p w:rsidR="001B1091" w:rsidRPr="009353E6" w:rsidRDefault="001B1091" w:rsidP="000D5BED">
      <w:pPr>
        <w:pStyle w:val="BodyText"/>
        <w:spacing w:line="240" w:lineRule="auto"/>
        <w:jc w:val="left"/>
        <w:rPr>
          <w:sz w:val="22"/>
          <w:szCs w:val="22"/>
          <w:u w:val="single"/>
          <w:lang w:val="pl-PL"/>
        </w:rPr>
      </w:pPr>
      <w:r w:rsidRPr="009353E6">
        <w:rPr>
          <w:sz w:val="22"/>
          <w:szCs w:val="22"/>
          <w:u w:val="single"/>
          <w:lang w:val="pl-PL"/>
        </w:rPr>
        <w:t>MicardisPlus 40 mg/12,5 mg tabletki</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Każda tabletka zawiera 40 mg telmisartanu i 12,5 mg hydrochlorotiazydu. </w:t>
      </w:r>
    </w:p>
    <w:p w:rsidR="00EE347E" w:rsidRPr="009353E6" w:rsidRDefault="00EE347E" w:rsidP="000D5BED">
      <w:pPr>
        <w:pStyle w:val="BodyText"/>
        <w:spacing w:line="240" w:lineRule="auto"/>
        <w:jc w:val="left"/>
        <w:rPr>
          <w:sz w:val="22"/>
          <w:szCs w:val="22"/>
          <w:lang w:val="pl-PL"/>
        </w:rPr>
      </w:pPr>
    </w:p>
    <w:p w:rsidR="002C3658" w:rsidRPr="009353E6" w:rsidRDefault="002C3658" w:rsidP="000D5BED">
      <w:pPr>
        <w:pStyle w:val="BodyText"/>
        <w:spacing w:line="240" w:lineRule="auto"/>
        <w:jc w:val="left"/>
        <w:rPr>
          <w:sz w:val="22"/>
          <w:szCs w:val="22"/>
          <w:u w:val="single"/>
          <w:lang w:val="pl-PL"/>
        </w:rPr>
      </w:pPr>
      <w:r w:rsidRPr="009353E6">
        <w:rPr>
          <w:sz w:val="22"/>
          <w:szCs w:val="22"/>
          <w:u w:val="single"/>
          <w:lang w:val="pl-PL"/>
        </w:rPr>
        <w:t>MicardisPlus 80 mg/12,5 mg tabletki</w:t>
      </w:r>
    </w:p>
    <w:p w:rsidR="002C3658" w:rsidRPr="009353E6" w:rsidRDefault="002C3658" w:rsidP="000D5BED">
      <w:pPr>
        <w:pStyle w:val="BodyText"/>
        <w:spacing w:line="240" w:lineRule="auto"/>
        <w:jc w:val="left"/>
        <w:rPr>
          <w:sz w:val="22"/>
          <w:szCs w:val="22"/>
          <w:lang w:val="pl-PL"/>
        </w:rPr>
      </w:pPr>
      <w:r w:rsidRPr="009353E6">
        <w:rPr>
          <w:sz w:val="22"/>
          <w:szCs w:val="22"/>
          <w:lang w:val="pl-PL"/>
        </w:rPr>
        <w:t>Każda tabletka zawiera 80 mg telmisartanu i 12,5 mg hydrochlorotiazydu.</w:t>
      </w:r>
    </w:p>
    <w:p w:rsidR="002C3658" w:rsidRPr="009353E6" w:rsidRDefault="002C3658" w:rsidP="000D5BED">
      <w:pPr>
        <w:pStyle w:val="BodyText"/>
        <w:spacing w:line="240" w:lineRule="auto"/>
        <w:jc w:val="left"/>
        <w:rPr>
          <w:sz w:val="22"/>
          <w:szCs w:val="22"/>
          <w:lang w:val="pl-PL"/>
        </w:rPr>
      </w:pPr>
    </w:p>
    <w:p w:rsidR="0090275A" w:rsidRPr="009353E6" w:rsidRDefault="004E1472" w:rsidP="000D5BED">
      <w:pPr>
        <w:pStyle w:val="BodyText"/>
        <w:spacing w:line="240" w:lineRule="auto"/>
        <w:jc w:val="left"/>
        <w:rPr>
          <w:sz w:val="22"/>
          <w:szCs w:val="22"/>
          <w:u w:val="single"/>
          <w:lang w:val="pl-PL"/>
        </w:rPr>
      </w:pPr>
      <w:r w:rsidRPr="009353E6">
        <w:rPr>
          <w:sz w:val="22"/>
          <w:szCs w:val="22"/>
          <w:u w:val="single"/>
          <w:lang w:val="pl-PL"/>
        </w:rPr>
        <w:t>Substancje pomocnicze</w:t>
      </w:r>
      <w:r w:rsidR="00AA6CE9" w:rsidRPr="009353E6">
        <w:rPr>
          <w:sz w:val="22"/>
          <w:szCs w:val="22"/>
          <w:u w:val="single"/>
          <w:lang w:val="pl-PL"/>
        </w:rPr>
        <w:t xml:space="preserve"> o znanym dzia</w:t>
      </w:r>
      <w:r w:rsidR="00DC2DC3" w:rsidRPr="009353E6">
        <w:rPr>
          <w:sz w:val="22"/>
          <w:szCs w:val="22"/>
          <w:u w:val="single"/>
          <w:lang w:val="pl-PL"/>
        </w:rPr>
        <w:t>ł</w:t>
      </w:r>
      <w:r w:rsidR="00AA6CE9" w:rsidRPr="009353E6">
        <w:rPr>
          <w:sz w:val="22"/>
          <w:szCs w:val="22"/>
          <w:u w:val="single"/>
          <w:lang w:val="pl-PL"/>
        </w:rPr>
        <w:t>aniu</w:t>
      </w:r>
    </w:p>
    <w:p w:rsidR="004E1472" w:rsidRPr="009353E6" w:rsidRDefault="000507F6" w:rsidP="000D5BED">
      <w:pPr>
        <w:pStyle w:val="BodyText"/>
        <w:spacing w:line="240" w:lineRule="auto"/>
        <w:jc w:val="left"/>
        <w:rPr>
          <w:sz w:val="22"/>
          <w:szCs w:val="22"/>
          <w:lang w:val="pl-PL"/>
        </w:rPr>
      </w:pPr>
      <w:r w:rsidRPr="009353E6">
        <w:rPr>
          <w:sz w:val="22"/>
          <w:szCs w:val="22"/>
          <w:lang w:val="pl-PL"/>
        </w:rPr>
        <w:t>Każda tabletka</w:t>
      </w:r>
      <w:r w:rsidR="002C3658" w:rsidRPr="009353E6">
        <w:rPr>
          <w:sz w:val="22"/>
          <w:szCs w:val="22"/>
          <w:lang w:val="pl-PL"/>
        </w:rPr>
        <w:t xml:space="preserve"> 40 mg/12,5 mg</w:t>
      </w:r>
      <w:r w:rsidRPr="009353E6">
        <w:rPr>
          <w:sz w:val="22"/>
          <w:szCs w:val="22"/>
          <w:lang w:val="pl-PL"/>
        </w:rPr>
        <w:t xml:space="preserve"> z</w:t>
      </w:r>
      <w:r w:rsidR="0079246D" w:rsidRPr="009353E6">
        <w:rPr>
          <w:sz w:val="22"/>
          <w:szCs w:val="22"/>
          <w:lang w:val="pl-PL"/>
        </w:rPr>
        <w:t>a</w:t>
      </w:r>
      <w:r w:rsidRPr="009353E6">
        <w:rPr>
          <w:sz w:val="22"/>
          <w:szCs w:val="22"/>
          <w:lang w:val="pl-PL"/>
        </w:rPr>
        <w:t xml:space="preserve">wiera </w:t>
      </w:r>
      <w:r w:rsidR="004E1472" w:rsidRPr="009353E6">
        <w:rPr>
          <w:sz w:val="22"/>
          <w:szCs w:val="22"/>
          <w:lang w:val="pl-PL"/>
        </w:rPr>
        <w:t xml:space="preserve">112 mg laktozy jednowodnej i 169 </w:t>
      </w:r>
      <w:r w:rsidR="00543253" w:rsidRPr="009353E6">
        <w:rPr>
          <w:sz w:val="22"/>
          <w:szCs w:val="22"/>
          <w:lang w:val="pl-PL"/>
        </w:rPr>
        <w:t>mg sorbitolu</w:t>
      </w:r>
      <w:r w:rsidR="0030023C" w:rsidRPr="009353E6">
        <w:rPr>
          <w:sz w:val="22"/>
          <w:szCs w:val="22"/>
          <w:lang w:val="pl-PL"/>
        </w:rPr>
        <w:t xml:space="preserve"> (E420)</w:t>
      </w:r>
      <w:r w:rsidR="00EE347E" w:rsidRPr="009353E6">
        <w:rPr>
          <w:sz w:val="22"/>
          <w:szCs w:val="22"/>
          <w:lang w:val="pl-PL"/>
        </w:rPr>
        <w:t>.</w:t>
      </w:r>
    </w:p>
    <w:p w:rsidR="00844FEC" w:rsidRPr="009353E6" w:rsidRDefault="00844FEC" w:rsidP="000D5BED">
      <w:pPr>
        <w:pStyle w:val="BodyText"/>
        <w:spacing w:line="240" w:lineRule="auto"/>
        <w:jc w:val="left"/>
        <w:rPr>
          <w:sz w:val="22"/>
          <w:szCs w:val="22"/>
          <w:lang w:val="pl-PL"/>
        </w:rPr>
      </w:pPr>
    </w:p>
    <w:p w:rsidR="00EE347E" w:rsidRPr="009353E6" w:rsidRDefault="002C3658" w:rsidP="000D5BED">
      <w:pPr>
        <w:pStyle w:val="BodyText"/>
        <w:spacing w:line="240" w:lineRule="auto"/>
        <w:jc w:val="left"/>
        <w:rPr>
          <w:sz w:val="22"/>
          <w:szCs w:val="22"/>
          <w:lang w:val="pl-PL"/>
        </w:rPr>
      </w:pPr>
      <w:r w:rsidRPr="009353E6">
        <w:rPr>
          <w:sz w:val="22"/>
          <w:szCs w:val="22"/>
          <w:lang w:val="pl-PL"/>
        </w:rPr>
        <w:t>Każda tabletka 80 mg/12,5 mg zawiera 112 mg laktozy jednowodnej i 338 mg sorbitolu (E420).</w:t>
      </w:r>
    </w:p>
    <w:p w:rsidR="002C3658" w:rsidRPr="009353E6" w:rsidRDefault="002C3658" w:rsidP="000D5BED">
      <w:pPr>
        <w:pStyle w:val="BodyText"/>
        <w:spacing w:line="240" w:lineRule="auto"/>
        <w:jc w:val="left"/>
        <w:rPr>
          <w:sz w:val="22"/>
          <w:szCs w:val="22"/>
          <w:lang w:val="pl-PL"/>
        </w:rPr>
      </w:pPr>
    </w:p>
    <w:p w:rsidR="002D3E1A" w:rsidRPr="009353E6" w:rsidRDefault="00872514" w:rsidP="000D5BED">
      <w:pPr>
        <w:pStyle w:val="BodyText"/>
        <w:spacing w:line="240" w:lineRule="auto"/>
        <w:jc w:val="left"/>
        <w:rPr>
          <w:sz w:val="22"/>
          <w:szCs w:val="22"/>
          <w:lang w:val="pl-PL"/>
        </w:rPr>
      </w:pPr>
      <w:r w:rsidRPr="009353E6">
        <w:rPr>
          <w:sz w:val="22"/>
          <w:szCs w:val="22"/>
          <w:lang w:val="pl-PL"/>
        </w:rPr>
        <w:t>Pełny wykaz s</w:t>
      </w:r>
      <w:r w:rsidR="002D3E1A" w:rsidRPr="009353E6">
        <w:rPr>
          <w:sz w:val="22"/>
          <w:szCs w:val="22"/>
          <w:lang w:val="pl-PL"/>
        </w:rPr>
        <w:t>ubstancj</w:t>
      </w:r>
      <w:r w:rsidRPr="009353E6">
        <w:rPr>
          <w:sz w:val="22"/>
          <w:szCs w:val="22"/>
          <w:lang w:val="pl-PL"/>
        </w:rPr>
        <w:t>i</w:t>
      </w:r>
      <w:r w:rsidR="002D3E1A" w:rsidRPr="009353E6">
        <w:rPr>
          <w:sz w:val="22"/>
          <w:szCs w:val="22"/>
          <w:lang w:val="pl-PL"/>
        </w:rPr>
        <w:t xml:space="preserve"> pomocnicz</w:t>
      </w:r>
      <w:r w:rsidRPr="009353E6">
        <w:rPr>
          <w:sz w:val="22"/>
          <w:szCs w:val="22"/>
          <w:lang w:val="pl-PL"/>
        </w:rPr>
        <w:t>ych</w:t>
      </w:r>
      <w:r w:rsidR="002D3E1A" w:rsidRPr="009353E6">
        <w:rPr>
          <w:sz w:val="22"/>
          <w:szCs w:val="22"/>
          <w:lang w:val="pl-PL"/>
        </w:rPr>
        <w:t>, patrz punkt</w:t>
      </w:r>
      <w:r w:rsidR="00E20628" w:rsidRPr="009353E6">
        <w:rPr>
          <w:sz w:val="22"/>
          <w:szCs w:val="22"/>
          <w:lang w:val="pl-PL"/>
        </w:rPr>
        <w:t> </w:t>
      </w:r>
      <w:r w:rsidR="002D3E1A" w:rsidRPr="009353E6">
        <w:rPr>
          <w:sz w:val="22"/>
          <w:szCs w:val="22"/>
          <w:lang w:val="pl-PL"/>
        </w:rPr>
        <w:t>6.1.</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p>
    <w:p w:rsidR="002D3E1A" w:rsidRPr="009353E6" w:rsidRDefault="000D5BED" w:rsidP="000D5BED">
      <w:pPr>
        <w:pStyle w:val="BodyText"/>
        <w:tabs>
          <w:tab w:val="left" w:pos="540"/>
        </w:tabs>
        <w:spacing w:line="240" w:lineRule="auto"/>
        <w:jc w:val="left"/>
        <w:rPr>
          <w:b/>
          <w:sz w:val="22"/>
          <w:szCs w:val="22"/>
          <w:lang w:val="pl-PL"/>
        </w:rPr>
      </w:pPr>
      <w:r w:rsidRPr="009353E6">
        <w:rPr>
          <w:b/>
          <w:sz w:val="22"/>
          <w:szCs w:val="22"/>
          <w:lang w:val="pl-PL"/>
        </w:rPr>
        <w:t>3.</w:t>
      </w:r>
      <w:r w:rsidRPr="009353E6">
        <w:rPr>
          <w:b/>
          <w:sz w:val="22"/>
          <w:szCs w:val="22"/>
          <w:lang w:val="pl-PL"/>
        </w:rPr>
        <w:tab/>
      </w:r>
      <w:r w:rsidR="002D3E1A" w:rsidRPr="009353E6">
        <w:rPr>
          <w:b/>
          <w:sz w:val="22"/>
          <w:szCs w:val="22"/>
          <w:lang w:val="pl-PL"/>
        </w:rPr>
        <w:t>POSTAĆ FARMACEUTYCZNA</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Tabletk</w:t>
      </w:r>
      <w:r w:rsidR="00872514" w:rsidRPr="009353E6">
        <w:rPr>
          <w:sz w:val="22"/>
          <w:szCs w:val="22"/>
          <w:lang w:val="pl-PL"/>
        </w:rPr>
        <w:t>a.</w:t>
      </w:r>
    </w:p>
    <w:p w:rsidR="002C3658" w:rsidRPr="009353E6" w:rsidRDefault="002C3658" w:rsidP="000D5BED">
      <w:pPr>
        <w:pStyle w:val="BodyText"/>
        <w:spacing w:line="240" w:lineRule="auto"/>
        <w:jc w:val="left"/>
        <w:rPr>
          <w:sz w:val="22"/>
          <w:szCs w:val="22"/>
          <w:lang w:val="pl-PL"/>
        </w:rPr>
      </w:pPr>
    </w:p>
    <w:p w:rsidR="002C3658" w:rsidRPr="009353E6" w:rsidRDefault="002C3658" w:rsidP="000D5BED">
      <w:pPr>
        <w:pStyle w:val="BodyText"/>
        <w:spacing w:line="240" w:lineRule="auto"/>
        <w:jc w:val="left"/>
        <w:rPr>
          <w:sz w:val="22"/>
          <w:szCs w:val="22"/>
          <w:lang w:val="pl-PL"/>
        </w:rPr>
      </w:pPr>
      <w:r w:rsidRPr="009353E6">
        <w:rPr>
          <w:sz w:val="22"/>
          <w:szCs w:val="22"/>
          <w:u w:val="single"/>
          <w:lang w:val="pl-PL"/>
        </w:rPr>
        <w:t>MicardisPlus 40 mg/12,5 mg tabletki</w:t>
      </w:r>
    </w:p>
    <w:p w:rsidR="002D3E1A" w:rsidRPr="009353E6" w:rsidRDefault="002D3E1A" w:rsidP="000D5BED">
      <w:pPr>
        <w:pStyle w:val="BodyText"/>
        <w:spacing w:line="240" w:lineRule="auto"/>
        <w:jc w:val="left"/>
        <w:rPr>
          <w:sz w:val="22"/>
          <w:szCs w:val="22"/>
          <w:lang w:val="pl-PL"/>
        </w:rPr>
      </w:pPr>
      <w:r w:rsidRPr="009353E6">
        <w:rPr>
          <w:sz w:val="22"/>
          <w:szCs w:val="22"/>
          <w:lang w:val="pl-PL"/>
        </w:rPr>
        <w:t>Czerwon</w:t>
      </w:r>
      <w:r w:rsidR="00247EE6" w:rsidRPr="009353E6">
        <w:rPr>
          <w:sz w:val="22"/>
          <w:szCs w:val="22"/>
          <w:lang w:val="pl-PL"/>
        </w:rPr>
        <w:t>o-</w:t>
      </w:r>
      <w:r w:rsidRPr="009353E6">
        <w:rPr>
          <w:sz w:val="22"/>
          <w:szCs w:val="22"/>
          <w:lang w:val="pl-PL"/>
        </w:rPr>
        <w:t>biał</w:t>
      </w:r>
      <w:r w:rsidR="00B6297F" w:rsidRPr="009353E6">
        <w:rPr>
          <w:sz w:val="22"/>
          <w:szCs w:val="22"/>
          <w:lang w:val="pl-PL"/>
        </w:rPr>
        <w:t>a</w:t>
      </w:r>
      <w:r w:rsidR="0028667A" w:rsidRPr="009353E6">
        <w:rPr>
          <w:sz w:val="22"/>
          <w:szCs w:val="22"/>
          <w:lang w:val="pl-PL"/>
        </w:rPr>
        <w:t xml:space="preserve">, </w:t>
      </w:r>
      <w:r w:rsidR="00685A4E" w:rsidRPr="009353E6">
        <w:rPr>
          <w:sz w:val="22"/>
          <w:szCs w:val="22"/>
          <w:lang w:val="pl-PL"/>
        </w:rPr>
        <w:t>podłużna</w:t>
      </w:r>
      <w:r w:rsidR="0028667A" w:rsidRPr="009353E6">
        <w:rPr>
          <w:sz w:val="22"/>
          <w:szCs w:val="22"/>
          <w:lang w:val="pl-PL"/>
        </w:rPr>
        <w:t xml:space="preserve"> tabletka</w:t>
      </w:r>
      <w:r w:rsidR="00B6297F" w:rsidRPr="009353E6">
        <w:rPr>
          <w:sz w:val="22"/>
          <w:szCs w:val="22"/>
          <w:lang w:val="pl-PL"/>
        </w:rPr>
        <w:t xml:space="preserve"> d</w:t>
      </w:r>
      <w:r w:rsidRPr="009353E6">
        <w:rPr>
          <w:sz w:val="22"/>
          <w:szCs w:val="22"/>
          <w:lang w:val="pl-PL"/>
        </w:rPr>
        <w:t>wuwarstwow</w:t>
      </w:r>
      <w:r w:rsidR="00B6297F" w:rsidRPr="009353E6">
        <w:rPr>
          <w:sz w:val="22"/>
          <w:szCs w:val="22"/>
          <w:lang w:val="pl-PL"/>
        </w:rPr>
        <w:t>a</w:t>
      </w:r>
      <w:r w:rsidRPr="009353E6">
        <w:rPr>
          <w:sz w:val="22"/>
          <w:szCs w:val="22"/>
          <w:lang w:val="pl-PL"/>
        </w:rPr>
        <w:t xml:space="preserve">, </w:t>
      </w:r>
      <w:r w:rsidR="0028667A" w:rsidRPr="009353E6">
        <w:rPr>
          <w:sz w:val="22"/>
          <w:szCs w:val="22"/>
          <w:lang w:val="pl-PL"/>
        </w:rPr>
        <w:t xml:space="preserve">długości </w:t>
      </w:r>
      <w:r w:rsidR="00CB751A" w:rsidRPr="009353E6">
        <w:rPr>
          <w:sz w:val="22"/>
          <w:szCs w:val="22"/>
          <w:lang w:val="pl-PL"/>
        </w:rPr>
        <w:t>5,2 mm</w:t>
      </w:r>
      <w:r w:rsidR="0028667A" w:rsidRPr="009353E6">
        <w:rPr>
          <w:sz w:val="22"/>
          <w:szCs w:val="22"/>
          <w:lang w:val="pl-PL"/>
        </w:rPr>
        <w:t xml:space="preserve">, </w:t>
      </w:r>
      <w:r w:rsidR="00CB751A" w:rsidRPr="009353E6">
        <w:rPr>
          <w:sz w:val="22"/>
          <w:szCs w:val="22"/>
          <w:lang w:val="pl-PL"/>
        </w:rPr>
        <w:t xml:space="preserve"> </w:t>
      </w:r>
      <w:r w:rsidRPr="009353E6">
        <w:rPr>
          <w:sz w:val="22"/>
          <w:szCs w:val="22"/>
          <w:lang w:val="pl-PL"/>
        </w:rPr>
        <w:t>z wy</w:t>
      </w:r>
      <w:r w:rsidR="0028667A" w:rsidRPr="009353E6">
        <w:rPr>
          <w:sz w:val="22"/>
          <w:szCs w:val="22"/>
          <w:lang w:val="pl-PL"/>
        </w:rPr>
        <w:t xml:space="preserve">tłoczonym </w:t>
      </w:r>
      <w:r w:rsidRPr="009353E6">
        <w:rPr>
          <w:sz w:val="22"/>
          <w:szCs w:val="22"/>
          <w:lang w:val="pl-PL"/>
        </w:rPr>
        <w:t>logo i kodem</w:t>
      </w:r>
      <w:r w:rsidR="0028667A" w:rsidRPr="009353E6">
        <w:rPr>
          <w:sz w:val="22"/>
          <w:szCs w:val="22"/>
          <w:lang w:val="pl-PL"/>
        </w:rPr>
        <w:t>„</w:t>
      </w:r>
      <w:r w:rsidRPr="009353E6">
        <w:rPr>
          <w:sz w:val="22"/>
          <w:szCs w:val="22"/>
          <w:lang w:val="pl-PL"/>
        </w:rPr>
        <w:t xml:space="preserve"> H4</w:t>
      </w:r>
      <w:r w:rsidR="0028667A" w:rsidRPr="009353E6">
        <w:rPr>
          <w:sz w:val="22"/>
          <w:szCs w:val="22"/>
          <w:lang w:val="pl-PL"/>
        </w:rPr>
        <w:t>”</w:t>
      </w:r>
      <w:r w:rsidRPr="009353E6">
        <w:rPr>
          <w:sz w:val="22"/>
          <w:szCs w:val="22"/>
          <w:lang w:val="pl-PL"/>
        </w:rPr>
        <w:t>.</w:t>
      </w:r>
    </w:p>
    <w:p w:rsidR="002D3E1A" w:rsidRPr="009353E6" w:rsidRDefault="002D3E1A" w:rsidP="000D5BED">
      <w:pPr>
        <w:pStyle w:val="BodyText"/>
        <w:spacing w:line="240" w:lineRule="auto"/>
        <w:jc w:val="left"/>
        <w:rPr>
          <w:sz w:val="22"/>
          <w:szCs w:val="22"/>
          <w:lang w:val="pl-PL"/>
        </w:rPr>
      </w:pPr>
    </w:p>
    <w:p w:rsidR="002C3658" w:rsidRPr="009353E6" w:rsidRDefault="002C3658" w:rsidP="000D5BED">
      <w:pPr>
        <w:pStyle w:val="BodyText"/>
        <w:spacing w:line="240" w:lineRule="auto"/>
        <w:jc w:val="left"/>
        <w:rPr>
          <w:sz w:val="22"/>
          <w:szCs w:val="22"/>
          <w:lang w:val="pl-PL"/>
        </w:rPr>
      </w:pPr>
      <w:r w:rsidRPr="009353E6">
        <w:rPr>
          <w:sz w:val="22"/>
          <w:szCs w:val="22"/>
          <w:u w:val="single"/>
          <w:lang w:val="pl-PL"/>
        </w:rPr>
        <w:t>MicardisPlus 80 mg/12,5 mg tabletki</w:t>
      </w:r>
    </w:p>
    <w:p w:rsidR="002C3658" w:rsidRPr="009353E6" w:rsidRDefault="002C3658" w:rsidP="000D5BED">
      <w:pPr>
        <w:pStyle w:val="BodyText"/>
        <w:spacing w:line="240" w:lineRule="auto"/>
        <w:jc w:val="left"/>
        <w:rPr>
          <w:sz w:val="22"/>
          <w:szCs w:val="22"/>
          <w:lang w:val="pl-PL"/>
        </w:rPr>
      </w:pPr>
      <w:r w:rsidRPr="009353E6">
        <w:rPr>
          <w:sz w:val="22"/>
          <w:szCs w:val="22"/>
          <w:lang w:val="pl-PL"/>
        </w:rPr>
        <w:t xml:space="preserve">Czerwono-biała, </w:t>
      </w:r>
      <w:r w:rsidR="00685A4E" w:rsidRPr="009353E6">
        <w:rPr>
          <w:sz w:val="22"/>
          <w:szCs w:val="22"/>
          <w:lang w:val="pl-PL"/>
        </w:rPr>
        <w:t>podłużna</w:t>
      </w:r>
      <w:r w:rsidRPr="009353E6">
        <w:rPr>
          <w:sz w:val="22"/>
          <w:szCs w:val="22"/>
          <w:lang w:val="pl-PL"/>
        </w:rPr>
        <w:t xml:space="preserve"> tabletka dwuwarstwowa, długości 6,2 mm, z wytłoczonym logo i kodem „H8”.</w:t>
      </w:r>
    </w:p>
    <w:p w:rsidR="002C3658" w:rsidRPr="009353E6" w:rsidRDefault="002C3658"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tabs>
          <w:tab w:val="left" w:pos="540"/>
        </w:tabs>
        <w:spacing w:line="240" w:lineRule="auto"/>
        <w:jc w:val="left"/>
        <w:rPr>
          <w:b/>
          <w:sz w:val="22"/>
          <w:szCs w:val="22"/>
          <w:lang w:val="pl-PL"/>
        </w:rPr>
      </w:pPr>
      <w:r w:rsidRPr="009353E6">
        <w:rPr>
          <w:b/>
          <w:sz w:val="22"/>
          <w:szCs w:val="22"/>
          <w:lang w:val="pl-PL"/>
        </w:rPr>
        <w:t xml:space="preserve">4.  </w:t>
      </w:r>
      <w:r w:rsidRPr="009353E6">
        <w:rPr>
          <w:b/>
          <w:sz w:val="22"/>
          <w:szCs w:val="22"/>
          <w:lang w:val="pl-PL"/>
        </w:rPr>
        <w:tab/>
        <w:t>SZCZEGÓŁOWE DANE KLINICZNE</w:t>
      </w:r>
    </w:p>
    <w:p w:rsidR="002D3E1A" w:rsidRPr="009353E6" w:rsidRDefault="002D3E1A" w:rsidP="000D5BED">
      <w:pPr>
        <w:pStyle w:val="BodyText"/>
        <w:spacing w:line="240" w:lineRule="auto"/>
        <w:jc w:val="left"/>
        <w:rPr>
          <w:b/>
          <w:sz w:val="22"/>
          <w:szCs w:val="22"/>
          <w:lang w:val="pl-PL"/>
        </w:rPr>
      </w:pPr>
    </w:p>
    <w:p w:rsidR="002D3E1A" w:rsidRPr="009353E6" w:rsidRDefault="002D3E1A" w:rsidP="000D5BED">
      <w:pPr>
        <w:pStyle w:val="BodyText"/>
        <w:tabs>
          <w:tab w:val="left" w:pos="540"/>
        </w:tabs>
        <w:spacing w:line="240" w:lineRule="auto"/>
        <w:jc w:val="left"/>
        <w:rPr>
          <w:b/>
          <w:sz w:val="22"/>
          <w:szCs w:val="22"/>
          <w:lang w:val="pl-PL"/>
        </w:rPr>
      </w:pPr>
      <w:r w:rsidRPr="009353E6">
        <w:rPr>
          <w:b/>
          <w:sz w:val="22"/>
          <w:szCs w:val="22"/>
          <w:lang w:val="pl-PL"/>
        </w:rPr>
        <w:t xml:space="preserve">4.1 </w:t>
      </w:r>
      <w:r w:rsidRPr="009353E6">
        <w:rPr>
          <w:b/>
          <w:sz w:val="22"/>
          <w:szCs w:val="22"/>
          <w:lang w:val="pl-PL"/>
        </w:rPr>
        <w:tab/>
        <w:t>Wskazania do stosowania</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Leczenie samoistnego</w:t>
      </w:r>
      <w:r w:rsidR="00872514" w:rsidRPr="009353E6">
        <w:rPr>
          <w:sz w:val="22"/>
          <w:szCs w:val="22"/>
          <w:lang w:val="pl-PL"/>
        </w:rPr>
        <w:t xml:space="preserve"> nadciśnienia tętniczego</w:t>
      </w:r>
      <w:r w:rsidRPr="009353E6">
        <w:rPr>
          <w:sz w:val="22"/>
          <w:szCs w:val="22"/>
          <w:lang w:val="pl-PL"/>
        </w:rPr>
        <w:t>.</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Złożony pr</w:t>
      </w:r>
      <w:r w:rsidR="0079246D" w:rsidRPr="009353E6">
        <w:rPr>
          <w:sz w:val="22"/>
          <w:szCs w:val="22"/>
          <w:lang w:val="pl-PL"/>
        </w:rPr>
        <w:t>odu</w:t>
      </w:r>
      <w:r w:rsidR="00731B3F" w:rsidRPr="009353E6">
        <w:rPr>
          <w:sz w:val="22"/>
          <w:szCs w:val="22"/>
          <w:lang w:val="pl-PL"/>
        </w:rPr>
        <w:t>k</w:t>
      </w:r>
      <w:r w:rsidR="0079246D" w:rsidRPr="009353E6">
        <w:rPr>
          <w:sz w:val="22"/>
          <w:szCs w:val="22"/>
          <w:lang w:val="pl-PL"/>
        </w:rPr>
        <w:t>t</w:t>
      </w:r>
      <w:r w:rsidR="00731B3F" w:rsidRPr="009353E6">
        <w:rPr>
          <w:sz w:val="22"/>
          <w:szCs w:val="22"/>
          <w:lang w:val="pl-PL"/>
        </w:rPr>
        <w:t xml:space="preserve"> leczniczy</w:t>
      </w:r>
      <w:r w:rsidRPr="009353E6">
        <w:rPr>
          <w:sz w:val="22"/>
          <w:szCs w:val="22"/>
          <w:lang w:val="pl-PL"/>
        </w:rPr>
        <w:t xml:space="preserve"> MicardisPlus</w:t>
      </w:r>
      <w:r w:rsidR="000507F6" w:rsidRPr="009353E6">
        <w:rPr>
          <w:sz w:val="22"/>
          <w:szCs w:val="22"/>
          <w:lang w:val="pl-PL"/>
        </w:rPr>
        <w:t xml:space="preserve"> (</w:t>
      </w:r>
      <w:r w:rsidRPr="009353E6">
        <w:rPr>
          <w:sz w:val="22"/>
          <w:szCs w:val="22"/>
          <w:lang w:val="pl-PL"/>
        </w:rPr>
        <w:t>zawierający telmisartan w dawce 40 mg i hydrochlorotiazyd w dawce 12,5 mg</w:t>
      </w:r>
      <w:r w:rsidR="002C3658" w:rsidRPr="009353E6">
        <w:rPr>
          <w:sz w:val="22"/>
          <w:szCs w:val="22"/>
          <w:lang w:val="pl-PL"/>
        </w:rPr>
        <w:t xml:space="preserve"> oraz telmisartan w dawce 80 mg i hydrochlorotiazyd w dawce 12,5 mg</w:t>
      </w:r>
      <w:r w:rsidR="000507F6" w:rsidRPr="009353E6">
        <w:rPr>
          <w:sz w:val="22"/>
          <w:szCs w:val="22"/>
          <w:lang w:val="pl-PL"/>
        </w:rPr>
        <w:t>)</w:t>
      </w:r>
      <w:r w:rsidRPr="009353E6">
        <w:rPr>
          <w:sz w:val="22"/>
          <w:szCs w:val="22"/>
          <w:lang w:val="pl-PL"/>
        </w:rPr>
        <w:t xml:space="preserve"> jest wskazany do stosowania u </w:t>
      </w:r>
      <w:r w:rsidR="00247EE6" w:rsidRPr="009353E6">
        <w:rPr>
          <w:sz w:val="22"/>
          <w:szCs w:val="22"/>
          <w:lang w:val="pl-PL"/>
        </w:rPr>
        <w:t xml:space="preserve">osób </w:t>
      </w:r>
      <w:r w:rsidR="00AA6CE9" w:rsidRPr="009353E6">
        <w:rPr>
          <w:sz w:val="22"/>
          <w:szCs w:val="22"/>
          <w:lang w:val="pl-PL"/>
        </w:rPr>
        <w:t>dorosłych</w:t>
      </w:r>
      <w:r w:rsidRPr="009353E6">
        <w:rPr>
          <w:sz w:val="22"/>
          <w:szCs w:val="22"/>
          <w:lang w:val="pl-PL"/>
        </w:rPr>
        <w:t xml:space="preserve">, u których ciśnienie </w:t>
      </w:r>
      <w:r w:rsidR="00247EE6" w:rsidRPr="009353E6">
        <w:rPr>
          <w:sz w:val="22"/>
          <w:szCs w:val="22"/>
          <w:lang w:val="pl-PL"/>
        </w:rPr>
        <w:t xml:space="preserve">tętnicze </w:t>
      </w:r>
      <w:r w:rsidRPr="009353E6">
        <w:rPr>
          <w:sz w:val="22"/>
          <w:szCs w:val="22"/>
          <w:lang w:val="pl-PL"/>
        </w:rPr>
        <w:t xml:space="preserve">nie jest kontrolowane w sposób wystarczający </w:t>
      </w:r>
      <w:r w:rsidR="00247EE6" w:rsidRPr="009353E6">
        <w:rPr>
          <w:sz w:val="22"/>
          <w:szCs w:val="22"/>
          <w:lang w:val="pl-PL"/>
        </w:rPr>
        <w:t>po</w:t>
      </w:r>
      <w:r w:rsidRPr="009353E6">
        <w:rPr>
          <w:sz w:val="22"/>
          <w:szCs w:val="22"/>
          <w:lang w:val="pl-PL"/>
        </w:rPr>
        <w:t xml:space="preserve"> zastosowani</w:t>
      </w:r>
      <w:r w:rsidR="00247EE6" w:rsidRPr="009353E6">
        <w:rPr>
          <w:sz w:val="22"/>
          <w:szCs w:val="22"/>
          <w:lang w:val="pl-PL"/>
        </w:rPr>
        <w:t>u</w:t>
      </w:r>
      <w:r w:rsidRPr="009353E6">
        <w:rPr>
          <w:sz w:val="22"/>
          <w:szCs w:val="22"/>
          <w:lang w:val="pl-PL"/>
        </w:rPr>
        <w:t xml:space="preserve"> samego telmisartanu.</w:t>
      </w:r>
    </w:p>
    <w:p w:rsidR="002D3E1A" w:rsidRPr="009353E6" w:rsidRDefault="002D3E1A" w:rsidP="000D5BED">
      <w:pPr>
        <w:pStyle w:val="BodyText"/>
        <w:spacing w:line="240" w:lineRule="auto"/>
        <w:jc w:val="left"/>
        <w:rPr>
          <w:sz w:val="22"/>
          <w:szCs w:val="22"/>
          <w:lang w:val="pl-PL"/>
        </w:rPr>
      </w:pPr>
    </w:p>
    <w:p w:rsidR="002D3E1A" w:rsidRPr="009353E6" w:rsidRDefault="000D5BED" w:rsidP="004A0B9E">
      <w:pPr>
        <w:pStyle w:val="BodyText"/>
        <w:keepNext/>
        <w:tabs>
          <w:tab w:val="left" w:pos="567"/>
        </w:tabs>
        <w:spacing w:line="240" w:lineRule="auto"/>
        <w:jc w:val="left"/>
        <w:rPr>
          <w:b/>
          <w:sz w:val="22"/>
          <w:szCs w:val="22"/>
          <w:lang w:val="pl-PL"/>
        </w:rPr>
      </w:pPr>
      <w:r w:rsidRPr="009353E6">
        <w:rPr>
          <w:b/>
          <w:sz w:val="22"/>
          <w:szCs w:val="22"/>
          <w:lang w:val="pl-PL"/>
        </w:rPr>
        <w:t>4.2</w:t>
      </w:r>
      <w:r w:rsidRPr="009353E6">
        <w:rPr>
          <w:b/>
          <w:sz w:val="22"/>
          <w:szCs w:val="22"/>
          <w:lang w:val="pl-PL"/>
        </w:rPr>
        <w:tab/>
      </w:r>
      <w:r w:rsidR="002D3E1A" w:rsidRPr="009353E6">
        <w:rPr>
          <w:b/>
          <w:sz w:val="22"/>
          <w:szCs w:val="22"/>
          <w:lang w:val="pl-PL"/>
        </w:rPr>
        <w:t>Dawkowanie i sposób podawania</w:t>
      </w:r>
    </w:p>
    <w:p w:rsidR="002D3E1A" w:rsidRPr="009353E6" w:rsidRDefault="002D3E1A" w:rsidP="004A0B9E">
      <w:pPr>
        <w:pStyle w:val="BodyText"/>
        <w:keepNext/>
        <w:spacing w:line="240" w:lineRule="auto"/>
        <w:jc w:val="left"/>
        <w:rPr>
          <w:sz w:val="22"/>
          <w:szCs w:val="22"/>
          <w:lang w:val="pl-PL"/>
        </w:rPr>
      </w:pPr>
    </w:p>
    <w:p w:rsidR="002D3E1A" w:rsidRPr="009353E6" w:rsidRDefault="00AA6CE9" w:rsidP="004A0B9E">
      <w:pPr>
        <w:pStyle w:val="BodyText"/>
        <w:keepNext/>
        <w:spacing w:line="240" w:lineRule="auto"/>
        <w:jc w:val="left"/>
        <w:rPr>
          <w:sz w:val="22"/>
          <w:szCs w:val="22"/>
          <w:u w:val="single"/>
          <w:lang w:val="pl-PL"/>
        </w:rPr>
      </w:pPr>
      <w:r w:rsidRPr="009353E6">
        <w:rPr>
          <w:sz w:val="22"/>
          <w:szCs w:val="22"/>
          <w:u w:val="single"/>
          <w:lang w:val="pl-PL"/>
        </w:rPr>
        <w:t xml:space="preserve">Dawkowanie </w:t>
      </w:r>
    </w:p>
    <w:p w:rsidR="00AA6CE9" w:rsidRPr="009353E6" w:rsidRDefault="00AA6CE9" w:rsidP="004A0B9E">
      <w:pPr>
        <w:pStyle w:val="BodyText"/>
        <w:keepNext/>
        <w:spacing w:line="240" w:lineRule="auto"/>
        <w:jc w:val="left"/>
        <w:rPr>
          <w:sz w:val="22"/>
          <w:szCs w:val="22"/>
          <w:u w:val="single"/>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MicardisPlus powinien być przyjmowany przez pacjentów, u których nadciśnienie nie jest dostatecznie kontrolowane samym telmisartanem. Zaleca się indywidualne dostosowanie dawki każdego ze składników </w:t>
      </w:r>
      <w:r w:rsidR="00F710F6" w:rsidRPr="009353E6">
        <w:rPr>
          <w:sz w:val="22"/>
          <w:szCs w:val="22"/>
          <w:lang w:val="pl-PL"/>
        </w:rPr>
        <w:t>produkt</w:t>
      </w:r>
      <w:r w:rsidRPr="009353E6">
        <w:rPr>
          <w:sz w:val="22"/>
          <w:szCs w:val="22"/>
          <w:lang w:val="pl-PL"/>
        </w:rPr>
        <w:t xml:space="preserve">u, przed zastosowaniem ustalonej dawki </w:t>
      </w:r>
      <w:r w:rsidR="00F710F6" w:rsidRPr="009353E6">
        <w:rPr>
          <w:sz w:val="22"/>
          <w:szCs w:val="22"/>
          <w:lang w:val="pl-PL"/>
        </w:rPr>
        <w:t>produkt</w:t>
      </w:r>
      <w:r w:rsidRPr="009353E6">
        <w:rPr>
          <w:sz w:val="22"/>
          <w:szCs w:val="22"/>
          <w:lang w:val="pl-PL"/>
        </w:rPr>
        <w:t xml:space="preserve">u złożonego. Jeśli </w:t>
      </w:r>
      <w:r w:rsidRPr="009353E6">
        <w:rPr>
          <w:sz w:val="22"/>
          <w:szCs w:val="22"/>
          <w:lang w:val="pl-PL"/>
        </w:rPr>
        <w:lastRenderedPageBreak/>
        <w:t>uzna się to za klinicznie odpowiednie, może być rozważona bezpośrednia zmiana z monoterapii na terapię skojarzoną.</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 </w:t>
      </w:r>
    </w:p>
    <w:p w:rsidR="002D3E1A" w:rsidRPr="009353E6" w:rsidRDefault="002D3E1A" w:rsidP="002D507E">
      <w:pPr>
        <w:pStyle w:val="BodyText"/>
        <w:numPr>
          <w:ilvl w:val="0"/>
          <w:numId w:val="13"/>
        </w:numPr>
        <w:tabs>
          <w:tab w:val="clear" w:pos="2520"/>
          <w:tab w:val="num" w:pos="540"/>
        </w:tabs>
        <w:spacing w:line="240" w:lineRule="auto"/>
        <w:ind w:left="540" w:hanging="540"/>
        <w:jc w:val="left"/>
        <w:rPr>
          <w:sz w:val="22"/>
          <w:szCs w:val="22"/>
          <w:lang w:val="pl-PL"/>
        </w:rPr>
      </w:pPr>
      <w:r w:rsidRPr="009353E6">
        <w:rPr>
          <w:sz w:val="22"/>
          <w:szCs w:val="22"/>
          <w:lang w:val="pl-PL"/>
        </w:rPr>
        <w:t>MicardisPlus 40</w:t>
      </w:r>
      <w:r w:rsidR="00B6297F" w:rsidRPr="009353E6">
        <w:rPr>
          <w:sz w:val="22"/>
          <w:szCs w:val="22"/>
          <w:lang w:val="pl-PL"/>
        </w:rPr>
        <w:t xml:space="preserve"> mg</w:t>
      </w:r>
      <w:r w:rsidRPr="009353E6">
        <w:rPr>
          <w:sz w:val="22"/>
          <w:szCs w:val="22"/>
          <w:lang w:val="pl-PL"/>
        </w:rPr>
        <w:t xml:space="preserve">/12,5 mg może być podawany </w:t>
      </w:r>
      <w:r w:rsidR="00AA6CE9" w:rsidRPr="009353E6">
        <w:rPr>
          <w:sz w:val="22"/>
          <w:szCs w:val="22"/>
          <w:lang w:val="pl-PL"/>
        </w:rPr>
        <w:t xml:space="preserve">raz na dobę, </w:t>
      </w:r>
      <w:r w:rsidRPr="009353E6">
        <w:rPr>
          <w:sz w:val="22"/>
          <w:szCs w:val="22"/>
          <w:lang w:val="pl-PL"/>
        </w:rPr>
        <w:t xml:space="preserve">pacjentom, u których ciśnienie </w:t>
      </w:r>
      <w:r w:rsidR="00247EE6" w:rsidRPr="009353E6">
        <w:rPr>
          <w:sz w:val="22"/>
          <w:szCs w:val="22"/>
          <w:lang w:val="pl-PL"/>
        </w:rPr>
        <w:t xml:space="preserve">tętnicze </w:t>
      </w:r>
      <w:r w:rsidRPr="009353E6">
        <w:rPr>
          <w:sz w:val="22"/>
          <w:szCs w:val="22"/>
          <w:lang w:val="pl-PL"/>
        </w:rPr>
        <w:t xml:space="preserve">nie jest odpowiednio kontrolowane po zastosowaniu </w:t>
      </w:r>
      <w:r w:rsidR="00F710F6" w:rsidRPr="009353E6">
        <w:rPr>
          <w:sz w:val="22"/>
          <w:szCs w:val="22"/>
          <w:lang w:val="pl-PL"/>
        </w:rPr>
        <w:t>produkt</w:t>
      </w:r>
      <w:r w:rsidRPr="009353E6">
        <w:rPr>
          <w:sz w:val="22"/>
          <w:szCs w:val="22"/>
          <w:lang w:val="pl-PL"/>
        </w:rPr>
        <w:t>u Micardis 40 mg.</w:t>
      </w:r>
    </w:p>
    <w:p w:rsidR="002D3E1A" w:rsidRPr="009353E6" w:rsidRDefault="002D3E1A" w:rsidP="002D507E">
      <w:pPr>
        <w:pStyle w:val="BodyText"/>
        <w:numPr>
          <w:ilvl w:val="0"/>
          <w:numId w:val="13"/>
        </w:numPr>
        <w:tabs>
          <w:tab w:val="clear" w:pos="2520"/>
          <w:tab w:val="num" w:pos="540"/>
        </w:tabs>
        <w:spacing w:line="240" w:lineRule="auto"/>
        <w:ind w:left="540" w:hanging="540"/>
        <w:jc w:val="left"/>
        <w:rPr>
          <w:sz w:val="22"/>
          <w:szCs w:val="22"/>
          <w:lang w:val="pl-PL"/>
        </w:rPr>
      </w:pPr>
      <w:r w:rsidRPr="009353E6">
        <w:rPr>
          <w:sz w:val="22"/>
          <w:szCs w:val="22"/>
          <w:lang w:val="pl-PL"/>
        </w:rPr>
        <w:t>MicardisPlus 80</w:t>
      </w:r>
      <w:r w:rsidR="00B6297F" w:rsidRPr="009353E6">
        <w:rPr>
          <w:sz w:val="22"/>
          <w:szCs w:val="22"/>
          <w:lang w:val="pl-PL"/>
        </w:rPr>
        <w:t xml:space="preserve"> mg</w:t>
      </w:r>
      <w:r w:rsidRPr="009353E6">
        <w:rPr>
          <w:sz w:val="22"/>
          <w:szCs w:val="22"/>
          <w:lang w:val="pl-PL"/>
        </w:rPr>
        <w:t>/12,5 mg może być podawany</w:t>
      </w:r>
      <w:r w:rsidR="00AA6CE9" w:rsidRPr="009353E6">
        <w:rPr>
          <w:sz w:val="22"/>
          <w:szCs w:val="22"/>
          <w:lang w:val="pl-PL"/>
        </w:rPr>
        <w:t xml:space="preserve"> raz na dobę, </w:t>
      </w:r>
      <w:r w:rsidRPr="009353E6">
        <w:rPr>
          <w:sz w:val="22"/>
          <w:szCs w:val="22"/>
          <w:lang w:val="pl-PL"/>
        </w:rPr>
        <w:t xml:space="preserve">pacjentom, u których ciśnienie </w:t>
      </w:r>
      <w:r w:rsidR="00A34E6B" w:rsidRPr="009353E6">
        <w:rPr>
          <w:sz w:val="22"/>
          <w:szCs w:val="22"/>
          <w:lang w:val="pl-PL"/>
        </w:rPr>
        <w:t xml:space="preserve">tętnicze </w:t>
      </w:r>
      <w:r w:rsidRPr="009353E6">
        <w:rPr>
          <w:sz w:val="22"/>
          <w:szCs w:val="22"/>
          <w:lang w:val="pl-PL"/>
        </w:rPr>
        <w:t xml:space="preserve">nie jest odpowiednio kontrolowane po zastosowaniu </w:t>
      </w:r>
      <w:r w:rsidR="00F710F6" w:rsidRPr="009353E6">
        <w:rPr>
          <w:sz w:val="22"/>
          <w:szCs w:val="22"/>
          <w:lang w:val="pl-PL"/>
        </w:rPr>
        <w:t>produkt</w:t>
      </w:r>
      <w:r w:rsidRPr="009353E6">
        <w:rPr>
          <w:sz w:val="22"/>
          <w:szCs w:val="22"/>
          <w:lang w:val="pl-PL"/>
        </w:rPr>
        <w:t>u Micardis 80 mg.</w:t>
      </w:r>
    </w:p>
    <w:p w:rsidR="002D3E1A" w:rsidRPr="009353E6" w:rsidRDefault="002D3E1A" w:rsidP="000D5BED">
      <w:pPr>
        <w:pStyle w:val="BodyText"/>
        <w:spacing w:line="240" w:lineRule="auto"/>
        <w:jc w:val="left"/>
        <w:rPr>
          <w:sz w:val="22"/>
          <w:szCs w:val="22"/>
          <w:lang w:val="pl-PL"/>
        </w:rPr>
      </w:pPr>
    </w:p>
    <w:p w:rsidR="00AA6CE9" w:rsidRPr="009353E6" w:rsidRDefault="00927140" w:rsidP="004A0B9E">
      <w:pPr>
        <w:keepNext/>
        <w:rPr>
          <w:sz w:val="22"/>
          <w:szCs w:val="22"/>
          <w:lang w:val="pl-PL"/>
        </w:rPr>
      </w:pPr>
      <w:r w:rsidRPr="009353E6">
        <w:rPr>
          <w:sz w:val="22"/>
          <w:szCs w:val="22"/>
          <w:lang w:val="pl-PL"/>
        </w:rPr>
        <w:t>Z</w:t>
      </w:r>
      <w:r w:rsidR="00AA6CE9" w:rsidRPr="009353E6">
        <w:rPr>
          <w:sz w:val="22"/>
          <w:szCs w:val="22"/>
          <w:lang w:val="pl-PL"/>
        </w:rPr>
        <w:t xml:space="preserve">aburzenia czynności nerek </w:t>
      </w:r>
    </w:p>
    <w:p w:rsidR="00AA6CE9" w:rsidRPr="009353E6" w:rsidRDefault="00AA6CE9" w:rsidP="004A0B9E">
      <w:pPr>
        <w:pStyle w:val="BodyText"/>
        <w:keepNext/>
        <w:spacing w:line="240" w:lineRule="auto"/>
        <w:jc w:val="left"/>
        <w:rPr>
          <w:sz w:val="22"/>
          <w:szCs w:val="22"/>
          <w:u w:val="single"/>
          <w:lang w:val="pl-PL"/>
        </w:rPr>
      </w:pPr>
    </w:p>
    <w:p w:rsidR="00B96236" w:rsidRPr="009353E6" w:rsidRDefault="002D3E1A" w:rsidP="00E40CF2">
      <w:pPr>
        <w:pStyle w:val="BodyText"/>
        <w:spacing w:line="240" w:lineRule="auto"/>
        <w:jc w:val="left"/>
        <w:rPr>
          <w:lang w:val="pl-PL"/>
        </w:rPr>
      </w:pPr>
      <w:r w:rsidRPr="009353E6">
        <w:rPr>
          <w:sz w:val="22"/>
          <w:szCs w:val="22"/>
          <w:lang w:val="pl-PL"/>
        </w:rPr>
        <w:t>Zaleca się okresowe monitorowanie czynności nerek (patrz punkt</w:t>
      </w:r>
      <w:r w:rsidR="00E20628" w:rsidRPr="009353E6">
        <w:rPr>
          <w:sz w:val="22"/>
          <w:szCs w:val="22"/>
          <w:lang w:val="pl-PL"/>
        </w:rPr>
        <w:t> </w:t>
      </w:r>
      <w:r w:rsidRPr="009353E6">
        <w:rPr>
          <w:sz w:val="22"/>
          <w:szCs w:val="22"/>
          <w:lang w:val="pl-PL"/>
        </w:rPr>
        <w:t>4.4).</w:t>
      </w:r>
    </w:p>
    <w:p w:rsidR="002D3E1A" w:rsidRPr="009353E6" w:rsidRDefault="002D3E1A" w:rsidP="000D5BED">
      <w:pPr>
        <w:pStyle w:val="BodyText"/>
        <w:spacing w:line="240" w:lineRule="auto"/>
        <w:jc w:val="left"/>
        <w:rPr>
          <w:sz w:val="22"/>
          <w:szCs w:val="22"/>
          <w:u w:val="single"/>
          <w:lang w:val="pl-PL"/>
        </w:rPr>
      </w:pPr>
    </w:p>
    <w:p w:rsidR="00AA6CE9" w:rsidRPr="009353E6" w:rsidRDefault="00927140" w:rsidP="00AA6CE9">
      <w:pPr>
        <w:rPr>
          <w:sz w:val="22"/>
          <w:szCs w:val="22"/>
          <w:lang w:val="pl-PL"/>
        </w:rPr>
      </w:pPr>
      <w:r w:rsidRPr="009353E6">
        <w:rPr>
          <w:sz w:val="22"/>
          <w:szCs w:val="22"/>
          <w:lang w:val="pl-PL"/>
        </w:rPr>
        <w:t>Z</w:t>
      </w:r>
      <w:r w:rsidR="00AA6CE9" w:rsidRPr="009353E6">
        <w:rPr>
          <w:sz w:val="22"/>
          <w:szCs w:val="22"/>
          <w:lang w:val="pl-PL"/>
        </w:rPr>
        <w:t>aburzenia czynności wątroby</w:t>
      </w:r>
    </w:p>
    <w:p w:rsidR="00AA6CE9" w:rsidRPr="009353E6" w:rsidRDefault="00AA6CE9" w:rsidP="000D5BED">
      <w:pPr>
        <w:pStyle w:val="BodyText"/>
        <w:spacing w:line="240" w:lineRule="auto"/>
        <w:jc w:val="left"/>
        <w:rPr>
          <w:sz w:val="22"/>
          <w:szCs w:val="22"/>
          <w:u w:val="single"/>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U pacjentów z łagodnym lub umiarkowanym zaburzeniem czynności wątroby, nie należy przekraczać dawki MicardisPlus 40</w:t>
      </w:r>
      <w:r w:rsidR="00B6297F" w:rsidRPr="009353E6">
        <w:rPr>
          <w:sz w:val="22"/>
          <w:szCs w:val="22"/>
          <w:lang w:val="pl-PL"/>
        </w:rPr>
        <w:t xml:space="preserve"> mg</w:t>
      </w:r>
      <w:r w:rsidRPr="009353E6">
        <w:rPr>
          <w:sz w:val="22"/>
          <w:szCs w:val="22"/>
          <w:lang w:val="pl-PL"/>
        </w:rPr>
        <w:t>/12,5 mg raz na dobę. MicardisPlus nie jest wskazany do stosowania u pacjentów z ciężkim zaburzeniem czynności wątroby. U pacjentów z zaburzeniami czynności wątroby tiazydy powinny być stosowane z ostrożnością (patrz punkt 4.4).</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lang w:val="pl-PL"/>
        </w:rPr>
        <w:t>Pacjenci w podeszłym wieku</w:t>
      </w:r>
      <w:r w:rsidR="00872514" w:rsidRPr="009353E6">
        <w:rPr>
          <w:sz w:val="22"/>
          <w:szCs w:val="22"/>
          <w:lang w:val="pl-PL"/>
        </w:rPr>
        <w:t xml:space="preserve"> </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Nie ma </w:t>
      </w:r>
      <w:r w:rsidR="00872514" w:rsidRPr="009353E6">
        <w:rPr>
          <w:sz w:val="22"/>
          <w:szCs w:val="22"/>
          <w:lang w:val="pl-PL"/>
        </w:rPr>
        <w:t xml:space="preserve">konieczności </w:t>
      </w:r>
      <w:r w:rsidRPr="009353E6">
        <w:rPr>
          <w:sz w:val="22"/>
          <w:szCs w:val="22"/>
          <w:lang w:val="pl-PL"/>
        </w:rPr>
        <w:t>dostosowania dawk</w:t>
      </w:r>
      <w:r w:rsidR="00872514" w:rsidRPr="009353E6">
        <w:rPr>
          <w:sz w:val="22"/>
          <w:szCs w:val="22"/>
          <w:lang w:val="pl-PL"/>
        </w:rPr>
        <w:t>owania</w:t>
      </w:r>
      <w:r w:rsidRPr="009353E6">
        <w:rPr>
          <w:sz w:val="22"/>
          <w:szCs w:val="22"/>
          <w:lang w:val="pl-PL"/>
        </w:rPr>
        <w:t>.</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i/>
          <w:sz w:val="22"/>
          <w:szCs w:val="22"/>
          <w:lang w:val="pl-PL"/>
        </w:rPr>
      </w:pPr>
      <w:r w:rsidRPr="009353E6">
        <w:rPr>
          <w:i/>
          <w:sz w:val="22"/>
          <w:szCs w:val="22"/>
          <w:lang w:val="pl-PL"/>
        </w:rPr>
        <w:t>Dzieci i młodzież</w:t>
      </w:r>
    </w:p>
    <w:p w:rsidR="0090275A" w:rsidRPr="009353E6" w:rsidRDefault="0090275A" w:rsidP="000D5BED">
      <w:pPr>
        <w:pStyle w:val="BodyText"/>
        <w:spacing w:line="240" w:lineRule="auto"/>
        <w:jc w:val="left"/>
        <w:rPr>
          <w:sz w:val="22"/>
          <w:szCs w:val="22"/>
          <w:lang w:val="pl-PL"/>
        </w:rPr>
      </w:pPr>
    </w:p>
    <w:p w:rsidR="0061350E" w:rsidRPr="009353E6" w:rsidRDefault="0061350E" w:rsidP="004057F9">
      <w:pPr>
        <w:pStyle w:val="BodyText"/>
        <w:spacing w:line="240" w:lineRule="auto"/>
        <w:jc w:val="left"/>
        <w:rPr>
          <w:sz w:val="22"/>
          <w:szCs w:val="22"/>
          <w:lang w:val="pl-PL"/>
        </w:rPr>
      </w:pPr>
      <w:r w:rsidRPr="009353E6">
        <w:rPr>
          <w:sz w:val="22"/>
          <w:szCs w:val="22"/>
          <w:lang w:val="pl-PL"/>
        </w:rPr>
        <w:t xml:space="preserve">Nie określono bezpieczeństwa stosowania </w:t>
      </w:r>
      <w:r w:rsidR="00BB0AE9" w:rsidRPr="009353E6">
        <w:rPr>
          <w:sz w:val="22"/>
          <w:szCs w:val="22"/>
          <w:lang w:val="pl-PL"/>
        </w:rPr>
        <w:t>an</w:t>
      </w:r>
      <w:r w:rsidRPr="009353E6">
        <w:rPr>
          <w:sz w:val="22"/>
          <w:szCs w:val="22"/>
          <w:lang w:val="pl-PL"/>
        </w:rPr>
        <w:t>i skuteczności produktu lecz</w:t>
      </w:r>
      <w:r w:rsidR="00E02390" w:rsidRPr="009353E6">
        <w:rPr>
          <w:sz w:val="22"/>
          <w:szCs w:val="22"/>
          <w:lang w:val="pl-PL"/>
        </w:rPr>
        <w:t>niczego MicardisPlus u dzieci i </w:t>
      </w:r>
      <w:r w:rsidRPr="009353E6">
        <w:rPr>
          <w:sz w:val="22"/>
          <w:szCs w:val="22"/>
          <w:lang w:val="pl-PL"/>
        </w:rPr>
        <w:t>młodzieży w wieku poniżej 18 lat</w:t>
      </w:r>
      <w:r w:rsidR="004057F9" w:rsidRPr="009353E6">
        <w:rPr>
          <w:sz w:val="22"/>
          <w:szCs w:val="22"/>
          <w:lang w:val="pl-PL"/>
        </w:rPr>
        <w:t>.</w:t>
      </w:r>
      <w:r w:rsidRPr="009353E6">
        <w:rPr>
          <w:sz w:val="22"/>
          <w:szCs w:val="22"/>
          <w:lang w:val="pl-PL"/>
        </w:rPr>
        <w:t xml:space="preserve"> </w:t>
      </w:r>
      <w:r w:rsidR="00844FEC" w:rsidRPr="009353E6">
        <w:rPr>
          <w:sz w:val="22"/>
          <w:szCs w:val="22"/>
          <w:lang w:val="pl-PL"/>
        </w:rPr>
        <w:t>Brak dostępnych danych.</w:t>
      </w:r>
    </w:p>
    <w:p w:rsidR="009D0922" w:rsidRPr="009353E6" w:rsidRDefault="009D0922" w:rsidP="0061350E">
      <w:pPr>
        <w:rPr>
          <w:sz w:val="22"/>
          <w:szCs w:val="22"/>
          <w:lang w:val="pl-PL"/>
        </w:rPr>
      </w:pPr>
    </w:p>
    <w:p w:rsidR="0061350E" w:rsidRPr="009353E6" w:rsidRDefault="0061350E" w:rsidP="0061350E">
      <w:pPr>
        <w:rPr>
          <w:sz w:val="22"/>
          <w:szCs w:val="22"/>
          <w:u w:val="single"/>
          <w:lang w:val="pl-PL"/>
        </w:rPr>
      </w:pPr>
      <w:r w:rsidRPr="009353E6">
        <w:rPr>
          <w:sz w:val="22"/>
          <w:szCs w:val="22"/>
          <w:u w:val="single"/>
          <w:lang w:val="pl-PL"/>
        </w:rPr>
        <w:t>Sposób podawania</w:t>
      </w:r>
    </w:p>
    <w:p w:rsidR="0061350E" w:rsidRPr="009353E6" w:rsidRDefault="0061350E" w:rsidP="0061350E">
      <w:pPr>
        <w:rPr>
          <w:sz w:val="22"/>
          <w:szCs w:val="22"/>
          <w:lang w:val="pl-PL"/>
        </w:rPr>
      </w:pPr>
    </w:p>
    <w:p w:rsidR="0061350E" w:rsidRPr="009353E6" w:rsidRDefault="0061350E" w:rsidP="0061350E">
      <w:pPr>
        <w:rPr>
          <w:sz w:val="22"/>
          <w:szCs w:val="22"/>
          <w:lang w:val="pl-PL"/>
        </w:rPr>
      </w:pPr>
      <w:r w:rsidRPr="009353E6">
        <w:rPr>
          <w:sz w:val="22"/>
          <w:szCs w:val="22"/>
          <w:lang w:val="pl-PL"/>
        </w:rPr>
        <w:t xml:space="preserve">MicardisPlus tabletki należy przyjmować doustnie raz na dobę, </w:t>
      </w:r>
      <w:r w:rsidR="004057F9" w:rsidRPr="009353E6">
        <w:rPr>
          <w:sz w:val="22"/>
          <w:szCs w:val="22"/>
          <w:lang w:val="pl-PL"/>
        </w:rPr>
        <w:t>popijając</w:t>
      </w:r>
      <w:r w:rsidRPr="009353E6">
        <w:rPr>
          <w:sz w:val="22"/>
          <w:szCs w:val="22"/>
          <w:lang w:val="pl-PL"/>
        </w:rPr>
        <w:t xml:space="preserve"> płynem. Produkt można przyjmować niezależnie od posiłków.</w:t>
      </w:r>
    </w:p>
    <w:p w:rsidR="0061350E" w:rsidRPr="009353E6" w:rsidRDefault="0061350E" w:rsidP="0061350E">
      <w:pPr>
        <w:rPr>
          <w:sz w:val="22"/>
          <w:szCs w:val="22"/>
          <w:lang w:val="pl-PL"/>
        </w:rPr>
      </w:pPr>
    </w:p>
    <w:p w:rsidR="0061350E" w:rsidRPr="009353E6" w:rsidRDefault="0061350E" w:rsidP="0061350E">
      <w:pPr>
        <w:rPr>
          <w:i/>
          <w:sz w:val="22"/>
          <w:szCs w:val="22"/>
          <w:lang w:val="pl-PL"/>
        </w:rPr>
      </w:pPr>
      <w:r w:rsidRPr="009353E6">
        <w:rPr>
          <w:i/>
          <w:sz w:val="22"/>
          <w:szCs w:val="22"/>
          <w:lang w:val="pl-PL"/>
        </w:rPr>
        <w:t xml:space="preserve">Środki ostrożności, które należy podjąć przed </w:t>
      </w:r>
      <w:r w:rsidR="00FC1C67" w:rsidRPr="009353E6">
        <w:rPr>
          <w:i/>
          <w:sz w:val="22"/>
          <w:szCs w:val="22"/>
          <w:lang w:val="pl-PL"/>
        </w:rPr>
        <w:t>użyciem</w:t>
      </w:r>
      <w:r w:rsidR="009941D3" w:rsidRPr="009353E6">
        <w:rPr>
          <w:i/>
          <w:sz w:val="22"/>
          <w:szCs w:val="22"/>
          <w:lang w:val="pl-PL"/>
        </w:rPr>
        <w:t xml:space="preserve"> lub </w:t>
      </w:r>
      <w:r w:rsidR="00FC1C67" w:rsidRPr="009353E6">
        <w:rPr>
          <w:i/>
          <w:sz w:val="22"/>
          <w:szCs w:val="22"/>
          <w:lang w:val="pl-PL"/>
        </w:rPr>
        <w:t>podaniem</w:t>
      </w:r>
      <w:r w:rsidRPr="009353E6">
        <w:rPr>
          <w:i/>
          <w:sz w:val="22"/>
          <w:szCs w:val="22"/>
          <w:lang w:val="pl-PL"/>
        </w:rPr>
        <w:t xml:space="preserve"> produktu leczniczego.</w:t>
      </w:r>
    </w:p>
    <w:p w:rsidR="0090275A" w:rsidRPr="009353E6" w:rsidRDefault="0090275A" w:rsidP="0061350E">
      <w:pPr>
        <w:rPr>
          <w:sz w:val="22"/>
          <w:szCs w:val="22"/>
          <w:lang w:val="pl-PL"/>
        </w:rPr>
      </w:pPr>
    </w:p>
    <w:p w:rsidR="0061350E" w:rsidRPr="009353E6" w:rsidRDefault="00501A82" w:rsidP="0061350E">
      <w:pPr>
        <w:rPr>
          <w:sz w:val="22"/>
          <w:szCs w:val="22"/>
          <w:lang w:val="pl-PL"/>
        </w:rPr>
      </w:pPr>
      <w:r w:rsidRPr="009353E6">
        <w:rPr>
          <w:sz w:val="22"/>
          <w:szCs w:val="22"/>
          <w:lang w:val="pl-PL"/>
        </w:rPr>
        <w:t>MicardisPlus</w:t>
      </w:r>
      <w:r w:rsidR="0061350E" w:rsidRPr="009353E6">
        <w:rPr>
          <w:sz w:val="22"/>
          <w:szCs w:val="22"/>
          <w:lang w:val="pl-PL"/>
        </w:rPr>
        <w:t xml:space="preserve"> należy przechowywać w szczelnym blistrze ze względu na higroskopijne właściwości tabletek. Tabletkę należy wyjąć z blistra tuż przed zażyciem</w:t>
      </w:r>
      <w:r w:rsidR="00AA6CE9" w:rsidRPr="009353E6">
        <w:rPr>
          <w:sz w:val="22"/>
          <w:szCs w:val="22"/>
          <w:lang w:val="pl-PL"/>
        </w:rPr>
        <w:t xml:space="preserve"> (patrz punkt 6.6)</w:t>
      </w:r>
      <w:r w:rsidR="0061350E" w:rsidRPr="009353E6">
        <w:rPr>
          <w:sz w:val="22"/>
          <w:szCs w:val="22"/>
          <w:lang w:val="pl-PL"/>
        </w:rPr>
        <w:t>.</w:t>
      </w:r>
    </w:p>
    <w:p w:rsidR="002D3E1A" w:rsidRPr="009353E6" w:rsidRDefault="002D3E1A" w:rsidP="000D5BED">
      <w:pPr>
        <w:pStyle w:val="BodyText"/>
        <w:spacing w:line="240" w:lineRule="auto"/>
        <w:jc w:val="left"/>
        <w:rPr>
          <w:strike/>
          <w:sz w:val="22"/>
          <w:szCs w:val="22"/>
          <w:lang w:val="pl-PL"/>
        </w:rPr>
      </w:pPr>
    </w:p>
    <w:p w:rsidR="002D3E1A" w:rsidRPr="009353E6" w:rsidRDefault="000D5BED" w:rsidP="004A0B9E">
      <w:pPr>
        <w:pStyle w:val="BodyText"/>
        <w:keepNext/>
        <w:tabs>
          <w:tab w:val="left" w:pos="540"/>
        </w:tabs>
        <w:spacing w:line="240" w:lineRule="auto"/>
        <w:jc w:val="left"/>
        <w:rPr>
          <w:b/>
          <w:sz w:val="22"/>
          <w:szCs w:val="22"/>
          <w:lang w:val="pl-PL"/>
        </w:rPr>
      </w:pPr>
      <w:r w:rsidRPr="009353E6">
        <w:rPr>
          <w:b/>
          <w:sz w:val="22"/>
          <w:szCs w:val="22"/>
          <w:lang w:val="pl-PL"/>
        </w:rPr>
        <w:t>4.3</w:t>
      </w:r>
      <w:r w:rsidRPr="009353E6">
        <w:rPr>
          <w:b/>
          <w:sz w:val="22"/>
          <w:szCs w:val="22"/>
          <w:lang w:val="pl-PL"/>
        </w:rPr>
        <w:tab/>
      </w:r>
      <w:r w:rsidR="002D3E1A" w:rsidRPr="009353E6">
        <w:rPr>
          <w:b/>
          <w:sz w:val="22"/>
          <w:szCs w:val="22"/>
          <w:lang w:val="pl-PL"/>
        </w:rPr>
        <w:t>Przeciwwskazania</w:t>
      </w:r>
    </w:p>
    <w:p w:rsidR="002D3E1A" w:rsidRPr="009353E6" w:rsidRDefault="002D3E1A" w:rsidP="004A0B9E">
      <w:pPr>
        <w:pStyle w:val="BodyText"/>
        <w:keepNext/>
        <w:spacing w:line="240" w:lineRule="auto"/>
        <w:jc w:val="left"/>
        <w:rPr>
          <w:sz w:val="22"/>
          <w:szCs w:val="22"/>
          <w:lang w:val="pl-PL"/>
        </w:rPr>
      </w:pPr>
    </w:p>
    <w:p w:rsidR="00AA6CE9" w:rsidRPr="009353E6" w:rsidRDefault="002D3E1A" w:rsidP="00AA6CE9">
      <w:pPr>
        <w:numPr>
          <w:ilvl w:val="0"/>
          <w:numId w:val="45"/>
        </w:numPr>
        <w:tabs>
          <w:tab w:val="clear" w:pos="1080"/>
          <w:tab w:val="num" w:pos="540"/>
        </w:tabs>
        <w:ind w:left="540" w:hanging="540"/>
        <w:rPr>
          <w:sz w:val="22"/>
          <w:szCs w:val="22"/>
          <w:lang w:val="pl-PL"/>
        </w:rPr>
      </w:pPr>
      <w:r w:rsidRPr="009353E6">
        <w:rPr>
          <w:sz w:val="22"/>
          <w:szCs w:val="22"/>
          <w:lang w:val="pl-PL"/>
        </w:rPr>
        <w:t xml:space="preserve">Nadwrażliwość na którąkolwiek substancję czynną lub </w:t>
      </w:r>
      <w:r w:rsidR="00A83C05" w:rsidRPr="009353E6">
        <w:rPr>
          <w:sz w:val="22"/>
          <w:szCs w:val="22"/>
          <w:lang w:val="pl-PL"/>
        </w:rPr>
        <w:t xml:space="preserve">na którąkolwiek substancję </w:t>
      </w:r>
      <w:r w:rsidRPr="009353E6">
        <w:rPr>
          <w:sz w:val="22"/>
          <w:szCs w:val="22"/>
          <w:lang w:val="pl-PL"/>
        </w:rPr>
        <w:t xml:space="preserve">pomocniczą </w:t>
      </w:r>
      <w:r w:rsidR="00AA6CE9" w:rsidRPr="009353E6">
        <w:rPr>
          <w:sz w:val="22"/>
          <w:szCs w:val="22"/>
          <w:lang w:val="pl-PL"/>
        </w:rPr>
        <w:t>wymienioną w punkcie</w:t>
      </w:r>
      <w:r w:rsidR="00E20628" w:rsidRPr="009353E6">
        <w:rPr>
          <w:sz w:val="22"/>
          <w:szCs w:val="22"/>
          <w:lang w:val="pl-PL"/>
        </w:rPr>
        <w:t> </w:t>
      </w:r>
      <w:r w:rsidR="00AA6CE9" w:rsidRPr="009353E6">
        <w:rPr>
          <w:sz w:val="22"/>
          <w:szCs w:val="22"/>
          <w:lang w:val="pl-PL"/>
        </w:rPr>
        <w:t>6.1.</w:t>
      </w:r>
    </w:p>
    <w:p w:rsidR="002D3E1A" w:rsidRPr="009353E6" w:rsidRDefault="002D3E1A" w:rsidP="002D507E">
      <w:pPr>
        <w:pStyle w:val="BodyText"/>
        <w:numPr>
          <w:ilvl w:val="0"/>
          <w:numId w:val="14"/>
        </w:numPr>
        <w:tabs>
          <w:tab w:val="clear" w:pos="2520"/>
          <w:tab w:val="num" w:pos="540"/>
        </w:tabs>
        <w:spacing w:line="240" w:lineRule="auto"/>
        <w:ind w:left="540" w:hanging="540"/>
        <w:jc w:val="left"/>
        <w:rPr>
          <w:sz w:val="22"/>
          <w:szCs w:val="22"/>
          <w:lang w:val="pl-PL"/>
        </w:rPr>
      </w:pPr>
      <w:r w:rsidRPr="009353E6">
        <w:rPr>
          <w:sz w:val="22"/>
          <w:szCs w:val="22"/>
          <w:lang w:val="pl-PL"/>
        </w:rPr>
        <w:t>Nadwrażliwość na inne pochodne sulfonamidowe (hydrochlorotiazyd jest pochodną sulfonamidową)</w:t>
      </w:r>
      <w:r w:rsidR="000507F6" w:rsidRPr="009353E6">
        <w:rPr>
          <w:sz w:val="22"/>
          <w:szCs w:val="22"/>
          <w:lang w:val="pl-PL"/>
        </w:rPr>
        <w:t>.</w:t>
      </w:r>
    </w:p>
    <w:p w:rsidR="002D3E1A" w:rsidRPr="009353E6" w:rsidRDefault="00A83C05" w:rsidP="002D507E">
      <w:pPr>
        <w:pStyle w:val="BodyText"/>
        <w:numPr>
          <w:ilvl w:val="0"/>
          <w:numId w:val="14"/>
        </w:numPr>
        <w:tabs>
          <w:tab w:val="clear" w:pos="2520"/>
          <w:tab w:val="num" w:pos="540"/>
        </w:tabs>
        <w:spacing w:line="240" w:lineRule="auto"/>
        <w:ind w:left="540" w:hanging="540"/>
        <w:jc w:val="left"/>
        <w:rPr>
          <w:sz w:val="22"/>
          <w:szCs w:val="22"/>
          <w:lang w:val="pl-PL"/>
        </w:rPr>
      </w:pPr>
      <w:r w:rsidRPr="009353E6">
        <w:rPr>
          <w:sz w:val="22"/>
          <w:szCs w:val="22"/>
          <w:lang w:val="pl-PL"/>
        </w:rPr>
        <w:t xml:space="preserve">Drugi i trzeci trymestr ciąży </w:t>
      </w:r>
      <w:r w:rsidR="002D3E1A" w:rsidRPr="009353E6">
        <w:rPr>
          <w:sz w:val="22"/>
          <w:szCs w:val="22"/>
          <w:lang w:val="pl-PL"/>
        </w:rPr>
        <w:t xml:space="preserve">(patrz </w:t>
      </w:r>
      <w:r w:rsidRPr="009353E6">
        <w:rPr>
          <w:sz w:val="22"/>
          <w:szCs w:val="22"/>
          <w:lang w:val="pl-PL"/>
        </w:rPr>
        <w:t xml:space="preserve">punkt </w:t>
      </w:r>
      <w:r w:rsidR="0021094B" w:rsidRPr="009353E6">
        <w:rPr>
          <w:sz w:val="22"/>
          <w:szCs w:val="22"/>
          <w:lang w:val="pl-PL"/>
        </w:rPr>
        <w:t xml:space="preserve">4.4 i </w:t>
      </w:r>
      <w:r w:rsidR="002D3E1A" w:rsidRPr="009353E6">
        <w:rPr>
          <w:sz w:val="22"/>
          <w:szCs w:val="22"/>
          <w:lang w:val="pl-PL"/>
        </w:rPr>
        <w:t>4.6)</w:t>
      </w:r>
      <w:r w:rsidR="000507F6" w:rsidRPr="009353E6">
        <w:rPr>
          <w:sz w:val="22"/>
          <w:szCs w:val="22"/>
          <w:lang w:val="pl-PL"/>
        </w:rPr>
        <w:t>.</w:t>
      </w:r>
    </w:p>
    <w:p w:rsidR="002D3E1A" w:rsidRPr="009353E6" w:rsidRDefault="002D3E1A" w:rsidP="002D507E">
      <w:pPr>
        <w:pStyle w:val="BodyText"/>
        <w:numPr>
          <w:ilvl w:val="0"/>
          <w:numId w:val="14"/>
        </w:numPr>
        <w:tabs>
          <w:tab w:val="clear" w:pos="2520"/>
          <w:tab w:val="num" w:pos="540"/>
        </w:tabs>
        <w:spacing w:line="240" w:lineRule="auto"/>
        <w:ind w:left="540" w:hanging="540"/>
        <w:jc w:val="left"/>
        <w:rPr>
          <w:sz w:val="22"/>
          <w:szCs w:val="22"/>
          <w:lang w:val="pl-PL"/>
        </w:rPr>
      </w:pPr>
      <w:r w:rsidRPr="009353E6">
        <w:rPr>
          <w:sz w:val="22"/>
          <w:szCs w:val="22"/>
          <w:lang w:val="pl-PL"/>
        </w:rPr>
        <w:t>Zastój żółci i niedrożność dróg żółciowych</w:t>
      </w:r>
      <w:r w:rsidR="000507F6" w:rsidRPr="009353E6">
        <w:rPr>
          <w:sz w:val="22"/>
          <w:szCs w:val="22"/>
          <w:lang w:val="pl-PL"/>
        </w:rPr>
        <w:t>.</w:t>
      </w:r>
    </w:p>
    <w:p w:rsidR="002D3E1A" w:rsidRPr="009353E6" w:rsidRDefault="002D3E1A" w:rsidP="002D507E">
      <w:pPr>
        <w:pStyle w:val="BodyText"/>
        <w:numPr>
          <w:ilvl w:val="0"/>
          <w:numId w:val="14"/>
        </w:numPr>
        <w:tabs>
          <w:tab w:val="clear" w:pos="2520"/>
          <w:tab w:val="num" w:pos="540"/>
        </w:tabs>
        <w:spacing w:line="240" w:lineRule="auto"/>
        <w:ind w:left="540" w:hanging="540"/>
        <w:jc w:val="left"/>
        <w:rPr>
          <w:sz w:val="22"/>
          <w:szCs w:val="22"/>
          <w:lang w:val="pl-PL"/>
        </w:rPr>
      </w:pPr>
      <w:r w:rsidRPr="009353E6">
        <w:rPr>
          <w:sz w:val="22"/>
          <w:szCs w:val="22"/>
          <w:lang w:val="pl-PL"/>
        </w:rPr>
        <w:t>Ciężka niewydolność wątroby</w:t>
      </w:r>
      <w:r w:rsidR="000507F6" w:rsidRPr="009353E6">
        <w:rPr>
          <w:sz w:val="22"/>
          <w:szCs w:val="22"/>
          <w:lang w:val="pl-PL"/>
        </w:rPr>
        <w:t>.</w:t>
      </w:r>
    </w:p>
    <w:p w:rsidR="002D3E1A" w:rsidRPr="009353E6" w:rsidRDefault="002D3E1A" w:rsidP="002D507E">
      <w:pPr>
        <w:pStyle w:val="BodyText"/>
        <w:numPr>
          <w:ilvl w:val="0"/>
          <w:numId w:val="14"/>
        </w:numPr>
        <w:tabs>
          <w:tab w:val="clear" w:pos="2520"/>
          <w:tab w:val="num" w:pos="540"/>
        </w:tabs>
        <w:spacing w:line="240" w:lineRule="auto"/>
        <w:ind w:left="540" w:hanging="540"/>
        <w:jc w:val="left"/>
        <w:rPr>
          <w:sz w:val="22"/>
          <w:szCs w:val="22"/>
          <w:lang w:val="pl-PL"/>
        </w:rPr>
      </w:pPr>
      <w:r w:rsidRPr="009353E6">
        <w:rPr>
          <w:sz w:val="22"/>
          <w:szCs w:val="22"/>
          <w:lang w:val="pl-PL"/>
        </w:rPr>
        <w:t>Ciężka niewydolność nerek (klirens kreatyniny &lt; 30 ml/min)</w:t>
      </w:r>
      <w:r w:rsidR="000507F6" w:rsidRPr="009353E6">
        <w:rPr>
          <w:sz w:val="22"/>
          <w:szCs w:val="22"/>
          <w:lang w:val="pl-PL"/>
        </w:rPr>
        <w:t>.</w:t>
      </w:r>
    </w:p>
    <w:p w:rsidR="002D3E1A" w:rsidRPr="009353E6" w:rsidRDefault="002D3E1A" w:rsidP="002D507E">
      <w:pPr>
        <w:pStyle w:val="BodyText"/>
        <w:numPr>
          <w:ilvl w:val="0"/>
          <w:numId w:val="14"/>
        </w:numPr>
        <w:tabs>
          <w:tab w:val="clear" w:pos="2520"/>
          <w:tab w:val="num" w:pos="540"/>
        </w:tabs>
        <w:spacing w:line="240" w:lineRule="auto"/>
        <w:ind w:left="540" w:hanging="540"/>
        <w:jc w:val="left"/>
        <w:rPr>
          <w:sz w:val="22"/>
          <w:szCs w:val="22"/>
          <w:lang w:val="pl-PL"/>
        </w:rPr>
      </w:pPr>
      <w:r w:rsidRPr="009353E6">
        <w:rPr>
          <w:sz w:val="22"/>
          <w:szCs w:val="22"/>
          <w:lang w:val="pl-PL"/>
        </w:rPr>
        <w:t>Oporna na leczenie hipokaliemia, hiperkalcemia</w:t>
      </w:r>
      <w:r w:rsidR="000507F6" w:rsidRPr="009353E6">
        <w:rPr>
          <w:sz w:val="22"/>
          <w:szCs w:val="22"/>
          <w:lang w:val="pl-PL"/>
        </w:rPr>
        <w:t>.</w:t>
      </w:r>
    </w:p>
    <w:p w:rsidR="002D3E1A" w:rsidRPr="009353E6" w:rsidRDefault="002D3E1A" w:rsidP="000D5BED">
      <w:pPr>
        <w:pStyle w:val="BodyText"/>
        <w:spacing w:line="240" w:lineRule="auto"/>
        <w:jc w:val="left"/>
        <w:rPr>
          <w:sz w:val="22"/>
          <w:szCs w:val="22"/>
          <w:lang w:val="pl-PL"/>
        </w:rPr>
      </w:pPr>
    </w:p>
    <w:p w:rsidR="00352FAF" w:rsidRPr="009353E6" w:rsidRDefault="00352FAF" w:rsidP="00352FAF">
      <w:pPr>
        <w:rPr>
          <w:sz w:val="22"/>
          <w:szCs w:val="22"/>
          <w:lang w:val="pl-PL"/>
        </w:rPr>
      </w:pPr>
      <w:r w:rsidRPr="009353E6">
        <w:rPr>
          <w:sz w:val="22"/>
          <w:szCs w:val="22"/>
          <w:lang w:val="pl-PL"/>
        </w:rPr>
        <w:t>Jednoczesne stosowanie produktu leczniczego MicardisPlus z produktami zawierającymi  aliskiren jest przeciwwskazane u pacjentów z cukrzycą lub zaburzeniem czynności nerek (współczynnik filtracji kłębuszkowej, GFR &lt; 60 ml/min/1,73 m</w:t>
      </w:r>
      <w:r w:rsidRPr="009353E6">
        <w:rPr>
          <w:sz w:val="22"/>
          <w:szCs w:val="22"/>
          <w:vertAlign w:val="superscript"/>
          <w:lang w:val="pl-PL"/>
        </w:rPr>
        <w:t>2</w:t>
      </w:r>
      <w:r w:rsidRPr="009353E6">
        <w:rPr>
          <w:sz w:val="22"/>
          <w:szCs w:val="22"/>
          <w:lang w:val="pl-PL"/>
        </w:rPr>
        <w:t>) (patrz punkty 4.5 i 5.1).</w:t>
      </w:r>
    </w:p>
    <w:p w:rsidR="00B96236" w:rsidRPr="009353E6" w:rsidRDefault="00B96236" w:rsidP="000D5BED">
      <w:pPr>
        <w:pStyle w:val="BodyText"/>
        <w:spacing w:line="240" w:lineRule="auto"/>
        <w:jc w:val="left"/>
        <w:rPr>
          <w:sz w:val="22"/>
          <w:szCs w:val="22"/>
          <w:lang w:val="pl-PL"/>
        </w:rPr>
      </w:pPr>
    </w:p>
    <w:p w:rsidR="002D3E1A" w:rsidRPr="009353E6" w:rsidRDefault="000D5BED" w:rsidP="00E40CF2">
      <w:pPr>
        <w:pStyle w:val="BodyText"/>
        <w:keepNext/>
        <w:tabs>
          <w:tab w:val="left" w:pos="540"/>
        </w:tabs>
        <w:spacing w:line="240" w:lineRule="auto"/>
        <w:jc w:val="left"/>
        <w:rPr>
          <w:b/>
          <w:sz w:val="22"/>
          <w:szCs w:val="22"/>
          <w:lang w:val="pl-PL"/>
        </w:rPr>
      </w:pPr>
      <w:r w:rsidRPr="009353E6">
        <w:rPr>
          <w:b/>
          <w:sz w:val="22"/>
          <w:szCs w:val="22"/>
          <w:lang w:val="pl-PL"/>
        </w:rPr>
        <w:t>4.4</w:t>
      </w:r>
      <w:r w:rsidRPr="009353E6">
        <w:rPr>
          <w:b/>
          <w:sz w:val="22"/>
          <w:szCs w:val="22"/>
          <w:lang w:val="pl-PL"/>
        </w:rPr>
        <w:tab/>
      </w:r>
      <w:r w:rsidR="002D3E1A" w:rsidRPr="009353E6">
        <w:rPr>
          <w:b/>
          <w:sz w:val="22"/>
          <w:szCs w:val="22"/>
          <w:lang w:val="pl-PL"/>
        </w:rPr>
        <w:t>Specjalne ostrzeżenia i środki ostrożności dotyczące stosowania</w:t>
      </w:r>
    </w:p>
    <w:p w:rsidR="002D3E1A" w:rsidRPr="009353E6" w:rsidRDefault="002D3E1A" w:rsidP="00E40CF2">
      <w:pPr>
        <w:pStyle w:val="BodyText"/>
        <w:keepNext/>
        <w:spacing w:line="240" w:lineRule="auto"/>
        <w:jc w:val="left"/>
        <w:rPr>
          <w:sz w:val="22"/>
          <w:szCs w:val="22"/>
          <w:lang w:val="pl-PL"/>
        </w:rPr>
      </w:pPr>
    </w:p>
    <w:p w:rsidR="00917238" w:rsidRPr="009353E6" w:rsidRDefault="00917238" w:rsidP="00E40CF2">
      <w:pPr>
        <w:pStyle w:val="BodyText"/>
        <w:keepNext/>
        <w:spacing w:line="240" w:lineRule="auto"/>
        <w:jc w:val="left"/>
        <w:rPr>
          <w:sz w:val="22"/>
          <w:szCs w:val="22"/>
          <w:lang w:val="pl-PL"/>
        </w:rPr>
      </w:pPr>
      <w:r w:rsidRPr="009353E6">
        <w:rPr>
          <w:sz w:val="22"/>
          <w:szCs w:val="22"/>
          <w:u w:val="single"/>
          <w:lang w:val="pl-PL"/>
        </w:rPr>
        <w:t>Ciąża</w:t>
      </w:r>
      <w:r w:rsidRPr="009353E6">
        <w:rPr>
          <w:sz w:val="22"/>
          <w:szCs w:val="22"/>
          <w:lang w:val="pl-PL"/>
        </w:rPr>
        <w:t xml:space="preserve"> </w:t>
      </w:r>
    </w:p>
    <w:p w:rsidR="00AA6CE9" w:rsidRPr="009353E6" w:rsidRDefault="00AA6CE9" w:rsidP="004A0B9E">
      <w:pPr>
        <w:pStyle w:val="BodyText"/>
        <w:keepNext/>
        <w:spacing w:line="240" w:lineRule="auto"/>
        <w:jc w:val="left"/>
        <w:rPr>
          <w:sz w:val="22"/>
          <w:szCs w:val="22"/>
          <w:lang w:val="pl-PL"/>
        </w:rPr>
      </w:pPr>
    </w:p>
    <w:p w:rsidR="00917238" w:rsidRPr="009353E6" w:rsidRDefault="00917238" w:rsidP="00C130E0">
      <w:pPr>
        <w:pStyle w:val="BodyText"/>
        <w:spacing w:line="240" w:lineRule="auto"/>
        <w:jc w:val="left"/>
        <w:rPr>
          <w:sz w:val="22"/>
          <w:szCs w:val="22"/>
          <w:lang w:val="pl-PL"/>
        </w:rPr>
      </w:pPr>
      <w:r w:rsidRPr="009353E6">
        <w:rPr>
          <w:sz w:val="22"/>
          <w:szCs w:val="22"/>
          <w:lang w:val="pl-PL"/>
        </w:rPr>
        <w:t>Nie należy rozpoczynać leczenia antagonistami receptora angiotensyny II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21094B" w:rsidRPr="009353E6" w:rsidRDefault="0021094B" w:rsidP="000D5BED">
      <w:pPr>
        <w:pStyle w:val="BodyText"/>
        <w:spacing w:line="240" w:lineRule="auto"/>
        <w:jc w:val="left"/>
        <w:rPr>
          <w:sz w:val="22"/>
          <w:szCs w:val="22"/>
          <w:u w:val="single"/>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Zaburzeni</w:t>
      </w:r>
      <w:r w:rsidR="00D72FC2" w:rsidRPr="009353E6">
        <w:rPr>
          <w:sz w:val="22"/>
          <w:szCs w:val="22"/>
          <w:u w:val="single"/>
          <w:lang w:val="pl-PL"/>
        </w:rPr>
        <w:t>a</w:t>
      </w:r>
      <w:r w:rsidRPr="009353E6">
        <w:rPr>
          <w:sz w:val="22"/>
          <w:szCs w:val="22"/>
          <w:u w:val="single"/>
          <w:lang w:val="pl-PL"/>
        </w:rPr>
        <w:t xml:space="preserve"> czynności wątroby</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Ponieważ telmisartan jest eliminowany z żółcią, MicardisPlus nie powinien być stosowany u pacjentów z zastojem żółci, niedrożnością dróg żółciowych lub ciężką niewydolnością wątroby (patrz punkt 4.3). U tych pacjentów można spodziewać się zmniejszonego klirensu wątrobowego telmisartanu.</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Ponadto należy zachować ostrożność w przypadku podawania </w:t>
      </w:r>
      <w:r w:rsidR="00F710F6" w:rsidRPr="009353E6">
        <w:rPr>
          <w:sz w:val="22"/>
          <w:szCs w:val="22"/>
          <w:lang w:val="pl-PL"/>
        </w:rPr>
        <w:t>produkt</w:t>
      </w:r>
      <w:r w:rsidRPr="009353E6">
        <w:rPr>
          <w:sz w:val="22"/>
          <w:szCs w:val="22"/>
          <w:lang w:val="pl-PL"/>
        </w:rPr>
        <w:t>u MicardisPlus pacjentom z</w:t>
      </w:r>
      <w:r w:rsidR="00E02390" w:rsidRPr="009353E6">
        <w:rPr>
          <w:sz w:val="22"/>
          <w:szCs w:val="22"/>
          <w:lang w:val="pl-PL"/>
        </w:rPr>
        <w:t> </w:t>
      </w:r>
      <w:r w:rsidRPr="009353E6">
        <w:rPr>
          <w:sz w:val="22"/>
          <w:szCs w:val="22"/>
          <w:lang w:val="pl-PL"/>
        </w:rPr>
        <w:t>zaburzeniem czynności wątroby lub z postępującą chorobą wątroby, ponieważ nieznaczne zmiany równowagi wodno-elektrolitowej mogą przyśpieszyć wystąpienie śpiączki wątrobowej. Brak danych klinicznych dotyczących stosowania telmisartanu u pacjentów z zaburzeniem czynności wątroby.</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Nadciśnienie</w:t>
      </w:r>
      <w:r w:rsidR="00D72FC2" w:rsidRPr="009353E6">
        <w:rPr>
          <w:sz w:val="22"/>
          <w:szCs w:val="22"/>
          <w:u w:val="single"/>
          <w:lang w:val="pl-PL"/>
        </w:rPr>
        <w:t xml:space="preserve"> </w:t>
      </w:r>
      <w:r w:rsidRPr="009353E6">
        <w:rPr>
          <w:sz w:val="22"/>
          <w:szCs w:val="22"/>
          <w:u w:val="single"/>
          <w:lang w:val="pl-PL"/>
        </w:rPr>
        <w:t>naczyniow</w:t>
      </w:r>
      <w:r w:rsidR="00D72FC2" w:rsidRPr="009353E6">
        <w:rPr>
          <w:sz w:val="22"/>
          <w:szCs w:val="22"/>
          <w:u w:val="single"/>
          <w:lang w:val="pl-PL"/>
        </w:rPr>
        <w:t>o-nerkowe</w:t>
      </w:r>
    </w:p>
    <w:p w:rsidR="00AA6CE9" w:rsidRPr="009353E6" w:rsidRDefault="00AA6CE9" w:rsidP="000D5BED">
      <w:pPr>
        <w:pStyle w:val="BodyText"/>
        <w:spacing w:line="240" w:lineRule="auto"/>
        <w:jc w:val="left"/>
        <w:rPr>
          <w:sz w:val="22"/>
          <w:szCs w:val="22"/>
          <w:lang w:val="pl-PL"/>
        </w:rPr>
      </w:pPr>
    </w:p>
    <w:p w:rsidR="001F6904" w:rsidRPr="009353E6" w:rsidRDefault="001F6904" w:rsidP="000D5BED">
      <w:pPr>
        <w:pStyle w:val="BodyText"/>
        <w:spacing w:line="240" w:lineRule="auto"/>
        <w:jc w:val="left"/>
        <w:rPr>
          <w:sz w:val="22"/>
          <w:szCs w:val="22"/>
          <w:lang w:val="pl-PL"/>
        </w:rPr>
      </w:pPr>
      <w:r w:rsidRPr="009353E6">
        <w:rPr>
          <w:sz w:val="22"/>
          <w:szCs w:val="22"/>
          <w:lang w:val="pl-PL"/>
        </w:rPr>
        <w:t>Stwierdzono zwiększone ryzyko wystąpienia ciężkiego niedociśnienia tętniczego i niewydolności nerek podczas podawania leków wpływających na układ renina-angiotensyna-aldosteron pacjentom z obustronnym zwężeniem tętnic nerkowych lub ze zwężeniem tętnicy nerkowej w przypadku jednej czynnej nerki.</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Zaburzeni</w:t>
      </w:r>
      <w:r w:rsidR="001F6904" w:rsidRPr="009353E6">
        <w:rPr>
          <w:sz w:val="22"/>
          <w:szCs w:val="22"/>
          <w:u w:val="single"/>
          <w:lang w:val="pl-PL"/>
        </w:rPr>
        <w:t>a</w:t>
      </w:r>
      <w:r w:rsidRPr="009353E6">
        <w:rPr>
          <w:sz w:val="22"/>
          <w:szCs w:val="22"/>
          <w:u w:val="single"/>
          <w:lang w:val="pl-PL"/>
        </w:rPr>
        <w:t xml:space="preserve"> czynności nerek i </w:t>
      </w:r>
      <w:r w:rsidR="001B3D91" w:rsidRPr="009353E6">
        <w:rPr>
          <w:sz w:val="22"/>
          <w:szCs w:val="22"/>
          <w:u w:val="single"/>
          <w:lang w:val="pl-PL"/>
        </w:rPr>
        <w:t xml:space="preserve">stan po </w:t>
      </w:r>
      <w:r w:rsidRPr="009353E6">
        <w:rPr>
          <w:sz w:val="22"/>
          <w:szCs w:val="22"/>
          <w:u w:val="single"/>
          <w:lang w:val="pl-PL"/>
        </w:rPr>
        <w:t>przeszczep</w:t>
      </w:r>
      <w:r w:rsidR="001B3D91" w:rsidRPr="009353E6">
        <w:rPr>
          <w:sz w:val="22"/>
          <w:szCs w:val="22"/>
          <w:u w:val="single"/>
          <w:lang w:val="pl-PL"/>
        </w:rPr>
        <w:t xml:space="preserve">ieniu </w:t>
      </w:r>
      <w:r w:rsidRPr="009353E6">
        <w:rPr>
          <w:sz w:val="22"/>
          <w:szCs w:val="22"/>
          <w:u w:val="single"/>
          <w:lang w:val="pl-PL"/>
        </w:rPr>
        <w:t>nerki</w:t>
      </w:r>
    </w:p>
    <w:p w:rsidR="00AA6CE9" w:rsidRPr="009353E6" w:rsidRDefault="00AA6CE9" w:rsidP="000D5BED">
      <w:pPr>
        <w:pStyle w:val="BodyText"/>
        <w:spacing w:line="240" w:lineRule="auto"/>
        <w:jc w:val="left"/>
        <w:rPr>
          <w:sz w:val="22"/>
          <w:szCs w:val="22"/>
          <w:lang w:val="pl-PL"/>
        </w:rPr>
      </w:pPr>
    </w:p>
    <w:p w:rsidR="002D3E1A" w:rsidRPr="009353E6" w:rsidRDefault="001B3D91" w:rsidP="000D5BED">
      <w:pPr>
        <w:pStyle w:val="BodyText"/>
        <w:spacing w:line="240" w:lineRule="auto"/>
        <w:jc w:val="left"/>
        <w:rPr>
          <w:sz w:val="22"/>
          <w:szCs w:val="22"/>
          <w:lang w:val="pl-PL"/>
        </w:rPr>
      </w:pPr>
      <w:r w:rsidRPr="009353E6">
        <w:rPr>
          <w:sz w:val="22"/>
          <w:szCs w:val="22"/>
          <w:lang w:val="pl-PL"/>
        </w:rPr>
        <w:t xml:space="preserve">Produktu </w:t>
      </w:r>
      <w:r w:rsidR="002D3E1A" w:rsidRPr="009353E6">
        <w:rPr>
          <w:sz w:val="22"/>
          <w:szCs w:val="22"/>
          <w:lang w:val="pl-PL"/>
        </w:rPr>
        <w:t xml:space="preserve">MicardisPlus nie </w:t>
      </w:r>
      <w:r w:rsidRPr="009353E6">
        <w:rPr>
          <w:sz w:val="22"/>
          <w:szCs w:val="22"/>
          <w:lang w:val="pl-PL"/>
        </w:rPr>
        <w:t xml:space="preserve">wolno </w:t>
      </w:r>
      <w:r w:rsidR="002D3E1A" w:rsidRPr="009353E6">
        <w:rPr>
          <w:sz w:val="22"/>
          <w:szCs w:val="22"/>
          <w:lang w:val="pl-PL"/>
        </w:rPr>
        <w:t>stosowa</w:t>
      </w:r>
      <w:r w:rsidRPr="009353E6">
        <w:rPr>
          <w:sz w:val="22"/>
          <w:szCs w:val="22"/>
          <w:lang w:val="pl-PL"/>
        </w:rPr>
        <w:t>ć</w:t>
      </w:r>
      <w:r w:rsidR="002D3E1A" w:rsidRPr="009353E6">
        <w:rPr>
          <w:sz w:val="22"/>
          <w:szCs w:val="22"/>
          <w:lang w:val="pl-PL"/>
        </w:rPr>
        <w:t xml:space="preserve"> u pacjentów z ciężką niewydolnością nerek (klirens kreatyniny &lt; 30 ml/min) (patrz punkt 4.3). </w:t>
      </w:r>
      <w:r w:rsidRPr="009353E6">
        <w:rPr>
          <w:sz w:val="22"/>
          <w:szCs w:val="22"/>
          <w:lang w:val="pl-PL"/>
        </w:rPr>
        <w:t xml:space="preserve">Brak </w:t>
      </w:r>
      <w:r w:rsidR="002D3E1A" w:rsidRPr="009353E6">
        <w:rPr>
          <w:sz w:val="22"/>
          <w:szCs w:val="22"/>
          <w:lang w:val="pl-PL"/>
        </w:rPr>
        <w:t>doświadcze</w:t>
      </w:r>
      <w:r w:rsidRPr="009353E6">
        <w:rPr>
          <w:sz w:val="22"/>
          <w:szCs w:val="22"/>
          <w:lang w:val="pl-PL"/>
        </w:rPr>
        <w:t xml:space="preserve">nia odnośnie </w:t>
      </w:r>
      <w:r w:rsidR="002D3E1A" w:rsidRPr="009353E6">
        <w:rPr>
          <w:sz w:val="22"/>
          <w:szCs w:val="22"/>
          <w:lang w:val="pl-PL"/>
        </w:rPr>
        <w:t>stosowani</w:t>
      </w:r>
      <w:r w:rsidRPr="009353E6">
        <w:rPr>
          <w:sz w:val="22"/>
          <w:szCs w:val="22"/>
          <w:lang w:val="pl-PL"/>
        </w:rPr>
        <w:t>a</w:t>
      </w:r>
      <w:r w:rsidR="002D3E1A" w:rsidRPr="009353E6">
        <w:rPr>
          <w:sz w:val="22"/>
          <w:szCs w:val="22"/>
          <w:lang w:val="pl-PL"/>
        </w:rPr>
        <w:t xml:space="preserve"> </w:t>
      </w:r>
      <w:r w:rsidR="00F710F6" w:rsidRPr="009353E6">
        <w:rPr>
          <w:sz w:val="22"/>
          <w:szCs w:val="22"/>
          <w:lang w:val="pl-PL"/>
        </w:rPr>
        <w:t>produkt</w:t>
      </w:r>
      <w:r w:rsidR="002D3E1A" w:rsidRPr="009353E6">
        <w:rPr>
          <w:sz w:val="22"/>
          <w:szCs w:val="22"/>
          <w:lang w:val="pl-PL"/>
        </w:rPr>
        <w:t xml:space="preserve">u MicardisPlus u </w:t>
      </w:r>
      <w:r w:rsidRPr="009353E6">
        <w:rPr>
          <w:sz w:val="22"/>
          <w:szCs w:val="22"/>
          <w:lang w:val="pl-PL"/>
        </w:rPr>
        <w:t xml:space="preserve">pacjentów po niedawno przebytym </w:t>
      </w:r>
      <w:r w:rsidR="002D3E1A" w:rsidRPr="009353E6">
        <w:rPr>
          <w:sz w:val="22"/>
          <w:szCs w:val="22"/>
          <w:lang w:val="pl-PL"/>
        </w:rPr>
        <w:t>przeszczepie</w:t>
      </w:r>
      <w:r w:rsidRPr="009353E6">
        <w:rPr>
          <w:sz w:val="22"/>
          <w:szCs w:val="22"/>
          <w:lang w:val="pl-PL"/>
        </w:rPr>
        <w:t>niu</w:t>
      </w:r>
      <w:r w:rsidR="002D3E1A" w:rsidRPr="009353E6">
        <w:rPr>
          <w:sz w:val="22"/>
          <w:szCs w:val="22"/>
          <w:lang w:val="pl-PL"/>
        </w:rPr>
        <w:t xml:space="preserve"> nerki. Istnieją niewielkie doświadczenia w stosowaniu </w:t>
      </w:r>
      <w:r w:rsidR="00F710F6" w:rsidRPr="009353E6">
        <w:rPr>
          <w:sz w:val="22"/>
          <w:szCs w:val="22"/>
          <w:lang w:val="pl-PL"/>
        </w:rPr>
        <w:t>produkt</w:t>
      </w:r>
      <w:r w:rsidR="002D3E1A" w:rsidRPr="009353E6">
        <w:rPr>
          <w:sz w:val="22"/>
          <w:szCs w:val="22"/>
          <w:lang w:val="pl-PL"/>
        </w:rPr>
        <w:t>u MicardisPlus u</w:t>
      </w:r>
      <w:r w:rsidR="00E02390" w:rsidRPr="009353E6">
        <w:rPr>
          <w:sz w:val="22"/>
          <w:szCs w:val="22"/>
          <w:lang w:val="pl-PL"/>
        </w:rPr>
        <w:t> </w:t>
      </w:r>
      <w:r w:rsidR="002D3E1A" w:rsidRPr="009353E6">
        <w:rPr>
          <w:sz w:val="22"/>
          <w:szCs w:val="22"/>
          <w:lang w:val="pl-PL"/>
        </w:rPr>
        <w:t xml:space="preserve">pacjentów z łagodną i umiarkowaną niewydolnością nerek, w związku z tym zaleca się </w:t>
      </w:r>
      <w:r w:rsidR="00130C74" w:rsidRPr="009353E6">
        <w:rPr>
          <w:sz w:val="22"/>
          <w:szCs w:val="22"/>
          <w:lang w:val="pl-PL"/>
        </w:rPr>
        <w:t xml:space="preserve">okresowe </w:t>
      </w:r>
      <w:r w:rsidR="002D3E1A" w:rsidRPr="009353E6">
        <w:rPr>
          <w:sz w:val="22"/>
          <w:szCs w:val="22"/>
          <w:lang w:val="pl-PL"/>
        </w:rPr>
        <w:t>monitorowanie stężenia potasu, kreatyniny i kwasu moczowego w surowicy krwi. U pacjentów z</w:t>
      </w:r>
      <w:r w:rsidR="00E02390" w:rsidRPr="009353E6">
        <w:rPr>
          <w:sz w:val="22"/>
          <w:szCs w:val="22"/>
          <w:lang w:val="pl-PL"/>
        </w:rPr>
        <w:t> </w:t>
      </w:r>
      <w:r w:rsidR="002D3E1A" w:rsidRPr="009353E6">
        <w:rPr>
          <w:sz w:val="22"/>
          <w:szCs w:val="22"/>
          <w:lang w:val="pl-PL"/>
        </w:rPr>
        <w:t>zaburzeni</w:t>
      </w:r>
      <w:r w:rsidR="00A127AA" w:rsidRPr="009353E6">
        <w:rPr>
          <w:sz w:val="22"/>
          <w:szCs w:val="22"/>
          <w:lang w:val="pl-PL"/>
        </w:rPr>
        <w:t>ami</w:t>
      </w:r>
      <w:r w:rsidR="002D3E1A" w:rsidRPr="009353E6">
        <w:rPr>
          <w:sz w:val="22"/>
          <w:szCs w:val="22"/>
          <w:lang w:val="pl-PL"/>
        </w:rPr>
        <w:t xml:space="preserve"> czynności nerek może wystąpić azotemia związana z podawanym diuretykiem tiazydowym.</w:t>
      </w:r>
    </w:p>
    <w:p w:rsidR="002D3E1A" w:rsidRPr="009353E6" w:rsidRDefault="002D3E1A" w:rsidP="000D5BED">
      <w:pPr>
        <w:pStyle w:val="BodyText"/>
        <w:spacing w:line="240" w:lineRule="auto"/>
        <w:jc w:val="left"/>
        <w:rPr>
          <w:sz w:val="22"/>
          <w:szCs w:val="22"/>
          <w:lang w:val="pl-PL"/>
        </w:rPr>
      </w:pPr>
    </w:p>
    <w:p w:rsidR="00AA6CE9" w:rsidRPr="009353E6" w:rsidRDefault="00BA5C05" w:rsidP="000D5BED">
      <w:pPr>
        <w:pStyle w:val="BodyText"/>
        <w:spacing w:line="240" w:lineRule="auto"/>
        <w:jc w:val="left"/>
        <w:rPr>
          <w:sz w:val="22"/>
          <w:szCs w:val="22"/>
          <w:lang w:val="pl-PL"/>
        </w:rPr>
      </w:pPr>
      <w:r w:rsidRPr="009353E6">
        <w:rPr>
          <w:sz w:val="22"/>
          <w:szCs w:val="22"/>
          <w:u w:val="single"/>
          <w:lang w:val="pl-PL"/>
        </w:rPr>
        <w:t>Zmniejszenie objętości krwi krążącej</w:t>
      </w:r>
    </w:p>
    <w:p w:rsidR="00AA6CE9" w:rsidRPr="009353E6" w:rsidRDefault="00AA6CE9" w:rsidP="000D5BED">
      <w:pPr>
        <w:pStyle w:val="BodyText"/>
        <w:spacing w:line="240" w:lineRule="auto"/>
        <w:jc w:val="left"/>
        <w:rPr>
          <w:sz w:val="22"/>
          <w:szCs w:val="22"/>
          <w:lang w:val="pl-PL"/>
        </w:rPr>
      </w:pPr>
    </w:p>
    <w:p w:rsidR="00BA5C05" w:rsidRPr="009353E6" w:rsidRDefault="00BA5C05" w:rsidP="000D5BED">
      <w:pPr>
        <w:pStyle w:val="BodyText"/>
        <w:spacing w:line="240" w:lineRule="auto"/>
        <w:jc w:val="left"/>
        <w:rPr>
          <w:sz w:val="22"/>
          <w:szCs w:val="22"/>
          <w:lang w:val="pl-PL"/>
        </w:rPr>
      </w:pPr>
      <w:r w:rsidRPr="009353E6">
        <w:rPr>
          <w:sz w:val="22"/>
          <w:szCs w:val="22"/>
          <w:lang w:val="pl-PL"/>
        </w:rPr>
        <w:t>Objawowe niedociśnienie tętnicze, szczególnie po pierwszej dawce, może wystąpić u chorych ze zmniejszoną objętością wewnątrznaczyniową i</w:t>
      </w:r>
      <w:r w:rsidR="003F4FF7" w:rsidRPr="009353E6">
        <w:rPr>
          <w:sz w:val="22"/>
          <w:szCs w:val="22"/>
          <w:lang w:val="pl-PL"/>
        </w:rPr>
        <w:t xml:space="preserve"> </w:t>
      </w:r>
      <w:r w:rsidRPr="009353E6">
        <w:rPr>
          <w:sz w:val="22"/>
          <w:szCs w:val="22"/>
          <w:lang w:val="pl-PL"/>
        </w:rPr>
        <w:t>(lub) zmniejszonym stężeniem sodu w wyniku intensywnego leczenia moczopędnego</w:t>
      </w:r>
      <w:r w:rsidR="00130C74" w:rsidRPr="009353E6">
        <w:rPr>
          <w:sz w:val="22"/>
          <w:szCs w:val="22"/>
          <w:lang w:val="pl-PL"/>
        </w:rPr>
        <w:t xml:space="preserve">, </w:t>
      </w:r>
      <w:r w:rsidRPr="009353E6">
        <w:rPr>
          <w:sz w:val="22"/>
          <w:szCs w:val="22"/>
          <w:lang w:val="pl-PL"/>
        </w:rPr>
        <w:t xml:space="preserve">ograniczenia spożycia soli, biegunki lub wymiotów. Zaburzenia te powinny zostać wyrównane przed podaniem </w:t>
      </w:r>
      <w:r w:rsidR="00F710F6" w:rsidRPr="009353E6">
        <w:rPr>
          <w:sz w:val="22"/>
          <w:szCs w:val="22"/>
          <w:lang w:val="pl-PL"/>
        </w:rPr>
        <w:t>produkt</w:t>
      </w:r>
      <w:r w:rsidRPr="009353E6">
        <w:rPr>
          <w:sz w:val="22"/>
          <w:szCs w:val="22"/>
          <w:lang w:val="pl-PL"/>
        </w:rPr>
        <w:t xml:space="preserve">u MicardisPlus. </w:t>
      </w:r>
    </w:p>
    <w:p w:rsidR="00AA6CE9" w:rsidRPr="009353E6" w:rsidRDefault="00AA6CE9" w:rsidP="00397A74">
      <w:pPr>
        <w:rPr>
          <w:sz w:val="22"/>
          <w:szCs w:val="22"/>
          <w:u w:val="single"/>
          <w:lang w:val="pl-PL"/>
        </w:rPr>
      </w:pPr>
    </w:p>
    <w:p w:rsidR="00352FAF" w:rsidRPr="009353E6" w:rsidRDefault="00397A74" w:rsidP="004A0B9E">
      <w:pPr>
        <w:keepNext/>
        <w:rPr>
          <w:sz w:val="22"/>
          <w:szCs w:val="22"/>
          <w:u w:val="single"/>
          <w:lang w:val="pl-PL"/>
        </w:rPr>
      </w:pPr>
      <w:r w:rsidRPr="009353E6">
        <w:rPr>
          <w:sz w:val="22"/>
          <w:szCs w:val="22"/>
          <w:u w:val="single"/>
          <w:lang w:val="pl-PL"/>
        </w:rPr>
        <w:t>Podwójna blokada układu renina-angiotensyna-aldosteron</w:t>
      </w:r>
      <w:r w:rsidR="00352FAF" w:rsidRPr="009353E6">
        <w:rPr>
          <w:sz w:val="22"/>
          <w:szCs w:val="22"/>
          <w:u w:val="single"/>
          <w:lang w:val="pl-PL"/>
        </w:rPr>
        <w:t xml:space="preserve"> (RAA) (ang. Renin-Angiotensin-Aldosterone-system RAAS)</w:t>
      </w:r>
    </w:p>
    <w:p w:rsidR="00AA6CE9" w:rsidRPr="009353E6" w:rsidRDefault="00AA6CE9" w:rsidP="004A0B9E">
      <w:pPr>
        <w:keepNext/>
        <w:rPr>
          <w:sz w:val="22"/>
          <w:szCs w:val="22"/>
          <w:lang w:val="pl-PL"/>
        </w:rPr>
      </w:pPr>
    </w:p>
    <w:p w:rsidR="00352FAF" w:rsidRPr="009353E6" w:rsidRDefault="00352FAF" w:rsidP="00352FAF">
      <w:pPr>
        <w:rPr>
          <w:sz w:val="22"/>
          <w:szCs w:val="22"/>
          <w:lang w:val="pl-PL"/>
        </w:rPr>
      </w:pPr>
      <w:r w:rsidRPr="009353E6">
        <w:rPr>
          <w:sz w:val="22"/>
          <w:szCs w:val="22"/>
          <w:lang w:val="pl-PL"/>
        </w:rPr>
        <w:t xml:space="preserve">Istnieją dowody, iż jednoczesne stosowanie inhibitorów konwertazy angiotensyny (ACE) (ang. Angiotensin Converting Enzyme Inhibitors, ACEi), antagonistów receptora angiotensyny II (ang. </w:t>
      </w:r>
      <w:r w:rsidRPr="009353E6">
        <w:rPr>
          <w:iCs/>
          <w:sz w:val="22"/>
          <w:szCs w:val="22"/>
          <w:lang w:val="pl-PL"/>
        </w:rPr>
        <w:t>Angiotensin Receptor Blockers</w:t>
      </w:r>
      <w:r w:rsidRPr="009353E6">
        <w:rPr>
          <w:sz w:val="22"/>
          <w:szCs w:val="22"/>
          <w:lang w:val="pl-PL"/>
        </w:rPr>
        <w:t>, ARB) lub aliskirenu zwiększa ryzyko niedociśnienia, hiperkaliemii oraz zaburzenia czynności nerek (w tym ostrej niewydolności nerek). W związku z tym nie zaleca się podwójnego blokowania układu RAA poprzez jednoczesne zastosowanie inhibitorów ACE, antagonistów receptora angiotensyny II lub aliskirenu (patrz punkty 4.5 i 5.1).</w:t>
      </w:r>
    </w:p>
    <w:p w:rsidR="00352FAF" w:rsidRPr="009353E6" w:rsidRDefault="00352FAF" w:rsidP="00352FAF">
      <w:pPr>
        <w:rPr>
          <w:sz w:val="22"/>
          <w:szCs w:val="22"/>
          <w:lang w:val="pl-PL"/>
        </w:rPr>
      </w:pPr>
      <w:r w:rsidRPr="009353E6">
        <w:rPr>
          <w:sz w:val="22"/>
          <w:szCs w:val="22"/>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252870" w:rsidRPr="009353E6" w:rsidRDefault="00352FAF" w:rsidP="00352FAF">
      <w:pPr>
        <w:rPr>
          <w:sz w:val="22"/>
          <w:szCs w:val="22"/>
          <w:lang w:val="pl-PL"/>
        </w:rPr>
      </w:pPr>
      <w:r w:rsidRPr="009353E6">
        <w:rPr>
          <w:sz w:val="22"/>
          <w:szCs w:val="22"/>
          <w:lang w:val="pl-PL"/>
        </w:rPr>
        <w:t>U pacjentów z nefropatią cukrzycową nie należy stosować jednocześnie inhibitorów ACE oraz antagonistów receptora angiotensyny II.</w:t>
      </w:r>
    </w:p>
    <w:p w:rsidR="00352FAF" w:rsidRPr="009353E6" w:rsidRDefault="00352FAF" w:rsidP="00397A74">
      <w:pPr>
        <w:rPr>
          <w:sz w:val="22"/>
          <w:szCs w:val="22"/>
          <w:lang w:val="pl-PL"/>
        </w:rPr>
      </w:pPr>
    </w:p>
    <w:p w:rsidR="00BA5C05" w:rsidRPr="009353E6" w:rsidRDefault="00BA5C05" w:rsidP="004A0B9E">
      <w:pPr>
        <w:pStyle w:val="BodyText"/>
        <w:keepNext/>
        <w:spacing w:line="240" w:lineRule="auto"/>
        <w:jc w:val="left"/>
        <w:rPr>
          <w:sz w:val="22"/>
          <w:szCs w:val="22"/>
          <w:u w:val="single"/>
          <w:lang w:val="pl-PL"/>
        </w:rPr>
      </w:pPr>
      <w:r w:rsidRPr="009353E6">
        <w:rPr>
          <w:sz w:val="22"/>
          <w:szCs w:val="22"/>
          <w:u w:val="single"/>
          <w:lang w:val="pl-PL"/>
        </w:rPr>
        <w:t>Inne stany związane z pobudzeniem układu renina-angiotensyna-aldosteron</w:t>
      </w:r>
    </w:p>
    <w:p w:rsidR="00AA6CE9" w:rsidRPr="009353E6" w:rsidRDefault="00AA6CE9" w:rsidP="004A0B9E">
      <w:pPr>
        <w:pStyle w:val="BodyText"/>
        <w:keepNext/>
        <w:spacing w:line="240" w:lineRule="auto"/>
        <w:jc w:val="left"/>
        <w:rPr>
          <w:sz w:val="22"/>
          <w:szCs w:val="22"/>
          <w:u w:val="single"/>
          <w:lang w:val="pl-PL"/>
        </w:rPr>
      </w:pPr>
    </w:p>
    <w:p w:rsidR="00BA5C05" w:rsidRPr="009353E6" w:rsidRDefault="00BA5C05" w:rsidP="000D5BED">
      <w:pPr>
        <w:pStyle w:val="BodyText"/>
        <w:spacing w:line="240" w:lineRule="auto"/>
        <w:jc w:val="left"/>
        <w:rPr>
          <w:sz w:val="22"/>
          <w:szCs w:val="22"/>
          <w:lang w:val="pl-PL"/>
        </w:rPr>
      </w:pPr>
      <w:r w:rsidRPr="009353E6">
        <w:rPr>
          <w:sz w:val="22"/>
          <w:szCs w:val="22"/>
          <w:lang w:val="pl-PL"/>
        </w:rPr>
        <w:t>U chorych, u których napięcie naczyniowe i czynność nerek zależą głównie od aktywności układu renina-angiotensyna-aldosteron (np. pacjenci z ciężką zastoinową niewydolnością serca lub w</w:t>
      </w:r>
      <w:r w:rsidR="00E02390" w:rsidRPr="009353E6">
        <w:rPr>
          <w:sz w:val="22"/>
          <w:szCs w:val="22"/>
          <w:lang w:val="pl-PL"/>
        </w:rPr>
        <w:t> </w:t>
      </w:r>
      <w:r w:rsidRPr="009353E6">
        <w:rPr>
          <w:sz w:val="22"/>
          <w:szCs w:val="22"/>
          <w:lang w:val="pl-PL"/>
        </w:rPr>
        <w:t>przebiegu chorób nerek, w tym ze zwężeniem tętnicy nerkowej) podawanie leków wpływających na ten układ było związane z gwałtownym obniżeniem ciśnienia krwi, hiperazotemią, oligurią oraz rzadko, z ostrą niewydolnością nerek (patrz punkt 4.8).</w:t>
      </w:r>
    </w:p>
    <w:p w:rsidR="00BA5C05" w:rsidRPr="009353E6" w:rsidRDefault="00BA5C05" w:rsidP="000D5BED">
      <w:pPr>
        <w:pStyle w:val="BodyText"/>
        <w:spacing w:line="240" w:lineRule="auto"/>
        <w:jc w:val="left"/>
        <w:rPr>
          <w:sz w:val="22"/>
          <w:szCs w:val="22"/>
          <w:lang w:val="pl-PL"/>
        </w:rPr>
      </w:pPr>
    </w:p>
    <w:p w:rsidR="00AA6CE9" w:rsidRPr="009353E6" w:rsidRDefault="00BA5C05" w:rsidP="000D5BED">
      <w:pPr>
        <w:pStyle w:val="BodyText"/>
        <w:spacing w:line="240" w:lineRule="auto"/>
        <w:jc w:val="left"/>
        <w:rPr>
          <w:sz w:val="22"/>
          <w:szCs w:val="22"/>
          <w:u w:val="single"/>
          <w:lang w:val="pl-PL"/>
        </w:rPr>
      </w:pPr>
      <w:r w:rsidRPr="009353E6">
        <w:rPr>
          <w:sz w:val="22"/>
          <w:szCs w:val="22"/>
          <w:u w:val="single"/>
          <w:lang w:val="pl-PL"/>
        </w:rPr>
        <w:t>Pierwotny hiperaldosteronizm</w:t>
      </w:r>
    </w:p>
    <w:p w:rsidR="00BA5C05" w:rsidRPr="009353E6" w:rsidRDefault="007A10F2" w:rsidP="000D5BED">
      <w:pPr>
        <w:pStyle w:val="BodyText"/>
        <w:spacing w:line="240" w:lineRule="auto"/>
        <w:jc w:val="left"/>
        <w:rPr>
          <w:sz w:val="22"/>
          <w:szCs w:val="22"/>
          <w:u w:val="single"/>
          <w:lang w:val="pl-PL"/>
        </w:rPr>
      </w:pPr>
      <w:r w:rsidRPr="009353E6">
        <w:rPr>
          <w:sz w:val="22"/>
          <w:szCs w:val="22"/>
          <w:u w:val="single"/>
          <w:lang w:val="pl-PL"/>
        </w:rPr>
        <w:t xml:space="preserve"> </w:t>
      </w:r>
    </w:p>
    <w:p w:rsidR="00BA5C05" w:rsidRPr="009353E6" w:rsidRDefault="00BA5C05" w:rsidP="000D5BED">
      <w:pPr>
        <w:pStyle w:val="BodyText"/>
        <w:spacing w:line="240" w:lineRule="auto"/>
        <w:jc w:val="left"/>
        <w:rPr>
          <w:sz w:val="22"/>
          <w:szCs w:val="22"/>
          <w:lang w:val="pl-PL"/>
        </w:rPr>
      </w:pPr>
      <w:r w:rsidRPr="009353E6">
        <w:rPr>
          <w:sz w:val="22"/>
          <w:szCs w:val="22"/>
          <w:lang w:val="pl-PL"/>
        </w:rPr>
        <w:t>Chorzy z pierwotnym hiperaldosteronizmem przeważnie nie odpowiadają na leczenie lekami przeciwnadciśnieniowymi działającymi poprzez hamowanie układu renina-angiotensyna.</w:t>
      </w:r>
    </w:p>
    <w:p w:rsidR="00BA5C05" w:rsidRPr="009353E6" w:rsidRDefault="00BA5C05" w:rsidP="000D5BED">
      <w:pPr>
        <w:pStyle w:val="BodyText"/>
        <w:spacing w:line="240" w:lineRule="auto"/>
        <w:jc w:val="left"/>
        <w:rPr>
          <w:sz w:val="22"/>
          <w:szCs w:val="22"/>
          <w:lang w:val="pl-PL"/>
        </w:rPr>
      </w:pPr>
      <w:r w:rsidRPr="009353E6">
        <w:rPr>
          <w:sz w:val="22"/>
          <w:szCs w:val="22"/>
          <w:lang w:val="pl-PL"/>
        </w:rPr>
        <w:t>Tak więc stosowanie</w:t>
      </w:r>
      <w:r w:rsidR="00622B2F" w:rsidRPr="009353E6">
        <w:rPr>
          <w:sz w:val="22"/>
          <w:szCs w:val="22"/>
          <w:lang w:val="pl-PL"/>
        </w:rPr>
        <w:t xml:space="preserve"> produktu </w:t>
      </w:r>
      <w:r w:rsidRPr="009353E6">
        <w:rPr>
          <w:sz w:val="22"/>
          <w:szCs w:val="22"/>
          <w:lang w:val="pl-PL"/>
        </w:rPr>
        <w:t>MicardisPlus w tych przypadkach nie jest zalecane.</w:t>
      </w:r>
    </w:p>
    <w:p w:rsidR="002D3E1A" w:rsidRPr="009353E6" w:rsidRDefault="002D3E1A" w:rsidP="000D5BED">
      <w:pPr>
        <w:pStyle w:val="BodyText"/>
        <w:spacing w:line="240" w:lineRule="auto"/>
        <w:jc w:val="left"/>
        <w:rPr>
          <w:sz w:val="22"/>
          <w:szCs w:val="22"/>
          <w:lang w:val="pl-PL"/>
        </w:rPr>
      </w:pPr>
    </w:p>
    <w:p w:rsidR="00AA6CE9" w:rsidRPr="009353E6" w:rsidRDefault="0076493E" w:rsidP="000D5BED">
      <w:pPr>
        <w:pStyle w:val="BodyText"/>
        <w:spacing w:line="240" w:lineRule="auto"/>
        <w:jc w:val="left"/>
        <w:rPr>
          <w:sz w:val="22"/>
          <w:szCs w:val="22"/>
          <w:u w:val="single"/>
          <w:lang w:val="pl-PL"/>
        </w:rPr>
      </w:pPr>
      <w:r w:rsidRPr="009353E6">
        <w:rPr>
          <w:sz w:val="22"/>
          <w:szCs w:val="22"/>
          <w:u w:val="single"/>
          <w:lang w:val="pl-PL"/>
        </w:rPr>
        <w:t>Zwężenie zastawki aortalnej i dwudzielnej, przerostowa kardiomiopatia zawężająca</w:t>
      </w:r>
    </w:p>
    <w:p w:rsidR="0076493E" w:rsidRPr="009353E6" w:rsidRDefault="007A10F2" w:rsidP="000D5BED">
      <w:pPr>
        <w:pStyle w:val="BodyText"/>
        <w:spacing w:line="240" w:lineRule="auto"/>
        <w:jc w:val="left"/>
        <w:rPr>
          <w:sz w:val="22"/>
          <w:szCs w:val="22"/>
          <w:lang w:val="pl-PL"/>
        </w:rPr>
      </w:pPr>
      <w:r w:rsidRPr="009353E6">
        <w:rPr>
          <w:sz w:val="22"/>
          <w:szCs w:val="22"/>
          <w:u w:val="single"/>
          <w:lang w:val="pl-PL"/>
        </w:rPr>
        <w:t xml:space="preserve"> </w:t>
      </w:r>
    </w:p>
    <w:p w:rsidR="0076493E" w:rsidRPr="009353E6" w:rsidRDefault="0076493E" w:rsidP="000D5BED">
      <w:pPr>
        <w:pStyle w:val="BodyText"/>
        <w:spacing w:line="240" w:lineRule="auto"/>
        <w:jc w:val="left"/>
        <w:rPr>
          <w:sz w:val="22"/>
          <w:szCs w:val="22"/>
          <w:lang w:val="pl-PL"/>
        </w:rPr>
      </w:pPr>
      <w:r w:rsidRPr="009353E6">
        <w:rPr>
          <w:sz w:val="22"/>
          <w:szCs w:val="22"/>
          <w:lang w:val="pl-PL"/>
        </w:rPr>
        <w:t>Podobnie jak w przypadku innych leków rozszerzających naczynia krwionośne, należy zachować szczególną ostrożność u pacjentów ze zwężeniem zastawki aortalnej lub dwudzielnej, lub przerostową kardiomiopatią zawężającą.</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u w:val="single"/>
          <w:lang w:val="pl-PL"/>
        </w:rPr>
      </w:pPr>
      <w:r w:rsidRPr="009353E6">
        <w:rPr>
          <w:sz w:val="22"/>
          <w:szCs w:val="22"/>
          <w:u w:val="single"/>
          <w:lang w:val="pl-PL"/>
        </w:rPr>
        <w:t>Wpływ na metabolizm i układ dokrewny</w:t>
      </w:r>
    </w:p>
    <w:p w:rsidR="00AA6CE9" w:rsidRPr="009353E6" w:rsidRDefault="00AA6CE9" w:rsidP="000D5BED">
      <w:pPr>
        <w:pStyle w:val="BodyText"/>
        <w:spacing w:line="240" w:lineRule="auto"/>
        <w:jc w:val="left"/>
        <w:rPr>
          <w:sz w:val="22"/>
          <w:szCs w:val="22"/>
          <w:u w:val="single"/>
          <w:lang w:val="pl-PL"/>
        </w:rPr>
      </w:pPr>
    </w:p>
    <w:p w:rsidR="002D3E1A" w:rsidRPr="009353E6" w:rsidRDefault="001B3D91" w:rsidP="000D5BED">
      <w:pPr>
        <w:pStyle w:val="BodyText"/>
        <w:spacing w:line="240" w:lineRule="auto"/>
        <w:jc w:val="left"/>
        <w:rPr>
          <w:sz w:val="22"/>
          <w:szCs w:val="22"/>
          <w:lang w:val="pl-PL"/>
        </w:rPr>
      </w:pPr>
      <w:r w:rsidRPr="009353E6">
        <w:rPr>
          <w:sz w:val="22"/>
          <w:szCs w:val="22"/>
          <w:lang w:val="pl-PL"/>
        </w:rPr>
        <w:t xml:space="preserve">Leczenie tiazydem może zaburzać tolerancję glukozy. U pacjentów z cukrzycą przyjmujących insulinę lub doustny lek przeciwcukrzycowy oraz telmisartan może wystąpić hipoglikemia. Dlatego u tych pacjentów należy monitorować stężenie glukozy; konieczna może być również modyfikacja dawki insuliny lub doustnych leków przeciwcukrzycowych. </w:t>
      </w:r>
      <w:r w:rsidR="002D3E1A" w:rsidRPr="009353E6">
        <w:rPr>
          <w:sz w:val="22"/>
          <w:szCs w:val="22"/>
          <w:lang w:val="pl-PL"/>
        </w:rPr>
        <w:t>Cukrzyca utajona może się ujawnić w trakcie leczenia tiazydem.</w:t>
      </w:r>
    </w:p>
    <w:p w:rsidR="002D3E1A" w:rsidRPr="009353E6" w:rsidRDefault="002D3E1A" w:rsidP="000D5BED">
      <w:pPr>
        <w:pStyle w:val="BodyText"/>
        <w:spacing w:line="240" w:lineRule="auto"/>
        <w:jc w:val="left"/>
        <w:rPr>
          <w:sz w:val="22"/>
          <w:szCs w:val="22"/>
          <w:lang w:val="pl-PL"/>
        </w:rPr>
      </w:pPr>
    </w:p>
    <w:p w:rsidR="002D3E1A" w:rsidRPr="009353E6" w:rsidRDefault="00941026" w:rsidP="000D5BED">
      <w:pPr>
        <w:pStyle w:val="BodyText"/>
        <w:spacing w:line="240" w:lineRule="auto"/>
        <w:jc w:val="left"/>
        <w:rPr>
          <w:sz w:val="22"/>
          <w:szCs w:val="22"/>
          <w:lang w:val="pl-PL"/>
        </w:rPr>
      </w:pPr>
      <w:r w:rsidRPr="009353E6">
        <w:rPr>
          <w:sz w:val="22"/>
          <w:szCs w:val="22"/>
          <w:lang w:val="pl-PL"/>
        </w:rPr>
        <w:t>L</w:t>
      </w:r>
      <w:r w:rsidR="002D3E1A" w:rsidRPr="009353E6">
        <w:rPr>
          <w:sz w:val="22"/>
          <w:szCs w:val="22"/>
          <w:lang w:val="pl-PL"/>
        </w:rPr>
        <w:t xml:space="preserve">eczenie diuretykami </w:t>
      </w:r>
      <w:r w:rsidRPr="009353E6">
        <w:rPr>
          <w:sz w:val="22"/>
          <w:szCs w:val="22"/>
          <w:lang w:val="pl-PL"/>
        </w:rPr>
        <w:t xml:space="preserve">powoduje </w:t>
      </w:r>
      <w:r w:rsidR="002D3E1A" w:rsidRPr="009353E6">
        <w:rPr>
          <w:sz w:val="22"/>
          <w:szCs w:val="22"/>
          <w:lang w:val="pl-PL"/>
        </w:rPr>
        <w:t>zwiększenie stężenia cholesterolu i tr</w:t>
      </w:r>
      <w:r w:rsidR="001B3D91" w:rsidRPr="009353E6">
        <w:rPr>
          <w:sz w:val="22"/>
          <w:szCs w:val="22"/>
          <w:lang w:val="pl-PL"/>
        </w:rPr>
        <w:t>i</w:t>
      </w:r>
      <w:r w:rsidR="002D3E1A" w:rsidRPr="009353E6">
        <w:rPr>
          <w:sz w:val="22"/>
          <w:szCs w:val="22"/>
          <w:lang w:val="pl-PL"/>
        </w:rPr>
        <w:t>glicerydów, jednak po dawce 12,5 mg zawartej w preparacie MicardisPlus nie odnotowano żadnego lub niewielki wpływ na ich stężenie. U niektórych pacjentów przyjmujących tiazyd wystąpienie objawów związanych z</w:t>
      </w:r>
      <w:r w:rsidR="00E02390" w:rsidRPr="009353E6">
        <w:rPr>
          <w:sz w:val="22"/>
          <w:szCs w:val="22"/>
          <w:lang w:val="pl-PL"/>
        </w:rPr>
        <w:t> </w:t>
      </w:r>
      <w:r w:rsidR="002D3E1A" w:rsidRPr="009353E6">
        <w:rPr>
          <w:sz w:val="22"/>
          <w:szCs w:val="22"/>
          <w:lang w:val="pl-PL"/>
        </w:rPr>
        <w:t xml:space="preserve">hiperurykemią lub dną moczanową może zostać przyśpieszone. </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Zaburzenia równowagi elektrolitowej</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Tak jak w przypadku wszystkich pacjentów przyjmujących diuretyki, okresowe monitorowanie stężenia elektrolitów w osoczu powinno być wykonywane w</w:t>
      </w:r>
      <w:r w:rsidR="00E02390" w:rsidRPr="009353E6">
        <w:rPr>
          <w:sz w:val="22"/>
          <w:szCs w:val="22"/>
          <w:lang w:val="pl-PL"/>
        </w:rPr>
        <w:t> </w:t>
      </w:r>
      <w:r w:rsidRPr="009353E6">
        <w:rPr>
          <w:sz w:val="22"/>
          <w:szCs w:val="22"/>
          <w:lang w:val="pl-PL"/>
        </w:rPr>
        <w:t>odpowiednich odstępach czasu.</w:t>
      </w:r>
    </w:p>
    <w:p w:rsidR="002D3E1A" w:rsidRPr="009353E6" w:rsidRDefault="002D3E1A" w:rsidP="000D5BED">
      <w:pPr>
        <w:pStyle w:val="BodyText"/>
        <w:spacing w:line="240" w:lineRule="auto"/>
        <w:jc w:val="left"/>
        <w:rPr>
          <w:sz w:val="22"/>
          <w:szCs w:val="22"/>
          <w:lang w:val="pl-PL"/>
        </w:rPr>
      </w:pPr>
      <w:r w:rsidRPr="009353E6">
        <w:rPr>
          <w:sz w:val="22"/>
          <w:szCs w:val="22"/>
          <w:lang w:val="pl-PL"/>
        </w:rPr>
        <w:t>Tiazydy, w tym hydrochlorotiazyd, mogą powodować zaburzenia równowagi wodno-elektrolitowej (w</w:t>
      </w:r>
      <w:r w:rsidR="00E02390" w:rsidRPr="009353E6">
        <w:rPr>
          <w:sz w:val="22"/>
          <w:szCs w:val="22"/>
          <w:lang w:val="pl-PL"/>
        </w:rPr>
        <w:t> </w:t>
      </w:r>
      <w:r w:rsidRPr="009353E6">
        <w:rPr>
          <w:sz w:val="22"/>
          <w:szCs w:val="22"/>
          <w:lang w:val="pl-PL"/>
        </w:rPr>
        <w:t>tym hipokaliemię, hiponatremię i alkalozę hipochloremiczną). Objawami ostrzegającymi o</w:t>
      </w:r>
      <w:r w:rsidR="00E02390" w:rsidRPr="009353E6">
        <w:rPr>
          <w:sz w:val="22"/>
          <w:szCs w:val="22"/>
          <w:lang w:val="pl-PL"/>
        </w:rPr>
        <w:t> </w:t>
      </w:r>
      <w:r w:rsidRPr="009353E6">
        <w:rPr>
          <w:sz w:val="22"/>
          <w:szCs w:val="22"/>
          <w:lang w:val="pl-PL"/>
        </w:rPr>
        <w:t xml:space="preserve">zaburzeniach równowagi wodno-elektrolitowej są suchość błony śluzowej jamy ustnej, wzmożone pragnienie, </w:t>
      </w:r>
      <w:r w:rsidR="0076493E" w:rsidRPr="009353E6">
        <w:rPr>
          <w:sz w:val="22"/>
          <w:szCs w:val="22"/>
          <w:lang w:val="pl-PL"/>
        </w:rPr>
        <w:t>astenia</w:t>
      </w:r>
      <w:r w:rsidRPr="009353E6">
        <w:rPr>
          <w:sz w:val="22"/>
          <w:szCs w:val="22"/>
          <w:lang w:val="pl-PL"/>
        </w:rPr>
        <w:t>, letarg, senność, niepokój, bóle mięśniowe</w:t>
      </w:r>
      <w:r w:rsidR="00130C74" w:rsidRPr="009353E6">
        <w:rPr>
          <w:sz w:val="22"/>
          <w:szCs w:val="22"/>
          <w:lang w:val="pl-PL"/>
        </w:rPr>
        <w:t xml:space="preserve"> lub</w:t>
      </w:r>
      <w:r w:rsidRPr="009353E6">
        <w:rPr>
          <w:sz w:val="22"/>
          <w:szCs w:val="22"/>
          <w:lang w:val="pl-PL"/>
        </w:rPr>
        <w:t xml:space="preserve"> skurcze, męczliwość mięśni, obniżone ciśnienie tętnicze, oliguria, tachykardia, zaburzenia dotyczące układu pokarmowego takie jak nudności i wymioty (patrz punkt 4.8).</w:t>
      </w:r>
    </w:p>
    <w:p w:rsidR="002D3E1A" w:rsidRPr="009353E6" w:rsidRDefault="002D3E1A" w:rsidP="000D5BED">
      <w:pPr>
        <w:pStyle w:val="BodyText"/>
        <w:spacing w:line="240" w:lineRule="auto"/>
        <w:jc w:val="left"/>
        <w:rPr>
          <w:sz w:val="22"/>
          <w:szCs w:val="22"/>
          <w:lang w:val="pl-PL"/>
        </w:rPr>
      </w:pPr>
    </w:p>
    <w:p w:rsidR="002D3E1A" w:rsidRPr="009353E6" w:rsidRDefault="000D5BED" w:rsidP="004A0B9E">
      <w:pPr>
        <w:pStyle w:val="BodyText"/>
        <w:keepN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r>
      <w:r w:rsidR="002D3E1A" w:rsidRPr="009353E6">
        <w:rPr>
          <w:sz w:val="22"/>
          <w:szCs w:val="22"/>
          <w:lang w:val="pl-PL"/>
        </w:rPr>
        <w:t>Hipokaliemia</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Chociaż w przypadku stosowania diuretyków tiazydowych może dojść do hipokaliemii, jednoczesna terapia telmisartanem może zmniejszyć hipokaliemię wywołaną przez diuretyki. Ryzyko hipokaliemii jest większe u pacjentów z marskością wątroby, u pacjentów, u których dochodzi do szybkiej diurezy lub u pacjentów, którzy przyjmują doustnie nieodpowiednią ilość elektrolitów lub są leczeni jednocześnie kortykosteroidami lub </w:t>
      </w:r>
      <w:r w:rsidR="000507F6" w:rsidRPr="009353E6">
        <w:rPr>
          <w:sz w:val="22"/>
          <w:szCs w:val="22"/>
          <w:lang w:val="pl-PL"/>
        </w:rPr>
        <w:t>hormon</w:t>
      </w:r>
      <w:r w:rsidR="0079246D" w:rsidRPr="009353E6">
        <w:rPr>
          <w:sz w:val="22"/>
          <w:szCs w:val="22"/>
          <w:lang w:val="pl-PL"/>
        </w:rPr>
        <w:t>em</w:t>
      </w:r>
      <w:r w:rsidR="000507F6" w:rsidRPr="009353E6">
        <w:rPr>
          <w:sz w:val="22"/>
          <w:szCs w:val="22"/>
          <w:lang w:val="pl-PL"/>
        </w:rPr>
        <w:t xml:space="preserve"> adrenokortykotropowym (</w:t>
      </w:r>
      <w:r w:rsidRPr="009353E6">
        <w:rPr>
          <w:sz w:val="22"/>
          <w:szCs w:val="22"/>
          <w:lang w:val="pl-PL"/>
        </w:rPr>
        <w:t>ACTH</w:t>
      </w:r>
      <w:r w:rsidR="000507F6" w:rsidRPr="009353E6">
        <w:rPr>
          <w:sz w:val="22"/>
          <w:szCs w:val="22"/>
          <w:lang w:val="pl-PL"/>
        </w:rPr>
        <w:t>)</w:t>
      </w:r>
      <w:r w:rsidRPr="009353E6">
        <w:rPr>
          <w:sz w:val="22"/>
          <w:szCs w:val="22"/>
          <w:lang w:val="pl-PL"/>
        </w:rPr>
        <w:t xml:space="preserve"> (patrz punkt 4.5).</w:t>
      </w:r>
    </w:p>
    <w:p w:rsidR="002D3E1A" w:rsidRPr="009353E6" w:rsidRDefault="002D3E1A" w:rsidP="000D5BED">
      <w:pPr>
        <w:pStyle w:val="BodyText"/>
        <w:spacing w:line="240" w:lineRule="auto"/>
        <w:jc w:val="left"/>
        <w:rPr>
          <w:sz w:val="22"/>
          <w:szCs w:val="22"/>
          <w:lang w:val="pl-PL"/>
        </w:rPr>
      </w:pPr>
    </w:p>
    <w:p w:rsidR="002D3E1A" w:rsidRPr="009353E6" w:rsidRDefault="000D5BED" w:rsidP="004A0B9E">
      <w:pPr>
        <w:pStyle w:val="BodyText"/>
        <w:keepN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r>
      <w:r w:rsidR="002D3E1A" w:rsidRPr="009353E6">
        <w:rPr>
          <w:sz w:val="22"/>
          <w:szCs w:val="22"/>
          <w:lang w:val="pl-PL"/>
        </w:rPr>
        <w:t>Hiperkaliemia</w:t>
      </w:r>
    </w:p>
    <w:p w:rsidR="00CE28D9" w:rsidRPr="009353E6" w:rsidRDefault="002D3E1A" w:rsidP="000D5BED">
      <w:pPr>
        <w:pStyle w:val="BodyText"/>
        <w:spacing w:line="240" w:lineRule="auto"/>
        <w:jc w:val="left"/>
        <w:rPr>
          <w:sz w:val="22"/>
          <w:szCs w:val="22"/>
          <w:lang w:val="pl-PL"/>
        </w:rPr>
      </w:pPr>
      <w:r w:rsidRPr="009353E6">
        <w:rPr>
          <w:sz w:val="22"/>
          <w:szCs w:val="22"/>
          <w:lang w:val="pl-PL"/>
        </w:rPr>
        <w:t xml:space="preserve">Z drugiej strony, z powodu antagonistycznego działania telmisartanu, składnika </w:t>
      </w:r>
      <w:r w:rsidR="00F710F6" w:rsidRPr="009353E6">
        <w:rPr>
          <w:sz w:val="22"/>
          <w:szCs w:val="22"/>
          <w:lang w:val="pl-PL"/>
        </w:rPr>
        <w:t>produkt</w:t>
      </w:r>
      <w:r w:rsidRPr="009353E6">
        <w:rPr>
          <w:sz w:val="22"/>
          <w:szCs w:val="22"/>
          <w:lang w:val="pl-PL"/>
        </w:rPr>
        <w:t>u MicardisPlus, na receptor angiotensyny II (AT</w:t>
      </w:r>
      <w:r w:rsidRPr="009353E6">
        <w:rPr>
          <w:sz w:val="22"/>
          <w:szCs w:val="22"/>
          <w:vertAlign w:val="subscript"/>
          <w:lang w:val="pl-PL"/>
        </w:rPr>
        <w:t>1</w:t>
      </w:r>
      <w:r w:rsidRPr="009353E6">
        <w:rPr>
          <w:sz w:val="22"/>
          <w:szCs w:val="22"/>
          <w:lang w:val="pl-PL"/>
        </w:rPr>
        <w:t>) może wystąpić hiperkaliemia.</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Pomimo faktu, że nie odnotowano klinicznie znamiennych przypadków wystąpienia hiperkaliemii związanej ze stosowaniem </w:t>
      </w:r>
      <w:r w:rsidR="00F710F6" w:rsidRPr="009353E6">
        <w:rPr>
          <w:sz w:val="22"/>
          <w:szCs w:val="22"/>
          <w:lang w:val="pl-PL"/>
        </w:rPr>
        <w:t>produkt</w:t>
      </w:r>
      <w:r w:rsidRPr="009353E6">
        <w:rPr>
          <w:sz w:val="22"/>
          <w:szCs w:val="22"/>
          <w:lang w:val="pl-PL"/>
        </w:rPr>
        <w:t xml:space="preserve">u MicardisPlus, czynniki ryzyka związane z jej wystąpieniem obejmują niewydolność nerek i (lub) niewydolność serca oraz cukrzycę. Diuretyki oszczędzające potas, suplementy potasu lub sole zawierające potas, powinny być stosowane z dużą ostrożnością podczas terapii </w:t>
      </w:r>
      <w:r w:rsidR="00F710F6" w:rsidRPr="009353E6">
        <w:rPr>
          <w:sz w:val="22"/>
          <w:szCs w:val="22"/>
          <w:lang w:val="pl-PL"/>
        </w:rPr>
        <w:t>produkt</w:t>
      </w:r>
      <w:r w:rsidRPr="009353E6">
        <w:rPr>
          <w:sz w:val="22"/>
          <w:szCs w:val="22"/>
          <w:lang w:val="pl-PL"/>
        </w:rPr>
        <w:t>em MicardisPlus (patrz punkt 4.5).</w:t>
      </w:r>
    </w:p>
    <w:p w:rsidR="002D3E1A" w:rsidRPr="009353E6" w:rsidRDefault="002D3E1A" w:rsidP="000D5BED">
      <w:pPr>
        <w:pStyle w:val="BodyText"/>
        <w:spacing w:line="240" w:lineRule="auto"/>
        <w:jc w:val="left"/>
        <w:rPr>
          <w:sz w:val="22"/>
          <w:szCs w:val="22"/>
          <w:lang w:val="pl-PL"/>
        </w:rPr>
      </w:pPr>
    </w:p>
    <w:p w:rsidR="002D3E1A" w:rsidRPr="009353E6" w:rsidRDefault="000D5BED" w:rsidP="000D5BED">
      <w:pPr>
        <w:pStyle w:val="BodyT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r>
      <w:r w:rsidR="002D3E1A" w:rsidRPr="009353E6">
        <w:rPr>
          <w:sz w:val="22"/>
          <w:szCs w:val="22"/>
          <w:lang w:val="pl-PL"/>
        </w:rPr>
        <w:t>Hiponatremia i alkaloza hipochloremiczna</w:t>
      </w:r>
    </w:p>
    <w:p w:rsidR="002D3E1A" w:rsidRPr="009353E6" w:rsidRDefault="002D3E1A" w:rsidP="000D5BED">
      <w:pPr>
        <w:pStyle w:val="BodyText"/>
        <w:spacing w:line="240" w:lineRule="auto"/>
        <w:jc w:val="left"/>
        <w:rPr>
          <w:sz w:val="22"/>
          <w:szCs w:val="22"/>
          <w:lang w:val="pl-PL"/>
        </w:rPr>
      </w:pPr>
      <w:r w:rsidRPr="009353E6">
        <w:rPr>
          <w:sz w:val="22"/>
          <w:szCs w:val="22"/>
          <w:lang w:val="pl-PL"/>
        </w:rPr>
        <w:t>Nie ma dowodów na to, aby MicardisPlus zmniejszał lub zapobiegał hiponatremii wywołanej stosowaniem diuretyków. Niedobór chlor</w:t>
      </w:r>
      <w:r w:rsidR="0079246D" w:rsidRPr="009353E6">
        <w:rPr>
          <w:sz w:val="22"/>
          <w:szCs w:val="22"/>
          <w:lang w:val="pl-PL"/>
        </w:rPr>
        <w:t>ków</w:t>
      </w:r>
      <w:r w:rsidRPr="009353E6">
        <w:rPr>
          <w:sz w:val="22"/>
          <w:szCs w:val="22"/>
          <w:lang w:val="pl-PL"/>
        </w:rPr>
        <w:t xml:space="preserve"> na ogół jest umiarkowany i nie wymaga leczenia.</w:t>
      </w:r>
    </w:p>
    <w:p w:rsidR="002D3E1A" w:rsidRPr="009353E6" w:rsidRDefault="002D3E1A" w:rsidP="000D5BED">
      <w:pPr>
        <w:pStyle w:val="BodyText"/>
        <w:spacing w:line="240" w:lineRule="auto"/>
        <w:jc w:val="left"/>
        <w:rPr>
          <w:sz w:val="22"/>
          <w:szCs w:val="22"/>
          <w:lang w:val="pl-PL"/>
        </w:rPr>
      </w:pPr>
    </w:p>
    <w:p w:rsidR="002D3E1A" w:rsidRPr="009353E6" w:rsidRDefault="000D5BED" w:rsidP="000D5BED">
      <w:pPr>
        <w:pStyle w:val="BodyT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r>
      <w:r w:rsidR="002D3E1A" w:rsidRPr="009353E6">
        <w:rPr>
          <w:sz w:val="22"/>
          <w:szCs w:val="22"/>
          <w:lang w:val="pl-PL"/>
        </w:rPr>
        <w:t>Hiperkalcemia</w:t>
      </w:r>
    </w:p>
    <w:p w:rsidR="002D3E1A" w:rsidRPr="009353E6" w:rsidRDefault="002D3E1A" w:rsidP="000D5BED">
      <w:pPr>
        <w:pStyle w:val="BodyText"/>
        <w:spacing w:line="240" w:lineRule="auto"/>
        <w:jc w:val="left"/>
        <w:rPr>
          <w:sz w:val="22"/>
          <w:szCs w:val="22"/>
          <w:lang w:val="pl-PL"/>
        </w:rPr>
      </w:pPr>
      <w:r w:rsidRPr="009353E6">
        <w:rPr>
          <w:sz w:val="22"/>
          <w:szCs w:val="22"/>
          <w:lang w:val="pl-PL"/>
        </w:rPr>
        <w:t>Tiazydy mogą zmniejszać wydalanie wapnia z moczem, co może spowodować przejściowe i niewielkie zwiększenie stężenia wapnia w surowicy, przy braku innych, znanych zaburzeń metabolizmu wapnia. Znaczna hiperkalcemia może być objawem utajonej nadczynności przytarczyc. Tiazydy powinny zostać odstawione przed przeprowadzeniem badań czynnościowych przytarczyc.</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tabs>
          <w:tab w:val="left" w:pos="540"/>
        </w:tabs>
        <w:spacing w:line="240" w:lineRule="auto"/>
        <w:jc w:val="left"/>
        <w:rPr>
          <w:sz w:val="22"/>
          <w:szCs w:val="22"/>
          <w:lang w:val="pl-PL"/>
        </w:rPr>
      </w:pPr>
      <w:r w:rsidRPr="009353E6">
        <w:rPr>
          <w:sz w:val="22"/>
          <w:szCs w:val="22"/>
          <w:lang w:val="pl-PL"/>
        </w:rPr>
        <w:t xml:space="preserve">-  </w:t>
      </w:r>
      <w:r w:rsidRPr="009353E6">
        <w:rPr>
          <w:sz w:val="22"/>
          <w:szCs w:val="22"/>
          <w:lang w:val="pl-PL"/>
        </w:rPr>
        <w:tab/>
        <w:t>Hipomagnezemia</w:t>
      </w:r>
    </w:p>
    <w:p w:rsidR="002D3E1A" w:rsidRPr="009353E6" w:rsidRDefault="002D3E1A" w:rsidP="000D5BED">
      <w:pPr>
        <w:pStyle w:val="BodyText"/>
        <w:spacing w:line="240" w:lineRule="auto"/>
        <w:jc w:val="left"/>
        <w:rPr>
          <w:sz w:val="22"/>
          <w:szCs w:val="22"/>
          <w:lang w:val="pl-PL"/>
        </w:rPr>
      </w:pPr>
      <w:r w:rsidRPr="009353E6">
        <w:rPr>
          <w:sz w:val="22"/>
          <w:szCs w:val="22"/>
          <w:lang w:val="pl-PL"/>
        </w:rPr>
        <w:t>Wykazano, że tiazydy zwiększają wydalanie magnezu z moczem, co może doprowadzić do hipomagnezemii (patrz punkt 4.5).</w:t>
      </w:r>
    </w:p>
    <w:p w:rsidR="002D3E1A" w:rsidRPr="009353E6" w:rsidRDefault="002D3E1A" w:rsidP="000D5BED">
      <w:pPr>
        <w:pStyle w:val="BodyText"/>
        <w:spacing w:line="240" w:lineRule="auto"/>
        <w:jc w:val="left"/>
        <w:rPr>
          <w:sz w:val="22"/>
          <w:szCs w:val="22"/>
          <w:lang w:val="pl-PL"/>
        </w:rPr>
      </w:pPr>
    </w:p>
    <w:p w:rsidR="00AA6CE9" w:rsidRPr="009353E6" w:rsidRDefault="00543253" w:rsidP="000D5BED">
      <w:pPr>
        <w:pStyle w:val="BodyText"/>
        <w:spacing w:line="240" w:lineRule="auto"/>
        <w:jc w:val="left"/>
        <w:rPr>
          <w:sz w:val="22"/>
          <w:szCs w:val="22"/>
          <w:u w:val="single"/>
          <w:lang w:val="pl-PL"/>
        </w:rPr>
      </w:pPr>
      <w:r w:rsidRPr="009353E6">
        <w:rPr>
          <w:sz w:val="22"/>
          <w:szCs w:val="22"/>
          <w:u w:val="single"/>
          <w:lang w:val="pl-PL"/>
        </w:rPr>
        <w:t>Sorbitol i laktoza jednowodna</w:t>
      </w:r>
    </w:p>
    <w:p w:rsidR="00AA6CE9" w:rsidRPr="009353E6" w:rsidRDefault="00AA6CE9" w:rsidP="000D5BED">
      <w:pPr>
        <w:pStyle w:val="BodyText"/>
        <w:spacing w:line="240" w:lineRule="auto"/>
        <w:jc w:val="left"/>
        <w:rPr>
          <w:sz w:val="22"/>
          <w:szCs w:val="22"/>
          <w:u w:val="single"/>
          <w:lang w:val="pl-PL"/>
        </w:rPr>
      </w:pPr>
    </w:p>
    <w:p w:rsidR="002D3E1A" w:rsidRPr="009353E6" w:rsidRDefault="00F710F6" w:rsidP="000D5BED">
      <w:pPr>
        <w:pStyle w:val="BodyText"/>
        <w:spacing w:line="240" w:lineRule="auto"/>
        <w:jc w:val="left"/>
        <w:rPr>
          <w:sz w:val="22"/>
          <w:szCs w:val="22"/>
          <w:lang w:val="pl-PL"/>
        </w:rPr>
      </w:pPr>
      <w:r w:rsidRPr="009353E6">
        <w:rPr>
          <w:sz w:val="22"/>
          <w:szCs w:val="22"/>
          <w:lang w:val="pl-PL"/>
        </w:rPr>
        <w:t>Produkt</w:t>
      </w:r>
      <w:r w:rsidR="00543253" w:rsidRPr="009353E6">
        <w:rPr>
          <w:sz w:val="22"/>
          <w:szCs w:val="22"/>
          <w:lang w:val="pl-PL"/>
        </w:rPr>
        <w:t xml:space="preserve"> zawiera </w:t>
      </w:r>
      <w:r w:rsidR="00874D37" w:rsidRPr="009353E6">
        <w:rPr>
          <w:sz w:val="22"/>
          <w:szCs w:val="22"/>
          <w:lang w:val="pl-PL"/>
        </w:rPr>
        <w:t>laktozę</w:t>
      </w:r>
      <w:r w:rsidR="00543253" w:rsidRPr="009353E6">
        <w:rPr>
          <w:sz w:val="22"/>
          <w:szCs w:val="22"/>
          <w:lang w:val="pl-PL"/>
        </w:rPr>
        <w:t xml:space="preserve"> jednowodną i sorbitol. Pacjenci z rzadką </w:t>
      </w:r>
      <w:r w:rsidR="0079246D" w:rsidRPr="009353E6">
        <w:rPr>
          <w:sz w:val="22"/>
          <w:szCs w:val="22"/>
          <w:lang w:val="pl-PL"/>
        </w:rPr>
        <w:t xml:space="preserve">dziedziczną </w:t>
      </w:r>
      <w:r w:rsidR="00543253" w:rsidRPr="009353E6">
        <w:rPr>
          <w:sz w:val="22"/>
          <w:szCs w:val="22"/>
          <w:lang w:val="pl-PL"/>
        </w:rPr>
        <w:t>nietolerancją fruktozy i</w:t>
      </w:r>
      <w:r w:rsidR="0079246D" w:rsidRPr="009353E6">
        <w:rPr>
          <w:sz w:val="22"/>
          <w:szCs w:val="22"/>
          <w:lang w:val="pl-PL"/>
        </w:rPr>
        <w:t xml:space="preserve"> </w:t>
      </w:r>
      <w:r w:rsidR="002752F2" w:rsidRPr="009353E6">
        <w:rPr>
          <w:sz w:val="22"/>
          <w:szCs w:val="22"/>
          <w:lang w:val="pl-PL"/>
        </w:rPr>
        <w:t xml:space="preserve">(lub) rzadką </w:t>
      </w:r>
      <w:r w:rsidR="0079246D" w:rsidRPr="009353E6">
        <w:rPr>
          <w:sz w:val="22"/>
          <w:szCs w:val="22"/>
          <w:lang w:val="pl-PL"/>
        </w:rPr>
        <w:t>dziedziczną</w:t>
      </w:r>
      <w:r w:rsidR="002752F2" w:rsidRPr="009353E6">
        <w:rPr>
          <w:sz w:val="22"/>
          <w:szCs w:val="22"/>
          <w:lang w:val="pl-PL"/>
        </w:rPr>
        <w:t xml:space="preserve"> nietolerancją galaktozy, niedoborem lakt</w:t>
      </w:r>
      <w:r w:rsidR="00126929" w:rsidRPr="009353E6">
        <w:rPr>
          <w:sz w:val="22"/>
          <w:szCs w:val="22"/>
          <w:lang w:val="pl-PL"/>
        </w:rPr>
        <w:t>a</w:t>
      </w:r>
      <w:r w:rsidR="002752F2" w:rsidRPr="009353E6">
        <w:rPr>
          <w:sz w:val="22"/>
          <w:szCs w:val="22"/>
          <w:lang w:val="pl-PL"/>
        </w:rPr>
        <w:t xml:space="preserve">zy </w:t>
      </w:r>
      <w:r w:rsidR="00126929" w:rsidRPr="009353E6">
        <w:rPr>
          <w:sz w:val="22"/>
          <w:szCs w:val="22"/>
          <w:lang w:val="pl-PL"/>
        </w:rPr>
        <w:t xml:space="preserve">typu </w:t>
      </w:r>
      <w:r w:rsidR="002752F2" w:rsidRPr="009353E6">
        <w:rPr>
          <w:sz w:val="22"/>
          <w:szCs w:val="22"/>
          <w:lang w:val="pl-PL"/>
        </w:rPr>
        <w:t>Lapp lub za</w:t>
      </w:r>
      <w:r w:rsidR="007417FB" w:rsidRPr="009353E6">
        <w:rPr>
          <w:sz w:val="22"/>
          <w:szCs w:val="22"/>
          <w:lang w:val="pl-PL"/>
        </w:rPr>
        <w:t>b</w:t>
      </w:r>
      <w:r w:rsidR="002752F2" w:rsidRPr="009353E6">
        <w:rPr>
          <w:sz w:val="22"/>
          <w:szCs w:val="22"/>
          <w:lang w:val="pl-PL"/>
        </w:rPr>
        <w:t xml:space="preserve">urzeniami wchłaniania glukozy-galaktozy nie powinni stosować </w:t>
      </w:r>
      <w:r w:rsidRPr="009353E6">
        <w:rPr>
          <w:sz w:val="22"/>
          <w:szCs w:val="22"/>
          <w:lang w:val="pl-PL"/>
        </w:rPr>
        <w:t>produkt</w:t>
      </w:r>
      <w:r w:rsidR="002752F2" w:rsidRPr="009353E6">
        <w:rPr>
          <w:sz w:val="22"/>
          <w:szCs w:val="22"/>
          <w:lang w:val="pl-PL"/>
        </w:rPr>
        <w:t xml:space="preserve">u. </w:t>
      </w:r>
      <w:r w:rsidR="00543253" w:rsidRPr="009353E6">
        <w:rPr>
          <w:sz w:val="22"/>
          <w:szCs w:val="22"/>
          <w:lang w:val="pl-PL"/>
        </w:rPr>
        <w:t xml:space="preserve"> </w:t>
      </w:r>
    </w:p>
    <w:p w:rsidR="0076493E" w:rsidRPr="009353E6" w:rsidRDefault="0076493E" w:rsidP="000D5BED">
      <w:pPr>
        <w:pStyle w:val="BodyText"/>
        <w:spacing w:line="240" w:lineRule="auto"/>
        <w:jc w:val="left"/>
        <w:rPr>
          <w:sz w:val="22"/>
          <w:szCs w:val="22"/>
          <w:u w:val="single"/>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Różnice etniczne</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Podobnie jak w przypadku innych antagonistów </w:t>
      </w:r>
      <w:r w:rsidR="0030023C" w:rsidRPr="009353E6">
        <w:rPr>
          <w:sz w:val="22"/>
          <w:szCs w:val="22"/>
          <w:lang w:val="pl-PL"/>
        </w:rPr>
        <w:t>receptor</w:t>
      </w:r>
      <w:r w:rsidR="00941026" w:rsidRPr="009353E6">
        <w:rPr>
          <w:sz w:val="22"/>
          <w:szCs w:val="22"/>
          <w:lang w:val="pl-PL"/>
        </w:rPr>
        <w:t>a</w:t>
      </w:r>
      <w:r w:rsidR="0030023C" w:rsidRPr="009353E6">
        <w:rPr>
          <w:sz w:val="22"/>
          <w:szCs w:val="22"/>
          <w:lang w:val="pl-PL"/>
        </w:rPr>
        <w:t xml:space="preserve"> angiotensyny II</w:t>
      </w:r>
      <w:r w:rsidRPr="009353E6">
        <w:rPr>
          <w:sz w:val="22"/>
          <w:szCs w:val="22"/>
          <w:lang w:val="pl-PL"/>
        </w:rPr>
        <w:t>, telmisartan jest wyraźnie mniej skuteczny w leczeniu nadciśnienia u osób rasy czarnej, prawdopodobnie z powodu częstszego występowania zmniejszonego stężenia reniny w populacji pacjentów rasy czarnej z nadciśnieniem.</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Inne</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Podobnie jak w przypadku innych leków przeciwnadciśnieniowych, nadmierne obniżenie ciśnienia krwi u pacjentów z kardi</w:t>
      </w:r>
      <w:r w:rsidR="004B1A93" w:rsidRPr="009353E6">
        <w:rPr>
          <w:sz w:val="22"/>
          <w:szCs w:val="22"/>
          <w:lang w:val="pl-PL"/>
        </w:rPr>
        <w:t>omiopatią</w:t>
      </w:r>
      <w:r w:rsidRPr="009353E6">
        <w:rPr>
          <w:sz w:val="22"/>
          <w:szCs w:val="22"/>
          <w:lang w:val="pl-PL"/>
        </w:rPr>
        <w:t xml:space="preserve"> niedokrwienną lub z chorobą niedokrwienną serca może spowodować zawał serca lub udar.</w:t>
      </w:r>
    </w:p>
    <w:p w:rsidR="002D3E1A" w:rsidRPr="009353E6" w:rsidRDefault="002D3E1A" w:rsidP="000D5BED">
      <w:pPr>
        <w:pStyle w:val="BodyText"/>
        <w:spacing w:line="240" w:lineRule="auto"/>
        <w:jc w:val="left"/>
        <w:rPr>
          <w:sz w:val="22"/>
          <w:szCs w:val="22"/>
          <w:lang w:val="pl-PL"/>
        </w:rPr>
      </w:pPr>
    </w:p>
    <w:p w:rsidR="00AA6CE9" w:rsidRPr="009353E6" w:rsidRDefault="002D3E1A" w:rsidP="004A0B9E">
      <w:pPr>
        <w:pStyle w:val="BodyText"/>
        <w:keepNext/>
        <w:spacing w:line="240" w:lineRule="auto"/>
        <w:jc w:val="left"/>
        <w:rPr>
          <w:sz w:val="22"/>
          <w:szCs w:val="22"/>
          <w:lang w:val="pl-PL"/>
        </w:rPr>
      </w:pPr>
      <w:r w:rsidRPr="009353E6">
        <w:rPr>
          <w:sz w:val="22"/>
          <w:szCs w:val="22"/>
          <w:u w:val="single"/>
          <w:lang w:val="pl-PL"/>
        </w:rPr>
        <w:t>Informacje ogólne</w:t>
      </w:r>
    </w:p>
    <w:p w:rsidR="00AA6CE9" w:rsidRPr="009353E6" w:rsidRDefault="00AA6CE9" w:rsidP="004A0B9E">
      <w:pPr>
        <w:pStyle w:val="BodyText"/>
        <w:keepNext/>
        <w:spacing w:line="240" w:lineRule="auto"/>
        <w:jc w:val="left"/>
        <w:rPr>
          <w:sz w:val="22"/>
          <w:szCs w:val="22"/>
          <w:lang w:val="pl-PL"/>
        </w:rPr>
      </w:pPr>
    </w:p>
    <w:p w:rsidR="0030023C" w:rsidRPr="009353E6" w:rsidRDefault="002D3E1A" w:rsidP="000D5BED">
      <w:pPr>
        <w:pStyle w:val="BodyText"/>
        <w:spacing w:line="240" w:lineRule="auto"/>
        <w:jc w:val="left"/>
        <w:rPr>
          <w:sz w:val="22"/>
          <w:szCs w:val="22"/>
          <w:lang w:val="pl-PL"/>
        </w:rPr>
      </w:pPr>
      <w:r w:rsidRPr="009353E6">
        <w:rPr>
          <w:sz w:val="22"/>
          <w:szCs w:val="22"/>
          <w:lang w:val="pl-PL"/>
        </w:rPr>
        <w:t xml:space="preserve">Reakcje nadwrażliwości na hydrochlorotiazyd mogą wystąpić u pacjentów z </w:t>
      </w:r>
      <w:r w:rsidR="002D1CF8" w:rsidRPr="009353E6">
        <w:rPr>
          <w:sz w:val="22"/>
          <w:szCs w:val="22"/>
          <w:lang w:val="pl-PL"/>
        </w:rPr>
        <w:t xml:space="preserve">lub bez alergii </w:t>
      </w:r>
      <w:r w:rsidRPr="009353E6">
        <w:rPr>
          <w:sz w:val="22"/>
          <w:szCs w:val="22"/>
          <w:lang w:val="pl-PL"/>
        </w:rPr>
        <w:t>czy astmy oskrzelowej w wywiadzie, jednakże takie epizody są bardziej prawdopodobne u pacjentów z obciążonym wywiadem.</w:t>
      </w:r>
      <w:r w:rsidR="0030023C" w:rsidRPr="009353E6">
        <w:rPr>
          <w:sz w:val="22"/>
          <w:szCs w:val="22"/>
          <w:lang w:val="pl-PL"/>
        </w:rPr>
        <w:t xml:space="preserve"> </w:t>
      </w:r>
    </w:p>
    <w:p w:rsidR="002D3E1A" w:rsidRPr="009353E6" w:rsidRDefault="002D3E1A" w:rsidP="000D5BED">
      <w:pPr>
        <w:pStyle w:val="BodyText"/>
        <w:spacing w:line="240" w:lineRule="auto"/>
        <w:jc w:val="left"/>
        <w:rPr>
          <w:sz w:val="22"/>
          <w:szCs w:val="22"/>
          <w:lang w:val="pl-PL"/>
        </w:rPr>
      </w:pPr>
      <w:r w:rsidRPr="009353E6">
        <w:rPr>
          <w:sz w:val="22"/>
          <w:szCs w:val="22"/>
          <w:lang w:val="pl-PL"/>
        </w:rPr>
        <w:t>Istnieją doniesienia o zaostrzeniu lub aktywacji tocznia rumieniowatego</w:t>
      </w:r>
      <w:r w:rsidR="00891993" w:rsidRPr="009353E6">
        <w:rPr>
          <w:sz w:val="22"/>
          <w:szCs w:val="22"/>
          <w:lang w:val="pl-PL"/>
        </w:rPr>
        <w:t xml:space="preserve"> układowego</w:t>
      </w:r>
      <w:r w:rsidRPr="009353E6">
        <w:rPr>
          <w:sz w:val="22"/>
          <w:szCs w:val="22"/>
          <w:lang w:val="pl-PL"/>
        </w:rPr>
        <w:t xml:space="preserve"> po przyjęciu diuretyków tiazydowych</w:t>
      </w:r>
      <w:r w:rsidR="00836A1D" w:rsidRPr="009353E6">
        <w:rPr>
          <w:sz w:val="22"/>
          <w:szCs w:val="22"/>
          <w:lang w:val="pl-PL"/>
        </w:rPr>
        <w:t>,</w:t>
      </w:r>
      <w:r w:rsidR="00CB0C6F" w:rsidRPr="009353E6">
        <w:rPr>
          <w:sz w:val="22"/>
          <w:szCs w:val="22"/>
          <w:lang w:val="pl-PL"/>
        </w:rPr>
        <w:t xml:space="preserve"> w tym hydrochlorotiazydu</w:t>
      </w:r>
      <w:r w:rsidRPr="009353E6">
        <w:rPr>
          <w:sz w:val="22"/>
          <w:szCs w:val="22"/>
          <w:lang w:val="pl-PL"/>
        </w:rPr>
        <w:t>.</w:t>
      </w:r>
    </w:p>
    <w:p w:rsidR="002D1CF8" w:rsidRPr="009353E6" w:rsidRDefault="002D1CF8" w:rsidP="000D5BED">
      <w:pPr>
        <w:pStyle w:val="BodyText"/>
        <w:spacing w:line="240" w:lineRule="auto"/>
        <w:jc w:val="left"/>
        <w:rPr>
          <w:sz w:val="22"/>
          <w:szCs w:val="22"/>
          <w:lang w:val="pl-PL"/>
        </w:rPr>
      </w:pPr>
      <w:r w:rsidRPr="009353E6">
        <w:rPr>
          <w:sz w:val="22"/>
          <w:szCs w:val="22"/>
          <w:lang w:val="pl-PL"/>
        </w:rPr>
        <w:t xml:space="preserve">W związku ze stosowaniem tiazydowych leków moczopędnych opisywano przypadki reakcji </w:t>
      </w:r>
      <w:r w:rsidR="00941026" w:rsidRPr="009353E6">
        <w:rPr>
          <w:sz w:val="22"/>
          <w:szCs w:val="22"/>
          <w:lang w:val="pl-PL"/>
        </w:rPr>
        <w:t>nadwrażliwości na światło</w:t>
      </w:r>
      <w:r w:rsidRPr="009353E6">
        <w:rPr>
          <w:sz w:val="22"/>
          <w:szCs w:val="22"/>
          <w:lang w:val="pl-PL"/>
        </w:rPr>
        <w:t xml:space="preserve"> (patrz punkt 4.8). W przypadku wystąpienia reakcji nadwrażliwości podczas leczenia</w:t>
      </w:r>
      <w:r w:rsidRPr="009353E6" w:rsidDel="00245C24">
        <w:rPr>
          <w:sz w:val="22"/>
          <w:szCs w:val="22"/>
          <w:lang w:val="pl-PL"/>
        </w:rPr>
        <w:t>,</w:t>
      </w:r>
      <w:r w:rsidRPr="009353E6">
        <w:rPr>
          <w:sz w:val="22"/>
          <w:szCs w:val="22"/>
          <w:lang w:val="pl-PL"/>
        </w:rPr>
        <w:t xml:space="preserve"> zaleca się przerwanie podawania leku. Jeśli ponowne rozpoczęcie podawania leku wydaje się być konieczne, zaleca się osłanianie ciała przed światłem słonecznym lub sztucznym </w:t>
      </w:r>
      <w:r w:rsidR="00941026" w:rsidRPr="009353E6">
        <w:rPr>
          <w:sz w:val="22"/>
          <w:szCs w:val="22"/>
          <w:lang w:val="pl-PL"/>
        </w:rPr>
        <w:t>promieniowaniem</w:t>
      </w:r>
      <w:r w:rsidRPr="009353E6">
        <w:rPr>
          <w:sz w:val="22"/>
          <w:szCs w:val="22"/>
          <w:lang w:val="pl-PL"/>
        </w:rPr>
        <w:t xml:space="preserve"> UVA.</w:t>
      </w:r>
    </w:p>
    <w:p w:rsidR="002D3E1A" w:rsidRPr="009353E6" w:rsidRDefault="002D3E1A" w:rsidP="000D5BED">
      <w:pPr>
        <w:pStyle w:val="BodyText"/>
        <w:spacing w:line="240" w:lineRule="auto"/>
        <w:jc w:val="left"/>
        <w:rPr>
          <w:sz w:val="22"/>
          <w:szCs w:val="22"/>
          <w:lang w:val="pl-PL"/>
        </w:rPr>
      </w:pPr>
    </w:p>
    <w:p w:rsidR="00836E05" w:rsidRPr="009353E6" w:rsidRDefault="00A42C88" w:rsidP="004A0B9E">
      <w:pPr>
        <w:keepNext/>
        <w:tabs>
          <w:tab w:val="left" w:pos="567"/>
        </w:tabs>
        <w:rPr>
          <w:sz w:val="22"/>
          <w:szCs w:val="22"/>
          <w:u w:val="single"/>
          <w:lang w:val="pl-PL"/>
        </w:rPr>
      </w:pPr>
      <w:r w:rsidRPr="009353E6">
        <w:rPr>
          <w:sz w:val="22"/>
          <w:szCs w:val="22"/>
          <w:u w:val="single"/>
          <w:lang w:val="pl-PL"/>
        </w:rPr>
        <w:t>Nadmierne nagromadzenie płynu między naczyniówką a twardówką, o</w:t>
      </w:r>
      <w:r w:rsidR="00836E05" w:rsidRPr="009353E6">
        <w:rPr>
          <w:sz w:val="22"/>
          <w:szCs w:val="22"/>
          <w:u w:val="single"/>
          <w:lang w:val="pl-PL"/>
        </w:rPr>
        <w:t>stra krótkowzroczność i jaskra z zamkniętym kątem przesączania</w:t>
      </w:r>
    </w:p>
    <w:p w:rsidR="00836E05" w:rsidRPr="009353E6" w:rsidRDefault="00836E05" w:rsidP="004A0B9E">
      <w:pPr>
        <w:keepNext/>
        <w:tabs>
          <w:tab w:val="left" w:pos="567"/>
        </w:tabs>
        <w:rPr>
          <w:sz w:val="22"/>
          <w:szCs w:val="22"/>
          <w:lang w:val="pl-PL"/>
        </w:rPr>
      </w:pPr>
    </w:p>
    <w:p w:rsidR="00CE28D9" w:rsidRPr="009353E6" w:rsidRDefault="00836E05" w:rsidP="00836E05">
      <w:pPr>
        <w:tabs>
          <w:tab w:val="left" w:pos="567"/>
        </w:tabs>
        <w:rPr>
          <w:sz w:val="22"/>
          <w:szCs w:val="22"/>
          <w:lang w:val="pl-PL"/>
        </w:rPr>
      </w:pPr>
      <w:r w:rsidRPr="009353E6">
        <w:rPr>
          <w:sz w:val="22"/>
          <w:szCs w:val="22"/>
          <w:lang w:val="pl-PL"/>
        </w:rPr>
        <w:t>Hydrochlorotiazyd, będący sulfonamidem, może powodować swoiste reakcje prowadzące do</w:t>
      </w:r>
      <w:r w:rsidR="00A42C88" w:rsidRPr="009353E6">
        <w:rPr>
          <w:sz w:val="22"/>
          <w:szCs w:val="22"/>
          <w:lang w:val="pl-PL"/>
        </w:rPr>
        <w:t xml:space="preserve"> nadmiernego nagromadzenia płynu między naczyniówką a twardówką z ograniczeniem pola widzenia,</w:t>
      </w:r>
      <w:r w:rsidRPr="009353E6">
        <w:rPr>
          <w:sz w:val="22"/>
          <w:szCs w:val="22"/>
          <w:lang w:val="pl-PL"/>
        </w:rPr>
        <w:t xml:space="preserve"> ostrej przejściowej krótkowzroczności i ostrej jaskry z zamkniętym kątem przesączania</w:t>
      </w:r>
      <w:r w:rsidR="00777C9A" w:rsidRPr="009353E6">
        <w:rPr>
          <w:sz w:val="22"/>
          <w:szCs w:val="22"/>
          <w:lang w:val="pl-PL"/>
        </w:rPr>
        <w:t>.</w:t>
      </w:r>
      <w:r w:rsidRPr="009353E6">
        <w:rPr>
          <w:sz w:val="22"/>
          <w:szCs w:val="22"/>
          <w:lang w:val="pl-PL"/>
        </w:rPr>
        <w:t xml:space="preserve"> </w:t>
      </w:r>
    </w:p>
    <w:p w:rsidR="00836E05" w:rsidRPr="009353E6" w:rsidRDefault="00836E05" w:rsidP="00836E05">
      <w:pPr>
        <w:tabs>
          <w:tab w:val="left" w:pos="567"/>
        </w:tabs>
        <w:rPr>
          <w:sz w:val="22"/>
          <w:szCs w:val="22"/>
          <w:lang w:val="pl-PL"/>
        </w:rPr>
      </w:pPr>
      <w:r w:rsidRPr="009353E6">
        <w:rPr>
          <w:sz w:val="22"/>
          <w:szCs w:val="22"/>
          <w:lang w:val="pl-PL"/>
        </w:rPr>
        <w:t>Objawy obejmują nagłe zmniejszenie ostrości widzenia lub ból oczu, które zwykle występują w ciągu kilku godzin lub tygodni od rozpoczęcia terapii lekiem. Nieleczona ostra jaskra z zamkniętym  kątem przesączania może prowadzić do trwałej utraty wzroku. Leczenie w pierwszej kolejności polega na jak najszybszym odstawieniu hydrochlorotiazydu. W przypadku</w:t>
      </w:r>
      <w:r w:rsidR="00777C9A" w:rsidRPr="009353E6">
        <w:rPr>
          <w:sz w:val="22"/>
          <w:szCs w:val="22"/>
          <w:lang w:val="pl-PL"/>
        </w:rPr>
        <w:t>,</w:t>
      </w:r>
      <w:r w:rsidRPr="009353E6">
        <w:rPr>
          <w:sz w:val="22"/>
          <w:szCs w:val="22"/>
          <w:lang w:val="pl-PL"/>
        </w:rPr>
        <w:t xml:space="preserve"> gdy nie udaje się opanować ciśnienia wewnątrzgałkowego, należy rozważyć niezwłoczne podjęcie leczenia chirurgicznego lub zachowawczego. Do czynników ryzyka rozwoju ostrej jaskry z zamkniętym kątem przesączania może należeć uczulenie na sulfonamidy lub penicylinę w wywiadzie. </w:t>
      </w:r>
    </w:p>
    <w:p w:rsidR="006C0287" w:rsidRPr="009353E6" w:rsidRDefault="006C0287" w:rsidP="000D5BED">
      <w:pPr>
        <w:pStyle w:val="BodyText"/>
        <w:spacing w:line="240" w:lineRule="auto"/>
        <w:jc w:val="left"/>
        <w:rPr>
          <w:sz w:val="22"/>
          <w:szCs w:val="22"/>
          <w:lang w:val="pl-PL"/>
        </w:rPr>
      </w:pPr>
    </w:p>
    <w:p w:rsidR="00742EA5" w:rsidRPr="009353E6" w:rsidRDefault="00742EA5" w:rsidP="000D5BED">
      <w:pPr>
        <w:pStyle w:val="BodyText"/>
        <w:spacing w:line="240" w:lineRule="auto"/>
        <w:jc w:val="left"/>
        <w:rPr>
          <w:sz w:val="22"/>
          <w:szCs w:val="22"/>
          <w:u w:val="single"/>
          <w:lang w:val="pl-PL"/>
        </w:rPr>
      </w:pPr>
      <w:r w:rsidRPr="009353E6">
        <w:rPr>
          <w:sz w:val="22"/>
          <w:szCs w:val="22"/>
          <w:u w:val="single"/>
          <w:lang w:val="pl-PL"/>
        </w:rPr>
        <w:t>Nieczerniakowe nowotwory złośliwe skóry</w:t>
      </w:r>
    </w:p>
    <w:p w:rsidR="00742EA5" w:rsidRPr="009353E6" w:rsidRDefault="00742EA5" w:rsidP="000D5BED">
      <w:pPr>
        <w:pStyle w:val="BodyText"/>
        <w:spacing w:line="240" w:lineRule="auto"/>
        <w:jc w:val="left"/>
        <w:rPr>
          <w:sz w:val="22"/>
          <w:szCs w:val="22"/>
          <w:lang w:val="pl-PL"/>
        </w:rPr>
      </w:pPr>
    </w:p>
    <w:p w:rsidR="00742EA5" w:rsidRPr="009353E6" w:rsidRDefault="00742EA5" w:rsidP="000D5BED">
      <w:pPr>
        <w:pStyle w:val="BodyText"/>
        <w:spacing w:line="240" w:lineRule="auto"/>
        <w:jc w:val="left"/>
        <w:rPr>
          <w:sz w:val="22"/>
          <w:szCs w:val="22"/>
          <w:lang w:val="pl-PL"/>
        </w:rPr>
      </w:pPr>
      <w:r w:rsidRPr="009353E6">
        <w:rPr>
          <w:sz w:val="22"/>
          <w:szCs w:val="22"/>
          <w:lang w:val="pl-PL"/>
        </w:rPr>
        <w:t>W dwóch badaniach epidemiologicznych z wykorzystaniem danych z duńskiego krajowego rejestru nowotworów złośliwych stwierdzono zwiększenie ryzyka nieczerniakowych nowotworów złośliwych skóry (NMSC, ang. non-melanoma skin cancer) [raka podstawnokomórkowego (BCC, ang. basal cell carcinoma) i raka kolczystokomórkowego (SCC, ang. squamous cell carcinoma)] w warunkach zwiększającego się łącznego narażenia organizmu na hydrochlorotiazyd (HCTZ). W mechanizmie rozwoju NMCS mogą odgrywać rolę właściwości fotouczulające HCTZ.</w:t>
      </w:r>
    </w:p>
    <w:p w:rsidR="00742EA5" w:rsidRPr="009353E6" w:rsidRDefault="00742EA5" w:rsidP="000D5BED">
      <w:pPr>
        <w:pStyle w:val="BodyText"/>
        <w:spacing w:line="240" w:lineRule="auto"/>
        <w:jc w:val="left"/>
        <w:rPr>
          <w:sz w:val="22"/>
          <w:szCs w:val="22"/>
          <w:lang w:val="pl-PL"/>
        </w:rPr>
      </w:pPr>
    </w:p>
    <w:p w:rsidR="00742EA5" w:rsidRPr="009353E6" w:rsidRDefault="00742EA5" w:rsidP="000D5BED">
      <w:pPr>
        <w:pStyle w:val="BodyText"/>
        <w:spacing w:line="240" w:lineRule="auto"/>
        <w:jc w:val="left"/>
        <w:rPr>
          <w:sz w:val="22"/>
          <w:szCs w:val="22"/>
          <w:lang w:val="pl-PL"/>
        </w:rPr>
      </w:pPr>
      <w:r w:rsidRPr="009353E6">
        <w:rPr>
          <w:sz w:val="22"/>
          <w:szCs w:val="22"/>
          <w:lang w:val="pl-PL"/>
        </w:rPr>
        <w:t>Pacjentów przyjmujących HCTZ należy poinformować o ryzyku NMSC i zalecić regularne sprawdzanie, czy na skórze nie pojawiły się nowe zmiany, i szybki kontakt z lekarzem w przypadku stwierdzenia jakichkolwiek podejrzanych zmian skórnych. Pacjentom należy zalecić podejmowanie możliwych działań zapobiegawczych w celu minimalizacji ryzyka rozwoju nowotworów złośliwych skóry, jak ograniczanie narażania się na działanie światła słonecznego i promieniowania UV, a jeśli to niemożliwe - odpowiednią ochronę. Niepokojące zmiany skórne należy niezwłocznie badać z możliwością wykonania biopsji z oceną histologiczną. U osób, u których w przeszłości występowały NMSC, może być konieczne ponowne rozważenie stosowania HCTZ (patrz również punkt 4.8).</w:t>
      </w:r>
    </w:p>
    <w:p w:rsidR="00742EA5" w:rsidRPr="009353E6" w:rsidRDefault="00742EA5" w:rsidP="000D5BED">
      <w:pPr>
        <w:pStyle w:val="BodyText"/>
        <w:spacing w:line="240" w:lineRule="auto"/>
        <w:jc w:val="left"/>
        <w:rPr>
          <w:sz w:val="22"/>
          <w:szCs w:val="22"/>
          <w:lang w:val="pl-PL"/>
        </w:rPr>
      </w:pPr>
    </w:p>
    <w:p w:rsidR="002D3E1A" w:rsidRPr="009353E6" w:rsidRDefault="000D5BED" w:rsidP="000D5BED">
      <w:pPr>
        <w:pStyle w:val="BodyText"/>
        <w:tabs>
          <w:tab w:val="left" w:pos="540"/>
        </w:tabs>
        <w:spacing w:line="240" w:lineRule="auto"/>
        <w:jc w:val="left"/>
        <w:rPr>
          <w:b/>
          <w:sz w:val="22"/>
          <w:szCs w:val="22"/>
          <w:lang w:val="pl-PL"/>
        </w:rPr>
      </w:pPr>
      <w:r w:rsidRPr="009353E6">
        <w:rPr>
          <w:b/>
          <w:sz w:val="22"/>
          <w:szCs w:val="22"/>
          <w:lang w:val="pl-PL"/>
        </w:rPr>
        <w:t>4.5</w:t>
      </w:r>
      <w:r w:rsidRPr="009353E6">
        <w:rPr>
          <w:b/>
          <w:sz w:val="22"/>
          <w:szCs w:val="22"/>
          <w:lang w:val="pl-PL"/>
        </w:rPr>
        <w:tab/>
      </w:r>
      <w:r w:rsidR="002D3E1A" w:rsidRPr="009353E6">
        <w:rPr>
          <w:b/>
          <w:sz w:val="22"/>
          <w:szCs w:val="22"/>
          <w:lang w:val="pl-PL"/>
        </w:rPr>
        <w:t xml:space="preserve">Interakcje z innymi </w:t>
      </w:r>
      <w:r w:rsidR="00260994" w:rsidRPr="009353E6">
        <w:rPr>
          <w:b/>
          <w:sz w:val="22"/>
          <w:szCs w:val="22"/>
          <w:lang w:val="pl-PL"/>
        </w:rPr>
        <w:t xml:space="preserve">produktami leczniczymi </w:t>
      </w:r>
      <w:r w:rsidR="0063501D" w:rsidRPr="009353E6">
        <w:rPr>
          <w:b/>
          <w:sz w:val="22"/>
          <w:szCs w:val="22"/>
          <w:lang w:val="pl-PL"/>
        </w:rPr>
        <w:t xml:space="preserve">i </w:t>
      </w:r>
      <w:r w:rsidR="002D3E1A" w:rsidRPr="009353E6">
        <w:rPr>
          <w:b/>
          <w:sz w:val="22"/>
          <w:szCs w:val="22"/>
          <w:lang w:val="pl-PL"/>
        </w:rPr>
        <w:t>inne rodzaje interakcji</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Lit</w:t>
      </w:r>
    </w:p>
    <w:p w:rsidR="00AA6CE9" w:rsidRPr="009353E6" w:rsidRDefault="00AA6CE9" w:rsidP="000D5BED">
      <w:pPr>
        <w:pStyle w:val="BodyText"/>
        <w:spacing w:line="240" w:lineRule="auto"/>
        <w:jc w:val="left"/>
        <w:rPr>
          <w:sz w:val="22"/>
          <w:szCs w:val="22"/>
          <w:lang w:val="pl-PL"/>
        </w:rPr>
      </w:pPr>
    </w:p>
    <w:p w:rsidR="00754C1F" w:rsidRPr="009353E6" w:rsidRDefault="002D3E1A" w:rsidP="000D5BED">
      <w:pPr>
        <w:pStyle w:val="BodyText"/>
        <w:spacing w:line="240" w:lineRule="auto"/>
        <w:jc w:val="left"/>
        <w:rPr>
          <w:sz w:val="22"/>
          <w:szCs w:val="22"/>
          <w:lang w:val="pl-PL"/>
        </w:rPr>
      </w:pPr>
      <w:r w:rsidRPr="009353E6">
        <w:rPr>
          <w:sz w:val="22"/>
          <w:szCs w:val="22"/>
          <w:lang w:val="pl-PL"/>
        </w:rPr>
        <w:t>Obserwowano przemijające zwiększenie stężenia litu w surowicy i zwiększenie jego toksyczności w przypadku jednoczesnego stosowania z inhibitorami konwert</w:t>
      </w:r>
      <w:r w:rsidR="0063501D" w:rsidRPr="009353E6">
        <w:rPr>
          <w:sz w:val="22"/>
          <w:szCs w:val="22"/>
          <w:lang w:val="pl-PL"/>
        </w:rPr>
        <w:t>azy</w:t>
      </w:r>
      <w:r w:rsidRPr="009353E6">
        <w:rPr>
          <w:sz w:val="22"/>
          <w:szCs w:val="22"/>
          <w:lang w:val="pl-PL"/>
        </w:rPr>
        <w:t xml:space="preserve"> angiotensyn</w:t>
      </w:r>
      <w:r w:rsidR="0063501D" w:rsidRPr="009353E6">
        <w:rPr>
          <w:sz w:val="22"/>
          <w:szCs w:val="22"/>
          <w:lang w:val="pl-PL"/>
        </w:rPr>
        <w:t>y</w:t>
      </w:r>
      <w:r w:rsidRPr="009353E6">
        <w:rPr>
          <w:sz w:val="22"/>
          <w:szCs w:val="22"/>
          <w:lang w:val="pl-PL"/>
        </w:rPr>
        <w:t>.</w:t>
      </w:r>
      <w:r w:rsidR="00B63423" w:rsidRPr="009353E6">
        <w:rPr>
          <w:sz w:val="22"/>
          <w:szCs w:val="22"/>
          <w:lang w:val="pl-PL"/>
        </w:rPr>
        <w:t xml:space="preserve"> Rzadko zanotowano przypadki z antagonistami receptora angiotensyny II </w:t>
      </w:r>
      <w:r w:rsidR="0063501D" w:rsidRPr="009353E6">
        <w:rPr>
          <w:sz w:val="22"/>
          <w:szCs w:val="22"/>
          <w:lang w:val="pl-PL"/>
        </w:rPr>
        <w:t>(w</w:t>
      </w:r>
      <w:r w:rsidR="00622B2F" w:rsidRPr="009353E6">
        <w:rPr>
          <w:sz w:val="22"/>
          <w:szCs w:val="22"/>
          <w:lang w:val="pl-PL"/>
        </w:rPr>
        <w:t xml:space="preserve"> tym</w:t>
      </w:r>
      <w:r w:rsidR="0063501D" w:rsidRPr="009353E6">
        <w:rPr>
          <w:sz w:val="22"/>
          <w:szCs w:val="22"/>
          <w:lang w:val="pl-PL"/>
        </w:rPr>
        <w:t xml:space="preserve"> MicardisPlus)</w:t>
      </w:r>
      <w:r w:rsidRPr="009353E6">
        <w:rPr>
          <w:sz w:val="22"/>
          <w:szCs w:val="22"/>
          <w:lang w:val="pl-PL"/>
        </w:rPr>
        <w:t xml:space="preserve">. </w:t>
      </w:r>
      <w:r w:rsidR="00754C1F" w:rsidRPr="009353E6">
        <w:rPr>
          <w:sz w:val="22"/>
          <w:szCs w:val="22"/>
          <w:lang w:val="pl-PL"/>
        </w:rPr>
        <w:t>Nie jest zalecane j</w:t>
      </w:r>
      <w:r w:rsidRPr="009353E6">
        <w:rPr>
          <w:sz w:val="22"/>
          <w:szCs w:val="22"/>
          <w:lang w:val="pl-PL"/>
        </w:rPr>
        <w:t>ednoczesne stosowanie litu i pr</w:t>
      </w:r>
      <w:r w:rsidR="0079246D" w:rsidRPr="009353E6">
        <w:rPr>
          <w:sz w:val="22"/>
          <w:szCs w:val="22"/>
          <w:lang w:val="pl-PL"/>
        </w:rPr>
        <w:t>od</w:t>
      </w:r>
      <w:r w:rsidR="00777C9A" w:rsidRPr="009353E6">
        <w:rPr>
          <w:sz w:val="22"/>
          <w:szCs w:val="22"/>
          <w:lang w:val="pl-PL"/>
        </w:rPr>
        <w:t>uk</w:t>
      </w:r>
      <w:r w:rsidR="0079246D" w:rsidRPr="009353E6">
        <w:rPr>
          <w:sz w:val="22"/>
          <w:szCs w:val="22"/>
          <w:lang w:val="pl-PL"/>
        </w:rPr>
        <w:t>tu</w:t>
      </w:r>
      <w:r w:rsidRPr="009353E6">
        <w:rPr>
          <w:sz w:val="22"/>
          <w:szCs w:val="22"/>
          <w:lang w:val="pl-PL"/>
        </w:rPr>
        <w:t xml:space="preserve"> MicardisPlus</w:t>
      </w:r>
      <w:r w:rsidR="0079246D" w:rsidRPr="009353E6">
        <w:rPr>
          <w:sz w:val="22"/>
          <w:szCs w:val="22"/>
          <w:lang w:val="pl-PL"/>
        </w:rPr>
        <w:t xml:space="preserve"> (patrz punkt 4.4)</w:t>
      </w:r>
      <w:r w:rsidR="00754C1F" w:rsidRPr="009353E6">
        <w:rPr>
          <w:sz w:val="22"/>
          <w:szCs w:val="22"/>
          <w:lang w:val="pl-PL"/>
        </w:rPr>
        <w:t>. Jeśli równoczesne stosowanie tych leków jest konieczne</w:t>
      </w:r>
      <w:r w:rsidR="0079246D" w:rsidRPr="009353E6">
        <w:rPr>
          <w:sz w:val="22"/>
          <w:szCs w:val="22"/>
          <w:lang w:val="pl-PL"/>
        </w:rPr>
        <w:t>,</w:t>
      </w:r>
      <w:r w:rsidR="00754C1F" w:rsidRPr="009353E6">
        <w:rPr>
          <w:sz w:val="22"/>
          <w:szCs w:val="22"/>
          <w:lang w:val="pl-PL"/>
        </w:rPr>
        <w:t xml:space="preserve"> należy kontrolować stężenie litu w surowicy.</w:t>
      </w:r>
      <w:r w:rsidR="00754C1F" w:rsidRPr="009353E6" w:rsidDel="00754C1F">
        <w:rPr>
          <w:sz w:val="22"/>
          <w:szCs w:val="22"/>
          <w:lang w:val="pl-PL"/>
        </w:rPr>
        <w:t xml:space="preserve"> </w:t>
      </w:r>
    </w:p>
    <w:p w:rsidR="002D3E1A" w:rsidRPr="009353E6" w:rsidRDefault="002D3E1A" w:rsidP="000D5BED">
      <w:pPr>
        <w:pStyle w:val="BodyText"/>
        <w:spacing w:line="240" w:lineRule="auto"/>
        <w:jc w:val="left"/>
        <w:rPr>
          <w:sz w:val="22"/>
          <w:szCs w:val="22"/>
          <w:u w:val="single"/>
          <w:lang w:val="pl-PL"/>
        </w:rPr>
      </w:pPr>
    </w:p>
    <w:p w:rsidR="002D3E1A" w:rsidRPr="009353E6" w:rsidRDefault="005E5634" w:rsidP="000D5BED">
      <w:pPr>
        <w:pStyle w:val="BodyText"/>
        <w:spacing w:line="240" w:lineRule="auto"/>
        <w:jc w:val="left"/>
        <w:rPr>
          <w:sz w:val="22"/>
          <w:szCs w:val="22"/>
          <w:lang w:val="pl-PL"/>
        </w:rPr>
      </w:pPr>
      <w:r w:rsidRPr="009353E6">
        <w:rPr>
          <w:sz w:val="22"/>
          <w:szCs w:val="22"/>
          <w:u w:val="single"/>
          <w:lang w:val="pl-PL"/>
        </w:rPr>
        <w:t xml:space="preserve">Produkty lecznicze </w:t>
      </w:r>
      <w:r w:rsidR="002D3E1A" w:rsidRPr="009353E6">
        <w:rPr>
          <w:sz w:val="22"/>
          <w:szCs w:val="22"/>
          <w:u w:val="single"/>
          <w:lang w:val="pl-PL"/>
        </w:rPr>
        <w:t xml:space="preserve">związane z utratą potasu i hipokaliemią </w:t>
      </w:r>
      <w:r w:rsidR="002D3E1A" w:rsidRPr="009353E6">
        <w:rPr>
          <w:sz w:val="22"/>
          <w:szCs w:val="22"/>
          <w:lang w:val="pl-PL"/>
        </w:rPr>
        <w:t xml:space="preserve">(np. inne diuretyki kaliuretyczne, środki przeczyszczające, kortykosteroidy, ACTH, amfoterycyna, karbenoksolon, sól sodowa penicyliny G, kwas salicylowy i jego pochodne): </w:t>
      </w:r>
      <w:r w:rsidR="00622B2F" w:rsidRPr="009353E6">
        <w:rPr>
          <w:sz w:val="22"/>
          <w:szCs w:val="22"/>
          <w:lang w:val="pl-PL"/>
        </w:rPr>
        <w:t>j</w:t>
      </w:r>
      <w:r w:rsidR="002D3E1A" w:rsidRPr="009353E6">
        <w:rPr>
          <w:sz w:val="22"/>
          <w:szCs w:val="22"/>
          <w:lang w:val="pl-PL"/>
        </w:rPr>
        <w:t xml:space="preserve">eżeli istnieje konieczność stosowania tych </w:t>
      </w:r>
      <w:r w:rsidR="0079246D" w:rsidRPr="009353E6">
        <w:rPr>
          <w:sz w:val="22"/>
          <w:szCs w:val="22"/>
          <w:lang w:val="pl-PL"/>
        </w:rPr>
        <w:t xml:space="preserve">substancji </w:t>
      </w:r>
      <w:r w:rsidR="002D3E1A" w:rsidRPr="009353E6">
        <w:rPr>
          <w:sz w:val="22"/>
          <w:szCs w:val="22"/>
          <w:lang w:val="pl-PL"/>
        </w:rPr>
        <w:t xml:space="preserve">jednocześnie z </w:t>
      </w:r>
      <w:r w:rsidR="00F710F6" w:rsidRPr="009353E6">
        <w:rPr>
          <w:sz w:val="22"/>
          <w:szCs w:val="22"/>
          <w:lang w:val="pl-PL"/>
        </w:rPr>
        <w:t>produkt</w:t>
      </w:r>
      <w:r w:rsidR="002D3E1A" w:rsidRPr="009353E6">
        <w:rPr>
          <w:sz w:val="22"/>
          <w:szCs w:val="22"/>
          <w:lang w:val="pl-PL"/>
        </w:rPr>
        <w:t>em zawierającym hydrochlorotiazyd i telmisartan, zaleca się monitorowanie stężenia potasu w osoczu. Mogą one nasilić działanie hydrochlorotiazydu na stężenie potasu w surowicy (patrz punkt 4.4).</w:t>
      </w:r>
    </w:p>
    <w:p w:rsidR="002D3E1A" w:rsidRPr="009353E6" w:rsidRDefault="002D3E1A" w:rsidP="000D5BED">
      <w:pPr>
        <w:pStyle w:val="BodyText"/>
        <w:spacing w:line="240" w:lineRule="auto"/>
        <w:jc w:val="left"/>
        <w:rPr>
          <w:sz w:val="22"/>
          <w:szCs w:val="22"/>
          <w:lang w:val="pl-PL"/>
        </w:rPr>
      </w:pPr>
    </w:p>
    <w:p w:rsidR="002D3E1A" w:rsidRPr="009353E6" w:rsidRDefault="005E5634" w:rsidP="000D5BED">
      <w:pPr>
        <w:pStyle w:val="BodyText"/>
        <w:spacing w:line="240" w:lineRule="auto"/>
        <w:jc w:val="left"/>
        <w:rPr>
          <w:sz w:val="22"/>
          <w:szCs w:val="22"/>
          <w:lang w:val="pl-PL"/>
        </w:rPr>
      </w:pPr>
      <w:r w:rsidRPr="009353E6">
        <w:rPr>
          <w:sz w:val="22"/>
          <w:szCs w:val="22"/>
          <w:u w:val="single"/>
          <w:lang w:val="pl-PL"/>
        </w:rPr>
        <w:t>Produkty lecznicze</w:t>
      </w:r>
      <w:r w:rsidR="002D3E1A" w:rsidRPr="009353E6">
        <w:rPr>
          <w:sz w:val="22"/>
          <w:szCs w:val="22"/>
          <w:u w:val="single"/>
          <w:lang w:val="pl-PL"/>
        </w:rPr>
        <w:t xml:space="preserve">, które mogą spowodować zwiększenie stężenia potasu lub wywołać hiperkaliemię </w:t>
      </w:r>
      <w:r w:rsidR="002D3E1A" w:rsidRPr="009353E6">
        <w:rPr>
          <w:sz w:val="22"/>
          <w:szCs w:val="22"/>
          <w:lang w:val="pl-PL"/>
        </w:rPr>
        <w:t xml:space="preserve">(np. inhibitory ACE, diuretyki oszczędzające potas, suplementy potasu, sole zawierające potas, cyklosporyna lub inne produkty lecznicze takie jak sól sodowa heparyny): </w:t>
      </w:r>
      <w:r w:rsidR="00B6297F" w:rsidRPr="009353E6">
        <w:rPr>
          <w:sz w:val="22"/>
          <w:szCs w:val="22"/>
          <w:lang w:val="pl-PL"/>
        </w:rPr>
        <w:t>j</w:t>
      </w:r>
      <w:r w:rsidR="002D3E1A" w:rsidRPr="009353E6">
        <w:rPr>
          <w:sz w:val="22"/>
          <w:szCs w:val="22"/>
          <w:lang w:val="pl-PL"/>
        </w:rPr>
        <w:t xml:space="preserve">eżeli istnieje konieczność stosowania tych </w:t>
      </w:r>
      <w:r w:rsidR="0079246D" w:rsidRPr="009353E6">
        <w:rPr>
          <w:sz w:val="22"/>
          <w:szCs w:val="22"/>
          <w:lang w:val="pl-PL"/>
        </w:rPr>
        <w:t>substancji</w:t>
      </w:r>
      <w:r w:rsidR="00EE347E" w:rsidRPr="009353E6">
        <w:rPr>
          <w:sz w:val="22"/>
          <w:szCs w:val="22"/>
          <w:lang w:val="pl-PL"/>
        </w:rPr>
        <w:t xml:space="preserve"> j</w:t>
      </w:r>
      <w:r w:rsidR="002D3E1A" w:rsidRPr="009353E6">
        <w:rPr>
          <w:sz w:val="22"/>
          <w:szCs w:val="22"/>
          <w:lang w:val="pl-PL"/>
        </w:rPr>
        <w:t xml:space="preserve">ednocześnie z </w:t>
      </w:r>
      <w:r w:rsidR="00F710F6" w:rsidRPr="009353E6">
        <w:rPr>
          <w:sz w:val="22"/>
          <w:szCs w:val="22"/>
          <w:lang w:val="pl-PL"/>
        </w:rPr>
        <w:t>produkt</w:t>
      </w:r>
      <w:r w:rsidR="002D3E1A" w:rsidRPr="009353E6">
        <w:rPr>
          <w:sz w:val="22"/>
          <w:szCs w:val="22"/>
          <w:lang w:val="pl-PL"/>
        </w:rPr>
        <w:t xml:space="preserve">em zawierającym hydrochlorotiazyd i telmisartan, zaleca się monitorowanie stężenia potasu w osoczu. Jak wynika z doświadczenia w stosowaniu innych </w:t>
      </w:r>
      <w:r w:rsidR="0079246D" w:rsidRPr="009353E6">
        <w:rPr>
          <w:sz w:val="22"/>
          <w:szCs w:val="22"/>
          <w:lang w:val="pl-PL"/>
        </w:rPr>
        <w:t>produktów leczniczych</w:t>
      </w:r>
      <w:r w:rsidR="002D3E1A" w:rsidRPr="009353E6">
        <w:rPr>
          <w:sz w:val="22"/>
          <w:szCs w:val="22"/>
          <w:lang w:val="pl-PL"/>
        </w:rPr>
        <w:t xml:space="preserve">, które wpływają na układ renina-angiotensyna, jednoczesne stosowanie powyższych </w:t>
      </w:r>
      <w:r w:rsidR="0079246D" w:rsidRPr="009353E6">
        <w:rPr>
          <w:sz w:val="22"/>
          <w:szCs w:val="22"/>
          <w:lang w:val="pl-PL"/>
        </w:rPr>
        <w:t xml:space="preserve">produktów leczniczych </w:t>
      </w:r>
      <w:r w:rsidR="002D3E1A" w:rsidRPr="009353E6">
        <w:rPr>
          <w:sz w:val="22"/>
          <w:szCs w:val="22"/>
          <w:lang w:val="pl-PL"/>
        </w:rPr>
        <w:t>może prowadzić do zwiększenia stężenia potasu w surowicy</w:t>
      </w:r>
      <w:r w:rsidR="00754C1F" w:rsidRPr="009353E6">
        <w:rPr>
          <w:sz w:val="22"/>
          <w:szCs w:val="22"/>
          <w:lang w:val="pl-PL"/>
        </w:rPr>
        <w:t xml:space="preserve"> i w związku z tym nie jest zalecane</w:t>
      </w:r>
      <w:r w:rsidR="002D3E1A" w:rsidRPr="009353E6">
        <w:rPr>
          <w:sz w:val="22"/>
          <w:szCs w:val="22"/>
          <w:lang w:val="pl-PL"/>
        </w:rPr>
        <w:t xml:space="preserve"> (patrz punkt 4.4).</w:t>
      </w:r>
    </w:p>
    <w:p w:rsidR="002D3E1A" w:rsidRPr="009353E6" w:rsidRDefault="002D3E1A" w:rsidP="000D5BED">
      <w:pPr>
        <w:pStyle w:val="BodyText"/>
        <w:spacing w:line="240" w:lineRule="auto"/>
        <w:jc w:val="left"/>
        <w:rPr>
          <w:sz w:val="22"/>
          <w:szCs w:val="22"/>
          <w:lang w:val="pl-PL"/>
        </w:rPr>
      </w:pPr>
    </w:p>
    <w:p w:rsidR="00AA6CE9" w:rsidRPr="009353E6" w:rsidRDefault="005E5634" w:rsidP="004A0B9E">
      <w:pPr>
        <w:pStyle w:val="BodyText"/>
        <w:keepNext/>
        <w:spacing w:line="240" w:lineRule="auto"/>
        <w:jc w:val="left"/>
        <w:rPr>
          <w:sz w:val="22"/>
          <w:szCs w:val="22"/>
          <w:lang w:val="pl-PL"/>
        </w:rPr>
      </w:pPr>
      <w:r w:rsidRPr="009353E6">
        <w:rPr>
          <w:sz w:val="22"/>
          <w:szCs w:val="22"/>
          <w:u w:val="single"/>
          <w:lang w:val="pl-PL"/>
        </w:rPr>
        <w:t>Produkty lecznicze</w:t>
      </w:r>
      <w:r w:rsidR="002D3E1A" w:rsidRPr="009353E6">
        <w:rPr>
          <w:sz w:val="22"/>
          <w:szCs w:val="22"/>
          <w:u w:val="single"/>
          <w:lang w:val="pl-PL"/>
        </w:rPr>
        <w:t>, na które wpływają zaburzenia stężenia potasu w surowicy</w:t>
      </w:r>
    </w:p>
    <w:p w:rsidR="00AA6CE9" w:rsidRPr="009353E6" w:rsidRDefault="00AA6CE9" w:rsidP="004A0B9E">
      <w:pPr>
        <w:pStyle w:val="BodyText"/>
        <w:keepN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Należy okresowo monitorować stężenie potasu w </w:t>
      </w:r>
      <w:r w:rsidR="003F4FF7" w:rsidRPr="009353E6">
        <w:rPr>
          <w:sz w:val="22"/>
          <w:szCs w:val="22"/>
          <w:lang w:val="pl-PL"/>
        </w:rPr>
        <w:t xml:space="preserve">surowicy </w:t>
      </w:r>
      <w:r w:rsidRPr="009353E6">
        <w:rPr>
          <w:sz w:val="22"/>
          <w:szCs w:val="22"/>
          <w:lang w:val="pl-PL"/>
        </w:rPr>
        <w:t xml:space="preserve">oraz EKG w czasie stosowania </w:t>
      </w:r>
      <w:r w:rsidR="00F710F6" w:rsidRPr="009353E6">
        <w:rPr>
          <w:sz w:val="22"/>
          <w:szCs w:val="22"/>
          <w:lang w:val="pl-PL"/>
        </w:rPr>
        <w:t>produkt</w:t>
      </w:r>
      <w:r w:rsidRPr="009353E6">
        <w:rPr>
          <w:sz w:val="22"/>
          <w:szCs w:val="22"/>
          <w:lang w:val="pl-PL"/>
        </w:rPr>
        <w:t xml:space="preserve">u MicardisPlus jednocześnie: z </w:t>
      </w:r>
      <w:r w:rsidR="000507F6" w:rsidRPr="009353E6">
        <w:rPr>
          <w:sz w:val="22"/>
          <w:szCs w:val="22"/>
          <w:lang w:val="pl-PL"/>
        </w:rPr>
        <w:t>produktami leczniczymi</w:t>
      </w:r>
      <w:r w:rsidR="0079246D" w:rsidRPr="009353E6">
        <w:rPr>
          <w:sz w:val="22"/>
          <w:szCs w:val="22"/>
          <w:lang w:val="pl-PL"/>
        </w:rPr>
        <w:t>,</w:t>
      </w:r>
      <w:r w:rsidRPr="009353E6">
        <w:rPr>
          <w:sz w:val="22"/>
          <w:szCs w:val="22"/>
          <w:lang w:val="pl-PL"/>
        </w:rPr>
        <w:t xml:space="preserve"> na których działanie wpływają zmiany stężenia potasu (np. glikozydy naparstnicy, </w:t>
      </w:r>
      <w:r w:rsidR="0079246D" w:rsidRPr="009353E6">
        <w:rPr>
          <w:sz w:val="22"/>
          <w:szCs w:val="22"/>
          <w:lang w:val="pl-PL"/>
        </w:rPr>
        <w:t>leki</w:t>
      </w:r>
      <w:r w:rsidR="00EE347E" w:rsidRPr="009353E6">
        <w:rPr>
          <w:sz w:val="22"/>
          <w:szCs w:val="22"/>
          <w:lang w:val="pl-PL"/>
        </w:rPr>
        <w:t xml:space="preserve"> </w:t>
      </w:r>
      <w:r w:rsidRPr="009353E6">
        <w:rPr>
          <w:sz w:val="22"/>
          <w:szCs w:val="22"/>
          <w:lang w:val="pl-PL"/>
        </w:rPr>
        <w:t>przeciwarytmiczne);</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z </w:t>
      </w:r>
      <w:r w:rsidR="0079246D" w:rsidRPr="009353E6">
        <w:rPr>
          <w:sz w:val="22"/>
          <w:szCs w:val="22"/>
          <w:lang w:val="pl-PL"/>
        </w:rPr>
        <w:t xml:space="preserve">lekami </w:t>
      </w:r>
      <w:r w:rsidRPr="009353E6">
        <w:rPr>
          <w:sz w:val="22"/>
          <w:szCs w:val="22"/>
          <w:lang w:val="pl-PL"/>
        </w:rPr>
        <w:t>mogącymi wywołać „torsades de pointes” (w tym niektóre lek</w:t>
      </w:r>
      <w:r w:rsidR="0079246D" w:rsidRPr="009353E6">
        <w:rPr>
          <w:sz w:val="22"/>
          <w:szCs w:val="22"/>
          <w:lang w:val="pl-PL"/>
        </w:rPr>
        <w:t>i</w:t>
      </w:r>
      <w:r w:rsidR="00EE347E" w:rsidRPr="009353E6">
        <w:rPr>
          <w:sz w:val="22"/>
          <w:szCs w:val="22"/>
          <w:lang w:val="pl-PL"/>
        </w:rPr>
        <w:t xml:space="preserve"> </w:t>
      </w:r>
      <w:r w:rsidRPr="009353E6">
        <w:rPr>
          <w:sz w:val="22"/>
          <w:szCs w:val="22"/>
          <w:lang w:val="pl-PL"/>
        </w:rPr>
        <w:t>przeciwarytmiczne), dla których hipokaliemia jest czynnikiem predysponującym, takimi jak:</w:t>
      </w:r>
    </w:p>
    <w:p w:rsidR="002D3E1A" w:rsidRPr="009353E6" w:rsidRDefault="0079246D" w:rsidP="002D507E">
      <w:pPr>
        <w:pStyle w:val="BodyText"/>
        <w:numPr>
          <w:ilvl w:val="0"/>
          <w:numId w:val="15"/>
        </w:numPr>
        <w:tabs>
          <w:tab w:val="clear" w:pos="2520"/>
          <w:tab w:val="num" w:pos="540"/>
        </w:tabs>
        <w:spacing w:line="240" w:lineRule="auto"/>
        <w:ind w:left="540" w:hanging="540"/>
        <w:jc w:val="left"/>
        <w:rPr>
          <w:sz w:val="22"/>
          <w:szCs w:val="22"/>
          <w:lang w:val="pl-PL"/>
        </w:rPr>
      </w:pPr>
      <w:r w:rsidRPr="009353E6">
        <w:rPr>
          <w:sz w:val="22"/>
          <w:szCs w:val="22"/>
          <w:lang w:val="pl-PL"/>
        </w:rPr>
        <w:t xml:space="preserve">leki </w:t>
      </w:r>
      <w:r w:rsidR="002D3E1A" w:rsidRPr="009353E6">
        <w:rPr>
          <w:sz w:val="22"/>
          <w:szCs w:val="22"/>
          <w:lang w:val="pl-PL"/>
        </w:rPr>
        <w:t>przeciwarytmiczne klasy Ia (np. chinidyna, hydrochinidyna, dyzopiramid)</w:t>
      </w:r>
      <w:r w:rsidR="003F4FF7" w:rsidRPr="009353E6">
        <w:rPr>
          <w:sz w:val="22"/>
          <w:szCs w:val="22"/>
          <w:lang w:val="pl-PL"/>
        </w:rPr>
        <w:t>;</w:t>
      </w:r>
    </w:p>
    <w:p w:rsidR="002D3E1A" w:rsidRPr="009353E6" w:rsidRDefault="0079246D" w:rsidP="002D507E">
      <w:pPr>
        <w:pStyle w:val="BodyText"/>
        <w:numPr>
          <w:ilvl w:val="0"/>
          <w:numId w:val="15"/>
        </w:numPr>
        <w:tabs>
          <w:tab w:val="clear" w:pos="2520"/>
          <w:tab w:val="num" w:pos="540"/>
        </w:tabs>
        <w:spacing w:line="240" w:lineRule="auto"/>
        <w:ind w:left="540" w:hanging="540"/>
        <w:jc w:val="left"/>
        <w:rPr>
          <w:sz w:val="22"/>
          <w:szCs w:val="22"/>
          <w:lang w:val="pl-PL"/>
        </w:rPr>
      </w:pPr>
      <w:r w:rsidRPr="009353E6">
        <w:rPr>
          <w:sz w:val="22"/>
          <w:szCs w:val="22"/>
          <w:lang w:val="pl-PL"/>
        </w:rPr>
        <w:t xml:space="preserve">leki </w:t>
      </w:r>
      <w:r w:rsidR="002D3E1A" w:rsidRPr="009353E6">
        <w:rPr>
          <w:sz w:val="22"/>
          <w:szCs w:val="22"/>
          <w:lang w:val="pl-PL"/>
        </w:rPr>
        <w:t>przeciwarytmiczne klasy III (np. amiodaron, sotalol, dofetilid, ibutilid)</w:t>
      </w:r>
      <w:r w:rsidR="003F4FF7" w:rsidRPr="009353E6">
        <w:rPr>
          <w:sz w:val="22"/>
          <w:szCs w:val="22"/>
          <w:lang w:val="pl-PL"/>
        </w:rPr>
        <w:t>;</w:t>
      </w:r>
    </w:p>
    <w:p w:rsidR="002D3E1A" w:rsidRPr="009353E6" w:rsidRDefault="002D3E1A" w:rsidP="002D507E">
      <w:pPr>
        <w:pStyle w:val="BodyText"/>
        <w:numPr>
          <w:ilvl w:val="0"/>
          <w:numId w:val="15"/>
        </w:numPr>
        <w:tabs>
          <w:tab w:val="clear" w:pos="2520"/>
          <w:tab w:val="num" w:pos="540"/>
        </w:tabs>
        <w:spacing w:line="240" w:lineRule="auto"/>
        <w:ind w:left="540" w:hanging="540"/>
        <w:jc w:val="left"/>
        <w:rPr>
          <w:sz w:val="22"/>
          <w:szCs w:val="22"/>
          <w:lang w:val="pl-PL"/>
        </w:rPr>
      </w:pPr>
      <w:r w:rsidRPr="009353E6">
        <w:rPr>
          <w:sz w:val="22"/>
          <w:szCs w:val="22"/>
          <w:lang w:val="pl-PL"/>
        </w:rPr>
        <w:t xml:space="preserve">niektóre </w:t>
      </w:r>
      <w:r w:rsidR="0079246D" w:rsidRPr="009353E6">
        <w:rPr>
          <w:sz w:val="22"/>
          <w:szCs w:val="22"/>
          <w:lang w:val="pl-PL"/>
        </w:rPr>
        <w:t>leki</w:t>
      </w:r>
      <w:r w:rsidR="00EE347E" w:rsidRPr="009353E6">
        <w:rPr>
          <w:sz w:val="22"/>
          <w:szCs w:val="22"/>
          <w:lang w:val="pl-PL"/>
        </w:rPr>
        <w:t xml:space="preserve"> </w:t>
      </w:r>
      <w:r w:rsidRPr="009353E6">
        <w:rPr>
          <w:sz w:val="22"/>
          <w:szCs w:val="22"/>
          <w:lang w:val="pl-PL"/>
        </w:rPr>
        <w:t>przeciwpsychotyczne: (np. tiorydazyna, chlor</w:t>
      </w:r>
      <w:r w:rsidR="00D65C2F" w:rsidRPr="009353E6">
        <w:rPr>
          <w:sz w:val="22"/>
          <w:szCs w:val="22"/>
          <w:lang w:val="pl-PL"/>
        </w:rPr>
        <w:t>o</w:t>
      </w:r>
      <w:r w:rsidRPr="009353E6">
        <w:rPr>
          <w:sz w:val="22"/>
          <w:szCs w:val="22"/>
          <w:lang w:val="pl-PL"/>
        </w:rPr>
        <w:t>promazyna,</w:t>
      </w:r>
      <w:r w:rsidR="003F4FF7" w:rsidRPr="009353E6">
        <w:rPr>
          <w:sz w:val="22"/>
          <w:szCs w:val="22"/>
          <w:lang w:val="pl-PL"/>
        </w:rPr>
        <w:t xml:space="preserve"> </w:t>
      </w:r>
      <w:r w:rsidRPr="009353E6">
        <w:rPr>
          <w:sz w:val="22"/>
          <w:szCs w:val="22"/>
          <w:lang w:val="pl-PL"/>
        </w:rPr>
        <w:t>lewomepromazyna, trifluperazyna, cyjamemazyna, sulpiryd, sultopryd, amisulpryd, tiapryd, pimozyd, haloperydol, droperydol)</w:t>
      </w:r>
      <w:r w:rsidR="003F4FF7" w:rsidRPr="009353E6">
        <w:rPr>
          <w:sz w:val="22"/>
          <w:szCs w:val="22"/>
          <w:lang w:val="pl-PL"/>
        </w:rPr>
        <w:t>;</w:t>
      </w:r>
    </w:p>
    <w:p w:rsidR="002D3E1A" w:rsidRPr="009353E6" w:rsidRDefault="002D3E1A" w:rsidP="002D507E">
      <w:pPr>
        <w:pStyle w:val="BodyText"/>
        <w:numPr>
          <w:ilvl w:val="0"/>
          <w:numId w:val="15"/>
        </w:numPr>
        <w:tabs>
          <w:tab w:val="clear" w:pos="2520"/>
          <w:tab w:val="num" w:pos="540"/>
        </w:tabs>
        <w:spacing w:line="240" w:lineRule="auto"/>
        <w:ind w:left="540" w:hanging="540"/>
        <w:jc w:val="left"/>
        <w:rPr>
          <w:sz w:val="22"/>
          <w:szCs w:val="22"/>
          <w:lang w:val="pl-PL"/>
        </w:rPr>
      </w:pPr>
      <w:r w:rsidRPr="009353E6">
        <w:rPr>
          <w:sz w:val="22"/>
          <w:szCs w:val="22"/>
          <w:lang w:val="pl-PL"/>
        </w:rPr>
        <w:t xml:space="preserve">inne </w:t>
      </w:r>
      <w:r w:rsidR="0079246D" w:rsidRPr="009353E6">
        <w:rPr>
          <w:sz w:val="22"/>
          <w:szCs w:val="22"/>
          <w:lang w:val="pl-PL"/>
        </w:rPr>
        <w:t>leki</w:t>
      </w:r>
      <w:r w:rsidR="0030023C" w:rsidRPr="009353E6">
        <w:rPr>
          <w:sz w:val="22"/>
          <w:szCs w:val="22"/>
          <w:lang w:val="pl-PL"/>
        </w:rPr>
        <w:t>:</w:t>
      </w:r>
      <w:r w:rsidR="0079246D" w:rsidRPr="009353E6">
        <w:rPr>
          <w:sz w:val="22"/>
          <w:szCs w:val="22"/>
          <w:lang w:val="pl-PL"/>
        </w:rPr>
        <w:t xml:space="preserve"> </w:t>
      </w:r>
      <w:r w:rsidRPr="009353E6">
        <w:rPr>
          <w:sz w:val="22"/>
          <w:szCs w:val="22"/>
          <w:lang w:val="pl-PL"/>
        </w:rPr>
        <w:t>(np. beprydyl, cyzapryd, difemanil, erytromycyna iv., halofantryna, mizolastyna, pentamidyna, sparfloksacyna, terfenadyna, winkamina iv.).</w:t>
      </w:r>
    </w:p>
    <w:p w:rsidR="002D3E1A" w:rsidRPr="009353E6" w:rsidRDefault="002D3E1A" w:rsidP="000D5BED">
      <w:pPr>
        <w:pStyle w:val="BodyText"/>
        <w:spacing w:line="240" w:lineRule="auto"/>
        <w:jc w:val="left"/>
        <w:rPr>
          <w:sz w:val="22"/>
          <w:szCs w:val="22"/>
          <w:lang w:val="pl-PL"/>
        </w:rPr>
      </w:pPr>
    </w:p>
    <w:p w:rsidR="00AA6CE9" w:rsidRPr="009353E6" w:rsidRDefault="002D3E1A" w:rsidP="004A0B9E">
      <w:pPr>
        <w:pStyle w:val="BodyText"/>
        <w:keepNext/>
        <w:spacing w:line="240" w:lineRule="auto"/>
        <w:jc w:val="left"/>
        <w:rPr>
          <w:sz w:val="22"/>
          <w:szCs w:val="22"/>
          <w:lang w:val="pl-PL"/>
        </w:rPr>
      </w:pPr>
      <w:r w:rsidRPr="009353E6">
        <w:rPr>
          <w:sz w:val="22"/>
          <w:szCs w:val="22"/>
          <w:u w:val="single"/>
          <w:lang w:val="pl-PL"/>
        </w:rPr>
        <w:t>Glikozydy naparstnicy</w:t>
      </w:r>
    </w:p>
    <w:p w:rsidR="00AA6CE9" w:rsidRPr="009353E6" w:rsidRDefault="00AA6CE9" w:rsidP="004A0B9E">
      <w:pPr>
        <w:pStyle w:val="BodyText"/>
        <w:keepN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Wywołana tiazydami hipokaliemia lub hipomagnezemia sprzyja powstawaniu arytmii wywołanej glikozydami naparstnicy (patrz punkt 4.4).</w:t>
      </w:r>
    </w:p>
    <w:p w:rsidR="003B55EC" w:rsidRPr="009353E6" w:rsidRDefault="003B55EC" w:rsidP="00A50023">
      <w:pPr>
        <w:rPr>
          <w:rStyle w:val="hps"/>
          <w:i/>
          <w:sz w:val="22"/>
          <w:szCs w:val="22"/>
          <w:lang w:val="pl-PL"/>
        </w:rPr>
      </w:pPr>
    </w:p>
    <w:p w:rsidR="00A50023" w:rsidRPr="009353E6" w:rsidRDefault="00A50023" w:rsidP="00A50023">
      <w:pPr>
        <w:rPr>
          <w:rStyle w:val="hps"/>
          <w:sz w:val="22"/>
          <w:szCs w:val="22"/>
          <w:u w:val="single"/>
          <w:lang w:val="pl-PL"/>
        </w:rPr>
      </w:pPr>
      <w:r w:rsidRPr="009353E6">
        <w:rPr>
          <w:rStyle w:val="hps"/>
          <w:sz w:val="22"/>
          <w:szCs w:val="22"/>
          <w:u w:val="single"/>
          <w:lang w:val="pl-PL"/>
        </w:rPr>
        <w:t>Digoksyna</w:t>
      </w:r>
    </w:p>
    <w:p w:rsidR="00A50023" w:rsidRPr="009353E6" w:rsidRDefault="00A50023" w:rsidP="00A50023">
      <w:pPr>
        <w:rPr>
          <w:rStyle w:val="hps"/>
          <w:sz w:val="22"/>
          <w:szCs w:val="22"/>
          <w:lang w:val="pl-PL"/>
        </w:rPr>
      </w:pPr>
    </w:p>
    <w:p w:rsidR="0028667A" w:rsidRPr="009353E6" w:rsidRDefault="0028667A" w:rsidP="0028667A">
      <w:pPr>
        <w:rPr>
          <w:rStyle w:val="hps"/>
          <w:sz w:val="22"/>
          <w:szCs w:val="22"/>
          <w:lang w:val="pl-PL"/>
        </w:rPr>
      </w:pPr>
      <w:r w:rsidRPr="009353E6">
        <w:rPr>
          <w:rStyle w:val="hps"/>
          <w:sz w:val="22"/>
          <w:szCs w:val="22"/>
          <w:lang w:val="pl-PL"/>
        </w:rPr>
        <w:t>Obserwowano wzrost mediany maksymalnego stężenia digoksyny w osoczu (49%) i stężenia minimalnego (20%) gdy podawano telmisartan jednocześnie z digoksyną, Podczas rozpoczynania, dostosowywania dawki i kończenia leczenia telmisartanem należy monitorować stężenie digoksyny w celu utrzymania w zakresie terapeutycznym.</w:t>
      </w:r>
    </w:p>
    <w:p w:rsidR="002D3E1A" w:rsidRPr="009353E6" w:rsidRDefault="002D3E1A" w:rsidP="00A50023">
      <w:pPr>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Inne środki przeciwnadciśnieniowe</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Telmisartan może nasilać działanie hipotensyjne innych leków przeciwnadciśnieniowych.</w:t>
      </w:r>
    </w:p>
    <w:p w:rsidR="002D3E1A" w:rsidRPr="009353E6" w:rsidRDefault="002D3E1A" w:rsidP="000D5BED">
      <w:pPr>
        <w:pStyle w:val="BodyText"/>
        <w:spacing w:line="240" w:lineRule="auto"/>
        <w:jc w:val="left"/>
        <w:rPr>
          <w:sz w:val="22"/>
          <w:szCs w:val="22"/>
          <w:lang w:val="pl-PL"/>
        </w:rPr>
      </w:pPr>
    </w:p>
    <w:p w:rsidR="00352FAF" w:rsidRPr="009353E6" w:rsidRDefault="00352FAF" w:rsidP="00352FAF">
      <w:pPr>
        <w:rPr>
          <w:sz w:val="22"/>
          <w:szCs w:val="22"/>
          <w:lang w:val="pl-PL"/>
        </w:rPr>
      </w:pPr>
      <w:r w:rsidRPr="009353E6">
        <w:rPr>
          <w:sz w:val="22"/>
          <w:szCs w:val="22"/>
          <w:lang w:val="pl-PL"/>
        </w:rPr>
        <w:t>Dane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352FAF" w:rsidRPr="009353E6" w:rsidRDefault="00352FAF" w:rsidP="000D5BED">
      <w:pPr>
        <w:pStyle w:val="BodyText"/>
        <w:spacing w:line="240" w:lineRule="auto"/>
        <w:jc w:val="left"/>
        <w:rPr>
          <w:sz w:val="22"/>
          <w:szCs w:val="22"/>
          <w:lang w:val="pl-PL"/>
        </w:rPr>
      </w:pPr>
    </w:p>
    <w:p w:rsidR="00AA6CE9" w:rsidRPr="009353E6" w:rsidRDefault="005E5634" w:rsidP="000D5BED">
      <w:pPr>
        <w:pStyle w:val="BodyText"/>
        <w:spacing w:line="240" w:lineRule="auto"/>
        <w:jc w:val="left"/>
        <w:rPr>
          <w:sz w:val="22"/>
          <w:szCs w:val="22"/>
          <w:u w:val="single"/>
          <w:lang w:val="pl-PL"/>
        </w:rPr>
      </w:pPr>
      <w:r w:rsidRPr="009353E6">
        <w:rPr>
          <w:sz w:val="22"/>
          <w:szCs w:val="22"/>
          <w:u w:val="single"/>
          <w:lang w:val="pl-PL"/>
        </w:rPr>
        <w:t>Produkty lecznicze</w:t>
      </w:r>
      <w:r w:rsidR="002D3E1A" w:rsidRPr="009353E6">
        <w:rPr>
          <w:sz w:val="22"/>
          <w:szCs w:val="22"/>
          <w:u w:val="single"/>
          <w:lang w:val="pl-PL"/>
        </w:rPr>
        <w:t xml:space="preserve"> przeciwcukrzycowe (</w:t>
      </w:r>
      <w:r w:rsidR="00F710F6" w:rsidRPr="009353E6">
        <w:rPr>
          <w:sz w:val="22"/>
          <w:szCs w:val="22"/>
          <w:u w:val="single"/>
          <w:lang w:val="pl-PL"/>
        </w:rPr>
        <w:t>produkt</w:t>
      </w:r>
      <w:r w:rsidR="00EE347E" w:rsidRPr="009353E6">
        <w:rPr>
          <w:sz w:val="22"/>
          <w:szCs w:val="22"/>
          <w:u w:val="single"/>
          <w:lang w:val="pl-PL"/>
        </w:rPr>
        <w:t xml:space="preserve">y </w:t>
      </w:r>
      <w:r w:rsidR="002D3E1A" w:rsidRPr="009353E6">
        <w:rPr>
          <w:sz w:val="22"/>
          <w:szCs w:val="22"/>
          <w:u w:val="single"/>
          <w:lang w:val="pl-PL"/>
        </w:rPr>
        <w:t>doustne i insulina)</w:t>
      </w:r>
    </w:p>
    <w:p w:rsidR="00AA6CE9" w:rsidRPr="009353E6" w:rsidRDefault="00AA6CE9" w:rsidP="000D5BED">
      <w:pPr>
        <w:pStyle w:val="BodyText"/>
        <w:spacing w:line="240" w:lineRule="auto"/>
        <w:jc w:val="left"/>
        <w:rPr>
          <w:sz w:val="22"/>
          <w:szCs w:val="22"/>
          <w:u w:val="single"/>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Może być konieczne dostosowanie dawki przeciwcukrzycowych </w:t>
      </w:r>
      <w:r w:rsidR="0079246D" w:rsidRPr="009353E6">
        <w:rPr>
          <w:sz w:val="22"/>
          <w:szCs w:val="22"/>
          <w:lang w:val="pl-PL"/>
        </w:rPr>
        <w:t xml:space="preserve">produktów leczniczych </w:t>
      </w:r>
      <w:r w:rsidRPr="009353E6">
        <w:rPr>
          <w:sz w:val="22"/>
          <w:szCs w:val="22"/>
          <w:lang w:val="pl-PL"/>
        </w:rPr>
        <w:t>(patrz punkt 4.4).</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Metformina</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Metformina powinna być ostrożnie stosowana: istnieje ryzyko kwasicy mleczanowej z</w:t>
      </w:r>
      <w:r w:rsidR="00E02390" w:rsidRPr="009353E6">
        <w:rPr>
          <w:sz w:val="22"/>
          <w:szCs w:val="22"/>
          <w:lang w:val="pl-PL"/>
        </w:rPr>
        <w:t> </w:t>
      </w:r>
      <w:r w:rsidRPr="009353E6">
        <w:rPr>
          <w:sz w:val="22"/>
          <w:szCs w:val="22"/>
          <w:lang w:val="pl-PL"/>
        </w:rPr>
        <w:t>powodu potencjalnej niewydolności nerek wywołanej przez hydrochlorotiazyd.</w:t>
      </w:r>
    </w:p>
    <w:p w:rsidR="002D3E1A" w:rsidRPr="009353E6" w:rsidRDefault="002D3E1A" w:rsidP="000D5BED">
      <w:pPr>
        <w:pStyle w:val="BodyText"/>
        <w:spacing w:line="240" w:lineRule="auto"/>
        <w:jc w:val="left"/>
        <w:rPr>
          <w:sz w:val="22"/>
          <w:szCs w:val="22"/>
          <w:lang w:val="pl-PL"/>
        </w:rPr>
      </w:pPr>
    </w:p>
    <w:p w:rsidR="00AA6CE9" w:rsidRPr="009353E6" w:rsidRDefault="00F710F6" w:rsidP="009353E6">
      <w:pPr>
        <w:pStyle w:val="BodyText"/>
        <w:keepNext/>
        <w:spacing w:line="240" w:lineRule="auto"/>
        <w:jc w:val="left"/>
        <w:rPr>
          <w:sz w:val="22"/>
          <w:szCs w:val="22"/>
          <w:lang w:val="pl-PL"/>
        </w:rPr>
      </w:pPr>
      <w:r w:rsidRPr="009353E6">
        <w:rPr>
          <w:sz w:val="22"/>
          <w:szCs w:val="22"/>
          <w:u w:val="single"/>
          <w:lang w:val="pl-PL"/>
        </w:rPr>
        <w:t>K</w:t>
      </w:r>
      <w:r w:rsidR="002D3E1A" w:rsidRPr="009353E6">
        <w:rPr>
          <w:sz w:val="22"/>
          <w:szCs w:val="22"/>
          <w:u w:val="single"/>
          <w:lang w:val="pl-PL"/>
        </w:rPr>
        <w:t>olestyramina i kolestypol</w:t>
      </w:r>
      <w:r w:rsidRPr="009353E6">
        <w:rPr>
          <w:sz w:val="22"/>
          <w:szCs w:val="22"/>
          <w:u w:val="single"/>
          <w:lang w:val="pl-PL"/>
        </w:rPr>
        <w:t xml:space="preserve"> (żywice)</w:t>
      </w:r>
    </w:p>
    <w:p w:rsidR="00AA6CE9" w:rsidRPr="009353E6" w:rsidRDefault="00AA6CE9" w:rsidP="000D5BED">
      <w:pPr>
        <w:pStyle w:val="BodyText"/>
        <w:spacing w:line="240" w:lineRule="auto"/>
        <w:jc w:val="left"/>
        <w:rPr>
          <w:sz w:val="22"/>
          <w:szCs w:val="22"/>
          <w:lang w:val="pl-PL"/>
        </w:rPr>
      </w:pPr>
    </w:p>
    <w:p w:rsidR="002D3E1A" w:rsidRPr="009353E6" w:rsidRDefault="00AA6CE9" w:rsidP="000D5BED">
      <w:pPr>
        <w:pStyle w:val="BodyText"/>
        <w:spacing w:line="240" w:lineRule="auto"/>
        <w:jc w:val="left"/>
        <w:rPr>
          <w:sz w:val="22"/>
          <w:szCs w:val="22"/>
          <w:lang w:val="pl-PL"/>
        </w:rPr>
      </w:pPr>
      <w:r w:rsidRPr="009353E6">
        <w:rPr>
          <w:sz w:val="22"/>
          <w:szCs w:val="22"/>
          <w:lang w:val="pl-PL"/>
        </w:rPr>
        <w:t>W</w:t>
      </w:r>
      <w:r w:rsidR="002D3E1A" w:rsidRPr="009353E6">
        <w:rPr>
          <w:sz w:val="22"/>
          <w:szCs w:val="22"/>
          <w:lang w:val="pl-PL"/>
        </w:rPr>
        <w:t>chłanianie hydrochlorotiazydu jest zaburzone w obecności żywic wymieniających aniony.</w:t>
      </w:r>
    </w:p>
    <w:p w:rsidR="002D3E1A" w:rsidRPr="009353E6" w:rsidRDefault="002D3E1A" w:rsidP="000D5BED">
      <w:pPr>
        <w:pStyle w:val="BodyText"/>
        <w:spacing w:line="240" w:lineRule="auto"/>
        <w:jc w:val="left"/>
        <w:rPr>
          <w:sz w:val="22"/>
          <w:szCs w:val="22"/>
          <w:lang w:val="pl-PL"/>
        </w:rPr>
      </w:pPr>
    </w:p>
    <w:p w:rsidR="00AA6CE9" w:rsidRPr="009353E6" w:rsidRDefault="008A52BB" w:rsidP="000D5BED">
      <w:pPr>
        <w:pStyle w:val="BodyText"/>
        <w:spacing w:line="240" w:lineRule="auto"/>
        <w:jc w:val="left"/>
        <w:rPr>
          <w:sz w:val="22"/>
          <w:szCs w:val="22"/>
          <w:u w:val="single"/>
          <w:lang w:val="pl-PL"/>
        </w:rPr>
      </w:pPr>
      <w:r w:rsidRPr="009353E6">
        <w:rPr>
          <w:sz w:val="22"/>
          <w:szCs w:val="22"/>
          <w:u w:val="single"/>
          <w:lang w:val="pl-PL"/>
        </w:rPr>
        <w:t>Niesteroidowe</w:t>
      </w:r>
      <w:r w:rsidR="0079246D" w:rsidRPr="009353E6">
        <w:rPr>
          <w:sz w:val="22"/>
          <w:szCs w:val="22"/>
          <w:u w:val="single"/>
          <w:lang w:val="pl-PL"/>
        </w:rPr>
        <w:t xml:space="preserve"> leki </w:t>
      </w:r>
      <w:r w:rsidRPr="009353E6">
        <w:rPr>
          <w:sz w:val="22"/>
          <w:szCs w:val="22"/>
          <w:u w:val="single"/>
          <w:lang w:val="pl-PL"/>
        </w:rPr>
        <w:t>przeciwzapalne</w:t>
      </w:r>
    </w:p>
    <w:p w:rsidR="00AA6CE9" w:rsidRPr="009353E6" w:rsidRDefault="00AA6CE9" w:rsidP="000D5BED">
      <w:pPr>
        <w:pStyle w:val="BodyText"/>
        <w:spacing w:line="240" w:lineRule="auto"/>
        <w:jc w:val="left"/>
        <w:rPr>
          <w:sz w:val="22"/>
          <w:szCs w:val="22"/>
          <w:u w:val="single"/>
          <w:lang w:val="pl-PL"/>
        </w:rPr>
      </w:pPr>
    </w:p>
    <w:p w:rsidR="008A52BB" w:rsidRPr="009353E6" w:rsidRDefault="008A52BB" w:rsidP="000D5BED">
      <w:pPr>
        <w:pStyle w:val="BodyText"/>
        <w:spacing w:line="240" w:lineRule="auto"/>
        <w:jc w:val="left"/>
        <w:rPr>
          <w:sz w:val="22"/>
          <w:szCs w:val="22"/>
          <w:lang w:val="pl-PL"/>
        </w:rPr>
      </w:pPr>
      <w:r w:rsidRPr="009353E6">
        <w:rPr>
          <w:sz w:val="22"/>
          <w:szCs w:val="22"/>
          <w:lang w:val="pl-PL"/>
        </w:rPr>
        <w:t>NLPZ (tj. kwas acetylosalicylowy w dawkach o działaniu przeciwzapalnym, inhibitory COX-2 i nieselektywne NLPZ) mogą zmniejszać działanie diuretyczne, natriuretyczne i przeciwnadciśnieniowe diuretyków tiazydowych i antagonistów</w:t>
      </w:r>
      <w:r w:rsidR="0030023C" w:rsidRPr="009353E6">
        <w:rPr>
          <w:sz w:val="22"/>
          <w:szCs w:val="22"/>
          <w:lang w:val="pl-PL"/>
        </w:rPr>
        <w:t xml:space="preserve"> receptora</w:t>
      </w:r>
      <w:r w:rsidRPr="009353E6">
        <w:rPr>
          <w:sz w:val="22"/>
          <w:szCs w:val="22"/>
          <w:lang w:val="pl-PL"/>
        </w:rPr>
        <w:t xml:space="preserve"> angiotensymy II. U niektórych pacjentów z </w:t>
      </w:r>
      <w:r w:rsidR="00622B2F" w:rsidRPr="009353E6">
        <w:rPr>
          <w:sz w:val="22"/>
          <w:szCs w:val="22"/>
          <w:lang w:val="pl-PL"/>
        </w:rPr>
        <w:t xml:space="preserve">zaburzoną </w:t>
      </w:r>
      <w:r w:rsidRPr="009353E6">
        <w:rPr>
          <w:sz w:val="22"/>
          <w:szCs w:val="22"/>
          <w:lang w:val="pl-PL"/>
        </w:rPr>
        <w:t xml:space="preserve">czynnością nerek (np. pacjenci odwodnieni lub </w:t>
      </w:r>
      <w:r w:rsidR="00622B2F" w:rsidRPr="009353E6">
        <w:rPr>
          <w:sz w:val="22"/>
          <w:szCs w:val="22"/>
          <w:lang w:val="pl-PL"/>
        </w:rPr>
        <w:t>pacjenci w podeszłym wieku z z</w:t>
      </w:r>
      <w:r w:rsidRPr="009353E6">
        <w:rPr>
          <w:sz w:val="22"/>
          <w:szCs w:val="22"/>
          <w:lang w:val="pl-PL"/>
        </w:rPr>
        <w:t xml:space="preserve">aburzeniami </w:t>
      </w:r>
      <w:r w:rsidR="00622B2F" w:rsidRPr="009353E6">
        <w:rPr>
          <w:sz w:val="22"/>
          <w:szCs w:val="22"/>
          <w:lang w:val="pl-PL"/>
        </w:rPr>
        <w:t xml:space="preserve">czynności </w:t>
      </w:r>
      <w:r w:rsidRPr="009353E6">
        <w:rPr>
          <w:sz w:val="22"/>
          <w:szCs w:val="22"/>
          <w:lang w:val="pl-PL"/>
        </w:rPr>
        <w:t xml:space="preserve">nerek) </w:t>
      </w:r>
      <w:r w:rsidR="00622B2F" w:rsidRPr="009353E6">
        <w:rPr>
          <w:sz w:val="22"/>
          <w:szCs w:val="22"/>
          <w:lang w:val="pl-PL"/>
        </w:rPr>
        <w:t xml:space="preserve">jednoczesne </w:t>
      </w:r>
      <w:r w:rsidRPr="009353E6">
        <w:rPr>
          <w:sz w:val="22"/>
          <w:szCs w:val="22"/>
          <w:lang w:val="pl-PL"/>
        </w:rPr>
        <w:t xml:space="preserve">podanie </w:t>
      </w:r>
      <w:r w:rsidR="0030023C" w:rsidRPr="009353E6">
        <w:rPr>
          <w:sz w:val="22"/>
          <w:szCs w:val="22"/>
          <w:lang w:val="pl-PL"/>
        </w:rPr>
        <w:t xml:space="preserve">antagonistów receptora </w:t>
      </w:r>
      <w:r w:rsidRPr="009353E6">
        <w:rPr>
          <w:sz w:val="22"/>
          <w:szCs w:val="22"/>
          <w:lang w:val="pl-PL"/>
        </w:rPr>
        <w:t xml:space="preserve">angiotensyny II i środków hamujących cyklooksygenazę może powodować dalsze </w:t>
      </w:r>
      <w:r w:rsidR="00622B2F" w:rsidRPr="009353E6">
        <w:rPr>
          <w:sz w:val="22"/>
          <w:szCs w:val="22"/>
          <w:lang w:val="pl-PL"/>
        </w:rPr>
        <w:t>z</w:t>
      </w:r>
      <w:r w:rsidR="00126929" w:rsidRPr="009353E6">
        <w:rPr>
          <w:sz w:val="22"/>
          <w:szCs w:val="22"/>
          <w:lang w:val="pl-PL"/>
        </w:rPr>
        <w:t>a</w:t>
      </w:r>
      <w:r w:rsidR="00622B2F" w:rsidRPr="009353E6">
        <w:rPr>
          <w:sz w:val="22"/>
          <w:szCs w:val="22"/>
          <w:lang w:val="pl-PL"/>
        </w:rPr>
        <w:t xml:space="preserve">burzenie czynności </w:t>
      </w:r>
      <w:r w:rsidRPr="009353E6">
        <w:rPr>
          <w:sz w:val="22"/>
          <w:szCs w:val="22"/>
          <w:lang w:val="pl-PL"/>
        </w:rPr>
        <w:t>nerek, w tym ostrą niewydolność nerek, która jest zwykle stanem odwracalnym. Dlatego tak</w:t>
      </w:r>
      <w:r w:rsidR="00126929" w:rsidRPr="009353E6">
        <w:rPr>
          <w:sz w:val="22"/>
          <w:szCs w:val="22"/>
          <w:lang w:val="pl-PL"/>
        </w:rPr>
        <w:t>ie</w:t>
      </w:r>
      <w:r w:rsidR="00CF1F51" w:rsidRPr="009353E6">
        <w:rPr>
          <w:sz w:val="22"/>
          <w:szCs w:val="22"/>
          <w:lang w:val="pl-PL"/>
        </w:rPr>
        <w:t xml:space="preserve"> </w:t>
      </w:r>
      <w:r w:rsidR="00126929" w:rsidRPr="009353E6">
        <w:rPr>
          <w:sz w:val="22"/>
          <w:szCs w:val="22"/>
          <w:lang w:val="pl-PL"/>
        </w:rPr>
        <w:t xml:space="preserve">skojarzenie </w:t>
      </w:r>
      <w:r w:rsidRPr="009353E6">
        <w:rPr>
          <w:sz w:val="22"/>
          <w:szCs w:val="22"/>
          <w:lang w:val="pl-PL"/>
        </w:rPr>
        <w:t xml:space="preserve">leków </w:t>
      </w:r>
      <w:r w:rsidR="00126929" w:rsidRPr="009353E6">
        <w:rPr>
          <w:sz w:val="22"/>
          <w:szCs w:val="22"/>
          <w:lang w:val="pl-PL"/>
        </w:rPr>
        <w:t xml:space="preserve">powinno </w:t>
      </w:r>
      <w:r w:rsidRPr="009353E6">
        <w:rPr>
          <w:sz w:val="22"/>
          <w:szCs w:val="22"/>
          <w:lang w:val="pl-PL"/>
        </w:rPr>
        <w:t>być stosowan</w:t>
      </w:r>
      <w:r w:rsidR="00126929" w:rsidRPr="009353E6">
        <w:rPr>
          <w:sz w:val="22"/>
          <w:szCs w:val="22"/>
          <w:lang w:val="pl-PL"/>
        </w:rPr>
        <w:t>e</w:t>
      </w:r>
      <w:r w:rsidRPr="009353E6">
        <w:rPr>
          <w:sz w:val="22"/>
          <w:szCs w:val="22"/>
          <w:lang w:val="pl-PL"/>
        </w:rPr>
        <w:t xml:space="preserve"> z dużą ostrożnością, szczególnie u osób </w:t>
      </w:r>
      <w:r w:rsidR="00622B2F" w:rsidRPr="009353E6">
        <w:rPr>
          <w:sz w:val="22"/>
          <w:szCs w:val="22"/>
          <w:lang w:val="pl-PL"/>
        </w:rPr>
        <w:t>w</w:t>
      </w:r>
      <w:r w:rsidR="00E02390" w:rsidRPr="009353E6">
        <w:rPr>
          <w:sz w:val="22"/>
          <w:szCs w:val="22"/>
          <w:lang w:val="pl-PL"/>
        </w:rPr>
        <w:t> </w:t>
      </w:r>
      <w:r w:rsidR="00622B2F" w:rsidRPr="009353E6">
        <w:rPr>
          <w:sz w:val="22"/>
          <w:szCs w:val="22"/>
          <w:lang w:val="pl-PL"/>
        </w:rPr>
        <w:t>podeszłym wieku</w:t>
      </w:r>
      <w:r w:rsidRPr="009353E6">
        <w:rPr>
          <w:sz w:val="22"/>
          <w:szCs w:val="22"/>
          <w:lang w:val="pl-PL"/>
        </w:rPr>
        <w:t xml:space="preserve">. Pacjenci powinni być odpowiednio nawodnieni, należy również rozważyć konieczność monitorowania czynności nerek po rozpoczęciu terapii towarzyszącej, a później okresowo. </w:t>
      </w:r>
    </w:p>
    <w:p w:rsidR="00E77514" w:rsidRPr="009353E6" w:rsidRDefault="00E77514" w:rsidP="00E77514">
      <w:pPr>
        <w:rPr>
          <w:sz w:val="22"/>
          <w:szCs w:val="22"/>
          <w:lang w:val="pl-PL"/>
        </w:rPr>
      </w:pPr>
    </w:p>
    <w:p w:rsidR="00397A74" w:rsidRPr="009353E6" w:rsidRDefault="00397A74" w:rsidP="00397A74">
      <w:pPr>
        <w:rPr>
          <w:sz w:val="22"/>
          <w:szCs w:val="22"/>
          <w:lang w:val="pl-PL"/>
        </w:rPr>
      </w:pPr>
      <w:r w:rsidRPr="009353E6">
        <w:rPr>
          <w:sz w:val="22"/>
          <w:szCs w:val="22"/>
          <w:lang w:val="pl-PL"/>
        </w:rPr>
        <w:t>W jednym badaniu jednoczesne podawanie telmisartanu i ramiprylu spowodowało 2,5-krotne zwiększenie AUC</w:t>
      </w:r>
      <w:r w:rsidRPr="009353E6">
        <w:rPr>
          <w:sz w:val="22"/>
          <w:szCs w:val="22"/>
          <w:vertAlign w:val="subscript"/>
          <w:lang w:val="pl-PL"/>
        </w:rPr>
        <w:t xml:space="preserve">0-24  </w:t>
      </w:r>
      <w:r w:rsidRPr="009353E6">
        <w:rPr>
          <w:sz w:val="22"/>
          <w:szCs w:val="22"/>
          <w:lang w:val="pl-PL"/>
        </w:rPr>
        <w:t>i C</w:t>
      </w:r>
      <w:r w:rsidRPr="009353E6">
        <w:rPr>
          <w:sz w:val="22"/>
          <w:szCs w:val="22"/>
          <w:vertAlign w:val="subscript"/>
          <w:lang w:val="pl-PL"/>
        </w:rPr>
        <w:t xml:space="preserve">max  </w:t>
      </w:r>
      <w:r w:rsidRPr="009353E6">
        <w:rPr>
          <w:sz w:val="22"/>
          <w:szCs w:val="22"/>
          <w:lang w:val="pl-PL"/>
        </w:rPr>
        <w:t>ramiprylu i ramiprylatu. Znaczenie kliniczne tej obserwacji jest nieznane.</w:t>
      </w:r>
    </w:p>
    <w:p w:rsidR="002D3E1A" w:rsidRPr="009353E6" w:rsidRDefault="002D3E1A" w:rsidP="000D5BED">
      <w:pPr>
        <w:pStyle w:val="BodyText"/>
        <w:spacing w:line="240" w:lineRule="auto"/>
        <w:jc w:val="left"/>
        <w:rPr>
          <w:sz w:val="22"/>
          <w:szCs w:val="22"/>
          <w:lang w:val="pl-PL"/>
        </w:rPr>
      </w:pPr>
    </w:p>
    <w:p w:rsidR="00AA6CE9" w:rsidRPr="009353E6" w:rsidRDefault="002D3E1A" w:rsidP="004A0B9E">
      <w:pPr>
        <w:pStyle w:val="BodyText"/>
        <w:keepNext/>
        <w:spacing w:line="240" w:lineRule="auto"/>
        <w:jc w:val="left"/>
        <w:rPr>
          <w:sz w:val="22"/>
          <w:szCs w:val="22"/>
          <w:lang w:val="pl-PL"/>
        </w:rPr>
      </w:pPr>
      <w:r w:rsidRPr="009353E6">
        <w:rPr>
          <w:sz w:val="22"/>
          <w:szCs w:val="22"/>
          <w:u w:val="single"/>
          <w:lang w:val="pl-PL"/>
        </w:rPr>
        <w:t>Aminy presyjne</w:t>
      </w:r>
      <w:r w:rsidRPr="009353E6">
        <w:rPr>
          <w:sz w:val="22"/>
          <w:szCs w:val="22"/>
          <w:lang w:val="pl-PL"/>
        </w:rPr>
        <w:t xml:space="preserve"> (np. noradrenalina)</w:t>
      </w:r>
    </w:p>
    <w:p w:rsidR="00AA6CE9" w:rsidRPr="009353E6" w:rsidRDefault="00AA6CE9" w:rsidP="004A0B9E">
      <w:pPr>
        <w:pStyle w:val="BodyText"/>
        <w:keepNext/>
        <w:spacing w:line="240" w:lineRule="auto"/>
        <w:jc w:val="left"/>
        <w:rPr>
          <w:sz w:val="22"/>
          <w:szCs w:val="22"/>
          <w:lang w:val="pl-PL"/>
        </w:rPr>
      </w:pPr>
    </w:p>
    <w:p w:rsidR="002D3E1A" w:rsidRPr="009353E6" w:rsidRDefault="00AA6CE9" w:rsidP="000D5BED">
      <w:pPr>
        <w:pStyle w:val="BodyText"/>
        <w:spacing w:line="240" w:lineRule="auto"/>
        <w:jc w:val="left"/>
        <w:rPr>
          <w:sz w:val="22"/>
          <w:szCs w:val="22"/>
          <w:lang w:val="pl-PL"/>
        </w:rPr>
      </w:pPr>
      <w:r w:rsidRPr="009353E6">
        <w:rPr>
          <w:sz w:val="22"/>
          <w:szCs w:val="22"/>
          <w:lang w:val="pl-PL"/>
        </w:rPr>
        <w:t>I</w:t>
      </w:r>
      <w:r w:rsidR="002D3E1A" w:rsidRPr="009353E6">
        <w:rPr>
          <w:sz w:val="22"/>
          <w:szCs w:val="22"/>
          <w:lang w:val="pl-PL"/>
        </w:rPr>
        <w:t>ch działanie może być osłabione.</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u w:val="single"/>
          <w:lang w:val="pl-PL"/>
        </w:rPr>
      </w:pPr>
      <w:r w:rsidRPr="009353E6">
        <w:rPr>
          <w:sz w:val="22"/>
          <w:szCs w:val="22"/>
          <w:u w:val="single"/>
          <w:lang w:val="pl-PL"/>
        </w:rPr>
        <w:t>Niedepolaryzujące środki zwiotczające mięśnie szkieletowe (np. tubokuraryna)</w:t>
      </w:r>
    </w:p>
    <w:p w:rsidR="00AA6CE9" w:rsidRPr="009353E6" w:rsidRDefault="00AA6CE9" w:rsidP="000D5BED">
      <w:pPr>
        <w:pStyle w:val="BodyText"/>
        <w:spacing w:line="240" w:lineRule="auto"/>
        <w:jc w:val="left"/>
        <w:rPr>
          <w:sz w:val="22"/>
          <w:szCs w:val="22"/>
          <w:u w:val="single"/>
          <w:lang w:val="pl-PL"/>
        </w:rPr>
      </w:pPr>
    </w:p>
    <w:p w:rsidR="003D10DA" w:rsidRPr="009353E6" w:rsidRDefault="002D3E1A" w:rsidP="000D5BED">
      <w:pPr>
        <w:pStyle w:val="BodyText"/>
        <w:spacing w:line="240" w:lineRule="auto"/>
        <w:jc w:val="left"/>
        <w:rPr>
          <w:sz w:val="22"/>
          <w:szCs w:val="22"/>
          <w:lang w:val="pl-PL"/>
        </w:rPr>
      </w:pPr>
      <w:r w:rsidRPr="009353E6">
        <w:rPr>
          <w:sz w:val="22"/>
          <w:szCs w:val="22"/>
          <w:lang w:val="pl-PL"/>
        </w:rPr>
        <w:t>Działanie niedepolaryzujących środków zwiotczających mięśnie szkieletowe może być nasilone przez hydrochlorotiazyd.</w:t>
      </w:r>
    </w:p>
    <w:p w:rsidR="002D3E1A" w:rsidRPr="009353E6" w:rsidRDefault="002D3E1A" w:rsidP="000D5BED">
      <w:pPr>
        <w:pStyle w:val="BodyText"/>
        <w:spacing w:line="240" w:lineRule="auto"/>
        <w:jc w:val="left"/>
        <w:rPr>
          <w:sz w:val="22"/>
          <w:szCs w:val="22"/>
          <w:lang w:val="pl-PL"/>
        </w:rPr>
      </w:pPr>
    </w:p>
    <w:p w:rsidR="00AA6CE9" w:rsidRPr="009353E6" w:rsidRDefault="005E5634" w:rsidP="000D5BED">
      <w:pPr>
        <w:pStyle w:val="BodyText"/>
        <w:spacing w:line="240" w:lineRule="auto"/>
        <w:jc w:val="left"/>
        <w:rPr>
          <w:sz w:val="22"/>
          <w:szCs w:val="22"/>
          <w:lang w:val="pl-PL"/>
        </w:rPr>
      </w:pPr>
      <w:r w:rsidRPr="009353E6">
        <w:rPr>
          <w:sz w:val="22"/>
          <w:szCs w:val="22"/>
          <w:u w:val="single"/>
          <w:lang w:val="pl-PL"/>
        </w:rPr>
        <w:t xml:space="preserve">Produkty lecznicze </w:t>
      </w:r>
      <w:r w:rsidR="002D3E1A" w:rsidRPr="009353E6">
        <w:rPr>
          <w:sz w:val="22"/>
          <w:szCs w:val="22"/>
          <w:u w:val="single"/>
          <w:lang w:val="pl-PL"/>
        </w:rPr>
        <w:t>stosowane w dnie (</w:t>
      </w:r>
      <w:r w:rsidR="00867E53" w:rsidRPr="009353E6">
        <w:rPr>
          <w:sz w:val="22"/>
          <w:szCs w:val="22"/>
          <w:u w:val="single"/>
          <w:lang w:val="pl-PL"/>
        </w:rPr>
        <w:t xml:space="preserve">np. </w:t>
      </w:r>
      <w:r w:rsidR="002D3E1A" w:rsidRPr="009353E6">
        <w:rPr>
          <w:sz w:val="22"/>
          <w:szCs w:val="22"/>
          <w:u w:val="single"/>
          <w:lang w:val="pl-PL"/>
        </w:rPr>
        <w:t>probenecyd, sulfinpyrazon i allopurynol</w:t>
      </w:r>
      <w:r w:rsidR="002D3E1A" w:rsidRPr="009353E6">
        <w:rPr>
          <w:sz w:val="22"/>
          <w:szCs w:val="22"/>
          <w:lang w:val="pl-PL"/>
        </w:rPr>
        <w:t>)</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Może okazać się konieczne dostosowanie dawki leków zwiększających wydalanie kwasu moczowego z moczem, ponieważ hydrochlorotiazyd może zwiększyć stężenie kwasu moczowego w surowicy. Może okazać się konieczne zwiększenie dawki probenecydu lub sulfinpyrazonu. Jednoczesne podawanie tiazydu może zwiększyć częstość występowania reakcji nadwrażliwości na allopurynol.</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lang w:val="pl-PL"/>
        </w:rPr>
      </w:pPr>
      <w:r w:rsidRPr="009353E6">
        <w:rPr>
          <w:sz w:val="22"/>
          <w:szCs w:val="22"/>
          <w:u w:val="single"/>
          <w:lang w:val="pl-PL"/>
        </w:rPr>
        <w:t>Sole wapnia</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Diuretyki tiazydowe mogą zwiększyć stężenie wapnia w surowicy w związku z jego zmniejszonym wydalaniem. Jeśli zajdzie potrzeba stosowania suplementów wapnia</w:t>
      </w:r>
      <w:r w:rsidR="00F37955" w:rsidRPr="009353E6">
        <w:rPr>
          <w:sz w:val="22"/>
          <w:szCs w:val="22"/>
          <w:lang w:val="pl-PL"/>
        </w:rPr>
        <w:t xml:space="preserve"> lub produktów leczniczych oszczędzających wapń (np. leczenie </w:t>
      </w:r>
      <w:r w:rsidR="005A0096" w:rsidRPr="009353E6">
        <w:rPr>
          <w:sz w:val="22"/>
          <w:szCs w:val="22"/>
          <w:lang w:val="pl-PL"/>
        </w:rPr>
        <w:t>w</w:t>
      </w:r>
      <w:r w:rsidR="00F37955" w:rsidRPr="009353E6">
        <w:rPr>
          <w:sz w:val="22"/>
          <w:szCs w:val="22"/>
          <w:lang w:val="pl-PL"/>
        </w:rPr>
        <w:t>itaminą D)</w:t>
      </w:r>
      <w:r w:rsidRPr="009353E6">
        <w:rPr>
          <w:sz w:val="22"/>
          <w:szCs w:val="22"/>
          <w:lang w:val="pl-PL"/>
        </w:rPr>
        <w:t>, należy monitorować stężenie wapnia w surowicy i odpowiednio dostosować dawkę wapnia.</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u w:val="single"/>
          <w:lang w:val="pl-PL"/>
        </w:rPr>
      </w:pPr>
      <w:r w:rsidRPr="009353E6">
        <w:rPr>
          <w:sz w:val="22"/>
          <w:szCs w:val="22"/>
          <w:u w:val="single"/>
          <w:lang w:val="pl-PL"/>
        </w:rPr>
        <w:t>Beta-adrenolityki i diazoksyd</w:t>
      </w:r>
    </w:p>
    <w:p w:rsidR="00AA6CE9" w:rsidRPr="009353E6" w:rsidRDefault="00AA6CE9" w:rsidP="000D5BED">
      <w:pPr>
        <w:pStyle w:val="BodyText"/>
        <w:spacing w:line="240" w:lineRule="auto"/>
        <w:jc w:val="left"/>
        <w:rPr>
          <w:sz w:val="22"/>
          <w:szCs w:val="22"/>
          <w:u w:val="single"/>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Tiazydy mogą zwiększyć działanie hiperglikemizujące beta-adrenolityków i diazoksydu.</w:t>
      </w:r>
    </w:p>
    <w:p w:rsidR="002D3E1A" w:rsidRPr="009353E6" w:rsidRDefault="002D3E1A" w:rsidP="000D5BED">
      <w:pPr>
        <w:pStyle w:val="BodyText"/>
        <w:spacing w:line="240" w:lineRule="auto"/>
        <w:jc w:val="left"/>
        <w:rPr>
          <w:sz w:val="22"/>
          <w:szCs w:val="22"/>
          <w:lang w:val="pl-PL"/>
        </w:rPr>
      </w:pPr>
    </w:p>
    <w:p w:rsidR="00AA6CE9" w:rsidRPr="009353E6" w:rsidRDefault="004D228C" w:rsidP="000D5BED">
      <w:pPr>
        <w:pStyle w:val="BodyText"/>
        <w:spacing w:line="240" w:lineRule="auto"/>
        <w:jc w:val="left"/>
        <w:rPr>
          <w:sz w:val="22"/>
          <w:szCs w:val="22"/>
          <w:lang w:val="pl-PL"/>
        </w:rPr>
      </w:pPr>
      <w:r w:rsidRPr="009353E6">
        <w:rPr>
          <w:sz w:val="22"/>
          <w:szCs w:val="22"/>
          <w:u w:val="single"/>
          <w:lang w:val="pl-PL"/>
        </w:rPr>
        <w:t xml:space="preserve">Środki </w:t>
      </w:r>
      <w:r w:rsidR="002D3E1A" w:rsidRPr="009353E6">
        <w:rPr>
          <w:sz w:val="22"/>
          <w:szCs w:val="22"/>
          <w:u w:val="single"/>
          <w:lang w:val="pl-PL"/>
        </w:rPr>
        <w:t>antycholinergiczne (np. atropina, biperyden)</w:t>
      </w:r>
    </w:p>
    <w:p w:rsidR="00AA6CE9" w:rsidRPr="009353E6" w:rsidRDefault="00AA6CE9"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Mogą zwiększyć biodostępność diuretyków tiazydowych poprzez zmniejszenie perystaltyki jelit i zmniejszenie współczynnika opróżniania żołądka.</w:t>
      </w:r>
    </w:p>
    <w:p w:rsidR="002D3E1A" w:rsidRPr="009353E6" w:rsidRDefault="002D3E1A" w:rsidP="000D5BED">
      <w:pPr>
        <w:pStyle w:val="BodyText"/>
        <w:spacing w:line="240" w:lineRule="auto"/>
        <w:jc w:val="left"/>
        <w:rPr>
          <w:sz w:val="22"/>
          <w:szCs w:val="22"/>
          <w:lang w:val="pl-PL"/>
        </w:rPr>
      </w:pPr>
    </w:p>
    <w:p w:rsidR="00AA6CE9" w:rsidRPr="009353E6" w:rsidRDefault="002D3E1A" w:rsidP="000D5BED">
      <w:pPr>
        <w:pStyle w:val="BodyText"/>
        <w:spacing w:line="240" w:lineRule="auto"/>
        <w:jc w:val="left"/>
        <w:rPr>
          <w:sz w:val="22"/>
          <w:szCs w:val="22"/>
          <w:u w:val="single"/>
          <w:lang w:val="pl-PL"/>
        </w:rPr>
      </w:pPr>
      <w:r w:rsidRPr="009353E6">
        <w:rPr>
          <w:sz w:val="22"/>
          <w:szCs w:val="22"/>
          <w:u w:val="single"/>
          <w:lang w:val="pl-PL"/>
        </w:rPr>
        <w:t>Amantadyna</w:t>
      </w:r>
    </w:p>
    <w:p w:rsidR="00AA6CE9" w:rsidRPr="009353E6" w:rsidRDefault="00AA6CE9" w:rsidP="000D5BED">
      <w:pPr>
        <w:pStyle w:val="BodyText"/>
        <w:spacing w:line="240" w:lineRule="auto"/>
        <w:jc w:val="left"/>
        <w:rPr>
          <w:sz w:val="22"/>
          <w:szCs w:val="22"/>
          <w:u w:val="single"/>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Tiazydy zwiększają ryzyko wystąpienia objawów niepożądanych wywoływanych przez amantadynę.</w:t>
      </w:r>
    </w:p>
    <w:p w:rsidR="002D3E1A" w:rsidRPr="009353E6" w:rsidRDefault="002D3E1A" w:rsidP="000D5BED">
      <w:pPr>
        <w:pStyle w:val="BodyText"/>
        <w:spacing w:line="240" w:lineRule="auto"/>
        <w:jc w:val="left"/>
        <w:rPr>
          <w:sz w:val="22"/>
          <w:szCs w:val="22"/>
          <w:lang w:val="pl-PL"/>
        </w:rPr>
      </w:pPr>
    </w:p>
    <w:p w:rsidR="00AA6CE9" w:rsidRPr="009353E6" w:rsidRDefault="002D3E1A" w:rsidP="001159E1">
      <w:pPr>
        <w:pStyle w:val="BodyText"/>
        <w:keepNext/>
        <w:spacing w:line="240" w:lineRule="auto"/>
        <w:jc w:val="left"/>
        <w:rPr>
          <w:sz w:val="22"/>
          <w:szCs w:val="22"/>
          <w:lang w:val="pl-PL"/>
        </w:rPr>
      </w:pPr>
      <w:r w:rsidRPr="009353E6">
        <w:rPr>
          <w:sz w:val="22"/>
          <w:szCs w:val="22"/>
          <w:u w:val="single"/>
          <w:lang w:val="pl-PL"/>
        </w:rPr>
        <w:t>Środki cytotoksyczne: (</w:t>
      </w:r>
      <w:r w:rsidRPr="009353E6">
        <w:rPr>
          <w:sz w:val="22"/>
          <w:szCs w:val="22"/>
          <w:lang w:val="pl-PL"/>
        </w:rPr>
        <w:t>np. cyklofosfamid, metotreksat)</w:t>
      </w:r>
    </w:p>
    <w:p w:rsidR="00AA6CE9" w:rsidRPr="009353E6" w:rsidRDefault="00AA6CE9" w:rsidP="001159E1">
      <w:pPr>
        <w:pStyle w:val="BodyText"/>
        <w:keepNext/>
        <w:spacing w:line="240" w:lineRule="auto"/>
        <w:jc w:val="left"/>
        <w:rPr>
          <w:sz w:val="22"/>
          <w:szCs w:val="22"/>
          <w:lang w:val="pl-PL"/>
        </w:rPr>
      </w:pPr>
    </w:p>
    <w:p w:rsidR="002D3E1A" w:rsidRPr="009353E6" w:rsidRDefault="002D3E1A" w:rsidP="001159E1">
      <w:pPr>
        <w:pStyle w:val="BodyText"/>
        <w:keepNext/>
        <w:spacing w:line="240" w:lineRule="auto"/>
        <w:jc w:val="left"/>
        <w:rPr>
          <w:sz w:val="22"/>
          <w:szCs w:val="22"/>
          <w:lang w:val="pl-PL"/>
        </w:rPr>
      </w:pPr>
      <w:r w:rsidRPr="009353E6">
        <w:rPr>
          <w:sz w:val="22"/>
          <w:szCs w:val="22"/>
          <w:lang w:val="pl-PL"/>
        </w:rPr>
        <w:t xml:space="preserve">Tiazydy mogą zmniejszyć wydalanie nerkowe cytotoksycznych </w:t>
      </w:r>
      <w:r w:rsidR="0079246D" w:rsidRPr="009353E6">
        <w:rPr>
          <w:sz w:val="22"/>
          <w:szCs w:val="22"/>
          <w:lang w:val="pl-PL"/>
        </w:rPr>
        <w:t xml:space="preserve">produktów leczniczych </w:t>
      </w:r>
      <w:r w:rsidRPr="009353E6">
        <w:rPr>
          <w:sz w:val="22"/>
          <w:szCs w:val="22"/>
          <w:lang w:val="pl-PL"/>
        </w:rPr>
        <w:t>i nasilić ich hamujące działanie na czynność szpiku.</w:t>
      </w:r>
    </w:p>
    <w:p w:rsidR="002D3E1A" w:rsidRPr="009353E6" w:rsidRDefault="002D3E1A" w:rsidP="000D5BED">
      <w:pPr>
        <w:pStyle w:val="BodyText"/>
        <w:spacing w:line="240" w:lineRule="auto"/>
        <w:jc w:val="left"/>
        <w:rPr>
          <w:sz w:val="22"/>
          <w:szCs w:val="22"/>
          <w:lang w:val="pl-PL"/>
        </w:rPr>
      </w:pPr>
    </w:p>
    <w:p w:rsidR="008A52BB" w:rsidRPr="009353E6" w:rsidRDefault="008A52BB" w:rsidP="000D5BED">
      <w:pPr>
        <w:pStyle w:val="BodyText"/>
        <w:spacing w:line="240" w:lineRule="auto"/>
        <w:jc w:val="left"/>
        <w:rPr>
          <w:sz w:val="22"/>
          <w:szCs w:val="22"/>
          <w:lang w:val="pl-PL"/>
        </w:rPr>
      </w:pPr>
      <w:r w:rsidRPr="009353E6">
        <w:rPr>
          <w:sz w:val="22"/>
          <w:szCs w:val="22"/>
          <w:lang w:val="pl-PL"/>
        </w:rPr>
        <w:t xml:space="preserve">Można oczekiwać, że ze względu na farmakologiczne właściwości, następujące produkty </w:t>
      </w:r>
      <w:r w:rsidR="0079246D" w:rsidRPr="009353E6">
        <w:rPr>
          <w:sz w:val="22"/>
          <w:szCs w:val="22"/>
          <w:lang w:val="pl-PL"/>
        </w:rPr>
        <w:t xml:space="preserve">lecznicze </w:t>
      </w:r>
      <w:r w:rsidRPr="009353E6">
        <w:rPr>
          <w:sz w:val="22"/>
          <w:szCs w:val="22"/>
          <w:lang w:val="pl-PL"/>
        </w:rPr>
        <w:t xml:space="preserve">mogą nasilać hipotensyjne </w:t>
      </w:r>
      <w:r w:rsidR="0079246D" w:rsidRPr="009353E6">
        <w:rPr>
          <w:sz w:val="22"/>
          <w:szCs w:val="22"/>
          <w:lang w:val="pl-PL"/>
        </w:rPr>
        <w:t xml:space="preserve">działanie wszystkich leków </w:t>
      </w:r>
      <w:r w:rsidRPr="009353E6">
        <w:rPr>
          <w:sz w:val="22"/>
          <w:szCs w:val="22"/>
          <w:lang w:val="pl-PL"/>
        </w:rPr>
        <w:t xml:space="preserve">przeciwnadciśnieniowych, w tym telmisartanu: </w:t>
      </w:r>
      <w:r w:rsidR="00622B2F" w:rsidRPr="009353E6">
        <w:rPr>
          <w:sz w:val="22"/>
          <w:szCs w:val="22"/>
          <w:lang w:val="pl-PL"/>
        </w:rPr>
        <w:t>b</w:t>
      </w:r>
      <w:r w:rsidRPr="009353E6">
        <w:rPr>
          <w:sz w:val="22"/>
          <w:szCs w:val="22"/>
          <w:lang w:val="pl-PL"/>
        </w:rPr>
        <w:t>a</w:t>
      </w:r>
      <w:r w:rsidR="00622B2F" w:rsidRPr="009353E6">
        <w:rPr>
          <w:sz w:val="22"/>
          <w:szCs w:val="22"/>
          <w:lang w:val="pl-PL"/>
        </w:rPr>
        <w:t>k</w:t>
      </w:r>
      <w:r w:rsidRPr="009353E6">
        <w:rPr>
          <w:sz w:val="22"/>
          <w:szCs w:val="22"/>
          <w:lang w:val="pl-PL"/>
        </w:rPr>
        <w:t>lofen, amifost</w:t>
      </w:r>
      <w:r w:rsidR="00622B2F" w:rsidRPr="009353E6">
        <w:rPr>
          <w:sz w:val="22"/>
          <w:szCs w:val="22"/>
          <w:lang w:val="pl-PL"/>
        </w:rPr>
        <w:t>y</w:t>
      </w:r>
      <w:r w:rsidRPr="009353E6">
        <w:rPr>
          <w:sz w:val="22"/>
          <w:szCs w:val="22"/>
          <w:lang w:val="pl-PL"/>
        </w:rPr>
        <w:t>n</w:t>
      </w:r>
      <w:r w:rsidR="00622B2F" w:rsidRPr="009353E6">
        <w:rPr>
          <w:sz w:val="22"/>
          <w:szCs w:val="22"/>
          <w:lang w:val="pl-PL"/>
        </w:rPr>
        <w:t>a</w:t>
      </w:r>
      <w:r w:rsidRPr="009353E6">
        <w:rPr>
          <w:sz w:val="22"/>
          <w:szCs w:val="22"/>
          <w:lang w:val="pl-PL"/>
        </w:rPr>
        <w:t>.</w:t>
      </w:r>
    </w:p>
    <w:p w:rsidR="008A52BB" w:rsidRPr="009353E6" w:rsidRDefault="008A52BB" w:rsidP="000D5BED">
      <w:pPr>
        <w:pStyle w:val="BodyText"/>
        <w:spacing w:line="240" w:lineRule="auto"/>
        <w:jc w:val="left"/>
        <w:rPr>
          <w:sz w:val="22"/>
          <w:szCs w:val="22"/>
          <w:lang w:val="pl-PL"/>
        </w:rPr>
      </w:pPr>
      <w:r w:rsidRPr="009353E6">
        <w:rPr>
          <w:sz w:val="22"/>
          <w:szCs w:val="22"/>
          <w:lang w:val="pl-PL"/>
        </w:rPr>
        <w:t xml:space="preserve">Ponadto, </w:t>
      </w:r>
      <w:r w:rsidR="00622B2F" w:rsidRPr="009353E6">
        <w:rPr>
          <w:sz w:val="22"/>
          <w:szCs w:val="22"/>
          <w:lang w:val="pl-PL"/>
        </w:rPr>
        <w:t xml:space="preserve">niedociśnienie </w:t>
      </w:r>
      <w:r w:rsidRPr="009353E6">
        <w:rPr>
          <w:sz w:val="22"/>
          <w:szCs w:val="22"/>
          <w:lang w:val="pl-PL"/>
        </w:rPr>
        <w:t xml:space="preserve">ortostatyczne </w:t>
      </w:r>
      <w:r w:rsidR="00622B2F" w:rsidRPr="009353E6">
        <w:rPr>
          <w:sz w:val="22"/>
          <w:szCs w:val="22"/>
          <w:lang w:val="pl-PL"/>
        </w:rPr>
        <w:t xml:space="preserve">może </w:t>
      </w:r>
      <w:r w:rsidRPr="009353E6">
        <w:rPr>
          <w:sz w:val="22"/>
          <w:szCs w:val="22"/>
          <w:lang w:val="pl-PL"/>
        </w:rPr>
        <w:t xml:space="preserve">być spotęgowane przez alkohol, barbiturany, </w:t>
      </w:r>
      <w:r w:rsidR="00622B2F" w:rsidRPr="009353E6">
        <w:rPr>
          <w:sz w:val="22"/>
          <w:szCs w:val="22"/>
          <w:lang w:val="pl-PL"/>
        </w:rPr>
        <w:t>opi</w:t>
      </w:r>
      <w:r w:rsidR="00CF1F51" w:rsidRPr="009353E6">
        <w:rPr>
          <w:sz w:val="22"/>
          <w:szCs w:val="22"/>
          <w:lang w:val="pl-PL"/>
        </w:rPr>
        <w:t>oi</w:t>
      </w:r>
      <w:r w:rsidR="00622B2F" w:rsidRPr="009353E6">
        <w:rPr>
          <w:sz w:val="22"/>
          <w:szCs w:val="22"/>
          <w:lang w:val="pl-PL"/>
        </w:rPr>
        <w:t xml:space="preserve">dowe leki </w:t>
      </w:r>
      <w:r w:rsidR="00126929" w:rsidRPr="009353E6">
        <w:rPr>
          <w:sz w:val="22"/>
          <w:szCs w:val="22"/>
          <w:lang w:val="pl-PL"/>
        </w:rPr>
        <w:t>przeciwbólowe lub</w:t>
      </w:r>
      <w:r w:rsidR="00622B2F" w:rsidRPr="009353E6">
        <w:rPr>
          <w:sz w:val="22"/>
          <w:szCs w:val="22"/>
          <w:lang w:val="pl-PL"/>
        </w:rPr>
        <w:t xml:space="preserve"> leki przeciwdepresyjne</w:t>
      </w:r>
      <w:r w:rsidRPr="009353E6">
        <w:rPr>
          <w:sz w:val="22"/>
          <w:szCs w:val="22"/>
          <w:lang w:val="pl-PL"/>
        </w:rPr>
        <w:t>.</w:t>
      </w:r>
    </w:p>
    <w:p w:rsidR="00AA6CE9" w:rsidRPr="009353E6" w:rsidRDefault="00AA6CE9" w:rsidP="000D5BED">
      <w:pPr>
        <w:pStyle w:val="BodyText"/>
        <w:spacing w:line="240" w:lineRule="auto"/>
        <w:jc w:val="left"/>
        <w:rPr>
          <w:spacing w:val="-3"/>
          <w:sz w:val="22"/>
          <w:szCs w:val="22"/>
          <w:lang w:val="pl-PL"/>
        </w:rPr>
      </w:pPr>
    </w:p>
    <w:p w:rsidR="002D3E1A" w:rsidRPr="009353E6" w:rsidRDefault="000D5BED" w:rsidP="004A0B9E">
      <w:pPr>
        <w:pStyle w:val="BodyText"/>
        <w:keepNext/>
        <w:tabs>
          <w:tab w:val="left" w:pos="567"/>
        </w:tabs>
        <w:spacing w:line="240" w:lineRule="auto"/>
        <w:jc w:val="left"/>
        <w:rPr>
          <w:b/>
          <w:sz w:val="22"/>
          <w:szCs w:val="22"/>
          <w:lang w:val="pl-PL"/>
        </w:rPr>
      </w:pPr>
      <w:r w:rsidRPr="009353E6">
        <w:rPr>
          <w:b/>
          <w:sz w:val="22"/>
          <w:szCs w:val="22"/>
          <w:lang w:val="pl-PL"/>
        </w:rPr>
        <w:t>4.6</w:t>
      </w:r>
      <w:r w:rsidRPr="009353E6">
        <w:rPr>
          <w:b/>
          <w:sz w:val="22"/>
          <w:szCs w:val="22"/>
          <w:lang w:val="pl-PL"/>
        </w:rPr>
        <w:tab/>
      </w:r>
      <w:r w:rsidR="00260994" w:rsidRPr="009353E6">
        <w:rPr>
          <w:b/>
          <w:sz w:val="22"/>
          <w:szCs w:val="22"/>
          <w:lang w:val="pl-PL"/>
        </w:rPr>
        <w:t>Wpływ na płodność, ciążę i laktację</w:t>
      </w:r>
    </w:p>
    <w:p w:rsidR="00701864" w:rsidRPr="009353E6" w:rsidRDefault="00701864" w:rsidP="004A0B9E">
      <w:pPr>
        <w:pStyle w:val="BodyText"/>
        <w:keepNext/>
        <w:spacing w:line="240" w:lineRule="auto"/>
        <w:jc w:val="left"/>
        <w:rPr>
          <w:sz w:val="22"/>
          <w:szCs w:val="22"/>
          <w:lang w:val="pl-PL"/>
        </w:rPr>
      </w:pPr>
    </w:p>
    <w:p w:rsidR="0030023C" w:rsidRPr="009353E6" w:rsidRDefault="00701864" w:rsidP="004A0B9E">
      <w:pPr>
        <w:pStyle w:val="BodyText"/>
        <w:keepNext/>
        <w:spacing w:line="240" w:lineRule="auto"/>
        <w:jc w:val="left"/>
        <w:rPr>
          <w:sz w:val="22"/>
          <w:szCs w:val="22"/>
          <w:lang w:val="pl-PL"/>
        </w:rPr>
      </w:pPr>
      <w:r w:rsidRPr="009353E6">
        <w:rPr>
          <w:sz w:val="22"/>
          <w:szCs w:val="22"/>
          <w:u w:val="single"/>
          <w:lang w:val="pl-PL"/>
        </w:rPr>
        <w:t>Ciąża</w:t>
      </w:r>
    </w:p>
    <w:p w:rsidR="0030023C" w:rsidRPr="009353E6" w:rsidRDefault="0030023C" w:rsidP="004A0B9E">
      <w:pPr>
        <w:pStyle w:val="BodyText"/>
        <w:keepNext/>
        <w:spacing w:line="240" w:lineRule="auto"/>
        <w:jc w:val="left"/>
        <w:rPr>
          <w:sz w:val="22"/>
          <w:szCs w:val="22"/>
          <w:u w:val="single"/>
          <w:lang w:val="pl-PL"/>
        </w:rPr>
      </w:pPr>
    </w:p>
    <w:p w:rsidR="00917238" w:rsidRPr="009353E6" w:rsidRDefault="00917238" w:rsidP="000D5BED">
      <w:pPr>
        <w:pStyle w:val="BodyText"/>
        <w:pBdr>
          <w:top w:val="single" w:sz="4" w:space="1" w:color="auto"/>
          <w:left w:val="single" w:sz="4" w:space="4" w:color="auto"/>
          <w:bottom w:val="single" w:sz="4" w:space="1" w:color="auto"/>
          <w:right w:val="single" w:sz="4" w:space="4" w:color="auto"/>
        </w:pBdr>
        <w:spacing w:line="240" w:lineRule="auto"/>
        <w:jc w:val="left"/>
        <w:rPr>
          <w:sz w:val="22"/>
          <w:szCs w:val="22"/>
          <w:lang w:val="pl-PL"/>
        </w:rPr>
      </w:pPr>
      <w:r w:rsidRPr="009353E6">
        <w:rPr>
          <w:sz w:val="22"/>
          <w:szCs w:val="22"/>
          <w:lang w:val="pl-PL"/>
        </w:rPr>
        <w:t xml:space="preserve">Nie zaleca się stosowania antagonistów receptora angiotensyny II w pierwszym trymestrze ciąży (patrz punkt 4.4). </w:t>
      </w:r>
      <w:r w:rsidRPr="009353E6">
        <w:rPr>
          <w:i/>
          <w:sz w:val="22"/>
          <w:szCs w:val="22"/>
          <w:lang w:val="pl-PL"/>
        </w:rPr>
        <w:t>S</w:t>
      </w:r>
      <w:r w:rsidRPr="009353E6">
        <w:rPr>
          <w:sz w:val="22"/>
          <w:szCs w:val="22"/>
          <w:lang w:val="pl-PL"/>
        </w:rPr>
        <w:t>tosowanie antagonistów receptora angiotensyny II jest przeciwwskazane</w:t>
      </w:r>
      <w:r w:rsidRPr="009353E6">
        <w:rPr>
          <w:i/>
          <w:sz w:val="22"/>
          <w:szCs w:val="22"/>
          <w:lang w:val="pl-PL"/>
        </w:rPr>
        <w:t xml:space="preserve"> </w:t>
      </w:r>
      <w:r w:rsidRPr="009353E6">
        <w:rPr>
          <w:sz w:val="22"/>
          <w:szCs w:val="22"/>
          <w:lang w:val="pl-PL"/>
        </w:rPr>
        <w:t>w drugim i trzecim trymestrze ciąży (patrz punkty 4.3 i 4.4).</w:t>
      </w:r>
    </w:p>
    <w:p w:rsidR="0030023C" w:rsidRPr="009353E6" w:rsidRDefault="0030023C" w:rsidP="000D5BED">
      <w:pPr>
        <w:pStyle w:val="BodyText"/>
        <w:spacing w:line="240" w:lineRule="auto"/>
        <w:jc w:val="left"/>
        <w:rPr>
          <w:sz w:val="22"/>
          <w:szCs w:val="22"/>
          <w:lang w:val="pl-PL"/>
        </w:rPr>
      </w:pPr>
    </w:p>
    <w:p w:rsidR="0021094B" w:rsidRPr="009353E6" w:rsidRDefault="0021094B" w:rsidP="000D5BED">
      <w:pPr>
        <w:pStyle w:val="BodyText"/>
        <w:spacing w:line="240" w:lineRule="auto"/>
        <w:jc w:val="left"/>
        <w:rPr>
          <w:sz w:val="22"/>
          <w:szCs w:val="22"/>
          <w:lang w:val="pl-PL"/>
        </w:rPr>
      </w:pPr>
      <w:r w:rsidRPr="009353E6">
        <w:rPr>
          <w:sz w:val="22"/>
          <w:szCs w:val="22"/>
          <w:lang w:val="pl-PL"/>
        </w:rPr>
        <w:t xml:space="preserve">Brak odpowiednich danych dotyczących stosowania </w:t>
      </w:r>
      <w:r w:rsidR="00F710F6" w:rsidRPr="009353E6">
        <w:rPr>
          <w:sz w:val="22"/>
          <w:szCs w:val="22"/>
          <w:lang w:val="pl-PL"/>
        </w:rPr>
        <w:t>produktu</w:t>
      </w:r>
      <w:r w:rsidR="004057F9" w:rsidRPr="009353E6">
        <w:rPr>
          <w:sz w:val="22"/>
          <w:szCs w:val="22"/>
          <w:lang w:val="pl-PL"/>
        </w:rPr>
        <w:t xml:space="preserve"> </w:t>
      </w:r>
      <w:r w:rsidRPr="009353E6">
        <w:rPr>
          <w:sz w:val="22"/>
          <w:szCs w:val="22"/>
          <w:lang w:val="pl-PL"/>
        </w:rPr>
        <w:t xml:space="preserve">MicardisPlus u kobiet w ciąży. Badania przeprowadzone na zwierzętach wykazały toksyczny wpływ na proces rozmnażania się (patrz punkt 5.3). </w:t>
      </w:r>
    </w:p>
    <w:p w:rsidR="003D10DA" w:rsidRPr="009353E6" w:rsidRDefault="00917238" w:rsidP="000D5BED">
      <w:pPr>
        <w:pStyle w:val="BodyText"/>
        <w:spacing w:line="240" w:lineRule="auto"/>
        <w:jc w:val="left"/>
        <w:rPr>
          <w:sz w:val="22"/>
          <w:szCs w:val="22"/>
          <w:lang w:val="pl-PL"/>
        </w:rPr>
      </w:pPr>
      <w:r w:rsidRPr="009353E6">
        <w:rPr>
          <w:sz w:val="22"/>
          <w:szCs w:val="22"/>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w:t>
      </w:r>
    </w:p>
    <w:p w:rsidR="00917238" w:rsidRPr="009353E6" w:rsidRDefault="00917238" w:rsidP="000D5BED">
      <w:pPr>
        <w:pStyle w:val="BodyText"/>
        <w:spacing w:line="240" w:lineRule="auto"/>
        <w:jc w:val="left"/>
        <w:rPr>
          <w:sz w:val="22"/>
          <w:szCs w:val="22"/>
          <w:lang w:val="pl-PL"/>
        </w:rPr>
      </w:pPr>
      <w:r w:rsidRPr="009353E6">
        <w:rPr>
          <w:sz w:val="22"/>
          <w:szCs w:val="22"/>
          <w:lang w:val="pl-PL"/>
        </w:rPr>
        <w:t>przeciwnadciśnieniowe, które mają ustalony profil bezpieczeństwa stosowania w ciąży. Po stwierdzeniu ciąży leczenie antagonistami receptora angiotensyny II należy natychmiast przerwać i w razie potrzeby rozpocząć inne leczenie.</w:t>
      </w:r>
    </w:p>
    <w:p w:rsidR="0030023C" w:rsidRPr="009353E6" w:rsidRDefault="0030023C" w:rsidP="000D5BED">
      <w:pPr>
        <w:pStyle w:val="BodyText"/>
        <w:spacing w:line="240" w:lineRule="auto"/>
        <w:jc w:val="left"/>
        <w:rPr>
          <w:sz w:val="22"/>
          <w:szCs w:val="22"/>
          <w:lang w:val="pl-PL"/>
        </w:rPr>
      </w:pPr>
    </w:p>
    <w:p w:rsidR="00917238" w:rsidRPr="009353E6" w:rsidRDefault="0030023C" w:rsidP="000D5BED">
      <w:pPr>
        <w:pStyle w:val="BodyText"/>
        <w:spacing w:line="240" w:lineRule="auto"/>
        <w:jc w:val="left"/>
        <w:rPr>
          <w:sz w:val="22"/>
          <w:szCs w:val="22"/>
          <w:lang w:val="pl-PL"/>
        </w:rPr>
      </w:pPr>
      <w:r w:rsidRPr="009353E6">
        <w:rPr>
          <w:sz w:val="22"/>
          <w:szCs w:val="22"/>
          <w:lang w:val="pl-PL"/>
        </w:rPr>
        <w:t>N</w:t>
      </w:r>
      <w:r w:rsidR="00917238" w:rsidRPr="009353E6">
        <w:rPr>
          <w:sz w:val="22"/>
          <w:szCs w:val="22"/>
          <w:lang w:val="pl-PL"/>
        </w:rPr>
        <w:t>arażenie na działanie antagonistów receptora angiotensyny II w drugim i trzecim trymestrze ciąży powoduj</w:t>
      </w:r>
      <w:r w:rsidR="00777C9A" w:rsidRPr="009353E6">
        <w:rPr>
          <w:sz w:val="22"/>
          <w:szCs w:val="22"/>
          <w:lang w:val="pl-PL"/>
        </w:rPr>
        <w:t>e</w:t>
      </w:r>
      <w:r w:rsidR="00917238" w:rsidRPr="009353E6">
        <w:rPr>
          <w:sz w:val="22"/>
          <w:szCs w:val="22"/>
          <w:lang w:val="pl-PL"/>
        </w:rPr>
        <w:t xml:space="preserve"> działanie toksyczne dla płodu (pogorszenie czynności nerek, małowodzie, opóźnienie kostnienia czaszki) i noworodka (niewydolność nerek, niedociśnienie tętnicze, hiperkaliemia) (Patrz punkt 5.3).</w:t>
      </w:r>
    </w:p>
    <w:p w:rsidR="00917238" w:rsidRPr="009353E6" w:rsidRDefault="00917238" w:rsidP="000D5BED">
      <w:pPr>
        <w:pStyle w:val="BodyText"/>
        <w:spacing w:line="240" w:lineRule="auto"/>
        <w:jc w:val="left"/>
        <w:rPr>
          <w:sz w:val="22"/>
          <w:szCs w:val="22"/>
          <w:lang w:val="pl-PL"/>
        </w:rPr>
      </w:pPr>
      <w:r w:rsidRPr="009353E6">
        <w:rPr>
          <w:sz w:val="22"/>
          <w:szCs w:val="22"/>
          <w:lang w:val="pl-PL"/>
        </w:rPr>
        <w:t>Jeżeli do narażenia na działanie antagonistów receptora angiotensyny II doszło od drugiego trymestru ciąży, zaleca się badanie ultrasonograficzne nerek i czaszki.</w:t>
      </w:r>
    </w:p>
    <w:p w:rsidR="00917238" w:rsidRPr="009353E6" w:rsidRDefault="00917238" w:rsidP="000D5BED">
      <w:pPr>
        <w:pStyle w:val="BodyText"/>
        <w:spacing w:line="240" w:lineRule="auto"/>
        <w:jc w:val="left"/>
        <w:rPr>
          <w:sz w:val="22"/>
          <w:szCs w:val="22"/>
          <w:lang w:val="pl-PL"/>
        </w:rPr>
      </w:pPr>
      <w:r w:rsidRPr="009353E6">
        <w:rPr>
          <w:sz w:val="22"/>
          <w:szCs w:val="22"/>
          <w:lang w:val="pl-PL"/>
        </w:rPr>
        <w:t>Noworodki, których matki przyjmowały antagonistów receptora angiotensyny II, należy ściśle obserwować za względu na możliwo</w:t>
      </w:r>
      <w:r w:rsidR="0049772C" w:rsidRPr="009353E6">
        <w:rPr>
          <w:sz w:val="22"/>
          <w:szCs w:val="22"/>
          <w:lang w:val="pl-PL"/>
        </w:rPr>
        <w:t>ś</w:t>
      </w:r>
      <w:r w:rsidRPr="009353E6">
        <w:rPr>
          <w:sz w:val="22"/>
          <w:szCs w:val="22"/>
          <w:lang w:val="pl-PL"/>
        </w:rPr>
        <w:t>ć wystąpienia niedociśnienia tętniczego (patrz punkty 4.3 i 4.4).</w:t>
      </w:r>
    </w:p>
    <w:p w:rsidR="00273426" w:rsidRPr="009353E6" w:rsidRDefault="00273426" w:rsidP="00273426">
      <w:pPr>
        <w:pStyle w:val="PlainText"/>
        <w:rPr>
          <w:rFonts w:ascii="Times New Roman" w:hAnsi="Times New Roman"/>
          <w:sz w:val="22"/>
          <w:szCs w:val="22"/>
          <w:lang w:val="pl-PL"/>
        </w:rPr>
      </w:pPr>
    </w:p>
    <w:p w:rsidR="00AE245F" w:rsidRPr="009353E6" w:rsidRDefault="00AE245F" w:rsidP="00AE245F">
      <w:pPr>
        <w:pStyle w:val="PlainText"/>
        <w:rPr>
          <w:rFonts w:ascii="Times New Roman" w:hAnsi="Times New Roman"/>
          <w:sz w:val="22"/>
          <w:szCs w:val="22"/>
          <w:lang w:val="pl-PL"/>
        </w:rPr>
      </w:pPr>
      <w:r w:rsidRPr="009353E6">
        <w:rPr>
          <w:rFonts w:ascii="Times New Roman" w:hAnsi="Times New Roman"/>
          <w:sz w:val="22"/>
          <w:szCs w:val="22"/>
          <w:lang w:val="pl-PL"/>
        </w:rPr>
        <w:t>Doświadczenia ze stosowaniem hydrochlorotiazydu podczas ciąży, a zwłaszcza w pierwszym trymestrze, są ograniczone. Badania na zwierzętach są niewystarczające. Hydrochlorotiazyd przenika przez łożysko. Ze względu na farmakologiczny mechanizm działania hydrochlorotiazydu stosowanie tego leku w drugim i trzecim trymestrze może prowadzić do zmniejszeni</w:t>
      </w:r>
      <w:r w:rsidR="00F31FA5" w:rsidRPr="009353E6">
        <w:rPr>
          <w:rFonts w:ascii="Times New Roman" w:hAnsi="Times New Roman"/>
          <w:sz w:val="22"/>
          <w:szCs w:val="22"/>
          <w:lang w:val="pl-PL"/>
        </w:rPr>
        <w:t>a</w:t>
      </w:r>
      <w:r w:rsidRPr="009353E6">
        <w:rPr>
          <w:rFonts w:ascii="Times New Roman" w:hAnsi="Times New Roman"/>
          <w:sz w:val="22"/>
          <w:szCs w:val="22"/>
          <w:lang w:val="pl-PL"/>
        </w:rPr>
        <w:t xml:space="preserve"> perfuzji płodowo-łożyskowej oraz wywoływać zaburzenia u płodu i noworodka, takie jak żółtaczka, zaburzenia równowagi elektrolitowej i thrombocytopenia.</w:t>
      </w:r>
    </w:p>
    <w:p w:rsidR="00AE245F" w:rsidRPr="009353E6" w:rsidRDefault="00AE245F" w:rsidP="00AE245F">
      <w:pPr>
        <w:pStyle w:val="PlainText"/>
        <w:rPr>
          <w:rFonts w:ascii="Times New Roman" w:hAnsi="Times New Roman"/>
          <w:sz w:val="22"/>
          <w:szCs w:val="22"/>
          <w:lang w:val="pl-PL"/>
        </w:rPr>
      </w:pPr>
      <w:r w:rsidRPr="009353E6">
        <w:rPr>
          <w:rFonts w:ascii="Times New Roman" w:hAnsi="Times New Roman"/>
          <w:sz w:val="22"/>
          <w:szCs w:val="22"/>
          <w:lang w:val="pl-PL"/>
        </w:rPr>
        <w:t>Hydrochlorotiazydu nie należy stosować w obrzękach ciążowych, nadciśnieniu ciążowym i stanie przedrzucawkowym z powodu ryzyka zmniejszenia objętości osocza oraz niedokrwienia łożyska, bez korzystnego wpływu na przebieg choroby.</w:t>
      </w:r>
    </w:p>
    <w:p w:rsidR="00AE245F" w:rsidRPr="009353E6" w:rsidRDefault="00AE245F" w:rsidP="00AE245F">
      <w:pPr>
        <w:pStyle w:val="PlainText"/>
        <w:rPr>
          <w:rFonts w:ascii="Times New Roman" w:hAnsi="Times New Roman"/>
          <w:sz w:val="22"/>
          <w:szCs w:val="22"/>
          <w:lang w:val="pl-PL"/>
        </w:rPr>
      </w:pPr>
    </w:p>
    <w:p w:rsidR="00AE245F" w:rsidRPr="009353E6" w:rsidRDefault="00AE245F" w:rsidP="00AE245F">
      <w:pPr>
        <w:pStyle w:val="PlainText"/>
        <w:rPr>
          <w:rFonts w:ascii="Times New Roman" w:hAnsi="Times New Roman"/>
          <w:sz w:val="22"/>
          <w:szCs w:val="22"/>
          <w:lang w:val="pl-PL"/>
        </w:rPr>
      </w:pPr>
      <w:r w:rsidRPr="009353E6">
        <w:rPr>
          <w:rFonts w:ascii="Times New Roman" w:hAnsi="Times New Roman"/>
          <w:sz w:val="22"/>
          <w:szCs w:val="22"/>
          <w:lang w:val="pl-PL"/>
        </w:rPr>
        <w:t>Nie należy stosować hydrochlorotiazydu w samoistnym nadciśnieniu tętniczym u kobiet w ciąży z wyjątkiem rzadkich sytuacji, kiedy niemożliwe jest zastosowanie alternatywnego leczenia.</w:t>
      </w:r>
    </w:p>
    <w:p w:rsidR="0021094B" w:rsidRPr="009353E6" w:rsidRDefault="0021094B" w:rsidP="000D5BED">
      <w:pPr>
        <w:pStyle w:val="BodyText"/>
        <w:spacing w:line="240" w:lineRule="auto"/>
        <w:jc w:val="left"/>
        <w:rPr>
          <w:sz w:val="22"/>
          <w:szCs w:val="22"/>
          <w:u w:val="single"/>
          <w:lang w:val="pl-PL"/>
        </w:rPr>
      </w:pPr>
    </w:p>
    <w:p w:rsidR="0030023C" w:rsidRPr="009353E6" w:rsidRDefault="00260994" w:rsidP="001159E1">
      <w:pPr>
        <w:pStyle w:val="BodyText"/>
        <w:keepNext/>
        <w:spacing w:line="240" w:lineRule="auto"/>
        <w:jc w:val="left"/>
        <w:rPr>
          <w:sz w:val="22"/>
          <w:szCs w:val="22"/>
          <w:lang w:val="pl-PL"/>
        </w:rPr>
      </w:pPr>
      <w:r w:rsidRPr="009353E6">
        <w:rPr>
          <w:sz w:val="22"/>
          <w:szCs w:val="22"/>
          <w:u w:val="single"/>
          <w:lang w:val="pl-PL"/>
        </w:rPr>
        <w:t>Karmienie piersią</w:t>
      </w:r>
      <w:r w:rsidR="004D228C" w:rsidRPr="009353E6">
        <w:rPr>
          <w:sz w:val="22"/>
          <w:szCs w:val="22"/>
          <w:lang w:val="pl-PL"/>
        </w:rPr>
        <w:t xml:space="preserve"> </w:t>
      </w:r>
    </w:p>
    <w:p w:rsidR="0090275A" w:rsidRPr="009353E6" w:rsidRDefault="0090275A" w:rsidP="001159E1">
      <w:pPr>
        <w:pStyle w:val="BodyText"/>
        <w:keepNext/>
        <w:spacing w:line="240" w:lineRule="auto"/>
        <w:jc w:val="left"/>
        <w:rPr>
          <w:sz w:val="22"/>
          <w:szCs w:val="22"/>
          <w:lang w:val="pl-PL"/>
        </w:rPr>
      </w:pPr>
    </w:p>
    <w:p w:rsidR="005B7B8A" w:rsidRPr="009353E6" w:rsidRDefault="005B7B8A" w:rsidP="001159E1">
      <w:pPr>
        <w:keepNext/>
        <w:rPr>
          <w:sz w:val="22"/>
          <w:szCs w:val="22"/>
          <w:lang w:val="pl-PL"/>
        </w:rPr>
      </w:pPr>
      <w:r w:rsidRPr="009353E6">
        <w:rPr>
          <w:sz w:val="22"/>
          <w:szCs w:val="22"/>
          <w:lang w:val="pl-PL"/>
        </w:rPr>
        <w:t xml:space="preserve">Z powodu braku informacji dotyczących stosowania produktu MicardisPlus w trakcie karmienia piersią, nie zaleca się jego stosowania w tym okresie. W trakcie karmienia piersią, w szczególności noworodków i dzieci urodzonych przedwcześnie, zaleca się stosowanie innych produktów posiadających lepszy profil bezpieczeństwa. </w:t>
      </w:r>
    </w:p>
    <w:p w:rsidR="009554EB" w:rsidRPr="009353E6" w:rsidRDefault="009554EB" w:rsidP="009554EB">
      <w:pPr>
        <w:pStyle w:val="PlainText"/>
        <w:rPr>
          <w:rFonts w:ascii="Times New Roman" w:hAnsi="Times New Roman"/>
          <w:sz w:val="22"/>
          <w:szCs w:val="22"/>
          <w:u w:val="single"/>
          <w:lang w:val="pl-PL"/>
        </w:rPr>
      </w:pPr>
    </w:p>
    <w:p w:rsidR="00252870" w:rsidRPr="009353E6" w:rsidRDefault="00AE245F" w:rsidP="00273426">
      <w:pPr>
        <w:pStyle w:val="PlainText"/>
        <w:rPr>
          <w:rFonts w:ascii="Times New Roman" w:hAnsi="Times New Roman"/>
          <w:sz w:val="22"/>
          <w:szCs w:val="22"/>
          <w:lang w:val="pl-PL"/>
        </w:rPr>
      </w:pPr>
      <w:r w:rsidRPr="009353E6">
        <w:rPr>
          <w:rFonts w:ascii="Times New Roman" w:hAnsi="Times New Roman"/>
          <w:sz w:val="22"/>
          <w:szCs w:val="22"/>
          <w:lang w:val="pl-PL"/>
        </w:rPr>
        <w:t>Małe ilości hydrochlorotiazydu przenikają do mleka kobiet karmiących piersią. Wysokie dawki tiazydów wywołujące silną diurezę mogą hamować laktację. Nie zaleca się stosowania produktu  MicardisPlus podczas karmienia piersią. W przypadku stosowania produktu MicardisPlus podczas karmienia piersią należy stosować możliwie najmniejsze dawki</w:t>
      </w:r>
      <w:r w:rsidR="00F53D3B" w:rsidRPr="009353E6">
        <w:rPr>
          <w:rFonts w:ascii="Times New Roman" w:hAnsi="Times New Roman"/>
          <w:sz w:val="22"/>
          <w:szCs w:val="22"/>
          <w:lang w:val="pl-PL"/>
        </w:rPr>
        <w:t>.</w:t>
      </w:r>
    </w:p>
    <w:p w:rsidR="00F53D3B" w:rsidRPr="009353E6" w:rsidRDefault="00F53D3B" w:rsidP="0099016C">
      <w:pPr>
        <w:pStyle w:val="PlainText"/>
        <w:rPr>
          <w:rFonts w:ascii="Times New Roman" w:hAnsi="Times New Roman"/>
          <w:sz w:val="22"/>
          <w:szCs w:val="22"/>
          <w:u w:val="single"/>
          <w:lang w:val="pl-PL"/>
        </w:rPr>
      </w:pPr>
    </w:p>
    <w:p w:rsidR="00260994" w:rsidRPr="009353E6" w:rsidRDefault="00260994" w:rsidP="004A0B9E">
      <w:pPr>
        <w:keepNext/>
        <w:rPr>
          <w:sz w:val="22"/>
          <w:szCs w:val="22"/>
          <w:u w:val="single"/>
          <w:lang w:val="pl-PL"/>
        </w:rPr>
      </w:pPr>
      <w:r w:rsidRPr="009353E6">
        <w:rPr>
          <w:sz w:val="22"/>
          <w:szCs w:val="22"/>
          <w:u w:val="single"/>
          <w:lang w:val="pl-PL"/>
        </w:rPr>
        <w:t>Płodność</w:t>
      </w:r>
    </w:p>
    <w:p w:rsidR="0090275A" w:rsidRPr="009353E6" w:rsidRDefault="0090275A" w:rsidP="004A0B9E">
      <w:pPr>
        <w:keepNext/>
        <w:rPr>
          <w:sz w:val="22"/>
          <w:szCs w:val="22"/>
          <w:lang w:val="pl-PL"/>
        </w:rPr>
      </w:pPr>
    </w:p>
    <w:p w:rsidR="00260994" w:rsidRPr="009353E6" w:rsidRDefault="00260994" w:rsidP="00260994">
      <w:pPr>
        <w:rPr>
          <w:sz w:val="22"/>
          <w:szCs w:val="22"/>
          <w:lang w:val="pl-PL"/>
        </w:rPr>
      </w:pPr>
      <w:r w:rsidRPr="009353E6">
        <w:rPr>
          <w:sz w:val="22"/>
          <w:szCs w:val="22"/>
          <w:lang w:val="pl-PL"/>
        </w:rPr>
        <w:t>W badaniach przedklinicznych nie zaobserwowano wpływu telmisartanu i hydrochlorotiazydu na płodność u kobiet i mężczyzn.</w:t>
      </w:r>
    </w:p>
    <w:p w:rsidR="002D3E1A" w:rsidRPr="009353E6" w:rsidRDefault="002D3E1A" w:rsidP="000D5BED">
      <w:pPr>
        <w:pStyle w:val="BodyText"/>
        <w:spacing w:line="240" w:lineRule="auto"/>
        <w:jc w:val="left"/>
        <w:rPr>
          <w:sz w:val="22"/>
          <w:szCs w:val="22"/>
          <w:lang w:val="pl-PL"/>
        </w:rPr>
      </w:pPr>
    </w:p>
    <w:p w:rsidR="002D3E1A" w:rsidRPr="009353E6" w:rsidRDefault="000D5BED" w:rsidP="004A0B9E">
      <w:pPr>
        <w:pStyle w:val="BodyText"/>
        <w:keepNext/>
        <w:spacing w:line="240" w:lineRule="auto"/>
        <w:ind w:left="540" w:hanging="525"/>
        <w:jc w:val="left"/>
        <w:rPr>
          <w:b/>
          <w:sz w:val="22"/>
          <w:szCs w:val="22"/>
          <w:lang w:val="pl-PL"/>
        </w:rPr>
      </w:pPr>
      <w:r w:rsidRPr="009353E6">
        <w:rPr>
          <w:b/>
          <w:sz w:val="22"/>
          <w:szCs w:val="22"/>
          <w:lang w:val="pl-PL"/>
        </w:rPr>
        <w:t>4.7</w:t>
      </w:r>
      <w:r w:rsidRPr="009353E6">
        <w:rPr>
          <w:b/>
          <w:sz w:val="22"/>
          <w:szCs w:val="22"/>
          <w:lang w:val="pl-PL"/>
        </w:rPr>
        <w:tab/>
      </w:r>
      <w:r w:rsidR="002D3E1A" w:rsidRPr="009353E6">
        <w:rPr>
          <w:b/>
          <w:sz w:val="22"/>
          <w:szCs w:val="22"/>
          <w:lang w:val="pl-PL"/>
        </w:rPr>
        <w:t xml:space="preserve">Wpływ na zdolność prowadzenia pojazdów i obsługiwania </w:t>
      </w:r>
      <w:r w:rsidR="00260994" w:rsidRPr="009353E6">
        <w:rPr>
          <w:b/>
          <w:sz w:val="22"/>
          <w:szCs w:val="22"/>
          <w:lang w:val="pl-PL"/>
        </w:rPr>
        <w:t>maszyn</w:t>
      </w:r>
    </w:p>
    <w:p w:rsidR="002D3E1A" w:rsidRPr="009353E6" w:rsidRDefault="002D3E1A" w:rsidP="004A0B9E">
      <w:pPr>
        <w:pStyle w:val="BodyText"/>
        <w:keepNext/>
        <w:spacing w:line="240" w:lineRule="auto"/>
        <w:jc w:val="left"/>
        <w:rPr>
          <w:sz w:val="22"/>
          <w:szCs w:val="22"/>
          <w:lang w:val="pl-PL"/>
        </w:rPr>
      </w:pPr>
    </w:p>
    <w:p w:rsidR="008F7C5B" w:rsidRPr="009353E6" w:rsidRDefault="008F7C5B" w:rsidP="000D5C68">
      <w:pPr>
        <w:pStyle w:val="BodyText"/>
        <w:spacing w:line="240" w:lineRule="auto"/>
        <w:jc w:val="left"/>
        <w:rPr>
          <w:sz w:val="22"/>
          <w:szCs w:val="22"/>
          <w:lang w:val="pl-PL"/>
        </w:rPr>
      </w:pPr>
      <w:r w:rsidRPr="009353E6">
        <w:rPr>
          <w:sz w:val="22"/>
          <w:szCs w:val="22"/>
          <w:lang w:val="pl-PL"/>
        </w:rPr>
        <w:t>MicardisPlus może wywierać wpływ na zdolność prowadzenia pojazdów i obsługiwania maszyn. W przypadku stosowania produktu MicardisPlus mogą czasami wystąpić zawroty głowy i senność.</w:t>
      </w:r>
    </w:p>
    <w:p w:rsidR="002D3E1A" w:rsidRPr="009353E6" w:rsidRDefault="002D3E1A" w:rsidP="000D5BED">
      <w:pPr>
        <w:pStyle w:val="BodyText"/>
        <w:spacing w:line="240" w:lineRule="auto"/>
        <w:jc w:val="left"/>
        <w:rPr>
          <w:sz w:val="22"/>
          <w:szCs w:val="22"/>
          <w:lang w:val="pl-PL"/>
        </w:rPr>
      </w:pPr>
    </w:p>
    <w:p w:rsidR="002D3E1A" w:rsidRPr="009353E6" w:rsidRDefault="000D5BED" w:rsidP="000D5BED">
      <w:pPr>
        <w:pStyle w:val="BodyText"/>
        <w:tabs>
          <w:tab w:val="left" w:pos="540"/>
        </w:tabs>
        <w:spacing w:line="240" w:lineRule="auto"/>
        <w:jc w:val="left"/>
        <w:rPr>
          <w:b/>
          <w:sz w:val="22"/>
          <w:szCs w:val="22"/>
          <w:lang w:val="pl-PL"/>
        </w:rPr>
      </w:pPr>
      <w:r w:rsidRPr="009353E6">
        <w:rPr>
          <w:b/>
          <w:sz w:val="22"/>
          <w:szCs w:val="22"/>
          <w:lang w:val="pl-PL"/>
        </w:rPr>
        <w:t>4.8</w:t>
      </w:r>
      <w:r w:rsidRPr="009353E6">
        <w:rPr>
          <w:b/>
          <w:sz w:val="22"/>
          <w:szCs w:val="22"/>
          <w:lang w:val="pl-PL"/>
        </w:rPr>
        <w:tab/>
      </w:r>
      <w:r w:rsidR="002D3E1A" w:rsidRPr="009353E6">
        <w:rPr>
          <w:b/>
          <w:sz w:val="22"/>
          <w:szCs w:val="22"/>
          <w:lang w:val="pl-PL"/>
        </w:rPr>
        <w:t>Działania niepożądane</w:t>
      </w:r>
    </w:p>
    <w:p w:rsidR="002D3E1A" w:rsidRPr="009353E6" w:rsidRDefault="002D3E1A" w:rsidP="000D5BED">
      <w:pPr>
        <w:pStyle w:val="BodyText"/>
        <w:spacing w:line="240" w:lineRule="auto"/>
        <w:jc w:val="left"/>
        <w:rPr>
          <w:sz w:val="22"/>
          <w:szCs w:val="22"/>
          <w:lang w:val="pl-PL"/>
        </w:rPr>
      </w:pPr>
    </w:p>
    <w:p w:rsidR="007433C8" w:rsidRPr="009353E6" w:rsidRDefault="00BF3AEC" w:rsidP="00C319D8">
      <w:pPr>
        <w:rPr>
          <w:sz w:val="22"/>
          <w:szCs w:val="22"/>
          <w:u w:val="single"/>
          <w:lang w:val="pl-PL"/>
        </w:rPr>
      </w:pPr>
      <w:r w:rsidRPr="009353E6">
        <w:rPr>
          <w:sz w:val="22"/>
          <w:szCs w:val="22"/>
          <w:u w:val="single"/>
          <w:lang w:val="pl-PL"/>
        </w:rPr>
        <w:t>Podsumowanie</w:t>
      </w:r>
      <w:r w:rsidR="007433C8" w:rsidRPr="009353E6">
        <w:rPr>
          <w:sz w:val="22"/>
          <w:szCs w:val="22"/>
          <w:u w:val="single"/>
          <w:lang w:val="pl-PL"/>
        </w:rPr>
        <w:t xml:space="preserve"> profilu bezpieczeństwa</w:t>
      </w:r>
    </w:p>
    <w:p w:rsidR="007433C8" w:rsidRPr="009353E6" w:rsidRDefault="007433C8" w:rsidP="00C319D8">
      <w:pPr>
        <w:rPr>
          <w:sz w:val="22"/>
          <w:szCs w:val="22"/>
          <w:lang w:val="pl-PL"/>
        </w:rPr>
      </w:pPr>
    </w:p>
    <w:p w:rsidR="002777E7" w:rsidRPr="009353E6" w:rsidRDefault="00F31FA5" w:rsidP="007433C8">
      <w:pPr>
        <w:rPr>
          <w:sz w:val="22"/>
          <w:szCs w:val="22"/>
          <w:lang w:val="pl-PL"/>
        </w:rPr>
      </w:pPr>
      <w:r w:rsidRPr="009353E6">
        <w:rPr>
          <w:sz w:val="22"/>
          <w:szCs w:val="22"/>
          <w:lang w:val="pl-PL"/>
        </w:rPr>
        <w:t xml:space="preserve"> </w:t>
      </w:r>
      <w:r w:rsidR="007433C8" w:rsidRPr="009353E6">
        <w:rPr>
          <w:sz w:val="22"/>
          <w:szCs w:val="22"/>
          <w:lang w:val="pl-PL"/>
        </w:rPr>
        <w:t xml:space="preserve">Najczęściej zgłaszanym działaniem niepożądanym są zawroty głowy. W rzadkich przypadkach </w:t>
      </w:r>
    </w:p>
    <w:p w:rsidR="007433C8" w:rsidRPr="009353E6" w:rsidRDefault="00AA6CE9" w:rsidP="007433C8">
      <w:pPr>
        <w:rPr>
          <w:sz w:val="22"/>
          <w:szCs w:val="22"/>
          <w:lang w:val="pl-PL"/>
        </w:rPr>
      </w:pPr>
      <w:r w:rsidRPr="009353E6">
        <w:rPr>
          <w:sz w:val="22"/>
          <w:szCs w:val="22"/>
          <w:lang w:val="pl-PL"/>
        </w:rPr>
        <w:t>(≥1/10 000 do &lt;1/1000)</w:t>
      </w:r>
      <w:r w:rsidR="007433C8" w:rsidRPr="009353E6">
        <w:rPr>
          <w:sz w:val="22"/>
          <w:szCs w:val="22"/>
          <w:lang w:val="pl-PL"/>
        </w:rPr>
        <w:t xml:space="preserve"> może wystąpić ciężki obrzęk naczynioruchowy.</w:t>
      </w:r>
    </w:p>
    <w:p w:rsidR="007433C8" w:rsidRPr="009353E6" w:rsidRDefault="007433C8" w:rsidP="000D5BED">
      <w:pPr>
        <w:pStyle w:val="BodyText"/>
        <w:spacing w:line="240" w:lineRule="auto"/>
        <w:jc w:val="left"/>
        <w:rPr>
          <w:sz w:val="22"/>
          <w:szCs w:val="22"/>
          <w:u w:val="single"/>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W kontrolowanym, randomizowanym badaniu klinicznym z udziałem 1471 pacjentów, 835 pacjentów otrzymywało telmisartan i hydrochlorotiazyd, a 636 sam telmisartan, całkowita częstość występowania </w:t>
      </w:r>
      <w:r w:rsidR="00AA6CE9" w:rsidRPr="009353E6">
        <w:rPr>
          <w:sz w:val="22"/>
          <w:szCs w:val="22"/>
          <w:lang w:val="pl-PL"/>
        </w:rPr>
        <w:t xml:space="preserve">działań </w:t>
      </w:r>
      <w:r w:rsidRPr="009353E6">
        <w:rPr>
          <w:sz w:val="22"/>
          <w:szCs w:val="22"/>
          <w:lang w:val="pl-PL"/>
        </w:rPr>
        <w:t xml:space="preserve">niepożądanych w trakcie stosowania </w:t>
      </w:r>
      <w:r w:rsidR="00F710F6" w:rsidRPr="009353E6">
        <w:rPr>
          <w:sz w:val="22"/>
          <w:szCs w:val="22"/>
          <w:lang w:val="pl-PL"/>
        </w:rPr>
        <w:t>produkt</w:t>
      </w:r>
      <w:r w:rsidRPr="009353E6">
        <w:rPr>
          <w:sz w:val="22"/>
          <w:szCs w:val="22"/>
          <w:lang w:val="pl-PL"/>
        </w:rPr>
        <w:t xml:space="preserve">u MicardisPlus była porównywalna z częstością ich występowania w trakcie stosowania samego telmisartanu. Zależna od dawki częstość występowania </w:t>
      </w:r>
      <w:r w:rsidR="00AA6CE9" w:rsidRPr="009353E6">
        <w:rPr>
          <w:sz w:val="22"/>
          <w:szCs w:val="22"/>
          <w:lang w:val="pl-PL"/>
        </w:rPr>
        <w:t>działań n</w:t>
      </w:r>
      <w:r w:rsidRPr="009353E6">
        <w:rPr>
          <w:sz w:val="22"/>
          <w:szCs w:val="22"/>
          <w:lang w:val="pl-PL"/>
        </w:rPr>
        <w:t>iepożądanych nie została ustalona, nie zaobserwowano korelacji z płcią, wiekiem i rasą pacjentów.</w:t>
      </w:r>
    </w:p>
    <w:p w:rsidR="002D3E1A" w:rsidRPr="009353E6" w:rsidRDefault="002D3E1A" w:rsidP="000D5BED">
      <w:pPr>
        <w:pStyle w:val="BodyText"/>
        <w:spacing w:line="240" w:lineRule="auto"/>
        <w:jc w:val="left"/>
        <w:rPr>
          <w:sz w:val="22"/>
          <w:szCs w:val="22"/>
          <w:lang w:val="pl-PL"/>
        </w:rPr>
      </w:pPr>
    </w:p>
    <w:p w:rsidR="007433C8" w:rsidRPr="009353E6" w:rsidRDefault="007433C8" w:rsidP="007433C8">
      <w:pPr>
        <w:rPr>
          <w:sz w:val="22"/>
          <w:szCs w:val="22"/>
          <w:u w:val="single"/>
          <w:lang w:val="pl-PL"/>
        </w:rPr>
      </w:pPr>
      <w:r w:rsidRPr="009353E6">
        <w:rPr>
          <w:sz w:val="22"/>
          <w:szCs w:val="22"/>
          <w:u w:val="single"/>
          <w:lang w:val="pl-PL"/>
        </w:rPr>
        <w:t>Tabelaryczn</w:t>
      </w:r>
      <w:r w:rsidR="00E43506" w:rsidRPr="009353E6">
        <w:rPr>
          <w:sz w:val="22"/>
          <w:szCs w:val="22"/>
          <w:u w:val="single"/>
          <w:lang w:val="pl-PL"/>
        </w:rPr>
        <w:t>e</w:t>
      </w:r>
      <w:r w:rsidRPr="009353E6">
        <w:rPr>
          <w:sz w:val="22"/>
          <w:szCs w:val="22"/>
          <w:u w:val="single"/>
          <w:lang w:val="pl-PL"/>
        </w:rPr>
        <w:t xml:space="preserve"> </w:t>
      </w:r>
      <w:r w:rsidR="00E43506" w:rsidRPr="009353E6">
        <w:rPr>
          <w:sz w:val="22"/>
          <w:szCs w:val="22"/>
          <w:u w:val="single"/>
          <w:lang w:val="pl-PL"/>
        </w:rPr>
        <w:t xml:space="preserve">zestawienie </w:t>
      </w:r>
      <w:r w:rsidRPr="009353E6">
        <w:rPr>
          <w:sz w:val="22"/>
          <w:szCs w:val="22"/>
          <w:u w:val="single"/>
          <w:lang w:val="pl-PL"/>
        </w:rPr>
        <w:t xml:space="preserve"> działań niepoż</w:t>
      </w:r>
      <w:r w:rsidR="00F26A07" w:rsidRPr="009353E6">
        <w:rPr>
          <w:sz w:val="22"/>
          <w:szCs w:val="22"/>
          <w:u w:val="single"/>
          <w:lang w:val="pl-PL"/>
        </w:rPr>
        <w:t>ą</w:t>
      </w:r>
      <w:r w:rsidRPr="009353E6">
        <w:rPr>
          <w:sz w:val="22"/>
          <w:szCs w:val="22"/>
          <w:u w:val="single"/>
          <w:lang w:val="pl-PL"/>
        </w:rPr>
        <w:t>danych</w:t>
      </w:r>
    </w:p>
    <w:p w:rsidR="007433C8" w:rsidRPr="009353E6" w:rsidRDefault="007433C8" w:rsidP="007433C8">
      <w:pPr>
        <w:rPr>
          <w:i/>
          <w:sz w:val="22"/>
          <w:szCs w:val="22"/>
          <w:lang w:val="pl-PL"/>
        </w:rPr>
      </w:pPr>
    </w:p>
    <w:p w:rsidR="002D3E1A" w:rsidRPr="009353E6" w:rsidRDefault="00AA6CE9" w:rsidP="000D5BED">
      <w:pPr>
        <w:pStyle w:val="BodyText"/>
        <w:spacing w:line="240" w:lineRule="auto"/>
        <w:jc w:val="left"/>
        <w:rPr>
          <w:sz w:val="22"/>
          <w:szCs w:val="22"/>
          <w:lang w:val="pl-PL"/>
        </w:rPr>
      </w:pPr>
      <w:r w:rsidRPr="009353E6">
        <w:rPr>
          <w:sz w:val="22"/>
          <w:szCs w:val="22"/>
          <w:lang w:val="pl-PL"/>
        </w:rPr>
        <w:t xml:space="preserve">Działania </w:t>
      </w:r>
      <w:r w:rsidR="002D3E1A" w:rsidRPr="009353E6">
        <w:rPr>
          <w:sz w:val="22"/>
          <w:szCs w:val="22"/>
          <w:lang w:val="pl-PL"/>
        </w:rPr>
        <w:t>niepożądane odnotowane we wszystkich badaniach klinicznych, występujące częściej (p </w:t>
      </w:r>
      <w:r w:rsidR="002D3E1A" w:rsidRPr="009353E6">
        <w:rPr>
          <w:sz w:val="22"/>
          <w:szCs w:val="22"/>
          <w:lang w:val="pl-PL"/>
        </w:rPr>
        <w:sym w:font="Symbol" w:char="F0A3"/>
      </w:r>
      <w:r w:rsidR="002D3E1A" w:rsidRPr="009353E6">
        <w:rPr>
          <w:sz w:val="22"/>
          <w:szCs w:val="22"/>
          <w:lang w:val="pl-PL"/>
        </w:rPr>
        <w:t xml:space="preserve"> 0,05) w przypadku połączenia telmisartanu i hydrochlorotiazydu niż w przypadku stosowania placebo, zostały przedstawione poniżej zgodnie z klasyfikacją układów narządowych. Podczas stosowania </w:t>
      </w:r>
      <w:r w:rsidR="00F710F6" w:rsidRPr="009353E6">
        <w:rPr>
          <w:sz w:val="22"/>
          <w:szCs w:val="22"/>
          <w:lang w:val="pl-PL"/>
        </w:rPr>
        <w:t>produkt</w:t>
      </w:r>
      <w:r w:rsidR="002D3E1A" w:rsidRPr="009353E6">
        <w:rPr>
          <w:sz w:val="22"/>
          <w:szCs w:val="22"/>
          <w:lang w:val="pl-PL"/>
        </w:rPr>
        <w:t xml:space="preserve">u MicardisPlus mogą wystąpić </w:t>
      </w:r>
      <w:r w:rsidRPr="009353E6">
        <w:rPr>
          <w:sz w:val="22"/>
          <w:szCs w:val="22"/>
          <w:lang w:val="pl-PL"/>
        </w:rPr>
        <w:t xml:space="preserve">działania </w:t>
      </w:r>
      <w:r w:rsidR="002D3E1A" w:rsidRPr="009353E6">
        <w:rPr>
          <w:sz w:val="22"/>
          <w:szCs w:val="22"/>
          <w:lang w:val="pl-PL"/>
        </w:rPr>
        <w:t>niepożądane, które wiążą się z każdym ze składników podanym jako lek pojedynczy, a które nie zostały zaobserwowane w badaniach klinicznych.</w:t>
      </w:r>
    </w:p>
    <w:p w:rsidR="002D3E1A" w:rsidRPr="009353E6" w:rsidRDefault="00AA6CE9" w:rsidP="000D5BED">
      <w:pPr>
        <w:pStyle w:val="BodyText"/>
        <w:spacing w:line="240" w:lineRule="auto"/>
        <w:jc w:val="left"/>
        <w:rPr>
          <w:sz w:val="22"/>
          <w:szCs w:val="22"/>
          <w:lang w:val="pl-PL"/>
        </w:rPr>
      </w:pPr>
      <w:r w:rsidRPr="009353E6">
        <w:rPr>
          <w:sz w:val="22"/>
          <w:szCs w:val="22"/>
          <w:lang w:val="pl-PL"/>
        </w:rPr>
        <w:t xml:space="preserve">Działania </w:t>
      </w:r>
      <w:r w:rsidR="002D3E1A" w:rsidRPr="009353E6">
        <w:rPr>
          <w:sz w:val="22"/>
          <w:szCs w:val="22"/>
          <w:lang w:val="pl-PL"/>
        </w:rPr>
        <w:t>niepożądane zostały pogrupowane zgodnie z częstością ich występowania według konwencji dotyczącej częstości:</w:t>
      </w:r>
    </w:p>
    <w:p w:rsidR="002D3E1A" w:rsidRPr="009353E6" w:rsidRDefault="002D3E1A" w:rsidP="000D5BED">
      <w:pPr>
        <w:pStyle w:val="BodyText"/>
        <w:spacing w:line="240" w:lineRule="auto"/>
        <w:jc w:val="left"/>
        <w:rPr>
          <w:sz w:val="22"/>
          <w:szCs w:val="22"/>
          <w:lang w:val="pl-PL"/>
        </w:rPr>
      </w:pPr>
      <w:r w:rsidRPr="009353E6">
        <w:rPr>
          <w:sz w:val="22"/>
          <w:szCs w:val="22"/>
          <w:lang w:val="pl-PL"/>
        </w:rPr>
        <w:t>bardzo często (</w:t>
      </w:r>
      <w:r w:rsidRPr="009353E6">
        <w:rPr>
          <w:sz w:val="22"/>
          <w:szCs w:val="22"/>
          <w:lang w:val="pl-PL"/>
        </w:rPr>
        <w:sym w:font="Symbol" w:char="F0B3"/>
      </w:r>
      <w:r w:rsidRPr="009353E6">
        <w:rPr>
          <w:sz w:val="22"/>
          <w:szCs w:val="22"/>
          <w:lang w:val="pl-PL"/>
        </w:rPr>
        <w:t xml:space="preserve"> 1/10); często (</w:t>
      </w:r>
      <w:r w:rsidRPr="009353E6">
        <w:rPr>
          <w:sz w:val="22"/>
          <w:szCs w:val="22"/>
          <w:lang w:val="pl-PL"/>
        </w:rPr>
        <w:sym w:font="Symbol" w:char="F0B3"/>
      </w:r>
      <w:r w:rsidRPr="009353E6">
        <w:rPr>
          <w:sz w:val="22"/>
          <w:szCs w:val="22"/>
          <w:lang w:val="pl-PL"/>
        </w:rPr>
        <w:t xml:space="preserve"> 1/100</w:t>
      </w:r>
      <w:r w:rsidR="004E28A0" w:rsidRPr="009353E6">
        <w:rPr>
          <w:sz w:val="22"/>
          <w:szCs w:val="22"/>
          <w:lang w:val="pl-PL"/>
        </w:rPr>
        <w:t xml:space="preserve"> do</w:t>
      </w:r>
      <w:r w:rsidRPr="009353E6">
        <w:rPr>
          <w:sz w:val="22"/>
          <w:szCs w:val="22"/>
          <w:lang w:val="pl-PL"/>
        </w:rPr>
        <w:t xml:space="preserve"> &lt; 1/10); niezbyt często (</w:t>
      </w:r>
      <w:r w:rsidRPr="009353E6">
        <w:rPr>
          <w:sz w:val="22"/>
          <w:szCs w:val="22"/>
          <w:lang w:val="pl-PL"/>
        </w:rPr>
        <w:sym w:font="Symbol" w:char="F0B3"/>
      </w:r>
      <w:r w:rsidRPr="009353E6">
        <w:rPr>
          <w:sz w:val="22"/>
          <w:szCs w:val="22"/>
          <w:lang w:val="pl-PL"/>
        </w:rPr>
        <w:t xml:space="preserve"> 1/1000</w:t>
      </w:r>
      <w:r w:rsidR="004E28A0" w:rsidRPr="009353E6">
        <w:rPr>
          <w:sz w:val="22"/>
          <w:szCs w:val="22"/>
          <w:lang w:val="pl-PL"/>
        </w:rPr>
        <w:t xml:space="preserve"> do</w:t>
      </w:r>
      <w:r w:rsidRPr="009353E6">
        <w:rPr>
          <w:sz w:val="22"/>
          <w:szCs w:val="22"/>
          <w:lang w:val="pl-PL"/>
        </w:rPr>
        <w:t xml:space="preserve"> &lt; 1/100), rzadko (</w:t>
      </w:r>
      <w:r w:rsidRPr="009353E6">
        <w:rPr>
          <w:sz w:val="22"/>
          <w:szCs w:val="22"/>
          <w:lang w:val="pl-PL"/>
        </w:rPr>
        <w:sym w:font="Symbol" w:char="F0B3"/>
      </w:r>
      <w:r w:rsidRPr="009353E6">
        <w:rPr>
          <w:sz w:val="22"/>
          <w:szCs w:val="22"/>
          <w:lang w:val="pl-PL"/>
        </w:rPr>
        <w:t> 1/10000</w:t>
      </w:r>
      <w:r w:rsidR="004E28A0" w:rsidRPr="009353E6">
        <w:rPr>
          <w:sz w:val="22"/>
          <w:szCs w:val="22"/>
          <w:lang w:val="pl-PL"/>
        </w:rPr>
        <w:t xml:space="preserve"> do</w:t>
      </w:r>
      <w:r w:rsidRPr="009353E6">
        <w:rPr>
          <w:sz w:val="22"/>
          <w:szCs w:val="22"/>
          <w:lang w:val="pl-PL"/>
        </w:rPr>
        <w:t xml:space="preserve"> &lt; 1/1000), bardzo rzadko (&lt; 1/10000)</w:t>
      </w:r>
      <w:r w:rsidR="004E28A0" w:rsidRPr="009353E6">
        <w:rPr>
          <w:sz w:val="22"/>
          <w:szCs w:val="22"/>
          <w:lang w:val="pl-PL"/>
        </w:rPr>
        <w:t xml:space="preserve">, </w:t>
      </w:r>
      <w:r w:rsidR="0079246D" w:rsidRPr="009353E6">
        <w:rPr>
          <w:sz w:val="22"/>
          <w:szCs w:val="22"/>
          <w:lang w:val="pl-PL"/>
        </w:rPr>
        <w:t xml:space="preserve">częstość nieznana </w:t>
      </w:r>
      <w:r w:rsidR="004E28A0" w:rsidRPr="009353E6">
        <w:rPr>
          <w:sz w:val="22"/>
          <w:szCs w:val="22"/>
          <w:lang w:val="pl-PL"/>
        </w:rPr>
        <w:t>(nie można oszacować na podstawie dostępnych danych).</w:t>
      </w:r>
    </w:p>
    <w:p w:rsidR="002D3E1A" w:rsidRPr="009353E6" w:rsidRDefault="002D3E1A" w:rsidP="000D5BED">
      <w:pPr>
        <w:pStyle w:val="BodyText"/>
        <w:spacing w:line="240" w:lineRule="auto"/>
        <w:jc w:val="left"/>
        <w:rPr>
          <w:sz w:val="22"/>
          <w:szCs w:val="22"/>
          <w:lang w:val="pl-PL"/>
        </w:rPr>
      </w:pPr>
    </w:p>
    <w:p w:rsidR="007433C8" w:rsidRPr="009353E6" w:rsidRDefault="007433C8" w:rsidP="004A0B9E">
      <w:pPr>
        <w:keepNext/>
        <w:rPr>
          <w:sz w:val="22"/>
          <w:szCs w:val="22"/>
          <w:lang w:val="pl-PL"/>
        </w:rPr>
      </w:pPr>
      <w:r w:rsidRPr="009353E6">
        <w:rPr>
          <w:sz w:val="22"/>
          <w:szCs w:val="22"/>
          <w:lang w:val="pl-PL"/>
        </w:rPr>
        <w:t>W każdej grupie częstości działania niepożądane zostały przedstawione zgodnie z malej</w:t>
      </w:r>
      <w:r w:rsidR="005F4283" w:rsidRPr="009353E6">
        <w:rPr>
          <w:sz w:val="22"/>
          <w:szCs w:val="22"/>
          <w:lang w:val="pl-PL"/>
        </w:rPr>
        <w:t>ą</w:t>
      </w:r>
      <w:r w:rsidRPr="009353E6">
        <w:rPr>
          <w:sz w:val="22"/>
          <w:szCs w:val="22"/>
          <w:lang w:val="pl-PL"/>
        </w:rPr>
        <w:t>cym nasileniem.</w:t>
      </w:r>
    </w:p>
    <w:p w:rsidR="007433C8" w:rsidRPr="009353E6" w:rsidRDefault="007433C8" w:rsidP="004A0B9E">
      <w:pPr>
        <w:pStyle w:val="BodyText"/>
        <w:keepNext/>
        <w:spacing w:line="240" w:lineRule="auto"/>
        <w:jc w:val="left"/>
        <w:rPr>
          <w:sz w:val="22"/>
          <w:szCs w:val="22"/>
          <w:lang w:val="pl-PL"/>
        </w:rPr>
      </w:pPr>
    </w:p>
    <w:p w:rsidR="0030023C" w:rsidRPr="009353E6" w:rsidRDefault="0030023C" w:rsidP="001159E1">
      <w:pPr>
        <w:pStyle w:val="BodyText"/>
        <w:keepNext/>
        <w:spacing w:line="240" w:lineRule="auto"/>
        <w:jc w:val="left"/>
        <w:rPr>
          <w:sz w:val="22"/>
          <w:szCs w:val="22"/>
          <w:lang w:val="pl-PL"/>
        </w:rPr>
      </w:pPr>
      <w:r w:rsidRPr="009353E6">
        <w:rPr>
          <w:sz w:val="22"/>
          <w:szCs w:val="22"/>
          <w:lang w:val="pl-PL"/>
        </w:rPr>
        <w:t xml:space="preserve">Zakażenia i zarażenia pasożytnicze </w:t>
      </w:r>
    </w:p>
    <w:p w:rsidR="00E4198E" w:rsidRPr="009353E6" w:rsidRDefault="0030023C" w:rsidP="001159E1">
      <w:pPr>
        <w:pStyle w:val="BodyText"/>
        <w:keepNext/>
        <w:spacing w:line="240" w:lineRule="auto"/>
        <w:jc w:val="left"/>
        <w:rPr>
          <w:sz w:val="22"/>
          <w:szCs w:val="22"/>
          <w:lang w:val="pl-PL"/>
        </w:rPr>
      </w:pPr>
      <w:r w:rsidRPr="009353E6">
        <w:rPr>
          <w:sz w:val="22"/>
          <w:szCs w:val="22"/>
          <w:lang w:val="pl-PL"/>
        </w:rPr>
        <w:t xml:space="preserve">Rzadko: </w:t>
      </w:r>
      <w:r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Pr="009353E6">
        <w:rPr>
          <w:sz w:val="22"/>
          <w:szCs w:val="22"/>
          <w:lang w:val="pl-PL"/>
        </w:rPr>
        <w:t xml:space="preserve">Zapalenie oskrzeli, </w:t>
      </w:r>
      <w:r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E813C1" w:rsidRPr="009353E6">
        <w:rPr>
          <w:sz w:val="22"/>
          <w:szCs w:val="22"/>
          <w:lang w:val="pl-PL"/>
        </w:rPr>
        <w:tab/>
      </w:r>
      <w:r w:rsidR="00E813C1" w:rsidRPr="009353E6">
        <w:rPr>
          <w:sz w:val="22"/>
          <w:szCs w:val="22"/>
          <w:lang w:val="pl-PL"/>
        </w:rPr>
        <w:tab/>
      </w:r>
      <w:r w:rsidR="00E813C1" w:rsidRPr="009353E6">
        <w:rPr>
          <w:sz w:val="22"/>
          <w:szCs w:val="22"/>
          <w:lang w:val="pl-PL"/>
        </w:rPr>
        <w:tab/>
      </w:r>
      <w:r w:rsidR="00E813C1" w:rsidRPr="009353E6">
        <w:rPr>
          <w:sz w:val="22"/>
          <w:szCs w:val="22"/>
          <w:lang w:val="pl-PL"/>
        </w:rPr>
        <w:tab/>
      </w:r>
      <w:r w:rsidR="003C34C2" w:rsidRPr="009353E6">
        <w:rPr>
          <w:sz w:val="22"/>
          <w:szCs w:val="22"/>
          <w:lang w:val="pl-PL"/>
        </w:rPr>
        <w:t>z</w:t>
      </w:r>
      <w:r w:rsidRPr="009353E6">
        <w:rPr>
          <w:sz w:val="22"/>
          <w:szCs w:val="22"/>
          <w:lang w:val="pl-PL"/>
        </w:rPr>
        <w:t>apalenie gardła, zapalenie zatok</w:t>
      </w:r>
    </w:p>
    <w:p w:rsidR="00CB0C6F" w:rsidRPr="009353E6" w:rsidRDefault="00CB0C6F" w:rsidP="00CB0C6F">
      <w:pPr>
        <w:keepNext/>
        <w:keepLines/>
        <w:rPr>
          <w:sz w:val="22"/>
          <w:szCs w:val="22"/>
          <w:lang w:val="pl-PL"/>
        </w:rPr>
      </w:pPr>
      <w:r w:rsidRPr="009353E6">
        <w:rPr>
          <w:sz w:val="22"/>
          <w:szCs w:val="22"/>
          <w:lang w:val="pl-PL"/>
        </w:rPr>
        <w:t>Zaburzenia układu immunologicznego</w:t>
      </w:r>
    </w:p>
    <w:p w:rsidR="00CB0C6F" w:rsidRPr="009353E6" w:rsidRDefault="00CB0C6F" w:rsidP="00CB0C6F">
      <w:pPr>
        <w:ind w:left="4963" w:hanging="4963"/>
        <w:rPr>
          <w:sz w:val="22"/>
          <w:szCs w:val="22"/>
          <w:lang w:val="pl-PL"/>
        </w:rPr>
      </w:pPr>
      <w:r w:rsidRPr="009353E6">
        <w:rPr>
          <w:sz w:val="22"/>
          <w:szCs w:val="22"/>
          <w:lang w:val="pl-PL"/>
        </w:rPr>
        <w:t xml:space="preserve">Rzadko: </w:t>
      </w:r>
      <w:r w:rsidRPr="009353E6">
        <w:rPr>
          <w:sz w:val="22"/>
          <w:szCs w:val="22"/>
          <w:lang w:val="pl-PL"/>
        </w:rPr>
        <w:tab/>
        <w:t>Zaostrzenie lub aktywacja tocznia rumieniowatego układowego</w:t>
      </w:r>
      <w:r w:rsidRPr="009353E6">
        <w:rPr>
          <w:sz w:val="22"/>
          <w:szCs w:val="22"/>
          <w:vertAlign w:val="superscript"/>
          <w:lang w:val="pl-PL"/>
        </w:rPr>
        <w:t>1</w:t>
      </w:r>
    </w:p>
    <w:p w:rsidR="00CB0C6F" w:rsidRPr="009353E6" w:rsidRDefault="00CB0C6F" w:rsidP="00CB0C6F">
      <w:pPr>
        <w:jc w:val="both"/>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metabolizmu i odżywiania</w:t>
      </w: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Hipokaliemia</w:t>
      </w:r>
    </w:p>
    <w:p w:rsidR="00252870" w:rsidRPr="009353E6" w:rsidRDefault="0030023C" w:rsidP="000D5BED">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Zwiększenie stężenia kwasu moczowego we krwi, hip</w:t>
      </w:r>
      <w:r w:rsidR="00941026" w:rsidRPr="009353E6">
        <w:rPr>
          <w:sz w:val="22"/>
          <w:szCs w:val="22"/>
          <w:lang w:val="pl-PL"/>
        </w:rPr>
        <w:t>o</w:t>
      </w:r>
      <w:r w:rsidRPr="009353E6">
        <w:rPr>
          <w:sz w:val="22"/>
          <w:szCs w:val="22"/>
          <w:lang w:val="pl-PL"/>
        </w:rPr>
        <w:t>natremia</w:t>
      </w:r>
    </w:p>
    <w:p w:rsidR="0030023C" w:rsidRPr="009353E6" w:rsidRDefault="0030023C" w:rsidP="000D5BED">
      <w:pPr>
        <w:pStyle w:val="BodyText"/>
        <w:spacing w:line="240" w:lineRule="auto"/>
        <w:ind w:left="4963" w:hanging="4963"/>
        <w:jc w:val="left"/>
        <w:rPr>
          <w:sz w:val="22"/>
          <w:szCs w:val="22"/>
          <w:lang w:val="pl-PL"/>
        </w:rPr>
      </w:pPr>
    </w:p>
    <w:p w:rsidR="0030023C" w:rsidRPr="009353E6" w:rsidRDefault="0030023C" w:rsidP="004A0B9E">
      <w:pPr>
        <w:pStyle w:val="BodyText"/>
        <w:keepNext/>
        <w:spacing w:line="240" w:lineRule="auto"/>
        <w:jc w:val="left"/>
        <w:rPr>
          <w:sz w:val="22"/>
          <w:szCs w:val="22"/>
          <w:lang w:val="pl-PL"/>
        </w:rPr>
      </w:pPr>
      <w:r w:rsidRPr="009353E6">
        <w:rPr>
          <w:sz w:val="22"/>
          <w:szCs w:val="22"/>
          <w:lang w:val="pl-PL"/>
        </w:rPr>
        <w:t>Zaburzenia psychiczne</w:t>
      </w: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Niepokój</w:t>
      </w:r>
    </w:p>
    <w:p w:rsidR="0030023C" w:rsidRPr="009353E6" w:rsidRDefault="0030023C"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Depresja</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układu nerwowego</w:t>
      </w: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Zawroty głowy</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t xml:space="preserve"> </w:t>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Pr="009353E6">
        <w:rPr>
          <w:sz w:val="22"/>
          <w:szCs w:val="22"/>
          <w:lang w:val="pl-PL"/>
        </w:rPr>
        <w:t>Omdlenia, parestazje</w:t>
      </w:r>
    </w:p>
    <w:p w:rsidR="0030023C" w:rsidRPr="009353E6" w:rsidRDefault="0030023C"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Pr="009353E6">
        <w:rPr>
          <w:sz w:val="22"/>
          <w:szCs w:val="22"/>
          <w:lang w:val="pl-PL"/>
        </w:rPr>
        <w:t>Bezsenność, zaburzenia snu</w:t>
      </w:r>
      <w:r w:rsidRPr="009353E6">
        <w:rPr>
          <w:sz w:val="22"/>
          <w:szCs w:val="22"/>
          <w:lang w:val="pl-PL"/>
        </w:rPr>
        <w:tab/>
      </w:r>
      <w:r w:rsidRPr="009353E6">
        <w:rPr>
          <w:sz w:val="22"/>
          <w:szCs w:val="22"/>
          <w:lang w:val="pl-PL"/>
        </w:rPr>
        <w:tab/>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oka</w:t>
      </w:r>
    </w:p>
    <w:p w:rsidR="0030023C" w:rsidRPr="009353E6" w:rsidRDefault="0030023C"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Zaburzenia widzenia, niewyraźne widzenie</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ucha i błędnika</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Zawroty głowy</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serca</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Częstoskurcz, arytmie</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Zaburzenia </w:t>
      </w:r>
      <w:r w:rsidR="003C34C2" w:rsidRPr="009353E6">
        <w:rPr>
          <w:sz w:val="22"/>
          <w:szCs w:val="22"/>
          <w:lang w:val="pl-PL"/>
        </w:rPr>
        <w:t>naczyniowe</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Niedociśnienie, niedociśnienie ortostatyczne</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układu oddechowego, klatki piersiowej i śródpiersia</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Duszność</w:t>
      </w:r>
    </w:p>
    <w:p w:rsidR="0030023C" w:rsidRPr="009353E6" w:rsidRDefault="0030023C" w:rsidP="000D5BED">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 xml:space="preserve">Zespół zaburzeń oddechowych (w tym zapalenie płuc oraz obrzęk płuc) </w:t>
      </w: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żołądka i jelit</w:t>
      </w:r>
    </w:p>
    <w:p w:rsidR="0030023C" w:rsidRPr="009353E6" w:rsidRDefault="0030023C" w:rsidP="000D5BED">
      <w:pPr>
        <w:pStyle w:val="BodyText"/>
        <w:spacing w:line="240" w:lineRule="auto"/>
        <w:ind w:left="4963" w:hanging="4963"/>
        <w:jc w:val="left"/>
        <w:rPr>
          <w:sz w:val="22"/>
          <w:szCs w:val="22"/>
          <w:lang w:val="pl-PL"/>
        </w:rPr>
      </w:pPr>
      <w:r w:rsidRPr="009353E6">
        <w:rPr>
          <w:sz w:val="22"/>
          <w:szCs w:val="22"/>
          <w:lang w:val="pl-PL"/>
        </w:rPr>
        <w:t>Niezbyt często:</w:t>
      </w:r>
      <w:r w:rsidRPr="009353E6">
        <w:rPr>
          <w:sz w:val="22"/>
          <w:szCs w:val="22"/>
          <w:lang w:val="pl-PL"/>
        </w:rPr>
        <w:tab/>
        <w:t xml:space="preserve">Biegunka, suchość błon śluzowych w jamie ustnej, wzdęcia </w:t>
      </w:r>
    </w:p>
    <w:p w:rsidR="0030023C" w:rsidRPr="009353E6" w:rsidRDefault="0030023C"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Pr="009353E6">
        <w:rPr>
          <w:sz w:val="22"/>
          <w:szCs w:val="22"/>
          <w:lang w:val="pl-PL"/>
        </w:rPr>
        <w:t>Ból brzucha, zaparcia, dyspepsja, wymioty</w:t>
      </w:r>
      <w:r w:rsidR="000A01A1" w:rsidRPr="009353E6">
        <w:rPr>
          <w:sz w:val="22"/>
          <w:szCs w:val="22"/>
          <w:lang w:val="pl-PL"/>
        </w:rPr>
        <w:t>,</w:t>
      </w:r>
    </w:p>
    <w:p w:rsidR="0030023C" w:rsidRPr="009353E6" w:rsidRDefault="0030023C" w:rsidP="000D5BED">
      <w:pPr>
        <w:pStyle w:val="BodyText"/>
        <w:spacing w:line="240" w:lineRule="auto"/>
        <w:jc w:val="left"/>
        <w:rPr>
          <w:sz w:val="22"/>
          <w:szCs w:val="22"/>
          <w:lang w:val="pl-PL"/>
        </w:rPr>
      </w:pPr>
      <w:r w:rsidRPr="009353E6">
        <w:rPr>
          <w:sz w:val="22"/>
          <w:szCs w:val="22"/>
          <w:lang w:val="pl-PL"/>
        </w:rPr>
        <w:tab/>
      </w:r>
      <w:r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E813C1" w:rsidRPr="009353E6">
        <w:rPr>
          <w:sz w:val="22"/>
          <w:szCs w:val="22"/>
          <w:lang w:val="pl-PL"/>
        </w:rPr>
        <w:tab/>
      </w:r>
      <w:r w:rsidR="000A01A1" w:rsidRPr="009353E6">
        <w:rPr>
          <w:sz w:val="22"/>
          <w:szCs w:val="22"/>
          <w:lang w:val="pl-PL"/>
        </w:rPr>
        <w:t>z</w:t>
      </w:r>
      <w:r w:rsidRPr="009353E6">
        <w:rPr>
          <w:sz w:val="22"/>
          <w:szCs w:val="22"/>
          <w:lang w:val="pl-PL"/>
        </w:rPr>
        <w:t>apalenie żołądka</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wątroby i dróg żółciowych</w:t>
      </w:r>
    </w:p>
    <w:p w:rsidR="0030023C" w:rsidRPr="009353E6" w:rsidRDefault="0030023C" w:rsidP="000D5BED">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Nieprawidłowa czynność wątroby/zaburzenia wątroby</w:t>
      </w:r>
      <w:r w:rsidR="00CB0C6F" w:rsidRPr="009353E6">
        <w:rPr>
          <w:sz w:val="22"/>
          <w:szCs w:val="22"/>
          <w:vertAlign w:val="superscript"/>
          <w:lang w:val="pl-PL"/>
        </w:rPr>
        <w:t>2</w:t>
      </w: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skóry i tkanki podskórnej</w:t>
      </w:r>
    </w:p>
    <w:p w:rsidR="0030023C" w:rsidRPr="009353E6" w:rsidRDefault="0030023C" w:rsidP="000D5BED">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Obrzęk naczynioruchowy</w:t>
      </w:r>
      <w:r w:rsidR="00CB0C6F" w:rsidRPr="009353E6">
        <w:rPr>
          <w:sz w:val="22"/>
          <w:szCs w:val="22"/>
          <w:lang w:val="pl-PL"/>
        </w:rPr>
        <w:t xml:space="preserve"> (również </w:t>
      </w:r>
      <w:r w:rsidR="00891993" w:rsidRPr="009353E6">
        <w:rPr>
          <w:sz w:val="22"/>
          <w:szCs w:val="22"/>
          <w:lang w:val="pl-PL"/>
        </w:rPr>
        <w:t>zakończony zgonem</w:t>
      </w:r>
      <w:r w:rsidR="00CB0C6F" w:rsidRPr="009353E6">
        <w:rPr>
          <w:sz w:val="22"/>
          <w:szCs w:val="22"/>
          <w:lang w:val="pl-PL"/>
        </w:rPr>
        <w:t>)</w:t>
      </w:r>
      <w:r w:rsidRPr="009353E6">
        <w:rPr>
          <w:sz w:val="22"/>
          <w:szCs w:val="22"/>
          <w:lang w:val="pl-PL"/>
        </w:rPr>
        <w:t>, rumień, świąd, wysypka, nadmierne pocenie się, pokrzywka</w:t>
      </w:r>
    </w:p>
    <w:p w:rsidR="0030023C" w:rsidRPr="009353E6" w:rsidRDefault="0030023C" w:rsidP="000D5BED">
      <w:pPr>
        <w:pStyle w:val="BodyText"/>
        <w:spacing w:line="240" w:lineRule="auto"/>
        <w:jc w:val="left"/>
        <w:rPr>
          <w:sz w:val="22"/>
          <w:szCs w:val="22"/>
          <w:lang w:val="pl-PL"/>
        </w:rPr>
      </w:pPr>
    </w:p>
    <w:p w:rsidR="0030023C" w:rsidRPr="009353E6" w:rsidRDefault="0030023C" w:rsidP="001159E1">
      <w:pPr>
        <w:pStyle w:val="BodyText"/>
        <w:keepNext/>
        <w:spacing w:line="240" w:lineRule="auto"/>
        <w:jc w:val="left"/>
        <w:rPr>
          <w:sz w:val="22"/>
          <w:szCs w:val="22"/>
          <w:lang w:val="pl-PL"/>
        </w:rPr>
      </w:pPr>
      <w:r w:rsidRPr="009353E6">
        <w:rPr>
          <w:sz w:val="22"/>
          <w:szCs w:val="22"/>
          <w:lang w:val="pl-PL"/>
        </w:rPr>
        <w:t>Zaburzenia mięśniowo-szkieletowe i tkanki łącznej</w:t>
      </w:r>
    </w:p>
    <w:p w:rsidR="0030023C" w:rsidRPr="009353E6" w:rsidRDefault="0030023C" w:rsidP="001159E1">
      <w:pPr>
        <w:pStyle w:val="BodyText"/>
        <w:keepNext/>
        <w:spacing w:line="240" w:lineRule="auto"/>
        <w:jc w:val="left"/>
        <w:rPr>
          <w:sz w:val="22"/>
          <w:szCs w:val="22"/>
          <w:lang w:val="pl-PL"/>
        </w:rPr>
      </w:pPr>
      <w:r w:rsidRPr="009353E6">
        <w:rPr>
          <w:sz w:val="22"/>
          <w:szCs w:val="22"/>
          <w:lang w:val="pl-PL"/>
        </w:rPr>
        <w:t xml:space="preserve">Niezbyt często: </w:t>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Pr="009353E6">
        <w:rPr>
          <w:sz w:val="22"/>
          <w:szCs w:val="22"/>
          <w:lang w:val="pl-PL"/>
        </w:rPr>
        <w:tab/>
        <w:t>Ból pleców, skurcze mię</w:t>
      </w:r>
      <w:r w:rsidR="000A01A1" w:rsidRPr="009353E6">
        <w:rPr>
          <w:sz w:val="22"/>
          <w:szCs w:val="22"/>
          <w:lang w:val="pl-PL"/>
        </w:rPr>
        <w:t>ś</w:t>
      </w:r>
      <w:r w:rsidRPr="009353E6">
        <w:rPr>
          <w:sz w:val="22"/>
          <w:szCs w:val="22"/>
          <w:lang w:val="pl-PL"/>
        </w:rPr>
        <w:t>ni, ból mięśni</w:t>
      </w:r>
    </w:p>
    <w:p w:rsidR="0030023C" w:rsidRPr="009353E6" w:rsidRDefault="0030023C"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000D5BED" w:rsidRPr="009353E6">
        <w:rPr>
          <w:sz w:val="22"/>
          <w:szCs w:val="22"/>
          <w:lang w:val="pl-PL"/>
        </w:rPr>
        <w:tab/>
      </w:r>
      <w:r w:rsidRPr="009353E6">
        <w:rPr>
          <w:sz w:val="22"/>
          <w:szCs w:val="22"/>
          <w:lang w:val="pl-PL"/>
        </w:rPr>
        <w:t>Ból stawów, kurcze mięśni, ból kończyn</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Zaburzenia układu rozrodczego i piersi </w:t>
      </w: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00E813C1" w:rsidRPr="009353E6">
        <w:rPr>
          <w:sz w:val="22"/>
          <w:szCs w:val="22"/>
          <w:lang w:val="pl-PL"/>
        </w:rPr>
        <w:tab/>
      </w:r>
      <w:r w:rsidR="00E813C1" w:rsidRPr="009353E6">
        <w:rPr>
          <w:sz w:val="22"/>
          <w:szCs w:val="22"/>
          <w:lang w:val="pl-PL"/>
        </w:rPr>
        <w:tab/>
      </w:r>
      <w:r w:rsidR="00E813C1" w:rsidRPr="009353E6">
        <w:rPr>
          <w:sz w:val="22"/>
          <w:szCs w:val="22"/>
          <w:lang w:val="pl-PL"/>
        </w:rPr>
        <w:tab/>
      </w:r>
      <w:r w:rsidR="00E813C1" w:rsidRPr="009353E6">
        <w:rPr>
          <w:sz w:val="22"/>
          <w:szCs w:val="22"/>
          <w:lang w:val="pl-PL"/>
        </w:rPr>
        <w:tab/>
      </w:r>
      <w:r w:rsidR="00E813C1" w:rsidRPr="009353E6">
        <w:rPr>
          <w:sz w:val="22"/>
          <w:szCs w:val="22"/>
          <w:lang w:val="pl-PL"/>
        </w:rPr>
        <w:tab/>
      </w:r>
      <w:r w:rsidRPr="009353E6">
        <w:rPr>
          <w:sz w:val="22"/>
          <w:szCs w:val="22"/>
          <w:lang w:val="pl-PL"/>
        </w:rPr>
        <w:t>Zaburzenia erekcji</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ogólne i stany w miejscu podania</w:t>
      </w: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Ból w klatce piersiowej</w:t>
      </w:r>
    </w:p>
    <w:p w:rsidR="0030023C" w:rsidRPr="009353E6" w:rsidRDefault="0030023C"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Objawy grypopodobne, ból</w:t>
      </w:r>
    </w:p>
    <w:p w:rsidR="0030023C" w:rsidRPr="009353E6" w:rsidRDefault="0030023C" w:rsidP="000D5BED">
      <w:pPr>
        <w:pStyle w:val="BodyText"/>
        <w:spacing w:line="240" w:lineRule="auto"/>
        <w:jc w:val="left"/>
        <w:rPr>
          <w:sz w:val="22"/>
          <w:szCs w:val="22"/>
          <w:lang w:val="pl-PL"/>
        </w:rPr>
      </w:pPr>
    </w:p>
    <w:p w:rsidR="0030023C" w:rsidRPr="009353E6" w:rsidRDefault="0030023C" w:rsidP="004A0B9E">
      <w:pPr>
        <w:pStyle w:val="BodyText"/>
        <w:keepNext/>
        <w:spacing w:line="240" w:lineRule="auto"/>
        <w:jc w:val="left"/>
        <w:rPr>
          <w:sz w:val="22"/>
          <w:szCs w:val="22"/>
          <w:lang w:val="pl-PL"/>
        </w:rPr>
      </w:pPr>
      <w:r w:rsidRPr="009353E6">
        <w:rPr>
          <w:sz w:val="22"/>
          <w:szCs w:val="22"/>
          <w:lang w:val="pl-PL"/>
        </w:rPr>
        <w:t xml:space="preserve">Badania </w:t>
      </w:r>
      <w:r w:rsidR="00941026" w:rsidRPr="009353E6">
        <w:rPr>
          <w:sz w:val="22"/>
          <w:szCs w:val="22"/>
          <w:lang w:val="pl-PL"/>
        </w:rPr>
        <w:t>diagnostyczne</w:t>
      </w:r>
    </w:p>
    <w:p w:rsidR="0030023C" w:rsidRPr="009353E6" w:rsidRDefault="0030023C" w:rsidP="000D5BED">
      <w:pPr>
        <w:pStyle w:val="BodyText"/>
        <w:spacing w:line="240" w:lineRule="auto"/>
        <w:ind w:left="4963" w:hanging="4963"/>
        <w:jc w:val="left"/>
        <w:rPr>
          <w:sz w:val="22"/>
          <w:szCs w:val="22"/>
          <w:lang w:val="pl-PL"/>
        </w:rPr>
      </w:pPr>
      <w:r w:rsidRPr="009353E6">
        <w:rPr>
          <w:sz w:val="22"/>
          <w:szCs w:val="22"/>
          <w:lang w:val="pl-PL"/>
        </w:rPr>
        <w:t>Niezbyt często:</w:t>
      </w:r>
      <w:r w:rsidRPr="009353E6">
        <w:rPr>
          <w:sz w:val="22"/>
          <w:szCs w:val="22"/>
          <w:lang w:val="pl-PL"/>
        </w:rPr>
        <w:tab/>
      </w:r>
      <w:r w:rsidR="00941026" w:rsidRPr="009353E6">
        <w:rPr>
          <w:sz w:val="22"/>
          <w:szCs w:val="22"/>
          <w:lang w:val="pl-PL"/>
        </w:rPr>
        <w:t xml:space="preserve">Zwiększenie stężenia </w:t>
      </w:r>
      <w:r w:rsidRPr="009353E6">
        <w:rPr>
          <w:sz w:val="22"/>
          <w:szCs w:val="22"/>
          <w:lang w:val="pl-PL"/>
        </w:rPr>
        <w:t>kwasu mocz</w:t>
      </w:r>
      <w:r w:rsidR="00941026" w:rsidRPr="009353E6">
        <w:rPr>
          <w:sz w:val="22"/>
          <w:szCs w:val="22"/>
          <w:lang w:val="pl-PL"/>
        </w:rPr>
        <w:t>o</w:t>
      </w:r>
      <w:r w:rsidRPr="009353E6">
        <w:rPr>
          <w:sz w:val="22"/>
          <w:szCs w:val="22"/>
          <w:lang w:val="pl-PL"/>
        </w:rPr>
        <w:t>wgo we krwi</w:t>
      </w:r>
    </w:p>
    <w:p w:rsidR="00F710F6" w:rsidRPr="009353E6" w:rsidRDefault="0030023C" w:rsidP="000D5BED">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r>
      <w:r w:rsidR="00941026" w:rsidRPr="009353E6">
        <w:rPr>
          <w:sz w:val="22"/>
          <w:szCs w:val="22"/>
          <w:lang w:val="pl-PL"/>
        </w:rPr>
        <w:t xml:space="preserve">Zwiększenie stężenia </w:t>
      </w:r>
      <w:r w:rsidRPr="009353E6">
        <w:rPr>
          <w:sz w:val="22"/>
          <w:szCs w:val="22"/>
          <w:lang w:val="pl-PL"/>
        </w:rPr>
        <w:t xml:space="preserve">kreatyniny we krwi, </w:t>
      </w:r>
      <w:r w:rsidR="00941026" w:rsidRPr="009353E6">
        <w:rPr>
          <w:sz w:val="22"/>
          <w:szCs w:val="22"/>
          <w:lang w:val="pl-PL"/>
        </w:rPr>
        <w:t>zwiększenie aktywności</w:t>
      </w:r>
      <w:r w:rsidRPr="009353E6">
        <w:rPr>
          <w:sz w:val="22"/>
          <w:szCs w:val="22"/>
          <w:lang w:val="pl-PL"/>
        </w:rPr>
        <w:t xml:space="preserve"> fosfokinazy kreatyn</w:t>
      </w:r>
      <w:r w:rsidR="00941026" w:rsidRPr="009353E6">
        <w:rPr>
          <w:sz w:val="22"/>
          <w:szCs w:val="22"/>
          <w:lang w:val="pl-PL"/>
        </w:rPr>
        <w:t>owej</w:t>
      </w:r>
      <w:r w:rsidRPr="009353E6">
        <w:rPr>
          <w:sz w:val="22"/>
          <w:szCs w:val="22"/>
          <w:lang w:val="pl-PL"/>
        </w:rPr>
        <w:t xml:space="preserve"> we krwi, zwiększona aktywność enzymów wątrobowych </w:t>
      </w:r>
    </w:p>
    <w:p w:rsidR="0030023C" w:rsidRPr="009353E6" w:rsidRDefault="0030023C" w:rsidP="000D5BED">
      <w:pPr>
        <w:pStyle w:val="BodyText"/>
        <w:spacing w:line="240" w:lineRule="auto"/>
        <w:ind w:left="4963" w:hanging="4963"/>
        <w:jc w:val="left"/>
        <w:rPr>
          <w:sz w:val="22"/>
          <w:szCs w:val="22"/>
          <w:lang w:val="pl-PL"/>
        </w:rPr>
      </w:pPr>
    </w:p>
    <w:p w:rsidR="002D3E1A" w:rsidRPr="009353E6" w:rsidRDefault="005612DD" w:rsidP="005612DD">
      <w:pPr>
        <w:pStyle w:val="BodyText"/>
        <w:tabs>
          <w:tab w:val="left" w:pos="284"/>
        </w:tabs>
        <w:spacing w:line="240" w:lineRule="auto"/>
        <w:jc w:val="left"/>
        <w:rPr>
          <w:sz w:val="22"/>
          <w:szCs w:val="22"/>
          <w:lang w:val="pl-PL"/>
        </w:rPr>
      </w:pPr>
      <w:r w:rsidRPr="009353E6">
        <w:rPr>
          <w:sz w:val="22"/>
          <w:szCs w:val="22"/>
          <w:lang w:val="pl-PL"/>
        </w:rPr>
        <w:t xml:space="preserve">1:  </w:t>
      </w:r>
      <w:r w:rsidR="00CB0C6F" w:rsidRPr="009353E6">
        <w:rPr>
          <w:sz w:val="22"/>
          <w:szCs w:val="22"/>
          <w:lang w:val="pl-PL"/>
        </w:rPr>
        <w:t xml:space="preserve"> Na podstawie doświadczenia po wprowadzeniu produktu do obrotu</w:t>
      </w:r>
    </w:p>
    <w:p w:rsidR="00AA6CE9" w:rsidRPr="009353E6" w:rsidRDefault="00CB0C6F" w:rsidP="00AA6CE9">
      <w:pPr>
        <w:rPr>
          <w:sz w:val="22"/>
          <w:szCs w:val="22"/>
          <w:lang w:val="pl-PL"/>
        </w:rPr>
      </w:pPr>
      <w:r w:rsidRPr="009353E6">
        <w:rPr>
          <w:sz w:val="22"/>
          <w:szCs w:val="22"/>
          <w:lang w:val="pl-PL"/>
        </w:rPr>
        <w:t>2</w:t>
      </w:r>
      <w:r w:rsidR="00350725" w:rsidRPr="009353E6">
        <w:rPr>
          <w:sz w:val="22"/>
          <w:szCs w:val="22"/>
          <w:lang w:val="pl-PL"/>
        </w:rPr>
        <w:t xml:space="preserve">: </w:t>
      </w:r>
      <w:r w:rsidR="005612DD" w:rsidRPr="009353E6">
        <w:rPr>
          <w:sz w:val="22"/>
          <w:szCs w:val="22"/>
          <w:lang w:val="pl-PL"/>
        </w:rPr>
        <w:t xml:space="preserve">  </w:t>
      </w:r>
      <w:r w:rsidR="00350725" w:rsidRPr="009353E6">
        <w:rPr>
          <w:sz w:val="22"/>
          <w:szCs w:val="22"/>
          <w:lang w:val="pl-PL"/>
        </w:rPr>
        <w:t xml:space="preserve">Bardziej szczegółowe informacje znajdują się w </w:t>
      </w:r>
      <w:r w:rsidR="00AA6CE9" w:rsidRPr="009353E6">
        <w:rPr>
          <w:sz w:val="22"/>
          <w:szCs w:val="22"/>
          <w:lang w:val="pl-PL"/>
        </w:rPr>
        <w:t>pod</w:t>
      </w:r>
      <w:r w:rsidR="00F710F6" w:rsidRPr="009353E6">
        <w:rPr>
          <w:sz w:val="22"/>
          <w:szCs w:val="22"/>
          <w:lang w:val="pl-PL"/>
        </w:rPr>
        <w:t>punkcie</w:t>
      </w:r>
      <w:r w:rsidR="00350725" w:rsidRPr="009353E6">
        <w:rPr>
          <w:sz w:val="22"/>
          <w:szCs w:val="22"/>
          <w:lang w:val="pl-PL"/>
        </w:rPr>
        <w:t xml:space="preserve"> </w:t>
      </w:r>
      <w:r w:rsidR="00193BCD" w:rsidRPr="009353E6">
        <w:rPr>
          <w:sz w:val="22"/>
          <w:szCs w:val="22"/>
          <w:lang w:val="pl-PL"/>
        </w:rPr>
        <w:t>”</w:t>
      </w:r>
      <w:r w:rsidR="00AA6CE9" w:rsidRPr="009353E6">
        <w:rPr>
          <w:sz w:val="22"/>
          <w:szCs w:val="22"/>
          <w:lang w:val="pl-PL"/>
        </w:rPr>
        <w:t>Opis wybranych działań   niepożądanych</w:t>
      </w:r>
      <w:r w:rsidR="00193BCD" w:rsidRPr="009353E6">
        <w:rPr>
          <w:sz w:val="22"/>
          <w:szCs w:val="22"/>
          <w:lang w:val="pl-PL"/>
        </w:rPr>
        <w:t>”</w:t>
      </w:r>
    </w:p>
    <w:p w:rsidR="00350725" w:rsidRPr="009353E6" w:rsidRDefault="00350725" w:rsidP="00350725">
      <w:pPr>
        <w:rPr>
          <w:sz w:val="22"/>
          <w:szCs w:val="22"/>
          <w:lang w:val="pl-PL"/>
        </w:rPr>
      </w:pPr>
    </w:p>
    <w:p w:rsidR="002D3E1A" w:rsidRPr="009353E6" w:rsidRDefault="002D3E1A" w:rsidP="004A0B9E">
      <w:pPr>
        <w:pStyle w:val="BodyText"/>
        <w:keepNext/>
        <w:spacing w:line="240" w:lineRule="auto"/>
        <w:jc w:val="left"/>
        <w:rPr>
          <w:i/>
          <w:sz w:val="22"/>
          <w:szCs w:val="22"/>
          <w:lang w:val="pl-PL"/>
        </w:rPr>
      </w:pPr>
      <w:r w:rsidRPr="009353E6">
        <w:rPr>
          <w:i/>
          <w:sz w:val="22"/>
          <w:szCs w:val="22"/>
          <w:lang w:val="pl-PL"/>
        </w:rPr>
        <w:t>Informacja dodatkowa o poszczególnych składnikach</w:t>
      </w:r>
    </w:p>
    <w:p w:rsidR="00AA6CE9" w:rsidRPr="009353E6" w:rsidRDefault="00AA6CE9" w:rsidP="004A0B9E">
      <w:pPr>
        <w:pStyle w:val="BodyText"/>
        <w:keepNext/>
        <w:spacing w:line="240" w:lineRule="auto"/>
        <w:jc w:val="left"/>
        <w:rPr>
          <w:sz w:val="22"/>
          <w:szCs w:val="22"/>
          <w:lang w:val="pl-PL"/>
        </w:rPr>
      </w:pPr>
    </w:p>
    <w:p w:rsidR="002D3E1A" w:rsidRPr="009353E6" w:rsidRDefault="00AA6CE9" w:rsidP="000D5BED">
      <w:pPr>
        <w:pStyle w:val="BodyText"/>
        <w:spacing w:line="240" w:lineRule="auto"/>
        <w:jc w:val="left"/>
        <w:rPr>
          <w:sz w:val="22"/>
          <w:szCs w:val="22"/>
          <w:lang w:val="pl-PL"/>
        </w:rPr>
      </w:pPr>
      <w:r w:rsidRPr="009353E6">
        <w:rPr>
          <w:sz w:val="22"/>
          <w:szCs w:val="22"/>
          <w:lang w:val="pl-PL"/>
        </w:rPr>
        <w:t>D</w:t>
      </w:r>
      <w:r w:rsidR="002D3E1A" w:rsidRPr="009353E6">
        <w:rPr>
          <w:sz w:val="22"/>
          <w:szCs w:val="22"/>
          <w:lang w:val="pl-PL"/>
        </w:rPr>
        <w:t>ziałania</w:t>
      </w:r>
      <w:r w:rsidRPr="009353E6">
        <w:rPr>
          <w:sz w:val="22"/>
          <w:szCs w:val="22"/>
          <w:lang w:val="pl-PL"/>
        </w:rPr>
        <w:t xml:space="preserve"> niepożądane</w:t>
      </w:r>
      <w:r w:rsidR="002D3E1A" w:rsidRPr="009353E6">
        <w:rPr>
          <w:sz w:val="22"/>
          <w:szCs w:val="22"/>
          <w:lang w:val="pl-PL"/>
        </w:rPr>
        <w:t xml:space="preserve">, o których donoszono wcześniej, dotyczące poszczególnych składników, mogą być potencjalnymi </w:t>
      </w:r>
      <w:r w:rsidRPr="009353E6">
        <w:rPr>
          <w:sz w:val="22"/>
          <w:szCs w:val="22"/>
          <w:lang w:val="pl-PL"/>
        </w:rPr>
        <w:t>działaniami</w:t>
      </w:r>
      <w:r w:rsidR="002D3E1A" w:rsidRPr="009353E6">
        <w:rPr>
          <w:sz w:val="22"/>
          <w:szCs w:val="22"/>
          <w:lang w:val="pl-PL"/>
        </w:rPr>
        <w:t xml:space="preserve"> niepożądanymi występującymi w przypadku stosowania </w:t>
      </w:r>
      <w:r w:rsidR="00F710F6" w:rsidRPr="009353E6">
        <w:rPr>
          <w:sz w:val="22"/>
          <w:szCs w:val="22"/>
          <w:lang w:val="pl-PL"/>
        </w:rPr>
        <w:t>produkt</w:t>
      </w:r>
      <w:r w:rsidR="002D3E1A" w:rsidRPr="009353E6">
        <w:rPr>
          <w:sz w:val="22"/>
          <w:szCs w:val="22"/>
          <w:lang w:val="pl-PL"/>
        </w:rPr>
        <w:t xml:space="preserve">u MicardisPlus, nawet jeśli nie zaobserwowano ich w badaniach klinicznych leku. </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u w:val="single"/>
          <w:lang w:val="pl-PL"/>
        </w:rPr>
      </w:pPr>
      <w:r w:rsidRPr="009353E6">
        <w:rPr>
          <w:sz w:val="22"/>
          <w:szCs w:val="22"/>
          <w:u w:val="single"/>
          <w:lang w:val="pl-PL"/>
        </w:rPr>
        <w:t>Telmisartan:</w:t>
      </w:r>
    </w:p>
    <w:p w:rsidR="003D10DA" w:rsidRPr="009353E6" w:rsidRDefault="00AA6CE9" w:rsidP="000D5BED">
      <w:pPr>
        <w:pStyle w:val="BodyText"/>
        <w:spacing w:line="240" w:lineRule="auto"/>
        <w:jc w:val="left"/>
        <w:rPr>
          <w:sz w:val="22"/>
          <w:szCs w:val="22"/>
          <w:lang w:val="pl-PL"/>
        </w:rPr>
      </w:pPr>
      <w:r w:rsidRPr="009353E6">
        <w:rPr>
          <w:sz w:val="22"/>
          <w:szCs w:val="22"/>
          <w:lang w:val="pl-PL"/>
        </w:rPr>
        <w:t xml:space="preserve">Działania </w:t>
      </w:r>
      <w:r w:rsidR="002D3E1A" w:rsidRPr="009353E6">
        <w:rPr>
          <w:sz w:val="22"/>
          <w:szCs w:val="22"/>
          <w:lang w:val="pl-PL"/>
        </w:rPr>
        <w:t>niepożądane wystąpiły z podobną częstością u pacjentów leczonych telmisartanem i</w:t>
      </w:r>
      <w:r w:rsidR="00E02390" w:rsidRPr="009353E6">
        <w:rPr>
          <w:sz w:val="22"/>
          <w:szCs w:val="22"/>
          <w:lang w:val="pl-PL"/>
        </w:rPr>
        <w:t> </w:t>
      </w:r>
      <w:r w:rsidR="002D3E1A" w:rsidRPr="009353E6">
        <w:rPr>
          <w:sz w:val="22"/>
          <w:szCs w:val="22"/>
          <w:lang w:val="pl-PL"/>
        </w:rPr>
        <w:t>otrzymujących placebo.</w:t>
      </w:r>
    </w:p>
    <w:p w:rsidR="002D3E1A" w:rsidRPr="009353E6" w:rsidRDefault="002D3E1A" w:rsidP="000D5BED">
      <w:pPr>
        <w:pStyle w:val="BodyText"/>
        <w:spacing w:line="240" w:lineRule="auto"/>
        <w:jc w:val="left"/>
        <w:rPr>
          <w:sz w:val="22"/>
          <w:szCs w:val="22"/>
          <w:lang w:val="pl-PL"/>
        </w:rPr>
      </w:pPr>
    </w:p>
    <w:p w:rsidR="0047675F" w:rsidRPr="009353E6" w:rsidRDefault="002D3E1A" w:rsidP="00B51D63">
      <w:pPr>
        <w:pStyle w:val="BodyText"/>
        <w:spacing w:line="240" w:lineRule="auto"/>
        <w:jc w:val="left"/>
        <w:rPr>
          <w:sz w:val="22"/>
          <w:szCs w:val="22"/>
          <w:lang w:val="pl-PL"/>
        </w:rPr>
      </w:pPr>
      <w:r w:rsidRPr="009353E6">
        <w:rPr>
          <w:sz w:val="22"/>
          <w:szCs w:val="22"/>
          <w:lang w:val="pl-PL"/>
        </w:rPr>
        <w:t xml:space="preserve">Całkowita częstość występowania </w:t>
      </w:r>
      <w:r w:rsidR="00AA6CE9" w:rsidRPr="009353E6">
        <w:rPr>
          <w:sz w:val="22"/>
          <w:szCs w:val="22"/>
          <w:lang w:val="pl-PL"/>
        </w:rPr>
        <w:t xml:space="preserve">działań </w:t>
      </w:r>
      <w:r w:rsidRPr="009353E6">
        <w:rPr>
          <w:sz w:val="22"/>
          <w:szCs w:val="22"/>
          <w:lang w:val="pl-PL"/>
        </w:rPr>
        <w:t xml:space="preserve">niepożądanych w przypadku stosowania telmisartanu (41,4%) w badaniu kontrolowanym placebo, była zazwyczaj porównywalna do częstości </w:t>
      </w:r>
      <w:r w:rsidR="00AA6CE9" w:rsidRPr="009353E6">
        <w:rPr>
          <w:sz w:val="22"/>
          <w:szCs w:val="22"/>
          <w:lang w:val="pl-PL"/>
        </w:rPr>
        <w:t>działań</w:t>
      </w:r>
      <w:r w:rsidRPr="009353E6">
        <w:rPr>
          <w:sz w:val="22"/>
          <w:szCs w:val="22"/>
          <w:lang w:val="pl-PL"/>
        </w:rPr>
        <w:t xml:space="preserve"> w</w:t>
      </w:r>
      <w:r w:rsidR="00E02390" w:rsidRPr="009353E6">
        <w:rPr>
          <w:sz w:val="22"/>
          <w:szCs w:val="22"/>
          <w:lang w:val="pl-PL"/>
        </w:rPr>
        <w:t> </w:t>
      </w:r>
      <w:r w:rsidRPr="009353E6">
        <w:rPr>
          <w:sz w:val="22"/>
          <w:szCs w:val="22"/>
          <w:lang w:val="pl-PL"/>
        </w:rPr>
        <w:t xml:space="preserve">przypadku stosowania samego placebo (43,9%). </w:t>
      </w:r>
      <w:r w:rsidR="0047675F" w:rsidRPr="009353E6">
        <w:rPr>
          <w:sz w:val="22"/>
          <w:szCs w:val="22"/>
          <w:lang w:val="pl-PL"/>
        </w:rPr>
        <w:t>W poniższym zestawieniu przedstawiono działania niepożądane, które zanotowano we wszystkich badaniach klinicznych z udziałem pacjentów leczonych telmisartanem z powodu nadciśnienia lub pacjentów w wieku 50 lat i starszych z grupy dużego ryzyka powikłań sercowo-naczyniowych.</w:t>
      </w:r>
    </w:p>
    <w:p w:rsidR="002D3E1A" w:rsidRPr="009353E6" w:rsidRDefault="002D3E1A"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bookmarkStart w:id="1" w:name="OLE_LINK1"/>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Zakażenia i zarażenia pasożytnicze </w:t>
      </w:r>
    </w:p>
    <w:p w:rsidR="00350725" w:rsidRPr="009353E6" w:rsidRDefault="00350725" w:rsidP="001B3572">
      <w:pPr>
        <w:ind w:left="4963" w:hanging="4963"/>
        <w:rPr>
          <w:sz w:val="22"/>
          <w:szCs w:val="22"/>
          <w:lang w:val="pl-PL"/>
        </w:rPr>
      </w:pPr>
      <w:r w:rsidRPr="009353E6">
        <w:rPr>
          <w:sz w:val="22"/>
          <w:szCs w:val="22"/>
          <w:lang w:val="pl-PL"/>
        </w:rPr>
        <w:t>Niezbyt często</w:t>
      </w:r>
      <w:r w:rsidR="0030023C" w:rsidRPr="009353E6">
        <w:rPr>
          <w:sz w:val="22"/>
          <w:szCs w:val="22"/>
          <w:lang w:val="pl-PL"/>
        </w:rPr>
        <w:t xml:space="preserve">: </w:t>
      </w:r>
      <w:r w:rsidR="0030023C" w:rsidRPr="009353E6">
        <w:rPr>
          <w:sz w:val="22"/>
          <w:szCs w:val="22"/>
          <w:lang w:val="pl-PL"/>
        </w:rPr>
        <w:tab/>
        <w:t xml:space="preserve">Zakażenie górnych dróg oddechowych, zakażenie układu moczowego, w tym zapalenie pęcherza </w:t>
      </w:r>
    </w:p>
    <w:p w:rsidR="001B3572" w:rsidRPr="009353E6" w:rsidRDefault="00350725" w:rsidP="001B3572">
      <w:pPr>
        <w:ind w:left="4963" w:hanging="4963"/>
        <w:rPr>
          <w:sz w:val="22"/>
          <w:szCs w:val="22"/>
          <w:lang w:val="pl-PL"/>
        </w:rPr>
      </w:pPr>
      <w:r w:rsidRPr="009353E6">
        <w:rPr>
          <w:sz w:val="22"/>
          <w:szCs w:val="22"/>
          <w:lang w:val="pl-PL"/>
        </w:rPr>
        <w:t>Rzadko:                                                                             P</w:t>
      </w:r>
      <w:r w:rsidR="001B3572" w:rsidRPr="009353E6">
        <w:rPr>
          <w:sz w:val="22"/>
          <w:szCs w:val="22"/>
          <w:lang w:val="pl-PL"/>
        </w:rPr>
        <w:t xml:space="preserve">osocznica, w tym </w:t>
      </w:r>
      <w:r w:rsidR="0047675F" w:rsidRPr="009353E6">
        <w:rPr>
          <w:sz w:val="22"/>
          <w:szCs w:val="22"/>
          <w:lang w:val="pl-PL"/>
        </w:rPr>
        <w:t>zakończona zgonem</w:t>
      </w:r>
      <w:r w:rsidR="00CB0C6F" w:rsidRPr="009353E6">
        <w:rPr>
          <w:sz w:val="22"/>
          <w:szCs w:val="22"/>
          <w:vertAlign w:val="superscript"/>
          <w:lang w:val="pl-PL"/>
        </w:rPr>
        <w:t>3</w:t>
      </w:r>
    </w:p>
    <w:p w:rsidR="0030023C" w:rsidRPr="009353E6" w:rsidRDefault="0030023C" w:rsidP="00E72715">
      <w:pPr>
        <w:pStyle w:val="BodyText"/>
        <w:tabs>
          <w:tab w:val="left" w:pos="5040"/>
        </w:tabs>
        <w:spacing w:line="240" w:lineRule="auto"/>
        <w:ind w:left="4963" w:hanging="4963"/>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krwi i układu chłonnego</w:t>
      </w:r>
    </w:p>
    <w:p w:rsidR="00350725" w:rsidRPr="009353E6" w:rsidRDefault="00350725" w:rsidP="000D5BED">
      <w:pPr>
        <w:pStyle w:val="BodyText"/>
        <w:spacing w:line="240" w:lineRule="auto"/>
        <w:jc w:val="left"/>
        <w:rPr>
          <w:sz w:val="22"/>
          <w:szCs w:val="22"/>
          <w:lang w:val="pl-PL"/>
        </w:rPr>
      </w:pPr>
      <w:r w:rsidRPr="009353E6">
        <w:rPr>
          <w:sz w:val="22"/>
          <w:szCs w:val="22"/>
          <w:lang w:val="pl-PL"/>
        </w:rPr>
        <w:t>Niezbyt często</w:t>
      </w:r>
      <w:r w:rsidR="0030023C" w:rsidRPr="009353E6">
        <w:rPr>
          <w:sz w:val="22"/>
          <w:szCs w:val="22"/>
          <w:lang w:val="pl-PL"/>
        </w:rPr>
        <w:t>:</w:t>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E813C1" w:rsidRPr="009353E6">
        <w:rPr>
          <w:sz w:val="22"/>
          <w:szCs w:val="22"/>
          <w:lang w:val="pl-PL"/>
        </w:rPr>
        <w:tab/>
      </w:r>
      <w:r w:rsidR="00E813C1" w:rsidRPr="009353E6">
        <w:rPr>
          <w:sz w:val="22"/>
          <w:szCs w:val="22"/>
          <w:lang w:val="pl-PL"/>
        </w:rPr>
        <w:tab/>
      </w:r>
      <w:r w:rsidRPr="009353E6">
        <w:rPr>
          <w:sz w:val="22"/>
          <w:szCs w:val="22"/>
          <w:lang w:val="pl-PL"/>
        </w:rPr>
        <w:t>N</w:t>
      </w:r>
      <w:r w:rsidR="0030023C" w:rsidRPr="009353E6">
        <w:rPr>
          <w:sz w:val="22"/>
          <w:szCs w:val="22"/>
          <w:lang w:val="pl-PL"/>
        </w:rPr>
        <w:t>iedokrwistość</w:t>
      </w:r>
    </w:p>
    <w:p w:rsidR="0030023C" w:rsidRPr="009353E6" w:rsidRDefault="00350725" w:rsidP="000D5BED">
      <w:pPr>
        <w:pStyle w:val="BodyText"/>
        <w:spacing w:line="240" w:lineRule="auto"/>
        <w:jc w:val="left"/>
        <w:rPr>
          <w:sz w:val="22"/>
          <w:szCs w:val="22"/>
          <w:lang w:val="pl-PL"/>
        </w:rPr>
      </w:pPr>
      <w:r w:rsidRPr="009353E6">
        <w:rPr>
          <w:sz w:val="22"/>
          <w:szCs w:val="22"/>
          <w:lang w:val="pl-PL"/>
        </w:rPr>
        <w:t xml:space="preserve">Rzadko:                                                                             Eozynofilia, </w:t>
      </w:r>
      <w:r w:rsidR="0030023C" w:rsidRPr="009353E6">
        <w:rPr>
          <w:sz w:val="22"/>
          <w:szCs w:val="22"/>
          <w:lang w:val="pl-PL"/>
        </w:rPr>
        <w:t xml:space="preserve"> małopłytkowość</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układu immunologicznego</w:t>
      </w:r>
    </w:p>
    <w:p w:rsidR="0030023C" w:rsidRPr="009353E6" w:rsidRDefault="00350725" w:rsidP="000D5BED">
      <w:pPr>
        <w:pStyle w:val="BodyText"/>
        <w:spacing w:line="240" w:lineRule="auto"/>
        <w:jc w:val="left"/>
        <w:rPr>
          <w:sz w:val="22"/>
          <w:szCs w:val="22"/>
          <w:lang w:val="pl-PL"/>
        </w:rPr>
      </w:pPr>
      <w:r w:rsidRPr="009353E6">
        <w:rPr>
          <w:sz w:val="22"/>
          <w:szCs w:val="22"/>
          <w:lang w:val="pl-PL"/>
        </w:rPr>
        <w:t>Rzadko</w:t>
      </w:r>
      <w:r w:rsidR="0030023C" w:rsidRPr="009353E6">
        <w:rPr>
          <w:sz w:val="22"/>
          <w:szCs w:val="22"/>
          <w:lang w:val="pl-PL"/>
        </w:rPr>
        <w:t>:</w:t>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E813C1" w:rsidRPr="009353E6">
        <w:rPr>
          <w:sz w:val="22"/>
          <w:szCs w:val="22"/>
          <w:lang w:val="pl-PL"/>
        </w:rPr>
        <w:tab/>
      </w:r>
      <w:r w:rsidR="0030023C" w:rsidRPr="009353E6">
        <w:rPr>
          <w:sz w:val="22"/>
          <w:szCs w:val="22"/>
          <w:lang w:val="pl-PL"/>
        </w:rPr>
        <w:t>Nadwrażliwość, rekacje anafilaktyczne</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metabolizmu i odżywiania</w:t>
      </w:r>
    </w:p>
    <w:p w:rsidR="0030023C" w:rsidRPr="009353E6" w:rsidRDefault="00350725" w:rsidP="000D5BED">
      <w:pPr>
        <w:pStyle w:val="BodyText"/>
        <w:spacing w:line="240" w:lineRule="auto"/>
        <w:jc w:val="left"/>
        <w:rPr>
          <w:sz w:val="22"/>
          <w:szCs w:val="22"/>
          <w:lang w:val="pl-PL"/>
        </w:rPr>
      </w:pPr>
      <w:r w:rsidRPr="009353E6">
        <w:rPr>
          <w:sz w:val="22"/>
          <w:szCs w:val="22"/>
          <w:lang w:val="pl-PL"/>
        </w:rPr>
        <w:t>Niezbyt często</w:t>
      </w:r>
      <w:r w:rsidR="0030023C" w:rsidRPr="009353E6">
        <w:rPr>
          <w:sz w:val="22"/>
          <w:szCs w:val="22"/>
          <w:lang w:val="pl-PL"/>
        </w:rPr>
        <w:t>:</w:t>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E813C1" w:rsidRPr="009353E6">
        <w:rPr>
          <w:sz w:val="22"/>
          <w:szCs w:val="22"/>
          <w:lang w:val="pl-PL"/>
        </w:rPr>
        <w:tab/>
      </w:r>
      <w:r w:rsidR="00E813C1" w:rsidRPr="009353E6">
        <w:rPr>
          <w:sz w:val="22"/>
          <w:szCs w:val="22"/>
          <w:lang w:val="pl-PL"/>
        </w:rPr>
        <w:tab/>
      </w:r>
      <w:r w:rsidR="0030023C" w:rsidRPr="009353E6">
        <w:rPr>
          <w:sz w:val="22"/>
          <w:szCs w:val="22"/>
          <w:lang w:val="pl-PL"/>
        </w:rPr>
        <w:t>Hiperkaliemia</w:t>
      </w:r>
    </w:p>
    <w:p w:rsidR="00350725" w:rsidRPr="009353E6" w:rsidRDefault="00350725" w:rsidP="000D5BED">
      <w:pPr>
        <w:pStyle w:val="BodyText"/>
        <w:spacing w:line="240" w:lineRule="auto"/>
        <w:jc w:val="left"/>
        <w:rPr>
          <w:sz w:val="22"/>
          <w:szCs w:val="22"/>
          <w:lang w:val="pl-PL"/>
        </w:rPr>
      </w:pPr>
      <w:r w:rsidRPr="009353E6">
        <w:rPr>
          <w:sz w:val="22"/>
          <w:szCs w:val="22"/>
          <w:lang w:val="pl-PL"/>
        </w:rPr>
        <w:t xml:space="preserve">Rzadko:                                                                             Hipoglikemia (u </w:t>
      </w:r>
      <w:r w:rsidR="00F710F6" w:rsidRPr="009353E6">
        <w:rPr>
          <w:sz w:val="22"/>
          <w:szCs w:val="22"/>
          <w:lang w:val="pl-PL"/>
        </w:rPr>
        <w:t xml:space="preserve">pacjentów z </w:t>
      </w:r>
      <w:r w:rsidRPr="009353E6">
        <w:rPr>
          <w:sz w:val="22"/>
          <w:szCs w:val="22"/>
          <w:lang w:val="pl-PL"/>
        </w:rPr>
        <w:t xml:space="preserve"> cukrzyc</w:t>
      </w:r>
      <w:r w:rsidR="00F710F6" w:rsidRPr="009353E6">
        <w:rPr>
          <w:sz w:val="22"/>
          <w:szCs w:val="22"/>
          <w:lang w:val="pl-PL"/>
        </w:rPr>
        <w:t>ą</w:t>
      </w:r>
      <w:r w:rsidRPr="009353E6">
        <w:rPr>
          <w:sz w:val="22"/>
          <w:szCs w:val="22"/>
          <w:lang w:val="pl-PL"/>
        </w:rPr>
        <w:t>)</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serca</w:t>
      </w:r>
    </w:p>
    <w:p w:rsidR="0030023C" w:rsidRPr="009353E6" w:rsidRDefault="00350725" w:rsidP="000D5BED">
      <w:pPr>
        <w:pStyle w:val="BodyText"/>
        <w:spacing w:line="240" w:lineRule="auto"/>
        <w:jc w:val="left"/>
        <w:rPr>
          <w:sz w:val="22"/>
          <w:szCs w:val="22"/>
          <w:lang w:val="pl-PL"/>
        </w:rPr>
      </w:pPr>
      <w:r w:rsidRPr="009353E6">
        <w:rPr>
          <w:sz w:val="22"/>
          <w:szCs w:val="22"/>
          <w:lang w:val="pl-PL"/>
        </w:rPr>
        <w:t>Niezbyt często</w:t>
      </w:r>
      <w:r w:rsidR="0030023C" w:rsidRPr="009353E6">
        <w:rPr>
          <w:sz w:val="22"/>
          <w:szCs w:val="22"/>
          <w:lang w:val="pl-PL"/>
        </w:rPr>
        <w:t>:</w:t>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E813C1" w:rsidRPr="009353E6">
        <w:rPr>
          <w:sz w:val="22"/>
          <w:szCs w:val="22"/>
          <w:lang w:val="pl-PL"/>
        </w:rPr>
        <w:tab/>
      </w:r>
      <w:r w:rsidR="00E813C1" w:rsidRPr="009353E6">
        <w:rPr>
          <w:sz w:val="22"/>
          <w:szCs w:val="22"/>
          <w:lang w:val="pl-PL"/>
        </w:rPr>
        <w:tab/>
      </w:r>
      <w:r w:rsidR="0030023C" w:rsidRPr="009353E6">
        <w:rPr>
          <w:sz w:val="22"/>
          <w:szCs w:val="22"/>
          <w:lang w:val="pl-PL"/>
        </w:rPr>
        <w:t>Rzadkoskurcz</w:t>
      </w:r>
    </w:p>
    <w:p w:rsidR="00B51D63" w:rsidRPr="009353E6" w:rsidRDefault="00B51D63" w:rsidP="00B51D63">
      <w:pPr>
        <w:jc w:val="both"/>
        <w:rPr>
          <w:sz w:val="22"/>
          <w:lang w:val="pl-PL"/>
        </w:rPr>
      </w:pPr>
    </w:p>
    <w:p w:rsidR="00B51D63" w:rsidRPr="009353E6" w:rsidRDefault="00B51D63" w:rsidP="004A0B9E">
      <w:pPr>
        <w:keepNext/>
        <w:jc w:val="both"/>
        <w:rPr>
          <w:sz w:val="22"/>
          <w:lang w:val="pl-PL"/>
        </w:rPr>
      </w:pPr>
      <w:r w:rsidRPr="009353E6">
        <w:rPr>
          <w:sz w:val="22"/>
          <w:lang w:val="pl-PL"/>
        </w:rPr>
        <w:t>Zaburzenia układu nerwowego</w:t>
      </w:r>
    </w:p>
    <w:p w:rsidR="00B51D63" w:rsidRPr="009353E6" w:rsidRDefault="00B51D63" w:rsidP="000E039F">
      <w:pPr>
        <w:tabs>
          <w:tab w:val="left" w:pos="4962"/>
        </w:tabs>
        <w:rPr>
          <w:sz w:val="22"/>
          <w:szCs w:val="22"/>
          <w:lang w:val="pl-PL"/>
        </w:rPr>
      </w:pPr>
      <w:r w:rsidRPr="009353E6">
        <w:rPr>
          <w:sz w:val="22"/>
          <w:szCs w:val="22"/>
          <w:lang w:val="pl-PL"/>
        </w:rPr>
        <w:t xml:space="preserve">Rzadko: </w:t>
      </w:r>
      <w:r w:rsidRPr="009353E6">
        <w:rPr>
          <w:sz w:val="22"/>
          <w:szCs w:val="22"/>
          <w:lang w:val="pl-PL"/>
        </w:rPr>
        <w:tab/>
        <w:t>Senność</w:t>
      </w:r>
    </w:p>
    <w:p w:rsidR="00B51D63" w:rsidRPr="009353E6" w:rsidRDefault="00B51D63" w:rsidP="00B51D63">
      <w:pPr>
        <w:jc w:val="both"/>
        <w:rPr>
          <w:sz w:val="22"/>
          <w:highlight w:val="yellow"/>
          <w:lang w:val="pl-PL"/>
        </w:rPr>
      </w:pPr>
    </w:p>
    <w:p w:rsidR="00B51D63" w:rsidRPr="009353E6" w:rsidRDefault="00B51D63" w:rsidP="00B51D63">
      <w:pPr>
        <w:jc w:val="both"/>
        <w:rPr>
          <w:sz w:val="22"/>
          <w:szCs w:val="22"/>
          <w:lang w:val="pl-PL"/>
        </w:rPr>
      </w:pPr>
      <w:r w:rsidRPr="009353E6">
        <w:rPr>
          <w:sz w:val="22"/>
          <w:lang w:val="pl-PL"/>
        </w:rPr>
        <w:t>Zaburzenia oddechowe, klatki piersiowej i śródpiersia</w:t>
      </w:r>
    </w:p>
    <w:p w:rsidR="00B51D63" w:rsidRPr="009353E6" w:rsidRDefault="00B51D63" w:rsidP="000E039F">
      <w:pPr>
        <w:jc w:val="both"/>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000E039F" w:rsidRPr="009353E6">
        <w:rPr>
          <w:sz w:val="22"/>
          <w:szCs w:val="22"/>
          <w:lang w:val="pl-PL"/>
        </w:rPr>
        <w:tab/>
      </w:r>
      <w:r w:rsidR="000E039F" w:rsidRPr="009353E6">
        <w:rPr>
          <w:sz w:val="22"/>
          <w:szCs w:val="22"/>
          <w:lang w:val="pl-PL"/>
        </w:rPr>
        <w:tab/>
      </w:r>
      <w:r w:rsidRPr="009353E6">
        <w:rPr>
          <w:sz w:val="22"/>
          <w:szCs w:val="22"/>
          <w:lang w:val="pl-PL"/>
        </w:rPr>
        <w:t>Kaszel</w:t>
      </w:r>
    </w:p>
    <w:p w:rsidR="00B51D63" w:rsidRPr="009353E6" w:rsidRDefault="00B51D63" w:rsidP="000E039F">
      <w:pPr>
        <w:jc w:val="both"/>
        <w:rPr>
          <w:sz w:val="22"/>
          <w:szCs w:val="22"/>
          <w:lang w:val="pl-PL"/>
        </w:rPr>
      </w:pPr>
      <w:r w:rsidRPr="009353E6">
        <w:rPr>
          <w:sz w:val="22"/>
          <w:szCs w:val="22"/>
          <w:lang w:val="pl-PL"/>
        </w:rPr>
        <w:t xml:space="preserve">Bardzo rzadko: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000E039F" w:rsidRPr="009353E6">
        <w:rPr>
          <w:sz w:val="22"/>
          <w:szCs w:val="22"/>
          <w:lang w:val="pl-PL"/>
        </w:rPr>
        <w:tab/>
      </w:r>
      <w:r w:rsidR="000E039F" w:rsidRPr="009353E6">
        <w:rPr>
          <w:sz w:val="22"/>
          <w:szCs w:val="22"/>
          <w:lang w:val="pl-PL"/>
        </w:rPr>
        <w:tab/>
      </w:r>
      <w:r w:rsidRPr="009353E6">
        <w:rPr>
          <w:sz w:val="22"/>
          <w:szCs w:val="22"/>
          <w:lang w:val="pl-PL"/>
        </w:rPr>
        <w:t>Śródmiąższowa choroba płuc</w:t>
      </w:r>
      <w:r w:rsidRPr="009353E6">
        <w:rPr>
          <w:sz w:val="22"/>
          <w:szCs w:val="22"/>
          <w:vertAlign w:val="superscript"/>
          <w:lang w:val="pl-PL"/>
        </w:rPr>
        <w:t>3</w:t>
      </w:r>
    </w:p>
    <w:p w:rsidR="0030023C" w:rsidRPr="009353E6" w:rsidRDefault="0030023C" w:rsidP="000D5BED">
      <w:pPr>
        <w:pStyle w:val="BodyText"/>
        <w:spacing w:line="240" w:lineRule="auto"/>
        <w:jc w:val="left"/>
        <w:rPr>
          <w:sz w:val="22"/>
          <w:szCs w:val="22"/>
          <w:lang w:val="pl-PL"/>
        </w:rPr>
      </w:pPr>
    </w:p>
    <w:p w:rsidR="0030023C" w:rsidRPr="009353E6" w:rsidRDefault="0030023C" w:rsidP="004A0B9E">
      <w:pPr>
        <w:pStyle w:val="BodyText"/>
        <w:keepNext/>
        <w:spacing w:line="240" w:lineRule="auto"/>
        <w:jc w:val="left"/>
        <w:rPr>
          <w:sz w:val="22"/>
          <w:szCs w:val="22"/>
          <w:lang w:val="pl-PL"/>
        </w:rPr>
      </w:pPr>
      <w:r w:rsidRPr="009353E6">
        <w:rPr>
          <w:sz w:val="22"/>
          <w:szCs w:val="22"/>
          <w:lang w:val="pl-PL"/>
        </w:rPr>
        <w:t>Zaburzenia żołądka i jelit</w:t>
      </w:r>
    </w:p>
    <w:p w:rsidR="0030023C" w:rsidRPr="009353E6" w:rsidRDefault="00350725" w:rsidP="000D5BED">
      <w:pPr>
        <w:pStyle w:val="BodyText"/>
        <w:spacing w:line="240" w:lineRule="auto"/>
        <w:jc w:val="left"/>
        <w:rPr>
          <w:sz w:val="22"/>
          <w:szCs w:val="22"/>
          <w:lang w:val="pl-PL"/>
        </w:rPr>
      </w:pPr>
      <w:r w:rsidRPr="009353E6">
        <w:rPr>
          <w:sz w:val="22"/>
          <w:szCs w:val="22"/>
          <w:lang w:val="pl-PL"/>
        </w:rPr>
        <w:t>Rzadko</w:t>
      </w:r>
      <w:r w:rsidR="0030023C" w:rsidRPr="009353E6">
        <w:rPr>
          <w:sz w:val="22"/>
          <w:szCs w:val="22"/>
          <w:lang w:val="pl-PL"/>
        </w:rPr>
        <w:t>:</w:t>
      </w:r>
      <w:r w:rsidR="0030023C" w:rsidRPr="009353E6">
        <w:rPr>
          <w:sz w:val="22"/>
          <w:szCs w:val="22"/>
          <w:lang w:val="pl-PL"/>
        </w:rPr>
        <w:tab/>
      </w:r>
      <w:r w:rsidR="0030023C"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813C1" w:rsidRPr="009353E6">
        <w:rPr>
          <w:sz w:val="22"/>
          <w:szCs w:val="22"/>
          <w:lang w:val="pl-PL"/>
        </w:rPr>
        <w:tab/>
      </w:r>
      <w:r w:rsidR="0030023C" w:rsidRPr="009353E6">
        <w:rPr>
          <w:sz w:val="22"/>
          <w:szCs w:val="22"/>
          <w:lang w:val="pl-PL"/>
        </w:rPr>
        <w:t>Dolegliwości żołądkowe</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skóry i tkanki podskórnej</w:t>
      </w:r>
    </w:p>
    <w:p w:rsidR="0030023C" w:rsidRPr="009353E6" w:rsidRDefault="00350725" w:rsidP="00E72715">
      <w:pPr>
        <w:pStyle w:val="BodyText"/>
        <w:spacing w:line="240" w:lineRule="auto"/>
        <w:ind w:left="4963" w:hanging="4963"/>
        <w:jc w:val="left"/>
        <w:rPr>
          <w:sz w:val="22"/>
          <w:szCs w:val="22"/>
          <w:lang w:val="pl-PL"/>
        </w:rPr>
      </w:pPr>
      <w:r w:rsidRPr="009353E6">
        <w:rPr>
          <w:sz w:val="22"/>
          <w:szCs w:val="22"/>
          <w:lang w:val="pl-PL"/>
        </w:rPr>
        <w:t>Rzadko</w:t>
      </w:r>
      <w:r w:rsidR="0030023C" w:rsidRPr="009353E6">
        <w:rPr>
          <w:sz w:val="22"/>
          <w:szCs w:val="22"/>
          <w:lang w:val="pl-PL"/>
        </w:rPr>
        <w:t>:</w:t>
      </w:r>
      <w:r w:rsidR="0030023C" w:rsidRPr="009353E6">
        <w:rPr>
          <w:sz w:val="22"/>
          <w:szCs w:val="22"/>
          <w:lang w:val="pl-PL"/>
        </w:rPr>
        <w:tab/>
        <w:t xml:space="preserve">Wyprysk, </w:t>
      </w:r>
      <w:r w:rsidR="004D1B3F" w:rsidRPr="009353E6">
        <w:rPr>
          <w:sz w:val="22"/>
          <w:szCs w:val="22"/>
          <w:lang w:val="pl-PL"/>
        </w:rPr>
        <w:t>wykwity skórne, wykwity skórne na podłożu toksycznym</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mięśniowo-szkieletowe i tkanki łącznej</w:t>
      </w:r>
    </w:p>
    <w:p w:rsidR="0030023C" w:rsidRPr="009353E6" w:rsidRDefault="00350725" w:rsidP="00E72715">
      <w:pPr>
        <w:pStyle w:val="BodyText"/>
        <w:spacing w:line="240" w:lineRule="auto"/>
        <w:ind w:left="4963" w:hanging="4963"/>
        <w:jc w:val="left"/>
        <w:rPr>
          <w:sz w:val="22"/>
          <w:szCs w:val="22"/>
          <w:lang w:val="pl-PL"/>
        </w:rPr>
      </w:pPr>
      <w:r w:rsidRPr="009353E6">
        <w:rPr>
          <w:sz w:val="22"/>
          <w:szCs w:val="22"/>
          <w:lang w:val="pl-PL"/>
        </w:rPr>
        <w:t>Rzadko</w:t>
      </w:r>
      <w:r w:rsidR="0030023C" w:rsidRPr="009353E6">
        <w:rPr>
          <w:sz w:val="22"/>
          <w:szCs w:val="22"/>
          <w:lang w:val="pl-PL"/>
        </w:rPr>
        <w:t>:</w:t>
      </w:r>
      <w:r w:rsidR="0030023C" w:rsidRPr="009353E6">
        <w:rPr>
          <w:sz w:val="22"/>
          <w:szCs w:val="22"/>
          <w:lang w:val="pl-PL"/>
        </w:rPr>
        <w:tab/>
        <w:t xml:space="preserve">Choroba zwyrodnieniowa stawów, </w:t>
      </w:r>
      <w:r w:rsidR="004D1B3F" w:rsidRPr="009353E6">
        <w:rPr>
          <w:sz w:val="22"/>
          <w:szCs w:val="22"/>
          <w:lang w:val="pl-PL"/>
        </w:rPr>
        <w:t xml:space="preserve">ból </w:t>
      </w:r>
      <w:r w:rsidR="0030023C" w:rsidRPr="009353E6">
        <w:rPr>
          <w:sz w:val="22"/>
          <w:szCs w:val="22"/>
          <w:lang w:val="pl-PL"/>
        </w:rPr>
        <w:t>ścięgna</w:t>
      </w: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nerek i układu moczowgo</w:t>
      </w:r>
    </w:p>
    <w:p w:rsidR="0030023C" w:rsidRPr="009353E6" w:rsidRDefault="00350725" w:rsidP="00E72715">
      <w:pPr>
        <w:pStyle w:val="BodyText"/>
        <w:spacing w:line="240" w:lineRule="auto"/>
        <w:ind w:left="4963" w:hanging="4963"/>
        <w:jc w:val="left"/>
        <w:rPr>
          <w:sz w:val="22"/>
          <w:szCs w:val="22"/>
          <w:lang w:val="pl-PL"/>
        </w:rPr>
      </w:pPr>
      <w:r w:rsidRPr="009353E6">
        <w:rPr>
          <w:sz w:val="22"/>
          <w:szCs w:val="22"/>
          <w:lang w:val="pl-PL"/>
        </w:rPr>
        <w:t>Niezbyt często</w:t>
      </w:r>
      <w:r w:rsidR="0030023C" w:rsidRPr="009353E6">
        <w:rPr>
          <w:sz w:val="22"/>
          <w:szCs w:val="22"/>
          <w:lang w:val="pl-PL"/>
        </w:rPr>
        <w:t>:</w:t>
      </w:r>
      <w:r w:rsidR="0030023C" w:rsidRPr="009353E6">
        <w:rPr>
          <w:sz w:val="22"/>
          <w:szCs w:val="22"/>
          <w:lang w:val="pl-PL"/>
        </w:rPr>
        <w:tab/>
      </w:r>
      <w:r w:rsidRPr="009353E6">
        <w:rPr>
          <w:sz w:val="22"/>
          <w:szCs w:val="22"/>
          <w:lang w:val="pl-PL"/>
        </w:rPr>
        <w:t>N</w:t>
      </w:r>
      <w:r w:rsidR="0030023C" w:rsidRPr="009353E6">
        <w:rPr>
          <w:sz w:val="22"/>
          <w:szCs w:val="22"/>
          <w:lang w:val="pl-PL"/>
        </w:rPr>
        <w:t>iewydolność nerek (w tym ostra niewydolność nerek)</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ogólne i stany w miejscu podania</w:t>
      </w:r>
    </w:p>
    <w:p w:rsidR="0030023C" w:rsidRPr="009353E6" w:rsidRDefault="006A05F6" w:rsidP="00371E78">
      <w:pPr>
        <w:pStyle w:val="BodyText"/>
        <w:spacing w:line="240" w:lineRule="auto"/>
        <w:jc w:val="left"/>
        <w:rPr>
          <w:sz w:val="22"/>
          <w:szCs w:val="22"/>
          <w:lang w:val="pl-PL"/>
        </w:rPr>
      </w:pPr>
      <w:r w:rsidRPr="009353E6">
        <w:rPr>
          <w:sz w:val="22"/>
          <w:szCs w:val="22"/>
          <w:lang w:val="pl-PL"/>
        </w:rPr>
        <w:t>Niezbyt czę</w:t>
      </w:r>
      <w:r w:rsidR="00350725" w:rsidRPr="009353E6">
        <w:rPr>
          <w:sz w:val="22"/>
          <w:szCs w:val="22"/>
          <w:lang w:val="pl-PL"/>
        </w:rPr>
        <w:t>sto</w:t>
      </w:r>
      <w:r w:rsidR="0030023C" w:rsidRPr="009353E6">
        <w:rPr>
          <w:sz w:val="22"/>
          <w:szCs w:val="22"/>
          <w:lang w:val="pl-PL"/>
        </w:rPr>
        <w:t xml:space="preserve">: </w:t>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E813C1" w:rsidRPr="009353E6">
        <w:rPr>
          <w:sz w:val="22"/>
          <w:szCs w:val="22"/>
          <w:lang w:val="pl-PL"/>
        </w:rPr>
        <w:tab/>
      </w:r>
      <w:r w:rsidR="00E813C1" w:rsidRPr="009353E6">
        <w:rPr>
          <w:sz w:val="22"/>
          <w:szCs w:val="22"/>
          <w:lang w:val="pl-PL"/>
        </w:rPr>
        <w:tab/>
      </w:r>
      <w:r w:rsidR="004D1B3F" w:rsidRPr="009353E6">
        <w:rPr>
          <w:sz w:val="22"/>
          <w:szCs w:val="22"/>
          <w:lang w:val="pl-PL"/>
        </w:rPr>
        <w:t>Osłabieni</w:t>
      </w:r>
      <w:r w:rsidR="00E77514" w:rsidRPr="009353E6">
        <w:rPr>
          <w:sz w:val="22"/>
          <w:szCs w:val="22"/>
          <w:lang w:val="pl-PL"/>
        </w:rPr>
        <w:t xml:space="preserve">e </w:t>
      </w:r>
    </w:p>
    <w:p w:rsidR="00E77514" w:rsidRPr="009353E6" w:rsidRDefault="00E77514" w:rsidP="000D5BED">
      <w:pPr>
        <w:pStyle w:val="BodyText"/>
        <w:spacing w:line="240" w:lineRule="auto"/>
        <w:jc w:val="left"/>
        <w:rPr>
          <w:sz w:val="22"/>
          <w:szCs w:val="22"/>
          <w:lang w:val="pl-PL"/>
        </w:rPr>
      </w:pPr>
    </w:p>
    <w:p w:rsidR="004D1B3F" w:rsidRPr="009353E6" w:rsidRDefault="0030023C" w:rsidP="000D5BED">
      <w:pPr>
        <w:pStyle w:val="BodyText"/>
        <w:spacing w:line="240" w:lineRule="auto"/>
        <w:jc w:val="left"/>
        <w:rPr>
          <w:sz w:val="22"/>
          <w:szCs w:val="22"/>
          <w:lang w:val="pl-PL"/>
        </w:rPr>
      </w:pPr>
      <w:r w:rsidRPr="009353E6">
        <w:rPr>
          <w:sz w:val="22"/>
          <w:szCs w:val="22"/>
          <w:lang w:val="pl-PL"/>
        </w:rPr>
        <w:t xml:space="preserve">Badania </w:t>
      </w:r>
      <w:r w:rsidR="004D1B3F" w:rsidRPr="009353E6">
        <w:rPr>
          <w:sz w:val="22"/>
          <w:szCs w:val="22"/>
          <w:lang w:val="pl-PL"/>
        </w:rPr>
        <w:t>diagnostyczne</w:t>
      </w:r>
    </w:p>
    <w:p w:rsidR="003D10DA" w:rsidRPr="009353E6" w:rsidRDefault="00350725" w:rsidP="000D5BED">
      <w:pPr>
        <w:pStyle w:val="BodyText"/>
        <w:spacing w:line="240" w:lineRule="auto"/>
        <w:jc w:val="left"/>
        <w:rPr>
          <w:sz w:val="22"/>
          <w:szCs w:val="22"/>
          <w:lang w:val="pl-PL"/>
        </w:rPr>
      </w:pPr>
      <w:r w:rsidRPr="009353E6">
        <w:rPr>
          <w:sz w:val="22"/>
          <w:szCs w:val="22"/>
          <w:lang w:val="pl-PL"/>
        </w:rPr>
        <w:t>R</w:t>
      </w:r>
      <w:r w:rsidR="00F708DC" w:rsidRPr="009353E6">
        <w:rPr>
          <w:sz w:val="22"/>
          <w:szCs w:val="22"/>
          <w:lang w:val="pl-PL"/>
        </w:rPr>
        <w:t>zadko</w:t>
      </w:r>
      <w:r w:rsidR="0030023C" w:rsidRPr="009353E6">
        <w:rPr>
          <w:sz w:val="22"/>
          <w:szCs w:val="22"/>
          <w:lang w:val="pl-PL"/>
        </w:rPr>
        <w:t>:</w:t>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30023C" w:rsidRPr="009353E6">
        <w:rPr>
          <w:sz w:val="22"/>
          <w:szCs w:val="22"/>
          <w:lang w:val="pl-PL"/>
        </w:rPr>
        <w:tab/>
      </w:r>
      <w:r w:rsidR="00E813C1" w:rsidRPr="009353E6">
        <w:rPr>
          <w:sz w:val="22"/>
          <w:szCs w:val="22"/>
          <w:lang w:val="pl-PL"/>
        </w:rPr>
        <w:tab/>
      </w:r>
      <w:r w:rsidR="004D1B3F" w:rsidRPr="009353E6">
        <w:rPr>
          <w:sz w:val="22"/>
          <w:szCs w:val="22"/>
          <w:lang w:val="pl-PL"/>
        </w:rPr>
        <w:t xml:space="preserve">Zmniejszenie stężenia </w:t>
      </w:r>
      <w:r w:rsidR="0030023C" w:rsidRPr="009353E6">
        <w:rPr>
          <w:sz w:val="22"/>
          <w:szCs w:val="22"/>
          <w:lang w:val="pl-PL"/>
        </w:rPr>
        <w:t>hemoglobiny</w:t>
      </w:r>
    </w:p>
    <w:p w:rsidR="00350725" w:rsidRPr="009353E6" w:rsidRDefault="00350725" w:rsidP="0047675F">
      <w:pPr>
        <w:rPr>
          <w:sz w:val="22"/>
          <w:szCs w:val="22"/>
          <w:lang w:val="pl-PL"/>
        </w:rPr>
      </w:pPr>
    </w:p>
    <w:p w:rsidR="00B51D63" w:rsidRPr="009353E6" w:rsidRDefault="00CB0C6F" w:rsidP="00B51D63">
      <w:pPr>
        <w:rPr>
          <w:b/>
          <w:sz w:val="22"/>
          <w:szCs w:val="22"/>
          <w:lang w:val="pl-PL"/>
        </w:rPr>
      </w:pPr>
      <w:r w:rsidRPr="009353E6">
        <w:rPr>
          <w:sz w:val="22"/>
          <w:szCs w:val="22"/>
          <w:lang w:val="pl-PL"/>
        </w:rPr>
        <w:t>3</w:t>
      </w:r>
      <w:r w:rsidR="00350725" w:rsidRPr="009353E6">
        <w:rPr>
          <w:sz w:val="22"/>
          <w:szCs w:val="22"/>
          <w:lang w:val="pl-PL"/>
        </w:rPr>
        <w:t xml:space="preserve">:  Bardziej szczegółowe informacje znajdują się w </w:t>
      </w:r>
      <w:r w:rsidR="00B51D63" w:rsidRPr="009353E6">
        <w:rPr>
          <w:sz w:val="22"/>
          <w:szCs w:val="22"/>
          <w:lang w:val="pl-PL"/>
        </w:rPr>
        <w:t>pod</w:t>
      </w:r>
      <w:r w:rsidR="00F710F6" w:rsidRPr="009353E6">
        <w:rPr>
          <w:sz w:val="22"/>
          <w:szCs w:val="22"/>
          <w:lang w:val="pl-PL"/>
        </w:rPr>
        <w:t>punkcie</w:t>
      </w:r>
      <w:r w:rsidR="00350725" w:rsidRPr="009353E6">
        <w:rPr>
          <w:sz w:val="22"/>
          <w:szCs w:val="22"/>
          <w:lang w:val="pl-PL"/>
        </w:rPr>
        <w:t xml:space="preserve"> </w:t>
      </w:r>
      <w:r w:rsidR="00193BCD" w:rsidRPr="009353E6">
        <w:rPr>
          <w:sz w:val="22"/>
          <w:szCs w:val="22"/>
          <w:lang w:val="pl-PL"/>
        </w:rPr>
        <w:t>”</w:t>
      </w:r>
      <w:r w:rsidR="00B51D63" w:rsidRPr="009353E6">
        <w:rPr>
          <w:sz w:val="22"/>
          <w:szCs w:val="22"/>
          <w:lang w:val="pl-PL"/>
        </w:rPr>
        <w:t>Opis wybranych działań niepożądanych</w:t>
      </w:r>
      <w:r w:rsidR="00193BCD" w:rsidRPr="009353E6">
        <w:rPr>
          <w:sz w:val="22"/>
          <w:szCs w:val="22"/>
          <w:lang w:val="pl-PL"/>
        </w:rPr>
        <w:t>”</w:t>
      </w:r>
    </w:p>
    <w:p w:rsidR="004D1B3F" w:rsidRPr="009353E6" w:rsidRDefault="004D1B3F" w:rsidP="0047675F">
      <w:pPr>
        <w:rPr>
          <w:sz w:val="22"/>
          <w:szCs w:val="22"/>
          <w:u w:val="single"/>
          <w:lang w:val="pl-PL"/>
        </w:rPr>
      </w:pPr>
    </w:p>
    <w:p w:rsidR="0030023C" w:rsidRPr="009353E6" w:rsidRDefault="0030023C" w:rsidP="000D5BED">
      <w:pPr>
        <w:pStyle w:val="BodyText"/>
        <w:spacing w:line="240" w:lineRule="auto"/>
        <w:jc w:val="left"/>
        <w:rPr>
          <w:sz w:val="22"/>
          <w:szCs w:val="22"/>
          <w:u w:val="single"/>
          <w:lang w:val="pl-PL"/>
        </w:rPr>
      </w:pPr>
      <w:r w:rsidRPr="009353E6">
        <w:rPr>
          <w:sz w:val="22"/>
          <w:szCs w:val="22"/>
          <w:u w:val="single"/>
          <w:lang w:val="pl-PL"/>
        </w:rPr>
        <w:t>Hydrochlorotiazyd:</w:t>
      </w:r>
    </w:p>
    <w:p w:rsidR="0030023C" w:rsidRPr="009353E6" w:rsidRDefault="0030023C" w:rsidP="000D5BED">
      <w:pPr>
        <w:pStyle w:val="BodyText"/>
        <w:spacing w:line="240" w:lineRule="auto"/>
        <w:jc w:val="left"/>
        <w:rPr>
          <w:sz w:val="22"/>
          <w:szCs w:val="22"/>
          <w:lang w:val="pl-PL"/>
        </w:rPr>
      </w:pPr>
      <w:r w:rsidRPr="009353E6">
        <w:rPr>
          <w:sz w:val="22"/>
          <w:szCs w:val="22"/>
          <w:lang w:val="pl-PL"/>
        </w:rPr>
        <w:t>Hydrochlorotiazyd może spowodować lub nasilić zmniejszenie objętości krwi krążącej, co może prowadzić do zaburzeń elektrolitowych (patrz punkt 4.4).</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Działania niepożądane o nieznanej częstości występowania związane ze stosowaniem samego hydrochlorotiazydu</w:t>
      </w:r>
      <w:r w:rsidR="00E267DC" w:rsidRPr="009353E6">
        <w:rPr>
          <w:sz w:val="22"/>
          <w:szCs w:val="22"/>
          <w:lang w:val="pl-PL"/>
        </w:rPr>
        <w:t>:</w:t>
      </w:r>
      <w:r w:rsidRPr="009353E6">
        <w:rPr>
          <w:sz w:val="22"/>
          <w:szCs w:val="22"/>
          <w:lang w:val="pl-PL"/>
        </w:rPr>
        <w:t xml:space="preserve"> </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Zakażenia i zarażenia pasożytnicze </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Pr="009353E6">
        <w:rPr>
          <w:sz w:val="22"/>
          <w:szCs w:val="22"/>
          <w:lang w:val="pl-PL"/>
        </w:rPr>
        <w:t>Zapalenie ślinianki</w:t>
      </w:r>
    </w:p>
    <w:p w:rsidR="000218F8" w:rsidRPr="009353E6" w:rsidRDefault="000218F8" w:rsidP="000218F8">
      <w:pPr>
        <w:pStyle w:val="BodyText"/>
        <w:spacing w:line="240" w:lineRule="auto"/>
        <w:jc w:val="left"/>
        <w:rPr>
          <w:sz w:val="22"/>
          <w:szCs w:val="22"/>
          <w:lang w:val="pl-PL"/>
        </w:rPr>
      </w:pPr>
    </w:p>
    <w:p w:rsidR="000218F8" w:rsidRPr="009353E6" w:rsidRDefault="000218F8" w:rsidP="000218F8">
      <w:pPr>
        <w:pStyle w:val="BodyText"/>
        <w:keepNext/>
        <w:spacing w:line="240" w:lineRule="auto"/>
        <w:jc w:val="left"/>
        <w:rPr>
          <w:sz w:val="22"/>
          <w:szCs w:val="22"/>
          <w:lang w:val="pl-PL"/>
        </w:rPr>
      </w:pPr>
      <w:r w:rsidRPr="009353E6">
        <w:rPr>
          <w:sz w:val="22"/>
          <w:szCs w:val="22"/>
          <w:lang w:val="pl-PL"/>
        </w:rPr>
        <w:t>Nowotwory łagodne, złośliwe i nieokreślone (w tym torbiele i polipy)</w:t>
      </w:r>
    </w:p>
    <w:p w:rsidR="000218F8" w:rsidRPr="009353E6" w:rsidRDefault="000218F8" w:rsidP="00674B6A">
      <w:pPr>
        <w:pStyle w:val="BodyText"/>
        <w:keepNext/>
        <w:spacing w:line="240" w:lineRule="auto"/>
        <w:ind w:left="4962" w:hanging="4962"/>
        <w:jc w:val="left"/>
        <w:rPr>
          <w:sz w:val="22"/>
          <w:szCs w:val="22"/>
          <w:lang w:val="pl-PL"/>
        </w:rPr>
      </w:pPr>
      <w:r w:rsidRPr="009353E6">
        <w:rPr>
          <w:sz w:val="22"/>
          <w:szCs w:val="22"/>
          <w:lang w:val="pl-PL"/>
        </w:rPr>
        <w:t xml:space="preserve">Częstość </w:t>
      </w:r>
      <w:r w:rsidR="00851D2F" w:rsidRPr="009353E6">
        <w:rPr>
          <w:sz w:val="22"/>
          <w:szCs w:val="22"/>
          <w:lang w:val="pl-PL"/>
        </w:rPr>
        <w:t>nieznana</w:t>
      </w:r>
      <w:r w:rsidR="00070C0F" w:rsidRPr="009353E6">
        <w:rPr>
          <w:sz w:val="22"/>
          <w:szCs w:val="22"/>
          <w:lang w:val="pl-PL"/>
        </w:rPr>
        <w:t>:</w:t>
      </w:r>
      <w:r w:rsidRPr="009353E6">
        <w:rPr>
          <w:sz w:val="22"/>
          <w:szCs w:val="22"/>
          <w:lang w:val="pl-PL"/>
        </w:rPr>
        <w:tab/>
        <w:t>Nieczerniakowe nowotwory złośliwe skóry</w:t>
      </w:r>
      <w:r w:rsidR="00674B6A" w:rsidRPr="009353E6">
        <w:rPr>
          <w:sz w:val="22"/>
          <w:szCs w:val="22"/>
          <w:lang w:val="pl-PL"/>
        </w:rPr>
        <w:t xml:space="preserve"> </w:t>
      </w:r>
      <w:r w:rsidRPr="009353E6">
        <w:rPr>
          <w:sz w:val="22"/>
          <w:szCs w:val="22"/>
          <w:lang w:val="pl-PL"/>
        </w:rPr>
        <w:t>(rak podstawnokomórkowy i rak kolczystokomórkowy skóry)</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krwi i układu chłonnego</w:t>
      </w:r>
      <w:r w:rsidRPr="009353E6">
        <w:rPr>
          <w:sz w:val="22"/>
          <w:szCs w:val="22"/>
          <w:lang w:val="pl-PL"/>
        </w:rPr>
        <w:tab/>
      </w:r>
    </w:p>
    <w:p w:rsidR="002762DA" w:rsidRPr="009353E6" w:rsidRDefault="002762DA" w:rsidP="00E72715">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Małopłytkowość (czasami ze skazą krwotoczną)</w:t>
      </w:r>
    </w:p>
    <w:p w:rsidR="0030023C" w:rsidRPr="009353E6" w:rsidRDefault="0030023C" w:rsidP="00E72715">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Niedokrwistość aplastyczna, niedokrwistość hemolityczna, niewydolność szpiku kostnego, leukopenia, neutropenia, agranulocytoza</w:t>
      </w: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 </w:t>
      </w: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układu immunologicznego</w:t>
      </w:r>
      <w:r w:rsidRPr="009353E6">
        <w:rPr>
          <w:sz w:val="22"/>
          <w:szCs w:val="22"/>
          <w:lang w:val="pl-PL"/>
        </w:rPr>
        <w:tab/>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Pr="009353E6">
        <w:rPr>
          <w:sz w:val="22"/>
          <w:szCs w:val="22"/>
          <w:lang w:val="pl-PL"/>
        </w:rPr>
        <w:t>Reakcje anafilaktyczne, nadwrażliwość</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endokrynologiczne</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Pr="009353E6">
        <w:rPr>
          <w:sz w:val="22"/>
          <w:szCs w:val="22"/>
          <w:lang w:val="pl-PL"/>
        </w:rPr>
        <w:t>Niewłaściwa kontrola cukrzycy</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metabolizmu i odżywiania</w:t>
      </w:r>
      <w:r w:rsidRPr="009353E6">
        <w:rPr>
          <w:sz w:val="22"/>
          <w:szCs w:val="22"/>
          <w:lang w:val="pl-PL"/>
        </w:rPr>
        <w:tab/>
      </w:r>
    </w:p>
    <w:p w:rsidR="002762DA" w:rsidRPr="009353E6" w:rsidRDefault="002762DA" w:rsidP="00E72715">
      <w:pPr>
        <w:pStyle w:val="BodyText"/>
        <w:spacing w:line="240" w:lineRule="auto"/>
        <w:ind w:left="4963" w:hanging="4963"/>
        <w:jc w:val="left"/>
        <w:rPr>
          <w:sz w:val="22"/>
          <w:szCs w:val="22"/>
          <w:lang w:val="pl-PL"/>
        </w:rPr>
      </w:pPr>
      <w:r w:rsidRPr="009353E6">
        <w:rPr>
          <w:sz w:val="22"/>
          <w:szCs w:val="22"/>
          <w:lang w:val="pl-PL"/>
        </w:rPr>
        <w:t>Często:</w:t>
      </w:r>
      <w:r w:rsidRPr="009353E6">
        <w:rPr>
          <w:sz w:val="22"/>
          <w:szCs w:val="22"/>
          <w:lang w:val="pl-PL"/>
        </w:rPr>
        <w:tab/>
      </w:r>
      <w:r w:rsidR="005C3BF8" w:rsidRPr="009353E6">
        <w:rPr>
          <w:sz w:val="22"/>
          <w:szCs w:val="22"/>
          <w:lang w:val="pl-PL"/>
        </w:rPr>
        <w:t>Hipomagnezemia</w:t>
      </w:r>
    </w:p>
    <w:p w:rsidR="002762DA" w:rsidRPr="009353E6" w:rsidRDefault="002762DA" w:rsidP="00E72715">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r>
      <w:r w:rsidR="005C3BF8" w:rsidRPr="009353E6">
        <w:rPr>
          <w:sz w:val="22"/>
          <w:szCs w:val="22"/>
          <w:lang w:val="pl-PL"/>
        </w:rPr>
        <w:t>Hiperkalcemia</w:t>
      </w:r>
    </w:p>
    <w:p w:rsidR="002762DA" w:rsidRPr="009353E6" w:rsidRDefault="002762DA" w:rsidP="00E72715">
      <w:pPr>
        <w:pStyle w:val="BodyText"/>
        <w:spacing w:line="240" w:lineRule="auto"/>
        <w:ind w:left="4963" w:hanging="4963"/>
        <w:jc w:val="left"/>
        <w:rPr>
          <w:sz w:val="22"/>
          <w:szCs w:val="22"/>
          <w:lang w:val="pl-PL"/>
        </w:rPr>
      </w:pPr>
      <w:r w:rsidRPr="009353E6">
        <w:rPr>
          <w:sz w:val="22"/>
          <w:szCs w:val="22"/>
          <w:lang w:val="pl-PL"/>
        </w:rPr>
        <w:t>Bardzo rzadko:</w:t>
      </w:r>
      <w:r w:rsidRPr="009353E6">
        <w:rPr>
          <w:sz w:val="22"/>
          <w:szCs w:val="22"/>
          <w:lang w:val="pl-PL"/>
        </w:rPr>
        <w:tab/>
      </w:r>
      <w:r w:rsidR="005C3BF8" w:rsidRPr="009353E6">
        <w:rPr>
          <w:sz w:val="22"/>
          <w:szCs w:val="22"/>
          <w:lang w:val="pl-PL"/>
        </w:rPr>
        <w:t>Alkaloza hipochloremiczna</w:t>
      </w:r>
    </w:p>
    <w:p w:rsidR="00252870" w:rsidRPr="009353E6" w:rsidRDefault="0030023C" w:rsidP="00E72715">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 xml:space="preserve">Jadłowstręt, </w:t>
      </w:r>
      <w:r w:rsidR="004D1B3F" w:rsidRPr="009353E6">
        <w:rPr>
          <w:sz w:val="22"/>
          <w:szCs w:val="22"/>
          <w:lang w:val="pl-PL"/>
        </w:rPr>
        <w:t xml:space="preserve">zmniejszony </w:t>
      </w:r>
      <w:r w:rsidRPr="009353E6">
        <w:rPr>
          <w:sz w:val="22"/>
          <w:szCs w:val="22"/>
          <w:lang w:val="pl-PL"/>
        </w:rPr>
        <w:t>apetyt, zaburzenia równowagi elektrolitowej, hipercholesterolemia, hiperglikemia, hipowolemia</w:t>
      </w:r>
    </w:p>
    <w:p w:rsidR="0030023C" w:rsidRPr="009353E6" w:rsidRDefault="0030023C" w:rsidP="00252870">
      <w:pPr>
        <w:pStyle w:val="BodyText"/>
        <w:spacing w:line="240" w:lineRule="auto"/>
        <w:ind w:left="4963" w:hanging="4963"/>
        <w:jc w:val="left"/>
        <w:rPr>
          <w:sz w:val="22"/>
          <w:szCs w:val="22"/>
          <w:lang w:val="pl-PL"/>
        </w:rPr>
      </w:pPr>
    </w:p>
    <w:p w:rsidR="0030023C" w:rsidRPr="009353E6" w:rsidRDefault="0030023C" w:rsidP="004A0B9E">
      <w:pPr>
        <w:pStyle w:val="BodyText"/>
        <w:keepNext/>
        <w:spacing w:line="240" w:lineRule="auto"/>
        <w:jc w:val="left"/>
        <w:rPr>
          <w:sz w:val="22"/>
          <w:szCs w:val="22"/>
          <w:lang w:val="pl-PL"/>
        </w:rPr>
      </w:pPr>
      <w:r w:rsidRPr="009353E6">
        <w:rPr>
          <w:sz w:val="22"/>
          <w:szCs w:val="22"/>
          <w:lang w:val="pl-PL"/>
        </w:rPr>
        <w:t>Zaburzenia psychiczne</w:t>
      </w:r>
      <w:r w:rsidRPr="009353E6">
        <w:rPr>
          <w:sz w:val="22"/>
          <w:szCs w:val="22"/>
          <w:lang w:val="pl-PL"/>
        </w:rPr>
        <w:tab/>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Pr="009353E6">
        <w:rPr>
          <w:sz w:val="22"/>
          <w:szCs w:val="22"/>
          <w:lang w:val="pl-PL"/>
        </w:rPr>
        <w:t>Niepokój</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układu nerwowego</w:t>
      </w:r>
      <w:r w:rsidRPr="009353E6">
        <w:rPr>
          <w:sz w:val="22"/>
          <w:szCs w:val="22"/>
          <w:lang w:val="pl-PL"/>
        </w:rPr>
        <w:tab/>
      </w:r>
    </w:p>
    <w:p w:rsidR="00B37004" w:rsidRPr="009353E6" w:rsidRDefault="00B37004"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Ból głowy</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380F86" w:rsidRPr="009353E6">
        <w:rPr>
          <w:sz w:val="22"/>
          <w:szCs w:val="22"/>
          <w:lang w:val="pl-PL"/>
        </w:rPr>
        <w:t>Zawroty głowy</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oka</w:t>
      </w:r>
      <w:r w:rsidRPr="009353E6">
        <w:rPr>
          <w:sz w:val="22"/>
          <w:szCs w:val="22"/>
          <w:lang w:val="pl-PL"/>
        </w:rPr>
        <w:tab/>
      </w:r>
    </w:p>
    <w:p w:rsidR="0030023C" w:rsidRPr="009353E6" w:rsidRDefault="0030023C" w:rsidP="006C0287">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Widzenie na żółto</w:t>
      </w:r>
      <w:r w:rsidR="006C0287" w:rsidRPr="009353E6">
        <w:rPr>
          <w:sz w:val="22"/>
          <w:szCs w:val="22"/>
          <w:lang w:val="pl-PL"/>
        </w:rPr>
        <w:t xml:space="preserve">, </w:t>
      </w:r>
      <w:r w:rsidR="00A50023" w:rsidRPr="009353E6">
        <w:rPr>
          <w:sz w:val="22"/>
          <w:szCs w:val="22"/>
          <w:lang w:val="pl-PL"/>
        </w:rPr>
        <w:t xml:space="preserve">ostra krótkowzroczność, </w:t>
      </w:r>
      <w:r w:rsidR="003A5066" w:rsidRPr="009353E6">
        <w:rPr>
          <w:sz w:val="22"/>
          <w:szCs w:val="22"/>
          <w:lang w:val="pl-PL"/>
        </w:rPr>
        <w:t>o</w:t>
      </w:r>
      <w:r w:rsidR="006C0287" w:rsidRPr="009353E6">
        <w:rPr>
          <w:sz w:val="22"/>
          <w:szCs w:val="22"/>
          <w:lang w:val="pl-PL"/>
        </w:rPr>
        <w:t xml:space="preserve">stra jaskra </w:t>
      </w:r>
      <w:r w:rsidR="00836E05" w:rsidRPr="009353E6">
        <w:rPr>
          <w:sz w:val="22"/>
          <w:szCs w:val="22"/>
          <w:lang w:val="pl-PL"/>
        </w:rPr>
        <w:t xml:space="preserve">z zamkniętym </w:t>
      </w:r>
      <w:r w:rsidR="006C0287" w:rsidRPr="009353E6">
        <w:rPr>
          <w:sz w:val="22"/>
          <w:szCs w:val="22"/>
          <w:lang w:val="pl-PL"/>
        </w:rPr>
        <w:t>kąt</w:t>
      </w:r>
      <w:r w:rsidR="00836E05" w:rsidRPr="009353E6">
        <w:rPr>
          <w:sz w:val="22"/>
          <w:szCs w:val="22"/>
          <w:lang w:val="pl-PL"/>
        </w:rPr>
        <w:t>em przesączania</w:t>
      </w:r>
      <w:r w:rsidR="00A42C88" w:rsidRPr="009353E6">
        <w:rPr>
          <w:sz w:val="22"/>
          <w:szCs w:val="22"/>
          <w:lang w:val="pl-PL"/>
        </w:rPr>
        <w:t>, nadmierne nagromadzenie płynu między naczyniówką a twardówką</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 xml:space="preserve">Zaburzenia </w:t>
      </w:r>
      <w:r w:rsidR="00350725" w:rsidRPr="009353E6">
        <w:rPr>
          <w:sz w:val="22"/>
          <w:szCs w:val="22"/>
          <w:lang w:val="pl-PL"/>
        </w:rPr>
        <w:t>naczyniowe</w:t>
      </w:r>
      <w:r w:rsidRPr="009353E6">
        <w:rPr>
          <w:sz w:val="22"/>
          <w:szCs w:val="22"/>
          <w:lang w:val="pl-PL"/>
        </w:rPr>
        <w:tab/>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Pr="009353E6">
        <w:rPr>
          <w:sz w:val="22"/>
          <w:szCs w:val="22"/>
          <w:lang w:val="pl-PL"/>
        </w:rPr>
        <w:t>Martwic</w:t>
      </w:r>
      <w:r w:rsidR="004D1B3F" w:rsidRPr="009353E6">
        <w:rPr>
          <w:sz w:val="22"/>
          <w:szCs w:val="22"/>
          <w:lang w:val="pl-PL"/>
        </w:rPr>
        <w:t xml:space="preserve">ze zapalenie </w:t>
      </w:r>
      <w:r w:rsidRPr="009353E6">
        <w:rPr>
          <w:sz w:val="22"/>
          <w:szCs w:val="22"/>
          <w:lang w:val="pl-PL"/>
        </w:rPr>
        <w:t>naczyń</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żołądka i jelit</w:t>
      </w:r>
      <w:r w:rsidRPr="009353E6">
        <w:rPr>
          <w:sz w:val="22"/>
          <w:szCs w:val="22"/>
          <w:lang w:val="pl-PL"/>
        </w:rPr>
        <w:tab/>
      </w:r>
    </w:p>
    <w:p w:rsidR="00B37004" w:rsidRPr="009353E6" w:rsidRDefault="00B37004" w:rsidP="000D5BED">
      <w:pPr>
        <w:pStyle w:val="BodyText"/>
        <w:spacing w:line="240" w:lineRule="auto"/>
        <w:jc w:val="left"/>
        <w:rPr>
          <w:sz w:val="22"/>
          <w:szCs w:val="22"/>
          <w:lang w:val="pl-PL"/>
        </w:rPr>
      </w:pPr>
      <w:r w:rsidRPr="009353E6">
        <w:rPr>
          <w:sz w:val="22"/>
          <w:szCs w:val="22"/>
          <w:lang w:val="pl-PL"/>
        </w:rPr>
        <w:t>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Nudności</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B37004" w:rsidRPr="009353E6">
        <w:rPr>
          <w:sz w:val="22"/>
          <w:szCs w:val="22"/>
          <w:lang w:val="pl-PL"/>
        </w:rPr>
        <w:t>Z</w:t>
      </w:r>
      <w:r w:rsidRPr="009353E6">
        <w:rPr>
          <w:sz w:val="22"/>
          <w:szCs w:val="22"/>
          <w:lang w:val="pl-PL"/>
        </w:rPr>
        <w:t xml:space="preserve">apalenie trzustki, ból brzucha </w:t>
      </w:r>
    </w:p>
    <w:p w:rsidR="0030023C" w:rsidRPr="009353E6" w:rsidRDefault="0030023C" w:rsidP="000D5BED">
      <w:pPr>
        <w:pStyle w:val="BodyText"/>
        <w:spacing w:line="240" w:lineRule="auto"/>
        <w:jc w:val="left"/>
        <w:rPr>
          <w:sz w:val="22"/>
          <w:szCs w:val="22"/>
          <w:lang w:val="pl-PL"/>
        </w:rPr>
      </w:pPr>
    </w:p>
    <w:p w:rsidR="00E72715" w:rsidRPr="009353E6" w:rsidRDefault="0030023C" w:rsidP="000D5BED">
      <w:pPr>
        <w:pStyle w:val="BodyText"/>
        <w:spacing w:line="240" w:lineRule="auto"/>
        <w:jc w:val="left"/>
        <w:rPr>
          <w:sz w:val="22"/>
          <w:szCs w:val="22"/>
          <w:lang w:val="pl-PL"/>
        </w:rPr>
      </w:pPr>
      <w:r w:rsidRPr="009353E6">
        <w:rPr>
          <w:sz w:val="22"/>
          <w:szCs w:val="22"/>
          <w:lang w:val="pl-PL"/>
        </w:rPr>
        <w:t>Zaburzenia wątroby i dróg żółciowych</w:t>
      </w:r>
      <w:r w:rsidRPr="009353E6">
        <w:rPr>
          <w:sz w:val="22"/>
          <w:szCs w:val="22"/>
          <w:lang w:val="pl-PL"/>
        </w:rPr>
        <w:tab/>
      </w:r>
    </w:p>
    <w:p w:rsidR="0030023C" w:rsidRPr="009353E6" w:rsidRDefault="00E72715" w:rsidP="00CB0C6F">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r>
      <w:r w:rsidR="0030023C" w:rsidRPr="009353E6">
        <w:rPr>
          <w:sz w:val="22"/>
          <w:szCs w:val="22"/>
          <w:lang w:val="pl-PL"/>
        </w:rPr>
        <w:t>Żółtaczka miąższowa, żółtaczka cholestatyczna</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skóry i tkanki podskórnej</w:t>
      </w:r>
      <w:r w:rsidRPr="009353E6">
        <w:rPr>
          <w:sz w:val="22"/>
          <w:szCs w:val="22"/>
          <w:lang w:val="pl-PL"/>
        </w:rPr>
        <w:tab/>
      </w:r>
    </w:p>
    <w:p w:rsidR="0030023C" w:rsidRPr="009353E6" w:rsidRDefault="0030023C" w:rsidP="00E72715">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 xml:space="preserve">Zespół toczniopodobny, </w:t>
      </w:r>
      <w:r w:rsidR="004D1B3F" w:rsidRPr="009353E6">
        <w:rPr>
          <w:sz w:val="22"/>
          <w:szCs w:val="22"/>
          <w:lang w:val="pl-PL"/>
        </w:rPr>
        <w:t>reakcje n</w:t>
      </w:r>
      <w:r w:rsidRPr="009353E6">
        <w:rPr>
          <w:sz w:val="22"/>
          <w:szCs w:val="22"/>
          <w:lang w:val="pl-PL"/>
        </w:rPr>
        <w:t>adwrażliwoś</w:t>
      </w:r>
      <w:r w:rsidR="004D1B3F" w:rsidRPr="009353E6">
        <w:rPr>
          <w:sz w:val="22"/>
          <w:szCs w:val="22"/>
          <w:lang w:val="pl-PL"/>
        </w:rPr>
        <w:t>ci</w:t>
      </w:r>
      <w:r w:rsidRPr="009353E6">
        <w:rPr>
          <w:sz w:val="22"/>
          <w:szCs w:val="22"/>
          <w:lang w:val="pl-PL"/>
        </w:rPr>
        <w:t xml:space="preserve"> na światło, zapalenie naczyń skóry, </w:t>
      </w:r>
      <w:r w:rsidR="004D1B3F" w:rsidRPr="009353E6">
        <w:rPr>
          <w:sz w:val="22"/>
          <w:szCs w:val="22"/>
          <w:lang w:val="pl-PL"/>
        </w:rPr>
        <w:t xml:space="preserve">toksyczne </w:t>
      </w:r>
      <w:r w:rsidRPr="009353E6">
        <w:rPr>
          <w:sz w:val="22"/>
          <w:szCs w:val="22"/>
          <w:lang w:val="pl-PL"/>
        </w:rPr>
        <w:t>martwic</w:t>
      </w:r>
      <w:r w:rsidR="004D1B3F" w:rsidRPr="009353E6">
        <w:rPr>
          <w:sz w:val="22"/>
          <w:szCs w:val="22"/>
          <w:lang w:val="pl-PL"/>
        </w:rPr>
        <w:t>ze oddzielanie się naskórka</w:t>
      </w:r>
      <w:r w:rsidR="00642ABC" w:rsidRPr="009353E6">
        <w:rPr>
          <w:sz w:val="22"/>
          <w:szCs w:val="22"/>
          <w:lang w:val="pl-PL"/>
        </w:rPr>
        <w:t>,</w:t>
      </w:r>
      <w:r w:rsidR="004D1B3F" w:rsidRPr="009353E6">
        <w:rPr>
          <w:sz w:val="22"/>
          <w:szCs w:val="22"/>
          <w:lang w:val="pl-PL"/>
        </w:rPr>
        <w:t xml:space="preserve"> </w:t>
      </w:r>
      <w:r w:rsidR="00642ABC" w:rsidRPr="009353E6">
        <w:rPr>
          <w:sz w:val="22"/>
          <w:szCs w:val="22"/>
          <w:lang w:val="pl-PL"/>
        </w:rPr>
        <w:t>rumień wielopostaciowy</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mięśniowo-szkieletowe i tkanki łącznej</w:t>
      </w:r>
      <w:r w:rsidRPr="009353E6">
        <w:rPr>
          <w:sz w:val="22"/>
          <w:szCs w:val="22"/>
          <w:lang w:val="pl-PL"/>
        </w:rPr>
        <w:tab/>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Osłabienie</w:t>
      </w:r>
    </w:p>
    <w:p w:rsidR="0030023C" w:rsidRPr="009353E6" w:rsidRDefault="0030023C" w:rsidP="000D5BED">
      <w:pPr>
        <w:pStyle w:val="BodyText"/>
        <w:spacing w:line="240" w:lineRule="auto"/>
        <w:jc w:val="left"/>
        <w:rPr>
          <w:sz w:val="22"/>
          <w:szCs w:val="22"/>
          <w:lang w:val="pl-PL"/>
        </w:rPr>
      </w:pPr>
    </w:p>
    <w:p w:rsidR="0030023C" w:rsidRPr="009353E6" w:rsidRDefault="0030023C" w:rsidP="000D5BED">
      <w:pPr>
        <w:pStyle w:val="BodyText"/>
        <w:spacing w:line="240" w:lineRule="auto"/>
        <w:jc w:val="left"/>
        <w:rPr>
          <w:sz w:val="22"/>
          <w:szCs w:val="22"/>
          <w:lang w:val="pl-PL"/>
        </w:rPr>
      </w:pPr>
      <w:r w:rsidRPr="009353E6">
        <w:rPr>
          <w:sz w:val="22"/>
          <w:szCs w:val="22"/>
          <w:lang w:val="pl-PL"/>
        </w:rPr>
        <w:t>Zaburzenia nerek i dróg moczowych</w:t>
      </w:r>
      <w:r w:rsidRPr="009353E6">
        <w:rPr>
          <w:sz w:val="22"/>
          <w:szCs w:val="22"/>
          <w:lang w:val="pl-PL"/>
        </w:rPr>
        <w:tab/>
      </w:r>
    </w:p>
    <w:p w:rsidR="0030023C" w:rsidRPr="009353E6" w:rsidRDefault="0030023C" w:rsidP="00E72715">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r>
      <w:r w:rsidR="004D1B3F" w:rsidRPr="009353E6">
        <w:rPr>
          <w:sz w:val="22"/>
          <w:szCs w:val="22"/>
          <w:lang w:val="pl-PL"/>
        </w:rPr>
        <w:t>Ś</w:t>
      </w:r>
      <w:r w:rsidRPr="009353E6">
        <w:rPr>
          <w:sz w:val="22"/>
          <w:szCs w:val="22"/>
          <w:lang w:val="pl-PL"/>
        </w:rPr>
        <w:t xml:space="preserve">ródmiąższowe </w:t>
      </w:r>
      <w:r w:rsidR="004D1B3F" w:rsidRPr="009353E6">
        <w:rPr>
          <w:sz w:val="22"/>
          <w:szCs w:val="22"/>
          <w:lang w:val="pl-PL"/>
        </w:rPr>
        <w:t xml:space="preserve">zapalenie </w:t>
      </w:r>
      <w:r w:rsidRPr="009353E6">
        <w:rPr>
          <w:sz w:val="22"/>
          <w:szCs w:val="22"/>
          <w:lang w:val="pl-PL"/>
        </w:rPr>
        <w:t>nerek, zaburzenie czynności nerek, cukromocz</w:t>
      </w:r>
    </w:p>
    <w:p w:rsidR="0030023C" w:rsidRPr="009353E6" w:rsidRDefault="0030023C" w:rsidP="000D5BED">
      <w:pPr>
        <w:pStyle w:val="BodyText"/>
        <w:spacing w:line="240" w:lineRule="auto"/>
        <w:jc w:val="left"/>
        <w:rPr>
          <w:sz w:val="22"/>
          <w:szCs w:val="22"/>
          <w:lang w:val="pl-PL"/>
        </w:rPr>
      </w:pPr>
    </w:p>
    <w:p w:rsidR="0030023C" w:rsidRPr="009353E6" w:rsidRDefault="0030023C" w:rsidP="001159E1">
      <w:pPr>
        <w:pStyle w:val="BodyText"/>
        <w:keepNext/>
        <w:spacing w:line="240" w:lineRule="auto"/>
        <w:jc w:val="left"/>
        <w:rPr>
          <w:sz w:val="22"/>
          <w:szCs w:val="22"/>
          <w:lang w:val="pl-PL"/>
        </w:rPr>
      </w:pPr>
      <w:r w:rsidRPr="009353E6">
        <w:rPr>
          <w:sz w:val="22"/>
          <w:szCs w:val="22"/>
          <w:lang w:val="pl-PL"/>
        </w:rPr>
        <w:t>Zaburzenia ogólne i stany w miejscu podania</w:t>
      </w:r>
      <w:r w:rsidRPr="009353E6">
        <w:rPr>
          <w:sz w:val="22"/>
          <w:szCs w:val="22"/>
          <w:lang w:val="pl-PL"/>
        </w:rPr>
        <w:tab/>
      </w:r>
    </w:p>
    <w:p w:rsidR="0030023C" w:rsidRPr="009353E6" w:rsidRDefault="0030023C" w:rsidP="001159E1">
      <w:pPr>
        <w:pStyle w:val="BodyText"/>
        <w:keepN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Pr="009353E6">
        <w:rPr>
          <w:sz w:val="22"/>
          <w:szCs w:val="22"/>
          <w:lang w:val="pl-PL"/>
        </w:rPr>
        <w:t>Gorączka</w:t>
      </w:r>
    </w:p>
    <w:p w:rsidR="0030023C" w:rsidRPr="009353E6" w:rsidRDefault="0030023C" w:rsidP="000D5BED">
      <w:pPr>
        <w:pStyle w:val="BodyText"/>
        <w:spacing w:line="240" w:lineRule="auto"/>
        <w:jc w:val="left"/>
        <w:rPr>
          <w:sz w:val="22"/>
          <w:szCs w:val="22"/>
          <w:lang w:val="pl-PL"/>
        </w:rPr>
      </w:pPr>
    </w:p>
    <w:p w:rsidR="004D1B3F" w:rsidRPr="009353E6" w:rsidRDefault="0030023C" w:rsidP="000D5BED">
      <w:pPr>
        <w:pStyle w:val="BodyText"/>
        <w:spacing w:line="240" w:lineRule="auto"/>
        <w:jc w:val="left"/>
        <w:rPr>
          <w:sz w:val="22"/>
          <w:szCs w:val="22"/>
          <w:lang w:val="pl-PL"/>
        </w:rPr>
      </w:pPr>
      <w:r w:rsidRPr="009353E6">
        <w:rPr>
          <w:sz w:val="22"/>
          <w:szCs w:val="22"/>
          <w:lang w:val="pl-PL"/>
        </w:rPr>
        <w:t>Badania</w:t>
      </w:r>
      <w:r w:rsidR="004D1B3F" w:rsidRPr="009353E6">
        <w:rPr>
          <w:sz w:val="22"/>
          <w:szCs w:val="22"/>
          <w:lang w:val="pl-PL"/>
        </w:rPr>
        <w:t xml:space="preserve"> diagnostyczne</w:t>
      </w:r>
    </w:p>
    <w:p w:rsidR="0030023C" w:rsidRPr="009353E6" w:rsidRDefault="0030023C"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E72715" w:rsidRPr="009353E6">
        <w:rPr>
          <w:sz w:val="22"/>
          <w:szCs w:val="22"/>
          <w:lang w:val="pl-PL"/>
        </w:rPr>
        <w:tab/>
      </w:r>
      <w:r w:rsidR="004D1B3F" w:rsidRPr="009353E6">
        <w:rPr>
          <w:sz w:val="22"/>
          <w:szCs w:val="22"/>
          <w:lang w:val="pl-PL"/>
        </w:rPr>
        <w:t xml:space="preserve">Zwiększenie stężenia </w:t>
      </w:r>
      <w:r w:rsidRPr="009353E6">
        <w:rPr>
          <w:sz w:val="22"/>
          <w:szCs w:val="22"/>
          <w:lang w:val="pl-PL"/>
        </w:rPr>
        <w:t>tr</w:t>
      </w:r>
      <w:r w:rsidR="001B3D91" w:rsidRPr="009353E6">
        <w:rPr>
          <w:sz w:val="22"/>
          <w:szCs w:val="22"/>
          <w:lang w:val="pl-PL"/>
        </w:rPr>
        <w:t>i</w:t>
      </w:r>
      <w:r w:rsidRPr="009353E6">
        <w:rPr>
          <w:sz w:val="22"/>
          <w:szCs w:val="22"/>
          <w:lang w:val="pl-PL"/>
        </w:rPr>
        <w:t>glicerydów</w:t>
      </w:r>
    </w:p>
    <w:bookmarkEnd w:id="1"/>
    <w:p w:rsidR="002D3E1A" w:rsidRPr="009353E6" w:rsidRDefault="002D3E1A" w:rsidP="000D5BED">
      <w:pPr>
        <w:pStyle w:val="BodyText"/>
        <w:spacing w:line="240" w:lineRule="auto"/>
        <w:jc w:val="left"/>
        <w:rPr>
          <w:sz w:val="22"/>
          <w:szCs w:val="22"/>
          <w:lang w:val="pl-PL"/>
        </w:rPr>
      </w:pPr>
    </w:p>
    <w:p w:rsidR="00C84E84" w:rsidRPr="009353E6" w:rsidRDefault="00C84E84" w:rsidP="000D5BED">
      <w:pPr>
        <w:pStyle w:val="BodyText"/>
        <w:spacing w:line="240" w:lineRule="auto"/>
        <w:jc w:val="left"/>
        <w:rPr>
          <w:sz w:val="22"/>
          <w:szCs w:val="22"/>
          <w:lang w:val="pl-PL"/>
        </w:rPr>
      </w:pPr>
    </w:p>
    <w:p w:rsidR="00C84E84" w:rsidRPr="009353E6" w:rsidRDefault="00C84E84" w:rsidP="00C84E84">
      <w:pPr>
        <w:rPr>
          <w:sz w:val="22"/>
          <w:szCs w:val="22"/>
          <w:u w:val="single"/>
          <w:lang w:val="pl-PL"/>
        </w:rPr>
      </w:pPr>
      <w:r w:rsidRPr="009353E6">
        <w:rPr>
          <w:sz w:val="22"/>
          <w:szCs w:val="22"/>
          <w:u w:val="single"/>
          <w:lang w:val="pl-PL"/>
        </w:rPr>
        <w:t>Opis wybranych działań niepożądanych</w:t>
      </w:r>
    </w:p>
    <w:p w:rsidR="00C84E84" w:rsidRPr="009353E6" w:rsidRDefault="00C84E84" w:rsidP="00C84E84">
      <w:pPr>
        <w:rPr>
          <w:b/>
          <w:i/>
          <w:sz w:val="22"/>
          <w:szCs w:val="22"/>
          <w:lang w:val="pl-PL"/>
        </w:rPr>
      </w:pPr>
    </w:p>
    <w:p w:rsidR="00C84E84" w:rsidRPr="009353E6" w:rsidRDefault="00C84E84" w:rsidP="005612DD">
      <w:pPr>
        <w:ind w:left="360" w:hanging="360"/>
        <w:rPr>
          <w:sz w:val="22"/>
          <w:szCs w:val="22"/>
          <w:u w:val="single"/>
          <w:lang w:val="pl-PL"/>
        </w:rPr>
      </w:pPr>
      <w:r w:rsidRPr="009353E6">
        <w:rPr>
          <w:sz w:val="22"/>
          <w:szCs w:val="22"/>
          <w:u w:val="single"/>
          <w:lang w:val="pl-PL"/>
        </w:rPr>
        <w:t xml:space="preserve">Nieprawidłowa czynność wątroby/zaburzenia </w:t>
      </w:r>
      <w:r w:rsidR="00CD425D" w:rsidRPr="009353E6">
        <w:rPr>
          <w:sz w:val="22"/>
          <w:szCs w:val="22"/>
          <w:u w:val="single"/>
          <w:lang w:val="pl-PL"/>
        </w:rPr>
        <w:t xml:space="preserve">czynności </w:t>
      </w:r>
      <w:r w:rsidRPr="009353E6">
        <w:rPr>
          <w:sz w:val="22"/>
          <w:szCs w:val="22"/>
          <w:u w:val="single"/>
          <w:lang w:val="pl-PL"/>
        </w:rPr>
        <w:t>wątroby</w:t>
      </w:r>
    </w:p>
    <w:p w:rsidR="00F710F6" w:rsidRPr="009353E6" w:rsidRDefault="00C84E84" w:rsidP="00C84E84">
      <w:pPr>
        <w:rPr>
          <w:sz w:val="22"/>
          <w:szCs w:val="22"/>
          <w:lang w:val="pl-PL"/>
        </w:rPr>
      </w:pPr>
      <w:r w:rsidRPr="009353E6">
        <w:rPr>
          <w:sz w:val="22"/>
          <w:szCs w:val="22"/>
          <w:lang w:val="pl-PL"/>
        </w:rPr>
        <w:t xml:space="preserve">Większość przypadków nieprawidłowej czynności wątroby/zaburzeń </w:t>
      </w:r>
      <w:r w:rsidR="00E43C31" w:rsidRPr="009353E6">
        <w:rPr>
          <w:sz w:val="22"/>
          <w:szCs w:val="22"/>
          <w:lang w:val="pl-PL"/>
        </w:rPr>
        <w:t xml:space="preserve">czynności </w:t>
      </w:r>
      <w:r w:rsidRPr="009353E6">
        <w:rPr>
          <w:sz w:val="22"/>
          <w:szCs w:val="22"/>
          <w:lang w:val="pl-PL"/>
        </w:rPr>
        <w:t xml:space="preserve">wątroby zgłoszonych w okresie po wprowadzeniu </w:t>
      </w:r>
      <w:r w:rsidR="00E43C31" w:rsidRPr="009353E6">
        <w:rPr>
          <w:sz w:val="22"/>
          <w:szCs w:val="22"/>
          <w:lang w:val="pl-PL"/>
        </w:rPr>
        <w:t>produktu</w:t>
      </w:r>
      <w:r w:rsidRPr="009353E6">
        <w:rPr>
          <w:sz w:val="22"/>
          <w:szCs w:val="22"/>
          <w:lang w:val="pl-PL"/>
        </w:rPr>
        <w:t xml:space="preserve"> </w:t>
      </w:r>
      <w:r w:rsidR="00F710F6" w:rsidRPr="009353E6">
        <w:rPr>
          <w:sz w:val="22"/>
          <w:szCs w:val="22"/>
          <w:lang w:val="pl-PL"/>
        </w:rPr>
        <w:t>do obrotu</w:t>
      </w:r>
      <w:r w:rsidRPr="009353E6">
        <w:rPr>
          <w:sz w:val="22"/>
          <w:szCs w:val="22"/>
          <w:lang w:val="pl-PL"/>
        </w:rPr>
        <w:t xml:space="preserve"> wystąpiła u pacjentów z Japonii. </w:t>
      </w:r>
    </w:p>
    <w:p w:rsidR="00C84E84" w:rsidRPr="009353E6" w:rsidRDefault="00C84E84" w:rsidP="00C84E84">
      <w:pPr>
        <w:rPr>
          <w:sz w:val="22"/>
          <w:szCs w:val="22"/>
          <w:lang w:val="pl-PL"/>
        </w:rPr>
      </w:pPr>
      <w:r w:rsidRPr="009353E6">
        <w:rPr>
          <w:sz w:val="22"/>
          <w:szCs w:val="22"/>
          <w:lang w:val="pl-PL"/>
        </w:rPr>
        <w:t>U Japończyków istnieje większe prawdopodobieństwo wystąpienia tych działań niepożądanych.</w:t>
      </w:r>
    </w:p>
    <w:p w:rsidR="00C84E84" w:rsidRPr="009353E6" w:rsidRDefault="00C84E84" w:rsidP="00C84E84">
      <w:pPr>
        <w:rPr>
          <w:sz w:val="22"/>
          <w:szCs w:val="22"/>
          <w:lang w:val="pl-PL"/>
        </w:rPr>
      </w:pPr>
    </w:p>
    <w:p w:rsidR="00C84E84" w:rsidRPr="009353E6" w:rsidRDefault="00C84E84" w:rsidP="00E40CF2">
      <w:pPr>
        <w:keepNext/>
        <w:tabs>
          <w:tab w:val="num" w:pos="360"/>
        </w:tabs>
        <w:rPr>
          <w:sz w:val="22"/>
          <w:szCs w:val="22"/>
          <w:u w:val="single"/>
          <w:lang w:val="pl-PL"/>
        </w:rPr>
      </w:pPr>
      <w:r w:rsidRPr="009353E6">
        <w:rPr>
          <w:sz w:val="22"/>
          <w:szCs w:val="22"/>
          <w:u w:val="single"/>
          <w:lang w:val="pl-PL"/>
        </w:rPr>
        <w:t>Posocznica</w:t>
      </w:r>
    </w:p>
    <w:p w:rsidR="00C84E84" w:rsidRPr="009353E6" w:rsidRDefault="00C84E84" w:rsidP="00E40CF2">
      <w:pPr>
        <w:keepNext/>
        <w:rPr>
          <w:sz w:val="22"/>
          <w:szCs w:val="22"/>
          <w:lang w:val="pl-PL"/>
        </w:rPr>
      </w:pPr>
      <w:r w:rsidRPr="009353E6">
        <w:rPr>
          <w:sz w:val="22"/>
          <w:szCs w:val="22"/>
          <w:lang w:val="pl-PL"/>
        </w:rPr>
        <w:t>W badaniu PRoFESS u pacjentów przyjmujących telmisartan zaobserwowano większą częstość występowania posocznicy w porównaniu do grupy placebo. Zjawisko to może być przypadkowe lub związane z mechanizmem, który nie został jeszcze poznany (patrz p</w:t>
      </w:r>
      <w:r w:rsidR="00633C7C" w:rsidRPr="009353E6">
        <w:rPr>
          <w:sz w:val="22"/>
          <w:szCs w:val="22"/>
          <w:lang w:val="pl-PL"/>
        </w:rPr>
        <w:t>un</w:t>
      </w:r>
      <w:r w:rsidRPr="009353E6">
        <w:rPr>
          <w:sz w:val="22"/>
          <w:szCs w:val="22"/>
          <w:lang w:val="pl-PL"/>
        </w:rPr>
        <w:t>kt 5.1).</w:t>
      </w:r>
    </w:p>
    <w:p w:rsidR="00B51D63" w:rsidRPr="009353E6" w:rsidRDefault="00B51D63" w:rsidP="00B51D63">
      <w:pPr>
        <w:rPr>
          <w:sz w:val="22"/>
          <w:szCs w:val="22"/>
          <w:u w:val="single"/>
          <w:lang w:val="pl-PL"/>
        </w:rPr>
      </w:pPr>
    </w:p>
    <w:p w:rsidR="00B51D63" w:rsidRPr="009353E6" w:rsidRDefault="00B51D63" w:rsidP="004A0B9E">
      <w:pPr>
        <w:keepNext/>
        <w:rPr>
          <w:sz w:val="22"/>
          <w:szCs w:val="22"/>
          <w:u w:val="single"/>
          <w:lang w:val="pl-PL"/>
        </w:rPr>
      </w:pPr>
      <w:r w:rsidRPr="009353E6">
        <w:rPr>
          <w:sz w:val="22"/>
          <w:szCs w:val="22"/>
          <w:u w:val="single"/>
          <w:lang w:val="pl-PL"/>
        </w:rPr>
        <w:t>Śródmiąższowa choroba płuc</w:t>
      </w:r>
    </w:p>
    <w:p w:rsidR="0046178E" w:rsidRPr="009353E6" w:rsidRDefault="0046178E" w:rsidP="0046178E">
      <w:pPr>
        <w:pStyle w:val="BodyText"/>
        <w:spacing w:line="240" w:lineRule="auto"/>
        <w:jc w:val="left"/>
        <w:rPr>
          <w:sz w:val="22"/>
          <w:szCs w:val="22"/>
          <w:lang w:val="pl-PL"/>
        </w:rPr>
      </w:pPr>
      <w:r w:rsidRPr="009353E6">
        <w:rPr>
          <w:sz w:val="22"/>
          <w:szCs w:val="22"/>
          <w:lang w:val="pl-PL"/>
        </w:rPr>
        <w:t>Po wprowadzeniu produktu leczniczego do obr</w:t>
      </w:r>
      <w:r w:rsidR="00775ACB" w:rsidRPr="009353E6">
        <w:rPr>
          <w:sz w:val="22"/>
          <w:szCs w:val="22"/>
          <w:lang w:val="pl-PL"/>
        </w:rPr>
        <w:t>o</w:t>
      </w:r>
      <w:r w:rsidRPr="009353E6">
        <w:rPr>
          <w:sz w:val="22"/>
          <w:szCs w:val="22"/>
          <w:lang w:val="pl-PL"/>
        </w:rPr>
        <w:t>tu zgłaszano przypadki śródmiąższowej choroby płuc pozostające w związku czasowym z przyjmowaniem telmisartanu. Nie ustalono jednak związku przyczynowego.</w:t>
      </w:r>
    </w:p>
    <w:p w:rsidR="003D10DA" w:rsidRPr="009353E6" w:rsidRDefault="003D10DA" w:rsidP="0090033D">
      <w:pPr>
        <w:rPr>
          <w:sz w:val="22"/>
          <w:szCs w:val="22"/>
          <w:lang w:val="pl-PL"/>
        </w:rPr>
      </w:pPr>
    </w:p>
    <w:p w:rsidR="00C50895" w:rsidRPr="009353E6" w:rsidRDefault="00DC4903" w:rsidP="0090033D">
      <w:pPr>
        <w:rPr>
          <w:sz w:val="22"/>
          <w:szCs w:val="22"/>
          <w:u w:val="single"/>
          <w:lang w:val="pl-PL"/>
        </w:rPr>
      </w:pPr>
      <w:r w:rsidRPr="009353E6">
        <w:rPr>
          <w:sz w:val="22"/>
          <w:szCs w:val="22"/>
          <w:u w:val="single"/>
          <w:lang w:val="pl-PL"/>
        </w:rPr>
        <w:t>Nieczerni</w:t>
      </w:r>
      <w:r w:rsidR="0085086E" w:rsidRPr="009353E6">
        <w:rPr>
          <w:sz w:val="22"/>
          <w:szCs w:val="22"/>
          <w:u w:val="single"/>
          <w:lang w:val="pl-PL"/>
        </w:rPr>
        <w:t>akowe nowotwory złośliwe skóry</w:t>
      </w:r>
    </w:p>
    <w:p w:rsidR="00DC4903" w:rsidRPr="009353E6" w:rsidRDefault="00DC4903" w:rsidP="0090033D">
      <w:pPr>
        <w:rPr>
          <w:sz w:val="22"/>
          <w:szCs w:val="22"/>
          <w:lang w:val="pl-PL"/>
        </w:rPr>
      </w:pPr>
      <w:r w:rsidRPr="009353E6">
        <w:rPr>
          <w:sz w:val="22"/>
          <w:szCs w:val="22"/>
          <w:lang w:val="pl-PL"/>
        </w:rPr>
        <w:t>Na podstawie danych dostępnych z badań epidemiologicznych stwierdzono związek między łączną dawką HCTZ a występowa</w:t>
      </w:r>
      <w:r w:rsidR="00720293" w:rsidRPr="009353E6">
        <w:rPr>
          <w:sz w:val="22"/>
          <w:szCs w:val="22"/>
          <w:lang w:val="pl-PL"/>
        </w:rPr>
        <w:t>niem NMSC (patrz również punkty </w:t>
      </w:r>
      <w:r w:rsidRPr="009353E6">
        <w:rPr>
          <w:sz w:val="22"/>
          <w:szCs w:val="22"/>
          <w:lang w:val="pl-PL"/>
        </w:rPr>
        <w:t>4.4 i 5.1).</w:t>
      </w:r>
    </w:p>
    <w:p w:rsidR="00DC4903" w:rsidRPr="009353E6" w:rsidRDefault="00DC4903" w:rsidP="0090033D">
      <w:pPr>
        <w:rPr>
          <w:sz w:val="22"/>
          <w:szCs w:val="22"/>
          <w:lang w:val="pl-PL"/>
        </w:rPr>
      </w:pPr>
    </w:p>
    <w:p w:rsidR="0090033D" w:rsidRPr="009353E6" w:rsidRDefault="0090033D" w:rsidP="0090033D">
      <w:pPr>
        <w:rPr>
          <w:sz w:val="22"/>
          <w:szCs w:val="22"/>
          <w:u w:val="single"/>
          <w:lang w:val="pl-PL"/>
        </w:rPr>
      </w:pPr>
      <w:r w:rsidRPr="009353E6">
        <w:rPr>
          <w:sz w:val="22"/>
          <w:szCs w:val="22"/>
          <w:u w:val="single"/>
          <w:lang w:val="pl-PL"/>
        </w:rPr>
        <w:t>Zgłaszanie podejrzewanych działań niepożądanych</w:t>
      </w:r>
    </w:p>
    <w:p w:rsidR="0090033D" w:rsidRPr="009353E6" w:rsidRDefault="0090033D" w:rsidP="0090033D">
      <w:pPr>
        <w:rPr>
          <w:sz w:val="22"/>
          <w:szCs w:val="22"/>
          <w:highlight w:val="lightGray"/>
          <w:shd w:val="pct15" w:color="auto" w:fill="FFFFFF"/>
          <w:lang w:val="pl-PL" w:eastAsia="de-DE"/>
        </w:rPr>
      </w:pPr>
      <w:r w:rsidRPr="009353E6">
        <w:rPr>
          <w:sz w:val="22"/>
          <w:szCs w:val="22"/>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9353E6">
        <w:rPr>
          <w:sz w:val="22"/>
          <w:szCs w:val="22"/>
          <w:highlight w:val="lightGray"/>
          <w:shd w:val="pct15" w:color="auto" w:fill="FFFFFF"/>
          <w:lang w:val="pl-PL" w:eastAsia="de-DE"/>
        </w:rPr>
        <w:t xml:space="preserve">krajowego systemu zgłaszania wymienionego w </w:t>
      </w:r>
      <w:hyperlink r:id="rId11">
        <w:r w:rsidR="00BC39DD" w:rsidRPr="009353E6">
          <w:rPr>
            <w:rStyle w:val="Hyperlink"/>
            <w:sz w:val="22"/>
            <w:szCs w:val="22"/>
            <w:highlight w:val="lightGray"/>
            <w:lang w:val="pl-PL"/>
          </w:rPr>
          <w:t>załącz</w:t>
        </w:r>
        <w:r w:rsidR="00BC39DD" w:rsidRPr="009353E6">
          <w:rPr>
            <w:rStyle w:val="Hyperlink"/>
            <w:sz w:val="22"/>
            <w:szCs w:val="22"/>
            <w:highlight w:val="lightGray"/>
            <w:lang w:val="pl-PL"/>
          </w:rPr>
          <w:t>n</w:t>
        </w:r>
        <w:r w:rsidR="00BC39DD" w:rsidRPr="009353E6">
          <w:rPr>
            <w:rStyle w:val="Hyperlink"/>
            <w:sz w:val="22"/>
            <w:szCs w:val="22"/>
            <w:highlight w:val="lightGray"/>
            <w:lang w:val="pl-PL"/>
          </w:rPr>
          <w:t>iku V</w:t>
        </w:r>
      </w:hyperlink>
      <w:r w:rsidRPr="009353E6">
        <w:rPr>
          <w:sz w:val="22"/>
          <w:szCs w:val="22"/>
          <w:highlight w:val="lightGray"/>
          <w:shd w:val="pct15" w:color="auto" w:fill="FFFFFF"/>
          <w:lang w:val="pl-PL" w:eastAsia="de-DE"/>
        </w:rPr>
        <w:t>.</w:t>
      </w:r>
    </w:p>
    <w:p w:rsidR="004A0B9E" w:rsidRPr="009353E6" w:rsidRDefault="004A0B9E" w:rsidP="00E72715">
      <w:pPr>
        <w:pStyle w:val="BodyText"/>
        <w:tabs>
          <w:tab w:val="left" w:pos="540"/>
        </w:tabs>
        <w:spacing w:line="240" w:lineRule="auto"/>
        <w:jc w:val="left"/>
        <w:rPr>
          <w:b/>
          <w:sz w:val="22"/>
          <w:szCs w:val="22"/>
          <w:lang w:val="pl-PL"/>
        </w:rPr>
      </w:pPr>
    </w:p>
    <w:p w:rsidR="002D3E1A" w:rsidRPr="009353E6" w:rsidRDefault="00E72715" w:rsidP="00E72715">
      <w:pPr>
        <w:pStyle w:val="BodyText"/>
        <w:tabs>
          <w:tab w:val="left" w:pos="540"/>
        </w:tabs>
        <w:spacing w:line="240" w:lineRule="auto"/>
        <w:jc w:val="left"/>
        <w:rPr>
          <w:b/>
          <w:sz w:val="22"/>
          <w:szCs w:val="22"/>
          <w:lang w:val="pl-PL"/>
        </w:rPr>
      </w:pPr>
      <w:r w:rsidRPr="009353E6">
        <w:rPr>
          <w:b/>
          <w:sz w:val="22"/>
          <w:szCs w:val="22"/>
          <w:lang w:val="pl-PL"/>
        </w:rPr>
        <w:t>4.9</w:t>
      </w:r>
      <w:r w:rsidRPr="009353E6">
        <w:rPr>
          <w:b/>
          <w:sz w:val="22"/>
          <w:szCs w:val="22"/>
          <w:lang w:val="pl-PL"/>
        </w:rPr>
        <w:tab/>
      </w:r>
      <w:r w:rsidR="002D3E1A" w:rsidRPr="009353E6">
        <w:rPr>
          <w:b/>
          <w:sz w:val="22"/>
          <w:szCs w:val="22"/>
          <w:lang w:val="pl-PL"/>
        </w:rPr>
        <w:t>Przedawkowanie</w:t>
      </w:r>
    </w:p>
    <w:p w:rsidR="000D5544" w:rsidRPr="009353E6" w:rsidRDefault="000D5544" w:rsidP="000D5BED">
      <w:pPr>
        <w:pStyle w:val="BodyText"/>
        <w:spacing w:line="240" w:lineRule="auto"/>
        <w:jc w:val="left"/>
        <w:rPr>
          <w:sz w:val="22"/>
          <w:szCs w:val="22"/>
          <w:lang w:val="pl-PL"/>
        </w:rPr>
      </w:pPr>
    </w:p>
    <w:p w:rsidR="001141A4" w:rsidRPr="009353E6" w:rsidRDefault="00542F4A" w:rsidP="000D5BED">
      <w:pPr>
        <w:pStyle w:val="BodyText"/>
        <w:spacing w:line="240" w:lineRule="auto"/>
        <w:jc w:val="left"/>
        <w:rPr>
          <w:sz w:val="22"/>
          <w:szCs w:val="22"/>
          <w:lang w:val="pl-PL"/>
        </w:rPr>
      </w:pPr>
      <w:r w:rsidRPr="009353E6">
        <w:rPr>
          <w:sz w:val="22"/>
          <w:szCs w:val="22"/>
          <w:lang w:val="pl-PL"/>
        </w:rPr>
        <w:t xml:space="preserve">Dane dotyczące przedawkowania telmisartanu u ludzi są ograniczone. Nie ustalono stopnia, w jakim można usunąć hydrochlorotiazyd za pomocą hemodializy. </w:t>
      </w:r>
    </w:p>
    <w:p w:rsidR="00542F4A" w:rsidRPr="009353E6" w:rsidRDefault="00542F4A" w:rsidP="000D5BED">
      <w:pPr>
        <w:pStyle w:val="BodyText"/>
        <w:spacing w:line="240" w:lineRule="auto"/>
        <w:jc w:val="left"/>
        <w:rPr>
          <w:rFonts w:ascii="TimesNewRomanPSMT" w:eastAsia="SimSun" w:hAnsi="TimesNewRomanPSMT" w:cs="TimesNewRomanPSMT"/>
          <w:sz w:val="22"/>
          <w:szCs w:val="22"/>
          <w:lang w:val="pl-PL" w:eastAsia="zh-CN"/>
        </w:rPr>
      </w:pPr>
    </w:p>
    <w:p w:rsidR="003D10DA" w:rsidRPr="009353E6" w:rsidRDefault="001141A4" w:rsidP="000D5BED">
      <w:pPr>
        <w:pStyle w:val="BodyText"/>
        <w:spacing w:line="240" w:lineRule="auto"/>
        <w:jc w:val="left"/>
        <w:rPr>
          <w:sz w:val="22"/>
          <w:szCs w:val="22"/>
          <w:lang w:val="pl-PL"/>
        </w:rPr>
      </w:pPr>
      <w:r w:rsidRPr="009353E6">
        <w:rPr>
          <w:sz w:val="22"/>
          <w:szCs w:val="22"/>
          <w:u w:val="single"/>
          <w:lang w:val="pl-PL"/>
        </w:rPr>
        <w:t>Objawy</w:t>
      </w:r>
      <w:r w:rsidRPr="009353E6">
        <w:rPr>
          <w:sz w:val="22"/>
          <w:szCs w:val="22"/>
          <w:lang w:val="pl-PL"/>
        </w:rPr>
        <w:t xml:space="preserve">: Najbardziej znaczącymi objawami przedawkowania telmisartanu były niediociśnienie i tachykardia; opisywano również bradykardię, zawroty głowy, wymioty, podwyższenie poziomu kreatyniny we krwi oraz ostrą niewydolność nerek. Przedawkowanie hydrochlorotiazydu może wiązać się ze zmniejszeniem stężenia elektrolitów (hipokaliemia, hipochloremia) oraz hipowolemią wynikającą z nadmiernej diurezy. Najczęstszymi objawami przedmiotowymi i podmiotowymi przedawkowania są nudności i senność. Hipokaliemia może powodować skurcze mięśni i(lub) z </w:t>
      </w:r>
    </w:p>
    <w:p w:rsidR="001141A4" w:rsidRPr="009353E6" w:rsidRDefault="001141A4" w:rsidP="000D5BED">
      <w:pPr>
        <w:pStyle w:val="BodyText"/>
        <w:spacing w:line="240" w:lineRule="auto"/>
        <w:jc w:val="left"/>
        <w:rPr>
          <w:sz w:val="22"/>
          <w:szCs w:val="22"/>
          <w:lang w:val="pl-PL"/>
        </w:rPr>
      </w:pPr>
      <w:r w:rsidRPr="009353E6">
        <w:rPr>
          <w:sz w:val="22"/>
          <w:szCs w:val="22"/>
          <w:lang w:val="pl-PL"/>
        </w:rPr>
        <w:t xml:space="preserve">przyspieszeniem akcji serca związaną z jednoczesnym podawaniem glikozydów naparstnicy lub pewnych </w:t>
      </w:r>
      <w:r w:rsidR="003A4C06" w:rsidRPr="009353E6">
        <w:rPr>
          <w:sz w:val="22"/>
          <w:szCs w:val="22"/>
          <w:lang w:val="pl-PL"/>
        </w:rPr>
        <w:t>przeciwarytmicznych produktów leczniczych.</w:t>
      </w:r>
    </w:p>
    <w:p w:rsidR="003A4C06" w:rsidRPr="009353E6" w:rsidRDefault="003A4C06" w:rsidP="000D5BED">
      <w:pPr>
        <w:pStyle w:val="BodyText"/>
        <w:spacing w:line="240" w:lineRule="auto"/>
        <w:jc w:val="left"/>
        <w:rPr>
          <w:sz w:val="22"/>
          <w:szCs w:val="22"/>
          <w:lang w:val="pl-PL"/>
        </w:rPr>
      </w:pPr>
    </w:p>
    <w:p w:rsidR="003A4C06" w:rsidRPr="009353E6" w:rsidRDefault="003A4C06" w:rsidP="000D5BED">
      <w:pPr>
        <w:pStyle w:val="BodyText"/>
        <w:spacing w:line="240" w:lineRule="auto"/>
        <w:jc w:val="left"/>
        <w:rPr>
          <w:sz w:val="22"/>
          <w:szCs w:val="22"/>
          <w:lang w:val="pl-PL"/>
        </w:rPr>
      </w:pPr>
      <w:r w:rsidRPr="009353E6">
        <w:rPr>
          <w:sz w:val="22"/>
          <w:szCs w:val="22"/>
          <w:u w:val="single"/>
          <w:lang w:val="pl-PL"/>
        </w:rPr>
        <w:t>Leczenie</w:t>
      </w:r>
      <w:r w:rsidRPr="009353E6">
        <w:rPr>
          <w:sz w:val="22"/>
          <w:szCs w:val="22"/>
          <w:lang w:val="pl-PL"/>
        </w:rPr>
        <w:t xml:space="preserve">: Telmisartan nie jest usuwany przez hemodializę. Pacjent powinien być ściśle obserwowany, należy zastosować leczenie objawowe i podtrzymujące. Postępowanie zależy od czasu, jaki upłynął od przyjęcia leku i ciężkości objawów. Zaleca się sprowokowanie wymiotów i(lub) płukanie żołądka. W leczeniu przedawkowania pomocny może się okazać węgiel aktywowany. Należy często kontrolować stężenie elektrolitów i kreatyniny w surowicy. Jeśli wystąpi niedociśnienie, pacjenta należy ułożyć w pozycji na plecach, szybko podać sole i płyny.  </w:t>
      </w:r>
    </w:p>
    <w:p w:rsidR="00F710F6" w:rsidRPr="009353E6" w:rsidRDefault="00F710F6" w:rsidP="000D5BED">
      <w:pPr>
        <w:pStyle w:val="BodyText"/>
        <w:spacing w:line="240" w:lineRule="auto"/>
        <w:jc w:val="left"/>
        <w:rPr>
          <w:sz w:val="22"/>
          <w:szCs w:val="22"/>
          <w:lang w:val="pl-PL"/>
        </w:rPr>
      </w:pPr>
    </w:p>
    <w:p w:rsidR="003A4C06" w:rsidRPr="009353E6" w:rsidRDefault="003A4C06" w:rsidP="000D5BED">
      <w:pPr>
        <w:pStyle w:val="BodyText"/>
        <w:spacing w:line="240" w:lineRule="auto"/>
        <w:jc w:val="left"/>
        <w:rPr>
          <w:sz w:val="22"/>
          <w:szCs w:val="22"/>
          <w:lang w:val="pl-PL"/>
        </w:rPr>
      </w:pPr>
    </w:p>
    <w:p w:rsidR="002D3E1A" w:rsidRPr="009353E6" w:rsidRDefault="002D3E1A" w:rsidP="008F2195">
      <w:pPr>
        <w:pStyle w:val="BodyText"/>
        <w:tabs>
          <w:tab w:val="left" w:pos="567"/>
        </w:tabs>
        <w:spacing w:line="240" w:lineRule="auto"/>
        <w:jc w:val="left"/>
        <w:rPr>
          <w:b/>
          <w:sz w:val="22"/>
          <w:szCs w:val="22"/>
          <w:lang w:val="pl-PL"/>
        </w:rPr>
      </w:pPr>
      <w:r w:rsidRPr="009353E6">
        <w:rPr>
          <w:b/>
          <w:sz w:val="22"/>
          <w:szCs w:val="22"/>
          <w:lang w:val="pl-PL"/>
        </w:rPr>
        <w:t xml:space="preserve">5. </w:t>
      </w:r>
      <w:r w:rsidRPr="009353E6">
        <w:rPr>
          <w:b/>
          <w:sz w:val="22"/>
          <w:szCs w:val="22"/>
          <w:lang w:val="pl-PL"/>
        </w:rPr>
        <w:tab/>
        <w:t>WŁAŚCIWOŚCI FARMAKOLOGICZNE</w:t>
      </w:r>
    </w:p>
    <w:p w:rsidR="002D3E1A" w:rsidRPr="009353E6" w:rsidRDefault="002D3E1A" w:rsidP="000D5BED">
      <w:pPr>
        <w:pStyle w:val="BodyText"/>
        <w:spacing w:line="240" w:lineRule="auto"/>
        <w:jc w:val="left"/>
        <w:rPr>
          <w:sz w:val="22"/>
          <w:szCs w:val="22"/>
          <w:lang w:val="pl-PL"/>
        </w:rPr>
      </w:pPr>
    </w:p>
    <w:p w:rsidR="002D3E1A" w:rsidRPr="009353E6" w:rsidRDefault="00E72715" w:rsidP="00E72715">
      <w:pPr>
        <w:pStyle w:val="BodyText"/>
        <w:tabs>
          <w:tab w:val="left" w:pos="540"/>
        </w:tabs>
        <w:spacing w:line="240" w:lineRule="auto"/>
        <w:jc w:val="left"/>
        <w:rPr>
          <w:b/>
          <w:sz w:val="22"/>
          <w:szCs w:val="22"/>
          <w:lang w:val="pl-PL"/>
        </w:rPr>
      </w:pPr>
      <w:r w:rsidRPr="009353E6">
        <w:rPr>
          <w:b/>
          <w:sz w:val="22"/>
          <w:szCs w:val="22"/>
          <w:lang w:val="pl-PL"/>
        </w:rPr>
        <w:t>5.1</w:t>
      </w:r>
      <w:r w:rsidRPr="009353E6">
        <w:rPr>
          <w:b/>
          <w:sz w:val="22"/>
          <w:szCs w:val="22"/>
          <w:lang w:val="pl-PL"/>
        </w:rPr>
        <w:tab/>
      </w:r>
      <w:r w:rsidR="002D3E1A" w:rsidRPr="009353E6">
        <w:rPr>
          <w:b/>
          <w:sz w:val="22"/>
          <w:szCs w:val="22"/>
          <w:lang w:val="pl-PL"/>
        </w:rPr>
        <w:t>Właściwości farmakodynamiczne</w:t>
      </w:r>
    </w:p>
    <w:p w:rsidR="002D3E1A" w:rsidRPr="009353E6" w:rsidRDefault="002D3E1A" w:rsidP="000D5BED">
      <w:pPr>
        <w:pStyle w:val="BodyText"/>
        <w:spacing w:line="240" w:lineRule="auto"/>
        <w:jc w:val="left"/>
        <w:rPr>
          <w:b/>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Grupa farmakoterapeutyczna: </w:t>
      </w:r>
      <w:r w:rsidR="0028667A" w:rsidRPr="009353E6">
        <w:rPr>
          <w:sz w:val="22"/>
          <w:szCs w:val="22"/>
          <w:lang w:val="pl-PL"/>
        </w:rPr>
        <w:t>a</w:t>
      </w:r>
      <w:r w:rsidRPr="009353E6">
        <w:rPr>
          <w:sz w:val="22"/>
          <w:szCs w:val="22"/>
          <w:lang w:val="pl-PL"/>
        </w:rPr>
        <w:t>ntagoniści</w:t>
      </w:r>
      <w:r w:rsidR="0030023C" w:rsidRPr="009353E6">
        <w:rPr>
          <w:sz w:val="22"/>
          <w:szCs w:val="22"/>
          <w:lang w:val="pl-PL"/>
        </w:rPr>
        <w:t xml:space="preserve"> </w:t>
      </w:r>
      <w:r w:rsidRPr="009353E6">
        <w:rPr>
          <w:sz w:val="22"/>
          <w:szCs w:val="22"/>
          <w:lang w:val="pl-PL"/>
        </w:rPr>
        <w:t>angiotensyny II i diuretyki, kod ATC: C</w:t>
      </w:r>
      <w:r w:rsidR="00807B46" w:rsidRPr="009353E6">
        <w:rPr>
          <w:sz w:val="22"/>
          <w:szCs w:val="22"/>
          <w:lang w:val="pl-PL"/>
        </w:rPr>
        <w:t>0</w:t>
      </w:r>
      <w:r w:rsidRPr="009353E6">
        <w:rPr>
          <w:sz w:val="22"/>
          <w:szCs w:val="22"/>
          <w:lang w:val="pl-PL"/>
        </w:rPr>
        <w:t>9DA</w:t>
      </w:r>
      <w:r w:rsidR="001844E7" w:rsidRPr="009353E6">
        <w:rPr>
          <w:sz w:val="22"/>
          <w:szCs w:val="22"/>
          <w:lang w:val="pl-PL"/>
        </w:rPr>
        <w:t>07.</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MicardisPlus jest </w:t>
      </w:r>
      <w:r w:rsidR="00F710F6" w:rsidRPr="009353E6">
        <w:rPr>
          <w:sz w:val="22"/>
          <w:szCs w:val="22"/>
          <w:lang w:val="pl-PL"/>
        </w:rPr>
        <w:t>produkt</w:t>
      </w:r>
      <w:r w:rsidRPr="009353E6">
        <w:rPr>
          <w:sz w:val="22"/>
          <w:szCs w:val="22"/>
          <w:lang w:val="pl-PL"/>
        </w:rPr>
        <w:t xml:space="preserve">em złożonym zawierającym antagonistę receptora angiotensyny II, telmisartan i diuretyk tiazydowy, hydrochlorotiazyd. Połączenie takich składników ma sumujące się działanie przeciwnadciśnieniowe, powodujące zmniejszenie ciśnienia krwi w większym stopniu niż każdy składnik osobno. MicardisPlus stosowany raz na dobę wywołuje efektywne i regularne zmniejszenie ciśnienia krwi we wszystkich dawkach terapeutycznych. </w:t>
      </w:r>
    </w:p>
    <w:p w:rsidR="002D3E1A" w:rsidRPr="009353E6" w:rsidRDefault="002D3E1A" w:rsidP="000D5BED">
      <w:pPr>
        <w:pStyle w:val="BodyText"/>
        <w:spacing w:line="240" w:lineRule="auto"/>
        <w:jc w:val="left"/>
        <w:rPr>
          <w:sz w:val="22"/>
          <w:szCs w:val="22"/>
          <w:lang w:val="pl-PL"/>
        </w:rPr>
      </w:pPr>
    </w:p>
    <w:p w:rsidR="00D13A66" w:rsidRPr="009353E6" w:rsidRDefault="00D13A66" w:rsidP="004A0B9E">
      <w:pPr>
        <w:pStyle w:val="BodyText"/>
        <w:keepNext/>
        <w:spacing w:line="240" w:lineRule="auto"/>
        <w:jc w:val="left"/>
        <w:rPr>
          <w:sz w:val="22"/>
          <w:szCs w:val="22"/>
          <w:u w:val="single"/>
          <w:lang w:val="pl-PL"/>
        </w:rPr>
      </w:pPr>
      <w:r w:rsidRPr="009353E6">
        <w:rPr>
          <w:sz w:val="22"/>
          <w:szCs w:val="22"/>
          <w:u w:val="single"/>
          <w:lang w:val="pl-PL"/>
        </w:rPr>
        <w:t>Mechanizm działania</w:t>
      </w:r>
    </w:p>
    <w:p w:rsidR="002D3E1A" w:rsidRPr="009353E6" w:rsidRDefault="002D3E1A" w:rsidP="000D5BED">
      <w:pPr>
        <w:pStyle w:val="BodyText"/>
        <w:spacing w:line="240" w:lineRule="auto"/>
        <w:jc w:val="left"/>
        <w:rPr>
          <w:sz w:val="22"/>
          <w:szCs w:val="22"/>
          <w:lang w:val="pl-PL"/>
        </w:rPr>
      </w:pPr>
      <w:r w:rsidRPr="009353E6">
        <w:rPr>
          <w:sz w:val="22"/>
          <w:szCs w:val="22"/>
          <w:lang w:val="pl-PL"/>
        </w:rPr>
        <w:t>Telmisartan jest skutecznym, doustnym, wybiórczym antagonistą receptora podtypu 1 dla angiotensyny II (AT</w:t>
      </w:r>
      <w:r w:rsidRPr="009353E6">
        <w:rPr>
          <w:sz w:val="22"/>
          <w:szCs w:val="22"/>
          <w:vertAlign w:val="subscript"/>
          <w:lang w:val="pl-PL"/>
        </w:rPr>
        <w:t>1</w:t>
      </w:r>
      <w:r w:rsidRPr="009353E6">
        <w:rPr>
          <w:sz w:val="22"/>
          <w:szCs w:val="22"/>
          <w:lang w:val="pl-PL"/>
        </w:rPr>
        <w:t>). Dzięki bardzo dużemu powinowactwu telmisartan wypiera angiotensynę II z</w:t>
      </w:r>
      <w:r w:rsidR="00E02390" w:rsidRPr="009353E6">
        <w:rPr>
          <w:sz w:val="22"/>
          <w:szCs w:val="22"/>
          <w:lang w:val="pl-PL"/>
        </w:rPr>
        <w:t> </w:t>
      </w:r>
      <w:r w:rsidRPr="009353E6">
        <w:rPr>
          <w:sz w:val="22"/>
          <w:szCs w:val="22"/>
          <w:lang w:val="pl-PL"/>
        </w:rPr>
        <w:t>miejsc wiązania z receptorem podtypu AT</w:t>
      </w:r>
      <w:r w:rsidRPr="009353E6">
        <w:rPr>
          <w:sz w:val="22"/>
          <w:szCs w:val="22"/>
          <w:vertAlign w:val="subscript"/>
          <w:lang w:val="pl-PL"/>
        </w:rPr>
        <w:t>1</w:t>
      </w:r>
      <w:r w:rsidRPr="009353E6">
        <w:rPr>
          <w:sz w:val="22"/>
          <w:szCs w:val="22"/>
          <w:lang w:val="pl-PL"/>
        </w:rPr>
        <w:t>, który jest odpowiedzialny za znane mechanizmy działania angiotensyny II. Telmisartan nie wykazuje nawet częściowych działań agonistycznych w</w:t>
      </w:r>
      <w:r w:rsidR="00E02390" w:rsidRPr="009353E6">
        <w:rPr>
          <w:sz w:val="22"/>
          <w:szCs w:val="22"/>
          <w:lang w:val="pl-PL"/>
        </w:rPr>
        <w:t> </w:t>
      </w:r>
      <w:r w:rsidRPr="009353E6">
        <w:rPr>
          <w:sz w:val="22"/>
          <w:szCs w:val="22"/>
          <w:lang w:val="pl-PL"/>
        </w:rPr>
        <w:t>stosunku do receptora AT</w:t>
      </w:r>
      <w:r w:rsidRPr="009353E6">
        <w:rPr>
          <w:sz w:val="22"/>
          <w:szCs w:val="22"/>
          <w:vertAlign w:val="subscript"/>
          <w:lang w:val="pl-PL"/>
        </w:rPr>
        <w:t>1</w:t>
      </w:r>
      <w:r w:rsidRPr="009353E6">
        <w:rPr>
          <w:sz w:val="22"/>
          <w:szCs w:val="22"/>
          <w:lang w:val="pl-PL"/>
        </w:rPr>
        <w:t>. Telmisartan selektywnie łączy się z receptorem AT</w:t>
      </w:r>
      <w:r w:rsidRPr="009353E6">
        <w:rPr>
          <w:sz w:val="22"/>
          <w:szCs w:val="22"/>
          <w:vertAlign w:val="subscript"/>
          <w:lang w:val="pl-PL"/>
        </w:rPr>
        <w:t>1</w:t>
      </w:r>
      <w:r w:rsidRPr="009353E6">
        <w:rPr>
          <w:sz w:val="22"/>
          <w:szCs w:val="22"/>
          <w:lang w:val="pl-PL"/>
        </w:rPr>
        <w:t>. Wiązanie jest długotrwałe. Telmisartan nie wykazuje powinowactwa do innych receptorów, w tym do receptora AT</w:t>
      </w:r>
      <w:r w:rsidRPr="009353E6">
        <w:rPr>
          <w:sz w:val="22"/>
          <w:szCs w:val="22"/>
          <w:vertAlign w:val="subscript"/>
          <w:lang w:val="pl-PL"/>
        </w:rPr>
        <w:t>2</w:t>
      </w:r>
      <w:r w:rsidRPr="009353E6">
        <w:rPr>
          <w:sz w:val="22"/>
          <w:szCs w:val="22"/>
          <w:lang w:val="pl-PL"/>
        </w:rPr>
        <w:t xml:space="preserve"> oraz innych słabiej poznanych receptorów AT. Funkcja tych receptorów nie jest poznana, tak samo jak nieznany jest efekt ich nadmiernej stymulacji angiotensyną II, której stężenie zwiększa się pod wpływem telmisartanu. Telmisartan zmniejsza stężenie aldosteronu w osoczu. Telmisartan nie hamuje aktywności reninowej osocza oraz nie blokuje kanałów jonowych. Telmisartan nie hamuje enzymu konwertującego angiotensynę (kininazy II), enzymu odpowiedzialnego także za rozkład bradykininy. Tak więc nie należy się spodziewać nasilenia działań niepożądanych związanych z działaniem bradykininy.</w:t>
      </w:r>
    </w:p>
    <w:p w:rsidR="002D3E1A" w:rsidRPr="009353E6" w:rsidRDefault="002D3E1A" w:rsidP="000D5BED">
      <w:pPr>
        <w:pStyle w:val="BodyText"/>
        <w:spacing w:line="240" w:lineRule="auto"/>
        <w:jc w:val="left"/>
        <w:rPr>
          <w:sz w:val="22"/>
          <w:szCs w:val="22"/>
          <w:lang w:val="pl-PL"/>
        </w:rPr>
      </w:pPr>
      <w:r w:rsidRPr="009353E6">
        <w:rPr>
          <w:sz w:val="22"/>
          <w:szCs w:val="22"/>
          <w:lang w:val="pl-PL"/>
        </w:rPr>
        <w:t>U zdrowych ochotników dawka 80 mg prawie całkowicie hamuje wzrost ciśnienia tętniczego wywołany</w:t>
      </w:r>
      <w:r w:rsidRPr="009353E6">
        <w:rPr>
          <w:i/>
          <w:sz w:val="22"/>
          <w:szCs w:val="22"/>
          <w:lang w:val="pl-PL"/>
        </w:rPr>
        <w:t xml:space="preserve"> </w:t>
      </w:r>
      <w:r w:rsidRPr="009353E6">
        <w:rPr>
          <w:sz w:val="22"/>
          <w:szCs w:val="22"/>
          <w:lang w:val="pl-PL"/>
        </w:rPr>
        <w:t>angiotensyną II. To hamujące działanie utrzymuje się w ciągu 24 godz. i jest wciąż mierzalne w okresie do 48 godzin.</w:t>
      </w:r>
    </w:p>
    <w:p w:rsidR="002D3E1A" w:rsidRPr="009353E6" w:rsidRDefault="002D3E1A" w:rsidP="000D5BED">
      <w:pPr>
        <w:pStyle w:val="BodyText"/>
        <w:spacing w:line="240" w:lineRule="auto"/>
        <w:jc w:val="left"/>
        <w:rPr>
          <w:sz w:val="22"/>
          <w:szCs w:val="22"/>
          <w:lang w:val="pl-PL"/>
        </w:rPr>
      </w:pPr>
    </w:p>
    <w:p w:rsidR="00B439C6" w:rsidRPr="009353E6" w:rsidRDefault="00B439C6" w:rsidP="000D5BED">
      <w:pPr>
        <w:pStyle w:val="BodyText"/>
        <w:spacing w:line="240" w:lineRule="auto"/>
        <w:jc w:val="left"/>
        <w:rPr>
          <w:sz w:val="22"/>
          <w:szCs w:val="22"/>
          <w:lang w:val="pl-PL"/>
        </w:rPr>
      </w:pPr>
      <w:r w:rsidRPr="009353E6">
        <w:rPr>
          <w:sz w:val="22"/>
          <w:szCs w:val="22"/>
          <w:lang w:val="pl-PL"/>
        </w:rPr>
        <w:t>Hydrochlorotiazyd jest diuretykiem tiazydowym. Mechanizm działania przeciwnadciśnieniowego tiazydów nie został do końca poznany. Tiazydy wpływają na wchłanianie zwrotne elektrolitów w kanalikach nerkowych, bezpośrednio zwiększając wydalanie sodu i chlorku w przybliżeniu w podobnych ilościach. Działanie diuretyczne hydrochlorotiazydu powoduje zmniejszenie objętości osocza, zwiększenie aktywności reniny w osoczu, zwiększenie wydzielania aldosteronu, co prowadzi do zwiększenia utraty potasu i wodorowęglanów z moczem oraz zmniejszenia stężenia potasu w surowicy. Przyjmuje się, że jednoczesne podawanie telmisartanu powoduje, poprzez blokadę układu renina-angiotensyna-aldosteron, zatrzymanie utraty potasu związane z działaniem diuretyków. W przypadku stosowania hydrochlorotiazydu, diureza rozpoczyna się po 2 godzinach, a maksymalny efek</w:t>
      </w:r>
      <w:r w:rsidR="00B962D6" w:rsidRPr="009353E6">
        <w:rPr>
          <w:sz w:val="22"/>
          <w:szCs w:val="22"/>
          <w:lang w:val="pl-PL"/>
        </w:rPr>
        <w:t>t zostaje osiągnięty po około 4 </w:t>
      </w:r>
      <w:r w:rsidRPr="009353E6">
        <w:rPr>
          <w:sz w:val="22"/>
          <w:szCs w:val="22"/>
          <w:lang w:val="pl-PL"/>
        </w:rPr>
        <w:t>godzinach, działanie utrzymuje się przez 6</w:t>
      </w:r>
      <w:r w:rsidRPr="009353E6">
        <w:rPr>
          <w:sz w:val="22"/>
          <w:szCs w:val="22"/>
          <w:lang w:val="pl-PL"/>
        </w:rPr>
        <w:noBreakHyphen/>
        <w:t>12 godzin.</w:t>
      </w:r>
    </w:p>
    <w:p w:rsidR="00B439C6" w:rsidRPr="009353E6" w:rsidRDefault="00B439C6" w:rsidP="000D5BED">
      <w:pPr>
        <w:pStyle w:val="BodyText"/>
        <w:spacing w:line="240" w:lineRule="auto"/>
        <w:jc w:val="left"/>
        <w:rPr>
          <w:sz w:val="22"/>
          <w:szCs w:val="22"/>
          <w:lang w:val="pl-PL"/>
        </w:rPr>
      </w:pPr>
    </w:p>
    <w:p w:rsidR="00B439C6" w:rsidRPr="009353E6" w:rsidRDefault="00B439C6" w:rsidP="000D5BED">
      <w:pPr>
        <w:pStyle w:val="BodyText"/>
        <w:spacing w:line="240" w:lineRule="auto"/>
        <w:jc w:val="left"/>
        <w:rPr>
          <w:sz w:val="22"/>
          <w:szCs w:val="22"/>
          <w:u w:val="single"/>
          <w:lang w:val="pl-PL"/>
        </w:rPr>
      </w:pPr>
      <w:r w:rsidRPr="009353E6">
        <w:rPr>
          <w:sz w:val="22"/>
          <w:szCs w:val="22"/>
          <w:u w:val="single"/>
          <w:lang w:val="pl-PL"/>
        </w:rPr>
        <w:t>Skuteczność kliniczna i bezpieczeństwo stosowania</w:t>
      </w:r>
    </w:p>
    <w:p w:rsidR="00B439C6" w:rsidRPr="009353E6" w:rsidRDefault="00B439C6" w:rsidP="000D5BED">
      <w:pPr>
        <w:pStyle w:val="BodyText"/>
        <w:spacing w:line="240" w:lineRule="auto"/>
        <w:jc w:val="left"/>
        <w:rPr>
          <w:sz w:val="22"/>
          <w:szCs w:val="22"/>
          <w:lang w:val="pl-PL"/>
        </w:rPr>
      </w:pPr>
    </w:p>
    <w:p w:rsidR="00B439C6" w:rsidRPr="009353E6" w:rsidRDefault="00B439C6" w:rsidP="000D5BED">
      <w:pPr>
        <w:pStyle w:val="BodyText"/>
        <w:spacing w:line="240" w:lineRule="auto"/>
        <w:jc w:val="left"/>
        <w:rPr>
          <w:sz w:val="22"/>
          <w:szCs w:val="22"/>
          <w:lang w:val="pl-PL"/>
        </w:rPr>
      </w:pPr>
      <w:r w:rsidRPr="009353E6">
        <w:rPr>
          <w:sz w:val="22"/>
          <w:szCs w:val="22"/>
          <w:lang w:val="pl-PL"/>
        </w:rPr>
        <w:t>Leczenie samoistnego nadciśnienia tętniczego</w:t>
      </w:r>
    </w:p>
    <w:p w:rsidR="002D3E1A" w:rsidRPr="009353E6" w:rsidRDefault="002D3E1A" w:rsidP="000D5BED">
      <w:pPr>
        <w:pStyle w:val="BodyText"/>
        <w:spacing w:line="240" w:lineRule="auto"/>
        <w:jc w:val="left"/>
        <w:rPr>
          <w:sz w:val="22"/>
          <w:szCs w:val="22"/>
          <w:lang w:val="pl-PL"/>
        </w:rPr>
      </w:pPr>
      <w:r w:rsidRPr="009353E6">
        <w:rPr>
          <w:sz w:val="22"/>
          <w:szCs w:val="22"/>
          <w:lang w:val="pl-PL"/>
        </w:rPr>
        <w:t>Po podaniu pierwszej dawki telmisartanu działanie hipotensyjne ujawnia się stopniowo w ciągu 3</w:t>
      </w:r>
      <w:r w:rsidR="00E02390" w:rsidRPr="009353E6">
        <w:rPr>
          <w:sz w:val="22"/>
          <w:szCs w:val="22"/>
          <w:lang w:val="pl-PL"/>
        </w:rPr>
        <w:t> </w:t>
      </w:r>
      <w:r w:rsidRPr="009353E6">
        <w:rPr>
          <w:sz w:val="22"/>
          <w:szCs w:val="22"/>
          <w:lang w:val="pl-PL"/>
        </w:rPr>
        <w:t>godz. Maksymalne obniżenie ciśnienia krwi jest osiągane zwykle po upływie 4 do 8 tygodni od rozpoczęcia leczenia i utrzymuje się przez cały okres leczenia.</w:t>
      </w:r>
    </w:p>
    <w:p w:rsidR="002D3E1A" w:rsidRPr="009353E6" w:rsidRDefault="002D3E1A" w:rsidP="000D5BED">
      <w:pPr>
        <w:pStyle w:val="BodyText"/>
        <w:spacing w:line="240" w:lineRule="auto"/>
        <w:jc w:val="left"/>
        <w:rPr>
          <w:sz w:val="22"/>
          <w:szCs w:val="22"/>
          <w:lang w:val="pl-PL"/>
        </w:rPr>
      </w:pPr>
      <w:r w:rsidRPr="009353E6">
        <w:rPr>
          <w:sz w:val="22"/>
          <w:szCs w:val="22"/>
          <w:lang w:val="pl-PL"/>
        </w:rPr>
        <w:t>Ambulatoryjne pomiary ciśnienia dowiodły, że działanie hipotensyjne utrzymuje się na stałym poziomie w okresie 24 godzin od przyjęcia leku, obejmując również okres ostatnich 4 godzin przed przyjęciem następnej dawki leku. Potwierdzają to wyniki badań klinicznych kontrolowanych placebo, w których prowadzono pomiary maksymalnego obniżenia ciśnienia tętniczego i obniżenia ciśnienia tętniczego bezpośrednio przed przyjęciem kolejnej dawki leku (parametr określany jako „through to peak ratio” wynosił stale powyżej 80%, zarówno po podaniu dawki 40 mg jak i 80 mg).</w:t>
      </w:r>
    </w:p>
    <w:p w:rsidR="002D3E1A" w:rsidRPr="009353E6" w:rsidRDefault="002D3E1A" w:rsidP="000D5BED">
      <w:pPr>
        <w:pStyle w:val="BodyText"/>
        <w:spacing w:line="240" w:lineRule="auto"/>
        <w:jc w:val="left"/>
        <w:rPr>
          <w:sz w:val="22"/>
          <w:szCs w:val="22"/>
          <w:lang w:val="pl-PL"/>
        </w:rPr>
      </w:pPr>
    </w:p>
    <w:p w:rsidR="003D10DA" w:rsidRPr="009353E6" w:rsidRDefault="002D3E1A" w:rsidP="000D5BED">
      <w:pPr>
        <w:pStyle w:val="BodyText"/>
        <w:spacing w:line="240" w:lineRule="auto"/>
        <w:jc w:val="left"/>
        <w:rPr>
          <w:sz w:val="22"/>
          <w:szCs w:val="22"/>
          <w:lang w:val="pl-PL"/>
        </w:rPr>
      </w:pPr>
      <w:r w:rsidRPr="009353E6">
        <w:rPr>
          <w:sz w:val="22"/>
          <w:szCs w:val="22"/>
          <w:lang w:val="pl-PL"/>
        </w:rPr>
        <w:t>Telmisartan podany chorym z nadciśnieniem tętniczym obniża ciśnienie rozkurczowe i skurczowe, nie wpływając na częstość akcji serca. Skuteczność działania hipotensyjnego telmisartanu jest porównywalna do innych przeciwnadciśnieniowych</w:t>
      </w:r>
      <w:r w:rsidR="003F4FF7" w:rsidRPr="009353E6">
        <w:rPr>
          <w:sz w:val="22"/>
          <w:szCs w:val="22"/>
          <w:lang w:val="pl-PL"/>
        </w:rPr>
        <w:t xml:space="preserve"> produktów leczniczych</w:t>
      </w:r>
      <w:r w:rsidRPr="009353E6">
        <w:rPr>
          <w:sz w:val="22"/>
          <w:szCs w:val="22"/>
          <w:lang w:val="pl-PL"/>
        </w:rPr>
        <w:t xml:space="preserve"> (co wykazano w</w:t>
      </w:r>
      <w:r w:rsidR="00E02390" w:rsidRPr="009353E6">
        <w:rPr>
          <w:sz w:val="22"/>
          <w:szCs w:val="22"/>
          <w:lang w:val="pl-PL"/>
        </w:rPr>
        <w:t> </w:t>
      </w:r>
      <w:r w:rsidRPr="009353E6">
        <w:rPr>
          <w:sz w:val="22"/>
          <w:szCs w:val="22"/>
          <w:lang w:val="pl-PL"/>
        </w:rPr>
        <w:t>klinicznych badaniach porównawczych telmisartanu z amlodypiną, atenololem, enalaprylem, hydrochlorotiazydem i lizynoprylem).</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W przypadku nagłego przerwania leczenia telmisartanem ciśnienie tętnicze powraca do wartości sprzed rozpoczęcia leczenia stopniowo, w ciągu kilku dni, bez zjawiska odbicia (tzw. „rebound hypertension”).</w:t>
      </w:r>
      <w:r w:rsidR="00B13F60" w:rsidRPr="009353E6">
        <w:rPr>
          <w:sz w:val="22"/>
          <w:szCs w:val="22"/>
          <w:lang w:val="pl-PL"/>
        </w:rPr>
        <w:t xml:space="preserve"> </w:t>
      </w:r>
      <w:r w:rsidRPr="009353E6">
        <w:rPr>
          <w:sz w:val="22"/>
          <w:szCs w:val="22"/>
          <w:lang w:val="pl-PL"/>
        </w:rPr>
        <w:t>W badaniach klinicznych bezpośrednio porównujących dwie metody leczenia hipotensyjnego, częstość występowania suchego kaszlu po telmisartanie była mniejsza niż po inhibitorach enzymu konwertującego angiotensynę.</w:t>
      </w:r>
    </w:p>
    <w:p w:rsidR="00CE31F6" w:rsidRPr="009353E6" w:rsidRDefault="00CE31F6" w:rsidP="00CE31F6">
      <w:pPr>
        <w:tabs>
          <w:tab w:val="left" w:pos="12816"/>
        </w:tabs>
        <w:rPr>
          <w:rStyle w:val="span9"/>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Zapobieganie chorobom układu sercowo-naczyniowego</w:t>
      </w:r>
    </w:p>
    <w:p w:rsidR="00254FF9" w:rsidRPr="009353E6" w:rsidRDefault="00254FF9" w:rsidP="0032126B">
      <w:pPr>
        <w:pStyle w:val="BodyText"/>
        <w:spacing w:line="240" w:lineRule="auto"/>
        <w:jc w:val="left"/>
        <w:rPr>
          <w:sz w:val="22"/>
          <w:szCs w:val="22"/>
          <w:lang w:val="pl-PL"/>
        </w:rPr>
      </w:pPr>
      <w:r w:rsidRPr="009353E6">
        <w:rPr>
          <w:sz w:val="22"/>
          <w:szCs w:val="22"/>
          <w:lang w:val="pl-PL"/>
        </w:rPr>
        <w:t>W badaniu klinicznym ONTARGET (</w:t>
      </w:r>
      <w:r w:rsidRPr="009353E6">
        <w:rPr>
          <w:i/>
          <w:sz w:val="22"/>
          <w:szCs w:val="22"/>
          <w:lang w:val="pl-PL"/>
        </w:rPr>
        <w:t>ONgoing Telmisartan Alone and in Combination with Ramipril Global Endpoint Trial</w:t>
      </w:r>
      <w:r w:rsidRPr="009353E6">
        <w:rPr>
          <w:sz w:val="22"/>
          <w:szCs w:val="22"/>
          <w:lang w:val="pl-PL"/>
        </w:rPr>
        <w:t>) porównywano wpływ telmisartanu, ramiprylu oraz jednoczesnego podawania telmisartanu i ramiprylu na wyniki leczenia w obrębie układu sercowo-naczyniowego u 25620 pacjentów w wieku 55 lat lub starszych, u których w wywiadzie stwierdzono chorobę wieńcową, udar mózgu, przemijający atak niedokrwienny (TIA), chorobę tętnic obwodowych lub cukrzycę typu 2 z udokumentowanym uszkodzeniem narządowym (np. retinopatią, przerostem lewej komory serca, makro- i mikroalbuminurią),</w:t>
      </w:r>
      <w:r w:rsidR="00860224" w:rsidRPr="009353E6">
        <w:rPr>
          <w:sz w:val="22"/>
          <w:szCs w:val="22"/>
          <w:lang w:val="pl-PL"/>
        </w:rPr>
        <w:t xml:space="preserve"> co stanowi </w:t>
      </w:r>
      <w:r w:rsidRPr="009353E6">
        <w:rPr>
          <w:sz w:val="22"/>
          <w:szCs w:val="22"/>
          <w:lang w:val="pl-PL"/>
        </w:rPr>
        <w:t>populacj</w:t>
      </w:r>
      <w:r w:rsidR="00860224" w:rsidRPr="009353E6">
        <w:rPr>
          <w:sz w:val="22"/>
          <w:szCs w:val="22"/>
          <w:lang w:val="pl-PL"/>
        </w:rPr>
        <w:t>ę</w:t>
      </w:r>
      <w:r w:rsidRPr="009353E6">
        <w:rPr>
          <w:sz w:val="22"/>
          <w:szCs w:val="22"/>
          <w:lang w:val="pl-PL"/>
        </w:rPr>
        <w:t xml:space="preserve"> obarczon</w:t>
      </w:r>
      <w:r w:rsidR="00860224" w:rsidRPr="009353E6">
        <w:rPr>
          <w:sz w:val="22"/>
          <w:szCs w:val="22"/>
          <w:lang w:val="pl-PL"/>
        </w:rPr>
        <w:t>ą</w:t>
      </w:r>
      <w:r w:rsidRPr="009353E6">
        <w:rPr>
          <w:sz w:val="22"/>
          <w:szCs w:val="22"/>
          <w:lang w:val="pl-PL"/>
        </w:rPr>
        <w:t xml:space="preserve"> ryzykiem wystąpienia zdarzeń sercowo-aczyniowych. </w:t>
      </w:r>
    </w:p>
    <w:p w:rsidR="00254FF9" w:rsidRPr="009353E6" w:rsidRDefault="00254FF9" w:rsidP="0032126B">
      <w:pPr>
        <w:pStyle w:val="BodyText"/>
        <w:spacing w:line="240" w:lineRule="auto"/>
        <w:jc w:val="left"/>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 xml:space="preserve">Pacjentów losowo przydzielono do jednej z trzech następujących grup: grupy </w:t>
      </w:r>
      <w:r w:rsidR="00801819" w:rsidRPr="009353E6">
        <w:rPr>
          <w:sz w:val="22"/>
          <w:szCs w:val="22"/>
          <w:lang w:val="pl-PL"/>
        </w:rPr>
        <w:t xml:space="preserve">otrzymującej </w:t>
      </w:r>
      <w:r w:rsidRPr="009353E6">
        <w:rPr>
          <w:sz w:val="22"/>
          <w:szCs w:val="22"/>
          <w:lang w:val="pl-PL"/>
        </w:rPr>
        <w:t>telmisartan w dawce 80 mg (n=8542), grupy otrzymującej ramipryl w dawce 10 mg (n=8576) lub grupy otrzymującej jednocześnie telmisartan w dawce 80 mg i ramipryl w dawce 10 mg (n=8502). Mediana okresu obserwacji wyni</w:t>
      </w:r>
      <w:r w:rsidR="00801819" w:rsidRPr="009353E6">
        <w:rPr>
          <w:sz w:val="22"/>
          <w:szCs w:val="22"/>
          <w:lang w:val="pl-PL"/>
        </w:rPr>
        <w:t>os</w:t>
      </w:r>
      <w:r w:rsidRPr="009353E6">
        <w:rPr>
          <w:sz w:val="22"/>
          <w:szCs w:val="22"/>
          <w:lang w:val="pl-PL"/>
        </w:rPr>
        <w:t>ła 4,5 roku.</w:t>
      </w:r>
    </w:p>
    <w:p w:rsidR="00254FF9" w:rsidRPr="009353E6" w:rsidRDefault="00254FF9" w:rsidP="00254FF9">
      <w:pPr>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 xml:space="preserve">Wykazano podobne  działanie telmisartanu i ramiprylu w zakresie zmniejszenia częstości występowania pierwszorzędowego złożonego punktu końcowego (zgon z przyczyn sercowo-naczyniowych, zawał mięśnia sercowego nie zakończony zgonem , udar mózgu nie zakończony zgonem  lub hospitalizacja z powodu zastoinowej niewydolności serca). Pierwszorzędowy punkt końcowy występował z podobną częstością w grupach przyjmujących telmisartan (16,7%) i ramipryl (16,5%). Współczynnik ryzyka dla telmisartanu </w:t>
      </w:r>
      <w:r w:rsidR="00801819" w:rsidRPr="009353E6">
        <w:rPr>
          <w:sz w:val="22"/>
          <w:szCs w:val="22"/>
          <w:lang w:val="pl-PL"/>
        </w:rPr>
        <w:t>wobec</w:t>
      </w:r>
      <w:r w:rsidRPr="009353E6">
        <w:rPr>
          <w:sz w:val="22"/>
          <w:szCs w:val="22"/>
          <w:lang w:val="pl-PL"/>
        </w:rPr>
        <w:t xml:space="preserve"> ramiprylu wynosił 1,01 (97,5% CI 0,93 – 1,10), p (non-inferiority) = 0,0019 z marginesem wynoszącym 1,13). Odsetek zgonów z dowolnej przyczyny u pacjentów przyjmujących telmisartan i ramipryl wynosił odpowiednio 11,6% i 11,8%. </w:t>
      </w:r>
    </w:p>
    <w:p w:rsidR="00254FF9" w:rsidRPr="009353E6" w:rsidRDefault="00254FF9" w:rsidP="00254FF9">
      <w:pPr>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Wykazano porównywalną skuteczność telmisartanu i ramiprylu w zakresie drugorzędowego punktu końcowego (zgon z przyczyn sercowo-naczyniowych, zawał mięśnia sercowego nie zokończony zgonem  i udar mózgu  nie zakończony zgonem  [0,99 (97,5% CI 0,90 – 1,08), p (</w:t>
      </w:r>
      <w:r w:rsidRPr="009353E6">
        <w:rPr>
          <w:i/>
          <w:sz w:val="22"/>
          <w:szCs w:val="22"/>
          <w:lang w:val="pl-PL"/>
        </w:rPr>
        <w:t>non-inferiority</w:t>
      </w:r>
      <w:r w:rsidRPr="009353E6">
        <w:rPr>
          <w:sz w:val="22"/>
          <w:szCs w:val="22"/>
          <w:lang w:val="pl-PL"/>
        </w:rPr>
        <w:t>) = 0,0004], stanowiącego pierwszorzędowy punkt końcowy w badaniu klinicznym HOPE (</w:t>
      </w:r>
      <w:r w:rsidRPr="009353E6">
        <w:rPr>
          <w:i/>
          <w:sz w:val="22"/>
          <w:szCs w:val="22"/>
          <w:lang w:val="pl-PL"/>
        </w:rPr>
        <w:t>The Heart Outcomes Prevention Evaluation Study</w:t>
      </w:r>
      <w:r w:rsidRPr="009353E6">
        <w:rPr>
          <w:sz w:val="22"/>
          <w:szCs w:val="22"/>
          <w:lang w:val="pl-PL"/>
        </w:rPr>
        <w:t xml:space="preserve">), w którym porównywano działanie ramiprylu i placebo.  </w:t>
      </w:r>
    </w:p>
    <w:p w:rsidR="00254FF9" w:rsidRPr="009353E6" w:rsidRDefault="00254FF9" w:rsidP="00254FF9">
      <w:pPr>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W badaniu klinicznym TRANSCEND, pacjentów z nietolerancją inhibitorów ACE-I, którzy spełniali pozostałe kryteria włączenia do badania zastosowane także w badaniu ONTARGET, losowo przydzielono do grupy przyjmującej telmisartan w dawce 80 mg (n=2954) lub placebo (n=2972), podawane jako uzupełnienie dla standardowo przyjmowanego leczenia. Mediana okresu obserwacji wyni</w:t>
      </w:r>
      <w:r w:rsidR="00801819" w:rsidRPr="009353E6">
        <w:rPr>
          <w:sz w:val="22"/>
          <w:szCs w:val="22"/>
          <w:lang w:val="pl-PL"/>
        </w:rPr>
        <w:t>os</w:t>
      </w:r>
      <w:r w:rsidRPr="009353E6">
        <w:rPr>
          <w:sz w:val="22"/>
          <w:szCs w:val="22"/>
          <w:lang w:val="pl-PL"/>
        </w:rPr>
        <w:t>ła 4 lata i 8 miesięcy. Nie stwierdzono statystycznie istotnej różnicy częstości występowania pierwszorzędowego złożonego punktu końcowego (zgon z przyczyn sercowo-naczyniowych, zawał mięśnia sercowego nie zakończony zgonem, udar</w:t>
      </w:r>
      <w:r w:rsidR="00801819" w:rsidRPr="009353E6">
        <w:rPr>
          <w:sz w:val="22"/>
          <w:szCs w:val="22"/>
          <w:lang w:val="pl-PL"/>
        </w:rPr>
        <w:t xml:space="preserve"> </w:t>
      </w:r>
      <w:r w:rsidRPr="009353E6">
        <w:rPr>
          <w:sz w:val="22"/>
          <w:szCs w:val="22"/>
          <w:lang w:val="pl-PL"/>
        </w:rPr>
        <w:t>mózgu nie zakończon</w:t>
      </w:r>
      <w:r w:rsidR="00801819" w:rsidRPr="009353E6">
        <w:rPr>
          <w:sz w:val="22"/>
          <w:szCs w:val="22"/>
          <w:lang w:val="pl-PL"/>
        </w:rPr>
        <w:t>y</w:t>
      </w:r>
      <w:r w:rsidRPr="009353E6">
        <w:rPr>
          <w:sz w:val="22"/>
          <w:szCs w:val="22"/>
          <w:lang w:val="pl-PL"/>
        </w:rPr>
        <w:t xml:space="preserve"> zgonem lub hospitalizacja z powodu zastoinowej niewydolności serca) [15,7% w grupie przyjmującej telmisartan i 17,0% w grupie otrzymującej placebo, przy współczynniku ryzyka wynoszącym 0,92 (95% CI; 0,81–1,05; p=0,22]. W odniesieniu do drugorzędowego złożonego punktu końcowego (zgon z przyczyn sercowo-naczyniowych, zawał serca nie zakończony zgonem oraz udar mózgu</w:t>
      </w:r>
      <w:r w:rsidR="00801819" w:rsidRPr="009353E6">
        <w:rPr>
          <w:sz w:val="22"/>
          <w:szCs w:val="22"/>
          <w:lang w:val="pl-PL"/>
        </w:rPr>
        <w:t xml:space="preserve"> </w:t>
      </w:r>
      <w:r w:rsidRPr="009353E6">
        <w:rPr>
          <w:sz w:val="22"/>
          <w:szCs w:val="22"/>
          <w:lang w:val="pl-PL"/>
        </w:rPr>
        <w:t>nie zakończony zgonem) wykazano korzyści związane ze stosowaniem telmisartanu w porównaniu do placebo [0,87 (95% CI; 0,76-1,00, p=0,048)]. Nie wykazano różnic między badanymi grupami w zakresie śmiertelności z przyczyn sercowo-naczyniowych (współczynnik ryzyka 1,03; 95% CI; 0,85-1,24).</w:t>
      </w:r>
    </w:p>
    <w:p w:rsidR="00CE31F6" w:rsidRPr="009353E6" w:rsidRDefault="00CE31F6" w:rsidP="00CE31F6">
      <w:pPr>
        <w:rPr>
          <w:sz w:val="22"/>
          <w:szCs w:val="22"/>
          <w:lang w:val="pl-PL"/>
        </w:rPr>
      </w:pPr>
    </w:p>
    <w:p w:rsidR="00CE31F6" w:rsidRPr="009353E6" w:rsidRDefault="00CE31F6" w:rsidP="0032126B">
      <w:pPr>
        <w:pStyle w:val="BodyText"/>
        <w:spacing w:line="240" w:lineRule="auto"/>
        <w:jc w:val="left"/>
        <w:rPr>
          <w:sz w:val="22"/>
          <w:szCs w:val="22"/>
          <w:lang w:val="pl-PL"/>
        </w:rPr>
      </w:pPr>
      <w:r w:rsidRPr="009353E6">
        <w:rPr>
          <w:sz w:val="22"/>
          <w:szCs w:val="22"/>
          <w:lang w:val="pl-PL"/>
        </w:rPr>
        <w:t>U pacjentów przyjmujących telmisartan rzadziej zgłaszano występowanie kaszlu oraz obrzęku</w:t>
      </w:r>
    </w:p>
    <w:p w:rsidR="00CE31F6" w:rsidRPr="009353E6" w:rsidRDefault="00CE31F6" w:rsidP="0032126B">
      <w:pPr>
        <w:pStyle w:val="BodyText"/>
        <w:spacing w:line="240" w:lineRule="auto"/>
        <w:jc w:val="left"/>
        <w:rPr>
          <w:sz w:val="22"/>
          <w:szCs w:val="22"/>
          <w:lang w:val="pl-PL"/>
        </w:rPr>
      </w:pPr>
      <w:r w:rsidRPr="009353E6">
        <w:rPr>
          <w:sz w:val="22"/>
          <w:szCs w:val="22"/>
          <w:lang w:val="pl-PL"/>
        </w:rPr>
        <w:t>naczynioruchowego niż u pacjentow otrzymujących ramipryl, natomiast częściej zgłaszano</w:t>
      </w:r>
    </w:p>
    <w:p w:rsidR="003D10DA" w:rsidRPr="009353E6" w:rsidRDefault="00CE31F6" w:rsidP="0032126B">
      <w:pPr>
        <w:pStyle w:val="BodyText"/>
        <w:spacing w:line="240" w:lineRule="auto"/>
        <w:jc w:val="left"/>
        <w:rPr>
          <w:sz w:val="22"/>
          <w:szCs w:val="22"/>
          <w:lang w:val="pl-PL"/>
        </w:rPr>
      </w:pPr>
      <w:r w:rsidRPr="009353E6">
        <w:rPr>
          <w:sz w:val="22"/>
          <w:szCs w:val="22"/>
          <w:lang w:val="pl-PL"/>
        </w:rPr>
        <w:t>występowanie niedociśnienia.</w:t>
      </w:r>
    </w:p>
    <w:p w:rsidR="00CE31F6" w:rsidRPr="009353E6" w:rsidRDefault="00CE31F6" w:rsidP="0032126B">
      <w:pPr>
        <w:pStyle w:val="BodyText"/>
        <w:spacing w:line="240" w:lineRule="auto"/>
        <w:jc w:val="left"/>
        <w:rPr>
          <w:sz w:val="22"/>
          <w:szCs w:val="22"/>
          <w:lang w:val="pl-PL"/>
        </w:rPr>
      </w:pPr>
    </w:p>
    <w:p w:rsidR="00CE31F6" w:rsidRPr="009353E6" w:rsidRDefault="00CE31F6" w:rsidP="0032126B">
      <w:pPr>
        <w:pStyle w:val="BodyText"/>
        <w:spacing w:line="240" w:lineRule="auto"/>
        <w:jc w:val="left"/>
        <w:rPr>
          <w:sz w:val="22"/>
          <w:szCs w:val="22"/>
          <w:lang w:val="pl-PL"/>
        </w:rPr>
      </w:pPr>
      <w:r w:rsidRPr="009353E6">
        <w:rPr>
          <w:sz w:val="22"/>
          <w:szCs w:val="22"/>
          <w:lang w:val="pl-PL"/>
        </w:rPr>
        <w:t>Jednoczesne podawanie telmisartanu i ramiprylu nie przyniosło dodatkowych korzyści w</w:t>
      </w:r>
    </w:p>
    <w:p w:rsidR="00CE31F6" w:rsidRPr="009353E6" w:rsidRDefault="00CE31F6" w:rsidP="0032126B">
      <w:pPr>
        <w:pStyle w:val="BodyText"/>
        <w:spacing w:line="240" w:lineRule="auto"/>
        <w:jc w:val="left"/>
        <w:rPr>
          <w:sz w:val="22"/>
          <w:szCs w:val="22"/>
          <w:lang w:val="pl-PL"/>
        </w:rPr>
      </w:pPr>
      <w:r w:rsidRPr="009353E6">
        <w:rPr>
          <w:sz w:val="22"/>
          <w:szCs w:val="22"/>
          <w:lang w:val="pl-PL"/>
        </w:rPr>
        <w:t>porównaniu ze stosowaniem ramiprylu lub telmisartanu w monoterapii. W przypadku jednoczesnego stosowania telmisartanu i ramiprylu odsetek zgonów z przyczyn sercowo-naczyniowych oraz zgonów z dowolnej przyczyny był większy. Ponadto, w grupie jednocześnie stosującej telmisartan i ramipryl znacznie częściej występowały hiperkaliemia, niewydolność nerek, niedociśnienie oraz omdlenia. Z tego względu nie zaleca się jednoczesnego stosowania telmisartanu i ramiprylu w tej populacji pacjentów.</w:t>
      </w:r>
    </w:p>
    <w:p w:rsidR="001B3572" w:rsidRPr="009353E6" w:rsidRDefault="001B3572" w:rsidP="0032126B">
      <w:pPr>
        <w:pStyle w:val="BodyText"/>
        <w:spacing w:line="240" w:lineRule="auto"/>
        <w:jc w:val="left"/>
        <w:rPr>
          <w:sz w:val="22"/>
          <w:szCs w:val="22"/>
          <w:lang w:val="pl-PL"/>
        </w:rPr>
      </w:pPr>
    </w:p>
    <w:p w:rsidR="0047675F" w:rsidRPr="009353E6" w:rsidRDefault="0047675F" w:rsidP="0047675F">
      <w:pPr>
        <w:pStyle w:val="BodyText"/>
        <w:spacing w:line="240" w:lineRule="auto"/>
        <w:jc w:val="left"/>
        <w:rPr>
          <w:sz w:val="22"/>
          <w:szCs w:val="22"/>
          <w:lang w:val="pl-PL"/>
        </w:rPr>
      </w:pPr>
      <w:r w:rsidRPr="009353E6">
        <w:rPr>
          <w:sz w:val="22"/>
          <w:szCs w:val="22"/>
          <w:lang w:val="pl-PL"/>
        </w:rPr>
        <w:t>W badaniu PRoFESS (</w:t>
      </w:r>
      <w:r w:rsidRPr="009353E6">
        <w:rPr>
          <w:i/>
          <w:sz w:val="22"/>
          <w:szCs w:val="22"/>
          <w:lang w:val="pl-PL"/>
        </w:rPr>
        <w:t>Prevention Regimen For Effectively avoiding Second Strokes</w:t>
      </w:r>
      <w:r w:rsidRPr="009353E6">
        <w:rPr>
          <w:sz w:val="22"/>
          <w:szCs w:val="22"/>
          <w:lang w:val="pl-PL"/>
        </w:rPr>
        <w:t xml:space="preserve">) z udziałem pacjentów w wieku 50 lat i starszych, którzy ostatnio przebyli udar, odnotowano zwiększoną częstość występowania posocznicy w odniesieniu do telmisartanu w porównaniu do placebo, 0,70% vs. 0,49% [zmniejszenie ryzyka 1,43 (95% przedział ufności 1,00–2,06)]; częstość występowania posocznicy zakończonej zgonem była zwiększona u pacjentów przyjmujących telmisartan (0,33%) w porównaniu do pacjentów przyjmujących placebo (0,16%) [zmniejszenie ryzyka 2,07 (95% przedział ufności </w:t>
      </w:r>
      <w:r w:rsidR="00E02390" w:rsidRPr="009353E6">
        <w:rPr>
          <w:sz w:val="22"/>
          <w:szCs w:val="22"/>
          <w:lang w:val="pl-PL"/>
        </w:rPr>
        <w:br/>
      </w:r>
      <w:r w:rsidRPr="009353E6">
        <w:rPr>
          <w:sz w:val="22"/>
          <w:szCs w:val="22"/>
          <w:lang w:val="pl-PL"/>
        </w:rPr>
        <w:t xml:space="preserve">1,14–3,76)]. Zaobserwowane zwiększenie częstości występowania posocznicy związane ze stosowaniem telmisartanu może być albo przypadkowe, albo spowodowane aktualnie nieznanym mechanizmem. </w:t>
      </w:r>
    </w:p>
    <w:p w:rsidR="002D3E1A" w:rsidRPr="009353E6" w:rsidRDefault="002D3E1A" w:rsidP="000D5BED">
      <w:pPr>
        <w:pStyle w:val="BodyText"/>
        <w:spacing w:line="240" w:lineRule="auto"/>
        <w:jc w:val="left"/>
        <w:rPr>
          <w:sz w:val="22"/>
          <w:szCs w:val="22"/>
          <w:lang w:val="pl-PL"/>
        </w:rPr>
      </w:pPr>
    </w:p>
    <w:p w:rsidR="00352FAF" w:rsidRPr="009353E6" w:rsidRDefault="00352FAF" w:rsidP="00352FAF">
      <w:pPr>
        <w:autoSpaceDE w:val="0"/>
        <w:autoSpaceDN w:val="0"/>
        <w:adjustRightInd w:val="0"/>
        <w:rPr>
          <w:sz w:val="22"/>
          <w:szCs w:val="22"/>
          <w:lang w:val="pl-PL"/>
        </w:rPr>
      </w:pPr>
      <w:r w:rsidRPr="009353E6">
        <w:rPr>
          <w:sz w:val="22"/>
          <w:szCs w:val="22"/>
          <w:lang w:val="pl-PL"/>
        </w:rPr>
        <w:t>Dwa duże randomizowane, kontrolowane badania kliniczne ONTARGET (ang. ONgoing Telmistartan Alone and in combination with Ramipril Global Endpoint Trial) i VA NEPHRON-D (ang. The Veterans Affairs Nefropathy in Diabetes) badały jednoczesne zastosowanie inhibitora ACE z antagonistami receptora angiotensyny II.</w:t>
      </w:r>
    </w:p>
    <w:p w:rsidR="00352FAF" w:rsidRPr="009353E6" w:rsidRDefault="00352FAF" w:rsidP="00352FAF">
      <w:pPr>
        <w:tabs>
          <w:tab w:val="left" w:pos="12816"/>
        </w:tabs>
        <w:rPr>
          <w:sz w:val="22"/>
          <w:szCs w:val="22"/>
          <w:lang w:val="pl-PL"/>
        </w:rPr>
      </w:pPr>
      <w:r w:rsidRPr="009353E6">
        <w:rPr>
          <w:sz w:val="22"/>
          <w:szCs w:val="22"/>
          <w:lang w:val="pl-PL"/>
        </w:rPr>
        <w:t>Badanie ONTARGET było przeprowadzone z udziałem pacjentów z chorobami układu sercowo-naczyniowego, chorobami naczyń mózgowych w wywiadzie lub cukrzycą typu 2 z towarzyszącymi, udowodnionymi uszkodzeniami narządów docelowych. W celu uzyskania bardziej szczegółowych informacji patrz pod nagłówkiem „Zapobieganie chorobom sercowo-naczyniowym”. Badanie VA NEPHRON-D było przeprowadzone z udziałem pacjentów z cukrzycą typu 2 oraz z nefropatią cukrzycową.</w:t>
      </w:r>
    </w:p>
    <w:p w:rsidR="00352FAF" w:rsidRPr="009353E6" w:rsidRDefault="00352FAF" w:rsidP="00352FAF">
      <w:pPr>
        <w:autoSpaceDE w:val="0"/>
        <w:autoSpaceDN w:val="0"/>
        <w:adjustRightInd w:val="0"/>
        <w:rPr>
          <w:sz w:val="22"/>
          <w:szCs w:val="22"/>
          <w:lang w:val="pl-PL"/>
        </w:rPr>
      </w:pPr>
      <w:r w:rsidRPr="009353E6">
        <w:rPr>
          <w:sz w:val="22"/>
          <w:szCs w:val="22"/>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 Ze względu na podobieństwa w zakresie właściwości farmakodynamicznych tych leków, przytoczone wyniki również mają znaczenie w przypadku innych inhibitorów ACE oraz antagonistów receptora angiotensyny II.</w:t>
      </w:r>
    </w:p>
    <w:p w:rsidR="00352FAF" w:rsidRPr="009353E6" w:rsidRDefault="00352FAF" w:rsidP="00352FAF">
      <w:pPr>
        <w:rPr>
          <w:sz w:val="22"/>
          <w:szCs w:val="22"/>
          <w:lang w:val="pl-PL"/>
        </w:rPr>
      </w:pPr>
      <w:r w:rsidRPr="009353E6">
        <w:rPr>
          <w:sz w:val="22"/>
          <w:szCs w:val="22"/>
          <w:lang w:val="pl-PL"/>
        </w:rPr>
        <w:t>Dlatego też u pacjentów z nefropatią cukrzycową nie należy jednocześnie stosować inhibitorów ACE oraz antagonistów receptora angiotensyny II.</w:t>
      </w:r>
    </w:p>
    <w:p w:rsidR="00352FAF" w:rsidRPr="009353E6" w:rsidRDefault="00352FAF" w:rsidP="00352FAF">
      <w:pPr>
        <w:keepNext/>
        <w:keepLines/>
        <w:rPr>
          <w:sz w:val="22"/>
          <w:szCs w:val="22"/>
          <w:lang w:val="pl-PL"/>
        </w:rPr>
      </w:pPr>
    </w:p>
    <w:p w:rsidR="00352FAF" w:rsidRPr="009353E6" w:rsidRDefault="00352FAF" w:rsidP="00352FAF">
      <w:pPr>
        <w:keepNext/>
        <w:keepLines/>
        <w:rPr>
          <w:color w:val="92D050"/>
          <w:sz w:val="22"/>
          <w:szCs w:val="22"/>
          <w:lang w:val="pl-PL"/>
        </w:rPr>
      </w:pPr>
      <w:r w:rsidRPr="009353E6">
        <w:rPr>
          <w:sz w:val="22"/>
          <w:szCs w:val="22"/>
          <w:lang w:val="pl-PL"/>
        </w:rPr>
        <w:t>Badanie</w:t>
      </w:r>
      <w:r w:rsidRPr="009353E6">
        <w:rPr>
          <w:b/>
          <w:sz w:val="22"/>
          <w:szCs w:val="22"/>
          <w:lang w:val="pl-PL"/>
        </w:rPr>
        <w:t xml:space="preserve"> </w:t>
      </w:r>
      <w:r w:rsidRPr="009353E6">
        <w:rPr>
          <w:sz w:val="22"/>
          <w:szCs w:val="22"/>
          <w:lang w:val="pl-PL"/>
        </w:rPr>
        <w:t>ALTITUDE (ang. Aliskiren Trial in Type 2 Diabetes Using Cardiovascular and Renal Disease Endpoints)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352FAF" w:rsidRPr="009353E6" w:rsidRDefault="00352FAF"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Badania epidemiologiczne nad długotrwałym stosowaniem hydrochlorotiazydu wykazały, że redukuje on ryzyko śmiertelności i zachorowalności u pacjentów z chorobami serca i naczyń. </w:t>
      </w:r>
    </w:p>
    <w:p w:rsidR="00C7361A" w:rsidRPr="009353E6" w:rsidRDefault="00C736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Wpływ połączenia stałych dawek telmisartanu i hydrochlorotiazydu na śmiertelność i zachorowalność osób z chorobą sercowo-naczyniową jest dotychczas niepoznany.</w:t>
      </w:r>
    </w:p>
    <w:p w:rsidR="00C54D5D" w:rsidRPr="009353E6" w:rsidRDefault="00C54D5D" w:rsidP="000D5BED">
      <w:pPr>
        <w:pStyle w:val="BodyText"/>
        <w:spacing w:line="240" w:lineRule="auto"/>
        <w:jc w:val="left"/>
        <w:rPr>
          <w:sz w:val="22"/>
          <w:szCs w:val="22"/>
          <w:lang w:val="pl-PL"/>
        </w:rPr>
      </w:pPr>
    </w:p>
    <w:p w:rsidR="00AA449D" w:rsidRPr="009353E6" w:rsidRDefault="00AA449D" w:rsidP="000D5BED">
      <w:pPr>
        <w:pStyle w:val="BodyText"/>
        <w:spacing w:line="240" w:lineRule="auto"/>
        <w:jc w:val="left"/>
        <w:rPr>
          <w:sz w:val="22"/>
          <w:szCs w:val="22"/>
          <w:lang w:val="pl-PL"/>
        </w:rPr>
      </w:pPr>
      <w:r w:rsidRPr="009353E6">
        <w:rPr>
          <w:sz w:val="22"/>
          <w:szCs w:val="22"/>
          <w:lang w:val="pl-PL"/>
        </w:rPr>
        <w:t>Nieczerniakowe nowotwory złośliwe skóry</w:t>
      </w:r>
    </w:p>
    <w:p w:rsidR="00AA449D" w:rsidRPr="009353E6" w:rsidRDefault="00AA449D" w:rsidP="000D5BED">
      <w:pPr>
        <w:pStyle w:val="BodyText"/>
        <w:spacing w:line="240" w:lineRule="auto"/>
        <w:jc w:val="left"/>
        <w:rPr>
          <w:sz w:val="22"/>
          <w:szCs w:val="22"/>
          <w:lang w:val="pl-PL"/>
        </w:rPr>
      </w:pPr>
      <w:r w:rsidRPr="009353E6">
        <w:rPr>
          <w:sz w:val="22"/>
          <w:szCs w:val="22"/>
          <w:lang w:val="pl-PL"/>
        </w:rPr>
        <w:t>Na podstawie danych dostępnych z badań epidemiologicznych stwierdzono związek między łączną dawką HCTZ a występowaniem NMSC. W jednym z badań uczestniczyło 71 533 osób z BCC i</w:t>
      </w:r>
      <w:r w:rsidR="00190F41" w:rsidRPr="009353E6">
        <w:rPr>
          <w:sz w:val="22"/>
          <w:szCs w:val="22"/>
          <w:lang w:val="pl-PL"/>
        </w:rPr>
        <w:t> </w:t>
      </w:r>
      <w:r w:rsidRPr="009353E6">
        <w:rPr>
          <w:sz w:val="22"/>
          <w:szCs w:val="22"/>
          <w:lang w:val="pl-PL"/>
        </w:rPr>
        <w:t>8 629 osób z SCC, które porównywano z grupami kontrolnymi z tej samej populacji obejmującymi odpowiednio 1 430 833 i 172462 osoby. Duży stopień narażenia na HCTZ (łączna dawka ≥50 000 mg) wiązał się ze skorygowanym OR dla BCC rzędu 1,29 (95 % CI: 1,23-1,35), a dla SCC rzędu 3,98 (95 % CI: 3,68-4,31). Stwierdzono wyraźną zależność między łączną dawką a skutkiem zarówno w przypadku BCC, jak i SCC. W innym badaniu wykazano możliwy związek stopnia narażenia na HCTZ z występowaniem nowotworów złośliwych warg (SCC): w badaniu porównywano 633 przypadki nowotworów złośliwych warg i 63 067 osób z tej samej populacji tworzących grupę kontrolną z zastosowaniem strategii jednoczesnego zbioru ryzyka. Stwierdzono zależność między łączną dawką a odpowiedzią ze sko</w:t>
      </w:r>
      <w:r w:rsidR="00EC5C19" w:rsidRPr="009353E6">
        <w:rPr>
          <w:sz w:val="22"/>
          <w:szCs w:val="22"/>
          <w:lang w:val="pl-PL"/>
        </w:rPr>
        <w:t>rygowanym OR rzędu 2,1 (95 </w:t>
      </w:r>
      <w:r w:rsidRPr="009353E6">
        <w:rPr>
          <w:sz w:val="22"/>
          <w:szCs w:val="22"/>
          <w:lang w:val="pl-PL"/>
        </w:rPr>
        <w:t>% CI: 1,7-2,6), które wzrastało do OR 3,9 (3,0-4,9) w przypadku dużego stopnia narażenia (~25 000 mg) i OR 7,7 (5,7-10,5) dla największych łącznych dawek (~100 000 mg) (patrz również punkt 4.4).</w:t>
      </w:r>
    </w:p>
    <w:p w:rsidR="00AA449D" w:rsidRPr="009353E6" w:rsidRDefault="00AA449D" w:rsidP="000D5BED">
      <w:pPr>
        <w:pStyle w:val="BodyText"/>
        <w:spacing w:line="240" w:lineRule="auto"/>
        <w:jc w:val="left"/>
        <w:rPr>
          <w:sz w:val="22"/>
          <w:szCs w:val="22"/>
          <w:lang w:val="pl-PL"/>
        </w:rPr>
      </w:pPr>
    </w:p>
    <w:p w:rsidR="00C54D5D" w:rsidRPr="009353E6" w:rsidRDefault="00C54D5D" w:rsidP="000D5BED">
      <w:pPr>
        <w:pStyle w:val="BodyText"/>
        <w:spacing w:line="240" w:lineRule="auto"/>
        <w:jc w:val="left"/>
        <w:rPr>
          <w:sz w:val="22"/>
          <w:szCs w:val="22"/>
          <w:u w:val="single"/>
          <w:lang w:val="pl-PL"/>
        </w:rPr>
      </w:pPr>
      <w:r w:rsidRPr="009353E6">
        <w:rPr>
          <w:sz w:val="22"/>
          <w:szCs w:val="22"/>
          <w:u w:val="single"/>
          <w:lang w:val="pl-PL"/>
        </w:rPr>
        <w:t>Dzieci i młodzież</w:t>
      </w:r>
    </w:p>
    <w:p w:rsidR="00C54D5D" w:rsidRPr="009353E6" w:rsidRDefault="00C54D5D" w:rsidP="000D5BED">
      <w:pPr>
        <w:pStyle w:val="BodyText"/>
        <w:spacing w:line="240" w:lineRule="auto"/>
        <w:jc w:val="left"/>
        <w:rPr>
          <w:sz w:val="22"/>
          <w:szCs w:val="22"/>
          <w:lang w:val="pl-PL"/>
        </w:rPr>
      </w:pPr>
      <w:r w:rsidRPr="009353E6">
        <w:rPr>
          <w:sz w:val="22"/>
          <w:szCs w:val="22"/>
          <w:lang w:val="pl-PL"/>
        </w:rPr>
        <w:t>Europejska Agencja Leków uchyliła obowiązek dołączania wyników badań produktu leczniczego MicardisPlus we wszystkich podgrupach populacji dzieci i młodzieży w nadciśnieniu (stosowanie u dzieci i młodzieży, patrz punkt 4.2).</w:t>
      </w:r>
    </w:p>
    <w:p w:rsidR="002D3E1A" w:rsidRPr="009353E6" w:rsidRDefault="002D3E1A" w:rsidP="000D5BED">
      <w:pPr>
        <w:pStyle w:val="BodyText"/>
        <w:spacing w:line="240" w:lineRule="auto"/>
        <w:jc w:val="left"/>
        <w:rPr>
          <w:sz w:val="22"/>
          <w:szCs w:val="22"/>
          <w:lang w:val="pl-PL"/>
        </w:rPr>
      </w:pPr>
    </w:p>
    <w:p w:rsidR="002D3E1A" w:rsidRPr="009353E6" w:rsidRDefault="00E72715" w:rsidP="00E72715">
      <w:pPr>
        <w:pStyle w:val="BodyText"/>
        <w:tabs>
          <w:tab w:val="left" w:pos="540"/>
        </w:tabs>
        <w:spacing w:line="240" w:lineRule="auto"/>
        <w:jc w:val="left"/>
        <w:rPr>
          <w:b/>
          <w:sz w:val="22"/>
          <w:szCs w:val="22"/>
          <w:lang w:val="pl-PL"/>
        </w:rPr>
      </w:pPr>
      <w:r w:rsidRPr="009353E6">
        <w:rPr>
          <w:b/>
          <w:sz w:val="22"/>
          <w:szCs w:val="22"/>
          <w:lang w:val="pl-PL"/>
        </w:rPr>
        <w:t>5.2</w:t>
      </w:r>
      <w:r w:rsidRPr="009353E6">
        <w:rPr>
          <w:b/>
          <w:sz w:val="22"/>
          <w:szCs w:val="22"/>
          <w:lang w:val="pl-PL"/>
        </w:rPr>
        <w:tab/>
      </w:r>
      <w:r w:rsidR="002D3E1A" w:rsidRPr="009353E6">
        <w:rPr>
          <w:b/>
          <w:sz w:val="22"/>
          <w:szCs w:val="22"/>
          <w:lang w:val="pl-PL"/>
        </w:rPr>
        <w:t>Właściwości farmakokinetyczne</w:t>
      </w:r>
    </w:p>
    <w:p w:rsidR="002D3E1A" w:rsidRPr="009353E6" w:rsidRDefault="002D3E1A" w:rsidP="000D5BED">
      <w:pPr>
        <w:pStyle w:val="BodyText"/>
        <w:spacing w:line="240" w:lineRule="auto"/>
        <w:jc w:val="left"/>
        <w:rPr>
          <w:b/>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Łączne podawanie hydrochlorotiazydu i telmisartanu zdaje się nie wpływać u zdrowych pacjentów na farmakokinetykę żadn</w:t>
      </w:r>
      <w:r w:rsidR="003F4FF7" w:rsidRPr="009353E6">
        <w:rPr>
          <w:sz w:val="22"/>
          <w:szCs w:val="22"/>
          <w:lang w:val="pl-PL"/>
        </w:rPr>
        <w:t>ej</w:t>
      </w:r>
      <w:r w:rsidRPr="009353E6">
        <w:rPr>
          <w:sz w:val="22"/>
          <w:szCs w:val="22"/>
          <w:lang w:val="pl-PL"/>
        </w:rPr>
        <w:t xml:space="preserve"> z </w:t>
      </w:r>
      <w:r w:rsidR="003F4FF7" w:rsidRPr="009353E6">
        <w:rPr>
          <w:sz w:val="22"/>
          <w:szCs w:val="22"/>
          <w:lang w:val="pl-PL"/>
        </w:rPr>
        <w:t>substancji</w:t>
      </w:r>
      <w:r w:rsidRPr="009353E6">
        <w:rPr>
          <w:sz w:val="22"/>
          <w:szCs w:val="22"/>
          <w:lang w:val="pl-PL"/>
        </w:rPr>
        <w:t xml:space="preserve">. </w:t>
      </w:r>
    </w:p>
    <w:p w:rsidR="002D3E1A" w:rsidRPr="009353E6" w:rsidRDefault="002D3E1A" w:rsidP="000D5BED">
      <w:pPr>
        <w:pStyle w:val="BodyText"/>
        <w:spacing w:line="240" w:lineRule="auto"/>
        <w:jc w:val="left"/>
        <w:rPr>
          <w:sz w:val="22"/>
          <w:szCs w:val="22"/>
          <w:lang w:val="pl-PL"/>
        </w:rPr>
      </w:pPr>
    </w:p>
    <w:p w:rsidR="00B51D63" w:rsidRPr="009353E6" w:rsidRDefault="002D3E1A" w:rsidP="004A0B9E">
      <w:pPr>
        <w:pStyle w:val="BodyText"/>
        <w:keepNext/>
        <w:spacing w:line="240" w:lineRule="auto"/>
        <w:jc w:val="left"/>
        <w:rPr>
          <w:sz w:val="22"/>
          <w:szCs w:val="22"/>
          <w:lang w:val="pl-PL"/>
        </w:rPr>
      </w:pPr>
      <w:r w:rsidRPr="009353E6">
        <w:rPr>
          <w:sz w:val="22"/>
          <w:szCs w:val="22"/>
          <w:u w:val="single"/>
          <w:lang w:val="pl-PL"/>
        </w:rPr>
        <w:t>Wchłanianie</w:t>
      </w:r>
    </w:p>
    <w:p w:rsidR="002D3E1A" w:rsidRPr="009353E6" w:rsidRDefault="002D3E1A" w:rsidP="000D5BED">
      <w:pPr>
        <w:pStyle w:val="BodyText"/>
        <w:spacing w:line="240" w:lineRule="auto"/>
        <w:jc w:val="left"/>
        <w:rPr>
          <w:sz w:val="22"/>
          <w:szCs w:val="22"/>
          <w:lang w:val="pl-PL"/>
        </w:rPr>
      </w:pPr>
      <w:r w:rsidRPr="009353E6">
        <w:rPr>
          <w:sz w:val="22"/>
          <w:szCs w:val="22"/>
          <w:lang w:val="pl-PL"/>
        </w:rPr>
        <w:t>Telmisartan: Po podaniu doustnym maksymalne stężenie jest osiągane po 0,5 do 1,5 godziny. Całkowita biodostępność telmisartanu w dawkach 40 mg i 160 mg wynosiła odpowiednio 42% i 58%. Pokarm nieznacznie zmniejsza biodostępność telmisartanu, pole pod krzywą zależności stężenia w osoczu od czasu (AUC) zmniejsza się o około 6% po podaniu tabletki 40 mg i o około 19% po dawce 160 mg. Po trzech godzinach od podania, stężenie telmisartanu w osoczu osiąga podobny poziom, niezależnie od tego czy telmisartan był przyjęty na czczo czy po posiłku. Niewielkie zmniejszenie pola pod krzywą (AUC) nie powinno powodować zmniejszenia skuteczności terapeutycznej. Podczas powtarzanego podawania telmisartan nie kumuluje się znacząco w osoczu.</w:t>
      </w:r>
    </w:p>
    <w:p w:rsidR="00252870" w:rsidRPr="009353E6" w:rsidRDefault="002D3E1A" w:rsidP="000D5BED">
      <w:pPr>
        <w:pStyle w:val="BodyText"/>
        <w:spacing w:line="240" w:lineRule="auto"/>
        <w:jc w:val="left"/>
        <w:rPr>
          <w:sz w:val="22"/>
          <w:szCs w:val="22"/>
          <w:lang w:val="pl-PL"/>
        </w:rPr>
      </w:pPr>
      <w:r w:rsidRPr="009353E6">
        <w:rPr>
          <w:sz w:val="22"/>
          <w:szCs w:val="22"/>
          <w:lang w:val="pl-PL"/>
        </w:rPr>
        <w:t xml:space="preserve">Hydrochlorotiazyd: Po doustnym podaniu </w:t>
      </w:r>
      <w:r w:rsidR="00F710F6" w:rsidRPr="009353E6">
        <w:rPr>
          <w:sz w:val="22"/>
          <w:szCs w:val="22"/>
          <w:lang w:val="pl-PL"/>
        </w:rPr>
        <w:t>produkt</w:t>
      </w:r>
      <w:r w:rsidRPr="009353E6">
        <w:rPr>
          <w:sz w:val="22"/>
          <w:szCs w:val="22"/>
          <w:lang w:val="pl-PL"/>
        </w:rPr>
        <w:t>u MicardisPlus, maksymalne stężenie hydrochlorotiazydu zostaje osiągnięte po 1 do 3 godzinach. Na podstawie skumulowanego wydalania nerkowego hydrochlorotiazydu, jego całkowita biodostępność wynosiła około 60%.</w:t>
      </w:r>
    </w:p>
    <w:p w:rsidR="002D3E1A" w:rsidRPr="009353E6" w:rsidRDefault="002D3E1A" w:rsidP="000D5BED">
      <w:pPr>
        <w:pStyle w:val="BodyText"/>
        <w:spacing w:line="240" w:lineRule="auto"/>
        <w:jc w:val="left"/>
        <w:rPr>
          <w:b/>
          <w:sz w:val="22"/>
          <w:szCs w:val="22"/>
          <w:lang w:val="pl-PL"/>
        </w:rPr>
      </w:pPr>
    </w:p>
    <w:p w:rsidR="00B51D63" w:rsidRPr="009353E6" w:rsidRDefault="002D3E1A" w:rsidP="004A0B9E">
      <w:pPr>
        <w:pStyle w:val="BodyText"/>
        <w:keepNext/>
        <w:spacing w:line="240" w:lineRule="auto"/>
        <w:jc w:val="left"/>
        <w:rPr>
          <w:sz w:val="22"/>
          <w:szCs w:val="22"/>
          <w:lang w:val="pl-PL"/>
        </w:rPr>
      </w:pPr>
      <w:r w:rsidRPr="009353E6">
        <w:rPr>
          <w:sz w:val="22"/>
          <w:szCs w:val="22"/>
          <w:u w:val="single"/>
          <w:lang w:val="pl-PL"/>
        </w:rPr>
        <w:t>Dystrybucja</w:t>
      </w:r>
    </w:p>
    <w:p w:rsidR="002D3E1A" w:rsidRPr="009353E6" w:rsidRDefault="002D3E1A" w:rsidP="000D5BED">
      <w:pPr>
        <w:pStyle w:val="BodyText"/>
        <w:spacing w:line="240" w:lineRule="auto"/>
        <w:jc w:val="left"/>
        <w:rPr>
          <w:sz w:val="22"/>
          <w:szCs w:val="22"/>
          <w:lang w:val="pl-PL"/>
        </w:rPr>
      </w:pPr>
      <w:r w:rsidRPr="009353E6">
        <w:rPr>
          <w:sz w:val="22"/>
          <w:szCs w:val="22"/>
          <w:lang w:val="pl-PL"/>
        </w:rPr>
        <w:t>Telmisartan silnie wiąże się z białkami osocza (&gt; 99,5%), głównie z albuminą i z kwaśną glikoproteiną alfa-1. Pozorna objętość dystrybucji telmisartanu wynosi około 500 litrów, wskazuje na dodatkowe łączenie się z tkankami.</w:t>
      </w:r>
    </w:p>
    <w:p w:rsidR="002D3E1A" w:rsidRPr="009353E6" w:rsidRDefault="002D3E1A" w:rsidP="000D5BED">
      <w:pPr>
        <w:pStyle w:val="BodyText"/>
        <w:spacing w:line="240" w:lineRule="auto"/>
        <w:jc w:val="left"/>
        <w:rPr>
          <w:sz w:val="22"/>
          <w:szCs w:val="22"/>
          <w:lang w:val="pl-PL"/>
        </w:rPr>
      </w:pPr>
      <w:r w:rsidRPr="009353E6">
        <w:rPr>
          <w:sz w:val="22"/>
          <w:szCs w:val="22"/>
          <w:lang w:val="pl-PL"/>
        </w:rPr>
        <w:t>Hydrochlorotiazyd wiąże się z białkami osocza w 68%, a jego pozorna objętość dystrybucji wynosi 0,83 – 1,14 l/kg.</w:t>
      </w:r>
    </w:p>
    <w:p w:rsidR="002D3E1A" w:rsidRPr="009353E6" w:rsidRDefault="002D3E1A" w:rsidP="000D5BED">
      <w:pPr>
        <w:pStyle w:val="BodyText"/>
        <w:spacing w:line="240" w:lineRule="auto"/>
        <w:jc w:val="left"/>
        <w:rPr>
          <w:sz w:val="22"/>
          <w:szCs w:val="22"/>
          <w:lang w:val="pl-PL"/>
        </w:rPr>
      </w:pPr>
    </w:p>
    <w:p w:rsidR="001B3D91" w:rsidRPr="009353E6" w:rsidRDefault="00B808D0" w:rsidP="001B3D91">
      <w:pPr>
        <w:rPr>
          <w:sz w:val="22"/>
          <w:szCs w:val="22"/>
          <w:u w:val="single"/>
          <w:lang w:val="pl-PL"/>
        </w:rPr>
      </w:pPr>
      <w:r w:rsidRPr="009353E6">
        <w:rPr>
          <w:sz w:val="22"/>
          <w:szCs w:val="22"/>
          <w:u w:val="single"/>
          <w:lang w:val="pl-PL"/>
        </w:rPr>
        <w:t>Metabolizm</w:t>
      </w:r>
    </w:p>
    <w:p w:rsidR="001B3D91" w:rsidRPr="009353E6" w:rsidRDefault="001B3D91" w:rsidP="001B3D91">
      <w:pPr>
        <w:rPr>
          <w:sz w:val="22"/>
          <w:szCs w:val="22"/>
          <w:lang w:val="pl-PL"/>
        </w:rPr>
      </w:pPr>
      <w:r w:rsidRPr="009353E6">
        <w:rPr>
          <w:sz w:val="22"/>
          <w:szCs w:val="22"/>
          <w:lang w:val="pl-PL"/>
        </w:rPr>
        <w:t xml:space="preserve">Telmisartan jest metabolizowany przez sprzęganie do farmakologicznie nieaktywnego acyloglukuronidu. Glukuronid związku macierzystego jest jedynym metabolitem znalezionym u ludzi. Po podaniu pojedynczej dawki znakowanego </w:t>
      </w:r>
      <w:r w:rsidRPr="009353E6">
        <w:rPr>
          <w:szCs w:val="22"/>
          <w:vertAlign w:val="superscript"/>
          <w:lang w:val="pl-PL"/>
        </w:rPr>
        <w:t>14</w:t>
      </w:r>
      <w:r w:rsidRPr="009353E6">
        <w:rPr>
          <w:szCs w:val="22"/>
          <w:lang w:val="pl-PL"/>
        </w:rPr>
        <w:t>C</w:t>
      </w:r>
      <w:r w:rsidRPr="009353E6">
        <w:rPr>
          <w:sz w:val="22"/>
          <w:szCs w:val="22"/>
          <w:lang w:val="pl-PL"/>
        </w:rPr>
        <w:t xml:space="preserve"> telmisartanu glukuronid stanowił około 11% mierzonej radioaktywności w osoczu. W metabolizmie telmisartanu nie biorą udziału izoenzymy cytochrom P450. </w:t>
      </w:r>
    </w:p>
    <w:p w:rsidR="001B3D91" w:rsidRPr="009353E6" w:rsidRDefault="001B3D91" w:rsidP="001B3D91">
      <w:pPr>
        <w:rPr>
          <w:sz w:val="22"/>
          <w:szCs w:val="22"/>
          <w:lang w:val="pl-PL"/>
        </w:rPr>
      </w:pPr>
      <w:r w:rsidRPr="009353E6">
        <w:rPr>
          <w:sz w:val="22"/>
          <w:szCs w:val="22"/>
          <w:lang w:val="pl-PL"/>
        </w:rPr>
        <w:t xml:space="preserve">Hydrochlorotiazyd nie jest metabolizowany w organizmie ludzkim. </w:t>
      </w:r>
    </w:p>
    <w:p w:rsidR="001B3D91" w:rsidRPr="009353E6" w:rsidRDefault="001B3D91" w:rsidP="001B3D91">
      <w:pPr>
        <w:rPr>
          <w:sz w:val="22"/>
          <w:szCs w:val="22"/>
          <w:u w:val="single"/>
          <w:lang w:val="pl-PL"/>
        </w:rPr>
      </w:pPr>
    </w:p>
    <w:p w:rsidR="001B3D91" w:rsidRPr="009353E6" w:rsidRDefault="001B3D91" w:rsidP="001B3D91">
      <w:pPr>
        <w:rPr>
          <w:sz w:val="22"/>
          <w:szCs w:val="22"/>
          <w:u w:val="single"/>
          <w:lang w:val="pl-PL"/>
        </w:rPr>
      </w:pPr>
      <w:r w:rsidRPr="009353E6">
        <w:rPr>
          <w:sz w:val="22"/>
          <w:szCs w:val="22"/>
          <w:u w:val="single"/>
          <w:lang w:val="pl-PL"/>
        </w:rPr>
        <w:t>Eliminacja</w:t>
      </w:r>
    </w:p>
    <w:p w:rsidR="001B3D91" w:rsidRPr="009353E6" w:rsidRDefault="001B3D91" w:rsidP="001B3D91">
      <w:pPr>
        <w:rPr>
          <w:sz w:val="22"/>
          <w:szCs w:val="22"/>
          <w:lang w:val="pl-PL"/>
        </w:rPr>
      </w:pPr>
      <w:r w:rsidRPr="009353E6">
        <w:rPr>
          <w:sz w:val="22"/>
          <w:szCs w:val="22"/>
          <w:lang w:val="pl-PL"/>
        </w:rPr>
        <w:t xml:space="preserve">Telmisartan: Po podaniu dożylnym lub doustnym telmisartanu znakowanego węglem </w:t>
      </w:r>
      <w:r w:rsidRPr="009353E6">
        <w:rPr>
          <w:szCs w:val="22"/>
          <w:vertAlign w:val="superscript"/>
          <w:lang w:val="pl-PL"/>
        </w:rPr>
        <w:t>14</w:t>
      </w:r>
      <w:r w:rsidRPr="009353E6">
        <w:rPr>
          <w:szCs w:val="22"/>
          <w:lang w:val="pl-PL"/>
        </w:rPr>
        <w:t>C</w:t>
      </w:r>
      <w:r w:rsidRPr="009353E6">
        <w:rPr>
          <w:sz w:val="22"/>
          <w:szCs w:val="22"/>
          <w:lang w:val="pl-PL"/>
        </w:rPr>
        <w:t xml:space="preserve"> większa część podanej dawki (&gt; 97%) została usunięta z kałem drogą wydalania żółciowego. Jedynie niewielkie ilości zostały wykryte w moczu. Całkowity klirens osoczowy telmisartanu po podaniu doustnym jest większy niż 1500 ml/min. Końcowy okres półtrwania w fazie eliminacji wynosił &gt; 20 godzin. </w:t>
      </w:r>
    </w:p>
    <w:p w:rsidR="001B3D91" w:rsidRPr="009353E6" w:rsidRDefault="001B3D91" w:rsidP="001B3D91">
      <w:pPr>
        <w:rPr>
          <w:sz w:val="22"/>
          <w:szCs w:val="22"/>
          <w:lang w:val="pl-PL"/>
        </w:rPr>
      </w:pPr>
      <w:r w:rsidRPr="009353E6">
        <w:rPr>
          <w:rFonts w:eastAsia="MS Mincho"/>
          <w:sz w:val="22"/>
          <w:szCs w:val="22"/>
          <w:lang w:val="pl-PL" w:eastAsia="ja-JP" w:bidi="hi-IN"/>
        </w:rPr>
        <w:t>Hydrochlorotiazyd jest prawie całkowicie wydalany w postaci niezmienionej w moczu.</w:t>
      </w:r>
      <w:r w:rsidRPr="009353E6">
        <w:rPr>
          <w:rFonts w:ascii="TimesNewRoman" w:eastAsia="MS Mincho" w:hAnsi="TimesNewRoman" w:cs="TimesNewRoman"/>
          <w:sz w:val="22"/>
          <w:szCs w:val="22"/>
          <w:lang w:val="pl-PL" w:eastAsia="ja-JP" w:bidi="hi-IN"/>
        </w:rPr>
        <w:t xml:space="preserve"> </w:t>
      </w:r>
      <w:r w:rsidRPr="009353E6">
        <w:rPr>
          <w:sz w:val="22"/>
          <w:szCs w:val="22"/>
          <w:lang w:val="pl-PL"/>
        </w:rPr>
        <w:t>Około 60% dawki doustnej jest eliminowane w ciągu 48 godzin od przyjęcia. Klirens nerkowy wynosi około 250-300 ml/min. Końcowy okres półtrwania w fazie eliminacji wynosi 10 do 15 godzin.</w:t>
      </w:r>
    </w:p>
    <w:p w:rsidR="009F479C" w:rsidRPr="009353E6" w:rsidRDefault="009F479C" w:rsidP="001B3D91">
      <w:pPr>
        <w:rPr>
          <w:sz w:val="22"/>
          <w:szCs w:val="22"/>
          <w:lang w:val="pl-PL"/>
        </w:rPr>
      </w:pPr>
    </w:p>
    <w:p w:rsidR="009F479C" w:rsidRPr="009353E6" w:rsidRDefault="009F479C" w:rsidP="001B3D91">
      <w:pPr>
        <w:rPr>
          <w:sz w:val="22"/>
          <w:szCs w:val="22"/>
          <w:u w:val="single"/>
          <w:lang w:val="pl-PL"/>
        </w:rPr>
      </w:pPr>
      <w:r w:rsidRPr="009353E6">
        <w:rPr>
          <w:sz w:val="22"/>
          <w:szCs w:val="22"/>
          <w:u w:val="single"/>
          <w:lang w:val="pl-PL"/>
        </w:rPr>
        <w:t>Liniowość lub nieliniowość</w:t>
      </w:r>
    </w:p>
    <w:p w:rsidR="002D3E1A" w:rsidRPr="009353E6" w:rsidRDefault="009F479C" w:rsidP="000D5BED">
      <w:pPr>
        <w:pStyle w:val="BodyText"/>
        <w:spacing w:line="240" w:lineRule="auto"/>
        <w:jc w:val="left"/>
        <w:rPr>
          <w:sz w:val="22"/>
          <w:szCs w:val="22"/>
          <w:lang w:val="pl-PL"/>
        </w:rPr>
      </w:pPr>
      <w:r w:rsidRPr="009353E6">
        <w:rPr>
          <w:sz w:val="22"/>
          <w:szCs w:val="22"/>
          <w:lang w:val="pl-PL"/>
        </w:rPr>
        <w:t>Telmisartan: Farmakokinetyka doustnie podanego telmisartanu jest nieliniowa w zakresie dawek od 20</w:t>
      </w:r>
      <w:r w:rsidR="00D211FA" w:rsidRPr="009353E6">
        <w:rPr>
          <w:sz w:val="22"/>
          <w:szCs w:val="22"/>
          <w:lang w:val="pl-PL"/>
        </w:rPr>
        <w:t> </w:t>
      </w:r>
      <w:r w:rsidRPr="009353E6">
        <w:rPr>
          <w:sz w:val="22"/>
          <w:szCs w:val="22"/>
          <w:lang w:val="pl-PL"/>
        </w:rPr>
        <w:t>mg do 160</w:t>
      </w:r>
      <w:r w:rsidR="00D211FA" w:rsidRPr="009353E6">
        <w:rPr>
          <w:sz w:val="22"/>
          <w:szCs w:val="22"/>
          <w:lang w:val="pl-PL"/>
        </w:rPr>
        <w:t> </w:t>
      </w:r>
      <w:r w:rsidRPr="009353E6">
        <w:rPr>
          <w:sz w:val="22"/>
          <w:szCs w:val="22"/>
          <w:lang w:val="pl-PL"/>
        </w:rPr>
        <w:t>mg ze wzrostem stężenia w osoczu (C</w:t>
      </w:r>
      <w:r w:rsidRPr="009353E6">
        <w:rPr>
          <w:sz w:val="22"/>
          <w:szCs w:val="22"/>
          <w:vertAlign w:val="subscript"/>
          <w:lang w:val="pl-PL"/>
        </w:rPr>
        <w:t xml:space="preserve">max </w:t>
      </w:r>
      <w:r w:rsidRPr="009353E6">
        <w:rPr>
          <w:sz w:val="22"/>
          <w:szCs w:val="22"/>
          <w:lang w:val="pl-PL"/>
        </w:rPr>
        <w:t>i AUC) większym niż proporcjonalny do wzrostu dawki.</w:t>
      </w:r>
    </w:p>
    <w:p w:rsidR="009F479C" w:rsidRPr="009353E6" w:rsidRDefault="009F479C" w:rsidP="000D5BED">
      <w:pPr>
        <w:pStyle w:val="BodyText"/>
        <w:spacing w:line="240" w:lineRule="auto"/>
        <w:jc w:val="left"/>
        <w:rPr>
          <w:sz w:val="22"/>
          <w:szCs w:val="22"/>
          <w:lang w:val="pl-PL"/>
        </w:rPr>
      </w:pPr>
      <w:r w:rsidRPr="009353E6">
        <w:rPr>
          <w:sz w:val="22"/>
          <w:szCs w:val="22"/>
          <w:lang w:val="pl-PL"/>
        </w:rPr>
        <w:t>Hydrochlorotiazyd wykazuje farmakokinetykę liniową.</w:t>
      </w:r>
    </w:p>
    <w:p w:rsidR="002D3E1A" w:rsidRPr="009353E6" w:rsidRDefault="002D3E1A" w:rsidP="000D5BED">
      <w:pPr>
        <w:pStyle w:val="BodyText"/>
        <w:spacing w:line="240" w:lineRule="auto"/>
        <w:jc w:val="left"/>
        <w:rPr>
          <w:sz w:val="22"/>
          <w:szCs w:val="22"/>
          <w:lang w:val="pl-PL"/>
        </w:rPr>
      </w:pPr>
    </w:p>
    <w:p w:rsidR="00B51D63" w:rsidRPr="009353E6" w:rsidRDefault="002D3E1A" w:rsidP="000D5BED">
      <w:pPr>
        <w:pStyle w:val="BodyText"/>
        <w:spacing w:line="240" w:lineRule="auto"/>
        <w:jc w:val="left"/>
        <w:rPr>
          <w:sz w:val="22"/>
          <w:szCs w:val="22"/>
          <w:lang w:val="pl-PL"/>
        </w:rPr>
      </w:pPr>
      <w:r w:rsidRPr="009353E6">
        <w:rPr>
          <w:sz w:val="22"/>
          <w:szCs w:val="22"/>
          <w:u w:val="single"/>
          <w:lang w:val="pl-PL"/>
        </w:rPr>
        <w:t>Pacjenci w podeszłym wieku</w:t>
      </w:r>
      <w:r w:rsidRPr="009353E6">
        <w:rPr>
          <w:sz w:val="22"/>
          <w:szCs w:val="22"/>
          <w:lang w:val="pl-PL"/>
        </w:rPr>
        <w:t xml:space="preserve"> </w:t>
      </w:r>
    </w:p>
    <w:p w:rsidR="00B51D63" w:rsidRPr="009353E6" w:rsidRDefault="00B51D63"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Farmakokinetyka telmisartanu nie różni się w populacji osób w</w:t>
      </w:r>
      <w:r w:rsidR="00E02390" w:rsidRPr="009353E6">
        <w:rPr>
          <w:sz w:val="22"/>
          <w:szCs w:val="22"/>
          <w:lang w:val="pl-PL"/>
        </w:rPr>
        <w:t> </w:t>
      </w:r>
      <w:r w:rsidRPr="009353E6">
        <w:rPr>
          <w:sz w:val="22"/>
          <w:szCs w:val="22"/>
          <w:lang w:val="pl-PL"/>
        </w:rPr>
        <w:t>podeszłym wieku i osób poniżej 65 lat.</w:t>
      </w:r>
    </w:p>
    <w:p w:rsidR="002D3E1A" w:rsidRPr="009353E6" w:rsidRDefault="002D3E1A" w:rsidP="000D5BED">
      <w:pPr>
        <w:pStyle w:val="BodyText"/>
        <w:spacing w:line="240" w:lineRule="auto"/>
        <w:jc w:val="left"/>
        <w:rPr>
          <w:sz w:val="22"/>
          <w:szCs w:val="22"/>
          <w:lang w:val="pl-PL"/>
        </w:rPr>
      </w:pPr>
    </w:p>
    <w:p w:rsidR="00B51D63" w:rsidRPr="009353E6" w:rsidRDefault="002D3E1A" w:rsidP="000D5BED">
      <w:pPr>
        <w:pStyle w:val="BodyText"/>
        <w:spacing w:line="240" w:lineRule="auto"/>
        <w:jc w:val="left"/>
        <w:rPr>
          <w:sz w:val="22"/>
          <w:szCs w:val="22"/>
          <w:lang w:val="pl-PL"/>
        </w:rPr>
      </w:pPr>
      <w:r w:rsidRPr="009353E6">
        <w:rPr>
          <w:sz w:val="22"/>
          <w:szCs w:val="22"/>
          <w:u w:val="single"/>
          <w:lang w:val="pl-PL"/>
        </w:rPr>
        <w:t>Płeć</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Stężenia telmisartanu w osoczu są na ogół 2-3 razy większe u kobiet niż u mężczyzn. Jednakże w badaniach klinicznych nie wykazano istotnie wzmożonej reakcji na lek lub zwiększonej częstości występowania niedociśnienia ortostatycznego u kobiet. Nie ma więc potrzeby modyfikacji dawkowania. Zanotowano tendencję do większego stężenia hydrochlorotiazydu w osoczu u kobiet niż u mężczyzn. Nie uważa się jej za istotną klinicznie. </w:t>
      </w:r>
    </w:p>
    <w:p w:rsidR="002D3E1A" w:rsidRPr="009353E6" w:rsidRDefault="002D3E1A" w:rsidP="000D5BED">
      <w:pPr>
        <w:pStyle w:val="BodyText"/>
        <w:spacing w:line="240" w:lineRule="auto"/>
        <w:jc w:val="left"/>
        <w:rPr>
          <w:sz w:val="22"/>
          <w:szCs w:val="22"/>
          <w:lang w:val="pl-PL"/>
        </w:rPr>
      </w:pPr>
    </w:p>
    <w:p w:rsidR="00B51D63" w:rsidRPr="009353E6" w:rsidRDefault="00B51D63" w:rsidP="00E40CF2">
      <w:pPr>
        <w:pStyle w:val="BodyText"/>
        <w:keepNext/>
        <w:spacing w:line="240" w:lineRule="auto"/>
        <w:jc w:val="left"/>
        <w:rPr>
          <w:sz w:val="22"/>
          <w:szCs w:val="22"/>
          <w:lang w:val="pl-PL"/>
        </w:rPr>
      </w:pPr>
      <w:r w:rsidRPr="009353E6">
        <w:rPr>
          <w:sz w:val="22"/>
          <w:szCs w:val="22"/>
          <w:u w:val="single"/>
          <w:lang w:val="pl-PL"/>
        </w:rPr>
        <w:t>Zaburzenia czynności nerek</w:t>
      </w:r>
    </w:p>
    <w:p w:rsidR="002D3E1A" w:rsidRPr="009353E6" w:rsidRDefault="002D3E1A" w:rsidP="00E40CF2">
      <w:pPr>
        <w:pStyle w:val="BodyText"/>
        <w:keepNext/>
        <w:spacing w:line="240" w:lineRule="auto"/>
        <w:jc w:val="left"/>
        <w:rPr>
          <w:sz w:val="22"/>
          <w:szCs w:val="22"/>
          <w:lang w:val="pl-PL"/>
        </w:rPr>
      </w:pPr>
      <w:r w:rsidRPr="009353E6">
        <w:rPr>
          <w:sz w:val="22"/>
          <w:szCs w:val="22"/>
          <w:lang w:val="pl-PL"/>
        </w:rPr>
        <w:t>Wydalanie nerkowe nie wpływa na klirens telmisartanu. W</w:t>
      </w:r>
      <w:r w:rsidR="00E02390" w:rsidRPr="009353E6">
        <w:rPr>
          <w:sz w:val="22"/>
          <w:szCs w:val="22"/>
          <w:lang w:val="pl-PL"/>
        </w:rPr>
        <w:t> </w:t>
      </w:r>
      <w:r w:rsidRPr="009353E6">
        <w:rPr>
          <w:sz w:val="22"/>
          <w:szCs w:val="22"/>
          <w:lang w:val="pl-PL"/>
        </w:rPr>
        <w:t>oparciu o niewielkie doświadczenia z pacjentami z łagodnymi i umiarkowanymi zaburzeniami czynności nerek (klirens kreatyniny 30-60 ml/min, średnio około 50 ml/min) nie ma potrzeby dostosowania dawki u pacjentów ze zmniejszoną czynnością nerek. Telmisartanu nie można usunąć z</w:t>
      </w:r>
      <w:r w:rsidR="00E02390" w:rsidRPr="009353E6">
        <w:rPr>
          <w:sz w:val="22"/>
          <w:szCs w:val="22"/>
          <w:lang w:val="pl-PL"/>
        </w:rPr>
        <w:t> </w:t>
      </w:r>
      <w:r w:rsidRPr="009353E6">
        <w:rPr>
          <w:sz w:val="22"/>
          <w:szCs w:val="22"/>
          <w:lang w:val="pl-PL"/>
        </w:rPr>
        <w:t>krwi za pomocą hemodializy. U pacjentów z zaburzoną czynnością nerek, szybkość eliminacji hydrochlorotiazydu jest zmniejszona. W typowym badaniu, u pacjentów ze średnim klirensem kreatyniny na poziomie 90 ml/min, okres półtrwania eliminacji hydrochlorotiazydu był zwiększony. U</w:t>
      </w:r>
      <w:r w:rsidR="00E02390" w:rsidRPr="009353E6">
        <w:rPr>
          <w:sz w:val="22"/>
          <w:szCs w:val="22"/>
          <w:lang w:val="pl-PL"/>
        </w:rPr>
        <w:t> </w:t>
      </w:r>
      <w:r w:rsidRPr="009353E6">
        <w:rPr>
          <w:sz w:val="22"/>
          <w:szCs w:val="22"/>
          <w:lang w:val="pl-PL"/>
        </w:rPr>
        <w:t xml:space="preserve">pacjentów bez czynności nerek, okres półtrwania eliminacji wynosi 34 godziny. </w:t>
      </w:r>
    </w:p>
    <w:p w:rsidR="002D3E1A" w:rsidRPr="009353E6" w:rsidRDefault="002D3E1A" w:rsidP="000D5BED">
      <w:pPr>
        <w:pStyle w:val="BodyText"/>
        <w:spacing w:line="240" w:lineRule="auto"/>
        <w:jc w:val="left"/>
        <w:rPr>
          <w:sz w:val="22"/>
          <w:szCs w:val="22"/>
          <w:lang w:val="pl-PL"/>
        </w:rPr>
      </w:pPr>
    </w:p>
    <w:p w:rsidR="00B51D63" w:rsidRPr="009353E6" w:rsidRDefault="00B51D63" w:rsidP="004A0B9E">
      <w:pPr>
        <w:pStyle w:val="BodyText"/>
        <w:keepNext/>
        <w:spacing w:line="240" w:lineRule="auto"/>
        <w:jc w:val="left"/>
        <w:rPr>
          <w:sz w:val="22"/>
          <w:szCs w:val="22"/>
          <w:lang w:val="pl-PL"/>
        </w:rPr>
      </w:pPr>
      <w:r w:rsidRPr="009353E6">
        <w:rPr>
          <w:sz w:val="22"/>
          <w:szCs w:val="22"/>
          <w:u w:val="single"/>
          <w:lang w:val="pl-PL"/>
        </w:rPr>
        <w:t>Zaburzenia czynności wątroby</w:t>
      </w:r>
    </w:p>
    <w:p w:rsidR="003D10DA" w:rsidRPr="009353E6" w:rsidRDefault="002D3E1A" w:rsidP="000D5BED">
      <w:pPr>
        <w:pStyle w:val="BodyText"/>
        <w:spacing w:line="240" w:lineRule="auto"/>
        <w:jc w:val="left"/>
        <w:rPr>
          <w:sz w:val="22"/>
          <w:szCs w:val="22"/>
          <w:lang w:val="pl-PL"/>
        </w:rPr>
      </w:pPr>
      <w:r w:rsidRPr="009353E6">
        <w:rPr>
          <w:sz w:val="22"/>
          <w:szCs w:val="22"/>
          <w:lang w:val="pl-PL"/>
        </w:rPr>
        <w:t>Badania farmakokinetyczne u pacjentów z zaburzeniami czynności wątroby wykazały zwiększenie całkowitej biodostępności do prawie 100%. Okres półtrwania eliminacji pozostał nie zmieniony u pacjentów z niewydolnością wątroby.</w:t>
      </w:r>
    </w:p>
    <w:p w:rsidR="002D3E1A" w:rsidRPr="009353E6" w:rsidRDefault="002D3E1A" w:rsidP="000D5BED">
      <w:pPr>
        <w:pStyle w:val="BodyText"/>
        <w:spacing w:line="240" w:lineRule="auto"/>
        <w:jc w:val="left"/>
        <w:rPr>
          <w:sz w:val="22"/>
          <w:szCs w:val="22"/>
          <w:lang w:val="pl-PL"/>
        </w:rPr>
      </w:pPr>
    </w:p>
    <w:p w:rsidR="002D3E1A" w:rsidRPr="009353E6" w:rsidRDefault="002D3E1A" w:rsidP="004A0B9E">
      <w:pPr>
        <w:pStyle w:val="BodyText"/>
        <w:keepNext/>
        <w:tabs>
          <w:tab w:val="left" w:pos="540"/>
        </w:tabs>
        <w:spacing w:line="240" w:lineRule="auto"/>
        <w:jc w:val="left"/>
        <w:rPr>
          <w:b/>
          <w:sz w:val="22"/>
          <w:szCs w:val="22"/>
          <w:lang w:val="pl-PL"/>
        </w:rPr>
      </w:pPr>
      <w:r w:rsidRPr="009353E6">
        <w:rPr>
          <w:b/>
          <w:sz w:val="22"/>
          <w:szCs w:val="22"/>
          <w:lang w:val="pl-PL"/>
        </w:rPr>
        <w:t xml:space="preserve">5.3 </w:t>
      </w:r>
      <w:r w:rsidRPr="009353E6">
        <w:rPr>
          <w:b/>
          <w:sz w:val="22"/>
          <w:szCs w:val="22"/>
          <w:lang w:val="pl-PL"/>
        </w:rPr>
        <w:tab/>
        <w:t>Przedkliniczne dane o bezpieczeństwie</w:t>
      </w:r>
    </w:p>
    <w:p w:rsidR="002D3E1A" w:rsidRPr="009353E6" w:rsidRDefault="002D3E1A" w:rsidP="004A0B9E">
      <w:pPr>
        <w:pStyle w:val="BodyText"/>
        <w:keepNext/>
        <w:spacing w:line="240" w:lineRule="auto"/>
        <w:jc w:val="left"/>
        <w:rPr>
          <w:b/>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W badaniach przedklinicznych dotyczących łącznego podawania telmisartanu i hydrochlorotiazydu u szczurów i psów z prawidłowym ciśnieniem, dawki powodujące ekspozycję, porównywalne z klinicznymi dawkami terapeutycznymi, nie powodowały żadnych dodatkowych zmian, które nie byłyby wcześniej odnotowane w przypadku każdej z substancji podawanej oddzielnie. Obserwacje toksykologiczne poczynione w tych badaniach wydają się nie mieć znaczenia w przypadku zastosowania terapeutycznego u ludzi.</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Obserwacje toksykologiczne znane również z badań przedklinicznych inhibitorów enzymu konwertującego angiotensynę oraz antagonistów receptora angiotensyny II wskazują na: zmniejszenie parametrów dotyczących czerwonych krwinek (erytrocytów, hemoglobiny, hematokrytu), zmiany hemodynamiczne nerek (zwiększenie stężenia azotu mocznikowego we krwi i kreatyniny), zwiększenie aktywności reniny w osoczu, hipertrofię lub hiperplazję komórek aparatu przykłębuszkowego oraz uszkodzenia śluzówki żołądka. Uszkodzeniom przewodu pokarmowego można było zapobiegać podając doustnie roztwory soli i poprzez izolowanie zwierząt w grupach. U</w:t>
      </w:r>
      <w:r w:rsidR="00E02390" w:rsidRPr="009353E6">
        <w:rPr>
          <w:sz w:val="22"/>
          <w:szCs w:val="22"/>
          <w:lang w:val="pl-PL"/>
        </w:rPr>
        <w:t> </w:t>
      </w:r>
      <w:r w:rsidRPr="009353E6">
        <w:rPr>
          <w:sz w:val="22"/>
          <w:szCs w:val="22"/>
          <w:lang w:val="pl-PL"/>
        </w:rPr>
        <w:t>psów zaobserwowano rozszerzenie i zanik kanalików nerkowych. Uważa się, że działanie to jest związane z aktywnością farmakologiczną telmisartanu.</w:t>
      </w:r>
    </w:p>
    <w:p w:rsidR="00C7361A" w:rsidRPr="009353E6" w:rsidRDefault="00C7361A" w:rsidP="000D5BED">
      <w:pPr>
        <w:pStyle w:val="BodyText"/>
        <w:spacing w:line="240" w:lineRule="auto"/>
        <w:jc w:val="left"/>
        <w:rPr>
          <w:sz w:val="22"/>
          <w:szCs w:val="22"/>
          <w:lang w:val="pl-PL"/>
        </w:rPr>
      </w:pPr>
    </w:p>
    <w:p w:rsidR="00B80BEE" w:rsidRPr="009353E6" w:rsidRDefault="00B80BEE" w:rsidP="00B80BEE">
      <w:pPr>
        <w:rPr>
          <w:sz w:val="22"/>
          <w:szCs w:val="22"/>
          <w:lang w:val="pl-PL"/>
        </w:rPr>
      </w:pPr>
      <w:r w:rsidRPr="009353E6">
        <w:rPr>
          <w:sz w:val="22"/>
          <w:szCs w:val="22"/>
          <w:lang w:val="pl-PL"/>
        </w:rPr>
        <w:t xml:space="preserve">Nie zaobserwowano </w:t>
      </w:r>
      <w:r w:rsidR="00CD5EE5" w:rsidRPr="009353E6">
        <w:rPr>
          <w:sz w:val="22"/>
          <w:szCs w:val="22"/>
          <w:lang w:val="pl-PL"/>
        </w:rPr>
        <w:t>jednoznacznych</w:t>
      </w:r>
      <w:r w:rsidRPr="009353E6">
        <w:rPr>
          <w:sz w:val="22"/>
          <w:szCs w:val="22"/>
          <w:lang w:val="pl-PL"/>
        </w:rPr>
        <w:t xml:space="preserve"> dowodów na teratogenne działanie produktu, jednak po zastosowaniu toksycznych dawek telmisartanu obserwowano wpływ na rozwój noworodka, np. </w:t>
      </w:r>
      <w:r w:rsidR="00F710F6" w:rsidRPr="009353E6">
        <w:rPr>
          <w:sz w:val="22"/>
          <w:szCs w:val="22"/>
          <w:lang w:val="pl-PL"/>
        </w:rPr>
        <w:t>mniejsza</w:t>
      </w:r>
      <w:r w:rsidRPr="009353E6">
        <w:rPr>
          <w:sz w:val="22"/>
          <w:szCs w:val="22"/>
          <w:lang w:val="pl-PL"/>
        </w:rPr>
        <w:t xml:space="preserve"> masa ciała lub opóźniony czas otwarcia oczu.</w:t>
      </w:r>
    </w:p>
    <w:p w:rsidR="00C7361A" w:rsidRPr="009353E6" w:rsidRDefault="002D3E1A" w:rsidP="000D5BED">
      <w:pPr>
        <w:pStyle w:val="BodyText"/>
        <w:spacing w:line="240" w:lineRule="auto"/>
        <w:jc w:val="left"/>
        <w:rPr>
          <w:sz w:val="22"/>
          <w:szCs w:val="22"/>
          <w:lang w:val="pl-PL"/>
        </w:rPr>
      </w:pPr>
      <w:r w:rsidRPr="009353E6">
        <w:rPr>
          <w:sz w:val="22"/>
          <w:szCs w:val="22"/>
          <w:lang w:val="pl-PL"/>
        </w:rPr>
        <w:t xml:space="preserve">W badaniach </w:t>
      </w:r>
      <w:r w:rsidRPr="009353E6">
        <w:rPr>
          <w:i/>
          <w:iCs/>
          <w:sz w:val="22"/>
          <w:szCs w:val="22"/>
          <w:lang w:val="pl-PL"/>
        </w:rPr>
        <w:t>in vitro</w:t>
      </w:r>
      <w:r w:rsidRPr="009353E6">
        <w:rPr>
          <w:sz w:val="22"/>
          <w:szCs w:val="22"/>
          <w:lang w:val="pl-PL"/>
        </w:rPr>
        <w:t xml:space="preserve"> nie wykazano działania mutagennego telmisartanu i odpowiedniego działania klastogennego, nie ma również dowodów na działanie rakotwórcze u szczurów i myszy.</w:t>
      </w:r>
      <w:r w:rsidR="00C7361A" w:rsidRPr="009353E6">
        <w:rPr>
          <w:sz w:val="22"/>
          <w:szCs w:val="22"/>
          <w:lang w:val="pl-PL"/>
        </w:rPr>
        <w:t xml:space="preserve"> </w:t>
      </w:r>
      <w:r w:rsidRPr="009353E6">
        <w:rPr>
          <w:sz w:val="22"/>
          <w:szCs w:val="22"/>
          <w:lang w:val="pl-PL"/>
        </w:rPr>
        <w:t>Badania z</w:t>
      </w:r>
      <w:r w:rsidR="00E02390" w:rsidRPr="009353E6">
        <w:rPr>
          <w:sz w:val="22"/>
          <w:szCs w:val="22"/>
          <w:lang w:val="pl-PL"/>
        </w:rPr>
        <w:t> </w:t>
      </w:r>
      <w:r w:rsidRPr="009353E6">
        <w:rPr>
          <w:sz w:val="22"/>
          <w:szCs w:val="22"/>
          <w:lang w:val="pl-PL"/>
        </w:rPr>
        <w:t xml:space="preserve">hydrochlorotiazydem w niektórych modelach doświadczalnych wykazały niejednoznacznie działanie genotoksyczne lub rakotwórcze. Jednakże szerokie doświadczenia ze stosowaniem hydrochlorotiazydu u ludzi nie wykazały związku pomiędzy jego stosowaniem a zwiększonym występowaniem nowotworów. </w:t>
      </w: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W celu uzyskania informacji o fetotoksyczności </w:t>
      </w:r>
      <w:r w:rsidR="00F710F6" w:rsidRPr="009353E6">
        <w:rPr>
          <w:sz w:val="22"/>
          <w:szCs w:val="22"/>
          <w:lang w:val="pl-PL"/>
        </w:rPr>
        <w:t>produkt</w:t>
      </w:r>
      <w:r w:rsidRPr="009353E6">
        <w:rPr>
          <w:sz w:val="22"/>
          <w:szCs w:val="22"/>
          <w:lang w:val="pl-PL"/>
        </w:rPr>
        <w:t>u złożonego zawierającego telmisartan i</w:t>
      </w:r>
      <w:r w:rsidR="00E02390" w:rsidRPr="009353E6">
        <w:rPr>
          <w:sz w:val="22"/>
          <w:szCs w:val="22"/>
          <w:lang w:val="pl-PL"/>
        </w:rPr>
        <w:t> </w:t>
      </w:r>
      <w:r w:rsidRPr="009353E6">
        <w:rPr>
          <w:sz w:val="22"/>
          <w:szCs w:val="22"/>
          <w:lang w:val="pl-PL"/>
        </w:rPr>
        <w:t>hydrochlotiazyd patrz punkt 4.6</w:t>
      </w:r>
      <w:r w:rsidR="00F7475E" w:rsidRPr="009353E6">
        <w:rPr>
          <w:sz w:val="22"/>
          <w:szCs w:val="22"/>
          <w:lang w:val="pl-PL"/>
        </w:rPr>
        <w:t>.</w:t>
      </w:r>
    </w:p>
    <w:p w:rsidR="00F7475E" w:rsidRPr="009353E6" w:rsidRDefault="00F7475E" w:rsidP="000D5BED">
      <w:pPr>
        <w:pStyle w:val="BodyText"/>
        <w:spacing w:line="240" w:lineRule="auto"/>
        <w:jc w:val="left"/>
        <w:rPr>
          <w:sz w:val="22"/>
          <w:szCs w:val="22"/>
          <w:lang w:val="pl-PL"/>
        </w:rPr>
      </w:pPr>
    </w:p>
    <w:p w:rsidR="006D2DCA" w:rsidRPr="009353E6" w:rsidRDefault="006D2DCA" w:rsidP="000D5BED">
      <w:pPr>
        <w:pStyle w:val="BodyText"/>
        <w:spacing w:line="240" w:lineRule="auto"/>
        <w:jc w:val="left"/>
        <w:rPr>
          <w:sz w:val="22"/>
          <w:szCs w:val="22"/>
          <w:lang w:val="pl-PL"/>
        </w:rPr>
      </w:pPr>
    </w:p>
    <w:p w:rsidR="002D3E1A" w:rsidRPr="009353E6" w:rsidRDefault="002D3E1A" w:rsidP="004A0B9E">
      <w:pPr>
        <w:pStyle w:val="BodyText"/>
        <w:keepNext/>
        <w:tabs>
          <w:tab w:val="left" w:pos="540"/>
        </w:tabs>
        <w:spacing w:line="240" w:lineRule="auto"/>
        <w:jc w:val="left"/>
        <w:rPr>
          <w:b/>
          <w:sz w:val="22"/>
          <w:szCs w:val="22"/>
          <w:lang w:val="pl-PL"/>
        </w:rPr>
      </w:pPr>
      <w:r w:rsidRPr="009353E6">
        <w:rPr>
          <w:b/>
          <w:sz w:val="22"/>
          <w:szCs w:val="22"/>
          <w:lang w:val="pl-PL"/>
        </w:rPr>
        <w:t xml:space="preserve">6. </w:t>
      </w:r>
      <w:r w:rsidRPr="009353E6">
        <w:rPr>
          <w:b/>
          <w:sz w:val="22"/>
          <w:szCs w:val="22"/>
          <w:lang w:val="pl-PL"/>
        </w:rPr>
        <w:tab/>
        <w:t>DANE FARMACEUTYCZNE</w:t>
      </w:r>
    </w:p>
    <w:p w:rsidR="002D3E1A" w:rsidRPr="009353E6" w:rsidRDefault="002D3E1A" w:rsidP="004A0B9E">
      <w:pPr>
        <w:pStyle w:val="BodyText"/>
        <w:keepNext/>
        <w:spacing w:line="240" w:lineRule="auto"/>
        <w:jc w:val="left"/>
        <w:rPr>
          <w:b/>
          <w:sz w:val="22"/>
          <w:szCs w:val="22"/>
          <w:lang w:val="pl-PL"/>
        </w:rPr>
      </w:pPr>
    </w:p>
    <w:p w:rsidR="002D3E1A" w:rsidRPr="009353E6" w:rsidRDefault="002D3E1A" w:rsidP="004A0B9E">
      <w:pPr>
        <w:pStyle w:val="BodyText"/>
        <w:keepNext/>
        <w:tabs>
          <w:tab w:val="left" w:pos="540"/>
        </w:tabs>
        <w:spacing w:line="240" w:lineRule="auto"/>
        <w:jc w:val="left"/>
        <w:rPr>
          <w:b/>
          <w:sz w:val="22"/>
          <w:szCs w:val="22"/>
          <w:lang w:val="pl-PL"/>
        </w:rPr>
      </w:pPr>
      <w:r w:rsidRPr="009353E6">
        <w:rPr>
          <w:b/>
          <w:sz w:val="22"/>
          <w:szCs w:val="22"/>
          <w:lang w:val="pl-PL"/>
        </w:rPr>
        <w:t xml:space="preserve">6.1 </w:t>
      </w:r>
      <w:r w:rsidRPr="009353E6">
        <w:rPr>
          <w:b/>
          <w:sz w:val="22"/>
          <w:szCs w:val="22"/>
          <w:lang w:val="pl-PL"/>
        </w:rPr>
        <w:tab/>
        <w:t>Wykaz substancji pomocniczych</w:t>
      </w:r>
      <w:r w:rsidRPr="009353E6">
        <w:rPr>
          <w:b/>
          <w:sz w:val="22"/>
          <w:szCs w:val="22"/>
          <w:lang w:val="pl-PL"/>
        </w:rPr>
        <w:br/>
      </w:r>
    </w:p>
    <w:p w:rsidR="002D3E1A" w:rsidRPr="009353E6" w:rsidRDefault="002D3E1A" w:rsidP="000D5BED">
      <w:pPr>
        <w:pStyle w:val="BodyText"/>
        <w:spacing w:line="240" w:lineRule="auto"/>
        <w:jc w:val="left"/>
        <w:rPr>
          <w:sz w:val="22"/>
          <w:szCs w:val="22"/>
          <w:lang w:val="pl-PL"/>
        </w:rPr>
      </w:pPr>
      <w:r w:rsidRPr="009353E6">
        <w:rPr>
          <w:sz w:val="22"/>
          <w:szCs w:val="22"/>
          <w:lang w:val="pl-PL"/>
        </w:rPr>
        <w:t>Laktoza jednowodna</w:t>
      </w:r>
    </w:p>
    <w:p w:rsidR="002D3E1A" w:rsidRPr="009353E6" w:rsidRDefault="00542F0E" w:rsidP="000D5BED">
      <w:pPr>
        <w:pStyle w:val="BodyText"/>
        <w:spacing w:line="240" w:lineRule="auto"/>
        <w:jc w:val="left"/>
        <w:rPr>
          <w:sz w:val="22"/>
          <w:szCs w:val="22"/>
          <w:lang w:val="pl-PL"/>
        </w:rPr>
      </w:pPr>
      <w:r w:rsidRPr="009353E6">
        <w:rPr>
          <w:sz w:val="22"/>
          <w:szCs w:val="22"/>
          <w:lang w:val="pl-PL"/>
        </w:rPr>
        <w:t>Magnezu s</w:t>
      </w:r>
      <w:r w:rsidR="002D3E1A" w:rsidRPr="009353E6">
        <w:rPr>
          <w:sz w:val="22"/>
          <w:szCs w:val="22"/>
          <w:lang w:val="pl-PL"/>
        </w:rPr>
        <w:t>tearynian</w:t>
      </w:r>
    </w:p>
    <w:p w:rsidR="002D3E1A" w:rsidRPr="009353E6" w:rsidRDefault="000D5544" w:rsidP="000D5BED">
      <w:pPr>
        <w:pStyle w:val="BodyText"/>
        <w:spacing w:line="240" w:lineRule="auto"/>
        <w:jc w:val="left"/>
        <w:rPr>
          <w:sz w:val="22"/>
          <w:szCs w:val="22"/>
          <w:lang w:val="pl-PL"/>
        </w:rPr>
      </w:pPr>
      <w:r w:rsidRPr="009353E6">
        <w:rPr>
          <w:sz w:val="22"/>
          <w:szCs w:val="22"/>
          <w:lang w:val="pl-PL"/>
        </w:rPr>
        <w:t>S</w:t>
      </w:r>
      <w:r w:rsidR="002D3E1A" w:rsidRPr="009353E6">
        <w:rPr>
          <w:sz w:val="22"/>
          <w:szCs w:val="22"/>
          <w:lang w:val="pl-PL"/>
        </w:rPr>
        <w:t xml:space="preserve">krobia kukurydziana </w:t>
      </w:r>
    </w:p>
    <w:p w:rsidR="002D3E1A" w:rsidRPr="009353E6" w:rsidRDefault="000D5544" w:rsidP="000D5BED">
      <w:pPr>
        <w:pStyle w:val="BodyText"/>
        <w:spacing w:line="240" w:lineRule="auto"/>
        <w:jc w:val="left"/>
        <w:rPr>
          <w:sz w:val="22"/>
          <w:szCs w:val="22"/>
          <w:lang w:val="pl-PL"/>
        </w:rPr>
      </w:pPr>
      <w:r w:rsidRPr="009353E6">
        <w:rPr>
          <w:sz w:val="22"/>
          <w:szCs w:val="22"/>
          <w:lang w:val="pl-PL"/>
        </w:rPr>
        <w:t>M</w:t>
      </w:r>
      <w:r w:rsidR="002D3E1A" w:rsidRPr="009353E6">
        <w:rPr>
          <w:sz w:val="22"/>
          <w:szCs w:val="22"/>
          <w:lang w:val="pl-PL"/>
        </w:rPr>
        <w:t xml:space="preserve">eglumina </w:t>
      </w:r>
    </w:p>
    <w:p w:rsidR="002D3E1A" w:rsidRPr="009353E6" w:rsidRDefault="000D5544" w:rsidP="000D5BED">
      <w:pPr>
        <w:pStyle w:val="BodyText"/>
        <w:spacing w:line="240" w:lineRule="auto"/>
        <w:jc w:val="left"/>
        <w:rPr>
          <w:sz w:val="22"/>
          <w:szCs w:val="22"/>
          <w:lang w:val="pl-PL"/>
        </w:rPr>
      </w:pPr>
      <w:r w:rsidRPr="009353E6">
        <w:rPr>
          <w:sz w:val="22"/>
          <w:szCs w:val="22"/>
          <w:lang w:val="pl-PL"/>
        </w:rPr>
        <w:t>C</w:t>
      </w:r>
      <w:r w:rsidR="002D3E1A" w:rsidRPr="009353E6">
        <w:rPr>
          <w:sz w:val="22"/>
          <w:szCs w:val="22"/>
          <w:lang w:val="pl-PL"/>
        </w:rPr>
        <w:t xml:space="preserve">eluloza mikrokrystaliczna </w:t>
      </w:r>
    </w:p>
    <w:p w:rsidR="002D3E1A" w:rsidRPr="009353E6" w:rsidRDefault="000D5544" w:rsidP="000D5BED">
      <w:pPr>
        <w:pStyle w:val="BodyText"/>
        <w:spacing w:line="240" w:lineRule="auto"/>
        <w:jc w:val="left"/>
        <w:rPr>
          <w:sz w:val="22"/>
          <w:szCs w:val="22"/>
          <w:lang w:val="pl-PL"/>
        </w:rPr>
      </w:pPr>
      <w:r w:rsidRPr="009353E6">
        <w:rPr>
          <w:sz w:val="22"/>
          <w:szCs w:val="22"/>
          <w:lang w:val="pl-PL"/>
        </w:rPr>
        <w:t>P</w:t>
      </w:r>
      <w:r w:rsidR="002D3E1A" w:rsidRPr="009353E6">
        <w:rPr>
          <w:sz w:val="22"/>
          <w:szCs w:val="22"/>
          <w:lang w:val="pl-PL"/>
        </w:rPr>
        <w:t>owidon (K25)</w:t>
      </w:r>
    </w:p>
    <w:p w:rsidR="002D3E1A" w:rsidRPr="009353E6" w:rsidRDefault="00542F0E" w:rsidP="000D5BED">
      <w:pPr>
        <w:pStyle w:val="BodyText"/>
        <w:spacing w:line="240" w:lineRule="auto"/>
        <w:jc w:val="left"/>
        <w:rPr>
          <w:sz w:val="22"/>
          <w:szCs w:val="22"/>
          <w:lang w:val="pl-PL"/>
        </w:rPr>
      </w:pPr>
      <w:r w:rsidRPr="009353E6">
        <w:rPr>
          <w:sz w:val="22"/>
          <w:szCs w:val="22"/>
          <w:lang w:val="pl-PL"/>
        </w:rPr>
        <w:t>Żelaza tlenek c</w:t>
      </w:r>
      <w:r w:rsidR="002D3E1A" w:rsidRPr="009353E6">
        <w:rPr>
          <w:sz w:val="22"/>
          <w:szCs w:val="22"/>
          <w:lang w:val="pl-PL"/>
        </w:rPr>
        <w:t>zerwony (E172)</w:t>
      </w:r>
    </w:p>
    <w:p w:rsidR="002D3E1A" w:rsidRPr="009353E6" w:rsidRDefault="00542F0E" w:rsidP="000D5BED">
      <w:pPr>
        <w:pStyle w:val="BodyText"/>
        <w:spacing w:line="240" w:lineRule="auto"/>
        <w:jc w:val="left"/>
        <w:rPr>
          <w:sz w:val="22"/>
          <w:szCs w:val="22"/>
          <w:lang w:val="pl-PL"/>
        </w:rPr>
      </w:pPr>
      <w:r w:rsidRPr="009353E6">
        <w:rPr>
          <w:sz w:val="22"/>
          <w:szCs w:val="22"/>
          <w:lang w:val="pl-PL"/>
        </w:rPr>
        <w:t>Sodu w</w:t>
      </w:r>
      <w:r w:rsidR="002D3E1A" w:rsidRPr="009353E6">
        <w:rPr>
          <w:sz w:val="22"/>
          <w:szCs w:val="22"/>
          <w:lang w:val="pl-PL"/>
        </w:rPr>
        <w:t>odorotlenek</w:t>
      </w:r>
    </w:p>
    <w:p w:rsidR="002D3E1A" w:rsidRPr="009353E6" w:rsidRDefault="00542F0E" w:rsidP="000D5BED">
      <w:pPr>
        <w:pStyle w:val="BodyText"/>
        <w:spacing w:line="240" w:lineRule="auto"/>
        <w:jc w:val="left"/>
        <w:rPr>
          <w:sz w:val="22"/>
          <w:szCs w:val="22"/>
          <w:lang w:val="pl-PL"/>
        </w:rPr>
      </w:pPr>
      <w:r w:rsidRPr="009353E6">
        <w:rPr>
          <w:sz w:val="22"/>
          <w:szCs w:val="22"/>
          <w:lang w:val="pl-PL"/>
        </w:rPr>
        <w:t xml:space="preserve">Karboksymetyloskrobia sodowa </w:t>
      </w:r>
      <w:r w:rsidR="002D3E1A" w:rsidRPr="009353E6">
        <w:rPr>
          <w:sz w:val="22"/>
          <w:szCs w:val="22"/>
          <w:lang w:val="pl-PL"/>
        </w:rPr>
        <w:t>(typ A)</w:t>
      </w:r>
    </w:p>
    <w:p w:rsidR="002D3E1A" w:rsidRPr="009353E6" w:rsidRDefault="000D5544" w:rsidP="000D5BED">
      <w:pPr>
        <w:pStyle w:val="BodyText"/>
        <w:spacing w:line="240" w:lineRule="auto"/>
        <w:jc w:val="left"/>
        <w:rPr>
          <w:sz w:val="22"/>
          <w:szCs w:val="22"/>
          <w:lang w:val="pl-PL"/>
        </w:rPr>
      </w:pPr>
      <w:r w:rsidRPr="009353E6">
        <w:rPr>
          <w:sz w:val="22"/>
          <w:szCs w:val="22"/>
          <w:lang w:val="pl-PL"/>
        </w:rPr>
        <w:t>S</w:t>
      </w:r>
      <w:r w:rsidR="002D3E1A" w:rsidRPr="009353E6">
        <w:rPr>
          <w:sz w:val="22"/>
          <w:szCs w:val="22"/>
          <w:lang w:val="pl-PL"/>
        </w:rPr>
        <w:t>orbitol (E420)</w:t>
      </w:r>
    </w:p>
    <w:p w:rsidR="002D3E1A" w:rsidRPr="009353E6" w:rsidRDefault="002D3E1A" w:rsidP="000D5BED">
      <w:pPr>
        <w:pStyle w:val="BodyText"/>
        <w:spacing w:line="240" w:lineRule="auto"/>
        <w:jc w:val="left"/>
        <w:rPr>
          <w:sz w:val="22"/>
          <w:szCs w:val="22"/>
          <w:lang w:val="pl-PL"/>
        </w:rPr>
      </w:pPr>
    </w:p>
    <w:p w:rsidR="002D3E1A" w:rsidRPr="009353E6" w:rsidRDefault="002D3E1A" w:rsidP="004A0B9E">
      <w:pPr>
        <w:pStyle w:val="BodyText"/>
        <w:keepNext/>
        <w:tabs>
          <w:tab w:val="left" w:pos="540"/>
        </w:tabs>
        <w:spacing w:line="240" w:lineRule="auto"/>
        <w:jc w:val="left"/>
        <w:rPr>
          <w:b/>
          <w:sz w:val="22"/>
          <w:szCs w:val="22"/>
          <w:lang w:val="pl-PL"/>
        </w:rPr>
      </w:pPr>
      <w:r w:rsidRPr="009353E6">
        <w:rPr>
          <w:b/>
          <w:sz w:val="22"/>
          <w:szCs w:val="22"/>
          <w:lang w:val="pl-PL"/>
        </w:rPr>
        <w:t xml:space="preserve">6.2 </w:t>
      </w:r>
      <w:r w:rsidRPr="009353E6">
        <w:rPr>
          <w:b/>
          <w:sz w:val="22"/>
          <w:szCs w:val="22"/>
          <w:lang w:val="pl-PL"/>
        </w:rPr>
        <w:tab/>
        <w:t>Niezgodności farmaceutyczne</w:t>
      </w:r>
    </w:p>
    <w:p w:rsidR="002D3E1A" w:rsidRPr="009353E6" w:rsidRDefault="002D3E1A" w:rsidP="004A0B9E">
      <w:pPr>
        <w:pStyle w:val="BodyText"/>
        <w:keepNext/>
        <w:spacing w:line="240" w:lineRule="auto"/>
        <w:jc w:val="left"/>
        <w:rPr>
          <w:b/>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Nie dotyczy.</w:t>
      </w:r>
    </w:p>
    <w:p w:rsidR="002D3E1A" w:rsidRPr="009353E6" w:rsidRDefault="002D3E1A" w:rsidP="000D5BED">
      <w:pPr>
        <w:pStyle w:val="BodyText"/>
        <w:spacing w:line="240" w:lineRule="auto"/>
        <w:jc w:val="left"/>
        <w:rPr>
          <w:sz w:val="22"/>
          <w:szCs w:val="22"/>
          <w:lang w:val="pl-PL"/>
        </w:rPr>
      </w:pPr>
    </w:p>
    <w:p w:rsidR="002D3E1A" w:rsidRPr="009353E6" w:rsidRDefault="002D3E1A" w:rsidP="00E72715">
      <w:pPr>
        <w:pStyle w:val="BodyText"/>
        <w:tabs>
          <w:tab w:val="left" w:pos="540"/>
        </w:tabs>
        <w:spacing w:line="240" w:lineRule="auto"/>
        <w:jc w:val="left"/>
        <w:rPr>
          <w:b/>
          <w:sz w:val="22"/>
          <w:szCs w:val="22"/>
          <w:lang w:val="pl-PL"/>
        </w:rPr>
      </w:pPr>
      <w:r w:rsidRPr="009353E6">
        <w:rPr>
          <w:b/>
          <w:sz w:val="22"/>
          <w:szCs w:val="22"/>
          <w:lang w:val="pl-PL"/>
        </w:rPr>
        <w:t xml:space="preserve">6.3 </w:t>
      </w:r>
      <w:r w:rsidRPr="009353E6">
        <w:rPr>
          <w:b/>
          <w:sz w:val="22"/>
          <w:szCs w:val="22"/>
          <w:lang w:val="pl-PL"/>
        </w:rPr>
        <w:tab/>
        <w:t xml:space="preserve">Okres </w:t>
      </w:r>
      <w:r w:rsidR="00F04D8B" w:rsidRPr="009353E6">
        <w:rPr>
          <w:b/>
          <w:sz w:val="22"/>
          <w:szCs w:val="22"/>
          <w:lang w:val="pl-PL"/>
        </w:rPr>
        <w:t>ważno</w:t>
      </w:r>
      <w:r w:rsidR="00F710F6" w:rsidRPr="009353E6">
        <w:rPr>
          <w:b/>
          <w:sz w:val="22"/>
          <w:szCs w:val="22"/>
          <w:lang w:val="pl-PL"/>
        </w:rPr>
        <w:t>ś</w:t>
      </w:r>
      <w:r w:rsidR="00F04D8B" w:rsidRPr="009353E6">
        <w:rPr>
          <w:b/>
          <w:sz w:val="22"/>
          <w:szCs w:val="22"/>
          <w:lang w:val="pl-PL"/>
        </w:rPr>
        <w:t>ci</w:t>
      </w:r>
      <w:r w:rsidRPr="009353E6">
        <w:rPr>
          <w:b/>
          <w:sz w:val="22"/>
          <w:szCs w:val="22"/>
          <w:lang w:val="pl-PL"/>
        </w:rPr>
        <w:br/>
      </w:r>
    </w:p>
    <w:p w:rsidR="003D10DA" w:rsidRPr="009353E6" w:rsidRDefault="002D3E1A" w:rsidP="000D5BED">
      <w:pPr>
        <w:pStyle w:val="BodyText"/>
        <w:spacing w:line="240" w:lineRule="auto"/>
        <w:jc w:val="left"/>
        <w:rPr>
          <w:sz w:val="22"/>
          <w:szCs w:val="22"/>
          <w:lang w:val="pl-PL"/>
        </w:rPr>
      </w:pPr>
      <w:r w:rsidRPr="009353E6">
        <w:rPr>
          <w:sz w:val="22"/>
          <w:szCs w:val="22"/>
          <w:lang w:val="pl-PL"/>
        </w:rPr>
        <w:t>3</w:t>
      </w:r>
      <w:r w:rsidR="008C0D84" w:rsidRPr="009353E6">
        <w:rPr>
          <w:sz w:val="22"/>
          <w:szCs w:val="22"/>
          <w:lang w:val="pl-PL"/>
        </w:rPr>
        <w:t> </w:t>
      </w:r>
      <w:r w:rsidRPr="009353E6">
        <w:rPr>
          <w:sz w:val="22"/>
          <w:szCs w:val="22"/>
          <w:lang w:val="pl-PL"/>
        </w:rPr>
        <w:t>lata</w:t>
      </w:r>
    </w:p>
    <w:p w:rsidR="002D3E1A" w:rsidRPr="009353E6" w:rsidRDefault="002D3E1A" w:rsidP="000D5BED">
      <w:pPr>
        <w:pStyle w:val="BodyText"/>
        <w:spacing w:line="240" w:lineRule="auto"/>
        <w:jc w:val="left"/>
        <w:rPr>
          <w:sz w:val="22"/>
          <w:szCs w:val="22"/>
          <w:lang w:val="pl-PL"/>
        </w:rPr>
      </w:pPr>
    </w:p>
    <w:p w:rsidR="002D3E1A" w:rsidRPr="009353E6" w:rsidRDefault="002D3E1A" w:rsidP="00E72715">
      <w:pPr>
        <w:pStyle w:val="BodyText"/>
        <w:tabs>
          <w:tab w:val="left" w:pos="540"/>
        </w:tabs>
        <w:spacing w:line="240" w:lineRule="auto"/>
        <w:jc w:val="left"/>
        <w:rPr>
          <w:b/>
          <w:sz w:val="22"/>
          <w:szCs w:val="22"/>
          <w:lang w:val="pl-PL"/>
        </w:rPr>
      </w:pPr>
      <w:r w:rsidRPr="009353E6">
        <w:rPr>
          <w:b/>
          <w:sz w:val="22"/>
          <w:szCs w:val="22"/>
          <w:lang w:val="pl-PL"/>
        </w:rPr>
        <w:t xml:space="preserve">6.4 </w:t>
      </w:r>
      <w:r w:rsidRPr="009353E6">
        <w:rPr>
          <w:b/>
          <w:sz w:val="22"/>
          <w:szCs w:val="22"/>
          <w:lang w:val="pl-PL"/>
        </w:rPr>
        <w:tab/>
        <w:t xml:space="preserve">Specjalne środki ostrożności </w:t>
      </w:r>
      <w:r w:rsidR="00F04D8B" w:rsidRPr="009353E6">
        <w:rPr>
          <w:b/>
          <w:sz w:val="22"/>
          <w:szCs w:val="22"/>
          <w:lang w:val="pl-PL"/>
        </w:rPr>
        <w:t xml:space="preserve">podczas </w:t>
      </w:r>
      <w:r w:rsidRPr="009353E6">
        <w:rPr>
          <w:b/>
          <w:sz w:val="22"/>
          <w:szCs w:val="22"/>
          <w:lang w:val="pl-PL"/>
        </w:rPr>
        <w:t>przechowywani</w:t>
      </w:r>
      <w:r w:rsidR="00F04D8B" w:rsidRPr="009353E6">
        <w:rPr>
          <w:b/>
          <w:sz w:val="22"/>
          <w:szCs w:val="22"/>
          <w:lang w:val="pl-PL"/>
        </w:rPr>
        <w:t>a</w:t>
      </w:r>
      <w:r w:rsidRPr="009353E6">
        <w:rPr>
          <w:b/>
          <w:sz w:val="22"/>
          <w:szCs w:val="22"/>
          <w:lang w:val="pl-PL"/>
        </w:rPr>
        <w:br/>
      </w:r>
    </w:p>
    <w:p w:rsidR="002D3E1A" w:rsidRPr="009353E6" w:rsidRDefault="00FA076F" w:rsidP="000D5BED">
      <w:pPr>
        <w:pStyle w:val="BodyText"/>
        <w:spacing w:line="240" w:lineRule="auto"/>
        <w:jc w:val="left"/>
        <w:rPr>
          <w:sz w:val="22"/>
          <w:szCs w:val="22"/>
          <w:lang w:val="pl-PL"/>
        </w:rPr>
      </w:pPr>
      <w:r w:rsidRPr="009353E6">
        <w:rPr>
          <w:sz w:val="22"/>
          <w:szCs w:val="22"/>
          <w:lang w:val="pl-PL"/>
        </w:rPr>
        <w:t xml:space="preserve">Brak szczególnych wymagań dotyczących </w:t>
      </w:r>
      <w:r w:rsidR="00B51D63" w:rsidRPr="009353E6">
        <w:rPr>
          <w:sz w:val="22"/>
          <w:szCs w:val="22"/>
          <w:lang w:val="pl-PL"/>
        </w:rPr>
        <w:t xml:space="preserve">temperatury </w:t>
      </w:r>
      <w:r w:rsidRPr="009353E6">
        <w:rPr>
          <w:sz w:val="22"/>
          <w:szCs w:val="22"/>
          <w:lang w:val="pl-PL"/>
        </w:rPr>
        <w:t xml:space="preserve">przechowywania produktu leczniczego. </w:t>
      </w:r>
      <w:r w:rsidR="002D3E1A" w:rsidRPr="009353E6">
        <w:rPr>
          <w:sz w:val="22"/>
          <w:szCs w:val="22"/>
          <w:lang w:val="pl-PL"/>
        </w:rPr>
        <w:t>Przechowywać w oryginalnym opakowaniu w celu ochrony przed wilgocią.</w:t>
      </w:r>
    </w:p>
    <w:p w:rsidR="002D3E1A" w:rsidRPr="009353E6" w:rsidRDefault="002D3E1A" w:rsidP="000D5BED">
      <w:pPr>
        <w:pStyle w:val="BodyText"/>
        <w:spacing w:line="240" w:lineRule="auto"/>
        <w:jc w:val="left"/>
        <w:rPr>
          <w:sz w:val="22"/>
          <w:szCs w:val="22"/>
          <w:lang w:val="pl-PL"/>
        </w:rPr>
      </w:pPr>
    </w:p>
    <w:p w:rsidR="002D3E1A" w:rsidRPr="009353E6" w:rsidRDefault="002D3E1A" w:rsidP="001159E1">
      <w:pPr>
        <w:pStyle w:val="BodyText"/>
        <w:keepNext/>
        <w:tabs>
          <w:tab w:val="left" w:pos="540"/>
        </w:tabs>
        <w:spacing w:line="240" w:lineRule="auto"/>
        <w:jc w:val="left"/>
        <w:rPr>
          <w:b/>
          <w:sz w:val="22"/>
          <w:szCs w:val="22"/>
          <w:lang w:val="pl-PL"/>
        </w:rPr>
      </w:pPr>
      <w:r w:rsidRPr="009353E6">
        <w:rPr>
          <w:b/>
          <w:sz w:val="22"/>
          <w:szCs w:val="22"/>
          <w:lang w:val="pl-PL"/>
        </w:rPr>
        <w:t xml:space="preserve">6.5 </w:t>
      </w:r>
      <w:r w:rsidRPr="009353E6">
        <w:rPr>
          <w:b/>
          <w:sz w:val="22"/>
          <w:szCs w:val="22"/>
          <w:lang w:val="pl-PL"/>
        </w:rPr>
        <w:tab/>
        <w:t xml:space="preserve">Rodzaj i zawartość opakowania </w:t>
      </w:r>
      <w:r w:rsidRPr="009353E6">
        <w:rPr>
          <w:b/>
          <w:sz w:val="22"/>
          <w:szCs w:val="22"/>
          <w:lang w:val="pl-PL"/>
        </w:rPr>
        <w:br/>
      </w:r>
    </w:p>
    <w:p w:rsidR="000D5544" w:rsidRPr="009353E6" w:rsidRDefault="000D5544" w:rsidP="001159E1">
      <w:pPr>
        <w:pStyle w:val="BodyText"/>
        <w:keepNext/>
        <w:spacing w:line="240" w:lineRule="auto"/>
        <w:jc w:val="left"/>
        <w:rPr>
          <w:sz w:val="22"/>
          <w:szCs w:val="22"/>
          <w:lang w:val="pl-PL"/>
        </w:rPr>
      </w:pPr>
      <w:r w:rsidRPr="009353E6">
        <w:rPr>
          <w:sz w:val="22"/>
          <w:szCs w:val="22"/>
          <w:lang w:val="pl-PL"/>
        </w:rPr>
        <w:t xml:space="preserve">Blistry </w:t>
      </w:r>
      <w:r w:rsidR="003F4FF7" w:rsidRPr="009353E6">
        <w:rPr>
          <w:sz w:val="22"/>
          <w:szCs w:val="22"/>
          <w:lang w:val="pl-PL"/>
        </w:rPr>
        <w:t>A</w:t>
      </w:r>
      <w:r w:rsidRPr="009353E6">
        <w:rPr>
          <w:sz w:val="22"/>
          <w:szCs w:val="22"/>
          <w:lang w:val="pl-PL"/>
        </w:rPr>
        <w:t>luminium/</w:t>
      </w:r>
      <w:r w:rsidR="003F4FF7" w:rsidRPr="009353E6">
        <w:rPr>
          <w:sz w:val="22"/>
          <w:szCs w:val="22"/>
          <w:lang w:val="pl-PL"/>
        </w:rPr>
        <w:t>A</w:t>
      </w:r>
      <w:r w:rsidRPr="009353E6">
        <w:rPr>
          <w:sz w:val="22"/>
          <w:szCs w:val="22"/>
          <w:lang w:val="pl-PL"/>
        </w:rPr>
        <w:t>luminium (PA/Al/PVC/Al lub PA/PA/Al/PVC/</w:t>
      </w:r>
      <w:r w:rsidR="003F4FF7" w:rsidRPr="009353E6">
        <w:rPr>
          <w:sz w:val="22"/>
          <w:szCs w:val="22"/>
          <w:lang w:val="pl-PL"/>
        </w:rPr>
        <w:t>Al)</w:t>
      </w:r>
      <w:r w:rsidRPr="009353E6">
        <w:rPr>
          <w:sz w:val="22"/>
          <w:szCs w:val="22"/>
          <w:lang w:val="pl-PL"/>
        </w:rPr>
        <w:t>. Jeden blister zawiera 7 lub 10 tabletek.</w:t>
      </w:r>
    </w:p>
    <w:p w:rsidR="000D5544" w:rsidRPr="009353E6" w:rsidRDefault="000D5544" w:rsidP="000D5BED">
      <w:pPr>
        <w:pStyle w:val="BodyText"/>
        <w:spacing w:line="240" w:lineRule="auto"/>
        <w:jc w:val="left"/>
        <w:rPr>
          <w:sz w:val="22"/>
          <w:szCs w:val="22"/>
          <w:lang w:val="pl-PL"/>
        </w:rPr>
      </w:pPr>
    </w:p>
    <w:p w:rsidR="00B51D63" w:rsidRPr="009353E6" w:rsidRDefault="000D5544" w:rsidP="000D5BED">
      <w:pPr>
        <w:pStyle w:val="BodyText"/>
        <w:spacing w:line="240" w:lineRule="auto"/>
        <w:jc w:val="left"/>
        <w:rPr>
          <w:sz w:val="22"/>
          <w:szCs w:val="22"/>
          <w:lang w:val="pl-PL"/>
        </w:rPr>
      </w:pPr>
      <w:r w:rsidRPr="009353E6">
        <w:rPr>
          <w:sz w:val="22"/>
          <w:szCs w:val="22"/>
          <w:lang w:val="pl-PL"/>
        </w:rPr>
        <w:t xml:space="preserve">Wielkości opakowań: </w:t>
      </w:r>
    </w:p>
    <w:p w:rsidR="00B51D63" w:rsidRPr="009353E6" w:rsidRDefault="00B51D63" w:rsidP="000D5BED">
      <w:pPr>
        <w:pStyle w:val="BodyText"/>
        <w:spacing w:line="240" w:lineRule="auto"/>
        <w:jc w:val="left"/>
        <w:rPr>
          <w:sz w:val="22"/>
          <w:szCs w:val="22"/>
          <w:lang w:val="pl-PL"/>
        </w:rPr>
      </w:pPr>
      <w:r w:rsidRPr="009353E6">
        <w:rPr>
          <w:sz w:val="22"/>
          <w:szCs w:val="22"/>
          <w:lang w:val="pl-PL"/>
        </w:rPr>
        <w:t>-</w:t>
      </w:r>
      <w:r w:rsidRPr="009353E6">
        <w:rPr>
          <w:sz w:val="22"/>
          <w:szCs w:val="22"/>
          <w:lang w:val="pl-PL"/>
        </w:rPr>
        <w:tab/>
        <w:t>B</w:t>
      </w:r>
      <w:r w:rsidR="000D5544" w:rsidRPr="009353E6">
        <w:rPr>
          <w:sz w:val="22"/>
          <w:szCs w:val="22"/>
          <w:lang w:val="pl-PL"/>
        </w:rPr>
        <w:t xml:space="preserve">listry po 14, 28, 56, 84 lub 98 tabletek lub </w:t>
      </w:r>
    </w:p>
    <w:p w:rsidR="000D5544" w:rsidRPr="009353E6" w:rsidRDefault="00B51D63" w:rsidP="00B51D63">
      <w:pPr>
        <w:pStyle w:val="BodyText"/>
        <w:spacing w:line="240" w:lineRule="auto"/>
        <w:ind w:left="705" w:hanging="705"/>
        <w:jc w:val="left"/>
        <w:rPr>
          <w:sz w:val="22"/>
          <w:szCs w:val="22"/>
          <w:lang w:val="pl-PL"/>
        </w:rPr>
      </w:pPr>
      <w:r w:rsidRPr="009353E6">
        <w:rPr>
          <w:sz w:val="22"/>
          <w:szCs w:val="22"/>
          <w:lang w:val="pl-PL"/>
        </w:rPr>
        <w:t>-</w:t>
      </w:r>
      <w:r w:rsidRPr="009353E6">
        <w:rPr>
          <w:sz w:val="22"/>
          <w:szCs w:val="22"/>
          <w:lang w:val="pl-PL"/>
        </w:rPr>
        <w:tab/>
        <w:t>P</w:t>
      </w:r>
      <w:r w:rsidR="000D5544" w:rsidRPr="009353E6">
        <w:rPr>
          <w:sz w:val="22"/>
          <w:szCs w:val="22"/>
          <w:lang w:val="pl-PL"/>
        </w:rPr>
        <w:t xml:space="preserve">erforowane blistry </w:t>
      </w:r>
      <w:r w:rsidR="003F4FF7" w:rsidRPr="009353E6">
        <w:rPr>
          <w:sz w:val="22"/>
          <w:szCs w:val="22"/>
          <w:lang w:val="pl-PL"/>
        </w:rPr>
        <w:t xml:space="preserve">podzielone na </w:t>
      </w:r>
      <w:r w:rsidR="000D5544" w:rsidRPr="009353E6">
        <w:rPr>
          <w:sz w:val="22"/>
          <w:szCs w:val="22"/>
          <w:lang w:val="pl-PL"/>
        </w:rPr>
        <w:t>dawki pojedyncz</w:t>
      </w:r>
      <w:r w:rsidR="003F4FF7" w:rsidRPr="009353E6">
        <w:rPr>
          <w:sz w:val="22"/>
          <w:szCs w:val="22"/>
          <w:lang w:val="pl-PL"/>
        </w:rPr>
        <w:t>e</w:t>
      </w:r>
      <w:r w:rsidR="000D5544" w:rsidRPr="009353E6">
        <w:rPr>
          <w:sz w:val="22"/>
          <w:szCs w:val="22"/>
          <w:lang w:val="pl-PL"/>
        </w:rPr>
        <w:t>, zawierające 28 x 1</w:t>
      </w:r>
      <w:r w:rsidR="00862844" w:rsidRPr="009353E6">
        <w:rPr>
          <w:sz w:val="22"/>
          <w:szCs w:val="22"/>
          <w:lang w:val="pl-PL"/>
        </w:rPr>
        <w:t>, 30 x 1 lub 90 x 1</w:t>
      </w:r>
      <w:r w:rsidR="000D5544" w:rsidRPr="009353E6">
        <w:rPr>
          <w:sz w:val="22"/>
          <w:szCs w:val="22"/>
          <w:lang w:val="pl-PL"/>
        </w:rPr>
        <w:t xml:space="preserve"> </w:t>
      </w:r>
      <w:r w:rsidRPr="009353E6">
        <w:rPr>
          <w:sz w:val="22"/>
          <w:szCs w:val="22"/>
          <w:lang w:val="pl-PL"/>
        </w:rPr>
        <w:t xml:space="preserve"> </w:t>
      </w:r>
      <w:r w:rsidR="000D5544" w:rsidRPr="009353E6">
        <w:rPr>
          <w:sz w:val="22"/>
          <w:szCs w:val="22"/>
          <w:lang w:val="pl-PL"/>
        </w:rPr>
        <w:t>tabletk</w:t>
      </w:r>
      <w:r w:rsidR="00E77514" w:rsidRPr="009353E6">
        <w:rPr>
          <w:sz w:val="22"/>
          <w:szCs w:val="22"/>
          <w:lang w:val="pl-PL"/>
        </w:rPr>
        <w:t>a</w:t>
      </w:r>
      <w:r w:rsidR="000D5544" w:rsidRPr="009353E6">
        <w:rPr>
          <w:sz w:val="22"/>
          <w:szCs w:val="22"/>
          <w:lang w:val="pl-PL"/>
        </w:rPr>
        <w:t>.</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r w:rsidRPr="009353E6">
        <w:rPr>
          <w:sz w:val="22"/>
          <w:szCs w:val="22"/>
          <w:lang w:val="pl-PL"/>
        </w:rPr>
        <w:t xml:space="preserve">Nie wszystkie </w:t>
      </w:r>
      <w:r w:rsidR="003C7885" w:rsidRPr="009353E6">
        <w:rPr>
          <w:sz w:val="22"/>
          <w:szCs w:val="22"/>
          <w:lang w:val="pl-PL"/>
        </w:rPr>
        <w:t xml:space="preserve">wielkości </w:t>
      </w:r>
      <w:r w:rsidRPr="009353E6">
        <w:rPr>
          <w:sz w:val="22"/>
          <w:szCs w:val="22"/>
          <w:lang w:val="pl-PL"/>
        </w:rPr>
        <w:t>opakowań muszą znajdować się w obrocie.</w:t>
      </w:r>
    </w:p>
    <w:p w:rsidR="002D3E1A" w:rsidRPr="009353E6" w:rsidRDefault="002D3E1A" w:rsidP="000D5BED">
      <w:pPr>
        <w:pStyle w:val="BodyText"/>
        <w:spacing w:line="240" w:lineRule="auto"/>
        <w:jc w:val="left"/>
        <w:rPr>
          <w:b/>
          <w:sz w:val="22"/>
          <w:szCs w:val="22"/>
          <w:lang w:val="pl-PL"/>
        </w:rPr>
      </w:pPr>
    </w:p>
    <w:p w:rsidR="00B51D63" w:rsidRPr="009353E6" w:rsidRDefault="002D3E1A" w:rsidP="00B51D63">
      <w:pPr>
        <w:ind w:left="567" w:hanging="567"/>
        <w:rPr>
          <w:sz w:val="22"/>
          <w:szCs w:val="22"/>
          <w:lang w:val="pl-PL"/>
        </w:rPr>
      </w:pPr>
      <w:r w:rsidRPr="009353E6">
        <w:rPr>
          <w:b/>
          <w:sz w:val="22"/>
          <w:szCs w:val="22"/>
          <w:lang w:val="pl-PL"/>
        </w:rPr>
        <w:t>6.6</w:t>
      </w:r>
      <w:r w:rsidRPr="009353E6">
        <w:rPr>
          <w:b/>
          <w:sz w:val="22"/>
          <w:szCs w:val="22"/>
          <w:lang w:val="pl-PL"/>
        </w:rPr>
        <w:tab/>
      </w:r>
      <w:r w:rsidR="00F04D8B" w:rsidRPr="009353E6">
        <w:rPr>
          <w:b/>
          <w:sz w:val="22"/>
          <w:szCs w:val="22"/>
          <w:lang w:val="pl-PL"/>
        </w:rPr>
        <w:t xml:space="preserve">Specjalne </w:t>
      </w:r>
      <w:r w:rsidR="00C7361A" w:rsidRPr="009353E6">
        <w:rPr>
          <w:b/>
          <w:sz w:val="22"/>
          <w:szCs w:val="22"/>
          <w:lang w:val="pl-PL"/>
        </w:rPr>
        <w:t xml:space="preserve">środki ostrożności dotyczące usuwania </w:t>
      </w:r>
      <w:r w:rsidR="00B51D63" w:rsidRPr="009353E6">
        <w:rPr>
          <w:b/>
          <w:sz w:val="22"/>
          <w:szCs w:val="22"/>
          <w:lang w:val="pl-PL"/>
        </w:rPr>
        <w:t>i przygotowania produktu leczniczego do stosowania</w:t>
      </w:r>
    </w:p>
    <w:p w:rsidR="00B51D63" w:rsidRPr="009353E6" w:rsidRDefault="00B51D63" w:rsidP="00B51D63">
      <w:pPr>
        <w:rPr>
          <w:sz w:val="22"/>
          <w:szCs w:val="22"/>
          <w:lang w:val="pl-PL"/>
        </w:rPr>
      </w:pPr>
    </w:p>
    <w:p w:rsidR="00B51D63" w:rsidRPr="009353E6" w:rsidRDefault="00B51D63" w:rsidP="00B51D63">
      <w:pPr>
        <w:rPr>
          <w:sz w:val="22"/>
          <w:szCs w:val="22"/>
          <w:lang w:val="pl-PL"/>
        </w:rPr>
      </w:pPr>
      <w:r w:rsidRPr="009353E6">
        <w:rPr>
          <w:sz w:val="22"/>
          <w:szCs w:val="22"/>
          <w:lang w:val="pl-PL"/>
        </w:rPr>
        <w:t xml:space="preserve">MicardisPlus należy przechowywać w szczelnym blistrze ze względu na higroskopijne właściwości tabletek. Tabletki należy wyjmować z blistra bezpośrednio przed przyjęciem. </w:t>
      </w:r>
    </w:p>
    <w:p w:rsidR="002D3E1A" w:rsidRPr="009353E6" w:rsidRDefault="002D3E1A" w:rsidP="000D5BED">
      <w:pPr>
        <w:pStyle w:val="BodyText"/>
        <w:spacing w:line="240" w:lineRule="auto"/>
        <w:jc w:val="left"/>
        <w:rPr>
          <w:sz w:val="22"/>
          <w:szCs w:val="22"/>
          <w:lang w:val="pl-PL"/>
        </w:rPr>
      </w:pPr>
      <w:r w:rsidRPr="009353E6">
        <w:rPr>
          <w:sz w:val="22"/>
          <w:szCs w:val="22"/>
          <w:lang w:val="pl-PL"/>
        </w:rPr>
        <w:t>Czasami zdarza się, że zewnętrzna powłoka blistra odkleja się od wewnętrznej pomiędzy kieszeniami blistra. W tych przypadkach nie ma potrzeby podejmowania żadnych działań.</w:t>
      </w:r>
    </w:p>
    <w:p w:rsidR="002D3E1A" w:rsidRPr="009353E6" w:rsidRDefault="002D3E1A" w:rsidP="000D5BED">
      <w:pPr>
        <w:pStyle w:val="BodyText"/>
        <w:spacing w:line="240" w:lineRule="auto"/>
        <w:jc w:val="left"/>
        <w:rPr>
          <w:sz w:val="22"/>
          <w:szCs w:val="22"/>
          <w:lang w:val="pl-PL"/>
        </w:rPr>
      </w:pPr>
    </w:p>
    <w:p w:rsidR="00AC65FC" w:rsidRPr="009353E6" w:rsidRDefault="00AC65FC" w:rsidP="000D5BED">
      <w:pPr>
        <w:pStyle w:val="BodyText"/>
        <w:spacing w:line="240" w:lineRule="auto"/>
        <w:jc w:val="left"/>
        <w:rPr>
          <w:sz w:val="22"/>
          <w:szCs w:val="22"/>
          <w:lang w:val="pl-PL"/>
        </w:rPr>
      </w:pPr>
      <w:r w:rsidRPr="009353E6">
        <w:rPr>
          <w:sz w:val="22"/>
          <w:szCs w:val="22"/>
          <w:lang w:val="pl-PL"/>
        </w:rPr>
        <w:t>Wszelkie niewykorzystane resztki produktu leczniczego lub jego odpady należy usunąć zgodnie z lokalnymi przepisami.</w:t>
      </w:r>
    </w:p>
    <w:p w:rsidR="00AC65FC" w:rsidRPr="009353E6" w:rsidRDefault="00AC65FC"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p>
    <w:p w:rsidR="002D3E1A" w:rsidRPr="009353E6" w:rsidRDefault="002D3E1A" w:rsidP="00E72715">
      <w:pPr>
        <w:pStyle w:val="BodyText"/>
        <w:tabs>
          <w:tab w:val="left" w:pos="540"/>
        </w:tabs>
        <w:spacing w:line="240" w:lineRule="auto"/>
        <w:ind w:left="540" w:hanging="540"/>
        <w:jc w:val="left"/>
        <w:rPr>
          <w:b/>
          <w:sz w:val="22"/>
          <w:szCs w:val="22"/>
          <w:lang w:val="pl-PL"/>
        </w:rPr>
      </w:pPr>
      <w:r w:rsidRPr="009353E6">
        <w:rPr>
          <w:b/>
          <w:sz w:val="22"/>
          <w:szCs w:val="22"/>
          <w:lang w:val="pl-PL"/>
        </w:rPr>
        <w:t xml:space="preserve">7. </w:t>
      </w:r>
      <w:r w:rsidRPr="009353E6">
        <w:rPr>
          <w:b/>
          <w:sz w:val="22"/>
          <w:szCs w:val="22"/>
          <w:lang w:val="pl-PL"/>
        </w:rPr>
        <w:tab/>
        <w:t>PODMIOT ODPOWIEDZIALNY POSIADAJĄCY POZWOLENIE NA DOPUSZCZENIE DO OBROTU</w:t>
      </w:r>
      <w:r w:rsidRPr="009353E6">
        <w:rPr>
          <w:b/>
          <w:sz w:val="22"/>
          <w:szCs w:val="22"/>
          <w:lang w:val="pl-PL"/>
        </w:rPr>
        <w:br/>
      </w:r>
    </w:p>
    <w:p w:rsidR="002D3E1A" w:rsidRPr="009353E6" w:rsidRDefault="002D3E1A" w:rsidP="000D5BED">
      <w:pPr>
        <w:pStyle w:val="BodyText"/>
        <w:spacing w:line="240" w:lineRule="auto"/>
        <w:jc w:val="left"/>
        <w:rPr>
          <w:sz w:val="22"/>
          <w:szCs w:val="22"/>
          <w:lang w:val="pl-PL"/>
        </w:rPr>
      </w:pPr>
      <w:r w:rsidRPr="009353E6">
        <w:rPr>
          <w:sz w:val="22"/>
          <w:szCs w:val="22"/>
          <w:lang w:val="pl-PL"/>
        </w:rPr>
        <w:t>Boehringer Ingelheim International GmbH</w:t>
      </w:r>
    </w:p>
    <w:p w:rsidR="002D3E1A" w:rsidRPr="009353E6" w:rsidRDefault="002D3E1A" w:rsidP="000D5BED">
      <w:pPr>
        <w:pStyle w:val="BodyText"/>
        <w:spacing w:line="240" w:lineRule="auto"/>
        <w:jc w:val="left"/>
        <w:rPr>
          <w:sz w:val="22"/>
          <w:szCs w:val="22"/>
          <w:lang w:val="pl-PL"/>
        </w:rPr>
      </w:pPr>
      <w:r w:rsidRPr="009353E6">
        <w:rPr>
          <w:sz w:val="22"/>
          <w:szCs w:val="22"/>
          <w:lang w:val="pl-PL"/>
        </w:rPr>
        <w:t>Binger Str</w:t>
      </w:r>
      <w:r w:rsidR="00C7361A" w:rsidRPr="009353E6">
        <w:rPr>
          <w:sz w:val="22"/>
          <w:szCs w:val="22"/>
          <w:lang w:val="pl-PL"/>
        </w:rPr>
        <w:t>. 173</w:t>
      </w:r>
    </w:p>
    <w:p w:rsidR="002D3E1A" w:rsidRPr="009353E6" w:rsidRDefault="002D3E1A" w:rsidP="000D5BED">
      <w:pPr>
        <w:pStyle w:val="BodyText"/>
        <w:spacing w:line="240" w:lineRule="auto"/>
        <w:jc w:val="left"/>
        <w:rPr>
          <w:sz w:val="22"/>
          <w:szCs w:val="22"/>
          <w:lang w:val="pl-PL"/>
        </w:rPr>
      </w:pPr>
      <w:r w:rsidRPr="009353E6">
        <w:rPr>
          <w:sz w:val="22"/>
          <w:szCs w:val="22"/>
          <w:lang w:val="pl-PL"/>
        </w:rPr>
        <w:t>D-55216 Ingelheim am Rhein</w:t>
      </w:r>
    </w:p>
    <w:p w:rsidR="002D3E1A" w:rsidRPr="009353E6" w:rsidRDefault="002D3E1A" w:rsidP="000D5BED">
      <w:pPr>
        <w:pStyle w:val="BodyText"/>
        <w:spacing w:line="240" w:lineRule="auto"/>
        <w:jc w:val="left"/>
        <w:rPr>
          <w:sz w:val="22"/>
          <w:szCs w:val="22"/>
          <w:lang w:val="pl-PL"/>
        </w:rPr>
      </w:pPr>
      <w:r w:rsidRPr="009353E6">
        <w:rPr>
          <w:sz w:val="22"/>
          <w:szCs w:val="22"/>
          <w:lang w:val="pl-PL"/>
        </w:rPr>
        <w:t>Niemcy</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p>
    <w:p w:rsidR="002D3E1A" w:rsidRPr="009353E6" w:rsidRDefault="002D3E1A" w:rsidP="00E40CF2">
      <w:pPr>
        <w:pStyle w:val="BodyText"/>
        <w:keepNext/>
        <w:tabs>
          <w:tab w:val="left" w:pos="540"/>
        </w:tabs>
        <w:spacing w:line="240" w:lineRule="auto"/>
        <w:jc w:val="left"/>
        <w:rPr>
          <w:b/>
          <w:sz w:val="22"/>
          <w:szCs w:val="22"/>
          <w:lang w:val="pl-PL"/>
        </w:rPr>
      </w:pPr>
      <w:r w:rsidRPr="009353E6">
        <w:rPr>
          <w:b/>
          <w:sz w:val="22"/>
          <w:szCs w:val="22"/>
          <w:lang w:val="pl-PL"/>
        </w:rPr>
        <w:t xml:space="preserve">8. </w:t>
      </w:r>
      <w:r w:rsidRPr="009353E6">
        <w:rPr>
          <w:b/>
          <w:sz w:val="22"/>
          <w:szCs w:val="22"/>
          <w:lang w:val="pl-PL"/>
        </w:rPr>
        <w:tab/>
        <w:t>NUMER</w:t>
      </w:r>
      <w:r w:rsidR="00C7361A" w:rsidRPr="009353E6">
        <w:rPr>
          <w:b/>
          <w:sz w:val="22"/>
          <w:szCs w:val="22"/>
          <w:lang w:val="pl-PL"/>
        </w:rPr>
        <w:t>Y</w:t>
      </w:r>
      <w:r w:rsidRPr="009353E6">
        <w:rPr>
          <w:b/>
          <w:sz w:val="22"/>
          <w:szCs w:val="22"/>
          <w:lang w:val="pl-PL"/>
        </w:rPr>
        <w:t xml:space="preserve"> POZWOLE</w:t>
      </w:r>
      <w:r w:rsidR="00C7361A" w:rsidRPr="009353E6">
        <w:rPr>
          <w:b/>
          <w:sz w:val="22"/>
          <w:szCs w:val="22"/>
          <w:lang w:val="pl-PL"/>
        </w:rPr>
        <w:t>Ń</w:t>
      </w:r>
      <w:r w:rsidRPr="009353E6">
        <w:rPr>
          <w:b/>
          <w:sz w:val="22"/>
          <w:szCs w:val="22"/>
          <w:lang w:val="pl-PL"/>
        </w:rPr>
        <w:t xml:space="preserve"> NA DOPUSZCZENIE DO OBROTU</w:t>
      </w:r>
    </w:p>
    <w:p w:rsidR="002D3E1A" w:rsidRPr="009353E6" w:rsidRDefault="002D3E1A" w:rsidP="00E40CF2">
      <w:pPr>
        <w:pStyle w:val="BodyText"/>
        <w:keepNext/>
        <w:spacing w:line="240" w:lineRule="auto"/>
        <w:jc w:val="left"/>
        <w:rPr>
          <w:sz w:val="22"/>
          <w:szCs w:val="22"/>
          <w:lang w:val="pl-PL"/>
        </w:rPr>
      </w:pPr>
    </w:p>
    <w:p w:rsidR="00E2307A" w:rsidRPr="009353E6" w:rsidRDefault="00E2307A" w:rsidP="00E2307A">
      <w:pPr>
        <w:pStyle w:val="BodyText"/>
        <w:keepNext/>
        <w:spacing w:line="240" w:lineRule="auto"/>
        <w:jc w:val="left"/>
        <w:rPr>
          <w:sz w:val="22"/>
          <w:szCs w:val="22"/>
          <w:u w:val="single"/>
          <w:lang w:val="pl-PL"/>
        </w:rPr>
      </w:pPr>
      <w:r w:rsidRPr="009353E6">
        <w:rPr>
          <w:sz w:val="22"/>
          <w:szCs w:val="22"/>
          <w:u w:val="single"/>
          <w:lang w:val="pl-PL"/>
        </w:rPr>
        <w:t>MicardisPlus 40 mg/12,5 mg tabletki</w:t>
      </w:r>
    </w:p>
    <w:p w:rsidR="00E2307A" w:rsidRPr="009353E6" w:rsidRDefault="00E2307A" w:rsidP="00E2307A">
      <w:pPr>
        <w:rPr>
          <w:sz w:val="22"/>
          <w:szCs w:val="22"/>
          <w:lang w:val="pl-PL"/>
        </w:rPr>
      </w:pPr>
      <w:r w:rsidRPr="009353E6">
        <w:rPr>
          <w:sz w:val="22"/>
          <w:szCs w:val="22"/>
          <w:lang w:val="pl-PL"/>
        </w:rPr>
        <w:t>EU/1/02/213/001-005, 011, 013-014</w:t>
      </w:r>
    </w:p>
    <w:p w:rsidR="00E2307A" w:rsidRPr="009353E6" w:rsidRDefault="00E2307A" w:rsidP="00E2307A">
      <w:pPr>
        <w:pStyle w:val="BodyText"/>
        <w:spacing w:line="240" w:lineRule="auto"/>
        <w:jc w:val="left"/>
        <w:rPr>
          <w:sz w:val="22"/>
          <w:szCs w:val="22"/>
          <w:lang w:val="pl-PL"/>
        </w:rPr>
      </w:pPr>
    </w:p>
    <w:p w:rsidR="00E2307A" w:rsidRPr="009353E6" w:rsidRDefault="00E2307A" w:rsidP="00E2307A">
      <w:pPr>
        <w:pStyle w:val="BodyText"/>
        <w:keepNext/>
        <w:spacing w:line="240" w:lineRule="auto"/>
        <w:jc w:val="left"/>
        <w:rPr>
          <w:sz w:val="22"/>
          <w:szCs w:val="22"/>
          <w:u w:val="single"/>
          <w:lang w:val="pl-PL"/>
        </w:rPr>
      </w:pPr>
      <w:r w:rsidRPr="009353E6">
        <w:rPr>
          <w:sz w:val="22"/>
          <w:szCs w:val="22"/>
          <w:u w:val="single"/>
          <w:lang w:val="pl-PL"/>
        </w:rPr>
        <w:t>MicardisPlus 80 mg/12,5 mg tabletki</w:t>
      </w:r>
    </w:p>
    <w:p w:rsidR="00E2307A" w:rsidRPr="009353E6" w:rsidRDefault="00E2307A" w:rsidP="00E2307A">
      <w:pPr>
        <w:rPr>
          <w:sz w:val="22"/>
          <w:szCs w:val="22"/>
          <w:lang w:val="pl-PL"/>
        </w:rPr>
      </w:pPr>
      <w:r w:rsidRPr="009353E6">
        <w:rPr>
          <w:sz w:val="22"/>
          <w:szCs w:val="22"/>
          <w:lang w:val="pl-PL"/>
        </w:rPr>
        <w:t>EU/1/02/213/006-010, 012, 015-016</w:t>
      </w:r>
    </w:p>
    <w:p w:rsidR="002D3E1A" w:rsidRPr="009353E6" w:rsidRDefault="002D3E1A" w:rsidP="000D5BED">
      <w:pPr>
        <w:pStyle w:val="BodyText"/>
        <w:spacing w:line="240" w:lineRule="auto"/>
        <w:jc w:val="left"/>
        <w:rPr>
          <w:sz w:val="22"/>
          <w:szCs w:val="22"/>
          <w:lang w:val="pl-PL"/>
        </w:rPr>
      </w:pPr>
    </w:p>
    <w:p w:rsidR="00A34468" w:rsidRPr="009353E6" w:rsidRDefault="00A34468" w:rsidP="000D5BED">
      <w:pPr>
        <w:pStyle w:val="BodyText"/>
        <w:spacing w:line="240" w:lineRule="auto"/>
        <w:jc w:val="left"/>
        <w:rPr>
          <w:sz w:val="22"/>
          <w:szCs w:val="22"/>
          <w:lang w:val="pl-PL"/>
        </w:rPr>
      </w:pPr>
    </w:p>
    <w:p w:rsidR="002D3E1A" w:rsidRPr="009353E6" w:rsidRDefault="002D3E1A" w:rsidP="004A0B9E">
      <w:pPr>
        <w:pStyle w:val="BodyText"/>
        <w:keepNext/>
        <w:tabs>
          <w:tab w:val="left" w:pos="540"/>
        </w:tabs>
        <w:spacing w:line="240" w:lineRule="auto"/>
        <w:ind w:left="540" w:hanging="540"/>
        <w:jc w:val="left"/>
        <w:rPr>
          <w:b/>
          <w:sz w:val="22"/>
          <w:szCs w:val="22"/>
          <w:lang w:val="pl-PL"/>
        </w:rPr>
      </w:pPr>
      <w:r w:rsidRPr="009353E6">
        <w:rPr>
          <w:b/>
          <w:sz w:val="22"/>
          <w:szCs w:val="22"/>
          <w:lang w:val="pl-PL"/>
        </w:rPr>
        <w:t>9.</w:t>
      </w:r>
      <w:r w:rsidRPr="009353E6">
        <w:rPr>
          <w:b/>
          <w:sz w:val="22"/>
          <w:szCs w:val="22"/>
          <w:lang w:val="pl-PL"/>
        </w:rPr>
        <w:tab/>
      </w:r>
      <w:smartTag w:uri="urn:schemas-microsoft-com:office:smarttags" w:element="stockticker">
        <w:r w:rsidRPr="009353E6">
          <w:rPr>
            <w:b/>
            <w:sz w:val="22"/>
            <w:szCs w:val="22"/>
            <w:lang w:val="pl-PL"/>
          </w:rPr>
          <w:t>DATA</w:t>
        </w:r>
      </w:smartTag>
      <w:r w:rsidRPr="009353E6">
        <w:rPr>
          <w:b/>
          <w:sz w:val="22"/>
          <w:szCs w:val="22"/>
          <w:lang w:val="pl-PL"/>
        </w:rPr>
        <w:t xml:space="preserve"> WYDANIA PIERWSZEGO POZWOLENIA NA DOPUSZCZENIE DO OBROTU</w:t>
      </w:r>
      <w:r w:rsidR="005612DD" w:rsidRPr="009353E6">
        <w:rPr>
          <w:b/>
          <w:sz w:val="22"/>
          <w:szCs w:val="22"/>
          <w:lang w:val="pl-PL"/>
        </w:rPr>
        <w:t xml:space="preserve"> </w:t>
      </w:r>
      <w:r w:rsidR="00CF1C0F" w:rsidRPr="009353E6">
        <w:rPr>
          <w:b/>
          <w:sz w:val="22"/>
          <w:szCs w:val="22"/>
          <w:lang w:val="pl-PL"/>
        </w:rPr>
        <w:t>I</w:t>
      </w:r>
      <w:r w:rsidRPr="009353E6">
        <w:rPr>
          <w:b/>
          <w:sz w:val="22"/>
          <w:szCs w:val="22"/>
          <w:lang w:val="pl-PL"/>
        </w:rPr>
        <w:t xml:space="preserve"> </w:t>
      </w:r>
      <w:smartTag w:uri="urn:schemas-microsoft-com:office:smarttags" w:element="stockticker">
        <w:r w:rsidRPr="009353E6">
          <w:rPr>
            <w:b/>
            <w:sz w:val="22"/>
            <w:szCs w:val="22"/>
            <w:lang w:val="pl-PL"/>
          </w:rPr>
          <w:t>DATA</w:t>
        </w:r>
      </w:smartTag>
      <w:r w:rsidRPr="009353E6">
        <w:rPr>
          <w:b/>
          <w:sz w:val="22"/>
          <w:szCs w:val="22"/>
          <w:lang w:val="pl-PL"/>
        </w:rPr>
        <w:t xml:space="preserve"> PRZEDŁUŻENIA POZWOLENIA</w:t>
      </w:r>
    </w:p>
    <w:p w:rsidR="002D3E1A" w:rsidRPr="009353E6" w:rsidRDefault="002D3E1A" w:rsidP="004A0B9E">
      <w:pPr>
        <w:pStyle w:val="BodyText"/>
        <w:keepNext/>
        <w:spacing w:line="240" w:lineRule="auto"/>
        <w:jc w:val="left"/>
        <w:rPr>
          <w:sz w:val="22"/>
          <w:szCs w:val="22"/>
          <w:lang w:val="pl-PL"/>
        </w:rPr>
      </w:pPr>
    </w:p>
    <w:p w:rsidR="00794B70" w:rsidRPr="009353E6" w:rsidRDefault="00B51D63" w:rsidP="000D5BED">
      <w:pPr>
        <w:pStyle w:val="BodyText"/>
        <w:spacing w:line="240" w:lineRule="auto"/>
        <w:jc w:val="left"/>
        <w:rPr>
          <w:sz w:val="22"/>
          <w:szCs w:val="22"/>
          <w:lang w:val="pl-PL"/>
        </w:rPr>
      </w:pPr>
      <w:r w:rsidRPr="009353E6">
        <w:rPr>
          <w:sz w:val="22"/>
          <w:szCs w:val="22"/>
          <w:lang w:val="pl-PL"/>
        </w:rPr>
        <w:t>Data wydania pierwszego pozwolenia na dopuszczenie do obrotu</w:t>
      </w:r>
      <w:r w:rsidR="00794B70" w:rsidRPr="009353E6">
        <w:rPr>
          <w:sz w:val="22"/>
          <w:szCs w:val="22"/>
          <w:lang w:val="pl-PL"/>
        </w:rPr>
        <w:t>: 19 kwietnia 2002</w:t>
      </w:r>
    </w:p>
    <w:p w:rsidR="00794B70" w:rsidRPr="009353E6" w:rsidRDefault="00B51D63" w:rsidP="000D5BED">
      <w:pPr>
        <w:pStyle w:val="BodyText"/>
        <w:spacing w:line="240" w:lineRule="auto"/>
        <w:jc w:val="left"/>
        <w:rPr>
          <w:sz w:val="22"/>
          <w:szCs w:val="22"/>
          <w:lang w:val="pl-PL"/>
        </w:rPr>
      </w:pPr>
      <w:r w:rsidRPr="009353E6">
        <w:rPr>
          <w:sz w:val="22"/>
          <w:szCs w:val="22"/>
          <w:lang w:val="pl-PL"/>
        </w:rPr>
        <w:t>Data ostatniego przedłużenia pozwolenia</w:t>
      </w:r>
      <w:r w:rsidR="00794B70" w:rsidRPr="009353E6">
        <w:rPr>
          <w:sz w:val="22"/>
          <w:szCs w:val="22"/>
          <w:lang w:val="pl-PL"/>
        </w:rPr>
        <w:t xml:space="preserve">: </w:t>
      </w:r>
      <w:r w:rsidR="00F52B74" w:rsidRPr="009353E6">
        <w:rPr>
          <w:sz w:val="22"/>
          <w:szCs w:val="22"/>
          <w:lang w:val="pl-PL"/>
        </w:rPr>
        <w:t>23</w:t>
      </w:r>
      <w:r w:rsidR="00794B70" w:rsidRPr="009353E6">
        <w:rPr>
          <w:sz w:val="22"/>
          <w:szCs w:val="22"/>
          <w:lang w:val="pl-PL"/>
        </w:rPr>
        <w:t xml:space="preserve"> kwietnia 2007</w:t>
      </w:r>
    </w:p>
    <w:p w:rsidR="002D3E1A" w:rsidRPr="009353E6" w:rsidRDefault="002D3E1A" w:rsidP="000D5BED">
      <w:pPr>
        <w:pStyle w:val="BodyText"/>
        <w:spacing w:line="240" w:lineRule="auto"/>
        <w:jc w:val="left"/>
        <w:rPr>
          <w:sz w:val="22"/>
          <w:szCs w:val="22"/>
          <w:lang w:val="pl-PL"/>
        </w:rPr>
      </w:pPr>
    </w:p>
    <w:p w:rsidR="002D3E1A" w:rsidRPr="009353E6" w:rsidRDefault="002D3E1A" w:rsidP="000D5BED">
      <w:pPr>
        <w:pStyle w:val="BodyText"/>
        <w:spacing w:line="240" w:lineRule="auto"/>
        <w:jc w:val="left"/>
        <w:rPr>
          <w:sz w:val="22"/>
          <w:szCs w:val="22"/>
          <w:lang w:val="pl-PL"/>
        </w:rPr>
      </w:pPr>
    </w:p>
    <w:p w:rsidR="002D3E1A" w:rsidRPr="009353E6" w:rsidRDefault="002D3E1A" w:rsidP="00E72715">
      <w:pPr>
        <w:pStyle w:val="BodyText"/>
        <w:tabs>
          <w:tab w:val="left" w:pos="540"/>
        </w:tabs>
        <w:spacing w:line="240" w:lineRule="auto"/>
        <w:ind w:left="540" w:hanging="540"/>
        <w:jc w:val="left"/>
        <w:rPr>
          <w:b/>
          <w:sz w:val="22"/>
          <w:szCs w:val="22"/>
          <w:lang w:val="pl-PL"/>
        </w:rPr>
      </w:pPr>
      <w:r w:rsidRPr="009353E6">
        <w:rPr>
          <w:b/>
          <w:sz w:val="22"/>
          <w:szCs w:val="22"/>
          <w:lang w:val="pl-PL"/>
        </w:rPr>
        <w:t>10.</w:t>
      </w:r>
      <w:r w:rsidRPr="009353E6">
        <w:rPr>
          <w:b/>
          <w:sz w:val="22"/>
          <w:szCs w:val="22"/>
          <w:lang w:val="pl-PL"/>
        </w:rPr>
        <w:tab/>
      </w:r>
      <w:smartTag w:uri="urn:schemas-microsoft-com:office:smarttags" w:element="stockticker">
        <w:r w:rsidRPr="009353E6">
          <w:rPr>
            <w:b/>
            <w:sz w:val="22"/>
            <w:szCs w:val="22"/>
            <w:lang w:val="pl-PL"/>
          </w:rPr>
          <w:t>DATA</w:t>
        </w:r>
      </w:smartTag>
      <w:r w:rsidRPr="009353E6">
        <w:rPr>
          <w:b/>
          <w:sz w:val="22"/>
          <w:szCs w:val="22"/>
          <w:lang w:val="pl-PL"/>
        </w:rPr>
        <w:t xml:space="preserve"> ZATWIERDZENIA </w:t>
      </w:r>
      <w:smartTag w:uri="urn:schemas-microsoft-com:office:smarttags" w:element="stockticker">
        <w:r w:rsidRPr="009353E6">
          <w:rPr>
            <w:b/>
            <w:sz w:val="22"/>
            <w:szCs w:val="22"/>
            <w:lang w:val="pl-PL"/>
          </w:rPr>
          <w:t>LUB</w:t>
        </w:r>
      </w:smartTag>
      <w:r w:rsidRPr="009353E6">
        <w:rPr>
          <w:b/>
          <w:sz w:val="22"/>
          <w:szCs w:val="22"/>
          <w:lang w:val="pl-PL"/>
        </w:rPr>
        <w:t xml:space="preserve"> CZĘŚCIOWEJ ZMIANY TEKSTU</w:t>
      </w:r>
      <w:r w:rsidR="006F6C4C" w:rsidRPr="009353E6">
        <w:rPr>
          <w:b/>
          <w:sz w:val="22"/>
          <w:szCs w:val="22"/>
          <w:lang w:val="pl-PL"/>
        </w:rPr>
        <w:t xml:space="preserve"> </w:t>
      </w:r>
      <w:r w:rsidRPr="009353E6">
        <w:rPr>
          <w:b/>
          <w:sz w:val="22"/>
          <w:szCs w:val="22"/>
          <w:lang w:val="pl-PL"/>
        </w:rPr>
        <w:t>CHARAKTERYSTYKI PRODUKTU LECZNICZEGO</w:t>
      </w:r>
    </w:p>
    <w:p w:rsidR="00793FF5" w:rsidRPr="009353E6" w:rsidRDefault="00793FF5" w:rsidP="000D5BED">
      <w:pPr>
        <w:pStyle w:val="BodyText"/>
        <w:spacing w:line="240" w:lineRule="auto"/>
        <w:jc w:val="left"/>
        <w:rPr>
          <w:b/>
          <w:sz w:val="22"/>
          <w:szCs w:val="22"/>
          <w:lang w:val="pl-PL"/>
        </w:rPr>
      </w:pPr>
    </w:p>
    <w:p w:rsidR="00793FF5" w:rsidRPr="009353E6" w:rsidRDefault="00CF1C0F" w:rsidP="000D5BED">
      <w:pPr>
        <w:pStyle w:val="BodyText"/>
        <w:spacing w:line="240" w:lineRule="auto"/>
        <w:jc w:val="left"/>
        <w:rPr>
          <w:sz w:val="22"/>
          <w:szCs w:val="22"/>
          <w:u w:val="single"/>
          <w:lang w:val="pl-PL"/>
        </w:rPr>
      </w:pPr>
      <w:r w:rsidRPr="009353E6">
        <w:rPr>
          <w:sz w:val="22"/>
          <w:szCs w:val="22"/>
          <w:lang w:val="pl-PL"/>
        </w:rPr>
        <w:t>Szczegółowe informacje o tym produkcie leczniczym są dostępne</w:t>
      </w:r>
      <w:r w:rsidR="00793FF5" w:rsidRPr="009353E6">
        <w:rPr>
          <w:sz w:val="22"/>
          <w:szCs w:val="22"/>
          <w:lang w:val="pl-PL"/>
        </w:rPr>
        <w:t xml:space="preserve"> na stronie internetowej Europejskiej Agencji </w:t>
      </w:r>
      <w:r w:rsidR="00F04D8B" w:rsidRPr="009353E6">
        <w:rPr>
          <w:sz w:val="22"/>
          <w:szCs w:val="22"/>
          <w:lang w:val="pl-PL"/>
        </w:rPr>
        <w:t>Leków</w:t>
      </w:r>
      <w:r w:rsidR="00793FF5" w:rsidRPr="009353E6">
        <w:rPr>
          <w:sz w:val="22"/>
          <w:szCs w:val="22"/>
          <w:lang w:val="pl-PL"/>
        </w:rPr>
        <w:t xml:space="preserve"> </w:t>
      </w:r>
      <w:hyperlink r:id="rId12" w:history="1">
        <w:r w:rsidR="00BC39DD" w:rsidRPr="009353E6">
          <w:rPr>
            <w:rStyle w:val="Hyperlink"/>
            <w:noProof/>
            <w:lang w:val="pl-PL"/>
          </w:rPr>
          <w:t>http://www.</w:t>
        </w:r>
        <w:r w:rsidR="00BC39DD" w:rsidRPr="009353E6">
          <w:rPr>
            <w:rStyle w:val="Hyperlink"/>
            <w:noProof/>
            <w:lang w:val="pl-PL"/>
          </w:rPr>
          <w:t>e</w:t>
        </w:r>
        <w:r w:rsidR="00BC39DD" w:rsidRPr="009353E6">
          <w:rPr>
            <w:rStyle w:val="Hyperlink"/>
            <w:noProof/>
            <w:lang w:val="pl-PL"/>
          </w:rPr>
          <w:t>ma.europa.eu</w:t>
        </w:r>
      </w:hyperlink>
      <w:r w:rsidR="00C32953" w:rsidRPr="009353E6">
        <w:rPr>
          <w:sz w:val="22"/>
          <w:szCs w:val="22"/>
          <w:lang w:val="pl-PL"/>
        </w:rPr>
        <w:t>.</w:t>
      </w:r>
    </w:p>
    <w:p w:rsidR="00204221" w:rsidRPr="009353E6" w:rsidRDefault="002D3E1A" w:rsidP="00E40CF2">
      <w:pPr>
        <w:pStyle w:val="BodyText"/>
        <w:spacing w:line="240" w:lineRule="auto"/>
        <w:jc w:val="left"/>
        <w:rPr>
          <w:b/>
          <w:sz w:val="22"/>
          <w:szCs w:val="22"/>
          <w:lang w:val="pl-PL"/>
        </w:rPr>
      </w:pPr>
      <w:r w:rsidRPr="009353E6">
        <w:rPr>
          <w:b/>
          <w:sz w:val="22"/>
          <w:szCs w:val="22"/>
          <w:lang w:val="pl-PL"/>
        </w:rPr>
        <w:br w:type="page"/>
      </w:r>
      <w:r w:rsidR="00204221" w:rsidRPr="009353E6">
        <w:rPr>
          <w:b/>
          <w:sz w:val="22"/>
          <w:szCs w:val="22"/>
          <w:lang w:val="pl-PL"/>
        </w:rPr>
        <w:t>1.</w:t>
      </w:r>
      <w:r w:rsidR="00204221" w:rsidRPr="009353E6">
        <w:rPr>
          <w:b/>
          <w:sz w:val="22"/>
          <w:szCs w:val="22"/>
          <w:lang w:val="pl-PL"/>
        </w:rPr>
        <w:tab/>
        <w:t>NAZWA PRODUKTU LECZNICZEGO</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MicardisPlus 80 mg/25 mg tabletki</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p>
    <w:p w:rsidR="00204221" w:rsidRPr="009353E6" w:rsidRDefault="00204221" w:rsidP="00586E5C">
      <w:pPr>
        <w:pStyle w:val="BodyText"/>
        <w:tabs>
          <w:tab w:val="left" w:pos="540"/>
        </w:tabs>
        <w:spacing w:line="240" w:lineRule="auto"/>
        <w:jc w:val="left"/>
        <w:rPr>
          <w:b/>
          <w:sz w:val="22"/>
          <w:szCs w:val="22"/>
          <w:lang w:val="pl-PL"/>
        </w:rPr>
      </w:pPr>
      <w:r w:rsidRPr="009353E6">
        <w:rPr>
          <w:b/>
          <w:sz w:val="22"/>
          <w:szCs w:val="22"/>
          <w:lang w:val="pl-PL"/>
        </w:rPr>
        <w:t>2.</w:t>
      </w:r>
      <w:r w:rsidRPr="009353E6">
        <w:rPr>
          <w:b/>
          <w:sz w:val="22"/>
          <w:szCs w:val="22"/>
          <w:lang w:val="pl-PL"/>
        </w:rPr>
        <w:tab/>
        <w:t xml:space="preserve">SKŁAD JAKOŚCIOWY I ILOŚCIOWY </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Każda tabletka zawiera 80 mg telmisartanu i 25 mg hydrochlorotiazydu. </w:t>
      </w:r>
    </w:p>
    <w:p w:rsidR="00EE347E" w:rsidRPr="009353E6" w:rsidRDefault="00EE347E" w:rsidP="000D5BED">
      <w:pPr>
        <w:pStyle w:val="BodyText"/>
        <w:spacing w:line="240" w:lineRule="auto"/>
        <w:jc w:val="left"/>
        <w:rPr>
          <w:sz w:val="22"/>
          <w:szCs w:val="22"/>
          <w:lang w:val="pl-PL"/>
        </w:rPr>
      </w:pPr>
    </w:p>
    <w:p w:rsidR="00AB5B3F" w:rsidRPr="009353E6" w:rsidRDefault="00204221" w:rsidP="000D5BED">
      <w:pPr>
        <w:pStyle w:val="BodyText"/>
        <w:spacing w:line="240" w:lineRule="auto"/>
        <w:jc w:val="left"/>
        <w:rPr>
          <w:sz w:val="22"/>
          <w:szCs w:val="22"/>
          <w:u w:val="single"/>
          <w:lang w:val="pl-PL"/>
        </w:rPr>
      </w:pPr>
      <w:r w:rsidRPr="009353E6">
        <w:rPr>
          <w:sz w:val="22"/>
          <w:szCs w:val="22"/>
          <w:u w:val="single"/>
          <w:lang w:val="pl-PL"/>
        </w:rPr>
        <w:t>Substancje pomocnicze</w:t>
      </w:r>
      <w:r w:rsidR="00837848" w:rsidRPr="009353E6">
        <w:rPr>
          <w:sz w:val="22"/>
          <w:szCs w:val="22"/>
          <w:u w:val="single"/>
          <w:lang w:val="pl-PL"/>
        </w:rPr>
        <w:t xml:space="preserve"> o znanym działaniu</w:t>
      </w:r>
    </w:p>
    <w:p w:rsidR="0034228B" w:rsidRPr="009353E6" w:rsidRDefault="0034228B"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Każda tabletka zawiera 99 mg laktozy jednowodnej i 338 mg sorbitolu</w:t>
      </w:r>
      <w:r w:rsidR="00F10629" w:rsidRPr="009353E6">
        <w:rPr>
          <w:sz w:val="22"/>
          <w:szCs w:val="22"/>
          <w:lang w:val="pl-PL"/>
        </w:rPr>
        <w:t xml:space="preserve"> (E420)</w:t>
      </w:r>
      <w:r w:rsidR="00EE347E" w:rsidRPr="009353E6">
        <w:rPr>
          <w:sz w:val="22"/>
          <w:szCs w:val="22"/>
          <w:lang w:val="pl-PL"/>
        </w:rPr>
        <w:t>.</w:t>
      </w:r>
    </w:p>
    <w:p w:rsidR="00EE347E" w:rsidRPr="009353E6" w:rsidRDefault="00EE347E"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Pełny wykaz substancji pomocniczych, patrz punkt</w:t>
      </w:r>
      <w:r w:rsidR="00BC6DF8" w:rsidRPr="009353E6">
        <w:rPr>
          <w:sz w:val="22"/>
          <w:szCs w:val="22"/>
          <w:lang w:val="pl-PL"/>
        </w:rPr>
        <w:t> </w:t>
      </w:r>
      <w:r w:rsidRPr="009353E6">
        <w:rPr>
          <w:sz w:val="22"/>
          <w:szCs w:val="22"/>
          <w:lang w:val="pl-PL"/>
        </w:rPr>
        <w:t>6.1</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p>
    <w:p w:rsidR="00204221" w:rsidRPr="009353E6" w:rsidRDefault="00586E5C" w:rsidP="00586E5C">
      <w:pPr>
        <w:pStyle w:val="BodyText"/>
        <w:tabs>
          <w:tab w:val="left" w:pos="540"/>
        </w:tabs>
        <w:spacing w:line="240" w:lineRule="auto"/>
        <w:jc w:val="left"/>
        <w:rPr>
          <w:b/>
          <w:sz w:val="22"/>
          <w:szCs w:val="22"/>
          <w:lang w:val="pl-PL"/>
        </w:rPr>
      </w:pPr>
      <w:r w:rsidRPr="009353E6">
        <w:rPr>
          <w:b/>
          <w:sz w:val="22"/>
          <w:szCs w:val="22"/>
          <w:lang w:val="pl-PL"/>
        </w:rPr>
        <w:t>3.</w:t>
      </w:r>
      <w:r w:rsidRPr="009353E6">
        <w:rPr>
          <w:b/>
          <w:sz w:val="22"/>
          <w:szCs w:val="22"/>
          <w:lang w:val="pl-PL"/>
        </w:rPr>
        <w:tab/>
      </w:r>
      <w:r w:rsidR="00204221" w:rsidRPr="009353E6">
        <w:rPr>
          <w:b/>
          <w:sz w:val="22"/>
          <w:szCs w:val="22"/>
          <w:lang w:val="pl-PL"/>
        </w:rPr>
        <w:t>POSTAĆ FARMACEUTYCZNA</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Tabletka.</w:t>
      </w:r>
    </w:p>
    <w:p w:rsidR="00204221" w:rsidRPr="009353E6" w:rsidRDefault="00731B3F" w:rsidP="000D5BED">
      <w:pPr>
        <w:pStyle w:val="BodyText"/>
        <w:spacing w:line="240" w:lineRule="auto"/>
        <w:jc w:val="left"/>
        <w:rPr>
          <w:sz w:val="22"/>
          <w:szCs w:val="22"/>
          <w:lang w:val="pl-PL"/>
        </w:rPr>
      </w:pPr>
      <w:r w:rsidRPr="009353E6">
        <w:rPr>
          <w:sz w:val="22"/>
          <w:szCs w:val="22"/>
          <w:lang w:val="pl-PL"/>
        </w:rPr>
        <w:t>Żółt</w:t>
      </w:r>
      <w:r w:rsidR="000D5C68" w:rsidRPr="009353E6">
        <w:rPr>
          <w:sz w:val="22"/>
          <w:szCs w:val="22"/>
          <w:lang w:val="pl-PL"/>
        </w:rPr>
        <w:t>o-</w:t>
      </w:r>
      <w:r w:rsidR="00204221" w:rsidRPr="009353E6">
        <w:rPr>
          <w:sz w:val="22"/>
          <w:szCs w:val="22"/>
          <w:lang w:val="pl-PL"/>
        </w:rPr>
        <w:t>biała</w:t>
      </w:r>
      <w:r w:rsidR="0028667A" w:rsidRPr="009353E6">
        <w:rPr>
          <w:sz w:val="22"/>
          <w:szCs w:val="22"/>
          <w:lang w:val="pl-PL"/>
        </w:rPr>
        <w:t xml:space="preserve">, </w:t>
      </w:r>
      <w:r w:rsidR="00685A4E" w:rsidRPr="009353E6">
        <w:rPr>
          <w:sz w:val="22"/>
          <w:szCs w:val="22"/>
          <w:lang w:val="pl-PL"/>
        </w:rPr>
        <w:t>podłużna</w:t>
      </w:r>
      <w:r w:rsidR="0028667A" w:rsidRPr="009353E6">
        <w:rPr>
          <w:sz w:val="22"/>
          <w:szCs w:val="22"/>
          <w:lang w:val="pl-PL"/>
        </w:rPr>
        <w:t xml:space="preserve"> tabletka </w:t>
      </w:r>
      <w:r w:rsidR="00204221" w:rsidRPr="009353E6">
        <w:rPr>
          <w:sz w:val="22"/>
          <w:szCs w:val="22"/>
          <w:lang w:val="pl-PL"/>
        </w:rPr>
        <w:t>dwuwarstwowa</w:t>
      </w:r>
      <w:r w:rsidR="0028667A" w:rsidRPr="009353E6">
        <w:rPr>
          <w:sz w:val="22"/>
          <w:szCs w:val="22"/>
          <w:lang w:val="pl-PL"/>
        </w:rPr>
        <w:t>, długości</w:t>
      </w:r>
      <w:r w:rsidR="006B3F67" w:rsidRPr="009353E6">
        <w:rPr>
          <w:sz w:val="22"/>
          <w:szCs w:val="22"/>
          <w:lang w:val="pl-PL"/>
        </w:rPr>
        <w:t xml:space="preserve"> 6,2 mm</w:t>
      </w:r>
      <w:r w:rsidR="0028667A" w:rsidRPr="009353E6">
        <w:rPr>
          <w:sz w:val="22"/>
          <w:szCs w:val="22"/>
          <w:lang w:val="pl-PL"/>
        </w:rPr>
        <w:t xml:space="preserve">, </w:t>
      </w:r>
      <w:r w:rsidR="00204221" w:rsidRPr="009353E6">
        <w:rPr>
          <w:sz w:val="22"/>
          <w:szCs w:val="22"/>
          <w:lang w:val="pl-PL"/>
        </w:rPr>
        <w:t>z wy</w:t>
      </w:r>
      <w:r w:rsidR="0028667A" w:rsidRPr="009353E6">
        <w:rPr>
          <w:sz w:val="22"/>
          <w:szCs w:val="22"/>
          <w:lang w:val="pl-PL"/>
        </w:rPr>
        <w:t>tłoczonym lo</w:t>
      </w:r>
      <w:r w:rsidR="00204221" w:rsidRPr="009353E6">
        <w:rPr>
          <w:sz w:val="22"/>
          <w:szCs w:val="22"/>
          <w:lang w:val="pl-PL"/>
        </w:rPr>
        <w:t xml:space="preserve">go i kodem </w:t>
      </w:r>
      <w:r w:rsidR="0028667A" w:rsidRPr="009353E6">
        <w:rPr>
          <w:sz w:val="22"/>
          <w:szCs w:val="22"/>
          <w:lang w:val="pl-PL"/>
        </w:rPr>
        <w:t>„</w:t>
      </w:r>
      <w:r w:rsidR="00204221" w:rsidRPr="009353E6">
        <w:rPr>
          <w:sz w:val="22"/>
          <w:szCs w:val="22"/>
          <w:lang w:val="pl-PL"/>
        </w:rPr>
        <w:t>H9</w:t>
      </w:r>
      <w:r w:rsidR="0028667A" w:rsidRPr="009353E6">
        <w:rPr>
          <w:sz w:val="22"/>
          <w:szCs w:val="22"/>
          <w:lang w:val="pl-PL"/>
        </w:rPr>
        <w:t>”</w:t>
      </w:r>
      <w:r w:rsidR="00204221" w:rsidRPr="009353E6">
        <w:rPr>
          <w:sz w:val="22"/>
          <w:szCs w:val="22"/>
          <w:lang w:val="pl-PL"/>
        </w:rPr>
        <w:t>.</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p>
    <w:p w:rsidR="00204221" w:rsidRPr="009353E6" w:rsidRDefault="00204221" w:rsidP="008953B9">
      <w:pPr>
        <w:pStyle w:val="BodyText"/>
        <w:tabs>
          <w:tab w:val="left" w:pos="567"/>
        </w:tabs>
        <w:spacing w:line="240" w:lineRule="auto"/>
        <w:jc w:val="left"/>
        <w:rPr>
          <w:b/>
          <w:sz w:val="22"/>
          <w:szCs w:val="22"/>
          <w:lang w:val="pl-PL"/>
        </w:rPr>
      </w:pPr>
      <w:r w:rsidRPr="009353E6">
        <w:rPr>
          <w:b/>
          <w:sz w:val="22"/>
          <w:szCs w:val="22"/>
          <w:lang w:val="pl-PL"/>
        </w:rPr>
        <w:t>4.</w:t>
      </w:r>
      <w:r w:rsidRPr="009353E6">
        <w:rPr>
          <w:b/>
          <w:sz w:val="22"/>
          <w:szCs w:val="22"/>
          <w:lang w:val="pl-PL"/>
        </w:rPr>
        <w:tab/>
        <w:t>SZCZEGÓŁOWE DANE KLINICZNE</w:t>
      </w:r>
    </w:p>
    <w:p w:rsidR="00204221" w:rsidRPr="009353E6" w:rsidRDefault="00204221" w:rsidP="000D5BED">
      <w:pPr>
        <w:pStyle w:val="BodyText"/>
        <w:spacing w:line="240" w:lineRule="auto"/>
        <w:jc w:val="left"/>
        <w:rPr>
          <w:b/>
          <w:sz w:val="22"/>
          <w:szCs w:val="22"/>
          <w:lang w:val="pl-PL"/>
        </w:rPr>
      </w:pPr>
    </w:p>
    <w:p w:rsidR="00204221" w:rsidRPr="009353E6" w:rsidRDefault="00204221" w:rsidP="00586E5C">
      <w:pPr>
        <w:pStyle w:val="BodyText"/>
        <w:tabs>
          <w:tab w:val="left" w:pos="540"/>
        </w:tabs>
        <w:spacing w:line="240" w:lineRule="auto"/>
        <w:jc w:val="left"/>
        <w:rPr>
          <w:b/>
          <w:sz w:val="22"/>
          <w:szCs w:val="22"/>
          <w:lang w:val="pl-PL"/>
        </w:rPr>
      </w:pPr>
      <w:r w:rsidRPr="009353E6">
        <w:rPr>
          <w:b/>
          <w:sz w:val="22"/>
          <w:szCs w:val="22"/>
          <w:lang w:val="pl-PL"/>
        </w:rPr>
        <w:t>4.1</w:t>
      </w:r>
      <w:r w:rsidRPr="009353E6">
        <w:rPr>
          <w:b/>
          <w:sz w:val="22"/>
          <w:szCs w:val="22"/>
          <w:lang w:val="pl-PL"/>
        </w:rPr>
        <w:tab/>
        <w:t>Wskazania do stosowania</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Leczenie samoistnego nadciśnienia tętniczego.</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Złożony pr</w:t>
      </w:r>
      <w:r w:rsidR="00731B3F" w:rsidRPr="009353E6">
        <w:rPr>
          <w:sz w:val="22"/>
          <w:szCs w:val="22"/>
          <w:lang w:val="pl-PL"/>
        </w:rPr>
        <w:t xml:space="preserve">odukt leczniczy </w:t>
      </w:r>
      <w:r w:rsidRPr="009353E6">
        <w:rPr>
          <w:sz w:val="22"/>
          <w:szCs w:val="22"/>
          <w:lang w:val="pl-PL"/>
        </w:rPr>
        <w:t>MicardisPlus</w:t>
      </w:r>
      <w:r w:rsidR="00D37E9E" w:rsidRPr="009353E6">
        <w:rPr>
          <w:sz w:val="22"/>
          <w:szCs w:val="22"/>
          <w:lang w:val="pl-PL"/>
        </w:rPr>
        <w:t xml:space="preserve"> (</w:t>
      </w:r>
      <w:r w:rsidRPr="009353E6">
        <w:rPr>
          <w:sz w:val="22"/>
          <w:szCs w:val="22"/>
          <w:lang w:val="pl-PL"/>
        </w:rPr>
        <w:t>zawierający telmisartan w dawce 80 mg i hy</w:t>
      </w:r>
      <w:r w:rsidR="00D37E9E" w:rsidRPr="009353E6">
        <w:rPr>
          <w:sz w:val="22"/>
          <w:szCs w:val="22"/>
          <w:lang w:val="pl-PL"/>
        </w:rPr>
        <w:t>drochlorotiazyd w dawce 25 mg)</w:t>
      </w:r>
      <w:r w:rsidRPr="009353E6">
        <w:rPr>
          <w:sz w:val="22"/>
          <w:szCs w:val="22"/>
          <w:lang w:val="pl-PL"/>
        </w:rPr>
        <w:t xml:space="preserve"> jest wskazany do stosowania u </w:t>
      </w:r>
      <w:r w:rsidR="000D5C68" w:rsidRPr="009353E6">
        <w:rPr>
          <w:sz w:val="22"/>
          <w:szCs w:val="22"/>
          <w:lang w:val="pl-PL"/>
        </w:rPr>
        <w:t xml:space="preserve">osób </w:t>
      </w:r>
      <w:r w:rsidR="00837848" w:rsidRPr="009353E6">
        <w:rPr>
          <w:sz w:val="22"/>
          <w:szCs w:val="22"/>
          <w:lang w:val="pl-PL"/>
        </w:rPr>
        <w:t>dorosłych</w:t>
      </w:r>
      <w:r w:rsidRPr="009353E6">
        <w:rPr>
          <w:sz w:val="22"/>
          <w:szCs w:val="22"/>
          <w:lang w:val="pl-PL"/>
        </w:rPr>
        <w:t xml:space="preserve">, u których ciśnienie </w:t>
      </w:r>
      <w:r w:rsidR="000D5C68" w:rsidRPr="009353E6">
        <w:rPr>
          <w:sz w:val="22"/>
          <w:szCs w:val="22"/>
          <w:lang w:val="pl-PL"/>
        </w:rPr>
        <w:t xml:space="preserve">tętnicze </w:t>
      </w:r>
      <w:r w:rsidRPr="009353E6">
        <w:rPr>
          <w:sz w:val="22"/>
          <w:szCs w:val="22"/>
          <w:lang w:val="pl-PL"/>
        </w:rPr>
        <w:t xml:space="preserve">nie jest kontrolowane w wystarczający </w:t>
      </w:r>
      <w:r w:rsidR="00731B3F" w:rsidRPr="009353E6">
        <w:rPr>
          <w:sz w:val="22"/>
          <w:szCs w:val="22"/>
          <w:lang w:val="pl-PL"/>
        </w:rPr>
        <w:t xml:space="preserve">sposób produktem </w:t>
      </w:r>
      <w:r w:rsidR="00D37E9E" w:rsidRPr="009353E6">
        <w:rPr>
          <w:sz w:val="22"/>
          <w:szCs w:val="22"/>
          <w:lang w:val="pl-PL"/>
        </w:rPr>
        <w:t>MicardisPlus 80 mg/12,5 mg (zawierający</w:t>
      </w:r>
      <w:r w:rsidR="00731B3F" w:rsidRPr="009353E6">
        <w:rPr>
          <w:sz w:val="22"/>
          <w:szCs w:val="22"/>
          <w:lang w:val="pl-PL"/>
        </w:rPr>
        <w:t>m</w:t>
      </w:r>
      <w:r w:rsidR="00D37E9E" w:rsidRPr="009353E6">
        <w:rPr>
          <w:sz w:val="22"/>
          <w:szCs w:val="22"/>
          <w:lang w:val="pl-PL"/>
        </w:rPr>
        <w:t xml:space="preserve"> telmisartan w dawce 80 mg i hydrochlorotiazyd w dawce 12,5 mg) lub u </w:t>
      </w:r>
      <w:r w:rsidR="000D5C68" w:rsidRPr="009353E6">
        <w:rPr>
          <w:sz w:val="22"/>
          <w:szCs w:val="22"/>
          <w:lang w:val="pl-PL"/>
        </w:rPr>
        <w:t xml:space="preserve">osób </w:t>
      </w:r>
      <w:r w:rsidR="00837848" w:rsidRPr="009353E6">
        <w:rPr>
          <w:sz w:val="22"/>
          <w:szCs w:val="22"/>
          <w:lang w:val="pl-PL"/>
        </w:rPr>
        <w:t>dorosłych</w:t>
      </w:r>
      <w:r w:rsidR="00731B3F" w:rsidRPr="009353E6">
        <w:rPr>
          <w:sz w:val="22"/>
          <w:szCs w:val="22"/>
          <w:lang w:val="pl-PL"/>
        </w:rPr>
        <w:t xml:space="preserve">, </w:t>
      </w:r>
      <w:r w:rsidR="00FB58C2" w:rsidRPr="009353E6">
        <w:rPr>
          <w:sz w:val="22"/>
          <w:szCs w:val="22"/>
          <w:lang w:val="pl-PL"/>
        </w:rPr>
        <w:t xml:space="preserve">którzy </w:t>
      </w:r>
      <w:r w:rsidR="00D37E9E" w:rsidRPr="009353E6">
        <w:rPr>
          <w:sz w:val="22"/>
          <w:szCs w:val="22"/>
          <w:lang w:val="pl-PL"/>
        </w:rPr>
        <w:t xml:space="preserve">wcześniej </w:t>
      </w:r>
      <w:r w:rsidR="00FB58C2" w:rsidRPr="009353E6">
        <w:rPr>
          <w:sz w:val="22"/>
          <w:szCs w:val="22"/>
          <w:lang w:val="pl-PL"/>
        </w:rPr>
        <w:t>byl</w:t>
      </w:r>
      <w:r w:rsidR="004D210B" w:rsidRPr="009353E6">
        <w:rPr>
          <w:sz w:val="22"/>
          <w:szCs w:val="22"/>
          <w:lang w:val="pl-PL"/>
        </w:rPr>
        <w:t>i</w:t>
      </w:r>
      <w:r w:rsidR="00FB58C2" w:rsidRPr="009353E6">
        <w:rPr>
          <w:sz w:val="22"/>
          <w:szCs w:val="22"/>
          <w:lang w:val="pl-PL"/>
        </w:rPr>
        <w:t xml:space="preserve"> ustabilizowani </w:t>
      </w:r>
      <w:r w:rsidR="00731B3F" w:rsidRPr="009353E6">
        <w:rPr>
          <w:sz w:val="22"/>
          <w:szCs w:val="22"/>
          <w:lang w:val="pl-PL"/>
        </w:rPr>
        <w:t xml:space="preserve">za pomocą </w:t>
      </w:r>
      <w:r w:rsidR="00D37E9E" w:rsidRPr="009353E6">
        <w:rPr>
          <w:sz w:val="22"/>
          <w:szCs w:val="22"/>
          <w:lang w:val="pl-PL"/>
        </w:rPr>
        <w:t>telmisartan</w:t>
      </w:r>
      <w:r w:rsidR="00731B3F" w:rsidRPr="009353E6">
        <w:rPr>
          <w:sz w:val="22"/>
          <w:szCs w:val="22"/>
          <w:lang w:val="pl-PL"/>
        </w:rPr>
        <w:t>u</w:t>
      </w:r>
      <w:r w:rsidR="00D37E9E" w:rsidRPr="009353E6">
        <w:rPr>
          <w:sz w:val="22"/>
          <w:szCs w:val="22"/>
          <w:lang w:val="pl-PL"/>
        </w:rPr>
        <w:t xml:space="preserve"> i hydrochlorotizayd</w:t>
      </w:r>
      <w:r w:rsidR="00731B3F" w:rsidRPr="009353E6">
        <w:rPr>
          <w:sz w:val="22"/>
          <w:szCs w:val="22"/>
          <w:lang w:val="pl-PL"/>
        </w:rPr>
        <w:t xml:space="preserve">u podawanych </w:t>
      </w:r>
      <w:r w:rsidR="00D37E9E" w:rsidRPr="009353E6">
        <w:rPr>
          <w:sz w:val="22"/>
          <w:szCs w:val="22"/>
          <w:lang w:val="pl-PL"/>
        </w:rPr>
        <w:t>osobno.</w:t>
      </w:r>
    </w:p>
    <w:p w:rsidR="00204221" w:rsidRPr="009353E6" w:rsidRDefault="00204221" w:rsidP="000D5BED">
      <w:pPr>
        <w:pStyle w:val="BodyText"/>
        <w:spacing w:line="240" w:lineRule="auto"/>
        <w:jc w:val="left"/>
        <w:rPr>
          <w:sz w:val="22"/>
          <w:szCs w:val="22"/>
          <w:lang w:val="pl-PL"/>
        </w:rPr>
      </w:pPr>
    </w:p>
    <w:p w:rsidR="00204221" w:rsidRPr="009353E6" w:rsidRDefault="00204221" w:rsidP="004A0B9E">
      <w:pPr>
        <w:pStyle w:val="BodyText"/>
        <w:keepNext/>
        <w:tabs>
          <w:tab w:val="left" w:pos="540"/>
        </w:tabs>
        <w:spacing w:line="240" w:lineRule="auto"/>
        <w:jc w:val="left"/>
        <w:rPr>
          <w:b/>
          <w:sz w:val="22"/>
          <w:szCs w:val="22"/>
          <w:lang w:val="pl-PL"/>
        </w:rPr>
      </w:pPr>
      <w:r w:rsidRPr="009353E6">
        <w:rPr>
          <w:b/>
          <w:sz w:val="22"/>
          <w:szCs w:val="22"/>
          <w:lang w:val="pl-PL"/>
        </w:rPr>
        <w:t xml:space="preserve">4.2 </w:t>
      </w:r>
      <w:r w:rsidRPr="009353E6">
        <w:rPr>
          <w:b/>
          <w:sz w:val="22"/>
          <w:szCs w:val="22"/>
          <w:lang w:val="pl-PL"/>
        </w:rPr>
        <w:tab/>
        <w:t>Dawkowanie i sposób podawania</w:t>
      </w:r>
    </w:p>
    <w:p w:rsidR="00204221" w:rsidRPr="009353E6" w:rsidRDefault="00204221" w:rsidP="004A0B9E">
      <w:pPr>
        <w:pStyle w:val="BodyText"/>
        <w:keepNext/>
        <w:spacing w:line="240" w:lineRule="auto"/>
        <w:jc w:val="left"/>
        <w:rPr>
          <w:sz w:val="22"/>
          <w:szCs w:val="22"/>
          <w:lang w:val="pl-PL"/>
        </w:rPr>
      </w:pPr>
    </w:p>
    <w:p w:rsidR="00204221" w:rsidRPr="009353E6" w:rsidRDefault="00837848" w:rsidP="004A0B9E">
      <w:pPr>
        <w:pStyle w:val="BodyText"/>
        <w:keepNext/>
        <w:spacing w:line="240" w:lineRule="auto"/>
        <w:jc w:val="left"/>
        <w:rPr>
          <w:sz w:val="22"/>
          <w:szCs w:val="22"/>
          <w:u w:val="single"/>
          <w:lang w:val="pl-PL"/>
        </w:rPr>
      </w:pPr>
      <w:r w:rsidRPr="009353E6">
        <w:rPr>
          <w:sz w:val="22"/>
          <w:szCs w:val="22"/>
          <w:u w:val="single"/>
          <w:lang w:val="pl-PL"/>
        </w:rPr>
        <w:t>Dawkowanie</w:t>
      </w:r>
    </w:p>
    <w:p w:rsidR="00837848" w:rsidRPr="009353E6" w:rsidRDefault="00837848" w:rsidP="004A0B9E">
      <w:pPr>
        <w:pStyle w:val="BodyText"/>
        <w:keepN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MicardisPlus powinien być przyjmowany przez pacjentów, u których nadciśnienie nie jest dostatecznie kontrolowane samym telmisartanem. Zaleca się indywidualne dostosowanie dawki każdego ze składników pr</w:t>
      </w:r>
      <w:r w:rsidR="00731B3F" w:rsidRPr="009353E6">
        <w:rPr>
          <w:sz w:val="22"/>
          <w:szCs w:val="22"/>
          <w:lang w:val="pl-PL"/>
        </w:rPr>
        <w:t>oduktu</w:t>
      </w:r>
      <w:r w:rsidRPr="009353E6">
        <w:rPr>
          <w:sz w:val="22"/>
          <w:szCs w:val="22"/>
          <w:lang w:val="pl-PL"/>
        </w:rPr>
        <w:t xml:space="preserve">, przed zastosowaniem ustalonej dawki </w:t>
      </w:r>
      <w:r w:rsidR="00F710F6" w:rsidRPr="009353E6">
        <w:rPr>
          <w:sz w:val="22"/>
          <w:szCs w:val="22"/>
          <w:lang w:val="pl-PL"/>
        </w:rPr>
        <w:t>produkt</w:t>
      </w:r>
      <w:r w:rsidRPr="009353E6">
        <w:rPr>
          <w:sz w:val="22"/>
          <w:szCs w:val="22"/>
          <w:lang w:val="pl-PL"/>
        </w:rPr>
        <w:t>u złożonego. Jeśli uzna się to za klinicznie odpowiednie, może być rozważona bezpośrednia zmiana monoterapii na terapię skojarzoną.</w:t>
      </w:r>
    </w:p>
    <w:p w:rsidR="00D37E9E" w:rsidRPr="009353E6" w:rsidRDefault="00D37E9E" w:rsidP="000D5BED">
      <w:pPr>
        <w:pStyle w:val="BodyText"/>
        <w:spacing w:line="240" w:lineRule="auto"/>
        <w:jc w:val="left"/>
        <w:rPr>
          <w:sz w:val="22"/>
          <w:szCs w:val="22"/>
          <w:lang w:val="pl-PL"/>
        </w:rPr>
      </w:pPr>
    </w:p>
    <w:p w:rsidR="004D210B"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 xml:space="preserve">MicardisPlus 80 mg/25 mg może być podawany </w:t>
      </w:r>
      <w:r w:rsidR="00837848" w:rsidRPr="009353E6">
        <w:rPr>
          <w:sz w:val="22"/>
          <w:szCs w:val="22"/>
          <w:lang w:val="pl-PL"/>
        </w:rPr>
        <w:t xml:space="preserve">raz na dobę, </w:t>
      </w:r>
      <w:r w:rsidRPr="009353E6">
        <w:rPr>
          <w:sz w:val="22"/>
          <w:szCs w:val="22"/>
          <w:lang w:val="pl-PL"/>
        </w:rPr>
        <w:t xml:space="preserve">pacjentom, </w:t>
      </w:r>
      <w:r w:rsidR="004D210B" w:rsidRPr="009353E6">
        <w:rPr>
          <w:sz w:val="22"/>
          <w:szCs w:val="22"/>
          <w:lang w:val="pl-PL"/>
        </w:rPr>
        <w:t xml:space="preserve">u </w:t>
      </w:r>
      <w:r w:rsidRPr="009353E6">
        <w:rPr>
          <w:sz w:val="22"/>
          <w:szCs w:val="22"/>
          <w:lang w:val="pl-PL"/>
        </w:rPr>
        <w:t xml:space="preserve">których ciśnienie </w:t>
      </w:r>
      <w:r w:rsidR="00184A5E" w:rsidRPr="009353E6">
        <w:rPr>
          <w:sz w:val="22"/>
          <w:szCs w:val="22"/>
          <w:lang w:val="pl-PL"/>
        </w:rPr>
        <w:t xml:space="preserve">tętnicze </w:t>
      </w:r>
      <w:r w:rsidRPr="009353E6">
        <w:rPr>
          <w:sz w:val="22"/>
          <w:szCs w:val="22"/>
          <w:lang w:val="pl-PL"/>
        </w:rPr>
        <w:t>nie jest odpowiednio kontrolowane po zastosowaniu pr</w:t>
      </w:r>
      <w:r w:rsidR="00731B3F" w:rsidRPr="009353E6">
        <w:rPr>
          <w:sz w:val="22"/>
          <w:szCs w:val="22"/>
          <w:lang w:val="pl-PL"/>
        </w:rPr>
        <w:t xml:space="preserve">oduktu </w:t>
      </w:r>
      <w:r w:rsidRPr="009353E6">
        <w:rPr>
          <w:sz w:val="22"/>
          <w:szCs w:val="22"/>
          <w:lang w:val="pl-PL"/>
        </w:rPr>
        <w:t>Micardis</w:t>
      </w:r>
      <w:r w:rsidR="00731B3F" w:rsidRPr="009353E6">
        <w:rPr>
          <w:sz w:val="22"/>
          <w:szCs w:val="22"/>
          <w:lang w:val="pl-PL"/>
        </w:rPr>
        <w:t>Plus</w:t>
      </w:r>
      <w:r w:rsidRPr="009353E6">
        <w:rPr>
          <w:sz w:val="22"/>
          <w:szCs w:val="22"/>
          <w:lang w:val="pl-PL"/>
        </w:rPr>
        <w:t xml:space="preserve"> 80 mg</w:t>
      </w:r>
      <w:r w:rsidR="00D37E9E" w:rsidRPr="009353E6">
        <w:rPr>
          <w:sz w:val="22"/>
          <w:szCs w:val="22"/>
          <w:lang w:val="pl-PL"/>
        </w:rPr>
        <w:t xml:space="preserve">/12,5 </w:t>
      </w:r>
      <w:r w:rsidR="004D210B" w:rsidRPr="009353E6">
        <w:rPr>
          <w:sz w:val="22"/>
          <w:szCs w:val="22"/>
          <w:lang w:val="pl-PL"/>
        </w:rPr>
        <w:t>lub u pacjentów którzy wcześniej byli ustabilizowani</w:t>
      </w:r>
      <w:r w:rsidR="00731B3F" w:rsidRPr="009353E6">
        <w:rPr>
          <w:sz w:val="22"/>
          <w:szCs w:val="22"/>
          <w:lang w:val="pl-PL"/>
        </w:rPr>
        <w:t xml:space="preserve"> za pomocą </w:t>
      </w:r>
      <w:r w:rsidR="004D210B" w:rsidRPr="009353E6">
        <w:rPr>
          <w:sz w:val="22"/>
          <w:szCs w:val="22"/>
          <w:lang w:val="pl-PL"/>
        </w:rPr>
        <w:t>telmisartan</w:t>
      </w:r>
      <w:r w:rsidR="00731B3F" w:rsidRPr="009353E6">
        <w:rPr>
          <w:sz w:val="22"/>
          <w:szCs w:val="22"/>
          <w:lang w:val="pl-PL"/>
        </w:rPr>
        <w:t>u</w:t>
      </w:r>
      <w:r w:rsidR="004D210B" w:rsidRPr="009353E6">
        <w:rPr>
          <w:sz w:val="22"/>
          <w:szCs w:val="22"/>
          <w:lang w:val="pl-PL"/>
        </w:rPr>
        <w:t xml:space="preserve"> i hydrochlorotia</w:t>
      </w:r>
      <w:r w:rsidR="00731B3F" w:rsidRPr="009353E6">
        <w:rPr>
          <w:sz w:val="22"/>
          <w:szCs w:val="22"/>
          <w:lang w:val="pl-PL"/>
        </w:rPr>
        <w:t>z</w:t>
      </w:r>
      <w:r w:rsidR="004D210B" w:rsidRPr="009353E6">
        <w:rPr>
          <w:sz w:val="22"/>
          <w:szCs w:val="22"/>
          <w:lang w:val="pl-PL"/>
        </w:rPr>
        <w:t>yd</w:t>
      </w:r>
      <w:r w:rsidR="00731B3F" w:rsidRPr="009353E6">
        <w:rPr>
          <w:sz w:val="22"/>
          <w:szCs w:val="22"/>
          <w:lang w:val="pl-PL"/>
        </w:rPr>
        <w:t xml:space="preserve">u podawanych </w:t>
      </w:r>
      <w:r w:rsidR="004D210B" w:rsidRPr="009353E6">
        <w:rPr>
          <w:sz w:val="22"/>
          <w:szCs w:val="22"/>
          <w:lang w:val="pl-PL"/>
        </w:rPr>
        <w:t>osobno.</w:t>
      </w:r>
    </w:p>
    <w:p w:rsidR="002C5A0F" w:rsidRPr="009353E6" w:rsidRDefault="002C5A0F" w:rsidP="000D5BED">
      <w:pPr>
        <w:pStyle w:val="BodyText"/>
        <w:spacing w:line="240" w:lineRule="auto"/>
        <w:jc w:val="left"/>
        <w:rPr>
          <w:sz w:val="22"/>
          <w:szCs w:val="22"/>
          <w:lang w:val="pl-PL"/>
        </w:rPr>
      </w:pPr>
    </w:p>
    <w:p w:rsidR="00837848" w:rsidRPr="009353E6" w:rsidRDefault="00837848" w:rsidP="00837848">
      <w:pPr>
        <w:pStyle w:val="BodyText"/>
        <w:spacing w:line="240" w:lineRule="auto"/>
        <w:jc w:val="left"/>
        <w:rPr>
          <w:sz w:val="22"/>
          <w:szCs w:val="22"/>
          <w:lang w:val="pl-PL"/>
        </w:rPr>
      </w:pPr>
      <w:r w:rsidRPr="009353E6">
        <w:rPr>
          <w:sz w:val="22"/>
          <w:szCs w:val="22"/>
          <w:lang w:val="pl-PL"/>
        </w:rPr>
        <w:t>MicardisPlus jest również dostępny w dawkach 40 mg/12,5 mg i 80 mg/12,5 mg.</w:t>
      </w:r>
    </w:p>
    <w:p w:rsidR="00837848" w:rsidRPr="009353E6" w:rsidRDefault="00837848" w:rsidP="00B45707">
      <w:pPr>
        <w:rPr>
          <w:i/>
          <w:sz w:val="22"/>
          <w:szCs w:val="22"/>
          <w:lang w:val="pl-PL"/>
        </w:rPr>
      </w:pPr>
    </w:p>
    <w:p w:rsidR="00837848" w:rsidRPr="009353E6" w:rsidRDefault="00C64E92" w:rsidP="004A0B9E">
      <w:pPr>
        <w:keepNext/>
        <w:rPr>
          <w:sz w:val="22"/>
          <w:szCs w:val="22"/>
          <w:lang w:val="pl-PL"/>
        </w:rPr>
      </w:pPr>
      <w:r w:rsidRPr="009353E6">
        <w:rPr>
          <w:sz w:val="22"/>
          <w:szCs w:val="22"/>
          <w:lang w:val="pl-PL"/>
        </w:rPr>
        <w:t>Z</w:t>
      </w:r>
      <w:r w:rsidR="00837848" w:rsidRPr="009353E6">
        <w:rPr>
          <w:sz w:val="22"/>
          <w:szCs w:val="22"/>
          <w:lang w:val="pl-PL"/>
        </w:rPr>
        <w:t xml:space="preserve">aburzenia czynności nerek </w:t>
      </w:r>
    </w:p>
    <w:p w:rsidR="00837848" w:rsidRPr="009353E6" w:rsidRDefault="00837848" w:rsidP="004A0B9E">
      <w:pPr>
        <w:pStyle w:val="BodyText"/>
        <w:keepN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u w:val="single"/>
          <w:lang w:val="pl-PL"/>
        </w:rPr>
      </w:pPr>
      <w:r w:rsidRPr="009353E6">
        <w:rPr>
          <w:sz w:val="22"/>
          <w:szCs w:val="22"/>
          <w:lang w:val="pl-PL"/>
        </w:rPr>
        <w:t>Zaleca się okresowe monitorowanie czynności nerek (patrz punkt 4.4).</w:t>
      </w:r>
    </w:p>
    <w:p w:rsidR="00A951A7" w:rsidRPr="009353E6" w:rsidRDefault="00A951A7" w:rsidP="00A951A7">
      <w:pPr>
        <w:rPr>
          <w:sz w:val="22"/>
          <w:szCs w:val="22"/>
          <w:lang w:val="pl-PL"/>
        </w:rPr>
      </w:pPr>
    </w:p>
    <w:p w:rsidR="00837848" w:rsidRPr="009353E6" w:rsidRDefault="00C64E92" w:rsidP="004A0B9E">
      <w:pPr>
        <w:keepNext/>
        <w:rPr>
          <w:sz w:val="22"/>
          <w:szCs w:val="22"/>
          <w:lang w:val="pl-PL"/>
        </w:rPr>
      </w:pPr>
      <w:r w:rsidRPr="009353E6">
        <w:rPr>
          <w:sz w:val="22"/>
          <w:szCs w:val="22"/>
          <w:lang w:val="pl-PL"/>
        </w:rPr>
        <w:t>Z</w:t>
      </w:r>
      <w:r w:rsidR="00837848" w:rsidRPr="009353E6">
        <w:rPr>
          <w:sz w:val="22"/>
          <w:szCs w:val="22"/>
          <w:lang w:val="pl-PL"/>
        </w:rPr>
        <w:t>aburzenia czynności wątroby</w:t>
      </w:r>
    </w:p>
    <w:p w:rsidR="00837848" w:rsidRPr="009353E6" w:rsidRDefault="00837848" w:rsidP="004A0B9E">
      <w:pPr>
        <w:pStyle w:val="BodyText"/>
        <w:keepN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U pacjentów z łagodnym lub umiarkowanym zaburzeniem czynności wątroby, nie należy przekraczać dawki MicardisPlus 40 mg/12,5 mg raz na dobę. MicardisPlus nie jest wskazany do stosowania u pacjentów z ciężkim zaburzeniem czynności wątroby. U pacjentów z zaburzeniami czynności wątroby tiazydy powinny być stosowane z ostrożnością (patrz punkt 4.4).</w:t>
      </w:r>
    </w:p>
    <w:p w:rsidR="00204221" w:rsidRPr="009353E6" w:rsidRDefault="00204221" w:rsidP="000D5BED">
      <w:pPr>
        <w:pStyle w:val="BodyText"/>
        <w:spacing w:line="240" w:lineRule="auto"/>
        <w:jc w:val="left"/>
        <w:rPr>
          <w:sz w:val="22"/>
          <w:szCs w:val="22"/>
          <w:lang w:val="pl-PL"/>
        </w:rPr>
      </w:pPr>
    </w:p>
    <w:p w:rsidR="00837848" w:rsidRPr="009353E6" w:rsidRDefault="00204221" w:rsidP="000D5BED">
      <w:pPr>
        <w:pStyle w:val="BodyText"/>
        <w:spacing w:line="240" w:lineRule="auto"/>
        <w:jc w:val="left"/>
        <w:rPr>
          <w:sz w:val="22"/>
          <w:szCs w:val="22"/>
          <w:lang w:val="pl-PL"/>
        </w:rPr>
      </w:pPr>
      <w:r w:rsidRPr="009353E6">
        <w:rPr>
          <w:sz w:val="22"/>
          <w:szCs w:val="22"/>
          <w:lang w:val="pl-PL"/>
        </w:rPr>
        <w:t>Pacjenci w podeszłym wieku</w:t>
      </w:r>
    </w:p>
    <w:p w:rsidR="00837848" w:rsidRPr="009353E6" w:rsidRDefault="00837848"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Nie ma konieczności dostosowania dawkowania.</w:t>
      </w:r>
    </w:p>
    <w:p w:rsidR="00204221" w:rsidRPr="009353E6" w:rsidRDefault="00204221" w:rsidP="000D5BED">
      <w:pPr>
        <w:pStyle w:val="BodyText"/>
        <w:spacing w:line="240" w:lineRule="auto"/>
        <w:jc w:val="left"/>
        <w:rPr>
          <w:sz w:val="22"/>
          <w:szCs w:val="22"/>
          <w:lang w:val="pl-PL"/>
        </w:rPr>
      </w:pPr>
    </w:p>
    <w:p w:rsidR="00B45707" w:rsidRPr="009353E6" w:rsidRDefault="00B45707" w:rsidP="00C319D8">
      <w:pPr>
        <w:rPr>
          <w:i/>
          <w:sz w:val="22"/>
          <w:szCs w:val="22"/>
          <w:lang w:val="pl-PL"/>
        </w:rPr>
      </w:pPr>
      <w:r w:rsidRPr="009353E6">
        <w:rPr>
          <w:i/>
          <w:sz w:val="22"/>
          <w:szCs w:val="22"/>
          <w:lang w:val="pl-PL"/>
        </w:rPr>
        <w:t>Dzieci i młodzież</w:t>
      </w:r>
    </w:p>
    <w:p w:rsidR="00AB5B3F" w:rsidRPr="009353E6" w:rsidRDefault="00AB5B3F" w:rsidP="00B45707">
      <w:pPr>
        <w:rPr>
          <w:sz w:val="22"/>
          <w:szCs w:val="22"/>
          <w:lang w:val="pl-PL"/>
        </w:rPr>
      </w:pPr>
    </w:p>
    <w:p w:rsidR="00B45707" w:rsidRPr="009353E6" w:rsidRDefault="00B45707" w:rsidP="00B45707">
      <w:pPr>
        <w:rPr>
          <w:sz w:val="22"/>
          <w:szCs w:val="22"/>
          <w:lang w:val="pl-PL"/>
        </w:rPr>
      </w:pPr>
      <w:r w:rsidRPr="009353E6">
        <w:rPr>
          <w:sz w:val="22"/>
          <w:szCs w:val="22"/>
          <w:lang w:val="pl-PL"/>
        </w:rPr>
        <w:t xml:space="preserve">Nie określono bezpieczeństwa stosowania </w:t>
      </w:r>
      <w:r w:rsidR="00BB0AE9" w:rsidRPr="009353E6">
        <w:rPr>
          <w:sz w:val="22"/>
          <w:szCs w:val="22"/>
          <w:lang w:val="pl-PL"/>
        </w:rPr>
        <w:t>an</w:t>
      </w:r>
      <w:r w:rsidRPr="009353E6">
        <w:rPr>
          <w:sz w:val="22"/>
          <w:szCs w:val="22"/>
          <w:lang w:val="pl-PL"/>
        </w:rPr>
        <w:t>i skuteczności produktu leczniczego MicardisPlus u dzieci i</w:t>
      </w:r>
      <w:r w:rsidR="0024500F" w:rsidRPr="009353E6">
        <w:rPr>
          <w:sz w:val="22"/>
          <w:szCs w:val="22"/>
          <w:lang w:val="pl-PL"/>
        </w:rPr>
        <w:t> </w:t>
      </w:r>
      <w:r w:rsidRPr="009353E6">
        <w:rPr>
          <w:sz w:val="22"/>
          <w:szCs w:val="22"/>
          <w:lang w:val="pl-PL"/>
        </w:rPr>
        <w:t xml:space="preserve">młodzieży w wieku poniżej 18 lat. </w:t>
      </w:r>
      <w:r w:rsidR="0034228B" w:rsidRPr="009353E6">
        <w:rPr>
          <w:sz w:val="22"/>
          <w:szCs w:val="22"/>
          <w:lang w:val="pl-PL"/>
        </w:rPr>
        <w:t>Brak dostępnych danych.</w:t>
      </w:r>
      <w:r w:rsidRPr="009353E6">
        <w:rPr>
          <w:sz w:val="22"/>
          <w:szCs w:val="22"/>
          <w:lang w:val="pl-PL"/>
        </w:rPr>
        <w:t>.</w:t>
      </w:r>
    </w:p>
    <w:p w:rsidR="00B45707" w:rsidRPr="009353E6" w:rsidRDefault="00B45707" w:rsidP="00B45707">
      <w:pPr>
        <w:rPr>
          <w:sz w:val="22"/>
          <w:szCs w:val="22"/>
          <w:lang w:val="pl-PL"/>
        </w:rPr>
      </w:pPr>
    </w:p>
    <w:p w:rsidR="00B45707" w:rsidRPr="009353E6" w:rsidRDefault="00B45707" w:rsidP="00B45707">
      <w:pPr>
        <w:rPr>
          <w:sz w:val="22"/>
          <w:szCs w:val="22"/>
          <w:u w:val="single"/>
          <w:lang w:val="pl-PL"/>
        </w:rPr>
      </w:pPr>
      <w:r w:rsidRPr="009353E6">
        <w:rPr>
          <w:sz w:val="22"/>
          <w:szCs w:val="22"/>
          <w:u w:val="single"/>
          <w:lang w:val="pl-PL"/>
        </w:rPr>
        <w:t>Sposób podawania</w:t>
      </w:r>
    </w:p>
    <w:p w:rsidR="00B45707" w:rsidRPr="009353E6" w:rsidRDefault="00B45707" w:rsidP="00B45707">
      <w:pPr>
        <w:rPr>
          <w:sz w:val="22"/>
          <w:szCs w:val="22"/>
          <w:lang w:val="pl-PL"/>
        </w:rPr>
      </w:pPr>
    </w:p>
    <w:p w:rsidR="00B45707" w:rsidRPr="009353E6" w:rsidRDefault="00B45707" w:rsidP="00B45707">
      <w:pPr>
        <w:rPr>
          <w:sz w:val="22"/>
          <w:szCs w:val="22"/>
          <w:lang w:val="pl-PL"/>
        </w:rPr>
      </w:pPr>
      <w:r w:rsidRPr="009353E6">
        <w:rPr>
          <w:sz w:val="22"/>
          <w:szCs w:val="22"/>
          <w:lang w:val="pl-PL"/>
        </w:rPr>
        <w:t xml:space="preserve">MicardisPlus tabletki należy przyjmować doustnie raz na dobę, </w:t>
      </w:r>
      <w:r w:rsidR="0099016C" w:rsidRPr="009353E6">
        <w:rPr>
          <w:sz w:val="22"/>
          <w:szCs w:val="22"/>
          <w:lang w:val="pl-PL"/>
        </w:rPr>
        <w:t>popijając</w:t>
      </w:r>
      <w:r w:rsidRPr="009353E6">
        <w:rPr>
          <w:sz w:val="22"/>
          <w:szCs w:val="22"/>
          <w:lang w:val="pl-PL"/>
        </w:rPr>
        <w:t xml:space="preserve"> płynem. Produkt można przyjmować niezależnie od posiłków.</w:t>
      </w:r>
    </w:p>
    <w:p w:rsidR="00B45707" w:rsidRPr="009353E6" w:rsidRDefault="00B45707" w:rsidP="00B45707">
      <w:pPr>
        <w:rPr>
          <w:sz w:val="22"/>
          <w:szCs w:val="22"/>
          <w:lang w:val="pl-PL"/>
        </w:rPr>
      </w:pPr>
    </w:p>
    <w:p w:rsidR="00B45707" w:rsidRPr="009353E6" w:rsidRDefault="00B45707" w:rsidP="00B45707">
      <w:pPr>
        <w:rPr>
          <w:i/>
          <w:sz w:val="22"/>
          <w:szCs w:val="22"/>
          <w:lang w:val="pl-PL"/>
        </w:rPr>
      </w:pPr>
      <w:r w:rsidRPr="009353E6">
        <w:rPr>
          <w:i/>
          <w:sz w:val="22"/>
          <w:szCs w:val="22"/>
          <w:lang w:val="pl-PL"/>
        </w:rPr>
        <w:t xml:space="preserve">Środki ostrożności, które należy podjąć przed </w:t>
      </w:r>
      <w:r w:rsidR="00FC1C67" w:rsidRPr="009353E6">
        <w:rPr>
          <w:i/>
          <w:sz w:val="22"/>
          <w:szCs w:val="22"/>
          <w:lang w:val="pl-PL"/>
        </w:rPr>
        <w:t>użyciem</w:t>
      </w:r>
      <w:r w:rsidR="00F710F6" w:rsidRPr="009353E6">
        <w:rPr>
          <w:i/>
          <w:sz w:val="22"/>
          <w:szCs w:val="22"/>
          <w:lang w:val="pl-PL"/>
        </w:rPr>
        <w:t xml:space="preserve"> lub </w:t>
      </w:r>
      <w:r w:rsidR="00FC1C67" w:rsidRPr="009353E6">
        <w:rPr>
          <w:i/>
          <w:sz w:val="22"/>
          <w:szCs w:val="22"/>
          <w:lang w:val="pl-PL"/>
        </w:rPr>
        <w:t xml:space="preserve">podaniem </w:t>
      </w:r>
      <w:r w:rsidRPr="009353E6">
        <w:rPr>
          <w:i/>
          <w:sz w:val="22"/>
          <w:szCs w:val="22"/>
          <w:lang w:val="pl-PL"/>
        </w:rPr>
        <w:t>produktu leczniczego.</w:t>
      </w:r>
    </w:p>
    <w:p w:rsidR="00AB5B3F" w:rsidRPr="009353E6" w:rsidRDefault="00AB5B3F" w:rsidP="000D5BED">
      <w:pPr>
        <w:pStyle w:val="BodyText"/>
        <w:spacing w:line="240" w:lineRule="auto"/>
        <w:jc w:val="left"/>
        <w:rPr>
          <w:sz w:val="22"/>
          <w:szCs w:val="22"/>
          <w:lang w:val="pl-PL"/>
        </w:rPr>
      </w:pPr>
    </w:p>
    <w:p w:rsidR="00204221" w:rsidRPr="009353E6" w:rsidRDefault="00B45707" w:rsidP="000D5BED">
      <w:pPr>
        <w:pStyle w:val="BodyText"/>
        <w:spacing w:line="240" w:lineRule="auto"/>
        <w:jc w:val="left"/>
        <w:rPr>
          <w:sz w:val="22"/>
          <w:szCs w:val="22"/>
          <w:lang w:val="pl-PL"/>
        </w:rPr>
      </w:pPr>
      <w:r w:rsidRPr="009353E6">
        <w:rPr>
          <w:sz w:val="22"/>
          <w:szCs w:val="22"/>
          <w:lang w:val="pl-PL"/>
        </w:rPr>
        <w:t>MicardisPlus należy przechowywać w szczelnym blistrze ze względu na higroskopijne właściwości tabletek. Tabletkę należy wyjąć z blistra tuż przed zażyciem</w:t>
      </w:r>
      <w:r w:rsidR="00837848" w:rsidRPr="009353E6">
        <w:rPr>
          <w:sz w:val="22"/>
          <w:szCs w:val="22"/>
          <w:lang w:val="pl-PL"/>
        </w:rPr>
        <w:t xml:space="preserve"> (patrz punkt 6.6)</w:t>
      </w:r>
      <w:r w:rsidRPr="009353E6">
        <w:rPr>
          <w:sz w:val="22"/>
          <w:szCs w:val="22"/>
          <w:lang w:val="pl-PL"/>
        </w:rPr>
        <w:t>.</w:t>
      </w:r>
    </w:p>
    <w:p w:rsidR="00EA2D7E" w:rsidRPr="009353E6" w:rsidRDefault="00EA2D7E" w:rsidP="000D5BED">
      <w:pPr>
        <w:pStyle w:val="BodyText"/>
        <w:spacing w:line="240" w:lineRule="auto"/>
        <w:jc w:val="left"/>
        <w:rPr>
          <w:sz w:val="22"/>
          <w:szCs w:val="22"/>
          <w:lang w:val="pl-PL"/>
        </w:rPr>
      </w:pPr>
    </w:p>
    <w:p w:rsidR="00204221" w:rsidRPr="009353E6" w:rsidRDefault="00586E5C" w:rsidP="00586E5C">
      <w:pPr>
        <w:pStyle w:val="BodyText"/>
        <w:tabs>
          <w:tab w:val="left" w:pos="540"/>
        </w:tabs>
        <w:spacing w:line="240" w:lineRule="auto"/>
        <w:jc w:val="left"/>
        <w:rPr>
          <w:b/>
          <w:sz w:val="22"/>
          <w:szCs w:val="22"/>
          <w:lang w:val="pl-PL"/>
        </w:rPr>
      </w:pPr>
      <w:r w:rsidRPr="009353E6">
        <w:rPr>
          <w:b/>
          <w:sz w:val="22"/>
          <w:szCs w:val="22"/>
          <w:lang w:val="pl-PL"/>
        </w:rPr>
        <w:t>4.3</w:t>
      </w:r>
      <w:r w:rsidRPr="009353E6">
        <w:rPr>
          <w:b/>
          <w:sz w:val="22"/>
          <w:szCs w:val="22"/>
          <w:lang w:val="pl-PL"/>
        </w:rPr>
        <w:tab/>
      </w:r>
      <w:r w:rsidR="00204221" w:rsidRPr="009353E6">
        <w:rPr>
          <w:b/>
          <w:sz w:val="22"/>
          <w:szCs w:val="22"/>
          <w:lang w:val="pl-PL"/>
        </w:rPr>
        <w:t>Przeciwwskazania</w:t>
      </w:r>
    </w:p>
    <w:p w:rsidR="00204221" w:rsidRPr="009353E6" w:rsidRDefault="00204221" w:rsidP="000D5BED">
      <w:pPr>
        <w:pStyle w:val="BodyText"/>
        <w:spacing w:line="240" w:lineRule="auto"/>
        <w:jc w:val="left"/>
        <w:rPr>
          <w:sz w:val="22"/>
          <w:szCs w:val="22"/>
          <w:lang w:val="pl-PL"/>
        </w:rPr>
      </w:pPr>
    </w:p>
    <w:p w:rsidR="00837848" w:rsidRPr="009353E6" w:rsidRDefault="00204221" w:rsidP="00837848">
      <w:pPr>
        <w:numPr>
          <w:ilvl w:val="0"/>
          <w:numId w:val="45"/>
        </w:numPr>
        <w:tabs>
          <w:tab w:val="clear" w:pos="1080"/>
          <w:tab w:val="num" w:pos="540"/>
        </w:tabs>
        <w:ind w:left="540" w:hanging="540"/>
        <w:rPr>
          <w:sz w:val="22"/>
          <w:szCs w:val="22"/>
          <w:lang w:val="pl-PL"/>
        </w:rPr>
      </w:pPr>
      <w:r w:rsidRPr="009353E6">
        <w:rPr>
          <w:sz w:val="22"/>
          <w:szCs w:val="22"/>
          <w:lang w:val="pl-PL"/>
        </w:rPr>
        <w:t xml:space="preserve">Nadwrażliwość na którąkolwiek substancję czynną lub na którąkolwiek substancję pomocniczą </w:t>
      </w:r>
      <w:r w:rsidR="00837848" w:rsidRPr="009353E6">
        <w:rPr>
          <w:sz w:val="22"/>
          <w:szCs w:val="22"/>
          <w:lang w:val="pl-PL"/>
        </w:rPr>
        <w:t>wymienioną w punkcie</w:t>
      </w:r>
      <w:r w:rsidR="000016F5" w:rsidRPr="009353E6">
        <w:rPr>
          <w:sz w:val="22"/>
          <w:szCs w:val="22"/>
          <w:lang w:val="pl-PL"/>
        </w:rPr>
        <w:t> </w:t>
      </w:r>
      <w:r w:rsidR="00837848" w:rsidRPr="009353E6">
        <w:rPr>
          <w:sz w:val="22"/>
          <w:szCs w:val="22"/>
          <w:lang w:val="pl-PL"/>
        </w:rPr>
        <w:t>6.1.</w:t>
      </w:r>
    </w:p>
    <w:p w:rsidR="00204221"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Nadwrażliwość na inne pochodne sulfonamidowe (hydrochlorotiazyd jest pochodną</w:t>
      </w:r>
      <w:r w:rsidR="00906328" w:rsidRPr="009353E6">
        <w:rPr>
          <w:sz w:val="22"/>
          <w:szCs w:val="22"/>
          <w:lang w:val="pl-PL"/>
        </w:rPr>
        <w:t>.</w:t>
      </w:r>
      <w:r w:rsidRPr="009353E6">
        <w:rPr>
          <w:sz w:val="22"/>
          <w:szCs w:val="22"/>
          <w:lang w:val="pl-PL"/>
        </w:rPr>
        <w:t xml:space="preserve"> sulfonamidową)</w:t>
      </w:r>
    </w:p>
    <w:p w:rsidR="00204221"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 xml:space="preserve">Drugi i trzeci trymestr ciąży (patrz punkt </w:t>
      </w:r>
      <w:r w:rsidR="0021094B" w:rsidRPr="009353E6">
        <w:rPr>
          <w:sz w:val="22"/>
          <w:szCs w:val="22"/>
          <w:lang w:val="pl-PL"/>
        </w:rPr>
        <w:t xml:space="preserve">4.4 i </w:t>
      </w:r>
      <w:r w:rsidRPr="009353E6">
        <w:rPr>
          <w:sz w:val="22"/>
          <w:szCs w:val="22"/>
          <w:lang w:val="pl-PL"/>
        </w:rPr>
        <w:t>4.6)</w:t>
      </w:r>
      <w:r w:rsidR="00906328" w:rsidRPr="009353E6">
        <w:rPr>
          <w:sz w:val="22"/>
          <w:szCs w:val="22"/>
          <w:lang w:val="pl-PL"/>
        </w:rPr>
        <w:t>.</w:t>
      </w:r>
    </w:p>
    <w:p w:rsidR="00204221"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Zastój żółci i niedrożność dróg żółciowych</w:t>
      </w:r>
      <w:r w:rsidR="00906328" w:rsidRPr="009353E6">
        <w:rPr>
          <w:sz w:val="22"/>
          <w:szCs w:val="22"/>
          <w:lang w:val="pl-PL"/>
        </w:rPr>
        <w:t>.</w:t>
      </w:r>
    </w:p>
    <w:p w:rsidR="00204221"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Ciężka niewydolność wątroby</w:t>
      </w:r>
      <w:r w:rsidR="00906328" w:rsidRPr="009353E6">
        <w:rPr>
          <w:sz w:val="22"/>
          <w:szCs w:val="22"/>
          <w:lang w:val="pl-PL"/>
        </w:rPr>
        <w:t>.</w:t>
      </w:r>
    </w:p>
    <w:p w:rsidR="00204221"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Ciężka niewydolność nerek (klirens kreatyniny &lt; 30 ml/min)</w:t>
      </w:r>
      <w:r w:rsidR="00906328" w:rsidRPr="009353E6">
        <w:rPr>
          <w:sz w:val="22"/>
          <w:szCs w:val="22"/>
          <w:lang w:val="pl-PL"/>
        </w:rPr>
        <w:t>.</w:t>
      </w:r>
    </w:p>
    <w:p w:rsidR="00204221" w:rsidRPr="009353E6" w:rsidRDefault="00204221" w:rsidP="002D507E">
      <w:pPr>
        <w:pStyle w:val="BodyText"/>
        <w:numPr>
          <w:ilvl w:val="0"/>
          <w:numId w:val="19"/>
        </w:numPr>
        <w:tabs>
          <w:tab w:val="clear" w:pos="2520"/>
          <w:tab w:val="num" w:pos="540"/>
        </w:tabs>
        <w:spacing w:line="240" w:lineRule="auto"/>
        <w:ind w:left="540" w:hanging="540"/>
        <w:jc w:val="left"/>
        <w:rPr>
          <w:sz w:val="22"/>
          <w:szCs w:val="22"/>
          <w:lang w:val="pl-PL"/>
        </w:rPr>
      </w:pPr>
      <w:r w:rsidRPr="009353E6">
        <w:rPr>
          <w:sz w:val="22"/>
          <w:szCs w:val="22"/>
          <w:lang w:val="pl-PL"/>
        </w:rPr>
        <w:t>Oporna na leczenie hipokaliemia, hiperkalcemia</w:t>
      </w:r>
      <w:r w:rsidR="00906328" w:rsidRPr="009353E6">
        <w:rPr>
          <w:sz w:val="22"/>
          <w:szCs w:val="22"/>
          <w:lang w:val="pl-PL"/>
        </w:rPr>
        <w:t>.</w:t>
      </w:r>
    </w:p>
    <w:p w:rsidR="00204221" w:rsidRPr="009353E6" w:rsidRDefault="00204221" w:rsidP="000D5BED">
      <w:pPr>
        <w:pStyle w:val="BodyText"/>
        <w:spacing w:line="240" w:lineRule="auto"/>
        <w:jc w:val="left"/>
        <w:rPr>
          <w:sz w:val="22"/>
          <w:szCs w:val="22"/>
          <w:lang w:val="pl-PL"/>
        </w:rPr>
      </w:pPr>
    </w:p>
    <w:p w:rsidR="0064332F" w:rsidRPr="009353E6" w:rsidRDefault="0064332F" w:rsidP="0064332F">
      <w:pPr>
        <w:rPr>
          <w:sz w:val="22"/>
          <w:szCs w:val="22"/>
          <w:lang w:val="pl-PL"/>
        </w:rPr>
      </w:pPr>
      <w:r w:rsidRPr="009353E6">
        <w:rPr>
          <w:sz w:val="22"/>
          <w:szCs w:val="22"/>
          <w:lang w:val="pl-PL"/>
        </w:rPr>
        <w:t>Jednoczesne stosowanie produktu leczniczego MicardisPlus z produktami zawierającymi aliskiren jest przeciwwskazane u pacjentów z cukrzycą  lub zaburzeniem czynności nerek (współczynnik filtracji kłębuszkowej, GFR &lt; 60 ml/min/1,73 m</w:t>
      </w:r>
      <w:r w:rsidRPr="009353E6">
        <w:rPr>
          <w:sz w:val="22"/>
          <w:szCs w:val="22"/>
          <w:vertAlign w:val="superscript"/>
          <w:lang w:val="pl-PL"/>
        </w:rPr>
        <w:t>2</w:t>
      </w:r>
      <w:r w:rsidRPr="009353E6">
        <w:rPr>
          <w:sz w:val="22"/>
          <w:szCs w:val="22"/>
          <w:lang w:val="pl-PL"/>
        </w:rPr>
        <w:t>) (patrz punkty  4.5 i 5.1).</w:t>
      </w:r>
    </w:p>
    <w:p w:rsidR="00A951A7" w:rsidRPr="009353E6" w:rsidRDefault="00A951A7" w:rsidP="000D5BED">
      <w:pPr>
        <w:pStyle w:val="BodyText"/>
        <w:spacing w:line="240" w:lineRule="auto"/>
        <w:jc w:val="left"/>
        <w:rPr>
          <w:sz w:val="22"/>
          <w:szCs w:val="22"/>
          <w:lang w:val="pl-PL"/>
        </w:rPr>
      </w:pPr>
    </w:p>
    <w:p w:rsidR="00204221" w:rsidRPr="009353E6" w:rsidRDefault="00586E5C" w:rsidP="004A0B9E">
      <w:pPr>
        <w:pStyle w:val="BodyText"/>
        <w:keepNext/>
        <w:tabs>
          <w:tab w:val="left" w:pos="540"/>
        </w:tabs>
        <w:spacing w:line="240" w:lineRule="auto"/>
        <w:jc w:val="left"/>
        <w:rPr>
          <w:b/>
          <w:sz w:val="22"/>
          <w:szCs w:val="22"/>
          <w:lang w:val="pl-PL"/>
        </w:rPr>
      </w:pPr>
      <w:r w:rsidRPr="009353E6">
        <w:rPr>
          <w:b/>
          <w:sz w:val="22"/>
          <w:szCs w:val="22"/>
          <w:lang w:val="pl-PL"/>
        </w:rPr>
        <w:t>4.4</w:t>
      </w:r>
      <w:r w:rsidRPr="009353E6">
        <w:rPr>
          <w:b/>
          <w:sz w:val="22"/>
          <w:szCs w:val="22"/>
          <w:lang w:val="pl-PL"/>
        </w:rPr>
        <w:tab/>
      </w:r>
      <w:r w:rsidR="00204221" w:rsidRPr="009353E6">
        <w:rPr>
          <w:b/>
          <w:sz w:val="22"/>
          <w:szCs w:val="22"/>
          <w:lang w:val="pl-PL"/>
        </w:rPr>
        <w:t>Specjalne ostrzeżenia i środki ostrożności dotyczące stosowania</w:t>
      </w:r>
    </w:p>
    <w:p w:rsidR="00204221" w:rsidRPr="009353E6" w:rsidRDefault="00204221" w:rsidP="004A0B9E">
      <w:pPr>
        <w:pStyle w:val="BodyText"/>
        <w:keepNext/>
        <w:spacing w:line="240" w:lineRule="auto"/>
        <w:jc w:val="left"/>
        <w:rPr>
          <w:sz w:val="22"/>
          <w:szCs w:val="22"/>
          <w:lang w:val="pl-PL"/>
        </w:rPr>
      </w:pPr>
    </w:p>
    <w:p w:rsidR="00917238" w:rsidRPr="009353E6" w:rsidRDefault="00917238" w:rsidP="004A0B9E">
      <w:pPr>
        <w:pStyle w:val="BodyText"/>
        <w:keepNext/>
        <w:spacing w:line="240" w:lineRule="auto"/>
        <w:jc w:val="left"/>
        <w:rPr>
          <w:sz w:val="22"/>
          <w:szCs w:val="22"/>
          <w:lang w:val="pl-PL"/>
        </w:rPr>
      </w:pPr>
      <w:r w:rsidRPr="009353E6">
        <w:rPr>
          <w:sz w:val="22"/>
          <w:szCs w:val="22"/>
          <w:u w:val="single"/>
          <w:lang w:val="pl-PL"/>
        </w:rPr>
        <w:t>Ciąża</w:t>
      </w:r>
      <w:r w:rsidRPr="009353E6">
        <w:rPr>
          <w:sz w:val="22"/>
          <w:szCs w:val="22"/>
          <w:lang w:val="pl-PL"/>
        </w:rPr>
        <w:t xml:space="preserve"> </w:t>
      </w:r>
    </w:p>
    <w:p w:rsidR="00837848" w:rsidRPr="009353E6" w:rsidRDefault="00837848" w:rsidP="004A0B9E">
      <w:pPr>
        <w:pStyle w:val="BodyText"/>
        <w:keepNext/>
        <w:spacing w:line="240" w:lineRule="auto"/>
        <w:jc w:val="left"/>
        <w:rPr>
          <w:sz w:val="22"/>
          <w:szCs w:val="22"/>
          <w:lang w:val="pl-PL"/>
        </w:rPr>
      </w:pPr>
    </w:p>
    <w:p w:rsidR="00917238" w:rsidRPr="009353E6" w:rsidRDefault="00917238" w:rsidP="000D5BED">
      <w:pPr>
        <w:pStyle w:val="BodyText"/>
        <w:spacing w:line="240" w:lineRule="auto"/>
        <w:jc w:val="left"/>
        <w:rPr>
          <w:sz w:val="22"/>
          <w:szCs w:val="22"/>
          <w:lang w:val="pl-PL"/>
        </w:rPr>
      </w:pPr>
      <w:r w:rsidRPr="009353E6">
        <w:rPr>
          <w:sz w:val="22"/>
          <w:szCs w:val="22"/>
          <w:lang w:val="pl-PL"/>
        </w:rPr>
        <w:t>Nie należy rozpoczynać leczenia antagonistami receptora angiotensyny II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21094B" w:rsidRPr="009353E6" w:rsidRDefault="0021094B" w:rsidP="000D5BED">
      <w:pPr>
        <w:pStyle w:val="BodyText"/>
        <w:spacing w:line="240" w:lineRule="auto"/>
        <w:jc w:val="left"/>
        <w:rPr>
          <w:sz w:val="22"/>
          <w:szCs w:val="22"/>
          <w:u w:val="single"/>
          <w:lang w:val="pl-PL"/>
        </w:rPr>
      </w:pPr>
    </w:p>
    <w:p w:rsidR="00837848" w:rsidRPr="009353E6" w:rsidRDefault="00204221" w:rsidP="004A0B9E">
      <w:pPr>
        <w:pStyle w:val="BodyText"/>
        <w:keepNext/>
        <w:spacing w:line="240" w:lineRule="auto"/>
        <w:jc w:val="left"/>
        <w:rPr>
          <w:sz w:val="22"/>
          <w:szCs w:val="22"/>
          <w:lang w:val="pl-PL"/>
        </w:rPr>
      </w:pPr>
      <w:r w:rsidRPr="009353E6">
        <w:rPr>
          <w:sz w:val="22"/>
          <w:szCs w:val="22"/>
          <w:u w:val="single"/>
          <w:lang w:val="pl-PL"/>
        </w:rPr>
        <w:t>Zaburzenia czynności wątroby</w:t>
      </w:r>
    </w:p>
    <w:p w:rsidR="00837848" w:rsidRPr="009353E6" w:rsidRDefault="00837848" w:rsidP="004A0B9E">
      <w:pPr>
        <w:pStyle w:val="BodyText"/>
        <w:keepN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Ponieważ telmisartan jest eliminowany z żółcią, MicardisPlus nie powinien być stosowany u pacjentów z zastojem żółci, niedrożnością dróg żółciowych lub ciężką niewydolnością wątroby (patrz punkt 4.3). U tych pacjentów można spodziewać się zmniejszenia klirensu wątrobowego telmisartanu.</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Ponadto należy zachować ostrożność w przypadku podawania </w:t>
      </w:r>
      <w:r w:rsidR="00F710F6" w:rsidRPr="009353E6">
        <w:rPr>
          <w:sz w:val="22"/>
          <w:szCs w:val="22"/>
          <w:lang w:val="pl-PL"/>
        </w:rPr>
        <w:t>produkt</w:t>
      </w:r>
      <w:r w:rsidRPr="009353E6">
        <w:rPr>
          <w:sz w:val="22"/>
          <w:szCs w:val="22"/>
          <w:lang w:val="pl-PL"/>
        </w:rPr>
        <w:t>u MicardisPlus pacjentom z</w:t>
      </w:r>
      <w:r w:rsidR="0024500F" w:rsidRPr="009353E6">
        <w:rPr>
          <w:sz w:val="22"/>
          <w:szCs w:val="22"/>
          <w:lang w:val="pl-PL"/>
        </w:rPr>
        <w:t> </w:t>
      </w:r>
      <w:r w:rsidRPr="009353E6">
        <w:rPr>
          <w:sz w:val="22"/>
          <w:szCs w:val="22"/>
          <w:lang w:val="pl-PL"/>
        </w:rPr>
        <w:t>zaburzeniem czynności wątroby lub z postępującą chorobą wątroby, ponieważ nieznaczne zmiany równowagi wodno-elektrolitowej mogą przyśpieszyć wystąpienie śpiączki wątrobowej. Brak danych klinicznych dotyczących stosowania telmisartanu u pacjentów z zaburzeniem czynności wątroby.</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Nadciśnienie naczyniowo-nerkowe</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Stwierdzono zwiększone ryzyko wystąpienia ciężkiego niedociśnienia tętniczego i niewydolności nerek podczas podawania leków wpływających na układ renina-angiotensyna-aldosteron pacjentom z obustronnym zwężeniem tętnic nerkowych lub ze zwężeniem tętnicy nerkowej w przypadku jednej czynnej nerki.</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 xml:space="preserve">Zaburzenia czynności nerek i </w:t>
      </w:r>
      <w:r w:rsidR="00184A5E" w:rsidRPr="009353E6">
        <w:rPr>
          <w:sz w:val="22"/>
          <w:szCs w:val="22"/>
          <w:u w:val="single"/>
          <w:lang w:val="pl-PL"/>
        </w:rPr>
        <w:t xml:space="preserve">stan po </w:t>
      </w:r>
      <w:r w:rsidRPr="009353E6">
        <w:rPr>
          <w:sz w:val="22"/>
          <w:szCs w:val="22"/>
          <w:u w:val="single"/>
          <w:lang w:val="pl-PL"/>
        </w:rPr>
        <w:t>przeszczep</w:t>
      </w:r>
      <w:r w:rsidR="00184A5E" w:rsidRPr="009353E6">
        <w:rPr>
          <w:sz w:val="22"/>
          <w:szCs w:val="22"/>
          <w:u w:val="single"/>
          <w:lang w:val="pl-PL"/>
        </w:rPr>
        <w:t>ieniu</w:t>
      </w:r>
      <w:r w:rsidRPr="009353E6">
        <w:rPr>
          <w:sz w:val="22"/>
          <w:szCs w:val="22"/>
          <w:u w:val="single"/>
          <w:lang w:val="pl-PL"/>
        </w:rPr>
        <w:t xml:space="preserve"> nerki</w:t>
      </w:r>
    </w:p>
    <w:p w:rsidR="00B36BA6" w:rsidRPr="009353E6" w:rsidRDefault="00B36BA6" w:rsidP="000D5BED">
      <w:pPr>
        <w:pStyle w:val="BodyText"/>
        <w:spacing w:line="240" w:lineRule="auto"/>
        <w:jc w:val="left"/>
        <w:rPr>
          <w:sz w:val="22"/>
          <w:szCs w:val="22"/>
          <w:lang w:val="pl-PL"/>
        </w:rPr>
      </w:pPr>
    </w:p>
    <w:p w:rsidR="00204221" w:rsidRPr="009353E6" w:rsidRDefault="00184A5E" w:rsidP="000D5BED">
      <w:pPr>
        <w:pStyle w:val="BodyText"/>
        <w:spacing w:line="240" w:lineRule="auto"/>
        <w:jc w:val="left"/>
        <w:rPr>
          <w:sz w:val="22"/>
          <w:szCs w:val="22"/>
          <w:lang w:val="pl-PL"/>
        </w:rPr>
      </w:pPr>
      <w:r w:rsidRPr="009353E6">
        <w:rPr>
          <w:sz w:val="22"/>
          <w:szCs w:val="22"/>
          <w:lang w:val="pl-PL"/>
        </w:rPr>
        <w:t xml:space="preserve">Produktu </w:t>
      </w:r>
      <w:r w:rsidR="00204221" w:rsidRPr="009353E6">
        <w:rPr>
          <w:sz w:val="22"/>
          <w:szCs w:val="22"/>
          <w:lang w:val="pl-PL"/>
        </w:rPr>
        <w:t xml:space="preserve">MicardisPlus nie </w:t>
      </w:r>
      <w:r w:rsidRPr="009353E6">
        <w:rPr>
          <w:sz w:val="22"/>
          <w:szCs w:val="22"/>
          <w:lang w:val="pl-PL"/>
        </w:rPr>
        <w:t>wolno s</w:t>
      </w:r>
      <w:r w:rsidR="00204221" w:rsidRPr="009353E6">
        <w:rPr>
          <w:sz w:val="22"/>
          <w:szCs w:val="22"/>
          <w:lang w:val="pl-PL"/>
        </w:rPr>
        <w:t>tosowa</w:t>
      </w:r>
      <w:r w:rsidRPr="009353E6">
        <w:rPr>
          <w:sz w:val="22"/>
          <w:szCs w:val="22"/>
          <w:lang w:val="pl-PL"/>
        </w:rPr>
        <w:t>ć</w:t>
      </w:r>
      <w:r w:rsidR="00204221" w:rsidRPr="009353E6">
        <w:rPr>
          <w:sz w:val="22"/>
          <w:szCs w:val="22"/>
          <w:lang w:val="pl-PL"/>
        </w:rPr>
        <w:t xml:space="preserve"> u pacjentów z ciężką niewydolnością nerek (klirens kreatyniny &lt; 30 ml/min) (patrz punkt 4.3). </w:t>
      </w:r>
      <w:r w:rsidRPr="009353E6">
        <w:rPr>
          <w:sz w:val="22"/>
          <w:szCs w:val="22"/>
          <w:lang w:val="pl-PL"/>
        </w:rPr>
        <w:t xml:space="preserve">Brak </w:t>
      </w:r>
      <w:r w:rsidR="00204221" w:rsidRPr="009353E6">
        <w:rPr>
          <w:sz w:val="22"/>
          <w:szCs w:val="22"/>
          <w:lang w:val="pl-PL"/>
        </w:rPr>
        <w:t>doświadcze</w:t>
      </w:r>
      <w:r w:rsidRPr="009353E6">
        <w:rPr>
          <w:sz w:val="22"/>
          <w:szCs w:val="22"/>
          <w:lang w:val="pl-PL"/>
        </w:rPr>
        <w:t xml:space="preserve">nia odnośnie </w:t>
      </w:r>
      <w:r w:rsidR="00204221" w:rsidRPr="009353E6">
        <w:rPr>
          <w:sz w:val="22"/>
          <w:szCs w:val="22"/>
          <w:lang w:val="pl-PL"/>
        </w:rPr>
        <w:t>stosowani</w:t>
      </w:r>
      <w:r w:rsidRPr="009353E6">
        <w:rPr>
          <w:sz w:val="22"/>
          <w:szCs w:val="22"/>
          <w:lang w:val="pl-PL"/>
        </w:rPr>
        <w:t>a</w:t>
      </w:r>
      <w:r w:rsidR="00204221" w:rsidRPr="009353E6">
        <w:rPr>
          <w:sz w:val="22"/>
          <w:szCs w:val="22"/>
          <w:lang w:val="pl-PL"/>
        </w:rPr>
        <w:t xml:space="preserve"> </w:t>
      </w:r>
      <w:r w:rsidR="00731B3F" w:rsidRPr="009353E6">
        <w:rPr>
          <w:sz w:val="22"/>
          <w:szCs w:val="22"/>
          <w:lang w:val="pl-PL"/>
        </w:rPr>
        <w:t xml:space="preserve">produktu </w:t>
      </w:r>
      <w:r w:rsidR="00204221" w:rsidRPr="009353E6">
        <w:rPr>
          <w:sz w:val="22"/>
          <w:szCs w:val="22"/>
          <w:lang w:val="pl-PL"/>
        </w:rPr>
        <w:t>MicardisPlus</w:t>
      </w:r>
      <w:r w:rsidR="00731B3F" w:rsidRPr="009353E6">
        <w:rPr>
          <w:sz w:val="22"/>
          <w:szCs w:val="22"/>
          <w:lang w:val="pl-PL"/>
        </w:rPr>
        <w:t xml:space="preserve"> </w:t>
      </w:r>
      <w:r w:rsidR="00204221" w:rsidRPr="009353E6">
        <w:rPr>
          <w:sz w:val="22"/>
          <w:szCs w:val="22"/>
          <w:lang w:val="pl-PL"/>
        </w:rPr>
        <w:t xml:space="preserve">u </w:t>
      </w:r>
      <w:r w:rsidRPr="009353E6">
        <w:rPr>
          <w:sz w:val="22"/>
          <w:szCs w:val="22"/>
          <w:lang w:val="pl-PL"/>
        </w:rPr>
        <w:t xml:space="preserve">pacjentów po niedawno przebytym </w:t>
      </w:r>
      <w:r w:rsidR="00204221" w:rsidRPr="009353E6">
        <w:rPr>
          <w:sz w:val="22"/>
          <w:szCs w:val="22"/>
          <w:lang w:val="pl-PL"/>
        </w:rPr>
        <w:t>przeszczepie</w:t>
      </w:r>
      <w:r w:rsidRPr="009353E6">
        <w:rPr>
          <w:sz w:val="22"/>
          <w:szCs w:val="22"/>
          <w:lang w:val="pl-PL"/>
        </w:rPr>
        <w:t>niu</w:t>
      </w:r>
      <w:r w:rsidR="00204221" w:rsidRPr="009353E6">
        <w:rPr>
          <w:sz w:val="22"/>
          <w:szCs w:val="22"/>
          <w:lang w:val="pl-PL"/>
        </w:rPr>
        <w:t xml:space="preserve"> nerki. Istnieją niewielkie doświadczenia w stosowaniu </w:t>
      </w:r>
      <w:r w:rsidR="00731B3F" w:rsidRPr="009353E6">
        <w:rPr>
          <w:sz w:val="22"/>
          <w:szCs w:val="22"/>
          <w:lang w:val="pl-PL"/>
        </w:rPr>
        <w:t xml:space="preserve">produktu </w:t>
      </w:r>
      <w:r w:rsidR="00204221" w:rsidRPr="009353E6">
        <w:rPr>
          <w:sz w:val="22"/>
          <w:szCs w:val="22"/>
          <w:lang w:val="pl-PL"/>
        </w:rPr>
        <w:t xml:space="preserve">MicardisPlus u pacjentów z łagodną i umiarkowaną niewydolnością nerek, w związku z tym zaleca się </w:t>
      </w:r>
      <w:r w:rsidR="00731B3F" w:rsidRPr="009353E6">
        <w:rPr>
          <w:sz w:val="22"/>
          <w:szCs w:val="22"/>
          <w:lang w:val="pl-PL"/>
        </w:rPr>
        <w:t xml:space="preserve">okresowe </w:t>
      </w:r>
      <w:r w:rsidR="00204221" w:rsidRPr="009353E6">
        <w:rPr>
          <w:sz w:val="22"/>
          <w:szCs w:val="22"/>
          <w:lang w:val="pl-PL"/>
        </w:rPr>
        <w:t>monitorowanie stężenia potasu, kreatyniny i kwasu moczowego w surowicy krwi. U pacjentów z</w:t>
      </w:r>
      <w:r w:rsidR="0024500F" w:rsidRPr="009353E6">
        <w:rPr>
          <w:sz w:val="22"/>
          <w:szCs w:val="22"/>
          <w:lang w:val="pl-PL"/>
        </w:rPr>
        <w:t> </w:t>
      </w:r>
      <w:r w:rsidR="00204221" w:rsidRPr="009353E6">
        <w:rPr>
          <w:sz w:val="22"/>
          <w:szCs w:val="22"/>
          <w:lang w:val="pl-PL"/>
        </w:rPr>
        <w:t xml:space="preserve">zaburzeniami czynności nerek może wystąpić azotemia związana z podawanym diuretykiem tiazydowym. </w:t>
      </w:r>
    </w:p>
    <w:p w:rsidR="00F710F6" w:rsidRPr="009353E6" w:rsidRDefault="00F710F6"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Zmniejszenie objętości krwi krążącej</w:t>
      </w:r>
    </w:p>
    <w:p w:rsidR="00204221" w:rsidRPr="009353E6" w:rsidRDefault="007A10F2" w:rsidP="000D5BED">
      <w:pPr>
        <w:pStyle w:val="BodyText"/>
        <w:spacing w:line="240" w:lineRule="auto"/>
        <w:jc w:val="left"/>
        <w:rPr>
          <w:sz w:val="22"/>
          <w:szCs w:val="22"/>
          <w:u w:val="single"/>
          <w:lang w:val="pl-PL"/>
        </w:rPr>
      </w:pPr>
      <w:r w:rsidRPr="009353E6">
        <w:rPr>
          <w:sz w:val="22"/>
          <w:szCs w:val="22"/>
          <w:u w:val="single"/>
          <w:lang w:val="pl-PL"/>
        </w:rPr>
        <w:t xml:space="preserve"> </w:t>
      </w:r>
    </w:p>
    <w:p w:rsidR="00204221" w:rsidRPr="009353E6" w:rsidRDefault="00204221" w:rsidP="000D5BED">
      <w:pPr>
        <w:pStyle w:val="BodyText"/>
        <w:spacing w:line="240" w:lineRule="auto"/>
        <w:jc w:val="left"/>
        <w:rPr>
          <w:sz w:val="22"/>
          <w:szCs w:val="22"/>
          <w:lang w:val="pl-PL"/>
        </w:rPr>
      </w:pPr>
      <w:r w:rsidRPr="009353E6">
        <w:rPr>
          <w:sz w:val="22"/>
          <w:szCs w:val="22"/>
          <w:lang w:val="pl-PL"/>
        </w:rPr>
        <w:t>Objawowe niedociśnienie tętnicze, szczególnie po pierwszej dawce, może wystąpić u chorych ze zmniejszoną objętością wewnątrznaczyniową i</w:t>
      </w:r>
      <w:r w:rsidR="00731B3F" w:rsidRPr="009353E6">
        <w:rPr>
          <w:sz w:val="22"/>
          <w:szCs w:val="22"/>
          <w:lang w:val="pl-PL"/>
        </w:rPr>
        <w:t xml:space="preserve"> </w:t>
      </w:r>
      <w:r w:rsidRPr="009353E6">
        <w:rPr>
          <w:sz w:val="22"/>
          <w:szCs w:val="22"/>
          <w:lang w:val="pl-PL"/>
        </w:rPr>
        <w:t>(lub) zmniejszonym stężeniem sodu w wyniku intensywnego leczenia moczopędnego</w:t>
      </w:r>
      <w:r w:rsidR="00731B3F" w:rsidRPr="009353E6">
        <w:rPr>
          <w:sz w:val="22"/>
          <w:szCs w:val="22"/>
          <w:lang w:val="pl-PL"/>
        </w:rPr>
        <w:t xml:space="preserve">, </w:t>
      </w:r>
      <w:r w:rsidRPr="009353E6">
        <w:rPr>
          <w:sz w:val="22"/>
          <w:szCs w:val="22"/>
          <w:lang w:val="pl-PL"/>
        </w:rPr>
        <w:t xml:space="preserve">ograniczenia spożycia soli, biegunki lub wymiotów. Zaburzenia te powinny zostać wyrównane przed podaniem </w:t>
      </w:r>
      <w:r w:rsidR="00F710F6" w:rsidRPr="009353E6">
        <w:rPr>
          <w:sz w:val="22"/>
          <w:szCs w:val="22"/>
          <w:lang w:val="pl-PL"/>
        </w:rPr>
        <w:t>produkt</w:t>
      </w:r>
      <w:r w:rsidRPr="009353E6">
        <w:rPr>
          <w:sz w:val="22"/>
          <w:szCs w:val="22"/>
          <w:lang w:val="pl-PL"/>
        </w:rPr>
        <w:t xml:space="preserve">u MicardisPlus. </w:t>
      </w:r>
    </w:p>
    <w:p w:rsidR="00253C34" w:rsidRPr="009353E6" w:rsidRDefault="00253C34" w:rsidP="00253C34">
      <w:pPr>
        <w:rPr>
          <w:sz w:val="22"/>
          <w:szCs w:val="22"/>
          <w:lang w:val="pl-PL"/>
        </w:rPr>
      </w:pPr>
    </w:p>
    <w:p w:rsidR="0064332F" w:rsidRPr="009353E6" w:rsidRDefault="00397A74" w:rsidP="004A0B9E">
      <w:pPr>
        <w:keepNext/>
        <w:rPr>
          <w:sz w:val="22"/>
          <w:szCs w:val="22"/>
          <w:u w:val="single"/>
          <w:lang w:val="pl-PL"/>
        </w:rPr>
      </w:pPr>
      <w:r w:rsidRPr="009353E6">
        <w:rPr>
          <w:sz w:val="22"/>
          <w:szCs w:val="22"/>
          <w:u w:val="single"/>
          <w:lang w:val="pl-PL"/>
        </w:rPr>
        <w:t>Podwójna blokada układu renina-angiotensyna-aldosteron</w:t>
      </w:r>
      <w:r w:rsidR="0064332F" w:rsidRPr="009353E6">
        <w:rPr>
          <w:sz w:val="22"/>
          <w:szCs w:val="22"/>
          <w:u w:val="single"/>
          <w:lang w:val="pl-PL"/>
        </w:rPr>
        <w:t xml:space="preserve"> (RAA) (ang. Renin-Angiotensin-Aldosterone-system RAAS)</w:t>
      </w:r>
    </w:p>
    <w:p w:rsidR="00B36BA6" w:rsidRPr="009353E6" w:rsidRDefault="00B36BA6" w:rsidP="004A0B9E">
      <w:pPr>
        <w:keepNext/>
        <w:rPr>
          <w:sz w:val="22"/>
          <w:szCs w:val="22"/>
          <w:u w:val="single"/>
          <w:lang w:val="pl-PL"/>
        </w:rPr>
      </w:pPr>
    </w:p>
    <w:p w:rsidR="00252870" w:rsidRPr="009353E6" w:rsidRDefault="0064332F" w:rsidP="0064332F">
      <w:pPr>
        <w:rPr>
          <w:sz w:val="22"/>
          <w:szCs w:val="22"/>
          <w:lang w:val="pl-PL"/>
        </w:rPr>
      </w:pPr>
      <w:r w:rsidRPr="009353E6">
        <w:rPr>
          <w:sz w:val="22"/>
          <w:szCs w:val="22"/>
          <w:lang w:val="pl-PL"/>
        </w:rPr>
        <w:t xml:space="preserve">Istnieją dowody, iż jednoczesne stosowanie inhibitorów konwertazy angiotensyny (ACE) (ang. Angiotensin Converting Enzyme Inhibitors, ACEi), antagonistów receptora angiotensyny II (ang. </w:t>
      </w:r>
      <w:r w:rsidRPr="009353E6">
        <w:rPr>
          <w:iCs/>
          <w:sz w:val="22"/>
          <w:szCs w:val="22"/>
          <w:lang w:val="pl-PL"/>
        </w:rPr>
        <w:t>Angiotensin Receptor Blockers</w:t>
      </w:r>
      <w:r w:rsidRPr="009353E6">
        <w:rPr>
          <w:sz w:val="22"/>
          <w:szCs w:val="22"/>
          <w:lang w:val="pl-PL"/>
        </w:rPr>
        <w:t>, ARB) lub aliskirenu zwiększa ryzyko niedociśnienia, hiperkaliemii oraz zaburzenia czynności nerek (w tym ostrej niewydolności nerek). W związku z tym nie zaleca się podwójnego blokowania układu RAA poprzez jednoczesne zastosowanie inhibitorów ACE, antagonistów receptora angiotensyny II lub aliskirenu (patrz punkty 4.5 i 5.1).</w:t>
      </w:r>
    </w:p>
    <w:p w:rsidR="0064332F" w:rsidRPr="009353E6" w:rsidRDefault="0064332F" w:rsidP="0064332F">
      <w:pPr>
        <w:rPr>
          <w:sz w:val="22"/>
          <w:szCs w:val="22"/>
          <w:lang w:val="pl-PL"/>
        </w:rPr>
      </w:pPr>
    </w:p>
    <w:p w:rsidR="0064332F" w:rsidRPr="009353E6" w:rsidRDefault="0064332F" w:rsidP="0064332F">
      <w:pPr>
        <w:rPr>
          <w:sz w:val="22"/>
          <w:szCs w:val="22"/>
          <w:lang w:val="pl-PL"/>
        </w:rPr>
      </w:pPr>
      <w:r w:rsidRPr="009353E6">
        <w:rPr>
          <w:sz w:val="22"/>
          <w:szCs w:val="22"/>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64332F" w:rsidRPr="009353E6" w:rsidRDefault="0064332F" w:rsidP="0064332F">
      <w:pPr>
        <w:rPr>
          <w:sz w:val="22"/>
          <w:szCs w:val="22"/>
          <w:lang w:val="pl-PL"/>
        </w:rPr>
      </w:pPr>
      <w:r w:rsidRPr="009353E6">
        <w:rPr>
          <w:sz w:val="22"/>
          <w:szCs w:val="22"/>
          <w:lang w:val="pl-PL"/>
        </w:rPr>
        <w:t>U pacjentów z nefropatią cukrzycową nie należy stosować jednocześnie inhibitorów ACE oraz antagonistów receptora angiotensyny II.</w:t>
      </w:r>
    </w:p>
    <w:p w:rsidR="0064332F" w:rsidRPr="009353E6" w:rsidRDefault="0064332F" w:rsidP="00397A74">
      <w:pPr>
        <w:rPr>
          <w:sz w:val="22"/>
          <w:szCs w:val="22"/>
          <w:u w:val="single"/>
          <w:lang w:val="pl-PL"/>
        </w:rPr>
      </w:pPr>
    </w:p>
    <w:p w:rsidR="00B36BA6" w:rsidRPr="009353E6" w:rsidRDefault="00204221" w:rsidP="004A0B9E">
      <w:pPr>
        <w:pStyle w:val="BodyText"/>
        <w:keepNext/>
        <w:spacing w:line="240" w:lineRule="auto"/>
        <w:jc w:val="left"/>
        <w:rPr>
          <w:sz w:val="22"/>
          <w:szCs w:val="22"/>
          <w:u w:val="single"/>
          <w:lang w:val="pl-PL"/>
        </w:rPr>
      </w:pPr>
      <w:r w:rsidRPr="009353E6">
        <w:rPr>
          <w:sz w:val="22"/>
          <w:szCs w:val="22"/>
          <w:u w:val="single"/>
          <w:lang w:val="pl-PL"/>
        </w:rPr>
        <w:t>Inne stany związane z pobudzeniem układu renina-angiotensyna-aldosteron</w:t>
      </w:r>
    </w:p>
    <w:p w:rsidR="00204221" w:rsidRPr="009353E6" w:rsidRDefault="007A10F2" w:rsidP="004A0B9E">
      <w:pPr>
        <w:pStyle w:val="BodyText"/>
        <w:keepNext/>
        <w:spacing w:line="240" w:lineRule="auto"/>
        <w:jc w:val="left"/>
        <w:rPr>
          <w:sz w:val="22"/>
          <w:szCs w:val="22"/>
          <w:u w:val="single"/>
          <w:lang w:val="pl-PL"/>
        </w:rPr>
      </w:pPr>
      <w:r w:rsidRPr="009353E6">
        <w:rPr>
          <w:sz w:val="22"/>
          <w:szCs w:val="22"/>
          <w:u w:val="single"/>
          <w:lang w:val="pl-PL"/>
        </w:rPr>
        <w:t xml:space="preserve"> </w:t>
      </w:r>
    </w:p>
    <w:p w:rsidR="00204221" w:rsidRPr="009353E6" w:rsidRDefault="00204221" w:rsidP="000D5BED">
      <w:pPr>
        <w:pStyle w:val="BodyText"/>
        <w:spacing w:line="240" w:lineRule="auto"/>
        <w:jc w:val="left"/>
        <w:rPr>
          <w:sz w:val="22"/>
          <w:szCs w:val="22"/>
          <w:lang w:val="pl-PL"/>
        </w:rPr>
      </w:pPr>
      <w:r w:rsidRPr="009353E6">
        <w:rPr>
          <w:sz w:val="22"/>
          <w:szCs w:val="22"/>
          <w:lang w:val="pl-PL"/>
        </w:rPr>
        <w:t>U chorych, u których napięcie naczyniowe i czynność nerek zależą głównie od aktywności układu renina-angiotensyna-aldosteron (np. pacjenci z ciężką zastoinową niewydolnością serca lub w przebiegu chorób nerek, w tym ze zwężeniem tętnicy nerkowej) podawanie leków wpływających na ten układ było związane z gwałtownym obniżeniem ciśnienia krwi, hiperazotemią, oligurią oraz rzadko, z ostrą niewydolnością nerek (patrz punkt 4.8).</w:t>
      </w:r>
    </w:p>
    <w:p w:rsidR="00204221" w:rsidRPr="009353E6" w:rsidRDefault="00204221" w:rsidP="000D5BED">
      <w:pPr>
        <w:pStyle w:val="BodyText"/>
        <w:spacing w:line="240" w:lineRule="auto"/>
        <w:jc w:val="left"/>
        <w:rPr>
          <w:sz w:val="22"/>
          <w:szCs w:val="22"/>
          <w:lang w:val="pl-PL"/>
        </w:rPr>
      </w:pPr>
    </w:p>
    <w:p w:rsidR="00B36BA6" w:rsidRPr="009353E6" w:rsidRDefault="00204221" w:rsidP="004A0B9E">
      <w:pPr>
        <w:pStyle w:val="BodyText"/>
        <w:keepNext/>
        <w:spacing w:line="240" w:lineRule="auto"/>
        <w:jc w:val="left"/>
        <w:rPr>
          <w:sz w:val="22"/>
          <w:szCs w:val="22"/>
          <w:u w:val="single"/>
          <w:lang w:val="pl-PL"/>
        </w:rPr>
      </w:pPr>
      <w:r w:rsidRPr="009353E6">
        <w:rPr>
          <w:sz w:val="22"/>
          <w:szCs w:val="22"/>
          <w:u w:val="single"/>
          <w:lang w:val="pl-PL"/>
        </w:rPr>
        <w:t>Pierwotny hiperaldosteronizm</w:t>
      </w:r>
    </w:p>
    <w:p w:rsidR="00204221" w:rsidRPr="009353E6" w:rsidRDefault="007A10F2" w:rsidP="004A0B9E">
      <w:pPr>
        <w:pStyle w:val="BodyText"/>
        <w:keepNext/>
        <w:spacing w:line="240" w:lineRule="auto"/>
        <w:jc w:val="left"/>
        <w:rPr>
          <w:sz w:val="22"/>
          <w:szCs w:val="22"/>
          <w:u w:val="single"/>
          <w:lang w:val="pl-PL"/>
        </w:rPr>
      </w:pPr>
      <w:r w:rsidRPr="009353E6">
        <w:rPr>
          <w:sz w:val="22"/>
          <w:szCs w:val="22"/>
          <w:u w:val="single"/>
          <w:lang w:val="pl-PL"/>
        </w:rPr>
        <w:t xml:space="preserve"> </w:t>
      </w:r>
    </w:p>
    <w:p w:rsidR="00204221" w:rsidRPr="009353E6" w:rsidRDefault="00204221" w:rsidP="000D5BED">
      <w:pPr>
        <w:pStyle w:val="BodyText"/>
        <w:spacing w:line="240" w:lineRule="auto"/>
        <w:jc w:val="left"/>
        <w:rPr>
          <w:sz w:val="22"/>
          <w:szCs w:val="22"/>
          <w:lang w:val="pl-PL"/>
        </w:rPr>
      </w:pPr>
      <w:r w:rsidRPr="009353E6">
        <w:rPr>
          <w:sz w:val="22"/>
          <w:szCs w:val="22"/>
          <w:lang w:val="pl-PL"/>
        </w:rPr>
        <w:t>Chorzy z pierwotnym hiperaldosteronizmem przeważnie nie odpowiadają na leczenie lekami przeciwnadciśnieniowymi działającymi poprzez hamowanie układu renina-angiotensyna.</w:t>
      </w:r>
    </w:p>
    <w:p w:rsidR="00204221" w:rsidRPr="009353E6" w:rsidRDefault="00204221" w:rsidP="000D5BED">
      <w:pPr>
        <w:pStyle w:val="BodyText"/>
        <w:spacing w:line="240" w:lineRule="auto"/>
        <w:jc w:val="left"/>
        <w:rPr>
          <w:sz w:val="22"/>
          <w:szCs w:val="22"/>
          <w:lang w:val="pl-PL"/>
        </w:rPr>
      </w:pPr>
      <w:r w:rsidRPr="009353E6">
        <w:rPr>
          <w:sz w:val="22"/>
          <w:szCs w:val="22"/>
          <w:lang w:val="pl-PL"/>
        </w:rPr>
        <w:t>Tak więc stosowanie produktu MicardisPlus w tych przypadkach nie jest zalecane.</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Zwężenie zastawki aortalnej i dwudzielnej, przerostowa kardiomiopatia zawężająca</w:t>
      </w:r>
    </w:p>
    <w:p w:rsidR="00204221" w:rsidRPr="009353E6" w:rsidRDefault="007A10F2" w:rsidP="000D5BED">
      <w:pPr>
        <w:pStyle w:val="BodyText"/>
        <w:spacing w:line="240" w:lineRule="auto"/>
        <w:jc w:val="left"/>
        <w:rPr>
          <w:sz w:val="22"/>
          <w:szCs w:val="22"/>
          <w:lang w:val="pl-PL"/>
        </w:rPr>
      </w:pPr>
      <w:r w:rsidRPr="009353E6">
        <w:rPr>
          <w:sz w:val="22"/>
          <w:szCs w:val="22"/>
          <w:u w:val="single"/>
          <w:lang w:val="pl-PL"/>
        </w:rPr>
        <w:t xml:space="preserve"> </w:t>
      </w:r>
    </w:p>
    <w:p w:rsidR="00204221" w:rsidRPr="009353E6" w:rsidRDefault="00204221" w:rsidP="000D5BED">
      <w:pPr>
        <w:pStyle w:val="BodyText"/>
        <w:spacing w:line="240" w:lineRule="auto"/>
        <w:jc w:val="left"/>
        <w:rPr>
          <w:sz w:val="22"/>
          <w:szCs w:val="22"/>
          <w:lang w:val="pl-PL"/>
        </w:rPr>
      </w:pPr>
      <w:r w:rsidRPr="009353E6">
        <w:rPr>
          <w:sz w:val="22"/>
          <w:szCs w:val="22"/>
          <w:lang w:val="pl-PL"/>
        </w:rPr>
        <w:t>Podobnie jak w przypadku innych leków rozszerzających naczynia krwionośne, należy zachować szczególną ostrożność u pacjentów ze zwężeniem zastawki aortalnej lub dwudzielnej, lub przerostową kardiomiopatią zawężającą.</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Wpływ na metabolizm i układ dokrewny</w:t>
      </w:r>
    </w:p>
    <w:p w:rsidR="00B36BA6" w:rsidRPr="009353E6" w:rsidRDefault="00B36BA6" w:rsidP="000D5BED">
      <w:pPr>
        <w:pStyle w:val="BodyText"/>
        <w:spacing w:line="240" w:lineRule="auto"/>
        <w:jc w:val="left"/>
        <w:rPr>
          <w:sz w:val="22"/>
          <w:szCs w:val="22"/>
          <w:u w:val="single"/>
          <w:lang w:val="pl-PL"/>
        </w:rPr>
      </w:pPr>
    </w:p>
    <w:p w:rsidR="00204221" w:rsidRPr="009353E6" w:rsidRDefault="00184A5E" w:rsidP="000D5BED">
      <w:pPr>
        <w:pStyle w:val="BodyText"/>
        <w:spacing w:line="240" w:lineRule="auto"/>
        <w:jc w:val="left"/>
        <w:rPr>
          <w:sz w:val="22"/>
          <w:szCs w:val="22"/>
          <w:lang w:val="pl-PL"/>
        </w:rPr>
      </w:pPr>
      <w:r w:rsidRPr="009353E6">
        <w:rPr>
          <w:sz w:val="22"/>
          <w:szCs w:val="22"/>
          <w:lang w:val="pl-PL"/>
        </w:rPr>
        <w:t>Leczenie tiazydem może zaburzać tolerancję glukozy. U pacjentów z cukrzycą przyjmujących insulinę lub doustny lek przeciwcukrzycowy oraz telmisartan może wystąpić hipoglikemia. Dlatego u tych pacjentów należy monitorować stężenie glukozy; konieczna może być również modyfikacja dawki insuliny lub doustnych leków przeciwcukrzycowych.</w:t>
      </w:r>
      <w:r w:rsidR="0099016C" w:rsidRPr="009353E6">
        <w:rPr>
          <w:sz w:val="22"/>
          <w:szCs w:val="22"/>
          <w:lang w:val="pl-PL"/>
        </w:rPr>
        <w:t xml:space="preserve"> </w:t>
      </w:r>
      <w:r w:rsidR="00204221" w:rsidRPr="009353E6">
        <w:rPr>
          <w:sz w:val="22"/>
          <w:szCs w:val="22"/>
          <w:lang w:val="pl-PL"/>
        </w:rPr>
        <w:t>Cukrzyca utajona może się ujawnić w trakcie leczenia tiazydem.</w:t>
      </w:r>
    </w:p>
    <w:p w:rsidR="00204221" w:rsidRPr="009353E6" w:rsidRDefault="00204221" w:rsidP="000D5BED">
      <w:pPr>
        <w:pStyle w:val="BodyText"/>
        <w:spacing w:line="240" w:lineRule="auto"/>
        <w:jc w:val="left"/>
        <w:rPr>
          <w:sz w:val="22"/>
          <w:szCs w:val="22"/>
          <w:lang w:val="pl-PL"/>
        </w:rPr>
      </w:pPr>
    </w:p>
    <w:p w:rsidR="00204221" w:rsidRPr="009353E6" w:rsidRDefault="005226ED" w:rsidP="000D5BED">
      <w:pPr>
        <w:pStyle w:val="BodyText"/>
        <w:spacing w:line="240" w:lineRule="auto"/>
        <w:jc w:val="left"/>
        <w:rPr>
          <w:sz w:val="22"/>
          <w:szCs w:val="22"/>
          <w:lang w:val="pl-PL"/>
        </w:rPr>
      </w:pPr>
      <w:r w:rsidRPr="009353E6">
        <w:rPr>
          <w:sz w:val="22"/>
          <w:szCs w:val="22"/>
          <w:lang w:val="pl-PL"/>
        </w:rPr>
        <w:t>L</w:t>
      </w:r>
      <w:r w:rsidR="00204221" w:rsidRPr="009353E6">
        <w:rPr>
          <w:sz w:val="22"/>
          <w:szCs w:val="22"/>
          <w:lang w:val="pl-PL"/>
        </w:rPr>
        <w:t xml:space="preserve">eczenie diuretykami </w:t>
      </w:r>
      <w:r w:rsidRPr="009353E6">
        <w:rPr>
          <w:sz w:val="22"/>
          <w:szCs w:val="22"/>
          <w:lang w:val="pl-PL"/>
        </w:rPr>
        <w:t xml:space="preserve">powoduje </w:t>
      </w:r>
      <w:r w:rsidR="00204221" w:rsidRPr="009353E6">
        <w:rPr>
          <w:sz w:val="22"/>
          <w:szCs w:val="22"/>
          <w:lang w:val="pl-PL"/>
        </w:rPr>
        <w:t>zwiększenie stężenia cholesterolu i tr</w:t>
      </w:r>
      <w:r w:rsidR="00184A5E" w:rsidRPr="009353E6">
        <w:rPr>
          <w:sz w:val="22"/>
          <w:szCs w:val="22"/>
          <w:lang w:val="pl-PL"/>
        </w:rPr>
        <w:t>i</w:t>
      </w:r>
      <w:r w:rsidR="00204221" w:rsidRPr="009353E6">
        <w:rPr>
          <w:sz w:val="22"/>
          <w:szCs w:val="22"/>
          <w:lang w:val="pl-PL"/>
        </w:rPr>
        <w:t>glicerydów, jednak po dawce 12,5 mg zawartej w preparacie MicardisPlus nie odnotowano żadnego lub niewielki wpływ na ich stężenie. U niektórych pacjentów przyjmujących tiazyd wystąpienie objawów związanych z</w:t>
      </w:r>
      <w:r w:rsidR="0024500F" w:rsidRPr="009353E6">
        <w:rPr>
          <w:sz w:val="22"/>
          <w:szCs w:val="22"/>
          <w:lang w:val="pl-PL"/>
        </w:rPr>
        <w:t> </w:t>
      </w:r>
      <w:r w:rsidR="00204221" w:rsidRPr="009353E6">
        <w:rPr>
          <w:sz w:val="22"/>
          <w:szCs w:val="22"/>
          <w:lang w:val="pl-PL"/>
        </w:rPr>
        <w:t xml:space="preserve">hiperurykemią lub dną moczanową może zostać przyśpieszone. </w:t>
      </w:r>
    </w:p>
    <w:p w:rsidR="00204221" w:rsidRPr="009353E6" w:rsidRDefault="00204221" w:rsidP="000D5BED">
      <w:pPr>
        <w:pStyle w:val="BodyText"/>
        <w:spacing w:line="240" w:lineRule="auto"/>
        <w:jc w:val="left"/>
        <w:rPr>
          <w:sz w:val="22"/>
          <w:szCs w:val="22"/>
          <w:lang w:val="pl-PL"/>
        </w:rPr>
      </w:pPr>
    </w:p>
    <w:p w:rsidR="00B36BA6" w:rsidRPr="009353E6" w:rsidRDefault="00204221" w:rsidP="004A0B9E">
      <w:pPr>
        <w:pStyle w:val="BodyText"/>
        <w:keepNext/>
        <w:spacing w:line="240" w:lineRule="auto"/>
        <w:jc w:val="left"/>
        <w:rPr>
          <w:sz w:val="22"/>
          <w:szCs w:val="22"/>
          <w:lang w:val="pl-PL"/>
        </w:rPr>
      </w:pPr>
      <w:r w:rsidRPr="009353E6">
        <w:rPr>
          <w:sz w:val="22"/>
          <w:szCs w:val="22"/>
          <w:u w:val="single"/>
          <w:lang w:val="pl-PL"/>
        </w:rPr>
        <w:t>Zaburzenia równowagi elektrolitowej</w:t>
      </w:r>
    </w:p>
    <w:p w:rsidR="00B36BA6" w:rsidRPr="009353E6" w:rsidRDefault="00B36BA6" w:rsidP="004A0B9E">
      <w:pPr>
        <w:pStyle w:val="BodyText"/>
        <w:keepN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Tak jak w przypadku wszystkich pacjentów przyjmujących diuretyki, okresowe monitorowanie stężenia elektrolitów w </w:t>
      </w:r>
      <w:r w:rsidR="00731B3F" w:rsidRPr="009353E6">
        <w:rPr>
          <w:sz w:val="22"/>
          <w:szCs w:val="22"/>
          <w:lang w:val="pl-PL"/>
        </w:rPr>
        <w:t xml:space="preserve">surowicy </w:t>
      </w:r>
      <w:r w:rsidRPr="009353E6">
        <w:rPr>
          <w:sz w:val="22"/>
          <w:szCs w:val="22"/>
          <w:lang w:val="pl-PL"/>
        </w:rPr>
        <w:t>powinno być wykonywane w</w:t>
      </w:r>
      <w:r w:rsidR="0024500F" w:rsidRPr="009353E6">
        <w:rPr>
          <w:sz w:val="22"/>
          <w:szCs w:val="22"/>
          <w:lang w:val="pl-PL"/>
        </w:rPr>
        <w:t> </w:t>
      </w:r>
      <w:r w:rsidRPr="009353E6">
        <w:rPr>
          <w:sz w:val="22"/>
          <w:szCs w:val="22"/>
          <w:lang w:val="pl-PL"/>
        </w:rPr>
        <w:t>odpowiednich odstępach czasu.</w:t>
      </w:r>
    </w:p>
    <w:p w:rsidR="00204221" w:rsidRPr="009353E6" w:rsidRDefault="00204221" w:rsidP="000D5BED">
      <w:pPr>
        <w:pStyle w:val="BodyText"/>
        <w:spacing w:line="240" w:lineRule="auto"/>
        <w:jc w:val="left"/>
        <w:rPr>
          <w:sz w:val="22"/>
          <w:szCs w:val="22"/>
          <w:lang w:val="pl-PL"/>
        </w:rPr>
      </w:pPr>
      <w:r w:rsidRPr="009353E6">
        <w:rPr>
          <w:sz w:val="22"/>
          <w:szCs w:val="22"/>
          <w:lang w:val="pl-PL"/>
        </w:rPr>
        <w:t>Tiazydy, w tym hydrochlorotiazyd, mogą powodować zaburzenia równowagi wodno-elektrolitowej (w</w:t>
      </w:r>
      <w:r w:rsidR="0024500F" w:rsidRPr="009353E6">
        <w:rPr>
          <w:sz w:val="22"/>
          <w:szCs w:val="22"/>
          <w:lang w:val="pl-PL"/>
        </w:rPr>
        <w:t> </w:t>
      </w:r>
      <w:r w:rsidRPr="009353E6">
        <w:rPr>
          <w:sz w:val="22"/>
          <w:szCs w:val="22"/>
          <w:lang w:val="pl-PL"/>
        </w:rPr>
        <w:t>tym hipokaliemię, hiponatremię i alkalozę hipochloremiczną). Objawami ostrzegającymi o zaburzeniach równowagi wodno-elektrolitowej są suchość błony śluzowej jamy ustnej, wzmożone pragnienie, astenia, letarg, senność, niepokój, bóle mięśniowe</w:t>
      </w:r>
      <w:r w:rsidR="00731B3F" w:rsidRPr="009353E6">
        <w:rPr>
          <w:sz w:val="22"/>
          <w:szCs w:val="22"/>
          <w:lang w:val="pl-PL"/>
        </w:rPr>
        <w:t xml:space="preserve"> lub</w:t>
      </w:r>
      <w:r w:rsidRPr="009353E6">
        <w:rPr>
          <w:sz w:val="22"/>
          <w:szCs w:val="22"/>
          <w:lang w:val="pl-PL"/>
        </w:rPr>
        <w:t xml:space="preserve"> skurcze, męczliwość mięśni, obniżone ciśnienie tętnicze, oliguria, tachykardia, zaburzenia dotyczące układu pokarmowego takie jak nudności i wymioty (patrz punkt 4.8).</w:t>
      </w:r>
    </w:p>
    <w:p w:rsidR="004A0B9E" w:rsidRPr="009353E6" w:rsidRDefault="004A0B9E" w:rsidP="00046BD1">
      <w:pPr>
        <w:pStyle w:val="BodyText"/>
        <w:spacing w:line="240" w:lineRule="auto"/>
        <w:jc w:val="left"/>
        <w:rPr>
          <w:sz w:val="22"/>
          <w:szCs w:val="22"/>
          <w:lang w:val="pl-PL"/>
        </w:rPr>
      </w:pPr>
    </w:p>
    <w:p w:rsidR="00204221" w:rsidRPr="009353E6" w:rsidRDefault="00586E5C" w:rsidP="00046BD1">
      <w:pPr>
        <w:pStyle w:val="BodyText"/>
        <w:spacing w:line="240" w:lineRule="auto"/>
        <w:jc w:val="left"/>
        <w:rPr>
          <w:sz w:val="22"/>
          <w:szCs w:val="22"/>
          <w:lang w:val="pl-PL"/>
        </w:rPr>
      </w:pPr>
      <w:r w:rsidRPr="009353E6">
        <w:rPr>
          <w:sz w:val="22"/>
          <w:szCs w:val="22"/>
          <w:lang w:val="pl-PL"/>
        </w:rPr>
        <w:t>-</w:t>
      </w:r>
      <w:r w:rsidRPr="009353E6">
        <w:rPr>
          <w:sz w:val="22"/>
          <w:szCs w:val="22"/>
          <w:lang w:val="pl-PL"/>
        </w:rPr>
        <w:tab/>
      </w:r>
      <w:r w:rsidR="00204221" w:rsidRPr="009353E6">
        <w:rPr>
          <w:sz w:val="22"/>
          <w:szCs w:val="22"/>
          <w:lang w:val="pl-PL"/>
        </w:rPr>
        <w:t>Hipokaliemia</w:t>
      </w:r>
    </w:p>
    <w:p w:rsidR="00204221" w:rsidRPr="009353E6" w:rsidRDefault="00204221" w:rsidP="000D5BED">
      <w:pPr>
        <w:pStyle w:val="BodyText"/>
        <w:spacing w:line="240" w:lineRule="auto"/>
        <w:jc w:val="left"/>
        <w:rPr>
          <w:sz w:val="22"/>
          <w:szCs w:val="22"/>
          <w:lang w:val="pl-PL"/>
        </w:rPr>
      </w:pPr>
      <w:r w:rsidRPr="009353E6">
        <w:rPr>
          <w:sz w:val="22"/>
          <w:szCs w:val="22"/>
          <w:lang w:val="pl-PL"/>
        </w:rPr>
        <w:t>Chociaż w przypadku stosowania diuretyków tiazydowych może dojść do hipokaliemii, jednoczesna terapia telmisartanem może zmniejszyć hipokaliemię wywołaną przez diuretyki. Ryzyko hipokaliemii jest większe u pacjentów z marskością wątroby, u pacjentów, u których dochodzi do szybkiej diurezy lub u pacjentów, którzy przyjmują doustnie nieodpowiednią ilość elektrolitów lub są leczeni jednocześnie kortykosteroidami lub hormon</w:t>
      </w:r>
      <w:r w:rsidR="00731B3F" w:rsidRPr="009353E6">
        <w:rPr>
          <w:sz w:val="22"/>
          <w:szCs w:val="22"/>
          <w:lang w:val="pl-PL"/>
        </w:rPr>
        <w:t>e</w:t>
      </w:r>
      <w:r w:rsidRPr="009353E6">
        <w:rPr>
          <w:sz w:val="22"/>
          <w:szCs w:val="22"/>
          <w:lang w:val="pl-PL"/>
        </w:rPr>
        <w:t>m adrenokortykotropowym (ACTH) (patrz punkt 4.5).</w:t>
      </w:r>
    </w:p>
    <w:p w:rsidR="00204221" w:rsidRPr="009353E6" w:rsidRDefault="00204221" w:rsidP="000D5BED">
      <w:pPr>
        <w:pStyle w:val="BodyText"/>
        <w:spacing w:line="240" w:lineRule="auto"/>
        <w:jc w:val="left"/>
        <w:rPr>
          <w:sz w:val="22"/>
          <w:szCs w:val="22"/>
          <w:lang w:val="pl-PL"/>
        </w:rPr>
      </w:pPr>
    </w:p>
    <w:p w:rsidR="00204221" w:rsidRPr="009353E6" w:rsidRDefault="00586E5C" w:rsidP="004A0B9E">
      <w:pPr>
        <w:pStyle w:val="BodyText"/>
        <w:keepN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r>
      <w:r w:rsidR="00204221" w:rsidRPr="009353E6">
        <w:rPr>
          <w:sz w:val="22"/>
          <w:szCs w:val="22"/>
          <w:lang w:val="pl-PL"/>
        </w:rPr>
        <w:t>Hiperkaliemia</w:t>
      </w: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Z drugiej strony, z powodu antagonistycznego działania telmisartanu, składnika </w:t>
      </w:r>
      <w:r w:rsidR="00F710F6" w:rsidRPr="009353E6">
        <w:rPr>
          <w:sz w:val="22"/>
          <w:szCs w:val="22"/>
          <w:lang w:val="pl-PL"/>
        </w:rPr>
        <w:t>produkt</w:t>
      </w:r>
      <w:r w:rsidRPr="009353E6">
        <w:rPr>
          <w:sz w:val="22"/>
          <w:szCs w:val="22"/>
          <w:lang w:val="pl-PL"/>
        </w:rPr>
        <w:t>u MicardisPlus, na receptor angiotensyny II (AT</w:t>
      </w:r>
      <w:r w:rsidRPr="009353E6">
        <w:rPr>
          <w:sz w:val="22"/>
          <w:szCs w:val="22"/>
          <w:vertAlign w:val="subscript"/>
          <w:lang w:val="pl-PL"/>
        </w:rPr>
        <w:t>1</w:t>
      </w:r>
      <w:r w:rsidRPr="009353E6">
        <w:rPr>
          <w:sz w:val="22"/>
          <w:szCs w:val="22"/>
          <w:lang w:val="pl-PL"/>
        </w:rPr>
        <w:t xml:space="preserve">) może wystąpić hiperkaliemia. Pomimo faktu, że nie odnotowano klinicznie znamiennych przypadków wystąpienia hiperkaliemii związanej ze stosowaniem </w:t>
      </w:r>
      <w:r w:rsidR="00F710F6" w:rsidRPr="009353E6">
        <w:rPr>
          <w:sz w:val="22"/>
          <w:szCs w:val="22"/>
          <w:lang w:val="pl-PL"/>
        </w:rPr>
        <w:t>produkt</w:t>
      </w:r>
      <w:r w:rsidRPr="009353E6">
        <w:rPr>
          <w:sz w:val="22"/>
          <w:szCs w:val="22"/>
          <w:lang w:val="pl-PL"/>
        </w:rPr>
        <w:t xml:space="preserve">u MicardisPlus, czynniki ryzyka związane z jej wystąpieniem obejmują niewydolność nerek i (lub) niewydolność serca oraz cukrzycę. Diuretyki oszczędzające potas, suplementy potasu lub sole zawierające potas, powinny być stosowane z dużą ostrożnością podczas terapii </w:t>
      </w:r>
      <w:r w:rsidR="00F710F6" w:rsidRPr="009353E6">
        <w:rPr>
          <w:sz w:val="22"/>
          <w:szCs w:val="22"/>
          <w:lang w:val="pl-PL"/>
        </w:rPr>
        <w:t>produkt</w:t>
      </w:r>
      <w:r w:rsidRPr="009353E6">
        <w:rPr>
          <w:sz w:val="22"/>
          <w:szCs w:val="22"/>
          <w:lang w:val="pl-PL"/>
        </w:rPr>
        <w:t>em MicardisPlus (patrz punkt 4.5).</w:t>
      </w:r>
    </w:p>
    <w:p w:rsidR="00204221" w:rsidRPr="009353E6" w:rsidRDefault="00204221" w:rsidP="000D5BED">
      <w:pPr>
        <w:pStyle w:val="BodyText"/>
        <w:spacing w:line="240" w:lineRule="auto"/>
        <w:jc w:val="left"/>
        <w:rPr>
          <w:sz w:val="22"/>
          <w:szCs w:val="22"/>
          <w:lang w:val="pl-PL"/>
        </w:rPr>
      </w:pPr>
    </w:p>
    <w:p w:rsidR="00204221" w:rsidRPr="009353E6" w:rsidRDefault="00586E5C" w:rsidP="004A0B9E">
      <w:pPr>
        <w:pStyle w:val="BodyText"/>
        <w:keepN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r>
      <w:r w:rsidR="00204221" w:rsidRPr="009353E6">
        <w:rPr>
          <w:sz w:val="22"/>
          <w:szCs w:val="22"/>
          <w:lang w:val="pl-PL"/>
        </w:rPr>
        <w:t>Hiponatremia i alkaloza hipochloremiczna</w:t>
      </w:r>
    </w:p>
    <w:p w:rsidR="00204221" w:rsidRPr="009353E6" w:rsidRDefault="00204221" w:rsidP="000D5BED">
      <w:pPr>
        <w:pStyle w:val="BodyText"/>
        <w:spacing w:line="240" w:lineRule="auto"/>
        <w:jc w:val="left"/>
        <w:rPr>
          <w:sz w:val="22"/>
          <w:szCs w:val="22"/>
          <w:lang w:val="pl-PL"/>
        </w:rPr>
      </w:pPr>
      <w:r w:rsidRPr="009353E6">
        <w:rPr>
          <w:sz w:val="22"/>
          <w:szCs w:val="22"/>
          <w:lang w:val="pl-PL"/>
        </w:rPr>
        <w:t>Nie ma dowodów na to, aby MicardisPlus zmniejszał lub zapobiegał hiponatremii wywołanej stosowaniem diuretyków. Niedobór chlor</w:t>
      </w:r>
      <w:r w:rsidR="00731B3F" w:rsidRPr="009353E6">
        <w:rPr>
          <w:sz w:val="22"/>
          <w:szCs w:val="22"/>
          <w:lang w:val="pl-PL"/>
        </w:rPr>
        <w:t>ków</w:t>
      </w:r>
      <w:r w:rsidRPr="009353E6">
        <w:rPr>
          <w:sz w:val="22"/>
          <w:szCs w:val="22"/>
          <w:lang w:val="pl-PL"/>
        </w:rPr>
        <w:t xml:space="preserve"> na ogół jest umiarkowany i nie wymaga leczenia.</w:t>
      </w:r>
    </w:p>
    <w:p w:rsidR="00204221" w:rsidRPr="009353E6" w:rsidRDefault="00204221" w:rsidP="000D5BED">
      <w:pPr>
        <w:pStyle w:val="BodyText"/>
        <w:spacing w:line="240" w:lineRule="auto"/>
        <w:jc w:val="left"/>
        <w:rPr>
          <w:sz w:val="22"/>
          <w:szCs w:val="22"/>
          <w:lang w:val="pl-PL"/>
        </w:rPr>
      </w:pPr>
    </w:p>
    <w:p w:rsidR="00204221" w:rsidRPr="009353E6" w:rsidRDefault="00586E5C" w:rsidP="000D5BED">
      <w:pPr>
        <w:pStyle w:val="BodyText"/>
        <w:spacing w:line="240" w:lineRule="auto"/>
        <w:jc w:val="left"/>
        <w:rPr>
          <w:sz w:val="22"/>
          <w:szCs w:val="22"/>
          <w:lang w:val="pl-PL"/>
        </w:rPr>
      </w:pPr>
      <w:r w:rsidRPr="009353E6">
        <w:rPr>
          <w:sz w:val="22"/>
          <w:szCs w:val="22"/>
          <w:lang w:val="pl-PL"/>
        </w:rPr>
        <w:t>-</w:t>
      </w:r>
      <w:r w:rsidRPr="009353E6">
        <w:rPr>
          <w:sz w:val="22"/>
          <w:szCs w:val="22"/>
          <w:lang w:val="pl-PL"/>
        </w:rPr>
        <w:tab/>
      </w:r>
      <w:r w:rsidR="00204221" w:rsidRPr="009353E6">
        <w:rPr>
          <w:sz w:val="22"/>
          <w:szCs w:val="22"/>
          <w:lang w:val="pl-PL"/>
        </w:rPr>
        <w:t>Hiperkalcemia</w:t>
      </w:r>
    </w:p>
    <w:p w:rsidR="00204221" w:rsidRPr="009353E6" w:rsidRDefault="00204221" w:rsidP="000D5BED">
      <w:pPr>
        <w:pStyle w:val="BodyText"/>
        <w:spacing w:line="240" w:lineRule="auto"/>
        <w:jc w:val="left"/>
        <w:rPr>
          <w:sz w:val="22"/>
          <w:szCs w:val="22"/>
          <w:lang w:val="pl-PL"/>
        </w:rPr>
      </w:pPr>
      <w:r w:rsidRPr="009353E6">
        <w:rPr>
          <w:sz w:val="22"/>
          <w:szCs w:val="22"/>
          <w:lang w:val="pl-PL"/>
        </w:rPr>
        <w:t>Tiazydy mogą zmniejszać wydalanie wapnia z moczem, co może spowodować przejściowe i</w:t>
      </w:r>
      <w:r w:rsidR="0024500F" w:rsidRPr="009353E6">
        <w:rPr>
          <w:sz w:val="22"/>
          <w:szCs w:val="22"/>
          <w:lang w:val="pl-PL"/>
        </w:rPr>
        <w:t> </w:t>
      </w:r>
      <w:r w:rsidRPr="009353E6">
        <w:rPr>
          <w:sz w:val="22"/>
          <w:szCs w:val="22"/>
          <w:lang w:val="pl-PL"/>
        </w:rPr>
        <w:t>niewielkie zwiększenie stężenia wapnia w surowicy, przy braku innych, znanych zaburzeń metabolizmu wapnia. Znaczna hiperkalcemia może być objawem utajonej nadczynności przytarczyc. Tiazydy powinny zostać odstawione przed przeprowadzeniem badań czynnościowych przytarczyc.</w:t>
      </w:r>
    </w:p>
    <w:p w:rsidR="00204221" w:rsidRPr="009353E6" w:rsidRDefault="00204221" w:rsidP="000D5BED">
      <w:pPr>
        <w:pStyle w:val="BodyText"/>
        <w:spacing w:line="240" w:lineRule="auto"/>
        <w:jc w:val="left"/>
        <w:rPr>
          <w:sz w:val="22"/>
          <w:szCs w:val="22"/>
          <w:lang w:val="pl-PL"/>
        </w:rPr>
      </w:pPr>
    </w:p>
    <w:p w:rsidR="00204221" w:rsidRPr="009353E6" w:rsidRDefault="00204221" w:rsidP="00586E5C">
      <w:pPr>
        <w:pStyle w:val="BodyText"/>
        <w:tabs>
          <w:tab w:val="left" w:pos="540"/>
        </w:tabs>
        <w:spacing w:line="240" w:lineRule="auto"/>
        <w:jc w:val="left"/>
        <w:rPr>
          <w:sz w:val="22"/>
          <w:szCs w:val="22"/>
          <w:lang w:val="pl-PL"/>
        </w:rPr>
      </w:pPr>
      <w:r w:rsidRPr="009353E6">
        <w:rPr>
          <w:sz w:val="22"/>
          <w:szCs w:val="22"/>
          <w:lang w:val="pl-PL"/>
        </w:rPr>
        <w:t>-</w:t>
      </w:r>
      <w:r w:rsidRPr="009353E6">
        <w:rPr>
          <w:sz w:val="22"/>
          <w:szCs w:val="22"/>
          <w:lang w:val="pl-PL"/>
        </w:rPr>
        <w:tab/>
        <w:t>Hipomagnezemia</w:t>
      </w:r>
    </w:p>
    <w:p w:rsidR="00204221" w:rsidRPr="009353E6" w:rsidRDefault="00204221" w:rsidP="000D5BED">
      <w:pPr>
        <w:pStyle w:val="BodyText"/>
        <w:spacing w:line="240" w:lineRule="auto"/>
        <w:jc w:val="left"/>
        <w:rPr>
          <w:sz w:val="22"/>
          <w:szCs w:val="22"/>
          <w:lang w:val="pl-PL"/>
        </w:rPr>
      </w:pPr>
      <w:r w:rsidRPr="009353E6">
        <w:rPr>
          <w:sz w:val="22"/>
          <w:szCs w:val="22"/>
          <w:lang w:val="pl-PL"/>
        </w:rPr>
        <w:t>Wykazano, że tiazydy zwiększają wydalanie magnezu z moczem, co może doprowadzić do hipomagnezemii (patrz punkt 4.5).</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Sorbitol i laktoza jednowodna</w:t>
      </w:r>
    </w:p>
    <w:p w:rsidR="00B36BA6" w:rsidRPr="009353E6" w:rsidRDefault="00B36BA6" w:rsidP="000D5BED">
      <w:pPr>
        <w:pStyle w:val="BodyText"/>
        <w:spacing w:line="240" w:lineRule="auto"/>
        <w:jc w:val="left"/>
        <w:rPr>
          <w:sz w:val="22"/>
          <w:szCs w:val="22"/>
          <w:u w:val="single"/>
          <w:lang w:val="pl-PL"/>
        </w:rPr>
      </w:pPr>
    </w:p>
    <w:p w:rsidR="00204221" w:rsidRPr="009353E6" w:rsidRDefault="00F710F6" w:rsidP="000D5BED">
      <w:pPr>
        <w:pStyle w:val="BodyText"/>
        <w:spacing w:line="240" w:lineRule="auto"/>
        <w:jc w:val="left"/>
        <w:rPr>
          <w:sz w:val="22"/>
          <w:szCs w:val="22"/>
          <w:u w:val="single"/>
          <w:lang w:val="pl-PL"/>
        </w:rPr>
      </w:pPr>
      <w:r w:rsidRPr="009353E6">
        <w:rPr>
          <w:sz w:val="22"/>
          <w:szCs w:val="22"/>
          <w:lang w:val="pl-PL"/>
        </w:rPr>
        <w:t>Produkt</w:t>
      </w:r>
      <w:r w:rsidR="00204221" w:rsidRPr="009353E6">
        <w:rPr>
          <w:sz w:val="22"/>
          <w:szCs w:val="22"/>
          <w:lang w:val="pl-PL"/>
        </w:rPr>
        <w:t xml:space="preserve"> zawiera laktozę jednowodną i sorbitol. Pacjenci z rzadką </w:t>
      </w:r>
      <w:r w:rsidR="00731B3F" w:rsidRPr="009353E6">
        <w:rPr>
          <w:sz w:val="22"/>
          <w:szCs w:val="22"/>
          <w:lang w:val="pl-PL"/>
        </w:rPr>
        <w:t>dziedziczną</w:t>
      </w:r>
      <w:r w:rsidR="00204221" w:rsidRPr="009353E6">
        <w:rPr>
          <w:sz w:val="22"/>
          <w:szCs w:val="22"/>
          <w:lang w:val="pl-PL"/>
        </w:rPr>
        <w:t xml:space="preserve"> nietolerancją fruktozy i</w:t>
      </w:r>
      <w:r w:rsidR="00731B3F" w:rsidRPr="009353E6">
        <w:rPr>
          <w:sz w:val="22"/>
          <w:szCs w:val="22"/>
          <w:lang w:val="pl-PL"/>
        </w:rPr>
        <w:t xml:space="preserve"> </w:t>
      </w:r>
      <w:r w:rsidR="00204221" w:rsidRPr="009353E6">
        <w:rPr>
          <w:sz w:val="22"/>
          <w:szCs w:val="22"/>
          <w:lang w:val="pl-PL"/>
        </w:rPr>
        <w:t xml:space="preserve">(lub) rzadką </w:t>
      </w:r>
      <w:r w:rsidR="00731B3F" w:rsidRPr="009353E6">
        <w:rPr>
          <w:sz w:val="22"/>
          <w:szCs w:val="22"/>
          <w:lang w:val="pl-PL"/>
        </w:rPr>
        <w:t xml:space="preserve">dziedziczną </w:t>
      </w:r>
      <w:r w:rsidR="00204221" w:rsidRPr="009353E6">
        <w:rPr>
          <w:sz w:val="22"/>
          <w:szCs w:val="22"/>
          <w:lang w:val="pl-PL"/>
        </w:rPr>
        <w:t xml:space="preserve">nietolerancją galaktozy, niedoborem laktazy typu Lapp lub zaburzeniami wchłaniania glukozy-galaktozy nie powinni stosować </w:t>
      </w:r>
      <w:r w:rsidRPr="009353E6">
        <w:rPr>
          <w:sz w:val="22"/>
          <w:szCs w:val="22"/>
          <w:lang w:val="pl-PL"/>
        </w:rPr>
        <w:t>produkt</w:t>
      </w:r>
      <w:r w:rsidR="00204221" w:rsidRPr="009353E6">
        <w:rPr>
          <w:sz w:val="22"/>
          <w:szCs w:val="22"/>
          <w:lang w:val="pl-PL"/>
        </w:rPr>
        <w:t>u.</w:t>
      </w:r>
    </w:p>
    <w:p w:rsidR="00204221" w:rsidRPr="009353E6" w:rsidRDefault="00204221" w:rsidP="000D5BED">
      <w:pPr>
        <w:pStyle w:val="BodyText"/>
        <w:spacing w:line="240" w:lineRule="auto"/>
        <w:jc w:val="left"/>
        <w:rPr>
          <w:sz w:val="22"/>
          <w:szCs w:val="22"/>
          <w:u w:val="single"/>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Różnice etniczne</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Podobnie jak w przypadku innych a</w:t>
      </w:r>
      <w:r w:rsidR="00F10629" w:rsidRPr="009353E6">
        <w:rPr>
          <w:sz w:val="22"/>
          <w:szCs w:val="22"/>
          <w:lang w:val="pl-PL"/>
        </w:rPr>
        <w:t xml:space="preserve"> antagonistów receptora angiotensyny II</w:t>
      </w:r>
      <w:r w:rsidRPr="009353E6">
        <w:rPr>
          <w:sz w:val="22"/>
          <w:szCs w:val="22"/>
          <w:lang w:val="pl-PL"/>
        </w:rPr>
        <w:t>, telmisartan jest wyraźnie mniej skuteczny w leczeniu nadciśnienia u osób rasy czarnej, prawdopodobnie z powodu częstszego występowania zmniejszonego stężenia reniny w populacji pacjentów rasy czarnej z nadciśnieniem.</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Inne</w:t>
      </w:r>
    </w:p>
    <w:p w:rsidR="00B36BA6" w:rsidRPr="009353E6" w:rsidRDefault="00B36BA6"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Podobnie jak w przypadku innych leków przeciwnadciśnieniowych, nadmierne obniżenie ciśnienia krwi u pacjentów z kardio</w:t>
      </w:r>
      <w:r w:rsidR="00BD6D5E" w:rsidRPr="009353E6">
        <w:rPr>
          <w:sz w:val="22"/>
          <w:szCs w:val="22"/>
          <w:lang w:val="pl-PL"/>
        </w:rPr>
        <w:t>miopatią</w:t>
      </w:r>
      <w:r w:rsidRPr="009353E6">
        <w:rPr>
          <w:sz w:val="22"/>
          <w:szCs w:val="22"/>
          <w:lang w:val="pl-PL"/>
        </w:rPr>
        <w:t xml:space="preserve"> niedokrwienną lub z chorobą niedokrwienną serca może spowodować zawał serca lub udar.</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Informacje ogólne</w:t>
      </w:r>
    </w:p>
    <w:p w:rsidR="00B36BA6" w:rsidRPr="009353E6" w:rsidRDefault="00B36BA6" w:rsidP="000D5BED">
      <w:pPr>
        <w:pStyle w:val="BodyText"/>
        <w:spacing w:line="240" w:lineRule="auto"/>
        <w:jc w:val="left"/>
        <w:rPr>
          <w:sz w:val="22"/>
          <w:szCs w:val="22"/>
          <w:lang w:val="pl-PL"/>
        </w:rPr>
      </w:pPr>
    </w:p>
    <w:p w:rsidR="002D1CF8" w:rsidRPr="009353E6" w:rsidRDefault="002D1CF8" w:rsidP="000D5BED">
      <w:pPr>
        <w:pStyle w:val="BodyText"/>
        <w:spacing w:line="240" w:lineRule="auto"/>
        <w:jc w:val="left"/>
        <w:rPr>
          <w:sz w:val="22"/>
          <w:szCs w:val="22"/>
          <w:lang w:val="pl-PL"/>
        </w:rPr>
      </w:pPr>
      <w:r w:rsidRPr="009353E6">
        <w:rPr>
          <w:sz w:val="22"/>
          <w:szCs w:val="22"/>
          <w:lang w:val="pl-PL"/>
        </w:rPr>
        <w:t>Reakcje nadwrażliwości na hydrochlorotiazyd mogą wystąpić u pacjentów z lub bez alergii czy astmy oskrzelowej w wywiadzie, jednakże takie epizody są bardziej prawdopodobne u</w:t>
      </w:r>
      <w:r w:rsidR="0024500F" w:rsidRPr="009353E6">
        <w:rPr>
          <w:sz w:val="22"/>
          <w:szCs w:val="22"/>
          <w:lang w:val="pl-PL"/>
        </w:rPr>
        <w:t> </w:t>
      </w:r>
      <w:r w:rsidRPr="009353E6">
        <w:rPr>
          <w:sz w:val="22"/>
          <w:szCs w:val="22"/>
          <w:lang w:val="pl-PL"/>
        </w:rPr>
        <w:t xml:space="preserve">pacjentów z obciążonym wywiadem. </w:t>
      </w:r>
    </w:p>
    <w:p w:rsidR="00252870" w:rsidRPr="009353E6" w:rsidRDefault="002D1CF8" w:rsidP="000D5BED">
      <w:pPr>
        <w:pStyle w:val="BodyText"/>
        <w:spacing w:line="240" w:lineRule="auto"/>
        <w:jc w:val="left"/>
        <w:rPr>
          <w:sz w:val="22"/>
          <w:szCs w:val="22"/>
          <w:lang w:val="pl-PL"/>
        </w:rPr>
      </w:pPr>
      <w:r w:rsidRPr="009353E6">
        <w:rPr>
          <w:sz w:val="22"/>
          <w:szCs w:val="22"/>
          <w:lang w:val="pl-PL"/>
        </w:rPr>
        <w:t xml:space="preserve">Istnieją doniesienia o zaostrzeniu lub aktywacji tocznia rumieniowatego </w:t>
      </w:r>
      <w:r w:rsidR="00891993" w:rsidRPr="009353E6">
        <w:rPr>
          <w:sz w:val="22"/>
          <w:szCs w:val="22"/>
          <w:lang w:val="pl-PL"/>
        </w:rPr>
        <w:t xml:space="preserve">układowego </w:t>
      </w:r>
      <w:r w:rsidRPr="009353E6">
        <w:rPr>
          <w:sz w:val="22"/>
          <w:szCs w:val="22"/>
          <w:lang w:val="pl-PL"/>
        </w:rPr>
        <w:t>po przyjęciu diuretyków tiazydowych</w:t>
      </w:r>
      <w:r w:rsidR="00836A1D" w:rsidRPr="009353E6">
        <w:rPr>
          <w:sz w:val="22"/>
          <w:szCs w:val="22"/>
          <w:lang w:val="pl-PL"/>
        </w:rPr>
        <w:t>,</w:t>
      </w:r>
      <w:r w:rsidR="00EA2D7E" w:rsidRPr="009353E6">
        <w:rPr>
          <w:sz w:val="22"/>
          <w:szCs w:val="22"/>
          <w:lang w:val="pl-PL"/>
        </w:rPr>
        <w:t xml:space="preserve"> w tym hydrochlorotiazydu</w:t>
      </w:r>
      <w:r w:rsidRPr="009353E6">
        <w:rPr>
          <w:sz w:val="22"/>
          <w:szCs w:val="22"/>
          <w:lang w:val="pl-PL"/>
        </w:rPr>
        <w:t>.</w:t>
      </w:r>
    </w:p>
    <w:p w:rsidR="002D1CF8" w:rsidRPr="009353E6" w:rsidRDefault="002D1CF8" w:rsidP="000D5BED">
      <w:pPr>
        <w:pStyle w:val="BodyText"/>
        <w:spacing w:line="240" w:lineRule="auto"/>
        <w:jc w:val="left"/>
        <w:rPr>
          <w:sz w:val="22"/>
          <w:szCs w:val="22"/>
          <w:lang w:val="pl-PL"/>
        </w:rPr>
      </w:pPr>
    </w:p>
    <w:p w:rsidR="002D1CF8" w:rsidRPr="009353E6" w:rsidRDefault="002D1CF8" w:rsidP="000D5BED">
      <w:pPr>
        <w:pStyle w:val="BodyText"/>
        <w:spacing w:line="240" w:lineRule="auto"/>
        <w:jc w:val="left"/>
        <w:rPr>
          <w:sz w:val="22"/>
          <w:szCs w:val="22"/>
          <w:lang w:val="pl-PL"/>
        </w:rPr>
      </w:pPr>
      <w:r w:rsidRPr="009353E6">
        <w:rPr>
          <w:sz w:val="22"/>
          <w:szCs w:val="22"/>
          <w:lang w:val="pl-PL"/>
        </w:rPr>
        <w:t xml:space="preserve">W związku ze stosowaniem tiazydowych leków moczopędnych opisywano przypadki reakcji </w:t>
      </w:r>
      <w:r w:rsidR="005226ED" w:rsidRPr="009353E6">
        <w:rPr>
          <w:sz w:val="22"/>
          <w:szCs w:val="22"/>
          <w:lang w:val="pl-PL"/>
        </w:rPr>
        <w:t xml:space="preserve">nadwrażliwości na światło </w:t>
      </w:r>
      <w:r w:rsidRPr="009353E6">
        <w:rPr>
          <w:sz w:val="22"/>
          <w:szCs w:val="22"/>
          <w:lang w:val="pl-PL"/>
        </w:rPr>
        <w:t>(patrz punkt 4.8). W przypadku wystąpienia reakcji nadwrażliwości podczas leczenia</w:t>
      </w:r>
      <w:r w:rsidRPr="009353E6" w:rsidDel="00245C24">
        <w:rPr>
          <w:sz w:val="22"/>
          <w:szCs w:val="22"/>
          <w:lang w:val="pl-PL"/>
        </w:rPr>
        <w:t>,</w:t>
      </w:r>
      <w:r w:rsidRPr="009353E6">
        <w:rPr>
          <w:sz w:val="22"/>
          <w:szCs w:val="22"/>
          <w:lang w:val="pl-PL"/>
        </w:rPr>
        <w:t xml:space="preserve"> zaleca się przerwanie podawania leku. Jeśli ponowne rozpoczęcie podawania leku wydaje się być konieczne, zaleca się osłanianie ciała przed światłem słonecznym lub sztucznym </w:t>
      </w:r>
      <w:r w:rsidR="005226ED" w:rsidRPr="009353E6">
        <w:rPr>
          <w:sz w:val="22"/>
          <w:szCs w:val="22"/>
          <w:lang w:val="pl-PL"/>
        </w:rPr>
        <w:t>promieniowaniem</w:t>
      </w:r>
      <w:r w:rsidRPr="009353E6">
        <w:rPr>
          <w:sz w:val="22"/>
          <w:szCs w:val="22"/>
          <w:lang w:val="pl-PL"/>
        </w:rPr>
        <w:t xml:space="preserve"> UVA.</w:t>
      </w:r>
    </w:p>
    <w:p w:rsidR="0064332F" w:rsidRPr="009353E6" w:rsidRDefault="0064332F" w:rsidP="003D10DA">
      <w:pPr>
        <w:pStyle w:val="BodyText"/>
        <w:spacing w:line="240" w:lineRule="auto"/>
        <w:jc w:val="left"/>
        <w:rPr>
          <w:sz w:val="22"/>
          <w:szCs w:val="22"/>
          <w:lang w:val="pl-PL"/>
        </w:rPr>
      </w:pPr>
    </w:p>
    <w:p w:rsidR="00836E05" w:rsidRPr="009353E6" w:rsidRDefault="00A42C88" w:rsidP="004A0B9E">
      <w:pPr>
        <w:pStyle w:val="BodyText"/>
        <w:keepNext/>
        <w:spacing w:line="240" w:lineRule="auto"/>
        <w:jc w:val="left"/>
        <w:rPr>
          <w:sz w:val="22"/>
          <w:szCs w:val="22"/>
          <w:u w:val="single"/>
          <w:lang w:val="pl-PL"/>
        </w:rPr>
      </w:pPr>
      <w:r w:rsidRPr="009353E6">
        <w:rPr>
          <w:sz w:val="22"/>
          <w:szCs w:val="22"/>
          <w:u w:val="single"/>
          <w:lang w:val="pl-PL"/>
        </w:rPr>
        <w:t>Nadmierne nagromadzenie płynu między naczyniówką a twardówką, o</w:t>
      </w:r>
      <w:r w:rsidR="00836E05" w:rsidRPr="009353E6">
        <w:rPr>
          <w:sz w:val="22"/>
          <w:szCs w:val="22"/>
          <w:u w:val="single"/>
          <w:lang w:val="pl-PL"/>
        </w:rPr>
        <w:t>stra krótkowzroczność i jaskra z zamkniętym kątem przesączania</w:t>
      </w:r>
    </w:p>
    <w:p w:rsidR="00836E05" w:rsidRPr="009353E6" w:rsidRDefault="00836E05" w:rsidP="004A0B9E">
      <w:pPr>
        <w:keepNext/>
        <w:tabs>
          <w:tab w:val="left" w:pos="567"/>
        </w:tabs>
        <w:rPr>
          <w:sz w:val="22"/>
          <w:szCs w:val="22"/>
          <w:lang w:val="pl-PL"/>
        </w:rPr>
      </w:pPr>
    </w:p>
    <w:p w:rsidR="00836E05" w:rsidRPr="009353E6" w:rsidRDefault="00836E05" w:rsidP="00836E05">
      <w:pPr>
        <w:tabs>
          <w:tab w:val="left" w:pos="567"/>
        </w:tabs>
        <w:rPr>
          <w:sz w:val="22"/>
          <w:szCs w:val="22"/>
          <w:lang w:val="pl-PL"/>
        </w:rPr>
      </w:pPr>
      <w:r w:rsidRPr="009353E6">
        <w:rPr>
          <w:sz w:val="22"/>
          <w:szCs w:val="22"/>
          <w:lang w:val="pl-PL"/>
        </w:rPr>
        <w:t xml:space="preserve">Hydrochlorotiazyd, będący sulfonamidem, może powodować swoiste reakcje prowadzące do </w:t>
      </w:r>
      <w:r w:rsidR="00914985" w:rsidRPr="009353E6">
        <w:rPr>
          <w:sz w:val="22"/>
          <w:szCs w:val="22"/>
          <w:lang w:val="pl-PL"/>
        </w:rPr>
        <w:t xml:space="preserve">nadmiernego nagromadzenia płynu między naczyniówką a twardówką z ograniczeniem pola widzenia, </w:t>
      </w:r>
      <w:r w:rsidRPr="009353E6">
        <w:rPr>
          <w:sz w:val="22"/>
          <w:szCs w:val="22"/>
          <w:lang w:val="pl-PL"/>
        </w:rPr>
        <w:t>ostrej przejściowej krótkowzroczności i ostrej jaskry z zamkniętym kątem przesączania</w:t>
      </w:r>
      <w:r w:rsidR="00E918D4" w:rsidRPr="009353E6">
        <w:rPr>
          <w:sz w:val="22"/>
          <w:szCs w:val="22"/>
          <w:lang w:val="pl-PL"/>
        </w:rPr>
        <w:t>.</w:t>
      </w:r>
      <w:r w:rsidRPr="009353E6">
        <w:rPr>
          <w:sz w:val="22"/>
          <w:szCs w:val="22"/>
          <w:lang w:val="pl-PL"/>
        </w:rPr>
        <w:t xml:space="preserve"> Objawy obejmują nagłe zmniejszenie ostrości widzenia lub ból oczu, które zwykle występują w ciągu kilku godzin lub tygodni od rozpoczęcia terapii lekiem. Nieleczona ostra jaskra z zamkniętym  kątem przesączania może prowadzić do trwałej utraty wzroku. Leczenie w pierwszej kolejności polega na jak najszybszym odstawieniu hydrochlorotiazydu. W przypadku</w:t>
      </w:r>
      <w:r w:rsidR="00E918D4" w:rsidRPr="009353E6">
        <w:rPr>
          <w:sz w:val="22"/>
          <w:szCs w:val="22"/>
          <w:lang w:val="pl-PL"/>
        </w:rPr>
        <w:t>,</w:t>
      </w:r>
      <w:r w:rsidRPr="009353E6">
        <w:rPr>
          <w:sz w:val="22"/>
          <w:szCs w:val="22"/>
          <w:lang w:val="pl-PL"/>
        </w:rPr>
        <w:t xml:space="preserve"> gdy nie udaje się opanować ciśnienia wewnątrzgałkowego, należy rozważyć niezwłoczne podjęcie leczenia chirurgicznego lub zachowawczego. Do czynników ryzyka rozwoju ostrej jaskry z zamkniętym kątem przesączania może należeć uczulenie na sulfonamidy lub penicylinę w wywiadzie. </w:t>
      </w:r>
    </w:p>
    <w:p w:rsidR="006C0287" w:rsidRPr="009353E6" w:rsidRDefault="006C0287" w:rsidP="000D5BED">
      <w:pPr>
        <w:pStyle w:val="BodyText"/>
        <w:spacing w:line="240" w:lineRule="auto"/>
        <w:jc w:val="left"/>
        <w:rPr>
          <w:sz w:val="22"/>
          <w:szCs w:val="22"/>
          <w:lang w:val="pl-PL"/>
        </w:rPr>
      </w:pPr>
    </w:p>
    <w:p w:rsidR="001F7832" w:rsidRPr="009353E6" w:rsidRDefault="001F7832" w:rsidP="001F7832">
      <w:pPr>
        <w:pStyle w:val="BodyText"/>
        <w:spacing w:line="240" w:lineRule="auto"/>
        <w:jc w:val="left"/>
        <w:rPr>
          <w:sz w:val="22"/>
          <w:szCs w:val="22"/>
          <w:u w:val="single"/>
          <w:lang w:val="pl-PL"/>
        </w:rPr>
      </w:pPr>
      <w:r w:rsidRPr="009353E6">
        <w:rPr>
          <w:sz w:val="22"/>
          <w:szCs w:val="22"/>
          <w:u w:val="single"/>
          <w:lang w:val="pl-PL"/>
        </w:rPr>
        <w:t>Nieczerniakowe nowotwory złośliwe skóry</w:t>
      </w:r>
    </w:p>
    <w:p w:rsidR="001F7832" w:rsidRPr="009353E6" w:rsidRDefault="001F7832" w:rsidP="001F7832">
      <w:pPr>
        <w:pStyle w:val="BodyText"/>
        <w:spacing w:line="240" w:lineRule="auto"/>
        <w:jc w:val="left"/>
        <w:rPr>
          <w:sz w:val="22"/>
          <w:szCs w:val="22"/>
          <w:lang w:val="pl-PL"/>
        </w:rPr>
      </w:pPr>
    </w:p>
    <w:p w:rsidR="001F7832" w:rsidRPr="009353E6" w:rsidRDefault="001F7832" w:rsidP="001F7832">
      <w:pPr>
        <w:pStyle w:val="BodyText"/>
        <w:spacing w:line="240" w:lineRule="auto"/>
        <w:jc w:val="left"/>
        <w:rPr>
          <w:sz w:val="22"/>
          <w:szCs w:val="22"/>
          <w:lang w:val="pl-PL"/>
        </w:rPr>
      </w:pPr>
      <w:r w:rsidRPr="009353E6">
        <w:rPr>
          <w:sz w:val="22"/>
          <w:szCs w:val="22"/>
          <w:lang w:val="pl-PL"/>
        </w:rPr>
        <w:t>W dwóch badaniach epidemiologicznych z wykorzystaniem danych z duńskiego krajowego rejestru nowotworów złośliwych stwierdzono zwiększenie ryzyka nieczerniakowych nowotworów złośliwych skóry (NMSC, ang. non-melanoma skin cancer) [raka podstawnokomórkowego (BCC, ang. basal cell carcinoma) i raka kolczystokomórkowego (SCC, ang. squamous cell carcinoma)] w warunkach zwiększającego się łącznego narażenia organizmu na hydrochlorotiazyd (HCTZ). W mechanizmie rozwoju NMCS mogą odgrywać rolę właściwości fotouczulające HCTZ.</w:t>
      </w:r>
    </w:p>
    <w:p w:rsidR="001F7832" w:rsidRPr="009353E6" w:rsidRDefault="001F7832" w:rsidP="001F7832">
      <w:pPr>
        <w:pStyle w:val="BodyText"/>
        <w:spacing w:line="240" w:lineRule="auto"/>
        <w:jc w:val="left"/>
        <w:rPr>
          <w:sz w:val="22"/>
          <w:szCs w:val="22"/>
          <w:lang w:val="pl-PL"/>
        </w:rPr>
      </w:pPr>
    </w:p>
    <w:p w:rsidR="001F7832" w:rsidRPr="009353E6" w:rsidRDefault="001F7832" w:rsidP="001F7832">
      <w:pPr>
        <w:pStyle w:val="BodyText"/>
        <w:spacing w:line="240" w:lineRule="auto"/>
        <w:jc w:val="left"/>
        <w:rPr>
          <w:sz w:val="22"/>
          <w:szCs w:val="22"/>
          <w:lang w:val="pl-PL"/>
        </w:rPr>
      </w:pPr>
      <w:r w:rsidRPr="009353E6">
        <w:rPr>
          <w:sz w:val="22"/>
          <w:szCs w:val="22"/>
          <w:lang w:val="pl-PL"/>
        </w:rPr>
        <w:t>Pacjentów przyjmujących HCTZ należy poinformować o ryzyku NMSC i zalecić regularne sprawdzanie, czy na skórze nie pojawiły się nowe zmiany, i szybki kontakt z lekarzem w przypadku stwierdzenia jakichkolwiek podejrzanych zmian skórnych. Pacjentom należy zalecić podejmowanie możliwych działań zapobiegawczych w celu minimalizacji ryzyka rozwoju nowotworów złośliwych skóry, jak ograniczanie narażania się na działanie światła słonecznego i promieniowania UV, a jeśli to niemożliwe - odpowiednią ochronę. Niepokojące zmiany skórne należy niezwłocznie badać z możliwością wykonania biopsji z oceną histologiczną. U osób, u których w przeszłości występowały NMSC, może być konieczne ponowne rozważenie stosowania HCTZ (patrz również punkt 4.8).</w:t>
      </w:r>
    </w:p>
    <w:p w:rsidR="001F7832" w:rsidRPr="009353E6" w:rsidRDefault="001F7832" w:rsidP="000D5BED">
      <w:pPr>
        <w:pStyle w:val="BodyText"/>
        <w:spacing w:line="240" w:lineRule="auto"/>
        <w:jc w:val="left"/>
        <w:rPr>
          <w:sz w:val="22"/>
          <w:szCs w:val="22"/>
          <w:lang w:val="pl-PL"/>
        </w:rPr>
      </w:pPr>
    </w:p>
    <w:p w:rsidR="00204221" w:rsidRPr="009353E6" w:rsidRDefault="00586E5C" w:rsidP="004A0B9E">
      <w:pPr>
        <w:pStyle w:val="BodyText"/>
        <w:keepNext/>
        <w:tabs>
          <w:tab w:val="left" w:pos="567"/>
        </w:tabs>
        <w:spacing w:line="240" w:lineRule="auto"/>
        <w:jc w:val="left"/>
        <w:rPr>
          <w:b/>
          <w:sz w:val="22"/>
          <w:szCs w:val="22"/>
          <w:lang w:val="pl-PL"/>
        </w:rPr>
      </w:pPr>
      <w:r w:rsidRPr="009353E6">
        <w:rPr>
          <w:b/>
          <w:sz w:val="22"/>
          <w:szCs w:val="22"/>
          <w:lang w:val="pl-PL"/>
        </w:rPr>
        <w:t>4.5</w:t>
      </w:r>
      <w:r w:rsidRPr="009353E6">
        <w:rPr>
          <w:b/>
          <w:sz w:val="22"/>
          <w:szCs w:val="22"/>
          <w:lang w:val="pl-PL"/>
        </w:rPr>
        <w:tab/>
      </w:r>
      <w:r w:rsidR="00204221" w:rsidRPr="009353E6">
        <w:rPr>
          <w:b/>
          <w:sz w:val="22"/>
          <w:szCs w:val="22"/>
          <w:lang w:val="pl-PL"/>
        </w:rPr>
        <w:t xml:space="preserve">Interakcje z innymi </w:t>
      </w:r>
      <w:r w:rsidR="003A20EE" w:rsidRPr="009353E6">
        <w:rPr>
          <w:b/>
          <w:sz w:val="22"/>
          <w:szCs w:val="22"/>
          <w:lang w:val="pl-PL"/>
        </w:rPr>
        <w:t xml:space="preserve">produktami leczniczymi </w:t>
      </w:r>
      <w:r w:rsidR="00204221" w:rsidRPr="009353E6">
        <w:rPr>
          <w:b/>
          <w:sz w:val="22"/>
          <w:szCs w:val="22"/>
          <w:lang w:val="pl-PL"/>
        </w:rPr>
        <w:t>i inne rodzaje interakcji</w:t>
      </w:r>
    </w:p>
    <w:p w:rsidR="00A951A7" w:rsidRPr="009353E6" w:rsidRDefault="00A951A7" w:rsidP="004A0B9E">
      <w:pPr>
        <w:keepNext/>
        <w:rPr>
          <w:rStyle w:val="hps"/>
          <w:i/>
          <w:sz w:val="22"/>
          <w:szCs w:val="22"/>
          <w:lang w:val="pl-PL"/>
        </w:rPr>
      </w:pPr>
    </w:p>
    <w:p w:rsidR="00B36BA6" w:rsidRPr="009353E6" w:rsidRDefault="00204221" w:rsidP="004A0B9E">
      <w:pPr>
        <w:pStyle w:val="BodyText"/>
        <w:keepNext/>
        <w:spacing w:line="240" w:lineRule="auto"/>
        <w:jc w:val="left"/>
        <w:rPr>
          <w:sz w:val="22"/>
          <w:szCs w:val="22"/>
          <w:lang w:val="pl-PL"/>
        </w:rPr>
      </w:pPr>
      <w:r w:rsidRPr="009353E6">
        <w:rPr>
          <w:sz w:val="22"/>
          <w:szCs w:val="22"/>
          <w:u w:val="single"/>
          <w:lang w:val="pl-PL"/>
        </w:rPr>
        <w:t>Lit</w:t>
      </w:r>
    </w:p>
    <w:p w:rsidR="00B36BA6" w:rsidRPr="009353E6" w:rsidRDefault="00B36BA6" w:rsidP="004A0B9E">
      <w:pPr>
        <w:pStyle w:val="BodyText"/>
        <w:keepNext/>
        <w:spacing w:line="240" w:lineRule="auto"/>
        <w:jc w:val="left"/>
        <w:rPr>
          <w:sz w:val="22"/>
          <w:szCs w:val="22"/>
          <w:lang w:val="pl-PL"/>
        </w:rPr>
      </w:pPr>
    </w:p>
    <w:p w:rsidR="00204221" w:rsidRPr="009353E6" w:rsidRDefault="00204221" w:rsidP="000D5BED">
      <w:pPr>
        <w:pStyle w:val="BodyText"/>
        <w:spacing w:line="240" w:lineRule="auto"/>
        <w:jc w:val="left"/>
        <w:rPr>
          <w:sz w:val="22"/>
          <w:szCs w:val="22"/>
          <w:u w:val="single"/>
          <w:lang w:val="pl-PL"/>
        </w:rPr>
      </w:pPr>
      <w:r w:rsidRPr="009353E6">
        <w:rPr>
          <w:sz w:val="22"/>
          <w:szCs w:val="22"/>
          <w:lang w:val="pl-PL"/>
        </w:rPr>
        <w:t>Obserwowano przemijające zwiększenie stężenia litu w surowicy i zwiększenie jego toksyczności w przypadku jednoczesnego stosowania z inhibitorami konwertazy angiotensyny. Rzadko zanotowano przypadki z antagonistami receptora angiotensyny II (w tym MicardisPlus).</w:t>
      </w:r>
      <w:r w:rsidR="00731B3F" w:rsidRPr="009353E6">
        <w:rPr>
          <w:sz w:val="22"/>
          <w:szCs w:val="22"/>
          <w:lang w:val="pl-PL"/>
        </w:rPr>
        <w:t xml:space="preserve"> </w:t>
      </w:r>
      <w:r w:rsidRPr="009353E6">
        <w:rPr>
          <w:sz w:val="22"/>
          <w:szCs w:val="22"/>
          <w:lang w:val="pl-PL"/>
        </w:rPr>
        <w:t xml:space="preserve">Nie jest zalecane jednoczesne stosowanie litu i </w:t>
      </w:r>
      <w:r w:rsidR="00F710F6" w:rsidRPr="009353E6">
        <w:rPr>
          <w:sz w:val="22"/>
          <w:szCs w:val="22"/>
          <w:lang w:val="pl-PL"/>
        </w:rPr>
        <w:t>produkt</w:t>
      </w:r>
      <w:r w:rsidRPr="009353E6">
        <w:rPr>
          <w:sz w:val="22"/>
          <w:szCs w:val="22"/>
          <w:lang w:val="pl-PL"/>
        </w:rPr>
        <w:t>u MicardisPlus</w:t>
      </w:r>
      <w:r w:rsidR="00731B3F" w:rsidRPr="009353E6">
        <w:rPr>
          <w:sz w:val="22"/>
          <w:szCs w:val="22"/>
          <w:lang w:val="pl-PL"/>
        </w:rPr>
        <w:t xml:space="preserve"> (patrz punkt 4.4)</w:t>
      </w:r>
      <w:r w:rsidRPr="009353E6">
        <w:rPr>
          <w:sz w:val="22"/>
          <w:szCs w:val="22"/>
          <w:lang w:val="pl-PL"/>
        </w:rPr>
        <w:t xml:space="preserve">. Jeśli równoczesne stosowanie tych leków jest konieczne należy kontrolować stężenie litu w surowicy. </w:t>
      </w:r>
    </w:p>
    <w:p w:rsidR="00204221" w:rsidRPr="009353E6" w:rsidRDefault="00204221"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u w:val="single"/>
          <w:lang w:val="pl-PL"/>
        </w:rPr>
        <w:t xml:space="preserve">Produkty lecznicze związane z utratą potasu i hipokaliemią </w:t>
      </w:r>
      <w:r w:rsidRPr="009353E6">
        <w:rPr>
          <w:sz w:val="22"/>
          <w:szCs w:val="22"/>
          <w:lang w:val="pl-PL"/>
        </w:rPr>
        <w:t xml:space="preserve">(np. inne diuretyki kaliuretyczne, środki przeczyszczające, kortykosteroidy, ACTH, amfoterycyna, karbenoksolon, sól sodowa penicyliny G, kwas salicylowy i jego pochodne): jeżeli istnieje konieczność stosowania tych </w:t>
      </w:r>
      <w:r w:rsidR="00731B3F" w:rsidRPr="009353E6">
        <w:rPr>
          <w:sz w:val="22"/>
          <w:szCs w:val="22"/>
          <w:lang w:val="pl-PL"/>
        </w:rPr>
        <w:t xml:space="preserve">substancji </w:t>
      </w:r>
      <w:r w:rsidRPr="009353E6">
        <w:rPr>
          <w:sz w:val="22"/>
          <w:szCs w:val="22"/>
          <w:lang w:val="pl-PL"/>
        </w:rPr>
        <w:t xml:space="preserve">jednocześnie z </w:t>
      </w:r>
      <w:r w:rsidR="00F710F6" w:rsidRPr="009353E6">
        <w:rPr>
          <w:sz w:val="22"/>
          <w:szCs w:val="22"/>
          <w:lang w:val="pl-PL"/>
        </w:rPr>
        <w:t>produkt</w:t>
      </w:r>
      <w:r w:rsidRPr="009353E6">
        <w:rPr>
          <w:sz w:val="22"/>
          <w:szCs w:val="22"/>
          <w:lang w:val="pl-PL"/>
        </w:rPr>
        <w:t>em zawierającym hydrochlorotiazyd i telmisartan, zaleca się monitorowanie stężenia potasu w osoczu. Mogą one nasilić działanie hydrochlorotiazydu na stężenie potasu w surowicy (patrz punkt 4.4).</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u w:val="single"/>
          <w:lang w:val="pl-PL"/>
        </w:rPr>
        <w:t xml:space="preserve">Produkty lecznicze, które mogą spowodować zwiększenie stężenia potasu lub wywołać hiperkaliemię </w:t>
      </w:r>
      <w:r w:rsidRPr="009353E6">
        <w:rPr>
          <w:sz w:val="22"/>
          <w:szCs w:val="22"/>
          <w:lang w:val="pl-PL"/>
        </w:rPr>
        <w:t xml:space="preserve">(np. inhibitory ACE, diuretyki oszczędzające potas, suplementy potasu, sole zawierające potas, cyklosporyna lub inne produkty lecznicze takie jak sól sodowa heparyny): jeżeli istnieje konieczność stosowania tych </w:t>
      </w:r>
      <w:r w:rsidR="00906328" w:rsidRPr="009353E6">
        <w:rPr>
          <w:sz w:val="22"/>
          <w:szCs w:val="22"/>
          <w:lang w:val="pl-PL"/>
        </w:rPr>
        <w:t>produktów leczniczych j</w:t>
      </w:r>
      <w:r w:rsidRPr="009353E6">
        <w:rPr>
          <w:sz w:val="22"/>
          <w:szCs w:val="22"/>
          <w:lang w:val="pl-PL"/>
        </w:rPr>
        <w:t xml:space="preserve">ednocześnie z </w:t>
      </w:r>
      <w:r w:rsidR="00F710F6" w:rsidRPr="009353E6">
        <w:rPr>
          <w:sz w:val="22"/>
          <w:szCs w:val="22"/>
          <w:lang w:val="pl-PL"/>
        </w:rPr>
        <w:t>produkt</w:t>
      </w:r>
      <w:r w:rsidRPr="009353E6">
        <w:rPr>
          <w:sz w:val="22"/>
          <w:szCs w:val="22"/>
          <w:lang w:val="pl-PL"/>
        </w:rPr>
        <w:t>em zawierającym hydrochlorotiazyd i</w:t>
      </w:r>
      <w:r w:rsidR="0024500F" w:rsidRPr="009353E6">
        <w:rPr>
          <w:sz w:val="22"/>
          <w:szCs w:val="22"/>
          <w:lang w:val="pl-PL"/>
        </w:rPr>
        <w:t> </w:t>
      </w:r>
      <w:r w:rsidRPr="009353E6">
        <w:rPr>
          <w:sz w:val="22"/>
          <w:szCs w:val="22"/>
          <w:lang w:val="pl-PL"/>
        </w:rPr>
        <w:t>telmisartan, zaleca się monitorowanie stężenia potasu w osoczu. Jak wynika z doświadczenia w</w:t>
      </w:r>
      <w:r w:rsidR="0024500F" w:rsidRPr="009353E6">
        <w:rPr>
          <w:sz w:val="22"/>
          <w:szCs w:val="22"/>
          <w:lang w:val="pl-PL"/>
        </w:rPr>
        <w:t> </w:t>
      </w:r>
      <w:r w:rsidRPr="009353E6">
        <w:rPr>
          <w:sz w:val="22"/>
          <w:szCs w:val="22"/>
          <w:lang w:val="pl-PL"/>
        </w:rPr>
        <w:t xml:space="preserve">stosowaniu innych </w:t>
      </w:r>
      <w:r w:rsidR="00F710F6" w:rsidRPr="009353E6">
        <w:rPr>
          <w:sz w:val="22"/>
          <w:szCs w:val="22"/>
          <w:lang w:val="pl-PL"/>
        </w:rPr>
        <w:t>produkt</w:t>
      </w:r>
      <w:r w:rsidR="001D027E" w:rsidRPr="009353E6">
        <w:rPr>
          <w:sz w:val="22"/>
          <w:szCs w:val="22"/>
          <w:lang w:val="pl-PL"/>
        </w:rPr>
        <w:t>ów</w:t>
      </w:r>
      <w:r w:rsidRPr="009353E6">
        <w:rPr>
          <w:sz w:val="22"/>
          <w:szCs w:val="22"/>
          <w:lang w:val="pl-PL"/>
        </w:rPr>
        <w:t xml:space="preserve">, które wpływają na układ renina-angiotensyna, jednoczesne stosowanie powyższych </w:t>
      </w:r>
      <w:r w:rsidR="00F710F6" w:rsidRPr="009353E6">
        <w:rPr>
          <w:sz w:val="22"/>
          <w:szCs w:val="22"/>
          <w:lang w:val="pl-PL"/>
        </w:rPr>
        <w:t>produkt</w:t>
      </w:r>
      <w:r w:rsidR="00EE347E" w:rsidRPr="009353E6">
        <w:rPr>
          <w:sz w:val="22"/>
          <w:szCs w:val="22"/>
          <w:lang w:val="pl-PL"/>
        </w:rPr>
        <w:t xml:space="preserve">ów </w:t>
      </w:r>
      <w:r w:rsidRPr="009353E6">
        <w:rPr>
          <w:sz w:val="22"/>
          <w:szCs w:val="22"/>
          <w:lang w:val="pl-PL"/>
        </w:rPr>
        <w:t>może prowadzić do zwiększenia stężenia potasu w surowicy i w związku z tym nie jest zalecane (patrz punkt 4.4).</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Produkty lecznicze, na które wpływają zaburzenia stężenia potasu w surowicy</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Należy okresowo monitorować stężenie potasu w </w:t>
      </w:r>
      <w:r w:rsidR="00731B3F" w:rsidRPr="009353E6">
        <w:rPr>
          <w:sz w:val="22"/>
          <w:szCs w:val="22"/>
          <w:lang w:val="pl-PL"/>
        </w:rPr>
        <w:t xml:space="preserve">surowicy </w:t>
      </w:r>
      <w:r w:rsidRPr="009353E6">
        <w:rPr>
          <w:sz w:val="22"/>
          <w:szCs w:val="22"/>
          <w:lang w:val="pl-PL"/>
        </w:rPr>
        <w:t xml:space="preserve">oraz EKG w czasie stosowania </w:t>
      </w:r>
      <w:r w:rsidR="00F710F6" w:rsidRPr="009353E6">
        <w:rPr>
          <w:sz w:val="22"/>
          <w:szCs w:val="22"/>
          <w:lang w:val="pl-PL"/>
        </w:rPr>
        <w:t>produkt</w:t>
      </w:r>
      <w:r w:rsidR="00731B3F" w:rsidRPr="009353E6">
        <w:rPr>
          <w:sz w:val="22"/>
          <w:szCs w:val="22"/>
          <w:lang w:val="pl-PL"/>
        </w:rPr>
        <w:t xml:space="preserve">u </w:t>
      </w:r>
      <w:r w:rsidRPr="009353E6">
        <w:rPr>
          <w:sz w:val="22"/>
          <w:szCs w:val="22"/>
          <w:lang w:val="pl-PL"/>
        </w:rPr>
        <w:t xml:space="preserve">MicardisPlus jednocześnie: z produktami leczniczymi, na których działanie wpływają zmiany stężenia potasu (np. glikozydy naparstnicy, </w:t>
      </w:r>
      <w:r w:rsidR="00731B3F" w:rsidRPr="009353E6">
        <w:rPr>
          <w:sz w:val="22"/>
          <w:szCs w:val="22"/>
          <w:lang w:val="pl-PL"/>
        </w:rPr>
        <w:t>leki</w:t>
      </w:r>
      <w:r w:rsidR="00EE347E" w:rsidRPr="009353E6">
        <w:rPr>
          <w:sz w:val="22"/>
          <w:szCs w:val="22"/>
          <w:lang w:val="pl-PL"/>
        </w:rPr>
        <w:t xml:space="preserve"> </w:t>
      </w:r>
      <w:r w:rsidRPr="009353E6">
        <w:rPr>
          <w:sz w:val="22"/>
          <w:szCs w:val="22"/>
          <w:lang w:val="pl-PL"/>
        </w:rPr>
        <w:t>przeciwarytmiczne);</w:t>
      </w: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z </w:t>
      </w:r>
      <w:r w:rsidR="00731B3F" w:rsidRPr="009353E6">
        <w:rPr>
          <w:sz w:val="22"/>
          <w:szCs w:val="22"/>
          <w:lang w:val="pl-PL"/>
        </w:rPr>
        <w:t xml:space="preserve">lekami </w:t>
      </w:r>
      <w:r w:rsidRPr="009353E6">
        <w:rPr>
          <w:sz w:val="22"/>
          <w:szCs w:val="22"/>
          <w:lang w:val="pl-PL"/>
        </w:rPr>
        <w:t xml:space="preserve">mogącymi wywołać „torsades de pointes” (w tym niektóre </w:t>
      </w:r>
      <w:r w:rsidR="00731B3F" w:rsidRPr="009353E6">
        <w:rPr>
          <w:sz w:val="22"/>
          <w:szCs w:val="22"/>
          <w:lang w:val="pl-PL"/>
        </w:rPr>
        <w:t xml:space="preserve">leki </w:t>
      </w:r>
      <w:r w:rsidRPr="009353E6">
        <w:rPr>
          <w:sz w:val="22"/>
          <w:szCs w:val="22"/>
          <w:lang w:val="pl-PL"/>
        </w:rPr>
        <w:t>przeciwarytmiczne), dla których hipokaliemia jest czynnikiem predysponującym, takimi jak:</w:t>
      </w:r>
    </w:p>
    <w:p w:rsidR="00204221" w:rsidRPr="009353E6" w:rsidRDefault="00731B3F" w:rsidP="002D507E">
      <w:pPr>
        <w:pStyle w:val="BodyText"/>
        <w:numPr>
          <w:ilvl w:val="0"/>
          <w:numId w:val="20"/>
        </w:numPr>
        <w:tabs>
          <w:tab w:val="clear" w:pos="2520"/>
          <w:tab w:val="num" w:pos="540"/>
        </w:tabs>
        <w:spacing w:line="240" w:lineRule="auto"/>
        <w:ind w:left="540" w:hanging="540"/>
        <w:jc w:val="left"/>
        <w:rPr>
          <w:sz w:val="22"/>
          <w:szCs w:val="22"/>
          <w:lang w:val="pl-PL"/>
        </w:rPr>
      </w:pPr>
      <w:r w:rsidRPr="009353E6">
        <w:rPr>
          <w:sz w:val="22"/>
          <w:szCs w:val="22"/>
          <w:lang w:val="pl-PL"/>
        </w:rPr>
        <w:t xml:space="preserve">leki </w:t>
      </w:r>
      <w:r w:rsidR="00204221" w:rsidRPr="009353E6">
        <w:rPr>
          <w:sz w:val="22"/>
          <w:szCs w:val="22"/>
          <w:lang w:val="pl-PL"/>
        </w:rPr>
        <w:t>przeciwarytmiczne klasy Ia (np. chinidyna, hydrochinidyna, dyzopiramid)</w:t>
      </w:r>
      <w:r w:rsidRPr="009353E6">
        <w:rPr>
          <w:sz w:val="22"/>
          <w:szCs w:val="22"/>
          <w:lang w:val="pl-PL"/>
        </w:rPr>
        <w:t xml:space="preserve">; </w:t>
      </w:r>
    </w:p>
    <w:p w:rsidR="00252870" w:rsidRPr="009353E6" w:rsidRDefault="00731B3F" w:rsidP="002D507E">
      <w:pPr>
        <w:pStyle w:val="BodyText"/>
        <w:numPr>
          <w:ilvl w:val="0"/>
          <w:numId w:val="20"/>
        </w:numPr>
        <w:tabs>
          <w:tab w:val="clear" w:pos="2520"/>
          <w:tab w:val="num" w:pos="540"/>
        </w:tabs>
        <w:spacing w:line="240" w:lineRule="auto"/>
        <w:ind w:left="540" w:hanging="540"/>
        <w:jc w:val="left"/>
        <w:rPr>
          <w:sz w:val="22"/>
          <w:szCs w:val="22"/>
          <w:lang w:val="pl-PL"/>
        </w:rPr>
      </w:pPr>
      <w:r w:rsidRPr="009353E6">
        <w:rPr>
          <w:sz w:val="22"/>
          <w:szCs w:val="22"/>
          <w:lang w:val="pl-PL"/>
        </w:rPr>
        <w:t>leki</w:t>
      </w:r>
      <w:r w:rsidR="00EE347E" w:rsidRPr="009353E6">
        <w:rPr>
          <w:sz w:val="22"/>
          <w:szCs w:val="22"/>
          <w:lang w:val="pl-PL"/>
        </w:rPr>
        <w:t xml:space="preserve"> </w:t>
      </w:r>
      <w:r w:rsidR="00204221" w:rsidRPr="009353E6">
        <w:rPr>
          <w:sz w:val="22"/>
          <w:szCs w:val="22"/>
          <w:lang w:val="pl-PL"/>
        </w:rPr>
        <w:t>przeciwarytmiczne klasy III (np. amiodaron, sotalol, dofetilid, ibutilid)</w:t>
      </w:r>
      <w:r w:rsidRPr="009353E6">
        <w:rPr>
          <w:sz w:val="22"/>
          <w:szCs w:val="22"/>
          <w:lang w:val="pl-PL"/>
        </w:rPr>
        <w:t>;</w:t>
      </w:r>
    </w:p>
    <w:p w:rsidR="00204221" w:rsidRPr="009353E6" w:rsidRDefault="00204221" w:rsidP="00252870">
      <w:pPr>
        <w:pStyle w:val="BodyText"/>
        <w:numPr>
          <w:ilvl w:val="0"/>
          <w:numId w:val="20"/>
        </w:numPr>
        <w:tabs>
          <w:tab w:val="clear" w:pos="2520"/>
          <w:tab w:val="num" w:pos="540"/>
        </w:tabs>
        <w:spacing w:line="240" w:lineRule="auto"/>
        <w:ind w:left="540" w:hanging="540"/>
        <w:jc w:val="left"/>
        <w:rPr>
          <w:sz w:val="22"/>
          <w:szCs w:val="22"/>
          <w:lang w:val="pl-PL"/>
        </w:rPr>
      </w:pPr>
      <w:r w:rsidRPr="009353E6">
        <w:rPr>
          <w:sz w:val="22"/>
          <w:szCs w:val="22"/>
          <w:lang w:val="pl-PL"/>
        </w:rPr>
        <w:t xml:space="preserve">niektóre </w:t>
      </w:r>
      <w:r w:rsidR="00731B3F" w:rsidRPr="009353E6">
        <w:rPr>
          <w:sz w:val="22"/>
          <w:szCs w:val="22"/>
          <w:lang w:val="pl-PL"/>
        </w:rPr>
        <w:t xml:space="preserve">leki </w:t>
      </w:r>
      <w:r w:rsidRPr="009353E6">
        <w:rPr>
          <w:sz w:val="22"/>
          <w:szCs w:val="22"/>
          <w:lang w:val="pl-PL"/>
        </w:rPr>
        <w:t>przeciwpsychotyczne: (np. tiorydazyna, chlor</w:t>
      </w:r>
      <w:r w:rsidR="00D65C2F" w:rsidRPr="009353E6">
        <w:rPr>
          <w:sz w:val="22"/>
          <w:szCs w:val="22"/>
          <w:lang w:val="pl-PL"/>
        </w:rPr>
        <w:t>o</w:t>
      </w:r>
      <w:r w:rsidRPr="009353E6">
        <w:rPr>
          <w:sz w:val="22"/>
          <w:szCs w:val="22"/>
          <w:lang w:val="pl-PL"/>
        </w:rPr>
        <w:t>promazyna, lewomepromazyna, trifluperazyna, cyjamemazyna, sulpiryd, sultopryd, amisulpryd, tiapryd, pimozyd, haloperydol, droperydol)</w:t>
      </w:r>
      <w:r w:rsidR="00731B3F" w:rsidRPr="009353E6">
        <w:rPr>
          <w:sz w:val="22"/>
          <w:szCs w:val="22"/>
          <w:lang w:val="pl-PL"/>
        </w:rPr>
        <w:t xml:space="preserve">; </w:t>
      </w:r>
    </w:p>
    <w:p w:rsidR="00204221" w:rsidRPr="009353E6" w:rsidRDefault="00204221" w:rsidP="002D507E">
      <w:pPr>
        <w:pStyle w:val="BodyText"/>
        <w:numPr>
          <w:ilvl w:val="0"/>
          <w:numId w:val="20"/>
        </w:numPr>
        <w:tabs>
          <w:tab w:val="clear" w:pos="2520"/>
          <w:tab w:val="num" w:pos="540"/>
        </w:tabs>
        <w:spacing w:line="240" w:lineRule="auto"/>
        <w:ind w:left="540" w:hanging="540"/>
        <w:jc w:val="left"/>
        <w:rPr>
          <w:sz w:val="22"/>
          <w:szCs w:val="22"/>
          <w:lang w:val="pl-PL"/>
        </w:rPr>
      </w:pPr>
      <w:r w:rsidRPr="009353E6">
        <w:rPr>
          <w:sz w:val="22"/>
          <w:szCs w:val="22"/>
          <w:lang w:val="pl-PL"/>
        </w:rPr>
        <w:t xml:space="preserve">inne </w:t>
      </w:r>
      <w:r w:rsidR="004D1DB3" w:rsidRPr="009353E6">
        <w:rPr>
          <w:sz w:val="22"/>
          <w:szCs w:val="22"/>
          <w:lang w:val="pl-PL"/>
        </w:rPr>
        <w:t xml:space="preserve">leki </w:t>
      </w:r>
      <w:r w:rsidRPr="009353E6">
        <w:rPr>
          <w:sz w:val="22"/>
          <w:szCs w:val="22"/>
          <w:lang w:val="pl-PL"/>
        </w:rPr>
        <w:t>(np. beprydyl, cyzapryd, difemanil, erytromycyna iv., halofantryna, mizolastyna, pentamidyna, sparfloksacyna, terfenadyna, winkamina iv.).</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Glikozydy naparstnicy</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Wywołana tiazydami hipokaliemia lub hipomagnezemia sprzyja powstawaniu arytmii serca wywołanej glikozydami naparstnicy (patrz punkt 4.4).</w:t>
      </w:r>
    </w:p>
    <w:p w:rsidR="00A951A7" w:rsidRPr="009353E6" w:rsidRDefault="00A951A7" w:rsidP="00A951A7">
      <w:pPr>
        <w:rPr>
          <w:rStyle w:val="hps"/>
          <w:i/>
          <w:sz w:val="22"/>
          <w:szCs w:val="22"/>
          <w:lang w:val="pl-PL"/>
        </w:rPr>
      </w:pPr>
    </w:p>
    <w:p w:rsidR="00A50023" w:rsidRPr="009353E6" w:rsidRDefault="00A50023" w:rsidP="004A0B9E">
      <w:pPr>
        <w:keepNext/>
        <w:rPr>
          <w:rStyle w:val="hps"/>
          <w:sz w:val="22"/>
          <w:szCs w:val="22"/>
          <w:u w:val="single"/>
          <w:lang w:val="pl-PL"/>
        </w:rPr>
      </w:pPr>
      <w:r w:rsidRPr="009353E6">
        <w:rPr>
          <w:rStyle w:val="hps"/>
          <w:sz w:val="22"/>
          <w:szCs w:val="22"/>
          <w:u w:val="single"/>
          <w:lang w:val="pl-PL"/>
        </w:rPr>
        <w:t>Digoksyna</w:t>
      </w:r>
    </w:p>
    <w:p w:rsidR="00A50023" w:rsidRPr="009353E6" w:rsidRDefault="00A50023" w:rsidP="004A0B9E">
      <w:pPr>
        <w:keepNext/>
        <w:rPr>
          <w:rStyle w:val="hps"/>
          <w:sz w:val="22"/>
          <w:szCs w:val="22"/>
          <w:lang w:val="pl-PL"/>
        </w:rPr>
      </w:pPr>
    </w:p>
    <w:p w:rsidR="0028667A" w:rsidRPr="009353E6" w:rsidRDefault="0028667A" w:rsidP="0028667A">
      <w:pPr>
        <w:rPr>
          <w:rStyle w:val="hps"/>
          <w:sz w:val="22"/>
          <w:szCs w:val="22"/>
          <w:lang w:val="pl-PL"/>
        </w:rPr>
      </w:pPr>
      <w:r w:rsidRPr="009353E6">
        <w:rPr>
          <w:rStyle w:val="hps"/>
          <w:sz w:val="22"/>
          <w:szCs w:val="22"/>
          <w:lang w:val="pl-PL"/>
        </w:rPr>
        <w:t>Obserwowano wzrost mediany maksymalnego stężenia digoksyny w osoczu (49%) i stężenia minimalnego (20%) gdy podawano telmisartan jednocześnie z digoksyną, Podczas rozpoczynania, dostosowywania dawki i kończenia leczenia telmisartanem należy monitorować stężenie digoksyny w celu utrzymania w zakresie terapeutycznym.</w:t>
      </w:r>
    </w:p>
    <w:p w:rsidR="00204221" w:rsidRPr="009353E6" w:rsidRDefault="00204221" w:rsidP="000D5BED">
      <w:pPr>
        <w:pStyle w:val="BodyText"/>
        <w:spacing w:line="240" w:lineRule="auto"/>
        <w:jc w:val="left"/>
        <w:rPr>
          <w:sz w:val="22"/>
          <w:szCs w:val="22"/>
          <w:lang w:val="pl-PL"/>
        </w:rPr>
      </w:pPr>
    </w:p>
    <w:p w:rsidR="00B36BA6" w:rsidRPr="009353E6" w:rsidRDefault="00204221" w:rsidP="004A0B9E">
      <w:pPr>
        <w:pStyle w:val="BodyText"/>
        <w:keepNext/>
        <w:spacing w:line="240" w:lineRule="auto"/>
        <w:jc w:val="left"/>
        <w:rPr>
          <w:sz w:val="22"/>
          <w:szCs w:val="22"/>
          <w:lang w:val="pl-PL"/>
        </w:rPr>
      </w:pPr>
      <w:r w:rsidRPr="009353E6">
        <w:rPr>
          <w:sz w:val="22"/>
          <w:szCs w:val="22"/>
          <w:u w:val="single"/>
          <w:lang w:val="pl-PL"/>
        </w:rPr>
        <w:t>Inne środki przeciwnadciśnieniowe</w:t>
      </w:r>
    </w:p>
    <w:p w:rsidR="00B36BA6" w:rsidRPr="009353E6" w:rsidRDefault="00B36BA6" w:rsidP="004A0B9E">
      <w:pPr>
        <w:pStyle w:val="BodyText"/>
        <w:keepN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Telmisartan może nasilać działanie hipotensyjne innych leków przeciwnadciśnieniowych.</w:t>
      </w:r>
    </w:p>
    <w:p w:rsidR="00204221" w:rsidRPr="009353E6" w:rsidRDefault="00204221" w:rsidP="000D5BED">
      <w:pPr>
        <w:pStyle w:val="BodyText"/>
        <w:spacing w:line="240" w:lineRule="auto"/>
        <w:jc w:val="left"/>
        <w:rPr>
          <w:sz w:val="22"/>
          <w:szCs w:val="22"/>
          <w:lang w:val="pl-PL"/>
        </w:rPr>
      </w:pPr>
    </w:p>
    <w:p w:rsidR="0064332F" w:rsidRPr="009353E6" w:rsidRDefault="0064332F" w:rsidP="0064332F">
      <w:pPr>
        <w:rPr>
          <w:sz w:val="22"/>
          <w:szCs w:val="22"/>
          <w:lang w:val="pl-PL"/>
        </w:rPr>
      </w:pPr>
      <w:r w:rsidRPr="009353E6">
        <w:rPr>
          <w:sz w:val="22"/>
          <w:szCs w:val="22"/>
          <w:lang w:val="pl-PL"/>
        </w:rPr>
        <w:t>Dane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64332F" w:rsidRPr="009353E6" w:rsidRDefault="0064332F" w:rsidP="000D5BED">
      <w:pPr>
        <w:pStyle w:val="BodyText"/>
        <w:spacing w:line="240" w:lineRule="auto"/>
        <w:jc w:val="left"/>
        <w:rPr>
          <w:b/>
          <w:sz w:val="22"/>
          <w:szCs w:val="22"/>
          <w:lang w:val="pl-PL"/>
        </w:rPr>
      </w:pPr>
    </w:p>
    <w:p w:rsidR="00B36BA6" w:rsidRPr="009353E6" w:rsidRDefault="004D1DB3" w:rsidP="000D5BED">
      <w:pPr>
        <w:pStyle w:val="BodyText"/>
        <w:spacing w:line="240" w:lineRule="auto"/>
        <w:jc w:val="left"/>
        <w:rPr>
          <w:sz w:val="22"/>
          <w:szCs w:val="22"/>
          <w:u w:val="single"/>
          <w:lang w:val="pl-PL"/>
        </w:rPr>
      </w:pPr>
      <w:r w:rsidRPr="009353E6">
        <w:rPr>
          <w:sz w:val="22"/>
          <w:szCs w:val="22"/>
          <w:u w:val="single"/>
          <w:lang w:val="pl-PL"/>
        </w:rPr>
        <w:t>Produkty lecznicze</w:t>
      </w:r>
      <w:r w:rsidR="00204221" w:rsidRPr="009353E6">
        <w:rPr>
          <w:sz w:val="22"/>
          <w:szCs w:val="22"/>
          <w:u w:val="single"/>
          <w:lang w:val="pl-PL"/>
        </w:rPr>
        <w:t xml:space="preserve"> przeciwcukrzycowe (</w:t>
      </w:r>
      <w:r w:rsidR="00F710F6" w:rsidRPr="009353E6">
        <w:rPr>
          <w:sz w:val="22"/>
          <w:szCs w:val="22"/>
          <w:u w:val="single"/>
          <w:lang w:val="pl-PL"/>
        </w:rPr>
        <w:t>produkt</w:t>
      </w:r>
      <w:r w:rsidR="00EE347E" w:rsidRPr="009353E6">
        <w:rPr>
          <w:sz w:val="22"/>
          <w:szCs w:val="22"/>
          <w:u w:val="single"/>
          <w:lang w:val="pl-PL"/>
        </w:rPr>
        <w:t xml:space="preserve">y </w:t>
      </w:r>
      <w:r w:rsidR="00204221" w:rsidRPr="009353E6">
        <w:rPr>
          <w:sz w:val="22"/>
          <w:szCs w:val="22"/>
          <w:u w:val="single"/>
          <w:lang w:val="pl-PL"/>
        </w:rPr>
        <w:t>doustne i insulina)</w:t>
      </w:r>
    </w:p>
    <w:p w:rsidR="00B36BA6" w:rsidRPr="009353E6" w:rsidRDefault="00B36BA6"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Może być konieczne dostosowanie dawki </w:t>
      </w:r>
      <w:r w:rsidR="004D1DB3" w:rsidRPr="009353E6">
        <w:rPr>
          <w:sz w:val="22"/>
          <w:szCs w:val="22"/>
          <w:lang w:val="pl-PL"/>
        </w:rPr>
        <w:t xml:space="preserve">leków </w:t>
      </w:r>
      <w:r w:rsidRPr="009353E6">
        <w:rPr>
          <w:sz w:val="22"/>
          <w:szCs w:val="22"/>
          <w:lang w:val="pl-PL"/>
        </w:rPr>
        <w:t>przeciwcukrzycowych (patrz punkt 4.4).</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Metformina</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Metformina powinna być ostrożnie stosowana: istnieje ryzyko kwasicy mleczanowej z</w:t>
      </w:r>
      <w:r w:rsidR="0024500F" w:rsidRPr="009353E6">
        <w:rPr>
          <w:sz w:val="22"/>
          <w:szCs w:val="22"/>
          <w:lang w:val="pl-PL"/>
        </w:rPr>
        <w:t> </w:t>
      </w:r>
      <w:r w:rsidRPr="009353E6">
        <w:rPr>
          <w:sz w:val="22"/>
          <w:szCs w:val="22"/>
          <w:lang w:val="pl-PL"/>
        </w:rPr>
        <w:t>powodu potencjalnej niewydolności nerek wywołanej przez hydrochlorotiazyd.</w:t>
      </w:r>
    </w:p>
    <w:p w:rsidR="00204221" w:rsidRPr="009353E6" w:rsidRDefault="00204221" w:rsidP="000D5BED">
      <w:pPr>
        <w:pStyle w:val="BodyText"/>
        <w:spacing w:line="240" w:lineRule="auto"/>
        <w:jc w:val="left"/>
        <w:rPr>
          <w:sz w:val="22"/>
          <w:szCs w:val="22"/>
          <w:lang w:val="pl-PL"/>
        </w:rPr>
      </w:pPr>
    </w:p>
    <w:p w:rsidR="00B36BA6" w:rsidRPr="009353E6" w:rsidRDefault="00F710F6" w:rsidP="000D5BED">
      <w:pPr>
        <w:pStyle w:val="BodyText"/>
        <w:spacing w:line="240" w:lineRule="auto"/>
        <w:jc w:val="left"/>
        <w:rPr>
          <w:sz w:val="22"/>
          <w:szCs w:val="22"/>
          <w:lang w:val="pl-PL"/>
        </w:rPr>
      </w:pPr>
      <w:r w:rsidRPr="009353E6">
        <w:rPr>
          <w:sz w:val="22"/>
          <w:szCs w:val="22"/>
          <w:u w:val="single"/>
          <w:lang w:val="pl-PL"/>
        </w:rPr>
        <w:t>K</w:t>
      </w:r>
      <w:r w:rsidR="00204221" w:rsidRPr="009353E6">
        <w:rPr>
          <w:sz w:val="22"/>
          <w:szCs w:val="22"/>
          <w:u w:val="single"/>
          <w:lang w:val="pl-PL"/>
        </w:rPr>
        <w:t>olestyramina i kolestypol</w:t>
      </w:r>
      <w:r w:rsidRPr="009353E6">
        <w:rPr>
          <w:sz w:val="22"/>
          <w:szCs w:val="22"/>
          <w:u w:val="single"/>
          <w:lang w:val="pl-PL"/>
        </w:rPr>
        <w:t xml:space="preserve"> (żywice)</w:t>
      </w:r>
    </w:p>
    <w:p w:rsidR="00B36BA6" w:rsidRPr="009353E6" w:rsidRDefault="00B36BA6" w:rsidP="000D5BED">
      <w:pPr>
        <w:pStyle w:val="BodyText"/>
        <w:spacing w:line="240" w:lineRule="auto"/>
        <w:jc w:val="left"/>
        <w:rPr>
          <w:sz w:val="22"/>
          <w:szCs w:val="22"/>
          <w:lang w:val="pl-PL"/>
        </w:rPr>
      </w:pPr>
    </w:p>
    <w:p w:rsidR="00204221" w:rsidRPr="009353E6" w:rsidRDefault="00B36BA6" w:rsidP="000D5BED">
      <w:pPr>
        <w:pStyle w:val="BodyText"/>
        <w:spacing w:line="240" w:lineRule="auto"/>
        <w:jc w:val="left"/>
        <w:rPr>
          <w:sz w:val="22"/>
          <w:szCs w:val="22"/>
          <w:lang w:val="pl-PL"/>
        </w:rPr>
      </w:pPr>
      <w:r w:rsidRPr="009353E6">
        <w:rPr>
          <w:sz w:val="22"/>
          <w:szCs w:val="22"/>
          <w:lang w:val="pl-PL"/>
        </w:rPr>
        <w:t>W</w:t>
      </w:r>
      <w:r w:rsidR="00204221" w:rsidRPr="009353E6">
        <w:rPr>
          <w:sz w:val="22"/>
          <w:szCs w:val="22"/>
          <w:lang w:val="pl-PL"/>
        </w:rPr>
        <w:t>chłanianie hydrochlorotiazydu jest zaburzone w obecności żywic wymieniających aniony.</w:t>
      </w:r>
    </w:p>
    <w:p w:rsidR="00204221" w:rsidRPr="009353E6" w:rsidRDefault="00204221" w:rsidP="000D5BED">
      <w:pPr>
        <w:pStyle w:val="BodyText"/>
        <w:spacing w:line="240" w:lineRule="auto"/>
        <w:jc w:val="left"/>
        <w:rPr>
          <w:sz w:val="22"/>
          <w:szCs w:val="22"/>
          <w:u w:val="single"/>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 xml:space="preserve">Niesteroidowe </w:t>
      </w:r>
      <w:r w:rsidR="004D1DB3" w:rsidRPr="009353E6">
        <w:rPr>
          <w:sz w:val="22"/>
          <w:szCs w:val="22"/>
          <w:u w:val="single"/>
          <w:lang w:val="pl-PL"/>
        </w:rPr>
        <w:t xml:space="preserve">leki </w:t>
      </w:r>
      <w:r w:rsidRPr="009353E6">
        <w:rPr>
          <w:sz w:val="22"/>
          <w:szCs w:val="22"/>
          <w:u w:val="single"/>
          <w:lang w:val="pl-PL"/>
        </w:rPr>
        <w:t>przeciwzapalne</w:t>
      </w:r>
    </w:p>
    <w:p w:rsidR="00B36BA6" w:rsidRPr="009353E6" w:rsidRDefault="00B36BA6" w:rsidP="000D5BED">
      <w:pPr>
        <w:pStyle w:val="BodyText"/>
        <w:spacing w:line="240" w:lineRule="auto"/>
        <w:jc w:val="left"/>
        <w:rPr>
          <w:sz w:val="22"/>
          <w:szCs w:val="22"/>
          <w:lang w:val="pl-PL"/>
        </w:rPr>
      </w:pPr>
    </w:p>
    <w:p w:rsidR="00252870" w:rsidRPr="009353E6" w:rsidRDefault="00204221" w:rsidP="000D5BED">
      <w:pPr>
        <w:pStyle w:val="BodyText"/>
        <w:spacing w:line="240" w:lineRule="auto"/>
        <w:jc w:val="left"/>
        <w:rPr>
          <w:sz w:val="22"/>
          <w:szCs w:val="22"/>
          <w:lang w:val="pl-PL"/>
        </w:rPr>
      </w:pPr>
      <w:r w:rsidRPr="009353E6">
        <w:rPr>
          <w:sz w:val="22"/>
          <w:szCs w:val="22"/>
          <w:lang w:val="pl-PL"/>
        </w:rPr>
        <w:t>NLPZ (tj. kwas acetylosalicylowy w dawkach o działaniu przeciwzapalnym, inhibitory COX-2 i nieselektywne NLPZ) mogą zmniejszać działanie diuretyczne, natriuretyczne i przeciwnadciśnieniowe diuretyków tiazydowych i antagonistów</w:t>
      </w:r>
      <w:r w:rsidR="00F10629" w:rsidRPr="009353E6">
        <w:rPr>
          <w:sz w:val="22"/>
          <w:szCs w:val="22"/>
          <w:lang w:val="pl-PL"/>
        </w:rPr>
        <w:t xml:space="preserve"> receptora</w:t>
      </w:r>
      <w:r w:rsidRPr="009353E6">
        <w:rPr>
          <w:sz w:val="22"/>
          <w:szCs w:val="22"/>
          <w:lang w:val="pl-PL"/>
        </w:rPr>
        <w:t xml:space="preserve"> angiotensymy II. U niektórych pacjentów z zaburzoną czynnością nerek (np. pacjenci odwodnieni lub pacjenci w podeszłym wieku z zaburzeniami czynności nerek) jednoczesne podanie antagonistów </w:t>
      </w:r>
      <w:r w:rsidR="00F10629" w:rsidRPr="009353E6">
        <w:rPr>
          <w:sz w:val="22"/>
          <w:szCs w:val="22"/>
          <w:lang w:val="pl-PL"/>
        </w:rPr>
        <w:t xml:space="preserve">receptora </w:t>
      </w:r>
      <w:r w:rsidRPr="009353E6">
        <w:rPr>
          <w:sz w:val="22"/>
          <w:szCs w:val="22"/>
          <w:lang w:val="pl-PL"/>
        </w:rPr>
        <w:t>angiotensyny II i środków hamujących cyklooksygenazę może powodować dalsze zaburzenie czynności nerek, w tym ostrą niewydolność nerek, która jest zwykle stanem odwracalnym. Dlatego takie skojarzenie leków powinno być stosowane z dużą ostrożnością, szczególnie u osób w</w:t>
      </w:r>
      <w:r w:rsidR="0024500F" w:rsidRPr="009353E6">
        <w:rPr>
          <w:sz w:val="22"/>
          <w:szCs w:val="22"/>
          <w:lang w:val="pl-PL"/>
        </w:rPr>
        <w:t> </w:t>
      </w:r>
      <w:r w:rsidRPr="009353E6">
        <w:rPr>
          <w:sz w:val="22"/>
          <w:szCs w:val="22"/>
          <w:lang w:val="pl-PL"/>
        </w:rPr>
        <w:t xml:space="preserve">podeszłym wieku. Pacjenci powinni być odpowiednio nawodnieni, należy również rozważyć konieczność monitorowania czynności nerek po rozpoczęciu terapii towarzyszącej, a później okresowo. </w:t>
      </w:r>
    </w:p>
    <w:p w:rsidR="00253C34" w:rsidRPr="009353E6" w:rsidRDefault="00253C34" w:rsidP="00253C34">
      <w:pPr>
        <w:rPr>
          <w:sz w:val="22"/>
          <w:szCs w:val="22"/>
          <w:lang w:val="pl-PL"/>
        </w:rPr>
      </w:pPr>
    </w:p>
    <w:p w:rsidR="00397A74" w:rsidRPr="009353E6" w:rsidRDefault="00397A74" w:rsidP="00397A74">
      <w:pPr>
        <w:rPr>
          <w:sz w:val="22"/>
          <w:szCs w:val="22"/>
          <w:lang w:val="pl-PL"/>
        </w:rPr>
      </w:pPr>
      <w:r w:rsidRPr="009353E6">
        <w:rPr>
          <w:sz w:val="22"/>
          <w:szCs w:val="22"/>
          <w:lang w:val="pl-PL"/>
        </w:rPr>
        <w:t>W jednym badaniu jednoczesne podawanie telmisartanu i ramiprylu spowodowało 2,5-krotne zwiększenie AUC</w:t>
      </w:r>
      <w:r w:rsidRPr="009353E6">
        <w:rPr>
          <w:sz w:val="22"/>
          <w:szCs w:val="22"/>
          <w:vertAlign w:val="subscript"/>
          <w:lang w:val="pl-PL"/>
        </w:rPr>
        <w:t xml:space="preserve">0-24  </w:t>
      </w:r>
      <w:r w:rsidRPr="009353E6">
        <w:rPr>
          <w:sz w:val="22"/>
          <w:szCs w:val="22"/>
          <w:lang w:val="pl-PL"/>
        </w:rPr>
        <w:t>i C</w:t>
      </w:r>
      <w:r w:rsidRPr="009353E6">
        <w:rPr>
          <w:sz w:val="22"/>
          <w:szCs w:val="22"/>
          <w:vertAlign w:val="subscript"/>
          <w:lang w:val="pl-PL"/>
        </w:rPr>
        <w:t xml:space="preserve">max  </w:t>
      </w:r>
      <w:r w:rsidRPr="009353E6">
        <w:rPr>
          <w:sz w:val="22"/>
          <w:szCs w:val="22"/>
          <w:lang w:val="pl-PL"/>
        </w:rPr>
        <w:t>ramiprylu i ramiprylatu. Znaczenie kliniczne tej obserwacji jest nieznane.</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Aminy presyjne</w:t>
      </w:r>
      <w:r w:rsidRPr="009353E6">
        <w:rPr>
          <w:sz w:val="22"/>
          <w:szCs w:val="22"/>
          <w:lang w:val="pl-PL"/>
        </w:rPr>
        <w:t xml:space="preserve"> (np. noradrenalina)</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Ich działanie może być osłabione.</w:t>
      </w:r>
    </w:p>
    <w:p w:rsidR="0064332F" w:rsidRPr="009353E6" w:rsidRDefault="0064332F"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Niedepolaryzujące środki zwiotczające mięśnie szkieletowe (np. tubokuraryna)</w:t>
      </w:r>
    </w:p>
    <w:p w:rsidR="00B36BA6" w:rsidRPr="009353E6" w:rsidRDefault="00B36BA6"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Działanie niedepolaryzujących środków zwiotczających mięśnie szkieletowe może być nasilone przez hydrochlorotiazyd.</w:t>
      </w:r>
    </w:p>
    <w:p w:rsidR="00204221" w:rsidRPr="009353E6" w:rsidRDefault="00204221" w:rsidP="000D5BED">
      <w:pPr>
        <w:pStyle w:val="BodyText"/>
        <w:spacing w:line="240" w:lineRule="auto"/>
        <w:jc w:val="left"/>
        <w:rPr>
          <w:sz w:val="22"/>
          <w:szCs w:val="22"/>
          <w:lang w:val="pl-PL"/>
        </w:rPr>
      </w:pPr>
    </w:p>
    <w:p w:rsidR="00B36BA6" w:rsidRPr="009353E6" w:rsidRDefault="00204221" w:rsidP="004A0B9E">
      <w:pPr>
        <w:pStyle w:val="BodyText"/>
        <w:keepNext/>
        <w:spacing w:line="240" w:lineRule="auto"/>
        <w:jc w:val="left"/>
        <w:rPr>
          <w:sz w:val="22"/>
          <w:szCs w:val="22"/>
          <w:lang w:val="pl-PL"/>
        </w:rPr>
      </w:pPr>
      <w:r w:rsidRPr="009353E6">
        <w:rPr>
          <w:sz w:val="22"/>
          <w:szCs w:val="22"/>
          <w:u w:val="single"/>
          <w:lang w:val="pl-PL"/>
        </w:rPr>
        <w:t>Produkty lecznicze stosowane w dnie (np. probenecyd, sulfinpyrazon i allopurynol</w:t>
      </w:r>
      <w:r w:rsidRPr="009353E6">
        <w:rPr>
          <w:sz w:val="22"/>
          <w:szCs w:val="22"/>
          <w:lang w:val="pl-PL"/>
        </w:rPr>
        <w:t>)</w:t>
      </w:r>
    </w:p>
    <w:p w:rsidR="00B36BA6" w:rsidRPr="009353E6" w:rsidRDefault="00B36BA6" w:rsidP="004A0B9E">
      <w:pPr>
        <w:pStyle w:val="BodyText"/>
        <w:keepN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Może okazać się konieczne dostosowanie dawki leków zwiększających wydalanie kwasu moczowego z moczem, ponieważ hydrochlorotiazyd może zwiększyć stężenie kwasu moczowego w surowicy. Może okazać się konieczne zwiększenie dawki probenecydu lub sulfinpyrazonu. Jednoczesne podawanie tiazydu może zwiększyć częstość występowania reakcji nadwrażliwości na allopurynol.</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Sole wapnia</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Diuretyki tiazydowe mogą zwiększyć stężenie wapnia w surowicy w związku z jego zmniejszonym wydalaniem. Jeśli zajdzie potrzeba stosowania suplementów wapnia</w:t>
      </w:r>
      <w:r w:rsidR="00AB79CE" w:rsidRPr="009353E6">
        <w:rPr>
          <w:sz w:val="22"/>
          <w:szCs w:val="22"/>
          <w:lang w:val="pl-PL"/>
        </w:rPr>
        <w:t xml:space="preserve"> lub produktów leczniczych oszczędzając</w:t>
      </w:r>
      <w:r w:rsidR="00533F51" w:rsidRPr="009353E6">
        <w:rPr>
          <w:sz w:val="22"/>
          <w:szCs w:val="22"/>
          <w:lang w:val="pl-PL"/>
        </w:rPr>
        <w:t>ych wapń (np. leczenie w</w:t>
      </w:r>
      <w:r w:rsidR="00AB79CE" w:rsidRPr="009353E6">
        <w:rPr>
          <w:sz w:val="22"/>
          <w:szCs w:val="22"/>
          <w:lang w:val="pl-PL"/>
        </w:rPr>
        <w:t>itaminą D)</w:t>
      </w:r>
      <w:r w:rsidRPr="009353E6">
        <w:rPr>
          <w:sz w:val="22"/>
          <w:szCs w:val="22"/>
          <w:lang w:val="pl-PL"/>
        </w:rPr>
        <w:t>, należy monitorować stężenie wapnia w surowicy i odpowiednio dostosować dawkę wapnia.</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Beta-adrenolityki i diazoksyd</w:t>
      </w:r>
    </w:p>
    <w:p w:rsidR="00B36BA6" w:rsidRPr="009353E6" w:rsidRDefault="00B36BA6"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Tiazydy mogą zwiększyć działanie hiperglikemizujące beta-adrenolityków i diazoksydu.</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Środki antycholinergiczne (np. atropina, biperyden)</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Mogą zwiększyć biodostępność diuretyków tiazydowych poprzez zmniejszenie perystaltyki jelit i zmniejszenie współczynnika opróżniania żołądka.</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u w:val="single"/>
          <w:lang w:val="pl-PL"/>
        </w:rPr>
      </w:pPr>
      <w:r w:rsidRPr="009353E6">
        <w:rPr>
          <w:sz w:val="22"/>
          <w:szCs w:val="22"/>
          <w:u w:val="single"/>
          <w:lang w:val="pl-PL"/>
        </w:rPr>
        <w:t>Amantadyna</w:t>
      </w:r>
    </w:p>
    <w:p w:rsidR="00B36BA6" w:rsidRPr="009353E6" w:rsidRDefault="00B36BA6" w:rsidP="000D5BED">
      <w:pPr>
        <w:pStyle w:val="BodyText"/>
        <w:spacing w:line="240" w:lineRule="auto"/>
        <w:jc w:val="left"/>
        <w:rPr>
          <w:sz w:val="22"/>
          <w:szCs w:val="22"/>
          <w:u w:val="single"/>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Tiazydy zwiększają ryzyko wystąpienia objawów niepożądanych wywoływanych przez amantadynę.</w:t>
      </w:r>
    </w:p>
    <w:p w:rsidR="00204221" w:rsidRPr="009353E6" w:rsidRDefault="00204221" w:rsidP="000D5BED">
      <w:pPr>
        <w:pStyle w:val="BodyText"/>
        <w:spacing w:line="240" w:lineRule="auto"/>
        <w:jc w:val="left"/>
        <w:rPr>
          <w:sz w:val="22"/>
          <w:szCs w:val="22"/>
          <w:lang w:val="pl-PL"/>
        </w:rPr>
      </w:pPr>
    </w:p>
    <w:p w:rsidR="00B36BA6" w:rsidRPr="009353E6" w:rsidRDefault="00204221" w:rsidP="000D5BED">
      <w:pPr>
        <w:pStyle w:val="BodyText"/>
        <w:spacing w:line="240" w:lineRule="auto"/>
        <w:jc w:val="left"/>
        <w:rPr>
          <w:sz w:val="22"/>
          <w:szCs w:val="22"/>
          <w:lang w:val="pl-PL"/>
        </w:rPr>
      </w:pPr>
      <w:r w:rsidRPr="009353E6">
        <w:rPr>
          <w:sz w:val="22"/>
          <w:szCs w:val="22"/>
          <w:u w:val="single"/>
          <w:lang w:val="pl-PL"/>
        </w:rPr>
        <w:t>Środki cytotoksyczne: (</w:t>
      </w:r>
      <w:r w:rsidRPr="009353E6">
        <w:rPr>
          <w:sz w:val="22"/>
          <w:szCs w:val="22"/>
          <w:lang w:val="pl-PL"/>
        </w:rPr>
        <w:t>np. cyklofosfamid, metotreksat)</w:t>
      </w:r>
    </w:p>
    <w:p w:rsidR="00B36BA6" w:rsidRPr="009353E6" w:rsidRDefault="00B36BA6"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Tiazydy mogą zmniejszyć wydalanie nerkowe cytotoksycznych </w:t>
      </w:r>
      <w:r w:rsidR="004D1DB3" w:rsidRPr="009353E6">
        <w:rPr>
          <w:sz w:val="22"/>
          <w:szCs w:val="22"/>
          <w:lang w:val="pl-PL"/>
        </w:rPr>
        <w:t xml:space="preserve">produktów leczniczych </w:t>
      </w:r>
      <w:r w:rsidRPr="009353E6">
        <w:rPr>
          <w:sz w:val="22"/>
          <w:szCs w:val="22"/>
          <w:lang w:val="pl-PL"/>
        </w:rPr>
        <w:t>i nasilić ich hamujące działanie na czynność szpiku.</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Można oczekiwać, że ze względu na farmakologiczne właściwości, następujące </w:t>
      </w:r>
      <w:r w:rsidR="004D1DB3" w:rsidRPr="009353E6">
        <w:rPr>
          <w:sz w:val="22"/>
          <w:szCs w:val="22"/>
          <w:lang w:val="pl-PL"/>
        </w:rPr>
        <w:t xml:space="preserve">produkty lecznicze </w:t>
      </w:r>
      <w:r w:rsidRPr="009353E6">
        <w:rPr>
          <w:sz w:val="22"/>
          <w:szCs w:val="22"/>
          <w:lang w:val="pl-PL"/>
        </w:rPr>
        <w:t xml:space="preserve">mogą nasilać hipotensyjne </w:t>
      </w:r>
      <w:r w:rsidR="004D1DB3" w:rsidRPr="009353E6">
        <w:rPr>
          <w:sz w:val="22"/>
          <w:szCs w:val="22"/>
          <w:lang w:val="pl-PL"/>
        </w:rPr>
        <w:t xml:space="preserve">działanie wszystkich </w:t>
      </w:r>
      <w:r w:rsidRPr="009353E6">
        <w:rPr>
          <w:sz w:val="22"/>
          <w:szCs w:val="22"/>
          <w:lang w:val="pl-PL"/>
        </w:rPr>
        <w:t>leków przeciwnadciśnieniowych, w tym telmisartanu: baklofen, amifostyna.</w:t>
      </w: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Ponadto, niedociśnienie ortostatyczne może być spotęgowane przez alkohol, barbiturany, opioidowe leki przeciwbólowe lub </w:t>
      </w:r>
      <w:r w:rsidR="004D1DB3" w:rsidRPr="009353E6">
        <w:rPr>
          <w:sz w:val="22"/>
          <w:szCs w:val="22"/>
          <w:lang w:val="pl-PL"/>
        </w:rPr>
        <w:t xml:space="preserve">leki </w:t>
      </w:r>
      <w:r w:rsidRPr="009353E6">
        <w:rPr>
          <w:sz w:val="22"/>
          <w:szCs w:val="22"/>
          <w:lang w:val="pl-PL"/>
        </w:rPr>
        <w:t>przeciwdepresyjne.</w:t>
      </w:r>
    </w:p>
    <w:p w:rsidR="00F710F6" w:rsidRPr="009353E6" w:rsidRDefault="00F710F6" w:rsidP="000D5BED">
      <w:pPr>
        <w:pStyle w:val="BodyText"/>
        <w:spacing w:line="240" w:lineRule="auto"/>
        <w:jc w:val="left"/>
        <w:rPr>
          <w:spacing w:val="-3"/>
          <w:sz w:val="22"/>
          <w:szCs w:val="22"/>
          <w:lang w:val="pl-PL"/>
        </w:rPr>
      </w:pPr>
    </w:p>
    <w:p w:rsidR="00204221" w:rsidRPr="009353E6" w:rsidRDefault="00586E5C" w:rsidP="004A0B9E">
      <w:pPr>
        <w:pStyle w:val="BodyText"/>
        <w:keepNext/>
        <w:tabs>
          <w:tab w:val="left" w:pos="567"/>
        </w:tabs>
        <w:spacing w:line="240" w:lineRule="auto"/>
        <w:jc w:val="left"/>
        <w:rPr>
          <w:b/>
          <w:sz w:val="22"/>
          <w:szCs w:val="22"/>
          <w:lang w:val="pl-PL"/>
        </w:rPr>
      </w:pPr>
      <w:r w:rsidRPr="009353E6">
        <w:rPr>
          <w:b/>
          <w:sz w:val="22"/>
          <w:szCs w:val="22"/>
          <w:lang w:val="pl-PL"/>
        </w:rPr>
        <w:t>4.6</w:t>
      </w:r>
      <w:r w:rsidRPr="009353E6">
        <w:rPr>
          <w:b/>
          <w:sz w:val="22"/>
          <w:szCs w:val="22"/>
          <w:lang w:val="pl-PL"/>
        </w:rPr>
        <w:tab/>
      </w:r>
      <w:r w:rsidR="00DF113D" w:rsidRPr="009353E6">
        <w:rPr>
          <w:b/>
          <w:sz w:val="22"/>
          <w:szCs w:val="22"/>
          <w:lang w:val="pl-PL"/>
        </w:rPr>
        <w:t>Wpływ na płodność, ciążę i laktację</w:t>
      </w:r>
    </w:p>
    <w:p w:rsidR="00204221" w:rsidRPr="009353E6" w:rsidRDefault="00204221" w:rsidP="004A0B9E">
      <w:pPr>
        <w:pStyle w:val="BodyText"/>
        <w:keepNext/>
        <w:spacing w:line="240" w:lineRule="auto"/>
        <w:jc w:val="left"/>
        <w:rPr>
          <w:sz w:val="22"/>
          <w:szCs w:val="22"/>
          <w:lang w:val="pl-PL"/>
        </w:rPr>
      </w:pPr>
    </w:p>
    <w:p w:rsidR="00F10629" w:rsidRPr="009353E6" w:rsidRDefault="00F10629" w:rsidP="004A0B9E">
      <w:pPr>
        <w:pStyle w:val="BodyText"/>
        <w:keepNext/>
        <w:spacing w:line="240" w:lineRule="auto"/>
        <w:jc w:val="left"/>
        <w:rPr>
          <w:sz w:val="22"/>
          <w:szCs w:val="22"/>
          <w:u w:val="single"/>
          <w:lang w:val="pl-PL"/>
        </w:rPr>
      </w:pPr>
      <w:r w:rsidRPr="009353E6">
        <w:rPr>
          <w:sz w:val="22"/>
          <w:szCs w:val="22"/>
          <w:u w:val="single"/>
          <w:lang w:val="pl-PL"/>
        </w:rPr>
        <w:t>Ciąża</w:t>
      </w:r>
    </w:p>
    <w:p w:rsidR="00F10629" w:rsidRPr="009353E6" w:rsidRDefault="00F10629" w:rsidP="004A0B9E">
      <w:pPr>
        <w:pStyle w:val="BodyText"/>
        <w:keepNext/>
        <w:spacing w:line="240" w:lineRule="auto"/>
        <w:jc w:val="left"/>
        <w:rPr>
          <w:sz w:val="22"/>
          <w:szCs w:val="22"/>
          <w:lang w:val="pl-PL"/>
        </w:rPr>
      </w:pPr>
    </w:p>
    <w:p w:rsidR="00917238" w:rsidRPr="009353E6" w:rsidRDefault="00917238" w:rsidP="00586E5C">
      <w:pPr>
        <w:pStyle w:val="BodyText"/>
        <w:pBdr>
          <w:top w:val="single" w:sz="4" w:space="1" w:color="auto"/>
          <w:left w:val="single" w:sz="4" w:space="4" w:color="auto"/>
          <w:bottom w:val="single" w:sz="4" w:space="1" w:color="auto"/>
          <w:right w:val="single" w:sz="4" w:space="4" w:color="auto"/>
        </w:pBdr>
        <w:spacing w:line="240" w:lineRule="auto"/>
        <w:jc w:val="left"/>
        <w:rPr>
          <w:sz w:val="22"/>
          <w:szCs w:val="22"/>
          <w:lang w:val="pl-PL"/>
        </w:rPr>
      </w:pPr>
      <w:r w:rsidRPr="009353E6">
        <w:rPr>
          <w:sz w:val="22"/>
          <w:szCs w:val="22"/>
          <w:lang w:val="pl-PL"/>
        </w:rPr>
        <w:t xml:space="preserve">Nie zaleca się stosowania antagonistów receptora angiotensyny II w pierwszym trymestrze ciąży (patrz punkt 4.4). </w:t>
      </w:r>
      <w:r w:rsidRPr="009353E6">
        <w:rPr>
          <w:i/>
          <w:sz w:val="22"/>
          <w:szCs w:val="22"/>
          <w:lang w:val="pl-PL"/>
        </w:rPr>
        <w:t>S</w:t>
      </w:r>
      <w:r w:rsidRPr="009353E6">
        <w:rPr>
          <w:sz w:val="22"/>
          <w:szCs w:val="22"/>
          <w:lang w:val="pl-PL"/>
        </w:rPr>
        <w:t>tosowanie antagonistów receptora angiotensyny II jest przeciwwskazane</w:t>
      </w:r>
      <w:r w:rsidRPr="009353E6">
        <w:rPr>
          <w:i/>
          <w:sz w:val="22"/>
          <w:szCs w:val="22"/>
          <w:lang w:val="pl-PL"/>
        </w:rPr>
        <w:t xml:space="preserve"> </w:t>
      </w:r>
      <w:r w:rsidRPr="009353E6">
        <w:rPr>
          <w:sz w:val="22"/>
          <w:szCs w:val="22"/>
          <w:lang w:val="pl-PL"/>
        </w:rPr>
        <w:t>w drugim i trzecim trymestrze ciąży (patrz punkty 4.3 i 4.4).</w:t>
      </w:r>
    </w:p>
    <w:p w:rsidR="00F10629" w:rsidRPr="009353E6" w:rsidRDefault="00F10629" w:rsidP="000D5BED">
      <w:pPr>
        <w:pStyle w:val="BodyText"/>
        <w:spacing w:line="240" w:lineRule="auto"/>
        <w:jc w:val="left"/>
        <w:rPr>
          <w:sz w:val="22"/>
          <w:szCs w:val="22"/>
          <w:u w:val="single"/>
          <w:lang w:val="pl-PL"/>
        </w:rPr>
      </w:pPr>
    </w:p>
    <w:p w:rsidR="0021094B" w:rsidRPr="009353E6" w:rsidRDefault="0021094B" w:rsidP="000D5BED">
      <w:pPr>
        <w:pStyle w:val="BodyText"/>
        <w:spacing w:line="240" w:lineRule="auto"/>
        <w:jc w:val="left"/>
        <w:rPr>
          <w:sz w:val="22"/>
          <w:szCs w:val="22"/>
          <w:lang w:val="pl-PL"/>
        </w:rPr>
      </w:pPr>
      <w:r w:rsidRPr="009353E6">
        <w:rPr>
          <w:sz w:val="22"/>
          <w:szCs w:val="22"/>
          <w:lang w:val="pl-PL"/>
        </w:rPr>
        <w:t xml:space="preserve">Brak odpowiednich danych dotyczących stosowania </w:t>
      </w:r>
      <w:r w:rsidR="00F710F6" w:rsidRPr="009353E6">
        <w:rPr>
          <w:sz w:val="22"/>
          <w:szCs w:val="22"/>
          <w:lang w:val="pl-PL"/>
        </w:rPr>
        <w:t>produkt</w:t>
      </w:r>
      <w:r w:rsidRPr="009353E6">
        <w:rPr>
          <w:sz w:val="22"/>
          <w:szCs w:val="22"/>
          <w:lang w:val="pl-PL"/>
        </w:rPr>
        <w:t xml:space="preserve">u MicardisPlus u kobiet w ciąży. Badania przeprowadzone na zwierzętach wykazały toksyczny wpływ na proces rozmnażania się (patrz punkt 5.3). </w:t>
      </w:r>
    </w:p>
    <w:p w:rsidR="0064332F" w:rsidRPr="009353E6" w:rsidRDefault="0064332F" w:rsidP="000D5BED">
      <w:pPr>
        <w:pStyle w:val="BodyText"/>
        <w:spacing w:line="240" w:lineRule="auto"/>
        <w:jc w:val="left"/>
        <w:rPr>
          <w:sz w:val="22"/>
          <w:szCs w:val="22"/>
          <w:lang w:val="pl-PL"/>
        </w:rPr>
      </w:pPr>
    </w:p>
    <w:p w:rsidR="00917238" w:rsidRPr="009353E6" w:rsidRDefault="00917238" w:rsidP="000D5BED">
      <w:pPr>
        <w:pStyle w:val="BodyText"/>
        <w:spacing w:line="240" w:lineRule="auto"/>
        <w:jc w:val="left"/>
        <w:rPr>
          <w:sz w:val="22"/>
          <w:szCs w:val="22"/>
          <w:lang w:val="pl-PL"/>
        </w:rPr>
      </w:pPr>
      <w:r w:rsidRPr="009353E6">
        <w:rPr>
          <w:sz w:val="22"/>
          <w:szCs w:val="22"/>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5226ED" w:rsidRPr="009353E6" w:rsidRDefault="005226ED" w:rsidP="000D5BED">
      <w:pPr>
        <w:pStyle w:val="BodyText"/>
        <w:spacing w:line="240" w:lineRule="auto"/>
        <w:jc w:val="left"/>
        <w:rPr>
          <w:sz w:val="22"/>
          <w:szCs w:val="22"/>
          <w:lang w:val="pl-PL"/>
        </w:rPr>
      </w:pPr>
    </w:p>
    <w:p w:rsidR="00917238" w:rsidRPr="009353E6" w:rsidRDefault="00F10629" w:rsidP="000D5BED">
      <w:pPr>
        <w:pStyle w:val="BodyText"/>
        <w:spacing w:line="240" w:lineRule="auto"/>
        <w:jc w:val="left"/>
        <w:rPr>
          <w:sz w:val="22"/>
          <w:szCs w:val="22"/>
          <w:lang w:val="pl-PL"/>
        </w:rPr>
      </w:pPr>
      <w:r w:rsidRPr="009353E6">
        <w:rPr>
          <w:sz w:val="22"/>
          <w:szCs w:val="22"/>
          <w:lang w:val="pl-PL"/>
        </w:rPr>
        <w:t>N</w:t>
      </w:r>
      <w:r w:rsidR="00917238" w:rsidRPr="009353E6">
        <w:rPr>
          <w:sz w:val="22"/>
          <w:szCs w:val="22"/>
          <w:lang w:val="pl-PL"/>
        </w:rPr>
        <w:t>arażenie na działanie antagonistów receptora angiotensyny II w drugim i trzecim trymestrze ciąży powoduj</w:t>
      </w:r>
      <w:r w:rsidR="00E918D4" w:rsidRPr="009353E6">
        <w:rPr>
          <w:sz w:val="22"/>
          <w:szCs w:val="22"/>
          <w:lang w:val="pl-PL"/>
        </w:rPr>
        <w:t>e</w:t>
      </w:r>
      <w:r w:rsidR="00917238" w:rsidRPr="009353E6">
        <w:rPr>
          <w:sz w:val="22"/>
          <w:szCs w:val="22"/>
          <w:lang w:val="pl-PL"/>
        </w:rPr>
        <w:t xml:space="preserve"> działanie toksyczne dla płodu (pogorszenie czynności nerek, małowodzie, opóźnienie kostnienia czaszki) i noworodka (niewydolność nerek, niedociśnienie tętnicze, hiperkaliemia) (Patrz także punkt 5.3).</w:t>
      </w:r>
    </w:p>
    <w:p w:rsidR="00917238" w:rsidRPr="009353E6" w:rsidRDefault="00917238" w:rsidP="000D5BED">
      <w:pPr>
        <w:pStyle w:val="BodyText"/>
        <w:spacing w:line="240" w:lineRule="auto"/>
        <w:jc w:val="left"/>
        <w:rPr>
          <w:sz w:val="22"/>
          <w:szCs w:val="22"/>
          <w:lang w:val="pl-PL"/>
        </w:rPr>
      </w:pPr>
      <w:r w:rsidRPr="009353E6">
        <w:rPr>
          <w:sz w:val="22"/>
          <w:szCs w:val="22"/>
          <w:lang w:val="pl-PL"/>
        </w:rPr>
        <w:t>Jeżeli do narażenia na działanie antagonistów receptora angiotensyny II doszło od drugiego trymestru ciąży, zaleca się badanie ultrasonograficzne nerek i czaszki.</w:t>
      </w:r>
    </w:p>
    <w:p w:rsidR="00917238" w:rsidRPr="009353E6" w:rsidRDefault="00917238" w:rsidP="000D5BED">
      <w:pPr>
        <w:pStyle w:val="BodyText"/>
        <w:spacing w:line="240" w:lineRule="auto"/>
        <w:jc w:val="left"/>
        <w:rPr>
          <w:sz w:val="22"/>
          <w:szCs w:val="22"/>
          <w:lang w:val="pl-PL"/>
        </w:rPr>
      </w:pPr>
      <w:r w:rsidRPr="009353E6">
        <w:rPr>
          <w:sz w:val="22"/>
          <w:szCs w:val="22"/>
          <w:lang w:val="pl-PL"/>
        </w:rPr>
        <w:t>Noworodki, których matki przyjmowały antagonistów receptora angiotensyny II, należy ściśle obserwować za względu na możliwo</w:t>
      </w:r>
      <w:r w:rsidR="00F320BE" w:rsidRPr="009353E6">
        <w:rPr>
          <w:sz w:val="22"/>
          <w:szCs w:val="22"/>
          <w:lang w:val="pl-PL"/>
        </w:rPr>
        <w:t>ś</w:t>
      </w:r>
      <w:r w:rsidRPr="009353E6">
        <w:rPr>
          <w:sz w:val="22"/>
          <w:szCs w:val="22"/>
          <w:lang w:val="pl-PL"/>
        </w:rPr>
        <w:t>ć wystąpienia niedociśnienia tętniczego (patrz</w:t>
      </w:r>
      <w:r w:rsidR="00F10629" w:rsidRPr="009353E6">
        <w:rPr>
          <w:sz w:val="22"/>
          <w:szCs w:val="22"/>
          <w:lang w:val="pl-PL"/>
        </w:rPr>
        <w:t xml:space="preserve"> </w:t>
      </w:r>
      <w:r w:rsidRPr="009353E6">
        <w:rPr>
          <w:sz w:val="22"/>
          <w:szCs w:val="22"/>
          <w:lang w:val="pl-PL"/>
        </w:rPr>
        <w:t>punkty 4.3 i 4.4).</w:t>
      </w:r>
    </w:p>
    <w:p w:rsidR="00273426" w:rsidRPr="009353E6" w:rsidRDefault="00273426" w:rsidP="00273426">
      <w:pPr>
        <w:pStyle w:val="PlainText"/>
        <w:rPr>
          <w:rFonts w:ascii="Times New Roman" w:hAnsi="Times New Roman"/>
          <w:sz w:val="22"/>
          <w:szCs w:val="22"/>
          <w:lang w:val="pl-PL"/>
        </w:rPr>
      </w:pPr>
    </w:p>
    <w:p w:rsidR="00AE245F" w:rsidRPr="009353E6" w:rsidRDefault="00AE245F" w:rsidP="00AE245F">
      <w:pPr>
        <w:pStyle w:val="PlainText"/>
        <w:rPr>
          <w:rFonts w:ascii="Times New Roman" w:hAnsi="Times New Roman"/>
          <w:sz w:val="22"/>
          <w:szCs w:val="22"/>
          <w:lang w:val="pl-PL"/>
        </w:rPr>
      </w:pPr>
      <w:r w:rsidRPr="009353E6">
        <w:rPr>
          <w:rFonts w:ascii="Times New Roman" w:hAnsi="Times New Roman"/>
          <w:sz w:val="22"/>
          <w:szCs w:val="22"/>
          <w:lang w:val="pl-PL"/>
        </w:rPr>
        <w:t>Doświadczenia ze stosowaniem hydrochlorotiazydu podczas ciąży, a zwłaszcza w pierwszym trymestrze, są ograniczone. Badania na zwierzętach są niewystarczające. Hydrochlorotiazyd przenika przez łożysko. Ze względu na farmakologiczny mechanizm działania hydrochlorotiazydu stosowanie tego leku w drugim i trzecim trymestrze może prowadzić do zmniejszeni</w:t>
      </w:r>
      <w:r w:rsidR="00F31FA5" w:rsidRPr="009353E6">
        <w:rPr>
          <w:rFonts w:ascii="Times New Roman" w:hAnsi="Times New Roman"/>
          <w:sz w:val="22"/>
          <w:szCs w:val="22"/>
          <w:lang w:val="pl-PL"/>
        </w:rPr>
        <w:t>a</w:t>
      </w:r>
      <w:r w:rsidRPr="009353E6">
        <w:rPr>
          <w:rFonts w:ascii="Times New Roman" w:hAnsi="Times New Roman"/>
          <w:sz w:val="22"/>
          <w:szCs w:val="22"/>
          <w:lang w:val="pl-PL"/>
        </w:rPr>
        <w:t xml:space="preserve"> perfuzji płodowo-łożyskowej oraz wywoływać zaburzenia u płodu i noworodka, takie jak żółtaczka, zaburzenia równowagi elektrolitowej i thrombocytopenia.</w:t>
      </w:r>
    </w:p>
    <w:p w:rsidR="00AE245F" w:rsidRPr="009353E6" w:rsidRDefault="00AE245F" w:rsidP="00AE245F">
      <w:pPr>
        <w:pStyle w:val="PlainText"/>
        <w:rPr>
          <w:rFonts w:ascii="Times New Roman" w:hAnsi="Times New Roman"/>
          <w:sz w:val="22"/>
          <w:szCs w:val="22"/>
          <w:lang w:val="pl-PL"/>
        </w:rPr>
      </w:pPr>
      <w:r w:rsidRPr="009353E6">
        <w:rPr>
          <w:rFonts w:ascii="Times New Roman" w:hAnsi="Times New Roman"/>
          <w:sz w:val="22"/>
          <w:szCs w:val="22"/>
          <w:lang w:val="pl-PL"/>
        </w:rPr>
        <w:t>Hydrochlorotiazydu nie należy stosować w obrzękach ciążowych, nadciśnieniu ciążowym i stanie przedrzucawkowym z powodu ryzyka zmniejszenia objętości osocza oraz niedokrwienia łożyska, bez korzystnego wpływu na przebieg choroby.</w:t>
      </w:r>
    </w:p>
    <w:p w:rsidR="00AE245F" w:rsidRPr="009353E6" w:rsidRDefault="00AE245F" w:rsidP="00AE245F">
      <w:pPr>
        <w:pStyle w:val="PlainText"/>
        <w:rPr>
          <w:rFonts w:ascii="Times New Roman" w:hAnsi="Times New Roman"/>
          <w:sz w:val="22"/>
          <w:szCs w:val="22"/>
          <w:lang w:val="pl-PL"/>
        </w:rPr>
      </w:pPr>
    </w:p>
    <w:p w:rsidR="00AE245F" w:rsidRPr="009353E6" w:rsidRDefault="00AE245F" w:rsidP="00AE245F">
      <w:pPr>
        <w:pStyle w:val="PlainText"/>
        <w:rPr>
          <w:rFonts w:ascii="Times New Roman" w:hAnsi="Times New Roman"/>
          <w:sz w:val="22"/>
          <w:szCs w:val="22"/>
          <w:lang w:val="pl-PL"/>
        </w:rPr>
      </w:pPr>
      <w:r w:rsidRPr="009353E6">
        <w:rPr>
          <w:rFonts w:ascii="Times New Roman" w:hAnsi="Times New Roman"/>
          <w:sz w:val="22"/>
          <w:szCs w:val="22"/>
          <w:lang w:val="pl-PL"/>
        </w:rPr>
        <w:t>Nie należy stosować hydrochlorotiazydu w samoistnym nadciśnieniu tętniczym u kobiet w ciąży z wyjątkiem rzadkich sytuacji, kiedy niemożliwe jest zastosowanie alternatywnego leczenia.</w:t>
      </w:r>
    </w:p>
    <w:p w:rsidR="00204221" w:rsidRPr="009353E6" w:rsidRDefault="00204221" w:rsidP="000D5BED">
      <w:pPr>
        <w:pStyle w:val="BodyText"/>
        <w:spacing w:line="240" w:lineRule="auto"/>
        <w:jc w:val="left"/>
        <w:rPr>
          <w:sz w:val="22"/>
          <w:szCs w:val="22"/>
          <w:highlight w:val="yellow"/>
          <w:lang w:val="pl-PL"/>
        </w:rPr>
      </w:pPr>
    </w:p>
    <w:p w:rsidR="00F10629" w:rsidRPr="009353E6" w:rsidRDefault="00DF113D" w:rsidP="004A0B9E">
      <w:pPr>
        <w:pStyle w:val="BodyText"/>
        <w:keepNext/>
        <w:spacing w:line="240" w:lineRule="auto"/>
        <w:jc w:val="left"/>
        <w:rPr>
          <w:sz w:val="22"/>
          <w:szCs w:val="22"/>
          <w:lang w:val="pl-PL"/>
        </w:rPr>
      </w:pPr>
      <w:r w:rsidRPr="009353E6">
        <w:rPr>
          <w:sz w:val="22"/>
          <w:szCs w:val="22"/>
          <w:u w:val="single"/>
          <w:lang w:val="pl-PL"/>
        </w:rPr>
        <w:t>Karmienie piersią</w:t>
      </w:r>
    </w:p>
    <w:p w:rsidR="00AB5B3F" w:rsidRPr="009353E6" w:rsidRDefault="00AB5B3F" w:rsidP="004A0B9E">
      <w:pPr>
        <w:pStyle w:val="BodyText"/>
        <w:keepNext/>
        <w:spacing w:line="240" w:lineRule="auto"/>
        <w:jc w:val="left"/>
        <w:rPr>
          <w:sz w:val="22"/>
          <w:szCs w:val="22"/>
          <w:lang w:val="pl-PL"/>
        </w:rPr>
      </w:pPr>
    </w:p>
    <w:p w:rsidR="005B7B8A" w:rsidRPr="009353E6" w:rsidRDefault="005B7B8A" w:rsidP="005B7B8A">
      <w:pPr>
        <w:rPr>
          <w:sz w:val="22"/>
          <w:szCs w:val="22"/>
          <w:lang w:val="pl-PL"/>
        </w:rPr>
      </w:pPr>
      <w:r w:rsidRPr="009353E6">
        <w:rPr>
          <w:sz w:val="22"/>
          <w:szCs w:val="22"/>
          <w:lang w:val="pl-PL"/>
        </w:rPr>
        <w:t>Z powodu braku informacji dotyczących stosowania produktu MicardisPlus w trakcie karmienia piersią, nie zaleca się jego stosowania w tym okresie. W trakcie karmienia piersią, w szczególności noworodków i dzieci urodzonych przedwcześnie, zaleca się stosowanie innych produktów posiadających lepszy profil bezpieczeństwa</w:t>
      </w:r>
      <w:r w:rsidR="009554EB" w:rsidRPr="009353E6">
        <w:rPr>
          <w:sz w:val="22"/>
          <w:szCs w:val="22"/>
          <w:lang w:val="pl-PL"/>
        </w:rPr>
        <w:t xml:space="preserve">. </w:t>
      </w:r>
    </w:p>
    <w:p w:rsidR="009554EB" w:rsidRPr="009353E6" w:rsidRDefault="009554EB" w:rsidP="009554EB">
      <w:pPr>
        <w:pStyle w:val="PlainText"/>
        <w:rPr>
          <w:rFonts w:ascii="Times New Roman" w:hAnsi="Times New Roman"/>
          <w:sz w:val="22"/>
          <w:szCs w:val="22"/>
          <w:u w:val="single"/>
          <w:lang w:val="pl-PL"/>
        </w:rPr>
      </w:pPr>
    </w:p>
    <w:p w:rsidR="00AE245F" w:rsidRPr="009353E6" w:rsidRDefault="00AE245F" w:rsidP="00AE245F">
      <w:pPr>
        <w:pStyle w:val="PlainText"/>
        <w:rPr>
          <w:rFonts w:ascii="Times New Roman" w:hAnsi="Times New Roman"/>
          <w:lang w:val="pl-PL"/>
        </w:rPr>
      </w:pPr>
      <w:r w:rsidRPr="009353E6">
        <w:rPr>
          <w:rFonts w:ascii="Times New Roman" w:hAnsi="Times New Roman"/>
          <w:sz w:val="22"/>
          <w:szCs w:val="22"/>
          <w:lang w:val="pl-PL"/>
        </w:rPr>
        <w:t xml:space="preserve">Małe ilości hydrochlorotiazydu przenikają do mleka kobiet karmiących piersią. Wysokie dawki tiazydów wywołujące silną diurezę mogą hamować laktację. Nie zaleca się stosowania produktu MicardisPlus podczas karmienia piersią. W przypadku stosowania produktu MicardisPlus podczas karmienia piersią należy stosować możliwie najmniejsze dawki. </w:t>
      </w:r>
    </w:p>
    <w:p w:rsidR="00273426" w:rsidRPr="009353E6" w:rsidRDefault="00273426" w:rsidP="000D5BED">
      <w:pPr>
        <w:pStyle w:val="BodyText"/>
        <w:spacing w:line="240" w:lineRule="auto"/>
        <w:jc w:val="left"/>
        <w:rPr>
          <w:sz w:val="22"/>
          <w:szCs w:val="22"/>
          <w:lang w:val="pl-PL"/>
        </w:rPr>
      </w:pPr>
    </w:p>
    <w:p w:rsidR="00DF113D" w:rsidRPr="009353E6" w:rsidRDefault="00DF113D" w:rsidP="001D5188">
      <w:pPr>
        <w:rPr>
          <w:sz w:val="22"/>
          <w:szCs w:val="22"/>
          <w:u w:val="single"/>
          <w:lang w:val="pl-PL"/>
        </w:rPr>
      </w:pPr>
      <w:r w:rsidRPr="009353E6">
        <w:rPr>
          <w:sz w:val="22"/>
          <w:szCs w:val="22"/>
          <w:u w:val="single"/>
          <w:lang w:val="pl-PL"/>
        </w:rPr>
        <w:t>Płodność</w:t>
      </w:r>
    </w:p>
    <w:p w:rsidR="00AB5B3F" w:rsidRPr="009353E6" w:rsidRDefault="00AB5B3F" w:rsidP="00DF113D">
      <w:pPr>
        <w:rPr>
          <w:sz w:val="22"/>
          <w:szCs w:val="22"/>
          <w:lang w:val="pl-PL"/>
        </w:rPr>
      </w:pPr>
    </w:p>
    <w:p w:rsidR="00DF113D" w:rsidRPr="009353E6" w:rsidRDefault="00DF113D" w:rsidP="00DF113D">
      <w:pPr>
        <w:rPr>
          <w:sz w:val="22"/>
          <w:szCs w:val="22"/>
          <w:lang w:val="pl-PL"/>
        </w:rPr>
      </w:pPr>
      <w:r w:rsidRPr="009353E6">
        <w:rPr>
          <w:sz w:val="22"/>
          <w:szCs w:val="22"/>
          <w:lang w:val="pl-PL"/>
        </w:rPr>
        <w:t>W badaniach przedklinicznych nie zaobserwowano wpływu telmisartanu i hydrochlorotiazydu na płodność u kobiet i mężczyzn.</w:t>
      </w:r>
    </w:p>
    <w:p w:rsidR="00204221" w:rsidRPr="009353E6" w:rsidRDefault="00204221" w:rsidP="000D5BED">
      <w:pPr>
        <w:pStyle w:val="BodyText"/>
        <w:spacing w:line="240" w:lineRule="auto"/>
        <w:jc w:val="left"/>
        <w:rPr>
          <w:sz w:val="22"/>
          <w:szCs w:val="22"/>
          <w:lang w:val="pl-PL"/>
        </w:rPr>
      </w:pPr>
    </w:p>
    <w:p w:rsidR="00204221" w:rsidRPr="009353E6" w:rsidRDefault="00586E5C" w:rsidP="00CD3857">
      <w:pPr>
        <w:pStyle w:val="BodyText"/>
        <w:spacing w:line="240" w:lineRule="auto"/>
        <w:ind w:left="567" w:hanging="567"/>
        <w:jc w:val="left"/>
        <w:rPr>
          <w:b/>
          <w:sz w:val="22"/>
          <w:szCs w:val="22"/>
          <w:lang w:val="pl-PL"/>
        </w:rPr>
      </w:pPr>
      <w:r w:rsidRPr="009353E6">
        <w:rPr>
          <w:b/>
          <w:sz w:val="22"/>
          <w:szCs w:val="22"/>
          <w:lang w:val="pl-PL"/>
        </w:rPr>
        <w:t>4.7</w:t>
      </w:r>
      <w:r w:rsidRPr="009353E6">
        <w:rPr>
          <w:b/>
          <w:sz w:val="22"/>
          <w:szCs w:val="22"/>
          <w:lang w:val="pl-PL"/>
        </w:rPr>
        <w:tab/>
      </w:r>
      <w:r w:rsidR="00204221" w:rsidRPr="009353E6">
        <w:rPr>
          <w:b/>
          <w:sz w:val="22"/>
          <w:szCs w:val="22"/>
          <w:lang w:val="pl-PL"/>
        </w:rPr>
        <w:t xml:space="preserve">Wpływ na zdolność prowadzenia pojazdów i obsługiwania </w:t>
      </w:r>
      <w:r w:rsidR="00E13DB8" w:rsidRPr="009353E6">
        <w:rPr>
          <w:b/>
          <w:sz w:val="22"/>
          <w:szCs w:val="22"/>
          <w:lang w:val="pl-PL"/>
        </w:rPr>
        <w:t>maszyn</w:t>
      </w:r>
    </w:p>
    <w:p w:rsidR="00204221" w:rsidRPr="009353E6" w:rsidRDefault="00204221" w:rsidP="000D5BED">
      <w:pPr>
        <w:pStyle w:val="BodyText"/>
        <w:spacing w:line="240" w:lineRule="auto"/>
        <w:jc w:val="left"/>
        <w:rPr>
          <w:b/>
          <w:sz w:val="22"/>
          <w:szCs w:val="22"/>
          <w:lang w:val="pl-PL"/>
        </w:rPr>
      </w:pPr>
    </w:p>
    <w:p w:rsidR="00AB79CE" w:rsidRPr="009353E6" w:rsidRDefault="00AB79CE" w:rsidP="00AB79CE">
      <w:pPr>
        <w:pStyle w:val="BodyText"/>
        <w:spacing w:line="240" w:lineRule="auto"/>
        <w:jc w:val="left"/>
        <w:rPr>
          <w:sz w:val="22"/>
          <w:szCs w:val="22"/>
          <w:lang w:val="pl-PL"/>
        </w:rPr>
      </w:pPr>
      <w:r w:rsidRPr="009353E6">
        <w:rPr>
          <w:sz w:val="22"/>
          <w:szCs w:val="22"/>
          <w:lang w:val="pl-PL"/>
        </w:rPr>
        <w:t>MicardisPlus może wywierać wpływ na zdolność prowadzenia pojazdów i obsługiwania maszyn. W przypadku stosowania produktu MicardisPlus mogą czasami wystąpić zawroty głowy i senność.</w:t>
      </w:r>
    </w:p>
    <w:p w:rsidR="00F710F6" w:rsidRPr="009353E6" w:rsidRDefault="00F710F6" w:rsidP="000D5BED">
      <w:pPr>
        <w:pStyle w:val="BodyText"/>
        <w:spacing w:line="240" w:lineRule="auto"/>
        <w:jc w:val="left"/>
        <w:rPr>
          <w:sz w:val="22"/>
          <w:szCs w:val="22"/>
          <w:lang w:val="pl-PL"/>
        </w:rPr>
      </w:pPr>
    </w:p>
    <w:p w:rsidR="00204221" w:rsidRPr="009353E6" w:rsidRDefault="00586E5C" w:rsidP="004A0B9E">
      <w:pPr>
        <w:pStyle w:val="BodyText"/>
        <w:keepNext/>
        <w:tabs>
          <w:tab w:val="left" w:pos="567"/>
        </w:tabs>
        <w:spacing w:line="240" w:lineRule="auto"/>
        <w:jc w:val="left"/>
        <w:rPr>
          <w:b/>
          <w:sz w:val="22"/>
          <w:szCs w:val="22"/>
          <w:lang w:val="pl-PL"/>
        </w:rPr>
      </w:pPr>
      <w:r w:rsidRPr="009353E6">
        <w:rPr>
          <w:b/>
          <w:sz w:val="22"/>
          <w:szCs w:val="22"/>
          <w:lang w:val="pl-PL"/>
        </w:rPr>
        <w:t>4.8</w:t>
      </w:r>
      <w:r w:rsidRPr="009353E6">
        <w:rPr>
          <w:b/>
          <w:sz w:val="22"/>
          <w:szCs w:val="22"/>
          <w:lang w:val="pl-PL"/>
        </w:rPr>
        <w:tab/>
      </w:r>
      <w:r w:rsidR="00204221" w:rsidRPr="009353E6">
        <w:rPr>
          <w:b/>
          <w:sz w:val="22"/>
          <w:szCs w:val="22"/>
          <w:lang w:val="pl-PL"/>
        </w:rPr>
        <w:t>Działania niepożądane</w:t>
      </w:r>
    </w:p>
    <w:p w:rsidR="00204221" w:rsidRPr="009353E6" w:rsidRDefault="00204221" w:rsidP="004A0B9E">
      <w:pPr>
        <w:pStyle w:val="BodyText"/>
        <w:keepNext/>
        <w:spacing w:line="240" w:lineRule="auto"/>
        <w:jc w:val="left"/>
        <w:rPr>
          <w:sz w:val="22"/>
          <w:szCs w:val="22"/>
          <w:lang w:val="pl-PL"/>
        </w:rPr>
      </w:pPr>
    </w:p>
    <w:p w:rsidR="00E13DB8" w:rsidRPr="009353E6" w:rsidRDefault="00354F5F" w:rsidP="004A0B9E">
      <w:pPr>
        <w:keepNext/>
        <w:rPr>
          <w:sz w:val="22"/>
          <w:szCs w:val="22"/>
          <w:u w:val="single"/>
          <w:lang w:val="pl-PL"/>
        </w:rPr>
      </w:pPr>
      <w:r w:rsidRPr="009353E6">
        <w:rPr>
          <w:sz w:val="22"/>
          <w:szCs w:val="22"/>
          <w:u w:val="single"/>
          <w:lang w:val="pl-PL"/>
        </w:rPr>
        <w:t>Podsumowanie</w:t>
      </w:r>
      <w:r w:rsidR="00E13DB8" w:rsidRPr="009353E6">
        <w:rPr>
          <w:sz w:val="22"/>
          <w:szCs w:val="22"/>
          <w:u w:val="single"/>
          <w:lang w:val="pl-PL"/>
        </w:rPr>
        <w:t xml:space="preserve"> profilu bezpieczeństwa</w:t>
      </w:r>
    </w:p>
    <w:p w:rsidR="00E13DB8" w:rsidRPr="009353E6" w:rsidRDefault="00E13DB8" w:rsidP="004A0B9E">
      <w:pPr>
        <w:keepNext/>
        <w:rPr>
          <w:sz w:val="22"/>
          <w:szCs w:val="22"/>
          <w:lang w:val="pl-PL"/>
        </w:rPr>
      </w:pPr>
    </w:p>
    <w:p w:rsidR="00D35AD6" w:rsidRPr="009353E6" w:rsidRDefault="00E13DB8" w:rsidP="00E13DB8">
      <w:pPr>
        <w:rPr>
          <w:sz w:val="22"/>
          <w:szCs w:val="22"/>
          <w:lang w:val="pl-PL"/>
        </w:rPr>
      </w:pPr>
      <w:r w:rsidRPr="009353E6">
        <w:rPr>
          <w:sz w:val="22"/>
          <w:szCs w:val="22"/>
          <w:lang w:val="pl-PL"/>
        </w:rPr>
        <w:t>Najczęściej zgłaszanym działaniem niepożądanym są zawroty głowy. W rzadkich przypadkach</w:t>
      </w:r>
    </w:p>
    <w:p w:rsidR="00E13DB8" w:rsidRPr="009353E6" w:rsidRDefault="00B36BA6" w:rsidP="00E13DB8">
      <w:pPr>
        <w:rPr>
          <w:sz w:val="22"/>
          <w:szCs w:val="22"/>
          <w:lang w:val="pl-PL"/>
        </w:rPr>
      </w:pPr>
      <w:r w:rsidRPr="009353E6">
        <w:rPr>
          <w:sz w:val="22"/>
          <w:szCs w:val="22"/>
          <w:lang w:val="pl-PL"/>
        </w:rPr>
        <w:t xml:space="preserve">(≥1/10 000 do &lt;1/1000) </w:t>
      </w:r>
      <w:r w:rsidR="00E13DB8" w:rsidRPr="009353E6">
        <w:rPr>
          <w:sz w:val="22"/>
          <w:szCs w:val="22"/>
          <w:lang w:val="pl-PL"/>
        </w:rPr>
        <w:t>może wystąpić ciężki obrzęk naczynioruchowy.</w:t>
      </w:r>
    </w:p>
    <w:p w:rsidR="00E13DB8" w:rsidRPr="009353E6" w:rsidRDefault="00E13DB8" w:rsidP="000D5BED">
      <w:pPr>
        <w:pStyle w:val="BodyText"/>
        <w:spacing w:line="240" w:lineRule="auto"/>
        <w:jc w:val="left"/>
        <w:rPr>
          <w:sz w:val="22"/>
          <w:szCs w:val="22"/>
          <w:u w:val="single"/>
          <w:lang w:val="pl-PL"/>
        </w:rPr>
      </w:pPr>
    </w:p>
    <w:p w:rsidR="00471718" w:rsidRPr="009353E6" w:rsidRDefault="00471718" w:rsidP="000D5BED">
      <w:pPr>
        <w:pStyle w:val="BodyText"/>
        <w:spacing w:line="240" w:lineRule="auto"/>
        <w:jc w:val="left"/>
        <w:rPr>
          <w:sz w:val="22"/>
          <w:szCs w:val="22"/>
          <w:lang w:val="pl-PL"/>
        </w:rPr>
      </w:pPr>
      <w:r w:rsidRPr="009353E6">
        <w:rPr>
          <w:sz w:val="22"/>
          <w:szCs w:val="22"/>
          <w:lang w:val="pl-PL"/>
        </w:rPr>
        <w:t>Ca</w:t>
      </w:r>
      <w:r w:rsidR="004D1DB3" w:rsidRPr="009353E6">
        <w:rPr>
          <w:sz w:val="22"/>
          <w:szCs w:val="22"/>
          <w:lang w:val="pl-PL"/>
        </w:rPr>
        <w:t>łkowita częstość</w:t>
      </w:r>
      <w:r w:rsidRPr="009353E6">
        <w:rPr>
          <w:sz w:val="22"/>
          <w:szCs w:val="22"/>
          <w:lang w:val="pl-PL"/>
        </w:rPr>
        <w:t xml:space="preserve"> występowania </w:t>
      </w:r>
      <w:r w:rsidR="00B36BA6" w:rsidRPr="009353E6">
        <w:rPr>
          <w:sz w:val="22"/>
          <w:szCs w:val="22"/>
          <w:lang w:val="pl-PL"/>
        </w:rPr>
        <w:t xml:space="preserve">działań </w:t>
      </w:r>
      <w:r w:rsidRPr="009353E6">
        <w:rPr>
          <w:sz w:val="22"/>
          <w:szCs w:val="22"/>
          <w:lang w:val="pl-PL"/>
        </w:rPr>
        <w:t>niepożądanych w trakcie stosowania pr</w:t>
      </w:r>
      <w:r w:rsidR="004D1DB3" w:rsidRPr="009353E6">
        <w:rPr>
          <w:sz w:val="22"/>
          <w:szCs w:val="22"/>
          <w:lang w:val="pl-PL"/>
        </w:rPr>
        <w:t xml:space="preserve">oduktu </w:t>
      </w:r>
      <w:r w:rsidRPr="009353E6">
        <w:rPr>
          <w:sz w:val="22"/>
          <w:szCs w:val="22"/>
          <w:lang w:val="pl-PL"/>
        </w:rPr>
        <w:t xml:space="preserve">MicardisPlus 80 mg/25 mg była porównywalna z częstością ich występowania w trakcie stosowania </w:t>
      </w:r>
      <w:r w:rsidR="004D1DB3" w:rsidRPr="009353E6">
        <w:rPr>
          <w:sz w:val="22"/>
          <w:szCs w:val="22"/>
          <w:lang w:val="pl-PL"/>
        </w:rPr>
        <w:t xml:space="preserve">produktu </w:t>
      </w:r>
      <w:r w:rsidRPr="009353E6">
        <w:rPr>
          <w:sz w:val="22"/>
          <w:szCs w:val="22"/>
          <w:lang w:val="pl-PL"/>
        </w:rPr>
        <w:t>MicardisPlus 80 mg/12,5 mg. Zależna od dawki częstość występowania działań niepożądanych nie została ustalona, nie zaobserwowano korelacji z płcią, wiekiem i rasą pacjent</w:t>
      </w:r>
      <w:r w:rsidR="004D1DB3" w:rsidRPr="009353E6">
        <w:rPr>
          <w:sz w:val="22"/>
          <w:szCs w:val="22"/>
          <w:lang w:val="pl-PL"/>
        </w:rPr>
        <w:t>ów</w:t>
      </w:r>
      <w:r w:rsidRPr="009353E6">
        <w:rPr>
          <w:sz w:val="22"/>
          <w:szCs w:val="22"/>
          <w:lang w:val="pl-PL"/>
        </w:rPr>
        <w:t>.</w:t>
      </w:r>
    </w:p>
    <w:p w:rsidR="00471718" w:rsidRPr="009353E6" w:rsidRDefault="00471718" w:rsidP="000D5BED">
      <w:pPr>
        <w:pStyle w:val="BodyText"/>
        <w:spacing w:line="240" w:lineRule="auto"/>
        <w:jc w:val="left"/>
        <w:rPr>
          <w:sz w:val="22"/>
          <w:szCs w:val="22"/>
          <w:lang w:val="pl-PL"/>
        </w:rPr>
      </w:pPr>
    </w:p>
    <w:p w:rsidR="00E13DB8" w:rsidRPr="009353E6" w:rsidRDefault="00E13DB8" w:rsidP="004A0B9E">
      <w:pPr>
        <w:keepNext/>
        <w:rPr>
          <w:sz w:val="22"/>
          <w:szCs w:val="22"/>
          <w:u w:val="single"/>
          <w:lang w:val="pl-PL"/>
        </w:rPr>
      </w:pPr>
      <w:r w:rsidRPr="009353E6">
        <w:rPr>
          <w:sz w:val="22"/>
          <w:szCs w:val="22"/>
          <w:u w:val="single"/>
          <w:lang w:val="pl-PL"/>
        </w:rPr>
        <w:t>Tabelaryczn</w:t>
      </w:r>
      <w:r w:rsidR="0034228B" w:rsidRPr="009353E6">
        <w:rPr>
          <w:sz w:val="22"/>
          <w:szCs w:val="22"/>
          <w:u w:val="single"/>
          <w:lang w:val="pl-PL"/>
        </w:rPr>
        <w:t>e zestawienie</w:t>
      </w:r>
      <w:r w:rsidRPr="009353E6">
        <w:rPr>
          <w:sz w:val="22"/>
          <w:szCs w:val="22"/>
          <w:u w:val="single"/>
          <w:lang w:val="pl-PL"/>
        </w:rPr>
        <w:t xml:space="preserve"> działań niepoż</w:t>
      </w:r>
      <w:r w:rsidR="009A6492" w:rsidRPr="009353E6">
        <w:rPr>
          <w:sz w:val="22"/>
          <w:szCs w:val="22"/>
          <w:u w:val="single"/>
          <w:lang w:val="pl-PL"/>
        </w:rPr>
        <w:t>ą</w:t>
      </w:r>
      <w:r w:rsidRPr="009353E6">
        <w:rPr>
          <w:sz w:val="22"/>
          <w:szCs w:val="22"/>
          <w:u w:val="single"/>
          <w:lang w:val="pl-PL"/>
        </w:rPr>
        <w:t>danych</w:t>
      </w:r>
    </w:p>
    <w:p w:rsidR="00E13DB8" w:rsidRPr="009353E6" w:rsidRDefault="00E13DB8" w:rsidP="004A0B9E">
      <w:pPr>
        <w:pStyle w:val="BodyText"/>
        <w:keepNext/>
        <w:spacing w:line="240" w:lineRule="auto"/>
        <w:jc w:val="left"/>
        <w:rPr>
          <w:sz w:val="22"/>
          <w:szCs w:val="22"/>
          <w:lang w:val="pl-PL"/>
        </w:rPr>
      </w:pPr>
    </w:p>
    <w:p w:rsidR="00204221" w:rsidRPr="009353E6" w:rsidRDefault="00B36BA6" w:rsidP="000D5BED">
      <w:pPr>
        <w:pStyle w:val="BodyText"/>
        <w:spacing w:line="240" w:lineRule="auto"/>
        <w:jc w:val="left"/>
        <w:rPr>
          <w:sz w:val="22"/>
          <w:szCs w:val="22"/>
          <w:lang w:val="pl-PL"/>
        </w:rPr>
      </w:pPr>
      <w:r w:rsidRPr="009353E6">
        <w:rPr>
          <w:sz w:val="22"/>
          <w:szCs w:val="22"/>
          <w:lang w:val="pl-PL"/>
        </w:rPr>
        <w:t xml:space="preserve">Działania </w:t>
      </w:r>
      <w:r w:rsidR="00204221" w:rsidRPr="009353E6">
        <w:rPr>
          <w:sz w:val="22"/>
          <w:szCs w:val="22"/>
          <w:lang w:val="pl-PL"/>
        </w:rPr>
        <w:t>niepożądane odnotowane we wszystkich badaniach klinicznych, występujące częściej (p </w:t>
      </w:r>
      <w:r w:rsidR="00204221" w:rsidRPr="009353E6">
        <w:rPr>
          <w:sz w:val="22"/>
          <w:szCs w:val="22"/>
          <w:lang w:val="pl-PL"/>
        </w:rPr>
        <w:sym w:font="Symbol" w:char="F0A3"/>
      </w:r>
      <w:r w:rsidR="00204221" w:rsidRPr="009353E6">
        <w:rPr>
          <w:sz w:val="22"/>
          <w:szCs w:val="22"/>
          <w:lang w:val="pl-PL"/>
        </w:rPr>
        <w:t xml:space="preserve"> 0,05) w przypadku połączenia telmisartanu i hydrochlorotiazydu niż w przypadku stosowania placebo, zostały przedstawione poniżej zgodnie z klasyfikacją układów narządowych. Podczas stosowania </w:t>
      </w:r>
      <w:r w:rsidR="00F710F6" w:rsidRPr="009353E6">
        <w:rPr>
          <w:sz w:val="22"/>
          <w:szCs w:val="22"/>
          <w:lang w:val="pl-PL"/>
        </w:rPr>
        <w:t>produkt</w:t>
      </w:r>
      <w:r w:rsidR="00204221" w:rsidRPr="009353E6">
        <w:rPr>
          <w:sz w:val="22"/>
          <w:szCs w:val="22"/>
          <w:lang w:val="pl-PL"/>
        </w:rPr>
        <w:t xml:space="preserve">u MicardisPlus mogą wystąpić </w:t>
      </w:r>
      <w:r w:rsidRPr="009353E6">
        <w:rPr>
          <w:sz w:val="22"/>
          <w:szCs w:val="22"/>
          <w:lang w:val="pl-PL"/>
        </w:rPr>
        <w:t>działania n</w:t>
      </w:r>
      <w:r w:rsidR="00204221" w:rsidRPr="009353E6">
        <w:rPr>
          <w:sz w:val="22"/>
          <w:szCs w:val="22"/>
          <w:lang w:val="pl-PL"/>
        </w:rPr>
        <w:t>iepożądane, które wiążą się z każdym ze składników podanym jako lek pojedynczy, a które nie zostały zaobserwowane w badaniach klinicznych.</w:t>
      </w:r>
    </w:p>
    <w:p w:rsidR="00B36BA6" w:rsidRPr="009353E6" w:rsidRDefault="00B36BA6" w:rsidP="000D5BED">
      <w:pPr>
        <w:pStyle w:val="BodyText"/>
        <w:spacing w:line="240" w:lineRule="auto"/>
        <w:jc w:val="left"/>
        <w:rPr>
          <w:sz w:val="22"/>
          <w:szCs w:val="22"/>
          <w:lang w:val="pl-PL"/>
        </w:rPr>
      </w:pPr>
    </w:p>
    <w:p w:rsidR="00204221" w:rsidRPr="009353E6" w:rsidRDefault="00B36BA6" w:rsidP="000D5BED">
      <w:pPr>
        <w:pStyle w:val="BodyText"/>
        <w:spacing w:line="240" w:lineRule="auto"/>
        <w:jc w:val="left"/>
        <w:rPr>
          <w:sz w:val="22"/>
          <w:szCs w:val="22"/>
          <w:lang w:val="pl-PL"/>
        </w:rPr>
      </w:pPr>
      <w:r w:rsidRPr="009353E6">
        <w:rPr>
          <w:sz w:val="22"/>
          <w:szCs w:val="22"/>
          <w:lang w:val="pl-PL"/>
        </w:rPr>
        <w:t>Działani</w:t>
      </w:r>
      <w:r w:rsidR="009E5EF6" w:rsidRPr="009353E6">
        <w:rPr>
          <w:sz w:val="22"/>
          <w:szCs w:val="22"/>
          <w:lang w:val="pl-PL"/>
        </w:rPr>
        <w:t>a</w:t>
      </w:r>
      <w:r w:rsidRPr="009353E6">
        <w:rPr>
          <w:sz w:val="22"/>
          <w:szCs w:val="22"/>
          <w:lang w:val="pl-PL"/>
        </w:rPr>
        <w:t xml:space="preserve"> nie</w:t>
      </w:r>
      <w:r w:rsidR="00204221" w:rsidRPr="009353E6">
        <w:rPr>
          <w:sz w:val="22"/>
          <w:szCs w:val="22"/>
          <w:lang w:val="pl-PL"/>
        </w:rPr>
        <w:t>pożądane zostały pogrupowane zgodnie z częstością ich występowania według konwencji dotyczącej częstości:bardzo często (</w:t>
      </w:r>
      <w:r w:rsidR="00204221" w:rsidRPr="009353E6">
        <w:rPr>
          <w:sz w:val="22"/>
          <w:szCs w:val="22"/>
          <w:lang w:val="pl-PL"/>
        </w:rPr>
        <w:sym w:font="Symbol" w:char="F0B3"/>
      </w:r>
      <w:r w:rsidR="00204221" w:rsidRPr="009353E6">
        <w:rPr>
          <w:sz w:val="22"/>
          <w:szCs w:val="22"/>
          <w:lang w:val="pl-PL"/>
        </w:rPr>
        <w:t xml:space="preserve"> 1/10); często (</w:t>
      </w:r>
      <w:r w:rsidR="00204221" w:rsidRPr="009353E6">
        <w:rPr>
          <w:sz w:val="22"/>
          <w:szCs w:val="22"/>
          <w:lang w:val="pl-PL"/>
        </w:rPr>
        <w:sym w:font="Symbol" w:char="F0B3"/>
      </w:r>
      <w:r w:rsidR="00204221" w:rsidRPr="009353E6">
        <w:rPr>
          <w:sz w:val="22"/>
          <w:szCs w:val="22"/>
          <w:lang w:val="pl-PL"/>
        </w:rPr>
        <w:t xml:space="preserve"> 1/100 do &lt; 1/10); niezbyt często ((</w:t>
      </w:r>
      <w:r w:rsidR="00204221" w:rsidRPr="009353E6">
        <w:rPr>
          <w:sz w:val="22"/>
          <w:szCs w:val="22"/>
          <w:lang w:val="pl-PL"/>
        </w:rPr>
        <w:sym w:font="Symbol" w:char="F0B3"/>
      </w:r>
      <w:r w:rsidR="00204221" w:rsidRPr="009353E6">
        <w:rPr>
          <w:sz w:val="22"/>
          <w:szCs w:val="22"/>
          <w:lang w:val="pl-PL"/>
        </w:rPr>
        <w:t xml:space="preserve"> 1/1000 do &lt; 1/100), rzadko (</w:t>
      </w:r>
      <w:r w:rsidR="00204221" w:rsidRPr="009353E6">
        <w:rPr>
          <w:sz w:val="22"/>
          <w:szCs w:val="22"/>
          <w:lang w:val="pl-PL"/>
        </w:rPr>
        <w:sym w:font="Symbol" w:char="F0B3"/>
      </w:r>
      <w:r w:rsidR="00204221" w:rsidRPr="009353E6">
        <w:rPr>
          <w:sz w:val="22"/>
          <w:szCs w:val="22"/>
          <w:lang w:val="pl-PL"/>
        </w:rPr>
        <w:t xml:space="preserve"> 1/10000 do &lt; 1/1000), bardzo rzadko (&lt; 1/10000), </w:t>
      </w:r>
      <w:r w:rsidR="004D1DB3" w:rsidRPr="009353E6">
        <w:rPr>
          <w:sz w:val="22"/>
          <w:szCs w:val="22"/>
          <w:lang w:val="pl-PL"/>
        </w:rPr>
        <w:t xml:space="preserve">częstośc </w:t>
      </w:r>
      <w:r w:rsidR="00204221" w:rsidRPr="009353E6">
        <w:rPr>
          <w:sz w:val="22"/>
          <w:szCs w:val="22"/>
          <w:lang w:val="pl-PL"/>
        </w:rPr>
        <w:t>nieznan</w:t>
      </w:r>
      <w:r w:rsidR="004D1DB3" w:rsidRPr="009353E6">
        <w:rPr>
          <w:sz w:val="22"/>
          <w:szCs w:val="22"/>
          <w:lang w:val="pl-PL"/>
        </w:rPr>
        <w:t>a</w:t>
      </w:r>
      <w:r w:rsidR="00204221" w:rsidRPr="009353E6">
        <w:rPr>
          <w:sz w:val="22"/>
          <w:szCs w:val="22"/>
          <w:lang w:val="pl-PL"/>
        </w:rPr>
        <w:t xml:space="preserve"> (nie można oszacować na podstawie dostępnych danych).</w:t>
      </w:r>
    </w:p>
    <w:p w:rsidR="0058775F" w:rsidRPr="009353E6" w:rsidRDefault="0058775F" w:rsidP="000D5BED">
      <w:pPr>
        <w:pStyle w:val="BodyText"/>
        <w:spacing w:line="240" w:lineRule="auto"/>
        <w:jc w:val="left"/>
        <w:rPr>
          <w:sz w:val="22"/>
          <w:szCs w:val="22"/>
          <w:lang w:val="pl-PL"/>
        </w:rPr>
      </w:pPr>
    </w:p>
    <w:p w:rsidR="0058775F" w:rsidRPr="009353E6" w:rsidRDefault="0058775F" w:rsidP="004A0B9E">
      <w:pPr>
        <w:keepNext/>
        <w:rPr>
          <w:sz w:val="22"/>
          <w:szCs w:val="22"/>
          <w:lang w:val="pl-PL"/>
        </w:rPr>
      </w:pPr>
      <w:r w:rsidRPr="009353E6">
        <w:rPr>
          <w:sz w:val="22"/>
          <w:szCs w:val="22"/>
          <w:lang w:val="pl-PL"/>
        </w:rPr>
        <w:t>W każdej grupie częstości działania niepożądane zostały przedstawione zgodnie z malej</w:t>
      </w:r>
      <w:r w:rsidR="00F72D11" w:rsidRPr="009353E6">
        <w:rPr>
          <w:sz w:val="22"/>
          <w:szCs w:val="22"/>
          <w:lang w:val="pl-PL"/>
        </w:rPr>
        <w:t>ą</w:t>
      </w:r>
      <w:r w:rsidRPr="009353E6">
        <w:rPr>
          <w:sz w:val="22"/>
          <w:szCs w:val="22"/>
          <w:lang w:val="pl-PL"/>
        </w:rPr>
        <w:t>cym nasileniem.</w:t>
      </w:r>
    </w:p>
    <w:p w:rsidR="00204221" w:rsidRPr="009353E6" w:rsidRDefault="00204221" w:rsidP="004A0B9E">
      <w:pPr>
        <w:pStyle w:val="BodyText"/>
        <w:keepNext/>
        <w:spacing w:line="240" w:lineRule="auto"/>
        <w:jc w:val="left"/>
        <w:rPr>
          <w:sz w:val="22"/>
          <w:szCs w:val="22"/>
          <w:lang w:val="pl-PL"/>
        </w:rPr>
      </w:pPr>
    </w:p>
    <w:p w:rsidR="009571E7" w:rsidRPr="009353E6" w:rsidRDefault="009571E7" w:rsidP="004A0B9E">
      <w:pPr>
        <w:pStyle w:val="BodyText"/>
        <w:keepNext/>
        <w:spacing w:line="240" w:lineRule="auto"/>
        <w:jc w:val="left"/>
        <w:rPr>
          <w:sz w:val="22"/>
          <w:szCs w:val="22"/>
          <w:lang w:val="pl-PL"/>
        </w:rPr>
      </w:pPr>
      <w:r w:rsidRPr="009353E6">
        <w:rPr>
          <w:sz w:val="22"/>
          <w:szCs w:val="22"/>
          <w:lang w:val="pl-PL"/>
        </w:rPr>
        <w:t xml:space="preserve">Zakażenia i zarażenia pasożytnicze </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Rzadko: </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 xml:space="preserve">Zapalenie oskrzeli, </w:t>
      </w:r>
    </w:p>
    <w:p w:rsidR="009571E7" w:rsidRPr="009353E6" w:rsidRDefault="009571E7" w:rsidP="000D5BED">
      <w:pPr>
        <w:pStyle w:val="BodyText"/>
        <w:spacing w:line="240" w:lineRule="auto"/>
        <w:jc w:val="left"/>
        <w:rPr>
          <w:sz w:val="22"/>
          <w:szCs w:val="22"/>
          <w:lang w:val="pl-PL"/>
        </w:rPr>
      </w:pP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E813C1" w:rsidRPr="009353E6">
        <w:rPr>
          <w:sz w:val="22"/>
          <w:szCs w:val="22"/>
          <w:lang w:val="pl-PL"/>
        </w:rPr>
        <w:tab/>
      </w:r>
      <w:r w:rsidR="00E61D9C" w:rsidRPr="009353E6">
        <w:rPr>
          <w:sz w:val="22"/>
          <w:szCs w:val="22"/>
          <w:lang w:val="pl-PL"/>
        </w:rPr>
        <w:t>z</w:t>
      </w:r>
      <w:r w:rsidRPr="009353E6">
        <w:rPr>
          <w:sz w:val="22"/>
          <w:szCs w:val="22"/>
          <w:lang w:val="pl-PL"/>
        </w:rPr>
        <w:t>apalenie gardła, zapalenie zatok</w:t>
      </w:r>
    </w:p>
    <w:p w:rsidR="0085086E" w:rsidRPr="009353E6" w:rsidRDefault="0085086E" w:rsidP="00EA2D7E">
      <w:pPr>
        <w:keepNext/>
        <w:keepLines/>
        <w:rPr>
          <w:sz w:val="22"/>
          <w:szCs w:val="22"/>
          <w:lang w:val="pl-PL"/>
        </w:rPr>
      </w:pPr>
    </w:p>
    <w:p w:rsidR="00EA2D7E" w:rsidRPr="009353E6" w:rsidRDefault="00EA2D7E" w:rsidP="00EA2D7E">
      <w:pPr>
        <w:keepNext/>
        <w:keepLines/>
        <w:rPr>
          <w:sz w:val="22"/>
          <w:szCs w:val="22"/>
          <w:lang w:val="pl-PL"/>
        </w:rPr>
      </w:pPr>
      <w:r w:rsidRPr="009353E6">
        <w:rPr>
          <w:sz w:val="22"/>
          <w:szCs w:val="22"/>
          <w:lang w:val="pl-PL"/>
        </w:rPr>
        <w:t>Zaburzenia układu immunologicznego</w:t>
      </w:r>
    </w:p>
    <w:p w:rsidR="00EA2D7E" w:rsidRPr="009353E6" w:rsidRDefault="00EA2D7E" w:rsidP="00EA2D7E">
      <w:pPr>
        <w:ind w:left="4963" w:hanging="4963"/>
        <w:rPr>
          <w:sz w:val="22"/>
          <w:szCs w:val="22"/>
          <w:lang w:val="pl-PL"/>
        </w:rPr>
      </w:pPr>
      <w:r w:rsidRPr="009353E6">
        <w:rPr>
          <w:sz w:val="22"/>
          <w:szCs w:val="22"/>
          <w:lang w:val="pl-PL"/>
        </w:rPr>
        <w:t xml:space="preserve">Rzadko: </w:t>
      </w:r>
      <w:r w:rsidRPr="009353E6">
        <w:rPr>
          <w:sz w:val="22"/>
          <w:szCs w:val="22"/>
          <w:lang w:val="pl-PL"/>
        </w:rPr>
        <w:tab/>
        <w:t>Zaostrzenie lub aktywacja tocznia rumieniowatego układowego</w:t>
      </w:r>
      <w:r w:rsidRPr="009353E6">
        <w:rPr>
          <w:sz w:val="22"/>
          <w:szCs w:val="22"/>
          <w:vertAlign w:val="superscript"/>
          <w:lang w:val="pl-PL"/>
        </w:rPr>
        <w:t>1</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metabolizmu i odżywiania</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Hipokaliemia</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Zwiększenie stężenia kwasu moczowego we krwi, hip</w:t>
      </w:r>
      <w:r w:rsidR="005226ED" w:rsidRPr="009353E6">
        <w:rPr>
          <w:sz w:val="22"/>
          <w:szCs w:val="22"/>
          <w:lang w:val="pl-PL"/>
        </w:rPr>
        <w:t>o</w:t>
      </w:r>
      <w:r w:rsidRPr="009353E6">
        <w:rPr>
          <w:sz w:val="22"/>
          <w:szCs w:val="22"/>
          <w:lang w:val="pl-PL"/>
        </w:rPr>
        <w:t>natremia</w:t>
      </w:r>
    </w:p>
    <w:p w:rsidR="0045600D" w:rsidRPr="009353E6" w:rsidRDefault="0045600D"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psychiczne</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Niepokój</w:t>
      </w:r>
    </w:p>
    <w:p w:rsidR="009571E7" w:rsidRPr="009353E6" w:rsidRDefault="009571E7"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Depresja</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układu nerwowego</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Zawroty głowy</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Omdlenia, parestazje</w:t>
      </w:r>
    </w:p>
    <w:p w:rsidR="009571E7" w:rsidRPr="009353E6" w:rsidRDefault="009571E7"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t xml:space="preserve"> </w:t>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Bezsenność, zaburzenia snu</w:t>
      </w:r>
      <w:r w:rsidRPr="009353E6">
        <w:rPr>
          <w:sz w:val="22"/>
          <w:szCs w:val="22"/>
          <w:lang w:val="pl-PL"/>
        </w:rPr>
        <w:tab/>
      </w:r>
      <w:r w:rsidRPr="009353E6">
        <w:rPr>
          <w:sz w:val="22"/>
          <w:szCs w:val="22"/>
          <w:lang w:val="pl-PL"/>
        </w:rPr>
        <w:tab/>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oka</w:t>
      </w:r>
    </w:p>
    <w:p w:rsidR="009571E7" w:rsidRPr="009353E6" w:rsidRDefault="009571E7"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Zaburzenia widzenia, niewyraźne widzenie</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ucha i błędnika</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Zawroty głowy</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serca</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Częstoskurcz, arytmie</w:t>
      </w:r>
    </w:p>
    <w:p w:rsidR="009571E7" w:rsidRPr="009353E6" w:rsidRDefault="009571E7" w:rsidP="000D5BED">
      <w:pPr>
        <w:pStyle w:val="BodyText"/>
        <w:spacing w:line="240" w:lineRule="auto"/>
        <w:jc w:val="left"/>
        <w:rPr>
          <w:sz w:val="22"/>
          <w:szCs w:val="22"/>
          <w:lang w:val="pl-PL"/>
        </w:rPr>
      </w:pPr>
    </w:p>
    <w:p w:rsidR="009571E7" w:rsidRPr="009353E6" w:rsidRDefault="009571E7" w:rsidP="004A0B9E">
      <w:pPr>
        <w:pStyle w:val="BodyText"/>
        <w:keepNext/>
        <w:spacing w:line="240" w:lineRule="auto"/>
        <w:jc w:val="left"/>
        <w:rPr>
          <w:sz w:val="22"/>
          <w:szCs w:val="22"/>
          <w:lang w:val="pl-PL"/>
        </w:rPr>
      </w:pPr>
      <w:r w:rsidRPr="009353E6">
        <w:rPr>
          <w:sz w:val="22"/>
          <w:szCs w:val="22"/>
          <w:lang w:val="pl-PL"/>
        </w:rPr>
        <w:t xml:space="preserve">Zaburzenia </w:t>
      </w:r>
      <w:r w:rsidR="00807A4D" w:rsidRPr="009353E6">
        <w:rPr>
          <w:sz w:val="22"/>
          <w:szCs w:val="22"/>
          <w:lang w:val="pl-PL"/>
        </w:rPr>
        <w:t>naczyniowe</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Niedociśnienie, niedociśnienie ortostatyczne</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układu oddechowego, klatki piersiowej i śródpiersia</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Niezbyt 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Duszność</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 xml:space="preserve">Zespół zaburzeń oddechowych (w tym zapalenie płuc oraz obrzęk płuc) </w:t>
      </w:r>
    </w:p>
    <w:p w:rsidR="00F710F6" w:rsidRPr="009353E6" w:rsidRDefault="00F710F6"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żołądka i jelit</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Niezbyt często:</w:t>
      </w:r>
      <w:r w:rsidRPr="009353E6">
        <w:rPr>
          <w:sz w:val="22"/>
          <w:szCs w:val="22"/>
          <w:lang w:val="pl-PL"/>
        </w:rPr>
        <w:tab/>
        <w:t xml:space="preserve">Biegunka, suchość błon śluzowych w jamie ustnej, wzdęcia </w:t>
      </w:r>
    </w:p>
    <w:p w:rsidR="009571E7" w:rsidRPr="009353E6" w:rsidRDefault="009571E7"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Ból brzucha, zaparcia, dyspepsja, wymioty</w:t>
      </w:r>
      <w:r w:rsidR="00807A4D" w:rsidRPr="009353E6">
        <w:rPr>
          <w:sz w:val="22"/>
          <w:szCs w:val="22"/>
          <w:lang w:val="pl-PL"/>
        </w:rPr>
        <w:t>,</w:t>
      </w:r>
    </w:p>
    <w:p w:rsidR="009571E7" w:rsidRPr="009353E6" w:rsidRDefault="009571E7" w:rsidP="000D5BED">
      <w:pPr>
        <w:pStyle w:val="BodyText"/>
        <w:spacing w:line="240" w:lineRule="auto"/>
        <w:jc w:val="left"/>
        <w:rPr>
          <w:sz w:val="22"/>
          <w:szCs w:val="22"/>
          <w:lang w:val="pl-PL"/>
        </w:rPr>
      </w:pPr>
      <w:r w:rsidRPr="009353E6">
        <w:rPr>
          <w:sz w:val="22"/>
          <w:szCs w:val="22"/>
          <w:lang w:val="pl-PL"/>
        </w:rPr>
        <w:tab/>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E813C1" w:rsidRPr="009353E6">
        <w:rPr>
          <w:sz w:val="22"/>
          <w:szCs w:val="22"/>
          <w:lang w:val="pl-PL"/>
        </w:rPr>
        <w:tab/>
      </w:r>
      <w:r w:rsidR="00807A4D" w:rsidRPr="009353E6">
        <w:rPr>
          <w:sz w:val="22"/>
          <w:szCs w:val="22"/>
          <w:lang w:val="pl-PL"/>
        </w:rPr>
        <w:t>z</w:t>
      </w:r>
      <w:r w:rsidRPr="009353E6">
        <w:rPr>
          <w:sz w:val="22"/>
          <w:szCs w:val="22"/>
          <w:lang w:val="pl-PL"/>
        </w:rPr>
        <w:t>apalenie żołądka</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wątroby i dróg żółciowych</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Nieprawidłowa czynność wątroby/zaburzenia wątroby</w:t>
      </w:r>
      <w:r w:rsidR="00EA2D7E" w:rsidRPr="009353E6">
        <w:rPr>
          <w:sz w:val="22"/>
          <w:szCs w:val="22"/>
          <w:vertAlign w:val="superscript"/>
          <w:lang w:val="pl-PL"/>
        </w:rPr>
        <w:t>2</w:t>
      </w: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skóry i tkanki podskórnej</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Obrzęk naczynioruchowy</w:t>
      </w:r>
      <w:r w:rsidR="00EA2D7E" w:rsidRPr="009353E6">
        <w:rPr>
          <w:sz w:val="22"/>
          <w:szCs w:val="22"/>
          <w:lang w:val="pl-PL"/>
        </w:rPr>
        <w:t xml:space="preserve"> (</w:t>
      </w:r>
      <w:r w:rsidR="00891993" w:rsidRPr="009353E6">
        <w:rPr>
          <w:sz w:val="22"/>
          <w:szCs w:val="22"/>
          <w:lang w:val="pl-PL"/>
        </w:rPr>
        <w:t>również zakończony zgonem</w:t>
      </w:r>
      <w:r w:rsidR="00EA2D7E" w:rsidRPr="009353E6">
        <w:rPr>
          <w:sz w:val="22"/>
          <w:szCs w:val="22"/>
          <w:lang w:val="pl-PL"/>
        </w:rPr>
        <w:t>)</w:t>
      </w:r>
      <w:r w:rsidRPr="009353E6">
        <w:rPr>
          <w:sz w:val="22"/>
          <w:szCs w:val="22"/>
          <w:lang w:val="pl-PL"/>
        </w:rPr>
        <w:t>, rumień, świąd,  wysypka, nadmierne pocenie się, pokrzywka</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mięśniowo-szkieletowe i tkanki łącznej</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Ból pleców, skurcze mię</w:t>
      </w:r>
      <w:r w:rsidR="00CC5067" w:rsidRPr="009353E6">
        <w:rPr>
          <w:sz w:val="22"/>
          <w:szCs w:val="22"/>
          <w:lang w:val="pl-PL"/>
        </w:rPr>
        <w:t>ś</w:t>
      </w:r>
      <w:r w:rsidRPr="009353E6">
        <w:rPr>
          <w:sz w:val="22"/>
          <w:szCs w:val="22"/>
          <w:lang w:val="pl-PL"/>
        </w:rPr>
        <w:t>ni, ból mięśni</w:t>
      </w:r>
    </w:p>
    <w:p w:rsidR="009571E7" w:rsidRPr="009353E6" w:rsidRDefault="009571E7"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Ból stawów, kurcze mięśni, ból kończyn</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Zaburzenia układu rozrodczego i piersi </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Niezbyt często: </w:t>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ab/>
        <w:t>Zaburzenia erekcji</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ogólne i stany w miejscu podania</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Ból w klatce piersiowej</w:t>
      </w:r>
    </w:p>
    <w:p w:rsidR="009571E7" w:rsidRPr="009353E6" w:rsidRDefault="009571E7"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Objawy grypopodobne, ból</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Badania </w:t>
      </w:r>
      <w:r w:rsidR="005226ED" w:rsidRPr="009353E6">
        <w:rPr>
          <w:sz w:val="22"/>
          <w:szCs w:val="22"/>
          <w:lang w:val="pl-PL"/>
        </w:rPr>
        <w:t>diagnostyczne</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Niezbyt często:</w:t>
      </w:r>
      <w:r w:rsidRPr="009353E6">
        <w:rPr>
          <w:sz w:val="22"/>
          <w:szCs w:val="22"/>
          <w:lang w:val="pl-PL"/>
        </w:rPr>
        <w:tab/>
      </w:r>
      <w:r w:rsidR="005226ED" w:rsidRPr="009353E6">
        <w:rPr>
          <w:sz w:val="22"/>
          <w:szCs w:val="22"/>
          <w:lang w:val="pl-PL"/>
        </w:rPr>
        <w:t xml:space="preserve">Zwiększenie stężenia </w:t>
      </w:r>
      <w:r w:rsidRPr="009353E6">
        <w:rPr>
          <w:sz w:val="22"/>
          <w:szCs w:val="22"/>
          <w:lang w:val="pl-PL"/>
        </w:rPr>
        <w:t>kwasu mocz</w:t>
      </w:r>
      <w:r w:rsidR="00C368B1" w:rsidRPr="009353E6">
        <w:rPr>
          <w:sz w:val="22"/>
          <w:szCs w:val="22"/>
          <w:lang w:val="pl-PL"/>
        </w:rPr>
        <w:t>o</w:t>
      </w:r>
      <w:r w:rsidRPr="009353E6">
        <w:rPr>
          <w:sz w:val="22"/>
          <w:szCs w:val="22"/>
          <w:lang w:val="pl-PL"/>
        </w:rPr>
        <w:t>wgo we krwi</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r>
      <w:r w:rsidR="005226ED" w:rsidRPr="009353E6">
        <w:rPr>
          <w:sz w:val="22"/>
          <w:szCs w:val="22"/>
          <w:lang w:val="pl-PL"/>
        </w:rPr>
        <w:t>Zwiększenie stężenia k</w:t>
      </w:r>
      <w:r w:rsidRPr="009353E6">
        <w:rPr>
          <w:sz w:val="22"/>
          <w:szCs w:val="22"/>
          <w:lang w:val="pl-PL"/>
        </w:rPr>
        <w:t xml:space="preserve">reatyniny we krwi, </w:t>
      </w:r>
      <w:r w:rsidR="005226ED" w:rsidRPr="009353E6">
        <w:rPr>
          <w:sz w:val="22"/>
          <w:szCs w:val="22"/>
          <w:lang w:val="pl-PL"/>
        </w:rPr>
        <w:t>zwiększenie aktywności f</w:t>
      </w:r>
      <w:r w:rsidRPr="009353E6">
        <w:rPr>
          <w:sz w:val="22"/>
          <w:szCs w:val="22"/>
          <w:lang w:val="pl-PL"/>
        </w:rPr>
        <w:t>osfokinazy kreatyn</w:t>
      </w:r>
      <w:r w:rsidR="005226ED" w:rsidRPr="009353E6">
        <w:rPr>
          <w:sz w:val="22"/>
          <w:szCs w:val="22"/>
          <w:lang w:val="pl-PL"/>
        </w:rPr>
        <w:t>owej</w:t>
      </w:r>
      <w:r w:rsidRPr="009353E6">
        <w:rPr>
          <w:sz w:val="22"/>
          <w:szCs w:val="22"/>
          <w:lang w:val="pl-PL"/>
        </w:rPr>
        <w:t xml:space="preserve"> we krwi, zwiększona aktywność enzymów wątrobowych </w:t>
      </w:r>
    </w:p>
    <w:p w:rsidR="00EA2D7E" w:rsidRPr="009353E6" w:rsidRDefault="00EA2D7E" w:rsidP="00586E5C">
      <w:pPr>
        <w:pStyle w:val="BodyText"/>
        <w:spacing w:line="240" w:lineRule="auto"/>
        <w:ind w:left="4963" w:hanging="4963"/>
        <w:jc w:val="left"/>
        <w:rPr>
          <w:sz w:val="22"/>
          <w:szCs w:val="22"/>
          <w:lang w:val="pl-PL"/>
        </w:rPr>
      </w:pPr>
    </w:p>
    <w:p w:rsidR="00204221" w:rsidRPr="009353E6" w:rsidRDefault="005612DD" w:rsidP="005612DD">
      <w:pPr>
        <w:pStyle w:val="BodyText"/>
        <w:tabs>
          <w:tab w:val="left" w:pos="0"/>
        </w:tabs>
        <w:spacing w:line="240" w:lineRule="auto"/>
        <w:jc w:val="left"/>
        <w:rPr>
          <w:sz w:val="22"/>
          <w:szCs w:val="22"/>
          <w:lang w:val="pl-PL"/>
        </w:rPr>
      </w:pPr>
      <w:r w:rsidRPr="009353E6">
        <w:rPr>
          <w:sz w:val="22"/>
          <w:szCs w:val="22"/>
          <w:lang w:val="pl-PL"/>
        </w:rPr>
        <w:t xml:space="preserve">1: </w:t>
      </w:r>
      <w:r w:rsidR="00EA2D7E" w:rsidRPr="009353E6">
        <w:rPr>
          <w:sz w:val="22"/>
          <w:szCs w:val="22"/>
          <w:lang w:val="pl-PL"/>
        </w:rPr>
        <w:t xml:space="preserve"> Na podstawie doświadczenia po wprowadzeniu produktu do obrotu</w:t>
      </w:r>
    </w:p>
    <w:p w:rsidR="00B36BA6" w:rsidRPr="009353E6" w:rsidRDefault="00EA2D7E" w:rsidP="00B36BA6">
      <w:pPr>
        <w:rPr>
          <w:sz w:val="22"/>
          <w:szCs w:val="22"/>
          <w:lang w:val="pl-PL"/>
        </w:rPr>
      </w:pPr>
      <w:r w:rsidRPr="009353E6">
        <w:rPr>
          <w:sz w:val="22"/>
          <w:szCs w:val="22"/>
          <w:lang w:val="pl-PL"/>
        </w:rPr>
        <w:t>2</w:t>
      </w:r>
      <w:r w:rsidR="00CC5067" w:rsidRPr="009353E6">
        <w:rPr>
          <w:sz w:val="22"/>
          <w:szCs w:val="22"/>
          <w:lang w:val="pl-PL"/>
        </w:rPr>
        <w:t xml:space="preserve">: </w:t>
      </w:r>
      <w:r w:rsidR="005612DD" w:rsidRPr="009353E6">
        <w:rPr>
          <w:sz w:val="22"/>
          <w:szCs w:val="22"/>
          <w:lang w:val="pl-PL"/>
        </w:rPr>
        <w:t xml:space="preserve"> </w:t>
      </w:r>
      <w:r w:rsidR="00CC5067" w:rsidRPr="009353E6">
        <w:rPr>
          <w:sz w:val="22"/>
          <w:szCs w:val="22"/>
          <w:lang w:val="pl-PL"/>
        </w:rPr>
        <w:t>Bardziej szczegółowe informacje znajdują się w</w:t>
      </w:r>
      <w:r w:rsidR="00B36BA6" w:rsidRPr="009353E6">
        <w:rPr>
          <w:sz w:val="22"/>
          <w:szCs w:val="22"/>
          <w:lang w:val="pl-PL"/>
        </w:rPr>
        <w:t xml:space="preserve"> pod</w:t>
      </w:r>
      <w:r w:rsidR="00F710F6" w:rsidRPr="009353E6">
        <w:rPr>
          <w:sz w:val="22"/>
          <w:szCs w:val="22"/>
          <w:lang w:val="pl-PL"/>
        </w:rPr>
        <w:t>punkcie</w:t>
      </w:r>
      <w:r w:rsidR="00CC5067" w:rsidRPr="009353E6">
        <w:rPr>
          <w:sz w:val="22"/>
          <w:szCs w:val="22"/>
          <w:lang w:val="pl-PL"/>
        </w:rPr>
        <w:t xml:space="preserve"> </w:t>
      </w:r>
      <w:r w:rsidR="0047605B" w:rsidRPr="009353E6">
        <w:rPr>
          <w:sz w:val="22"/>
          <w:szCs w:val="22"/>
          <w:lang w:val="pl-PL"/>
        </w:rPr>
        <w:t>”</w:t>
      </w:r>
      <w:r w:rsidR="00B36BA6" w:rsidRPr="009353E6">
        <w:rPr>
          <w:sz w:val="22"/>
          <w:szCs w:val="22"/>
          <w:lang w:val="pl-PL"/>
        </w:rPr>
        <w:t>Opis wybranych działań   niepożądanych</w:t>
      </w:r>
      <w:r w:rsidR="0047605B" w:rsidRPr="009353E6">
        <w:rPr>
          <w:sz w:val="22"/>
          <w:szCs w:val="22"/>
          <w:lang w:val="pl-PL"/>
        </w:rPr>
        <w:t>”</w:t>
      </w:r>
    </w:p>
    <w:p w:rsidR="00CC5067" w:rsidRPr="009353E6" w:rsidRDefault="00CC5067" w:rsidP="000D5BED">
      <w:pPr>
        <w:pStyle w:val="BodyText"/>
        <w:spacing w:line="240" w:lineRule="auto"/>
        <w:jc w:val="left"/>
        <w:rPr>
          <w:i/>
          <w:sz w:val="22"/>
          <w:szCs w:val="22"/>
          <w:lang w:val="pl-PL"/>
        </w:rPr>
      </w:pPr>
    </w:p>
    <w:p w:rsidR="00204221" w:rsidRPr="009353E6" w:rsidRDefault="00204221" w:rsidP="000D5BED">
      <w:pPr>
        <w:pStyle w:val="BodyText"/>
        <w:spacing w:line="240" w:lineRule="auto"/>
        <w:jc w:val="left"/>
        <w:rPr>
          <w:i/>
          <w:sz w:val="22"/>
          <w:szCs w:val="22"/>
          <w:lang w:val="pl-PL"/>
        </w:rPr>
      </w:pPr>
      <w:r w:rsidRPr="009353E6">
        <w:rPr>
          <w:i/>
          <w:sz w:val="22"/>
          <w:szCs w:val="22"/>
          <w:lang w:val="pl-PL"/>
        </w:rPr>
        <w:t>Informacja dodatkowa o poszczególnych składnikach</w:t>
      </w:r>
    </w:p>
    <w:p w:rsidR="0047605B" w:rsidRPr="009353E6" w:rsidRDefault="0047605B" w:rsidP="000D5BED">
      <w:pPr>
        <w:pStyle w:val="BodyText"/>
        <w:spacing w:line="240" w:lineRule="auto"/>
        <w:jc w:val="left"/>
        <w:rPr>
          <w:sz w:val="22"/>
          <w:szCs w:val="22"/>
          <w:lang w:val="pl-PL"/>
        </w:rPr>
      </w:pPr>
    </w:p>
    <w:p w:rsidR="00204221" w:rsidRPr="009353E6" w:rsidRDefault="00B36BA6" w:rsidP="000D5BED">
      <w:pPr>
        <w:pStyle w:val="BodyText"/>
        <w:spacing w:line="240" w:lineRule="auto"/>
        <w:jc w:val="left"/>
        <w:rPr>
          <w:sz w:val="22"/>
          <w:szCs w:val="22"/>
          <w:lang w:val="pl-PL"/>
        </w:rPr>
      </w:pPr>
      <w:r w:rsidRPr="009353E6">
        <w:rPr>
          <w:sz w:val="22"/>
          <w:szCs w:val="22"/>
          <w:lang w:val="pl-PL"/>
        </w:rPr>
        <w:t>D</w:t>
      </w:r>
      <w:r w:rsidR="00204221" w:rsidRPr="009353E6">
        <w:rPr>
          <w:sz w:val="22"/>
          <w:szCs w:val="22"/>
          <w:lang w:val="pl-PL"/>
        </w:rPr>
        <w:t>ziałania</w:t>
      </w:r>
      <w:r w:rsidRPr="009353E6">
        <w:rPr>
          <w:sz w:val="22"/>
          <w:szCs w:val="22"/>
          <w:lang w:val="pl-PL"/>
        </w:rPr>
        <w:t xml:space="preserve"> niepożądane</w:t>
      </w:r>
      <w:r w:rsidR="00204221" w:rsidRPr="009353E6">
        <w:rPr>
          <w:sz w:val="22"/>
          <w:szCs w:val="22"/>
          <w:lang w:val="pl-PL"/>
        </w:rPr>
        <w:t xml:space="preserve">, o których donoszono wcześniej, dotyczące poszczególnych składników, mogą być potencjalnymi </w:t>
      </w:r>
      <w:r w:rsidRPr="009353E6">
        <w:rPr>
          <w:sz w:val="22"/>
          <w:szCs w:val="22"/>
          <w:lang w:val="pl-PL"/>
        </w:rPr>
        <w:t xml:space="preserve">działaniami </w:t>
      </w:r>
      <w:r w:rsidR="00204221" w:rsidRPr="009353E6">
        <w:rPr>
          <w:sz w:val="22"/>
          <w:szCs w:val="22"/>
          <w:lang w:val="pl-PL"/>
        </w:rPr>
        <w:t xml:space="preserve">niepożądanymi występującymi w przypadku stosowania </w:t>
      </w:r>
      <w:r w:rsidR="00F710F6" w:rsidRPr="009353E6">
        <w:rPr>
          <w:sz w:val="22"/>
          <w:szCs w:val="22"/>
          <w:lang w:val="pl-PL"/>
        </w:rPr>
        <w:t>produkt</w:t>
      </w:r>
      <w:r w:rsidR="00204221" w:rsidRPr="009353E6">
        <w:rPr>
          <w:sz w:val="22"/>
          <w:szCs w:val="22"/>
          <w:lang w:val="pl-PL"/>
        </w:rPr>
        <w:t xml:space="preserve">u MicardisPlus, nawet jeśli nie zaobserwowano ich w badaniach klinicznych leku. </w:t>
      </w:r>
    </w:p>
    <w:p w:rsidR="00204221" w:rsidRPr="009353E6" w:rsidRDefault="00204221" w:rsidP="000D5BED">
      <w:pPr>
        <w:pStyle w:val="BodyText"/>
        <w:spacing w:line="240" w:lineRule="auto"/>
        <w:jc w:val="left"/>
        <w:rPr>
          <w:sz w:val="22"/>
          <w:szCs w:val="22"/>
          <w:lang w:val="pl-PL"/>
        </w:rPr>
      </w:pPr>
    </w:p>
    <w:p w:rsidR="00204221" w:rsidRPr="009353E6" w:rsidRDefault="00204221" w:rsidP="004A0B9E">
      <w:pPr>
        <w:pStyle w:val="BodyText"/>
        <w:keepNext/>
        <w:spacing w:line="240" w:lineRule="auto"/>
        <w:jc w:val="left"/>
        <w:rPr>
          <w:sz w:val="22"/>
          <w:szCs w:val="22"/>
          <w:u w:val="single"/>
          <w:lang w:val="pl-PL"/>
        </w:rPr>
      </w:pPr>
      <w:r w:rsidRPr="009353E6">
        <w:rPr>
          <w:sz w:val="22"/>
          <w:szCs w:val="22"/>
          <w:u w:val="single"/>
          <w:lang w:val="pl-PL"/>
        </w:rPr>
        <w:t>Telmisartan:</w:t>
      </w:r>
    </w:p>
    <w:p w:rsidR="00204221" w:rsidRPr="009353E6" w:rsidRDefault="00B36BA6" w:rsidP="000D5BED">
      <w:pPr>
        <w:pStyle w:val="BodyText"/>
        <w:spacing w:line="240" w:lineRule="auto"/>
        <w:jc w:val="left"/>
        <w:rPr>
          <w:sz w:val="22"/>
          <w:szCs w:val="22"/>
          <w:lang w:val="pl-PL"/>
        </w:rPr>
      </w:pPr>
      <w:r w:rsidRPr="009353E6">
        <w:rPr>
          <w:sz w:val="22"/>
          <w:szCs w:val="22"/>
          <w:lang w:val="pl-PL"/>
        </w:rPr>
        <w:t xml:space="preserve">Działania </w:t>
      </w:r>
      <w:r w:rsidR="00204221" w:rsidRPr="009353E6">
        <w:rPr>
          <w:sz w:val="22"/>
          <w:szCs w:val="22"/>
          <w:lang w:val="pl-PL"/>
        </w:rPr>
        <w:t>niepożądane wystąpiły z podobną częstością u pacjentów leczonych telmisartanem i otrzymujących placebo.</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Całkowita częstość występowania </w:t>
      </w:r>
      <w:r w:rsidR="00B36BA6" w:rsidRPr="009353E6">
        <w:rPr>
          <w:sz w:val="22"/>
          <w:szCs w:val="22"/>
          <w:lang w:val="pl-PL"/>
        </w:rPr>
        <w:t xml:space="preserve">działań </w:t>
      </w:r>
      <w:r w:rsidRPr="009353E6">
        <w:rPr>
          <w:sz w:val="22"/>
          <w:szCs w:val="22"/>
          <w:lang w:val="pl-PL"/>
        </w:rPr>
        <w:t xml:space="preserve">niepożądanych w przypadku stosowania telmisartanu (41,4%) w badaniu kontrolowanym placebo, była zazwyczaj porównywalna do częstości </w:t>
      </w:r>
      <w:r w:rsidR="00B36BA6" w:rsidRPr="009353E6">
        <w:rPr>
          <w:sz w:val="22"/>
          <w:szCs w:val="22"/>
          <w:lang w:val="pl-PL"/>
        </w:rPr>
        <w:t>działań</w:t>
      </w:r>
      <w:r w:rsidRPr="009353E6">
        <w:rPr>
          <w:sz w:val="22"/>
          <w:szCs w:val="22"/>
          <w:lang w:val="pl-PL"/>
        </w:rPr>
        <w:t xml:space="preserve"> w przypadku stosowania samego placebo (43,9%). </w:t>
      </w:r>
    </w:p>
    <w:p w:rsidR="0047675F" w:rsidRPr="009353E6" w:rsidRDefault="0047675F" w:rsidP="0047675F">
      <w:pPr>
        <w:rPr>
          <w:sz w:val="22"/>
          <w:szCs w:val="22"/>
          <w:lang w:val="pl-PL"/>
        </w:rPr>
      </w:pPr>
      <w:r w:rsidRPr="009353E6">
        <w:rPr>
          <w:sz w:val="22"/>
          <w:szCs w:val="22"/>
          <w:lang w:val="pl-PL"/>
        </w:rPr>
        <w:t>W poniższym zestawieniu przedstawiono działania niepożądane, które zanotowano we wszystkich badaniach klinicznych z udziałem pacjentów leczonych telmisartanem z powodu nadciśnienia lub pacjentów w wieku 50 lat i starszych z grupy dużego ryzyka powikłań sercowo-naczyniowych.</w:t>
      </w:r>
    </w:p>
    <w:p w:rsidR="00204221" w:rsidRPr="009353E6" w:rsidRDefault="00204221"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p>
    <w:p w:rsidR="009571E7" w:rsidRPr="009353E6" w:rsidRDefault="009571E7" w:rsidP="005E3A9A">
      <w:pPr>
        <w:pStyle w:val="BodyText"/>
        <w:keepNext/>
        <w:spacing w:line="240" w:lineRule="auto"/>
        <w:jc w:val="left"/>
        <w:rPr>
          <w:sz w:val="22"/>
          <w:szCs w:val="22"/>
          <w:lang w:val="pl-PL"/>
        </w:rPr>
      </w:pPr>
      <w:r w:rsidRPr="009353E6">
        <w:rPr>
          <w:sz w:val="22"/>
          <w:szCs w:val="22"/>
          <w:lang w:val="pl-PL"/>
        </w:rPr>
        <w:t xml:space="preserve">Zakażenia i zarażenia pasożytnicze </w:t>
      </w:r>
    </w:p>
    <w:p w:rsidR="00CC5067" w:rsidRPr="009353E6" w:rsidRDefault="00CC5067" w:rsidP="001B3572">
      <w:pPr>
        <w:ind w:left="4963" w:hanging="4963"/>
        <w:rPr>
          <w:sz w:val="22"/>
          <w:szCs w:val="22"/>
          <w:lang w:val="pl-PL"/>
        </w:rPr>
      </w:pPr>
      <w:r w:rsidRPr="009353E6">
        <w:rPr>
          <w:sz w:val="22"/>
          <w:szCs w:val="22"/>
          <w:lang w:val="pl-PL"/>
        </w:rPr>
        <w:t>Niezbyt cz</w:t>
      </w:r>
      <w:r w:rsidR="009A1AED" w:rsidRPr="009353E6">
        <w:rPr>
          <w:sz w:val="22"/>
          <w:szCs w:val="22"/>
          <w:lang w:val="pl-PL"/>
        </w:rPr>
        <w:t>ę</w:t>
      </w:r>
      <w:r w:rsidRPr="009353E6">
        <w:rPr>
          <w:sz w:val="22"/>
          <w:szCs w:val="22"/>
          <w:lang w:val="pl-PL"/>
        </w:rPr>
        <w:t>sto</w:t>
      </w:r>
      <w:r w:rsidR="009571E7" w:rsidRPr="009353E6">
        <w:rPr>
          <w:sz w:val="22"/>
          <w:szCs w:val="22"/>
          <w:lang w:val="pl-PL"/>
        </w:rPr>
        <w:t xml:space="preserve">: </w:t>
      </w:r>
      <w:r w:rsidR="009571E7" w:rsidRPr="009353E6">
        <w:rPr>
          <w:sz w:val="22"/>
          <w:szCs w:val="22"/>
          <w:lang w:val="pl-PL"/>
        </w:rPr>
        <w:tab/>
        <w:t>Zakażenie górnych dróg oddechowych, zakażenie układu moczowego, w tym zapalenie pęcherza</w:t>
      </w:r>
    </w:p>
    <w:p w:rsidR="001B3572" w:rsidRPr="009353E6" w:rsidRDefault="00CC5067" w:rsidP="001B3572">
      <w:pPr>
        <w:ind w:left="4963" w:hanging="4963"/>
        <w:rPr>
          <w:sz w:val="22"/>
          <w:szCs w:val="22"/>
          <w:lang w:val="pl-PL"/>
        </w:rPr>
      </w:pPr>
      <w:r w:rsidRPr="009353E6">
        <w:rPr>
          <w:sz w:val="22"/>
          <w:szCs w:val="22"/>
          <w:lang w:val="pl-PL"/>
        </w:rPr>
        <w:t>Rzadko:                                                                             P</w:t>
      </w:r>
      <w:r w:rsidR="001B3572" w:rsidRPr="009353E6">
        <w:rPr>
          <w:sz w:val="22"/>
          <w:szCs w:val="22"/>
          <w:lang w:val="pl-PL"/>
        </w:rPr>
        <w:t xml:space="preserve">osocznica, w tym </w:t>
      </w:r>
      <w:r w:rsidR="0047675F" w:rsidRPr="009353E6">
        <w:rPr>
          <w:sz w:val="22"/>
          <w:szCs w:val="22"/>
          <w:lang w:val="pl-PL"/>
        </w:rPr>
        <w:t>zakończona zgonem</w:t>
      </w:r>
      <w:r w:rsidR="00EA2D7E" w:rsidRPr="009353E6">
        <w:rPr>
          <w:sz w:val="22"/>
          <w:szCs w:val="22"/>
          <w:vertAlign w:val="superscript"/>
          <w:lang w:val="pl-PL"/>
        </w:rPr>
        <w:t>3</w:t>
      </w:r>
    </w:p>
    <w:p w:rsidR="009571E7" w:rsidRPr="009353E6" w:rsidRDefault="009571E7" w:rsidP="00586E5C">
      <w:pPr>
        <w:pStyle w:val="BodyText"/>
        <w:spacing w:line="240" w:lineRule="auto"/>
        <w:ind w:left="4963" w:hanging="4963"/>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krwi i układu chłonnego</w:t>
      </w:r>
    </w:p>
    <w:p w:rsidR="00EC5B39" w:rsidRPr="009353E6" w:rsidRDefault="00CC5067" w:rsidP="000D5BED">
      <w:pPr>
        <w:pStyle w:val="BodyText"/>
        <w:spacing w:line="240" w:lineRule="auto"/>
        <w:jc w:val="left"/>
        <w:rPr>
          <w:sz w:val="22"/>
          <w:szCs w:val="22"/>
          <w:lang w:val="pl-PL"/>
        </w:rPr>
      </w:pPr>
      <w:r w:rsidRPr="009353E6">
        <w:rPr>
          <w:sz w:val="22"/>
          <w:szCs w:val="22"/>
          <w:lang w:val="pl-PL"/>
        </w:rPr>
        <w:t>Niezbyt często</w:t>
      </w:r>
      <w:r w:rsidR="009571E7" w:rsidRPr="009353E6">
        <w:rPr>
          <w:sz w:val="22"/>
          <w:szCs w:val="22"/>
          <w:lang w:val="pl-PL"/>
        </w:rPr>
        <w:t>:</w:t>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E813C1" w:rsidRPr="009353E6">
        <w:rPr>
          <w:sz w:val="22"/>
          <w:szCs w:val="22"/>
          <w:lang w:val="pl-PL"/>
        </w:rPr>
        <w:tab/>
      </w:r>
      <w:r w:rsidR="00E813C1" w:rsidRPr="009353E6">
        <w:rPr>
          <w:sz w:val="22"/>
          <w:szCs w:val="22"/>
          <w:lang w:val="pl-PL"/>
        </w:rPr>
        <w:tab/>
      </w:r>
      <w:r w:rsidRPr="009353E6">
        <w:rPr>
          <w:sz w:val="22"/>
          <w:szCs w:val="22"/>
          <w:lang w:val="pl-PL"/>
        </w:rPr>
        <w:t>N</w:t>
      </w:r>
      <w:r w:rsidR="009571E7" w:rsidRPr="009353E6">
        <w:rPr>
          <w:sz w:val="22"/>
          <w:szCs w:val="22"/>
          <w:lang w:val="pl-PL"/>
        </w:rPr>
        <w:t>iedokrwistość</w:t>
      </w:r>
    </w:p>
    <w:p w:rsidR="009571E7" w:rsidRPr="009353E6" w:rsidRDefault="00EC5B39" w:rsidP="000D5BED">
      <w:pPr>
        <w:pStyle w:val="BodyText"/>
        <w:spacing w:line="240" w:lineRule="auto"/>
        <w:jc w:val="left"/>
        <w:rPr>
          <w:sz w:val="22"/>
          <w:szCs w:val="22"/>
          <w:lang w:val="pl-PL"/>
        </w:rPr>
      </w:pPr>
      <w:r w:rsidRPr="009353E6">
        <w:rPr>
          <w:sz w:val="22"/>
          <w:szCs w:val="22"/>
          <w:lang w:val="pl-PL"/>
        </w:rPr>
        <w:t>Rzadko:                                                                             Eozynofilia,</w:t>
      </w:r>
      <w:r w:rsidR="009571E7" w:rsidRPr="009353E6">
        <w:rPr>
          <w:sz w:val="22"/>
          <w:szCs w:val="22"/>
          <w:lang w:val="pl-PL"/>
        </w:rPr>
        <w:t xml:space="preserve"> małopłytkowość</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układu immunologicznego</w:t>
      </w:r>
    </w:p>
    <w:p w:rsidR="009571E7" w:rsidRPr="009353E6" w:rsidRDefault="00F64BCE" w:rsidP="000D5BED">
      <w:pPr>
        <w:pStyle w:val="BodyText"/>
        <w:spacing w:line="240" w:lineRule="auto"/>
        <w:jc w:val="left"/>
        <w:rPr>
          <w:sz w:val="22"/>
          <w:szCs w:val="22"/>
          <w:lang w:val="pl-PL"/>
        </w:rPr>
      </w:pPr>
      <w:r w:rsidRPr="009353E6">
        <w:rPr>
          <w:sz w:val="22"/>
          <w:szCs w:val="22"/>
          <w:lang w:val="pl-PL"/>
        </w:rPr>
        <w:t>Rzadko</w:t>
      </w:r>
      <w:r w:rsidR="009571E7" w:rsidRPr="009353E6">
        <w:rPr>
          <w:sz w:val="22"/>
          <w:szCs w:val="22"/>
          <w:lang w:val="pl-PL"/>
        </w:rPr>
        <w:t>:</w:t>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E813C1" w:rsidRPr="009353E6">
        <w:rPr>
          <w:sz w:val="22"/>
          <w:szCs w:val="22"/>
          <w:lang w:val="pl-PL"/>
        </w:rPr>
        <w:tab/>
      </w:r>
      <w:r w:rsidR="009571E7" w:rsidRPr="009353E6">
        <w:rPr>
          <w:sz w:val="22"/>
          <w:szCs w:val="22"/>
          <w:lang w:val="pl-PL"/>
        </w:rPr>
        <w:t>Nadwrażliwość, rekacje anafilaktyczne</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metabolizmu i odżywiania</w:t>
      </w:r>
    </w:p>
    <w:p w:rsidR="009571E7" w:rsidRPr="009353E6" w:rsidRDefault="00F64BCE" w:rsidP="000D5BED">
      <w:pPr>
        <w:pStyle w:val="BodyText"/>
        <w:spacing w:line="240" w:lineRule="auto"/>
        <w:jc w:val="left"/>
        <w:rPr>
          <w:sz w:val="22"/>
          <w:szCs w:val="22"/>
          <w:lang w:val="pl-PL"/>
        </w:rPr>
      </w:pPr>
      <w:r w:rsidRPr="009353E6">
        <w:rPr>
          <w:sz w:val="22"/>
          <w:szCs w:val="22"/>
          <w:lang w:val="pl-PL"/>
        </w:rPr>
        <w:t>Niezbyt cz</w:t>
      </w:r>
      <w:r w:rsidR="007D4950" w:rsidRPr="009353E6">
        <w:rPr>
          <w:sz w:val="22"/>
          <w:szCs w:val="22"/>
          <w:lang w:val="pl-PL"/>
        </w:rPr>
        <w:t>ę</w:t>
      </w:r>
      <w:r w:rsidRPr="009353E6">
        <w:rPr>
          <w:sz w:val="22"/>
          <w:szCs w:val="22"/>
          <w:lang w:val="pl-PL"/>
        </w:rPr>
        <w:t>sto</w:t>
      </w:r>
      <w:r w:rsidR="009571E7" w:rsidRPr="009353E6">
        <w:rPr>
          <w:sz w:val="22"/>
          <w:szCs w:val="22"/>
          <w:lang w:val="pl-PL"/>
        </w:rPr>
        <w:t>:</w:t>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E813C1" w:rsidRPr="009353E6">
        <w:rPr>
          <w:sz w:val="22"/>
          <w:szCs w:val="22"/>
          <w:lang w:val="pl-PL"/>
        </w:rPr>
        <w:tab/>
      </w:r>
      <w:r w:rsidR="00E813C1" w:rsidRPr="009353E6">
        <w:rPr>
          <w:sz w:val="22"/>
          <w:szCs w:val="22"/>
          <w:lang w:val="pl-PL"/>
        </w:rPr>
        <w:tab/>
      </w:r>
      <w:r w:rsidR="009571E7" w:rsidRPr="009353E6">
        <w:rPr>
          <w:sz w:val="22"/>
          <w:szCs w:val="22"/>
          <w:lang w:val="pl-PL"/>
        </w:rPr>
        <w:t>Hiperkaliemia</w:t>
      </w:r>
    </w:p>
    <w:p w:rsidR="00F64BCE" w:rsidRPr="009353E6" w:rsidRDefault="00F64BCE" w:rsidP="000D5BED">
      <w:pPr>
        <w:pStyle w:val="BodyText"/>
        <w:spacing w:line="240" w:lineRule="auto"/>
        <w:jc w:val="left"/>
        <w:rPr>
          <w:sz w:val="22"/>
          <w:szCs w:val="22"/>
          <w:lang w:val="pl-PL"/>
        </w:rPr>
      </w:pPr>
      <w:r w:rsidRPr="009353E6">
        <w:rPr>
          <w:sz w:val="22"/>
          <w:szCs w:val="22"/>
          <w:lang w:val="pl-PL"/>
        </w:rPr>
        <w:t xml:space="preserve">Rzadko:                                                                             Hipoglikemia (u </w:t>
      </w:r>
      <w:r w:rsidR="00F710F6" w:rsidRPr="009353E6">
        <w:rPr>
          <w:sz w:val="22"/>
          <w:szCs w:val="22"/>
          <w:lang w:val="pl-PL"/>
        </w:rPr>
        <w:t xml:space="preserve">pacjentów z </w:t>
      </w:r>
      <w:r w:rsidRPr="009353E6">
        <w:rPr>
          <w:sz w:val="22"/>
          <w:szCs w:val="22"/>
          <w:lang w:val="pl-PL"/>
        </w:rPr>
        <w:t>cukrzyc</w:t>
      </w:r>
      <w:r w:rsidR="00F710F6" w:rsidRPr="009353E6">
        <w:rPr>
          <w:sz w:val="22"/>
          <w:szCs w:val="22"/>
          <w:lang w:val="pl-PL"/>
        </w:rPr>
        <w:t>a</w:t>
      </w:r>
      <w:r w:rsidRPr="009353E6">
        <w:rPr>
          <w:sz w:val="22"/>
          <w:szCs w:val="22"/>
          <w:lang w:val="pl-PL"/>
        </w:rPr>
        <w:t>)</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serca</w:t>
      </w:r>
    </w:p>
    <w:p w:rsidR="009571E7" w:rsidRPr="009353E6" w:rsidRDefault="00F64BCE" w:rsidP="000D5BED">
      <w:pPr>
        <w:pStyle w:val="BodyText"/>
        <w:spacing w:line="240" w:lineRule="auto"/>
        <w:jc w:val="left"/>
        <w:rPr>
          <w:sz w:val="22"/>
          <w:szCs w:val="22"/>
          <w:lang w:val="pl-PL"/>
        </w:rPr>
      </w:pPr>
      <w:r w:rsidRPr="009353E6">
        <w:rPr>
          <w:sz w:val="22"/>
          <w:szCs w:val="22"/>
          <w:lang w:val="pl-PL"/>
        </w:rPr>
        <w:t>Niezbyt często</w:t>
      </w:r>
      <w:r w:rsidR="009571E7" w:rsidRPr="009353E6">
        <w:rPr>
          <w:sz w:val="22"/>
          <w:szCs w:val="22"/>
          <w:lang w:val="pl-PL"/>
        </w:rPr>
        <w:t>:</w:t>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E813C1" w:rsidRPr="009353E6">
        <w:rPr>
          <w:sz w:val="22"/>
          <w:szCs w:val="22"/>
          <w:lang w:val="pl-PL"/>
        </w:rPr>
        <w:tab/>
      </w:r>
      <w:r w:rsidR="00E813C1" w:rsidRPr="009353E6">
        <w:rPr>
          <w:sz w:val="22"/>
          <w:szCs w:val="22"/>
          <w:lang w:val="pl-PL"/>
        </w:rPr>
        <w:tab/>
      </w:r>
      <w:r w:rsidR="009571E7" w:rsidRPr="009353E6">
        <w:rPr>
          <w:sz w:val="22"/>
          <w:szCs w:val="22"/>
          <w:lang w:val="pl-PL"/>
        </w:rPr>
        <w:t>Rzadkoskurcz</w:t>
      </w:r>
    </w:p>
    <w:p w:rsidR="006372E7" w:rsidRPr="009353E6" w:rsidRDefault="006372E7" w:rsidP="00B36BA6">
      <w:pPr>
        <w:jc w:val="both"/>
        <w:rPr>
          <w:sz w:val="22"/>
          <w:lang w:val="pl-PL"/>
        </w:rPr>
      </w:pPr>
    </w:p>
    <w:p w:rsidR="00B36BA6" w:rsidRPr="009353E6" w:rsidRDefault="00B36BA6" w:rsidP="00B36BA6">
      <w:pPr>
        <w:jc w:val="both"/>
        <w:rPr>
          <w:sz w:val="22"/>
          <w:lang w:val="pl-PL"/>
        </w:rPr>
      </w:pPr>
      <w:r w:rsidRPr="009353E6">
        <w:rPr>
          <w:sz w:val="22"/>
          <w:lang w:val="pl-PL"/>
        </w:rPr>
        <w:t>Zaburzenia układu nerwowego</w:t>
      </w:r>
    </w:p>
    <w:p w:rsidR="00B36BA6" w:rsidRPr="009353E6" w:rsidRDefault="00B36BA6" w:rsidP="000E039F">
      <w:pPr>
        <w:rPr>
          <w:sz w:val="22"/>
          <w:szCs w:val="22"/>
          <w:lang w:val="pl-PL"/>
        </w:rPr>
      </w:pPr>
      <w:r w:rsidRPr="009353E6">
        <w:rPr>
          <w:sz w:val="22"/>
          <w:szCs w:val="22"/>
          <w:lang w:val="pl-PL"/>
        </w:rPr>
        <w:t xml:space="preserve">Rzadko: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000E039F" w:rsidRPr="009353E6">
        <w:rPr>
          <w:sz w:val="22"/>
          <w:szCs w:val="22"/>
          <w:lang w:val="pl-PL"/>
        </w:rPr>
        <w:tab/>
      </w:r>
      <w:r w:rsidRPr="009353E6">
        <w:rPr>
          <w:sz w:val="22"/>
          <w:szCs w:val="22"/>
          <w:lang w:val="pl-PL"/>
        </w:rPr>
        <w:t>Senność</w:t>
      </w:r>
    </w:p>
    <w:p w:rsidR="00B36BA6" w:rsidRPr="009353E6" w:rsidRDefault="00B36BA6" w:rsidP="00B36BA6">
      <w:pPr>
        <w:jc w:val="both"/>
        <w:rPr>
          <w:sz w:val="22"/>
          <w:highlight w:val="yellow"/>
          <w:lang w:val="pl-PL"/>
        </w:rPr>
      </w:pPr>
    </w:p>
    <w:p w:rsidR="00B36BA6" w:rsidRPr="009353E6" w:rsidRDefault="00B36BA6" w:rsidP="00B36BA6">
      <w:pPr>
        <w:jc w:val="both"/>
        <w:rPr>
          <w:sz w:val="22"/>
          <w:szCs w:val="22"/>
          <w:lang w:val="pl-PL"/>
        </w:rPr>
      </w:pPr>
      <w:r w:rsidRPr="009353E6">
        <w:rPr>
          <w:sz w:val="22"/>
          <w:lang w:val="pl-PL"/>
        </w:rPr>
        <w:t>Zaburzenia oddechowe, klatki piersiowej i śródpiersia</w:t>
      </w:r>
    </w:p>
    <w:p w:rsidR="00B36BA6" w:rsidRPr="009353E6" w:rsidRDefault="00B36BA6" w:rsidP="000E039F">
      <w:pPr>
        <w:jc w:val="both"/>
        <w:rPr>
          <w:sz w:val="22"/>
          <w:szCs w:val="22"/>
          <w:lang w:val="pl-PL"/>
        </w:rPr>
      </w:pPr>
      <w:r w:rsidRPr="009353E6">
        <w:rPr>
          <w:sz w:val="22"/>
          <w:szCs w:val="22"/>
          <w:lang w:val="pl-PL"/>
        </w:rPr>
        <w:t xml:space="preserve">Niezbyt często: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000E039F" w:rsidRPr="009353E6">
        <w:rPr>
          <w:sz w:val="22"/>
          <w:szCs w:val="22"/>
          <w:lang w:val="pl-PL"/>
        </w:rPr>
        <w:tab/>
      </w:r>
      <w:r w:rsidR="000E039F" w:rsidRPr="009353E6">
        <w:rPr>
          <w:sz w:val="22"/>
          <w:szCs w:val="22"/>
          <w:lang w:val="pl-PL"/>
        </w:rPr>
        <w:tab/>
      </w:r>
      <w:r w:rsidRPr="009353E6">
        <w:rPr>
          <w:sz w:val="22"/>
          <w:szCs w:val="22"/>
          <w:lang w:val="pl-PL"/>
        </w:rPr>
        <w:t>Kaszel</w:t>
      </w:r>
    </w:p>
    <w:p w:rsidR="00B36BA6" w:rsidRPr="009353E6" w:rsidRDefault="00B36BA6" w:rsidP="000E039F">
      <w:pPr>
        <w:jc w:val="both"/>
        <w:rPr>
          <w:sz w:val="22"/>
          <w:szCs w:val="22"/>
          <w:lang w:val="pl-PL"/>
        </w:rPr>
      </w:pPr>
      <w:r w:rsidRPr="009353E6">
        <w:rPr>
          <w:sz w:val="22"/>
          <w:szCs w:val="22"/>
          <w:lang w:val="pl-PL"/>
        </w:rPr>
        <w:t xml:space="preserve">Bardzo rzadko: </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000E039F" w:rsidRPr="009353E6">
        <w:rPr>
          <w:sz w:val="22"/>
          <w:szCs w:val="22"/>
          <w:lang w:val="pl-PL"/>
        </w:rPr>
        <w:tab/>
      </w:r>
      <w:r w:rsidR="000E039F" w:rsidRPr="009353E6">
        <w:rPr>
          <w:sz w:val="22"/>
          <w:szCs w:val="22"/>
          <w:lang w:val="pl-PL"/>
        </w:rPr>
        <w:tab/>
      </w:r>
      <w:r w:rsidRPr="009353E6">
        <w:rPr>
          <w:sz w:val="22"/>
          <w:szCs w:val="22"/>
          <w:lang w:val="pl-PL"/>
        </w:rPr>
        <w:t>Śródmiąższowa choroba płuc</w:t>
      </w:r>
      <w:r w:rsidRPr="009353E6">
        <w:rPr>
          <w:sz w:val="22"/>
          <w:szCs w:val="22"/>
          <w:vertAlign w:val="superscript"/>
          <w:lang w:val="pl-PL"/>
        </w:rPr>
        <w:t>3</w:t>
      </w:r>
    </w:p>
    <w:p w:rsidR="009571E7" w:rsidRPr="009353E6" w:rsidRDefault="009571E7" w:rsidP="000E039F">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żołądka i jelit:</w:t>
      </w:r>
    </w:p>
    <w:p w:rsidR="009571E7" w:rsidRPr="009353E6" w:rsidRDefault="00F64BCE" w:rsidP="000D5BED">
      <w:pPr>
        <w:pStyle w:val="BodyText"/>
        <w:spacing w:line="240" w:lineRule="auto"/>
        <w:jc w:val="left"/>
        <w:rPr>
          <w:sz w:val="22"/>
          <w:szCs w:val="22"/>
          <w:lang w:val="pl-PL"/>
        </w:rPr>
      </w:pPr>
      <w:r w:rsidRPr="009353E6">
        <w:rPr>
          <w:sz w:val="22"/>
          <w:szCs w:val="22"/>
          <w:lang w:val="pl-PL"/>
        </w:rPr>
        <w:t>Rzadko</w:t>
      </w:r>
      <w:r w:rsidR="009571E7" w:rsidRPr="009353E6">
        <w:rPr>
          <w:sz w:val="22"/>
          <w:szCs w:val="22"/>
          <w:lang w:val="pl-PL"/>
        </w:rPr>
        <w:t>:</w:t>
      </w:r>
      <w:r w:rsidR="009571E7" w:rsidRPr="009353E6">
        <w:rPr>
          <w:sz w:val="22"/>
          <w:szCs w:val="22"/>
          <w:lang w:val="pl-PL"/>
        </w:rPr>
        <w:tab/>
      </w:r>
      <w:r w:rsidR="009571E7"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E813C1" w:rsidRPr="009353E6">
        <w:rPr>
          <w:sz w:val="22"/>
          <w:szCs w:val="22"/>
          <w:lang w:val="pl-PL"/>
        </w:rPr>
        <w:tab/>
      </w:r>
      <w:r w:rsidR="009571E7" w:rsidRPr="009353E6">
        <w:rPr>
          <w:sz w:val="22"/>
          <w:szCs w:val="22"/>
          <w:lang w:val="pl-PL"/>
        </w:rPr>
        <w:t>Dolegliwości żołądkowe</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skóry i tkanki podskórnej</w:t>
      </w:r>
    </w:p>
    <w:p w:rsidR="009571E7" w:rsidRPr="009353E6" w:rsidRDefault="00F64BCE" w:rsidP="00586E5C">
      <w:pPr>
        <w:pStyle w:val="BodyText"/>
        <w:spacing w:line="240" w:lineRule="auto"/>
        <w:ind w:left="4963" w:hanging="4963"/>
        <w:jc w:val="left"/>
        <w:rPr>
          <w:sz w:val="22"/>
          <w:szCs w:val="22"/>
          <w:lang w:val="pl-PL"/>
        </w:rPr>
      </w:pPr>
      <w:r w:rsidRPr="009353E6">
        <w:rPr>
          <w:sz w:val="22"/>
          <w:szCs w:val="22"/>
          <w:lang w:val="pl-PL"/>
        </w:rPr>
        <w:t>Rzadko</w:t>
      </w:r>
      <w:r w:rsidR="009571E7" w:rsidRPr="009353E6">
        <w:rPr>
          <w:sz w:val="22"/>
          <w:szCs w:val="22"/>
          <w:lang w:val="pl-PL"/>
        </w:rPr>
        <w:t>:</w:t>
      </w:r>
      <w:r w:rsidR="009571E7" w:rsidRPr="009353E6">
        <w:rPr>
          <w:sz w:val="22"/>
          <w:szCs w:val="22"/>
          <w:lang w:val="pl-PL"/>
        </w:rPr>
        <w:tab/>
        <w:t xml:space="preserve">Wyprysk, </w:t>
      </w:r>
      <w:r w:rsidR="005226ED" w:rsidRPr="009353E6">
        <w:rPr>
          <w:sz w:val="22"/>
          <w:szCs w:val="22"/>
          <w:lang w:val="pl-PL"/>
        </w:rPr>
        <w:t>wykwity skórne, wykwity skórne na podłożu toksycznym</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mięśniowo-szkieletowe i tkanki łącznej</w:t>
      </w:r>
    </w:p>
    <w:p w:rsidR="003D10DA" w:rsidRPr="009353E6" w:rsidRDefault="00F64BCE" w:rsidP="00586E5C">
      <w:pPr>
        <w:pStyle w:val="BodyText"/>
        <w:spacing w:line="240" w:lineRule="auto"/>
        <w:ind w:left="4963" w:hanging="4963"/>
        <w:jc w:val="left"/>
        <w:rPr>
          <w:sz w:val="22"/>
          <w:szCs w:val="22"/>
          <w:lang w:val="pl-PL"/>
        </w:rPr>
      </w:pPr>
      <w:r w:rsidRPr="009353E6">
        <w:rPr>
          <w:sz w:val="22"/>
          <w:szCs w:val="22"/>
          <w:lang w:val="pl-PL"/>
        </w:rPr>
        <w:t>Rzadko</w:t>
      </w:r>
      <w:r w:rsidR="009571E7" w:rsidRPr="009353E6">
        <w:rPr>
          <w:sz w:val="22"/>
          <w:szCs w:val="22"/>
          <w:lang w:val="pl-PL"/>
        </w:rPr>
        <w:t>:</w:t>
      </w:r>
      <w:r w:rsidR="009571E7" w:rsidRPr="009353E6">
        <w:rPr>
          <w:sz w:val="22"/>
          <w:szCs w:val="22"/>
          <w:lang w:val="pl-PL"/>
        </w:rPr>
        <w:tab/>
        <w:t xml:space="preserve">Choroba zwyrodnieniowa stawów, </w:t>
      </w:r>
      <w:r w:rsidR="005226ED" w:rsidRPr="009353E6">
        <w:rPr>
          <w:sz w:val="22"/>
          <w:szCs w:val="22"/>
          <w:lang w:val="pl-PL"/>
        </w:rPr>
        <w:t xml:space="preserve">ból </w:t>
      </w:r>
      <w:r w:rsidR="009571E7" w:rsidRPr="009353E6">
        <w:rPr>
          <w:sz w:val="22"/>
          <w:szCs w:val="22"/>
          <w:lang w:val="pl-PL"/>
        </w:rPr>
        <w:t>ścięgna</w:t>
      </w:r>
    </w:p>
    <w:p w:rsidR="00EA2D7E" w:rsidRPr="009353E6" w:rsidRDefault="00EA2D7E" w:rsidP="003D10DA">
      <w:pPr>
        <w:pStyle w:val="BodyText"/>
        <w:spacing w:line="240" w:lineRule="auto"/>
        <w:ind w:left="4963" w:hanging="4963"/>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nerek i układu moczowgo</w:t>
      </w:r>
    </w:p>
    <w:p w:rsidR="009571E7" w:rsidRPr="009353E6" w:rsidRDefault="00F64BCE" w:rsidP="00586E5C">
      <w:pPr>
        <w:pStyle w:val="BodyText"/>
        <w:spacing w:line="240" w:lineRule="auto"/>
        <w:ind w:left="4963" w:hanging="4963"/>
        <w:jc w:val="left"/>
        <w:rPr>
          <w:sz w:val="22"/>
          <w:szCs w:val="22"/>
          <w:lang w:val="pl-PL"/>
        </w:rPr>
      </w:pPr>
      <w:r w:rsidRPr="009353E6">
        <w:rPr>
          <w:sz w:val="22"/>
          <w:szCs w:val="22"/>
          <w:lang w:val="pl-PL"/>
        </w:rPr>
        <w:t>Niezbyt często</w:t>
      </w:r>
      <w:r w:rsidR="009571E7" w:rsidRPr="009353E6">
        <w:rPr>
          <w:sz w:val="22"/>
          <w:szCs w:val="22"/>
          <w:lang w:val="pl-PL"/>
        </w:rPr>
        <w:t>:</w:t>
      </w:r>
      <w:r w:rsidR="009571E7" w:rsidRPr="009353E6">
        <w:rPr>
          <w:sz w:val="22"/>
          <w:szCs w:val="22"/>
          <w:lang w:val="pl-PL"/>
        </w:rPr>
        <w:tab/>
      </w:r>
      <w:r w:rsidRPr="009353E6">
        <w:rPr>
          <w:sz w:val="22"/>
          <w:szCs w:val="22"/>
          <w:lang w:val="pl-PL"/>
        </w:rPr>
        <w:t>N</w:t>
      </w:r>
      <w:r w:rsidR="009571E7" w:rsidRPr="009353E6">
        <w:rPr>
          <w:sz w:val="22"/>
          <w:szCs w:val="22"/>
          <w:lang w:val="pl-PL"/>
        </w:rPr>
        <w:t>iewydolność nerek (w tym ostra niewydolność nerek)</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ogólne i stany w miejscu podania</w:t>
      </w:r>
    </w:p>
    <w:p w:rsidR="009571E7" w:rsidRPr="009353E6" w:rsidRDefault="00F64BCE" w:rsidP="000D5BED">
      <w:pPr>
        <w:pStyle w:val="BodyText"/>
        <w:spacing w:line="240" w:lineRule="auto"/>
        <w:jc w:val="left"/>
        <w:rPr>
          <w:sz w:val="22"/>
          <w:szCs w:val="22"/>
          <w:lang w:val="pl-PL"/>
        </w:rPr>
      </w:pPr>
      <w:r w:rsidRPr="009353E6">
        <w:rPr>
          <w:sz w:val="22"/>
          <w:szCs w:val="22"/>
          <w:lang w:val="pl-PL"/>
        </w:rPr>
        <w:t>Niezbyt często</w:t>
      </w:r>
      <w:r w:rsidR="009571E7" w:rsidRPr="009353E6">
        <w:rPr>
          <w:sz w:val="22"/>
          <w:szCs w:val="22"/>
          <w:lang w:val="pl-PL"/>
        </w:rPr>
        <w:t xml:space="preserve">: </w:t>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E813C1" w:rsidRPr="009353E6">
        <w:rPr>
          <w:sz w:val="22"/>
          <w:szCs w:val="22"/>
          <w:lang w:val="pl-PL"/>
        </w:rPr>
        <w:tab/>
      </w:r>
      <w:r w:rsidR="00E813C1" w:rsidRPr="009353E6">
        <w:rPr>
          <w:sz w:val="22"/>
          <w:szCs w:val="22"/>
          <w:lang w:val="pl-PL"/>
        </w:rPr>
        <w:tab/>
      </w:r>
      <w:r w:rsidR="005226ED" w:rsidRPr="009353E6">
        <w:rPr>
          <w:sz w:val="22"/>
          <w:szCs w:val="22"/>
          <w:lang w:val="pl-PL"/>
        </w:rPr>
        <w:t>Osłabienie</w:t>
      </w:r>
    </w:p>
    <w:p w:rsidR="00F64BCE" w:rsidRPr="009353E6" w:rsidRDefault="00F64BCE" w:rsidP="000D5BED">
      <w:pPr>
        <w:pStyle w:val="BodyText"/>
        <w:spacing w:line="240" w:lineRule="auto"/>
        <w:jc w:val="left"/>
        <w:rPr>
          <w:sz w:val="22"/>
          <w:szCs w:val="22"/>
          <w:lang w:val="pl-PL"/>
        </w:rPr>
      </w:pPr>
    </w:p>
    <w:p w:rsidR="009571E7" w:rsidRPr="009353E6" w:rsidRDefault="009571E7" w:rsidP="005E3A9A">
      <w:pPr>
        <w:pStyle w:val="BodyText"/>
        <w:keepNext/>
        <w:spacing w:line="240" w:lineRule="auto"/>
        <w:jc w:val="left"/>
        <w:rPr>
          <w:sz w:val="22"/>
          <w:szCs w:val="22"/>
          <w:lang w:val="pl-PL"/>
        </w:rPr>
      </w:pPr>
      <w:r w:rsidRPr="009353E6">
        <w:rPr>
          <w:sz w:val="22"/>
          <w:szCs w:val="22"/>
          <w:lang w:val="pl-PL"/>
        </w:rPr>
        <w:t xml:space="preserve">Badania </w:t>
      </w:r>
      <w:r w:rsidR="005226ED" w:rsidRPr="009353E6">
        <w:rPr>
          <w:sz w:val="22"/>
          <w:szCs w:val="22"/>
          <w:lang w:val="pl-PL"/>
        </w:rPr>
        <w:t>diagnostyczne</w:t>
      </w:r>
    </w:p>
    <w:p w:rsidR="00204221" w:rsidRPr="009353E6" w:rsidRDefault="00F64BCE" w:rsidP="000D5BED">
      <w:pPr>
        <w:pStyle w:val="BodyText"/>
        <w:spacing w:line="240" w:lineRule="auto"/>
        <w:jc w:val="left"/>
        <w:rPr>
          <w:sz w:val="22"/>
          <w:szCs w:val="22"/>
          <w:lang w:val="pl-PL"/>
        </w:rPr>
      </w:pPr>
      <w:r w:rsidRPr="009353E6">
        <w:rPr>
          <w:sz w:val="22"/>
          <w:szCs w:val="22"/>
          <w:lang w:val="pl-PL"/>
        </w:rPr>
        <w:t>Rzadko</w:t>
      </w:r>
      <w:r w:rsidR="009571E7" w:rsidRPr="009353E6">
        <w:rPr>
          <w:sz w:val="22"/>
          <w:szCs w:val="22"/>
          <w:lang w:val="pl-PL"/>
        </w:rPr>
        <w:t>:</w:t>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9571E7" w:rsidRPr="009353E6">
        <w:rPr>
          <w:sz w:val="22"/>
          <w:szCs w:val="22"/>
          <w:lang w:val="pl-PL"/>
        </w:rPr>
        <w:tab/>
      </w:r>
      <w:r w:rsidR="00E813C1" w:rsidRPr="009353E6">
        <w:rPr>
          <w:sz w:val="22"/>
          <w:szCs w:val="22"/>
          <w:lang w:val="pl-PL"/>
        </w:rPr>
        <w:tab/>
      </w:r>
      <w:r w:rsidR="005226ED" w:rsidRPr="009353E6">
        <w:rPr>
          <w:sz w:val="22"/>
          <w:szCs w:val="22"/>
          <w:lang w:val="pl-PL"/>
        </w:rPr>
        <w:t xml:space="preserve">Zmniejszenie stężenia </w:t>
      </w:r>
      <w:r w:rsidR="009571E7" w:rsidRPr="009353E6">
        <w:rPr>
          <w:sz w:val="22"/>
          <w:szCs w:val="22"/>
          <w:lang w:val="pl-PL"/>
        </w:rPr>
        <w:t>hemoglobiny</w:t>
      </w:r>
    </w:p>
    <w:p w:rsidR="00557693" w:rsidRPr="009353E6" w:rsidRDefault="00557693" w:rsidP="00557693">
      <w:pPr>
        <w:rPr>
          <w:sz w:val="22"/>
          <w:szCs w:val="22"/>
          <w:lang w:val="pl-PL"/>
        </w:rPr>
      </w:pPr>
    </w:p>
    <w:p w:rsidR="00B36BA6" w:rsidRPr="009353E6" w:rsidRDefault="005612DD" w:rsidP="00B36BA6">
      <w:pPr>
        <w:rPr>
          <w:b/>
          <w:sz w:val="22"/>
          <w:szCs w:val="22"/>
          <w:lang w:val="pl-PL"/>
        </w:rPr>
      </w:pPr>
      <w:r w:rsidRPr="009353E6">
        <w:rPr>
          <w:sz w:val="22"/>
          <w:szCs w:val="22"/>
          <w:lang w:val="pl-PL"/>
        </w:rPr>
        <w:t>3</w:t>
      </w:r>
      <w:r w:rsidR="00F64BCE" w:rsidRPr="009353E6">
        <w:rPr>
          <w:sz w:val="22"/>
          <w:szCs w:val="22"/>
          <w:lang w:val="pl-PL"/>
        </w:rPr>
        <w:t xml:space="preserve">:  Bardziej szczegółowe informacje znajdują się w </w:t>
      </w:r>
      <w:r w:rsidR="00B36BA6" w:rsidRPr="009353E6">
        <w:rPr>
          <w:sz w:val="22"/>
          <w:szCs w:val="22"/>
          <w:lang w:val="pl-PL"/>
        </w:rPr>
        <w:t>pod</w:t>
      </w:r>
      <w:r w:rsidR="00F710F6" w:rsidRPr="009353E6">
        <w:rPr>
          <w:sz w:val="22"/>
          <w:szCs w:val="22"/>
          <w:lang w:val="pl-PL"/>
        </w:rPr>
        <w:t>punkcie</w:t>
      </w:r>
      <w:r w:rsidR="00F64BCE" w:rsidRPr="009353E6">
        <w:rPr>
          <w:sz w:val="22"/>
          <w:szCs w:val="22"/>
          <w:lang w:val="pl-PL"/>
        </w:rPr>
        <w:t xml:space="preserve"> 4.8.c</w:t>
      </w:r>
      <w:r w:rsidR="00B36BA6" w:rsidRPr="009353E6">
        <w:rPr>
          <w:sz w:val="22"/>
          <w:szCs w:val="22"/>
          <w:lang w:val="pl-PL"/>
        </w:rPr>
        <w:t>. Opis wybranych działań niepożądanych</w:t>
      </w:r>
    </w:p>
    <w:p w:rsidR="00F64BCE" w:rsidRPr="009353E6" w:rsidRDefault="00F64BCE" w:rsidP="00F64BCE">
      <w:pPr>
        <w:rPr>
          <w:sz w:val="22"/>
          <w:szCs w:val="22"/>
          <w:lang w:val="pl-PL"/>
        </w:rPr>
      </w:pPr>
    </w:p>
    <w:p w:rsidR="009571E7" w:rsidRPr="009353E6" w:rsidRDefault="009571E7" w:rsidP="005E3A9A">
      <w:pPr>
        <w:pStyle w:val="BodyText"/>
        <w:keepNext/>
        <w:spacing w:line="240" w:lineRule="auto"/>
        <w:jc w:val="left"/>
        <w:rPr>
          <w:sz w:val="22"/>
          <w:szCs w:val="22"/>
          <w:u w:val="single"/>
          <w:lang w:val="pl-PL"/>
        </w:rPr>
      </w:pPr>
      <w:r w:rsidRPr="009353E6">
        <w:rPr>
          <w:sz w:val="22"/>
          <w:szCs w:val="22"/>
          <w:u w:val="single"/>
          <w:lang w:val="pl-PL"/>
        </w:rPr>
        <w:t>Hydrochlorotiazyd:</w:t>
      </w:r>
    </w:p>
    <w:p w:rsidR="009571E7" w:rsidRPr="009353E6" w:rsidRDefault="009571E7" w:rsidP="000D5BED">
      <w:pPr>
        <w:pStyle w:val="BodyText"/>
        <w:spacing w:line="240" w:lineRule="auto"/>
        <w:jc w:val="left"/>
        <w:rPr>
          <w:sz w:val="22"/>
          <w:szCs w:val="22"/>
          <w:lang w:val="pl-PL"/>
        </w:rPr>
      </w:pPr>
      <w:r w:rsidRPr="009353E6">
        <w:rPr>
          <w:sz w:val="22"/>
          <w:szCs w:val="22"/>
          <w:lang w:val="pl-PL"/>
        </w:rPr>
        <w:t>Hydrochlorotiazyd może spowodować lub nasilić zmniejszenie objętości krwi krążącej, co może prowadzić do zaburzeń elektrolitowych (patrz punkt 4.4).</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Działania niepożądane o nieznanej częstości występowania związane ze stosowaniem samego hydrochlorotiazydu</w:t>
      </w:r>
      <w:r w:rsidR="00E267DC" w:rsidRPr="009353E6">
        <w:rPr>
          <w:sz w:val="22"/>
          <w:szCs w:val="22"/>
          <w:lang w:val="pl-PL"/>
        </w:rPr>
        <w:t>:</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Zakażenia i zarażenia pasożytnicze </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Zapalenie ślinianki</w:t>
      </w:r>
    </w:p>
    <w:p w:rsidR="008A67AB" w:rsidRPr="009353E6" w:rsidRDefault="008A67AB" w:rsidP="008A67AB">
      <w:pPr>
        <w:keepNext/>
        <w:keepLines/>
        <w:rPr>
          <w:sz w:val="22"/>
          <w:szCs w:val="22"/>
          <w:lang w:val="pl-PL"/>
        </w:rPr>
      </w:pPr>
    </w:p>
    <w:p w:rsidR="008A67AB" w:rsidRPr="009353E6" w:rsidRDefault="008A67AB" w:rsidP="008A67AB">
      <w:pPr>
        <w:pStyle w:val="BodyText"/>
        <w:keepNext/>
        <w:spacing w:line="240" w:lineRule="auto"/>
        <w:jc w:val="left"/>
        <w:rPr>
          <w:sz w:val="22"/>
          <w:szCs w:val="22"/>
          <w:lang w:val="pl-PL"/>
        </w:rPr>
      </w:pPr>
      <w:r w:rsidRPr="009353E6">
        <w:rPr>
          <w:sz w:val="22"/>
          <w:szCs w:val="22"/>
          <w:lang w:val="pl-PL"/>
        </w:rPr>
        <w:t>Nowotwory łagodne, złośliwe i nieokreślone (w tym torbiele i polipy)</w:t>
      </w:r>
    </w:p>
    <w:p w:rsidR="008A67AB" w:rsidRPr="009353E6" w:rsidRDefault="008A67AB" w:rsidP="00674B6A">
      <w:pPr>
        <w:pStyle w:val="BodyText"/>
        <w:keepNext/>
        <w:spacing w:line="240" w:lineRule="auto"/>
        <w:ind w:left="4962" w:hanging="4962"/>
        <w:jc w:val="left"/>
        <w:rPr>
          <w:sz w:val="22"/>
          <w:szCs w:val="22"/>
          <w:lang w:val="pl-PL"/>
        </w:rPr>
      </w:pPr>
      <w:r w:rsidRPr="009353E6">
        <w:rPr>
          <w:sz w:val="22"/>
          <w:szCs w:val="22"/>
          <w:lang w:val="pl-PL"/>
        </w:rPr>
        <w:t xml:space="preserve">Częstość </w:t>
      </w:r>
      <w:r w:rsidR="00674B6A" w:rsidRPr="009353E6">
        <w:rPr>
          <w:sz w:val="22"/>
          <w:szCs w:val="22"/>
          <w:lang w:val="pl-PL"/>
        </w:rPr>
        <w:t>nieznana:</w:t>
      </w:r>
      <w:r w:rsidR="004B640E" w:rsidRPr="009353E6">
        <w:rPr>
          <w:sz w:val="22"/>
          <w:szCs w:val="22"/>
          <w:lang w:val="pl-PL"/>
        </w:rPr>
        <w:tab/>
      </w:r>
      <w:r w:rsidRPr="009353E6">
        <w:rPr>
          <w:sz w:val="22"/>
          <w:szCs w:val="22"/>
          <w:lang w:val="pl-PL"/>
        </w:rPr>
        <w:t>Nieczerniakowe nowotwory złośliwe skóry</w:t>
      </w:r>
    </w:p>
    <w:p w:rsidR="008A67AB" w:rsidRPr="009353E6" w:rsidRDefault="008A67AB" w:rsidP="004B640E">
      <w:pPr>
        <w:pStyle w:val="BodyText"/>
        <w:keepNext/>
        <w:spacing w:line="240" w:lineRule="auto"/>
        <w:ind w:left="4962"/>
        <w:jc w:val="left"/>
        <w:rPr>
          <w:sz w:val="22"/>
          <w:szCs w:val="22"/>
          <w:lang w:val="pl-PL"/>
        </w:rPr>
      </w:pPr>
      <w:r w:rsidRPr="009353E6">
        <w:rPr>
          <w:sz w:val="22"/>
          <w:szCs w:val="22"/>
          <w:lang w:val="pl-PL"/>
        </w:rPr>
        <w:t>(rak podstawnokomórkowy i rak kolczystokomórkowy skóry)</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krwi i układu chłonnego</w:t>
      </w:r>
      <w:r w:rsidRPr="009353E6">
        <w:rPr>
          <w:sz w:val="22"/>
          <w:szCs w:val="22"/>
          <w:lang w:val="pl-PL"/>
        </w:rPr>
        <w:tab/>
      </w:r>
    </w:p>
    <w:p w:rsidR="00B37004" w:rsidRPr="009353E6" w:rsidRDefault="00B37004" w:rsidP="00B37004">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Małopłytkowość (czasami ze skazą krwotoczną)</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Niedokrwistość aplastyczna, niedokrwistość hemolityczna, niewydolność szpiku kostnego, leukopenia, neutropenia, agranulocytoza</w:t>
      </w: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 </w:t>
      </w: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układu immunologicznego</w:t>
      </w:r>
      <w:r w:rsidRPr="009353E6">
        <w:rPr>
          <w:sz w:val="22"/>
          <w:szCs w:val="22"/>
          <w:lang w:val="pl-PL"/>
        </w:rPr>
        <w:tab/>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Reakcje anafilaktyczne, nadwrażliwość</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endokrynologiczne</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Niewłaściwa kontrola cukrzycy</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metabolizmu i odżywiania</w:t>
      </w:r>
      <w:r w:rsidRPr="009353E6">
        <w:rPr>
          <w:sz w:val="22"/>
          <w:szCs w:val="22"/>
          <w:lang w:val="pl-PL"/>
        </w:rPr>
        <w:tab/>
      </w:r>
    </w:p>
    <w:p w:rsidR="00B37004" w:rsidRPr="009353E6" w:rsidRDefault="00B37004" w:rsidP="00B37004">
      <w:pPr>
        <w:pStyle w:val="BodyText"/>
        <w:spacing w:line="240" w:lineRule="auto"/>
        <w:ind w:left="4963" w:hanging="4963"/>
        <w:jc w:val="left"/>
        <w:rPr>
          <w:sz w:val="22"/>
          <w:szCs w:val="22"/>
          <w:lang w:val="pl-PL"/>
        </w:rPr>
      </w:pPr>
      <w:r w:rsidRPr="009353E6">
        <w:rPr>
          <w:sz w:val="22"/>
          <w:szCs w:val="22"/>
          <w:lang w:val="pl-PL"/>
        </w:rPr>
        <w:t>Często:</w:t>
      </w:r>
      <w:r w:rsidRPr="009353E6">
        <w:rPr>
          <w:sz w:val="22"/>
          <w:szCs w:val="22"/>
          <w:lang w:val="pl-PL"/>
        </w:rPr>
        <w:tab/>
        <w:t>Hipomagnezemia</w:t>
      </w:r>
    </w:p>
    <w:p w:rsidR="00B37004" w:rsidRPr="009353E6" w:rsidRDefault="00B37004" w:rsidP="00B37004">
      <w:pPr>
        <w:pStyle w:val="BodyText"/>
        <w:spacing w:line="240" w:lineRule="auto"/>
        <w:ind w:left="4963" w:hanging="4963"/>
        <w:jc w:val="left"/>
        <w:rPr>
          <w:sz w:val="22"/>
          <w:szCs w:val="22"/>
          <w:lang w:val="pl-PL"/>
        </w:rPr>
      </w:pPr>
      <w:r w:rsidRPr="009353E6">
        <w:rPr>
          <w:sz w:val="22"/>
          <w:szCs w:val="22"/>
          <w:lang w:val="pl-PL"/>
        </w:rPr>
        <w:t>Rzadko:</w:t>
      </w:r>
      <w:r w:rsidRPr="009353E6">
        <w:rPr>
          <w:sz w:val="22"/>
          <w:szCs w:val="22"/>
          <w:lang w:val="pl-PL"/>
        </w:rPr>
        <w:tab/>
        <w:t>Hiperkalcemia</w:t>
      </w:r>
    </w:p>
    <w:p w:rsidR="00B37004" w:rsidRPr="009353E6" w:rsidRDefault="00B37004" w:rsidP="00B37004">
      <w:pPr>
        <w:pStyle w:val="BodyText"/>
        <w:spacing w:line="240" w:lineRule="auto"/>
        <w:ind w:left="4963" w:hanging="4963"/>
        <w:jc w:val="left"/>
        <w:rPr>
          <w:sz w:val="22"/>
          <w:szCs w:val="22"/>
          <w:lang w:val="pl-PL"/>
        </w:rPr>
      </w:pPr>
      <w:r w:rsidRPr="009353E6">
        <w:rPr>
          <w:sz w:val="22"/>
          <w:szCs w:val="22"/>
          <w:lang w:val="pl-PL"/>
        </w:rPr>
        <w:t>Bardzo rzadko:</w:t>
      </w:r>
      <w:r w:rsidRPr="009353E6">
        <w:rPr>
          <w:sz w:val="22"/>
          <w:szCs w:val="22"/>
          <w:lang w:val="pl-PL"/>
        </w:rPr>
        <w:tab/>
        <w:t>Alkaloza hipochloremiczna</w:t>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 xml:space="preserve">Jadłowstręt, </w:t>
      </w:r>
      <w:r w:rsidR="00E267DC" w:rsidRPr="009353E6">
        <w:rPr>
          <w:sz w:val="22"/>
          <w:szCs w:val="22"/>
          <w:lang w:val="pl-PL"/>
        </w:rPr>
        <w:t xml:space="preserve">zmniejszony </w:t>
      </w:r>
      <w:r w:rsidRPr="009353E6">
        <w:rPr>
          <w:sz w:val="22"/>
          <w:szCs w:val="22"/>
          <w:lang w:val="pl-PL"/>
        </w:rPr>
        <w:t>apetyt, zaburzenia równowagi elektrolitowej, hipercholesterolemia, hiperglikemia, hipowolemia</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psychiczne</w:t>
      </w:r>
      <w:r w:rsidRPr="009353E6">
        <w:rPr>
          <w:sz w:val="22"/>
          <w:szCs w:val="22"/>
          <w:lang w:val="pl-PL"/>
        </w:rPr>
        <w:tab/>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Niepokój</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układu nerwowego</w:t>
      </w:r>
      <w:r w:rsidRPr="009353E6">
        <w:rPr>
          <w:sz w:val="22"/>
          <w:szCs w:val="22"/>
          <w:lang w:val="pl-PL"/>
        </w:rPr>
        <w:tab/>
      </w:r>
    </w:p>
    <w:p w:rsidR="00B37004" w:rsidRPr="009353E6" w:rsidRDefault="00B37004" w:rsidP="000D5BED">
      <w:pPr>
        <w:pStyle w:val="BodyText"/>
        <w:spacing w:line="240" w:lineRule="auto"/>
        <w:jc w:val="left"/>
        <w:rPr>
          <w:sz w:val="22"/>
          <w:szCs w:val="22"/>
          <w:lang w:val="pl-PL"/>
        </w:rPr>
      </w:pPr>
      <w:r w:rsidRPr="009353E6">
        <w:rPr>
          <w:sz w:val="22"/>
          <w:szCs w:val="22"/>
          <w:lang w:val="pl-PL"/>
        </w:rPr>
        <w:t>Rzadko: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Ból głowy</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380F86" w:rsidRPr="009353E6">
        <w:rPr>
          <w:sz w:val="22"/>
          <w:szCs w:val="22"/>
          <w:lang w:val="pl-PL"/>
        </w:rPr>
        <w:t>Zawroty głowy</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oka</w:t>
      </w:r>
      <w:r w:rsidRPr="009353E6">
        <w:rPr>
          <w:sz w:val="22"/>
          <w:szCs w:val="22"/>
          <w:lang w:val="pl-PL"/>
        </w:rPr>
        <w:tab/>
      </w:r>
    </w:p>
    <w:p w:rsidR="009571E7" w:rsidRPr="009353E6" w:rsidRDefault="009571E7" w:rsidP="006C0287">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Widzenie na żółto</w:t>
      </w:r>
      <w:r w:rsidR="006C0287" w:rsidRPr="009353E6">
        <w:rPr>
          <w:sz w:val="22"/>
          <w:szCs w:val="22"/>
          <w:lang w:val="pl-PL"/>
        </w:rPr>
        <w:t xml:space="preserve">, </w:t>
      </w:r>
      <w:r w:rsidR="00A50023" w:rsidRPr="009353E6">
        <w:rPr>
          <w:sz w:val="22"/>
          <w:szCs w:val="22"/>
          <w:lang w:val="pl-PL"/>
        </w:rPr>
        <w:t xml:space="preserve">ostra krótkowzroczność, </w:t>
      </w:r>
      <w:r w:rsidR="003A5066" w:rsidRPr="009353E6">
        <w:rPr>
          <w:sz w:val="22"/>
          <w:szCs w:val="22"/>
          <w:lang w:val="pl-PL"/>
        </w:rPr>
        <w:t>o</w:t>
      </w:r>
      <w:r w:rsidR="006C0287" w:rsidRPr="009353E6">
        <w:rPr>
          <w:sz w:val="22"/>
          <w:szCs w:val="22"/>
          <w:lang w:val="pl-PL"/>
        </w:rPr>
        <w:t>stra jaskra</w:t>
      </w:r>
      <w:r w:rsidR="00836E05" w:rsidRPr="009353E6">
        <w:rPr>
          <w:sz w:val="22"/>
          <w:szCs w:val="22"/>
          <w:lang w:val="pl-PL"/>
        </w:rPr>
        <w:t xml:space="preserve"> z </w:t>
      </w:r>
      <w:r w:rsidR="006C0287" w:rsidRPr="009353E6">
        <w:rPr>
          <w:sz w:val="22"/>
          <w:szCs w:val="22"/>
          <w:lang w:val="pl-PL"/>
        </w:rPr>
        <w:t>zamknięt</w:t>
      </w:r>
      <w:r w:rsidR="00836E05" w:rsidRPr="009353E6">
        <w:rPr>
          <w:sz w:val="22"/>
          <w:szCs w:val="22"/>
          <w:lang w:val="pl-PL"/>
        </w:rPr>
        <w:t>ym</w:t>
      </w:r>
      <w:r w:rsidR="006C0287" w:rsidRPr="009353E6">
        <w:rPr>
          <w:sz w:val="22"/>
          <w:szCs w:val="22"/>
          <w:lang w:val="pl-PL"/>
        </w:rPr>
        <w:t xml:space="preserve"> kąt</w:t>
      </w:r>
      <w:r w:rsidR="00836E05" w:rsidRPr="009353E6">
        <w:rPr>
          <w:sz w:val="22"/>
          <w:szCs w:val="22"/>
          <w:lang w:val="pl-PL"/>
        </w:rPr>
        <w:t>em przesączania</w:t>
      </w:r>
      <w:r w:rsidR="00914985" w:rsidRPr="009353E6">
        <w:rPr>
          <w:sz w:val="22"/>
          <w:szCs w:val="22"/>
          <w:lang w:val="pl-PL"/>
        </w:rPr>
        <w:t>, nadmierne nagromadzenie płynu między naczyniówką a twardówką</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Zaburzenia </w:t>
      </w:r>
      <w:r w:rsidR="00F64BCE" w:rsidRPr="009353E6">
        <w:rPr>
          <w:sz w:val="22"/>
          <w:szCs w:val="22"/>
          <w:lang w:val="pl-PL"/>
        </w:rPr>
        <w:t>naczyniowe</w:t>
      </w:r>
      <w:r w:rsidRPr="009353E6">
        <w:rPr>
          <w:sz w:val="22"/>
          <w:szCs w:val="22"/>
          <w:lang w:val="pl-PL"/>
        </w:rPr>
        <w:tab/>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Martwic</w:t>
      </w:r>
      <w:r w:rsidR="00E267DC" w:rsidRPr="009353E6">
        <w:rPr>
          <w:sz w:val="22"/>
          <w:szCs w:val="22"/>
          <w:lang w:val="pl-PL"/>
        </w:rPr>
        <w:t>ze zapalenie naczyń</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żołądka i jelit</w:t>
      </w:r>
      <w:r w:rsidRPr="009353E6">
        <w:rPr>
          <w:sz w:val="22"/>
          <w:szCs w:val="22"/>
          <w:lang w:val="pl-PL"/>
        </w:rPr>
        <w:tab/>
      </w:r>
    </w:p>
    <w:p w:rsidR="00C22052" w:rsidRPr="009353E6" w:rsidRDefault="00C22052" w:rsidP="000D5BED">
      <w:pPr>
        <w:pStyle w:val="BodyText"/>
        <w:spacing w:line="240" w:lineRule="auto"/>
        <w:jc w:val="left"/>
        <w:rPr>
          <w:sz w:val="22"/>
          <w:szCs w:val="22"/>
          <w:lang w:val="pl-PL"/>
        </w:rPr>
      </w:pPr>
      <w:r w:rsidRPr="009353E6">
        <w:rPr>
          <w:sz w:val="22"/>
          <w:szCs w:val="22"/>
          <w:lang w:val="pl-PL"/>
        </w:rPr>
        <w:t>Często:</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Nudności</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C22052" w:rsidRPr="009353E6">
        <w:rPr>
          <w:sz w:val="22"/>
          <w:szCs w:val="22"/>
          <w:lang w:val="pl-PL"/>
        </w:rPr>
        <w:t>Z</w:t>
      </w:r>
      <w:r w:rsidRPr="009353E6">
        <w:rPr>
          <w:sz w:val="22"/>
          <w:szCs w:val="22"/>
          <w:lang w:val="pl-PL"/>
        </w:rPr>
        <w:t xml:space="preserve">apalenie trzustki, ból brzucha </w:t>
      </w:r>
    </w:p>
    <w:p w:rsidR="009571E7" w:rsidRPr="009353E6" w:rsidRDefault="009571E7" w:rsidP="000D5BED">
      <w:pPr>
        <w:pStyle w:val="BodyText"/>
        <w:spacing w:line="240" w:lineRule="auto"/>
        <w:jc w:val="left"/>
        <w:rPr>
          <w:sz w:val="22"/>
          <w:szCs w:val="22"/>
          <w:lang w:val="pl-PL"/>
        </w:rPr>
      </w:pPr>
    </w:p>
    <w:p w:rsidR="00586E5C" w:rsidRPr="009353E6" w:rsidRDefault="009571E7" w:rsidP="005E3A9A">
      <w:pPr>
        <w:pStyle w:val="BodyText"/>
        <w:keepNext/>
        <w:spacing w:line="240" w:lineRule="auto"/>
        <w:jc w:val="left"/>
        <w:rPr>
          <w:sz w:val="22"/>
          <w:szCs w:val="22"/>
          <w:lang w:val="pl-PL"/>
        </w:rPr>
      </w:pPr>
      <w:r w:rsidRPr="009353E6">
        <w:rPr>
          <w:sz w:val="22"/>
          <w:szCs w:val="22"/>
          <w:lang w:val="pl-PL"/>
        </w:rPr>
        <w:t>Zaburzenia wątroby i dróg żółciowych</w:t>
      </w:r>
      <w:r w:rsidRPr="009353E6">
        <w:rPr>
          <w:sz w:val="22"/>
          <w:szCs w:val="22"/>
          <w:lang w:val="pl-PL"/>
        </w:rPr>
        <w:tab/>
      </w:r>
    </w:p>
    <w:p w:rsidR="009571E7" w:rsidRPr="009353E6" w:rsidRDefault="00586E5C" w:rsidP="0086728C">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r>
      <w:r w:rsidR="009571E7" w:rsidRPr="009353E6">
        <w:rPr>
          <w:sz w:val="22"/>
          <w:szCs w:val="22"/>
          <w:lang w:val="pl-PL"/>
        </w:rPr>
        <w:t>Żółtaczka miąższowa, żółtaczka cholestatyczna</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skóry i tkanki podskórnej</w:t>
      </w:r>
      <w:r w:rsidRPr="009353E6">
        <w:rPr>
          <w:sz w:val="22"/>
          <w:szCs w:val="22"/>
          <w:lang w:val="pl-PL"/>
        </w:rPr>
        <w:tab/>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t xml:space="preserve">Zespół toczniopodobny, </w:t>
      </w:r>
      <w:r w:rsidR="00E267DC" w:rsidRPr="009353E6">
        <w:rPr>
          <w:sz w:val="22"/>
          <w:szCs w:val="22"/>
          <w:lang w:val="pl-PL"/>
        </w:rPr>
        <w:t xml:space="preserve">reakcje </w:t>
      </w:r>
      <w:r w:rsidRPr="009353E6">
        <w:rPr>
          <w:sz w:val="22"/>
          <w:szCs w:val="22"/>
          <w:lang w:val="pl-PL"/>
        </w:rPr>
        <w:t>nadwrażliwoś</w:t>
      </w:r>
      <w:r w:rsidR="00E267DC" w:rsidRPr="009353E6">
        <w:rPr>
          <w:sz w:val="22"/>
          <w:szCs w:val="22"/>
          <w:lang w:val="pl-PL"/>
        </w:rPr>
        <w:t>ci</w:t>
      </w:r>
      <w:r w:rsidRPr="009353E6">
        <w:rPr>
          <w:sz w:val="22"/>
          <w:szCs w:val="22"/>
          <w:lang w:val="pl-PL"/>
        </w:rPr>
        <w:t xml:space="preserve"> na światło, zapalenie naczyń skóry, </w:t>
      </w:r>
      <w:r w:rsidR="00E267DC" w:rsidRPr="009353E6">
        <w:rPr>
          <w:sz w:val="22"/>
          <w:szCs w:val="22"/>
          <w:lang w:val="pl-PL"/>
        </w:rPr>
        <w:t xml:space="preserve">toksyczne martwicze oddzielanie się </w:t>
      </w:r>
      <w:r w:rsidRPr="009353E6">
        <w:rPr>
          <w:sz w:val="22"/>
          <w:szCs w:val="22"/>
          <w:lang w:val="pl-PL"/>
        </w:rPr>
        <w:t>naskórka</w:t>
      </w:r>
      <w:r w:rsidR="00C01D96" w:rsidRPr="009353E6">
        <w:rPr>
          <w:sz w:val="22"/>
          <w:szCs w:val="22"/>
          <w:lang w:val="pl-PL"/>
        </w:rPr>
        <w:t>, rumień wielopostaciowy</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mięśniowo-szkieletowe i tkanki łącznej</w:t>
      </w:r>
      <w:r w:rsidRPr="009353E6">
        <w:rPr>
          <w:sz w:val="22"/>
          <w:szCs w:val="22"/>
          <w:lang w:val="pl-PL"/>
        </w:rPr>
        <w:tab/>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r>
      <w:r w:rsidRPr="009353E6">
        <w:rPr>
          <w:sz w:val="22"/>
          <w:szCs w:val="22"/>
          <w:lang w:val="pl-PL"/>
        </w:rPr>
        <w:tab/>
        <w:t>Osłabienie</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nerek i dróg moczowych</w:t>
      </w:r>
      <w:r w:rsidRPr="009353E6">
        <w:rPr>
          <w:sz w:val="22"/>
          <w:szCs w:val="22"/>
          <w:lang w:val="pl-PL"/>
        </w:rPr>
        <w:tab/>
      </w:r>
    </w:p>
    <w:p w:rsidR="009571E7" w:rsidRPr="009353E6" w:rsidRDefault="009571E7" w:rsidP="00586E5C">
      <w:pPr>
        <w:pStyle w:val="BodyText"/>
        <w:spacing w:line="240" w:lineRule="auto"/>
        <w:ind w:left="4963" w:hanging="4963"/>
        <w:jc w:val="left"/>
        <w:rPr>
          <w:sz w:val="22"/>
          <w:szCs w:val="22"/>
          <w:lang w:val="pl-PL"/>
        </w:rPr>
      </w:pPr>
      <w:r w:rsidRPr="009353E6">
        <w:rPr>
          <w:sz w:val="22"/>
          <w:szCs w:val="22"/>
          <w:lang w:val="pl-PL"/>
        </w:rPr>
        <w:t>Nieznane:</w:t>
      </w:r>
      <w:r w:rsidRPr="009353E6">
        <w:rPr>
          <w:sz w:val="22"/>
          <w:szCs w:val="22"/>
          <w:lang w:val="pl-PL"/>
        </w:rPr>
        <w:tab/>
      </w:r>
      <w:r w:rsidR="00E267DC" w:rsidRPr="009353E6">
        <w:rPr>
          <w:sz w:val="22"/>
          <w:szCs w:val="22"/>
          <w:lang w:val="pl-PL"/>
        </w:rPr>
        <w:t>Ś</w:t>
      </w:r>
      <w:r w:rsidRPr="009353E6">
        <w:rPr>
          <w:sz w:val="22"/>
          <w:szCs w:val="22"/>
          <w:lang w:val="pl-PL"/>
        </w:rPr>
        <w:t xml:space="preserve">ródmiąższowe </w:t>
      </w:r>
      <w:r w:rsidR="00E267DC" w:rsidRPr="009353E6">
        <w:rPr>
          <w:sz w:val="22"/>
          <w:szCs w:val="22"/>
          <w:lang w:val="pl-PL"/>
        </w:rPr>
        <w:t>zapalenie nerek, zaburzenia</w:t>
      </w:r>
      <w:r w:rsidRPr="009353E6">
        <w:rPr>
          <w:sz w:val="22"/>
          <w:szCs w:val="22"/>
          <w:lang w:val="pl-PL"/>
        </w:rPr>
        <w:t xml:space="preserve"> czynności nerek, cukromocz</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Zaburzenia ogólne i stany w miejscu podania</w:t>
      </w:r>
      <w:r w:rsidRPr="009353E6">
        <w:rPr>
          <w:sz w:val="22"/>
          <w:szCs w:val="22"/>
          <w:lang w:val="pl-PL"/>
        </w:rPr>
        <w:tab/>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Pr="009353E6">
        <w:rPr>
          <w:sz w:val="22"/>
          <w:szCs w:val="22"/>
          <w:lang w:val="pl-PL"/>
        </w:rPr>
        <w:t>Gorączka</w:t>
      </w:r>
    </w:p>
    <w:p w:rsidR="009571E7" w:rsidRPr="009353E6" w:rsidRDefault="009571E7" w:rsidP="000D5BED">
      <w:pPr>
        <w:pStyle w:val="BodyText"/>
        <w:spacing w:line="240" w:lineRule="auto"/>
        <w:jc w:val="left"/>
        <w:rPr>
          <w:sz w:val="22"/>
          <w:szCs w:val="22"/>
          <w:lang w:val="pl-PL"/>
        </w:rPr>
      </w:pPr>
    </w:p>
    <w:p w:rsidR="009571E7" w:rsidRPr="009353E6" w:rsidRDefault="009571E7" w:rsidP="000D5BED">
      <w:pPr>
        <w:pStyle w:val="BodyText"/>
        <w:spacing w:line="240" w:lineRule="auto"/>
        <w:jc w:val="left"/>
        <w:rPr>
          <w:sz w:val="22"/>
          <w:szCs w:val="22"/>
          <w:lang w:val="pl-PL"/>
        </w:rPr>
      </w:pPr>
      <w:r w:rsidRPr="009353E6">
        <w:rPr>
          <w:sz w:val="22"/>
          <w:szCs w:val="22"/>
          <w:lang w:val="pl-PL"/>
        </w:rPr>
        <w:t xml:space="preserve">Badania </w:t>
      </w:r>
      <w:r w:rsidR="00E267DC" w:rsidRPr="009353E6">
        <w:rPr>
          <w:sz w:val="22"/>
          <w:szCs w:val="22"/>
          <w:lang w:val="pl-PL"/>
        </w:rPr>
        <w:t>diagnostyczne</w:t>
      </w:r>
    </w:p>
    <w:p w:rsidR="009571E7" w:rsidRPr="009353E6" w:rsidRDefault="009571E7" w:rsidP="000D5BED">
      <w:pPr>
        <w:pStyle w:val="BodyText"/>
        <w:spacing w:line="240" w:lineRule="auto"/>
        <w:jc w:val="left"/>
        <w:rPr>
          <w:sz w:val="22"/>
          <w:szCs w:val="22"/>
          <w:lang w:val="pl-PL"/>
        </w:rPr>
      </w:pPr>
      <w:r w:rsidRPr="009353E6">
        <w:rPr>
          <w:sz w:val="22"/>
          <w:szCs w:val="22"/>
          <w:lang w:val="pl-PL"/>
        </w:rPr>
        <w:t>Nieznane:</w:t>
      </w:r>
      <w:r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586E5C" w:rsidRPr="009353E6">
        <w:rPr>
          <w:sz w:val="22"/>
          <w:szCs w:val="22"/>
          <w:lang w:val="pl-PL"/>
        </w:rPr>
        <w:tab/>
      </w:r>
      <w:r w:rsidR="00E267DC" w:rsidRPr="009353E6">
        <w:rPr>
          <w:sz w:val="22"/>
          <w:szCs w:val="22"/>
          <w:lang w:val="pl-PL"/>
        </w:rPr>
        <w:t xml:space="preserve">Zwiększenie stężenia </w:t>
      </w:r>
      <w:r w:rsidRPr="009353E6">
        <w:rPr>
          <w:sz w:val="22"/>
          <w:szCs w:val="22"/>
          <w:lang w:val="pl-PL"/>
        </w:rPr>
        <w:t>tr</w:t>
      </w:r>
      <w:r w:rsidR="0029442B" w:rsidRPr="009353E6">
        <w:rPr>
          <w:sz w:val="22"/>
          <w:szCs w:val="22"/>
          <w:lang w:val="pl-PL"/>
        </w:rPr>
        <w:t>i</w:t>
      </w:r>
      <w:r w:rsidRPr="009353E6">
        <w:rPr>
          <w:sz w:val="22"/>
          <w:szCs w:val="22"/>
          <w:lang w:val="pl-PL"/>
        </w:rPr>
        <w:t>glicerydów</w:t>
      </w:r>
    </w:p>
    <w:p w:rsidR="00F64BCE" w:rsidRPr="009353E6" w:rsidRDefault="00F64BCE" w:rsidP="000D5BED">
      <w:pPr>
        <w:pStyle w:val="BodyText"/>
        <w:spacing w:line="240" w:lineRule="auto"/>
        <w:jc w:val="left"/>
        <w:rPr>
          <w:sz w:val="22"/>
          <w:szCs w:val="22"/>
          <w:lang w:val="pl-PL"/>
        </w:rPr>
      </w:pPr>
    </w:p>
    <w:p w:rsidR="00F64BCE" w:rsidRPr="009353E6" w:rsidRDefault="00F64BCE" w:rsidP="00E40CF2">
      <w:pPr>
        <w:keepNext/>
        <w:rPr>
          <w:sz w:val="22"/>
          <w:szCs w:val="22"/>
          <w:u w:val="single"/>
          <w:lang w:val="pl-PL"/>
        </w:rPr>
      </w:pPr>
      <w:r w:rsidRPr="009353E6">
        <w:rPr>
          <w:sz w:val="22"/>
          <w:szCs w:val="22"/>
          <w:u w:val="single"/>
          <w:lang w:val="pl-PL"/>
        </w:rPr>
        <w:t>Opis wybranych działań niepożądanych</w:t>
      </w:r>
    </w:p>
    <w:p w:rsidR="00F64BCE" w:rsidRPr="009353E6" w:rsidRDefault="00F64BCE" w:rsidP="00E40CF2">
      <w:pPr>
        <w:keepNext/>
        <w:rPr>
          <w:i/>
          <w:sz w:val="22"/>
          <w:szCs w:val="22"/>
          <w:lang w:val="pl-PL"/>
        </w:rPr>
      </w:pPr>
    </w:p>
    <w:p w:rsidR="00F64BCE" w:rsidRPr="009353E6" w:rsidRDefault="00F64BCE" w:rsidP="00E40CF2">
      <w:pPr>
        <w:keepNext/>
        <w:ind w:left="360" w:hanging="360"/>
        <w:rPr>
          <w:sz w:val="22"/>
          <w:szCs w:val="22"/>
          <w:u w:val="single"/>
          <w:lang w:val="pl-PL"/>
        </w:rPr>
      </w:pPr>
      <w:r w:rsidRPr="009353E6">
        <w:rPr>
          <w:sz w:val="22"/>
          <w:szCs w:val="22"/>
          <w:u w:val="single"/>
          <w:lang w:val="pl-PL"/>
        </w:rPr>
        <w:t xml:space="preserve">Nieprawidłowa czynność wątroby/zaburzenia </w:t>
      </w:r>
      <w:r w:rsidR="00354F5F" w:rsidRPr="009353E6">
        <w:rPr>
          <w:sz w:val="22"/>
          <w:szCs w:val="22"/>
          <w:u w:val="single"/>
          <w:lang w:val="pl-PL"/>
        </w:rPr>
        <w:t xml:space="preserve">czynności </w:t>
      </w:r>
      <w:r w:rsidRPr="009353E6">
        <w:rPr>
          <w:sz w:val="22"/>
          <w:szCs w:val="22"/>
          <w:u w:val="single"/>
          <w:lang w:val="pl-PL"/>
        </w:rPr>
        <w:t>wątroby</w:t>
      </w:r>
    </w:p>
    <w:p w:rsidR="00F64BCE" w:rsidRPr="009353E6" w:rsidRDefault="00F64BCE" w:rsidP="00E40CF2">
      <w:pPr>
        <w:keepNext/>
        <w:rPr>
          <w:sz w:val="22"/>
          <w:szCs w:val="22"/>
          <w:lang w:val="pl-PL"/>
        </w:rPr>
      </w:pPr>
      <w:r w:rsidRPr="009353E6">
        <w:rPr>
          <w:sz w:val="22"/>
          <w:szCs w:val="22"/>
          <w:lang w:val="pl-PL"/>
        </w:rPr>
        <w:t xml:space="preserve">Większość przypadków nieprawidłowej czynności wątroby/zaburzeń </w:t>
      </w:r>
      <w:r w:rsidR="00371E78" w:rsidRPr="009353E6">
        <w:rPr>
          <w:sz w:val="22"/>
          <w:szCs w:val="22"/>
          <w:lang w:val="pl-PL"/>
        </w:rPr>
        <w:t>czynności</w:t>
      </w:r>
      <w:r w:rsidR="00354F5F" w:rsidRPr="009353E6">
        <w:rPr>
          <w:sz w:val="22"/>
          <w:szCs w:val="22"/>
          <w:lang w:val="pl-PL"/>
        </w:rPr>
        <w:t xml:space="preserve"> </w:t>
      </w:r>
      <w:r w:rsidRPr="009353E6">
        <w:rPr>
          <w:sz w:val="22"/>
          <w:szCs w:val="22"/>
          <w:lang w:val="pl-PL"/>
        </w:rPr>
        <w:t xml:space="preserve">wątroby zgłoszonych w okresie po wprowadzeniu </w:t>
      </w:r>
      <w:r w:rsidR="00354F5F" w:rsidRPr="009353E6">
        <w:rPr>
          <w:sz w:val="22"/>
          <w:szCs w:val="22"/>
          <w:lang w:val="pl-PL"/>
        </w:rPr>
        <w:t xml:space="preserve">produktu </w:t>
      </w:r>
      <w:r w:rsidR="00D2018C" w:rsidRPr="009353E6">
        <w:rPr>
          <w:sz w:val="22"/>
          <w:szCs w:val="22"/>
          <w:lang w:val="pl-PL"/>
        </w:rPr>
        <w:t>do obrotu</w:t>
      </w:r>
      <w:r w:rsidRPr="009353E6">
        <w:rPr>
          <w:sz w:val="22"/>
          <w:szCs w:val="22"/>
          <w:lang w:val="pl-PL"/>
        </w:rPr>
        <w:t xml:space="preserve"> wystąpiła u pacjentów z Japonii. U Japończyków istnieje większe prawdopodobieństwo wystąpienia tych działań niepożądanych.</w:t>
      </w:r>
    </w:p>
    <w:p w:rsidR="00F64BCE" w:rsidRPr="009353E6" w:rsidRDefault="00F64BCE" w:rsidP="00F64BCE">
      <w:pPr>
        <w:rPr>
          <w:sz w:val="22"/>
          <w:szCs w:val="22"/>
          <w:lang w:val="pl-PL"/>
        </w:rPr>
      </w:pPr>
    </w:p>
    <w:p w:rsidR="00F64BCE" w:rsidRPr="009353E6" w:rsidRDefault="00F64BCE" w:rsidP="009353E6">
      <w:pPr>
        <w:keepNext/>
        <w:tabs>
          <w:tab w:val="num" w:pos="0"/>
        </w:tabs>
        <w:rPr>
          <w:sz w:val="22"/>
          <w:szCs w:val="22"/>
          <w:u w:val="single"/>
          <w:lang w:val="pl-PL"/>
        </w:rPr>
      </w:pPr>
      <w:r w:rsidRPr="009353E6">
        <w:rPr>
          <w:sz w:val="22"/>
          <w:szCs w:val="22"/>
          <w:u w:val="single"/>
          <w:lang w:val="pl-PL"/>
        </w:rPr>
        <w:t>Posocznica</w:t>
      </w:r>
    </w:p>
    <w:p w:rsidR="00F64BCE" w:rsidRPr="009353E6" w:rsidRDefault="00F64BCE" w:rsidP="00F64BCE">
      <w:pPr>
        <w:rPr>
          <w:sz w:val="22"/>
          <w:szCs w:val="22"/>
          <w:lang w:val="pl-PL"/>
        </w:rPr>
      </w:pPr>
      <w:r w:rsidRPr="009353E6">
        <w:rPr>
          <w:sz w:val="22"/>
          <w:szCs w:val="22"/>
          <w:lang w:val="pl-PL"/>
        </w:rPr>
        <w:t>W badaniu PRoFESS u pacjentów przyjmujących telmisartan zaobserwowano większą częstość występowania posocznicy w porównaniu do grupy placebo. Zjawisko to może być przypadkowe lub związane z mechanizmem, który nie został jeszcze poznany (patrz pkt 5.1).</w:t>
      </w:r>
    </w:p>
    <w:p w:rsidR="00B36BA6" w:rsidRPr="009353E6" w:rsidRDefault="00B36BA6" w:rsidP="00B36BA6">
      <w:pPr>
        <w:rPr>
          <w:sz w:val="22"/>
          <w:szCs w:val="22"/>
          <w:u w:val="single"/>
          <w:lang w:val="pl-PL"/>
        </w:rPr>
      </w:pPr>
    </w:p>
    <w:p w:rsidR="00B36BA6" w:rsidRPr="009353E6" w:rsidRDefault="00B36BA6" w:rsidP="00B36BA6">
      <w:pPr>
        <w:rPr>
          <w:sz w:val="22"/>
          <w:szCs w:val="22"/>
          <w:u w:val="single"/>
          <w:lang w:val="pl-PL"/>
        </w:rPr>
      </w:pPr>
      <w:r w:rsidRPr="009353E6">
        <w:rPr>
          <w:sz w:val="22"/>
          <w:szCs w:val="22"/>
          <w:u w:val="single"/>
          <w:lang w:val="pl-PL"/>
        </w:rPr>
        <w:t>Śródmiąższowa choroba płuc</w:t>
      </w:r>
    </w:p>
    <w:p w:rsidR="0046178E" w:rsidRPr="009353E6" w:rsidRDefault="0046178E" w:rsidP="0046178E">
      <w:pPr>
        <w:pStyle w:val="BodyText"/>
        <w:spacing w:line="240" w:lineRule="auto"/>
        <w:jc w:val="left"/>
        <w:rPr>
          <w:sz w:val="22"/>
          <w:szCs w:val="22"/>
          <w:lang w:val="pl-PL"/>
        </w:rPr>
      </w:pPr>
      <w:r w:rsidRPr="009353E6">
        <w:rPr>
          <w:sz w:val="22"/>
          <w:szCs w:val="22"/>
          <w:lang w:val="pl-PL"/>
        </w:rPr>
        <w:t>Po wprowadzeniu produktu leczniczego do obr</w:t>
      </w:r>
      <w:r w:rsidR="00E918D4" w:rsidRPr="009353E6">
        <w:rPr>
          <w:sz w:val="22"/>
          <w:szCs w:val="22"/>
          <w:lang w:val="pl-PL"/>
        </w:rPr>
        <w:t>o</w:t>
      </w:r>
      <w:r w:rsidRPr="009353E6">
        <w:rPr>
          <w:sz w:val="22"/>
          <w:szCs w:val="22"/>
          <w:lang w:val="pl-PL"/>
        </w:rPr>
        <w:t>tu zgłaszano przypadki śródmiąższowej choroby płuc pozostające w związku czasowym z przyjmowaniem telmisartanu. Nie ustalono jednak związku przyczynowego.</w:t>
      </w:r>
    </w:p>
    <w:p w:rsidR="0090033D" w:rsidRPr="009353E6" w:rsidRDefault="0090033D" w:rsidP="0090033D">
      <w:pPr>
        <w:rPr>
          <w:sz w:val="22"/>
          <w:szCs w:val="22"/>
          <w:lang w:val="pl-PL"/>
        </w:rPr>
      </w:pPr>
    </w:p>
    <w:p w:rsidR="0085086E" w:rsidRPr="009353E6" w:rsidRDefault="0085086E" w:rsidP="0085086E">
      <w:pPr>
        <w:rPr>
          <w:sz w:val="22"/>
          <w:szCs w:val="22"/>
          <w:u w:val="single"/>
          <w:lang w:val="pl-PL"/>
        </w:rPr>
      </w:pPr>
      <w:r w:rsidRPr="009353E6">
        <w:rPr>
          <w:sz w:val="22"/>
          <w:szCs w:val="22"/>
          <w:u w:val="single"/>
          <w:lang w:val="pl-PL"/>
        </w:rPr>
        <w:t>Nieczerniakowe nowotwory złośliwe skóry</w:t>
      </w:r>
    </w:p>
    <w:p w:rsidR="0085086E" w:rsidRPr="009353E6" w:rsidRDefault="0085086E" w:rsidP="0085086E">
      <w:pPr>
        <w:rPr>
          <w:sz w:val="22"/>
          <w:szCs w:val="22"/>
          <w:lang w:val="pl-PL"/>
        </w:rPr>
      </w:pPr>
      <w:r w:rsidRPr="009353E6">
        <w:rPr>
          <w:sz w:val="22"/>
          <w:szCs w:val="22"/>
          <w:lang w:val="pl-PL"/>
        </w:rPr>
        <w:t>Na podstawie danych dostępnych z badań epidemiologicznych stwierdzono związek między łączną dawką HCTZ a występowaniem NMSC (patrz również punkty 4.4 i 5.1).</w:t>
      </w:r>
    </w:p>
    <w:p w:rsidR="0085086E" w:rsidRPr="009353E6" w:rsidRDefault="0085086E" w:rsidP="0090033D">
      <w:pPr>
        <w:rPr>
          <w:sz w:val="22"/>
          <w:szCs w:val="22"/>
          <w:lang w:val="pl-PL"/>
        </w:rPr>
      </w:pPr>
    </w:p>
    <w:p w:rsidR="0090033D" w:rsidRPr="009353E6" w:rsidRDefault="0090033D" w:rsidP="0090033D">
      <w:pPr>
        <w:rPr>
          <w:sz w:val="22"/>
          <w:szCs w:val="22"/>
          <w:u w:val="single"/>
          <w:lang w:val="pl-PL"/>
        </w:rPr>
      </w:pPr>
      <w:r w:rsidRPr="009353E6">
        <w:rPr>
          <w:sz w:val="22"/>
          <w:szCs w:val="22"/>
          <w:u w:val="single"/>
          <w:lang w:val="pl-PL"/>
        </w:rPr>
        <w:t>Zgłaszanie podejrzewanych działań niepożądanych</w:t>
      </w:r>
    </w:p>
    <w:p w:rsidR="00960CC1" w:rsidRPr="009353E6" w:rsidRDefault="0090033D" w:rsidP="00E40CF2">
      <w:pPr>
        <w:rPr>
          <w:sz w:val="22"/>
          <w:szCs w:val="22"/>
          <w:shd w:val="pct15" w:color="auto" w:fill="FFFFFF"/>
          <w:lang w:val="pl-PL" w:eastAsia="de-DE"/>
        </w:rPr>
      </w:pPr>
      <w:r w:rsidRPr="009353E6">
        <w:rPr>
          <w:sz w:val="22"/>
          <w:szCs w:val="22"/>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9353E6">
        <w:rPr>
          <w:sz w:val="22"/>
          <w:szCs w:val="22"/>
          <w:highlight w:val="lightGray"/>
          <w:shd w:val="pct15" w:color="auto" w:fill="FFFFFF"/>
          <w:lang w:val="pl-PL" w:eastAsia="de-DE"/>
        </w:rPr>
        <w:t xml:space="preserve">krajowego systemu zgłaszania wymienionego w </w:t>
      </w:r>
      <w:hyperlink r:id="rId13">
        <w:r w:rsidR="00BC39DD" w:rsidRPr="009353E6">
          <w:rPr>
            <w:rStyle w:val="Hyperlink"/>
            <w:sz w:val="22"/>
            <w:szCs w:val="22"/>
            <w:highlight w:val="lightGray"/>
            <w:lang w:val="pl-PL"/>
          </w:rPr>
          <w:t>załączniku V</w:t>
        </w:r>
      </w:hyperlink>
      <w:r w:rsidRPr="009353E6">
        <w:rPr>
          <w:sz w:val="22"/>
          <w:szCs w:val="22"/>
          <w:highlight w:val="lightGray"/>
          <w:shd w:val="pct15" w:color="auto" w:fill="FFFFFF"/>
          <w:lang w:val="pl-PL" w:eastAsia="de-DE"/>
        </w:rPr>
        <w:t>.</w:t>
      </w:r>
    </w:p>
    <w:p w:rsidR="00371E78" w:rsidRPr="009353E6" w:rsidRDefault="00371E78" w:rsidP="00E40CF2">
      <w:pPr>
        <w:rPr>
          <w:lang w:val="pl-PL"/>
        </w:rPr>
      </w:pPr>
    </w:p>
    <w:p w:rsidR="00204221" w:rsidRPr="009353E6" w:rsidRDefault="00586E5C" w:rsidP="005E3A9A">
      <w:pPr>
        <w:pStyle w:val="BodyText"/>
        <w:keepNext/>
        <w:tabs>
          <w:tab w:val="left" w:pos="567"/>
        </w:tabs>
        <w:spacing w:line="240" w:lineRule="auto"/>
        <w:jc w:val="left"/>
        <w:rPr>
          <w:b/>
          <w:sz w:val="22"/>
          <w:szCs w:val="22"/>
          <w:lang w:val="pl-PL"/>
        </w:rPr>
      </w:pPr>
      <w:r w:rsidRPr="009353E6">
        <w:rPr>
          <w:b/>
          <w:sz w:val="22"/>
          <w:szCs w:val="22"/>
          <w:lang w:val="pl-PL"/>
        </w:rPr>
        <w:t>4.9</w:t>
      </w:r>
      <w:r w:rsidRPr="009353E6">
        <w:rPr>
          <w:b/>
          <w:sz w:val="22"/>
          <w:szCs w:val="22"/>
          <w:lang w:val="pl-PL"/>
        </w:rPr>
        <w:tab/>
      </w:r>
      <w:r w:rsidR="00204221" w:rsidRPr="009353E6">
        <w:rPr>
          <w:b/>
          <w:sz w:val="22"/>
          <w:szCs w:val="22"/>
          <w:lang w:val="pl-PL"/>
        </w:rPr>
        <w:t>Przedawkowanie</w:t>
      </w:r>
    </w:p>
    <w:p w:rsidR="00204221" w:rsidRPr="009353E6" w:rsidRDefault="00204221" w:rsidP="005E3A9A">
      <w:pPr>
        <w:pStyle w:val="BodyText"/>
        <w:keepNext/>
        <w:spacing w:line="240" w:lineRule="auto"/>
        <w:jc w:val="left"/>
        <w:rPr>
          <w:b/>
          <w:sz w:val="22"/>
          <w:szCs w:val="22"/>
          <w:lang w:val="pl-PL"/>
        </w:rPr>
      </w:pPr>
    </w:p>
    <w:p w:rsidR="00542F4A" w:rsidRPr="009353E6" w:rsidRDefault="00542F4A" w:rsidP="00F521FF">
      <w:pPr>
        <w:pStyle w:val="BodyText"/>
        <w:spacing w:line="240" w:lineRule="auto"/>
        <w:jc w:val="left"/>
        <w:rPr>
          <w:sz w:val="22"/>
          <w:szCs w:val="22"/>
          <w:lang w:val="pl-PL"/>
        </w:rPr>
      </w:pPr>
      <w:r w:rsidRPr="009353E6">
        <w:rPr>
          <w:sz w:val="22"/>
          <w:szCs w:val="22"/>
          <w:lang w:val="pl-PL"/>
        </w:rPr>
        <w:t>Dane dotyczące przedawkowania telmisartanu u ludzi są ograniczone. Nie usta</w:t>
      </w:r>
      <w:r w:rsidR="006D79B0" w:rsidRPr="009353E6">
        <w:rPr>
          <w:sz w:val="22"/>
          <w:szCs w:val="22"/>
          <w:lang w:val="pl-PL"/>
        </w:rPr>
        <w:t>l</w:t>
      </w:r>
      <w:r w:rsidRPr="009353E6">
        <w:rPr>
          <w:sz w:val="22"/>
          <w:szCs w:val="22"/>
          <w:lang w:val="pl-PL"/>
        </w:rPr>
        <w:t>ono stopnia, w jakim można usunąć hydrochlorotiazyd za pomocą hemodializy.</w:t>
      </w:r>
    </w:p>
    <w:p w:rsidR="00542F4A" w:rsidRPr="009353E6" w:rsidRDefault="00542F4A" w:rsidP="00F521FF">
      <w:pPr>
        <w:pStyle w:val="BodyText"/>
        <w:spacing w:line="240" w:lineRule="auto"/>
        <w:jc w:val="left"/>
        <w:rPr>
          <w:sz w:val="22"/>
          <w:szCs w:val="22"/>
          <w:lang w:val="pl-PL"/>
        </w:rPr>
      </w:pPr>
    </w:p>
    <w:p w:rsidR="00F521FF" w:rsidRPr="009353E6" w:rsidRDefault="00F521FF" w:rsidP="005E3A9A">
      <w:pPr>
        <w:pStyle w:val="BodyText"/>
        <w:keepNext/>
        <w:spacing w:line="240" w:lineRule="auto"/>
        <w:jc w:val="left"/>
        <w:rPr>
          <w:sz w:val="22"/>
          <w:szCs w:val="22"/>
          <w:lang w:val="pl-PL"/>
        </w:rPr>
      </w:pPr>
      <w:r w:rsidRPr="009353E6">
        <w:rPr>
          <w:sz w:val="22"/>
          <w:szCs w:val="22"/>
          <w:u w:val="single"/>
          <w:lang w:val="pl-PL"/>
        </w:rPr>
        <w:t>Objawy</w:t>
      </w:r>
      <w:r w:rsidRPr="009353E6">
        <w:rPr>
          <w:sz w:val="22"/>
          <w:szCs w:val="22"/>
          <w:lang w:val="pl-PL"/>
        </w:rPr>
        <w:t xml:space="preserve">: Najbardziej znaczącymi objawami przedawkowania telmisartanu były </w:t>
      </w:r>
      <w:r w:rsidR="00371E78" w:rsidRPr="009353E6">
        <w:rPr>
          <w:sz w:val="22"/>
          <w:szCs w:val="22"/>
          <w:lang w:val="pl-PL"/>
        </w:rPr>
        <w:t>niedociśnienie</w:t>
      </w:r>
      <w:r w:rsidRPr="009353E6">
        <w:rPr>
          <w:sz w:val="22"/>
          <w:szCs w:val="22"/>
          <w:lang w:val="pl-PL"/>
        </w:rPr>
        <w:t xml:space="preserve"> i tachykardia; opisywano również bradykardię, zawroty głowy, wymioty, podwyższenie poziomu kreatyniny we krwi oraz ostrą niewydolność nerek. Przedawkowanie hydrochlorotiazydu może wiązać się ze zmniejszeniem stężenia elektrolitów (hipokaliemia, hipochloremia) oraz hipowolemią wynikającą z nadmiernej diurezy. Najczęstszymi objawami przedmiotowymi i podmiotowymi przedawkowania są nudności i senność. Hipokaliemia może powodować skurcze mięśni i(lub) z przyspieszeniem akcji serca związaną z jednoczesnym podawaniem glikozydów naparstnicy lub pewnych przeciwarytmicznych produktów leczniczych.</w:t>
      </w:r>
    </w:p>
    <w:p w:rsidR="00F521FF" w:rsidRPr="009353E6" w:rsidRDefault="00F521FF" w:rsidP="00F521FF">
      <w:pPr>
        <w:pStyle w:val="BodyText"/>
        <w:spacing w:line="240" w:lineRule="auto"/>
        <w:jc w:val="left"/>
        <w:rPr>
          <w:sz w:val="22"/>
          <w:szCs w:val="22"/>
          <w:lang w:val="pl-PL"/>
        </w:rPr>
      </w:pPr>
    </w:p>
    <w:p w:rsidR="00F521FF" w:rsidRPr="009353E6" w:rsidRDefault="00F521FF" w:rsidP="00F521FF">
      <w:pPr>
        <w:pStyle w:val="BodyText"/>
        <w:spacing w:line="240" w:lineRule="auto"/>
        <w:jc w:val="left"/>
        <w:rPr>
          <w:sz w:val="22"/>
          <w:szCs w:val="22"/>
          <w:lang w:val="pl-PL"/>
        </w:rPr>
      </w:pPr>
      <w:r w:rsidRPr="009353E6">
        <w:rPr>
          <w:sz w:val="22"/>
          <w:szCs w:val="22"/>
          <w:u w:val="single"/>
          <w:lang w:val="pl-PL"/>
        </w:rPr>
        <w:t>Leczenie</w:t>
      </w:r>
      <w:r w:rsidRPr="009353E6">
        <w:rPr>
          <w:sz w:val="22"/>
          <w:szCs w:val="22"/>
          <w:lang w:val="pl-PL"/>
        </w:rPr>
        <w:t xml:space="preserve">: Telmisartan nie jest usuwany przez hemodializę. Pacjent powinien być ściśle obserwowany, należy zastosować leczenie objawowe i podtrzymujące. Postępowanie zależy od czasu, jaki upłynął od przyjęcia leku i ciężkości objawów. Zaleca się sprowokowanie wymiotów i(lub) płukanie żołądka. W leczeniu przedawkowania pomocny może się okazać węgiel aktywowany. Należy często kontrolować stężenie elektrolitów i kreatyniny w surowicy. Jeśli wystąpi niedociśnienie, pacjenta należy ułożyć w pozycji na plecach, szybko podać sole i płyny.  </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p>
    <w:p w:rsidR="00204221" w:rsidRPr="009353E6" w:rsidRDefault="00204221" w:rsidP="008953B9">
      <w:pPr>
        <w:pStyle w:val="BodyText"/>
        <w:tabs>
          <w:tab w:val="left" w:pos="540"/>
        </w:tabs>
        <w:spacing w:line="240" w:lineRule="auto"/>
        <w:jc w:val="left"/>
        <w:rPr>
          <w:b/>
          <w:sz w:val="22"/>
          <w:szCs w:val="22"/>
          <w:lang w:val="pl-PL"/>
        </w:rPr>
      </w:pPr>
      <w:r w:rsidRPr="009353E6">
        <w:rPr>
          <w:b/>
          <w:sz w:val="22"/>
          <w:szCs w:val="22"/>
          <w:lang w:val="pl-PL"/>
        </w:rPr>
        <w:t>5.</w:t>
      </w:r>
      <w:r w:rsidRPr="009353E6">
        <w:rPr>
          <w:b/>
          <w:sz w:val="22"/>
          <w:szCs w:val="22"/>
          <w:lang w:val="pl-PL"/>
        </w:rPr>
        <w:tab/>
        <w:t>WŁAŚCIWOŚCI FARMAKOLOGICZNE</w:t>
      </w:r>
    </w:p>
    <w:p w:rsidR="00204221" w:rsidRPr="009353E6" w:rsidRDefault="00204221" w:rsidP="000D5BED">
      <w:pPr>
        <w:pStyle w:val="BodyText"/>
        <w:spacing w:line="240" w:lineRule="auto"/>
        <w:jc w:val="left"/>
        <w:rPr>
          <w:sz w:val="22"/>
          <w:szCs w:val="22"/>
          <w:lang w:val="pl-PL"/>
        </w:rPr>
      </w:pPr>
    </w:p>
    <w:p w:rsidR="00204221" w:rsidRPr="009353E6" w:rsidRDefault="00586E5C" w:rsidP="00586E5C">
      <w:pPr>
        <w:pStyle w:val="BodyText"/>
        <w:tabs>
          <w:tab w:val="left" w:pos="540"/>
        </w:tabs>
        <w:spacing w:line="240" w:lineRule="auto"/>
        <w:jc w:val="left"/>
        <w:rPr>
          <w:b/>
          <w:sz w:val="22"/>
          <w:szCs w:val="22"/>
          <w:lang w:val="pl-PL"/>
        </w:rPr>
      </w:pPr>
      <w:r w:rsidRPr="009353E6">
        <w:rPr>
          <w:b/>
          <w:sz w:val="22"/>
          <w:szCs w:val="22"/>
          <w:lang w:val="pl-PL"/>
        </w:rPr>
        <w:t>5.1</w:t>
      </w:r>
      <w:r w:rsidRPr="009353E6">
        <w:rPr>
          <w:b/>
          <w:sz w:val="22"/>
          <w:szCs w:val="22"/>
          <w:lang w:val="pl-PL"/>
        </w:rPr>
        <w:tab/>
      </w:r>
      <w:r w:rsidR="00204221" w:rsidRPr="009353E6">
        <w:rPr>
          <w:b/>
          <w:sz w:val="22"/>
          <w:szCs w:val="22"/>
          <w:lang w:val="pl-PL"/>
        </w:rPr>
        <w:t>Właściwości farmakodynamiczne</w:t>
      </w:r>
    </w:p>
    <w:p w:rsidR="00204221" w:rsidRPr="009353E6" w:rsidRDefault="00204221" w:rsidP="000D5BED">
      <w:pPr>
        <w:pStyle w:val="BodyText"/>
        <w:spacing w:line="240" w:lineRule="auto"/>
        <w:jc w:val="left"/>
        <w:rPr>
          <w:b/>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Grupa farmakoterapeutyczna: </w:t>
      </w:r>
      <w:r w:rsidR="0028667A" w:rsidRPr="009353E6">
        <w:rPr>
          <w:sz w:val="22"/>
          <w:szCs w:val="22"/>
          <w:lang w:val="pl-PL"/>
        </w:rPr>
        <w:t>a</w:t>
      </w:r>
      <w:r w:rsidRPr="009353E6">
        <w:rPr>
          <w:sz w:val="22"/>
          <w:szCs w:val="22"/>
          <w:lang w:val="pl-PL"/>
        </w:rPr>
        <w:t>ntagoniści angiotensyny II i diuretyki, kod ATC: C09DA07.</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MicardisPlus jest </w:t>
      </w:r>
      <w:r w:rsidR="00F710F6" w:rsidRPr="009353E6">
        <w:rPr>
          <w:sz w:val="22"/>
          <w:szCs w:val="22"/>
          <w:lang w:val="pl-PL"/>
        </w:rPr>
        <w:t>produkt</w:t>
      </w:r>
      <w:r w:rsidRPr="009353E6">
        <w:rPr>
          <w:sz w:val="22"/>
          <w:szCs w:val="22"/>
          <w:lang w:val="pl-PL"/>
        </w:rPr>
        <w:t xml:space="preserve">em złożonym zawierającym antagonistę receptora angiotensyny II, telmisartan i diuretyk tiazydowy, hydrochlorotiazyd. Połączenie takich składników ma sumujące się działanie przeciwnadciśnieniowe, powodujące zmniejszenie ciśnienia krwi w większym stopniu niż każdy składnik osobno. MicardisPlus stosowany raz na dobę wywołuje efektywne i regularne zmniejszenie ciśnienia krwi we wszystkich dawkach terapeutycznych. </w:t>
      </w:r>
    </w:p>
    <w:p w:rsidR="00204221" w:rsidRPr="009353E6" w:rsidRDefault="00204221" w:rsidP="000D5BED">
      <w:pPr>
        <w:pStyle w:val="BodyText"/>
        <w:spacing w:line="240" w:lineRule="auto"/>
        <w:jc w:val="left"/>
        <w:rPr>
          <w:sz w:val="22"/>
          <w:szCs w:val="22"/>
          <w:lang w:val="pl-PL"/>
        </w:rPr>
      </w:pPr>
    </w:p>
    <w:p w:rsidR="00C01D96" w:rsidRPr="009353E6" w:rsidRDefault="00C01D96" w:rsidP="00C01D96">
      <w:pPr>
        <w:pStyle w:val="BodyText"/>
        <w:spacing w:line="240" w:lineRule="auto"/>
        <w:jc w:val="left"/>
        <w:rPr>
          <w:sz w:val="22"/>
          <w:szCs w:val="22"/>
          <w:u w:val="single"/>
          <w:lang w:val="pl-PL"/>
        </w:rPr>
      </w:pPr>
      <w:r w:rsidRPr="009353E6">
        <w:rPr>
          <w:sz w:val="22"/>
          <w:szCs w:val="22"/>
          <w:u w:val="single"/>
          <w:lang w:val="pl-PL"/>
        </w:rPr>
        <w:t>Mechanizm działania</w:t>
      </w:r>
    </w:p>
    <w:p w:rsidR="00204221" w:rsidRPr="009353E6" w:rsidRDefault="00204221" w:rsidP="000D5BED">
      <w:pPr>
        <w:pStyle w:val="BodyText"/>
        <w:spacing w:line="240" w:lineRule="auto"/>
        <w:jc w:val="left"/>
        <w:rPr>
          <w:sz w:val="22"/>
          <w:szCs w:val="22"/>
          <w:lang w:val="pl-PL"/>
        </w:rPr>
      </w:pPr>
      <w:r w:rsidRPr="009353E6">
        <w:rPr>
          <w:sz w:val="22"/>
          <w:szCs w:val="22"/>
          <w:lang w:val="pl-PL"/>
        </w:rPr>
        <w:t>Telmisartan jest skutecznym, doustnym, wybiórczym antagonistą receptora podtypu 1 dla angiotensyny II (AT</w:t>
      </w:r>
      <w:r w:rsidRPr="009353E6">
        <w:rPr>
          <w:sz w:val="22"/>
          <w:szCs w:val="22"/>
          <w:vertAlign w:val="subscript"/>
          <w:lang w:val="pl-PL"/>
        </w:rPr>
        <w:t>1</w:t>
      </w:r>
      <w:r w:rsidRPr="009353E6">
        <w:rPr>
          <w:sz w:val="22"/>
          <w:szCs w:val="22"/>
          <w:lang w:val="pl-PL"/>
        </w:rPr>
        <w:t>). Dzięki bardzo dużemu powinowactwu telmisartan wypiera angiotensynę II z</w:t>
      </w:r>
      <w:r w:rsidR="0024500F" w:rsidRPr="009353E6">
        <w:rPr>
          <w:sz w:val="22"/>
          <w:szCs w:val="22"/>
          <w:lang w:val="pl-PL"/>
        </w:rPr>
        <w:t> </w:t>
      </w:r>
      <w:r w:rsidRPr="009353E6">
        <w:rPr>
          <w:sz w:val="22"/>
          <w:szCs w:val="22"/>
          <w:lang w:val="pl-PL"/>
        </w:rPr>
        <w:t>miejsc wiązania z receptorem podtypu AT</w:t>
      </w:r>
      <w:r w:rsidRPr="009353E6">
        <w:rPr>
          <w:sz w:val="22"/>
          <w:szCs w:val="22"/>
          <w:vertAlign w:val="subscript"/>
          <w:lang w:val="pl-PL"/>
        </w:rPr>
        <w:t>1</w:t>
      </w:r>
      <w:r w:rsidRPr="009353E6">
        <w:rPr>
          <w:sz w:val="22"/>
          <w:szCs w:val="22"/>
          <w:lang w:val="pl-PL"/>
        </w:rPr>
        <w:t>, który jest odpowiedzialny za znane mechanizmy działania angiotensyny II. Telmisartan nie wykazuje nawet częściowych działań agonistycznych w stosunku do receptora AT</w:t>
      </w:r>
      <w:r w:rsidRPr="009353E6">
        <w:rPr>
          <w:sz w:val="22"/>
          <w:szCs w:val="22"/>
          <w:vertAlign w:val="subscript"/>
          <w:lang w:val="pl-PL"/>
        </w:rPr>
        <w:t>1</w:t>
      </w:r>
      <w:r w:rsidRPr="009353E6">
        <w:rPr>
          <w:sz w:val="22"/>
          <w:szCs w:val="22"/>
          <w:lang w:val="pl-PL"/>
        </w:rPr>
        <w:t>. Telmisartan selektywnie łączy się z receptorem AT</w:t>
      </w:r>
      <w:r w:rsidRPr="009353E6">
        <w:rPr>
          <w:sz w:val="22"/>
          <w:szCs w:val="22"/>
          <w:vertAlign w:val="subscript"/>
          <w:lang w:val="pl-PL"/>
        </w:rPr>
        <w:t>1</w:t>
      </w:r>
      <w:r w:rsidRPr="009353E6">
        <w:rPr>
          <w:sz w:val="22"/>
          <w:szCs w:val="22"/>
          <w:lang w:val="pl-PL"/>
        </w:rPr>
        <w:t>. Wiązanie jest długotrwałe. Telmisartan nie wykazuje powinowactwa do innych receptorów, w tym do receptora AT</w:t>
      </w:r>
      <w:r w:rsidRPr="009353E6">
        <w:rPr>
          <w:sz w:val="22"/>
          <w:szCs w:val="22"/>
          <w:vertAlign w:val="subscript"/>
          <w:lang w:val="pl-PL"/>
        </w:rPr>
        <w:t>2</w:t>
      </w:r>
      <w:r w:rsidRPr="009353E6">
        <w:rPr>
          <w:sz w:val="22"/>
          <w:szCs w:val="22"/>
          <w:lang w:val="pl-PL"/>
        </w:rPr>
        <w:t xml:space="preserve"> oraz innych słabiej poznanych receptorów AT. Funkcja tych receptorów nie jest poznana, tak samo jak nieznany jest efekt ich nadmiernej stymulacji angiotensyną II, której stężenie zwiększa się pod wpływem telmisartanu. Telmisartan zmniejsza stężenie aldosteronu w osoczu. Telmisartan nie hamuje aktywności reninowej osocza oraz nie blokuje kanałów jonowych. Telmisartan nie hamuje enzymu konwertującego angiotensynę (kininazy II), enzymu odpowiedzialnego także za rozkład bradykininy. Tak więc nie należy się spodziewać nasilenia działań niepożądanych związanych z działaniem bradykininy.</w:t>
      </w:r>
    </w:p>
    <w:p w:rsidR="00204221" w:rsidRPr="009353E6" w:rsidRDefault="00204221" w:rsidP="000D5BED">
      <w:pPr>
        <w:pStyle w:val="BodyText"/>
        <w:spacing w:line="240" w:lineRule="auto"/>
        <w:jc w:val="left"/>
        <w:rPr>
          <w:sz w:val="22"/>
          <w:szCs w:val="22"/>
          <w:lang w:val="pl-PL"/>
        </w:rPr>
      </w:pPr>
      <w:r w:rsidRPr="009353E6">
        <w:rPr>
          <w:sz w:val="22"/>
          <w:szCs w:val="22"/>
          <w:lang w:val="pl-PL"/>
        </w:rPr>
        <w:t>U zdrowych ochotników dawka 80 mg prawie całkowicie hamuje wzrost ciśnienia tętniczego wywołany</w:t>
      </w:r>
      <w:r w:rsidRPr="009353E6">
        <w:rPr>
          <w:i/>
          <w:sz w:val="22"/>
          <w:szCs w:val="22"/>
          <w:lang w:val="pl-PL"/>
        </w:rPr>
        <w:t xml:space="preserve"> </w:t>
      </w:r>
      <w:r w:rsidRPr="009353E6">
        <w:rPr>
          <w:sz w:val="22"/>
          <w:szCs w:val="22"/>
          <w:lang w:val="pl-PL"/>
        </w:rPr>
        <w:t>angiotensyną II. To hamujące działanie utrzymuje się w ciągu 24 godz. i jest wciąż mierzalne w okresie do 48 godzin.</w:t>
      </w:r>
    </w:p>
    <w:p w:rsidR="00204221" w:rsidRPr="009353E6" w:rsidRDefault="00204221" w:rsidP="000D5BED">
      <w:pPr>
        <w:pStyle w:val="BodyText"/>
        <w:spacing w:line="240" w:lineRule="auto"/>
        <w:jc w:val="left"/>
        <w:rPr>
          <w:sz w:val="22"/>
          <w:szCs w:val="22"/>
          <w:lang w:val="pl-PL"/>
        </w:rPr>
      </w:pPr>
    </w:p>
    <w:p w:rsidR="00C01D96" w:rsidRPr="009353E6" w:rsidRDefault="00C01D96" w:rsidP="00C01D96">
      <w:pPr>
        <w:pStyle w:val="BodyText"/>
        <w:spacing w:line="240" w:lineRule="auto"/>
        <w:jc w:val="left"/>
        <w:rPr>
          <w:sz w:val="22"/>
          <w:szCs w:val="22"/>
          <w:lang w:val="pl-PL"/>
        </w:rPr>
      </w:pPr>
      <w:r w:rsidRPr="009353E6">
        <w:rPr>
          <w:sz w:val="22"/>
          <w:szCs w:val="22"/>
          <w:lang w:val="pl-PL"/>
        </w:rPr>
        <w:t>Hydrochlorotiazyd jest diuretykiem tiazydowym. Mechanizm działania przeciwnadciśnieniowego tiazydów nie został do końca poznany. Tiazydy wpływają na wchłanianie zwrotne elektrolitów w kanalikach nerkowych, bezpośrednio zwiększając wydalanie sodu i chlorku w przybliżeniu w podobnych ilościach. Działanie diuretyczne hydrochlorotiazydu powoduje zmniejszenie objętości osocza, zwiększenie aktywności reniny w osoczu, zwiększenie wydzielania aldosteronu, co prowadzi do zwiększenia utraty potasu i wodorowęglanów z moczem oraz zmniejszenia stężenia potasu w surowicy. Przyjmuje się, że jednoczesne podawanie telmisartanu powoduje, poprzez blokadę układu renina-angiotensyna-aldosteron, zatrzymanie utraty potasu związane z działaniem diuretyków. W przypadku stosowania hydrochlorotiazydu, diureza rozpoczyna się po 2 godzinach, a maksymalny efek</w:t>
      </w:r>
      <w:r w:rsidR="00B803EE" w:rsidRPr="009353E6">
        <w:rPr>
          <w:sz w:val="22"/>
          <w:szCs w:val="22"/>
          <w:lang w:val="pl-PL"/>
        </w:rPr>
        <w:t>t zostaje osiągnięty po około 4 </w:t>
      </w:r>
      <w:r w:rsidRPr="009353E6">
        <w:rPr>
          <w:sz w:val="22"/>
          <w:szCs w:val="22"/>
          <w:lang w:val="pl-PL"/>
        </w:rPr>
        <w:t>godzinach, działanie utrzymuje się przez 6</w:t>
      </w:r>
      <w:r w:rsidRPr="009353E6">
        <w:rPr>
          <w:sz w:val="22"/>
          <w:szCs w:val="22"/>
          <w:lang w:val="pl-PL"/>
        </w:rPr>
        <w:noBreakHyphen/>
        <w:t>12 godzin.</w:t>
      </w:r>
    </w:p>
    <w:p w:rsidR="00C01D96" w:rsidRPr="009353E6" w:rsidRDefault="00C01D96" w:rsidP="00C01D96">
      <w:pPr>
        <w:pStyle w:val="BodyText"/>
        <w:spacing w:line="240" w:lineRule="auto"/>
        <w:jc w:val="left"/>
        <w:rPr>
          <w:sz w:val="22"/>
          <w:szCs w:val="22"/>
          <w:lang w:val="pl-PL"/>
        </w:rPr>
      </w:pPr>
    </w:p>
    <w:p w:rsidR="00C01D96" w:rsidRPr="009353E6" w:rsidRDefault="00C01D96" w:rsidP="005E3A9A">
      <w:pPr>
        <w:pStyle w:val="BodyText"/>
        <w:keepNext/>
        <w:spacing w:line="240" w:lineRule="auto"/>
        <w:jc w:val="left"/>
        <w:rPr>
          <w:sz w:val="22"/>
          <w:szCs w:val="22"/>
          <w:u w:val="single"/>
          <w:lang w:val="pl-PL"/>
        </w:rPr>
      </w:pPr>
      <w:r w:rsidRPr="009353E6">
        <w:rPr>
          <w:sz w:val="22"/>
          <w:szCs w:val="22"/>
          <w:u w:val="single"/>
          <w:lang w:val="pl-PL"/>
        </w:rPr>
        <w:t>Skuteczność kliniczna i bezpieczeństwo stosowania</w:t>
      </w:r>
    </w:p>
    <w:p w:rsidR="00C01D96" w:rsidRPr="009353E6" w:rsidRDefault="00C01D96" w:rsidP="005E3A9A">
      <w:pPr>
        <w:pStyle w:val="BodyText"/>
        <w:keepNext/>
        <w:spacing w:line="240" w:lineRule="auto"/>
        <w:jc w:val="left"/>
        <w:rPr>
          <w:sz w:val="22"/>
          <w:szCs w:val="22"/>
          <w:lang w:val="pl-PL"/>
        </w:rPr>
      </w:pPr>
    </w:p>
    <w:p w:rsidR="00C01D96" w:rsidRPr="009353E6" w:rsidRDefault="00C01D96" w:rsidP="005E3A9A">
      <w:pPr>
        <w:pStyle w:val="BodyText"/>
        <w:keepNext/>
        <w:spacing w:line="240" w:lineRule="auto"/>
        <w:jc w:val="left"/>
        <w:rPr>
          <w:sz w:val="22"/>
          <w:szCs w:val="22"/>
          <w:lang w:val="pl-PL"/>
        </w:rPr>
      </w:pPr>
      <w:r w:rsidRPr="009353E6">
        <w:rPr>
          <w:sz w:val="22"/>
          <w:szCs w:val="22"/>
          <w:lang w:val="pl-PL"/>
        </w:rPr>
        <w:t>Leczenie samoistnego nadciśnienia tętniczego</w:t>
      </w:r>
    </w:p>
    <w:p w:rsidR="003D10DA" w:rsidRPr="009353E6" w:rsidRDefault="00204221" w:rsidP="000D5BED">
      <w:pPr>
        <w:pStyle w:val="BodyText"/>
        <w:spacing w:line="240" w:lineRule="auto"/>
        <w:jc w:val="left"/>
        <w:rPr>
          <w:sz w:val="22"/>
          <w:szCs w:val="22"/>
          <w:lang w:val="pl-PL"/>
        </w:rPr>
      </w:pPr>
      <w:r w:rsidRPr="009353E6">
        <w:rPr>
          <w:sz w:val="22"/>
          <w:szCs w:val="22"/>
          <w:lang w:val="pl-PL"/>
        </w:rPr>
        <w:t>Po podaniu pierwszej dawki telmisartanu działanie hipotensyjne ujawnia się stopniowo w ciągu 3</w:t>
      </w:r>
      <w:r w:rsidR="0024500F" w:rsidRPr="009353E6">
        <w:rPr>
          <w:sz w:val="22"/>
          <w:szCs w:val="22"/>
          <w:lang w:val="pl-PL"/>
        </w:rPr>
        <w:t> </w:t>
      </w:r>
      <w:r w:rsidRPr="009353E6">
        <w:rPr>
          <w:sz w:val="22"/>
          <w:szCs w:val="22"/>
          <w:lang w:val="pl-PL"/>
        </w:rPr>
        <w:t>godz. Maksymalne obniżenie ciśnienia krwi jest osiągane zwykle po upływie 4 do 8 tygodni od rozpoczęcia leczenia i utrzymuje się przez cały okres leczenia.</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Ambulatoryjne pomiary ciśnienia dowiodły, że działanie hipotensyjne utrzymuje się na stałym poziomie w okresie 24 godzin od przyjęcia leku, obejmując również okres ostatnich 4 godzin przed przyjęciem następnej dawki leku. Potwierdzają to wyniki badań klinicznych kontrolowanych placebo, w których prowadzono pomiary maksymalnego obniżenia ciśnienia tętniczego i obniżenia ciśnienia tętniczego bezpośrednio przed przyjęciem kolejnej dawki leku (parametr określany jako „through to peak ratio” wynosił stale powyżej 80%, zarówno po podaniu dawki 40 mg jak i 80 mg).</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Telmisartan podany chorym z nadciśnieniem tętniczym obniża ciśnienie rozkurczowe i skurczowe, nie wpływając na częstość akcji serca. Skuteczność działania hipotensyjnego telmisartanu jest porównywalna do innych </w:t>
      </w:r>
      <w:r w:rsidR="004D1DB3" w:rsidRPr="009353E6">
        <w:rPr>
          <w:sz w:val="22"/>
          <w:szCs w:val="22"/>
          <w:lang w:val="pl-PL"/>
        </w:rPr>
        <w:t>p</w:t>
      </w:r>
      <w:r w:rsidRPr="009353E6">
        <w:rPr>
          <w:sz w:val="22"/>
          <w:szCs w:val="22"/>
          <w:lang w:val="pl-PL"/>
        </w:rPr>
        <w:t>rzeciwnadciśnieniowych</w:t>
      </w:r>
      <w:r w:rsidR="004D1DB3" w:rsidRPr="009353E6">
        <w:rPr>
          <w:sz w:val="22"/>
          <w:szCs w:val="22"/>
          <w:lang w:val="pl-PL"/>
        </w:rPr>
        <w:t xml:space="preserve"> produktów leczniczych</w:t>
      </w:r>
      <w:r w:rsidRPr="009353E6">
        <w:rPr>
          <w:sz w:val="22"/>
          <w:szCs w:val="22"/>
          <w:lang w:val="pl-PL"/>
        </w:rPr>
        <w:t xml:space="preserve"> (co wykazano w klinicznych badaniach porównawczych telmisartanu z amlodypiną, atenololem, enalaprylem, hydrochlorotiazydem i lizynoprylem).</w:t>
      </w:r>
    </w:p>
    <w:p w:rsidR="00204221" w:rsidRPr="009353E6" w:rsidRDefault="00204221" w:rsidP="000D5BED">
      <w:pPr>
        <w:pStyle w:val="BodyText"/>
        <w:spacing w:line="240" w:lineRule="auto"/>
        <w:jc w:val="left"/>
        <w:rPr>
          <w:sz w:val="22"/>
          <w:szCs w:val="22"/>
          <w:lang w:val="pl-PL"/>
        </w:rPr>
      </w:pPr>
    </w:p>
    <w:p w:rsidR="00471718" w:rsidRPr="009353E6" w:rsidRDefault="00471718" w:rsidP="000D5BED">
      <w:pPr>
        <w:pStyle w:val="BodyText"/>
        <w:spacing w:line="240" w:lineRule="auto"/>
        <w:jc w:val="left"/>
        <w:rPr>
          <w:sz w:val="22"/>
          <w:szCs w:val="22"/>
          <w:lang w:val="pl-PL"/>
        </w:rPr>
      </w:pPr>
      <w:r w:rsidRPr="009353E6">
        <w:rPr>
          <w:sz w:val="22"/>
          <w:szCs w:val="22"/>
          <w:lang w:val="pl-PL"/>
        </w:rPr>
        <w:t>W podwójnie ślepym, kontrolowanym badaniu klinicznym (n=687 pacjentów ocenianych pod względem skuteczności) u pacjentów nieodpowiadających na dawkę pr</w:t>
      </w:r>
      <w:r w:rsidR="004D1DB3" w:rsidRPr="009353E6">
        <w:rPr>
          <w:sz w:val="22"/>
          <w:szCs w:val="22"/>
          <w:lang w:val="pl-PL"/>
        </w:rPr>
        <w:t>oduktu</w:t>
      </w:r>
      <w:r w:rsidRPr="009353E6">
        <w:rPr>
          <w:sz w:val="22"/>
          <w:szCs w:val="22"/>
          <w:lang w:val="pl-PL"/>
        </w:rPr>
        <w:t xml:space="preserve"> złożonego 80</w:t>
      </w:r>
      <w:r w:rsidR="00A81628" w:rsidRPr="009353E6">
        <w:rPr>
          <w:sz w:val="22"/>
          <w:szCs w:val="22"/>
          <w:lang w:val="pl-PL"/>
        </w:rPr>
        <w:t> </w:t>
      </w:r>
      <w:r w:rsidRPr="009353E6">
        <w:rPr>
          <w:sz w:val="22"/>
          <w:szCs w:val="22"/>
          <w:lang w:val="pl-PL"/>
        </w:rPr>
        <w:t>mg/12,5</w:t>
      </w:r>
      <w:r w:rsidR="00A81628" w:rsidRPr="009353E6">
        <w:rPr>
          <w:sz w:val="22"/>
          <w:szCs w:val="22"/>
          <w:lang w:val="pl-PL"/>
        </w:rPr>
        <w:t> </w:t>
      </w:r>
      <w:r w:rsidRPr="009353E6">
        <w:rPr>
          <w:sz w:val="22"/>
          <w:szCs w:val="22"/>
          <w:lang w:val="pl-PL"/>
        </w:rPr>
        <w:t>mg, wykazano większy o 2,7/1,6 mmHg (ciśnienie skurczowe/rozkurczowe; różnica pomiędzy skorygowanymi średnimi zmianami w stosunku do wartości wyjściowych) efekt  obniżający ciśnienie tętnicze krwi dawki 80 mg/25 mg w porównaniu do pacjentów, u których leczenie kontynuowano za pomocą dawki 80 mg/12,5 mg. W badaniu kontrolnym (follow-up) z dawką 80 mg/25 mg, ciśnienie krwi ulegało dalszemu obniżeniu (prowadząc do całkowitego obniżenia o</w:t>
      </w:r>
      <w:r w:rsidR="0024500F" w:rsidRPr="009353E6">
        <w:rPr>
          <w:sz w:val="22"/>
          <w:szCs w:val="22"/>
          <w:lang w:val="pl-PL"/>
        </w:rPr>
        <w:t> </w:t>
      </w:r>
      <w:r w:rsidRPr="009353E6">
        <w:rPr>
          <w:sz w:val="22"/>
          <w:szCs w:val="22"/>
          <w:lang w:val="pl-PL"/>
        </w:rPr>
        <w:t>11,5/9,9 mmHg; odpowiednio ciśnienie skurczowe/rozkurczowe).</w:t>
      </w:r>
    </w:p>
    <w:p w:rsidR="00471718" w:rsidRPr="009353E6" w:rsidRDefault="00471718" w:rsidP="000D5BED">
      <w:pPr>
        <w:pStyle w:val="BodyText"/>
        <w:spacing w:line="240" w:lineRule="auto"/>
        <w:jc w:val="left"/>
        <w:rPr>
          <w:sz w:val="22"/>
          <w:szCs w:val="22"/>
          <w:lang w:val="pl-PL"/>
        </w:rPr>
      </w:pPr>
    </w:p>
    <w:p w:rsidR="00471718" w:rsidRPr="009353E6" w:rsidRDefault="00471718" w:rsidP="000D5BED">
      <w:pPr>
        <w:pStyle w:val="BodyText"/>
        <w:spacing w:line="240" w:lineRule="auto"/>
        <w:jc w:val="left"/>
        <w:rPr>
          <w:sz w:val="22"/>
          <w:szCs w:val="22"/>
          <w:lang w:val="pl-PL"/>
        </w:rPr>
      </w:pPr>
      <w:r w:rsidRPr="009353E6">
        <w:rPr>
          <w:sz w:val="22"/>
          <w:szCs w:val="22"/>
          <w:lang w:val="pl-PL"/>
        </w:rPr>
        <w:t>W łącznej analizie dwóch podobnych 8-tygodniowych podwójnie ślepych badań klinicznych kontrolowanych placebo w porównaniu do</w:t>
      </w:r>
      <w:r w:rsidR="004D1DB3" w:rsidRPr="009353E6">
        <w:rPr>
          <w:sz w:val="22"/>
          <w:szCs w:val="22"/>
          <w:lang w:val="pl-PL"/>
        </w:rPr>
        <w:t xml:space="preserve"> produktu złożonego zawierającego wa</w:t>
      </w:r>
      <w:r w:rsidRPr="009353E6">
        <w:rPr>
          <w:sz w:val="22"/>
          <w:szCs w:val="22"/>
          <w:lang w:val="pl-PL"/>
        </w:rPr>
        <w:t>lsartanu</w:t>
      </w:r>
      <w:r w:rsidR="004D1DB3" w:rsidRPr="009353E6">
        <w:rPr>
          <w:sz w:val="22"/>
          <w:szCs w:val="22"/>
          <w:lang w:val="pl-PL"/>
        </w:rPr>
        <w:t xml:space="preserve"> i</w:t>
      </w:r>
      <w:r w:rsidR="0024500F" w:rsidRPr="009353E6">
        <w:rPr>
          <w:sz w:val="22"/>
          <w:szCs w:val="22"/>
          <w:lang w:val="pl-PL"/>
        </w:rPr>
        <w:t> </w:t>
      </w:r>
      <w:r w:rsidRPr="009353E6">
        <w:rPr>
          <w:sz w:val="22"/>
          <w:szCs w:val="22"/>
          <w:lang w:val="pl-PL"/>
        </w:rPr>
        <w:t>hydrochlorotiazyd</w:t>
      </w:r>
      <w:r w:rsidR="004D1DB3" w:rsidRPr="009353E6">
        <w:rPr>
          <w:sz w:val="22"/>
          <w:szCs w:val="22"/>
          <w:lang w:val="pl-PL"/>
        </w:rPr>
        <w:t xml:space="preserve"> w dawce</w:t>
      </w:r>
      <w:r w:rsidRPr="009353E6">
        <w:rPr>
          <w:sz w:val="22"/>
          <w:szCs w:val="22"/>
          <w:lang w:val="pl-PL"/>
        </w:rPr>
        <w:t xml:space="preserve"> 160 mg/25 mg (n=2121 pacjentów ocenianych pod względem skuteczności) wykazano istotnie większe o 2,2/1,2 mmHg (odpowiednio ciśnienie skurczowe/rozkurczowe; różnica pomiędzy skorygowanymi średnimi zmianami w stosunku do wartości wyjściowych) działanie obniżające ciśnienie krwi na korzyść</w:t>
      </w:r>
      <w:r w:rsidR="004D1DB3" w:rsidRPr="009353E6">
        <w:rPr>
          <w:sz w:val="22"/>
          <w:szCs w:val="22"/>
          <w:lang w:val="pl-PL"/>
        </w:rPr>
        <w:t xml:space="preserve"> produktu złożonego zawierającego  </w:t>
      </w:r>
      <w:r w:rsidRPr="009353E6">
        <w:rPr>
          <w:sz w:val="22"/>
          <w:szCs w:val="22"/>
          <w:lang w:val="pl-PL"/>
        </w:rPr>
        <w:t>telmisartan</w:t>
      </w:r>
      <w:r w:rsidR="004D1DB3" w:rsidRPr="009353E6">
        <w:rPr>
          <w:sz w:val="22"/>
          <w:szCs w:val="22"/>
          <w:lang w:val="pl-PL"/>
        </w:rPr>
        <w:t xml:space="preserve"> i </w:t>
      </w:r>
      <w:r w:rsidRPr="009353E6">
        <w:rPr>
          <w:sz w:val="22"/>
          <w:szCs w:val="22"/>
          <w:lang w:val="pl-PL"/>
        </w:rPr>
        <w:t>hydrochlorotiazyd w dawce 80 mg/25 mg.</w:t>
      </w:r>
    </w:p>
    <w:p w:rsidR="00471718" w:rsidRPr="009353E6" w:rsidRDefault="00471718" w:rsidP="000D5BED">
      <w:pPr>
        <w:pStyle w:val="BodyText"/>
        <w:spacing w:line="240" w:lineRule="auto"/>
        <w:jc w:val="left"/>
        <w:rPr>
          <w:sz w:val="22"/>
          <w:szCs w:val="22"/>
          <w:lang w:val="pl-PL"/>
        </w:rPr>
      </w:pPr>
    </w:p>
    <w:p w:rsidR="00B13F60" w:rsidRPr="009353E6" w:rsidRDefault="00B13F60" w:rsidP="00B13F60">
      <w:pPr>
        <w:pStyle w:val="BodyText"/>
        <w:spacing w:line="240" w:lineRule="auto"/>
        <w:jc w:val="left"/>
        <w:rPr>
          <w:sz w:val="22"/>
          <w:szCs w:val="22"/>
          <w:lang w:val="pl-PL"/>
        </w:rPr>
      </w:pPr>
      <w:r w:rsidRPr="009353E6">
        <w:rPr>
          <w:sz w:val="22"/>
          <w:szCs w:val="22"/>
          <w:lang w:val="pl-PL"/>
        </w:rPr>
        <w:t>W przypadku nagłego przerwania leczenia telmisartanem ciśnienie tętnicze powraca do wartości sprzed rozpoczęcia leczenia stopniowo, w ciągu kilku dni, bez zjawiska odbicia (tzw. „rebound hypertension”). W badaniach klinicznych bezpośrednio porównujących dwie metody leczenia hipotensyjnego, częstość występowania suchego kaszlu po telmisartanie była mniejsza niż po inhibitorach enzymu konwertującego angiotensynę.</w:t>
      </w:r>
    </w:p>
    <w:p w:rsidR="00557693" w:rsidRPr="009353E6" w:rsidRDefault="00557693" w:rsidP="00557693">
      <w:pPr>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Zapobieganie chorobom układu sercowo-naczyniowego</w:t>
      </w:r>
    </w:p>
    <w:p w:rsidR="00254FF9" w:rsidRPr="009353E6" w:rsidRDefault="00254FF9" w:rsidP="0032126B">
      <w:pPr>
        <w:pStyle w:val="BodyText"/>
        <w:spacing w:line="240" w:lineRule="auto"/>
        <w:jc w:val="left"/>
        <w:rPr>
          <w:sz w:val="22"/>
          <w:szCs w:val="22"/>
          <w:lang w:val="pl-PL"/>
        </w:rPr>
      </w:pPr>
      <w:r w:rsidRPr="009353E6">
        <w:rPr>
          <w:sz w:val="22"/>
          <w:szCs w:val="22"/>
          <w:lang w:val="pl-PL"/>
        </w:rPr>
        <w:t>W badaniu klinicznym ONTARGET (</w:t>
      </w:r>
      <w:r w:rsidRPr="009353E6">
        <w:rPr>
          <w:i/>
          <w:sz w:val="22"/>
          <w:szCs w:val="22"/>
          <w:lang w:val="pl-PL"/>
        </w:rPr>
        <w:t>ONgoing Telmisartan Alone and in Combination with Ramipril Global Endpoint Trial</w:t>
      </w:r>
      <w:r w:rsidRPr="009353E6">
        <w:rPr>
          <w:sz w:val="22"/>
          <w:szCs w:val="22"/>
          <w:lang w:val="pl-PL"/>
        </w:rPr>
        <w:t xml:space="preserve">) porównywano wpływ telmisartanu, ramiprylu oraz jednoczesnego podawania telmisartanu i ramiprylu na wyniki leczenia w obrębie układu sercowo-naczyniowego u 25620 pacjentów w wieku 55 lat lub starszych, u których w wywiadzie stwierdzono chorobę wieńcową, udar mózgu, przemijający atak niedokrwienny (TIA), chorobę tętnic obwodowych lub cukrzycę typu 2 z udokumentowanym uszkodzeniem narządowym (np. retinopatią, przerostem lewej komory serca, makro- i mikroalbuminurią), </w:t>
      </w:r>
      <w:r w:rsidR="00860224" w:rsidRPr="009353E6">
        <w:rPr>
          <w:sz w:val="22"/>
          <w:szCs w:val="22"/>
          <w:lang w:val="pl-PL"/>
        </w:rPr>
        <w:t>co stanowi</w:t>
      </w:r>
      <w:r w:rsidRPr="009353E6">
        <w:rPr>
          <w:sz w:val="22"/>
          <w:szCs w:val="22"/>
          <w:lang w:val="pl-PL"/>
        </w:rPr>
        <w:t xml:space="preserve"> populacj</w:t>
      </w:r>
      <w:r w:rsidR="00860224" w:rsidRPr="009353E6">
        <w:rPr>
          <w:sz w:val="22"/>
          <w:szCs w:val="22"/>
          <w:lang w:val="pl-PL"/>
        </w:rPr>
        <w:t>ę</w:t>
      </w:r>
      <w:r w:rsidRPr="009353E6">
        <w:rPr>
          <w:sz w:val="22"/>
          <w:szCs w:val="22"/>
          <w:lang w:val="pl-PL"/>
        </w:rPr>
        <w:t xml:space="preserve"> obarczon</w:t>
      </w:r>
      <w:r w:rsidR="00860224" w:rsidRPr="009353E6">
        <w:rPr>
          <w:sz w:val="22"/>
          <w:szCs w:val="22"/>
          <w:lang w:val="pl-PL"/>
        </w:rPr>
        <w:t>ą</w:t>
      </w:r>
      <w:r w:rsidRPr="009353E6">
        <w:rPr>
          <w:sz w:val="22"/>
          <w:szCs w:val="22"/>
          <w:lang w:val="pl-PL"/>
        </w:rPr>
        <w:t xml:space="preserve"> ryzykiem wystąpienia zdarzeń sercowo-naczyniowych. </w:t>
      </w:r>
    </w:p>
    <w:p w:rsidR="00254FF9" w:rsidRPr="009353E6" w:rsidRDefault="00254FF9" w:rsidP="0032126B">
      <w:pPr>
        <w:pStyle w:val="BodyText"/>
        <w:spacing w:line="240" w:lineRule="auto"/>
        <w:jc w:val="left"/>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 xml:space="preserve">Pacjentów losowo przydzielono do jednej z trzech następujących grup: grupy </w:t>
      </w:r>
      <w:r w:rsidR="00801819" w:rsidRPr="009353E6">
        <w:rPr>
          <w:sz w:val="22"/>
          <w:szCs w:val="22"/>
          <w:lang w:val="pl-PL"/>
        </w:rPr>
        <w:t xml:space="preserve">otrzymującej </w:t>
      </w:r>
      <w:r w:rsidRPr="009353E6">
        <w:rPr>
          <w:sz w:val="22"/>
          <w:szCs w:val="22"/>
          <w:lang w:val="pl-PL"/>
        </w:rPr>
        <w:t>telmisartan w dawce 80 mg (n=8542), grupy otrzymującej ramipryl w dawce 10 mg (n=8576) lub grupy otrzymującej jednocześnie telmisartan w dawce 80 mg i ramipryl w dawce 10 mg (n=8502). Mediana okresu obserwacji wyni</w:t>
      </w:r>
      <w:r w:rsidR="00801819" w:rsidRPr="009353E6">
        <w:rPr>
          <w:sz w:val="22"/>
          <w:szCs w:val="22"/>
          <w:lang w:val="pl-PL"/>
        </w:rPr>
        <w:t>os</w:t>
      </w:r>
      <w:r w:rsidRPr="009353E6">
        <w:rPr>
          <w:sz w:val="22"/>
          <w:szCs w:val="22"/>
          <w:lang w:val="pl-PL"/>
        </w:rPr>
        <w:t>ła 4,5 roku.</w:t>
      </w:r>
    </w:p>
    <w:p w:rsidR="00254FF9" w:rsidRPr="009353E6" w:rsidRDefault="00254FF9" w:rsidP="0032126B">
      <w:pPr>
        <w:pStyle w:val="BodyText"/>
        <w:spacing w:line="240" w:lineRule="auto"/>
        <w:jc w:val="left"/>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 xml:space="preserve">Wykazano podobne  działanie telmisartanu i ramiprylu w zakresie zmniejszenia częstości występowania pierwszorzędowego złożonego punktu końcowego (zgon z przyczyn sercowo-naczyniowych, zawał mięśnia sercowego nie zakończony zgonem , udar mózgu nie zakończony zgonem  lub hospitalizacja z powodu zastoinowej niewydolności serca). Pierwszorzędowy punkt końcowy występował z podobną częstością w grupach przyjmujących telmisartan (16,7%) i ramipryl (16,5%). Współczynnik ryzyka dla telmisartanu </w:t>
      </w:r>
      <w:r w:rsidR="00801819" w:rsidRPr="009353E6">
        <w:rPr>
          <w:sz w:val="22"/>
          <w:szCs w:val="22"/>
          <w:lang w:val="pl-PL"/>
        </w:rPr>
        <w:t>wobec</w:t>
      </w:r>
      <w:r w:rsidRPr="009353E6">
        <w:rPr>
          <w:sz w:val="22"/>
          <w:szCs w:val="22"/>
          <w:lang w:val="pl-PL"/>
        </w:rPr>
        <w:t xml:space="preserve"> ramiprylu wynosił 1,01 (97,5% CI 0,93 – 1,10), p (non-inferiority) = 0,0019 z marginesem wynoszącym 1,13). Odsetek zgonów z dowolnej przyczyny u pacjentów przyjmujących telmisartan i ramipryl wynosił odpowiednio 11,6% i 11,8%. </w:t>
      </w:r>
    </w:p>
    <w:p w:rsidR="00254FF9" w:rsidRPr="009353E6" w:rsidRDefault="00254FF9" w:rsidP="0032126B">
      <w:pPr>
        <w:pStyle w:val="BodyText"/>
        <w:spacing w:line="240" w:lineRule="auto"/>
        <w:jc w:val="left"/>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Wykazano porównywalną skuteczność telmisartanu i ramiprylu w zakresie drugorzędowego punktu końcowego (zgon z przyczyn sercowo-naczyniowych, zawał mięśnia sercowego nie zokończony zgonem  i udar mózgu  nie zakończony zgonem  [0,99 (97,5% CI 0,90 – 1,08), p (</w:t>
      </w:r>
      <w:r w:rsidRPr="009353E6">
        <w:rPr>
          <w:i/>
          <w:sz w:val="22"/>
          <w:szCs w:val="22"/>
          <w:lang w:val="pl-PL"/>
        </w:rPr>
        <w:t>non-inferiority</w:t>
      </w:r>
      <w:r w:rsidRPr="009353E6">
        <w:rPr>
          <w:sz w:val="22"/>
          <w:szCs w:val="22"/>
          <w:lang w:val="pl-PL"/>
        </w:rPr>
        <w:t>) = 0,0004], stanowiącego pierwszorzędowy punkt końcowy w badaniu klinicznym HOPE (</w:t>
      </w:r>
      <w:r w:rsidRPr="009353E6">
        <w:rPr>
          <w:i/>
          <w:sz w:val="22"/>
          <w:szCs w:val="22"/>
          <w:lang w:val="pl-PL"/>
        </w:rPr>
        <w:t>The Heart Outcomes Prevention Evaluation Study</w:t>
      </w:r>
      <w:r w:rsidRPr="009353E6">
        <w:rPr>
          <w:sz w:val="22"/>
          <w:szCs w:val="22"/>
          <w:lang w:val="pl-PL"/>
        </w:rPr>
        <w:t xml:space="preserve">), w którym porównywano działanie ramiprylu i placebo.  </w:t>
      </w:r>
    </w:p>
    <w:p w:rsidR="00254FF9" w:rsidRPr="009353E6" w:rsidRDefault="00254FF9" w:rsidP="0032126B">
      <w:pPr>
        <w:pStyle w:val="BodyText"/>
        <w:spacing w:line="240" w:lineRule="auto"/>
        <w:jc w:val="left"/>
        <w:rPr>
          <w:sz w:val="22"/>
          <w:szCs w:val="22"/>
          <w:lang w:val="pl-PL"/>
        </w:rPr>
      </w:pPr>
    </w:p>
    <w:p w:rsidR="00254FF9" w:rsidRPr="009353E6" w:rsidRDefault="00254FF9" w:rsidP="0032126B">
      <w:pPr>
        <w:pStyle w:val="BodyText"/>
        <w:spacing w:line="240" w:lineRule="auto"/>
        <w:jc w:val="left"/>
        <w:rPr>
          <w:sz w:val="22"/>
          <w:szCs w:val="22"/>
          <w:lang w:val="pl-PL"/>
        </w:rPr>
      </w:pPr>
      <w:r w:rsidRPr="009353E6">
        <w:rPr>
          <w:sz w:val="22"/>
          <w:szCs w:val="22"/>
          <w:lang w:val="pl-PL"/>
        </w:rPr>
        <w:t>W badaniu klinicznym TRANSCEND, pacjentów z nietolerancją inhibitorów ACE-I, którzy spełniali pozostałe kryteria włączenia do badania zastosowane także w badaniu ONTARGET, losowo przydzielono do grupy przyjmującej telmisartan w dawce 80 mg (n=2954) lub placebo (n=2972), podawane jako uzupełnienie dla standardowo przyjmowanego leczenia. Mediana okresu obserwacji wyni</w:t>
      </w:r>
      <w:r w:rsidR="00801819" w:rsidRPr="009353E6">
        <w:rPr>
          <w:sz w:val="22"/>
          <w:szCs w:val="22"/>
          <w:lang w:val="pl-PL"/>
        </w:rPr>
        <w:t>os</w:t>
      </w:r>
      <w:r w:rsidRPr="009353E6">
        <w:rPr>
          <w:sz w:val="22"/>
          <w:szCs w:val="22"/>
          <w:lang w:val="pl-PL"/>
        </w:rPr>
        <w:t>ła 4 lata i 8 miesięcy. Nie stwierdzono statystycznie istotnej różnicy częstości występowania pierwszorzędowego złożonego punktu końcowego (zgon z przyczyn sercowo-naczyniowych, zawał mięśnia sercowego nie zakończony zgonem, udar mózgu nie zakończon</w:t>
      </w:r>
      <w:r w:rsidR="00801819" w:rsidRPr="009353E6">
        <w:rPr>
          <w:sz w:val="22"/>
          <w:szCs w:val="22"/>
          <w:lang w:val="pl-PL"/>
        </w:rPr>
        <w:t>y</w:t>
      </w:r>
      <w:r w:rsidRPr="009353E6">
        <w:rPr>
          <w:sz w:val="22"/>
          <w:szCs w:val="22"/>
          <w:lang w:val="pl-PL"/>
        </w:rPr>
        <w:t xml:space="preserve"> zgonem lub hospitalizacja z powodu zastoinowej niewydolności serca) [15,7% w grupie przyjmującej telmisartan i 17,0% w grupie otrzymującej placebo, przy współczynniku ryzyka wynoszącym 0,92 (95% CI; 0,81–1,05; p=0,22]. W odniesieniu do drugorzędowego złożonego punktu końcowego (zgon z przyczyn sercowo-naczyniowych, zawał serca nie zakończony zgonem oraz udar mózgu</w:t>
      </w:r>
      <w:r w:rsidR="00801819" w:rsidRPr="009353E6">
        <w:rPr>
          <w:sz w:val="22"/>
          <w:szCs w:val="22"/>
          <w:lang w:val="pl-PL"/>
        </w:rPr>
        <w:t xml:space="preserve"> </w:t>
      </w:r>
      <w:r w:rsidRPr="009353E6">
        <w:rPr>
          <w:sz w:val="22"/>
          <w:szCs w:val="22"/>
          <w:lang w:val="pl-PL"/>
        </w:rPr>
        <w:t>nie zakończony zgonem) wykazano korzyści związane ze stosowaniem telmisartanu w porównaniu do placebo [0,87 (95% CI; 0,76-1,00, p=0,048)]. Nie wykazano różnic między badanymi grupami w zakresie śmiertelności z przyczyn sercowo-naczyniowych (współczynnik ryzyka 1,03; 95% CI; 0,85-1,24).</w:t>
      </w:r>
    </w:p>
    <w:p w:rsidR="00CE31F6" w:rsidRPr="009353E6" w:rsidRDefault="00CE31F6" w:rsidP="0032126B">
      <w:pPr>
        <w:pStyle w:val="BodyText"/>
        <w:spacing w:line="240" w:lineRule="auto"/>
        <w:jc w:val="left"/>
        <w:rPr>
          <w:sz w:val="22"/>
          <w:szCs w:val="22"/>
          <w:lang w:val="pl-PL"/>
        </w:rPr>
      </w:pPr>
    </w:p>
    <w:p w:rsidR="00CE31F6" w:rsidRPr="009353E6" w:rsidRDefault="00CE31F6" w:rsidP="0032126B">
      <w:pPr>
        <w:pStyle w:val="BodyText"/>
        <w:spacing w:line="240" w:lineRule="auto"/>
        <w:jc w:val="left"/>
        <w:rPr>
          <w:sz w:val="22"/>
          <w:szCs w:val="22"/>
          <w:lang w:val="pl-PL"/>
        </w:rPr>
      </w:pPr>
      <w:r w:rsidRPr="009353E6">
        <w:rPr>
          <w:sz w:val="22"/>
          <w:szCs w:val="22"/>
          <w:lang w:val="pl-PL"/>
        </w:rPr>
        <w:t>U pacjentów przyjmujących telmisartan rzadziej zgłaszano występowanie kaszlu oraz obrzęku</w:t>
      </w:r>
    </w:p>
    <w:p w:rsidR="00CE31F6" w:rsidRPr="009353E6" w:rsidRDefault="00CE31F6" w:rsidP="0032126B">
      <w:pPr>
        <w:pStyle w:val="BodyText"/>
        <w:spacing w:line="240" w:lineRule="auto"/>
        <w:jc w:val="left"/>
        <w:rPr>
          <w:sz w:val="22"/>
          <w:szCs w:val="22"/>
          <w:lang w:val="pl-PL"/>
        </w:rPr>
      </w:pPr>
      <w:r w:rsidRPr="009353E6">
        <w:rPr>
          <w:sz w:val="22"/>
          <w:szCs w:val="22"/>
          <w:lang w:val="pl-PL"/>
        </w:rPr>
        <w:t>naczynioruchowego niż u pacjentow otrzymujących ramipryl, natomiast częściej zgłaszano</w:t>
      </w:r>
    </w:p>
    <w:p w:rsidR="00CE31F6" w:rsidRPr="009353E6" w:rsidRDefault="00CE31F6" w:rsidP="0032126B">
      <w:pPr>
        <w:pStyle w:val="BodyText"/>
        <w:spacing w:line="240" w:lineRule="auto"/>
        <w:jc w:val="left"/>
        <w:rPr>
          <w:sz w:val="22"/>
          <w:szCs w:val="22"/>
          <w:lang w:val="pl-PL"/>
        </w:rPr>
      </w:pPr>
      <w:r w:rsidRPr="009353E6">
        <w:rPr>
          <w:sz w:val="22"/>
          <w:szCs w:val="22"/>
          <w:lang w:val="pl-PL"/>
        </w:rPr>
        <w:t>występowanie niedociśnienia.</w:t>
      </w:r>
    </w:p>
    <w:p w:rsidR="00CE31F6" w:rsidRPr="009353E6" w:rsidRDefault="00CE31F6" w:rsidP="0032126B">
      <w:pPr>
        <w:pStyle w:val="BodyText"/>
        <w:spacing w:line="240" w:lineRule="auto"/>
        <w:jc w:val="left"/>
        <w:rPr>
          <w:sz w:val="22"/>
          <w:szCs w:val="22"/>
          <w:lang w:val="pl-PL"/>
        </w:rPr>
      </w:pPr>
    </w:p>
    <w:p w:rsidR="00CE31F6" w:rsidRPr="009353E6" w:rsidRDefault="00CE31F6" w:rsidP="0032126B">
      <w:pPr>
        <w:pStyle w:val="BodyText"/>
        <w:spacing w:line="240" w:lineRule="auto"/>
        <w:jc w:val="left"/>
        <w:rPr>
          <w:sz w:val="22"/>
          <w:szCs w:val="22"/>
          <w:lang w:val="pl-PL"/>
        </w:rPr>
      </w:pPr>
      <w:r w:rsidRPr="009353E6">
        <w:rPr>
          <w:sz w:val="22"/>
          <w:szCs w:val="22"/>
          <w:lang w:val="pl-PL"/>
        </w:rPr>
        <w:t>Jednoczesne podawanie telmisartanu i ramiprylu nie przyniosło dodatkowych korzyści w</w:t>
      </w:r>
    </w:p>
    <w:p w:rsidR="00CE31F6" w:rsidRPr="009353E6" w:rsidRDefault="00CE31F6" w:rsidP="0032126B">
      <w:pPr>
        <w:pStyle w:val="BodyText"/>
        <w:spacing w:line="240" w:lineRule="auto"/>
        <w:jc w:val="left"/>
        <w:rPr>
          <w:sz w:val="22"/>
          <w:szCs w:val="22"/>
          <w:lang w:val="pl-PL"/>
        </w:rPr>
      </w:pPr>
      <w:r w:rsidRPr="009353E6">
        <w:rPr>
          <w:sz w:val="22"/>
          <w:szCs w:val="22"/>
          <w:lang w:val="pl-PL"/>
        </w:rPr>
        <w:t>porównaniu ze stosowaniem ramiprylu lub telmisartanu w monoterapii. W przypadku jednoczesnego stosowania telmisartanu i ramiprylu odsetek zgonów z przyczyn sercowo-naczyniowych oraz zgonów z dowolnej przyczyny był większy. Ponadto, w grupie jednocześnie stosującej telmisartan i ramipryl znacznie częściej występowały hiperkaliemia, niewydolność nerek, niedociśnienie oraz omdlenia. Z tego względu nie zaleca się jednoczesnego stosowania telmisartanu i ramiprylu w tej populacji pacjentów.</w:t>
      </w:r>
    </w:p>
    <w:p w:rsidR="00CE31F6" w:rsidRPr="009353E6" w:rsidRDefault="00CE31F6" w:rsidP="0032126B">
      <w:pPr>
        <w:pStyle w:val="BodyText"/>
        <w:spacing w:line="240" w:lineRule="auto"/>
        <w:jc w:val="left"/>
        <w:rPr>
          <w:sz w:val="22"/>
          <w:szCs w:val="22"/>
          <w:lang w:val="pl-PL"/>
        </w:rPr>
      </w:pPr>
    </w:p>
    <w:p w:rsidR="00471718" w:rsidRPr="009353E6" w:rsidRDefault="0047675F" w:rsidP="000D5BED">
      <w:pPr>
        <w:pStyle w:val="BodyText"/>
        <w:spacing w:line="240" w:lineRule="auto"/>
        <w:jc w:val="left"/>
        <w:rPr>
          <w:sz w:val="22"/>
          <w:szCs w:val="22"/>
          <w:lang w:val="pl-PL"/>
        </w:rPr>
      </w:pPr>
      <w:r w:rsidRPr="009353E6">
        <w:rPr>
          <w:sz w:val="22"/>
          <w:szCs w:val="22"/>
          <w:lang w:val="pl-PL"/>
        </w:rPr>
        <w:t>W badaniu PRoFESS (</w:t>
      </w:r>
      <w:r w:rsidRPr="009353E6">
        <w:rPr>
          <w:i/>
          <w:sz w:val="22"/>
          <w:szCs w:val="22"/>
          <w:lang w:val="pl-PL"/>
        </w:rPr>
        <w:t>Prevention Regimen For Effectively avoiding Second Strokes</w:t>
      </w:r>
      <w:r w:rsidRPr="009353E6">
        <w:rPr>
          <w:sz w:val="22"/>
          <w:szCs w:val="22"/>
          <w:lang w:val="pl-PL"/>
        </w:rPr>
        <w:t xml:space="preserve">) z udziałem pacjentów w wieku 50 lat i starszych, którzy ostatnio przebyli udar, odnotowano zwiększoną częstość występowania posocznicy w odniesieniu do telmisartanu w porównaniu do placebo, 0,70% vs. 0,49% [zmniejszenie ryzyka 1,43 (95% przedział ufności 1,00–2,06)]; częstość występowania posocznicy zakończonej zgonem była zwiększona u pacjentów przyjmujących telmisartan (0,33%) w porównaniu do pacjentów przyjmujących placebo (0,16%) [zmniejszenie ryzyka 2,07 (95% przedział ufności </w:t>
      </w:r>
      <w:r w:rsidR="00A81628" w:rsidRPr="009353E6">
        <w:rPr>
          <w:sz w:val="22"/>
          <w:szCs w:val="22"/>
          <w:lang w:val="pl-PL"/>
        </w:rPr>
        <w:br/>
      </w:r>
      <w:r w:rsidRPr="009353E6">
        <w:rPr>
          <w:sz w:val="22"/>
          <w:szCs w:val="22"/>
          <w:lang w:val="pl-PL"/>
        </w:rPr>
        <w:t>1,14–3,76)]. Zaobserwowane zwiększenie częstości występowania posocznicy związane ze stosowaniem telmisartanu może być albo przypadkowe, albo spowodowane aktualnie nieznanym mechanizmem.</w:t>
      </w:r>
    </w:p>
    <w:p w:rsidR="00204221" w:rsidRPr="009353E6" w:rsidRDefault="00204221" w:rsidP="000D5BED">
      <w:pPr>
        <w:pStyle w:val="BodyText"/>
        <w:spacing w:line="240" w:lineRule="auto"/>
        <w:jc w:val="left"/>
        <w:rPr>
          <w:sz w:val="22"/>
          <w:szCs w:val="22"/>
          <w:lang w:val="pl-PL"/>
        </w:rPr>
      </w:pPr>
    </w:p>
    <w:p w:rsidR="0064332F" w:rsidRPr="009353E6" w:rsidRDefault="0064332F" w:rsidP="0064332F">
      <w:pPr>
        <w:autoSpaceDE w:val="0"/>
        <w:autoSpaceDN w:val="0"/>
        <w:adjustRightInd w:val="0"/>
        <w:rPr>
          <w:sz w:val="22"/>
          <w:szCs w:val="22"/>
          <w:lang w:val="pl-PL"/>
        </w:rPr>
      </w:pPr>
      <w:r w:rsidRPr="009353E6">
        <w:rPr>
          <w:sz w:val="22"/>
          <w:szCs w:val="22"/>
          <w:lang w:val="pl-PL"/>
        </w:rPr>
        <w:t>Dwa duże randomizowane, kontrolowane badania kliniczne ONTARGET (ang. ONgoing Telmistartan Alone and in combination with Ramipril Global Endpoint Trial) i VA NEPHRON-D (ang. The Veterans Affairs Nefropathy in Diabetes) badały jednoczesne zastosowanie inhibitora ACE z antagonistami receptora angiotensyny II.</w:t>
      </w:r>
    </w:p>
    <w:p w:rsidR="0064332F" w:rsidRPr="009353E6" w:rsidRDefault="0064332F" w:rsidP="0064332F">
      <w:pPr>
        <w:tabs>
          <w:tab w:val="left" w:pos="12816"/>
        </w:tabs>
        <w:rPr>
          <w:sz w:val="22"/>
          <w:szCs w:val="22"/>
          <w:lang w:val="pl-PL"/>
        </w:rPr>
      </w:pPr>
      <w:r w:rsidRPr="009353E6">
        <w:rPr>
          <w:sz w:val="22"/>
          <w:szCs w:val="22"/>
          <w:lang w:val="pl-PL"/>
        </w:rPr>
        <w:t>Badanie ONTARGET było przeprowadzone z udziałem pacjentów z chorobami układu sercowo-naczyniowego, chorobami naczyń mózgowych w wywiadzie lub cukrzycą typu 2 z towarzyszącymi, udowodnionymi uszkodzeniami narządów docelowych. W celu uzyskania bardziej szczegółowych informacji patrz pod nagłówkiem „Zapobieganie chorobom sercowo-naczyniowym”. Badanie VA NEPHRON-D było przeprowadzone z udziałem pacjentów z cukrzycą typu 2 oraz z nefropatią cukrzycową.</w:t>
      </w:r>
    </w:p>
    <w:p w:rsidR="0064332F" w:rsidRPr="009353E6" w:rsidRDefault="0064332F" w:rsidP="0064332F">
      <w:pPr>
        <w:autoSpaceDE w:val="0"/>
        <w:autoSpaceDN w:val="0"/>
        <w:adjustRightInd w:val="0"/>
        <w:rPr>
          <w:sz w:val="22"/>
          <w:szCs w:val="22"/>
          <w:lang w:val="pl-PL"/>
        </w:rPr>
      </w:pPr>
      <w:r w:rsidRPr="009353E6">
        <w:rPr>
          <w:sz w:val="22"/>
          <w:szCs w:val="22"/>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 Ze względu na podobieństwa w zakresie właściwości farmakodynamicznych tych leków, przytoczone wyniki również mają znaczenie w przypadku innych inhibitorów ACE oraz antagonistów receptora angiotensyny II.</w:t>
      </w:r>
    </w:p>
    <w:p w:rsidR="0064332F" w:rsidRPr="009353E6" w:rsidRDefault="0064332F" w:rsidP="0064332F">
      <w:pPr>
        <w:rPr>
          <w:sz w:val="22"/>
          <w:szCs w:val="22"/>
          <w:lang w:val="pl-PL"/>
        </w:rPr>
      </w:pPr>
      <w:r w:rsidRPr="009353E6">
        <w:rPr>
          <w:sz w:val="22"/>
          <w:szCs w:val="22"/>
          <w:lang w:val="pl-PL"/>
        </w:rPr>
        <w:t>Dlatego też u pacjentów z nefropatią cukrzycową nie należy jednocześnie stosować inhibitorów ACE oraz antagonistów receptora angiotensyny II.</w:t>
      </w:r>
    </w:p>
    <w:p w:rsidR="0064332F" w:rsidRPr="009353E6" w:rsidRDefault="0064332F" w:rsidP="0064332F">
      <w:pPr>
        <w:keepNext/>
        <w:keepLines/>
        <w:rPr>
          <w:sz w:val="22"/>
          <w:szCs w:val="22"/>
          <w:lang w:val="pl-PL"/>
        </w:rPr>
      </w:pPr>
    </w:p>
    <w:p w:rsidR="0064332F" w:rsidRPr="009353E6" w:rsidRDefault="0064332F" w:rsidP="0064332F">
      <w:pPr>
        <w:keepNext/>
        <w:keepLines/>
        <w:rPr>
          <w:color w:val="92D050"/>
          <w:sz w:val="22"/>
          <w:szCs w:val="22"/>
          <w:lang w:val="pl-PL"/>
        </w:rPr>
      </w:pPr>
      <w:r w:rsidRPr="009353E6">
        <w:rPr>
          <w:sz w:val="22"/>
          <w:szCs w:val="22"/>
          <w:lang w:val="pl-PL"/>
        </w:rPr>
        <w:t>Badanie</w:t>
      </w:r>
      <w:r w:rsidRPr="009353E6">
        <w:rPr>
          <w:b/>
          <w:sz w:val="22"/>
          <w:szCs w:val="22"/>
          <w:lang w:val="pl-PL"/>
        </w:rPr>
        <w:t xml:space="preserve"> </w:t>
      </w:r>
      <w:r w:rsidRPr="009353E6">
        <w:rPr>
          <w:sz w:val="22"/>
          <w:szCs w:val="22"/>
          <w:lang w:val="pl-PL"/>
        </w:rPr>
        <w:t>ALTITUDE (ang. Aliskiren Trial in Type 2 Diabetes Using Cardiovascular and Renal Disease Endpoints)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64332F" w:rsidRPr="009353E6" w:rsidRDefault="0064332F"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Badania epidemiologiczne nad długotrwałym stosowaniem hydrochlorotiazydu wykazały, że redukuje on ryzyko śmiertelności i zachorowalności u pacjentów z chorobami serca i naczyń. </w:t>
      </w:r>
    </w:p>
    <w:p w:rsidR="00204221" w:rsidRPr="009353E6" w:rsidRDefault="00204221" w:rsidP="000D5BED">
      <w:pPr>
        <w:pStyle w:val="BodyText"/>
        <w:spacing w:line="240" w:lineRule="auto"/>
        <w:jc w:val="left"/>
        <w:rPr>
          <w:sz w:val="22"/>
          <w:szCs w:val="22"/>
          <w:lang w:val="pl-PL"/>
        </w:rPr>
      </w:pPr>
    </w:p>
    <w:p w:rsidR="00C01D96" w:rsidRPr="009353E6" w:rsidRDefault="00204221" w:rsidP="00C01D96">
      <w:pPr>
        <w:pStyle w:val="BodyText"/>
        <w:spacing w:line="240" w:lineRule="auto"/>
        <w:jc w:val="left"/>
        <w:rPr>
          <w:sz w:val="22"/>
          <w:szCs w:val="22"/>
          <w:lang w:val="pl-PL"/>
        </w:rPr>
      </w:pPr>
      <w:r w:rsidRPr="009353E6">
        <w:rPr>
          <w:sz w:val="22"/>
          <w:szCs w:val="22"/>
          <w:lang w:val="pl-PL"/>
        </w:rPr>
        <w:t>Wpływ połączenia stałych dawek telmisartanu i hydrochlorotiazydu na śmiertelność i zachorowalność osób z chorobą sercowo-naczyniową jest dotychczas niepoznany.</w:t>
      </w:r>
      <w:r w:rsidR="00C01D96" w:rsidRPr="009353E6">
        <w:rPr>
          <w:sz w:val="22"/>
          <w:szCs w:val="22"/>
          <w:lang w:val="pl-PL"/>
        </w:rPr>
        <w:t xml:space="preserve"> </w:t>
      </w:r>
    </w:p>
    <w:p w:rsidR="00C01D96" w:rsidRPr="009353E6" w:rsidRDefault="00C01D96" w:rsidP="00C01D96">
      <w:pPr>
        <w:pStyle w:val="BodyText"/>
        <w:spacing w:line="240" w:lineRule="auto"/>
        <w:jc w:val="left"/>
        <w:rPr>
          <w:sz w:val="22"/>
          <w:szCs w:val="22"/>
          <w:lang w:val="pl-PL"/>
        </w:rPr>
      </w:pPr>
    </w:p>
    <w:p w:rsidR="009F1700" w:rsidRPr="009353E6" w:rsidRDefault="009F1700" w:rsidP="009F1700">
      <w:pPr>
        <w:pStyle w:val="BodyText"/>
        <w:spacing w:line="240" w:lineRule="auto"/>
        <w:jc w:val="left"/>
        <w:rPr>
          <w:sz w:val="22"/>
          <w:szCs w:val="22"/>
          <w:lang w:val="pl-PL"/>
        </w:rPr>
      </w:pPr>
      <w:r w:rsidRPr="009353E6">
        <w:rPr>
          <w:sz w:val="22"/>
          <w:szCs w:val="22"/>
          <w:lang w:val="pl-PL"/>
        </w:rPr>
        <w:t>Nieczerniakowe nowotwory złośliwe skóry</w:t>
      </w:r>
    </w:p>
    <w:p w:rsidR="009F1700" w:rsidRPr="009353E6" w:rsidRDefault="009F1700" w:rsidP="009F1700">
      <w:pPr>
        <w:pStyle w:val="BodyText"/>
        <w:spacing w:line="240" w:lineRule="auto"/>
        <w:jc w:val="left"/>
        <w:rPr>
          <w:sz w:val="22"/>
          <w:szCs w:val="22"/>
          <w:lang w:val="pl-PL"/>
        </w:rPr>
      </w:pPr>
      <w:r w:rsidRPr="009353E6">
        <w:rPr>
          <w:sz w:val="22"/>
          <w:szCs w:val="22"/>
          <w:lang w:val="pl-PL"/>
        </w:rPr>
        <w:t>Na podstawie danych dostępnych z badań epidemiologicznych stwierdzono związek między łączną dawką HCTZ a występowaniem NMSC. W jednym z badań uczestniczyło 71 533 osób z BCC i 8 629 osób z SCC, które porównywano z grupami kontrolnymi z tej samej populacji obejmującymi odpowiednio 1 430 833 i 172462 osoby. Duży stopień narażenia na HCTZ (łączna dawka ≥50 000 mg) wiązał się ze skorygowanym OR dla BCC rzędu 1,29 (95 % CI: 1,23-1,35), a dla SCC rzędu 3,98 (95 % CI: 3,68-4,31). Stwierdzono wyraźną zależność między łączną dawką a skutkiem zarówno w przypadku BCC, jak i SCC. W innym badaniu wykazano możliwy związek stopnia narażenia na HCTZ z występowaniem nowotworów złośliwych warg (SCC): w badaniu porównywano 633 przypadki nowotworów złośliwych warg i 63 067 osób z tej samej populacji tworzących grupę kontrolną z zastosowaniem strategii jednoczesnego zbioru ryzyka. Stwierdzono zależność między łączną dawką a odpowiedzią ze sko</w:t>
      </w:r>
      <w:r w:rsidR="00FD3DED" w:rsidRPr="009353E6">
        <w:rPr>
          <w:sz w:val="22"/>
          <w:szCs w:val="22"/>
          <w:lang w:val="pl-PL"/>
        </w:rPr>
        <w:t>rygowanym OR rzędu 2,1 (95 </w:t>
      </w:r>
      <w:r w:rsidRPr="009353E6">
        <w:rPr>
          <w:sz w:val="22"/>
          <w:szCs w:val="22"/>
          <w:lang w:val="pl-PL"/>
        </w:rPr>
        <w:t>% CI: 1,7-2,6), które wzrastało do OR 3,9 (3,0-4,9) w przypadku dużego stopnia narażenia (~25 000 mg) i OR 7,7 (5,7-10,5) dla największych łącznych dawek (~100 000 mg) (patrz również punkt 4.4).</w:t>
      </w:r>
    </w:p>
    <w:p w:rsidR="009F1700" w:rsidRPr="009353E6" w:rsidRDefault="009F1700" w:rsidP="00C01D96">
      <w:pPr>
        <w:pStyle w:val="BodyText"/>
        <w:spacing w:line="240" w:lineRule="auto"/>
        <w:jc w:val="left"/>
        <w:rPr>
          <w:sz w:val="22"/>
          <w:szCs w:val="22"/>
          <w:lang w:val="pl-PL"/>
        </w:rPr>
      </w:pPr>
    </w:p>
    <w:p w:rsidR="00C01D96" w:rsidRPr="009353E6" w:rsidRDefault="00C01D96" w:rsidP="00C01D96">
      <w:pPr>
        <w:pStyle w:val="BodyText"/>
        <w:spacing w:line="240" w:lineRule="auto"/>
        <w:jc w:val="left"/>
        <w:rPr>
          <w:sz w:val="22"/>
          <w:szCs w:val="22"/>
          <w:u w:val="single"/>
          <w:lang w:val="pl-PL"/>
        </w:rPr>
      </w:pPr>
      <w:r w:rsidRPr="009353E6">
        <w:rPr>
          <w:sz w:val="22"/>
          <w:szCs w:val="22"/>
          <w:u w:val="single"/>
          <w:lang w:val="pl-PL"/>
        </w:rPr>
        <w:t>Dzieci i młodzież</w:t>
      </w:r>
    </w:p>
    <w:p w:rsidR="00204221" w:rsidRPr="009353E6" w:rsidRDefault="00C01D96" w:rsidP="000D5BED">
      <w:pPr>
        <w:pStyle w:val="BodyText"/>
        <w:spacing w:line="240" w:lineRule="auto"/>
        <w:jc w:val="left"/>
        <w:rPr>
          <w:sz w:val="22"/>
          <w:szCs w:val="22"/>
          <w:lang w:val="pl-PL"/>
        </w:rPr>
      </w:pPr>
      <w:r w:rsidRPr="009353E6">
        <w:rPr>
          <w:sz w:val="22"/>
          <w:szCs w:val="22"/>
          <w:lang w:val="pl-PL"/>
        </w:rPr>
        <w:t>Europejska Agencja Leków uchyliła obowiązek dołączania wyników badań produktu leczniczego MicardisPlus we wszystkich podgrupach populacji dzieci i młodzieży w nadciśnieniu (stosowanie u dzieci i młodzieży, patrz punkt 4.2).</w:t>
      </w:r>
    </w:p>
    <w:p w:rsidR="00AB5B3F" w:rsidRPr="009353E6" w:rsidRDefault="00AB5B3F" w:rsidP="00586E5C">
      <w:pPr>
        <w:pStyle w:val="BodyText"/>
        <w:tabs>
          <w:tab w:val="left" w:pos="540"/>
        </w:tabs>
        <w:spacing w:line="240" w:lineRule="auto"/>
        <w:jc w:val="left"/>
        <w:rPr>
          <w:sz w:val="22"/>
          <w:szCs w:val="22"/>
          <w:lang w:val="pl-PL"/>
        </w:rPr>
      </w:pPr>
    </w:p>
    <w:p w:rsidR="00204221" w:rsidRPr="009353E6" w:rsidRDefault="00586E5C" w:rsidP="00586E5C">
      <w:pPr>
        <w:pStyle w:val="BodyText"/>
        <w:tabs>
          <w:tab w:val="left" w:pos="540"/>
        </w:tabs>
        <w:spacing w:line="240" w:lineRule="auto"/>
        <w:jc w:val="left"/>
        <w:rPr>
          <w:b/>
          <w:sz w:val="22"/>
          <w:szCs w:val="22"/>
          <w:lang w:val="pl-PL"/>
        </w:rPr>
      </w:pPr>
      <w:r w:rsidRPr="009353E6">
        <w:rPr>
          <w:b/>
          <w:sz w:val="22"/>
          <w:szCs w:val="22"/>
          <w:lang w:val="pl-PL"/>
        </w:rPr>
        <w:t>5.2</w:t>
      </w:r>
      <w:r w:rsidRPr="009353E6">
        <w:rPr>
          <w:b/>
          <w:sz w:val="22"/>
          <w:szCs w:val="22"/>
          <w:lang w:val="pl-PL"/>
        </w:rPr>
        <w:tab/>
      </w:r>
      <w:r w:rsidR="00204221" w:rsidRPr="009353E6">
        <w:rPr>
          <w:b/>
          <w:sz w:val="22"/>
          <w:szCs w:val="22"/>
          <w:lang w:val="pl-PL"/>
        </w:rPr>
        <w:t>Właściwości farmakokinetyczne</w:t>
      </w:r>
    </w:p>
    <w:p w:rsidR="00204221" w:rsidRPr="009353E6" w:rsidRDefault="00204221" w:rsidP="000D5BED">
      <w:pPr>
        <w:pStyle w:val="BodyText"/>
        <w:spacing w:line="240" w:lineRule="auto"/>
        <w:jc w:val="left"/>
        <w:rPr>
          <w:b/>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Łączne podawanie hydrochlorotiazydu i telmisartanu zdaje się nie wpływać u zdrowych pacjentów na farmakokinetykę żadne</w:t>
      </w:r>
      <w:r w:rsidR="00E918D4" w:rsidRPr="009353E6">
        <w:rPr>
          <w:sz w:val="22"/>
          <w:szCs w:val="22"/>
          <w:lang w:val="pl-PL"/>
        </w:rPr>
        <w:t>j</w:t>
      </w:r>
      <w:r w:rsidRPr="009353E6">
        <w:rPr>
          <w:sz w:val="22"/>
          <w:szCs w:val="22"/>
          <w:lang w:val="pl-PL"/>
        </w:rPr>
        <w:t xml:space="preserve"> z </w:t>
      </w:r>
      <w:r w:rsidR="004D1DB3" w:rsidRPr="009353E6">
        <w:rPr>
          <w:sz w:val="22"/>
          <w:szCs w:val="22"/>
          <w:lang w:val="pl-PL"/>
        </w:rPr>
        <w:t>substancji</w:t>
      </w:r>
      <w:r w:rsidRPr="009353E6">
        <w:rPr>
          <w:sz w:val="22"/>
          <w:szCs w:val="22"/>
          <w:lang w:val="pl-PL"/>
        </w:rPr>
        <w:t xml:space="preserve">. </w:t>
      </w:r>
    </w:p>
    <w:p w:rsidR="00204221" w:rsidRPr="009353E6" w:rsidRDefault="00204221" w:rsidP="000D5BED">
      <w:pPr>
        <w:pStyle w:val="BodyText"/>
        <w:spacing w:line="240" w:lineRule="auto"/>
        <w:jc w:val="left"/>
        <w:rPr>
          <w:sz w:val="22"/>
          <w:szCs w:val="22"/>
          <w:lang w:val="pl-PL"/>
        </w:rPr>
      </w:pPr>
    </w:p>
    <w:p w:rsidR="00B36BA6" w:rsidRPr="009353E6" w:rsidRDefault="00204221" w:rsidP="005E3A9A">
      <w:pPr>
        <w:pStyle w:val="BodyText"/>
        <w:keepNext/>
        <w:spacing w:line="240" w:lineRule="auto"/>
        <w:jc w:val="left"/>
        <w:rPr>
          <w:sz w:val="22"/>
          <w:szCs w:val="22"/>
          <w:lang w:val="pl-PL"/>
        </w:rPr>
      </w:pPr>
      <w:r w:rsidRPr="009353E6">
        <w:rPr>
          <w:sz w:val="22"/>
          <w:szCs w:val="22"/>
          <w:u w:val="single"/>
          <w:lang w:val="pl-PL"/>
        </w:rPr>
        <w:t>Wchłanianie</w:t>
      </w:r>
    </w:p>
    <w:p w:rsidR="00204221" w:rsidRPr="009353E6" w:rsidRDefault="00204221" w:rsidP="000D5BED">
      <w:pPr>
        <w:pStyle w:val="BodyText"/>
        <w:spacing w:line="240" w:lineRule="auto"/>
        <w:jc w:val="left"/>
        <w:rPr>
          <w:sz w:val="22"/>
          <w:szCs w:val="22"/>
          <w:lang w:val="pl-PL"/>
        </w:rPr>
      </w:pPr>
      <w:r w:rsidRPr="009353E6">
        <w:rPr>
          <w:sz w:val="22"/>
          <w:szCs w:val="22"/>
          <w:lang w:val="pl-PL"/>
        </w:rPr>
        <w:t>Telmisartan: Po podaniu doustnym maksymalne stężenie jest osiągane po 0,5 do 1,5 godziny. Całkowita biodostępność telmisartanu w dawkach 40 mg i 160 mg wynosiła odpowiednio 42% i 58%. Pokarm nieznacznie zmniejsza biodostępność telmisartanu, pole pod krzywą zależności stężenia w osoczu od czasu (AUC) zmniejsza się o około 6% po podaniu tabletki 40 mg i o około 19% po dawce 160 mg. Po trzech godzinach od podania, stężenie telmisartanu w osoczu osiąga podobny poziom, niezależnie od tego czy telmisartan był przyjęty na czczo czy po posiłku. Niewielkie zmniejszenie pola pod krzywą (AUC) nie powinno powodować zmniejszenia skuteczności terapeutycznej. Podczas powtarzanego podawania telmisartan nie kumuluje się znacząco w osoczu.</w:t>
      </w: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Hydrochlorotiazyd: Po doustnym podaniu </w:t>
      </w:r>
      <w:r w:rsidR="00F710F6" w:rsidRPr="009353E6">
        <w:rPr>
          <w:sz w:val="22"/>
          <w:szCs w:val="22"/>
          <w:lang w:val="pl-PL"/>
        </w:rPr>
        <w:t>produkt</w:t>
      </w:r>
      <w:r w:rsidRPr="009353E6">
        <w:rPr>
          <w:sz w:val="22"/>
          <w:szCs w:val="22"/>
          <w:lang w:val="pl-PL"/>
        </w:rPr>
        <w:t>u MicardisPlus, maksymalne stężenie hydrochlorotiazydu zostaje osiągnięte po 1 do 3 godzinach. Na podstawie skumulowanego wydalania nerkowego hydrochlorotiazydu, jego całkowita biodostępność wynosiła około 60%.</w:t>
      </w:r>
    </w:p>
    <w:p w:rsidR="00204221" w:rsidRPr="009353E6" w:rsidRDefault="00204221" w:rsidP="000D5BED">
      <w:pPr>
        <w:pStyle w:val="BodyText"/>
        <w:spacing w:line="240" w:lineRule="auto"/>
        <w:jc w:val="left"/>
        <w:rPr>
          <w:b/>
          <w:sz w:val="22"/>
          <w:szCs w:val="22"/>
          <w:lang w:val="pl-PL"/>
        </w:rPr>
      </w:pPr>
    </w:p>
    <w:p w:rsidR="00B36BA6" w:rsidRPr="009353E6" w:rsidRDefault="00204221" w:rsidP="005E3A9A">
      <w:pPr>
        <w:pStyle w:val="BodyText"/>
        <w:keepNext/>
        <w:spacing w:line="240" w:lineRule="auto"/>
        <w:jc w:val="left"/>
        <w:rPr>
          <w:sz w:val="22"/>
          <w:szCs w:val="22"/>
          <w:lang w:val="pl-PL"/>
        </w:rPr>
      </w:pPr>
      <w:r w:rsidRPr="009353E6">
        <w:rPr>
          <w:sz w:val="22"/>
          <w:szCs w:val="22"/>
          <w:u w:val="single"/>
          <w:lang w:val="pl-PL"/>
        </w:rPr>
        <w:t>Dystrybucja</w:t>
      </w:r>
    </w:p>
    <w:p w:rsidR="00204221" w:rsidRPr="009353E6" w:rsidRDefault="00204221" w:rsidP="000D5BED">
      <w:pPr>
        <w:pStyle w:val="BodyText"/>
        <w:spacing w:line="240" w:lineRule="auto"/>
        <w:jc w:val="left"/>
        <w:rPr>
          <w:sz w:val="22"/>
          <w:szCs w:val="22"/>
          <w:lang w:val="pl-PL"/>
        </w:rPr>
      </w:pPr>
      <w:r w:rsidRPr="009353E6">
        <w:rPr>
          <w:sz w:val="22"/>
          <w:szCs w:val="22"/>
          <w:lang w:val="pl-PL"/>
        </w:rPr>
        <w:t>Telmisartan silnie wiąże się z białkami osocza (&gt; 99,5%), głównie z albuminą i z kwaśną glikoproteiną alfa-1. Pozorna objętość dystrybucji telmisartanu wynosi około 500 litrów, wskazuje na dodatkowe łączenie się z tkankami.</w:t>
      </w:r>
    </w:p>
    <w:p w:rsidR="00204221" w:rsidRPr="009353E6" w:rsidRDefault="00204221" w:rsidP="000D5BED">
      <w:pPr>
        <w:pStyle w:val="BodyText"/>
        <w:spacing w:line="240" w:lineRule="auto"/>
        <w:jc w:val="left"/>
        <w:rPr>
          <w:sz w:val="22"/>
          <w:szCs w:val="22"/>
          <w:lang w:val="pl-PL"/>
        </w:rPr>
      </w:pPr>
      <w:r w:rsidRPr="009353E6">
        <w:rPr>
          <w:sz w:val="22"/>
          <w:szCs w:val="22"/>
          <w:lang w:val="pl-PL"/>
        </w:rPr>
        <w:t>Hydrochlorotiazyd wiąże się z białkami osocza w 68%, a jego pozorna objętość dystrybucji wynosi 0,83 – 1,14 l/kg.</w:t>
      </w:r>
    </w:p>
    <w:p w:rsidR="00204221" w:rsidRPr="009353E6" w:rsidRDefault="00204221" w:rsidP="000D5BED">
      <w:pPr>
        <w:pStyle w:val="BodyText"/>
        <w:spacing w:line="240" w:lineRule="auto"/>
        <w:jc w:val="left"/>
        <w:rPr>
          <w:sz w:val="22"/>
          <w:szCs w:val="22"/>
          <w:lang w:val="pl-PL"/>
        </w:rPr>
      </w:pPr>
    </w:p>
    <w:p w:rsidR="0029442B" w:rsidRPr="009353E6" w:rsidRDefault="00B808D0" w:rsidP="0029442B">
      <w:pPr>
        <w:rPr>
          <w:sz w:val="22"/>
          <w:szCs w:val="22"/>
          <w:u w:val="single"/>
          <w:lang w:val="pl-PL"/>
        </w:rPr>
      </w:pPr>
      <w:r w:rsidRPr="009353E6">
        <w:rPr>
          <w:sz w:val="22"/>
          <w:szCs w:val="22"/>
          <w:u w:val="single"/>
          <w:lang w:val="pl-PL"/>
        </w:rPr>
        <w:t>Metabolizm</w:t>
      </w:r>
    </w:p>
    <w:p w:rsidR="0029442B" w:rsidRPr="009353E6" w:rsidRDefault="0029442B" w:rsidP="0029442B">
      <w:pPr>
        <w:rPr>
          <w:sz w:val="22"/>
          <w:szCs w:val="22"/>
          <w:lang w:val="pl-PL"/>
        </w:rPr>
      </w:pPr>
      <w:r w:rsidRPr="009353E6">
        <w:rPr>
          <w:sz w:val="22"/>
          <w:szCs w:val="22"/>
          <w:lang w:val="pl-PL"/>
        </w:rPr>
        <w:t xml:space="preserve">Telmisartan jest metabolizowany przez sprzęganie do farmakologicznie nieaktywnego acyloglukuronidu. Glukuronid związku macierzystego jest jedynym metabolitem znalezionym u ludzi. Po podaniu pojedynczej dawki znakowanego </w:t>
      </w:r>
      <w:r w:rsidRPr="009353E6">
        <w:rPr>
          <w:szCs w:val="22"/>
          <w:vertAlign w:val="superscript"/>
          <w:lang w:val="pl-PL"/>
        </w:rPr>
        <w:t>14</w:t>
      </w:r>
      <w:r w:rsidRPr="009353E6">
        <w:rPr>
          <w:szCs w:val="22"/>
          <w:lang w:val="pl-PL"/>
        </w:rPr>
        <w:t>C</w:t>
      </w:r>
      <w:r w:rsidRPr="009353E6">
        <w:rPr>
          <w:sz w:val="22"/>
          <w:szCs w:val="22"/>
          <w:lang w:val="pl-PL"/>
        </w:rPr>
        <w:t xml:space="preserve"> telmisartanu glukuronid stanowił około 11% mierzonej radioaktywności w osoczu. W metabolizmie telmisartanu nie biorą udziału izoenzymy cytochrom P450. </w:t>
      </w:r>
    </w:p>
    <w:p w:rsidR="0029442B" w:rsidRPr="009353E6" w:rsidRDefault="0029442B" w:rsidP="0029442B">
      <w:pPr>
        <w:rPr>
          <w:sz w:val="22"/>
          <w:szCs w:val="22"/>
          <w:lang w:val="pl-PL"/>
        </w:rPr>
      </w:pPr>
      <w:r w:rsidRPr="009353E6">
        <w:rPr>
          <w:sz w:val="22"/>
          <w:szCs w:val="22"/>
          <w:lang w:val="pl-PL"/>
        </w:rPr>
        <w:t xml:space="preserve">Hydrochlorotiazyd nie jest metabolizowany w organizmie ludzkim. </w:t>
      </w:r>
    </w:p>
    <w:p w:rsidR="0029442B" w:rsidRPr="009353E6" w:rsidRDefault="0029442B" w:rsidP="0029442B">
      <w:pPr>
        <w:rPr>
          <w:sz w:val="22"/>
          <w:szCs w:val="22"/>
          <w:u w:val="single"/>
          <w:lang w:val="pl-PL"/>
        </w:rPr>
      </w:pPr>
    </w:p>
    <w:p w:rsidR="0029442B" w:rsidRPr="009353E6" w:rsidRDefault="0029442B" w:rsidP="0029442B">
      <w:pPr>
        <w:rPr>
          <w:sz w:val="22"/>
          <w:szCs w:val="22"/>
          <w:u w:val="single"/>
          <w:lang w:val="pl-PL"/>
        </w:rPr>
      </w:pPr>
      <w:r w:rsidRPr="009353E6">
        <w:rPr>
          <w:sz w:val="22"/>
          <w:szCs w:val="22"/>
          <w:u w:val="single"/>
          <w:lang w:val="pl-PL"/>
        </w:rPr>
        <w:t>Eliminacja</w:t>
      </w:r>
    </w:p>
    <w:p w:rsidR="0029442B" w:rsidRPr="009353E6" w:rsidRDefault="0029442B" w:rsidP="0029442B">
      <w:pPr>
        <w:rPr>
          <w:sz w:val="22"/>
          <w:szCs w:val="22"/>
          <w:lang w:val="pl-PL"/>
        </w:rPr>
      </w:pPr>
      <w:r w:rsidRPr="009353E6">
        <w:rPr>
          <w:sz w:val="22"/>
          <w:szCs w:val="22"/>
          <w:lang w:val="pl-PL"/>
        </w:rPr>
        <w:t xml:space="preserve">Telmisartan: Po podaniu dożylnym lub doustnym telmisartanu znakowanego węglem </w:t>
      </w:r>
      <w:r w:rsidRPr="009353E6">
        <w:rPr>
          <w:szCs w:val="22"/>
          <w:vertAlign w:val="superscript"/>
          <w:lang w:val="pl-PL"/>
        </w:rPr>
        <w:t>14</w:t>
      </w:r>
      <w:r w:rsidRPr="009353E6">
        <w:rPr>
          <w:szCs w:val="22"/>
          <w:lang w:val="pl-PL"/>
        </w:rPr>
        <w:t>C</w:t>
      </w:r>
      <w:r w:rsidRPr="009353E6">
        <w:rPr>
          <w:sz w:val="22"/>
          <w:szCs w:val="22"/>
          <w:lang w:val="pl-PL"/>
        </w:rPr>
        <w:t xml:space="preserve"> większa część podanej dawki (&gt; 97%) została usunięta z kałem drogą wydalania żółciowego. Jedynie niewielkie ilości zostały wykryte w moczu. Całkowity klirens osoczowy telmisartanu po podaniu doustnym jest większy niż 1500 ml/min. Końcowy okres półtrwania w fazie eliminacji wynosił &gt; 20 godzin. </w:t>
      </w:r>
    </w:p>
    <w:p w:rsidR="0029442B" w:rsidRPr="009353E6" w:rsidRDefault="0029442B" w:rsidP="0029442B">
      <w:pPr>
        <w:rPr>
          <w:sz w:val="22"/>
          <w:szCs w:val="22"/>
          <w:lang w:val="pl-PL"/>
        </w:rPr>
      </w:pPr>
      <w:r w:rsidRPr="009353E6">
        <w:rPr>
          <w:rFonts w:eastAsia="MS Mincho"/>
          <w:sz w:val="22"/>
          <w:szCs w:val="22"/>
          <w:lang w:val="pl-PL" w:eastAsia="ja-JP" w:bidi="hi-IN"/>
        </w:rPr>
        <w:t>Hydrochlorotiazyd jest prawie całkowicie wydalany w postaci niezmienionej w moczu.</w:t>
      </w:r>
      <w:r w:rsidRPr="009353E6">
        <w:rPr>
          <w:rFonts w:ascii="TimesNewRoman" w:eastAsia="MS Mincho" w:hAnsi="TimesNewRoman" w:cs="TimesNewRoman"/>
          <w:sz w:val="22"/>
          <w:szCs w:val="22"/>
          <w:lang w:val="pl-PL" w:eastAsia="ja-JP" w:bidi="hi-IN"/>
        </w:rPr>
        <w:t xml:space="preserve"> </w:t>
      </w:r>
      <w:r w:rsidRPr="009353E6">
        <w:rPr>
          <w:sz w:val="22"/>
          <w:szCs w:val="22"/>
          <w:lang w:val="pl-PL"/>
        </w:rPr>
        <w:t>Około 60% dawki doustnej jest eliminowane w ciągu 48 godzin od przyjęcia. Klirens nerkowy wynosi około 250-300 ml/min. Końcowy okres półtrwania w fazie eliminacji wynosi 10 do 15 godzin.</w:t>
      </w:r>
    </w:p>
    <w:p w:rsidR="00204221" w:rsidRPr="009353E6" w:rsidRDefault="00204221" w:rsidP="000D5BED">
      <w:pPr>
        <w:pStyle w:val="BodyText"/>
        <w:spacing w:line="240" w:lineRule="auto"/>
        <w:jc w:val="left"/>
        <w:rPr>
          <w:sz w:val="22"/>
          <w:szCs w:val="22"/>
          <w:lang w:val="pl-PL"/>
        </w:rPr>
      </w:pPr>
    </w:p>
    <w:p w:rsidR="00C01D96" w:rsidRPr="009353E6" w:rsidRDefault="00C01D96" w:rsidP="00C01D96">
      <w:pPr>
        <w:rPr>
          <w:sz w:val="22"/>
          <w:szCs w:val="22"/>
          <w:u w:val="single"/>
          <w:lang w:val="pl-PL"/>
        </w:rPr>
      </w:pPr>
      <w:r w:rsidRPr="009353E6">
        <w:rPr>
          <w:sz w:val="22"/>
          <w:szCs w:val="22"/>
          <w:u w:val="single"/>
          <w:lang w:val="pl-PL"/>
        </w:rPr>
        <w:t>Liniowość lub nieliniowość</w:t>
      </w:r>
    </w:p>
    <w:p w:rsidR="00C01D96" w:rsidRPr="009353E6" w:rsidRDefault="00C01D96" w:rsidP="00C01D96">
      <w:pPr>
        <w:pStyle w:val="BodyText"/>
        <w:spacing w:line="240" w:lineRule="auto"/>
        <w:jc w:val="left"/>
        <w:rPr>
          <w:sz w:val="22"/>
          <w:szCs w:val="22"/>
          <w:lang w:val="pl-PL"/>
        </w:rPr>
      </w:pPr>
      <w:r w:rsidRPr="009353E6">
        <w:rPr>
          <w:sz w:val="22"/>
          <w:szCs w:val="22"/>
          <w:lang w:val="pl-PL"/>
        </w:rPr>
        <w:t>Telmisartan: Farmakokinetyka doustnie podanego telmisartanu jest ni</w:t>
      </w:r>
      <w:r w:rsidR="00D211FA" w:rsidRPr="009353E6">
        <w:rPr>
          <w:sz w:val="22"/>
          <w:szCs w:val="22"/>
          <w:lang w:val="pl-PL"/>
        </w:rPr>
        <w:t>eliniowa w zakresie dawek od 20 </w:t>
      </w:r>
      <w:r w:rsidRPr="009353E6">
        <w:rPr>
          <w:sz w:val="22"/>
          <w:szCs w:val="22"/>
          <w:lang w:val="pl-PL"/>
        </w:rPr>
        <w:t>mg do 160</w:t>
      </w:r>
      <w:r w:rsidR="00D211FA" w:rsidRPr="009353E6">
        <w:rPr>
          <w:sz w:val="22"/>
          <w:szCs w:val="22"/>
          <w:lang w:val="pl-PL"/>
        </w:rPr>
        <w:t> </w:t>
      </w:r>
      <w:r w:rsidRPr="009353E6">
        <w:rPr>
          <w:sz w:val="22"/>
          <w:szCs w:val="22"/>
          <w:lang w:val="pl-PL"/>
        </w:rPr>
        <w:t>mg ze wzrostem stężenia w osoczu (C</w:t>
      </w:r>
      <w:r w:rsidRPr="009353E6">
        <w:rPr>
          <w:sz w:val="22"/>
          <w:szCs w:val="22"/>
          <w:vertAlign w:val="subscript"/>
          <w:lang w:val="pl-PL"/>
        </w:rPr>
        <w:t xml:space="preserve">max </w:t>
      </w:r>
      <w:r w:rsidRPr="009353E6">
        <w:rPr>
          <w:sz w:val="22"/>
          <w:szCs w:val="22"/>
          <w:lang w:val="pl-PL"/>
        </w:rPr>
        <w:t>i AUC) większym niż proporcjonalny do wzrostu dawki.</w:t>
      </w:r>
    </w:p>
    <w:p w:rsidR="00C01D96" w:rsidRPr="009353E6" w:rsidRDefault="00C01D96" w:rsidP="00C01D96">
      <w:pPr>
        <w:pStyle w:val="BodyText"/>
        <w:spacing w:line="240" w:lineRule="auto"/>
        <w:jc w:val="left"/>
        <w:rPr>
          <w:sz w:val="22"/>
          <w:szCs w:val="22"/>
          <w:lang w:val="pl-PL"/>
        </w:rPr>
      </w:pPr>
      <w:r w:rsidRPr="009353E6">
        <w:rPr>
          <w:sz w:val="22"/>
          <w:szCs w:val="22"/>
          <w:lang w:val="pl-PL"/>
        </w:rPr>
        <w:t>Hydrochlorotiazyd wykazuje farmakokinetykę liniową.</w:t>
      </w:r>
    </w:p>
    <w:p w:rsidR="00204221" w:rsidRPr="009353E6" w:rsidRDefault="00204221" w:rsidP="000D5BED">
      <w:pPr>
        <w:pStyle w:val="BodyText"/>
        <w:spacing w:line="240" w:lineRule="auto"/>
        <w:jc w:val="left"/>
        <w:rPr>
          <w:sz w:val="22"/>
          <w:szCs w:val="22"/>
          <w:lang w:val="pl-PL"/>
        </w:rPr>
      </w:pPr>
    </w:p>
    <w:p w:rsidR="000A17A5" w:rsidRPr="009353E6" w:rsidRDefault="00204221" w:rsidP="000D5BED">
      <w:pPr>
        <w:pStyle w:val="BodyText"/>
        <w:spacing w:line="240" w:lineRule="auto"/>
        <w:jc w:val="left"/>
        <w:rPr>
          <w:sz w:val="22"/>
          <w:szCs w:val="22"/>
          <w:lang w:val="pl-PL"/>
        </w:rPr>
      </w:pPr>
      <w:r w:rsidRPr="009353E6">
        <w:rPr>
          <w:sz w:val="22"/>
          <w:szCs w:val="22"/>
          <w:u w:val="single"/>
          <w:lang w:val="pl-PL"/>
        </w:rPr>
        <w:t>Pacjenci w podeszłym wieku</w:t>
      </w:r>
    </w:p>
    <w:p w:rsidR="00204221" w:rsidRPr="009353E6" w:rsidRDefault="00204221" w:rsidP="000D5BED">
      <w:pPr>
        <w:pStyle w:val="BodyText"/>
        <w:spacing w:line="240" w:lineRule="auto"/>
        <w:jc w:val="left"/>
        <w:rPr>
          <w:sz w:val="22"/>
          <w:szCs w:val="22"/>
          <w:lang w:val="pl-PL"/>
        </w:rPr>
      </w:pPr>
      <w:r w:rsidRPr="009353E6">
        <w:rPr>
          <w:sz w:val="22"/>
          <w:szCs w:val="22"/>
          <w:lang w:val="pl-PL"/>
        </w:rPr>
        <w:t>Farmakokinetyka telmisartanu nie różni się w populacji osób w</w:t>
      </w:r>
      <w:r w:rsidR="0024500F" w:rsidRPr="009353E6">
        <w:rPr>
          <w:sz w:val="22"/>
          <w:szCs w:val="22"/>
          <w:lang w:val="pl-PL"/>
        </w:rPr>
        <w:t> </w:t>
      </w:r>
      <w:r w:rsidRPr="009353E6">
        <w:rPr>
          <w:sz w:val="22"/>
          <w:szCs w:val="22"/>
          <w:lang w:val="pl-PL"/>
        </w:rPr>
        <w:t>podeszłym wieku i osób poniżej 65 lat.</w:t>
      </w:r>
    </w:p>
    <w:p w:rsidR="00204221" w:rsidRPr="009353E6" w:rsidRDefault="00204221" w:rsidP="000D5BED">
      <w:pPr>
        <w:pStyle w:val="BodyText"/>
        <w:spacing w:line="240" w:lineRule="auto"/>
        <w:jc w:val="left"/>
        <w:rPr>
          <w:sz w:val="22"/>
          <w:szCs w:val="22"/>
          <w:lang w:val="pl-PL"/>
        </w:rPr>
      </w:pPr>
    </w:p>
    <w:p w:rsidR="000A17A5" w:rsidRPr="009353E6" w:rsidRDefault="00204221" w:rsidP="000D5BED">
      <w:pPr>
        <w:pStyle w:val="BodyText"/>
        <w:spacing w:line="240" w:lineRule="auto"/>
        <w:jc w:val="left"/>
        <w:rPr>
          <w:sz w:val="22"/>
          <w:szCs w:val="22"/>
          <w:lang w:val="pl-PL"/>
        </w:rPr>
      </w:pPr>
      <w:r w:rsidRPr="009353E6">
        <w:rPr>
          <w:sz w:val="22"/>
          <w:szCs w:val="22"/>
          <w:u w:val="single"/>
          <w:lang w:val="pl-PL"/>
        </w:rPr>
        <w:t>Płeć</w:t>
      </w: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Stężenia telmisartanu w osoczu są na ogół 2-3 razy większe u kobiet niż u mężczyzn. Jednakże w badaniach klinicznych nie wykazano istotnie wzmożonej reakcji na lek lub zwiększonej częstości występowania niedociśnienia ortostatycznego u kobiet. Nie ma więc potrzeby modyfikacji dawkowania. Zanotowano tendencję do większego stężenia hydrochlorotiazydu w osoczu u kobiet niż u mężczyzn. Nie uważa się jej za istotną klinicznie. </w:t>
      </w:r>
    </w:p>
    <w:p w:rsidR="00204221" w:rsidRPr="009353E6" w:rsidRDefault="00204221" w:rsidP="000D5BED">
      <w:pPr>
        <w:pStyle w:val="BodyText"/>
        <w:spacing w:line="240" w:lineRule="auto"/>
        <w:jc w:val="left"/>
        <w:rPr>
          <w:sz w:val="22"/>
          <w:szCs w:val="22"/>
          <w:lang w:val="pl-PL"/>
        </w:rPr>
      </w:pPr>
    </w:p>
    <w:p w:rsidR="000A17A5" w:rsidRPr="009353E6" w:rsidRDefault="000A17A5" w:rsidP="005E3A9A">
      <w:pPr>
        <w:pStyle w:val="BodyText"/>
        <w:keepNext/>
        <w:spacing w:line="240" w:lineRule="auto"/>
        <w:jc w:val="left"/>
        <w:rPr>
          <w:sz w:val="22"/>
          <w:szCs w:val="22"/>
          <w:lang w:val="pl-PL"/>
        </w:rPr>
      </w:pPr>
      <w:r w:rsidRPr="009353E6">
        <w:rPr>
          <w:sz w:val="22"/>
          <w:szCs w:val="22"/>
          <w:u w:val="single"/>
          <w:lang w:val="pl-PL"/>
        </w:rPr>
        <w:t>Zaburzenia czynności nerek</w:t>
      </w:r>
    </w:p>
    <w:p w:rsidR="00204221" w:rsidRPr="009353E6" w:rsidRDefault="00204221" w:rsidP="000D5BED">
      <w:pPr>
        <w:pStyle w:val="BodyText"/>
        <w:spacing w:line="240" w:lineRule="auto"/>
        <w:jc w:val="left"/>
        <w:rPr>
          <w:sz w:val="22"/>
          <w:szCs w:val="22"/>
          <w:lang w:val="pl-PL"/>
        </w:rPr>
      </w:pPr>
      <w:r w:rsidRPr="009353E6">
        <w:rPr>
          <w:sz w:val="22"/>
          <w:szCs w:val="22"/>
          <w:lang w:val="pl-PL"/>
        </w:rPr>
        <w:t>Wydalanie nerkowe nie wpływa na klirens telmisartanu. W</w:t>
      </w:r>
      <w:r w:rsidR="008256B6" w:rsidRPr="009353E6">
        <w:rPr>
          <w:sz w:val="22"/>
          <w:szCs w:val="22"/>
          <w:lang w:val="pl-PL"/>
        </w:rPr>
        <w:t> </w:t>
      </w:r>
      <w:r w:rsidRPr="009353E6">
        <w:rPr>
          <w:sz w:val="22"/>
          <w:szCs w:val="22"/>
          <w:lang w:val="pl-PL"/>
        </w:rPr>
        <w:t>oparciu o niewielkie doświadczenia z pacjentami z łagodnymi i umiarkowanymi zaburzeniami czynności nerek (klirens kreatyniny 30-60 ml/min, średnio około 50 ml/min) nie ma potrzeby dostosowania dawki u pacjentów ze zmniejszoną czynnością nerek. Telmisartanu nie można usunąć z</w:t>
      </w:r>
      <w:r w:rsidR="008256B6" w:rsidRPr="009353E6">
        <w:rPr>
          <w:sz w:val="22"/>
          <w:szCs w:val="22"/>
          <w:lang w:val="pl-PL"/>
        </w:rPr>
        <w:t> </w:t>
      </w:r>
      <w:r w:rsidRPr="009353E6">
        <w:rPr>
          <w:sz w:val="22"/>
          <w:szCs w:val="22"/>
          <w:lang w:val="pl-PL"/>
        </w:rPr>
        <w:t>krwi za pomocą hemodializy. U pacjentów z zaburzoną czynnością nerek, szybkość eliminacji hydrochlorotiazydu jest zmniejszona. W typowym badaniu, u pacjentów ze średnim klirensem kreatyniny na poziomie 90 ml/min, okres półtrwania eliminacji hydrochlorotiazydu był zwiększony. U</w:t>
      </w:r>
      <w:r w:rsidR="000D2739" w:rsidRPr="009353E6">
        <w:rPr>
          <w:sz w:val="22"/>
          <w:szCs w:val="22"/>
          <w:lang w:val="pl-PL"/>
        </w:rPr>
        <w:t> </w:t>
      </w:r>
      <w:r w:rsidRPr="009353E6">
        <w:rPr>
          <w:sz w:val="22"/>
          <w:szCs w:val="22"/>
          <w:lang w:val="pl-PL"/>
        </w:rPr>
        <w:t xml:space="preserve">pacjentów bez czynności nerek, okres półtrwania eliminacji wynosi 34 godziny. </w:t>
      </w:r>
    </w:p>
    <w:p w:rsidR="00204221" w:rsidRPr="009353E6" w:rsidRDefault="00204221" w:rsidP="000D5BED">
      <w:pPr>
        <w:pStyle w:val="BodyText"/>
        <w:spacing w:line="240" w:lineRule="auto"/>
        <w:jc w:val="left"/>
        <w:rPr>
          <w:sz w:val="22"/>
          <w:szCs w:val="22"/>
          <w:lang w:val="pl-PL"/>
        </w:rPr>
      </w:pPr>
    </w:p>
    <w:p w:rsidR="000A17A5" w:rsidRPr="009353E6" w:rsidRDefault="000A17A5" w:rsidP="005E3A9A">
      <w:pPr>
        <w:pStyle w:val="BodyText"/>
        <w:keepNext/>
        <w:spacing w:line="240" w:lineRule="auto"/>
        <w:jc w:val="left"/>
        <w:rPr>
          <w:sz w:val="22"/>
          <w:szCs w:val="22"/>
          <w:lang w:val="pl-PL"/>
        </w:rPr>
      </w:pPr>
      <w:r w:rsidRPr="009353E6">
        <w:rPr>
          <w:sz w:val="22"/>
          <w:szCs w:val="22"/>
          <w:u w:val="single"/>
          <w:lang w:val="pl-PL"/>
        </w:rPr>
        <w:t>Zaburzenia czynności wątroby</w:t>
      </w:r>
    </w:p>
    <w:p w:rsidR="00204221" w:rsidRPr="009353E6" w:rsidRDefault="00204221" w:rsidP="000D5BED">
      <w:pPr>
        <w:pStyle w:val="BodyText"/>
        <w:spacing w:line="240" w:lineRule="auto"/>
        <w:jc w:val="left"/>
        <w:rPr>
          <w:sz w:val="22"/>
          <w:szCs w:val="22"/>
          <w:lang w:val="pl-PL"/>
        </w:rPr>
      </w:pPr>
      <w:r w:rsidRPr="009353E6">
        <w:rPr>
          <w:sz w:val="22"/>
          <w:szCs w:val="22"/>
          <w:lang w:val="pl-PL"/>
        </w:rPr>
        <w:t>Badania farmakokinetyczne u pacjentów z zaburzeniami czynności wątroby wykazały zwiększenie całkowitej biodostępności do prawie 100%. Okres półtrwania eliminacji pozostał nie zmieniony u pacjentów z niewydolnością wątroby.</w:t>
      </w:r>
    </w:p>
    <w:p w:rsidR="00A951A7" w:rsidRPr="009353E6" w:rsidRDefault="00A951A7" w:rsidP="009E5EF6">
      <w:pPr>
        <w:pStyle w:val="BodyText"/>
        <w:spacing w:line="240" w:lineRule="auto"/>
        <w:jc w:val="left"/>
        <w:rPr>
          <w:sz w:val="22"/>
          <w:szCs w:val="22"/>
          <w:lang w:val="pl-PL"/>
        </w:rPr>
      </w:pPr>
    </w:p>
    <w:p w:rsidR="00204221" w:rsidRPr="009353E6" w:rsidRDefault="00204221" w:rsidP="009E5EF6">
      <w:pPr>
        <w:pStyle w:val="BodyText"/>
        <w:spacing w:line="240" w:lineRule="auto"/>
        <w:jc w:val="left"/>
        <w:rPr>
          <w:b/>
          <w:sz w:val="22"/>
          <w:szCs w:val="22"/>
          <w:lang w:val="pl-PL"/>
        </w:rPr>
      </w:pPr>
      <w:r w:rsidRPr="009353E6">
        <w:rPr>
          <w:b/>
          <w:sz w:val="22"/>
          <w:szCs w:val="22"/>
          <w:lang w:val="pl-PL"/>
        </w:rPr>
        <w:t>5.3</w:t>
      </w:r>
      <w:r w:rsidRPr="009353E6">
        <w:rPr>
          <w:b/>
          <w:sz w:val="22"/>
          <w:szCs w:val="22"/>
          <w:lang w:val="pl-PL"/>
        </w:rPr>
        <w:tab/>
        <w:t>Przedkliniczne dane o bezpieczeństwie</w:t>
      </w:r>
    </w:p>
    <w:p w:rsidR="00204221" w:rsidRPr="009353E6" w:rsidRDefault="00204221" w:rsidP="000D5BED">
      <w:pPr>
        <w:pStyle w:val="BodyText"/>
        <w:spacing w:line="240" w:lineRule="auto"/>
        <w:jc w:val="left"/>
        <w:rPr>
          <w:b/>
          <w:sz w:val="22"/>
          <w:szCs w:val="22"/>
          <w:lang w:val="pl-PL"/>
        </w:rPr>
      </w:pPr>
    </w:p>
    <w:p w:rsidR="00204221" w:rsidRPr="009353E6" w:rsidRDefault="002371F8" w:rsidP="000D5BED">
      <w:pPr>
        <w:pStyle w:val="BodyText"/>
        <w:spacing w:line="240" w:lineRule="auto"/>
        <w:jc w:val="left"/>
        <w:rPr>
          <w:sz w:val="22"/>
          <w:szCs w:val="22"/>
          <w:lang w:val="pl-PL"/>
        </w:rPr>
      </w:pPr>
      <w:r w:rsidRPr="009353E6">
        <w:rPr>
          <w:sz w:val="22"/>
          <w:szCs w:val="22"/>
          <w:lang w:val="pl-PL"/>
        </w:rPr>
        <w:t xml:space="preserve">Nie przeprowadzano żadnych dodatkowych badań przedklinicznych </w:t>
      </w:r>
      <w:r w:rsidR="004D1DB3" w:rsidRPr="009353E6">
        <w:rPr>
          <w:sz w:val="22"/>
          <w:szCs w:val="22"/>
          <w:lang w:val="pl-PL"/>
        </w:rPr>
        <w:t xml:space="preserve">dotyczących produktu złozonego o ustalonej dawce wynoszącej </w:t>
      </w:r>
      <w:r w:rsidRPr="009353E6">
        <w:rPr>
          <w:sz w:val="22"/>
          <w:szCs w:val="22"/>
          <w:lang w:val="pl-PL"/>
        </w:rPr>
        <w:t>80 mg/25 mg. Poprzednie b</w:t>
      </w:r>
      <w:r w:rsidR="00204221" w:rsidRPr="009353E6">
        <w:rPr>
          <w:sz w:val="22"/>
          <w:szCs w:val="22"/>
          <w:lang w:val="pl-PL"/>
        </w:rPr>
        <w:t>adania</w:t>
      </w:r>
      <w:r w:rsidRPr="009353E6">
        <w:rPr>
          <w:sz w:val="22"/>
          <w:szCs w:val="22"/>
          <w:lang w:val="pl-PL"/>
        </w:rPr>
        <w:t xml:space="preserve"> </w:t>
      </w:r>
      <w:r w:rsidR="00204221" w:rsidRPr="009353E6">
        <w:rPr>
          <w:sz w:val="22"/>
          <w:szCs w:val="22"/>
          <w:lang w:val="pl-PL"/>
        </w:rPr>
        <w:t>przedkliniczn</w:t>
      </w:r>
      <w:r w:rsidRPr="009353E6">
        <w:rPr>
          <w:sz w:val="22"/>
          <w:szCs w:val="22"/>
          <w:lang w:val="pl-PL"/>
        </w:rPr>
        <w:t>e dotyczące łącznego</w:t>
      </w:r>
      <w:r w:rsidR="00204221" w:rsidRPr="009353E6">
        <w:rPr>
          <w:sz w:val="22"/>
          <w:szCs w:val="22"/>
          <w:lang w:val="pl-PL"/>
        </w:rPr>
        <w:t xml:space="preserve"> </w:t>
      </w:r>
      <w:r w:rsidRPr="009353E6">
        <w:rPr>
          <w:sz w:val="22"/>
          <w:szCs w:val="22"/>
          <w:lang w:val="pl-PL"/>
        </w:rPr>
        <w:t>p</w:t>
      </w:r>
      <w:r w:rsidR="00204221" w:rsidRPr="009353E6">
        <w:rPr>
          <w:sz w:val="22"/>
          <w:szCs w:val="22"/>
          <w:lang w:val="pl-PL"/>
        </w:rPr>
        <w:t>odawania telmisartanu i hydrochlorotiazydu u szczurów i psów z prawidłowym ciśnieniem</w:t>
      </w:r>
      <w:r w:rsidRPr="009353E6">
        <w:rPr>
          <w:sz w:val="22"/>
          <w:szCs w:val="22"/>
          <w:lang w:val="pl-PL"/>
        </w:rPr>
        <w:t xml:space="preserve"> w</w:t>
      </w:r>
      <w:r w:rsidR="0024500F" w:rsidRPr="009353E6">
        <w:rPr>
          <w:sz w:val="22"/>
          <w:szCs w:val="22"/>
          <w:lang w:val="pl-PL"/>
        </w:rPr>
        <w:t> </w:t>
      </w:r>
      <w:r w:rsidRPr="009353E6">
        <w:rPr>
          <w:sz w:val="22"/>
          <w:szCs w:val="22"/>
          <w:lang w:val="pl-PL"/>
        </w:rPr>
        <w:t xml:space="preserve">dawkach powodujących </w:t>
      </w:r>
      <w:r w:rsidR="00204221" w:rsidRPr="009353E6">
        <w:rPr>
          <w:sz w:val="22"/>
          <w:szCs w:val="22"/>
          <w:lang w:val="pl-PL"/>
        </w:rPr>
        <w:t>ekspozycję porównywaln</w:t>
      </w:r>
      <w:r w:rsidR="004D1DB3" w:rsidRPr="009353E6">
        <w:rPr>
          <w:sz w:val="22"/>
          <w:szCs w:val="22"/>
          <w:lang w:val="pl-PL"/>
        </w:rPr>
        <w:t>ą</w:t>
      </w:r>
      <w:r w:rsidR="00204221" w:rsidRPr="009353E6">
        <w:rPr>
          <w:sz w:val="22"/>
          <w:szCs w:val="22"/>
          <w:lang w:val="pl-PL"/>
        </w:rPr>
        <w:t xml:space="preserve"> z klinicznymi dawkami terapeutycznymi, nie powodowały żadnych dodatkowych zmian, które nie byłyby wcześniej odnotowane w przypadku każdej z substancji podawanej oddzielnie. Obserwacje toksykologiczne poczynione w tych badaniach wydają się nie mieć znaczenia w przypadku zastosowania terapeutycznego u ludzi.</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Obserwacje toksykologiczne znane również z badań przedklinicznych inhibitorów enzymu konwertującego angiotensynę oraz antagonistów receptora angiotensyny II wskazują na: zmniejszenie parametrów dotyczących czerwonych krwinek (erytrocytów, hemoglobiny, hematokrytu), zmiany hemodynamiczne nerek (zwiększenie stężenia azotu mocznikowego we krwi i kreatyniny), zwiększenie aktywności reniny w osoczu, hipertrofię lub hiperplazję komórek aparatu przykłębuszkowego oraz uszkodzenia śluzówki żołądka. Uszkodzeniom przewodu pokarmowego można było zapobiegać podając doustnie roztwory soli i poprzez izolowanie zwierząt w grupach. U</w:t>
      </w:r>
      <w:r w:rsidR="000D2739" w:rsidRPr="009353E6">
        <w:rPr>
          <w:sz w:val="22"/>
          <w:szCs w:val="22"/>
          <w:lang w:val="pl-PL"/>
        </w:rPr>
        <w:t> </w:t>
      </w:r>
      <w:r w:rsidRPr="009353E6">
        <w:rPr>
          <w:sz w:val="22"/>
          <w:szCs w:val="22"/>
          <w:lang w:val="pl-PL"/>
        </w:rPr>
        <w:t>psów zaobserwowano rozszerzenie i zanik kanalików nerkowych. Uważa się, że działanie to jest związane z aktywnością farmakologiczną telmisartanu.</w:t>
      </w:r>
    </w:p>
    <w:p w:rsidR="00204221" w:rsidRPr="009353E6" w:rsidRDefault="00204221" w:rsidP="000D5BED">
      <w:pPr>
        <w:pStyle w:val="BodyText"/>
        <w:spacing w:line="240" w:lineRule="auto"/>
        <w:jc w:val="left"/>
        <w:rPr>
          <w:sz w:val="22"/>
          <w:szCs w:val="22"/>
          <w:lang w:val="pl-PL"/>
        </w:rPr>
      </w:pPr>
    </w:p>
    <w:p w:rsidR="00647449" w:rsidRPr="009353E6" w:rsidRDefault="00647449" w:rsidP="00647449">
      <w:pPr>
        <w:rPr>
          <w:sz w:val="22"/>
          <w:szCs w:val="22"/>
          <w:lang w:val="pl-PL"/>
        </w:rPr>
      </w:pPr>
      <w:r w:rsidRPr="009353E6">
        <w:rPr>
          <w:sz w:val="22"/>
          <w:szCs w:val="22"/>
          <w:lang w:val="pl-PL"/>
        </w:rPr>
        <w:t xml:space="preserve">Nie zaobserwowano </w:t>
      </w:r>
      <w:r w:rsidR="00EA64B2" w:rsidRPr="009353E6">
        <w:rPr>
          <w:sz w:val="22"/>
          <w:szCs w:val="22"/>
          <w:lang w:val="pl-PL"/>
        </w:rPr>
        <w:t>jednoznacznych</w:t>
      </w:r>
      <w:r w:rsidRPr="009353E6">
        <w:rPr>
          <w:sz w:val="22"/>
          <w:szCs w:val="22"/>
          <w:lang w:val="pl-PL"/>
        </w:rPr>
        <w:t xml:space="preserve"> dowodów na teratogenne działanie produktu, jednak po zastosowaniu toksycznych dawek telmisartanu obserwowano wpływ na rozwój noworodka, np. </w:t>
      </w:r>
      <w:r w:rsidR="00D2018C" w:rsidRPr="009353E6">
        <w:rPr>
          <w:sz w:val="22"/>
          <w:szCs w:val="22"/>
          <w:lang w:val="pl-PL"/>
        </w:rPr>
        <w:t>mniejsza</w:t>
      </w:r>
      <w:r w:rsidRPr="009353E6">
        <w:rPr>
          <w:sz w:val="22"/>
          <w:szCs w:val="22"/>
          <w:lang w:val="pl-PL"/>
        </w:rPr>
        <w:t xml:space="preserve"> masa ciała lub opóźniony czas otwarcia oczu.</w:t>
      </w:r>
    </w:p>
    <w:p w:rsidR="00D2018C" w:rsidRPr="009353E6" w:rsidRDefault="00D2018C" w:rsidP="00586E5C">
      <w:pPr>
        <w:pStyle w:val="BodyText"/>
        <w:tabs>
          <w:tab w:val="left" w:pos="540"/>
        </w:tabs>
        <w:spacing w:line="240" w:lineRule="auto"/>
        <w:jc w:val="left"/>
        <w:rPr>
          <w:sz w:val="22"/>
          <w:szCs w:val="22"/>
          <w:lang w:val="pl-PL"/>
        </w:rPr>
      </w:pPr>
    </w:p>
    <w:p w:rsidR="00204221" w:rsidRPr="009353E6" w:rsidRDefault="00204221" w:rsidP="00586E5C">
      <w:pPr>
        <w:pStyle w:val="BodyText"/>
        <w:tabs>
          <w:tab w:val="left" w:pos="540"/>
        </w:tabs>
        <w:spacing w:line="240" w:lineRule="auto"/>
        <w:jc w:val="left"/>
        <w:rPr>
          <w:sz w:val="22"/>
          <w:szCs w:val="22"/>
          <w:lang w:val="pl-PL"/>
        </w:rPr>
      </w:pPr>
      <w:r w:rsidRPr="009353E6">
        <w:rPr>
          <w:sz w:val="22"/>
          <w:szCs w:val="22"/>
          <w:lang w:val="pl-PL"/>
        </w:rPr>
        <w:t xml:space="preserve">W badaniach </w:t>
      </w:r>
      <w:r w:rsidRPr="009353E6">
        <w:rPr>
          <w:i/>
          <w:iCs/>
          <w:sz w:val="22"/>
          <w:szCs w:val="22"/>
          <w:lang w:val="pl-PL"/>
        </w:rPr>
        <w:t>in vitro</w:t>
      </w:r>
      <w:r w:rsidRPr="009353E6">
        <w:rPr>
          <w:sz w:val="22"/>
          <w:szCs w:val="22"/>
          <w:lang w:val="pl-PL"/>
        </w:rPr>
        <w:t xml:space="preserve"> nie wykazano działania mutagennego telmisartanu i odpowiedniego działania klastogennego, nie ma również dowodów na działanie rakotwórcze u szczurów i myszy. Badania z hydrochlorotiazydem w niektórych modelach doświadczalnych wykazały niejednoznacznie działanie genotoksyczne lub rakotwórcze. Jednakże szerokie doświadczenia ze stosowaniem hydrochlorotiazydu u ludzi nie wykazały związku pomiędzy jego stosowaniem a zwiększonym występowaniem nowotworów. </w:t>
      </w: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W celu uzyskania informacji o fetotoksyczności </w:t>
      </w:r>
      <w:r w:rsidR="00F710F6" w:rsidRPr="009353E6">
        <w:rPr>
          <w:sz w:val="22"/>
          <w:szCs w:val="22"/>
          <w:lang w:val="pl-PL"/>
        </w:rPr>
        <w:t>produkt</w:t>
      </w:r>
      <w:r w:rsidRPr="009353E6">
        <w:rPr>
          <w:sz w:val="22"/>
          <w:szCs w:val="22"/>
          <w:lang w:val="pl-PL"/>
        </w:rPr>
        <w:t>u złożonego zawierającego telmisartan i</w:t>
      </w:r>
      <w:r w:rsidR="0024500F" w:rsidRPr="009353E6">
        <w:rPr>
          <w:sz w:val="22"/>
          <w:szCs w:val="22"/>
          <w:lang w:val="pl-PL"/>
        </w:rPr>
        <w:t> </w:t>
      </w:r>
      <w:r w:rsidRPr="009353E6">
        <w:rPr>
          <w:sz w:val="22"/>
          <w:szCs w:val="22"/>
          <w:lang w:val="pl-PL"/>
        </w:rPr>
        <w:t>hydrochlotiazyd patrz punkt 4.6.</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b/>
          <w:sz w:val="22"/>
          <w:szCs w:val="22"/>
          <w:lang w:val="pl-PL"/>
        </w:rPr>
      </w:pPr>
    </w:p>
    <w:p w:rsidR="00204221" w:rsidRPr="009353E6" w:rsidRDefault="00204221" w:rsidP="005E3A9A">
      <w:pPr>
        <w:pStyle w:val="BodyText"/>
        <w:keepNext/>
        <w:tabs>
          <w:tab w:val="left" w:pos="540"/>
        </w:tabs>
        <w:spacing w:line="240" w:lineRule="auto"/>
        <w:jc w:val="left"/>
        <w:rPr>
          <w:b/>
          <w:sz w:val="22"/>
          <w:szCs w:val="22"/>
          <w:lang w:val="pl-PL"/>
        </w:rPr>
      </w:pPr>
      <w:r w:rsidRPr="009353E6">
        <w:rPr>
          <w:b/>
          <w:sz w:val="22"/>
          <w:szCs w:val="22"/>
          <w:lang w:val="pl-PL"/>
        </w:rPr>
        <w:t>6.</w:t>
      </w:r>
      <w:r w:rsidRPr="009353E6">
        <w:rPr>
          <w:b/>
          <w:sz w:val="22"/>
          <w:szCs w:val="22"/>
          <w:lang w:val="pl-PL"/>
        </w:rPr>
        <w:tab/>
        <w:t>DANE FARMACEUTYCZNE</w:t>
      </w:r>
    </w:p>
    <w:p w:rsidR="00204221" w:rsidRPr="009353E6" w:rsidRDefault="00204221" w:rsidP="005E3A9A">
      <w:pPr>
        <w:pStyle w:val="BodyText"/>
        <w:keepNext/>
        <w:spacing w:line="240" w:lineRule="auto"/>
        <w:jc w:val="left"/>
        <w:rPr>
          <w:sz w:val="22"/>
          <w:szCs w:val="22"/>
          <w:lang w:val="pl-PL"/>
        </w:rPr>
      </w:pPr>
    </w:p>
    <w:p w:rsidR="00204221" w:rsidRPr="009353E6" w:rsidRDefault="00586E5C" w:rsidP="005E3A9A">
      <w:pPr>
        <w:pStyle w:val="BodyText"/>
        <w:keepNext/>
        <w:tabs>
          <w:tab w:val="left" w:pos="540"/>
        </w:tabs>
        <w:spacing w:line="240" w:lineRule="auto"/>
        <w:jc w:val="left"/>
        <w:rPr>
          <w:b/>
          <w:sz w:val="22"/>
          <w:szCs w:val="22"/>
          <w:lang w:val="pl-PL"/>
        </w:rPr>
      </w:pPr>
      <w:r w:rsidRPr="009353E6">
        <w:rPr>
          <w:b/>
          <w:sz w:val="22"/>
          <w:szCs w:val="22"/>
          <w:lang w:val="pl-PL"/>
        </w:rPr>
        <w:t>6.1</w:t>
      </w:r>
      <w:r w:rsidRPr="009353E6">
        <w:rPr>
          <w:b/>
          <w:sz w:val="22"/>
          <w:szCs w:val="22"/>
          <w:lang w:val="pl-PL"/>
        </w:rPr>
        <w:tab/>
      </w:r>
      <w:r w:rsidR="00204221" w:rsidRPr="009353E6">
        <w:rPr>
          <w:b/>
          <w:sz w:val="22"/>
          <w:szCs w:val="22"/>
          <w:lang w:val="pl-PL"/>
        </w:rPr>
        <w:t>Wykaz substancji pomocniczych</w:t>
      </w:r>
    </w:p>
    <w:p w:rsidR="00204221" w:rsidRPr="009353E6" w:rsidRDefault="00204221" w:rsidP="005E3A9A">
      <w:pPr>
        <w:pStyle w:val="BodyText"/>
        <w:keepNext/>
        <w:spacing w:line="240" w:lineRule="auto"/>
        <w:jc w:val="left"/>
        <w:rPr>
          <w:b/>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Laktoza jednowodna </w:t>
      </w:r>
    </w:p>
    <w:p w:rsidR="00204221" w:rsidRPr="009353E6" w:rsidRDefault="00542F0E" w:rsidP="000D5BED">
      <w:pPr>
        <w:pStyle w:val="BodyText"/>
        <w:spacing w:line="240" w:lineRule="auto"/>
        <w:jc w:val="left"/>
        <w:rPr>
          <w:sz w:val="22"/>
          <w:szCs w:val="22"/>
          <w:lang w:val="pl-PL"/>
        </w:rPr>
      </w:pPr>
      <w:r w:rsidRPr="009353E6">
        <w:rPr>
          <w:sz w:val="22"/>
          <w:szCs w:val="22"/>
          <w:lang w:val="pl-PL"/>
        </w:rPr>
        <w:t>Magnezu s</w:t>
      </w:r>
      <w:r w:rsidR="00204221" w:rsidRPr="009353E6">
        <w:rPr>
          <w:sz w:val="22"/>
          <w:szCs w:val="22"/>
          <w:lang w:val="pl-PL"/>
        </w:rPr>
        <w:t>tearynian</w:t>
      </w:r>
    </w:p>
    <w:p w:rsidR="00204221" w:rsidRPr="009353E6" w:rsidRDefault="00204221" w:rsidP="000D5BED">
      <w:pPr>
        <w:pStyle w:val="BodyText"/>
        <w:spacing w:line="240" w:lineRule="auto"/>
        <w:jc w:val="left"/>
        <w:rPr>
          <w:sz w:val="22"/>
          <w:szCs w:val="22"/>
          <w:lang w:val="pl-PL"/>
        </w:rPr>
      </w:pPr>
      <w:r w:rsidRPr="009353E6">
        <w:rPr>
          <w:sz w:val="22"/>
          <w:szCs w:val="22"/>
          <w:lang w:val="pl-PL"/>
        </w:rPr>
        <w:t>Skrobia kukurydziana</w:t>
      </w:r>
    </w:p>
    <w:p w:rsidR="00204221" w:rsidRPr="009353E6" w:rsidRDefault="00204221" w:rsidP="000D5BED">
      <w:pPr>
        <w:pStyle w:val="BodyText"/>
        <w:spacing w:line="240" w:lineRule="auto"/>
        <w:jc w:val="left"/>
        <w:rPr>
          <w:sz w:val="22"/>
          <w:szCs w:val="22"/>
          <w:lang w:val="pl-PL"/>
        </w:rPr>
      </w:pPr>
      <w:r w:rsidRPr="009353E6">
        <w:rPr>
          <w:sz w:val="22"/>
          <w:szCs w:val="22"/>
          <w:lang w:val="pl-PL"/>
        </w:rPr>
        <w:t>Meglumina</w:t>
      </w:r>
    </w:p>
    <w:p w:rsidR="00204221" w:rsidRPr="009353E6" w:rsidRDefault="001F3074" w:rsidP="000D5BED">
      <w:pPr>
        <w:pStyle w:val="BodyText"/>
        <w:spacing w:line="240" w:lineRule="auto"/>
        <w:jc w:val="left"/>
        <w:rPr>
          <w:sz w:val="22"/>
          <w:szCs w:val="22"/>
          <w:lang w:val="pl-PL"/>
        </w:rPr>
      </w:pPr>
      <w:r w:rsidRPr="009353E6">
        <w:rPr>
          <w:sz w:val="22"/>
          <w:szCs w:val="22"/>
          <w:lang w:val="pl-PL"/>
        </w:rPr>
        <w:t>C</w:t>
      </w:r>
      <w:r w:rsidR="00204221" w:rsidRPr="009353E6">
        <w:rPr>
          <w:sz w:val="22"/>
          <w:szCs w:val="22"/>
          <w:lang w:val="pl-PL"/>
        </w:rPr>
        <w:t>eluloza mikrokrystaliczna</w:t>
      </w:r>
    </w:p>
    <w:p w:rsidR="00204221" w:rsidRPr="009353E6" w:rsidRDefault="00204221" w:rsidP="000D5BED">
      <w:pPr>
        <w:pStyle w:val="BodyText"/>
        <w:spacing w:line="240" w:lineRule="auto"/>
        <w:jc w:val="left"/>
        <w:rPr>
          <w:sz w:val="22"/>
          <w:szCs w:val="22"/>
          <w:lang w:val="pl-PL"/>
        </w:rPr>
      </w:pPr>
      <w:r w:rsidRPr="009353E6">
        <w:rPr>
          <w:sz w:val="22"/>
          <w:szCs w:val="22"/>
          <w:lang w:val="pl-PL"/>
        </w:rPr>
        <w:t>Powidon (K25)</w:t>
      </w:r>
    </w:p>
    <w:p w:rsidR="00204221" w:rsidRPr="009353E6" w:rsidRDefault="00542F0E" w:rsidP="000D5BED">
      <w:pPr>
        <w:pStyle w:val="BodyText"/>
        <w:spacing w:line="240" w:lineRule="auto"/>
        <w:jc w:val="left"/>
        <w:rPr>
          <w:sz w:val="22"/>
          <w:szCs w:val="22"/>
          <w:lang w:val="pl-PL"/>
        </w:rPr>
      </w:pPr>
      <w:r w:rsidRPr="009353E6">
        <w:rPr>
          <w:sz w:val="22"/>
          <w:szCs w:val="22"/>
          <w:lang w:val="pl-PL"/>
        </w:rPr>
        <w:t>Żelaza tlenek ź</w:t>
      </w:r>
      <w:r w:rsidR="004D1DB3" w:rsidRPr="009353E6">
        <w:rPr>
          <w:sz w:val="22"/>
          <w:szCs w:val="22"/>
          <w:lang w:val="pl-PL"/>
        </w:rPr>
        <w:t xml:space="preserve">ółty </w:t>
      </w:r>
      <w:r w:rsidR="00204221" w:rsidRPr="009353E6">
        <w:rPr>
          <w:sz w:val="22"/>
          <w:szCs w:val="22"/>
          <w:lang w:val="pl-PL"/>
        </w:rPr>
        <w:t>(E172)</w:t>
      </w:r>
    </w:p>
    <w:p w:rsidR="00204221" w:rsidRPr="009353E6" w:rsidRDefault="00542F0E" w:rsidP="000D5BED">
      <w:pPr>
        <w:pStyle w:val="BodyText"/>
        <w:spacing w:line="240" w:lineRule="auto"/>
        <w:jc w:val="left"/>
        <w:rPr>
          <w:sz w:val="22"/>
          <w:szCs w:val="22"/>
          <w:lang w:val="pl-PL"/>
        </w:rPr>
      </w:pPr>
      <w:r w:rsidRPr="009353E6">
        <w:rPr>
          <w:sz w:val="22"/>
          <w:szCs w:val="22"/>
          <w:lang w:val="pl-PL"/>
        </w:rPr>
        <w:t>Sodu w</w:t>
      </w:r>
      <w:r w:rsidR="00204221" w:rsidRPr="009353E6">
        <w:rPr>
          <w:sz w:val="22"/>
          <w:szCs w:val="22"/>
          <w:lang w:val="pl-PL"/>
        </w:rPr>
        <w:t>odorotlenek</w:t>
      </w:r>
    </w:p>
    <w:p w:rsidR="00204221" w:rsidRPr="009353E6" w:rsidRDefault="00542F0E" w:rsidP="000D5BED">
      <w:pPr>
        <w:pStyle w:val="BodyText"/>
        <w:spacing w:line="240" w:lineRule="auto"/>
        <w:jc w:val="left"/>
        <w:rPr>
          <w:sz w:val="22"/>
          <w:szCs w:val="22"/>
          <w:lang w:val="pl-PL"/>
        </w:rPr>
      </w:pPr>
      <w:r w:rsidRPr="009353E6">
        <w:rPr>
          <w:sz w:val="22"/>
          <w:szCs w:val="22"/>
          <w:lang w:val="pl-PL"/>
        </w:rPr>
        <w:t xml:space="preserve">Karboksymetyloskrobia sodowa </w:t>
      </w:r>
      <w:r w:rsidR="00204221" w:rsidRPr="009353E6">
        <w:rPr>
          <w:sz w:val="22"/>
          <w:szCs w:val="22"/>
          <w:lang w:val="pl-PL"/>
        </w:rPr>
        <w:t xml:space="preserve">(typ A) </w:t>
      </w:r>
    </w:p>
    <w:p w:rsidR="00204221" w:rsidRPr="009353E6" w:rsidRDefault="00204221" w:rsidP="000D5BED">
      <w:pPr>
        <w:pStyle w:val="BodyText"/>
        <w:spacing w:line="240" w:lineRule="auto"/>
        <w:jc w:val="left"/>
        <w:rPr>
          <w:sz w:val="22"/>
          <w:szCs w:val="22"/>
          <w:lang w:val="pl-PL"/>
        </w:rPr>
      </w:pPr>
      <w:r w:rsidRPr="009353E6">
        <w:rPr>
          <w:sz w:val="22"/>
          <w:szCs w:val="22"/>
          <w:lang w:val="pl-PL"/>
        </w:rPr>
        <w:t>Sorbitol (E420)</w:t>
      </w:r>
    </w:p>
    <w:p w:rsidR="00204221" w:rsidRPr="009353E6" w:rsidRDefault="00204221" w:rsidP="000D5BED">
      <w:pPr>
        <w:pStyle w:val="BodyText"/>
        <w:spacing w:line="240" w:lineRule="auto"/>
        <w:jc w:val="left"/>
        <w:rPr>
          <w:sz w:val="22"/>
          <w:szCs w:val="22"/>
          <w:lang w:val="pl-PL"/>
        </w:rPr>
      </w:pPr>
    </w:p>
    <w:p w:rsidR="00204221" w:rsidRPr="009353E6" w:rsidRDefault="00586E5C" w:rsidP="005E3A9A">
      <w:pPr>
        <w:pStyle w:val="BodyText"/>
        <w:keepNext/>
        <w:tabs>
          <w:tab w:val="left" w:pos="540"/>
        </w:tabs>
        <w:spacing w:line="240" w:lineRule="auto"/>
        <w:jc w:val="left"/>
        <w:rPr>
          <w:b/>
          <w:sz w:val="22"/>
          <w:szCs w:val="22"/>
          <w:lang w:val="pl-PL"/>
        </w:rPr>
      </w:pPr>
      <w:r w:rsidRPr="009353E6">
        <w:rPr>
          <w:b/>
          <w:sz w:val="22"/>
          <w:szCs w:val="22"/>
          <w:lang w:val="pl-PL"/>
        </w:rPr>
        <w:t>6.2</w:t>
      </w:r>
      <w:r w:rsidRPr="009353E6">
        <w:rPr>
          <w:b/>
          <w:sz w:val="22"/>
          <w:szCs w:val="22"/>
          <w:lang w:val="pl-PL"/>
        </w:rPr>
        <w:tab/>
      </w:r>
      <w:r w:rsidR="00204221" w:rsidRPr="009353E6">
        <w:rPr>
          <w:b/>
          <w:sz w:val="22"/>
          <w:szCs w:val="22"/>
          <w:lang w:val="pl-PL"/>
        </w:rPr>
        <w:t>Niezgodności farmaceutyczne</w:t>
      </w:r>
    </w:p>
    <w:p w:rsidR="00204221" w:rsidRPr="009353E6" w:rsidRDefault="00204221" w:rsidP="005E3A9A">
      <w:pPr>
        <w:pStyle w:val="BodyText"/>
        <w:keepNext/>
        <w:spacing w:line="240" w:lineRule="auto"/>
        <w:jc w:val="left"/>
        <w:rPr>
          <w:b/>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Nie dotyczy.</w:t>
      </w:r>
    </w:p>
    <w:p w:rsidR="00204221" w:rsidRPr="009353E6" w:rsidRDefault="00204221" w:rsidP="000D5BED">
      <w:pPr>
        <w:pStyle w:val="BodyText"/>
        <w:spacing w:line="240" w:lineRule="auto"/>
        <w:jc w:val="left"/>
        <w:rPr>
          <w:sz w:val="22"/>
          <w:szCs w:val="22"/>
          <w:lang w:val="pl-PL"/>
        </w:rPr>
      </w:pPr>
    </w:p>
    <w:p w:rsidR="00204221" w:rsidRPr="009353E6" w:rsidRDefault="00204221" w:rsidP="00586E5C">
      <w:pPr>
        <w:pStyle w:val="BodyText"/>
        <w:tabs>
          <w:tab w:val="left" w:pos="540"/>
        </w:tabs>
        <w:spacing w:line="240" w:lineRule="auto"/>
        <w:jc w:val="left"/>
        <w:rPr>
          <w:b/>
          <w:sz w:val="22"/>
          <w:szCs w:val="22"/>
          <w:lang w:val="pl-PL"/>
        </w:rPr>
      </w:pPr>
      <w:r w:rsidRPr="009353E6">
        <w:rPr>
          <w:b/>
          <w:sz w:val="22"/>
          <w:szCs w:val="22"/>
          <w:lang w:val="pl-PL"/>
        </w:rPr>
        <w:t xml:space="preserve">6.3 </w:t>
      </w:r>
      <w:r w:rsidRPr="009353E6">
        <w:rPr>
          <w:b/>
          <w:sz w:val="22"/>
          <w:szCs w:val="22"/>
          <w:lang w:val="pl-PL"/>
        </w:rPr>
        <w:tab/>
        <w:t xml:space="preserve">Okres </w:t>
      </w:r>
      <w:r w:rsidR="003475EA" w:rsidRPr="009353E6">
        <w:rPr>
          <w:b/>
          <w:sz w:val="22"/>
          <w:szCs w:val="22"/>
          <w:lang w:val="pl-PL"/>
        </w:rPr>
        <w:t>ważności</w:t>
      </w:r>
    </w:p>
    <w:p w:rsidR="00204221" w:rsidRPr="009353E6" w:rsidRDefault="00204221" w:rsidP="000D5BED">
      <w:pPr>
        <w:pStyle w:val="BodyText"/>
        <w:spacing w:line="240" w:lineRule="auto"/>
        <w:jc w:val="left"/>
        <w:rPr>
          <w:b/>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3</w:t>
      </w:r>
      <w:r w:rsidR="00A02686" w:rsidRPr="009353E6">
        <w:rPr>
          <w:sz w:val="22"/>
          <w:szCs w:val="22"/>
          <w:lang w:val="pl-PL"/>
        </w:rPr>
        <w:t> </w:t>
      </w:r>
      <w:r w:rsidRPr="009353E6">
        <w:rPr>
          <w:sz w:val="22"/>
          <w:szCs w:val="22"/>
          <w:lang w:val="pl-PL"/>
        </w:rPr>
        <w:t>lata</w:t>
      </w:r>
    </w:p>
    <w:p w:rsidR="00204221" w:rsidRPr="009353E6" w:rsidRDefault="00204221" w:rsidP="000D5BED">
      <w:pPr>
        <w:pStyle w:val="BodyText"/>
        <w:spacing w:line="240" w:lineRule="auto"/>
        <w:jc w:val="left"/>
        <w:rPr>
          <w:sz w:val="22"/>
          <w:szCs w:val="22"/>
          <w:lang w:val="pl-PL"/>
        </w:rPr>
      </w:pPr>
    </w:p>
    <w:p w:rsidR="00204221" w:rsidRPr="009353E6" w:rsidRDefault="00204221" w:rsidP="00586E5C">
      <w:pPr>
        <w:pStyle w:val="BodyText"/>
        <w:tabs>
          <w:tab w:val="left" w:pos="540"/>
        </w:tabs>
        <w:spacing w:line="240" w:lineRule="auto"/>
        <w:jc w:val="left"/>
        <w:rPr>
          <w:b/>
          <w:sz w:val="22"/>
          <w:szCs w:val="22"/>
          <w:lang w:val="pl-PL"/>
        </w:rPr>
      </w:pPr>
      <w:r w:rsidRPr="009353E6">
        <w:rPr>
          <w:b/>
          <w:sz w:val="22"/>
          <w:szCs w:val="22"/>
          <w:lang w:val="pl-PL"/>
        </w:rPr>
        <w:t>6.4</w:t>
      </w:r>
      <w:r w:rsidRPr="009353E6">
        <w:rPr>
          <w:b/>
          <w:sz w:val="22"/>
          <w:szCs w:val="22"/>
          <w:lang w:val="pl-PL"/>
        </w:rPr>
        <w:tab/>
        <w:t xml:space="preserve">Specjalne środki ostrożności </w:t>
      </w:r>
      <w:r w:rsidR="003475EA" w:rsidRPr="009353E6">
        <w:rPr>
          <w:b/>
          <w:sz w:val="22"/>
          <w:szCs w:val="22"/>
          <w:lang w:val="pl-PL"/>
        </w:rPr>
        <w:t xml:space="preserve">podczas </w:t>
      </w:r>
      <w:r w:rsidRPr="009353E6">
        <w:rPr>
          <w:b/>
          <w:sz w:val="22"/>
          <w:szCs w:val="22"/>
          <w:lang w:val="pl-PL"/>
        </w:rPr>
        <w:t>przechowywani</w:t>
      </w:r>
      <w:r w:rsidR="003475EA" w:rsidRPr="009353E6">
        <w:rPr>
          <w:b/>
          <w:sz w:val="22"/>
          <w:szCs w:val="22"/>
          <w:lang w:val="pl-PL"/>
        </w:rPr>
        <w:t>a</w:t>
      </w:r>
    </w:p>
    <w:p w:rsidR="00204221" w:rsidRPr="009353E6" w:rsidRDefault="00204221" w:rsidP="000D5BED">
      <w:pPr>
        <w:pStyle w:val="BodyText"/>
        <w:spacing w:line="240" w:lineRule="auto"/>
        <w:jc w:val="left"/>
        <w:rPr>
          <w:b/>
          <w:sz w:val="22"/>
          <w:szCs w:val="22"/>
          <w:lang w:val="pl-PL"/>
        </w:rPr>
      </w:pPr>
    </w:p>
    <w:p w:rsidR="00204221" w:rsidRPr="009353E6" w:rsidRDefault="00A929C0" w:rsidP="000D5BED">
      <w:pPr>
        <w:pStyle w:val="BodyText"/>
        <w:spacing w:line="240" w:lineRule="auto"/>
        <w:jc w:val="left"/>
        <w:rPr>
          <w:sz w:val="22"/>
          <w:szCs w:val="22"/>
          <w:lang w:val="pl-PL"/>
        </w:rPr>
      </w:pPr>
      <w:r w:rsidRPr="009353E6">
        <w:rPr>
          <w:sz w:val="22"/>
          <w:szCs w:val="22"/>
          <w:lang w:val="pl-PL"/>
        </w:rPr>
        <w:t xml:space="preserve">Brak szczególnych wymagań dotyczących </w:t>
      </w:r>
      <w:r w:rsidR="000A17A5" w:rsidRPr="009353E6">
        <w:rPr>
          <w:sz w:val="22"/>
          <w:szCs w:val="22"/>
          <w:lang w:val="pl-PL"/>
        </w:rPr>
        <w:t xml:space="preserve">temperatury </w:t>
      </w:r>
      <w:r w:rsidRPr="009353E6">
        <w:rPr>
          <w:sz w:val="22"/>
          <w:szCs w:val="22"/>
          <w:lang w:val="pl-PL"/>
        </w:rPr>
        <w:t xml:space="preserve">przechowywania produktu leczniczego. </w:t>
      </w:r>
      <w:r w:rsidR="00204221" w:rsidRPr="009353E6">
        <w:rPr>
          <w:sz w:val="22"/>
          <w:szCs w:val="22"/>
          <w:lang w:val="pl-PL"/>
        </w:rPr>
        <w:t>Przechowywać w oryginalnym opakowaniu w celu ochrony przed wilgocią.</w:t>
      </w:r>
    </w:p>
    <w:p w:rsidR="00204221" w:rsidRPr="009353E6" w:rsidRDefault="00204221" w:rsidP="000D5BED">
      <w:pPr>
        <w:pStyle w:val="BodyText"/>
        <w:spacing w:line="240" w:lineRule="auto"/>
        <w:jc w:val="left"/>
        <w:rPr>
          <w:sz w:val="22"/>
          <w:szCs w:val="22"/>
          <w:lang w:val="pl-PL"/>
        </w:rPr>
      </w:pPr>
    </w:p>
    <w:p w:rsidR="00204221" w:rsidRPr="009353E6" w:rsidRDefault="00204221" w:rsidP="001159E1">
      <w:pPr>
        <w:pStyle w:val="BodyText"/>
        <w:keepNext/>
        <w:tabs>
          <w:tab w:val="left" w:pos="540"/>
        </w:tabs>
        <w:spacing w:line="240" w:lineRule="auto"/>
        <w:jc w:val="left"/>
        <w:rPr>
          <w:b/>
          <w:sz w:val="22"/>
          <w:szCs w:val="22"/>
          <w:lang w:val="pl-PL"/>
        </w:rPr>
      </w:pPr>
      <w:r w:rsidRPr="009353E6">
        <w:rPr>
          <w:b/>
          <w:sz w:val="22"/>
          <w:szCs w:val="22"/>
          <w:lang w:val="pl-PL"/>
        </w:rPr>
        <w:t xml:space="preserve">6.5 </w:t>
      </w:r>
      <w:r w:rsidRPr="009353E6">
        <w:rPr>
          <w:b/>
          <w:sz w:val="22"/>
          <w:szCs w:val="22"/>
          <w:lang w:val="pl-PL"/>
        </w:rPr>
        <w:tab/>
        <w:t xml:space="preserve">Rodzaj i zawartość opakowania </w:t>
      </w:r>
    </w:p>
    <w:p w:rsidR="00204221" w:rsidRPr="009353E6" w:rsidRDefault="00204221" w:rsidP="001159E1">
      <w:pPr>
        <w:pStyle w:val="BodyText"/>
        <w:keepNext/>
        <w:spacing w:line="240" w:lineRule="auto"/>
        <w:jc w:val="left"/>
        <w:rPr>
          <w:b/>
          <w:sz w:val="22"/>
          <w:szCs w:val="22"/>
          <w:lang w:val="pl-PL"/>
        </w:rPr>
      </w:pPr>
    </w:p>
    <w:p w:rsidR="00204221" w:rsidRPr="009353E6" w:rsidRDefault="00204221" w:rsidP="001159E1">
      <w:pPr>
        <w:pStyle w:val="BodyText"/>
        <w:keepNext/>
        <w:spacing w:line="240" w:lineRule="auto"/>
        <w:jc w:val="left"/>
        <w:rPr>
          <w:sz w:val="22"/>
          <w:szCs w:val="22"/>
          <w:lang w:val="pl-PL"/>
        </w:rPr>
      </w:pPr>
      <w:r w:rsidRPr="009353E6">
        <w:rPr>
          <w:sz w:val="22"/>
          <w:szCs w:val="22"/>
          <w:lang w:val="pl-PL"/>
        </w:rPr>
        <w:t xml:space="preserve">Blistry </w:t>
      </w:r>
      <w:r w:rsidR="004D1DB3" w:rsidRPr="009353E6">
        <w:rPr>
          <w:sz w:val="22"/>
          <w:szCs w:val="22"/>
          <w:lang w:val="pl-PL"/>
        </w:rPr>
        <w:t>A</w:t>
      </w:r>
      <w:r w:rsidRPr="009353E6">
        <w:rPr>
          <w:sz w:val="22"/>
          <w:szCs w:val="22"/>
          <w:lang w:val="pl-PL"/>
        </w:rPr>
        <w:t>luminium/</w:t>
      </w:r>
      <w:r w:rsidR="004D1DB3" w:rsidRPr="009353E6">
        <w:rPr>
          <w:sz w:val="22"/>
          <w:szCs w:val="22"/>
          <w:lang w:val="pl-PL"/>
        </w:rPr>
        <w:t>A</w:t>
      </w:r>
      <w:r w:rsidRPr="009353E6">
        <w:rPr>
          <w:sz w:val="22"/>
          <w:szCs w:val="22"/>
          <w:lang w:val="pl-PL"/>
        </w:rPr>
        <w:t>luminium (PA/Al/PVC/Al lub PA/PA/Al/PVC/Al. Jeden blister zawiera 7 lub 10 tabletek.</w:t>
      </w:r>
    </w:p>
    <w:p w:rsidR="00204221" w:rsidRPr="009353E6" w:rsidRDefault="00204221" w:rsidP="000D5BED">
      <w:pPr>
        <w:pStyle w:val="BodyText"/>
        <w:spacing w:line="240" w:lineRule="auto"/>
        <w:jc w:val="left"/>
        <w:rPr>
          <w:sz w:val="22"/>
          <w:szCs w:val="22"/>
          <w:lang w:val="pl-PL"/>
        </w:rPr>
      </w:pPr>
    </w:p>
    <w:p w:rsidR="000A17A5" w:rsidRPr="009353E6" w:rsidRDefault="00204221" w:rsidP="000D5BED">
      <w:pPr>
        <w:pStyle w:val="BodyText"/>
        <w:spacing w:line="240" w:lineRule="auto"/>
        <w:jc w:val="left"/>
        <w:rPr>
          <w:sz w:val="22"/>
          <w:szCs w:val="22"/>
          <w:lang w:val="pl-PL"/>
        </w:rPr>
      </w:pPr>
      <w:r w:rsidRPr="009353E6">
        <w:rPr>
          <w:sz w:val="22"/>
          <w:szCs w:val="22"/>
          <w:lang w:val="pl-PL"/>
        </w:rPr>
        <w:t xml:space="preserve">Wielkości opakowań: </w:t>
      </w:r>
    </w:p>
    <w:p w:rsidR="000A17A5" w:rsidRPr="009353E6" w:rsidRDefault="000A17A5" w:rsidP="000D5BED">
      <w:pPr>
        <w:pStyle w:val="BodyText"/>
        <w:spacing w:line="240" w:lineRule="auto"/>
        <w:jc w:val="left"/>
        <w:rPr>
          <w:sz w:val="22"/>
          <w:szCs w:val="22"/>
          <w:lang w:val="pl-PL"/>
        </w:rPr>
      </w:pPr>
      <w:r w:rsidRPr="009353E6">
        <w:rPr>
          <w:sz w:val="22"/>
          <w:szCs w:val="22"/>
          <w:lang w:val="pl-PL"/>
        </w:rPr>
        <w:t>-</w:t>
      </w:r>
      <w:r w:rsidRPr="009353E6">
        <w:rPr>
          <w:sz w:val="22"/>
          <w:szCs w:val="22"/>
          <w:lang w:val="pl-PL"/>
        </w:rPr>
        <w:tab/>
        <w:t>B</w:t>
      </w:r>
      <w:r w:rsidR="00204221" w:rsidRPr="009353E6">
        <w:rPr>
          <w:sz w:val="22"/>
          <w:szCs w:val="22"/>
          <w:lang w:val="pl-PL"/>
        </w:rPr>
        <w:t>listry po 14, 28, 56</w:t>
      </w:r>
      <w:r w:rsidR="00473275" w:rsidRPr="009353E6">
        <w:rPr>
          <w:sz w:val="22"/>
          <w:szCs w:val="22"/>
          <w:lang w:val="pl-PL"/>
        </w:rPr>
        <w:t xml:space="preserve"> lub</w:t>
      </w:r>
      <w:r w:rsidR="00204221" w:rsidRPr="009353E6">
        <w:rPr>
          <w:sz w:val="22"/>
          <w:szCs w:val="22"/>
          <w:lang w:val="pl-PL"/>
        </w:rPr>
        <w:t xml:space="preserve"> 98 tabletek lub </w:t>
      </w:r>
    </w:p>
    <w:p w:rsidR="00204221" w:rsidRPr="009353E6" w:rsidRDefault="000A17A5" w:rsidP="000A17A5">
      <w:pPr>
        <w:pStyle w:val="BodyText"/>
        <w:spacing w:line="240" w:lineRule="auto"/>
        <w:ind w:left="705" w:hanging="705"/>
        <w:jc w:val="left"/>
        <w:rPr>
          <w:sz w:val="22"/>
          <w:szCs w:val="22"/>
          <w:lang w:val="pl-PL"/>
        </w:rPr>
      </w:pPr>
      <w:r w:rsidRPr="009353E6">
        <w:rPr>
          <w:sz w:val="22"/>
          <w:szCs w:val="22"/>
          <w:lang w:val="pl-PL"/>
        </w:rPr>
        <w:t>-</w:t>
      </w:r>
      <w:r w:rsidRPr="009353E6">
        <w:rPr>
          <w:sz w:val="22"/>
          <w:szCs w:val="22"/>
          <w:lang w:val="pl-PL"/>
        </w:rPr>
        <w:tab/>
        <w:t>P</w:t>
      </w:r>
      <w:r w:rsidR="00204221" w:rsidRPr="009353E6">
        <w:rPr>
          <w:sz w:val="22"/>
          <w:szCs w:val="22"/>
          <w:lang w:val="pl-PL"/>
        </w:rPr>
        <w:t xml:space="preserve">erforowane blistry </w:t>
      </w:r>
      <w:r w:rsidR="004D1DB3" w:rsidRPr="009353E6">
        <w:rPr>
          <w:sz w:val="22"/>
          <w:szCs w:val="22"/>
          <w:lang w:val="pl-PL"/>
        </w:rPr>
        <w:t xml:space="preserve">podzielone na dawki </w:t>
      </w:r>
      <w:r w:rsidR="00204221" w:rsidRPr="009353E6">
        <w:rPr>
          <w:sz w:val="22"/>
          <w:szCs w:val="22"/>
          <w:lang w:val="pl-PL"/>
        </w:rPr>
        <w:t>pojedyncz</w:t>
      </w:r>
      <w:r w:rsidR="004D1DB3" w:rsidRPr="009353E6">
        <w:rPr>
          <w:sz w:val="22"/>
          <w:szCs w:val="22"/>
          <w:lang w:val="pl-PL"/>
        </w:rPr>
        <w:t>e</w:t>
      </w:r>
      <w:r w:rsidR="00204221" w:rsidRPr="009353E6">
        <w:rPr>
          <w:sz w:val="22"/>
          <w:szCs w:val="22"/>
          <w:lang w:val="pl-PL"/>
        </w:rPr>
        <w:t>, zawierające 28 x 1</w:t>
      </w:r>
      <w:r w:rsidR="00862844" w:rsidRPr="009353E6">
        <w:rPr>
          <w:sz w:val="22"/>
          <w:szCs w:val="22"/>
          <w:lang w:val="pl-PL"/>
        </w:rPr>
        <w:t>, 30 x 1 lub 90 x 1</w:t>
      </w:r>
      <w:r w:rsidR="00204221" w:rsidRPr="009353E6">
        <w:rPr>
          <w:sz w:val="22"/>
          <w:szCs w:val="22"/>
          <w:lang w:val="pl-PL"/>
        </w:rPr>
        <w:t xml:space="preserve"> tabletk</w:t>
      </w:r>
      <w:r w:rsidR="00253C34" w:rsidRPr="009353E6">
        <w:rPr>
          <w:sz w:val="22"/>
          <w:szCs w:val="22"/>
          <w:lang w:val="pl-PL"/>
        </w:rPr>
        <w:t>a</w:t>
      </w:r>
      <w:r w:rsidR="00204221" w:rsidRPr="009353E6">
        <w:rPr>
          <w:sz w:val="22"/>
          <w:szCs w:val="22"/>
          <w:lang w:val="pl-PL"/>
        </w:rPr>
        <w:t>.</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 xml:space="preserve">Nie wszystkie </w:t>
      </w:r>
      <w:r w:rsidR="00EA64B2" w:rsidRPr="009353E6">
        <w:rPr>
          <w:sz w:val="22"/>
          <w:szCs w:val="22"/>
          <w:lang w:val="pl-PL"/>
        </w:rPr>
        <w:t xml:space="preserve">wielkości </w:t>
      </w:r>
      <w:r w:rsidRPr="009353E6">
        <w:rPr>
          <w:sz w:val="22"/>
          <w:szCs w:val="22"/>
          <w:lang w:val="pl-PL"/>
        </w:rPr>
        <w:t>opakowań muszą znajdować się w obrocie.</w:t>
      </w:r>
    </w:p>
    <w:p w:rsidR="00204221" w:rsidRPr="009353E6" w:rsidRDefault="00204221" w:rsidP="000D5BED">
      <w:pPr>
        <w:pStyle w:val="BodyText"/>
        <w:spacing w:line="240" w:lineRule="auto"/>
        <w:jc w:val="left"/>
        <w:rPr>
          <w:sz w:val="22"/>
          <w:szCs w:val="22"/>
          <w:lang w:val="pl-PL"/>
        </w:rPr>
      </w:pPr>
    </w:p>
    <w:p w:rsidR="000A17A5" w:rsidRPr="009353E6" w:rsidRDefault="00586E5C" w:rsidP="00CD3857">
      <w:pPr>
        <w:ind w:left="567" w:hanging="567"/>
        <w:rPr>
          <w:b/>
          <w:sz w:val="22"/>
          <w:szCs w:val="22"/>
          <w:lang w:val="pl-PL"/>
        </w:rPr>
      </w:pPr>
      <w:r w:rsidRPr="009353E6">
        <w:rPr>
          <w:b/>
          <w:sz w:val="22"/>
          <w:szCs w:val="22"/>
          <w:lang w:val="pl-PL"/>
        </w:rPr>
        <w:t>6.6</w:t>
      </w:r>
      <w:r w:rsidRPr="009353E6">
        <w:rPr>
          <w:b/>
          <w:sz w:val="22"/>
          <w:szCs w:val="22"/>
          <w:lang w:val="pl-PL"/>
        </w:rPr>
        <w:tab/>
      </w:r>
      <w:r w:rsidR="003475EA" w:rsidRPr="009353E6">
        <w:rPr>
          <w:b/>
          <w:sz w:val="22"/>
          <w:szCs w:val="22"/>
          <w:lang w:val="pl-PL"/>
        </w:rPr>
        <w:t xml:space="preserve">Specjalne </w:t>
      </w:r>
      <w:r w:rsidR="00204221" w:rsidRPr="009353E6">
        <w:rPr>
          <w:b/>
          <w:sz w:val="22"/>
          <w:szCs w:val="22"/>
          <w:lang w:val="pl-PL"/>
        </w:rPr>
        <w:t>środki ostrożności dotyczące usuwania</w:t>
      </w:r>
      <w:r w:rsidR="000A17A5" w:rsidRPr="009353E6">
        <w:rPr>
          <w:b/>
          <w:sz w:val="22"/>
          <w:szCs w:val="22"/>
          <w:lang w:val="pl-PL"/>
        </w:rPr>
        <w:t xml:space="preserve"> i przygotowania produktu leczniczego do stosowania </w:t>
      </w:r>
    </w:p>
    <w:p w:rsidR="00204221" w:rsidRPr="009353E6" w:rsidRDefault="00204221" w:rsidP="00586E5C">
      <w:pPr>
        <w:pStyle w:val="BodyText"/>
        <w:tabs>
          <w:tab w:val="left" w:pos="540"/>
        </w:tabs>
        <w:spacing w:line="240" w:lineRule="auto"/>
        <w:jc w:val="left"/>
        <w:rPr>
          <w:b/>
          <w:sz w:val="22"/>
          <w:szCs w:val="22"/>
          <w:lang w:val="pl-PL"/>
        </w:rPr>
      </w:pPr>
    </w:p>
    <w:p w:rsidR="000A17A5" w:rsidRPr="009353E6" w:rsidRDefault="000A17A5" w:rsidP="000A17A5">
      <w:pPr>
        <w:rPr>
          <w:sz w:val="22"/>
          <w:szCs w:val="22"/>
          <w:lang w:val="pl-PL"/>
        </w:rPr>
      </w:pPr>
      <w:r w:rsidRPr="009353E6">
        <w:rPr>
          <w:sz w:val="22"/>
          <w:szCs w:val="22"/>
          <w:lang w:val="pl-PL"/>
        </w:rPr>
        <w:t xml:space="preserve">MicardisPlus należy przechowywać w szczelnym blistrze ze względu na higroskopijne właściwości tabletek. Tabletki należy wyjmować z blistra bezpośrednio przed przyjęciem. </w:t>
      </w:r>
    </w:p>
    <w:p w:rsidR="00B70ED8" w:rsidRPr="009353E6" w:rsidRDefault="00204221" w:rsidP="00B70ED8">
      <w:pPr>
        <w:pStyle w:val="BodyText"/>
        <w:spacing w:line="240" w:lineRule="auto"/>
        <w:jc w:val="left"/>
        <w:rPr>
          <w:sz w:val="22"/>
          <w:szCs w:val="22"/>
          <w:lang w:val="pl-PL"/>
        </w:rPr>
      </w:pPr>
      <w:r w:rsidRPr="009353E6">
        <w:rPr>
          <w:sz w:val="22"/>
          <w:szCs w:val="22"/>
          <w:lang w:val="pl-PL"/>
        </w:rPr>
        <w:t>Czasami zdarza się, że zewnętrzna powłoka blistra odkleja się od wewnętrznej pomiędzy kieszeniami blistra. W tych przypadkach nie ma potrzeby podejmowania żadnych działań.</w:t>
      </w:r>
      <w:r w:rsidR="00B70ED8" w:rsidRPr="009353E6">
        <w:rPr>
          <w:sz w:val="22"/>
          <w:szCs w:val="22"/>
          <w:lang w:val="pl-PL"/>
        </w:rPr>
        <w:t xml:space="preserve"> </w:t>
      </w:r>
    </w:p>
    <w:p w:rsidR="00B70ED8" w:rsidRPr="009353E6" w:rsidRDefault="00B70ED8" w:rsidP="00B70ED8">
      <w:pPr>
        <w:pStyle w:val="BodyText"/>
        <w:spacing w:line="240" w:lineRule="auto"/>
        <w:jc w:val="left"/>
        <w:rPr>
          <w:sz w:val="22"/>
          <w:szCs w:val="22"/>
          <w:lang w:val="pl-PL"/>
        </w:rPr>
      </w:pPr>
    </w:p>
    <w:p w:rsidR="00204221" w:rsidRPr="009353E6" w:rsidRDefault="00B70ED8" w:rsidP="00B70ED8">
      <w:pPr>
        <w:pStyle w:val="BodyText"/>
        <w:spacing w:line="240" w:lineRule="auto"/>
        <w:jc w:val="left"/>
        <w:rPr>
          <w:sz w:val="22"/>
          <w:szCs w:val="22"/>
          <w:lang w:val="pl-PL"/>
        </w:rPr>
      </w:pPr>
      <w:r w:rsidRPr="009353E6">
        <w:rPr>
          <w:sz w:val="22"/>
          <w:szCs w:val="22"/>
          <w:lang w:val="pl-PL"/>
        </w:rPr>
        <w:t>Wszelkie niewykorzystane resztki produktu leczniczego lub jego odpady należy usunąć zgodnie z lokalnymi przepisami.</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p>
    <w:p w:rsidR="00204221" w:rsidRPr="009353E6" w:rsidRDefault="00204221" w:rsidP="00586E5C">
      <w:pPr>
        <w:pStyle w:val="BodyText"/>
        <w:spacing w:line="240" w:lineRule="auto"/>
        <w:ind w:left="540" w:hanging="525"/>
        <w:jc w:val="left"/>
        <w:rPr>
          <w:b/>
          <w:sz w:val="22"/>
          <w:szCs w:val="22"/>
          <w:lang w:val="pl-PL"/>
        </w:rPr>
      </w:pPr>
      <w:r w:rsidRPr="009353E6">
        <w:rPr>
          <w:b/>
          <w:sz w:val="22"/>
          <w:szCs w:val="22"/>
          <w:lang w:val="pl-PL"/>
        </w:rPr>
        <w:t>7.</w:t>
      </w:r>
      <w:r w:rsidRPr="009353E6">
        <w:rPr>
          <w:b/>
          <w:sz w:val="22"/>
          <w:szCs w:val="22"/>
          <w:lang w:val="pl-PL"/>
        </w:rPr>
        <w:tab/>
        <w:t>PODMIOT ODPOWIEDZIALNY POSIADAJĄCY POZWOLENIE NA DOPUSZCZENIE DO OBROTU</w:t>
      </w:r>
    </w:p>
    <w:p w:rsidR="00204221" w:rsidRPr="009353E6" w:rsidRDefault="00204221" w:rsidP="000D5BED">
      <w:pPr>
        <w:pStyle w:val="BodyText"/>
        <w:spacing w:line="240" w:lineRule="auto"/>
        <w:jc w:val="left"/>
        <w:rPr>
          <w:b/>
          <w:sz w:val="22"/>
          <w:szCs w:val="22"/>
          <w:lang w:val="pl-PL"/>
        </w:rPr>
      </w:pPr>
    </w:p>
    <w:p w:rsidR="00204221" w:rsidRPr="009353E6" w:rsidRDefault="00204221" w:rsidP="000D5BED">
      <w:pPr>
        <w:pStyle w:val="BodyText"/>
        <w:spacing w:line="240" w:lineRule="auto"/>
        <w:jc w:val="left"/>
        <w:rPr>
          <w:sz w:val="22"/>
          <w:szCs w:val="22"/>
          <w:lang w:val="pl-PL"/>
        </w:rPr>
      </w:pPr>
      <w:r w:rsidRPr="009353E6">
        <w:rPr>
          <w:sz w:val="22"/>
          <w:szCs w:val="22"/>
          <w:lang w:val="pl-PL"/>
        </w:rPr>
        <w:t>Boehringer Ingelheim International GmbH</w:t>
      </w:r>
    </w:p>
    <w:p w:rsidR="00204221" w:rsidRPr="009353E6" w:rsidRDefault="00204221" w:rsidP="000D5BED">
      <w:pPr>
        <w:pStyle w:val="BodyText"/>
        <w:spacing w:line="240" w:lineRule="auto"/>
        <w:jc w:val="left"/>
        <w:rPr>
          <w:sz w:val="22"/>
          <w:szCs w:val="22"/>
          <w:lang w:val="pl-PL"/>
        </w:rPr>
      </w:pPr>
      <w:r w:rsidRPr="009353E6">
        <w:rPr>
          <w:sz w:val="22"/>
          <w:szCs w:val="22"/>
          <w:lang w:val="pl-PL"/>
        </w:rPr>
        <w:t>Binger Str. 173</w:t>
      </w:r>
    </w:p>
    <w:p w:rsidR="00204221" w:rsidRPr="009353E6" w:rsidRDefault="00204221" w:rsidP="000D5BED">
      <w:pPr>
        <w:pStyle w:val="BodyText"/>
        <w:spacing w:line="240" w:lineRule="auto"/>
        <w:jc w:val="left"/>
        <w:rPr>
          <w:sz w:val="22"/>
          <w:szCs w:val="22"/>
          <w:lang w:val="pl-PL"/>
        </w:rPr>
      </w:pPr>
      <w:r w:rsidRPr="009353E6">
        <w:rPr>
          <w:sz w:val="22"/>
          <w:szCs w:val="22"/>
          <w:lang w:val="pl-PL"/>
        </w:rPr>
        <w:t>D-55216 Ingelheim am Rhein</w:t>
      </w:r>
    </w:p>
    <w:p w:rsidR="00204221" w:rsidRPr="009353E6" w:rsidRDefault="00204221" w:rsidP="000D5BED">
      <w:pPr>
        <w:pStyle w:val="BodyText"/>
        <w:spacing w:line="240" w:lineRule="auto"/>
        <w:jc w:val="left"/>
        <w:rPr>
          <w:sz w:val="22"/>
          <w:szCs w:val="22"/>
          <w:lang w:val="pl-PL"/>
        </w:rPr>
      </w:pPr>
      <w:r w:rsidRPr="009353E6">
        <w:rPr>
          <w:sz w:val="22"/>
          <w:szCs w:val="22"/>
          <w:lang w:val="pl-PL"/>
        </w:rPr>
        <w:t>Niemcy</w:t>
      </w:r>
    </w:p>
    <w:p w:rsidR="00204221" w:rsidRPr="009353E6" w:rsidRDefault="00204221" w:rsidP="000D5BED">
      <w:pPr>
        <w:pStyle w:val="BodyText"/>
        <w:spacing w:line="240" w:lineRule="auto"/>
        <w:jc w:val="left"/>
        <w:rPr>
          <w:sz w:val="22"/>
          <w:szCs w:val="22"/>
          <w:lang w:val="pl-PL"/>
        </w:rPr>
      </w:pPr>
    </w:p>
    <w:p w:rsidR="00204221" w:rsidRPr="009353E6" w:rsidRDefault="00204221" w:rsidP="000D5BED">
      <w:pPr>
        <w:pStyle w:val="BodyText"/>
        <w:spacing w:line="240" w:lineRule="auto"/>
        <w:jc w:val="left"/>
        <w:rPr>
          <w:sz w:val="22"/>
          <w:szCs w:val="22"/>
          <w:lang w:val="pl-PL"/>
        </w:rPr>
      </w:pPr>
    </w:p>
    <w:p w:rsidR="00204221" w:rsidRPr="009353E6" w:rsidRDefault="00204221" w:rsidP="00586E5C">
      <w:pPr>
        <w:pStyle w:val="BodyText"/>
        <w:tabs>
          <w:tab w:val="left" w:pos="540"/>
        </w:tabs>
        <w:spacing w:line="240" w:lineRule="auto"/>
        <w:jc w:val="left"/>
        <w:rPr>
          <w:b/>
          <w:sz w:val="22"/>
          <w:szCs w:val="22"/>
          <w:lang w:val="pl-PL"/>
        </w:rPr>
      </w:pPr>
      <w:r w:rsidRPr="009353E6">
        <w:rPr>
          <w:b/>
          <w:sz w:val="22"/>
          <w:szCs w:val="22"/>
          <w:lang w:val="pl-PL"/>
        </w:rPr>
        <w:t xml:space="preserve">8. </w:t>
      </w:r>
      <w:r w:rsidRPr="009353E6">
        <w:rPr>
          <w:b/>
          <w:sz w:val="22"/>
          <w:szCs w:val="22"/>
          <w:lang w:val="pl-PL"/>
        </w:rPr>
        <w:tab/>
        <w:t>NUMER POZWOLENIA NA DOPUSZCZENIE DO OBROTU</w:t>
      </w:r>
    </w:p>
    <w:p w:rsidR="001F3074" w:rsidRPr="009353E6" w:rsidRDefault="001F3074" w:rsidP="000D5BED">
      <w:pPr>
        <w:pStyle w:val="BodyText"/>
        <w:spacing w:line="240" w:lineRule="auto"/>
        <w:jc w:val="left"/>
        <w:rPr>
          <w:sz w:val="22"/>
          <w:szCs w:val="22"/>
          <w:lang w:val="pl-PL"/>
        </w:rPr>
      </w:pPr>
    </w:p>
    <w:p w:rsidR="00835108" w:rsidRPr="009353E6" w:rsidRDefault="00835108" w:rsidP="000D5BED">
      <w:pPr>
        <w:pStyle w:val="BodyText"/>
        <w:spacing w:line="240" w:lineRule="auto"/>
        <w:jc w:val="left"/>
        <w:rPr>
          <w:sz w:val="22"/>
          <w:szCs w:val="22"/>
          <w:lang w:val="pl-PL"/>
        </w:rPr>
      </w:pPr>
      <w:r w:rsidRPr="009353E6">
        <w:rPr>
          <w:sz w:val="22"/>
          <w:szCs w:val="22"/>
          <w:lang w:val="pl-PL"/>
        </w:rPr>
        <w:t>EU/1/02/213/017-023</w:t>
      </w:r>
    </w:p>
    <w:p w:rsidR="001F3074" w:rsidRPr="009353E6" w:rsidRDefault="001F3074" w:rsidP="000D5BED">
      <w:pPr>
        <w:pStyle w:val="BodyText"/>
        <w:spacing w:line="240" w:lineRule="auto"/>
        <w:jc w:val="left"/>
        <w:rPr>
          <w:sz w:val="22"/>
          <w:szCs w:val="22"/>
          <w:lang w:val="pl-PL"/>
        </w:rPr>
      </w:pPr>
    </w:p>
    <w:p w:rsidR="000A17A5" w:rsidRPr="009353E6" w:rsidRDefault="000A17A5" w:rsidP="000D5BED">
      <w:pPr>
        <w:pStyle w:val="BodyText"/>
        <w:spacing w:line="240" w:lineRule="auto"/>
        <w:jc w:val="left"/>
        <w:rPr>
          <w:sz w:val="22"/>
          <w:szCs w:val="22"/>
          <w:lang w:val="pl-PL"/>
        </w:rPr>
      </w:pPr>
    </w:p>
    <w:p w:rsidR="00204221" w:rsidRPr="009353E6" w:rsidRDefault="00204221" w:rsidP="005E3A9A">
      <w:pPr>
        <w:pStyle w:val="BodyText"/>
        <w:keepNext/>
        <w:spacing w:line="240" w:lineRule="auto"/>
        <w:ind w:left="540" w:hanging="540"/>
        <w:jc w:val="left"/>
        <w:rPr>
          <w:b/>
          <w:sz w:val="22"/>
          <w:szCs w:val="22"/>
          <w:lang w:val="pl-PL"/>
        </w:rPr>
      </w:pPr>
      <w:r w:rsidRPr="009353E6">
        <w:rPr>
          <w:b/>
          <w:sz w:val="22"/>
          <w:szCs w:val="22"/>
          <w:lang w:val="pl-PL"/>
        </w:rPr>
        <w:t>9.</w:t>
      </w:r>
      <w:r w:rsidRPr="009353E6">
        <w:rPr>
          <w:b/>
          <w:sz w:val="22"/>
          <w:szCs w:val="22"/>
          <w:lang w:val="pl-PL"/>
        </w:rPr>
        <w:tab/>
      </w:r>
      <w:smartTag w:uri="urn:schemas-microsoft-com:office:smarttags" w:element="stockticker">
        <w:r w:rsidRPr="009353E6">
          <w:rPr>
            <w:b/>
            <w:sz w:val="22"/>
            <w:szCs w:val="22"/>
            <w:lang w:val="pl-PL"/>
          </w:rPr>
          <w:t>DATA</w:t>
        </w:r>
      </w:smartTag>
      <w:r w:rsidRPr="009353E6">
        <w:rPr>
          <w:b/>
          <w:sz w:val="22"/>
          <w:szCs w:val="22"/>
          <w:lang w:val="pl-PL"/>
        </w:rPr>
        <w:t xml:space="preserve"> WYDANIA PIERWSZEGO POZWOLENIA NA DOPUSZCZENIE DO OBROTU</w:t>
      </w:r>
      <w:r w:rsidR="005612DD" w:rsidRPr="009353E6">
        <w:rPr>
          <w:b/>
          <w:sz w:val="22"/>
          <w:szCs w:val="22"/>
          <w:lang w:val="pl-PL"/>
        </w:rPr>
        <w:t xml:space="preserve"> </w:t>
      </w:r>
      <w:r w:rsidR="006228D6" w:rsidRPr="009353E6">
        <w:rPr>
          <w:b/>
          <w:sz w:val="22"/>
          <w:szCs w:val="22"/>
          <w:lang w:val="pl-PL"/>
        </w:rPr>
        <w:t>I</w:t>
      </w:r>
      <w:r w:rsidR="005612DD" w:rsidRPr="009353E6">
        <w:rPr>
          <w:b/>
          <w:sz w:val="22"/>
          <w:szCs w:val="22"/>
          <w:lang w:val="pl-PL"/>
        </w:rPr>
        <w:t xml:space="preserve"> </w:t>
      </w:r>
      <w:smartTag w:uri="urn:schemas-microsoft-com:office:smarttags" w:element="stockticker">
        <w:r w:rsidRPr="009353E6">
          <w:rPr>
            <w:b/>
            <w:sz w:val="22"/>
            <w:szCs w:val="22"/>
            <w:lang w:val="pl-PL"/>
          </w:rPr>
          <w:t>DATA</w:t>
        </w:r>
      </w:smartTag>
      <w:r w:rsidRPr="009353E6">
        <w:rPr>
          <w:b/>
          <w:sz w:val="22"/>
          <w:szCs w:val="22"/>
          <w:lang w:val="pl-PL"/>
        </w:rPr>
        <w:t xml:space="preserve"> PRZEDŁUŻENIA POZWOLENIA</w:t>
      </w:r>
    </w:p>
    <w:p w:rsidR="00204221" w:rsidRPr="009353E6" w:rsidRDefault="00204221" w:rsidP="005E3A9A">
      <w:pPr>
        <w:pStyle w:val="BodyText"/>
        <w:keepNext/>
        <w:spacing w:line="240" w:lineRule="auto"/>
        <w:jc w:val="left"/>
        <w:rPr>
          <w:sz w:val="22"/>
          <w:szCs w:val="22"/>
          <w:lang w:val="pl-PL"/>
        </w:rPr>
      </w:pPr>
    </w:p>
    <w:p w:rsidR="00835108" w:rsidRPr="009353E6" w:rsidRDefault="000A17A5" w:rsidP="000D5BED">
      <w:pPr>
        <w:pStyle w:val="BodyText"/>
        <w:spacing w:line="240" w:lineRule="auto"/>
        <w:jc w:val="left"/>
        <w:rPr>
          <w:sz w:val="22"/>
          <w:szCs w:val="22"/>
          <w:lang w:val="pl-PL"/>
        </w:rPr>
      </w:pPr>
      <w:r w:rsidRPr="009353E6">
        <w:rPr>
          <w:sz w:val="22"/>
          <w:szCs w:val="22"/>
          <w:lang w:val="pl-PL"/>
        </w:rPr>
        <w:t xml:space="preserve">Data wydania pierwszego pozwolenia na dopuszczenie do obrotu: </w:t>
      </w:r>
      <w:r w:rsidR="00835108" w:rsidRPr="009353E6">
        <w:rPr>
          <w:sz w:val="22"/>
          <w:szCs w:val="22"/>
          <w:lang w:val="pl-PL"/>
        </w:rPr>
        <w:t>19 kwietnia 2002</w:t>
      </w:r>
    </w:p>
    <w:p w:rsidR="00835108" w:rsidRPr="009353E6" w:rsidRDefault="000A17A5" w:rsidP="000D5BED">
      <w:pPr>
        <w:pStyle w:val="BodyText"/>
        <w:spacing w:line="240" w:lineRule="auto"/>
        <w:jc w:val="left"/>
        <w:rPr>
          <w:sz w:val="22"/>
          <w:szCs w:val="22"/>
          <w:lang w:val="pl-PL"/>
        </w:rPr>
      </w:pPr>
      <w:r w:rsidRPr="009353E6">
        <w:rPr>
          <w:sz w:val="22"/>
          <w:szCs w:val="22"/>
          <w:lang w:val="pl-PL"/>
        </w:rPr>
        <w:t>Data ostatniego przedłużenia pozwolenia</w:t>
      </w:r>
      <w:r w:rsidR="00835108" w:rsidRPr="009353E6">
        <w:rPr>
          <w:sz w:val="22"/>
          <w:szCs w:val="22"/>
          <w:lang w:val="pl-PL"/>
        </w:rPr>
        <w:t xml:space="preserve">: </w:t>
      </w:r>
      <w:r w:rsidR="00F52B74" w:rsidRPr="009353E6">
        <w:rPr>
          <w:sz w:val="22"/>
          <w:szCs w:val="22"/>
          <w:lang w:val="pl-PL"/>
        </w:rPr>
        <w:t>23</w:t>
      </w:r>
      <w:r w:rsidR="00835108" w:rsidRPr="009353E6">
        <w:rPr>
          <w:sz w:val="22"/>
          <w:szCs w:val="22"/>
          <w:lang w:val="pl-PL"/>
        </w:rPr>
        <w:t xml:space="preserve"> kwietnia 2007</w:t>
      </w:r>
    </w:p>
    <w:p w:rsidR="00835108" w:rsidRPr="009353E6" w:rsidRDefault="00835108" w:rsidP="000D5BED">
      <w:pPr>
        <w:pStyle w:val="BodyText"/>
        <w:spacing w:line="240" w:lineRule="auto"/>
        <w:jc w:val="left"/>
        <w:rPr>
          <w:sz w:val="22"/>
          <w:szCs w:val="22"/>
          <w:lang w:val="pl-PL"/>
        </w:rPr>
      </w:pPr>
    </w:p>
    <w:p w:rsidR="001F3074" w:rsidRPr="009353E6" w:rsidRDefault="001F3074" w:rsidP="000D5BED">
      <w:pPr>
        <w:pStyle w:val="BodyText"/>
        <w:spacing w:line="240" w:lineRule="auto"/>
        <w:jc w:val="left"/>
        <w:rPr>
          <w:b/>
          <w:sz w:val="22"/>
          <w:szCs w:val="22"/>
          <w:lang w:val="pl-PL"/>
        </w:rPr>
      </w:pPr>
    </w:p>
    <w:p w:rsidR="00204221" w:rsidRPr="009353E6" w:rsidRDefault="00204221" w:rsidP="00294562">
      <w:pPr>
        <w:pStyle w:val="BodyText"/>
        <w:keepNext/>
        <w:keepLines/>
        <w:spacing w:line="240" w:lineRule="auto"/>
        <w:ind w:left="540" w:hanging="540"/>
        <w:jc w:val="left"/>
        <w:rPr>
          <w:b/>
          <w:sz w:val="22"/>
          <w:szCs w:val="22"/>
          <w:lang w:val="pl-PL"/>
        </w:rPr>
      </w:pPr>
      <w:r w:rsidRPr="009353E6">
        <w:rPr>
          <w:b/>
          <w:sz w:val="22"/>
          <w:szCs w:val="22"/>
          <w:lang w:val="pl-PL"/>
        </w:rPr>
        <w:t>10.</w:t>
      </w:r>
      <w:r w:rsidRPr="009353E6">
        <w:rPr>
          <w:b/>
          <w:sz w:val="22"/>
          <w:szCs w:val="22"/>
          <w:lang w:val="pl-PL"/>
        </w:rPr>
        <w:tab/>
      </w:r>
      <w:smartTag w:uri="urn:schemas-microsoft-com:office:smarttags" w:element="stockticker">
        <w:r w:rsidRPr="009353E6">
          <w:rPr>
            <w:b/>
            <w:sz w:val="22"/>
            <w:szCs w:val="22"/>
            <w:lang w:val="pl-PL"/>
          </w:rPr>
          <w:t>DATA</w:t>
        </w:r>
      </w:smartTag>
      <w:r w:rsidRPr="009353E6">
        <w:rPr>
          <w:b/>
          <w:sz w:val="22"/>
          <w:szCs w:val="22"/>
          <w:lang w:val="pl-PL"/>
        </w:rPr>
        <w:t xml:space="preserve"> ZATWIERDZENIA </w:t>
      </w:r>
      <w:smartTag w:uri="urn:schemas-microsoft-com:office:smarttags" w:element="stockticker">
        <w:r w:rsidRPr="009353E6">
          <w:rPr>
            <w:b/>
            <w:sz w:val="22"/>
            <w:szCs w:val="22"/>
            <w:lang w:val="pl-PL"/>
          </w:rPr>
          <w:t>LUB</w:t>
        </w:r>
      </w:smartTag>
      <w:r w:rsidRPr="009353E6">
        <w:rPr>
          <w:b/>
          <w:sz w:val="22"/>
          <w:szCs w:val="22"/>
          <w:lang w:val="pl-PL"/>
        </w:rPr>
        <w:t xml:space="preserve"> CZĘŚCIOWEJ ZMIANY TEKSTU CHARAKTERYSTYKI PRODUKTU LECZNICZEGO</w:t>
      </w:r>
    </w:p>
    <w:p w:rsidR="00204221" w:rsidRPr="009353E6" w:rsidRDefault="00204221" w:rsidP="00294562">
      <w:pPr>
        <w:pStyle w:val="BodyText"/>
        <w:keepNext/>
        <w:keepLines/>
        <w:spacing w:line="240" w:lineRule="auto"/>
        <w:jc w:val="left"/>
        <w:rPr>
          <w:sz w:val="22"/>
          <w:szCs w:val="22"/>
          <w:lang w:val="pl-PL"/>
        </w:rPr>
      </w:pPr>
    </w:p>
    <w:p w:rsidR="00E2307A" w:rsidRPr="009353E6" w:rsidRDefault="006228D6" w:rsidP="00294562">
      <w:pPr>
        <w:pStyle w:val="BodyText"/>
        <w:keepNext/>
        <w:keepLines/>
        <w:spacing w:line="240" w:lineRule="auto"/>
        <w:jc w:val="left"/>
        <w:rPr>
          <w:sz w:val="22"/>
          <w:szCs w:val="22"/>
          <w:lang w:val="pl-PL"/>
        </w:rPr>
      </w:pPr>
      <w:r w:rsidRPr="009353E6">
        <w:rPr>
          <w:sz w:val="22"/>
          <w:szCs w:val="22"/>
          <w:lang w:val="pl-PL"/>
        </w:rPr>
        <w:t>Szczegółowe informacje o tym produkcie leczniczym są dostępne</w:t>
      </w:r>
      <w:r w:rsidR="00204221" w:rsidRPr="009353E6">
        <w:rPr>
          <w:sz w:val="22"/>
          <w:szCs w:val="22"/>
          <w:lang w:val="pl-PL"/>
        </w:rPr>
        <w:t xml:space="preserve"> na stronie internetowej Europejskiej Agencji </w:t>
      </w:r>
      <w:r w:rsidR="003475EA" w:rsidRPr="009353E6">
        <w:rPr>
          <w:sz w:val="22"/>
          <w:szCs w:val="22"/>
          <w:lang w:val="pl-PL"/>
        </w:rPr>
        <w:t>Leków</w:t>
      </w:r>
      <w:r w:rsidR="00204221" w:rsidRPr="009353E6">
        <w:rPr>
          <w:sz w:val="22"/>
          <w:szCs w:val="22"/>
          <w:lang w:val="pl-PL"/>
        </w:rPr>
        <w:t xml:space="preserve"> </w:t>
      </w:r>
      <w:hyperlink r:id="rId14" w:history="1">
        <w:r w:rsidR="00BC39DD" w:rsidRPr="009353E6">
          <w:rPr>
            <w:rStyle w:val="Hyperlink"/>
            <w:noProof/>
            <w:lang w:val="pl-PL"/>
          </w:rPr>
          <w:t>http://www.ema.europa.eu</w:t>
        </w:r>
      </w:hyperlink>
      <w:r w:rsidR="00B70ED8" w:rsidRPr="009353E6">
        <w:rPr>
          <w:sz w:val="22"/>
          <w:szCs w:val="22"/>
          <w:lang w:val="pl-PL"/>
        </w:rPr>
        <w:t>.</w:t>
      </w:r>
    </w:p>
    <w:p w:rsidR="00055E20" w:rsidRPr="009353E6" w:rsidRDefault="00F93D6A" w:rsidP="00E2307A">
      <w:pPr>
        <w:pStyle w:val="BodyText"/>
        <w:keepNext/>
        <w:keepLines/>
        <w:spacing w:line="240" w:lineRule="auto"/>
        <w:jc w:val="center"/>
        <w:rPr>
          <w:sz w:val="22"/>
          <w:szCs w:val="22"/>
          <w:lang w:val="pl-PL"/>
        </w:rPr>
      </w:pPr>
      <w:r w:rsidRPr="009353E6">
        <w:rPr>
          <w:sz w:val="22"/>
          <w:szCs w:val="22"/>
          <w:lang w:val="pl-PL"/>
        </w:rPr>
        <w:br w:type="page"/>
      </w:r>
    </w:p>
    <w:p w:rsidR="00055E20" w:rsidRPr="009353E6" w:rsidRDefault="00055E20" w:rsidP="00055E20">
      <w:pPr>
        <w:tabs>
          <w:tab w:val="left" w:pos="567"/>
        </w:tabs>
        <w:jc w:val="center"/>
        <w:rPr>
          <w:sz w:val="22"/>
          <w:szCs w:val="22"/>
          <w:lang w:val="pl-PL"/>
        </w:rPr>
      </w:pPr>
    </w:p>
    <w:p w:rsidR="00055E20" w:rsidRPr="009353E6" w:rsidRDefault="00055E20" w:rsidP="00055E20">
      <w:pPr>
        <w:tabs>
          <w:tab w:val="left" w:pos="567"/>
        </w:tabs>
        <w:jc w:val="center"/>
        <w:rPr>
          <w:sz w:val="22"/>
          <w:szCs w:val="22"/>
          <w:lang w:val="pl-PL"/>
        </w:rPr>
      </w:pPr>
    </w:p>
    <w:p w:rsidR="00055E20" w:rsidRPr="009353E6" w:rsidRDefault="00055E20" w:rsidP="00055E20">
      <w:pPr>
        <w:tabs>
          <w:tab w:val="left" w:pos="567"/>
        </w:tabs>
        <w:jc w:val="center"/>
        <w:rPr>
          <w:sz w:val="22"/>
          <w:szCs w:val="22"/>
          <w:lang w:val="pl-PL"/>
        </w:rPr>
      </w:pPr>
    </w:p>
    <w:p w:rsidR="00055E20" w:rsidRPr="009353E6" w:rsidRDefault="00055E20" w:rsidP="00055E20">
      <w:pPr>
        <w:tabs>
          <w:tab w:val="left" w:pos="567"/>
        </w:tabs>
        <w:jc w:val="center"/>
        <w:rPr>
          <w:sz w:val="22"/>
          <w:szCs w:val="22"/>
          <w:lang w:val="pl-PL"/>
        </w:rPr>
      </w:pPr>
    </w:p>
    <w:p w:rsidR="00055E20" w:rsidRPr="009353E6" w:rsidRDefault="00055E20"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F93D6A" w:rsidRPr="009353E6" w:rsidRDefault="00F93D6A" w:rsidP="00055E20">
      <w:pPr>
        <w:tabs>
          <w:tab w:val="left" w:pos="567"/>
        </w:tabs>
        <w:jc w:val="center"/>
        <w:rPr>
          <w:sz w:val="22"/>
          <w:szCs w:val="22"/>
          <w:lang w:val="pl-PL"/>
        </w:rPr>
      </w:pPr>
    </w:p>
    <w:p w:rsidR="001A358A" w:rsidRPr="009353E6" w:rsidRDefault="001A358A" w:rsidP="00055E20">
      <w:pPr>
        <w:tabs>
          <w:tab w:val="left" w:pos="567"/>
        </w:tabs>
        <w:jc w:val="center"/>
        <w:rPr>
          <w:sz w:val="22"/>
          <w:szCs w:val="22"/>
          <w:lang w:val="pl-PL"/>
        </w:rPr>
      </w:pPr>
    </w:p>
    <w:p w:rsidR="002D3E1A" w:rsidRPr="009353E6" w:rsidRDefault="002D3E1A" w:rsidP="00055E20">
      <w:pPr>
        <w:tabs>
          <w:tab w:val="left" w:pos="567"/>
        </w:tabs>
        <w:jc w:val="center"/>
        <w:rPr>
          <w:sz w:val="22"/>
          <w:szCs w:val="22"/>
          <w:lang w:val="pl-PL"/>
        </w:rPr>
      </w:pPr>
      <w:r w:rsidRPr="009353E6">
        <w:rPr>
          <w:b/>
          <w:sz w:val="22"/>
          <w:szCs w:val="22"/>
          <w:lang w:val="pl-PL"/>
        </w:rPr>
        <w:t>ANEKS</w:t>
      </w:r>
      <w:r w:rsidR="00A02686" w:rsidRPr="009353E6">
        <w:rPr>
          <w:b/>
          <w:sz w:val="22"/>
          <w:szCs w:val="22"/>
          <w:lang w:val="pl-PL"/>
        </w:rPr>
        <w:t> </w:t>
      </w:r>
      <w:r w:rsidRPr="009353E6">
        <w:rPr>
          <w:b/>
          <w:sz w:val="22"/>
          <w:szCs w:val="22"/>
          <w:lang w:val="pl-PL"/>
        </w:rPr>
        <w:t>II</w:t>
      </w:r>
    </w:p>
    <w:p w:rsidR="002D3E1A" w:rsidRPr="009353E6" w:rsidRDefault="002D3E1A">
      <w:pPr>
        <w:jc w:val="center"/>
        <w:rPr>
          <w:b/>
          <w:sz w:val="22"/>
          <w:szCs w:val="22"/>
          <w:lang w:val="pl-PL"/>
        </w:rPr>
      </w:pPr>
    </w:p>
    <w:p w:rsidR="002D3E1A" w:rsidRPr="009353E6" w:rsidRDefault="002D3E1A" w:rsidP="002D507E">
      <w:pPr>
        <w:numPr>
          <w:ilvl w:val="0"/>
          <w:numId w:val="7"/>
        </w:numPr>
        <w:tabs>
          <w:tab w:val="left" w:pos="567"/>
        </w:tabs>
        <w:spacing w:line="260" w:lineRule="exact"/>
        <w:ind w:left="1701" w:right="1416" w:hanging="567"/>
        <w:rPr>
          <w:b/>
          <w:sz w:val="22"/>
          <w:szCs w:val="22"/>
          <w:lang w:val="pl-PL"/>
        </w:rPr>
      </w:pPr>
      <w:r w:rsidRPr="009353E6">
        <w:rPr>
          <w:b/>
          <w:sz w:val="22"/>
          <w:szCs w:val="22"/>
          <w:lang w:val="pl-PL"/>
        </w:rPr>
        <w:t>WYTWÓRC</w:t>
      </w:r>
      <w:r w:rsidR="00FE3410" w:rsidRPr="009353E6">
        <w:rPr>
          <w:b/>
          <w:sz w:val="22"/>
          <w:szCs w:val="22"/>
          <w:lang w:val="pl-PL"/>
        </w:rPr>
        <w:t>Y</w:t>
      </w:r>
      <w:r w:rsidRPr="009353E6">
        <w:rPr>
          <w:b/>
          <w:sz w:val="22"/>
          <w:szCs w:val="22"/>
          <w:lang w:val="pl-PL"/>
        </w:rPr>
        <w:t xml:space="preserve"> ODPOWIEDZIALN</w:t>
      </w:r>
      <w:r w:rsidR="00FE3410" w:rsidRPr="009353E6">
        <w:rPr>
          <w:b/>
          <w:sz w:val="22"/>
          <w:szCs w:val="22"/>
          <w:lang w:val="pl-PL"/>
        </w:rPr>
        <w:t>I</w:t>
      </w:r>
      <w:r w:rsidRPr="009353E6">
        <w:rPr>
          <w:b/>
          <w:sz w:val="22"/>
          <w:szCs w:val="22"/>
          <w:lang w:val="pl-PL"/>
        </w:rPr>
        <w:t xml:space="preserve"> ZA ZWOLNIENIE SERII</w:t>
      </w:r>
    </w:p>
    <w:p w:rsidR="002D3E1A" w:rsidRPr="009353E6" w:rsidRDefault="002D3E1A">
      <w:pPr>
        <w:numPr>
          <w:ilvl w:val="12"/>
          <w:numId w:val="0"/>
        </w:numPr>
        <w:ind w:left="1701" w:right="1416" w:hanging="567"/>
        <w:rPr>
          <w:b/>
          <w:sz w:val="22"/>
          <w:szCs w:val="22"/>
          <w:lang w:val="pl-PL"/>
        </w:rPr>
      </w:pPr>
    </w:p>
    <w:p w:rsidR="000A17A5" w:rsidRPr="009353E6" w:rsidRDefault="000A17A5" w:rsidP="000A17A5">
      <w:pPr>
        <w:numPr>
          <w:ilvl w:val="0"/>
          <w:numId w:val="7"/>
        </w:numPr>
        <w:tabs>
          <w:tab w:val="left" w:pos="567"/>
        </w:tabs>
        <w:spacing w:line="260" w:lineRule="exact"/>
        <w:ind w:left="1701" w:right="1416" w:hanging="567"/>
        <w:rPr>
          <w:b/>
          <w:sz w:val="22"/>
          <w:szCs w:val="22"/>
          <w:lang w:val="pl-PL"/>
        </w:rPr>
      </w:pPr>
      <w:r w:rsidRPr="009353E6">
        <w:rPr>
          <w:b/>
          <w:sz w:val="22"/>
          <w:szCs w:val="22"/>
          <w:lang w:val="pl-PL"/>
        </w:rPr>
        <w:t>WARUNKI LUB OGRANICZENIA DOTYCZĄCE ZAOPATRZENIA I STOSOWANIA</w:t>
      </w:r>
    </w:p>
    <w:p w:rsidR="000A17A5" w:rsidRPr="009353E6" w:rsidRDefault="000A17A5" w:rsidP="000A17A5">
      <w:pPr>
        <w:pStyle w:val="ListParagraph1"/>
        <w:rPr>
          <w:b/>
          <w:sz w:val="22"/>
          <w:szCs w:val="22"/>
          <w:lang w:val="pl-PL"/>
        </w:rPr>
      </w:pPr>
    </w:p>
    <w:p w:rsidR="000A17A5" w:rsidRPr="009353E6" w:rsidRDefault="000A17A5" w:rsidP="000A17A5">
      <w:pPr>
        <w:numPr>
          <w:ilvl w:val="0"/>
          <w:numId w:val="7"/>
        </w:numPr>
        <w:tabs>
          <w:tab w:val="left" w:pos="567"/>
        </w:tabs>
        <w:spacing w:line="260" w:lineRule="exact"/>
        <w:ind w:left="1701" w:right="1416" w:hanging="567"/>
        <w:rPr>
          <w:b/>
          <w:sz w:val="22"/>
          <w:szCs w:val="22"/>
          <w:lang w:val="pl-PL"/>
        </w:rPr>
      </w:pPr>
      <w:r w:rsidRPr="009353E6">
        <w:rPr>
          <w:b/>
          <w:sz w:val="22"/>
          <w:szCs w:val="22"/>
          <w:lang w:val="pl-PL"/>
        </w:rPr>
        <w:t>INNE WARUNKI I WYM</w:t>
      </w:r>
      <w:smartTag w:uri="urn:schemas-microsoft-com:office:smarttags" w:element="PersonName">
        <w:r w:rsidRPr="009353E6">
          <w:rPr>
            <w:b/>
            <w:sz w:val="22"/>
            <w:szCs w:val="22"/>
            <w:lang w:val="pl-PL"/>
          </w:rPr>
          <w:t>AGA</w:t>
        </w:r>
      </w:smartTag>
      <w:r w:rsidRPr="009353E6">
        <w:rPr>
          <w:b/>
          <w:sz w:val="22"/>
          <w:szCs w:val="22"/>
          <w:lang w:val="pl-PL"/>
        </w:rPr>
        <w:t xml:space="preserve">NIA DOTYCZĄCE DOPUSZCZENIA DO OBROTU </w:t>
      </w:r>
    </w:p>
    <w:p w:rsidR="002D3E1A" w:rsidRPr="009353E6" w:rsidRDefault="002D3E1A">
      <w:pPr>
        <w:jc w:val="center"/>
        <w:rPr>
          <w:b/>
          <w:sz w:val="22"/>
          <w:szCs w:val="22"/>
          <w:lang w:val="pl-PL"/>
        </w:rPr>
      </w:pPr>
    </w:p>
    <w:p w:rsidR="00A951A7" w:rsidRPr="009353E6" w:rsidRDefault="00A951A7" w:rsidP="00A951A7">
      <w:pPr>
        <w:numPr>
          <w:ilvl w:val="0"/>
          <w:numId w:val="7"/>
        </w:numPr>
        <w:tabs>
          <w:tab w:val="left" w:pos="567"/>
        </w:tabs>
        <w:spacing w:line="260" w:lineRule="exact"/>
        <w:ind w:left="1701" w:right="1416" w:hanging="567"/>
        <w:rPr>
          <w:b/>
          <w:sz w:val="22"/>
          <w:szCs w:val="22"/>
          <w:lang w:val="pl-PL"/>
        </w:rPr>
      </w:pPr>
      <w:r w:rsidRPr="009353E6">
        <w:rPr>
          <w:b/>
          <w:sz w:val="22"/>
          <w:szCs w:val="22"/>
          <w:lang w:val="pl-PL"/>
        </w:rPr>
        <w:t>WARUNKI LUB OGRANICZENIA DOTYCZĄCE BEZPIECZNEGO I SKUTECZNEGO STOSOWANIA PRODUKTU LECZNICZEGO</w:t>
      </w:r>
    </w:p>
    <w:p w:rsidR="00A951A7" w:rsidRPr="009353E6" w:rsidRDefault="00A951A7">
      <w:pPr>
        <w:jc w:val="center"/>
        <w:rPr>
          <w:b/>
          <w:sz w:val="22"/>
          <w:szCs w:val="22"/>
          <w:lang w:val="pl-PL"/>
        </w:rPr>
      </w:pPr>
    </w:p>
    <w:p w:rsidR="002D3E1A" w:rsidRPr="009353E6" w:rsidRDefault="00055E20" w:rsidP="00BF0C4F">
      <w:pPr>
        <w:pStyle w:val="QRD2"/>
      </w:pPr>
      <w:r w:rsidRPr="009353E6">
        <w:br w:type="page"/>
      </w:r>
      <w:r w:rsidR="002D3E1A" w:rsidRPr="009353E6">
        <w:t>A</w:t>
      </w:r>
      <w:r w:rsidR="00BF0C4F" w:rsidRPr="009353E6">
        <w:t>.</w:t>
      </w:r>
      <w:r w:rsidR="002D3E1A" w:rsidRPr="009353E6">
        <w:tab/>
        <w:t>WYTWÓRC</w:t>
      </w:r>
      <w:r w:rsidR="00FE3410" w:rsidRPr="009353E6">
        <w:t>Y</w:t>
      </w:r>
      <w:r w:rsidR="002D3E1A" w:rsidRPr="009353E6">
        <w:t xml:space="preserve"> ODPOWIEDZIALN</w:t>
      </w:r>
      <w:r w:rsidR="00FE3410" w:rsidRPr="009353E6">
        <w:t>I</w:t>
      </w:r>
      <w:r w:rsidR="002D3E1A" w:rsidRPr="009353E6">
        <w:t xml:space="preserve"> ZA ZWOLNIENIE SERII </w:t>
      </w:r>
    </w:p>
    <w:p w:rsidR="002D3E1A" w:rsidRPr="009353E6" w:rsidRDefault="002D3E1A">
      <w:pPr>
        <w:numPr>
          <w:ilvl w:val="12"/>
          <w:numId w:val="0"/>
        </w:numPr>
        <w:ind w:right="1416"/>
        <w:rPr>
          <w:sz w:val="22"/>
          <w:szCs w:val="22"/>
          <w:lang w:val="pl-PL"/>
        </w:rPr>
      </w:pPr>
    </w:p>
    <w:p w:rsidR="002D3E1A" w:rsidRPr="009353E6" w:rsidRDefault="002D3E1A" w:rsidP="00F831F6">
      <w:pPr>
        <w:pStyle w:val="BodyText"/>
        <w:spacing w:line="240" w:lineRule="auto"/>
        <w:rPr>
          <w:sz w:val="22"/>
          <w:szCs w:val="22"/>
          <w:u w:val="single"/>
          <w:lang w:val="pl-PL"/>
        </w:rPr>
      </w:pPr>
      <w:r w:rsidRPr="009353E6">
        <w:rPr>
          <w:sz w:val="22"/>
          <w:szCs w:val="22"/>
          <w:u w:val="single"/>
          <w:lang w:val="pl-PL"/>
        </w:rPr>
        <w:t>Nazwa i adres wytwórc</w:t>
      </w:r>
      <w:r w:rsidR="00FE3410" w:rsidRPr="009353E6">
        <w:rPr>
          <w:sz w:val="22"/>
          <w:szCs w:val="22"/>
          <w:u w:val="single"/>
          <w:lang w:val="pl-PL"/>
        </w:rPr>
        <w:t>ów</w:t>
      </w:r>
      <w:r w:rsidRPr="009353E6">
        <w:rPr>
          <w:sz w:val="22"/>
          <w:szCs w:val="22"/>
          <w:u w:val="single"/>
          <w:lang w:val="pl-PL"/>
        </w:rPr>
        <w:t xml:space="preserve"> odpowiedzialn</w:t>
      </w:r>
      <w:r w:rsidR="00FE3410" w:rsidRPr="009353E6">
        <w:rPr>
          <w:sz w:val="22"/>
          <w:szCs w:val="22"/>
          <w:u w:val="single"/>
          <w:lang w:val="pl-PL"/>
        </w:rPr>
        <w:t>ych</w:t>
      </w:r>
      <w:r w:rsidRPr="009353E6">
        <w:rPr>
          <w:sz w:val="22"/>
          <w:szCs w:val="22"/>
          <w:u w:val="single"/>
          <w:lang w:val="pl-PL"/>
        </w:rPr>
        <w:t xml:space="preserve"> za zwolnienie serii</w:t>
      </w:r>
    </w:p>
    <w:p w:rsidR="002D3E1A" w:rsidRPr="009353E6" w:rsidRDefault="002D3E1A">
      <w:pPr>
        <w:numPr>
          <w:ilvl w:val="12"/>
          <w:numId w:val="0"/>
        </w:numPr>
        <w:rPr>
          <w:sz w:val="22"/>
          <w:szCs w:val="22"/>
          <w:lang w:val="pl-PL"/>
        </w:rPr>
      </w:pPr>
    </w:p>
    <w:p w:rsidR="002D3E1A" w:rsidRPr="009353E6" w:rsidRDefault="002D3E1A">
      <w:pPr>
        <w:rPr>
          <w:sz w:val="22"/>
          <w:szCs w:val="22"/>
          <w:lang w:val="pl-PL"/>
        </w:rPr>
      </w:pPr>
      <w:r w:rsidRPr="009353E6">
        <w:rPr>
          <w:sz w:val="22"/>
          <w:szCs w:val="22"/>
          <w:lang w:val="pl-PL"/>
        </w:rPr>
        <w:t>Boehringer Ingelheim Pharma GmbH &amp; Co. KG</w:t>
      </w:r>
    </w:p>
    <w:p w:rsidR="002D3E1A" w:rsidRPr="009353E6" w:rsidRDefault="002D3E1A">
      <w:pPr>
        <w:numPr>
          <w:ilvl w:val="12"/>
          <w:numId w:val="0"/>
        </w:numPr>
        <w:rPr>
          <w:sz w:val="22"/>
          <w:szCs w:val="22"/>
          <w:lang w:val="pl-PL"/>
        </w:rPr>
      </w:pPr>
      <w:r w:rsidRPr="009353E6">
        <w:rPr>
          <w:sz w:val="22"/>
          <w:szCs w:val="22"/>
          <w:lang w:val="pl-PL"/>
        </w:rPr>
        <w:t>D-55216 Ingelheim am Rhein</w:t>
      </w:r>
    </w:p>
    <w:p w:rsidR="002D3E1A" w:rsidRPr="009353E6" w:rsidRDefault="002D3E1A">
      <w:pPr>
        <w:numPr>
          <w:ilvl w:val="12"/>
          <w:numId w:val="0"/>
        </w:numPr>
        <w:rPr>
          <w:sz w:val="22"/>
          <w:szCs w:val="22"/>
          <w:lang w:val="pl-PL"/>
        </w:rPr>
      </w:pPr>
      <w:r w:rsidRPr="009353E6">
        <w:rPr>
          <w:sz w:val="22"/>
          <w:szCs w:val="22"/>
          <w:lang w:val="pl-PL"/>
        </w:rPr>
        <w:t>Niemcy</w:t>
      </w:r>
    </w:p>
    <w:p w:rsidR="002D3E1A" w:rsidRPr="009353E6" w:rsidRDefault="002D3E1A">
      <w:pPr>
        <w:numPr>
          <w:ilvl w:val="12"/>
          <w:numId w:val="0"/>
        </w:numPr>
        <w:rPr>
          <w:sz w:val="22"/>
          <w:szCs w:val="22"/>
          <w:lang w:val="pl-PL"/>
        </w:rPr>
      </w:pPr>
    </w:p>
    <w:p w:rsidR="00F10BCB" w:rsidRPr="009353E6" w:rsidRDefault="00F10BCB" w:rsidP="00F10BCB">
      <w:pPr>
        <w:pStyle w:val="Default"/>
        <w:rPr>
          <w:color w:val="auto"/>
          <w:sz w:val="22"/>
          <w:szCs w:val="22"/>
          <w:lang w:val="pl-PL"/>
        </w:rPr>
      </w:pPr>
      <w:r w:rsidRPr="009353E6">
        <w:rPr>
          <w:color w:val="auto"/>
          <w:sz w:val="22"/>
          <w:szCs w:val="22"/>
          <w:lang w:val="pl-PL"/>
        </w:rPr>
        <w:t xml:space="preserve">Boehringer Ingelheim Ellas A.E. </w:t>
      </w:r>
    </w:p>
    <w:p w:rsidR="00F10BCB" w:rsidRPr="009353E6" w:rsidRDefault="00F10BCB" w:rsidP="00F10BCB">
      <w:pPr>
        <w:pStyle w:val="Default"/>
        <w:rPr>
          <w:color w:val="auto"/>
          <w:sz w:val="22"/>
          <w:szCs w:val="22"/>
          <w:lang w:val="pl-PL"/>
        </w:rPr>
      </w:pPr>
      <w:r w:rsidRPr="009353E6">
        <w:rPr>
          <w:color w:val="auto"/>
          <w:sz w:val="22"/>
          <w:szCs w:val="22"/>
          <w:lang w:val="pl-PL"/>
        </w:rPr>
        <w:t xml:space="preserve">5th km Paiania – Markopoulo </w:t>
      </w:r>
    </w:p>
    <w:p w:rsidR="00F10BCB" w:rsidRPr="009353E6" w:rsidRDefault="00F10BCB" w:rsidP="00F10BCB">
      <w:pPr>
        <w:pStyle w:val="Default"/>
        <w:rPr>
          <w:color w:val="auto"/>
          <w:sz w:val="22"/>
          <w:szCs w:val="22"/>
          <w:lang w:val="pl-PL"/>
        </w:rPr>
      </w:pPr>
      <w:r w:rsidRPr="009353E6">
        <w:rPr>
          <w:color w:val="auto"/>
          <w:sz w:val="22"/>
          <w:szCs w:val="22"/>
          <w:lang w:val="pl-PL"/>
        </w:rPr>
        <w:t>Koropi Attiki, 19400</w:t>
      </w:r>
    </w:p>
    <w:p w:rsidR="002D3E1A" w:rsidRPr="009353E6" w:rsidRDefault="00F10BCB" w:rsidP="00F10BCB">
      <w:pPr>
        <w:numPr>
          <w:ilvl w:val="12"/>
          <w:numId w:val="0"/>
        </w:numPr>
        <w:rPr>
          <w:sz w:val="22"/>
          <w:szCs w:val="22"/>
          <w:lang w:val="pl-PL"/>
        </w:rPr>
      </w:pPr>
      <w:r w:rsidRPr="009353E6">
        <w:rPr>
          <w:sz w:val="22"/>
          <w:szCs w:val="22"/>
          <w:lang w:val="pl-PL"/>
        </w:rPr>
        <w:t>Grecja</w:t>
      </w:r>
    </w:p>
    <w:p w:rsidR="00891071" w:rsidRPr="009353E6" w:rsidRDefault="00891071" w:rsidP="00891071">
      <w:pPr>
        <w:numPr>
          <w:ilvl w:val="12"/>
          <w:numId w:val="0"/>
        </w:numPr>
        <w:rPr>
          <w:sz w:val="22"/>
          <w:szCs w:val="22"/>
          <w:lang w:val="pl-PL"/>
        </w:rPr>
      </w:pPr>
    </w:p>
    <w:p w:rsidR="00891071" w:rsidRPr="009353E6" w:rsidRDefault="00891071" w:rsidP="00891071">
      <w:pPr>
        <w:numPr>
          <w:ilvl w:val="12"/>
          <w:numId w:val="0"/>
        </w:numPr>
        <w:rPr>
          <w:sz w:val="22"/>
          <w:szCs w:val="22"/>
          <w:lang w:val="pl-PL"/>
        </w:rPr>
      </w:pPr>
      <w:r w:rsidRPr="009353E6">
        <w:rPr>
          <w:sz w:val="22"/>
          <w:szCs w:val="22"/>
          <w:lang w:val="pl-PL"/>
        </w:rPr>
        <w:t>Rottendorf Pharma GmbH</w:t>
      </w:r>
    </w:p>
    <w:p w:rsidR="00891071" w:rsidRPr="009353E6" w:rsidRDefault="00891071" w:rsidP="00891071">
      <w:pPr>
        <w:numPr>
          <w:ilvl w:val="12"/>
          <w:numId w:val="0"/>
        </w:numPr>
        <w:rPr>
          <w:sz w:val="22"/>
          <w:szCs w:val="22"/>
          <w:lang w:val="pl-PL"/>
        </w:rPr>
      </w:pPr>
      <w:r w:rsidRPr="009353E6">
        <w:rPr>
          <w:sz w:val="22"/>
          <w:szCs w:val="22"/>
          <w:lang w:val="pl-PL"/>
        </w:rPr>
        <w:t>Ostenfelder Straße 51 - 61</w:t>
      </w:r>
    </w:p>
    <w:p w:rsidR="00891071" w:rsidRPr="009353E6" w:rsidRDefault="00891071" w:rsidP="00891071">
      <w:pPr>
        <w:numPr>
          <w:ilvl w:val="12"/>
          <w:numId w:val="0"/>
        </w:numPr>
        <w:rPr>
          <w:sz w:val="22"/>
          <w:szCs w:val="22"/>
          <w:lang w:val="pl-PL"/>
        </w:rPr>
      </w:pPr>
      <w:r w:rsidRPr="009353E6">
        <w:rPr>
          <w:sz w:val="22"/>
          <w:szCs w:val="22"/>
          <w:lang w:val="pl-PL"/>
        </w:rPr>
        <w:t>D-59320 Ennigerloh</w:t>
      </w:r>
    </w:p>
    <w:p w:rsidR="00F10BCB" w:rsidRPr="009353E6" w:rsidRDefault="00891071" w:rsidP="00891071">
      <w:pPr>
        <w:numPr>
          <w:ilvl w:val="12"/>
          <w:numId w:val="0"/>
        </w:numPr>
        <w:rPr>
          <w:sz w:val="22"/>
          <w:szCs w:val="22"/>
          <w:lang w:val="pl-PL"/>
        </w:rPr>
      </w:pPr>
      <w:r w:rsidRPr="009353E6">
        <w:rPr>
          <w:sz w:val="22"/>
          <w:szCs w:val="22"/>
          <w:lang w:val="pl-PL"/>
        </w:rPr>
        <w:t>Niemcy</w:t>
      </w:r>
    </w:p>
    <w:p w:rsidR="00891071" w:rsidRPr="009353E6" w:rsidRDefault="00891071" w:rsidP="00891071">
      <w:pPr>
        <w:numPr>
          <w:ilvl w:val="12"/>
          <w:numId w:val="0"/>
        </w:numPr>
        <w:rPr>
          <w:sz w:val="22"/>
          <w:szCs w:val="22"/>
          <w:lang w:val="pl-PL"/>
        </w:rPr>
      </w:pPr>
    </w:p>
    <w:p w:rsidR="00F10BCB" w:rsidRPr="009353E6" w:rsidRDefault="00F10BCB" w:rsidP="00F10BCB">
      <w:pPr>
        <w:numPr>
          <w:ilvl w:val="12"/>
          <w:numId w:val="0"/>
        </w:numPr>
        <w:rPr>
          <w:sz w:val="22"/>
          <w:szCs w:val="22"/>
          <w:lang w:val="pl-PL"/>
        </w:rPr>
      </w:pPr>
      <w:r w:rsidRPr="009353E6">
        <w:rPr>
          <w:sz w:val="22"/>
          <w:szCs w:val="22"/>
          <w:lang w:val="pl-PL"/>
        </w:rPr>
        <w:t>Wydrukowana ulotka dla pacjenta musi zawierać nazwę i adres wytwórcy odpowiedzialnego za zwolnienie danej serii produktu leczniczego.</w:t>
      </w:r>
    </w:p>
    <w:p w:rsidR="00F10BCB" w:rsidRPr="009353E6" w:rsidRDefault="00F10BCB" w:rsidP="00F10BCB">
      <w:pPr>
        <w:numPr>
          <w:ilvl w:val="12"/>
          <w:numId w:val="0"/>
        </w:numPr>
        <w:rPr>
          <w:sz w:val="22"/>
          <w:szCs w:val="22"/>
          <w:lang w:val="pl-PL"/>
        </w:rPr>
      </w:pPr>
    </w:p>
    <w:p w:rsidR="00BF0C4F" w:rsidRPr="009353E6" w:rsidRDefault="00BF0C4F" w:rsidP="00F10BCB">
      <w:pPr>
        <w:numPr>
          <w:ilvl w:val="12"/>
          <w:numId w:val="0"/>
        </w:numPr>
        <w:rPr>
          <w:sz w:val="22"/>
          <w:szCs w:val="22"/>
          <w:lang w:val="pl-PL"/>
        </w:rPr>
      </w:pPr>
    </w:p>
    <w:p w:rsidR="000A17A5" w:rsidRPr="009353E6" w:rsidRDefault="000A17A5" w:rsidP="001159E1">
      <w:pPr>
        <w:pStyle w:val="QRD2"/>
      </w:pPr>
      <w:r w:rsidRPr="009353E6">
        <w:t>B.</w:t>
      </w:r>
      <w:r w:rsidRPr="009353E6">
        <w:tab/>
        <w:t>WARUNKI LUB OGRANI</w:t>
      </w:r>
      <w:r w:rsidR="00BF0C4F" w:rsidRPr="009353E6">
        <w:t>CZENIA DOTYCZĄCE ZAOPATRZENIA I</w:t>
      </w:r>
      <w:r w:rsidRPr="009353E6">
        <w:t xml:space="preserve"> STOSOWANIA</w:t>
      </w:r>
    </w:p>
    <w:p w:rsidR="000A17A5" w:rsidRPr="009353E6" w:rsidRDefault="000A17A5" w:rsidP="000A17A5">
      <w:pPr>
        <w:rPr>
          <w:sz w:val="22"/>
          <w:szCs w:val="22"/>
          <w:lang w:val="pl-PL"/>
        </w:rPr>
      </w:pPr>
    </w:p>
    <w:p w:rsidR="000A17A5" w:rsidRPr="009353E6" w:rsidRDefault="000A17A5" w:rsidP="000A17A5">
      <w:pPr>
        <w:numPr>
          <w:ilvl w:val="12"/>
          <w:numId w:val="0"/>
        </w:numPr>
        <w:rPr>
          <w:sz w:val="22"/>
          <w:szCs w:val="22"/>
          <w:lang w:val="pl-PL"/>
        </w:rPr>
      </w:pPr>
      <w:r w:rsidRPr="009353E6">
        <w:rPr>
          <w:sz w:val="22"/>
          <w:szCs w:val="22"/>
          <w:lang w:val="pl-PL"/>
        </w:rPr>
        <w:t xml:space="preserve">Produkt leczniczy wydawany </w:t>
      </w:r>
      <w:r w:rsidR="00C764D7" w:rsidRPr="009353E6">
        <w:rPr>
          <w:sz w:val="22"/>
          <w:szCs w:val="22"/>
          <w:lang w:val="pl-PL"/>
        </w:rPr>
        <w:t>na receptę</w:t>
      </w:r>
      <w:r w:rsidRPr="009353E6">
        <w:rPr>
          <w:sz w:val="22"/>
          <w:szCs w:val="22"/>
          <w:lang w:val="pl-PL"/>
        </w:rPr>
        <w:t>.</w:t>
      </w:r>
    </w:p>
    <w:p w:rsidR="000A17A5" w:rsidRPr="009353E6" w:rsidRDefault="000A17A5" w:rsidP="000A17A5">
      <w:pPr>
        <w:numPr>
          <w:ilvl w:val="12"/>
          <w:numId w:val="0"/>
        </w:numPr>
        <w:rPr>
          <w:sz w:val="22"/>
          <w:szCs w:val="22"/>
          <w:lang w:val="pl-PL"/>
        </w:rPr>
      </w:pPr>
    </w:p>
    <w:p w:rsidR="00BF0C4F" w:rsidRPr="009353E6" w:rsidRDefault="00BF0C4F" w:rsidP="000A17A5">
      <w:pPr>
        <w:numPr>
          <w:ilvl w:val="12"/>
          <w:numId w:val="0"/>
        </w:numPr>
        <w:rPr>
          <w:sz w:val="22"/>
          <w:szCs w:val="22"/>
          <w:lang w:val="pl-PL"/>
        </w:rPr>
      </w:pPr>
    </w:p>
    <w:p w:rsidR="000A17A5" w:rsidRPr="009353E6" w:rsidRDefault="000A17A5" w:rsidP="00BF0C4F">
      <w:pPr>
        <w:pStyle w:val="QRD2"/>
      </w:pPr>
      <w:r w:rsidRPr="009353E6">
        <w:t>C.</w:t>
      </w:r>
      <w:r w:rsidRPr="009353E6">
        <w:tab/>
        <w:t>INNE WARUNKI I WYM</w:t>
      </w:r>
      <w:smartTag w:uri="urn:schemas-microsoft-com:office:smarttags" w:element="PersonName">
        <w:r w:rsidRPr="009353E6">
          <w:t>AGA</w:t>
        </w:r>
      </w:smartTag>
      <w:r w:rsidRPr="009353E6">
        <w:t>NIA DOTYCZĄCE DOPUSZCZENIA DO OBORTU</w:t>
      </w:r>
    </w:p>
    <w:p w:rsidR="000A17A5" w:rsidRPr="009353E6" w:rsidRDefault="000A17A5" w:rsidP="000A17A5">
      <w:pPr>
        <w:rPr>
          <w:b/>
          <w:sz w:val="22"/>
          <w:szCs w:val="22"/>
          <w:lang w:val="pl-PL"/>
        </w:rPr>
      </w:pPr>
    </w:p>
    <w:p w:rsidR="00A951A7" w:rsidRPr="009353E6" w:rsidRDefault="00A951A7" w:rsidP="00A951A7">
      <w:pPr>
        <w:numPr>
          <w:ilvl w:val="0"/>
          <w:numId w:val="53"/>
        </w:numPr>
        <w:tabs>
          <w:tab w:val="left" w:pos="0"/>
        </w:tabs>
        <w:ind w:left="567" w:hanging="567"/>
        <w:rPr>
          <w:b/>
          <w:sz w:val="22"/>
          <w:szCs w:val="22"/>
          <w:lang w:val="pl-PL"/>
        </w:rPr>
      </w:pPr>
      <w:r w:rsidRPr="009353E6">
        <w:rPr>
          <w:b/>
          <w:sz w:val="22"/>
          <w:szCs w:val="22"/>
          <w:lang w:val="pl-PL"/>
        </w:rPr>
        <w:t xml:space="preserve">Okresowy raport o bezpieczeństwie stosowania </w:t>
      </w:r>
    </w:p>
    <w:p w:rsidR="00A951A7" w:rsidRPr="009353E6" w:rsidRDefault="00A951A7" w:rsidP="00A951A7">
      <w:pPr>
        <w:ind w:left="567" w:hanging="567"/>
        <w:rPr>
          <w:sz w:val="22"/>
          <w:szCs w:val="22"/>
          <w:u w:val="single"/>
          <w:lang w:val="pl-PL"/>
        </w:rPr>
      </w:pPr>
    </w:p>
    <w:p w:rsidR="00A951A7" w:rsidRPr="009353E6" w:rsidRDefault="00262060" w:rsidP="00A951A7">
      <w:pPr>
        <w:rPr>
          <w:rStyle w:val="hps"/>
          <w:sz w:val="22"/>
          <w:szCs w:val="22"/>
          <w:lang w:val="pl-PL"/>
        </w:rPr>
      </w:pPr>
      <w:r w:rsidRPr="009353E6">
        <w:rPr>
          <w:sz w:val="22"/>
          <w:szCs w:val="22"/>
          <w:lang w:val="pl-PL"/>
        </w:rPr>
        <w:t>Wymagania do przedłożenia okresowych raportów o bezpieczeństwie stosowania tego produktu są określone w wykazie unijnych dat referencyjnych (wykaz EURD), o którym mowa w art. 107c ust. 7 dyrektywy 2001/83/WE i jego kolejnych aktualizacjach ogłaszanych na europejskiej stronie internetowej dotyczącej leków.</w:t>
      </w:r>
    </w:p>
    <w:p w:rsidR="00A951A7" w:rsidRPr="009353E6" w:rsidRDefault="00A951A7" w:rsidP="00A951A7">
      <w:pPr>
        <w:rPr>
          <w:sz w:val="22"/>
          <w:szCs w:val="22"/>
          <w:u w:val="single"/>
          <w:lang w:val="pl-PL"/>
        </w:rPr>
      </w:pPr>
    </w:p>
    <w:p w:rsidR="00BF0C4F" w:rsidRPr="009353E6" w:rsidRDefault="00BF0C4F" w:rsidP="00A951A7">
      <w:pPr>
        <w:rPr>
          <w:sz w:val="22"/>
          <w:szCs w:val="22"/>
          <w:u w:val="single"/>
          <w:lang w:val="pl-PL"/>
        </w:rPr>
      </w:pPr>
    </w:p>
    <w:p w:rsidR="00A951A7" w:rsidRPr="009353E6" w:rsidRDefault="00A951A7" w:rsidP="001159E1">
      <w:pPr>
        <w:pStyle w:val="QRD2"/>
      </w:pPr>
      <w:r w:rsidRPr="009353E6">
        <w:t>D.</w:t>
      </w:r>
      <w:r w:rsidRPr="009353E6">
        <w:tab/>
        <w:t xml:space="preserve">WARUNKI </w:t>
      </w:r>
      <w:r w:rsidR="0037511C" w:rsidRPr="009353E6">
        <w:t>I</w:t>
      </w:r>
      <w:r w:rsidRPr="009353E6">
        <w:t xml:space="preserve"> OGRANICZENIA DOTYCZĄCE BEZPIECZNEGO I SKUTECZNEGO STOSOWANIA PRODUKTU LECZNICZEGO</w:t>
      </w:r>
    </w:p>
    <w:p w:rsidR="00A951A7" w:rsidRPr="009353E6" w:rsidRDefault="00A951A7" w:rsidP="00A951A7">
      <w:pPr>
        <w:pStyle w:val="Default"/>
        <w:rPr>
          <w:rStyle w:val="hps"/>
          <w:b/>
          <w:lang w:val="pl-PL"/>
        </w:rPr>
      </w:pPr>
    </w:p>
    <w:p w:rsidR="00A951A7" w:rsidRPr="009353E6" w:rsidRDefault="00A951A7" w:rsidP="00A951A7">
      <w:pPr>
        <w:numPr>
          <w:ilvl w:val="0"/>
          <w:numId w:val="53"/>
        </w:numPr>
        <w:tabs>
          <w:tab w:val="left" w:pos="0"/>
        </w:tabs>
        <w:ind w:left="567" w:hanging="567"/>
        <w:rPr>
          <w:b/>
          <w:sz w:val="22"/>
          <w:szCs w:val="22"/>
          <w:lang w:val="pl-PL"/>
        </w:rPr>
      </w:pPr>
      <w:r w:rsidRPr="009353E6">
        <w:rPr>
          <w:b/>
          <w:sz w:val="22"/>
          <w:szCs w:val="22"/>
          <w:lang w:val="pl-PL"/>
        </w:rPr>
        <w:t>Plan zarządzania ryzykiem (</w:t>
      </w:r>
      <w:r w:rsidR="0037511C" w:rsidRPr="009353E6">
        <w:rPr>
          <w:b/>
          <w:sz w:val="22"/>
          <w:szCs w:val="22"/>
          <w:lang w:val="pl-PL"/>
        </w:rPr>
        <w:t xml:space="preserve">ang. Risk Management Plan, </w:t>
      </w:r>
      <w:r w:rsidRPr="009353E6">
        <w:rPr>
          <w:b/>
          <w:sz w:val="22"/>
          <w:szCs w:val="22"/>
          <w:lang w:val="pl-PL"/>
        </w:rPr>
        <w:t>RMP)</w:t>
      </w:r>
    </w:p>
    <w:p w:rsidR="00A951A7" w:rsidRPr="009353E6" w:rsidRDefault="00A951A7" w:rsidP="00A951A7">
      <w:pPr>
        <w:adjustRightInd w:val="0"/>
        <w:spacing w:before="240"/>
        <w:rPr>
          <w:sz w:val="22"/>
          <w:szCs w:val="22"/>
          <w:lang w:val="pl-PL" w:bidi="bn-IN"/>
        </w:rPr>
      </w:pPr>
      <w:r w:rsidRPr="009353E6">
        <w:rPr>
          <w:sz w:val="22"/>
          <w:szCs w:val="22"/>
          <w:lang w:val="pl-PL" w:bidi="bn-IN"/>
        </w:rPr>
        <w:t xml:space="preserve">Podmiot odpowiedzialny podejmie wymagane działania i interwencje z zakresu nadzoru nad bezpieczeństwem farmakoterapii wyszczególnione w RMP, przedstawionym w module 1.8.2 </w:t>
      </w:r>
      <w:r w:rsidR="00D42597" w:rsidRPr="009353E6">
        <w:rPr>
          <w:sz w:val="22"/>
          <w:szCs w:val="22"/>
          <w:lang w:val="pl-PL" w:bidi="bn-IN"/>
        </w:rPr>
        <w:t>dokumentacji</w:t>
      </w:r>
      <w:r w:rsidRPr="009353E6">
        <w:rPr>
          <w:sz w:val="22"/>
          <w:szCs w:val="22"/>
          <w:lang w:val="pl-PL" w:bidi="bn-IN"/>
        </w:rPr>
        <w:t xml:space="preserve"> do pozw</w:t>
      </w:r>
      <w:r w:rsidR="00A50023" w:rsidRPr="009353E6">
        <w:rPr>
          <w:sz w:val="22"/>
          <w:szCs w:val="22"/>
          <w:lang w:val="pl-PL" w:bidi="bn-IN"/>
        </w:rPr>
        <w:t>o</w:t>
      </w:r>
      <w:r w:rsidRPr="009353E6">
        <w:rPr>
          <w:sz w:val="22"/>
          <w:szCs w:val="22"/>
          <w:lang w:val="pl-PL" w:bidi="bn-IN"/>
        </w:rPr>
        <w:t>lenia na dopuszczenie do obrotu</w:t>
      </w:r>
      <w:r w:rsidR="0037511C" w:rsidRPr="009353E6">
        <w:rPr>
          <w:sz w:val="22"/>
          <w:szCs w:val="22"/>
          <w:lang w:val="pl-PL" w:bidi="bn-IN"/>
        </w:rPr>
        <w:t>,</w:t>
      </w:r>
      <w:r w:rsidRPr="009353E6">
        <w:rPr>
          <w:sz w:val="22"/>
          <w:szCs w:val="22"/>
          <w:lang w:val="pl-PL" w:bidi="bn-IN"/>
        </w:rPr>
        <w:t xml:space="preserve"> i wszelkich jego kolejnych aktualizacjach. </w:t>
      </w:r>
    </w:p>
    <w:p w:rsidR="00A951A7" w:rsidRPr="009353E6" w:rsidRDefault="00D42597" w:rsidP="00A951A7">
      <w:pPr>
        <w:adjustRightInd w:val="0"/>
        <w:spacing w:before="240"/>
        <w:rPr>
          <w:sz w:val="22"/>
          <w:szCs w:val="22"/>
          <w:lang w:val="pl-PL" w:bidi="bn-IN"/>
        </w:rPr>
      </w:pPr>
      <w:r w:rsidRPr="009353E6">
        <w:rPr>
          <w:sz w:val="22"/>
          <w:szCs w:val="22"/>
          <w:lang w:val="pl-PL" w:bidi="bn-IN"/>
        </w:rPr>
        <w:t>Uaktualniony</w:t>
      </w:r>
      <w:r w:rsidR="00A951A7" w:rsidRPr="009353E6">
        <w:rPr>
          <w:sz w:val="22"/>
          <w:szCs w:val="22"/>
          <w:lang w:val="pl-PL" w:bidi="bn-IN"/>
        </w:rPr>
        <w:t xml:space="preserve"> RMP należy przedstawiać co 3</w:t>
      </w:r>
      <w:r w:rsidR="00932874" w:rsidRPr="009353E6">
        <w:rPr>
          <w:sz w:val="22"/>
          <w:szCs w:val="22"/>
          <w:lang w:val="pl-PL" w:bidi="bn-IN"/>
        </w:rPr>
        <w:t> </w:t>
      </w:r>
      <w:r w:rsidR="00A951A7" w:rsidRPr="009353E6">
        <w:rPr>
          <w:sz w:val="22"/>
          <w:szCs w:val="22"/>
          <w:lang w:val="pl-PL" w:bidi="bn-IN"/>
        </w:rPr>
        <w:t>lata.</w:t>
      </w:r>
    </w:p>
    <w:p w:rsidR="00A951A7" w:rsidRPr="009353E6" w:rsidRDefault="00A951A7" w:rsidP="00A951A7">
      <w:pPr>
        <w:pStyle w:val="Default"/>
        <w:rPr>
          <w:rStyle w:val="hps"/>
          <w:sz w:val="22"/>
          <w:lang w:val="pl-PL"/>
        </w:rPr>
      </w:pPr>
    </w:p>
    <w:p w:rsidR="00A951A7" w:rsidRPr="009353E6" w:rsidRDefault="00A951A7" w:rsidP="00A951A7">
      <w:pPr>
        <w:adjustRightInd w:val="0"/>
        <w:rPr>
          <w:rFonts w:eastAsia="Symbol"/>
          <w:sz w:val="22"/>
          <w:szCs w:val="22"/>
          <w:lang w:val="pl-PL" w:bidi="bn-IN"/>
        </w:rPr>
      </w:pPr>
      <w:r w:rsidRPr="009353E6">
        <w:rPr>
          <w:sz w:val="22"/>
          <w:szCs w:val="22"/>
          <w:lang w:val="pl-PL" w:bidi="bn-IN"/>
        </w:rPr>
        <w:t>Ponadto, uaktualniony RMP należy przedstawiać:</w:t>
      </w:r>
    </w:p>
    <w:p w:rsidR="00A951A7" w:rsidRPr="009353E6" w:rsidRDefault="00A951A7" w:rsidP="00A951A7">
      <w:pPr>
        <w:numPr>
          <w:ilvl w:val="2"/>
          <w:numId w:val="54"/>
        </w:numPr>
        <w:adjustRightInd w:val="0"/>
        <w:ind w:left="567" w:hanging="567"/>
        <w:rPr>
          <w:sz w:val="22"/>
          <w:szCs w:val="22"/>
          <w:lang w:val="pl-PL" w:bidi="bn-IN"/>
        </w:rPr>
      </w:pPr>
      <w:r w:rsidRPr="009353E6">
        <w:rPr>
          <w:sz w:val="22"/>
          <w:szCs w:val="22"/>
          <w:lang w:val="pl-PL" w:bidi="bn-IN"/>
        </w:rPr>
        <w:t xml:space="preserve">na żądanie Europejskiej Agencji Leków; </w:t>
      </w:r>
    </w:p>
    <w:p w:rsidR="00A951A7" w:rsidRPr="009353E6" w:rsidRDefault="00A951A7" w:rsidP="00A951A7">
      <w:pPr>
        <w:numPr>
          <w:ilvl w:val="2"/>
          <w:numId w:val="54"/>
        </w:numPr>
        <w:adjustRightInd w:val="0"/>
        <w:ind w:left="567" w:hanging="567"/>
        <w:rPr>
          <w:rFonts w:eastAsia="MS Mincho"/>
          <w:sz w:val="22"/>
          <w:szCs w:val="22"/>
          <w:lang w:val="pl-PL" w:bidi="bn-IN"/>
        </w:rPr>
      </w:pPr>
      <w:r w:rsidRPr="009353E6">
        <w:rPr>
          <w:sz w:val="22"/>
          <w:szCs w:val="22"/>
          <w:lang w:val="pl-PL" w:bidi="bn-IN"/>
        </w:rPr>
        <w:t>w razie zmiany systemu zarządzania ryzykiem, zwłaszcza w wyniku uzyskania nowych informacji, które mogą istotnie wpłynąć na stosunek ryzyka do korzyści, lub w wyniku uzyskania istotnych informacji,</w:t>
      </w:r>
      <w:r w:rsidR="0037511C" w:rsidRPr="009353E6">
        <w:rPr>
          <w:sz w:val="22"/>
          <w:szCs w:val="22"/>
          <w:lang w:val="pl-PL" w:bidi="bn-IN"/>
        </w:rPr>
        <w:t xml:space="preserve"> </w:t>
      </w:r>
      <w:r w:rsidRPr="009353E6">
        <w:rPr>
          <w:sz w:val="22"/>
          <w:szCs w:val="22"/>
          <w:lang w:val="pl-PL" w:bidi="bn-IN"/>
        </w:rPr>
        <w:t xml:space="preserve">dotyczących bezpieczeństwa stosowania produktu leczniczego lub odnoszących się do minimalizacji ryzyka. </w:t>
      </w:r>
    </w:p>
    <w:p w:rsidR="000F716E" w:rsidRPr="009353E6" w:rsidRDefault="000A17A5" w:rsidP="00E40CF2">
      <w:pPr>
        <w:jc w:val="center"/>
        <w:rPr>
          <w:b/>
          <w:sz w:val="22"/>
          <w:szCs w:val="22"/>
          <w:lang w:val="pl-PL"/>
        </w:rPr>
      </w:pPr>
      <w:r w:rsidRPr="009353E6">
        <w:rPr>
          <w:sz w:val="22"/>
          <w:szCs w:val="22"/>
          <w:lang w:val="pl-PL" w:bidi="bn-IN"/>
        </w:rPr>
        <w:br w:type="page"/>
      </w:r>
    </w:p>
    <w:p w:rsidR="000F716E" w:rsidRPr="009353E6" w:rsidRDefault="000F716E" w:rsidP="00E40CF2">
      <w:pPr>
        <w:jc w:val="center"/>
        <w:rPr>
          <w:b/>
          <w:sz w:val="22"/>
          <w:szCs w:val="22"/>
          <w:lang w:val="pl-PL"/>
        </w:rPr>
      </w:pPr>
    </w:p>
    <w:p w:rsidR="000F716E" w:rsidRPr="009353E6" w:rsidRDefault="000F716E" w:rsidP="00E40CF2">
      <w:pPr>
        <w:jc w:val="center"/>
        <w:rPr>
          <w:b/>
          <w:sz w:val="22"/>
          <w:szCs w:val="22"/>
          <w:lang w:val="pl-PL"/>
        </w:rPr>
      </w:pPr>
    </w:p>
    <w:p w:rsidR="000F716E" w:rsidRPr="009353E6" w:rsidRDefault="000F716E" w:rsidP="00E40CF2">
      <w:pPr>
        <w:jc w:val="center"/>
        <w:rPr>
          <w:b/>
          <w:sz w:val="22"/>
          <w:szCs w:val="22"/>
          <w:lang w:val="pl-PL"/>
        </w:rPr>
      </w:pPr>
    </w:p>
    <w:p w:rsidR="000F716E" w:rsidRPr="009353E6" w:rsidRDefault="000F716E" w:rsidP="00E40CF2">
      <w:pPr>
        <w:jc w:val="center"/>
        <w:rPr>
          <w:b/>
          <w:sz w:val="22"/>
          <w:szCs w:val="22"/>
          <w:lang w:val="pl-PL"/>
        </w:rPr>
      </w:pPr>
    </w:p>
    <w:p w:rsidR="000F716E" w:rsidRPr="009353E6" w:rsidRDefault="000F716E" w:rsidP="00E40CF2">
      <w:pPr>
        <w:jc w:val="center"/>
        <w:rPr>
          <w:b/>
          <w:sz w:val="22"/>
          <w:szCs w:val="22"/>
          <w:lang w:val="pl-PL"/>
        </w:rPr>
      </w:pPr>
    </w:p>
    <w:p w:rsidR="00055E20" w:rsidRPr="009353E6" w:rsidRDefault="00055E20" w:rsidP="00E40CF2">
      <w:pPr>
        <w:jc w:val="center"/>
        <w:rPr>
          <w:i/>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055E20" w:rsidRPr="009353E6" w:rsidRDefault="00055E20" w:rsidP="00055E20">
      <w:pPr>
        <w:jc w:val="center"/>
        <w:rPr>
          <w:b/>
          <w:sz w:val="22"/>
          <w:szCs w:val="22"/>
          <w:lang w:val="pl-PL"/>
        </w:rPr>
      </w:pPr>
    </w:p>
    <w:p w:rsidR="002D3E1A" w:rsidRPr="009353E6" w:rsidRDefault="002D3E1A" w:rsidP="00055E20">
      <w:pPr>
        <w:jc w:val="center"/>
        <w:rPr>
          <w:b/>
          <w:sz w:val="22"/>
          <w:szCs w:val="22"/>
          <w:lang w:val="pl-PL"/>
        </w:rPr>
      </w:pPr>
      <w:r w:rsidRPr="009353E6">
        <w:rPr>
          <w:b/>
          <w:sz w:val="22"/>
          <w:szCs w:val="22"/>
          <w:lang w:val="pl-PL"/>
        </w:rPr>
        <w:t>ANEKS</w:t>
      </w:r>
      <w:r w:rsidR="00A02686" w:rsidRPr="009353E6">
        <w:rPr>
          <w:b/>
          <w:sz w:val="22"/>
          <w:szCs w:val="22"/>
          <w:lang w:val="pl-PL"/>
        </w:rPr>
        <w:t> </w:t>
      </w:r>
      <w:r w:rsidRPr="009353E6">
        <w:rPr>
          <w:b/>
          <w:sz w:val="22"/>
          <w:szCs w:val="22"/>
          <w:lang w:val="pl-PL"/>
        </w:rPr>
        <w:t>III</w:t>
      </w:r>
    </w:p>
    <w:p w:rsidR="002D3E1A" w:rsidRPr="009353E6" w:rsidRDefault="002D3E1A">
      <w:pPr>
        <w:jc w:val="center"/>
        <w:rPr>
          <w:b/>
          <w:sz w:val="22"/>
          <w:szCs w:val="22"/>
          <w:lang w:val="pl-PL"/>
        </w:rPr>
      </w:pPr>
    </w:p>
    <w:p w:rsidR="002D3E1A" w:rsidRPr="009353E6" w:rsidRDefault="002D3E1A">
      <w:pPr>
        <w:jc w:val="center"/>
        <w:rPr>
          <w:b/>
          <w:sz w:val="22"/>
          <w:szCs w:val="22"/>
          <w:lang w:val="pl-PL"/>
        </w:rPr>
      </w:pPr>
      <w:r w:rsidRPr="009353E6">
        <w:rPr>
          <w:b/>
          <w:sz w:val="22"/>
          <w:szCs w:val="22"/>
          <w:lang w:val="pl-PL"/>
        </w:rPr>
        <w:t>OZNAKOWANIE OPAKOWAŃ I ULOTKA DLA PACJENTA</w:t>
      </w:r>
    </w:p>
    <w:p w:rsidR="002D3E1A" w:rsidRPr="009353E6" w:rsidRDefault="002D3E1A" w:rsidP="00E2307A">
      <w:pPr>
        <w:jc w:val="center"/>
        <w:rPr>
          <w:b/>
          <w:sz w:val="22"/>
          <w:szCs w:val="22"/>
          <w:lang w:val="pl-PL"/>
        </w:rPr>
      </w:pPr>
      <w:r w:rsidRPr="009353E6">
        <w:rPr>
          <w:b/>
          <w:sz w:val="22"/>
          <w:szCs w:val="22"/>
          <w:lang w:val="pl-PL"/>
        </w:rPr>
        <w:br w:type="page"/>
      </w: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A77DD0" w:rsidRPr="009353E6" w:rsidRDefault="00A77DD0"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2D3E1A" w:rsidP="00E2307A">
      <w:pPr>
        <w:jc w:val="center"/>
        <w:rPr>
          <w:b/>
          <w:sz w:val="22"/>
          <w:szCs w:val="22"/>
          <w:lang w:val="pl-PL"/>
        </w:rPr>
      </w:pPr>
    </w:p>
    <w:p w:rsidR="002D3E1A" w:rsidRPr="009353E6" w:rsidRDefault="000E5DC1" w:rsidP="00E2307A">
      <w:pPr>
        <w:pStyle w:val="QRD1"/>
        <w:rPr>
          <w:lang w:val="pl-PL"/>
        </w:rPr>
      </w:pPr>
      <w:r w:rsidRPr="009353E6">
        <w:rPr>
          <w:lang w:val="pl-PL"/>
        </w:rPr>
        <w:t xml:space="preserve">A. </w:t>
      </w:r>
      <w:r w:rsidR="002D3E1A" w:rsidRPr="009353E6">
        <w:rPr>
          <w:lang w:val="pl-PL"/>
        </w:rPr>
        <w:t>OZNAKOWANIE OPAKOWAŃ</w:t>
      </w:r>
    </w:p>
    <w:p w:rsidR="002D3E1A" w:rsidRPr="009353E6" w:rsidRDefault="002D3E1A">
      <w:pPr>
        <w:jc w:val="both"/>
        <w:rPr>
          <w:b/>
          <w:sz w:val="22"/>
          <w:szCs w:val="22"/>
          <w:lang w:val="pl-PL"/>
        </w:rPr>
      </w:pPr>
      <w:r w:rsidRPr="009353E6">
        <w:rPr>
          <w:b/>
          <w:sz w:val="22"/>
          <w:szCs w:val="22"/>
          <w:lang w:val="pl-PL"/>
        </w:rPr>
        <w:br w:type="page"/>
      </w:r>
    </w:p>
    <w:p w:rsidR="002D3E1A" w:rsidRPr="009353E6" w:rsidRDefault="002D3E1A">
      <w:pPr>
        <w:pBdr>
          <w:top w:val="single" w:sz="4" w:space="1" w:color="auto"/>
          <w:left w:val="single" w:sz="4" w:space="4" w:color="auto"/>
          <w:bottom w:val="single" w:sz="4" w:space="1" w:color="auto"/>
          <w:right w:val="single" w:sz="4" w:space="4" w:color="auto"/>
        </w:pBdr>
        <w:rPr>
          <w:b/>
          <w:strike/>
          <w:sz w:val="22"/>
          <w:szCs w:val="22"/>
          <w:lang w:val="pl-PL"/>
        </w:rPr>
      </w:pPr>
      <w:r w:rsidRPr="009353E6">
        <w:rPr>
          <w:b/>
          <w:sz w:val="22"/>
          <w:szCs w:val="22"/>
          <w:lang w:val="pl-PL"/>
        </w:rPr>
        <w:t xml:space="preserve">INFORMACJE ZAMIESZCZANE NA OPAKOWANIACH ZEWNĘTRZNYCH </w:t>
      </w:r>
    </w:p>
    <w:p w:rsidR="00EE5247" w:rsidRPr="009353E6" w:rsidRDefault="00EE5247">
      <w:pPr>
        <w:pBdr>
          <w:top w:val="single" w:sz="4" w:space="1" w:color="auto"/>
          <w:left w:val="single" w:sz="4" w:space="4" w:color="auto"/>
          <w:bottom w:val="single" w:sz="4" w:space="1" w:color="auto"/>
          <w:right w:val="single" w:sz="4" w:space="4" w:color="auto"/>
        </w:pBdr>
        <w:rPr>
          <w:b/>
          <w:sz w:val="22"/>
          <w:szCs w:val="22"/>
          <w:lang w:val="pl-PL"/>
        </w:rPr>
      </w:pPr>
    </w:p>
    <w:p w:rsidR="00EE5247" w:rsidRPr="009353E6" w:rsidRDefault="00773B8F">
      <w:pPr>
        <w:pBdr>
          <w:top w:val="single" w:sz="4" w:space="1" w:color="auto"/>
          <w:left w:val="single" w:sz="4" w:space="4" w:color="auto"/>
          <w:bottom w:val="single" w:sz="4" w:space="1" w:color="auto"/>
          <w:right w:val="single" w:sz="4" w:space="4" w:color="auto"/>
        </w:pBdr>
        <w:rPr>
          <w:sz w:val="22"/>
          <w:szCs w:val="22"/>
          <w:lang w:val="pl-PL"/>
        </w:rPr>
      </w:pPr>
      <w:r w:rsidRPr="009353E6">
        <w:rPr>
          <w:sz w:val="22"/>
          <w:szCs w:val="22"/>
          <w:lang w:val="pl-PL"/>
        </w:rPr>
        <w:t xml:space="preserve">Pudełko tekturowe </w:t>
      </w:r>
    </w:p>
    <w:p w:rsidR="002D3E1A" w:rsidRPr="009353E6" w:rsidRDefault="002D3E1A">
      <w:pPr>
        <w:jc w:val="both"/>
        <w:rPr>
          <w:b/>
          <w:strike/>
          <w:sz w:val="22"/>
          <w:szCs w:val="22"/>
          <w:lang w:val="pl-PL"/>
        </w:rPr>
      </w:pPr>
    </w:p>
    <w:p w:rsidR="002D3E1A" w:rsidRPr="009353E6" w:rsidRDefault="002D3E1A">
      <w:pPr>
        <w:jc w:val="both"/>
        <w:rPr>
          <w:sz w:val="22"/>
          <w:szCs w:val="22"/>
          <w:lang w:val="pl-PL"/>
        </w:rPr>
      </w:pPr>
    </w:p>
    <w:p w:rsidR="002D3E1A" w:rsidRPr="009353E6" w:rsidRDefault="002D3E1A" w:rsidP="002D507E">
      <w:pPr>
        <w:numPr>
          <w:ilvl w:val="0"/>
          <w:numId w:val="2"/>
        </w:numPr>
        <w:pBdr>
          <w:top w:val="single" w:sz="4" w:space="1" w:color="auto"/>
          <w:left w:val="single" w:sz="4" w:space="4" w:color="auto"/>
          <w:bottom w:val="single" w:sz="4" w:space="1" w:color="auto"/>
          <w:right w:val="single" w:sz="4" w:space="4" w:color="auto"/>
        </w:pBdr>
        <w:tabs>
          <w:tab w:val="clear" w:pos="1080"/>
          <w:tab w:val="num" w:pos="540"/>
        </w:tabs>
        <w:ind w:left="540" w:hanging="540"/>
        <w:rPr>
          <w:b/>
          <w:sz w:val="22"/>
          <w:szCs w:val="22"/>
          <w:lang w:val="pl-PL"/>
        </w:rPr>
      </w:pPr>
      <w:r w:rsidRPr="009353E6">
        <w:rPr>
          <w:b/>
          <w:sz w:val="22"/>
          <w:szCs w:val="22"/>
          <w:lang w:val="pl-PL"/>
        </w:rPr>
        <w:t xml:space="preserve">NAZWA PRODUKTU LECZNICZEGO </w:t>
      </w:r>
    </w:p>
    <w:p w:rsidR="002D3E1A" w:rsidRPr="009353E6" w:rsidRDefault="002D3E1A">
      <w:pPr>
        <w:tabs>
          <w:tab w:val="left" w:pos="900"/>
        </w:tabs>
        <w:jc w:val="both"/>
        <w:rPr>
          <w:b/>
          <w:sz w:val="22"/>
          <w:szCs w:val="22"/>
          <w:lang w:val="pl-PL"/>
        </w:rPr>
      </w:pPr>
    </w:p>
    <w:p w:rsidR="002D3E1A" w:rsidRPr="009353E6" w:rsidRDefault="002D3E1A">
      <w:pPr>
        <w:tabs>
          <w:tab w:val="left" w:pos="900"/>
        </w:tabs>
        <w:rPr>
          <w:sz w:val="22"/>
          <w:szCs w:val="22"/>
          <w:lang w:val="pl-PL"/>
        </w:rPr>
      </w:pPr>
      <w:r w:rsidRPr="009353E6">
        <w:rPr>
          <w:sz w:val="22"/>
          <w:szCs w:val="22"/>
          <w:lang w:val="pl-PL"/>
        </w:rPr>
        <w:t>MicardisPlus 40</w:t>
      </w:r>
      <w:r w:rsidR="00D6338A" w:rsidRPr="009353E6">
        <w:rPr>
          <w:sz w:val="22"/>
          <w:szCs w:val="22"/>
          <w:lang w:val="pl-PL"/>
        </w:rPr>
        <w:t xml:space="preserve"> mg</w:t>
      </w:r>
      <w:r w:rsidRPr="009353E6">
        <w:rPr>
          <w:sz w:val="22"/>
          <w:szCs w:val="22"/>
          <w:lang w:val="pl-PL"/>
        </w:rPr>
        <w:t>/12,5 mg tabletki</w:t>
      </w:r>
    </w:p>
    <w:p w:rsidR="002D3E1A" w:rsidRPr="009353E6" w:rsidRDefault="0019761C">
      <w:pPr>
        <w:tabs>
          <w:tab w:val="left" w:pos="900"/>
        </w:tabs>
        <w:jc w:val="both"/>
        <w:rPr>
          <w:sz w:val="22"/>
          <w:szCs w:val="22"/>
          <w:lang w:val="pl-PL"/>
        </w:rPr>
      </w:pPr>
      <w:r w:rsidRPr="009353E6">
        <w:rPr>
          <w:sz w:val="22"/>
          <w:szCs w:val="22"/>
          <w:lang w:val="pl-PL"/>
        </w:rPr>
        <w:t>t</w:t>
      </w:r>
      <w:r w:rsidR="00251DF8" w:rsidRPr="009353E6">
        <w:rPr>
          <w:sz w:val="22"/>
          <w:szCs w:val="22"/>
          <w:lang w:val="pl-PL"/>
        </w:rPr>
        <w:t>elmisartan/</w:t>
      </w:r>
      <w:r w:rsidRPr="009353E6">
        <w:rPr>
          <w:sz w:val="22"/>
          <w:szCs w:val="22"/>
          <w:lang w:val="pl-PL"/>
        </w:rPr>
        <w:t>h</w:t>
      </w:r>
      <w:r w:rsidR="00251DF8" w:rsidRPr="009353E6">
        <w:rPr>
          <w:sz w:val="22"/>
          <w:szCs w:val="22"/>
          <w:lang w:val="pl-PL"/>
        </w:rPr>
        <w:t>ydrochlorotiazyd</w:t>
      </w:r>
    </w:p>
    <w:p w:rsidR="00251DF8" w:rsidRPr="009353E6" w:rsidRDefault="00251DF8">
      <w:pPr>
        <w:tabs>
          <w:tab w:val="left" w:pos="900"/>
        </w:tabs>
        <w:jc w:val="both"/>
        <w:rPr>
          <w:sz w:val="22"/>
          <w:szCs w:val="22"/>
          <w:lang w:val="pl-PL"/>
        </w:rPr>
      </w:pPr>
    </w:p>
    <w:p w:rsidR="002D3E1A" w:rsidRPr="009353E6" w:rsidRDefault="002D3E1A">
      <w:pPr>
        <w:tabs>
          <w:tab w:val="left" w:pos="900"/>
        </w:tabs>
        <w:jc w:val="both"/>
        <w:rPr>
          <w:sz w:val="22"/>
          <w:szCs w:val="22"/>
          <w:lang w:val="pl-PL"/>
        </w:rPr>
      </w:pPr>
    </w:p>
    <w:p w:rsidR="002D3E1A" w:rsidRPr="009353E6" w:rsidRDefault="002D3E1A" w:rsidP="002D507E">
      <w:pPr>
        <w:numPr>
          <w:ilvl w:val="0"/>
          <w:numId w:val="2"/>
        </w:numPr>
        <w:pBdr>
          <w:top w:val="single" w:sz="4" w:space="1" w:color="auto"/>
          <w:left w:val="single" w:sz="4" w:space="4" w:color="auto"/>
          <w:bottom w:val="single" w:sz="4" w:space="1" w:color="auto"/>
          <w:right w:val="single" w:sz="4" w:space="4" w:color="auto"/>
        </w:pBdr>
        <w:tabs>
          <w:tab w:val="clear" w:pos="1080"/>
          <w:tab w:val="num" w:pos="540"/>
        </w:tabs>
        <w:ind w:left="540" w:hanging="540"/>
        <w:jc w:val="both"/>
        <w:rPr>
          <w:b/>
          <w:sz w:val="22"/>
          <w:szCs w:val="22"/>
          <w:lang w:val="pl-PL"/>
        </w:rPr>
      </w:pPr>
      <w:r w:rsidRPr="009353E6">
        <w:rPr>
          <w:b/>
          <w:sz w:val="22"/>
          <w:szCs w:val="22"/>
          <w:lang w:val="pl-PL"/>
        </w:rPr>
        <w:t xml:space="preserve">ZAWARTOŚĆ SUBSTANCJI </w:t>
      </w:r>
      <w:r w:rsidR="00251DF8" w:rsidRPr="009353E6">
        <w:rPr>
          <w:b/>
          <w:sz w:val="22"/>
          <w:szCs w:val="22"/>
          <w:lang w:val="pl-PL"/>
        </w:rPr>
        <w:t>CZYNNYCH</w:t>
      </w:r>
    </w:p>
    <w:p w:rsidR="002D3E1A" w:rsidRPr="009353E6" w:rsidRDefault="002D3E1A">
      <w:pPr>
        <w:tabs>
          <w:tab w:val="left" w:pos="900"/>
        </w:tabs>
        <w:jc w:val="both"/>
        <w:rPr>
          <w:b/>
          <w:sz w:val="22"/>
          <w:szCs w:val="22"/>
          <w:lang w:val="pl-PL"/>
        </w:rPr>
      </w:pPr>
    </w:p>
    <w:p w:rsidR="002D3E1A" w:rsidRPr="009353E6" w:rsidRDefault="002D3E1A">
      <w:pPr>
        <w:tabs>
          <w:tab w:val="left" w:pos="0"/>
        </w:tabs>
        <w:jc w:val="both"/>
        <w:rPr>
          <w:sz w:val="22"/>
          <w:szCs w:val="22"/>
          <w:lang w:val="pl-PL"/>
        </w:rPr>
      </w:pPr>
      <w:r w:rsidRPr="009353E6">
        <w:rPr>
          <w:sz w:val="22"/>
          <w:szCs w:val="22"/>
          <w:lang w:val="pl-PL"/>
        </w:rPr>
        <w:t xml:space="preserve">Każda tabletka zawiera </w:t>
      </w:r>
      <w:r w:rsidR="00B23D03" w:rsidRPr="009353E6">
        <w:rPr>
          <w:sz w:val="22"/>
          <w:szCs w:val="22"/>
          <w:lang w:val="pl-PL"/>
        </w:rPr>
        <w:t xml:space="preserve">40 mg </w:t>
      </w:r>
      <w:r w:rsidR="00251DF8" w:rsidRPr="009353E6">
        <w:rPr>
          <w:sz w:val="22"/>
          <w:szCs w:val="22"/>
          <w:lang w:val="pl-PL"/>
        </w:rPr>
        <w:t>telmisartan</w:t>
      </w:r>
      <w:r w:rsidR="00B23D03" w:rsidRPr="009353E6">
        <w:rPr>
          <w:sz w:val="22"/>
          <w:szCs w:val="22"/>
          <w:lang w:val="pl-PL"/>
        </w:rPr>
        <w:t>u</w:t>
      </w:r>
      <w:r w:rsidR="00251DF8" w:rsidRPr="009353E6">
        <w:rPr>
          <w:sz w:val="22"/>
          <w:szCs w:val="22"/>
          <w:lang w:val="pl-PL"/>
        </w:rPr>
        <w:t xml:space="preserve"> </w:t>
      </w:r>
      <w:r w:rsidRPr="009353E6">
        <w:rPr>
          <w:sz w:val="22"/>
          <w:szCs w:val="22"/>
          <w:lang w:val="pl-PL"/>
        </w:rPr>
        <w:t xml:space="preserve">i </w:t>
      </w:r>
      <w:r w:rsidR="00B23D03" w:rsidRPr="009353E6">
        <w:rPr>
          <w:sz w:val="22"/>
          <w:szCs w:val="22"/>
          <w:lang w:val="pl-PL"/>
        </w:rPr>
        <w:t xml:space="preserve">12,5 mg </w:t>
      </w:r>
      <w:r w:rsidR="00251DF8" w:rsidRPr="009353E6">
        <w:rPr>
          <w:sz w:val="22"/>
          <w:szCs w:val="22"/>
          <w:lang w:val="pl-PL"/>
        </w:rPr>
        <w:t>hydrochlorotiazyd</w:t>
      </w:r>
      <w:r w:rsidR="00B23D03" w:rsidRPr="009353E6">
        <w:rPr>
          <w:sz w:val="22"/>
          <w:szCs w:val="22"/>
          <w:lang w:val="pl-PL"/>
        </w:rPr>
        <w:t>u</w:t>
      </w:r>
      <w:r w:rsidR="00490DBE"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2"/>
        </w:numPr>
        <w:pBdr>
          <w:top w:val="single" w:sz="4" w:space="1" w:color="auto"/>
          <w:left w:val="single" w:sz="4" w:space="4" w:color="auto"/>
          <w:bottom w:val="single" w:sz="4" w:space="1" w:color="auto"/>
          <w:right w:val="single" w:sz="4" w:space="4" w:color="auto"/>
        </w:pBdr>
        <w:tabs>
          <w:tab w:val="clear" w:pos="1080"/>
          <w:tab w:val="left" w:pos="0"/>
          <w:tab w:val="num" w:pos="540"/>
        </w:tabs>
        <w:ind w:left="540" w:hanging="540"/>
        <w:rPr>
          <w:b/>
          <w:sz w:val="22"/>
          <w:szCs w:val="22"/>
          <w:lang w:val="pl-PL"/>
        </w:rPr>
      </w:pPr>
      <w:r w:rsidRPr="009353E6">
        <w:rPr>
          <w:b/>
          <w:sz w:val="22"/>
          <w:szCs w:val="22"/>
          <w:lang w:val="pl-PL"/>
        </w:rPr>
        <w:t>WYKAZ SUBSTANCJI POMOCNICZYCH</w:t>
      </w:r>
    </w:p>
    <w:p w:rsidR="00251DF8" w:rsidRPr="009353E6" w:rsidRDefault="00251DF8">
      <w:pPr>
        <w:tabs>
          <w:tab w:val="left" w:pos="0"/>
        </w:tabs>
        <w:jc w:val="both"/>
        <w:rPr>
          <w:b/>
          <w:sz w:val="22"/>
          <w:szCs w:val="22"/>
          <w:lang w:val="pl-PL"/>
        </w:rPr>
      </w:pPr>
    </w:p>
    <w:p w:rsidR="002D5E68" w:rsidRPr="009353E6" w:rsidRDefault="00251DF8" w:rsidP="002D5E68">
      <w:pPr>
        <w:tabs>
          <w:tab w:val="left" w:pos="0"/>
        </w:tabs>
        <w:jc w:val="both"/>
        <w:rPr>
          <w:sz w:val="22"/>
          <w:szCs w:val="22"/>
          <w:lang w:val="pl-PL"/>
        </w:rPr>
      </w:pPr>
      <w:r w:rsidRPr="009353E6">
        <w:rPr>
          <w:sz w:val="22"/>
          <w:szCs w:val="22"/>
          <w:lang w:val="pl-PL"/>
        </w:rPr>
        <w:t>Zawiera</w:t>
      </w:r>
      <w:r w:rsidR="00D05D70" w:rsidRPr="009353E6">
        <w:rPr>
          <w:sz w:val="22"/>
          <w:szCs w:val="22"/>
          <w:lang w:val="pl-PL"/>
        </w:rPr>
        <w:t xml:space="preserve"> </w:t>
      </w:r>
      <w:r w:rsidR="00874D37" w:rsidRPr="009353E6">
        <w:rPr>
          <w:sz w:val="22"/>
          <w:szCs w:val="22"/>
          <w:lang w:val="pl-PL"/>
        </w:rPr>
        <w:t>laktozę</w:t>
      </w:r>
      <w:r w:rsidR="00D05D70" w:rsidRPr="009353E6">
        <w:rPr>
          <w:sz w:val="22"/>
          <w:szCs w:val="22"/>
          <w:lang w:val="pl-PL"/>
        </w:rPr>
        <w:t xml:space="preserve"> jednowodną i</w:t>
      </w:r>
      <w:r w:rsidRPr="009353E6">
        <w:rPr>
          <w:sz w:val="22"/>
          <w:szCs w:val="22"/>
          <w:lang w:val="pl-PL"/>
        </w:rPr>
        <w:t xml:space="preserve"> sorbitol</w:t>
      </w:r>
      <w:r w:rsidR="002D5E68" w:rsidRPr="009353E6">
        <w:rPr>
          <w:sz w:val="22"/>
          <w:szCs w:val="22"/>
          <w:lang w:val="pl-PL"/>
        </w:rPr>
        <w:t xml:space="preserve"> (E420).</w:t>
      </w:r>
    </w:p>
    <w:p w:rsidR="0007757E" w:rsidRPr="009353E6" w:rsidRDefault="0007757E" w:rsidP="0007757E">
      <w:pPr>
        <w:rPr>
          <w:sz w:val="22"/>
          <w:szCs w:val="22"/>
          <w:lang w:val="pl-PL"/>
        </w:rPr>
      </w:pPr>
      <w:r w:rsidRPr="009353E6">
        <w:rPr>
          <w:sz w:val="22"/>
          <w:szCs w:val="22"/>
          <w:lang w:val="pl-PL"/>
        </w:rPr>
        <w:t xml:space="preserve">W celu uzyskania dodatkowych informacji należy zapoznać się z treścią ulotki dołączonej do opakowania. </w:t>
      </w:r>
    </w:p>
    <w:p w:rsidR="002D3E1A" w:rsidRPr="009353E6" w:rsidRDefault="002D3E1A">
      <w:pPr>
        <w:tabs>
          <w:tab w:val="left" w:pos="0"/>
        </w:tabs>
        <w:jc w:val="both"/>
        <w:rPr>
          <w:b/>
          <w:sz w:val="22"/>
          <w:szCs w:val="22"/>
          <w:lang w:val="pl-PL"/>
        </w:rPr>
      </w:pPr>
    </w:p>
    <w:p w:rsidR="0007757E" w:rsidRPr="009353E6" w:rsidRDefault="0007757E">
      <w:pPr>
        <w:tabs>
          <w:tab w:val="left" w:pos="0"/>
        </w:tabs>
        <w:jc w:val="both"/>
        <w:rPr>
          <w:b/>
          <w:sz w:val="22"/>
          <w:szCs w:val="22"/>
          <w:lang w:val="pl-PL"/>
        </w:rPr>
      </w:pPr>
    </w:p>
    <w:p w:rsidR="002D3E1A" w:rsidRPr="009353E6" w:rsidRDefault="002D3E1A" w:rsidP="002D507E">
      <w:pPr>
        <w:numPr>
          <w:ilvl w:val="0"/>
          <w:numId w:val="2"/>
        </w:numPr>
        <w:pBdr>
          <w:top w:val="single" w:sz="4" w:space="1" w:color="auto"/>
          <w:left w:val="single" w:sz="4" w:space="4" w:color="auto"/>
          <w:bottom w:val="single" w:sz="4" w:space="1" w:color="auto"/>
          <w:right w:val="single" w:sz="4" w:space="4" w:color="auto"/>
        </w:pBdr>
        <w:tabs>
          <w:tab w:val="clear" w:pos="1080"/>
          <w:tab w:val="left" w:pos="0"/>
          <w:tab w:val="num" w:pos="540"/>
        </w:tabs>
        <w:ind w:left="540" w:hanging="540"/>
        <w:jc w:val="both"/>
        <w:rPr>
          <w:b/>
          <w:sz w:val="22"/>
          <w:szCs w:val="22"/>
          <w:lang w:val="pl-PL"/>
        </w:rPr>
      </w:pPr>
      <w:r w:rsidRPr="009353E6">
        <w:rPr>
          <w:b/>
          <w:sz w:val="22"/>
          <w:szCs w:val="22"/>
          <w:lang w:val="pl-PL"/>
        </w:rPr>
        <w:t xml:space="preserve">POSTAĆ </w:t>
      </w:r>
      <w:r w:rsidR="00D42597" w:rsidRPr="009353E6">
        <w:rPr>
          <w:b/>
          <w:sz w:val="22"/>
          <w:szCs w:val="22"/>
          <w:lang w:val="pl-PL"/>
        </w:rPr>
        <w:t>FARMACEUTYCZNA</w:t>
      </w:r>
      <w:r w:rsidRPr="009353E6">
        <w:rPr>
          <w:b/>
          <w:sz w:val="22"/>
          <w:szCs w:val="22"/>
          <w:lang w:val="pl-PL"/>
        </w:rPr>
        <w:t xml:space="preserve"> I ZAWARTOŚĆ OPAKOWANIA</w:t>
      </w:r>
    </w:p>
    <w:p w:rsidR="002D3E1A" w:rsidRPr="009353E6" w:rsidRDefault="002D3E1A">
      <w:pPr>
        <w:tabs>
          <w:tab w:val="left" w:pos="0"/>
        </w:tabs>
        <w:jc w:val="both"/>
        <w:rPr>
          <w:b/>
          <w:sz w:val="22"/>
          <w:szCs w:val="22"/>
          <w:lang w:val="pl-PL"/>
        </w:rPr>
      </w:pPr>
    </w:p>
    <w:p w:rsidR="002D3E1A" w:rsidRPr="009353E6" w:rsidRDefault="002D3E1A">
      <w:pPr>
        <w:tabs>
          <w:tab w:val="left" w:pos="0"/>
        </w:tabs>
        <w:jc w:val="both"/>
        <w:rPr>
          <w:sz w:val="22"/>
          <w:szCs w:val="22"/>
          <w:lang w:val="pl-PL"/>
        </w:rPr>
      </w:pPr>
      <w:r w:rsidRPr="009353E6">
        <w:rPr>
          <w:sz w:val="22"/>
          <w:szCs w:val="22"/>
          <w:lang w:val="pl-PL"/>
        </w:rPr>
        <w:t>14 tabletek</w:t>
      </w:r>
    </w:p>
    <w:p w:rsidR="001E2E71" w:rsidRPr="009353E6" w:rsidRDefault="001E2E71">
      <w:pPr>
        <w:tabs>
          <w:tab w:val="left" w:pos="0"/>
        </w:tabs>
        <w:jc w:val="both"/>
        <w:rPr>
          <w:sz w:val="22"/>
          <w:szCs w:val="22"/>
          <w:highlight w:val="lightGray"/>
          <w:lang w:val="pl-PL"/>
        </w:rPr>
      </w:pPr>
      <w:r w:rsidRPr="009353E6">
        <w:rPr>
          <w:sz w:val="22"/>
          <w:szCs w:val="22"/>
          <w:highlight w:val="lightGray"/>
          <w:lang w:val="pl-PL"/>
        </w:rPr>
        <w:t xml:space="preserve">28 tabletek </w:t>
      </w:r>
    </w:p>
    <w:p w:rsidR="001E2E71" w:rsidRPr="009353E6" w:rsidRDefault="001E2E71">
      <w:pPr>
        <w:tabs>
          <w:tab w:val="left" w:pos="0"/>
        </w:tabs>
        <w:jc w:val="both"/>
        <w:rPr>
          <w:sz w:val="22"/>
          <w:szCs w:val="22"/>
          <w:highlight w:val="lightGray"/>
          <w:lang w:val="pl-PL"/>
        </w:rPr>
      </w:pPr>
      <w:r w:rsidRPr="009353E6">
        <w:rPr>
          <w:sz w:val="22"/>
          <w:szCs w:val="22"/>
          <w:highlight w:val="lightGray"/>
          <w:lang w:val="pl-PL"/>
        </w:rPr>
        <w:t xml:space="preserve">30 </w:t>
      </w:r>
      <w:r w:rsidR="001C1D53" w:rsidRPr="009353E6">
        <w:rPr>
          <w:sz w:val="22"/>
          <w:szCs w:val="22"/>
          <w:highlight w:val="lightGray"/>
          <w:lang w:val="pl-PL"/>
        </w:rPr>
        <w:t xml:space="preserve">x 1 </w:t>
      </w:r>
      <w:r w:rsidRPr="009353E6">
        <w:rPr>
          <w:sz w:val="22"/>
          <w:szCs w:val="22"/>
          <w:highlight w:val="lightGray"/>
          <w:lang w:val="pl-PL"/>
        </w:rPr>
        <w:t>tabletk</w:t>
      </w:r>
      <w:r w:rsidR="00FD057A" w:rsidRPr="009353E6">
        <w:rPr>
          <w:sz w:val="22"/>
          <w:szCs w:val="22"/>
          <w:highlight w:val="lightGray"/>
          <w:lang w:val="pl-PL"/>
        </w:rPr>
        <w:t>a</w:t>
      </w:r>
    </w:p>
    <w:p w:rsidR="001E2E71" w:rsidRPr="009353E6" w:rsidRDefault="001E2E71">
      <w:pPr>
        <w:tabs>
          <w:tab w:val="left" w:pos="0"/>
        </w:tabs>
        <w:jc w:val="both"/>
        <w:rPr>
          <w:sz w:val="22"/>
          <w:szCs w:val="22"/>
          <w:highlight w:val="lightGray"/>
          <w:lang w:val="pl-PL"/>
        </w:rPr>
      </w:pPr>
      <w:r w:rsidRPr="009353E6">
        <w:rPr>
          <w:sz w:val="22"/>
          <w:szCs w:val="22"/>
          <w:highlight w:val="lightGray"/>
          <w:lang w:val="pl-PL"/>
        </w:rPr>
        <w:t>56 tabletek</w:t>
      </w:r>
    </w:p>
    <w:p w:rsidR="001E2E71" w:rsidRPr="009353E6" w:rsidRDefault="001E2E71">
      <w:pPr>
        <w:tabs>
          <w:tab w:val="left" w:pos="0"/>
        </w:tabs>
        <w:jc w:val="both"/>
        <w:rPr>
          <w:sz w:val="22"/>
          <w:szCs w:val="22"/>
          <w:highlight w:val="lightGray"/>
          <w:lang w:val="pl-PL"/>
        </w:rPr>
      </w:pPr>
      <w:r w:rsidRPr="009353E6">
        <w:rPr>
          <w:sz w:val="22"/>
          <w:szCs w:val="22"/>
          <w:highlight w:val="lightGray"/>
          <w:lang w:val="pl-PL"/>
        </w:rPr>
        <w:t>84 tabl</w:t>
      </w:r>
      <w:r w:rsidR="00FD057A" w:rsidRPr="009353E6">
        <w:rPr>
          <w:sz w:val="22"/>
          <w:szCs w:val="22"/>
          <w:highlight w:val="lightGray"/>
          <w:lang w:val="pl-PL"/>
        </w:rPr>
        <w:t>e</w:t>
      </w:r>
      <w:r w:rsidRPr="009353E6">
        <w:rPr>
          <w:sz w:val="22"/>
          <w:szCs w:val="22"/>
          <w:highlight w:val="lightGray"/>
          <w:lang w:val="pl-PL"/>
        </w:rPr>
        <w:t>tk</w:t>
      </w:r>
      <w:r w:rsidR="00E3305D" w:rsidRPr="009353E6">
        <w:rPr>
          <w:sz w:val="22"/>
          <w:szCs w:val="22"/>
          <w:highlight w:val="lightGray"/>
          <w:lang w:val="pl-PL"/>
        </w:rPr>
        <w:t>i</w:t>
      </w:r>
    </w:p>
    <w:p w:rsidR="001E2E71" w:rsidRPr="009353E6" w:rsidRDefault="001E2E71">
      <w:pPr>
        <w:tabs>
          <w:tab w:val="left" w:pos="0"/>
        </w:tabs>
        <w:jc w:val="both"/>
        <w:rPr>
          <w:sz w:val="22"/>
          <w:szCs w:val="22"/>
          <w:highlight w:val="lightGray"/>
          <w:lang w:val="pl-PL"/>
        </w:rPr>
      </w:pPr>
      <w:r w:rsidRPr="009353E6">
        <w:rPr>
          <w:sz w:val="22"/>
          <w:szCs w:val="22"/>
          <w:highlight w:val="lightGray"/>
          <w:lang w:val="pl-PL"/>
        </w:rPr>
        <w:t xml:space="preserve">90 </w:t>
      </w:r>
      <w:r w:rsidR="001C1D53" w:rsidRPr="009353E6">
        <w:rPr>
          <w:sz w:val="22"/>
          <w:szCs w:val="22"/>
          <w:highlight w:val="lightGray"/>
          <w:lang w:val="pl-PL"/>
        </w:rPr>
        <w:t xml:space="preserve">x 1 </w:t>
      </w:r>
      <w:r w:rsidRPr="009353E6">
        <w:rPr>
          <w:sz w:val="22"/>
          <w:szCs w:val="22"/>
          <w:highlight w:val="lightGray"/>
          <w:lang w:val="pl-PL"/>
        </w:rPr>
        <w:t>tabletk</w:t>
      </w:r>
      <w:r w:rsidR="00FD057A" w:rsidRPr="009353E6">
        <w:rPr>
          <w:sz w:val="22"/>
          <w:szCs w:val="22"/>
          <w:highlight w:val="lightGray"/>
          <w:lang w:val="pl-PL"/>
        </w:rPr>
        <w:t>a</w:t>
      </w:r>
    </w:p>
    <w:p w:rsidR="001E2E71" w:rsidRPr="009353E6" w:rsidRDefault="001E2E71">
      <w:pPr>
        <w:tabs>
          <w:tab w:val="left" w:pos="0"/>
        </w:tabs>
        <w:jc w:val="both"/>
        <w:rPr>
          <w:sz w:val="22"/>
          <w:szCs w:val="22"/>
          <w:highlight w:val="lightGray"/>
          <w:lang w:val="pl-PL"/>
        </w:rPr>
      </w:pPr>
      <w:r w:rsidRPr="009353E6">
        <w:rPr>
          <w:sz w:val="22"/>
          <w:szCs w:val="22"/>
          <w:highlight w:val="lightGray"/>
          <w:lang w:val="pl-PL"/>
        </w:rPr>
        <w:t>98 tabletek</w:t>
      </w:r>
    </w:p>
    <w:p w:rsidR="001E2E71" w:rsidRPr="009353E6" w:rsidRDefault="001E2E71">
      <w:pPr>
        <w:tabs>
          <w:tab w:val="left" w:pos="0"/>
        </w:tabs>
        <w:jc w:val="both"/>
        <w:rPr>
          <w:sz w:val="22"/>
          <w:szCs w:val="22"/>
          <w:lang w:val="pl-PL"/>
        </w:rPr>
      </w:pPr>
      <w:r w:rsidRPr="009353E6">
        <w:rPr>
          <w:sz w:val="22"/>
          <w:szCs w:val="22"/>
          <w:highlight w:val="lightGray"/>
          <w:lang w:val="pl-PL"/>
        </w:rPr>
        <w:t>28 x</w:t>
      </w:r>
      <w:r w:rsidR="000B7793" w:rsidRPr="009353E6">
        <w:rPr>
          <w:sz w:val="22"/>
          <w:szCs w:val="22"/>
          <w:highlight w:val="lightGray"/>
          <w:lang w:val="pl-PL"/>
        </w:rPr>
        <w:t xml:space="preserve"> </w:t>
      </w:r>
      <w:r w:rsidRPr="009353E6">
        <w:rPr>
          <w:sz w:val="22"/>
          <w:szCs w:val="22"/>
          <w:highlight w:val="lightGray"/>
          <w:lang w:val="pl-PL"/>
        </w:rPr>
        <w:t>1 tabletka</w:t>
      </w:r>
    </w:p>
    <w:p w:rsidR="001E2E71" w:rsidRPr="009353E6" w:rsidRDefault="001E2E71">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2"/>
        </w:numPr>
        <w:pBdr>
          <w:top w:val="single" w:sz="4" w:space="1" w:color="auto"/>
          <w:left w:val="single" w:sz="4" w:space="4" w:color="auto"/>
          <w:bottom w:val="single" w:sz="4" w:space="1" w:color="auto"/>
          <w:right w:val="single" w:sz="4" w:space="4" w:color="auto"/>
        </w:pBdr>
        <w:tabs>
          <w:tab w:val="clear" w:pos="1080"/>
          <w:tab w:val="left" w:pos="0"/>
          <w:tab w:val="num" w:pos="540"/>
        </w:tabs>
        <w:ind w:left="540" w:hanging="540"/>
        <w:jc w:val="both"/>
        <w:rPr>
          <w:b/>
          <w:sz w:val="22"/>
          <w:szCs w:val="22"/>
          <w:lang w:val="pl-PL"/>
        </w:rPr>
      </w:pPr>
      <w:r w:rsidRPr="009353E6">
        <w:rPr>
          <w:b/>
          <w:sz w:val="22"/>
          <w:szCs w:val="22"/>
          <w:lang w:val="pl-PL"/>
        </w:rPr>
        <w:t xml:space="preserve">SPOSÓB I </w:t>
      </w:r>
      <w:r w:rsidR="00251DF8" w:rsidRPr="009353E6">
        <w:rPr>
          <w:b/>
          <w:sz w:val="22"/>
          <w:szCs w:val="22"/>
          <w:lang w:val="pl-PL"/>
        </w:rPr>
        <w:t>DROGA</w:t>
      </w:r>
      <w:r w:rsidRPr="009353E6">
        <w:rPr>
          <w:b/>
          <w:sz w:val="22"/>
          <w:szCs w:val="22"/>
          <w:lang w:val="pl-PL"/>
        </w:rPr>
        <w:t xml:space="preserve"> PODANIA</w:t>
      </w:r>
    </w:p>
    <w:p w:rsidR="002D3E1A" w:rsidRPr="009353E6" w:rsidRDefault="002D3E1A">
      <w:pPr>
        <w:tabs>
          <w:tab w:val="left" w:pos="0"/>
          <w:tab w:val="left" w:pos="720"/>
          <w:tab w:val="left" w:pos="900"/>
        </w:tabs>
        <w:jc w:val="both"/>
        <w:rPr>
          <w:b/>
          <w:sz w:val="22"/>
          <w:szCs w:val="22"/>
          <w:lang w:val="pl-PL"/>
        </w:rPr>
      </w:pPr>
    </w:p>
    <w:p w:rsidR="002D3E1A" w:rsidRPr="009353E6" w:rsidRDefault="002D3E1A">
      <w:pPr>
        <w:tabs>
          <w:tab w:val="left" w:pos="0"/>
          <w:tab w:val="left" w:pos="720"/>
          <w:tab w:val="left" w:pos="900"/>
        </w:tabs>
        <w:jc w:val="both"/>
        <w:rPr>
          <w:sz w:val="22"/>
          <w:szCs w:val="22"/>
          <w:lang w:val="pl-PL"/>
        </w:rPr>
      </w:pPr>
      <w:r w:rsidRPr="009353E6">
        <w:rPr>
          <w:sz w:val="22"/>
          <w:szCs w:val="22"/>
          <w:lang w:val="pl-PL"/>
        </w:rPr>
        <w:t>Podanie doustne</w:t>
      </w:r>
      <w:r w:rsidR="00125970" w:rsidRPr="009353E6">
        <w:rPr>
          <w:sz w:val="22"/>
          <w:szCs w:val="22"/>
          <w:lang w:val="pl-PL"/>
        </w:rPr>
        <w:t>.</w:t>
      </w:r>
    </w:p>
    <w:p w:rsidR="00251DF8" w:rsidRPr="009353E6" w:rsidRDefault="00D05D70">
      <w:pPr>
        <w:tabs>
          <w:tab w:val="left" w:pos="0"/>
          <w:tab w:val="left" w:pos="720"/>
          <w:tab w:val="left" w:pos="900"/>
        </w:tabs>
        <w:jc w:val="both"/>
        <w:rPr>
          <w:sz w:val="22"/>
          <w:szCs w:val="22"/>
          <w:lang w:val="pl-PL"/>
        </w:rPr>
      </w:pPr>
      <w:r w:rsidRPr="009353E6">
        <w:rPr>
          <w:sz w:val="22"/>
          <w:szCs w:val="22"/>
          <w:lang w:val="pl-PL"/>
        </w:rPr>
        <w:t xml:space="preserve">Należy zapoznać się z treścią ulotki przed zastosowaniem leku. </w:t>
      </w:r>
    </w:p>
    <w:p w:rsidR="002D3E1A" w:rsidRPr="009353E6" w:rsidRDefault="002D3E1A">
      <w:pPr>
        <w:tabs>
          <w:tab w:val="left" w:pos="0"/>
          <w:tab w:val="left" w:pos="720"/>
          <w:tab w:val="left" w:pos="900"/>
        </w:tabs>
        <w:jc w:val="both"/>
        <w:rPr>
          <w:sz w:val="22"/>
          <w:szCs w:val="22"/>
          <w:lang w:val="pl-PL"/>
        </w:rPr>
      </w:pPr>
    </w:p>
    <w:p w:rsidR="00513A3D" w:rsidRPr="009353E6" w:rsidRDefault="00513A3D">
      <w:pPr>
        <w:tabs>
          <w:tab w:val="left" w:pos="0"/>
          <w:tab w:val="left" w:pos="720"/>
          <w:tab w:val="left" w:pos="90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ind w:left="540" w:hanging="540"/>
        <w:rPr>
          <w:b/>
          <w:sz w:val="22"/>
          <w:szCs w:val="22"/>
          <w:lang w:val="pl-PL"/>
        </w:rPr>
      </w:pPr>
      <w:r w:rsidRPr="009353E6">
        <w:rPr>
          <w:b/>
          <w:sz w:val="22"/>
          <w:szCs w:val="22"/>
          <w:lang w:val="pl-PL"/>
        </w:rPr>
        <w:t>6.</w:t>
      </w:r>
      <w:r w:rsidRPr="009353E6">
        <w:rPr>
          <w:b/>
          <w:sz w:val="22"/>
          <w:szCs w:val="22"/>
          <w:lang w:val="pl-PL"/>
        </w:rPr>
        <w:tab/>
        <w:t xml:space="preserve">OSTRZEŻENIE DOTYCZĄCE PRZECHOWYWANIA PRODUKTU LECZNICZEGO W MIEJSCU </w:t>
      </w:r>
      <w:r w:rsidR="000A17A5" w:rsidRPr="009353E6">
        <w:rPr>
          <w:b/>
          <w:sz w:val="22"/>
          <w:szCs w:val="22"/>
          <w:lang w:val="pl-PL"/>
        </w:rPr>
        <w:t xml:space="preserve">NIEWIDOCZNYM I </w:t>
      </w:r>
      <w:r w:rsidRPr="009353E6">
        <w:rPr>
          <w:b/>
          <w:sz w:val="22"/>
          <w:szCs w:val="22"/>
          <w:lang w:val="pl-PL"/>
        </w:rPr>
        <w:t xml:space="preserve">NIEDOSTĘPNYM DLA DZIECI </w:t>
      </w:r>
    </w:p>
    <w:p w:rsidR="002D3E1A" w:rsidRPr="009353E6" w:rsidRDefault="002D3E1A">
      <w:pPr>
        <w:tabs>
          <w:tab w:val="left" w:pos="720"/>
        </w:tabs>
        <w:jc w:val="both"/>
        <w:rPr>
          <w:sz w:val="22"/>
          <w:szCs w:val="22"/>
          <w:lang w:val="pl-PL"/>
        </w:rPr>
      </w:pPr>
    </w:p>
    <w:p w:rsidR="002D3E1A" w:rsidRPr="009353E6" w:rsidRDefault="002D3E1A">
      <w:pPr>
        <w:tabs>
          <w:tab w:val="left" w:pos="720"/>
          <w:tab w:val="left" w:pos="900"/>
        </w:tabs>
        <w:rPr>
          <w:sz w:val="22"/>
          <w:szCs w:val="22"/>
          <w:lang w:val="pl-PL"/>
        </w:rPr>
      </w:pPr>
      <w:r w:rsidRPr="009353E6">
        <w:rPr>
          <w:sz w:val="22"/>
          <w:szCs w:val="22"/>
          <w:lang w:val="pl-PL"/>
        </w:rPr>
        <w:t xml:space="preserve">Lek przechowywać w miejscu </w:t>
      </w:r>
      <w:r w:rsidR="000A17A5" w:rsidRPr="009353E6">
        <w:rPr>
          <w:sz w:val="22"/>
          <w:szCs w:val="22"/>
          <w:lang w:val="pl-PL"/>
        </w:rPr>
        <w:t xml:space="preserve">niewidocznym i </w:t>
      </w:r>
      <w:r w:rsidRPr="009353E6">
        <w:rPr>
          <w:sz w:val="22"/>
          <w:szCs w:val="22"/>
          <w:lang w:val="pl-PL"/>
        </w:rPr>
        <w:t>niedostępnym dla dzieci.</w:t>
      </w:r>
    </w:p>
    <w:p w:rsidR="002D3E1A" w:rsidRPr="009353E6" w:rsidRDefault="002D3E1A">
      <w:pPr>
        <w:tabs>
          <w:tab w:val="left" w:pos="720"/>
          <w:tab w:val="left" w:pos="900"/>
        </w:tabs>
        <w:jc w:val="both"/>
        <w:rPr>
          <w:b/>
          <w:sz w:val="22"/>
          <w:szCs w:val="22"/>
          <w:lang w:val="pl-PL"/>
        </w:rPr>
      </w:pPr>
    </w:p>
    <w:p w:rsidR="002D3E1A" w:rsidRPr="009353E6" w:rsidRDefault="002D3E1A">
      <w:pPr>
        <w:tabs>
          <w:tab w:val="left" w:pos="720"/>
          <w:tab w:val="left" w:pos="900"/>
        </w:tabs>
        <w:jc w:val="both"/>
        <w:rPr>
          <w:b/>
          <w:sz w:val="22"/>
          <w:szCs w:val="22"/>
          <w:lang w:val="pl-PL"/>
        </w:rPr>
      </w:pPr>
    </w:p>
    <w:p w:rsidR="002D3E1A" w:rsidRPr="009353E6" w:rsidRDefault="002D3E1A" w:rsidP="002D507E">
      <w:pPr>
        <w:numPr>
          <w:ilvl w:val="0"/>
          <w:numId w:val="4"/>
        </w:numPr>
        <w:pBdr>
          <w:top w:val="single" w:sz="4" w:space="1" w:color="auto"/>
          <w:left w:val="single" w:sz="4" w:space="4" w:color="auto"/>
          <w:bottom w:val="single" w:sz="4" w:space="1" w:color="auto"/>
          <w:right w:val="single" w:sz="4" w:space="4" w:color="auto"/>
        </w:pBdr>
        <w:tabs>
          <w:tab w:val="clear" w:pos="900"/>
          <w:tab w:val="num" w:pos="540"/>
        </w:tabs>
        <w:ind w:left="540" w:hanging="540"/>
        <w:rPr>
          <w:b/>
          <w:sz w:val="22"/>
          <w:szCs w:val="22"/>
          <w:lang w:val="pl-PL"/>
        </w:rPr>
      </w:pPr>
      <w:r w:rsidRPr="009353E6">
        <w:rPr>
          <w:b/>
          <w:sz w:val="22"/>
          <w:szCs w:val="22"/>
          <w:lang w:val="pl-PL"/>
        </w:rPr>
        <w:t xml:space="preserve">INNE OSTRZEŻENIA SPECJALNE, JEŚLI KONIECZNE </w:t>
      </w:r>
    </w:p>
    <w:p w:rsidR="002D3E1A" w:rsidRPr="009353E6" w:rsidRDefault="002D3E1A">
      <w:pPr>
        <w:tabs>
          <w:tab w:val="left" w:pos="720"/>
          <w:tab w:val="left" w:pos="900"/>
        </w:tabs>
        <w:jc w:val="both"/>
        <w:rPr>
          <w:b/>
          <w:sz w:val="22"/>
          <w:szCs w:val="22"/>
          <w:lang w:val="pl-PL"/>
        </w:rPr>
      </w:pPr>
    </w:p>
    <w:p w:rsidR="003D347F" w:rsidRPr="009353E6" w:rsidRDefault="003D347F">
      <w:pPr>
        <w:tabs>
          <w:tab w:val="left" w:pos="720"/>
          <w:tab w:val="left" w:pos="900"/>
        </w:tabs>
        <w:jc w:val="both"/>
        <w:rPr>
          <w:b/>
          <w:sz w:val="22"/>
          <w:szCs w:val="22"/>
          <w:lang w:val="pl-PL"/>
        </w:rPr>
      </w:pPr>
    </w:p>
    <w:p w:rsidR="002D3E1A" w:rsidRPr="009353E6" w:rsidRDefault="002D3E1A" w:rsidP="005E3A9A">
      <w:pPr>
        <w:keepNext/>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TERMIN WAŻNOŚCI</w:t>
      </w:r>
    </w:p>
    <w:p w:rsidR="002D3E1A" w:rsidRPr="009353E6" w:rsidRDefault="002D3E1A" w:rsidP="005E3A9A">
      <w:pPr>
        <w:keepNext/>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Termin ważności</w:t>
      </w:r>
      <w:r w:rsidR="002D5E68" w:rsidRPr="009353E6">
        <w:rPr>
          <w:sz w:val="22"/>
          <w:szCs w:val="22"/>
          <w:lang w:val="pl-PL"/>
        </w:rPr>
        <w:t>:</w:t>
      </w:r>
    </w:p>
    <w:p w:rsidR="002D3E1A" w:rsidRPr="009353E6" w:rsidRDefault="002D3E1A">
      <w:pPr>
        <w:tabs>
          <w:tab w:val="left" w:pos="0"/>
        </w:tabs>
        <w:jc w:val="both"/>
        <w:rPr>
          <w:b/>
          <w:sz w:val="22"/>
          <w:szCs w:val="22"/>
          <w:lang w:val="pl-PL"/>
        </w:rPr>
      </w:pPr>
    </w:p>
    <w:p w:rsidR="006D2DCA" w:rsidRPr="009353E6" w:rsidRDefault="006D2DCA">
      <w:pPr>
        <w:tabs>
          <w:tab w:val="left" w:pos="0"/>
        </w:tabs>
        <w:jc w:val="both"/>
        <w:rPr>
          <w:b/>
          <w:sz w:val="22"/>
          <w:szCs w:val="22"/>
          <w:lang w:val="pl-PL"/>
        </w:rPr>
      </w:pPr>
    </w:p>
    <w:p w:rsidR="002D3E1A" w:rsidRPr="009353E6" w:rsidRDefault="002D3E1A"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WARUNKI PRZECHOWYWANIA</w:t>
      </w:r>
    </w:p>
    <w:p w:rsidR="002D3E1A" w:rsidRPr="009353E6" w:rsidRDefault="002D3E1A">
      <w:pPr>
        <w:tabs>
          <w:tab w:val="left" w:pos="0"/>
        </w:tabs>
        <w:rPr>
          <w:b/>
          <w:sz w:val="22"/>
          <w:szCs w:val="22"/>
          <w:lang w:val="pl-PL"/>
        </w:rPr>
      </w:pPr>
    </w:p>
    <w:p w:rsidR="002D5E68" w:rsidRPr="009353E6" w:rsidRDefault="002D5E68" w:rsidP="002D5E68">
      <w:pPr>
        <w:tabs>
          <w:tab w:val="left" w:pos="0"/>
        </w:tabs>
        <w:rPr>
          <w:b/>
          <w:sz w:val="22"/>
          <w:szCs w:val="22"/>
          <w:lang w:val="pl-PL"/>
        </w:rPr>
      </w:pPr>
      <w:r w:rsidRPr="009353E6">
        <w:rPr>
          <w:b/>
          <w:sz w:val="22"/>
          <w:szCs w:val="22"/>
          <w:lang w:val="pl-PL"/>
        </w:rPr>
        <w:t xml:space="preserve">Brak szczególnych środków ostrożności dotyczących </w:t>
      </w:r>
      <w:r w:rsidR="000A17A5" w:rsidRPr="009353E6">
        <w:rPr>
          <w:b/>
          <w:sz w:val="22"/>
          <w:szCs w:val="22"/>
          <w:lang w:val="pl-PL"/>
        </w:rPr>
        <w:t xml:space="preserve">temperatury </w:t>
      </w:r>
      <w:r w:rsidRPr="009353E6">
        <w:rPr>
          <w:b/>
          <w:sz w:val="22"/>
          <w:szCs w:val="22"/>
          <w:lang w:val="pl-PL"/>
        </w:rPr>
        <w:t>przechowywania.</w:t>
      </w:r>
    </w:p>
    <w:p w:rsidR="002D3E1A" w:rsidRPr="009353E6" w:rsidRDefault="002D3E1A">
      <w:pPr>
        <w:tabs>
          <w:tab w:val="left" w:pos="0"/>
        </w:tabs>
        <w:jc w:val="both"/>
        <w:rPr>
          <w:b/>
          <w:sz w:val="22"/>
          <w:szCs w:val="22"/>
          <w:lang w:val="pl-PL"/>
        </w:rPr>
      </w:pPr>
      <w:r w:rsidRPr="009353E6">
        <w:rPr>
          <w:b/>
          <w:sz w:val="22"/>
          <w:szCs w:val="22"/>
          <w:lang w:val="pl-PL"/>
        </w:rPr>
        <w:t>Przechowywać w oryginalnym opakowaniu w celu ochrony przed wilgocią.</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SPECJALNE ŚRODKI OSTROŻNOŚCI DOTYCZĄCE USUWANIA NIEZUŻYTEGO PRODUKTU LECZNICZEGO LUB POCHODZĄCYCH Z NIEGO ODPADÓW, JEŚLI WŁAŚCIWE</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jc w:val="both"/>
        <w:rPr>
          <w:b/>
          <w:sz w:val="22"/>
          <w:szCs w:val="22"/>
          <w:lang w:val="pl-PL"/>
        </w:rPr>
      </w:pPr>
      <w:r w:rsidRPr="009353E6">
        <w:rPr>
          <w:b/>
          <w:sz w:val="22"/>
          <w:szCs w:val="22"/>
          <w:lang w:val="pl-PL"/>
        </w:rPr>
        <w:t xml:space="preserve">NAZWA I ADRES PODMIOTU ODPOWIEDZIALNEGO </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Boehringer Ingelheim International GmbH</w:t>
      </w:r>
    </w:p>
    <w:p w:rsidR="002D3E1A" w:rsidRPr="009353E6" w:rsidRDefault="002D3E1A">
      <w:pPr>
        <w:tabs>
          <w:tab w:val="left" w:pos="0"/>
        </w:tabs>
        <w:rPr>
          <w:sz w:val="22"/>
          <w:szCs w:val="22"/>
          <w:lang w:val="pl-PL"/>
        </w:rPr>
      </w:pPr>
      <w:r w:rsidRPr="009353E6">
        <w:rPr>
          <w:sz w:val="22"/>
          <w:szCs w:val="22"/>
          <w:lang w:val="pl-PL"/>
        </w:rPr>
        <w:t>Binger Str. 173</w:t>
      </w:r>
    </w:p>
    <w:p w:rsidR="002D3E1A" w:rsidRPr="009353E6" w:rsidRDefault="002D3E1A">
      <w:pPr>
        <w:tabs>
          <w:tab w:val="left" w:pos="0"/>
        </w:tabs>
        <w:rPr>
          <w:sz w:val="22"/>
          <w:szCs w:val="22"/>
          <w:lang w:val="pl-PL"/>
        </w:rPr>
      </w:pPr>
      <w:r w:rsidRPr="009353E6">
        <w:rPr>
          <w:sz w:val="22"/>
          <w:szCs w:val="22"/>
          <w:lang w:val="pl-PL"/>
        </w:rPr>
        <w:t>D-55216 Ingelheim am Rhein</w:t>
      </w:r>
    </w:p>
    <w:p w:rsidR="002D3E1A" w:rsidRPr="009353E6" w:rsidRDefault="002D3E1A">
      <w:pPr>
        <w:tabs>
          <w:tab w:val="left" w:pos="0"/>
        </w:tabs>
        <w:rPr>
          <w:sz w:val="22"/>
          <w:szCs w:val="22"/>
          <w:lang w:val="pl-PL"/>
        </w:rPr>
      </w:pPr>
      <w:r w:rsidRPr="009353E6">
        <w:rPr>
          <w:sz w:val="22"/>
          <w:szCs w:val="22"/>
          <w:lang w:val="pl-PL"/>
        </w:rPr>
        <w:t>Niemcy</w:t>
      </w:r>
      <w:r w:rsidRPr="009353E6">
        <w:rPr>
          <w:sz w:val="22"/>
          <w:szCs w:val="22"/>
          <w:lang w:val="pl-PL"/>
        </w:rPr>
        <w:tab/>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51DF8"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NUMERY POZWOLEŃ</w:t>
      </w:r>
      <w:r w:rsidR="002D3E1A" w:rsidRPr="009353E6">
        <w:rPr>
          <w:b/>
          <w:sz w:val="22"/>
          <w:szCs w:val="22"/>
          <w:lang w:val="pl-PL"/>
        </w:rPr>
        <w:t xml:space="preserve"> NA DOPUSZCZENIE DO OBROTU</w:t>
      </w:r>
    </w:p>
    <w:p w:rsidR="002D3E1A" w:rsidRPr="009353E6" w:rsidRDefault="002D3E1A">
      <w:pPr>
        <w:tabs>
          <w:tab w:val="left" w:pos="0"/>
        </w:tabs>
        <w:jc w:val="both"/>
        <w:rPr>
          <w:sz w:val="22"/>
          <w:szCs w:val="22"/>
          <w:lang w:val="pl-PL"/>
        </w:rPr>
      </w:pPr>
    </w:p>
    <w:p w:rsidR="001E2E71" w:rsidRPr="009353E6" w:rsidRDefault="001E2E71" w:rsidP="001E2E71">
      <w:pPr>
        <w:ind w:left="567" w:hanging="567"/>
        <w:rPr>
          <w:sz w:val="22"/>
          <w:szCs w:val="22"/>
          <w:lang w:val="pl-PL"/>
        </w:rPr>
      </w:pPr>
      <w:r w:rsidRPr="009353E6">
        <w:rPr>
          <w:sz w:val="22"/>
          <w:szCs w:val="22"/>
          <w:lang w:val="pl-PL"/>
        </w:rPr>
        <w:t>EU/1/02/213/001</w:t>
      </w:r>
      <w:r w:rsidRPr="009353E6">
        <w:rPr>
          <w:sz w:val="22"/>
          <w:szCs w:val="22"/>
          <w:lang w:val="pl-PL"/>
        </w:rPr>
        <w:tab/>
        <w:t>14 tabletek</w:t>
      </w:r>
    </w:p>
    <w:p w:rsidR="001E2E71" w:rsidRPr="009353E6" w:rsidRDefault="001E2E71" w:rsidP="001E2E71">
      <w:pPr>
        <w:rPr>
          <w:sz w:val="22"/>
          <w:szCs w:val="22"/>
          <w:highlight w:val="lightGray"/>
          <w:lang w:val="pl-PL"/>
        </w:rPr>
      </w:pPr>
      <w:r w:rsidRPr="009353E6">
        <w:rPr>
          <w:sz w:val="22"/>
          <w:szCs w:val="22"/>
          <w:highlight w:val="lightGray"/>
          <w:shd w:val="clear" w:color="auto" w:fill="C0C0C0"/>
          <w:lang w:val="pl-PL"/>
        </w:rPr>
        <w:t>EU/1/02/213/002</w:t>
      </w:r>
      <w:r w:rsidRPr="009353E6">
        <w:rPr>
          <w:sz w:val="22"/>
          <w:szCs w:val="22"/>
          <w:highlight w:val="lightGray"/>
          <w:shd w:val="clear" w:color="auto" w:fill="C0C0C0"/>
          <w:lang w:val="pl-PL"/>
        </w:rPr>
        <w:tab/>
        <w:t xml:space="preserve">28 </w:t>
      </w:r>
      <w:r w:rsidRPr="009353E6">
        <w:rPr>
          <w:sz w:val="22"/>
          <w:szCs w:val="22"/>
          <w:highlight w:val="lightGray"/>
          <w:lang w:val="pl-PL"/>
        </w:rPr>
        <w:t>tabletek</w:t>
      </w:r>
    </w:p>
    <w:p w:rsidR="00CF50E0" w:rsidRPr="009353E6" w:rsidRDefault="001E2E71" w:rsidP="001E2E71">
      <w:pPr>
        <w:rPr>
          <w:sz w:val="22"/>
          <w:szCs w:val="22"/>
          <w:highlight w:val="lightGray"/>
          <w:shd w:val="clear" w:color="auto" w:fill="C0C0C0"/>
          <w:lang w:val="pl-PL"/>
        </w:rPr>
      </w:pPr>
      <w:r w:rsidRPr="009353E6">
        <w:rPr>
          <w:sz w:val="22"/>
          <w:szCs w:val="22"/>
          <w:highlight w:val="lightGray"/>
          <w:shd w:val="clear" w:color="auto" w:fill="C0C0C0"/>
          <w:lang w:val="pl-PL"/>
        </w:rPr>
        <w:t>EU/1/02/213/003</w:t>
      </w:r>
      <w:r w:rsidRPr="009353E6">
        <w:rPr>
          <w:sz w:val="22"/>
          <w:szCs w:val="22"/>
          <w:highlight w:val="lightGray"/>
          <w:shd w:val="clear" w:color="auto" w:fill="C0C0C0"/>
          <w:lang w:val="pl-PL"/>
        </w:rPr>
        <w:tab/>
        <w:t>28 x 1 tabletk</w:t>
      </w:r>
      <w:r w:rsidR="00FD057A" w:rsidRPr="009353E6">
        <w:rPr>
          <w:sz w:val="22"/>
          <w:szCs w:val="22"/>
          <w:highlight w:val="lightGray"/>
          <w:shd w:val="clear" w:color="auto" w:fill="C0C0C0"/>
          <w:lang w:val="pl-PL"/>
        </w:rPr>
        <w:t>a</w:t>
      </w:r>
      <w:r w:rsidRPr="009353E6">
        <w:rPr>
          <w:sz w:val="22"/>
          <w:szCs w:val="22"/>
          <w:highlight w:val="lightGray"/>
          <w:shd w:val="clear" w:color="auto" w:fill="C0C0C0"/>
          <w:lang w:val="pl-PL"/>
        </w:rPr>
        <w:t xml:space="preserve"> </w:t>
      </w:r>
    </w:p>
    <w:p w:rsidR="001E2E71" w:rsidRPr="009353E6" w:rsidRDefault="001E2E71" w:rsidP="001E2E71">
      <w:pPr>
        <w:rPr>
          <w:sz w:val="22"/>
          <w:szCs w:val="22"/>
          <w:highlight w:val="lightGray"/>
          <w:lang w:val="pl-PL"/>
        </w:rPr>
      </w:pPr>
      <w:r w:rsidRPr="009353E6">
        <w:rPr>
          <w:sz w:val="22"/>
          <w:szCs w:val="22"/>
          <w:highlight w:val="lightGray"/>
          <w:shd w:val="clear" w:color="auto" w:fill="C0C0C0"/>
          <w:lang w:val="pl-PL"/>
        </w:rPr>
        <w:t>EU/1/02/213/013</w:t>
      </w:r>
      <w:r w:rsidRPr="009353E6">
        <w:rPr>
          <w:sz w:val="22"/>
          <w:szCs w:val="22"/>
          <w:highlight w:val="lightGray"/>
          <w:shd w:val="clear" w:color="auto" w:fill="C0C0C0"/>
          <w:lang w:val="pl-PL"/>
        </w:rPr>
        <w:tab/>
        <w:t xml:space="preserve">30 </w:t>
      </w:r>
      <w:r w:rsidR="001C1D53" w:rsidRPr="009353E6">
        <w:rPr>
          <w:sz w:val="22"/>
          <w:szCs w:val="22"/>
          <w:highlight w:val="lightGray"/>
          <w:shd w:val="clear" w:color="auto" w:fill="C0C0C0"/>
          <w:lang w:val="pl-PL"/>
        </w:rPr>
        <w:t xml:space="preserve">x 1 </w:t>
      </w:r>
      <w:r w:rsidRPr="009353E6">
        <w:rPr>
          <w:sz w:val="22"/>
          <w:szCs w:val="22"/>
          <w:highlight w:val="lightGray"/>
          <w:lang w:val="pl-PL"/>
        </w:rPr>
        <w:t>tabletk</w:t>
      </w:r>
      <w:r w:rsidR="00FD057A" w:rsidRPr="009353E6">
        <w:rPr>
          <w:sz w:val="22"/>
          <w:szCs w:val="22"/>
          <w:highlight w:val="lightGray"/>
          <w:lang w:val="pl-PL"/>
        </w:rPr>
        <w:t>a</w:t>
      </w:r>
    </w:p>
    <w:p w:rsidR="001E2E71" w:rsidRPr="009353E6" w:rsidRDefault="001E2E71" w:rsidP="001E2E71">
      <w:pPr>
        <w:rPr>
          <w:sz w:val="22"/>
          <w:szCs w:val="22"/>
          <w:highlight w:val="lightGray"/>
          <w:lang w:val="pl-PL"/>
        </w:rPr>
      </w:pPr>
      <w:r w:rsidRPr="009353E6">
        <w:rPr>
          <w:sz w:val="22"/>
          <w:szCs w:val="22"/>
          <w:highlight w:val="lightGray"/>
          <w:shd w:val="clear" w:color="auto" w:fill="C0C0C0"/>
          <w:lang w:val="pl-PL"/>
        </w:rPr>
        <w:t>EU/1/02/213/004</w:t>
      </w:r>
      <w:r w:rsidRPr="009353E6">
        <w:rPr>
          <w:sz w:val="22"/>
          <w:szCs w:val="22"/>
          <w:highlight w:val="lightGray"/>
          <w:shd w:val="clear" w:color="auto" w:fill="C0C0C0"/>
          <w:lang w:val="pl-PL"/>
        </w:rPr>
        <w:tab/>
        <w:t xml:space="preserve">56 </w:t>
      </w:r>
      <w:r w:rsidRPr="009353E6">
        <w:rPr>
          <w:sz w:val="22"/>
          <w:szCs w:val="22"/>
          <w:highlight w:val="lightGray"/>
          <w:lang w:val="pl-PL"/>
        </w:rPr>
        <w:t>tabletek</w:t>
      </w:r>
    </w:p>
    <w:p w:rsidR="001E2E71" w:rsidRPr="009353E6" w:rsidRDefault="001E2E71" w:rsidP="001E2E71">
      <w:pPr>
        <w:rPr>
          <w:sz w:val="22"/>
          <w:szCs w:val="22"/>
          <w:highlight w:val="lightGray"/>
          <w:lang w:val="pl-PL"/>
        </w:rPr>
      </w:pPr>
      <w:r w:rsidRPr="009353E6">
        <w:rPr>
          <w:sz w:val="22"/>
          <w:szCs w:val="22"/>
          <w:highlight w:val="lightGray"/>
          <w:shd w:val="clear" w:color="auto" w:fill="C0C0C0"/>
          <w:lang w:val="pl-PL"/>
        </w:rPr>
        <w:t>EU/1/02/213/011</w:t>
      </w:r>
      <w:r w:rsidRPr="009353E6">
        <w:rPr>
          <w:sz w:val="22"/>
          <w:szCs w:val="22"/>
          <w:highlight w:val="lightGray"/>
          <w:shd w:val="clear" w:color="auto" w:fill="C0C0C0"/>
          <w:lang w:val="pl-PL"/>
        </w:rPr>
        <w:tab/>
        <w:t xml:space="preserve">84 </w:t>
      </w:r>
      <w:r w:rsidRPr="009353E6">
        <w:rPr>
          <w:sz w:val="22"/>
          <w:szCs w:val="22"/>
          <w:highlight w:val="lightGray"/>
          <w:lang w:val="pl-PL"/>
        </w:rPr>
        <w:t>tabl</w:t>
      </w:r>
      <w:r w:rsidR="00E3305D" w:rsidRPr="009353E6">
        <w:rPr>
          <w:sz w:val="22"/>
          <w:szCs w:val="22"/>
          <w:highlight w:val="lightGray"/>
          <w:lang w:val="pl-PL"/>
        </w:rPr>
        <w:t>etki</w:t>
      </w:r>
    </w:p>
    <w:p w:rsidR="00FD057A" w:rsidRPr="009353E6" w:rsidRDefault="001E2E71" w:rsidP="001E2E71">
      <w:pPr>
        <w:rPr>
          <w:sz w:val="22"/>
          <w:szCs w:val="22"/>
          <w:highlight w:val="lightGray"/>
          <w:shd w:val="clear" w:color="auto" w:fill="C0C0C0"/>
          <w:lang w:val="pl-PL"/>
        </w:rPr>
      </w:pPr>
      <w:r w:rsidRPr="009353E6">
        <w:rPr>
          <w:sz w:val="22"/>
          <w:szCs w:val="22"/>
          <w:highlight w:val="lightGray"/>
          <w:shd w:val="clear" w:color="auto" w:fill="C0C0C0"/>
          <w:lang w:val="pl-PL"/>
        </w:rPr>
        <w:t>EU/1/02/213/014</w:t>
      </w:r>
      <w:r w:rsidRPr="009353E6">
        <w:rPr>
          <w:sz w:val="22"/>
          <w:szCs w:val="22"/>
          <w:highlight w:val="lightGray"/>
          <w:shd w:val="clear" w:color="auto" w:fill="C0C0C0"/>
          <w:lang w:val="pl-PL"/>
        </w:rPr>
        <w:tab/>
        <w:t xml:space="preserve">90 </w:t>
      </w:r>
      <w:r w:rsidR="001C1D53" w:rsidRPr="009353E6">
        <w:rPr>
          <w:sz w:val="22"/>
          <w:szCs w:val="22"/>
          <w:highlight w:val="lightGray"/>
          <w:shd w:val="clear" w:color="auto" w:fill="C0C0C0"/>
          <w:lang w:val="pl-PL"/>
        </w:rPr>
        <w:t xml:space="preserve">x 1 </w:t>
      </w:r>
      <w:r w:rsidRPr="009353E6">
        <w:rPr>
          <w:sz w:val="22"/>
          <w:szCs w:val="22"/>
          <w:highlight w:val="lightGray"/>
          <w:lang w:val="pl-PL"/>
        </w:rPr>
        <w:t>tabletk</w:t>
      </w:r>
      <w:r w:rsidR="00FD057A" w:rsidRPr="009353E6">
        <w:rPr>
          <w:sz w:val="22"/>
          <w:szCs w:val="22"/>
          <w:highlight w:val="lightGray"/>
          <w:lang w:val="pl-PL"/>
        </w:rPr>
        <w:t>a</w:t>
      </w:r>
    </w:p>
    <w:p w:rsidR="001E2E71" w:rsidRPr="009353E6" w:rsidRDefault="001E2E71" w:rsidP="001E2E71">
      <w:pPr>
        <w:rPr>
          <w:sz w:val="22"/>
          <w:szCs w:val="22"/>
          <w:lang w:val="pl-PL"/>
        </w:rPr>
      </w:pPr>
      <w:r w:rsidRPr="009353E6">
        <w:rPr>
          <w:sz w:val="22"/>
          <w:szCs w:val="22"/>
          <w:highlight w:val="lightGray"/>
          <w:shd w:val="clear" w:color="auto" w:fill="C0C0C0"/>
          <w:lang w:val="pl-PL"/>
        </w:rPr>
        <w:t>EU/1/02/213/005</w:t>
      </w:r>
      <w:r w:rsidRPr="009353E6">
        <w:rPr>
          <w:sz w:val="22"/>
          <w:szCs w:val="22"/>
          <w:highlight w:val="lightGray"/>
          <w:shd w:val="clear" w:color="auto" w:fill="C0C0C0"/>
          <w:lang w:val="pl-PL"/>
        </w:rPr>
        <w:tab/>
        <w:t xml:space="preserve">98 </w:t>
      </w:r>
      <w:r w:rsidRPr="009353E6">
        <w:rPr>
          <w:sz w:val="22"/>
          <w:szCs w:val="22"/>
          <w:highlight w:val="lightGray"/>
          <w:lang w:val="pl-PL"/>
        </w:rPr>
        <w:t>tabletek</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NUMER SERII</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Nr serii</w:t>
      </w:r>
      <w:r w:rsidR="000A17A5" w:rsidRPr="009353E6">
        <w:rPr>
          <w:sz w:val="22"/>
          <w:szCs w:val="22"/>
          <w:lang w:val="pl-PL"/>
        </w:rPr>
        <w:t>:</w:t>
      </w:r>
      <w:r w:rsidRPr="009353E6">
        <w:rPr>
          <w:sz w:val="22"/>
          <w:szCs w:val="22"/>
          <w:lang w:val="pl-PL"/>
        </w:rPr>
        <w:t xml:space="preserve"> </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4F613D"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 xml:space="preserve">OGÓLNA </w:t>
      </w:r>
      <w:r w:rsidR="002D3E1A" w:rsidRPr="009353E6">
        <w:rPr>
          <w:b/>
          <w:sz w:val="22"/>
          <w:szCs w:val="22"/>
          <w:lang w:val="pl-PL"/>
        </w:rPr>
        <w:t>KATEGORIA DOSTĘPNOŚCI</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INSTRUKCJA UŻYCIA</w:t>
      </w:r>
    </w:p>
    <w:p w:rsidR="002D3E1A" w:rsidRPr="009353E6" w:rsidRDefault="002D3E1A">
      <w:pPr>
        <w:tabs>
          <w:tab w:val="left" w:pos="0"/>
        </w:tabs>
        <w:jc w:val="both"/>
        <w:rPr>
          <w:sz w:val="22"/>
          <w:szCs w:val="22"/>
          <w:lang w:val="pl-PL"/>
        </w:rPr>
      </w:pPr>
    </w:p>
    <w:p w:rsidR="003D347F" w:rsidRPr="009353E6" w:rsidRDefault="003D347F" w:rsidP="003D347F">
      <w:pPr>
        <w:tabs>
          <w:tab w:val="left" w:pos="0"/>
        </w:tabs>
        <w:jc w:val="both"/>
        <w:rPr>
          <w:sz w:val="22"/>
          <w:szCs w:val="22"/>
          <w:lang w:val="pl-PL"/>
        </w:rPr>
      </w:pPr>
    </w:p>
    <w:p w:rsidR="003D347F" w:rsidRPr="009353E6" w:rsidRDefault="003D347F" w:rsidP="005E3A9A">
      <w:pPr>
        <w:keepNext/>
        <w:numPr>
          <w:ilvl w:val="0"/>
          <w:numId w:val="4"/>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 xml:space="preserve">INFORMACJA PODANA </w:t>
      </w:r>
      <w:r w:rsidR="004F613D" w:rsidRPr="009353E6">
        <w:rPr>
          <w:b/>
          <w:sz w:val="22"/>
          <w:szCs w:val="22"/>
          <w:lang w:val="pl-PL"/>
        </w:rPr>
        <w:t>SYSTEMEM BRAILLE’A</w:t>
      </w:r>
    </w:p>
    <w:p w:rsidR="003D347F" w:rsidRPr="009353E6" w:rsidRDefault="003D347F" w:rsidP="005E3A9A">
      <w:pPr>
        <w:keepNext/>
        <w:tabs>
          <w:tab w:val="left" w:pos="0"/>
        </w:tabs>
        <w:jc w:val="both"/>
        <w:rPr>
          <w:sz w:val="22"/>
          <w:szCs w:val="22"/>
          <w:lang w:val="pl-PL"/>
        </w:rPr>
      </w:pPr>
    </w:p>
    <w:p w:rsidR="0001598C" w:rsidRPr="009353E6" w:rsidRDefault="0001598C" w:rsidP="0001598C">
      <w:pPr>
        <w:tabs>
          <w:tab w:val="left" w:pos="900"/>
        </w:tabs>
        <w:rPr>
          <w:sz w:val="22"/>
          <w:szCs w:val="22"/>
          <w:lang w:val="pl-PL"/>
        </w:rPr>
      </w:pPr>
      <w:r w:rsidRPr="009353E6">
        <w:rPr>
          <w:sz w:val="22"/>
          <w:szCs w:val="22"/>
          <w:lang w:val="pl-PL"/>
        </w:rPr>
        <w:t>MicardisPlus 40 mg/12,5 mg</w:t>
      </w:r>
    </w:p>
    <w:p w:rsidR="00CF7544" w:rsidRPr="009353E6" w:rsidRDefault="00CF7544" w:rsidP="00CF7544">
      <w:pPr>
        <w:tabs>
          <w:tab w:val="left" w:pos="0"/>
        </w:tabs>
        <w:jc w:val="both"/>
        <w:rPr>
          <w:sz w:val="22"/>
          <w:szCs w:val="22"/>
          <w:lang w:val="pl-PL"/>
        </w:rPr>
      </w:pPr>
    </w:p>
    <w:p w:rsidR="00CF7544" w:rsidRPr="009353E6" w:rsidRDefault="00CF7544" w:rsidP="00CF7544">
      <w:pPr>
        <w:tabs>
          <w:tab w:val="left" w:pos="0"/>
        </w:tabs>
        <w:jc w:val="both"/>
        <w:rPr>
          <w:sz w:val="22"/>
          <w:szCs w:val="22"/>
          <w:lang w:val="pl-PL"/>
        </w:rPr>
      </w:pPr>
    </w:p>
    <w:p w:rsidR="00CF7544" w:rsidRPr="009353E6" w:rsidRDefault="0012733C" w:rsidP="005E3A9A">
      <w:pPr>
        <w:keepNext/>
        <w:pBdr>
          <w:top w:val="single" w:sz="4" w:space="1" w:color="auto"/>
          <w:left w:val="single" w:sz="4" w:space="4" w:color="auto"/>
          <w:bottom w:val="single" w:sz="4" w:space="1" w:color="auto"/>
          <w:right w:val="single" w:sz="4" w:space="4" w:color="auto"/>
        </w:pBdr>
        <w:tabs>
          <w:tab w:val="left" w:pos="0"/>
        </w:tabs>
        <w:rPr>
          <w:b/>
          <w:bCs/>
          <w:sz w:val="22"/>
          <w:szCs w:val="22"/>
          <w:lang w:val="pl-PL"/>
        </w:rPr>
      </w:pPr>
      <w:r w:rsidRPr="009353E6">
        <w:rPr>
          <w:b/>
          <w:bCs/>
          <w:sz w:val="22"/>
          <w:szCs w:val="22"/>
          <w:lang w:val="pl-PL"/>
        </w:rPr>
        <w:t xml:space="preserve">17. </w:t>
      </w:r>
      <w:r w:rsidRPr="009353E6">
        <w:rPr>
          <w:b/>
          <w:bCs/>
          <w:sz w:val="22"/>
          <w:szCs w:val="22"/>
          <w:lang w:val="pl-PL"/>
        </w:rPr>
        <w:tab/>
      </w:r>
      <w:r w:rsidR="00CF7544" w:rsidRPr="009353E6">
        <w:rPr>
          <w:b/>
          <w:bCs/>
          <w:sz w:val="22"/>
          <w:szCs w:val="22"/>
          <w:lang w:val="pl-PL"/>
        </w:rPr>
        <w:t>NIEPOWTARZALNY IDENTYFIKATOR – KOD 2D</w:t>
      </w:r>
    </w:p>
    <w:p w:rsidR="00CF7544" w:rsidRPr="009353E6" w:rsidRDefault="00CF7544" w:rsidP="005E3A9A">
      <w:pPr>
        <w:keepNext/>
        <w:tabs>
          <w:tab w:val="left" w:pos="0"/>
        </w:tabs>
        <w:jc w:val="both"/>
        <w:rPr>
          <w:sz w:val="22"/>
          <w:szCs w:val="22"/>
          <w:lang w:val="pl-PL"/>
        </w:rPr>
      </w:pPr>
    </w:p>
    <w:p w:rsidR="00CF7544" w:rsidRPr="009353E6" w:rsidRDefault="00CF7544" w:rsidP="00CF7544">
      <w:pPr>
        <w:tabs>
          <w:tab w:val="left" w:pos="0"/>
        </w:tabs>
        <w:jc w:val="both"/>
        <w:rPr>
          <w:sz w:val="22"/>
          <w:szCs w:val="22"/>
          <w:lang w:val="pl-PL"/>
        </w:rPr>
      </w:pPr>
      <w:r w:rsidRPr="009353E6">
        <w:rPr>
          <w:noProof/>
          <w:sz w:val="22"/>
          <w:highlight w:val="lightGray"/>
          <w:lang w:val="pl-PL"/>
        </w:rPr>
        <w:t>Obejmuje kod 2D będący nośnikiem niepowtarzalnego identyfikatora.</w:t>
      </w:r>
    </w:p>
    <w:p w:rsidR="00CF7544" w:rsidRPr="009353E6" w:rsidRDefault="00CF7544" w:rsidP="00CF7544">
      <w:pPr>
        <w:tabs>
          <w:tab w:val="left" w:pos="0"/>
        </w:tabs>
        <w:jc w:val="both"/>
        <w:rPr>
          <w:sz w:val="22"/>
          <w:szCs w:val="22"/>
          <w:lang w:val="pl-PL"/>
        </w:rPr>
      </w:pPr>
    </w:p>
    <w:p w:rsidR="00CF7544" w:rsidRPr="009353E6" w:rsidRDefault="00CF7544" w:rsidP="00CF7544">
      <w:pPr>
        <w:tabs>
          <w:tab w:val="left" w:pos="0"/>
        </w:tabs>
        <w:jc w:val="both"/>
        <w:rPr>
          <w:sz w:val="22"/>
          <w:szCs w:val="22"/>
          <w:lang w:val="pl-PL"/>
        </w:rPr>
      </w:pPr>
    </w:p>
    <w:p w:rsidR="00CF7544" w:rsidRPr="009353E6" w:rsidRDefault="0012733C" w:rsidP="00A02686">
      <w:pPr>
        <w:pBdr>
          <w:top w:val="single" w:sz="4" w:space="1" w:color="auto"/>
          <w:left w:val="single" w:sz="4" w:space="4" w:color="auto"/>
          <w:bottom w:val="single" w:sz="4" w:space="1" w:color="auto"/>
          <w:right w:val="single" w:sz="4" w:space="4" w:color="auto"/>
        </w:pBdr>
        <w:tabs>
          <w:tab w:val="left" w:pos="0"/>
        </w:tabs>
        <w:rPr>
          <w:b/>
          <w:sz w:val="22"/>
          <w:szCs w:val="22"/>
          <w:lang w:val="pl-PL"/>
        </w:rPr>
      </w:pPr>
      <w:r w:rsidRPr="009353E6">
        <w:rPr>
          <w:b/>
          <w:sz w:val="22"/>
          <w:szCs w:val="22"/>
          <w:lang w:val="pl-PL"/>
        </w:rPr>
        <w:t xml:space="preserve">18. </w:t>
      </w:r>
      <w:r w:rsidRPr="009353E6">
        <w:rPr>
          <w:b/>
          <w:sz w:val="22"/>
          <w:szCs w:val="22"/>
          <w:lang w:val="pl-PL"/>
        </w:rPr>
        <w:tab/>
      </w:r>
      <w:r w:rsidR="00CF7544" w:rsidRPr="009353E6">
        <w:rPr>
          <w:b/>
          <w:sz w:val="22"/>
          <w:szCs w:val="22"/>
          <w:lang w:val="pl-PL"/>
        </w:rPr>
        <w:t>NIEPOWTARZALNY IDENTYFIKATOR – DANE CZYTELNE DLA CZŁOWIEKA</w:t>
      </w:r>
    </w:p>
    <w:p w:rsidR="00CF7544" w:rsidRPr="009353E6" w:rsidRDefault="00CF7544" w:rsidP="00CF7544">
      <w:pPr>
        <w:tabs>
          <w:tab w:val="left" w:pos="0"/>
        </w:tabs>
        <w:jc w:val="both"/>
        <w:rPr>
          <w:sz w:val="22"/>
          <w:szCs w:val="22"/>
          <w:lang w:val="pl-PL"/>
        </w:rPr>
      </w:pPr>
    </w:p>
    <w:p w:rsidR="00CF7544" w:rsidRPr="009353E6" w:rsidRDefault="00CF7544" w:rsidP="00CF7544">
      <w:pPr>
        <w:tabs>
          <w:tab w:val="left" w:pos="900"/>
        </w:tabs>
        <w:rPr>
          <w:sz w:val="22"/>
          <w:szCs w:val="22"/>
          <w:lang w:val="pl-PL"/>
        </w:rPr>
      </w:pPr>
      <w:r w:rsidRPr="009353E6">
        <w:rPr>
          <w:sz w:val="22"/>
          <w:szCs w:val="22"/>
          <w:lang w:val="pl-PL"/>
        </w:rPr>
        <w:t>PC: {numer} {kod produktu}</w:t>
      </w:r>
    </w:p>
    <w:p w:rsidR="00CF7544" w:rsidRPr="009353E6" w:rsidRDefault="00CF7544" w:rsidP="00CF7544">
      <w:pPr>
        <w:tabs>
          <w:tab w:val="left" w:pos="900"/>
        </w:tabs>
        <w:rPr>
          <w:sz w:val="22"/>
          <w:szCs w:val="22"/>
          <w:lang w:val="pl-PL"/>
        </w:rPr>
      </w:pPr>
      <w:r w:rsidRPr="009353E6">
        <w:rPr>
          <w:sz w:val="22"/>
          <w:szCs w:val="22"/>
          <w:lang w:val="pl-PL"/>
        </w:rPr>
        <w:t>SN: {numer} {numer seryjny}</w:t>
      </w:r>
    </w:p>
    <w:p w:rsidR="00CF7544" w:rsidRPr="009353E6" w:rsidRDefault="00CF7544" w:rsidP="00CF7544">
      <w:pPr>
        <w:tabs>
          <w:tab w:val="left" w:pos="900"/>
        </w:tabs>
        <w:rPr>
          <w:sz w:val="22"/>
          <w:szCs w:val="22"/>
          <w:lang w:val="pl-PL"/>
        </w:rPr>
      </w:pPr>
      <w:r w:rsidRPr="009353E6">
        <w:rPr>
          <w:sz w:val="22"/>
          <w:szCs w:val="22"/>
          <w:lang w:val="pl-PL"/>
        </w:rPr>
        <w:t>NN: {numer} {krajowy numer refundacyjny lub inny krajowy numer identyfikujący produkt leczniczy}</w:t>
      </w:r>
    </w:p>
    <w:p w:rsidR="00CF7544" w:rsidRPr="009353E6" w:rsidRDefault="00CF7544" w:rsidP="00CF7544">
      <w:pPr>
        <w:tabs>
          <w:tab w:val="left" w:pos="900"/>
        </w:tabs>
        <w:rPr>
          <w:sz w:val="22"/>
          <w:szCs w:val="22"/>
          <w:lang w:val="pl-PL"/>
        </w:rPr>
      </w:pPr>
    </w:p>
    <w:p w:rsidR="00CF7544" w:rsidRPr="009353E6" w:rsidRDefault="00CF7544" w:rsidP="00CF7544">
      <w:pPr>
        <w:tabs>
          <w:tab w:val="left" w:pos="900"/>
        </w:tabs>
        <w:rPr>
          <w:sz w:val="22"/>
          <w:szCs w:val="22"/>
          <w:lang w:val="pl-PL"/>
        </w:rPr>
      </w:pPr>
    </w:p>
    <w:p w:rsidR="002D3E1A" w:rsidRPr="009353E6" w:rsidRDefault="002D3E1A">
      <w:pPr>
        <w:tabs>
          <w:tab w:val="left" w:pos="0"/>
        </w:tabs>
        <w:jc w:val="both"/>
        <w:rPr>
          <w:sz w:val="22"/>
          <w:szCs w:val="22"/>
          <w:lang w:val="pl-PL"/>
        </w:rPr>
      </w:pPr>
      <w:r w:rsidRPr="009353E6">
        <w:rPr>
          <w:sz w:val="22"/>
          <w:szCs w:val="22"/>
          <w:lang w:val="pl-PL"/>
        </w:rPr>
        <w:br w:type="page"/>
      </w:r>
    </w:p>
    <w:p w:rsidR="002D3E1A" w:rsidRPr="009353E6" w:rsidRDefault="002D3E1A">
      <w:pPr>
        <w:pBdr>
          <w:top w:val="single" w:sz="4" w:space="1" w:color="auto"/>
          <w:left w:val="single" w:sz="4" w:space="6" w:color="auto"/>
          <w:bottom w:val="single" w:sz="4" w:space="1" w:color="auto"/>
          <w:right w:val="single" w:sz="4" w:space="4" w:color="auto"/>
        </w:pBdr>
        <w:tabs>
          <w:tab w:val="left" w:pos="0"/>
        </w:tabs>
        <w:rPr>
          <w:b/>
          <w:sz w:val="22"/>
          <w:szCs w:val="22"/>
          <w:lang w:val="pl-PL"/>
        </w:rPr>
      </w:pPr>
      <w:r w:rsidRPr="009353E6">
        <w:rPr>
          <w:b/>
          <w:sz w:val="22"/>
          <w:szCs w:val="22"/>
          <w:lang w:val="pl-PL"/>
        </w:rPr>
        <w:t>MINIMUM INFORMACJI ZAMIESZCZANYCH NA BLISTRACH LUB OPAKOWANIACH FOLIOWYCH</w:t>
      </w:r>
    </w:p>
    <w:p w:rsidR="003C7C02" w:rsidRPr="009353E6" w:rsidRDefault="003C7C02">
      <w:pPr>
        <w:pBdr>
          <w:top w:val="single" w:sz="4" w:space="1" w:color="auto"/>
          <w:left w:val="single" w:sz="4" w:space="6" w:color="auto"/>
          <w:bottom w:val="single" w:sz="4" w:space="1" w:color="auto"/>
          <w:right w:val="single" w:sz="4" w:space="4" w:color="auto"/>
        </w:pBdr>
        <w:tabs>
          <w:tab w:val="left" w:pos="0"/>
        </w:tabs>
        <w:rPr>
          <w:sz w:val="22"/>
          <w:szCs w:val="22"/>
          <w:lang w:val="pl-PL"/>
        </w:rPr>
      </w:pPr>
    </w:p>
    <w:p w:rsidR="003C7C02" w:rsidRPr="009353E6" w:rsidRDefault="003C7C02">
      <w:pPr>
        <w:pBdr>
          <w:top w:val="single" w:sz="4" w:space="1" w:color="auto"/>
          <w:left w:val="single" w:sz="4" w:space="6" w:color="auto"/>
          <w:bottom w:val="single" w:sz="4" w:space="1" w:color="auto"/>
          <w:right w:val="single" w:sz="4" w:space="4" w:color="auto"/>
        </w:pBdr>
        <w:tabs>
          <w:tab w:val="left" w:pos="0"/>
        </w:tabs>
        <w:rPr>
          <w:sz w:val="22"/>
          <w:szCs w:val="22"/>
          <w:lang w:val="pl-PL"/>
        </w:rPr>
      </w:pPr>
      <w:r w:rsidRPr="009353E6">
        <w:rPr>
          <w:sz w:val="22"/>
          <w:szCs w:val="22"/>
          <w:lang w:val="pl-PL"/>
        </w:rPr>
        <w:t>Blister z 7 tabletkami</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1.</w:t>
      </w:r>
      <w:r w:rsidRPr="009353E6">
        <w:rPr>
          <w:b/>
          <w:sz w:val="22"/>
          <w:szCs w:val="22"/>
          <w:lang w:val="pl-PL"/>
        </w:rPr>
        <w:tab/>
        <w:t>NAZWA PRODUKTU LECZNICZEGO</w:t>
      </w:r>
    </w:p>
    <w:p w:rsidR="002D3E1A" w:rsidRPr="009353E6" w:rsidRDefault="002D3E1A">
      <w:pPr>
        <w:tabs>
          <w:tab w:val="left" w:pos="0"/>
          <w:tab w:val="left" w:pos="90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MicardisPlus 40</w:t>
      </w:r>
      <w:r w:rsidR="00D6338A" w:rsidRPr="009353E6">
        <w:rPr>
          <w:sz w:val="22"/>
          <w:szCs w:val="22"/>
          <w:lang w:val="pl-PL"/>
        </w:rPr>
        <w:t xml:space="preserve"> mg</w:t>
      </w:r>
      <w:r w:rsidRPr="009353E6">
        <w:rPr>
          <w:sz w:val="22"/>
          <w:szCs w:val="22"/>
          <w:lang w:val="pl-PL"/>
        </w:rPr>
        <w:t>/12,5 mg tabletki</w:t>
      </w:r>
    </w:p>
    <w:p w:rsidR="003C7C02" w:rsidRPr="009353E6" w:rsidRDefault="0019761C" w:rsidP="003C7C02">
      <w:pPr>
        <w:tabs>
          <w:tab w:val="left" w:pos="900"/>
        </w:tabs>
        <w:jc w:val="both"/>
        <w:rPr>
          <w:sz w:val="22"/>
          <w:szCs w:val="22"/>
          <w:lang w:val="pl-PL"/>
        </w:rPr>
      </w:pPr>
      <w:r w:rsidRPr="009353E6">
        <w:rPr>
          <w:sz w:val="22"/>
          <w:szCs w:val="22"/>
          <w:lang w:val="pl-PL"/>
        </w:rPr>
        <w:t>t</w:t>
      </w:r>
      <w:r w:rsidR="003C7C02" w:rsidRPr="009353E6">
        <w:rPr>
          <w:sz w:val="22"/>
          <w:szCs w:val="22"/>
          <w:lang w:val="pl-PL"/>
        </w:rPr>
        <w:t>elmisartan/</w:t>
      </w:r>
      <w:r w:rsidRPr="009353E6">
        <w:rPr>
          <w:sz w:val="22"/>
          <w:szCs w:val="22"/>
          <w:lang w:val="pl-PL"/>
        </w:rPr>
        <w:t>h</w:t>
      </w:r>
      <w:r w:rsidR="003C7C02" w:rsidRPr="009353E6">
        <w:rPr>
          <w:sz w:val="22"/>
          <w:szCs w:val="22"/>
          <w:lang w:val="pl-PL"/>
        </w:rPr>
        <w:t>ydrochlorotiazyd</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2.</w:t>
      </w:r>
      <w:r w:rsidRPr="009353E6">
        <w:rPr>
          <w:b/>
          <w:sz w:val="22"/>
          <w:szCs w:val="22"/>
          <w:lang w:val="pl-PL"/>
        </w:rPr>
        <w:tab/>
        <w:t xml:space="preserve">NAZWA PODMIOTU ODPOWIEDZIALNEGO </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Boehringer Ingelheim (</w:t>
      </w:r>
      <w:r w:rsidRPr="009353E6">
        <w:rPr>
          <w:sz w:val="22"/>
          <w:szCs w:val="22"/>
          <w:highlight w:val="lightGray"/>
          <w:lang w:val="pl-PL"/>
        </w:rPr>
        <w:t>Logo</w:t>
      </w:r>
      <w:r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3.</w:t>
      </w:r>
      <w:r w:rsidRPr="009353E6">
        <w:rPr>
          <w:b/>
          <w:sz w:val="22"/>
          <w:szCs w:val="22"/>
          <w:lang w:val="pl-PL"/>
        </w:rPr>
        <w:tab/>
        <w:t>TERMIN WAŻNOŚCI</w:t>
      </w:r>
    </w:p>
    <w:p w:rsidR="002D3E1A" w:rsidRPr="009353E6" w:rsidRDefault="002D3E1A">
      <w:pPr>
        <w:tabs>
          <w:tab w:val="left" w:pos="0"/>
        </w:tabs>
        <w:jc w:val="both"/>
        <w:rPr>
          <w:sz w:val="22"/>
          <w:szCs w:val="22"/>
          <w:lang w:val="pl-PL"/>
        </w:rPr>
      </w:pPr>
    </w:p>
    <w:p w:rsidR="002D3E1A" w:rsidRPr="009353E6" w:rsidRDefault="002D3E1A">
      <w:pPr>
        <w:tabs>
          <w:tab w:val="left" w:pos="0"/>
        </w:tabs>
        <w:ind w:left="708" w:hanging="708"/>
        <w:rPr>
          <w:sz w:val="22"/>
          <w:szCs w:val="22"/>
          <w:lang w:val="pl-PL"/>
        </w:rPr>
      </w:pPr>
      <w:r w:rsidRPr="009353E6">
        <w:rPr>
          <w:sz w:val="22"/>
          <w:szCs w:val="22"/>
          <w:lang w:val="pl-PL"/>
        </w:rPr>
        <w:t>Termin ważności</w:t>
      </w:r>
      <w:r w:rsidR="00E267DC"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jc w:val="both"/>
        <w:rPr>
          <w:b/>
          <w:sz w:val="22"/>
          <w:szCs w:val="22"/>
          <w:lang w:val="pl-PL"/>
        </w:rPr>
      </w:pPr>
      <w:r w:rsidRPr="009353E6">
        <w:rPr>
          <w:b/>
          <w:sz w:val="22"/>
          <w:szCs w:val="22"/>
          <w:lang w:val="pl-PL"/>
        </w:rPr>
        <w:t>4.</w:t>
      </w:r>
      <w:r w:rsidRPr="009353E6">
        <w:rPr>
          <w:b/>
          <w:sz w:val="22"/>
          <w:szCs w:val="22"/>
          <w:lang w:val="pl-PL"/>
        </w:rPr>
        <w:tab/>
        <w:t>NUMER SERII</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Nr serii</w:t>
      </w:r>
      <w:r w:rsidR="000A17A5" w:rsidRPr="009353E6">
        <w:rPr>
          <w:sz w:val="22"/>
          <w:szCs w:val="22"/>
          <w:lang w:val="pl-PL"/>
        </w:rPr>
        <w:t>:</w:t>
      </w:r>
    </w:p>
    <w:p w:rsidR="002D3E1A" w:rsidRPr="009353E6" w:rsidRDefault="002D3E1A">
      <w:pPr>
        <w:tabs>
          <w:tab w:val="left" w:pos="0"/>
        </w:tabs>
        <w:rPr>
          <w:sz w:val="22"/>
          <w:szCs w:val="22"/>
          <w:lang w:val="pl-PL"/>
        </w:rPr>
      </w:pPr>
    </w:p>
    <w:p w:rsidR="003C7C02" w:rsidRPr="009353E6" w:rsidRDefault="003C7C02">
      <w:pPr>
        <w:tabs>
          <w:tab w:val="left" w:pos="0"/>
        </w:tabs>
        <w:rPr>
          <w:sz w:val="22"/>
          <w:szCs w:val="22"/>
          <w:lang w:val="pl-PL"/>
        </w:rPr>
      </w:pPr>
    </w:p>
    <w:p w:rsidR="003C7C02" w:rsidRPr="009353E6" w:rsidRDefault="003C7C02" w:rsidP="003C7C02">
      <w:pPr>
        <w:pBdr>
          <w:top w:val="single" w:sz="4" w:space="1" w:color="auto"/>
          <w:left w:val="single" w:sz="4" w:space="4" w:color="auto"/>
          <w:bottom w:val="single" w:sz="4" w:space="1" w:color="auto"/>
          <w:right w:val="single" w:sz="4" w:space="4" w:color="auto"/>
        </w:pBdr>
        <w:tabs>
          <w:tab w:val="left" w:pos="540"/>
        </w:tabs>
        <w:jc w:val="both"/>
        <w:rPr>
          <w:b/>
          <w:sz w:val="22"/>
          <w:szCs w:val="22"/>
          <w:lang w:val="pl-PL"/>
        </w:rPr>
      </w:pPr>
      <w:r w:rsidRPr="009353E6">
        <w:rPr>
          <w:b/>
          <w:sz w:val="22"/>
          <w:szCs w:val="22"/>
          <w:lang w:val="pl-PL"/>
        </w:rPr>
        <w:t>5.</w:t>
      </w:r>
      <w:r w:rsidRPr="009353E6">
        <w:rPr>
          <w:b/>
          <w:sz w:val="22"/>
          <w:szCs w:val="22"/>
          <w:lang w:val="pl-PL"/>
        </w:rPr>
        <w:tab/>
        <w:t>INNE</w:t>
      </w:r>
    </w:p>
    <w:p w:rsidR="003C7C02" w:rsidRPr="009353E6" w:rsidRDefault="003C7C02">
      <w:pPr>
        <w:tabs>
          <w:tab w:val="left" w:pos="0"/>
        </w:tabs>
        <w:rPr>
          <w:sz w:val="22"/>
          <w:szCs w:val="22"/>
          <w:lang w:val="pl-PL"/>
        </w:rPr>
      </w:pPr>
    </w:p>
    <w:p w:rsidR="003C7C02" w:rsidRPr="009353E6" w:rsidRDefault="003C7C02">
      <w:pPr>
        <w:tabs>
          <w:tab w:val="left" w:pos="0"/>
        </w:tabs>
        <w:rPr>
          <w:sz w:val="22"/>
          <w:szCs w:val="22"/>
          <w:lang w:val="pl-PL"/>
        </w:rPr>
      </w:pPr>
    </w:p>
    <w:p w:rsidR="002D3E1A" w:rsidRPr="009353E6" w:rsidRDefault="002D3E1A">
      <w:pPr>
        <w:tabs>
          <w:tab w:val="left" w:pos="0"/>
        </w:tabs>
        <w:rPr>
          <w:sz w:val="22"/>
          <w:szCs w:val="22"/>
          <w:lang w:val="pl-PL"/>
        </w:rPr>
      </w:pPr>
      <w:r w:rsidRPr="009353E6">
        <w:rPr>
          <w:sz w:val="22"/>
          <w:szCs w:val="22"/>
          <w:lang w:val="pl-PL"/>
        </w:rPr>
        <w:t>PN</w:t>
      </w:r>
    </w:p>
    <w:p w:rsidR="002D3E1A" w:rsidRPr="009353E6" w:rsidRDefault="002D3E1A">
      <w:pPr>
        <w:tabs>
          <w:tab w:val="left" w:pos="0"/>
        </w:tabs>
        <w:rPr>
          <w:sz w:val="22"/>
          <w:szCs w:val="22"/>
          <w:lang w:val="pl-PL"/>
        </w:rPr>
      </w:pPr>
      <w:r w:rsidRPr="009353E6">
        <w:rPr>
          <w:sz w:val="22"/>
          <w:szCs w:val="22"/>
          <w:lang w:val="pl-PL"/>
        </w:rPr>
        <w:t>WT</w:t>
      </w:r>
    </w:p>
    <w:p w:rsidR="002D3E1A" w:rsidRPr="009353E6" w:rsidRDefault="002D3E1A">
      <w:pPr>
        <w:tabs>
          <w:tab w:val="left" w:pos="0"/>
        </w:tabs>
        <w:rPr>
          <w:sz w:val="22"/>
          <w:szCs w:val="22"/>
          <w:lang w:val="pl-PL"/>
        </w:rPr>
      </w:pPr>
      <w:r w:rsidRPr="009353E6">
        <w:rPr>
          <w:sz w:val="22"/>
          <w:szCs w:val="22"/>
          <w:lang w:val="pl-PL"/>
        </w:rPr>
        <w:t>ŚR</w:t>
      </w:r>
    </w:p>
    <w:p w:rsidR="002D3E1A" w:rsidRPr="009353E6" w:rsidRDefault="002D3E1A">
      <w:pPr>
        <w:tabs>
          <w:tab w:val="left" w:pos="0"/>
        </w:tabs>
        <w:rPr>
          <w:sz w:val="22"/>
          <w:szCs w:val="22"/>
          <w:lang w:val="pl-PL"/>
        </w:rPr>
      </w:pPr>
      <w:r w:rsidRPr="009353E6">
        <w:rPr>
          <w:sz w:val="22"/>
          <w:szCs w:val="22"/>
          <w:lang w:val="pl-PL"/>
        </w:rPr>
        <w:t>CZ</w:t>
      </w:r>
    </w:p>
    <w:p w:rsidR="002D3E1A" w:rsidRPr="009353E6" w:rsidRDefault="002D3E1A">
      <w:pPr>
        <w:tabs>
          <w:tab w:val="left" w:pos="0"/>
        </w:tabs>
        <w:rPr>
          <w:sz w:val="22"/>
          <w:szCs w:val="22"/>
          <w:lang w:val="pl-PL"/>
        </w:rPr>
      </w:pPr>
      <w:r w:rsidRPr="009353E6">
        <w:rPr>
          <w:sz w:val="22"/>
          <w:szCs w:val="22"/>
          <w:lang w:val="pl-PL"/>
        </w:rPr>
        <w:t>PT</w:t>
      </w:r>
    </w:p>
    <w:p w:rsidR="002D3E1A" w:rsidRPr="009353E6" w:rsidRDefault="002D3E1A">
      <w:pPr>
        <w:tabs>
          <w:tab w:val="left" w:pos="0"/>
        </w:tabs>
        <w:rPr>
          <w:sz w:val="22"/>
          <w:szCs w:val="22"/>
          <w:lang w:val="pl-PL"/>
        </w:rPr>
      </w:pPr>
      <w:r w:rsidRPr="009353E6">
        <w:rPr>
          <w:sz w:val="22"/>
          <w:szCs w:val="22"/>
          <w:lang w:val="pl-PL"/>
        </w:rPr>
        <w:t>SO</w:t>
      </w:r>
    </w:p>
    <w:p w:rsidR="002D3E1A" w:rsidRPr="009353E6" w:rsidRDefault="002D3E1A">
      <w:pPr>
        <w:tabs>
          <w:tab w:val="left" w:pos="0"/>
        </w:tabs>
        <w:rPr>
          <w:sz w:val="22"/>
          <w:szCs w:val="22"/>
          <w:lang w:val="pl-PL"/>
        </w:rPr>
      </w:pPr>
      <w:r w:rsidRPr="009353E6">
        <w:rPr>
          <w:sz w:val="22"/>
          <w:szCs w:val="22"/>
          <w:lang w:val="pl-PL"/>
        </w:rPr>
        <w:t>ND</w:t>
      </w:r>
    </w:p>
    <w:p w:rsidR="002D3E1A" w:rsidRPr="009353E6" w:rsidRDefault="002D3E1A">
      <w:pPr>
        <w:tabs>
          <w:tab w:val="left" w:pos="0"/>
        </w:tabs>
        <w:jc w:val="both"/>
        <w:rPr>
          <w:sz w:val="22"/>
          <w:szCs w:val="22"/>
          <w:lang w:val="pl-PL"/>
        </w:rPr>
      </w:pPr>
      <w:r w:rsidRPr="009353E6">
        <w:rPr>
          <w:sz w:val="22"/>
          <w:szCs w:val="22"/>
          <w:lang w:val="pl-PL"/>
        </w:rPr>
        <w:br w:type="page"/>
      </w:r>
    </w:p>
    <w:p w:rsidR="002D3E1A" w:rsidRPr="009353E6" w:rsidRDefault="002D3E1A">
      <w:pPr>
        <w:pBdr>
          <w:top w:val="single" w:sz="4" w:space="1" w:color="auto"/>
          <w:left w:val="single" w:sz="4" w:space="6" w:color="auto"/>
          <w:bottom w:val="single" w:sz="4" w:space="1" w:color="auto"/>
          <w:right w:val="single" w:sz="4" w:space="4" w:color="auto"/>
        </w:pBdr>
        <w:tabs>
          <w:tab w:val="left" w:pos="0"/>
        </w:tabs>
        <w:rPr>
          <w:b/>
          <w:sz w:val="22"/>
          <w:szCs w:val="22"/>
          <w:lang w:val="pl-PL"/>
        </w:rPr>
      </w:pPr>
      <w:r w:rsidRPr="009353E6">
        <w:rPr>
          <w:b/>
          <w:sz w:val="22"/>
          <w:szCs w:val="22"/>
          <w:lang w:val="pl-PL"/>
        </w:rPr>
        <w:t>MINIMUM INFORMACJI ZAMIESZCZANYCH NA BLISTRACH LUB OPAKOWANIACH FOLIOWYCH</w:t>
      </w:r>
    </w:p>
    <w:p w:rsidR="003C7C02" w:rsidRPr="009353E6" w:rsidRDefault="003C7C02">
      <w:pPr>
        <w:pBdr>
          <w:top w:val="single" w:sz="4" w:space="1" w:color="auto"/>
          <w:left w:val="single" w:sz="4" w:space="6" w:color="auto"/>
          <w:bottom w:val="single" w:sz="4" w:space="1" w:color="auto"/>
          <w:right w:val="single" w:sz="4" w:space="4" w:color="auto"/>
        </w:pBdr>
        <w:tabs>
          <w:tab w:val="left" w:pos="0"/>
        </w:tabs>
        <w:rPr>
          <w:sz w:val="22"/>
          <w:szCs w:val="22"/>
          <w:lang w:val="pl-PL"/>
        </w:rPr>
      </w:pPr>
    </w:p>
    <w:p w:rsidR="003C7C02" w:rsidRPr="009353E6" w:rsidRDefault="003C7C02">
      <w:pPr>
        <w:pBdr>
          <w:top w:val="single" w:sz="4" w:space="1" w:color="auto"/>
          <w:left w:val="single" w:sz="4" w:space="6" w:color="auto"/>
          <w:bottom w:val="single" w:sz="4" w:space="1" w:color="auto"/>
          <w:right w:val="single" w:sz="4" w:space="4" w:color="auto"/>
        </w:pBdr>
        <w:tabs>
          <w:tab w:val="left" w:pos="0"/>
        </w:tabs>
        <w:rPr>
          <w:sz w:val="22"/>
          <w:szCs w:val="22"/>
          <w:lang w:val="pl-PL"/>
        </w:rPr>
      </w:pPr>
      <w:r w:rsidRPr="009353E6">
        <w:rPr>
          <w:sz w:val="22"/>
          <w:szCs w:val="22"/>
          <w:lang w:val="pl-PL"/>
        </w:rPr>
        <w:t>Blist</w:t>
      </w:r>
      <w:r w:rsidR="00DC03CD" w:rsidRPr="009353E6">
        <w:rPr>
          <w:sz w:val="22"/>
          <w:szCs w:val="22"/>
          <w:lang w:val="pl-PL"/>
        </w:rPr>
        <w:t>er podzielny na dawki pojedyncze</w:t>
      </w:r>
      <w:r w:rsidR="000B7793" w:rsidRPr="009353E6">
        <w:rPr>
          <w:sz w:val="22"/>
          <w:szCs w:val="22"/>
          <w:lang w:val="pl-PL"/>
        </w:rPr>
        <w:t xml:space="preserve"> zawierający 7 lub 10-krotność </w:t>
      </w:r>
      <w:r w:rsidRPr="009353E6">
        <w:rPr>
          <w:sz w:val="22"/>
          <w:szCs w:val="22"/>
          <w:lang w:val="pl-PL"/>
        </w:rPr>
        <w:t xml:space="preserve">lub blister zawierający inną </w:t>
      </w:r>
      <w:r w:rsidR="00773B8F" w:rsidRPr="009353E6">
        <w:rPr>
          <w:sz w:val="22"/>
          <w:szCs w:val="22"/>
          <w:lang w:val="pl-PL"/>
        </w:rPr>
        <w:t xml:space="preserve">liczbę </w:t>
      </w:r>
      <w:r w:rsidRPr="009353E6">
        <w:rPr>
          <w:sz w:val="22"/>
          <w:szCs w:val="22"/>
          <w:lang w:val="pl-PL"/>
        </w:rPr>
        <w:t>tabletek niż 7</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3"/>
        </w:numPr>
        <w:pBdr>
          <w:top w:val="single" w:sz="4" w:space="1" w:color="auto"/>
          <w:left w:val="single" w:sz="4" w:space="4" w:color="auto"/>
          <w:bottom w:val="single" w:sz="4" w:space="1" w:color="auto"/>
          <w:right w:val="single" w:sz="4" w:space="4" w:color="auto"/>
        </w:pBdr>
        <w:tabs>
          <w:tab w:val="clear" w:pos="720"/>
        </w:tabs>
        <w:ind w:left="540" w:hanging="540"/>
        <w:rPr>
          <w:b/>
          <w:sz w:val="22"/>
          <w:szCs w:val="22"/>
          <w:lang w:val="pl-PL"/>
        </w:rPr>
      </w:pPr>
      <w:r w:rsidRPr="009353E6">
        <w:rPr>
          <w:b/>
          <w:sz w:val="22"/>
          <w:szCs w:val="22"/>
          <w:lang w:val="pl-PL"/>
        </w:rPr>
        <w:t>NAZWA PRODUKTU LECZNICZEGO</w:t>
      </w:r>
    </w:p>
    <w:p w:rsidR="002D3E1A" w:rsidRPr="009353E6" w:rsidRDefault="002D3E1A">
      <w:pPr>
        <w:tabs>
          <w:tab w:val="left" w:pos="0"/>
          <w:tab w:val="left" w:pos="90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MicardisPlus 40</w:t>
      </w:r>
      <w:r w:rsidR="00D6338A" w:rsidRPr="009353E6">
        <w:rPr>
          <w:sz w:val="22"/>
          <w:szCs w:val="22"/>
          <w:lang w:val="pl-PL"/>
        </w:rPr>
        <w:t xml:space="preserve"> mg</w:t>
      </w:r>
      <w:r w:rsidRPr="009353E6">
        <w:rPr>
          <w:sz w:val="22"/>
          <w:szCs w:val="22"/>
          <w:lang w:val="pl-PL"/>
        </w:rPr>
        <w:t>/12,5 mg tabletki</w:t>
      </w:r>
    </w:p>
    <w:p w:rsidR="003C7C02" w:rsidRPr="009353E6" w:rsidRDefault="0019761C" w:rsidP="003C7C02">
      <w:pPr>
        <w:tabs>
          <w:tab w:val="left" w:pos="900"/>
        </w:tabs>
        <w:jc w:val="both"/>
        <w:rPr>
          <w:sz w:val="22"/>
          <w:szCs w:val="22"/>
          <w:lang w:val="pl-PL"/>
        </w:rPr>
      </w:pPr>
      <w:r w:rsidRPr="009353E6">
        <w:rPr>
          <w:sz w:val="22"/>
          <w:szCs w:val="22"/>
          <w:lang w:val="pl-PL"/>
        </w:rPr>
        <w:t>t</w:t>
      </w:r>
      <w:r w:rsidR="003C7C02" w:rsidRPr="009353E6">
        <w:rPr>
          <w:sz w:val="22"/>
          <w:szCs w:val="22"/>
          <w:lang w:val="pl-PL"/>
        </w:rPr>
        <w:t>elmisartan/</w:t>
      </w:r>
      <w:r w:rsidRPr="009353E6">
        <w:rPr>
          <w:sz w:val="22"/>
          <w:szCs w:val="22"/>
          <w:lang w:val="pl-PL"/>
        </w:rPr>
        <w:t>h</w:t>
      </w:r>
      <w:r w:rsidR="003C7C02" w:rsidRPr="009353E6">
        <w:rPr>
          <w:sz w:val="22"/>
          <w:szCs w:val="22"/>
          <w:lang w:val="pl-PL"/>
        </w:rPr>
        <w:t>ydrochlorotiazyd</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3"/>
        </w:numPr>
        <w:pBdr>
          <w:top w:val="single" w:sz="4" w:space="1" w:color="auto"/>
          <w:left w:val="single" w:sz="4" w:space="4" w:color="auto"/>
          <w:bottom w:val="single" w:sz="4" w:space="1" w:color="auto"/>
          <w:right w:val="single" w:sz="4" w:space="4" w:color="auto"/>
        </w:pBdr>
        <w:tabs>
          <w:tab w:val="clear" w:pos="720"/>
          <w:tab w:val="num" w:pos="540"/>
        </w:tabs>
        <w:ind w:left="540" w:hanging="540"/>
        <w:rPr>
          <w:b/>
          <w:sz w:val="22"/>
          <w:szCs w:val="22"/>
          <w:lang w:val="pl-PL"/>
        </w:rPr>
      </w:pPr>
      <w:r w:rsidRPr="009353E6">
        <w:rPr>
          <w:b/>
          <w:sz w:val="22"/>
          <w:szCs w:val="22"/>
          <w:lang w:val="pl-PL"/>
        </w:rPr>
        <w:t xml:space="preserve">NAZWA PODMIOTU ODPOWIEDZIALNEGO </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r w:rsidRPr="009353E6">
        <w:rPr>
          <w:sz w:val="22"/>
          <w:szCs w:val="22"/>
          <w:lang w:val="pl-PL"/>
        </w:rPr>
        <w:t>Boehringer Ingelheim (</w:t>
      </w:r>
      <w:r w:rsidRPr="009353E6">
        <w:rPr>
          <w:sz w:val="22"/>
          <w:szCs w:val="22"/>
          <w:highlight w:val="lightGray"/>
          <w:lang w:val="pl-PL"/>
        </w:rPr>
        <w:t>Logo</w:t>
      </w:r>
      <w:r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3"/>
        </w:numPr>
        <w:pBdr>
          <w:top w:val="single" w:sz="4" w:space="1" w:color="auto"/>
          <w:left w:val="single" w:sz="4" w:space="4" w:color="auto"/>
          <w:bottom w:val="single" w:sz="4" w:space="1" w:color="auto"/>
          <w:right w:val="single" w:sz="4" w:space="4" w:color="auto"/>
        </w:pBdr>
        <w:tabs>
          <w:tab w:val="clear" w:pos="720"/>
          <w:tab w:val="left" w:pos="540"/>
        </w:tabs>
        <w:ind w:left="540" w:hanging="540"/>
        <w:rPr>
          <w:b/>
          <w:sz w:val="22"/>
          <w:szCs w:val="22"/>
          <w:lang w:val="pl-PL"/>
        </w:rPr>
      </w:pPr>
      <w:r w:rsidRPr="009353E6">
        <w:rPr>
          <w:b/>
          <w:sz w:val="22"/>
          <w:szCs w:val="22"/>
          <w:lang w:val="pl-PL"/>
        </w:rPr>
        <w:t>TERMIN WAŻNOŚCI</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Termin ważności</w:t>
      </w:r>
      <w:r w:rsidR="002D5E68"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3"/>
        </w:numPr>
        <w:pBdr>
          <w:top w:val="single" w:sz="4" w:space="1" w:color="auto"/>
          <w:left w:val="single" w:sz="4" w:space="4" w:color="auto"/>
          <w:bottom w:val="single" w:sz="4" w:space="1" w:color="auto"/>
          <w:right w:val="single" w:sz="4" w:space="4" w:color="auto"/>
        </w:pBdr>
        <w:tabs>
          <w:tab w:val="clear" w:pos="720"/>
          <w:tab w:val="left" w:pos="540"/>
        </w:tabs>
        <w:ind w:left="540" w:hanging="540"/>
        <w:rPr>
          <w:b/>
          <w:sz w:val="22"/>
          <w:szCs w:val="22"/>
          <w:lang w:val="pl-PL"/>
        </w:rPr>
      </w:pPr>
      <w:r w:rsidRPr="009353E6">
        <w:rPr>
          <w:b/>
          <w:sz w:val="22"/>
          <w:szCs w:val="22"/>
          <w:lang w:val="pl-PL"/>
        </w:rPr>
        <w:t>NUMER SERII</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Nr serii</w:t>
      </w:r>
      <w:r w:rsidR="000A17A5" w:rsidRPr="009353E6">
        <w:rPr>
          <w:sz w:val="22"/>
          <w:szCs w:val="22"/>
          <w:lang w:val="pl-PL"/>
        </w:rPr>
        <w:t>:</w:t>
      </w:r>
    </w:p>
    <w:p w:rsidR="002D3E1A" w:rsidRPr="009353E6" w:rsidRDefault="002D3E1A">
      <w:pPr>
        <w:tabs>
          <w:tab w:val="left" w:pos="0"/>
        </w:tabs>
        <w:jc w:val="both"/>
        <w:rPr>
          <w:sz w:val="22"/>
          <w:szCs w:val="22"/>
          <w:lang w:val="pl-PL"/>
        </w:rPr>
      </w:pPr>
    </w:p>
    <w:p w:rsidR="003C7C02" w:rsidRPr="009353E6" w:rsidRDefault="003C7C02">
      <w:pPr>
        <w:tabs>
          <w:tab w:val="left" w:pos="0"/>
        </w:tabs>
        <w:jc w:val="both"/>
        <w:rPr>
          <w:sz w:val="22"/>
          <w:szCs w:val="22"/>
          <w:lang w:val="pl-PL"/>
        </w:rPr>
      </w:pPr>
    </w:p>
    <w:p w:rsidR="003C7C02" w:rsidRPr="009353E6" w:rsidRDefault="003C7C02" w:rsidP="002D507E">
      <w:pPr>
        <w:numPr>
          <w:ilvl w:val="0"/>
          <w:numId w:val="3"/>
        </w:numPr>
        <w:pBdr>
          <w:top w:val="single" w:sz="4" w:space="1" w:color="auto"/>
          <w:left w:val="single" w:sz="4" w:space="4" w:color="auto"/>
          <w:bottom w:val="single" w:sz="4" w:space="1" w:color="auto"/>
          <w:right w:val="single" w:sz="4" w:space="4" w:color="auto"/>
        </w:pBdr>
        <w:tabs>
          <w:tab w:val="clear" w:pos="720"/>
          <w:tab w:val="left" w:pos="540"/>
        </w:tabs>
        <w:ind w:left="540" w:hanging="540"/>
        <w:rPr>
          <w:b/>
          <w:sz w:val="22"/>
          <w:szCs w:val="22"/>
          <w:lang w:val="pl-PL"/>
        </w:rPr>
      </w:pPr>
      <w:r w:rsidRPr="009353E6">
        <w:rPr>
          <w:b/>
          <w:sz w:val="22"/>
          <w:szCs w:val="22"/>
          <w:lang w:val="pl-PL"/>
        </w:rPr>
        <w:t>INNE</w:t>
      </w:r>
    </w:p>
    <w:p w:rsidR="002D3E1A" w:rsidRPr="009353E6" w:rsidRDefault="002D3E1A">
      <w:pPr>
        <w:tabs>
          <w:tab w:val="left" w:pos="0"/>
        </w:tabs>
        <w:jc w:val="both"/>
        <w:rPr>
          <w:sz w:val="22"/>
          <w:szCs w:val="22"/>
          <w:lang w:val="pl-PL"/>
        </w:rPr>
      </w:pPr>
      <w:r w:rsidRPr="009353E6">
        <w:rPr>
          <w:sz w:val="22"/>
          <w:szCs w:val="22"/>
          <w:lang w:val="pl-PL"/>
        </w:rPr>
        <w:br w:type="page"/>
      </w:r>
    </w:p>
    <w:p w:rsidR="003C7C02" w:rsidRPr="009353E6" w:rsidRDefault="003C7C02" w:rsidP="0019761C">
      <w:pPr>
        <w:pBdr>
          <w:top w:val="single" w:sz="4" w:space="0" w:color="auto"/>
          <w:left w:val="single" w:sz="4" w:space="4" w:color="auto"/>
          <w:bottom w:val="single" w:sz="4" w:space="0" w:color="auto"/>
          <w:right w:val="single" w:sz="4" w:space="4" w:color="auto"/>
        </w:pBdr>
        <w:rPr>
          <w:b/>
          <w:sz w:val="22"/>
          <w:szCs w:val="22"/>
          <w:lang w:val="pl-PL"/>
        </w:rPr>
      </w:pPr>
      <w:r w:rsidRPr="009353E6">
        <w:rPr>
          <w:b/>
          <w:sz w:val="22"/>
          <w:szCs w:val="22"/>
          <w:lang w:val="pl-PL"/>
        </w:rPr>
        <w:t xml:space="preserve">INFORMACJE ZAMIESZCZANE NA OPAKOWANIACH ZEWNĘTRZNYCH </w:t>
      </w:r>
    </w:p>
    <w:p w:rsidR="0072154B" w:rsidRPr="009353E6" w:rsidRDefault="0072154B" w:rsidP="0019761C">
      <w:pPr>
        <w:pBdr>
          <w:top w:val="single" w:sz="4" w:space="0" w:color="auto"/>
          <w:left w:val="single" w:sz="4" w:space="4" w:color="auto"/>
          <w:bottom w:val="single" w:sz="4" w:space="0" w:color="auto"/>
          <w:right w:val="single" w:sz="4" w:space="4" w:color="auto"/>
        </w:pBdr>
        <w:rPr>
          <w:b/>
          <w:sz w:val="22"/>
          <w:szCs w:val="22"/>
          <w:lang w:val="pl-PL"/>
        </w:rPr>
      </w:pPr>
    </w:p>
    <w:p w:rsidR="003C7C02" w:rsidRPr="009353E6" w:rsidRDefault="00773B8F" w:rsidP="0019761C">
      <w:pPr>
        <w:pBdr>
          <w:top w:val="single" w:sz="4" w:space="0" w:color="auto"/>
          <w:left w:val="single" w:sz="4" w:space="4" w:color="auto"/>
          <w:bottom w:val="single" w:sz="4" w:space="0" w:color="auto"/>
          <w:right w:val="single" w:sz="4" w:space="4" w:color="auto"/>
        </w:pBdr>
        <w:rPr>
          <w:sz w:val="22"/>
          <w:szCs w:val="22"/>
          <w:lang w:val="pl-PL"/>
        </w:rPr>
      </w:pPr>
      <w:r w:rsidRPr="009353E6">
        <w:rPr>
          <w:sz w:val="22"/>
          <w:szCs w:val="22"/>
          <w:lang w:val="pl-PL"/>
        </w:rPr>
        <w:t xml:space="preserve">Pudełko tekturowe </w:t>
      </w:r>
    </w:p>
    <w:p w:rsidR="002D3E1A" w:rsidRPr="009353E6" w:rsidRDefault="002D3E1A">
      <w:pPr>
        <w:jc w:val="both"/>
        <w:rPr>
          <w:b/>
          <w:sz w:val="22"/>
          <w:szCs w:val="22"/>
          <w:lang w:val="pl-PL"/>
        </w:rPr>
      </w:pPr>
    </w:p>
    <w:p w:rsidR="002D3E1A" w:rsidRPr="009353E6" w:rsidRDefault="002D3E1A">
      <w:pPr>
        <w:jc w:val="both"/>
        <w:rPr>
          <w:sz w:val="22"/>
          <w:szCs w:val="22"/>
          <w:lang w:val="pl-PL"/>
        </w:rPr>
      </w:pPr>
    </w:p>
    <w:p w:rsidR="002D3E1A" w:rsidRPr="009353E6" w:rsidRDefault="002D3E1A" w:rsidP="002D507E">
      <w:pPr>
        <w:numPr>
          <w:ilvl w:val="0"/>
          <w:numId w:val="5"/>
        </w:numPr>
        <w:pBdr>
          <w:top w:val="single" w:sz="4" w:space="1" w:color="auto"/>
          <w:left w:val="single" w:sz="4" w:space="4" w:color="auto"/>
          <w:bottom w:val="single" w:sz="4" w:space="1" w:color="auto"/>
          <w:right w:val="single" w:sz="4" w:space="4" w:color="auto"/>
        </w:pBdr>
        <w:tabs>
          <w:tab w:val="clear" w:pos="360"/>
          <w:tab w:val="num" w:pos="540"/>
        </w:tabs>
        <w:ind w:left="540" w:hanging="540"/>
        <w:rPr>
          <w:b/>
          <w:sz w:val="22"/>
          <w:szCs w:val="22"/>
          <w:lang w:val="pl-PL"/>
        </w:rPr>
      </w:pPr>
      <w:r w:rsidRPr="009353E6">
        <w:rPr>
          <w:b/>
          <w:sz w:val="22"/>
          <w:szCs w:val="22"/>
          <w:lang w:val="pl-PL"/>
        </w:rPr>
        <w:t xml:space="preserve">NAZWA PRODUKTU LECZNICZEGO </w:t>
      </w:r>
    </w:p>
    <w:p w:rsidR="002D3E1A" w:rsidRPr="009353E6" w:rsidRDefault="002D3E1A">
      <w:pPr>
        <w:tabs>
          <w:tab w:val="left" w:pos="900"/>
        </w:tabs>
        <w:jc w:val="both"/>
        <w:rPr>
          <w:b/>
          <w:sz w:val="22"/>
          <w:szCs w:val="22"/>
          <w:lang w:val="pl-PL"/>
        </w:rPr>
      </w:pPr>
    </w:p>
    <w:p w:rsidR="002D3E1A" w:rsidRPr="009353E6" w:rsidRDefault="002D3E1A">
      <w:pPr>
        <w:tabs>
          <w:tab w:val="left" w:pos="540"/>
        </w:tabs>
        <w:ind w:left="540" w:hanging="540"/>
        <w:rPr>
          <w:sz w:val="22"/>
          <w:szCs w:val="22"/>
          <w:lang w:val="pl-PL"/>
        </w:rPr>
      </w:pPr>
      <w:r w:rsidRPr="009353E6">
        <w:rPr>
          <w:sz w:val="22"/>
          <w:szCs w:val="22"/>
          <w:lang w:val="pl-PL"/>
        </w:rPr>
        <w:t>MicardisPlus 80</w:t>
      </w:r>
      <w:r w:rsidR="00D6338A" w:rsidRPr="009353E6">
        <w:rPr>
          <w:sz w:val="22"/>
          <w:szCs w:val="22"/>
          <w:lang w:val="pl-PL"/>
        </w:rPr>
        <w:t xml:space="preserve"> mg</w:t>
      </w:r>
      <w:r w:rsidRPr="009353E6">
        <w:rPr>
          <w:sz w:val="22"/>
          <w:szCs w:val="22"/>
          <w:lang w:val="pl-PL"/>
        </w:rPr>
        <w:t>/12,5 mg tabletki</w:t>
      </w:r>
    </w:p>
    <w:p w:rsidR="003C7C02" w:rsidRPr="009353E6" w:rsidRDefault="0019761C" w:rsidP="003C7C02">
      <w:pPr>
        <w:tabs>
          <w:tab w:val="left" w:pos="900"/>
        </w:tabs>
        <w:jc w:val="both"/>
        <w:rPr>
          <w:sz w:val="22"/>
          <w:szCs w:val="22"/>
          <w:lang w:val="pl-PL"/>
        </w:rPr>
      </w:pPr>
      <w:r w:rsidRPr="009353E6">
        <w:rPr>
          <w:sz w:val="22"/>
          <w:szCs w:val="22"/>
          <w:lang w:val="pl-PL"/>
        </w:rPr>
        <w:t>t</w:t>
      </w:r>
      <w:r w:rsidR="003C7C02" w:rsidRPr="009353E6">
        <w:rPr>
          <w:sz w:val="22"/>
          <w:szCs w:val="22"/>
          <w:lang w:val="pl-PL"/>
        </w:rPr>
        <w:t>elmisartan/</w:t>
      </w:r>
      <w:r w:rsidRPr="009353E6">
        <w:rPr>
          <w:sz w:val="22"/>
          <w:szCs w:val="22"/>
          <w:lang w:val="pl-PL"/>
        </w:rPr>
        <w:t>h</w:t>
      </w:r>
      <w:r w:rsidR="003C7C02" w:rsidRPr="009353E6">
        <w:rPr>
          <w:sz w:val="22"/>
          <w:szCs w:val="22"/>
          <w:lang w:val="pl-PL"/>
        </w:rPr>
        <w:t>ydrochlorotiazyd</w:t>
      </w:r>
    </w:p>
    <w:p w:rsidR="002D3E1A" w:rsidRPr="009353E6" w:rsidRDefault="002D3E1A">
      <w:pPr>
        <w:tabs>
          <w:tab w:val="left" w:pos="900"/>
        </w:tabs>
        <w:jc w:val="both"/>
        <w:rPr>
          <w:sz w:val="22"/>
          <w:szCs w:val="22"/>
          <w:lang w:val="pl-PL"/>
        </w:rPr>
      </w:pPr>
    </w:p>
    <w:p w:rsidR="002D3E1A" w:rsidRPr="009353E6" w:rsidRDefault="002D3E1A">
      <w:pPr>
        <w:tabs>
          <w:tab w:val="left" w:pos="900"/>
        </w:tabs>
        <w:jc w:val="both"/>
        <w:rPr>
          <w:sz w:val="22"/>
          <w:szCs w:val="22"/>
          <w:lang w:val="pl-PL"/>
        </w:rPr>
      </w:pPr>
    </w:p>
    <w:p w:rsidR="002D3E1A" w:rsidRPr="009353E6" w:rsidRDefault="002D3E1A" w:rsidP="002D507E">
      <w:pPr>
        <w:numPr>
          <w:ilvl w:val="0"/>
          <w:numId w:val="5"/>
        </w:numPr>
        <w:pBdr>
          <w:top w:val="single" w:sz="4" w:space="1" w:color="auto"/>
          <w:left w:val="single" w:sz="4" w:space="4" w:color="auto"/>
          <w:bottom w:val="single" w:sz="4" w:space="1" w:color="auto"/>
          <w:right w:val="single" w:sz="4" w:space="4" w:color="auto"/>
        </w:pBdr>
        <w:tabs>
          <w:tab w:val="clear" w:pos="360"/>
          <w:tab w:val="num" w:pos="540"/>
        </w:tabs>
        <w:ind w:left="540" w:hanging="540"/>
        <w:rPr>
          <w:b/>
          <w:sz w:val="22"/>
          <w:szCs w:val="22"/>
          <w:lang w:val="pl-PL"/>
        </w:rPr>
      </w:pPr>
      <w:r w:rsidRPr="009353E6">
        <w:rPr>
          <w:b/>
          <w:sz w:val="22"/>
          <w:szCs w:val="22"/>
          <w:lang w:val="pl-PL"/>
        </w:rPr>
        <w:t xml:space="preserve">ZAWARTOŚĆ SUBSTANCJI </w:t>
      </w:r>
      <w:r w:rsidR="00251DF8" w:rsidRPr="009353E6">
        <w:rPr>
          <w:b/>
          <w:sz w:val="22"/>
          <w:szCs w:val="22"/>
          <w:lang w:val="pl-PL"/>
        </w:rPr>
        <w:t>CZYNNYCH</w:t>
      </w:r>
    </w:p>
    <w:p w:rsidR="002D3E1A" w:rsidRPr="009353E6" w:rsidRDefault="002D3E1A">
      <w:pPr>
        <w:tabs>
          <w:tab w:val="left" w:pos="900"/>
        </w:tabs>
        <w:jc w:val="both"/>
        <w:rPr>
          <w:b/>
          <w:sz w:val="22"/>
          <w:szCs w:val="22"/>
          <w:lang w:val="pl-PL"/>
        </w:rPr>
      </w:pPr>
    </w:p>
    <w:p w:rsidR="002D3E1A" w:rsidRPr="009353E6" w:rsidRDefault="002D3E1A">
      <w:pPr>
        <w:tabs>
          <w:tab w:val="left" w:pos="540"/>
        </w:tabs>
        <w:ind w:left="540" w:hanging="540"/>
        <w:rPr>
          <w:sz w:val="22"/>
          <w:szCs w:val="22"/>
          <w:lang w:val="pl-PL"/>
        </w:rPr>
      </w:pPr>
      <w:r w:rsidRPr="009353E6">
        <w:rPr>
          <w:sz w:val="22"/>
          <w:szCs w:val="22"/>
          <w:lang w:val="pl-PL"/>
        </w:rPr>
        <w:t xml:space="preserve">Każda tabletka zawiera </w:t>
      </w:r>
      <w:r w:rsidR="00B23D03" w:rsidRPr="009353E6">
        <w:rPr>
          <w:sz w:val="22"/>
          <w:szCs w:val="22"/>
          <w:lang w:val="pl-PL"/>
        </w:rPr>
        <w:t xml:space="preserve">80 mg </w:t>
      </w:r>
      <w:r w:rsidRPr="009353E6">
        <w:rPr>
          <w:sz w:val="22"/>
          <w:szCs w:val="22"/>
          <w:lang w:val="pl-PL"/>
        </w:rPr>
        <w:t>telmisartan</w:t>
      </w:r>
      <w:r w:rsidR="00B23D03" w:rsidRPr="009353E6">
        <w:rPr>
          <w:sz w:val="22"/>
          <w:szCs w:val="22"/>
          <w:lang w:val="pl-PL"/>
        </w:rPr>
        <w:t>u</w:t>
      </w:r>
      <w:r w:rsidRPr="009353E6">
        <w:rPr>
          <w:sz w:val="22"/>
          <w:szCs w:val="22"/>
          <w:lang w:val="pl-PL"/>
        </w:rPr>
        <w:t xml:space="preserve"> i </w:t>
      </w:r>
      <w:r w:rsidR="00B23D03" w:rsidRPr="009353E6">
        <w:rPr>
          <w:sz w:val="22"/>
          <w:szCs w:val="22"/>
          <w:lang w:val="pl-PL"/>
        </w:rPr>
        <w:t>12,5 mg</w:t>
      </w:r>
      <w:r w:rsidR="00B23D03" w:rsidRPr="009353E6" w:rsidDel="000C528A">
        <w:rPr>
          <w:sz w:val="22"/>
          <w:szCs w:val="22"/>
          <w:lang w:val="pl-PL"/>
        </w:rPr>
        <w:t xml:space="preserve"> </w:t>
      </w:r>
      <w:r w:rsidRPr="009353E6">
        <w:rPr>
          <w:sz w:val="22"/>
          <w:szCs w:val="22"/>
          <w:lang w:val="pl-PL"/>
        </w:rPr>
        <w:t>hydrochlorotiazyd</w:t>
      </w:r>
      <w:r w:rsidR="00B23D03" w:rsidRPr="009353E6">
        <w:rPr>
          <w:sz w:val="22"/>
          <w:szCs w:val="22"/>
          <w:lang w:val="pl-PL"/>
        </w:rPr>
        <w:t>u</w:t>
      </w:r>
      <w:r w:rsidR="00490DBE"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5"/>
        </w:numPr>
        <w:pBdr>
          <w:top w:val="single" w:sz="4" w:space="1" w:color="auto"/>
          <w:left w:val="single" w:sz="4" w:space="4" w:color="auto"/>
          <w:bottom w:val="single" w:sz="4" w:space="1" w:color="auto"/>
          <w:right w:val="single" w:sz="4" w:space="4" w:color="auto"/>
        </w:pBdr>
        <w:tabs>
          <w:tab w:val="clear" w:pos="360"/>
          <w:tab w:val="left" w:pos="540"/>
        </w:tabs>
        <w:ind w:left="540" w:hanging="540"/>
        <w:rPr>
          <w:b/>
          <w:sz w:val="22"/>
          <w:szCs w:val="22"/>
          <w:lang w:val="pl-PL"/>
        </w:rPr>
      </w:pPr>
      <w:r w:rsidRPr="009353E6">
        <w:rPr>
          <w:b/>
          <w:sz w:val="22"/>
          <w:szCs w:val="22"/>
          <w:lang w:val="pl-PL"/>
        </w:rPr>
        <w:t>WYKAZ SUBSTANCJI POMOCNICZYCH</w:t>
      </w:r>
    </w:p>
    <w:p w:rsidR="00251DF8" w:rsidRPr="009353E6" w:rsidRDefault="00251DF8" w:rsidP="00251DF8">
      <w:pPr>
        <w:tabs>
          <w:tab w:val="left" w:pos="0"/>
        </w:tabs>
        <w:jc w:val="both"/>
        <w:rPr>
          <w:sz w:val="22"/>
          <w:szCs w:val="22"/>
          <w:lang w:val="pl-PL"/>
        </w:rPr>
      </w:pPr>
    </w:p>
    <w:p w:rsidR="002D5E68" w:rsidRPr="009353E6" w:rsidRDefault="00251DF8" w:rsidP="002D5E68">
      <w:pPr>
        <w:tabs>
          <w:tab w:val="left" w:pos="0"/>
        </w:tabs>
        <w:jc w:val="both"/>
        <w:rPr>
          <w:sz w:val="22"/>
          <w:szCs w:val="22"/>
          <w:lang w:val="pl-PL"/>
        </w:rPr>
      </w:pPr>
      <w:r w:rsidRPr="009353E6">
        <w:rPr>
          <w:sz w:val="22"/>
          <w:szCs w:val="22"/>
          <w:lang w:val="pl-PL"/>
        </w:rPr>
        <w:t xml:space="preserve">Zawiera </w:t>
      </w:r>
      <w:r w:rsidR="00874D37" w:rsidRPr="009353E6">
        <w:rPr>
          <w:sz w:val="22"/>
          <w:szCs w:val="22"/>
          <w:lang w:val="pl-PL"/>
        </w:rPr>
        <w:t>laktozę</w:t>
      </w:r>
      <w:r w:rsidR="007733E5" w:rsidRPr="009353E6">
        <w:rPr>
          <w:sz w:val="22"/>
          <w:szCs w:val="22"/>
          <w:lang w:val="pl-PL"/>
        </w:rPr>
        <w:t xml:space="preserve"> jednowodną</w:t>
      </w:r>
      <w:r w:rsidR="00BB1F21" w:rsidRPr="009353E6">
        <w:rPr>
          <w:sz w:val="22"/>
          <w:szCs w:val="22"/>
          <w:lang w:val="pl-PL"/>
        </w:rPr>
        <w:t xml:space="preserve"> i </w:t>
      </w:r>
      <w:r w:rsidRPr="009353E6">
        <w:rPr>
          <w:sz w:val="22"/>
          <w:szCs w:val="22"/>
          <w:lang w:val="pl-PL"/>
        </w:rPr>
        <w:t>sorbitol</w:t>
      </w:r>
      <w:r w:rsidR="002D5E68" w:rsidRPr="009353E6">
        <w:rPr>
          <w:sz w:val="22"/>
          <w:szCs w:val="22"/>
          <w:lang w:val="pl-PL"/>
        </w:rPr>
        <w:t xml:space="preserve"> (E420).</w:t>
      </w:r>
    </w:p>
    <w:p w:rsidR="0007757E" w:rsidRPr="009353E6" w:rsidRDefault="0007757E" w:rsidP="0007757E">
      <w:pPr>
        <w:rPr>
          <w:sz w:val="22"/>
          <w:szCs w:val="22"/>
          <w:lang w:val="pl-PL"/>
        </w:rPr>
      </w:pPr>
      <w:r w:rsidRPr="009353E6">
        <w:rPr>
          <w:sz w:val="22"/>
          <w:szCs w:val="22"/>
          <w:lang w:val="pl-PL"/>
        </w:rPr>
        <w:t xml:space="preserve">W celu uzyskania dodatkowych informacji należy zapoznać się z treścią ulotki dołączonej do opakowania. </w:t>
      </w:r>
    </w:p>
    <w:p w:rsidR="002D3E1A" w:rsidRPr="009353E6" w:rsidRDefault="002D3E1A">
      <w:pPr>
        <w:tabs>
          <w:tab w:val="left" w:pos="0"/>
        </w:tabs>
        <w:jc w:val="both"/>
        <w:rPr>
          <w:b/>
          <w:sz w:val="22"/>
          <w:szCs w:val="22"/>
          <w:lang w:val="pl-PL"/>
        </w:rPr>
      </w:pPr>
    </w:p>
    <w:p w:rsidR="002D3E1A" w:rsidRPr="009353E6" w:rsidRDefault="002D3E1A">
      <w:pPr>
        <w:tabs>
          <w:tab w:val="left" w:pos="0"/>
        </w:tabs>
        <w:jc w:val="both"/>
        <w:rPr>
          <w:b/>
          <w:sz w:val="22"/>
          <w:szCs w:val="22"/>
          <w:lang w:val="pl-PL"/>
        </w:rPr>
      </w:pPr>
    </w:p>
    <w:p w:rsidR="002D3E1A" w:rsidRPr="009353E6" w:rsidRDefault="002D3E1A" w:rsidP="002D507E">
      <w:pPr>
        <w:numPr>
          <w:ilvl w:val="0"/>
          <w:numId w:val="5"/>
        </w:numPr>
        <w:pBdr>
          <w:top w:val="single" w:sz="4" w:space="1" w:color="auto"/>
          <w:left w:val="single" w:sz="4" w:space="4" w:color="auto"/>
          <w:bottom w:val="single" w:sz="4" w:space="1" w:color="auto"/>
          <w:right w:val="single" w:sz="4" w:space="4" w:color="auto"/>
        </w:pBdr>
        <w:tabs>
          <w:tab w:val="clear" w:pos="360"/>
          <w:tab w:val="num" w:pos="0"/>
          <w:tab w:val="num" w:pos="540"/>
        </w:tabs>
        <w:ind w:left="540" w:hanging="540"/>
        <w:rPr>
          <w:b/>
          <w:sz w:val="22"/>
          <w:szCs w:val="22"/>
          <w:lang w:val="pl-PL"/>
        </w:rPr>
      </w:pPr>
      <w:r w:rsidRPr="009353E6">
        <w:rPr>
          <w:b/>
          <w:sz w:val="22"/>
          <w:szCs w:val="22"/>
          <w:lang w:val="pl-PL"/>
        </w:rPr>
        <w:t xml:space="preserve">POSTAĆ </w:t>
      </w:r>
      <w:r w:rsidR="00D42597" w:rsidRPr="009353E6">
        <w:rPr>
          <w:b/>
          <w:sz w:val="22"/>
          <w:szCs w:val="22"/>
          <w:lang w:val="pl-PL"/>
        </w:rPr>
        <w:t>FARMACEUTYCZNA</w:t>
      </w:r>
      <w:r w:rsidRPr="009353E6">
        <w:rPr>
          <w:b/>
          <w:sz w:val="22"/>
          <w:szCs w:val="22"/>
          <w:lang w:val="pl-PL"/>
        </w:rPr>
        <w:t xml:space="preserve"> I ZAWARTOŚĆ OPAKOWANIA</w:t>
      </w:r>
    </w:p>
    <w:p w:rsidR="002D3E1A" w:rsidRPr="009353E6" w:rsidRDefault="002D3E1A">
      <w:pPr>
        <w:tabs>
          <w:tab w:val="left" w:pos="0"/>
        </w:tabs>
        <w:jc w:val="both"/>
        <w:rPr>
          <w:b/>
          <w:sz w:val="22"/>
          <w:szCs w:val="22"/>
          <w:lang w:val="pl-PL"/>
        </w:rPr>
      </w:pPr>
    </w:p>
    <w:p w:rsidR="00125970" w:rsidRPr="009353E6" w:rsidRDefault="00125970" w:rsidP="00021924">
      <w:pPr>
        <w:rPr>
          <w:sz w:val="22"/>
          <w:szCs w:val="22"/>
          <w:lang w:val="pl-PL"/>
        </w:rPr>
      </w:pPr>
      <w:r w:rsidRPr="009353E6">
        <w:rPr>
          <w:sz w:val="22"/>
          <w:szCs w:val="22"/>
          <w:lang w:val="pl-PL"/>
        </w:rPr>
        <w:t>14 tabletek</w:t>
      </w:r>
    </w:p>
    <w:p w:rsidR="00021924" w:rsidRPr="009353E6" w:rsidRDefault="00021924" w:rsidP="00021924">
      <w:pPr>
        <w:rPr>
          <w:sz w:val="22"/>
          <w:szCs w:val="22"/>
          <w:lang w:val="pl-PL"/>
        </w:rPr>
      </w:pPr>
      <w:r w:rsidRPr="009353E6">
        <w:rPr>
          <w:sz w:val="22"/>
          <w:szCs w:val="22"/>
          <w:shd w:val="clear" w:color="auto" w:fill="C0C0C0"/>
          <w:lang w:val="pl-PL"/>
        </w:rPr>
        <w:t>28 tabletek</w:t>
      </w:r>
    </w:p>
    <w:p w:rsidR="00021924" w:rsidRPr="009353E6" w:rsidRDefault="00021924" w:rsidP="00021924">
      <w:pPr>
        <w:rPr>
          <w:sz w:val="22"/>
          <w:szCs w:val="22"/>
          <w:lang w:val="pl-PL"/>
        </w:rPr>
      </w:pPr>
      <w:r w:rsidRPr="009353E6">
        <w:rPr>
          <w:sz w:val="22"/>
          <w:szCs w:val="22"/>
          <w:shd w:val="clear" w:color="auto" w:fill="C0C0C0"/>
          <w:lang w:val="pl-PL"/>
        </w:rPr>
        <w:t xml:space="preserve">30 </w:t>
      </w:r>
      <w:r w:rsidR="001C1D53" w:rsidRPr="009353E6">
        <w:rPr>
          <w:sz w:val="22"/>
          <w:szCs w:val="22"/>
          <w:shd w:val="clear" w:color="auto" w:fill="C0C0C0"/>
          <w:lang w:val="pl-PL"/>
        </w:rPr>
        <w:t xml:space="preserve">x 1 </w:t>
      </w:r>
      <w:r w:rsidRPr="009353E6">
        <w:rPr>
          <w:sz w:val="22"/>
          <w:szCs w:val="22"/>
          <w:shd w:val="clear" w:color="auto" w:fill="C0C0C0"/>
          <w:lang w:val="pl-PL"/>
        </w:rPr>
        <w:t>tabletk</w:t>
      </w:r>
      <w:r w:rsidR="00CF50E0" w:rsidRPr="009353E6">
        <w:rPr>
          <w:sz w:val="22"/>
          <w:szCs w:val="22"/>
          <w:shd w:val="clear" w:color="auto" w:fill="C0C0C0"/>
          <w:lang w:val="pl-PL"/>
        </w:rPr>
        <w:t>a</w:t>
      </w:r>
    </w:p>
    <w:p w:rsidR="00021924" w:rsidRPr="009353E6" w:rsidRDefault="00021924" w:rsidP="00021924">
      <w:pPr>
        <w:rPr>
          <w:sz w:val="22"/>
          <w:szCs w:val="22"/>
          <w:lang w:val="pl-PL"/>
        </w:rPr>
      </w:pPr>
      <w:r w:rsidRPr="009353E6">
        <w:rPr>
          <w:sz w:val="22"/>
          <w:szCs w:val="22"/>
          <w:shd w:val="clear" w:color="auto" w:fill="C0C0C0"/>
          <w:lang w:val="pl-PL"/>
        </w:rPr>
        <w:t>56 tabletek</w:t>
      </w:r>
    </w:p>
    <w:p w:rsidR="00021924" w:rsidRPr="009353E6" w:rsidRDefault="00021924" w:rsidP="00021924">
      <w:pPr>
        <w:rPr>
          <w:sz w:val="22"/>
          <w:szCs w:val="22"/>
          <w:lang w:val="pl-PL"/>
        </w:rPr>
      </w:pPr>
      <w:r w:rsidRPr="009353E6">
        <w:rPr>
          <w:sz w:val="22"/>
          <w:szCs w:val="22"/>
          <w:shd w:val="clear" w:color="auto" w:fill="C0C0C0"/>
          <w:lang w:val="pl-PL"/>
        </w:rPr>
        <w:t>84 tablet</w:t>
      </w:r>
      <w:r w:rsidR="00E3305D" w:rsidRPr="009353E6">
        <w:rPr>
          <w:sz w:val="22"/>
          <w:szCs w:val="22"/>
          <w:shd w:val="clear" w:color="auto" w:fill="C0C0C0"/>
          <w:lang w:val="pl-PL"/>
        </w:rPr>
        <w:t>ki</w:t>
      </w:r>
    </w:p>
    <w:p w:rsidR="00021924" w:rsidRPr="009353E6" w:rsidRDefault="00021924" w:rsidP="00021924">
      <w:pPr>
        <w:rPr>
          <w:sz w:val="22"/>
          <w:szCs w:val="22"/>
          <w:lang w:val="pl-PL"/>
        </w:rPr>
      </w:pPr>
      <w:r w:rsidRPr="009353E6">
        <w:rPr>
          <w:sz w:val="22"/>
          <w:szCs w:val="22"/>
          <w:shd w:val="clear" w:color="auto" w:fill="C0C0C0"/>
          <w:lang w:val="pl-PL"/>
        </w:rPr>
        <w:t xml:space="preserve">90 </w:t>
      </w:r>
      <w:r w:rsidR="001C1D53" w:rsidRPr="009353E6">
        <w:rPr>
          <w:sz w:val="22"/>
          <w:szCs w:val="22"/>
          <w:shd w:val="clear" w:color="auto" w:fill="C0C0C0"/>
          <w:lang w:val="pl-PL"/>
        </w:rPr>
        <w:t xml:space="preserve">x 1 </w:t>
      </w:r>
      <w:r w:rsidRPr="009353E6">
        <w:rPr>
          <w:sz w:val="22"/>
          <w:szCs w:val="22"/>
          <w:shd w:val="clear" w:color="auto" w:fill="C0C0C0"/>
          <w:lang w:val="pl-PL"/>
        </w:rPr>
        <w:t>tabletk</w:t>
      </w:r>
      <w:r w:rsidR="00CF50E0" w:rsidRPr="009353E6">
        <w:rPr>
          <w:sz w:val="22"/>
          <w:szCs w:val="22"/>
          <w:shd w:val="clear" w:color="auto" w:fill="C0C0C0"/>
          <w:lang w:val="pl-PL"/>
        </w:rPr>
        <w:t>a</w:t>
      </w:r>
    </w:p>
    <w:p w:rsidR="00021924" w:rsidRPr="009353E6" w:rsidRDefault="00021924" w:rsidP="00021924">
      <w:pPr>
        <w:rPr>
          <w:sz w:val="22"/>
          <w:szCs w:val="22"/>
          <w:lang w:val="pl-PL"/>
        </w:rPr>
      </w:pPr>
      <w:r w:rsidRPr="009353E6">
        <w:rPr>
          <w:sz w:val="22"/>
          <w:szCs w:val="22"/>
          <w:shd w:val="clear" w:color="auto" w:fill="C0C0C0"/>
          <w:lang w:val="pl-PL"/>
        </w:rPr>
        <w:t>98 tabletek</w:t>
      </w:r>
    </w:p>
    <w:p w:rsidR="00021924" w:rsidRPr="009353E6" w:rsidRDefault="00021924" w:rsidP="00021924">
      <w:pPr>
        <w:rPr>
          <w:sz w:val="22"/>
          <w:szCs w:val="22"/>
          <w:lang w:val="pl-PL"/>
        </w:rPr>
      </w:pPr>
      <w:r w:rsidRPr="009353E6">
        <w:rPr>
          <w:sz w:val="22"/>
          <w:szCs w:val="22"/>
          <w:shd w:val="clear" w:color="auto" w:fill="C0C0C0"/>
          <w:lang w:val="pl-PL"/>
        </w:rPr>
        <w:t>28 x 1 tabletk</w:t>
      </w:r>
      <w:r w:rsidR="00CF50E0" w:rsidRPr="009353E6">
        <w:rPr>
          <w:sz w:val="22"/>
          <w:szCs w:val="22"/>
          <w:shd w:val="clear" w:color="auto" w:fill="C0C0C0"/>
          <w:lang w:val="pl-PL"/>
        </w:rPr>
        <w:t>a</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5"/>
        </w:numPr>
        <w:pBdr>
          <w:top w:val="single" w:sz="4" w:space="1" w:color="auto"/>
          <w:left w:val="single" w:sz="4" w:space="4" w:color="auto"/>
          <w:bottom w:val="single" w:sz="4" w:space="1" w:color="auto"/>
          <w:right w:val="single" w:sz="4" w:space="4" w:color="auto"/>
        </w:pBdr>
        <w:tabs>
          <w:tab w:val="clear" w:pos="360"/>
          <w:tab w:val="num" w:pos="0"/>
        </w:tabs>
        <w:ind w:left="540" w:hanging="540"/>
        <w:rPr>
          <w:b/>
          <w:sz w:val="22"/>
          <w:szCs w:val="22"/>
          <w:lang w:val="pl-PL"/>
        </w:rPr>
      </w:pPr>
      <w:r w:rsidRPr="009353E6">
        <w:rPr>
          <w:b/>
          <w:sz w:val="22"/>
          <w:szCs w:val="22"/>
          <w:lang w:val="pl-PL"/>
        </w:rPr>
        <w:t xml:space="preserve">SPOSÓB I </w:t>
      </w:r>
      <w:r w:rsidR="00251DF8" w:rsidRPr="009353E6">
        <w:rPr>
          <w:b/>
          <w:sz w:val="22"/>
          <w:szCs w:val="22"/>
          <w:lang w:val="pl-PL"/>
        </w:rPr>
        <w:t>DROGA</w:t>
      </w:r>
      <w:r w:rsidRPr="009353E6">
        <w:rPr>
          <w:b/>
          <w:sz w:val="22"/>
          <w:szCs w:val="22"/>
          <w:lang w:val="pl-PL"/>
        </w:rPr>
        <w:t xml:space="preserve"> PODANIA</w:t>
      </w:r>
    </w:p>
    <w:p w:rsidR="002D3E1A" w:rsidRPr="009353E6" w:rsidRDefault="002D3E1A">
      <w:pPr>
        <w:tabs>
          <w:tab w:val="left" w:pos="0"/>
          <w:tab w:val="left" w:pos="720"/>
          <w:tab w:val="left" w:pos="900"/>
        </w:tabs>
        <w:jc w:val="both"/>
        <w:rPr>
          <w:b/>
          <w:sz w:val="22"/>
          <w:szCs w:val="22"/>
          <w:lang w:val="pl-PL"/>
        </w:rPr>
      </w:pPr>
    </w:p>
    <w:p w:rsidR="002D3E1A" w:rsidRPr="009353E6" w:rsidRDefault="002D3E1A">
      <w:pPr>
        <w:tabs>
          <w:tab w:val="left" w:pos="0"/>
          <w:tab w:val="left" w:pos="720"/>
          <w:tab w:val="left" w:pos="900"/>
        </w:tabs>
        <w:rPr>
          <w:sz w:val="22"/>
          <w:szCs w:val="22"/>
          <w:lang w:val="pl-PL"/>
        </w:rPr>
      </w:pPr>
      <w:r w:rsidRPr="009353E6">
        <w:rPr>
          <w:sz w:val="22"/>
          <w:szCs w:val="22"/>
          <w:lang w:val="pl-PL"/>
        </w:rPr>
        <w:t>Podanie doustne</w:t>
      </w:r>
      <w:r w:rsidR="00125970" w:rsidRPr="009353E6">
        <w:rPr>
          <w:sz w:val="22"/>
          <w:szCs w:val="22"/>
          <w:lang w:val="pl-PL"/>
        </w:rPr>
        <w:t>.</w:t>
      </w:r>
    </w:p>
    <w:p w:rsidR="00BB1F21" w:rsidRPr="009353E6" w:rsidRDefault="00BB1F21" w:rsidP="00BB1F21">
      <w:pPr>
        <w:tabs>
          <w:tab w:val="left" w:pos="0"/>
          <w:tab w:val="left" w:pos="720"/>
          <w:tab w:val="left" w:pos="900"/>
        </w:tabs>
        <w:jc w:val="both"/>
        <w:rPr>
          <w:sz w:val="22"/>
          <w:szCs w:val="22"/>
          <w:lang w:val="pl-PL"/>
        </w:rPr>
      </w:pPr>
      <w:r w:rsidRPr="009353E6">
        <w:rPr>
          <w:sz w:val="22"/>
          <w:szCs w:val="22"/>
          <w:lang w:val="pl-PL"/>
        </w:rPr>
        <w:t xml:space="preserve">Należy zapoznać się z treścią ulotki przed zastosowaniem leku. </w:t>
      </w:r>
    </w:p>
    <w:p w:rsidR="002D3E1A" w:rsidRPr="009353E6" w:rsidRDefault="002D3E1A">
      <w:pPr>
        <w:tabs>
          <w:tab w:val="left" w:pos="0"/>
          <w:tab w:val="left" w:pos="720"/>
          <w:tab w:val="left" w:pos="900"/>
        </w:tabs>
        <w:jc w:val="both"/>
        <w:rPr>
          <w:sz w:val="22"/>
          <w:szCs w:val="22"/>
          <w:lang w:val="pl-PL"/>
        </w:rPr>
      </w:pPr>
    </w:p>
    <w:p w:rsidR="002D3E1A" w:rsidRPr="009353E6" w:rsidRDefault="002D3E1A">
      <w:pPr>
        <w:tabs>
          <w:tab w:val="left" w:pos="0"/>
          <w:tab w:val="left" w:pos="720"/>
          <w:tab w:val="left" w:pos="90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ind w:left="540" w:hanging="540"/>
        <w:rPr>
          <w:b/>
          <w:sz w:val="22"/>
          <w:szCs w:val="22"/>
          <w:lang w:val="pl-PL"/>
        </w:rPr>
      </w:pPr>
      <w:r w:rsidRPr="009353E6">
        <w:rPr>
          <w:b/>
          <w:sz w:val="22"/>
          <w:szCs w:val="22"/>
          <w:lang w:val="pl-PL"/>
        </w:rPr>
        <w:t>6.</w:t>
      </w:r>
      <w:r w:rsidRPr="009353E6">
        <w:rPr>
          <w:b/>
          <w:sz w:val="22"/>
          <w:szCs w:val="22"/>
          <w:lang w:val="pl-PL"/>
        </w:rPr>
        <w:tab/>
        <w:t xml:space="preserve">OSTRZEŻENIE DOTYCZĄCE PRZECHOWYWANIA PRODUKTU LECZNICZEGO W MIEJSCU </w:t>
      </w:r>
      <w:r w:rsidR="000A17A5" w:rsidRPr="009353E6">
        <w:rPr>
          <w:b/>
          <w:sz w:val="22"/>
          <w:szCs w:val="22"/>
          <w:lang w:val="pl-PL"/>
        </w:rPr>
        <w:t xml:space="preserve">NIEWIDOCZNYM I </w:t>
      </w:r>
      <w:r w:rsidRPr="009353E6">
        <w:rPr>
          <w:b/>
          <w:sz w:val="22"/>
          <w:szCs w:val="22"/>
          <w:lang w:val="pl-PL"/>
        </w:rPr>
        <w:t xml:space="preserve">NIEDOSTĘPNYM DLA DZIECI </w:t>
      </w:r>
    </w:p>
    <w:p w:rsidR="002D3E1A" w:rsidRPr="009353E6" w:rsidRDefault="002D3E1A">
      <w:pPr>
        <w:tabs>
          <w:tab w:val="left" w:pos="720"/>
        </w:tabs>
        <w:jc w:val="both"/>
        <w:rPr>
          <w:sz w:val="22"/>
          <w:szCs w:val="22"/>
          <w:lang w:val="pl-PL"/>
        </w:rPr>
      </w:pPr>
    </w:p>
    <w:p w:rsidR="002D3E1A" w:rsidRPr="009353E6" w:rsidRDefault="002D3E1A">
      <w:pPr>
        <w:tabs>
          <w:tab w:val="left" w:pos="720"/>
          <w:tab w:val="left" w:pos="900"/>
        </w:tabs>
        <w:rPr>
          <w:sz w:val="22"/>
          <w:szCs w:val="22"/>
          <w:lang w:val="pl-PL"/>
        </w:rPr>
      </w:pPr>
      <w:r w:rsidRPr="009353E6">
        <w:rPr>
          <w:sz w:val="22"/>
          <w:szCs w:val="22"/>
          <w:lang w:val="pl-PL"/>
        </w:rPr>
        <w:t xml:space="preserve">Lek przechowywać w miejscu </w:t>
      </w:r>
      <w:r w:rsidR="000A17A5" w:rsidRPr="009353E6">
        <w:rPr>
          <w:sz w:val="22"/>
          <w:szCs w:val="22"/>
          <w:lang w:val="pl-PL"/>
        </w:rPr>
        <w:t xml:space="preserve">niewidocznym i </w:t>
      </w:r>
      <w:r w:rsidRPr="009353E6">
        <w:rPr>
          <w:sz w:val="22"/>
          <w:szCs w:val="22"/>
          <w:lang w:val="pl-PL"/>
        </w:rPr>
        <w:t>niedostępnym dla dzieci.</w:t>
      </w:r>
    </w:p>
    <w:p w:rsidR="002D3E1A" w:rsidRPr="009353E6" w:rsidRDefault="002D3E1A">
      <w:pPr>
        <w:tabs>
          <w:tab w:val="left" w:pos="720"/>
          <w:tab w:val="left" w:pos="900"/>
        </w:tabs>
        <w:jc w:val="both"/>
        <w:rPr>
          <w:b/>
          <w:sz w:val="22"/>
          <w:szCs w:val="22"/>
          <w:lang w:val="pl-PL"/>
        </w:rPr>
      </w:pPr>
    </w:p>
    <w:p w:rsidR="002D3E1A" w:rsidRPr="009353E6" w:rsidRDefault="002D3E1A">
      <w:pPr>
        <w:tabs>
          <w:tab w:val="left" w:pos="720"/>
          <w:tab w:val="left" w:pos="900"/>
        </w:tabs>
        <w:jc w:val="both"/>
        <w:rPr>
          <w:b/>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ind w:left="540" w:hanging="540"/>
        <w:rPr>
          <w:b/>
          <w:sz w:val="22"/>
          <w:szCs w:val="22"/>
          <w:lang w:val="pl-PL"/>
        </w:rPr>
      </w:pPr>
      <w:r w:rsidRPr="009353E6">
        <w:rPr>
          <w:b/>
          <w:sz w:val="22"/>
          <w:szCs w:val="22"/>
          <w:lang w:val="pl-PL"/>
        </w:rPr>
        <w:t xml:space="preserve">7. </w:t>
      </w:r>
      <w:r w:rsidRPr="009353E6">
        <w:rPr>
          <w:b/>
          <w:sz w:val="22"/>
          <w:szCs w:val="22"/>
          <w:lang w:val="pl-PL"/>
        </w:rPr>
        <w:tab/>
        <w:t xml:space="preserve">INNE OSTRZEŻENIA SPECJALNE, JEŚLI KONIECZNE </w:t>
      </w:r>
    </w:p>
    <w:p w:rsidR="005E3A9A" w:rsidRPr="009353E6" w:rsidRDefault="005E3A9A" w:rsidP="005E3A9A">
      <w:pPr>
        <w:tabs>
          <w:tab w:val="left" w:pos="0"/>
        </w:tabs>
        <w:rPr>
          <w:b/>
          <w:sz w:val="22"/>
          <w:szCs w:val="22"/>
          <w:lang w:val="pl-PL"/>
        </w:rPr>
      </w:pPr>
    </w:p>
    <w:p w:rsidR="005E3A9A" w:rsidRPr="009353E6" w:rsidRDefault="005E3A9A" w:rsidP="005E3A9A">
      <w:pPr>
        <w:tabs>
          <w:tab w:val="left" w:pos="0"/>
        </w:tabs>
        <w:rPr>
          <w:b/>
          <w:sz w:val="22"/>
          <w:szCs w:val="22"/>
          <w:lang w:val="pl-PL"/>
        </w:rPr>
      </w:pPr>
    </w:p>
    <w:p w:rsidR="002D3E1A" w:rsidRPr="009353E6" w:rsidRDefault="002D3E1A" w:rsidP="005E3A9A">
      <w:pPr>
        <w:keepNext/>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TERMIN WAŻNOŚCI</w:t>
      </w:r>
    </w:p>
    <w:p w:rsidR="002D3E1A" w:rsidRPr="009353E6" w:rsidRDefault="002D3E1A" w:rsidP="005E3A9A">
      <w:pPr>
        <w:keepNext/>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Termin ważności</w:t>
      </w:r>
      <w:r w:rsidR="002D5E68" w:rsidRPr="009353E6">
        <w:rPr>
          <w:sz w:val="22"/>
          <w:szCs w:val="22"/>
          <w:lang w:val="pl-PL"/>
        </w:rPr>
        <w:t xml:space="preserve">: </w:t>
      </w:r>
    </w:p>
    <w:p w:rsidR="002D3E1A" w:rsidRPr="009353E6" w:rsidRDefault="002D3E1A">
      <w:pPr>
        <w:tabs>
          <w:tab w:val="left" w:pos="0"/>
        </w:tabs>
        <w:jc w:val="both"/>
        <w:rPr>
          <w:b/>
          <w:sz w:val="22"/>
          <w:szCs w:val="22"/>
          <w:lang w:val="pl-PL"/>
        </w:rPr>
      </w:pPr>
    </w:p>
    <w:p w:rsidR="002D3E1A" w:rsidRPr="009353E6" w:rsidRDefault="002D3E1A">
      <w:pPr>
        <w:tabs>
          <w:tab w:val="left" w:pos="0"/>
        </w:tabs>
        <w:jc w:val="both"/>
        <w:rPr>
          <w:b/>
          <w:sz w:val="22"/>
          <w:szCs w:val="22"/>
          <w:lang w:val="pl-PL"/>
        </w:rPr>
      </w:pPr>
    </w:p>
    <w:p w:rsidR="002D3E1A" w:rsidRPr="009353E6" w:rsidRDefault="002D3E1A"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WARUNKI PRZECHOWYWANIA</w:t>
      </w:r>
    </w:p>
    <w:p w:rsidR="002D3E1A" w:rsidRPr="009353E6" w:rsidRDefault="002D3E1A">
      <w:pPr>
        <w:tabs>
          <w:tab w:val="left" w:pos="0"/>
        </w:tabs>
        <w:jc w:val="both"/>
        <w:rPr>
          <w:b/>
          <w:sz w:val="22"/>
          <w:szCs w:val="22"/>
          <w:lang w:val="pl-PL"/>
        </w:rPr>
      </w:pPr>
    </w:p>
    <w:p w:rsidR="002D5E68" w:rsidRPr="009353E6" w:rsidRDefault="002D5E68" w:rsidP="002D5E68">
      <w:pPr>
        <w:tabs>
          <w:tab w:val="left" w:pos="0"/>
        </w:tabs>
        <w:rPr>
          <w:b/>
          <w:sz w:val="22"/>
          <w:szCs w:val="22"/>
          <w:lang w:val="pl-PL"/>
        </w:rPr>
      </w:pPr>
      <w:r w:rsidRPr="009353E6">
        <w:rPr>
          <w:b/>
          <w:sz w:val="22"/>
          <w:szCs w:val="22"/>
          <w:lang w:val="pl-PL"/>
        </w:rPr>
        <w:t xml:space="preserve">Brak szczególnych środków ostrożności dotyczących </w:t>
      </w:r>
      <w:r w:rsidR="000A17A5" w:rsidRPr="009353E6">
        <w:rPr>
          <w:b/>
          <w:sz w:val="22"/>
          <w:szCs w:val="22"/>
          <w:lang w:val="pl-PL"/>
        </w:rPr>
        <w:t xml:space="preserve">temperatury </w:t>
      </w:r>
      <w:r w:rsidRPr="009353E6">
        <w:rPr>
          <w:b/>
          <w:sz w:val="22"/>
          <w:szCs w:val="22"/>
          <w:lang w:val="pl-PL"/>
        </w:rPr>
        <w:t>przechowywania.</w:t>
      </w:r>
    </w:p>
    <w:p w:rsidR="002D3E1A" w:rsidRPr="009353E6" w:rsidRDefault="002D3E1A">
      <w:pPr>
        <w:tabs>
          <w:tab w:val="left" w:pos="0"/>
        </w:tabs>
        <w:rPr>
          <w:b/>
          <w:sz w:val="22"/>
          <w:szCs w:val="22"/>
          <w:lang w:val="pl-PL"/>
        </w:rPr>
      </w:pPr>
      <w:r w:rsidRPr="009353E6">
        <w:rPr>
          <w:b/>
          <w:sz w:val="22"/>
          <w:szCs w:val="22"/>
          <w:lang w:val="pl-PL"/>
        </w:rPr>
        <w:t>Przechowywać w oryginalnym opakowaniu w celu ochrony przed wilgocią.</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SPECJALNE ŚRODKI OSTROŻNOŚCI DOTYCZĄCE USUWANIA NIEZUŻYTEGO PRODUKTU LECZNICZEGO LUB POCHODZĄCYCH Z NIEGO ODPADÓW, JEŚLI WŁAŚCIWE</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 xml:space="preserve">NAZWA I ADRES PODMIOTU ODPOWIEDZIALNEGO </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Boehringer Ingelheim International GmbH</w:t>
      </w:r>
    </w:p>
    <w:p w:rsidR="002D3E1A" w:rsidRPr="009353E6" w:rsidRDefault="002D3E1A">
      <w:pPr>
        <w:tabs>
          <w:tab w:val="left" w:pos="0"/>
        </w:tabs>
        <w:rPr>
          <w:sz w:val="22"/>
          <w:szCs w:val="22"/>
          <w:lang w:val="pl-PL"/>
        </w:rPr>
      </w:pPr>
      <w:r w:rsidRPr="009353E6">
        <w:rPr>
          <w:sz w:val="22"/>
          <w:szCs w:val="22"/>
          <w:lang w:val="pl-PL"/>
        </w:rPr>
        <w:t>Binger Str. 173</w:t>
      </w:r>
    </w:p>
    <w:p w:rsidR="002D3E1A" w:rsidRPr="009353E6" w:rsidRDefault="002D3E1A">
      <w:pPr>
        <w:tabs>
          <w:tab w:val="left" w:pos="0"/>
        </w:tabs>
        <w:rPr>
          <w:sz w:val="22"/>
          <w:szCs w:val="22"/>
          <w:lang w:val="pl-PL"/>
        </w:rPr>
      </w:pPr>
      <w:r w:rsidRPr="009353E6">
        <w:rPr>
          <w:sz w:val="22"/>
          <w:szCs w:val="22"/>
          <w:lang w:val="pl-PL"/>
        </w:rPr>
        <w:t>D-55216 Ingelheim am Rhein</w:t>
      </w:r>
    </w:p>
    <w:p w:rsidR="002D3E1A" w:rsidRPr="009353E6" w:rsidRDefault="002D3E1A">
      <w:pPr>
        <w:tabs>
          <w:tab w:val="left" w:pos="0"/>
        </w:tabs>
        <w:rPr>
          <w:sz w:val="22"/>
          <w:szCs w:val="22"/>
          <w:lang w:val="pl-PL"/>
        </w:rPr>
      </w:pPr>
      <w:r w:rsidRPr="009353E6">
        <w:rPr>
          <w:sz w:val="22"/>
          <w:szCs w:val="22"/>
          <w:lang w:val="pl-PL"/>
        </w:rPr>
        <w:t>Niemcy</w:t>
      </w:r>
      <w:r w:rsidRPr="009353E6">
        <w:rPr>
          <w:sz w:val="22"/>
          <w:szCs w:val="22"/>
          <w:lang w:val="pl-PL"/>
        </w:rPr>
        <w:tab/>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51DF8"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NUMERY POZWOLEŃ</w:t>
      </w:r>
      <w:r w:rsidR="002D3E1A" w:rsidRPr="009353E6">
        <w:rPr>
          <w:b/>
          <w:sz w:val="22"/>
          <w:szCs w:val="22"/>
          <w:lang w:val="pl-PL"/>
        </w:rPr>
        <w:t xml:space="preserve"> NA DOPUSZCZENIE DO OBROTU</w:t>
      </w:r>
    </w:p>
    <w:p w:rsidR="002D3E1A" w:rsidRPr="009353E6" w:rsidRDefault="002D3E1A">
      <w:pPr>
        <w:tabs>
          <w:tab w:val="left" w:pos="0"/>
        </w:tabs>
        <w:jc w:val="both"/>
        <w:rPr>
          <w:sz w:val="22"/>
          <w:szCs w:val="22"/>
          <w:lang w:val="pl-PL"/>
        </w:rPr>
      </w:pPr>
    </w:p>
    <w:p w:rsidR="00587CC2" w:rsidRPr="009353E6" w:rsidRDefault="00587CC2" w:rsidP="00587CC2">
      <w:pPr>
        <w:ind w:left="567" w:hanging="567"/>
        <w:rPr>
          <w:sz w:val="22"/>
          <w:szCs w:val="22"/>
          <w:lang w:val="pl-PL"/>
        </w:rPr>
      </w:pPr>
      <w:r w:rsidRPr="009353E6">
        <w:rPr>
          <w:sz w:val="22"/>
          <w:szCs w:val="22"/>
          <w:lang w:val="pl-PL"/>
        </w:rPr>
        <w:t>EU/1/02/213/006</w:t>
      </w:r>
      <w:r w:rsidRPr="009353E6">
        <w:rPr>
          <w:sz w:val="22"/>
          <w:szCs w:val="22"/>
          <w:lang w:val="pl-PL"/>
        </w:rPr>
        <w:tab/>
        <w:t>14 tabletek</w:t>
      </w:r>
    </w:p>
    <w:p w:rsidR="00587CC2" w:rsidRPr="009353E6" w:rsidRDefault="00587CC2" w:rsidP="00587CC2">
      <w:pPr>
        <w:ind w:left="567" w:hanging="567"/>
        <w:rPr>
          <w:sz w:val="22"/>
          <w:szCs w:val="22"/>
          <w:highlight w:val="lightGray"/>
          <w:lang w:val="pl-PL"/>
        </w:rPr>
      </w:pPr>
      <w:r w:rsidRPr="009353E6">
        <w:rPr>
          <w:sz w:val="22"/>
          <w:szCs w:val="22"/>
          <w:highlight w:val="lightGray"/>
          <w:shd w:val="clear" w:color="auto" w:fill="C0C0C0"/>
          <w:lang w:val="pl-PL"/>
        </w:rPr>
        <w:t>EU/1/02/213/007</w:t>
      </w:r>
      <w:r w:rsidRPr="009353E6">
        <w:rPr>
          <w:sz w:val="22"/>
          <w:szCs w:val="22"/>
          <w:highlight w:val="lightGray"/>
          <w:shd w:val="clear" w:color="auto" w:fill="C0C0C0"/>
          <w:lang w:val="pl-PL"/>
        </w:rPr>
        <w:tab/>
        <w:t xml:space="preserve">28 </w:t>
      </w:r>
      <w:r w:rsidRPr="009353E6">
        <w:rPr>
          <w:sz w:val="22"/>
          <w:szCs w:val="22"/>
          <w:highlight w:val="lightGray"/>
          <w:lang w:val="pl-PL"/>
        </w:rPr>
        <w:t>tabletek</w:t>
      </w:r>
    </w:p>
    <w:p w:rsidR="00587CC2" w:rsidRPr="009353E6" w:rsidRDefault="00587CC2" w:rsidP="00587CC2">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EU/1/02/213/008</w:t>
      </w:r>
      <w:r w:rsidRPr="009353E6">
        <w:rPr>
          <w:sz w:val="22"/>
          <w:szCs w:val="22"/>
          <w:highlight w:val="lightGray"/>
          <w:shd w:val="clear" w:color="auto" w:fill="C0C0C0"/>
          <w:lang w:val="pl-PL"/>
        </w:rPr>
        <w:tab/>
        <w:t xml:space="preserve">28 x 1 </w:t>
      </w:r>
      <w:r w:rsidRPr="009353E6">
        <w:rPr>
          <w:sz w:val="22"/>
          <w:szCs w:val="22"/>
          <w:highlight w:val="lightGray"/>
          <w:lang w:val="pl-PL"/>
        </w:rPr>
        <w:t>tabletk</w:t>
      </w:r>
      <w:r w:rsidR="00CF50E0" w:rsidRPr="009353E6">
        <w:rPr>
          <w:sz w:val="22"/>
          <w:szCs w:val="22"/>
          <w:highlight w:val="lightGray"/>
          <w:lang w:val="pl-PL"/>
        </w:rPr>
        <w:t>a</w:t>
      </w:r>
    </w:p>
    <w:p w:rsidR="00587CC2" w:rsidRPr="009353E6" w:rsidRDefault="00587CC2" w:rsidP="00587CC2">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EU/1/02/213/015</w:t>
      </w:r>
      <w:r w:rsidRPr="009353E6">
        <w:rPr>
          <w:sz w:val="22"/>
          <w:szCs w:val="22"/>
          <w:highlight w:val="lightGray"/>
          <w:shd w:val="clear" w:color="auto" w:fill="C0C0C0"/>
          <w:lang w:val="pl-PL"/>
        </w:rPr>
        <w:tab/>
        <w:t xml:space="preserve">30 </w:t>
      </w:r>
      <w:r w:rsidR="001C1D53" w:rsidRPr="009353E6">
        <w:rPr>
          <w:sz w:val="22"/>
          <w:szCs w:val="22"/>
          <w:highlight w:val="lightGray"/>
          <w:shd w:val="clear" w:color="auto" w:fill="C0C0C0"/>
          <w:lang w:val="pl-PL"/>
        </w:rPr>
        <w:t xml:space="preserve">x 1 </w:t>
      </w:r>
      <w:r w:rsidRPr="009353E6">
        <w:rPr>
          <w:sz w:val="22"/>
          <w:szCs w:val="22"/>
          <w:highlight w:val="lightGray"/>
          <w:lang w:val="pl-PL"/>
        </w:rPr>
        <w:t>tabletk</w:t>
      </w:r>
      <w:r w:rsidR="00CF50E0" w:rsidRPr="009353E6">
        <w:rPr>
          <w:sz w:val="22"/>
          <w:szCs w:val="22"/>
          <w:highlight w:val="lightGray"/>
          <w:lang w:val="pl-PL"/>
        </w:rPr>
        <w:t>a</w:t>
      </w:r>
    </w:p>
    <w:p w:rsidR="00587CC2" w:rsidRPr="009353E6" w:rsidRDefault="00587CC2" w:rsidP="00587CC2">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EU/1/02/213/009</w:t>
      </w:r>
      <w:r w:rsidRPr="009353E6">
        <w:rPr>
          <w:sz w:val="22"/>
          <w:szCs w:val="22"/>
          <w:highlight w:val="lightGray"/>
          <w:shd w:val="clear" w:color="auto" w:fill="C0C0C0"/>
          <w:lang w:val="pl-PL"/>
        </w:rPr>
        <w:tab/>
        <w:t xml:space="preserve">56 </w:t>
      </w:r>
      <w:r w:rsidRPr="009353E6">
        <w:rPr>
          <w:sz w:val="22"/>
          <w:szCs w:val="22"/>
          <w:highlight w:val="lightGray"/>
          <w:lang w:val="pl-PL"/>
        </w:rPr>
        <w:t>tabletek</w:t>
      </w:r>
    </w:p>
    <w:p w:rsidR="00587CC2" w:rsidRPr="009353E6" w:rsidRDefault="00587CC2" w:rsidP="00587CC2">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EU/1/02/213/012</w:t>
      </w:r>
      <w:r w:rsidRPr="009353E6">
        <w:rPr>
          <w:sz w:val="22"/>
          <w:szCs w:val="22"/>
          <w:highlight w:val="lightGray"/>
          <w:shd w:val="clear" w:color="auto" w:fill="C0C0C0"/>
          <w:lang w:val="pl-PL"/>
        </w:rPr>
        <w:tab/>
        <w:t xml:space="preserve">84 </w:t>
      </w:r>
      <w:r w:rsidRPr="009353E6">
        <w:rPr>
          <w:sz w:val="22"/>
          <w:szCs w:val="22"/>
          <w:highlight w:val="lightGray"/>
          <w:lang w:val="pl-PL"/>
        </w:rPr>
        <w:t>tabletk</w:t>
      </w:r>
      <w:r w:rsidR="00E3305D" w:rsidRPr="009353E6">
        <w:rPr>
          <w:sz w:val="22"/>
          <w:szCs w:val="22"/>
          <w:highlight w:val="lightGray"/>
          <w:lang w:val="pl-PL"/>
        </w:rPr>
        <w:t>i</w:t>
      </w:r>
    </w:p>
    <w:p w:rsidR="00587CC2" w:rsidRPr="009353E6" w:rsidRDefault="00587CC2" w:rsidP="00587CC2">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EU/1/02/213/016</w:t>
      </w:r>
      <w:r w:rsidRPr="009353E6">
        <w:rPr>
          <w:sz w:val="22"/>
          <w:szCs w:val="22"/>
          <w:highlight w:val="lightGray"/>
          <w:shd w:val="clear" w:color="auto" w:fill="C0C0C0"/>
          <w:lang w:val="pl-PL"/>
        </w:rPr>
        <w:tab/>
        <w:t xml:space="preserve">90 </w:t>
      </w:r>
      <w:r w:rsidR="001C1D53" w:rsidRPr="009353E6">
        <w:rPr>
          <w:sz w:val="22"/>
          <w:szCs w:val="22"/>
          <w:highlight w:val="lightGray"/>
          <w:shd w:val="clear" w:color="auto" w:fill="C0C0C0"/>
          <w:lang w:val="pl-PL"/>
        </w:rPr>
        <w:t xml:space="preserve">x 1 </w:t>
      </w:r>
      <w:r w:rsidRPr="009353E6">
        <w:rPr>
          <w:sz w:val="22"/>
          <w:szCs w:val="22"/>
          <w:highlight w:val="lightGray"/>
          <w:lang w:val="pl-PL"/>
        </w:rPr>
        <w:t>tabletk</w:t>
      </w:r>
      <w:r w:rsidR="00CF50E0" w:rsidRPr="009353E6">
        <w:rPr>
          <w:sz w:val="22"/>
          <w:szCs w:val="22"/>
          <w:highlight w:val="lightGray"/>
          <w:lang w:val="pl-PL"/>
        </w:rPr>
        <w:t>a</w:t>
      </w:r>
    </w:p>
    <w:p w:rsidR="00587CC2" w:rsidRPr="009353E6" w:rsidRDefault="00587CC2" w:rsidP="00587CC2">
      <w:pPr>
        <w:ind w:left="567" w:hanging="567"/>
        <w:rPr>
          <w:sz w:val="22"/>
          <w:szCs w:val="22"/>
          <w:lang w:val="pl-PL"/>
        </w:rPr>
      </w:pPr>
      <w:r w:rsidRPr="009353E6">
        <w:rPr>
          <w:sz w:val="22"/>
          <w:szCs w:val="22"/>
          <w:highlight w:val="lightGray"/>
          <w:shd w:val="clear" w:color="auto" w:fill="C0C0C0"/>
          <w:lang w:val="pl-PL"/>
        </w:rPr>
        <w:t>EU/1/02/213/010</w:t>
      </w:r>
      <w:r w:rsidRPr="009353E6">
        <w:rPr>
          <w:sz w:val="22"/>
          <w:szCs w:val="22"/>
          <w:highlight w:val="lightGray"/>
          <w:shd w:val="clear" w:color="auto" w:fill="C0C0C0"/>
          <w:lang w:val="pl-PL"/>
        </w:rPr>
        <w:tab/>
        <w:t xml:space="preserve">98 </w:t>
      </w:r>
      <w:r w:rsidRPr="009353E6">
        <w:rPr>
          <w:sz w:val="22"/>
          <w:szCs w:val="22"/>
          <w:highlight w:val="lightGray"/>
          <w:lang w:val="pl-PL"/>
        </w:rPr>
        <w:t>tabletek</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NUMER SERII</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Nr serii</w:t>
      </w:r>
      <w:r w:rsidR="000A17A5"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E73D46"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 xml:space="preserve">OGÓLNA </w:t>
      </w:r>
      <w:r w:rsidR="002D3E1A" w:rsidRPr="009353E6">
        <w:rPr>
          <w:b/>
          <w:sz w:val="22"/>
          <w:szCs w:val="22"/>
          <w:lang w:val="pl-PL"/>
        </w:rPr>
        <w:t>KATEGORIA DOSTĘPNOŚCI</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rsidP="002D507E">
      <w:pPr>
        <w:numPr>
          <w:ilvl w:val="0"/>
          <w:numId w:val="6"/>
        </w:numPr>
        <w:pBdr>
          <w:top w:val="single" w:sz="4" w:space="1" w:color="auto"/>
          <w:left w:val="single" w:sz="4" w:space="4" w:color="auto"/>
          <w:bottom w:val="single" w:sz="4" w:space="1" w:color="auto"/>
          <w:right w:val="single" w:sz="4" w:space="4" w:color="auto"/>
        </w:pBdr>
        <w:tabs>
          <w:tab w:val="clear" w:pos="900"/>
          <w:tab w:val="left" w:pos="0"/>
          <w:tab w:val="num" w:pos="540"/>
        </w:tabs>
        <w:ind w:left="540" w:hanging="540"/>
        <w:rPr>
          <w:b/>
          <w:sz w:val="22"/>
          <w:szCs w:val="22"/>
          <w:lang w:val="pl-PL"/>
        </w:rPr>
      </w:pPr>
      <w:r w:rsidRPr="009353E6">
        <w:rPr>
          <w:b/>
          <w:sz w:val="22"/>
          <w:szCs w:val="22"/>
          <w:lang w:val="pl-PL"/>
        </w:rPr>
        <w:t>INSTRUKCJA UŻYCIA</w:t>
      </w:r>
    </w:p>
    <w:p w:rsidR="002D3E1A" w:rsidRPr="009353E6" w:rsidRDefault="002D3E1A">
      <w:pPr>
        <w:tabs>
          <w:tab w:val="left" w:pos="0"/>
        </w:tabs>
        <w:jc w:val="both"/>
        <w:rPr>
          <w:sz w:val="22"/>
          <w:szCs w:val="22"/>
          <w:lang w:val="pl-PL"/>
        </w:rPr>
      </w:pPr>
    </w:p>
    <w:p w:rsidR="003D347F" w:rsidRPr="009353E6" w:rsidRDefault="003D347F" w:rsidP="003D347F">
      <w:pPr>
        <w:tabs>
          <w:tab w:val="left" w:pos="0"/>
        </w:tabs>
        <w:jc w:val="both"/>
        <w:rPr>
          <w:sz w:val="22"/>
          <w:szCs w:val="22"/>
          <w:lang w:val="pl-PL"/>
        </w:rPr>
      </w:pPr>
    </w:p>
    <w:p w:rsidR="00E56C62" w:rsidRPr="009353E6" w:rsidRDefault="00E56C62" w:rsidP="005E3A9A">
      <w:pPr>
        <w:keepNext/>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16. </w:t>
      </w:r>
      <w:r w:rsidRPr="009353E6">
        <w:rPr>
          <w:b/>
          <w:sz w:val="22"/>
          <w:szCs w:val="22"/>
          <w:lang w:val="pl-PL"/>
        </w:rPr>
        <w:tab/>
        <w:t xml:space="preserve">INFORMACJA PODANA </w:t>
      </w:r>
      <w:r w:rsidR="00E73D46" w:rsidRPr="009353E6">
        <w:rPr>
          <w:b/>
          <w:sz w:val="22"/>
          <w:szCs w:val="22"/>
          <w:lang w:val="pl-PL"/>
        </w:rPr>
        <w:t>SYSTEMEM BRAILLE’A</w:t>
      </w:r>
    </w:p>
    <w:p w:rsidR="00E56C62" w:rsidRPr="009353E6" w:rsidRDefault="00E56C62" w:rsidP="005E3A9A">
      <w:pPr>
        <w:keepNext/>
        <w:tabs>
          <w:tab w:val="left" w:pos="0"/>
        </w:tabs>
        <w:jc w:val="both"/>
        <w:rPr>
          <w:sz w:val="22"/>
          <w:szCs w:val="22"/>
          <w:lang w:val="pl-PL"/>
        </w:rPr>
      </w:pPr>
    </w:p>
    <w:p w:rsidR="003E2F0A" w:rsidRPr="009353E6" w:rsidRDefault="00EF7B80" w:rsidP="003E2F0A">
      <w:pPr>
        <w:tabs>
          <w:tab w:val="left" w:pos="900"/>
        </w:tabs>
        <w:rPr>
          <w:sz w:val="22"/>
          <w:szCs w:val="22"/>
          <w:lang w:val="pl-PL"/>
        </w:rPr>
      </w:pPr>
      <w:r w:rsidRPr="009353E6">
        <w:rPr>
          <w:sz w:val="22"/>
          <w:szCs w:val="22"/>
          <w:lang w:val="pl-PL"/>
        </w:rPr>
        <w:t>MicardisPlus 80 mg/12,5 mg</w:t>
      </w:r>
    </w:p>
    <w:p w:rsidR="0012733C" w:rsidRPr="009353E6" w:rsidRDefault="0012733C" w:rsidP="0012733C">
      <w:pPr>
        <w:tabs>
          <w:tab w:val="left" w:pos="0"/>
        </w:tabs>
        <w:jc w:val="both"/>
        <w:rPr>
          <w:sz w:val="22"/>
          <w:szCs w:val="22"/>
          <w:lang w:val="pl-PL"/>
        </w:rPr>
      </w:pPr>
    </w:p>
    <w:p w:rsidR="0012733C" w:rsidRPr="009353E6" w:rsidRDefault="0012733C" w:rsidP="0012733C">
      <w:pPr>
        <w:tabs>
          <w:tab w:val="left" w:pos="0"/>
        </w:tabs>
        <w:jc w:val="both"/>
        <w:rPr>
          <w:sz w:val="22"/>
          <w:szCs w:val="22"/>
          <w:lang w:val="pl-PL"/>
        </w:rPr>
      </w:pPr>
    </w:p>
    <w:p w:rsidR="0012733C" w:rsidRPr="009353E6" w:rsidRDefault="0012733C" w:rsidP="005E3A9A">
      <w:pPr>
        <w:keepNext/>
        <w:pBdr>
          <w:top w:val="single" w:sz="4" w:space="1" w:color="auto"/>
          <w:left w:val="single" w:sz="4" w:space="4" w:color="auto"/>
          <w:bottom w:val="single" w:sz="4" w:space="1" w:color="auto"/>
          <w:right w:val="single" w:sz="4" w:space="4" w:color="auto"/>
        </w:pBdr>
        <w:tabs>
          <w:tab w:val="left" w:pos="0"/>
        </w:tabs>
        <w:rPr>
          <w:b/>
          <w:sz w:val="22"/>
          <w:szCs w:val="22"/>
          <w:lang w:val="pl-PL"/>
        </w:rPr>
      </w:pPr>
      <w:r w:rsidRPr="009353E6">
        <w:rPr>
          <w:b/>
          <w:sz w:val="22"/>
          <w:szCs w:val="22"/>
          <w:lang w:val="pl-PL"/>
        </w:rPr>
        <w:t xml:space="preserve">17. </w:t>
      </w:r>
      <w:r w:rsidRPr="009353E6">
        <w:rPr>
          <w:b/>
          <w:sz w:val="22"/>
          <w:szCs w:val="22"/>
          <w:lang w:val="pl-PL"/>
        </w:rPr>
        <w:tab/>
        <w:t>NIEPOWTARZALNY IDENTYFIKATOR – KOD 2D</w:t>
      </w:r>
    </w:p>
    <w:p w:rsidR="0012733C" w:rsidRPr="009353E6" w:rsidRDefault="0012733C" w:rsidP="005E3A9A">
      <w:pPr>
        <w:keepNext/>
        <w:tabs>
          <w:tab w:val="left" w:pos="0"/>
        </w:tabs>
        <w:jc w:val="both"/>
        <w:rPr>
          <w:sz w:val="22"/>
          <w:szCs w:val="22"/>
          <w:lang w:val="pl-PL"/>
        </w:rPr>
      </w:pPr>
    </w:p>
    <w:p w:rsidR="0012733C" w:rsidRPr="009353E6" w:rsidRDefault="0012733C" w:rsidP="0012733C">
      <w:pPr>
        <w:tabs>
          <w:tab w:val="left" w:pos="0"/>
        </w:tabs>
        <w:jc w:val="both"/>
        <w:rPr>
          <w:sz w:val="22"/>
          <w:szCs w:val="22"/>
          <w:lang w:val="pl-PL"/>
        </w:rPr>
      </w:pPr>
      <w:r w:rsidRPr="009353E6">
        <w:rPr>
          <w:noProof/>
          <w:sz w:val="22"/>
          <w:highlight w:val="lightGray"/>
          <w:lang w:val="pl-PL"/>
        </w:rPr>
        <w:t>Obejmuje kod 2D będący nośnikiem niepowtarzalnego identyfikatora.</w:t>
      </w:r>
    </w:p>
    <w:p w:rsidR="0012733C" w:rsidRPr="009353E6" w:rsidRDefault="0012733C" w:rsidP="0012733C">
      <w:pPr>
        <w:tabs>
          <w:tab w:val="left" w:pos="0"/>
        </w:tabs>
        <w:jc w:val="both"/>
        <w:rPr>
          <w:sz w:val="22"/>
          <w:szCs w:val="22"/>
          <w:lang w:val="pl-PL"/>
        </w:rPr>
      </w:pPr>
    </w:p>
    <w:p w:rsidR="0012733C" w:rsidRPr="009353E6" w:rsidRDefault="0012733C" w:rsidP="0012733C">
      <w:pPr>
        <w:tabs>
          <w:tab w:val="left" w:pos="0"/>
        </w:tabs>
        <w:jc w:val="both"/>
        <w:rPr>
          <w:sz w:val="22"/>
          <w:szCs w:val="22"/>
          <w:lang w:val="pl-PL"/>
        </w:rPr>
      </w:pPr>
    </w:p>
    <w:p w:rsidR="0012733C" w:rsidRPr="009353E6" w:rsidRDefault="0012733C" w:rsidP="00A02686">
      <w:pPr>
        <w:pBdr>
          <w:top w:val="single" w:sz="4" w:space="1" w:color="auto"/>
          <w:left w:val="single" w:sz="4" w:space="4" w:color="auto"/>
          <w:bottom w:val="single" w:sz="4" w:space="1" w:color="auto"/>
          <w:right w:val="single" w:sz="4" w:space="4" w:color="auto"/>
        </w:pBdr>
        <w:tabs>
          <w:tab w:val="left" w:pos="0"/>
        </w:tabs>
        <w:rPr>
          <w:b/>
          <w:sz w:val="22"/>
          <w:szCs w:val="22"/>
          <w:lang w:val="pl-PL"/>
        </w:rPr>
      </w:pPr>
      <w:r w:rsidRPr="009353E6">
        <w:rPr>
          <w:b/>
          <w:sz w:val="22"/>
          <w:szCs w:val="22"/>
          <w:lang w:val="pl-PL"/>
        </w:rPr>
        <w:t xml:space="preserve">18. </w:t>
      </w:r>
      <w:r w:rsidRPr="009353E6">
        <w:rPr>
          <w:b/>
          <w:sz w:val="22"/>
          <w:szCs w:val="22"/>
          <w:lang w:val="pl-PL"/>
        </w:rPr>
        <w:tab/>
        <w:t>NIEPOWTARZALNY IDENTYFIKATOR – DANE CZYTELNE DLA CZŁOWIEKA</w:t>
      </w:r>
    </w:p>
    <w:p w:rsidR="0012733C" w:rsidRPr="009353E6" w:rsidRDefault="0012733C" w:rsidP="0012733C">
      <w:pPr>
        <w:tabs>
          <w:tab w:val="left" w:pos="0"/>
        </w:tabs>
        <w:jc w:val="both"/>
        <w:rPr>
          <w:sz w:val="22"/>
          <w:szCs w:val="22"/>
          <w:lang w:val="pl-PL"/>
        </w:rPr>
      </w:pPr>
    </w:p>
    <w:p w:rsidR="0012733C" w:rsidRPr="009353E6" w:rsidRDefault="0012733C" w:rsidP="0012733C">
      <w:pPr>
        <w:tabs>
          <w:tab w:val="left" w:pos="900"/>
        </w:tabs>
        <w:rPr>
          <w:sz w:val="22"/>
          <w:szCs w:val="22"/>
          <w:lang w:val="pl-PL"/>
        </w:rPr>
      </w:pPr>
      <w:r w:rsidRPr="009353E6">
        <w:rPr>
          <w:sz w:val="22"/>
          <w:szCs w:val="22"/>
          <w:lang w:val="pl-PL"/>
        </w:rPr>
        <w:t>PC: {numer} {kod produktu}</w:t>
      </w:r>
    </w:p>
    <w:p w:rsidR="0012733C" w:rsidRPr="009353E6" w:rsidRDefault="0012733C" w:rsidP="0012733C">
      <w:pPr>
        <w:tabs>
          <w:tab w:val="left" w:pos="900"/>
        </w:tabs>
        <w:rPr>
          <w:sz w:val="22"/>
          <w:szCs w:val="22"/>
          <w:lang w:val="pl-PL"/>
        </w:rPr>
      </w:pPr>
      <w:r w:rsidRPr="009353E6">
        <w:rPr>
          <w:sz w:val="22"/>
          <w:szCs w:val="22"/>
          <w:lang w:val="pl-PL"/>
        </w:rPr>
        <w:t>SN: {numer} {numer seryjny}</w:t>
      </w:r>
    </w:p>
    <w:p w:rsidR="0012733C" w:rsidRPr="009353E6" w:rsidRDefault="0012733C" w:rsidP="0012733C">
      <w:pPr>
        <w:tabs>
          <w:tab w:val="left" w:pos="900"/>
        </w:tabs>
        <w:rPr>
          <w:sz w:val="22"/>
          <w:szCs w:val="22"/>
          <w:lang w:val="pl-PL"/>
        </w:rPr>
      </w:pPr>
      <w:r w:rsidRPr="009353E6">
        <w:rPr>
          <w:sz w:val="22"/>
          <w:szCs w:val="22"/>
          <w:lang w:val="pl-PL"/>
        </w:rPr>
        <w:t>NN: {numer} {krajowy numer refundacyjny lub inny krajowy numer identyfikujący produkt leczniczy}</w:t>
      </w:r>
    </w:p>
    <w:p w:rsidR="0012733C" w:rsidRPr="009353E6" w:rsidRDefault="0012733C" w:rsidP="0012733C">
      <w:pPr>
        <w:tabs>
          <w:tab w:val="left" w:pos="900"/>
        </w:tabs>
        <w:rPr>
          <w:sz w:val="22"/>
          <w:szCs w:val="22"/>
          <w:lang w:val="pl-PL"/>
        </w:rPr>
      </w:pPr>
    </w:p>
    <w:p w:rsidR="0012733C" w:rsidRPr="009353E6" w:rsidRDefault="0012733C" w:rsidP="0012733C">
      <w:pPr>
        <w:tabs>
          <w:tab w:val="left" w:pos="900"/>
        </w:tabs>
        <w:rPr>
          <w:sz w:val="22"/>
          <w:szCs w:val="22"/>
          <w:lang w:val="pl-PL"/>
        </w:rPr>
      </w:pPr>
    </w:p>
    <w:p w:rsidR="002D3E1A" w:rsidRPr="009353E6" w:rsidRDefault="00F37EE9" w:rsidP="0007757E">
      <w:pPr>
        <w:tabs>
          <w:tab w:val="left" w:pos="540"/>
        </w:tabs>
        <w:ind w:left="540" w:hanging="540"/>
        <w:rPr>
          <w:sz w:val="22"/>
          <w:szCs w:val="22"/>
          <w:lang w:val="pl-PL"/>
        </w:rPr>
      </w:pPr>
      <w:r w:rsidRPr="009353E6">
        <w:rPr>
          <w:sz w:val="22"/>
          <w:szCs w:val="22"/>
          <w:lang w:val="pl-PL"/>
        </w:rPr>
        <w:br w:type="page"/>
      </w:r>
    </w:p>
    <w:p w:rsidR="005352F6" w:rsidRPr="009353E6" w:rsidRDefault="0019761C">
      <w:pPr>
        <w:pBdr>
          <w:top w:val="single" w:sz="4" w:space="1" w:color="auto"/>
          <w:left w:val="single" w:sz="4" w:space="6" w:color="auto"/>
          <w:bottom w:val="single" w:sz="4" w:space="1" w:color="auto"/>
          <w:right w:val="single" w:sz="4" w:space="4" w:color="auto"/>
        </w:pBdr>
        <w:tabs>
          <w:tab w:val="left" w:pos="0"/>
        </w:tabs>
        <w:rPr>
          <w:b/>
          <w:sz w:val="22"/>
          <w:szCs w:val="22"/>
          <w:lang w:val="pl-PL"/>
        </w:rPr>
      </w:pPr>
      <w:r w:rsidRPr="009353E6">
        <w:rPr>
          <w:b/>
          <w:sz w:val="22"/>
          <w:szCs w:val="22"/>
          <w:lang w:val="pl-PL"/>
        </w:rPr>
        <w:t xml:space="preserve">MINIMUM </w:t>
      </w:r>
      <w:r w:rsidR="002D3E1A" w:rsidRPr="009353E6">
        <w:rPr>
          <w:b/>
          <w:sz w:val="22"/>
          <w:szCs w:val="22"/>
          <w:lang w:val="pl-PL"/>
        </w:rPr>
        <w:t>INFORMACJI ZAMIESZCZANYCH NA BLISTRACH LUB OPAKOWANIACH FOLIOWYCH</w:t>
      </w:r>
    </w:p>
    <w:p w:rsidR="006A2682" w:rsidRPr="009353E6" w:rsidRDefault="006A2682">
      <w:pPr>
        <w:pBdr>
          <w:top w:val="single" w:sz="4" w:space="1" w:color="auto"/>
          <w:left w:val="single" w:sz="4" w:space="6" w:color="auto"/>
          <w:bottom w:val="single" w:sz="4" w:space="1" w:color="auto"/>
          <w:right w:val="single" w:sz="4" w:space="4" w:color="auto"/>
        </w:pBdr>
        <w:tabs>
          <w:tab w:val="left" w:pos="0"/>
        </w:tabs>
        <w:rPr>
          <w:b/>
          <w:sz w:val="22"/>
          <w:szCs w:val="22"/>
          <w:lang w:val="pl-PL"/>
        </w:rPr>
      </w:pPr>
    </w:p>
    <w:p w:rsidR="006A2682" w:rsidRPr="009353E6" w:rsidRDefault="006A2682">
      <w:pPr>
        <w:pBdr>
          <w:top w:val="single" w:sz="4" w:space="1" w:color="auto"/>
          <w:left w:val="single" w:sz="4" w:space="6" w:color="auto"/>
          <w:bottom w:val="single" w:sz="4" w:space="1" w:color="auto"/>
          <w:right w:val="single" w:sz="4" w:space="4" w:color="auto"/>
        </w:pBdr>
        <w:tabs>
          <w:tab w:val="left" w:pos="0"/>
        </w:tabs>
        <w:rPr>
          <w:sz w:val="22"/>
          <w:szCs w:val="22"/>
          <w:lang w:val="pl-PL"/>
        </w:rPr>
      </w:pPr>
      <w:r w:rsidRPr="009353E6">
        <w:rPr>
          <w:sz w:val="22"/>
          <w:szCs w:val="22"/>
          <w:lang w:val="pl-PL"/>
        </w:rPr>
        <w:t>Blister z 7 tabletkami</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 xml:space="preserve">1. </w:t>
      </w:r>
      <w:r w:rsidRPr="009353E6">
        <w:rPr>
          <w:b/>
          <w:sz w:val="22"/>
          <w:szCs w:val="22"/>
          <w:lang w:val="pl-PL"/>
        </w:rPr>
        <w:tab/>
        <w:t>NAZWA PRODUKTU LECZNICZEGO</w:t>
      </w:r>
    </w:p>
    <w:p w:rsidR="002D3E1A" w:rsidRPr="009353E6" w:rsidRDefault="002D3E1A">
      <w:pPr>
        <w:tabs>
          <w:tab w:val="left" w:pos="0"/>
          <w:tab w:val="left" w:pos="90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MicardisPlus 80</w:t>
      </w:r>
      <w:r w:rsidR="00D6338A" w:rsidRPr="009353E6">
        <w:rPr>
          <w:sz w:val="22"/>
          <w:szCs w:val="22"/>
          <w:lang w:val="pl-PL"/>
        </w:rPr>
        <w:t xml:space="preserve"> mg</w:t>
      </w:r>
      <w:r w:rsidRPr="009353E6">
        <w:rPr>
          <w:sz w:val="22"/>
          <w:szCs w:val="22"/>
          <w:lang w:val="pl-PL"/>
        </w:rPr>
        <w:t>/12,5 mg tabletki</w:t>
      </w:r>
    </w:p>
    <w:p w:rsidR="006A2682" w:rsidRPr="009353E6" w:rsidRDefault="00F17981" w:rsidP="006A2682">
      <w:pPr>
        <w:tabs>
          <w:tab w:val="left" w:pos="900"/>
        </w:tabs>
        <w:jc w:val="both"/>
        <w:rPr>
          <w:sz w:val="22"/>
          <w:szCs w:val="22"/>
          <w:lang w:val="pl-PL"/>
        </w:rPr>
      </w:pPr>
      <w:r w:rsidRPr="009353E6">
        <w:rPr>
          <w:sz w:val="22"/>
          <w:szCs w:val="22"/>
          <w:lang w:val="pl-PL"/>
        </w:rPr>
        <w:t>t</w:t>
      </w:r>
      <w:r w:rsidR="006A2682" w:rsidRPr="009353E6">
        <w:rPr>
          <w:sz w:val="22"/>
          <w:szCs w:val="22"/>
          <w:lang w:val="pl-PL"/>
        </w:rPr>
        <w:t>elmisartan/</w:t>
      </w:r>
      <w:r w:rsidRPr="009353E6">
        <w:rPr>
          <w:sz w:val="22"/>
          <w:szCs w:val="22"/>
          <w:lang w:val="pl-PL"/>
        </w:rPr>
        <w:t>h</w:t>
      </w:r>
      <w:r w:rsidR="006A2682" w:rsidRPr="009353E6">
        <w:rPr>
          <w:sz w:val="22"/>
          <w:szCs w:val="22"/>
          <w:lang w:val="pl-PL"/>
        </w:rPr>
        <w:t>ydrochlorotiazyd</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2. </w:t>
      </w:r>
      <w:r w:rsidRPr="009353E6">
        <w:rPr>
          <w:b/>
          <w:sz w:val="22"/>
          <w:szCs w:val="22"/>
          <w:lang w:val="pl-PL"/>
        </w:rPr>
        <w:tab/>
        <w:t xml:space="preserve">NAZWA PODMIOTU ODPOWIEDZIALNEGO </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Boehringer Ingelheim (</w:t>
      </w:r>
      <w:r w:rsidRPr="009353E6">
        <w:rPr>
          <w:sz w:val="22"/>
          <w:szCs w:val="22"/>
          <w:highlight w:val="lightGray"/>
          <w:lang w:val="pl-PL"/>
        </w:rPr>
        <w:t>Logo</w:t>
      </w:r>
      <w:r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3.</w:t>
      </w:r>
      <w:r w:rsidRPr="009353E6">
        <w:rPr>
          <w:b/>
          <w:sz w:val="22"/>
          <w:szCs w:val="22"/>
          <w:lang w:val="pl-PL"/>
        </w:rPr>
        <w:tab/>
        <w:t>TERMIN WAŻNOŚCI</w:t>
      </w:r>
    </w:p>
    <w:p w:rsidR="002D3E1A" w:rsidRPr="009353E6" w:rsidRDefault="002D3E1A">
      <w:pPr>
        <w:tabs>
          <w:tab w:val="left" w:pos="0"/>
        </w:tabs>
        <w:jc w:val="both"/>
        <w:rPr>
          <w:sz w:val="22"/>
          <w:szCs w:val="22"/>
          <w:lang w:val="pl-PL"/>
        </w:rPr>
      </w:pPr>
    </w:p>
    <w:p w:rsidR="002D3E1A" w:rsidRPr="009353E6" w:rsidRDefault="002D3E1A">
      <w:pPr>
        <w:tabs>
          <w:tab w:val="left" w:pos="0"/>
        </w:tabs>
        <w:ind w:left="708" w:hanging="708"/>
        <w:rPr>
          <w:sz w:val="22"/>
          <w:szCs w:val="22"/>
          <w:lang w:val="pl-PL"/>
        </w:rPr>
      </w:pPr>
      <w:r w:rsidRPr="009353E6">
        <w:rPr>
          <w:sz w:val="22"/>
          <w:szCs w:val="22"/>
          <w:lang w:val="pl-PL"/>
        </w:rPr>
        <w:t>Termin ważności</w:t>
      </w:r>
      <w:r w:rsidR="002D5E68" w:rsidRPr="009353E6">
        <w:rPr>
          <w:sz w:val="22"/>
          <w:szCs w:val="22"/>
          <w:lang w:val="pl-PL"/>
        </w:rPr>
        <w:t>:</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4. </w:t>
      </w:r>
      <w:r w:rsidRPr="009353E6">
        <w:rPr>
          <w:b/>
          <w:sz w:val="22"/>
          <w:szCs w:val="22"/>
          <w:lang w:val="pl-PL"/>
        </w:rPr>
        <w:tab/>
        <w:t>NUMER SERII</w:t>
      </w:r>
    </w:p>
    <w:p w:rsidR="002D3E1A" w:rsidRPr="009353E6" w:rsidRDefault="002D3E1A">
      <w:pPr>
        <w:tabs>
          <w:tab w:val="left" w:pos="0"/>
        </w:tabs>
        <w:jc w:val="both"/>
        <w:rPr>
          <w:sz w:val="22"/>
          <w:szCs w:val="22"/>
          <w:lang w:val="pl-PL"/>
        </w:rPr>
      </w:pPr>
    </w:p>
    <w:p w:rsidR="002D3E1A" w:rsidRPr="009353E6" w:rsidRDefault="002D3E1A">
      <w:pPr>
        <w:tabs>
          <w:tab w:val="left" w:pos="0"/>
        </w:tabs>
        <w:rPr>
          <w:sz w:val="22"/>
          <w:szCs w:val="22"/>
          <w:lang w:val="pl-PL"/>
        </w:rPr>
      </w:pPr>
      <w:r w:rsidRPr="009353E6">
        <w:rPr>
          <w:sz w:val="22"/>
          <w:szCs w:val="22"/>
          <w:lang w:val="pl-PL"/>
        </w:rPr>
        <w:t>Nr serii</w:t>
      </w:r>
      <w:r w:rsidR="000A17A5" w:rsidRPr="009353E6">
        <w:rPr>
          <w:sz w:val="22"/>
          <w:szCs w:val="22"/>
          <w:lang w:val="pl-PL"/>
        </w:rPr>
        <w:t>:</w:t>
      </w:r>
    </w:p>
    <w:p w:rsidR="002D3E1A" w:rsidRPr="009353E6" w:rsidRDefault="002D3E1A">
      <w:pPr>
        <w:tabs>
          <w:tab w:val="left" w:pos="0"/>
        </w:tabs>
        <w:rPr>
          <w:sz w:val="22"/>
          <w:szCs w:val="22"/>
          <w:lang w:val="pl-PL"/>
        </w:rPr>
      </w:pPr>
    </w:p>
    <w:p w:rsidR="006A2682" w:rsidRPr="009353E6" w:rsidRDefault="006A2682">
      <w:pPr>
        <w:tabs>
          <w:tab w:val="left" w:pos="0"/>
        </w:tabs>
        <w:rPr>
          <w:sz w:val="22"/>
          <w:szCs w:val="22"/>
          <w:lang w:val="pl-PL"/>
        </w:rPr>
      </w:pPr>
    </w:p>
    <w:p w:rsidR="006A2682" w:rsidRPr="009353E6" w:rsidRDefault="006A2682" w:rsidP="006A2682">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5. </w:t>
      </w:r>
      <w:r w:rsidRPr="009353E6">
        <w:rPr>
          <w:b/>
          <w:sz w:val="22"/>
          <w:szCs w:val="22"/>
          <w:lang w:val="pl-PL"/>
        </w:rPr>
        <w:tab/>
        <w:t>INNE</w:t>
      </w:r>
    </w:p>
    <w:p w:rsidR="006A2682" w:rsidRPr="009353E6" w:rsidRDefault="006A2682">
      <w:pPr>
        <w:tabs>
          <w:tab w:val="left" w:pos="0"/>
        </w:tabs>
        <w:rPr>
          <w:sz w:val="22"/>
          <w:szCs w:val="22"/>
          <w:lang w:val="pl-PL"/>
        </w:rPr>
      </w:pPr>
    </w:p>
    <w:p w:rsidR="006A2682" w:rsidRPr="009353E6" w:rsidRDefault="006A2682">
      <w:pPr>
        <w:tabs>
          <w:tab w:val="left" w:pos="0"/>
        </w:tabs>
        <w:rPr>
          <w:sz w:val="22"/>
          <w:szCs w:val="22"/>
          <w:lang w:val="pl-PL"/>
        </w:rPr>
      </w:pPr>
    </w:p>
    <w:p w:rsidR="002D3E1A" w:rsidRPr="009353E6" w:rsidRDefault="002D3E1A">
      <w:pPr>
        <w:tabs>
          <w:tab w:val="left" w:pos="0"/>
        </w:tabs>
        <w:rPr>
          <w:sz w:val="22"/>
          <w:szCs w:val="22"/>
          <w:lang w:val="pl-PL"/>
        </w:rPr>
      </w:pPr>
      <w:r w:rsidRPr="009353E6">
        <w:rPr>
          <w:sz w:val="22"/>
          <w:szCs w:val="22"/>
          <w:lang w:val="pl-PL"/>
        </w:rPr>
        <w:t>PN</w:t>
      </w:r>
    </w:p>
    <w:p w:rsidR="002D3E1A" w:rsidRPr="009353E6" w:rsidRDefault="002D3E1A">
      <w:pPr>
        <w:tabs>
          <w:tab w:val="left" w:pos="0"/>
        </w:tabs>
        <w:rPr>
          <w:sz w:val="22"/>
          <w:szCs w:val="22"/>
          <w:lang w:val="pl-PL"/>
        </w:rPr>
      </w:pPr>
      <w:r w:rsidRPr="009353E6">
        <w:rPr>
          <w:sz w:val="22"/>
          <w:szCs w:val="22"/>
          <w:lang w:val="pl-PL"/>
        </w:rPr>
        <w:t>WT</w:t>
      </w:r>
    </w:p>
    <w:p w:rsidR="002D3E1A" w:rsidRPr="009353E6" w:rsidRDefault="002D3E1A">
      <w:pPr>
        <w:tabs>
          <w:tab w:val="left" w:pos="0"/>
        </w:tabs>
        <w:rPr>
          <w:sz w:val="22"/>
          <w:szCs w:val="22"/>
          <w:lang w:val="pl-PL"/>
        </w:rPr>
      </w:pPr>
      <w:r w:rsidRPr="009353E6">
        <w:rPr>
          <w:sz w:val="22"/>
          <w:szCs w:val="22"/>
          <w:lang w:val="pl-PL"/>
        </w:rPr>
        <w:t>ŚR</w:t>
      </w:r>
    </w:p>
    <w:p w:rsidR="002D3E1A" w:rsidRPr="009353E6" w:rsidRDefault="002D3E1A">
      <w:pPr>
        <w:tabs>
          <w:tab w:val="left" w:pos="0"/>
        </w:tabs>
        <w:rPr>
          <w:sz w:val="22"/>
          <w:szCs w:val="22"/>
          <w:lang w:val="pl-PL"/>
        </w:rPr>
      </w:pPr>
      <w:r w:rsidRPr="009353E6">
        <w:rPr>
          <w:sz w:val="22"/>
          <w:szCs w:val="22"/>
          <w:lang w:val="pl-PL"/>
        </w:rPr>
        <w:t>CZ</w:t>
      </w:r>
    </w:p>
    <w:p w:rsidR="002D3E1A" w:rsidRPr="009353E6" w:rsidRDefault="002D3E1A">
      <w:pPr>
        <w:tabs>
          <w:tab w:val="left" w:pos="0"/>
        </w:tabs>
        <w:rPr>
          <w:sz w:val="22"/>
          <w:szCs w:val="22"/>
          <w:lang w:val="pl-PL"/>
        </w:rPr>
      </w:pPr>
      <w:r w:rsidRPr="009353E6">
        <w:rPr>
          <w:sz w:val="22"/>
          <w:szCs w:val="22"/>
          <w:lang w:val="pl-PL"/>
        </w:rPr>
        <w:t>PT</w:t>
      </w:r>
    </w:p>
    <w:p w:rsidR="002D3E1A" w:rsidRPr="009353E6" w:rsidRDefault="002D3E1A">
      <w:pPr>
        <w:tabs>
          <w:tab w:val="left" w:pos="0"/>
        </w:tabs>
        <w:rPr>
          <w:sz w:val="22"/>
          <w:szCs w:val="22"/>
          <w:lang w:val="pl-PL"/>
        </w:rPr>
      </w:pPr>
      <w:r w:rsidRPr="009353E6">
        <w:rPr>
          <w:sz w:val="22"/>
          <w:szCs w:val="22"/>
          <w:lang w:val="pl-PL"/>
        </w:rPr>
        <w:t>SO</w:t>
      </w:r>
    </w:p>
    <w:p w:rsidR="002D3E1A" w:rsidRPr="009353E6" w:rsidRDefault="002D3E1A">
      <w:pPr>
        <w:tabs>
          <w:tab w:val="left" w:pos="0"/>
        </w:tabs>
        <w:rPr>
          <w:sz w:val="22"/>
          <w:szCs w:val="22"/>
          <w:lang w:val="pl-PL"/>
        </w:rPr>
      </w:pPr>
      <w:r w:rsidRPr="009353E6">
        <w:rPr>
          <w:sz w:val="22"/>
          <w:szCs w:val="22"/>
          <w:lang w:val="pl-PL"/>
        </w:rPr>
        <w:t>ND</w:t>
      </w:r>
    </w:p>
    <w:p w:rsidR="002D3E1A" w:rsidRPr="009353E6" w:rsidRDefault="002D3E1A">
      <w:pPr>
        <w:tabs>
          <w:tab w:val="left" w:pos="0"/>
        </w:tabs>
        <w:jc w:val="both"/>
        <w:rPr>
          <w:sz w:val="22"/>
          <w:szCs w:val="22"/>
          <w:lang w:val="pl-PL"/>
        </w:rPr>
      </w:pPr>
    </w:p>
    <w:p w:rsidR="002D3E1A" w:rsidRPr="009353E6" w:rsidRDefault="002D3E1A">
      <w:pPr>
        <w:tabs>
          <w:tab w:val="left" w:pos="0"/>
        </w:tabs>
        <w:jc w:val="both"/>
        <w:rPr>
          <w:sz w:val="22"/>
          <w:szCs w:val="22"/>
          <w:lang w:val="pl-PL"/>
        </w:rPr>
      </w:pPr>
      <w:r w:rsidRPr="009353E6">
        <w:rPr>
          <w:sz w:val="22"/>
          <w:szCs w:val="22"/>
          <w:lang w:val="pl-PL"/>
        </w:rPr>
        <w:br w:type="page"/>
      </w:r>
    </w:p>
    <w:p w:rsidR="002D3E1A" w:rsidRPr="009353E6" w:rsidRDefault="002D3E1A">
      <w:pPr>
        <w:pBdr>
          <w:top w:val="single" w:sz="4" w:space="1" w:color="auto"/>
          <w:left w:val="single" w:sz="4" w:space="6" w:color="auto"/>
          <w:bottom w:val="single" w:sz="4" w:space="1" w:color="auto"/>
          <w:right w:val="single" w:sz="4" w:space="4" w:color="auto"/>
        </w:pBdr>
        <w:tabs>
          <w:tab w:val="left" w:pos="0"/>
        </w:tabs>
        <w:rPr>
          <w:b/>
          <w:sz w:val="22"/>
          <w:szCs w:val="22"/>
          <w:lang w:val="pl-PL"/>
        </w:rPr>
      </w:pPr>
      <w:r w:rsidRPr="009353E6">
        <w:rPr>
          <w:b/>
          <w:sz w:val="22"/>
          <w:szCs w:val="22"/>
          <w:lang w:val="pl-PL"/>
        </w:rPr>
        <w:t>MINIMUM INFORMACJI ZAMIESZCZANYCH NA BLISTRACH LUB OPAKOWANIACH FOLIOWYCH</w:t>
      </w:r>
    </w:p>
    <w:p w:rsidR="006A2682" w:rsidRPr="009353E6" w:rsidRDefault="006A2682">
      <w:pPr>
        <w:pBdr>
          <w:top w:val="single" w:sz="4" w:space="1" w:color="auto"/>
          <w:left w:val="single" w:sz="4" w:space="6" w:color="auto"/>
          <w:bottom w:val="single" w:sz="4" w:space="1" w:color="auto"/>
          <w:right w:val="single" w:sz="4" w:space="4" w:color="auto"/>
        </w:pBdr>
        <w:tabs>
          <w:tab w:val="left" w:pos="0"/>
        </w:tabs>
        <w:rPr>
          <w:sz w:val="22"/>
          <w:szCs w:val="22"/>
          <w:lang w:val="pl-PL"/>
        </w:rPr>
      </w:pPr>
    </w:p>
    <w:p w:rsidR="006A2682" w:rsidRPr="009353E6" w:rsidRDefault="006A2682">
      <w:pPr>
        <w:pBdr>
          <w:top w:val="single" w:sz="4" w:space="1" w:color="auto"/>
          <w:left w:val="single" w:sz="4" w:space="6" w:color="auto"/>
          <w:bottom w:val="single" w:sz="4" w:space="1" w:color="auto"/>
          <w:right w:val="single" w:sz="4" w:space="4" w:color="auto"/>
        </w:pBdr>
        <w:tabs>
          <w:tab w:val="left" w:pos="0"/>
        </w:tabs>
        <w:rPr>
          <w:sz w:val="22"/>
          <w:szCs w:val="22"/>
          <w:lang w:val="pl-PL"/>
        </w:rPr>
      </w:pPr>
      <w:r w:rsidRPr="009353E6">
        <w:rPr>
          <w:sz w:val="22"/>
          <w:szCs w:val="22"/>
          <w:lang w:val="pl-PL"/>
        </w:rPr>
        <w:t>Blist</w:t>
      </w:r>
      <w:r w:rsidR="0080070F" w:rsidRPr="009353E6">
        <w:rPr>
          <w:sz w:val="22"/>
          <w:szCs w:val="22"/>
          <w:lang w:val="pl-PL"/>
        </w:rPr>
        <w:t>er podzielny na dawki pojedyncze</w:t>
      </w:r>
      <w:r w:rsidR="000B7793" w:rsidRPr="009353E6">
        <w:rPr>
          <w:sz w:val="22"/>
          <w:szCs w:val="22"/>
          <w:lang w:val="pl-PL"/>
        </w:rPr>
        <w:t xml:space="preserve"> zawierający 7 lub 10-krotność </w:t>
      </w:r>
      <w:r w:rsidRPr="009353E6">
        <w:rPr>
          <w:sz w:val="22"/>
          <w:szCs w:val="22"/>
          <w:lang w:val="pl-PL"/>
        </w:rPr>
        <w:t xml:space="preserve">lub blister zawierający inną </w:t>
      </w:r>
      <w:r w:rsidR="00773B8F" w:rsidRPr="009353E6">
        <w:rPr>
          <w:sz w:val="22"/>
          <w:szCs w:val="22"/>
          <w:lang w:val="pl-PL"/>
        </w:rPr>
        <w:t xml:space="preserve">liczbę </w:t>
      </w:r>
      <w:r w:rsidRPr="009353E6">
        <w:rPr>
          <w:sz w:val="22"/>
          <w:szCs w:val="22"/>
          <w:lang w:val="pl-PL"/>
        </w:rPr>
        <w:t>tabletek niż 7</w:t>
      </w:r>
    </w:p>
    <w:p w:rsidR="002D3E1A" w:rsidRPr="009353E6" w:rsidRDefault="002D3E1A">
      <w:pPr>
        <w:tabs>
          <w:tab w:val="left" w:pos="0"/>
        </w:tabs>
        <w:rPr>
          <w:sz w:val="22"/>
          <w:szCs w:val="22"/>
          <w:lang w:val="pl-PL"/>
        </w:rPr>
      </w:pPr>
    </w:p>
    <w:p w:rsidR="002D3E1A" w:rsidRPr="009353E6" w:rsidRDefault="002D3E1A">
      <w:pPr>
        <w:tabs>
          <w:tab w:val="left" w:pos="0"/>
        </w:tabs>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1.</w:t>
      </w:r>
      <w:r w:rsidRPr="009353E6">
        <w:rPr>
          <w:b/>
          <w:sz w:val="22"/>
          <w:szCs w:val="22"/>
          <w:lang w:val="pl-PL"/>
        </w:rPr>
        <w:tab/>
        <w:t>NAZWA PRODUKTU LECZNICZEGO</w:t>
      </w:r>
    </w:p>
    <w:p w:rsidR="002D3E1A" w:rsidRPr="009353E6" w:rsidRDefault="002D3E1A">
      <w:pPr>
        <w:tabs>
          <w:tab w:val="left" w:pos="0"/>
          <w:tab w:val="left" w:pos="900"/>
        </w:tabs>
        <w:rPr>
          <w:sz w:val="22"/>
          <w:szCs w:val="22"/>
          <w:lang w:val="pl-PL"/>
        </w:rPr>
      </w:pPr>
    </w:p>
    <w:p w:rsidR="002D3E1A" w:rsidRPr="009353E6" w:rsidRDefault="002D3E1A">
      <w:pPr>
        <w:tabs>
          <w:tab w:val="left" w:pos="0"/>
        </w:tabs>
        <w:rPr>
          <w:sz w:val="22"/>
          <w:szCs w:val="22"/>
          <w:lang w:val="pl-PL"/>
        </w:rPr>
      </w:pPr>
      <w:r w:rsidRPr="009353E6">
        <w:rPr>
          <w:sz w:val="22"/>
          <w:szCs w:val="22"/>
          <w:lang w:val="pl-PL"/>
        </w:rPr>
        <w:t>MicardisPlus 80</w:t>
      </w:r>
      <w:r w:rsidR="00D6338A" w:rsidRPr="009353E6">
        <w:rPr>
          <w:sz w:val="22"/>
          <w:szCs w:val="22"/>
          <w:lang w:val="pl-PL"/>
        </w:rPr>
        <w:t xml:space="preserve"> mg</w:t>
      </w:r>
      <w:r w:rsidRPr="009353E6">
        <w:rPr>
          <w:sz w:val="22"/>
          <w:szCs w:val="22"/>
          <w:lang w:val="pl-PL"/>
        </w:rPr>
        <w:t>/12,5 mg tabletki</w:t>
      </w:r>
    </w:p>
    <w:p w:rsidR="006A2682" w:rsidRPr="009353E6" w:rsidRDefault="0019761C" w:rsidP="006A2682">
      <w:pPr>
        <w:tabs>
          <w:tab w:val="left" w:pos="900"/>
        </w:tabs>
        <w:jc w:val="both"/>
        <w:rPr>
          <w:sz w:val="22"/>
          <w:szCs w:val="22"/>
          <w:lang w:val="pl-PL"/>
        </w:rPr>
      </w:pPr>
      <w:r w:rsidRPr="009353E6">
        <w:rPr>
          <w:sz w:val="22"/>
          <w:szCs w:val="22"/>
          <w:lang w:val="pl-PL"/>
        </w:rPr>
        <w:t>t</w:t>
      </w:r>
      <w:r w:rsidR="006A2682" w:rsidRPr="009353E6">
        <w:rPr>
          <w:sz w:val="22"/>
          <w:szCs w:val="22"/>
          <w:lang w:val="pl-PL"/>
        </w:rPr>
        <w:t>elmisartan/</w:t>
      </w:r>
      <w:r w:rsidRPr="009353E6">
        <w:rPr>
          <w:sz w:val="22"/>
          <w:szCs w:val="22"/>
          <w:lang w:val="pl-PL"/>
        </w:rPr>
        <w:t>h</w:t>
      </w:r>
      <w:r w:rsidR="006A2682" w:rsidRPr="009353E6">
        <w:rPr>
          <w:sz w:val="22"/>
          <w:szCs w:val="22"/>
          <w:lang w:val="pl-PL"/>
        </w:rPr>
        <w:t>ydrochlorotiazyd</w:t>
      </w:r>
    </w:p>
    <w:p w:rsidR="002D3E1A" w:rsidRPr="009353E6" w:rsidRDefault="002D3E1A">
      <w:pPr>
        <w:tabs>
          <w:tab w:val="left" w:pos="0"/>
        </w:tabs>
        <w:rPr>
          <w:sz w:val="22"/>
          <w:szCs w:val="22"/>
          <w:lang w:val="pl-PL"/>
        </w:rPr>
      </w:pPr>
    </w:p>
    <w:p w:rsidR="002D3E1A" w:rsidRPr="009353E6" w:rsidRDefault="002D3E1A">
      <w:pPr>
        <w:tabs>
          <w:tab w:val="left" w:pos="0"/>
        </w:tabs>
        <w:rPr>
          <w:sz w:val="22"/>
          <w:szCs w:val="22"/>
          <w:lang w:val="pl-PL"/>
        </w:rPr>
      </w:pPr>
    </w:p>
    <w:p w:rsidR="002D3E1A" w:rsidRPr="009353E6" w:rsidRDefault="002D3E1A">
      <w:pPr>
        <w:pBdr>
          <w:top w:val="single" w:sz="4" w:space="2"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2.</w:t>
      </w:r>
      <w:r w:rsidRPr="009353E6">
        <w:rPr>
          <w:b/>
          <w:sz w:val="22"/>
          <w:szCs w:val="22"/>
          <w:lang w:val="pl-PL"/>
        </w:rPr>
        <w:tab/>
        <w:t xml:space="preserve">NAZWA PODMIOTU ODPOWIEDZIALNEGO </w:t>
      </w:r>
    </w:p>
    <w:p w:rsidR="002D3E1A" w:rsidRPr="009353E6" w:rsidRDefault="002D3E1A">
      <w:pPr>
        <w:tabs>
          <w:tab w:val="left" w:pos="0"/>
        </w:tabs>
        <w:rPr>
          <w:sz w:val="22"/>
          <w:szCs w:val="22"/>
          <w:lang w:val="pl-PL"/>
        </w:rPr>
      </w:pPr>
    </w:p>
    <w:p w:rsidR="002D3E1A" w:rsidRPr="009353E6" w:rsidRDefault="002D3E1A">
      <w:pPr>
        <w:tabs>
          <w:tab w:val="left" w:pos="0"/>
        </w:tabs>
        <w:rPr>
          <w:sz w:val="22"/>
          <w:szCs w:val="22"/>
          <w:lang w:val="pl-PL"/>
        </w:rPr>
      </w:pPr>
      <w:r w:rsidRPr="009353E6">
        <w:rPr>
          <w:sz w:val="22"/>
          <w:szCs w:val="22"/>
          <w:lang w:val="pl-PL"/>
        </w:rPr>
        <w:t>Boehringer Ingelheim (</w:t>
      </w:r>
      <w:r w:rsidRPr="009353E6">
        <w:rPr>
          <w:sz w:val="22"/>
          <w:szCs w:val="22"/>
          <w:highlight w:val="lightGray"/>
          <w:lang w:val="pl-PL"/>
        </w:rPr>
        <w:t>Logo</w:t>
      </w:r>
      <w:r w:rsidRPr="009353E6">
        <w:rPr>
          <w:sz w:val="22"/>
          <w:szCs w:val="22"/>
          <w:lang w:val="pl-PL"/>
        </w:rPr>
        <w:t>)</w:t>
      </w:r>
    </w:p>
    <w:p w:rsidR="002D3E1A" w:rsidRPr="009353E6" w:rsidRDefault="002D3E1A">
      <w:pPr>
        <w:tabs>
          <w:tab w:val="left" w:pos="0"/>
        </w:tabs>
        <w:rPr>
          <w:sz w:val="22"/>
          <w:szCs w:val="22"/>
          <w:lang w:val="pl-PL"/>
        </w:rPr>
      </w:pPr>
    </w:p>
    <w:p w:rsidR="002D3E1A" w:rsidRPr="009353E6" w:rsidRDefault="002D3E1A">
      <w:pPr>
        <w:tabs>
          <w:tab w:val="left" w:pos="0"/>
        </w:tabs>
        <w:rPr>
          <w:sz w:val="22"/>
          <w:szCs w:val="22"/>
          <w:lang w:val="pl-PL"/>
        </w:rPr>
      </w:pPr>
    </w:p>
    <w:p w:rsidR="002D3E1A" w:rsidRPr="009353E6" w:rsidRDefault="002D3E1A">
      <w:pPr>
        <w:pBdr>
          <w:top w:val="single" w:sz="4" w:space="1" w:color="auto"/>
          <w:left w:val="single" w:sz="4" w:space="0" w:color="auto"/>
          <w:bottom w:val="single" w:sz="4" w:space="1" w:color="auto"/>
          <w:right w:val="single" w:sz="4" w:space="4" w:color="auto"/>
        </w:pBdr>
        <w:tabs>
          <w:tab w:val="left" w:pos="540"/>
        </w:tabs>
        <w:rPr>
          <w:b/>
          <w:sz w:val="22"/>
          <w:szCs w:val="22"/>
          <w:lang w:val="pl-PL"/>
        </w:rPr>
      </w:pPr>
      <w:r w:rsidRPr="009353E6">
        <w:rPr>
          <w:b/>
          <w:sz w:val="22"/>
          <w:szCs w:val="22"/>
          <w:lang w:val="pl-PL"/>
        </w:rPr>
        <w:t>3.</w:t>
      </w:r>
      <w:r w:rsidRPr="009353E6">
        <w:rPr>
          <w:b/>
          <w:sz w:val="22"/>
          <w:szCs w:val="22"/>
          <w:lang w:val="pl-PL"/>
        </w:rPr>
        <w:tab/>
        <w:t>TERMIN WAŻNOŚCI</w:t>
      </w:r>
    </w:p>
    <w:p w:rsidR="002D3E1A" w:rsidRPr="009353E6" w:rsidRDefault="002D3E1A">
      <w:pPr>
        <w:tabs>
          <w:tab w:val="left" w:pos="0"/>
        </w:tabs>
        <w:rPr>
          <w:sz w:val="22"/>
          <w:szCs w:val="22"/>
          <w:lang w:val="pl-PL"/>
        </w:rPr>
      </w:pPr>
    </w:p>
    <w:p w:rsidR="002D3E1A" w:rsidRPr="009353E6" w:rsidRDefault="002D3E1A">
      <w:pPr>
        <w:tabs>
          <w:tab w:val="left" w:pos="0"/>
        </w:tabs>
        <w:rPr>
          <w:sz w:val="22"/>
          <w:szCs w:val="22"/>
          <w:lang w:val="pl-PL"/>
        </w:rPr>
      </w:pPr>
      <w:r w:rsidRPr="009353E6">
        <w:rPr>
          <w:sz w:val="22"/>
          <w:szCs w:val="22"/>
          <w:lang w:val="pl-PL"/>
        </w:rPr>
        <w:t>Termin ważności</w:t>
      </w:r>
      <w:r w:rsidR="002D5E68" w:rsidRPr="009353E6">
        <w:rPr>
          <w:sz w:val="22"/>
          <w:szCs w:val="22"/>
          <w:lang w:val="pl-PL"/>
        </w:rPr>
        <w:t>:</w:t>
      </w:r>
    </w:p>
    <w:p w:rsidR="002D3E1A" w:rsidRPr="009353E6" w:rsidRDefault="002D3E1A">
      <w:pPr>
        <w:tabs>
          <w:tab w:val="left" w:pos="0"/>
        </w:tabs>
        <w:rPr>
          <w:sz w:val="22"/>
          <w:szCs w:val="22"/>
          <w:lang w:val="pl-PL"/>
        </w:rPr>
      </w:pPr>
    </w:p>
    <w:p w:rsidR="002D3E1A" w:rsidRPr="009353E6" w:rsidRDefault="002D3E1A">
      <w:pPr>
        <w:tabs>
          <w:tab w:val="left" w:pos="0"/>
        </w:tabs>
        <w:rPr>
          <w:sz w:val="22"/>
          <w:szCs w:val="22"/>
          <w:lang w:val="pl-PL"/>
        </w:rPr>
      </w:pPr>
    </w:p>
    <w:p w:rsidR="002D3E1A" w:rsidRPr="009353E6" w:rsidRDefault="002D3E1A">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4.</w:t>
      </w:r>
      <w:r w:rsidRPr="009353E6">
        <w:rPr>
          <w:b/>
          <w:sz w:val="22"/>
          <w:szCs w:val="22"/>
          <w:lang w:val="pl-PL"/>
        </w:rPr>
        <w:tab/>
        <w:t>NUMER SERII</w:t>
      </w:r>
    </w:p>
    <w:p w:rsidR="002D3E1A" w:rsidRPr="009353E6" w:rsidRDefault="002D3E1A">
      <w:pPr>
        <w:tabs>
          <w:tab w:val="left" w:pos="0"/>
        </w:tabs>
        <w:rPr>
          <w:sz w:val="22"/>
          <w:szCs w:val="22"/>
          <w:lang w:val="pl-PL"/>
        </w:rPr>
      </w:pPr>
    </w:p>
    <w:p w:rsidR="000A17A5" w:rsidRPr="009353E6" w:rsidRDefault="002D3E1A">
      <w:pPr>
        <w:tabs>
          <w:tab w:val="left" w:pos="0"/>
          <w:tab w:val="left" w:pos="540"/>
        </w:tabs>
        <w:rPr>
          <w:sz w:val="22"/>
          <w:szCs w:val="22"/>
          <w:lang w:val="pl-PL"/>
        </w:rPr>
      </w:pPr>
      <w:r w:rsidRPr="009353E6">
        <w:rPr>
          <w:sz w:val="22"/>
          <w:szCs w:val="22"/>
          <w:lang w:val="pl-PL"/>
        </w:rPr>
        <w:t>Nr serii</w:t>
      </w:r>
      <w:r w:rsidR="000A17A5" w:rsidRPr="009353E6">
        <w:rPr>
          <w:sz w:val="22"/>
          <w:szCs w:val="22"/>
          <w:lang w:val="pl-PL"/>
        </w:rPr>
        <w:t>:</w:t>
      </w:r>
    </w:p>
    <w:p w:rsidR="006A2682" w:rsidRPr="009353E6" w:rsidRDefault="002D3E1A">
      <w:pPr>
        <w:tabs>
          <w:tab w:val="left" w:pos="0"/>
          <w:tab w:val="left" w:pos="540"/>
        </w:tabs>
        <w:rPr>
          <w:sz w:val="22"/>
          <w:szCs w:val="22"/>
          <w:lang w:val="pl-PL"/>
        </w:rPr>
      </w:pPr>
      <w:r w:rsidRPr="009353E6">
        <w:rPr>
          <w:sz w:val="22"/>
          <w:szCs w:val="22"/>
          <w:lang w:val="pl-PL"/>
        </w:rPr>
        <w:t xml:space="preserve"> </w:t>
      </w:r>
    </w:p>
    <w:p w:rsidR="006A2682" w:rsidRPr="009353E6" w:rsidRDefault="006A2682">
      <w:pPr>
        <w:tabs>
          <w:tab w:val="left" w:pos="0"/>
          <w:tab w:val="left" w:pos="540"/>
        </w:tabs>
        <w:rPr>
          <w:sz w:val="22"/>
          <w:szCs w:val="22"/>
          <w:lang w:val="pl-PL"/>
        </w:rPr>
      </w:pPr>
    </w:p>
    <w:p w:rsidR="006A2682" w:rsidRPr="009353E6" w:rsidRDefault="006A2682" w:rsidP="006A2682">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5.</w:t>
      </w:r>
      <w:r w:rsidRPr="009353E6">
        <w:rPr>
          <w:b/>
          <w:sz w:val="22"/>
          <w:szCs w:val="22"/>
          <w:lang w:val="pl-PL"/>
        </w:rPr>
        <w:tab/>
        <w:t>INNE</w:t>
      </w:r>
    </w:p>
    <w:p w:rsidR="0019761C" w:rsidRPr="009353E6" w:rsidRDefault="0019761C">
      <w:pPr>
        <w:tabs>
          <w:tab w:val="left" w:pos="0"/>
        </w:tabs>
        <w:jc w:val="both"/>
        <w:rPr>
          <w:sz w:val="22"/>
          <w:szCs w:val="22"/>
          <w:lang w:val="pl-PL"/>
        </w:rPr>
      </w:pPr>
    </w:p>
    <w:p w:rsidR="0019761C" w:rsidRPr="009353E6" w:rsidRDefault="0019761C">
      <w:pPr>
        <w:tabs>
          <w:tab w:val="left" w:pos="0"/>
        </w:tabs>
        <w:jc w:val="both"/>
        <w:rPr>
          <w:sz w:val="22"/>
          <w:szCs w:val="22"/>
          <w:lang w:val="pl-PL"/>
        </w:rPr>
      </w:pPr>
    </w:p>
    <w:p w:rsidR="0019761C" w:rsidRPr="009353E6" w:rsidRDefault="000D2739" w:rsidP="0019761C">
      <w:pPr>
        <w:pBdr>
          <w:top w:val="single" w:sz="4" w:space="0" w:color="auto"/>
          <w:left w:val="single" w:sz="4" w:space="4" w:color="auto"/>
          <w:bottom w:val="single" w:sz="4" w:space="0" w:color="auto"/>
          <w:right w:val="single" w:sz="4" w:space="4" w:color="auto"/>
        </w:pBdr>
        <w:rPr>
          <w:b/>
          <w:sz w:val="22"/>
          <w:szCs w:val="22"/>
          <w:lang w:val="pl-PL"/>
        </w:rPr>
      </w:pPr>
      <w:r w:rsidRPr="009353E6">
        <w:rPr>
          <w:sz w:val="22"/>
          <w:szCs w:val="22"/>
          <w:lang w:val="pl-PL"/>
        </w:rPr>
        <w:br w:type="page"/>
      </w:r>
      <w:r w:rsidR="0019761C" w:rsidRPr="009353E6">
        <w:rPr>
          <w:b/>
          <w:sz w:val="22"/>
          <w:szCs w:val="22"/>
          <w:lang w:val="pl-PL"/>
        </w:rPr>
        <w:t xml:space="preserve">INFORMACJE ZAMIESZCZANE NA OPAKOWANIACH ZEWNĘTRZNYCH </w:t>
      </w:r>
    </w:p>
    <w:p w:rsidR="0019761C" w:rsidRPr="009353E6" w:rsidRDefault="0019761C" w:rsidP="0019761C">
      <w:pPr>
        <w:pBdr>
          <w:top w:val="single" w:sz="4" w:space="0" w:color="auto"/>
          <w:left w:val="single" w:sz="4" w:space="4" w:color="auto"/>
          <w:bottom w:val="single" w:sz="4" w:space="0" w:color="auto"/>
          <w:right w:val="single" w:sz="4" w:space="4" w:color="auto"/>
        </w:pBdr>
        <w:rPr>
          <w:b/>
          <w:sz w:val="22"/>
          <w:szCs w:val="22"/>
          <w:lang w:val="pl-PL"/>
        </w:rPr>
      </w:pPr>
    </w:p>
    <w:p w:rsidR="0019761C" w:rsidRPr="009353E6" w:rsidRDefault="00773B8F" w:rsidP="0019761C">
      <w:pPr>
        <w:pBdr>
          <w:top w:val="single" w:sz="4" w:space="0" w:color="auto"/>
          <w:left w:val="single" w:sz="4" w:space="4" w:color="auto"/>
          <w:bottom w:val="single" w:sz="4" w:space="0" w:color="auto"/>
          <w:right w:val="single" w:sz="4" w:space="4" w:color="auto"/>
        </w:pBdr>
        <w:rPr>
          <w:sz w:val="22"/>
          <w:szCs w:val="22"/>
          <w:lang w:val="pl-PL"/>
        </w:rPr>
      </w:pPr>
      <w:r w:rsidRPr="009353E6">
        <w:rPr>
          <w:sz w:val="22"/>
          <w:szCs w:val="22"/>
          <w:lang w:val="pl-PL"/>
        </w:rPr>
        <w:t>Pudełko tekturowe</w:t>
      </w:r>
    </w:p>
    <w:p w:rsidR="0019761C" w:rsidRPr="009353E6" w:rsidRDefault="0019761C" w:rsidP="0019761C">
      <w:pPr>
        <w:jc w:val="both"/>
        <w:rPr>
          <w:sz w:val="22"/>
          <w:szCs w:val="22"/>
          <w:lang w:val="pl-PL"/>
        </w:rPr>
      </w:pPr>
    </w:p>
    <w:p w:rsidR="0019761C" w:rsidRPr="009353E6" w:rsidRDefault="0019761C" w:rsidP="0019761C">
      <w:pPr>
        <w:jc w:val="both"/>
        <w:rPr>
          <w:sz w:val="22"/>
          <w:szCs w:val="22"/>
          <w:lang w:val="pl-PL"/>
        </w:rPr>
      </w:pPr>
    </w:p>
    <w:p w:rsidR="0019761C" w:rsidRPr="009353E6" w:rsidRDefault="0019761C" w:rsidP="002D507E">
      <w:pPr>
        <w:numPr>
          <w:ilvl w:val="0"/>
          <w:numId w:val="10"/>
        </w:numPr>
        <w:pBdr>
          <w:top w:val="single" w:sz="4" w:space="1" w:color="auto"/>
          <w:left w:val="single" w:sz="4" w:space="4" w:color="auto"/>
          <w:bottom w:val="single" w:sz="4" w:space="1" w:color="auto"/>
          <w:right w:val="single" w:sz="4" w:space="4" w:color="auto"/>
        </w:pBdr>
        <w:rPr>
          <w:b/>
          <w:sz w:val="22"/>
          <w:szCs w:val="22"/>
          <w:lang w:val="pl-PL"/>
        </w:rPr>
      </w:pPr>
      <w:r w:rsidRPr="009353E6">
        <w:rPr>
          <w:b/>
          <w:sz w:val="22"/>
          <w:szCs w:val="22"/>
          <w:lang w:val="pl-PL"/>
        </w:rPr>
        <w:t xml:space="preserve">NAZWA PRODUKTU LECZNICZEGO </w:t>
      </w:r>
    </w:p>
    <w:p w:rsidR="0019761C" w:rsidRPr="009353E6" w:rsidRDefault="0019761C" w:rsidP="0019761C">
      <w:pPr>
        <w:tabs>
          <w:tab w:val="left" w:pos="900"/>
        </w:tabs>
        <w:jc w:val="both"/>
        <w:rPr>
          <w:b/>
          <w:sz w:val="22"/>
          <w:szCs w:val="22"/>
          <w:lang w:val="pl-PL"/>
        </w:rPr>
      </w:pPr>
    </w:p>
    <w:p w:rsidR="0019761C" w:rsidRPr="009353E6" w:rsidRDefault="0019761C" w:rsidP="0019761C">
      <w:pPr>
        <w:tabs>
          <w:tab w:val="left" w:pos="540"/>
        </w:tabs>
        <w:ind w:left="540" w:hanging="540"/>
        <w:rPr>
          <w:sz w:val="22"/>
          <w:szCs w:val="22"/>
          <w:lang w:val="pl-PL"/>
        </w:rPr>
      </w:pPr>
      <w:r w:rsidRPr="009353E6">
        <w:rPr>
          <w:sz w:val="22"/>
          <w:szCs w:val="22"/>
          <w:lang w:val="pl-PL"/>
        </w:rPr>
        <w:t>MicardisPlus 80 mg/25 mg tabletki</w:t>
      </w:r>
    </w:p>
    <w:p w:rsidR="0019761C" w:rsidRPr="009353E6" w:rsidRDefault="0019761C" w:rsidP="0019761C">
      <w:pPr>
        <w:tabs>
          <w:tab w:val="left" w:pos="900"/>
        </w:tabs>
        <w:jc w:val="both"/>
        <w:rPr>
          <w:sz w:val="22"/>
          <w:szCs w:val="22"/>
          <w:lang w:val="pl-PL"/>
        </w:rPr>
      </w:pPr>
      <w:r w:rsidRPr="009353E6">
        <w:rPr>
          <w:sz w:val="22"/>
          <w:szCs w:val="22"/>
          <w:lang w:val="pl-PL"/>
        </w:rPr>
        <w:t>telmisartan/hydrochlorotiazyd</w:t>
      </w:r>
    </w:p>
    <w:p w:rsidR="0019761C" w:rsidRPr="009353E6" w:rsidRDefault="0019761C" w:rsidP="0019761C">
      <w:pPr>
        <w:tabs>
          <w:tab w:val="left" w:pos="900"/>
        </w:tabs>
        <w:jc w:val="both"/>
        <w:rPr>
          <w:sz w:val="22"/>
          <w:szCs w:val="22"/>
          <w:lang w:val="pl-PL"/>
        </w:rPr>
      </w:pPr>
    </w:p>
    <w:p w:rsidR="0019761C" w:rsidRPr="009353E6" w:rsidRDefault="0019761C" w:rsidP="0019761C">
      <w:pPr>
        <w:tabs>
          <w:tab w:val="left" w:pos="900"/>
        </w:tabs>
        <w:jc w:val="both"/>
        <w:rPr>
          <w:sz w:val="22"/>
          <w:szCs w:val="22"/>
          <w:lang w:val="pl-PL"/>
        </w:rPr>
      </w:pPr>
    </w:p>
    <w:p w:rsidR="0019761C" w:rsidRPr="009353E6" w:rsidRDefault="0019761C" w:rsidP="002D507E">
      <w:pPr>
        <w:numPr>
          <w:ilvl w:val="0"/>
          <w:numId w:val="10"/>
        </w:numPr>
        <w:pBdr>
          <w:top w:val="single" w:sz="4" w:space="1" w:color="auto"/>
          <w:left w:val="single" w:sz="4" w:space="4" w:color="auto"/>
          <w:bottom w:val="single" w:sz="4" w:space="1" w:color="auto"/>
          <w:right w:val="single" w:sz="4" w:space="4" w:color="auto"/>
        </w:pBdr>
        <w:tabs>
          <w:tab w:val="clear" w:pos="360"/>
          <w:tab w:val="num" w:pos="540"/>
        </w:tabs>
        <w:rPr>
          <w:b/>
          <w:sz w:val="22"/>
          <w:szCs w:val="22"/>
          <w:lang w:val="pl-PL"/>
        </w:rPr>
      </w:pPr>
      <w:r w:rsidRPr="009353E6">
        <w:rPr>
          <w:b/>
          <w:sz w:val="22"/>
          <w:szCs w:val="22"/>
          <w:lang w:val="pl-PL"/>
        </w:rPr>
        <w:t>ZAWARTOŚĆ SUBSTANCJI CZYNNYCH</w:t>
      </w:r>
    </w:p>
    <w:p w:rsidR="0019761C" w:rsidRPr="009353E6" w:rsidRDefault="0019761C" w:rsidP="0019761C">
      <w:pPr>
        <w:tabs>
          <w:tab w:val="left" w:pos="900"/>
        </w:tabs>
        <w:jc w:val="both"/>
        <w:rPr>
          <w:b/>
          <w:sz w:val="22"/>
          <w:szCs w:val="22"/>
          <w:lang w:val="pl-PL"/>
        </w:rPr>
      </w:pPr>
    </w:p>
    <w:p w:rsidR="0019761C" w:rsidRPr="009353E6" w:rsidRDefault="0019761C" w:rsidP="0019761C">
      <w:pPr>
        <w:tabs>
          <w:tab w:val="left" w:pos="540"/>
        </w:tabs>
        <w:ind w:left="540" w:hanging="540"/>
        <w:rPr>
          <w:sz w:val="22"/>
          <w:szCs w:val="22"/>
          <w:lang w:val="pl-PL"/>
        </w:rPr>
      </w:pPr>
      <w:r w:rsidRPr="009353E6">
        <w:rPr>
          <w:sz w:val="22"/>
          <w:szCs w:val="22"/>
          <w:lang w:val="pl-PL"/>
        </w:rPr>
        <w:t>Każda tabletka zawiera 80 mg telmisartanu i 25 mg</w:t>
      </w:r>
      <w:r w:rsidRPr="009353E6" w:rsidDel="000C528A">
        <w:rPr>
          <w:sz w:val="22"/>
          <w:szCs w:val="22"/>
          <w:lang w:val="pl-PL"/>
        </w:rPr>
        <w:t xml:space="preserve"> </w:t>
      </w:r>
      <w:r w:rsidRPr="009353E6">
        <w:rPr>
          <w:sz w:val="22"/>
          <w:szCs w:val="22"/>
          <w:lang w:val="pl-PL"/>
        </w:rPr>
        <w:t>hydrochlorotiazydu.</w:t>
      </w:r>
      <w:r w:rsidRPr="009353E6">
        <w:rPr>
          <w:sz w:val="22"/>
          <w:szCs w:val="22"/>
          <w:lang w:val="pl-PL"/>
        </w:rPr>
        <w:tab/>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2D507E">
      <w:pPr>
        <w:numPr>
          <w:ilvl w:val="0"/>
          <w:numId w:val="10"/>
        </w:numPr>
        <w:pBdr>
          <w:top w:val="single" w:sz="4" w:space="1" w:color="auto"/>
          <w:left w:val="single" w:sz="4" w:space="4" w:color="auto"/>
          <w:bottom w:val="single" w:sz="4" w:space="1" w:color="auto"/>
          <w:right w:val="single" w:sz="4" w:space="4" w:color="auto"/>
        </w:pBdr>
        <w:tabs>
          <w:tab w:val="clear" w:pos="360"/>
          <w:tab w:val="left" w:pos="540"/>
        </w:tabs>
        <w:rPr>
          <w:b/>
          <w:sz w:val="22"/>
          <w:szCs w:val="22"/>
          <w:lang w:val="pl-PL"/>
        </w:rPr>
      </w:pPr>
      <w:r w:rsidRPr="009353E6">
        <w:rPr>
          <w:b/>
          <w:sz w:val="22"/>
          <w:szCs w:val="22"/>
          <w:lang w:val="pl-PL"/>
        </w:rPr>
        <w:t>WYKAZ SUBSTANCJI POMOCNICZYCH</w:t>
      </w:r>
    </w:p>
    <w:p w:rsidR="0019761C" w:rsidRPr="009353E6" w:rsidRDefault="0019761C" w:rsidP="0019761C">
      <w:pPr>
        <w:tabs>
          <w:tab w:val="left" w:pos="0"/>
        </w:tabs>
        <w:jc w:val="both"/>
        <w:rPr>
          <w:sz w:val="22"/>
          <w:szCs w:val="22"/>
          <w:lang w:val="pl-PL"/>
        </w:rPr>
      </w:pPr>
    </w:p>
    <w:p w:rsidR="002D5E68" w:rsidRPr="009353E6" w:rsidRDefault="0019761C" w:rsidP="002D5E68">
      <w:pPr>
        <w:tabs>
          <w:tab w:val="left" w:pos="0"/>
        </w:tabs>
        <w:jc w:val="both"/>
        <w:rPr>
          <w:sz w:val="22"/>
          <w:szCs w:val="22"/>
          <w:lang w:val="pl-PL"/>
        </w:rPr>
      </w:pPr>
      <w:r w:rsidRPr="009353E6">
        <w:rPr>
          <w:sz w:val="22"/>
          <w:szCs w:val="22"/>
          <w:lang w:val="pl-PL"/>
        </w:rPr>
        <w:t>Zawiera laktozę jednowodną i sorbitol</w:t>
      </w:r>
      <w:r w:rsidR="002D5E68" w:rsidRPr="009353E6">
        <w:rPr>
          <w:sz w:val="22"/>
          <w:szCs w:val="22"/>
          <w:lang w:val="pl-PL"/>
        </w:rPr>
        <w:t xml:space="preserve"> (E420).</w:t>
      </w:r>
    </w:p>
    <w:p w:rsidR="0007757E" w:rsidRPr="009353E6" w:rsidRDefault="0007757E" w:rsidP="0007757E">
      <w:pPr>
        <w:rPr>
          <w:sz w:val="22"/>
          <w:szCs w:val="22"/>
          <w:lang w:val="pl-PL"/>
        </w:rPr>
      </w:pPr>
      <w:r w:rsidRPr="009353E6">
        <w:rPr>
          <w:sz w:val="22"/>
          <w:szCs w:val="22"/>
          <w:lang w:val="pl-PL"/>
        </w:rPr>
        <w:t xml:space="preserve">W celu uzyskania dodatkowych informacji należy zapoznać się z treścią ulotki dołączonej do opakowania. </w:t>
      </w:r>
    </w:p>
    <w:p w:rsidR="0019761C" w:rsidRPr="009353E6" w:rsidRDefault="0019761C" w:rsidP="0019761C">
      <w:pPr>
        <w:tabs>
          <w:tab w:val="left" w:pos="0"/>
        </w:tabs>
        <w:jc w:val="both"/>
        <w:rPr>
          <w:b/>
          <w:sz w:val="22"/>
          <w:szCs w:val="22"/>
          <w:lang w:val="pl-PL"/>
        </w:rPr>
      </w:pPr>
    </w:p>
    <w:p w:rsidR="0019761C" w:rsidRPr="009353E6" w:rsidRDefault="0019761C" w:rsidP="0019761C">
      <w:pPr>
        <w:tabs>
          <w:tab w:val="left" w:pos="0"/>
        </w:tabs>
        <w:jc w:val="both"/>
        <w:rPr>
          <w:b/>
          <w:sz w:val="22"/>
          <w:szCs w:val="22"/>
          <w:lang w:val="pl-PL"/>
        </w:rPr>
      </w:pPr>
    </w:p>
    <w:p w:rsidR="0019761C" w:rsidRPr="009353E6" w:rsidRDefault="0019761C" w:rsidP="002D507E">
      <w:pPr>
        <w:numPr>
          <w:ilvl w:val="0"/>
          <w:numId w:val="10"/>
        </w:numPr>
        <w:pBdr>
          <w:top w:val="single" w:sz="4" w:space="1" w:color="auto"/>
          <w:left w:val="single" w:sz="4" w:space="4" w:color="auto"/>
          <w:bottom w:val="single" w:sz="4" w:space="1" w:color="auto"/>
          <w:right w:val="single" w:sz="4" w:space="4" w:color="auto"/>
        </w:pBdr>
        <w:tabs>
          <w:tab w:val="clear" w:pos="360"/>
          <w:tab w:val="num" w:pos="0"/>
          <w:tab w:val="num" w:pos="540"/>
        </w:tabs>
        <w:rPr>
          <w:b/>
          <w:sz w:val="22"/>
          <w:szCs w:val="22"/>
          <w:lang w:val="pl-PL"/>
        </w:rPr>
      </w:pPr>
      <w:r w:rsidRPr="009353E6">
        <w:rPr>
          <w:b/>
          <w:sz w:val="22"/>
          <w:szCs w:val="22"/>
          <w:lang w:val="pl-PL"/>
        </w:rPr>
        <w:t xml:space="preserve">POSTAĆ </w:t>
      </w:r>
      <w:r w:rsidR="00A0264F" w:rsidRPr="009353E6">
        <w:rPr>
          <w:b/>
          <w:sz w:val="22"/>
          <w:szCs w:val="22"/>
          <w:lang w:val="pl-PL"/>
        </w:rPr>
        <w:t>FARMACEUTYCZNA</w:t>
      </w:r>
      <w:r w:rsidRPr="009353E6">
        <w:rPr>
          <w:b/>
          <w:sz w:val="22"/>
          <w:szCs w:val="22"/>
          <w:lang w:val="pl-PL"/>
        </w:rPr>
        <w:t xml:space="preserve"> I ZAWARTOŚĆ OPAKOWANIA</w:t>
      </w:r>
    </w:p>
    <w:p w:rsidR="0019761C" w:rsidRPr="009353E6" w:rsidRDefault="0019761C" w:rsidP="0019761C">
      <w:pPr>
        <w:tabs>
          <w:tab w:val="left" w:pos="0"/>
        </w:tabs>
        <w:jc w:val="both"/>
        <w:rPr>
          <w:b/>
          <w:sz w:val="22"/>
          <w:szCs w:val="22"/>
          <w:lang w:val="pl-PL"/>
        </w:rPr>
      </w:pPr>
    </w:p>
    <w:p w:rsidR="00125970" w:rsidRPr="009353E6" w:rsidRDefault="00125970" w:rsidP="0019761C">
      <w:pPr>
        <w:rPr>
          <w:sz w:val="22"/>
          <w:szCs w:val="22"/>
          <w:lang w:val="pl-PL"/>
        </w:rPr>
      </w:pPr>
      <w:r w:rsidRPr="009353E6">
        <w:rPr>
          <w:sz w:val="22"/>
          <w:szCs w:val="22"/>
          <w:lang w:val="pl-PL"/>
        </w:rPr>
        <w:t>14 tabletek</w:t>
      </w:r>
    </w:p>
    <w:p w:rsidR="0019761C" w:rsidRPr="009353E6" w:rsidRDefault="0019761C" w:rsidP="0019761C">
      <w:pPr>
        <w:rPr>
          <w:sz w:val="22"/>
          <w:szCs w:val="22"/>
          <w:highlight w:val="lightGray"/>
          <w:lang w:val="pl-PL"/>
        </w:rPr>
      </w:pPr>
      <w:r w:rsidRPr="009353E6">
        <w:rPr>
          <w:sz w:val="22"/>
          <w:szCs w:val="22"/>
          <w:highlight w:val="lightGray"/>
          <w:lang w:val="pl-PL"/>
        </w:rPr>
        <w:t>28 tabletek</w:t>
      </w:r>
    </w:p>
    <w:p w:rsidR="000C7703" w:rsidRPr="009353E6" w:rsidRDefault="000C7703" w:rsidP="0019761C">
      <w:pPr>
        <w:rPr>
          <w:sz w:val="22"/>
          <w:szCs w:val="22"/>
          <w:highlight w:val="lightGray"/>
          <w:lang w:val="pl-PL"/>
        </w:rPr>
      </w:pPr>
      <w:r w:rsidRPr="009353E6">
        <w:rPr>
          <w:sz w:val="22"/>
          <w:szCs w:val="22"/>
          <w:highlight w:val="lightGray"/>
          <w:lang w:val="pl-PL"/>
        </w:rPr>
        <w:t xml:space="preserve">30 </w:t>
      </w:r>
      <w:r w:rsidR="001C1D53" w:rsidRPr="009353E6">
        <w:rPr>
          <w:sz w:val="22"/>
          <w:szCs w:val="22"/>
          <w:highlight w:val="lightGray"/>
          <w:lang w:val="pl-PL"/>
        </w:rPr>
        <w:t xml:space="preserve">x 1 </w:t>
      </w:r>
      <w:r w:rsidRPr="009353E6">
        <w:rPr>
          <w:sz w:val="22"/>
          <w:szCs w:val="22"/>
          <w:highlight w:val="lightGray"/>
          <w:lang w:val="pl-PL"/>
        </w:rPr>
        <w:t>tabletk</w:t>
      </w:r>
      <w:r w:rsidR="00CF50E0" w:rsidRPr="009353E6">
        <w:rPr>
          <w:sz w:val="22"/>
          <w:szCs w:val="22"/>
          <w:highlight w:val="lightGray"/>
          <w:lang w:val="pl-PL"/>
        </w:rPr>
        <w:t>a</w:t>
      </w:r>
    </w:p>
    <w:p w:rsidR="0019761C" w:rsidRPr="009353E6" w:rsidRDefault="0019761C" w:rsidP="0019761C">
      <w:pPr>
        <w:rPr>
          <w:sz w:val="22"/>
          <w:szCs w:val="22"/>
          <w:highlight w:val="lightGray"/>
          <w:lang w:val="pl-PL"/>
        </w:rPr>
      </w:pPr>
      <w:r w:rsidRPr="009353E6">
        <w:rPr>
          <w:sz w:val="22"/>
          <w:szCs w:val="22"/>
          <w:highlight w:val="lightGray"/>
          <w:lang w:val="pl-PL"/>
        </w:rPr>
        <w:t>56 tabletek</w:t>
      </w:r>
    </w:p>
    <w:p w:rsidR="000C7703" w:rsidRPr="009353E6" w:rsidRDefault="000C7703" w:rsidP="0019761C">
      <w:pPr>
        <w:rPr>
          <w:sz w:val="22"/>
          <w:szCs w:val="22"/>
          <w:highlight w:val="lightGray"/>
          <w:lang w:val="pl-PL"/>
        </w:rPr>
      </w:pPr>
      <w:r w:rsidRPr="009353E6">
        <w:rPr>
          <w:sz w:val="22"/>
          <w:szCs w:val="22"/>
          <w:highlight w:val="lightGray"/>
          <w:lang w:val="pl-PL"/>
        </w:rPr>
        <w:t xml:space="preserve">90 </w:t>
      </w:r>
      <w:r w:rsidR="001C1D53" w:rsidRPr="009353E6">
        <w:rPr>
          <w:sz w:val="22"/>
          <w:szCs w:val="22"/>
          <w:highlight w:val="lightGray"/>
          <w:lang w:val="pl-PL"/>
        </w:rPr>
        <w:t xml:space="preserve">x 1 </w:t>
      </w:r>
      <w:r w:rsidRPr="009353E6">
        <w:rPr>
          <w:sz w:val="22"/>
          <w:szCs w:val="22"/>
          <w:highlight w:val="lightGray"/>
          <w:lang w:val="pl-PL"/>
        </w:rPr>
        <w:t>tabletk</w:t>
      </w:r>
      <w:r w:rsidR="00CF50E0" w:rsidRPr="009353E6">
        <w:rPr>
          <w:sz w:val="22"/>
          <w:szCs w:val="22"/>
          <w:highlight w:val="lightGray"/>
          <w:lang w:val="pl-PL"/>
        </w:rPr>
        <w:t>a</w:t>
      </w:r>
    </w:p>
    <w:p w:rsidR="0019761C" w:rsidRPr="009353E6" w:rsidRDefault="0019761C" w:rsidP="0019761C">
      <w:pPr>
        <w:rPr>
          <w:sz w:val="22"/>
          <w:szCs w:val="22"/>
          <w:highlight w:val="lightGray"/>
          <w:lang w:val="pl-PL"/>
        </w:rPr>
      </w:pPr>
      <w:r w:rsidRPr="009353E6">
        <w:rPr>
          <w:sz w:val="22"/>
          <w:szCs w:val="22"/>
          <w:highlight w:val="lightGray"/>
          <w:lang w:val="pl-PL"/>
        </w:rPr>
        <w:t>98 tabletek</w:t>
      </w:r>
    </w:p>
    <w:p w:rsidR="0019761C" w:rsidRPr="009353E6" w:rsidRDefault="0019761C" w:rsidP="0019761C">
      <w:pPr>
        <w:rPr>
          <w:sz w:val="22"/>
          <w:szCs w:val="22"/>
          <w:lang w:val="pl-PL"/>
        </w:rPr>
      </w:pPr>
      <w:r w:rsidRPr="009353E6">
        <w:rPr>
          <w:sz w:val="22"/>
          <w:szCs w:val="22"/>
          <w:highlight w:val="lightGray"/>
          <w:lang w:val="pl-PL"/>
        </w:rPr>
        <w:t>28 x 1 tabletk</w:t>
      </w:r>
      <w:r w:rsidR="00CF50E0" w:rsidRPr="009353E6">
        <w:rPr>
          <w:sz w:val="22"/>
          <w:szCs w:val="22"/>
          <w:highlight w:val="lightGray"/>
          <w:lang w:val="pl-PL"/>
        </w:rPr>
        <w:t>a</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2D507E">
      <w:pPr>
        <w:numPr>
          <w:ilvl w:val="0"/>
          <w:numId w:val="10"/>
        </w:numPr>
        <w:pBdr>
          <w:top w:val="single" w:sz="4" w:space="1" w:color="auto"/>
          <w:left w:val="single" w:sz="4" w:space="4" w:color="auto"/>
          <w:bottom w:val="single" w:sz="4" w:space="1" w:color="auto"/>
          <w:right w:val="single" w:sz="4" w:space="4" w:color="auto"/>
        </w:pBdr>
        <w:tabs>
          <w:tab w:val="clear" w:pos="360"/>
          <w:tab w:val="num" w:pos="0"/>
        </w:tabs>
        <w:rPr>
          <w:b/>
          <w:sz w:val="22"/>
          <w:szCs w:val="22"/>
          <w:lang w:val="pl-PL"/>
        </w:rPr>
      </w:pPr>
      <w:r w:rsidRPr="009353E6">
        <w:rPr>
          <w:b/>
          <w:sz w:val="22"/>
          <w:szCs w:val="22"/>
          <w:lang w:val="pl-PL"/>
        </w:rPr>
        <w:t>SPOSÓB I DROGA PODANIA</w:t>
      </w:r>
    </w:p>
    <w:p w:rsidR="0019761C" w:rsidRPr="009353E6" w:rsidRDefault="0019761C" w:rsidP="0019761C">
      <w:pPr>
        <w:tabs>
          <w:tab w:val="left" w:pos="0"/>
          <w:tab w:val="left" w:pos="720"/>
          <w:tab w:val="left" w:pos="900"/>
        </w:tabs>
        <w:jc w:val="both"/>
        <w:rPr>
          <w:b/>
          <w:sz w:val="22"/>
          <w:szCs w:val="22"/>
          <w:lang w:val="pl-PL"/>
        </w:rPr>
      </w:pPr>
    </w:p>
    <w:p w:rsidR="0019761C" w:rsidRPr="009353E6" w:rsidRDefault="0019761C" w:rsidP="0019761C">
      <w:pPr>
        <w:tabs>
          <w:tab w:val="left" w:pos="0"/>
          <w:tab w:val="left" w:pos="720"/>
          <w:tab w:val="left" w:pos="900"/>
        </w:tabs>
        <w:rPr>
          <w:sz w:val="22"/>
          <w:szCs w:val="22"/>
          <w:lang w:val="pl-PL"/>
        </w:rPr>
      </w:pPr>
      <w:r w:rsidRPr="009353E6">
        <w:rPr>
          <w:sz w:val="22"/>
          <w:szCs w:val="22"/>
          <w:lang w:val="pl-PL"/>
        </w:rPr>
        <w:t>Podanie doustne</w:t>
      </w:r>
      <w:r w:rsidR="00125970" w:rsidRPr="009353E6">
        <w:rPr>
          <w:sz w:val="22"/>
          <w:szCs w:val="22"/>
          <w:lang w:val="pl-PL"/>
        </w:rPr>
        <w:t>.</w:t>
      </w:r>
    </w:p>
    <w:p w:rsidR="0019761C" w:rsidRPr="009353E6" w:rsidRDefault="0019761C" w:rsidP="0019761C">
      <w:pPr>
        <w:tabs>
          <w:tab w:val="left" w:pos="0"/>
          <w:tab w:val="left" w:pos="720"/>
          <w:tab w:val="left" w:pos="900"/>
        </w:tabs>
        <w:jc w:val="both"/>
        <w:rPr>
          <w:sz w:val="22"/>
          <w:szCs w:val="22"/>
          <w:lang w:val="pl-PL"/>
        </w:rPr>
      </w:pPr>
      <w:r w:rsidRPr="009353E6">
        <w:rPr>
          <w:sz w:val="22"/>
          <w:szCs w:val="22"/>
          <w:lang w:val="pl-PL"/>
        </w:rPr>
        <w:t xml:space="preserve">Należy zapoznać się z treścią ulotki przed zastosowaniem leku. </w:t>
      </w:r>
    </w:p>
    <w:p w:rsidR="0019761C" w:rsidRPr="009353E6" w:rsidRDefault="0019761C" w:rsidP="0019761C">
      <w:pPr>
        <w:tabs>
          <w:tab w:val="left" w:pos="0"/>
          <w:tab w:val="left" w:pos="720"/>
          <w:tab w:val="left" w:pos="900"/>
        </w:tabs>
        <w:jc w:val="both"/>
        <w:rPr>
          <w:sz w:val="22"/>
          <w:szCs w:val="22"/>
          <w:lang w:val="pl-PL"/>
        </w:rPr>
      </w:pPr>
    </w:p>
    <w:p w:rsidR="0019761C" w:rsidRPr="009353E6" w:rsidRDefault="0019761C" w:rsidP="0019761C">
      <w:pPr>
        <w:tabs>
          <w:tab w:val="left" w:pos="0"/>
          <w:tab w:val="left" w:pos="720"/>
          <w:tab w:val="left" w:pos="900"/>
        </w:tabs>
        <w:jc w:val="both"/>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540"/>
        </w:tabs>
        <w:ind w:left="540" w:hanging="540"/>
        <w:rPr>
          <w:b/>
          <w:sz w:val="22"/>
          <w:szCs w:val="22"/>
          <w:lang w:val="pl-PL"/>
        </w:rPr>
      </w:pPr>
      <w:r w:rsidRPr="009353E6">
        <w:rPr>
          <w:b/>
          <w:sz w:val="22"/>
          <w:szCs w:val="22"/>
          <w:lang w:val="pl-PL"/>
        </w:rPr>
        <w:t>6.</w:t>
      </w:r>
      <w:r w:rsidRPr="009353E6">
        <w:rPr>
          <w:b/>
          <w:sz w:val="22"/>
          <w:szCs w:val="22"/>
          <w:lang w:val="pl-PL"/>
        </w:rPr>
        <w:tab/>
        <w:t xml:space="preserve">OSTRZEŻENIE DOTYCZĄCE PRZECHOWYWANIA PRODUKTU LECZNICZEGO W MIEJSCU </w:t>
      </w:r>
      <w:r w:rsidR="000A17A5" w:rsidRPr="009353E6">
        <w:rPr>
          <w:b/>
          <w:sz w:val="22"/>
          <w:szCs w:val="22"/>
          <w:lang w:val="pl-PL"/>
        </w:rPr>
        <w:t xml:space="preserve">NIEWIDOCZNYM I </w:t>
      </w:r>
      <w:r w:rsidRPr="009353E6">
        <w:rPr>
          <w:b/>
          <w:sz w:val="22"/>
          <w:szCs w:val="22"/>
          <w:lang w:val="pl-PL"/>
        </w:rPr>
        <w:t xml:space="preserve">NIEDOSTĘPNYM DLA DZIECI </w:t>
      </w:r>
    </w:p>
    <w:p w:rsidR="0019761C" w:rsidRPr="009353E6" w:rsidRDefault="0019761C" w:rsidP="0019761C">
      <w:pPr>
        <w:tabs>
          <w:tab w:val="left" w:pos="720"/>
        </w:tabs>
        <w:jc w:val="both"/>
        <w:rPr>
          <w:sz w:val="22"/>
          <w:szCs w:val="22"/>
          <w:lang w:val="pl-PL"/>
        </w:rPr>
      </w:pPr>
    </w:p>
    <w:p w:rsidR="0019761C" w:rsidRPr="009353E6" w:rsidRDefault="0019761C" w:rsidP="0019761C">
      <w:pPr>
        <w:tabs>
          <w:tab w:val="left" w:pos="720"/>
          <w:tab w:val="left" w:pos="900"/>
        </w:tabs>
        <w:rPr>
          <w:sz w:val="22"/>
          <w:szCs w:val="22"/>
          <w:lang w:val="pl-PL"/>
        </w:rPr>
      </w:pPr>
      <w:r w:rsidRPr="009353E6">
        <w:rPr>
          <w:sz w:val="22"/>
          <w:szCs w:val="22"/>
          <w:lang w:val="pl-PL"/>
        </w:rPr>
        <w:t xml:space="preserve">Lek przechowywać w miejscu </w:t>
      </w:r>
      <w:r w:rsidR="000A17A5" w:rsidRPr="009353E6">
        <w:rPr>
          <w:sz w:val="22"/>
          <w:szCs w:val="22"/>
          <w:lang w:val="pl-PL"/>
        </w:rPr>
        <w:t xml:space="preserve">niewidocznym i </w:t>
      </w:r>
      <w:r w:rsidRPr="009353E6">
        <w:rPr>
          <w:sz w:val="22"/>
          <w:szCs w:val="22"/>
          <w:lang w:val="pl-PL"/>
        </w:rPr>
        <w:t>niedostępnym dla dzieci.</w:t>
      </w:r>
    </w:p>
    <w:p w:rsidR="0019761C" w:rsidRPr="009353E6" w:rsidRDefault="0019761C" w:rsidP="0019761C">
      <w:pPr>
        <w:tabs>
          <w:tab w:val="left" w:pos="720"/>
          <w:tab w:val="left" w:pos="900"/>
        </w:tabs>
        <w:jc w:val="both"/>
        <w:rPr>
          <w:b/>
          <w:sz w:val="22"/>
          <w:szCs w:val="22"/>
          <w:lang w:val="pl-PL"/>
        </w:rPr>
      </w:pPr>
    </w:p>
    <w:p w:rsidR="0019761C" w:rsidRPr="009353E6" w:rsidRDefault="0019761C" w:rsidP="0019761C">
      <w:pPr>
        <w:tabs>
          <w:tab w:val="left" w:pos="720"/>
          <w:tab w:val="left" w:pos="900"/>
        </w:tabs>
        <w:jc w:val="both"/>
        <w:rPr>
          <w:b/>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540"/>
        </w:tabs>
        <w:ind w:left="540" w:hanging="540"/>
        <w:rPr>
          <w:b/>
          <w:sz w:val="22"/>
          <w:szCs w:val="22"/>
          <w:lang w:val="pl-PL"/>
        </w:rPr>
      </w:pPr>
      <w:r w:rsidRPr="009353E6">
        <w:rPr>
          <w:b/>
          <w:sz w:val="22"/>
          <w:szCs w:val="22"/>
          <w:lang w:val="pl-PL"/>
        </w:rPr>
        <w:t xml:space="preserve">7. </w:t>
      </w:r>
      <w:r w:rsidRPr="009353E6">
        <w:rPr>
          <w:b/>
          <w:sz w:val="22"/>
          <w:szCs w:val="22"/>
          <w:lang w:val="pl-PL"/>
        </w:rPr>
        <w:tab/>
        <w:t xml:space="preserve">INNE OSTRZEŻENIA SPECJALNE, JEŚLI KONIECZNE </w:t>
      </w:r>
    </w:p>
    <w:p w:rsidR="0019761C" w:rsidRPr="009353E6" w:rsidRDefault="0019761C" w:rsidP="0019761C">
      <w:pPr>
        <w:tabs>
          <w:tab w:val="left" w:pos="720"/>
          <w:tab w:val="left" w:pos="900"/>
        </w:tabs>
        <w:jc w:val="both"/>
        <w:rPr>
          <w:b/>
          <w:sz w:val="22"/>
          <w:szCs w:val="22"/>
          <w:lang w:val="pl-PL"/>
        </w:rPr>
      </w:pPr>
    </w:p>
    <w:p w:rsidR="0019761C" w:rsidRPr="009353E6" w:rsidRDefault="0019761C" w:rsidP="0019761C">
      <w:pPr>
        <w:tabs>
          <w:tab w:val="left" w:pos="720"/>
          <w:tab w:val="left" w:pos="900"/>
        </w:tabs>
        <w:jc w:val="both"/>
        <w:rPr>
          <w:b/>
          <w:sz w:val="22"/>
          <w:szCs w:val="22"/>
          <w:lang w:val="pl-PL"/>
        </w:rPr>
      </w:pPr>
    </w:p>
    <w:p w:rsidR="0019761C" w:rsidRPr="009353E6" w:rsidRDefault="0019761C" w:rsidP="005E3A9A">
      <w:pPr>
        <w:keepNext/>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TERMIN WAŻNOŚCI</w:t>
      </w:r>
    </w:p>
    <w:p w:rsidR="0019761C" w:rsidRPr="009353E6" w:rsidRDefault="0019761C" w:rsidP="005E3A9A">
      <w:pPr>
        <w:keepNext/>
        <w:tabs>
          <w:tab w:val="left" w:pos="0"/>
        </w:tabs>
        <w:jc w:val="both"/>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Termin ważności</w:t>
      </w:r>
      <w:r w:rsidR="002D5E68" w:rsidRPr="009353E6">
        <w:rPr>
          <w:sz w:val="22"/>
          <w:szCs w:val="22"/>
          <w:lang w:val="pl-PL"/>
        </w:rPr>
        <w:t>:</w:t>
      </w:r>
    </w:p>
    <w:p w:rsidR="0019761C" w:rsidRPr="009353E6" w:rsidRDefault="0019761C" w:rsidP="0019761C">
      <w:pPr>
        <w:tabs>
          <w:tab w:val="left" w:pos="0"/>
        </w:tabs>
        <w:jc w:val="both"/>
        <w:rPr>
          <w:b/>
          <w:sz w:val="22"/>
          <w:szCs w:val="22"/>
          <w:lang w:val="pl-PL"/>
        </w:rPr>
      </w:pPr>
    </w:p>
    <w:p w:rsidR="0019761C" w:rsidRPr="009353E6" w:rsidRDefault="0019761C" w:rsidP="0019761C">
      <w:pPr>
        <w:tabs>
          <w:tab w:val="left" w:pos="0"/>
        </w:tabs>
        <w:jc w:val="both"/>
        <w:rPr>
          <w:b/>
          <w:sz w:val="22"/>
          <w:szCs w:val="22"/>
          <w:lang w:val="pl-PL"/>
        </w:rPr>
      </w:pPr>
    </w:p>
    <w:p w:rsidR="0019761C" w:rsidRPr="009353E6" w:rsidRDefault="0019761C" w:rsidP="005E3A9A">
      <w:pPr>
        <w:keepNext/>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WARUNKI PRZECHOWYWANIA</w:t>
      </w:r>
    </w:p>
    <w:p w:rsidR="0019761C" w:rsidRPr="009353E6" w:rsidRDefault="0019761C" w:rsidP="005E3A9A">
      <w:pPr>
        <w:keepNext/>
        <w:tabs>
          <w:tab w:val="left" w:pos="0"/>
        </w:tabs>
        <w:jc w:val="both"/>
        <w:rPr>
          <w:b/>
          <w:sz w:val="22"/>
          <w:szCs w:val="22"/>
          <w:lang w:val="pl-PL"/>
        </w:rPr>
      </w:pPr>
    </w:p>
    <w:p w:rsidR="002D5E68" w:rsidRPr="009353E6" w:rsidRDefault="002D5E68" w:rsidP="002D5E68">
      <w:pPr>
        <w:tabs>
          <w:tab w:val="left" w:pos="0"/>
        </w:tabs>
        <w:rPr>
          <w:b/>
          <w:sz w:val="22"/>
          <w:szCs w:val="22"/>
          <w:lang w:val="pl-PL"/>
        </w:rPr>
      </w:pPr>
      <w:r w:rsidRPr="009353E6">
        <w:rPr>
          <w:b/>
          <w:sz w:val="22"/>
          <w:szCs w:val="22"/>
          <w:lang w:val="pl-PL"/>
        </w:rPr>
        <w:t xml:space="preserve">Brak szczególnych środków ostrożności dotyczących </w:t>
      </w:r>
      <w:r w:rsidR="000A17A5" w:rsidRPr="009353E6">
        <w:rPr>
          <w:b/>
          <w:sz w:val="22"/>
          <w:szCs w:val="22"/>
          <w:lang w:val="pl-PL"/>
        </w:rPr>
        <w:t xml:space="preserve">temperatury </w:t>
      </w:r>
      <w:r w:rsidRPr="009353E6">
        <w:rPr>
          <w:b/>
          <w:sz w:val="22"/>
          <w:szCs w:val="22"/>
          <w:lang w:val="pl-PL"/>
        </w:rPr>
        <w:t>przechowywania.</w:t>
      </w:r>
    </w:p>
    <w:p w:rsidR="0019761C" w:rsidRPr="009353E6" w:rsidRDefault="0019761C" w:rsidP="0019761C">
      <w:pPr>
        <w:tabs>
          <w:tab w:val="left" w:pos="0"/>
        </w:tabs>
        <w:rPr>
          <w:b/>
          <w:sz w:val="22"/>
          <w:szCs w:val="22"/>
          <w:lang w:val="pl-PL"/>
        </w:rPr>
      </w:pPr>
      <w:r w:rsidRPr="009353E6">
        <w:rPr>
          <w:b/>
          <w:sz w:val="22"/>
          <w:szCs w:val="22"/>
          <w:lang w:val="pl-PL"/>
        </w:rPr>
        <w:t>Przechowywać w oryginalnym opakowaniu w celu ochrony przed wilgocią.</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2D507E">
      <w:pPr>
        <w:numPr>
          <w:ilvl w:val="0"/>
          <w:numId w:val="11"/>
        </w:numPr>
        <w:pBdr>
          <w:top w:val="single" w:sz="4" w:space="0"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SPECJALNE ŚRODKI OSTROŻNOŚCI DOTYCZĄCE USUWANIA NIEZUŻYTEGO PRODUKTU LECZNICZEGO LUB POCHODZĄCYCH Z NIEGO ODPADÓW, JEŚLI WŁAŚCIWE</w:t>
      </w:r>
    </w:p>
    <w:p w:rsidR="0019761C" w:rsidRPr="009353E6" w:rsidRDefault="0019761C" w:rsidP="00125970">
      <w:pPr>
        <w:tabs>
          <w:tab w:val="left" w:pos="0"/>
        </w:tabs>
        <w:ind w:left="540" w:hanging="540"/>
        <w:jc w:val="both"/>
        <w:rPr>
          <w:sz w:val="22"/>
          <w:szCs w:val="22"/>
          <w:lang w:val="pl-PL"/>
        </w:rPr>
      </w:pPr>
    </w:p>
    <w:p w:rsidR="0019761C" w:rsidRPr="009353E6" w:rsidRDefault="0019761C" w:rsidP="00125970">
      <w:pPr>
        <w:tabs>
          <w:tab w:val="left" w:pos="0"/>
        </w:tabs>
        <w:ind w:left="540" w:hanging="540"/>
        <w:jc w:val="both"/>
        <w:rPr>
          <w:sz w:val="22"/>
          <w:szCs w:val="22"/>
          <w:lang w:val="pl-PL"/>
        </w:rPr>
      </w:pPr>
    </w:p>
    <w:p w:rsidR="0019761C" w:rsidRPr="009353E6" w:rsidRDefault="0019761C" w:rsidP="002D507E">
      <w:pPr>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 xml:space="preserve">NAZWA I ADRES PODMIOTU ODPOWIEDZIALNEGO </w:t>
      </w:r>
    </w:p>
    <w:p w:rsidR="0019761C" w:rsidRPr="009353E6" w:rsidRDefault="0019761C" w:rsidP="00125970">
      <w:pPr>
        <w:tabs>
          <w:tab w:val="left" w:pos="0"/>
        </w:tabs>
        <w:ind w:left="540" w:hanging="540"/>
        <w:jc w:val="both"/>
        <w:rPr>
          <w:sz w:val="22"/>
          <w:szCs w:val="22"/>
          <w:lang w:val="pl-PL"/>
        </w:rPr>
      </w:pPr>
    </w:p>
    <w:p w:rsidR="0019761C" w:rsidRPr="009353E6" w:rsidRDefault="0019761C" w:rsidP="00125970">
      <w:pPr>
        <w:tabs>
          <w:tab w:val="left" w:pos="0"/>
        </w:tabs>
        <w:ind w:left="540" w:hanging="540"/>
        <w:rPr>
          <w:sz w:val="22"/>
          <w:szCs w:val="22"/>
          <w:lang w:val="pl-PL"/>
        </w:rPr>
      </w:pPr>
      <w:r w:rsidRPr="009353E6">
        <w:rPr>
          <w:sz w:val="22"/>
          <w:szCs w:val="22"/>
          <w:lang w:val="pl-PL"/>
        </w:rPr>
        <w:t>Boehringer Ingelheim International GmbH</w:t>
      </w:r>
    </w:p>
    <w:p w:rsidR="0019761C" w:rsidRPr="009353E6" w:rsidRDefault="0019761C" w:rsidP="00125970">
      <w:pPr>
        <w:tabs>
          <w:tab w:val="left" w:pos="0"/>
        </w:tabs>
        <w:ind w:left="540" w:hanging="540"/>
        <w:rPr>
          <w:sz w:val="22"/>
          <w:szCs w:val="22"/>
          <w:lang w:val="pl-PL"/>
        </w:rPr>
      </w:pPr>
      <w:r w:rsidRPr="009353E6">
        <w:rPr>
          <w:sz w:val="22"/>
          <w:szCs w:val="22"/>
          <w:lang w:val="pl-PL"/>
        </w:rPr>
        <w:t>Binger Str. 173</w:t>
      </w:r>
    </w:p>
    <w:p w:rsidR="0019761C" w:rsidRPr="009353E6" w:rsidRDefault="0019761C" w:rsidP="00125970">
      <w:pPr>
        <w:tabs>
          <w:tab w:val="left" w:pos="0"/>
        </w:tabs>
        <w:ind w:left="540" w:hanging="540"/>
        <w:rPr>
          <w:sz w:val="22"/>
          <w:szCs w:val="22"/>
          <w:lang w:val="pl-PL"/>
        </w:rPr>
      </w:pPr>
      <w:r w:rsidRPr="009353E6">
        <w:rPr>
          <w:sz w:val="22"/>
          <w:szCs w:val="22"/>
          <w:lang w:val="pl-PL"/>
        </w:rPr>
        <w:t>D-55216 Ingelheim am Rhein</w:t>
      </w:r>
    </w:p>
    <w:p w:rsidR="0019761C" w:rsidRPr="009353E6" w:rsidRDefault="0019761C" w:rsidP="00125970">
      <w:pPr>
        <w:tabs>
          <w:tab w:val="left" w:pos="0"/>
        </w:tabs>
        <w:ind w:left="540" w:hanging="540"/>
        <w:rPr>
          <w:sz w:val="22"/>
          <w:szCs w:val="22"/>
          <w:lang w:val="pl-PL"/>
        </w:rPr>
      </w:pPr>
      <w:r w:rsidRPr="009353E6">
        <w:rPr>
          <w:sz w:val="22"/>
          <w:szCs w:val="22"/>
          <w:lang w:val="pl-PL"/>
        </w:rPr>
        <w:t>Niemcy</w:t>
      </w:r>
      <w:r w:rsidRPr="009353E6">
        <w:rPr>
          <w:sz w:val="22"/>
          <w:szCs w:val="22"/>
          <w:lang w:val="pl-PL"/>
        </w:rPr>
        <w:tab/>
      </w:r>
    </w:p>
    <w:p w:rsidR="0019761C" w:rsidRPr="009353E6" w:rsidRDefault="0019761C" w:rsidP="00125970">
      <w:pPr>
        <w:tabs>
          <w:tab w:val="left" w:pos="0"/>
        </w:tabs>
        <w:ind w:left="540" w:hanging="540"/>
        <w:jc w:val="both"/>
        <w:rPr>
          <w:sz w:val="22"/>
          <w:szCs w:val="22"/>
          <w:lang w:val="pl-PL"/>
        </w:rPr>
      </w:pPr>
    </w:p>
    <w:p w:rsidR="0019761C" w:rsidRPr="009353E6" w:rsidRDefault="0019761C" w:rsidP="00125970">
      <w:pPr>
        <w:tabs>
          <w:tab w:val="left" w:pos="0"/>
        </w:tabs>
        <w:ind w:left="540" w:hanging="540"/>
        <w:jc w:val="both"/>
        <w:rPr>
          <w:sz w:val="22"/>
          <w:szCs w:val="22"/>
          <w:lang w:val="pl-PL"/>
        </w:rPr>
      </w:pPr>
    </w:p>
    <w:p w:rsidR="0019761C" w:rsidRPr="009353E6" w:rsidRDefault="0019761C" w:rsidP="002D507E">
      <w:pPr>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NUMERY POZWOLEŃ NA DOPUSZCZENIE DO OBROTU</w:t>
      </w:r>
    </w:p>
    <w:p w:rsidR="0019761C" w:rsidRPr="009353E6" w:rsidRDefault="0019761C" w:rsidP="00125970">
      <w:pPr>
        <w:tabs>
          <w:tab w:val="left" w:pos="0"/>
        </w:tabs>
        <w:ind w:left="540" w:hanging="540"/>
        <w:jc w:val="both"/>
        <w:rPr>
          <w:sz w:val="22"/>
          <w:szCs w:val="22"/>
          <w:lang w:val="pl-PL"/>
        </w:rPr>
      </w:pPr>
    </w:p>
    <w:p w:rsidR="00835108" w:rsidRPr="009353E6" w:rsidRDefault="00835108" w:rsidP="00835108">
      <w:pPr>
        <w:ind w:left="567" w:hanging="567"/>
        <w:rPr>
          <w:sz w:val="22"/>
          <w:szCs w:val="22"/>
          <w:lang w:val="pl-PL"/>
        </w:rPr>
      </w:pPr>
      <w:r w:rsidRPr="009353E6">
        <w:rPr>
          <w:sz w:val="22"/>
          <w:szCs w:val="22"/>
          <w:lang w:val="pl-PL"/>
        </w:rPr>
        <w:t>EU/1/02/213/017</w:t>
      </w:r>
      <w:r w:rsidRPr="009353E6">
        <w:rPr>
          <w:sz w:val="22"/>
          <w:szCs w:val="22"/>
          <w:lang w:val="pl-PL"/>
        </w:rPr>
        <w:tab/>
        <w:t>14 tabletek</w:t>
      </w:r>
    </w:p>
    <w:p w:rsidR="00835108" w:rsidRPr="009353E6" w:rsidRDefault="00835108" w:rsidP="00835108">
      <w:pPr>
        <w:ind w:left="567" w:hanging="567"/>
        <w:rPr>
          <w:sz w:val="22"/>
          <w:szCs w:val="22"/>
          <w:highlight w:val="lightGray"/>
          <w:lang w:val="pl-PL"/>
        </w:rPr>
      </w:pPr>
      <w:r w:rsidRPr="009353E6">
        <w:rPr>
          <w:sz w:val="22"/>
          <w:szCs w:val="22"/>
          <w:highlight w:val="lightGray"/>
          <w:shd w:val="clear" w:color="auto" w:fill="C0C0C0"/>
          <w:lang w:val="pl-PL"/>
        </w:rPr>
        <w:t>EU/1/02/213/018</w:t>
      </w:r>
      <w:r w:rsidRPr="009353E6">
        <w:rPr>
          <w:sz w:val="22"/>
          <w:szCs w:val="22"/>
          <w:highlight w:val="lightGray"/>
          <w:shd w:val="clear" w:color="auto" w:fill="C0C0C0"/>
          <w:lang w:val="pl-PL"/>
        </w:rPr>
        <w:tab/>
        <w:t xml:space="preserve">28 </w:t>
      </w:r>
      <w:r w:rsidRPr="009353E6">
        <w:rPr>
          <w:sz w:val="22"/>
          <w:szCs w:val="22"/>
          <w:highlight w:val="lightGray"/>
          <w:lang w:val="pl-PL"/>
        </w:rPr>
        <w:t>tabletek</w:t>
      </w:r>
    </w:p>
    <w:p w:rsidR="00835108" w:rsidRPr="009353E6" w:rsidRDefault="00835108" w:rsidP="00835108">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EU/1/02/213/019</w:t>
      </w:r>
      <w:r w:rsidRPr="009353E6">
        <w:rPr>
          <w:sz w:val="22"/>
          <w:szCs w:val="22"/>
          <w:highlight w:val="lightGray"/>
          <w:shd w:val="clear" w:color="auto" w:fill="C0C0C0"/>
          <w:lang w:val="pl-PL"/>
        </w:rPr>
        <w:tab/>
        <w:t xml:space="preserve">28 x 1 </w:t>
      </w:r>
      <w:r w:rsidRPr="009353E6">
        <w:rPr>
          <w:sz w:val="22"/>
          <w:szCs w:val="22"/>
          <w:highlight w:val="lightGray"/>
          <w:lang w:val="pl-PL"/>
        </w:rPr>
        <w:t>tabletk</w:t>
      </w:r>
      <w:r w:rsidR="00CF50E0" w:rsidRPr="009353E6">
        <w:rPr>
          <w:sz w:val="22"/>
          <w:szCs w:val="22"/>
          <w:highlight w:val="lightGray"/>
          <w:lang w:val="pl-PL"/>
        </w:rPr>
        <w:t>a</w:t>
      </w:r>
    </w:p>
    <w:p w:rsidR="00835108" w:rsidRPr="009353E6" w:rsidRDefault="00835108" w:rsidP="00835108">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EU/1/02/213/020</w:t>
      </w:r>
      <w:r w:rsidRPr="009353E6">
        <w:rPr>
          <w:sz w:val="22"/>
          <w:szCs w:val="22"/>
          <w:highlight w:val="lightGray"/>
          <w:shd w:val="clear" w:color="auto" w:fill="C0C0C0"/>
          <w:lang w:val="pl-PL"/>
        </w:rPr>
        <w:tab/>
        <w:t xml:space="preserve">30 </w:t>
      </w:r>
      <w:r w:rsidR="001C1D53" w:rsidRPr="009353E6">
        <w:rPr>
          <w:sz w:val="22"/>
          <w:szCs w:val="22"/>
          <w:highlight w:val="lightGray"/>
          <w:shd w:val="clear" w:color="auto" w:fill="C0C0C0"/>
          <w:lang w:val="pl-PL"/>
        </w:rPr>
        <w:t xml:space="preserve">x 1 </w:t>
      </w:r>
      <w:r w:rsidRPr="009353E6">
        <w:rPr>
          <w:sz w:val="22"/>
          <w:szCs w:val="22"/>
          <w:highlight w:val="lightGray"/>
          <w:lang w:val="pl-PL"/>
        </w:rPr>
        <w:t>tabletk</w:t>
      </w:r>
      <w:r w:rsidR="00F7117E" w:rsidRPr="009353E6">
        <w:rPr>
          <w:sz w:val="22"/>
          <w:szCs w:val="22"/>
          <w:highlight w:val="lightGray"/>
          <w:lang w:val="pl-PL"/>
        </w:rPr>
        <w:t>a</w:t>
      </w:r>
    </w:p>
    <w:p w:rsidR="00835108" w:rsidRPr="009353E6" w:rsidRDefault="00835108" w:rsidP="00835108">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EU/1/02/213/021</w:t>
      </w:r>
      <w:r w:rsidRPr="009353E6">
        <w:rPr>
          <w:sz w:val="22"/>
          <w:szCs w:val="22"/>
          <w:highlight w:val="lightGray"/>
          <w:shd w:val="clear" w:color="auto" w:fill="C0C0C0"/>
          <w:lang w:val="pl-PL"/>
        </w:rPr>
        <w:tab/>
        <w:t xml:space="preserve">56 </w:t>
      </w:r>
      <w:r w:rsidRPr="009353E6">
        <w:rPr>
          <w:sz w:val="22"/>
          <w:szCs w:val="22"/>
          <w:highlight w:val="lightGray"/>
          <w:lang w:val="pl-PL"/>
        </w:rPr>
        <w:t>tabletek</w:t>
      </w:r>
    </w:p>
    <w:p w:rsidR="00835108" w:rsidRPr="009353E6" w:rsidRDefault="00835108" w:rsidP="00835108">
      <w:pPr>
        <w:ind w:left="567" w:hanging="567"/>
        <w:rPr>
          <w:sz w:val="22"/>
          <w:szCs w:val="22"/>
          <w:highlight w:val="lightGray"/>
          <w:shd w:val="clear" w:color="auto" w:fill="C0C0C0"/>
          <w:lang w:val="pl-PL"/>
        </w:rPr>
      </w:pPr>
      <w:r w:rsidRPr="009353E6">
        <w:rPr>
          <w:sz w:val="22"/>
          <w:szCs w:val="22"/>
          <w:highlight w:val="lightGray"/>
          <w:shd w:val="clear" w:color="auto" w:fill="C0C0C0"/>
          <w:lang w:val="pl-PL"/>
        </w:rPr>
        <w:t>EU/1/02/213/022</w:t>
      </w:r>
      <w:r w:rsidRPr="009353E6">
        <w:rPr>
          <w:sz w:val="22"/>
          <w:szCs w:val="22"/>
          <w:highlight w:val="lightGray"/>
          <w:shd w:val="clear" w:color="auto" w:fill="C0C0C0"/>
          <w:lang w:val="pl-PL"/>
        </w:rPr>
        <w:tab/>
        <w:t xml:space="preserve">90 </w:t>
      </w:r>
      <w:r w:rsidR="001C1D53" w:rsidRPr="009353E6">
        <w:rPr>
          <w:sz w:val="22"/>
          <w:szCs w:val="22"/>
          <w:highlight w:val="lightGray"/>
          <w:shd w:val="clear" w:color="auto" w:fill="C0C0C0"/>
          <w:lang w:val="pl-PL"/>
        </w:rPr>
        <w:t xml:space="preserve">x 1 </w:t>
      </w:r>
      <w:r w:rsidRPr="009353E6">
        <w:rPr>
          <w:sz w:val="22"/>
          <w:szCs w:val="22"/>
          <w:highlight w:val="lightGray"/>
          <w:lang w:val="pl-PL"/>
        </w:rPr>
        <w:t>tabletk</w:t>
      </w:r>
      <w:r w:rsidR="00F7117E" w:rsidRPr="009353E6">
        <w:rPr>
          <w:sz w:val="22"/>
          <w:szCs w:val="22"/>
          <w:highlight w:val="lightGray"/>
          <w:lang w:val="pl-PL"/>
        </w:rPr>
        <w:t>a</w:t>
      </w:r>
    </w:p>
    <w:p w:rsidR="00835108" w:rsidRPr="009353E6" w:rsidRDefault="00835108" w:rsidP="00835108">
      <w:pPr>
        <w:ind w:left="567" w:hanging="567"/>
        <w:rPr>
          <w:sz w:val="22"/>
          <w:szCs w:val="22"/>
          <w:lang w:val="pl-PL"/>
        </w:rPr>
      </w:pPr>
      <w:r w:rsidRPr="009353E6">
        <w:rPr>
          <w:sz w:val="22"/>
          <w:szCs w:val="22"/>
          <w:highlight w:val="lightGray"/>
          <w:shd w:val="clear" w:color="auto" w:fill="C0C0C0"/>
          <w:lang w:val="pl-PL"/>
        </w:rPr>
        <w:t>EU/1/02/213/023</w:t>
      </w:r>
      <w:r w:rsidRPr="009353E6">
        <w:rPr>
          <w:sz w:val="22"/>
          <w:szCs w:val="22"/>
          <w:highlight w:val="lightGray"/>
          <w:shd w:val="clear" w:color="auto" w:fill="C0C0C0"/>
          <w:lang w:val="pl-PL"/>
        </w:rPr>
        <w:tab/>
        <w:t xml:space="preserve">98 </w:t>
      </w:r>
      <w:r w:rsidRPr="009353E6">
        <w:rPr>
          <w:sz w:val="22"/>
          <w:szCs w:val="22"/>
          <w:highlight w:val="lightGray"/>
          <w:lang w:val="pl-PL"/>
        </w:rPr>
        <w:t>tabletek</w:t>
      </w:r>
    </w:p>
    <w:p w:rsidR="00835108" w:rsidRPr="009353E6" w:rsidRDefault="00835108" w:rsidP="00125970">
      <w:pPr>
        <w:tabs>
          <w:tab w:val="left" w:pos="0"/>
        </w:tabs>
        <w:ind w:left="540" w:hanging="540"/>
        <w:jc w:val="both"/>
        <w:rPr>
          <w:sz w:val="22"/>
          <w:szCs w:val="22"/>
          <w:lang w:val="pl-PL"/>
        </w:rPr>
      </w:pPr>
    </w:p>
    <w:p w:rsidR="00125970" w:rsidRPr="009353E6" w:rsidRDefault="00125970" w:rsidP="0019761C">
      <w:pPr>
        <w:tabs>
          <w:tab w:val="left" w:pos="0"/>
        </w:tabs>
        <w:jc w:val="both"/>
        <w:rPr>
          <w:sz w:val="22"/>
          <w:szCs w:val="22"/>
          <w:lang w:val="pl-PL"/>
        </w:rPr>
      </w:pPr>
    </w:p>
    <w:p w:rsidR="0019761C" w:rsidRPr="009353E6" w:rsidRDefault="0019761C" w:rsidP="002D507E">
      <w:pPr>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NUMER SERII</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Nr serii</w:t>
      </w:r>
      <w:r w:rsidR="000A17A5" w:rsidRPr="009353E6">
        <w:rPr>
          <w:sz w:val="22"/>
          <w:szCs w:val="22"/>
          <w:lang w:val="pl-PL"/>
        </w:rPr>
        <w:t>:</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223CA7" w:rsidP="002D507E">
      <w:pPr>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 xml:space="preserve">OGÓLNA </w:t>
      </w:r>
      <w:r w:rsidR="0019761C" w:rsidRPr="009353E6">
        <w:rPr>
          <w:b/>
          <w:sz w:val="22"/>
          <w:szCs w:val="22"/>
          <w:lang w:val="pl-PL"/>
        </w:rPr>
        <w:t>KATEGORIA DOSTĘPNOŚCI</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2D507E">
      <w:pPr>
        <w:numPr>
          <w:ilvl w:val="0"/>
          <w:numId w:val="11"/>
        </w:numPr>
        <w:pBdr>
          <w:top w:val="single" w:sz="4" w:space="1" w:color="auto"/>
          <w:left w:val="single" w:sz="4" w:space="4" w:color="auto"/>
          <w:bottom w:val="single" w:sz="4" w:space="1" w:color="auto"/>
          <w:right w:val="single" w:sz="4" w:space="4" w:color="auto"/>
        </w:pBdr>
        <w:tabs>
          <w:tab w:val="left" w:pos="0"/>
        </w:tabs>
        <w:ind w:hanging="540"/>
        <w:rPr>
          <w:b/>
          <w:sz w:val="22"/>
          <w:szCs w:val="22"/>
          <w:lang w:val="pl-PL"/>
        </w:rPr>
      </w:pPr>
      <w:r w:rsidRPr="009353E6">
        <w:rPr>
          <w:b/>
          <w:sz w:val="22"/>
          <w:szCs w:val="22"/>
          <w:lang w:val="pl-PL"/>
        </w:rPr>
        <w:t>INSTRUKCJA UŻYCIA</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16. </w:t>
      </w:r>
      <w:r w:rsidRPr="009353E6">
        <w:rPr>
          <w:b/>
          <w:sz w:val="22"/>
          <w:szCs w:val="22"/>
          <w:lang w:val="pl-PL"/>
        </w:rPr>
        <w:tab/>
        <w:t xml:space="preserve">INFORMACJA PODANA </w:t>
      </w:r>
      <w:r w:rsidR="00223CA7" w:rsidRPr="009353E6">
        <w:rPr>
          <w:b/>
          <w:sz w:val="22"/>
          <w:szCs w:val="22"/>
          <w:lang w:val="pl-PL"/>
        </w:rPr>
        <w:t>SYSTEMEM BRAILLE’A</w:t>
      </w:r>
    </w:p>
    <w:p w:rsidR="0019761C" w:rsidRPr="009353E6" w:rsidRDefault="0019761C" w:rsidP="0019761C">
      <w:pPr>
        <w:tabs>
          <w:tab w:val="left" w:pos="0"/>
        </w:tabs>
        <w:jc w:val="both"/>
        <w:rPr>
          <w:sz w:val="22"/>
          <w:szCs w:val="22"/>
          <w:lang w:val="pl-PL"/>
        </w:rPr>
      </w:pPr>
      <w:r w:rsidRPr="009353E6">
        <w:rPr>
          <w:sz w:val="22"/>
          <w:szCs w:val="22"/>
          <w:lang w:val="pl-PL"/>
        </w:rPr>
        <w:t xml:space="preserve"> </w:t>
      </w:r>
    </w:p>
    <w:p w:rsidR="0019761C" w:rsidRPr="009353E6" w:rsidRDefault="0019761C" w:rsidP="0019761C">
      <w:pPr>
        <w:tabs>
          <w:tab w:val="left" w:pos="900"/>
        </w:tabs>
        <w:rPr>
          <w:sz w:val="22"/>
          <w:szCs w:val="22"/>
          <w:lang w:val="pl-PL"/>
        </w:rPr>
      </w:pPr>
      <w:r w:rsidRPr="009353E6">
        <w:rPr>
          <w:sz w:val="22"/>
          <w:szCs w:val="22"/>
          <w:lang w:val="pl-PL"/>
        </w:rPr>
        <w:t>MicardisPlus 80 mg/</w:t>
      </w:r>
      <w:r w:rsidR="00125970" w:rsidRPr="009353E6">
        <w:rPr>
          <w:sz w:val="22"/>
          <w:szCs w:val="22"/>
          <w:lang w:val="pl-PL"/>
        </w:rPr>
        <w:t>2</w:t>
      </w:r>
      <w:r w:rsidRPr="009353E6">
        <w:rPr>
          <w:sz w:val="22"/>
          <w:szCs w:val="22"/>
          <w:lang w:val="pl-PL"/>
        </w:rPr>
        <w:t>5 mg</w:t>
      </w:r>
    </w:p>
    <w:p w:rsidR="0019761C" w:rsidRPr="009353E6" w:rsidRDefault="0019761C" w:rsidP="0019761C">
      <w:pPr>
        <w:tabs>
          <w:tab w:val="left" w:pos="540"/>
        </w:tabs>
        <w:ind w:left="540" w:hanging="540"/>
        <w:rPr>
          <w:sz w:val="22"/>
          <w:szCs w:val="22"/>
          <w:lang w:val="pl-PL"/>
        </w:rPr>
      </w:pPr>
      <w:r w:rsidRPr="009353E6">
        <w:rPr>
          <w:sz w:val="22"/>
          <w:szCs w:val="22"/>
          <w:lang w:val="pl-PL"/>
        </w:rPr>
        <w:t xml:space="preserve"> </w:t>
      </w:r>
    </w:p>
    <w:p w:rsidR="0012733C" w:rsidRPr="009353E6" w:rsidRDefault="0012733C" w:rsidP="0012733C">
      <w:pPr>
        <w:tabs>
          <w:tab w:val="left" w:pos="0"/>
        </w:tabs>
        <w:jc w:val="both"/>
        <w:rPr>
          <w:sz w:val="22"/>
          <w:szCs w:val="22"/>
          <w:lang w:val="pl-PL"/>
        </w:rPr>
      </w:pPr>
    </w:p>
    <w:p w:rsidR="0012733C" w:rsidRPr="009353E6" w:rsidRDefault="0012733C" w:rsidP="005E3A9A">
      <w:pPr>
        <w:keepNext/>
        <w:pBdr>
          <w:top w:val="single" w:sz="4" w:space="1" w:color="auto"/>
          <w:left w:val="single" w:sz="4" w:space="4" w:color="auto"/>
          <w:bottom w:val="single" w:sz="4" w:space="1" w:color="auto"/>
          <w:right w:val="single" w:sz="4" w:space="4" w:color="auto"/>
        </w:pBdr>
        <w:tabs>
          <w:tab w:val="left" w:pos="0"/>
        </w:tabs>
        <w:rPr>
          <w:b/>
          <w:sz w:val="22"/>
          <w:szCs w:val="22"/>
          <w:lang w:val="pl-PL"/>
        </w:rPr>
      </w:pPr>
      <w:r w:rsidRPr="009353E6">
        <w:rPr>
          <w:b/>
          <w:sz w:val="22"/>
          <w:szCs w:val="22"/>
          <w:lang w:val="pl-PL"/>
        </w:rPr>
        <w:t xml:space="preserve">17. </w:t>
      </w:r>
      <w:r w:rsidRPr="009353E6">
        <w:rPr>
          <w:b/>
          <w:sz w:val="22"/>
          <w:szCs w:val="22"/>
          <w:lang w:val="pl-PL"/>
        </w:rPr>
        <w:tab/>
        <w:t>NIEPOWTARZALNY IDENTYFIKATOR – KOD 2D</w:t>
      </w:r>
    </w:p>
    <w:p w:rsidR="0012733C" w:rsidRPr="009353E6" w:rsidRDefault="0012733C" w:rsidP="005E3A9A">
      <w:pPr>
        <w:keepNext/>
        <w:tabs>
          <w:tab w:val="left" w:pos="0"/>
        </w:tabs>
        <w:jc w:val="both"/>
        <w:rPr>
          <w:sz w:val="22"/>
          <w:szCs w:val="22"/>
          <w:lang w:val="pl-PL"/>
        </w:rPr>
      </w:pPr>
    </w:p>
    <w:p w:rsidR="0012733C" w:rsidRPr="009353E6" w:rsidRDefault="0012733C" w:rsidP="0012733C">
      <w:pPr>
        <w:tabs>
          <w:tab w:val="left" w:pos="0"/>
        </w:tabs>
        <w:jc w:val="both"/>
        <w:rPr>
          <w:sz w:val="22"/>
          <w:szCs w:val="22"/>
          <w:lang w:val="pl-PL"/>
        </w:rPr>
      </w:pPr>
      <w:r w:rsidRPr="009353E6">
        <w:rPr>
          <w:noProof/>
          <w:sz w:val="22"/>
          <w:highlight w:val="lightGray"/>
          <w:lang w:val="pl-PL"/>
        </w:rPr>
        <w:t>Obejmuje kod 2D będący nośnikiem niepowtarzalnego identyfikatora.</w:t>
      </w:r>
    </w:p>
    <w:p w:rsidR="0012733C" w:rsidRPr="009353E6" w:rsidRDefault="0012733C" w:rsidP="0012733C">
      <w:pPr>
        <w:tabs>
          <w:tab w:val="left" w:pos="0"/>
        </w:tabs>
        <w:jc w:val="both"/>
        <w:rPr>
          <w:sz w:val="22"/>
          <w:szCs w:val="22"/>
          <w:lang w:val="pl-PL"/>
        </w:rPr>
      </w:pPr>
    </w:p>
    <w:p w:rsidR="0012733C" w:rsidRPr="009353E6" w:rsidRDefault="0012733C" w:rsidP="0012733C">
      <w:pPr>
        <w:tabs>
          <w:tab w:val="left" w:pos="0"/>
        </w:tabs>
        <w:jc w:val="both"/>
        <w:rPr>
          <w:sz w:val="22"/>
          <w:szCs w:val="22"/>
          <w:lang w:val="pl-PL"/>
        </w:rPr>
      </w:pPr>
    </w:p>
    <w:p w:rsidR="0012733C" w:rsidRPr="009353E6" w:rsidRDefault="0012733C" w:rsidP="005E3A9A">
      <w:pPr>
        <w:keepNext/>
        <w:pBdr>
          <w:top w:val="single" w:sz="4" w:space="1" w:color="auto"/>
          <w:left w:val="single" w:sz="4" w:space="4" w:color="auto"/>
          <w:bottom w:val="single" w:sz="4" w:space="1" w:color="auto"/>
          <w:right w:val="single" w:sz="4" w:space="4" w:color="auto"/>
        </w:pBdr>
        <w:tabs>
          <w:tab w:val="left" w:pos="0"/>
        </w:tabs>
        <w:rPr>
          <w:b/>
          <w:sz w:val="22"/>
          <w:szCs w:val="22"/>
          <w:lang w:val="pl-PL"/>
        </w:rPr>
      </w:pPr>
      <w:r w:rsidRPr="009353E6">
        <w:rPr>
          <w:b/>
          <w:sz w:val="22"/>
          <w:szCs w:val="22"/>
          <w:lang w:val="pl-PL"/>
        </w:rPr>
        <w:t xml:space="preserve">18. </w:t>
      </w:r>
      <w:r w:rsidRPr="009353E6">
        <w:rPr>
          <w:b/>
          <w:sz w:val="22"/>
          <w:szCs w:val="22"/>
          <w:lang w:val="pl-PL"/>
        </w:rPr>
        <w:tab/>
        <w:t>NIEPOWTARZALNY IDENTYFIKATOR – DANE CZYTELNE DLA CZŁOWIEKA</w:t>
      </w:r>
    </w:p>
    <w:p w:rsidR="0012733C" w:rsidRPr="009353E6" w:rsidRDefault="0012733C" w:rsidP="005E3A9A">
      <w:pPr>
        <w:keepNext/>
        <w:tabs>
          <w:tab w:val="left" w:pos="0"/>
        </w:tabs>
        <w:jc w:val="both"/>
        <w:rPr>
          <w:sz w:val="22"/>
          <w:szCs w:val="22"/>
          <w:lang w:val="pl-PL"/>
        </w:rPr>
      </w:pPr>
    </w:p>
    <w:p w:rsidR="0012733C" w:rsidRPr="009353E6" w:rsidRDefault="0012733C" w:rsidP="005E3A9A">
      <w:pPr>
        <w:keepNext/>
        <w:tabs>
          <w:tab w:val="left" w:pos="900"/>
        </w:tabs>
        <w:rPr>
          <w:sz w:val="22"/>
          <w:szCs w:val="22"/>
          <w:lang w:val="pl-PL"/>
        </w:rPr>
      </w:pPr>
      <w:r w:rsidRPr="009353E6">
        <w:rPr>
          <w:sz w:val="22"/>
          <w:szCs w:val="22"/>
          <w:lang w:val="pl-PL"/>
        </w:rPr>
        <w:t>PC: {numer} {kod produktu}</w:t>
      </w:r>
    </w:p>
    <w:p w:rsidR="0012733C" w:rsidRPr="009353E6" w:rsidRDefault="0012733C" w:rsidP="005E3A9A">
      <w:pPr>
        <w:keepNext/>
        <w:tabs>
          <w:tab w:val="left" w:pos="900"/>
        </w:tabs>
        <w:rPr>
          <w:sz w:val="22"/>
          <w:szCs w:val="22"/>
          <w:lang w:val="pl-PL"/>
        </w:rPr>
      </w:pPr>
      <w:r w:rsidRPr="009353E6">
        <w:rPr>
          <w:sz w:val="22"/>
          <w:szCs w:val="22"/>
          <w:lang w:val="pl-PL"/>
        </w:rPr>
        <w:t>SN: {numer} {numer seryjny}</w:t>
      </w:r>
    </w:p>
    <w:p w:rsidR="0012733C" w:rsidRPr="009353E6" w:rsidRDefault="0012733C" w:rsidP="0012733C">
      <w:pPr>
        <w:tabs>
          <w:tab w:val="left" w:pos="900"/>
        </w:tabs>
        <w:rPr>
          <w:sz w:val="22"/>
          <w:szCs w:val="22"/>
          <w:lang w:val="pl-PL"/>
        </w:rPr>
      </w:pPr>
      <w:r w:rsidRPr="009353E6">
        <w:rPr>
          <w:sz w:val="22"/>
          <w:szCs w:val="22"/>
          <w:lang w:val="pl-PL"/>
        </w:rPr>
        <w:t>NN: {numer} {krajowy numer refundacyjny lub inny krajowy numer identyfikujący produkt leczniczy}</w:t>
      </w:r>
    </w:p>
    <w:p w:rsidR="0012733C" w:rsidRPr="009353E6" w:rsidRDefault="0012733C" w:rsidP="0012733C">
      <w:pPr>
        <w:tabs>
          <w:tab w:val="left" w:pos="900"/>
        </w:tabs>
        <w:rPr>
          <w:sz w:val="22"/>
          <w:szCs w:val="22"/>
          <w:lang w:val="pl-PL"/>
        </w:rPr>
      </w:pPr>
    </w:p>
    <w:p w:rsidR="0012733C" w:rsidRPr="009353E6" w:rsidRDefault="0012733C" w:rsidP="0012733C">
      <w:pPr>
        <w:tabs>
          <w:tab w:val="left" w:pos="900"/>
        </w:tabs>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br w:type="page"/>
      </w:r>
    </w:p>
    <w:p w:rsidR="0019761C" w:rsidRPr="009353E6" w:rsidRDefault="00125970" w:rsidP="0019761C">
      <w:pPr>
        <w:pBdr>
          <w:top w:val="single" w:sz="4" w:space="1" w:color="auto"/>
          <w:left w:val="single" w:sz="4" w:space="6" w:color="auto"/>
          <w:bottom w:val="single" w:sz="4" w:space="1" w:color="auto"/>
          <w:right w:val="single" w:sz="4" w:space="4" w:color="auto"/>
        </w:pBdr>
        <w:tabs>
          <w:tab w:val="left" w:pos="0"/>
        </w:tabs>
        <w:rPr>
          <w:b/>
          <w:sz w:val="22"/>
          <w:szCs w:val="22"/>
          <w:lang w:val="pl-PL"/>
        </w:rPr>
      </w:pPr>
      <w:r w:rsidRPr="009353E6">
        <w:rPr>
          <w:b/>
          <w:sz w:val="22"/>
          <w:szCs w:val="22"/>
          <w:lang w:val="pl-PL"/>
        </w:rPr>
        <w:t>MINIM</w:t>
      </w:r>
      <w:r w:rsidR="0019761C" w:rsidRPr="009353E6">
        <w:rPr>
          <w:b/>
          <w:sz w:val="22"/>
          <w:szCs w:val="22"/>
          <w:lang w:val="pl-PL"/>
        </w:rPr>
        <w:t>UM INFORMACJI ZAMIESZCZANYCH NA BLISTRACH LUB OPAKOWANIACH FOLIOWYCH</w:t>
      </w:r>
    </w:p>
    <w:p w:rsidR="0019761C" w:rsidRPr="009353E6" w:rsidRDefault="0019761C" w:rsidP="0019761C">
      <w:pPr>
        <w:pBdr>
          <w:top w:val="single" w:sz="4" w:space="1" w:color="auto"/>
          <w:left w:val="single" w:sz="4" w:space="6" w:color="auto"/>
          <w:bottom w:val="single" w:sz="4" w:space="1" w:color="auto"/>
          <w:right w:val="single" w:sz="4" w:space="4" w:color="auto"/>
        </w:pBdr>
        <w:tabs>
          <w:tab w:val="left" w:pos="0"/>
        </w:tabs>
        <w:rPr>
          <w:b/>
          <w:sz w:val="22"/>
          <w:szCs w:val="22"/>
          <w:lang w:val="pl-PL"/>
        </w:rPr>
      </w:pPr>
    </w:p>
    <w:p w:rsidR="0019761C" w:rsidRPr="009353E6" w:rsidRDefault="0019761C" w:rsidP="0019761C">
      <w:pPr>
        <w:pBdr>
          <w:top w:val="single" w:sz="4" w:space="1" w:color="auto"/>
          <w:left w:val="single" w:sz="4" w:space="6" w:color="auto"/>
          <w:bottom w:val="single" w:sz="4" w:space="1" w:color="auto"/>
          <w:right w:val="single" w:sz="4" w:space="4" w:color="auto"/>
        </w:pBdr>
        <w:tabs>
          <w:tab w:val="left" w:pos="0"/>
        </w:tabs>
        <w:rPr>
          <w:sz w:val="22"/>
          <w:szCs w:val="22"/>
          <w:lang w:val="pl-PL"/>
        </w:rPr>
      </w:pPr>
      <w:r w:rsidRPr="009353E6">
        <w:rPr>
          <w:sz w:val="22"/>
          <w:szCs w:val="22"/>
          <w:lang w:val="pl-PL"/>
        </w:rPr>
        <w:t>Blister z 7 tabletkami</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 xml:space="preserve">1. </w:t>
      </w:r>
      <w:r w:rsidRPr="009353E6">
        <w:rPr>
          <w:b/>
          <w:sz w:val="22"/>
          <w:szCs w:val="22"/>
          <w:lang w:val="pl-PL"/>
        </w:rPr>
        <w:tab/>
        <w:t>NAZWA PRODUKTU LECZNICZEGO</w:t>
      </w:r>
    </w:p>
    <w:p w:rsidR="0019761C" w:rsidRPr="009353E6" w:rsidRDefault="0019761C" w:rsidP="0019761C">
      <w:pPr>
        <w:tabs>
          <w:tab w:val="left" w:pos="0"/>
          <w:tab w:val="left" w:pos="900"/>
        </w:tabs>
        <w:jc w:val="both"/>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MicardisPlus 80 mg/25 mg tabletki</w:t>
      </w:r>
    </w:p>
    <w:p w:rsidR="0019761C" w:rsidRPr="009353E6" w:rsidRDefault="00125970" w:rsidP="0019761C">
      <w:pPr>
        <w:tabs>
          <w:tab w:val="left" w:pos="900"/>
        </w:tabs>
        <w:jc w:val="both"/>
        <w:rPr>
          <w:sz w:val="22"/>
          <w:szCs w:val="22"/>
          <w:lang w:val="pl-PL"/>
        </w:rPr>
      </w:pPr>
      <w:r w:rsidRPr="009353E6">
        <w:rPr>
          <w:sz w:val="22"/>
          <w:szCs w:val="22"/>
          <w:lang w:val="pl-PL"/>
        </w:rPr>
        <w:t>t</w:t>
      </w:r>
      <w:r w:rsidR="0019761C" w:rsidRPr="009353E6">
        <w:rPr>
          <w:sz w:val="22"/>
          <w:szCs w:val="22"/>
          <w:lang w:val="pl-PL"/>
        </w:rPr>
        <w:t>elmisartan/</w:t>
      </w:r>
      <w:r w:rsidRPr="009353E6">
        <w:rPr>
          <w:sz w:val="22"/>
          <w:szCs w:val="22"/>
          <w:lang w:val="pl-PL"/>
        </w:rPr>
        <w:t>h</w:t>
      </w:r>
      <w:r w:rsidR="0019761C" w:rsidRPr="009353E6">
        <w:rPr>
          <w:sz w:val="22"/>
          <w:szCs w:val="22"/>
          <w:lang w:val="pl-PL"/>
        </w:rPr>
        <w:t>ydrochlorotiazyd</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2. </w:t>
      </w:r>
      <w:r w:rsidRPr="009353E6">
        <w:rPr>
          <w:b/>
          <w:sz w:val="22"/>
          <w:szCs w:val="22"/>
          <w:lang w:val="pl-PL"/>
        </w:rPr>
        <w:tab/>
        <w:t xml:space="preserve">NAZWA PODMIOTU ODPOWIEDZIALNEGO </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Boehringer Ingelheim (</w:t>
      </w:r>
      <w:r w:rsidRPr="009353E6">
        <w:rPr>
          <w:sz w:val="22"/>
          <w:szCs w:val="22"/>
          <w:highlight w:val="lightGray"/>
          <w:lang w:val="pl-PL"/>
        </w:rPr>
        <w:t>Logo</w:t>
      </w:r>
      <w:r w:rsidRPr="009353E6">
        <w:rPr>
          <w:sz w:val="22"/>
          <w:szCs w:val="22"/>
          <w:lang w:val="pl-PL"/>
        </w:rPr>
        <w:t>)</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3.</w:t>
      </w:r>
      <w:r w:rsidRPr="009353E6">
        <w:rPr>
          <w:b/>
          <w:sz w:val="22"/>
          <w:szCs w:val="22"/>
          <w:lang w:val="pl-PL"/>
        </w:rPr>
        <w:tab/>
        <w:t>TERMIN WAŻNOŚCI</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ind w:left="708" w:hanging="708"/>
        <w:rPr>
          <w:sz w:val="22"/>
          <w:szCs w:val="22"/>
          <w:lang w:val="pl-PL"/>
        </w:rPr>
      </w:pPr>
      <w:r w:rsidRPr="009353E6">
        <w:rPr>
          <w:sz w:val="22"/>
          <w:szCs w:val="22"/>
          <w:lang w:val="pl-PL"/>
        </w:rPr>
        <w:t>Termin ważności</w:t>
      </w:r>
      <w:r w:rsidR="002D5E68" w:rsidRPr="009353E6">
        <w:rPr>
          <w:sz w:val="22"/>
          <w:szCs w:val="22"/>
          <w:lang w:val="pl-PL"/>
        </w:rPr>
        <w:t xml:space="preserve">: </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4. </w:t>
      </w:r>
      <w:r w:rsidRPr="009353E6">
        <w:rPr>
          <w:b/>
          <w:sz w:val="22"/>
          <w:szCs w:val="22"/>
          <w:lang w:val="pl-PL"/>
        </w:rPr>
        <w:tab/>
        <w:t>NUMER SERII</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Nr serii</w:t>
      </w:r>
      <w:r w:rsidR="000A17A5" w:rsidRPr="009353E6">
        <w:rPr>
          <w:sz w:val="22"/>
          <w:szCs w:val="22"/>
          <w:lang w:val="pl-PL"/>
        </w:rPr>
        <w:t>:</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0"/>
          <w:tab w:val="left" w:pos="540"/>
        </w:tabs>
        <w:rPr>
          <w:b/>
          <w:sz w:val="22"/>
          <w:szCs w:val="22"/>
          <w:lang w:val="pl-PL"/>
        </w:rPr>
      </w:pPr>
      <w:r w:rsidRPr="009353E6">
        <w:rPr>
          <w:b/>
          <w:sz w:val="22"/>
          <w:szCs w:val="22"/>
          <w:lang w:val="pl-PL"/>
        </w:rPr>
        <w:t xml:space="preserve">5. </w:t>
      </w:r>
      <w:r w:rsidRPr="009353E6">
        <w:rPr>
          <w:b/>
          <w:sz w:val="22"/>
          <w:szCs w:val="22"/>
          <w:lang w:val="pl-PL"/>
        </w:rPr>
        <w:tab/>
        <w:t>INNE</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PN</w:t>
      </w:r>
    </w:p>
    <w:p w:rsidR="0019761C" w:rsidRPr="009353E6" w:rsidRDefault="0019761C" w:rsidP="0019761C">
      <w:pPr>
        <w:tabs>
          <w:tab w:val="left" w:pos="0"/>
        </w:tabs>
        <w:rPr>
          <w:sz w:val="22"/>
          <w:szCs w:val="22"/>
          <w:lang w:val="pl-PL"/>
        </w:rPr>
      </w:pPr>
      <w:r w:rsidRPr="009353E6">
        <w:rPr>
          <w:sz w:val="22"/>
          <w:szCs w:val="22"/>
          <w:lang w:val="pl-PL"/>
        </w:rPr>
        <w:t>WT</w:t>
      </w:r>
    </w:p>
    <w:p w:rsidR="0019761C" w:rsidRPr="009353E6" w:rsidRDefault="0019761C" w:rsidP="0019761C">
      <w:pPr>
        <w:tabs>
          <w:tab w:val="left" w:pos="0"/>
        </w:tabs>
        <w:rPr>
          <w:sz w:val="22"/>
          <w:szCs w:val="22"/>
          <w:lang w:val="pl-PL"/>
        </w:rPr>
      </w:pPr>
      <w:r w:rsidRPr="009353E6">
        <w:rPr>
          <w:sz w:val="22"/>
          <w:szCs w:val="22"/>
          <w:lang w:val="pl-PL"/>
        </w:rPr>
        <w:t>ŚR</w:t>
      </w:r>
    </w:p>
    <w:p w:rsidR="0019761C" w:rsidRPr="009353E6" w:rsidRDefault="0019761C" w:rsidP="0019761C">
      <w:pPr>
        <w:tabs>
          <w:tab w:val="left" w:pos="0"/>
        </w:tabs>
        <w:rPr>
          <w:sz w:val="22"/>
          <w:szCs w:val="22"/>
          <w:lang w:val="pl-PL"/>
        </w:rPr>
      </w:pPr>
      <w:r w:rsidRPr="009353E6">
        <w:rPr>
          <w:sz w:val="22"/>
          <w:szCs w:val="22"/>
          <w:lang w:val="pl-PL"/>
        </w:rPr>
        <w:t>CZ</w:t>
      </w:r>
    </w:p>
    <w:p w:rsidR="0019761C" w:rsidRPr="009353E6" w:rsidRDefault="0019761C" w:rsidP="0019761C">
      <w:pPr>
        <w:tabs>
          <w:tab w:val="left" w:pos="0"/>
        </w:tabs>
        <w:rPr>
          <w:sz w:val="22"/>
          <w:szCs w:val="22"/>
          <w:lang w:val="pl-PL"/>
        </w:rPr>
      </w:pPr>
      <w:r w:rsidRPr="009353E6">
        <w:rPr>
          <w:sz w:val="22"/>
          <w:szCs w:val="22"/>
          <w:lang w:val="pl-PL"/>
        </w:rPr>
        <w:t>PT</w:t>
      </w:r>
    </w:p>
    <w:p w:rsidR="0019761C" w:rsidRPr="009353E6" w:rsidRDefault="0019761C" w:rsidP="0019761C">
      <w:pPr>
        <w:tabs>
          <w:tab w:val="left" w:pos="0"/>
        </w:tabs>
        <w:rPr>
          <w:sz w:val="22"/>
          <w:szCs w:val="22"/>
          <w:lang w:val="pl-PL"/>
        </w:rPr>
      </w:pPr>
      <w:r w:rsidRPr="009353E6">
        <w:rPr>
          <w:sz w:val="22"/>
          <w:szCs w:val="22"/>
          <w:lang w:val="pl-PL"/>
        </w:rPr>
        <w:t>SO</w:t>
      </w:r>
    </w:p>
    <w:p w:rsidR="0019761C" w:rsidRPr="009353E6" w:rsidRDefault="0019761C" w:rsidP="0019761C">
      <w:pPr>
        <w:tabs>
          <w:tab w:val="left" w:pos="0"/>
        </w:tabs>
        <w:rPr>
          <w:sz w:val="22"/>
          <w:szCs w:val="22"/>
          <w:lang w:val="pl-PL"/>
        </w:rPr>
      </w:pPr>
      <w:r w:rsidRPr="009353E6">
        <w:rPr>
          <w:sz w:val="22"/>
          <w:szCs w:val="22"/>
          <w:lang w:val="pl-PL"/>
        </w:rPr>
        <w:t>ND</w:t>
      </w:r>
    </w:p>
    <w:p w:rsidR="0019761C" w:rsidRPr="009353E6" w:rsidRDefault="0019761C" w:rsidP="0019761C">
      <w:pPr>
        <w:tabs>
          <w:tab w:val="left" w:pos="0"/>
        </w:tabs>
        <w:jc w:val="both"/>
        <w:rPr>
          <w:sz w:val="22"/>
          <w:szCs w:val="22"/>
          <w:lang w:val="pl-PL"/>
        </w:rPr>
      </w:pPr>
    </w:p>
    <w:p w:rsidR="0019761C" w:rsidRPr="009353E6" w:rsidRDefault="0019761C" w:rsidP="0019761C">
      <w:pPr>
        <w:tabs>
          <w:tab w:val="left" w:pos="0"/>
        </w:tabs>
        <w:jc w:val="both"/>
        <w:rPr>
          <w:sz w:val="22"/>
          <w:szCs w:val="22"/>
          <w:lang w:val="pl-PL"/>
        </w:rPr>
      </w:pPr>
      <w:r w:rsidRPr="009353E6">
        <w:rPr>
          <w:sz w:val="22"/>
          <w:szCs w:val="22"/>
          <w:lang w:val="pl-PL"/>
        </w:rPr>
        <w:br w:type="page"/>
      </w:r>
    </w:p>
    <w:p w:rsidR="0019761C" w:rsidRPr="009353E6" w:rsidRDefault="0019761C" w:rsidP="0019761C">
      <w:pPr>
        <w:pBdr>
          <w:top w:val="single" w:sz="4" w:space="1" w:color="auto"/>
          <w:left w:val="single" w:sz="4" w:space="6" w:color="auto"/>
          <w:bottom w:val="single" w:sz="4" w:space="1" w:color="auto"/>
          <w:right w:val="single" w:sz="4" w:space="4" w:color="auto"/>
        </w:pBdr>
        <w:tabs>
          <w:tab w:val="left" w:pos="0"/>
        </w:tabs>
        <w:rPr>
          <w:b/>
          <w:sz w:val="22"/>
          <w:szCs w:val="22"/>
          <w:lang w:val="pl-PL"/>
        </w:rPr>
      </w:pPr>
      <w:r w:rsidRPr="009353E6">
        <w:rPr>
          <w:b/>
          <w:sz w:val="22"/>
          <w:szCs w:val="22"/>
          <w:lang w:val="pl-PL"/>
        </w:rPr>
        <w:t>MINIMUM INFORMACJI ZAMIESZCZANYCH NA BLISTRACH LUB OPAKOWANIACH FOLIOWYCH</w:t>
      </w:r>
    </w:p>
    <w:p w:rsidR="0019761C" w:rsidRPr="009353E6" w:rsidRDefault="0019761C" w:rsidP="0019761C">
      <w:pPr>
        <w:pBdr>
          <w:top w:val="single" w:sz="4" w:space="1" w:color="auto"/>
          <w:left w:val="single" w:sz="4" w:space="6" w:color="auto"/>
          <w:bottom w:val="single" w:sz="4" w:space="1" w:color="auto"/>
          <w:right w:val="single" w:sz="4" w:space="4" w:color="auto"/>
        </w:pBdr>
        <w:tabs>
          <w:tab w:val="left" w:pos="0"/>
        </w:tabs>
        <w:rPr>
          <w:sz w:val="22"/>
          <w:szCs w:val="22"/>
          <w:lang w:val="pl-PL"/>
        </w:rPr>
      </w:pPr>
    </w:p>
    <w:p w:rsidR="0019761C" w:rsidRPr="009353E6" w:rsidRDefault="0019761C" w:rsidP="0019761C">
      <w:pPr>
        <w:pBdr>
          <w:top w:val="single" w:sz="4" w:space="1" w:color="auto"/>
          <w:left w:val="single" w:sz="4" w:space="6" w:color="auto"/>
          <w:bottom w:val="single" w:sz="4" w:space="1" w:color="auto"/>
          <w:right w:val="single" w:sz="4" w:space="4" w:color="auto"/>
        </w:pBdr>
        <w:tabs>
          <w:tab w:val="left" w:pos="0"/>
        </w:tabs>
        <w:rPr>
          <w:sz w:val="22"/>
          <w:szCs w:val="22"/>
          <w:lang w:val="pl-PL"/>
        </w:rPr>
      </w:pPr>
      <w:r w:rsidRPr="009353E6">
        <w:rPr>
          <w:sz w:val="22"/>
          <w:szCs w:val="22"/>
          <w:lang w:val="pl-PL"/>
        </w:rPr>
        <w:t xml:space="preserve">Blister podzielny na dawki pojedyncze </w:t>
      </w:r>
      <w:r w:rsidR="000B7793" w:rsidRPr="009353E6">
        <w:rPr>
          <w:sz w:val="22"/>
          <w:szCs w:val="22"/>
          <w:lang w:val="pl-PL"/>
        </w:rPr>
        <w:t>zawierający 7 lub 10-krotność</w:t>
      </w:r>
      <w:r w:rsidR="000B7793" w:rsidRPr="009353E6" w:rsidDel="001C1D53">
        <w:rPr>
          <w:sz w:val="22"/>
          <w:szCs w:val="22"/>
          <w:lang w:val="pl-PL"/>
        </w:rPr>
        <w:t xml:space="preserve"> </w:t>
      </w:r>
      <w:r w:rsidRPr="009353E6">
        <w:rPr>
          <w:sz w:val="22"/>
          <w:szCs w:val="22"/>
          <w:lang w:val="pl-PL"/>
        </w:rPr>
        <w:t xml:space="preserve">lub blister zawierający inną </w:t>
      </w:r>
      <w:r w:rsidR="00773B8F" w:rsidRPr="009353E6">
        <w:rPr>
          <w:sz w:val="22"/>
          <w:szCs w:val="22"/>
          <w:lang w:val="pl-PL"/>
        </w:rPr>
        <w:t xml:space="preserve">liczbę </w:t>
      </w:r>
      <w:r w:rsidRPr="009353E6">
        <w:rPr>
          <w:sz w:val="22"/>
          <w:szCs w:val="22"/>
          <w:lang w:val="pl-PL"/>
        </w:rPr>
        <w:t>tabletek niż 7</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1.</w:t>
      </w:r>
      <w:r w:rsidRPr="009353E6">
        <w:rPr>
          <w:b/>
          <w:sz w:val="22"/>
          <w:szCs w:val="22"/>
          <w:lang w:val="pl-PL"/>
        </w:rPr>
        <w:tab/>
        <w:t>NAZWA PRODUKTU LECZNICZEGO</w:t>
      </w:r>
    </w:p>
    <w:p w:rsidR="0019761C" w:rsidRPr="009353E6" w:rsidRDefault="0019761C" w:rsidP="0019761C">
      <w:pPr>
        <w:tabs>
          <w:tab w:val="left" w:pos="0"/>
          <w:tab w:val="left" w:pos="900"/>
        </w:tabs>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MicardisPlus 80 mg/25 mg tabletki</w:t>
      </w:r>
    </w:p>
    <w:p w:rsidR="0019761C" w:rsidRPr="009353E6" w:rsidRDefault="00125970" w:rsidP="0019761C">
      <w:pPr>
        <w:tabs>
          <w:tab w:val="left" w:pos="900"/>
        </w:tabs>
        <w:jc w:val="both"/>
        <w:rPr>
          <w:sz w:val="22"/>
          <w:szCs w:val="22"/>
          <w:lang w:val="pl-PL"/>
        </w:rPr>
      </w:pPr>
      <w:r w:rsidRPr="009353E6">
        <w:rPr>
          <w:sz w:val="22"/>
          <w:szCs w:val="22"/>
          <w:lang w:val="pl-PL"/>
        </w:rPr>
        <w:t>t</w:t>
      </w:r>
      <w:r w:rsidR="0019761C" w:rsidRPr="009353E6">
        <w:rPr>
          <w:sz w:val="22"/>
          <w:szCs w:val="22"/>
          <w:lang w:val="pl-PL"/>
        </w:rPr>
        <w:t>elmisartan/</w:t>
      </w:r>
      <w:r w:rsidRPr="009353E6">
        <w:rPr>
          <w:sz w:val="22"/>
          <w:szCs w:val="22"/>
          <w:lang w:val="pl-PL"/>
        </w:rPr>
        <w:t>h</w:t>
      </w:r>
      <w:r w:rsidR="0019761C" w:rsidRPr="009353E6">
        <w:rPr>
          <w:sz w:val="22"/>
          <w:szCs w:val="22"/>
          <w:lang w:val="pl-PL"/>
        </w:rPr>
        <w:t>ydrochlorotiazyd</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p>
    <w:p w:rsidR="0019761C" w:rsidRPr="009353E6" w:rsidRDefault="0019761C" w:rsidP="0019761C">
      <w:pPr>
        <w:pBdr>
          <w:top w:val="single" w:sz="4" w:space="2"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2.</w:t>
      </w:r>
      <w:r w:rsidRPr="009353E6">
        <w:rPr>
          <w:b/>
          <w:sz w:val="22"/>
          <w:szCs w:val="22"/>
          <w:lang w:val="pl-PL"/>
        </w:rPr>
        <w:tab/>
        <w:t xml:space="preserve">NAZWA PODMIOTU ODPOWIEDZIALNEGO </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Boehringer Ingelheim (</w:t>
      </w:r>
      <w:r w:rsidRPr="009353E6">
        <w:rPr>
          <w:sz w:val="22"/>
          <w:szCs w:val="22"/>
          <w:highlight w:val="lightGray"/>
          <w:lang w:val="pl-PL"/>
        </w:rPr>
        <w:t>Logo</w:t>
      </w:r>
      <w:r w:rsidRPr="009353E6">
        <w:rPr>
          <w:sz w:val="22"/>
          <w:szCs w:val="22"/>
          <w:lang w:val="pl-PL"/>
        </w:rPr>
        <w:t>)</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p>
    <w:p w:rsidR="0019761C" w:rsidRPr="009353E6" w:rsidRDefault="0019761C" w:rsidP="0019761C">
      <w:pPr>
        <w:pBdr>
          <w:top w:val="single" w:sz="4" w:space="1" w:color="auto"/>
          <w:left w:val="single" w:sz="4" w:space="0" w:color="auto"/>
          <w:bottom w:val="single" w:sz="4" w:space="1" w:color="auto"/>
          <w:right w:val="single" w:sz="4" w:space="4" w:color="auto"/>
        </w:pBdr>
        <w:tabs>
          <w:tab w:val="left" w:pos="540"/>
        </w:tabs>
        <w:rPr>
          <w:b/>
          <w:sz w:val="22"/>
          <w:szCs w:val="22"/>
          <w:lang w:val="pl-PL"/>
        </w:rPr>
      </w:pPr>
      <w:r w:rsidRPr="009353E6">
        <w:rPr>
          <w:b/>
          <w:sz w:val="22"/>
          <w:szCs w:val="22"/>
          <w:lang w:val="pl-PL"/>
        </w:rPr>
        <w:t>3.</w:t>
      </w:r>
      <w:r w:rsidRPr="009353E6">
        <w:rPr>
          <w:b/>
          <w:sz w:val="22"/>
          <w:szCs w:val="22"/>
          <w:lang w:val="pl-PL"/>
        </w:rPr>
        <w:tab/>
        <w:t>TERMIN WAŻNOŚCI</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r w:rsidRPr="009353E6">
        <w:rPr>
          <w:sz w:val="22"/>
          <w:szCs w:val="22"/>
          <w:lang w:val="pl-PL"/>
        </w:rPr>
        <w:t>Termin ważności</w:t>
      </w:r>
      <w:r w:rsidR="002D5E68" w:rsidRPr="009353E6">
        <w:rPr>
          <w:sz w:val="22"/>
          <w:szCs w:val="22"/>
          <w:lang w:val="pl-PL"/>
        </w:rPr>
        <w:t>:</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s>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4.</w:t>
      </w:r>
      <w:r w:rsidRPr="009353E6">
        <w:rPr>
          <w:b/>
          <w:sz w:val="22"/>
          <w:szCs w:val="22"/>
          <w:lang w:val="pl-PL"/>
        </w:rPr>
        <w:tab/>
        <w:t>NUMER SERII</w:t>
      </w:r>
    </w:p>
    <w:p w:rsidR="0019761C" w:rsidRPr="009353E6" w:rsidRDefault="0019761C" w:rsidP="0019761C">
      <w:pPr>
        <w:tabs>
          <w:tab w:val="left" w:pos="0"/>
        </w:tabs>
        <w:rPr>
          <w:sz w:val="22"/>
          <w:szCs w:val="22"/>
          <w:lang w:val="pl-PL"/>
        </w:rPr>
      </w:pPr>
    </w:p>
    <w:p w:rsidR="0019761C" w:rsidRPr="009353E6" w:rsidRDefault="0019761C" w:rsidP="0019761C">
      <w:pPr>
        <w:tabs>
          <w:tab w:val="left" w:pos="0"/>
          <w:tab w:val="left" w:pos="540"/>
        </w:tabs>
        <w:rPr>
          <w:sz w:val="22"/>
          <w:szCs w:val="22"/>
          <w:lang w:val="pl-PL"/>
        </w:rPr>
      </w:pPr>
      <w:r w:rsidRPr="009353E6">
        <w:rPr>
          <w:sz w:val="22"/>
          <w:szCs w:val="22"/>
          <w:lang w:val="pl-PL"/>
        </w:rPr>
        <w:t>Nr serii</w:t>
      </w:r>
      <w:r w:rsidR="000A17A5" w:rsidRPr="009353E6">
        <w:rPr>
          <w:sz w:val="22"/>
          <w:szCs w:val="22"/>
          <w:lang w:val="pl-PL"/>
        </w:rPr>
        <w:t>:</w:t>
      </w:r>
    </w:p>
    <w:p w:rsidR="0019761C" w:rsidRPr="009353E6" w:rsidRDefault="0019761C" w:rsidP="0019761C">
      <w:pPr>
        <w:tabs>
          <w:tab w:val="left" w:pos="0"/>
          <w:tab w:val="left" w:pos="540"/>
        </w:tabs>
        <w:rPr>
          <w:sz w:val="22"/>
          <w:szCs w:val="22"/>
          <w:lang w:val="pl-PL"/>
        </w:rPr>
      </w:pPr>
    </w:p>
    <w:p w:rsidR="0019761C" w:rsidRPr="009353E6" w:rsidRDefault="0019761C" w:rsidP="0019761C">
      <w:pPr>
        <w:tabs>
          <w:tab w:val="left" w:pos="0"/>
          <w:tab w:val="left" w:pos="540"/>
        </w:tabs>
        <w:rPr>
          <w:sz w:val="22"/>
          <w:szCs w:val="22"/>
          <w:lang w:val="pl-PL"/>
        </w:rPr>
      </w:pPr>
    </w:p>
    <w:p w:rsidR="0019761C" w:rsidRPr="009353E6" w:rsidRDefault="0019761C" w:rsidP="0019761C">
      <w:pPr>
        <w:pBdr>
          <w:top w:val="single" w:sz="4" w:space="1" w:color="auto"/>
          <w:left w:val="single" w:sz="4" w:space="4" w:color="auto"/>
          <w:bottom w:val="single" w:sz="4" w:space="1" w:color="auto"/>
          <w:right w:val="single" w:sz="4" w:space="4" w:color="auto"/>
        </w:pBdr>
        <w:tabs>
          <w:tab w:val="left" w:pos="540"/>
        </w:tabs>
        <w:rPr>
          <w:b/>
          <w:sz w:val="22"/>
          <w:szCs w:val="22"/>
          <w:lang w:val="pl-PL"/>
        </w:rPr>
      </w:pPr>
      <w:r w:rsidRPr="009353E6">
        <w:rPr>
          <w:b/>
          <w:sz w:val="22"/>
          <w:szCs w:val="22"/>
          <w:lang w:val="pl-PL"/>
        </w:rPr>
        <w:t>5.</w:t>
      </w:r>
      <w:r w:rsidRPr="009353E6">
        <w:rPr>
          <w:b/>
          <w:sz w:val="22"/>
          <w:szCs w:val="22"/>
          <w:lang w:val="pl-PL"/>
        </w:rPr>
        <w:tab/>
        <w:t>INNE</w:t>
      </w:r>
    </w:p>
    <w:p w:rsidR="002D3E1A" w:rsidRPr="009353E6" w:rsidRDefault="0019761C" w:rsidP="00E40CF2">
      <w:pPr>
        <w:tabs>
          <w:tab w:val="left" w:pos="0"/>
        </w:tabs>
        <w:jc w:val="center"/>
        <w:rPr>
          <w:sz w:val="22"/>
          <w:szCs w:val="22"/>
          <w:lang w:val="pl-PL"/>
        </w:rPr>
      </w:pPr>
      <w:r w:rsidRPr="009353E6">
        <w:rPr>
          <w:sz w:val="22"/>
          <w:szCs w:val="22"/>
          <w:lang w:val="pl-PL"/>
        </w:rPr>
        <w:br w:type="page"/>
      </w: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2D3E1A" w:rsidRPr="009353E6" w:rsidRDefault="002D3E1A" w:rsidP="00E40CF2">
      <w:pPr>
        <w:tabs>
          <w:tab w:val="left" w:pos="0"/>
        </w:tabs>
        <w:jc w:val="center"/>
        <w:rPr>
          <w:sz w:val="22"/>
          <w:szCs w:val="22"/>
          <w:lang w:val="pl-PL"/>
        </w:rPr>
      </w:pPr>
    </w:p>
    <w:p w:rsidR="007D5166" w:rsidRPr="009353E6" w:rsidRDefault="007D5166">
      <w:pPr>
        <w:tabs>
          <w:tab w:val="left" w:pos="0"/>
        </w:tabs>
        <w:jc w:val="center"/>
        <w:rPr>
          <w:sz w:val="22"/>
          <w:szCs w:val="22"/>
          <w:lang w:val="pl-PL"/>
        </w:rPr>
      </w:pPr>
    </w:p>
    <w:p w:rsidR="002D3E1A" w:rsidRPr="009353E6" w:rsidRDefault="000E5DC1" w:rsidP="00E2307A">
      <w:pPr>
        <w:pStyle w:val="QRD1"/>
        <w:rPr>
          <w:lang w:val="pl-PL"/>
        </w:rPr>
      </w:pPr>
      <w:r w:rsidRPr="009353E6">
        <w:rPr>
          <w:lang w:val="pl-PL"/>
        </w:rPr>
        <w:t xml:space="preserve">B. </w:t>
      </w:r>
      <w:r w:rsidR="002D3E1A" w:rsidRPr="009353E6">
        <w:rPr>
          <w:lang w:val="pl-PL"/>
        </w:rPr>
        <w:t>ULOTKA DLA PACJENTA</w:t>
      </w:r>
    </w:p>
    <w:p w:rsidR="002D3E1A" w:rsidRPr="009353E6" w:rsidRDefault="002D3E1A">
      <w:pPr>
        <w:tabs>
          <w:tab w:val="left" w:pos="0"/>
        </w:tabs>
        <w:jc w:val="both"/>
        <w:rPr>
          <w:sz w:val="22"/>
          <w:szCs w:val="22"/>
          <w:lang w:val="pl-PL"/>
        </w:rPr>
      </w:pPr>
      <w:r w:rsidRPr="009353E6">
        <w:rPr>
          <w:b/>
          <w:sz w:val="22"/>
          <w:szCs w:val="22"/>
          <w:lang w:val="pl-PL"/>
        </w:rPr>
        <w:br w:type="page"/>
      </w:r>
    </w:p>
    <w:p w:rsidR="000A17A5" w:rsidRPr="009353E6" w:rsidRDefault="000A17A5" w:rsidP="000A17A5">
      <w:pPr>
        <w:pStyle w:val="BodyText"/>
        <w:spacing w:line="240" w:lineRule="auto"/>
        <w:jc w:val="center"/>
        <w:rPr>
          <w:b/>
          <w:sz w:val="22"/>
          <w:szCs w:val="22"/>
          <w:lang w:val="pl-PL"/>
        </w:rPr>
      </w:pPr>
      <w:r w:rsidRPr="009353E6">
        <w:rPr>
          <w:b/>
          <w:sz w:val="22"/>
          <w:szCs w:val="22"/>
          <w:lang w:val="pl-PL" w:bidi="bn-IN"/>
        </w:rPr>
        <w:t xml:space="preserve">Ulotka dołączona do opakowania: informacja dla </w:t>
      </w:r>
      <w:r w:rsidR="00A37FA6" w:rsidRPr="009353E6">
        <w:rPr>
          <w:b/>
          <w:sz w:val="22"/>
          <w:szCs w:val="22"/>
          <w:lang w:val="pl-PL" w:bidi="bn-IN"/>
        </w:rPr>
        <w:t xml:space="preserve">pacjenta </w:t>
      </w:r>
    </w:p>
    <w:p w:rsidR="001D5A31" w:rsidRPr="009353E6" w:rsidRDefault="001D5A31" w:rsidP="00F831F6">
      <w:pPr>
        <w:pStyle w:val="BodyText"/>
        <w:spacing w:line="240" w:lineRule="auto"/>
        <w:jc w:val="left"/>
        <w:rPr>
          <w:sz w:val="22"/>
          <w:szCs w:val="22"/>
          <w:lang w:val="pl-PL"/>
        </w:rPr>
      </w:pPr>
    </w:p>
    <w:p w:rsidR="001D5A31" w:rsidRPr="009353E6" w:rsidRDefault="001D5A31" w:rsidP="00F831F6">
      <w:pPr>
        <w:pStyle w:val="BodyText"/>
        <w:spacing w:line="240" w:lineRule="auto"/>
        <w:jc w:val="center"/>
        <w:rPr>
          <w:b/>
          <w:sz w:val="22"/>
          <w:szCs w:val="22"/>
          <w:lang w:val="pl-PL"/>
        </w:rPr>
      </w:pPr>
      <w:r w:rsidRPr="009353E6">
        <w:rPr>
          <w:b/>
          <w:sz w:val="22"/>
          <w:szCs w:val="22"/>
          <w:lang w:val="pl-PL"/>
        </w:rPr>
        <w:t>MicardisPlus 40</w:t>
      </w:r>
      <w:r w:rsidR="00CC2EB8" w:rsidRPr="009353E6">
        <w:rPr>
          <w:b/>
          <w:sz w:val="22"/>
          <w:szCs w:val="22"/>
          <w:lang w:val="pl-PL"/>
        </w:rPr>
        <w:t xml:space="preserve"> mg</w:t>
      </w:r>
      <w:r w:rsidRPr="009353E6">
        <w:rPr>
          <w:b/>
          <w:sz w:val="22"/>
          <w:szCs w:val="22"/>
          <w:lang w:val="pl-PL"/>
        </w:rPr>
        <w:t>/12,5 mg tabletki</w:t>
      </w:r>
    </w:p>
    <w:p w:rsidR="001D5A31" w:rsidRPr="009353E6" w:rsidRDefault="00125970" w:rsidP="00F831F6">
      <w:pPr>
        <w:pStyle w:val="BodyText"/>
        <w:spacing w:line="240" w:lineRule="auto"/>
        <w:jc w:val="center"/>
        <w:rPr>
          <w:sz w:val="22"/>
          <w:szCs w:val="22"/>
          <w:lang w:val="pl-PL"/>
        </w:rPr>
      </w:pPr>
      <w:r w:rsidRPr="009353E6">
        <w:rPr>
          <w:sz w:val="22"/>
          <w:szCs w:val="22"/>
          <w:lang w:val="pl-PL"/>
        </w:rPr>
        <w:t>t</w:t>
      </w:r>
      <w:r w:rsidR="001D5A31" w:rsidRPr="009353E6">
        <w:rPr>
          <w:sz w:val="22"/>
          <w:szCs w:val="22"/>
          <w:lang w:val="pl-PL"/>
        </w:rPr>
        <w:t>elmisartan/</w:t>
      </w:r>
      <w:r w:rsidRPr="009353E6">
        <w:rPr>
          <w:sz w:val="22"/>
          <w:szCs w:val="22"/>
          <w:lang w:val="pl-PL"/>
        </w:rPr>
        <w:t>h</w:t>
      </w:r>
      <w:r w:rsidR="001D5A31" w:rsidRPr="009353E6">
        <w:rPr>
          <w:sz w:val="22"/>
          <w:szCs w:val="22"/>
          <w:lang w:val="pl-PL"/>
        </w:rPr>
        <w:t>ydrochlorotiazyd</w:t>
      </w:r>
    </w:p>
    <w:p w:rsidR="001D5A31" w:rsidRPr="009353E6" w:rsidRDefault="001D5A31" w:rsidP="00F831F6">
      <w:pPr>
        <w:pStyle w:val="BodyText"/>
        <w:spacing w:line="240" w:lineRule="auto"/>
        <w:jc w:val="left"/>
        <w:rPr>
          <w:sz w:val="22"/>
          <w:szCs w:val="22"/>
          <w:lang w:val="pl-PL"/>
        </w:rPr>
      </w:pPr>
    </w:p>
    <w:p w:rsidR="000A17A5" w:rsidRPr="009353E6" w:rsidRDefault="000A17A5" w:rsidP="000A17A5">
      <w:pPr>
        <w:ind w:right="-2"/>
        <w:rPr>
          <w:b/>
          <w:sz w:val="22"/>
          <w:szCs w:val="22"/>
          <w:lang w:val="pl-PL" w:bidi="bn-IN"/>
        </w:rPr>
      </w:pPr>
      <w:r w:rsidRPr="009353E6">
        <w:rPr>
          <w:b/>
          <w:sz w:val="22"/>
          <w:szCs w:val="22"/>
          <w:lang w:val="pl-PL" w:bidi="bn-IN"/>
        </w:rPr>
        <w:t xml:space="preserve">Należy uważnie zapoznać się z treścią ulotki przed </w:t>
      </w:r>
      <w:r w:rsidR="00A73744" w:rsidRPr="009353E6">
        <w:rPr>
          <w:b/>
          <w:sz w:val="22"/>
          <w:szCs w:val="22"/>
          <w:lang w:val="pl-PL" w:bidi="bn-IN"/>
        </w:rPr>
        <w:t>zażyciem</w:t>
      </w:r>
      <w:r w:rsidRPr="009353E6">
        <w:rPr>
          <w:b/>
          <w:sz w:val="22"/>
          <w:szCs w:val="22"/>
          <w:lang w:val="pl-PL" w:bidi="bn-IN"/>
        </w:rPr>
        <w:t xml:space="preserve"> leku, ponieważ zawiera ona informacje ważne dla pacjenta.</w:t>
      </w:r>
    </w:p>
    <w:p w:rsidR="000A17A5" w:rsidRPr="009353E6" w:rsidRDefault="000A17A5" w:rsidP="000A17A5">
      <w:pPr>
        <w:numPr>
          <w:ilvl w:val="0"/>
          <w:numId w:val="49"/>
        </w:numPr>
        <w:ind w:left="567" w:right="-2" w:hanging="567"/>
        <w:rPr>
          <w:sz w:val="22"/>
          <w:szCs w:val="22"/>
          <w:lang w:val="pl-PL" w:bidi="bn-IN"/>
        </w:rPr>
      </w:pPr>
      <w:r w:rsidRPr="009353E6">
        <w:rPr>
          <w:sz w:val="22"/>
          <w:szCs w:val="22"/>
          <w:lang w:val="pl-PL" w:bidi="bn-IN"/>
        </w:rPr>
        <w:t>Należy zachować tę ulotkę, aby w razie potrzeby móc ją ponownie przeczytać.</w:t>
      </w:r>
    </w:p>
    <w:p w:rsidR="000A17A5" w:rsidRPr="009353E6" w:rsidRDefault="00A73744" w:rsidP="000A17A5">
      <w:pPr>
        <w:numPr>
          <w:ilvl w:val="0"/>
          <w:numId w:val="49"/>
        </w:numPr>
        <w:ind w:left="567" w:right="-2" w:hanging="567"/>
        <w:rPr>
          <w:sz w:val="22"/>
          <w:szCs w:val="22"/>
          <w:lang w:val="pl-PL" w:bidi="bn-IN"/>
        </w:rPr>
      </w:pPr>
      <w:r w:rsidRPr="009353E6">
        <w:rPr>
          <w:sz w:val="22"/>
          <w:szCs w:val="22"/>
          <w:lang w:val="pl-PL" w:bidi="bn-IN"/>
        </w:rPr>
        <w:t>W razie jakichkolwiek wątpliwości n</w:t>
      </w:r>
      <w:r w:rsidR="000A17A5" w:rsidRPr="009353E6">
        <w:rPr>
          <w:sz w:val="22"/>
          <w:szCs w:val="22"/>
          <w:lang w:val="pl-PL" w:bidi="bn-IN"/>
        </w:rPr>
        <w:t>ależy zwrócić się do lekarza lub farmaceuty.</w:t>
      </w:r>
    </w:p>
    <w:p w:rsidR="000A17A5" w:rsidRPr="009353E6" w:rsidRDefault="000A17A5" w:rsidP="000A17A5">
      <w:pPr>
        <w:numPr>
          <w:ilvl w:val="0"/>
          <w:numId w:val="49"/>
        </w:numPr>
        <w:ind w:left="567" w:right="-2" w:hanging="567"/>
        <w:rPr>
          <w:b/>
          <w:sz w:val="22"/>
          <w:szCs w:val="22"/>
          <w:lang w:val="pl-PL" w:bidi="bn-IN"/>
        </w:rPr>
      </w:pPr>
      <w:r w:rsidRPr="009353E6">
        <w:rPr>
          <w:sz w:val="22"/>
          <w:szCs w:val="22"/>
          <w:lang w:val="pl-PL" w:bidi="bn-IN"/>
        </w:rPr>
        <w:t>Lek ten przepisano ściśle określonej osobie. Nie należy go przekazywać innym. Lek może zaszkodzić innej osobie, nawet jeśli objawy jej choroby są takie same.</w:t>
      </w:r>
    </w:p>
    <w:p w:rsidR="000A17A5" w:rsidRPr="009353E6" w:rsidRDefault="000A17A5" w:rsidP="000A17A5">
      <w:pPr>
        <w:numPr>
          <w:ilvl w:val="12"/>
          <w:numId w:val="0"/>
        </w:numPr>
        <w:ind w:left="567" w:right="-2" w:hanging="567"/>
        <w:rPr>
          <w:sz w:val="22"/>
          <w:szCs w:val="22"/>
          <w:lang w:val="pl-PL" w:bidi="bn-IN"/>
        </w:rPr>
      </w:pPr>
      <w:r w:rsidRPr="009353E6">
        <w:rPr>
          <w:sz w:val="22"/>
          <w:szCs w:val="22"/>
          <w:lang w:val="pl-PL" w:bidi="bn-IN"/>
        </w:rPr>
        <w:t>-</w:t>
      </w:r>
      <w:r w:rsidRPr="009353E6">
        <w:rPr>
          <w:sz w:val="22"/>
          <w:szCs w:val="22"/>
          <w:lang w:val="pl-PL" w:bidi="bn-IN"/>
        </w:rPr>
        <w:tab/>
        <w:t xml:space="preserve">Jeśli </w:t>
      </w:r>
      <w:r w:rsidR="00A73744" w:rsidRPr="009353E6">
        <w:rPr>
          <w:sz w:val="22"/>
          <w:szCs w:val="22"/>
          <w:lang w:val="pl-PL" w:bidi="bn-IN"/>
        </w:rPr>
        <w:t xml:space="preserve">u pacjenta </w:t>
      </w:r>
      <w:r w:rsidRPr="009353E6">
        <w:rPr>
          <w:sz w:val="22"/>
          <w:szCs w:val="22"/>
          <w:lang w:val="pl-PL" w:bidi="bn-IN"/>
        </w:rPr>
        <w:t xml:space="preserve">wystąpią jakiekolwiek objawy niepożądane, w tym wszelkie objawy niepożądane niewymienione w </w:t>
      </w:r>
      <w:r w:rsidR="00A73744" w:rsidRPr="009353E6">
        <w:rPr>
          <w:sz w:val="22"/>
          <w:szCs w:val="22"/>
          <w:lang w:val="pl-PL" w:bidi="bn-IN"/>
        </w:rPr>
        <w:t xml:space="preserve">tej </w:t>
      </w:r>
      <w:r w:rsidRPr="009353E6">
        <w:rPr>
          <w:sz w:val="22"/>
          <w:szCs w:val="22"/>
          <w:lang w:val="pl-PL" w:bidi="bn-IN"/>
        </w:rPr>
        <w:t>ulotce, należy powiedzieć o tym lekarzowi lub farmaceucie.</w:t>
      </w:r>
      <w:r w:rsidR="00527D85" w:rsidRPr="009353E6">
        <w:rPr>
          <w:lang w:val="pl-PL"/>
        </w:rPr>
        <w:t xml:space="preserve"> </w:t>
      </w:r>
      <w:r w:rsidR="00527D85" w:rsidRPr="009353E6">
        <w:rPr>
          <w:sz w:val="22"/>
          <w:szCs w:val="22"/>
          <w:lang w:val="pl-PL" w:bidi="bn-IN"/>
        </w:rPr>
        <w:t>Patrz punkt 4.</w:t>
      </w:r>
    </w:p>
    <w:p w:rsidR="002D3E1A" w:rsidRPr="009353E6" w:rsidRDefault="002D3E1A"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b/>
          <w:sz w:val="22"/>
          <w:szCs w:val="22"/>
          <w:lang w:val="pl-PL"/>
        </w:rPr>
      </w:pPr>
      <w:r w:rsidRPr="009353E6">
        <w:rPr>
          <w:b/>
          <w:sz w:val="22"/>
          <w:szCs w:val="22"/>
          <w:lang w:val="pl-PL"/>
        </w:rPr>
        <w:t>Spis treści ulotki</w:t>
      </w:r>
    </w:p>
    <w:p w:rsidR="00655CF3" w:rsidRPr="009353E6" w:rsidRDefault="00655CF3" w:rsidP="00F831F6">
      <w:pPr>
        <w:pStyle w:val="BodyText"/>
        <w:spacing w:line="240" w:lineRule="auto"/>
        <w:jc w:val="left"/>
        <w:rPr>
          <w:b/>
          <w:sz w:val="22"/>
          <w:szCs w:val="22"/>
          <w:lang w:val="pl-PL"/>
        </w:rPr>
      </w:pPr>
    </w:p>
    <w:p w:rsidR="002D3E1A" w:rsidRPr="009353E6" w:rsidRDefault="002D3E1A" w:rsidP="00F831F6">
      <w:pPr>
        <w:pStyle w:val="BodyText"/>
        <w:tabs>
          <w:tab w:val="left" w:pos="540"/>
        </w:tabs>
        <w:spacing w:line="240" w:lineRule="auto"/>
        <w:jc w:val="left"/>
        <w:rPr>
          <w:sz w:val="22"/>
          <w:szCs w:val="22"/>
          <w:lang w:val="pl-PL"/>
        </w:rPr>
      </w:pPr>
      <w:r w:rsidRPr="009353E6">
        <w:rPr>
          <w:sz w:val="22"/>
          <w:szCs w:val="22"/>
          <w:lang w:val="pl-PL"/>
        </w:rPr>
        <w:t>1.</w:t>
      </w:r>
      <w:r w:rsidRPr="009353E6">
        <w:rPr>
          <w:sz w:val="22"/>
          <w:szCs w:val="22"/>
          <w:lang w:val="pl-PL"/>
        </w:rPr>
        <w:tab/>
        <w:t xml:space="preserve">Co to jest </w:t>
      </w:r>
      <w:r w:rsidR="001D5A31" w:rsidRPr="009353E6">
        <w:rPr>
          <w:sz w:val="22"/>
          <w:szCs w:val="22"/>
          <w:lang w:val="pl-PL"/>
        </w:rPr>
        <w:t xml:space="preserve">lek </w:t>
      </w:r>
      <w:r w:rsidRPr="009353E6">
        <w:rPr>
          <w:sz w:val="22"/>
          <w:szCs w:val="22"/>
          <w:lang w:val="pl-PL"/>
        </w:rPr>
        <w:t>M</w:t>
      </w:r>
      <w:r w:rsidR="00602859" w:rsidRPr="009353E6">
        <w:rPr>
          <w:sz w:val="22"/>
          <w:szCs w:val="22"/>
          <w:lang w:val="pl-PL"/>
        </w:rPr>
        <w:t>icardisPlus</w:t>
      </w:r>
      <w:r w:rsidRPr="009353E6">
        <w:rPr>
          <w:sz w:val="22"/>
          <w:szCs w:val="22"/>
          <w:lang w:val="pl-PL"/>
        </w:rPr>
        <w:t xml:space="preserve"> i w jakim celu się go stosuje</w:t>
      </w:r>
    </w:p>
    <w:p w:rsidR="002D3E1A" w:rsidRPr="009353E6" w:rsidRDefault="002D3E1A" w:rsidP="00F831F6">
      <w:pPr>
        <w:pStyle w:val="BodyText"/>
        <w:tabs>
          <w:tab w:val="left" w:pos="540"/>
        </w:tabs>
        <w:spacing w:line="240" w:lineRule="auto"/>
        <w:jc w:val="left"/>
        <w:rPr>
          <w:sz w:val="22"/>
          <w:szCs w:val="22"/>
          <w:lang w:val="pl-PL"/>
        </w:rPr>
      </w:pPr>
      <w:r w:rsidRPr="009353E6">
        <w:rPr>
          <w:sz w:val="22"/>
          <w:szCs w:val="22"/>
          <w:lang w:val="pl-PL"/>
        </w:rPr>
        <w:t xml:space="preserve">2. </w:t>
      </w:r>
      <w:r w:rsidRPr="009353E6">
        <w:rPr>
          <w:sz w:val="22"/>
          <w:szCs w:val="22"/>
          <w:lang w:val="pl-PL"/>
        </w:rPr>
        <w:tab/>
      </w:r>
      <w:r w:rsidR="001D5A31" w:rsidRPr="009353E6">
        <w:rPr>
          <w:sz w:val="22"/>
          <w:szCs w:val="22"/>
          <w:lang w:val="pl-PL"/>
        </w:rPr>
        <w:t xml:space="preserve">Informacje ważne przed </w:t>
      </w:r>
      <w:r w:rsidR="009D298C" w:rsidRPr="009353E6">
        <w:rPr>
          <w:sz w:val="22"/>
          <w:szCs w:val="22"/>
          <w:lang w:val="pl-PL"/>
        </w:rPr>
        <w:t>przyjęciem</w:t>
      </w:r>
      <w:r w:rsidR="001D5A31" w:rsidRPr="009353E6">
        <w:rPr>
          <w:sz w:val="22"/>
          <w:szCs w:val="22"/>
          <w:lang w:val="pl-PL"/>
        </w:rPr>
        <w:t xml:space="preserve"> leku </w:t>
      </w:r>
      <w:r w:rsidRPr="009353E6">
        <w:rPr>
          <w:sz w:val="22"/>
          <w:szCs w:val="22"/>
          <w:lang w:val="pl-PL"/>
        </w:rPr>
        <w:t>M</w:t>
      </w:r>
      <w:r w:rsidR="00602859" w:rsidRPr="009353E6">
        <w:rPr>
          <w:sz w:val="22"/>
          <w:szCs w:val="22"/>
          <w:lang w:val="pl-PL"/>
        </w:rPr>
        <w:t>icardisPlus</w:t>
      </w:r>
      <w:r w:rsidRPr="009353E6">
        <w:rPr>
          <w:sz w:val="22"/>
          <w:szCs w:val="22"/>
          <w:lang w:val="pl-PL"/>
        </w:rPr>
        <w:t xml:space="preserve"> </w:t>
      </w:r>
    </w:p>
    <w:p w:rsidR="002D3E1A" w:rsidRPr="009353E6" w:rsidRDefault="002D3E1A" w:rsidP="00F831F6">
      <w:pPr>
        <w:pStyle w:val="BodyText"/>
        <w:tabs>
          <w:tab w:val="left" w:pos="540"/>
        </w:tabs>
        <w:spacing w:line="240" w:lineRule="auto"/>
        <w:jc w:val="left"/>
        <w:rPr>
          <w:sz w:val="22"/>
          <w:szCs w:val="22"/>
          <w:lang w:val="pl-PL"/>
        </w:rPr>
      </w:pPr>
      <w:r w:rsidRPr="009353E6">
        <w:rPr>
          <w:sz w:val="22"/>
          <w:szCs w:val="22"/>
          <w:lang w:val="pl-PL"/>
        </w:rPr>
        <w:t xml:space="preserve">3. </w:t>
      </w:r>
      <w:r w:rsidRPr="009353E6">
        <w:rPr>
          <w:sz w:val="22"/>
          <w:szCs w:val="22"/>
          <w:lang w:val="pl-PL"/>
        </w:rPr>
        <w:tab/>
        <w:t xml:space="preserve">Jak </w:t>
      </w:r>
      <w:r w:rsidR="009D298C" w:rsidRPr="009353E6">
        <w:rPr>
          <w:sz w:val="22"/>
          <w:szCs w:val="22"/>
          <w:lang w:val="pl-PL"/>
        </w:rPr>
        <w:t>przyjmować</w:t>
      </w:r>
      <w:r w:rsidRPr="009353E6">
        <w:rPr>
          <w:sz w:val="22"/>
          <w:szCs w:val="22"/>
          <w:lang w:val="pl-PL"/>
        </w:rPr>
        <w:t xml:space="preserve"> </w:t>
      </w:r>
      <w:r w:rsidR="001D5A31" w:rsidRPr="009353E6">
        <w:rPr>
          <w:sz w:val="22"/>
          <w:szCs w:val="22"/>
          <w:lang w:val="pl-PL"/>
        </w:rPr>
        <w:t xml:space="preserve">lek </w:t>
      </w:r>
      <w:r w:rsidRPr="009353E6">
        <w:rPr>
          <w:sz w:val="22"/>
          <w:szCs w:val="22"/>
          <w:lang w:val="pl-PL"/>
        </w:rPr>
        <w:t>M</w:t>
      </w:r>
      <w:r w:rsidR="00602859" w:rsidRPr="009353E6">
        <w:rPr>
          <w:sz w:val="22"/>
          <w:szCs w:val="22"/>
          <w:lang w:val="pl-PL"/>
        </w:rPr>
        <w:t>icardisPlus</w:t>
      </w:r>
      <w:r w:rsidRPr="009353E6">
        <w:rPr>
          <w:sz w:val="22"/>
          <w:szCs w:val="22"/>
          <w:vertAlign w:val="superscript"/>
          <w:lang w:val="pl-PL"/>
        </w:rPr>
        <w:t xml:space="preserve"> </w:t>
      </w:r>
    </w:p>
    <w:p w:rsidR="002D3E1A" w:rsidRPr="009353E6" w:rsidRDefault="002D3E1A" w:rsidP="00F831F6">
      <w:pPr>
        <w:pStyle w:val="BodyText"/>
        <w:tabs>
          <w:tab w:val="left" w:pos="540"/>
        </w:tabs>
        <w:spacing w:line="240" w:lineRule="auto"/>
        <w:jc w:val="left"/>
        <w:rPr>
          <w:sz w:val="22"/>
          <w:szCs w:val="22"/>
          <w:lang w:val="pl-PL"/>
        </w:rPr>
      </w:pPr>
      <w:r w:rsidRPr="009353E6">
        <w:rPr>
          <w:sz w:val="22"/>
          <w:szCs w:val="22"/>
          <w:lang w:val="pl-PL"/>
        </w:rPr>
        <w:t xml:space="preserve">4. </w:t>
      </w:r>
      <w:r w:rsidRPr="009353E6">
        <w:rPr>
          <w:sz w:val="22"/>
          <w:szCs w:val="22"/>
          <w:lang w:val="pl-PL"/>
        </w:rPr>
        <w:tab/>
        <w:t>Możliwe działania niepożądane</w:t>
      </w:r>
    </w:p>
    <w:p w:rsidR="002D3E1A" w:rsidRPr="009353E6" w:rsidRDefault="002D3E1A" w:rsidP="00F831F6">
      <w:pPr>
        <w:pStyle w:val="BodyText"/>
        <w:tabs>
          <w:tab w:val="left" w:pos="540"/>
        </w:tabs>
        <w:spacing w:line="240" w:lineRule="auto"/>
        <w:jc w:val="left"/>
        <w:rPr>
          <w:sz w:val="22"/>
          <w:szCs w:val="22"/>
          <w:lang w:val="pl-PL"/>
        </w:rPr>
      </w:pPr>
      <w:r w:rsidRPr="009353E6">
        <w:rPr>
          <w:sz w:val="22"/>
          <w:szCs w:val="22"/>
          <w:lang w:val="pl-PL"/>
        </w:rPr>
        <w:t xml:space="preserve">5. </w:t>
      </w:r>
      <w:r w:rsidRPr="009353E6">
        <w:rPr>
          <w:sz w:val="22"/>
          <w:szCs w:val="22"/>
          <w:lang w:val="pl-PL"/>
        </w:rPr>
        <w:tab/>
      </w:r>
      <w:r w:rsidR="001D5A31" w:rsidRPr="009353E6">
        <w:rPr>
          <w:sz w:val="22"/>
          <w:szCs w:val="22"/>
          <w:lang w:val="pl-PL"/>
        </w:rPr>
        <w:t>Jak p</w:t>
      </w:r>
      <w:r w:rsidRPr="009353E6">
        <w:rPr>
          <w:sz w:val="22"/>
          <w:szCs w:val="22"/>
          <w:lang w:val="pl-PL"/>
        </w:rPr>
        <w:t>rzechowywa</w:t>
      </w:r>
      <w:r w:rsidR="001D5A31" w:rsidRPr="009353E6">
        <w:rPr>
          <w:sz w:val="22"/>
          <w:szCs w:val="22"/>
          <w:lang w:val="pl-PL"/>
        </w:rPr>
        <w:t>ć</w:t>
      </w:r>
      <w:r w:rsidRPr="009353E6">
        <w:rPr>
          <w:sz w:val="22"/>
          <w:szCs w:val="22"/>
          <w:lang w:val="pl-PL"/>
        </w:rPr>
        <w:t xml:space="preserve"> lek M</w:t>
      </w:r>
      <w:r w:rsidR="00602859" w:rsidRPr="009353E6">
        <w:rPr>
          <w:sz w:val="22"/>
          <w:szCs w:val="22"/>
          <w:lang w:val="pl-PL"/>
        </w:rPr>
        <w:t>icardisPlus</w:t>
      </w:r>
      <w:r w:rsidRPr="009353E6">
        <w:rPr>
          <w:sz w:val="22"/>
          <w:szCs w:val="22"/>
          <w:lang w:val="pl-PL"/>
        </w:rPr>
        <w:t xml:space="preserve"> </w:t>
      </w:r>
    </w:p>
    <w:p w:rsidR="002D3E1A" w:rsidRPr="009353E6" w:rsidRDefault="002D3E1A" w:rsidP="00F831F6">
      <w:pPr>
        <w:pStyle w:val="BodyText"/>
        <w:tabs>
          <w:tab w:val="left" w:pos="540"/>
        </w:tabs>
        <w:spacing w:line="240" w:lineRule="auto"/>
        <w:jc w:val="left"/>
        <w:rPr>
          <w:sz w:val="22"/>
          <w:szCs w:val="22"/>
          <w:lang w:val="pl-PL"/>
        </w:rPr>
      </w:pPr>
      <w:r w:rsidRPr="009353E6">
        <w:rPr>
          <w:sz w:val="22"/>
          <w:szCs w:val="22"/>
          <w:lang w:val="pl-PL"/>
        </w:rPr>
        <w:t>6.</w:t>
      </w:r>
      <w:r w:rsidRPr="009353E6">
        <w:rPr>
          <w:sz w:val="22"/>
          <w:szCs w:val="22"/>
          <w:lang w:val="pl-PL"/>
        </w:rPr>
        <w:tab/>
      </w:r>
      <w:r w:rsidR="000A17A5" w:rsidRPr="009353E6">
        <w:rPr>
          <w:sz w:val="22"/>
          <w:szCs w:val="22"/>
          <w:lang w:val="pl-PL" w:bidi="bn-IN"/>
        </w:rPr>
        <w:t>Zawartość opakowania i inne informacje</w:t>
      </w:r>
    </w:p>
    <w:p w:rsidR="002D3E1A" w:rsidRPr="009353E6" w:rsidRDefault="002D3E1A"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sz w:val="22"/>
          <w:szCs w:val="22"/>
          <w:lang w:val="pl-PL"/>
        </w:rPr>
      </w:pPr>
    </w:p>
    <w:p w:rsidR="002D3E1A" w:rsidRPr="009353E6" w:rsidRDefault="002D3E1A" w:rsidP="00F831F6">
      <w:pPr>
        <w:pStyle w:val="BodyText"/>
        <w:tabs>
          <w:tab w:val="left" w:pos="540"/>
        </w:tabs>
        <w:spacing w:line="240" w:lineRule="auto"/>
        <w:jc w:val="left"/>
        <w:rPr>
          <w:b/>
          <w:sz w:val="22"/>
          <w:szCs w:val="22"/>
          <w:lang w:val="pl-PL"/>
        </w:rPr>
      </w:pPr>
      <w:r w:rsidRPr="009353E6">
        <w:rPr>
          <w:b/>
          <w:sz w:val="22"/>
          <w:szCs w:val="22"/>
          <w:lang w:val="pl-PL"/>
        </w:rPr>
        <w:t>1.</w:t>
      </w:r>
      <w:r w:rsidRPr="009353E6">
        <w:rPr>
          <w:b/>
          <w:sz w:val="22"/>
          <w:szCs w:val="22"/>
          <w:lang w:val="pl-PL"/>
        </w:rPr>
        <w:tab/>
      </w:r>
      <w:r w:rsidR="000A17A5" w:rsidRPr="009353E6">
        <w:rPr>
          <w:b/>
          <w:sz w:val="22"/>
          <w:szCs w:val="22"/>
          <w:lang w:val="pl-PL"/>
        </w:rPr>
        <w:t>Co to jest lek MicardisPlus i w jakim celu się go stosuje</w:t>
      </w:r>
    </w:p>
    <w:p w:rsidR="002D3E1A" w:rsidRPr="009353E6" w:rsidRDefault="002D3E1A" w:rsidP="00F831F6">
      <w:pPr>
        <w:pStyle w:val="BodyText"/>
        <w:spacing w:line="240" w:lineRule="auto"/>
        <w:jc w:val="left"/>
        <w:rPr>
          <w:sz w:val="22"/>
          <w:szCs w:val="22"/>
          <w:lang w:val="pl-PL"/>
        </w:rPr>
      </w:pPr>
    </w:p>
    <w:p w:rsidR="00CC2EB8" w:rsidRPr="009353E6" w:rsidRDefault="00CC2EB8" w:rsidP="00F831F6">
      <w:pPr>
        <w:pStyle w:val="BodyText"/>
        <w:spacing w:line="240" w:lineRule="auto"/>
        <w:jc w:val="left"/>
        <w:rPr>
          <w:sz w:val="22"/>
          <w:szCs w:val="22"/>
          <w:lang w:val="pl-PL"/>
        </w:rPr>
      </w:pPr>
      <w:r w:rsidRPr="009353E6">
        <w:rPr>
          <w:sz w:val="22"/>
          <w:szCs w:val="22"/>
          <w:lang w:val="pl-PL"/>
        </w:rPr>
        <w:t xml:space="preserve">MicardisPlus jest </w:t>
      </w:r>
      <w:r w:rsidR="00B96E77" w:rsidRPr="009353E6">
        <w:rPr>
          <w:sz w:val="22"/>
          <w:szCs w:val="22"/>
          <w:lang w:val="pl-PL"/>
        </w:rPr>
        <w:t xml:space="preserve">lekiem złożonym, zawierającym </w:t>
      </w:r>
      <w:r w:rsidRPr="009353E6">
        <w:rPr>
          <w:sz w:val="22"/>
          <w:szCs w:val="22"/>
          <w:lang w:val="pl-PL"/>
        </w:rPr>
        <w:t>dw</w:t>
      </w:r>
      <w:r w:rsidR="00B96E77" w:rsidRPr="009353E6">
        <w:rPr>
          <w:sz w:val="22"/>
          <w:szCs w:val="22"/>
          <w:lang w:val="pl-PL"/>
        </w:rPr>
        <w:t>ie</w:t>
      </w:r>
      <w:r w:rsidRPr="009353E6">
        <w:rPr>
          <w:sz w:val="22"/>
          <w:szCs w:val="22"/>
          <w:lang w:val="pl-PL"/>
        </w:rPr>
        <w:t xml:space="preserve"> substancj</w:t>
      </w:r>
      <w:r w:rsidR="00B96E77" w:rsidRPr="009353E6">
        <w:rPr>
          <w:sz w:val="22"/>
          <w:szCs w:val="22"/>
          <w:lang w:val="pl-PL"/>
        </w:rPr>
        <w:t>e</w:t>
      </w:r>
      <w:r w:rsidRPr="009353E6">
        <w:rPr>
          <w:sz w:val="22"/>
          <w:szCs w:val="22"/>
          <w:lang w:val="pl-PL"/>
        </w:rPr>
        <w:t xml:space="preserve"> czynn</w:t>
      </w:r>
      <w:r w:rsidR="00B96E77" w:rsidRPr="009353E6">
        <w:rPr>
          <w:sz w:val="22"/>
          <w:szCs w:val="22"/>
          <w:lang w:val="pl-PL"/>
        </w:rPr>
        <w:t>e</w:t>
      </w:r>
      <w:r w:rsidRPr="009353E6">
        <w:rPr>
          <w:sz w:val="22"/>
          <w:szCs w:val="22"/>
          <w:lang w:val="pl-PL"/>
        </w:rPr>
        <w:t>, telmisartan i</w:t>
      </w:r>
    </w:p>
    <w:p w:rsidR="00CC2EB8" w:rsidRPr="009353E6" w:rsidRDefault="00B96E77" w:rsidP="00F831F6">
      <w:pPr>
        <w:pStyle w:val="BodyText"/>
        <w:spacing w:line="240" w:lineRule="auto"/>
        <w:jc w:val="left"/>
        <w:rPr>
          <w:sz w:val="22"/>
          <w:szCs w:val="22"/>
          <w:lang w:val="pl-PL"/>
        </w:rPr>
      </w:pPr>
      <w:r w:rsidRPr="009353E6">
        <w:rPr>
          <w:sz w:val="22"/>
          <w:szCs w:val="22"/>
          <w:lang w:val="pl-PL"/>
        </w:rPr>
        <w:t>h</w:t>
      </w:r>
      <w:r w:rsidR="00CC2EB8" w:rsidRPr="009353E6">
        <w:rPr>
          <w:sz w:val="22"/>
          <w:szCs w:val="22"/>
          <w:lang w:val="pl-PL"/>
        </w:rPr>
        <w:t>ydrochlorotiazyd</w:t>
      </w:r>
      <w:r w:rsidRPr="009353E6">
        <w:rPr>
          <w:sz w:val="22"/>
          <w:szCs w:val="22"/>
          <w:lang w:val="pl-PL"/>
        </w:rPr>
        <w:t xml:space="preserve"> </w:t>
      </w:r>
      <w:r w:rsidR="0001118F" w:rsidRPr="009353E6">
        <w:rPr>
          <w:sz w:val="22"/>
          <w:szCs w:val="22"/>
          <w:lang w:val="pl-PL"/>
        </w:rPr>
        <w:t>w jednej tabletce</w:t>
      </w:r>
      <w:r w:rsidR="00CC2EB8" w:rsidRPr="009353E6">
        <w:rPr>
          <w:sz w:val="22"/>
          <w:szCs w:val="22"/>
          <w:lang w:val="pl-PL"/>
        </w:rPr>
        <w:t xml:space="preserve">. </w:t>
      </w:r>
      <w:r w:rsidR="0001118F" w:rsidRPr="009353E6">
        <w:rPr>
          <w:sz w:val="22"/>
          <w:szCs w:val="22"/>
          <w:lang w:val="pl-PL"/>
        </w:rPr>
        <w:t xml:space="preserve">Obie substancje wspomagają kontrolę wysokiego ciśnienia tętniczego krwi. </w:t>
      </w:r>
      <w:r w:rsidR="00CC2EB8" w:rsidRPr="009353E6">
        <w:rPr>
          <w:sz w:val="22"/>
          <w:szCs w:val="22"/>
          <w:lang w:val="pl-PL"/>
        </w:rPr>
        <w:t xml:space="preserve"> </w:t>
      </w:r>
    </w:p>
    <w:p w:rsidR="006C2D02" w:rsidRPr="009353E6" w:rsidRDefault="006C2D02" w:rsidP="00F831F6">
      <w:pPr>
        <w:pStyle w:val="BodyText"/>
        <w:spacing w:line="240" w:lineRule="auto"/>
        <w:jc w:val="left"/>
        <w:rPr>
          <w:sz w:val="22"/>
          <w:szCs w:val="22"/>
          <w:lang w:val="pl-PL"/>
        </w:rPr>
      </w:pPr>
    </w:p>
    <w:p w:rsidR="006C2D02" w:rsidRPr="009353E6" w:rsidRDefault="006C2D02" w:rsidP="002D507E">
      <w:pPr>
        <w:pStyle w:val="BodyText"/>
        <w:numPr>
          <w:ilvl w:val="0"/>
          <w:numId w:val="21"/>
        </w:numPr>
        <w:tabs>
          <w:tab w:val="clear" w:pos="2520"/>
          <w:tab w:val="num" w:pos="540"/>
        </w:tabs>
        <w:spacing w:line="240" w:lineRule="auto"/>
        <w:ind w:left="540" w:hanging="540"/>
        <w:jc w:val="left"/>
        <w:rPr>
          <w:sz w:val="22"/>
          <w:szCs w:val="22"/>
          <w:lang w:val="pl-PL"/>
        </w:rPr>
      </w:pPr>
      <w:r w:rsidRPr="009353E6">
        <w:rPr>
          <w:sz w:val="22"/>
          <w:szCs w:val="22"/>
          <w:lang w:val="pl-PL"/>
        </w:rPr>
        <w:t xml:space="preserve">Telmisartan należy do grupy leków zwanych antagonistami receptora angiotensyny II. Angiotensyna II jest substancją </w:t>
      </w:r>
      <w:r w:rsidR="00B96E77" w:rsidRPr="009353E6">
        <w:rPr>
          <w:sz w:val="22"/>
          <w:szCs w:val="22"/>
          <w:lang w:val="pl-PL"/>
        </w:rPr>
        <w:t xml:space="preserve">wytwarzaną </w:t>
      </w:r>
      <w:r w:rsidRPr="009353E6">
        <w:rPr>
          <w:sz w:val="22"/>
          <w:szCs w:val="22"/>
          <w:lang w:val="pl-PL"/>
        </w:rPr>
        <w:t>w organizmie, powodującą zwężenie naczyń krwionośnych</w:t>
      </w:r>
      <w:r w:rsidR="00B96E77" w:rsidRPr="009353E6">
        <w:rPr>
          <w:sz w:val="22"/>
          <w:szCs w:val="22"/>
          <w:lang w:val="pl-PL"/>
        </w:rPr>
        <w:t>, t</w:t>
      </w:r>
      <w:r w:rsidR="0001118F" w:rsidRPr="009353E6">
        <w:rPr>
          <w:sz w:val="22"/>
          <w:szCs w:val="22"/>
          <w:lang w:val="pl-PL"/>
        </w:rPr>
        <w:t>ym samym podwyższając</w:t>
      </w:r>
      <w:r w:rsidR="00B96E77" w:rsidRPr="009353E6">
        <w:rPr>
          <w:sz w:val="22"/>
          <w:szCs w:val="22"/>
          <w:lang w:val="pl-PL"/>
        </w:rPr>
        <w:t>ą</w:t>
      </w:r>
      <w:r w:rsidR="0001118F" w:rsidRPr="009353E6">
        <w:rPr>
          <w:sz w:val="22"/>
          <w:szCs w:val="22"/>
          <w:lang w:val="pl-PL"/>
        </w:rPr>
        <w:t xml:space="preserve"> ciśnienie tętnicze</w:t>
      </w:r>
      <w:r w:rsidRPr="009353E6">
        <w:rPr>
          <w:sz w:val="22"/>
          <w:szCs w:val="22"/>
          <w:lang w:val="pl-PL"/>
        </w:rPr>
        <w:t>. Te</w:t>
      </w:r>
      <w:r w:rsidR="00D707F3" w:rsidRPr="009353E6">
        <w:rPr>
          <w:sz w:val="22"/>
          <w:szCs w:val="22"/>
          <w:lang w:val="pl-PL"/>
        </w:rPr>
        <w:t>l</w:t>
      </w:r>
      <w:r w:rsidRPr="009353E6">
        <w:rPr>
          <w:sz w:val="22"/>
          <w:szCs w:val="22"/>
          <w:lang w:val="pl-PL"/>
        </w:rPr>
        <w:t>misartan blokuje działani</w:t>
      </w:r>
      <w:r w:rsidR="00B96E77" w:rsidRPr="009353E6">
        <w:rPr>
          <w:sz w:val="22"/>
          <w:szCs w:val="22"/>
          <w:lang w:val="pl-PL"/>
        </w:rPr>
        <w:t>e</w:t>
      </w:r>
      <w:r w:rsidRPr="009353E6">
        <w:rPr>
          <w:sz w:val="22"/>
          <w:szCs w:val="22"/>
          <w:lang w:val="pl-PL"/>
        </w:rPr>
        <w:t xml:space="preserve"> angiotensyny II, w związku z czym naczynia krwionośne rozszerzają się, a ciśnienie tętni</w:t>
      </w:r>
      <w:r w:rsidR="00B96E77" w:rsidRPr="009353E6">
        <w:rPr>
          <w:sz w:val="22"/>
          <w:szCs w:val="22"/>
          <w:lang w:val="pl-PL"/>
        </w:rPr>
        <w:t>c</w:t>
      </w:r>
      <w:r w:rsidRPr="009353E6">
        <w:rPr>
          <w:sz w:val="22"/>
          <w:szCs w:val="22"/>
          <w:lang w:val="pl-PL"/>
        </w:rPr>
        <w:t xml:space="preserve">ze obniża. </w:t>
      </w:r>
    </w:p>
    <w:p w:rsidR="006C2D02" w:rsidRPr="009353E6" w:rsidRDefault="006C2D02" w:rsidP="00F831F6">
      <w:pPr>
        <w:pStyle w:val="BodyText"/>
        <w:tabs>
          <w:tab w:val="num" w:pos="540"/>
        </w:tabs>
        <w:spacing w:line="240" w:lineRule="auto"/>
        <w:ind w:left="540" w:hanging="540"/>
        <w:jc w:val="left"/>
        <w:rPr>
          <w:sz w:val="22"/>
          <w:szCs w:val="22"/>
          <w:lang w:val="pl-PL"/>
        </w:rPr>
      </w:pPr>
    </w:p>
    <w:p w:rsidR="00CC2EB8" w:rsidRPr="009353E6" w:rsidRDefault="00CC2EB8" w:rsidP="002D507E">
      <w:pPr>
        <w:pStyle w:val="BodyText"/>
        <w:numPr>
          <w:ilvl w:val="0"/>
          <w:numId w:val="21"/>
        </w:numPr>
        <w:tabs>
          <w:tab w:val="clear" w:pos="2520"/>
          <w:tab w:val="num" w:pos="540"/>
        </w:tabs>
        <w:spacing w:line="240" w:lineRule="auto"/>
        <w:ind w:left="540" w:hanging="540"/>
        <w:jc w:val="left"/>
        <w:rPr>
          <w:sz w:val="22"/>
          <w:szCs w:val="22"/>
          <w:lang w:val="pl-PL"/>
        </w:rPr>
      </w:pPr>
      <w:r w:rsidRPr="009353E6">
        <w:rPr>
          <w:sz w:val="22"/>
          <w:szCs w:val="22"/>
          <w:lang w:val="pl-PL"/>
        </w:rPr>
        <w:t>Hydrochlorotiazyd należy do grupy leków zwanych tiazydowymi lekami moczopędnymi</w:t>
      </w:r>
      <w:r w:rsidR="0001118F" w:rsidRPr="009353E6">
        <w:rPr>
          <w:sz w:val="22"/>
          <w:szCs w:val="22"/>
          <w:lang w:val="pl-PL"/>
        </w:rPr>
        <w:t>, z</w:t>
      </w:r>
      <w:r w:rsidRPr="009353E6">
        <w:rPr>
          <w:sz w:val="22"/>
          <w:szCs w:val="22"/>
          <w:lang w:val="pl-PL"/>
        </w:rPr>
        <w:t xml:space="preserve">większa wydalanie moczu, co prowadzi do obniżenia ciśnienia tętniczego. </w:t>
      </w:r>
    </w:p>
    <w:p w:rsidR="006C2D02" w:rsidRPr="009353E6" w:rsidRDefault="006C2D02" w:rsidP="00F831F6">
      <w:pPr>
        <w:pStyle w:val="BodyText"/>
        <w:spacing w:line="240" w:lineRule="auto"/>
        <w:jc w:val="left"/>
        <w:rPr>
          <w:sz w:val="22"/>
          <w:szCs w:val="22"/>
          <w:lang w:val="pl-PL"/>
        </w:rPr>
      </w:pPr>
    </w:p>
    <w:p w:rsidR="002D3E1A" w:rsidRPr="009353E6" w:rsidRDefault="00737C1B" w:rsidP="00F831F6">
      <w:pPr>
        <w:pStyle w:val="BodyText"/>
        <w:spacing w:line="240" w:lineRule="auto"/>
        <w:jc w:val="left"/>
        <w:rPr>
          <w:sz w:val="22"/>
          <w:szCs w:val="22"/>
          <w:lang w:val="pl-PL"/>
        </w:rPr>
      </w:pPr>
      <w:r w:rsidRPr="009353E6">
        <w:rPr>
          <w:sz w:val="22"/>
          <w:szCs w:val="22"/>
          <w:lang w:val="pl-PL"/>
        </w:rPr>
        <w:t>Nieleczone</w:t>
      </w:r>
      <w:r w:rsidR="002D3E1A" w:rsidRPr="009353E6">
        <w:rPr>
          <w:sz w:val="22"/>
          <w:szCs w:val="22"/>
          <w:lang w:val="pl-PL"/>
        </w:rPr>
        <w:t xml:space="preserve"> podwyższone ciśnienie tętnicze może powodować uszkodzenie naczyń krwionośnych w</w:t>
      </w:r>
      <w:r w:rsidR="00B43A19" w:rsidRPr="009353E6">
        <w:rPr>
          <w:sz w:val="22"/>
          <w:szCs w:val="22"/>
          <w:lang w:val="pl-PL"/>
        </w:rPr>
        <w:t> </w:t>
      </w:r>
      <w:r w:rsidR="002D3E1A" w:rsidRPr="009353E6">
        <w:rPr>
          <w:sz w:val="22"/>
          <w:szCs w:val="22"/>
          <w:lang w:val="pl-PL"/>
        </w:rPr>
        <w:t>narządach</w:t>
      </w:r>
      <w:r w:rsidR="0001118F" w:rsidRPr="009353E6">
        <w:rPr>
          <w:sz w:val="22"/>
          <w:szCs w:val="22"/>
          <w:lang w:val="pl-PL"/>
        </w:rPr>
        <w:t>, w</w:t>
      </w:r>
      <w:r w:rsidR="002D3E1A" w:rsidRPr="009353E6">
        <w:rPr>
          <w:sz w:val="22"/>
          <w:szCs w:val="22"/>
          <w:lang w:val="pl-PL"/>
        </w:rPr>
        <w:t xml:space="preserve"> niektórych przypadkach może być przyczyną powikłań</w:t>
      </w:r>
      <w:r w:rsidR="00B96E77" w:rsidRPr="009353E6">
        <w:rPr>
          <w:sz w:val="22"/>
          <w:szCs w:val="22"/>
          <w:lang w:val="pl-PL"/>
        </w:rPr>
        <w:t>,</w:t>
      </w:r>
      <w:r w:rsidR="002D3E1A" w:rsidRPr="009353E6">
        <w:rPr>
          <w:sz w:val="22"/>
          <w:szCs w:val="22"/>
          <w:lang w:val="pl-PL"/>
        </w:rPr>
        <w:t xml:space="preserve"> takich jak zawał serca, niewydolność serca lub nerek, udar mózgu lub utrata wzroku.</w:t>
      </w:r>
      <w:r w:rsidR="005502E3" w:rsidRPr="009353E6">
        <w:rPr>
          <w:sz w:val="22"/>
          <w:szCs w:val="22"/>
          <w:lang w:val="pl-PL"/>
        </w:rPr>
        <w:t xml:space="preserve"> </w:t>
      </w:r>
      <w:r w:rsidR="002D3E1A" w:rsidRPr="009353E6">
        <w:rPr>
          <w:sz w:val="22"/>
          <w:szCs w:val="22"/>
          <w:lang w:val="pl-PL"/>
        </w:rPr>
        <w:t>Najczęściej przed pojawieniem się powyższych powikłań nie obserwuje się występowania żadnych objawów</w:t>
      </w:r>
      <w:r w:rsidR="00B96E77" w:rsidRPr="009353E6">
        <w:rPr>
          <w:sz w:val="22"/>
          <w:szCs w:val="22"/>
          <w:lang w:val="pl-PL"/>
        </w:rPr>
        <w:t xml:space="preserve"> podwyższonego ciśnienia krwi. </w:t>
      </w:r>
      <w:r w:rsidR="00E918D4" w:rsidRPr="009353E6">
        <w:rPr>
          <w:sz w:val="22"/>
          <w:szCs w:val="22"/>
          <w:lang w:val="pl-PL"/>
        </w:rPr>
        <w:t>Z</w:t>
      </w:r>
      <w:r w:rsidR="00B96E77" w:rsidRPr="009353E6">
        <w:rPr>
          <w:sz w:val="22"/>
          <w:szCs w:val="22"/>
          <w:lang w:val="pl-PL"/>
        </w:rPr>
        <w:t xml:space="preserve"> tego względu wa</w:t>
      </w:r>
      <w:r w:rsidR="00E918D4" w:rsidRPr="009353E6">
        <w:rPr>
          <w:sz w:val="22"/>
          <w:szCs w:val="22"/>
          <w:lang w:val="pl-PL"/>
        </w:rPr>
        <w:t>ż</w:t>
      </w:r>
      <w:r w:rsidR="00B96E77" w:rsidRPr="009353E6">
        <w:rPr>
          <w:sz w:val="22"/>
          <w:szCs w:val="22"/>
          <w:lang w:val="pl-PL"/>
        </w:rPr>
        <w:t>ne jest, aby regularnie mierzyć c</w:t>
      </w:r>
      <w:r w:rsidR="002D3E1A" w:rsidRPr="009353E6">
        <w:rPr>
          <w:sz w:val="22"/>
          <w:szCs w:val="22"/>
          <w:lang w:val="pl-PL"/>
        </w:rPr>
        <w:t>iśnieni</w:t>
      </w:r>
      <w:r w:rsidR="00B96E77" w:rsidRPr="009353E6">
        <w:rPr>
          <w:sz w:val="22"/>
          <w:szCs w:val="22"/>
          <w:lang w:val="pl-PL"/>
        </w:rPr>
        <w:t>e</w:t>
      </w:r>
      <w:r w:rsidR="002D3E1A" w:rsidRPr="009353E6">
        <w:rPr>
          <w:sz w:val="22"/>
          <w:szCs w:val="22"/>
          <w:lang w:val="pl-PL"/>
        </w:rPr>
        <w:t xml:space="preserve"> tętnicze krwi</w:t>
      </w:r>
      <w:r w:rsidR="00B96E77" w:rsidRPr="009353E6">
        <w:rPr>
          <w:sz w:val="22"/>
          <w:szCs w:val="22"/>
          <w:lang w:val="pl-PL"/>
        </w:rPr>
        <w:t xml:space="preserve">, żeby sprawdzać, czy mieści się on w prawidłowym zakresie wartości. </w:t>
      </w:r>
      <w:r w:rsidR="002D3E1A" w:rsidRPr="009353E6">
        <w:rPr>
          <w:sz w:val="22"/>
          <w:szCs w:val="22"/>
          <w:lang w:val="pl-PL"/>
        </w:rPr>
        <w:t xml:space="preserve"> </w:t>
      </w:r>
    </w:p>
    <w:p w:rsidR="005502E3" w:rsidRPr="009353E6" w:rsidRDefault="005502E3" w:rsidP="00F831F6">
      <w:pPr>
        <w:pStyle w:val="BodyText"/>
        <w:spacing w:line="240" w:lineRule="auto"/>
        <w:jc w:val="left"/>
        <w:rPr>
          <w:sz w:val="22"/>
          <w:szCs w:val="22"/>
          <w:lang w:val="pl-PL"/>
        </w:rPr>
      </w:pPr>
    </w:p>
    <w:p w:rsidR="0001118F" w:rsidRPr="009353E6" w:rsidRDefault="0001118F" w:rsidP="00F831F6">
      <w:pPr>
        <w:pStyle w:val="BodyText"/>
        <w:spacing w:line="240" w:lineRule="auto"/>
        <w:jc w:val="left"/>
        <w:rPr>
          <w:rFonts w:eastAsia="MS Mincho"/>
          <w:sz w:val="22"/>
          <w:szCs w:val="22"/>
          <w:lang w:val="pl-PL" w:eastAsia="ja-JP"/>
        </w:rPr>
      </w:pPr>
      <w:r w:rsidRPr="009353E6">
        <w:rPr>
          <w:rFonts w:eastAsia="MS Mincho"/>
          <w:b/>
          <w:sz w:val="22"/>
          <w:szCs w:val="22"/>
          <w:lang w:val="pl-PL" w:eastAsia="ja-JP"/>
        </w:rPr>
        <w:t>MicardisPlus jest stosowany</w:t>
      </w:r>
      <w:r w:rsidRPr="009353E6">
        <w:rPr>
          <w:rFonts w:eastAsia="MS Mincho"/>
          <w:sz w:val="22"/>
          <w:szCs w:val="22"/>
          <w:lang w:val="pl-PL" w:eastAsia="ja-JP"/>
        </w:rPr>
        <w:t xml:space="preserve"> w leczeniu wysokiego ciśnienia tętniczego (samoistnego nadciśnienia tętniczego) </w:t>
      </w:r>
      <w:r w:rsidR="000A17A5" w:rsidRPr="009353E6">
        <w:rPr>
          <w:rFonts w:eastAsia="MS Mincho"/>
          <w:sz w:val="22"/>
          <w:szCs w:val="22"/>
          <w:lang w:val="pl-PL" w:eastAsia="ja-JP"/>
        </w:rPr>
        <w:t xml:space="preserve">u </w:t>
      </w:r>
      <w:r w:rsidR="00DB03B7" w:rsidRPr="009353E6">
        <w:rPr>
          <w:rFonts w:eastAsia="MS Mincho"/>
          <w:sz w:val="22"/>
          <w:szCs w:val="22"/>
          <w:lang w:val="pl-PL" w:eastAsia="ja-JP"/>
        </w:rPr>
        <w:t xml:space="preserve">osób </w:t>
      </w:r>
      <w:r w:rsidR="000A17A5" w:rsidRPr="009353E6">
        <w:rPr>
          <w:rFonts w:eastAsia="MS Mincho"/>
          <w:sz w:val="22"/>
          <w:szCs w:val="22"/>
          <w:lang w:val="pl-PL" w:eastAsia="ja-JP"/>
        </w:rPr>
        <w:t>dorosłych</w:t>
      </w:r>
      <w:r w:rsidRPr="009353E6">
        <w:rPr>
          <w:rFonts w:eastAsia="MS Mincho"/>
          <w:sz w:val="22"/>
          <w:szCs w:val="22"/>
          <w:lang w:val="pl-PL" w:eastAsia="ja-JP"/>
        </w:rPr>
        <w:t xml:space="preserve">, u których ciśnienie </w:t>
      </w:r>
      <w:r w:rsidR="00DB03B7" w:rsidRPr="009353E6">
        <w:rPr>
          <w:rFonts w:eastAsia="MS Mincho"/>
          <w:sz w:val="22"/>
          <w:szCs w:val="22"/>
          <w:lang w:val="pl-PL" w:eastAsia="ja-JP"/>
        </w:rPr>
        <w:t xml:space="preserve">tętnicze </w:t>
      </w:r>
      <w:r w:rsidRPr="009353E6">
        <w:rPr>
          <w:rFonts w:eastAsia="MS Mincho"/>
          <w:sz w:val="22"/>
          <w:szCs w:val="22"/>
          <w:lang w:val="pl-PL" w:eastAsia="ja-JP"/>
        </w:rPr>
        <w:t>nie jest wystarczająco kontrolowane przez telmisartan lub hydrochlorotiazyd stosowan</w:t>
      </w:r>
      <w:r w:rsidR="00B96E77" w:rsidRPr="009353E6">
        <w:rPr>
          <w:rFonts w:eastAsia="MS Mincho"/>
          <w:sz w:val="22"/>
          <w:szCs w:val="22"/>
          <w:lang w:val="pl-PL" w:eastAsia="ja-JP"/>
        </w:rPr>
        <w:t>y</w:t>
      </w:r>
      <w:r w:rsidRPr="009353E6">
        <w:rPr>
          <w:rFonts w:eastAsia="MS Mincho"/>
          <w:sz w:val="22"/>
          <w:szCs w:val="22"/>
          <w:lang w:val="pl-PL" w:eastAsia="ja-JP"/>
        </w:rPr>
        <w:t xml:space="preserve"> oddzielnie.</w:t>
      </w:r>
    </w:p>
    <w:p w:rsidR="005E3A9A" w:rsidRPr="009353E6" w:rsidRDefault="005E3A9A" w:rsidP="00F831F6">
      <w:pPr>
        <w:pStyle w:val="BodyText"/>
        <w:tabs>
          <w:tab w:val="left" w:pos="540"/>
        </w:tabs>
        <w:spacing w:line="240" w:lineRule="auto"/>
        <w:jc w:val="left"/>
        <w:rPr>
          <w:b/>
          <w:sz w:val="22"/>
          <w:szCs w:val="22"/>
          <w:lang w:val="pl-PL"/>
        </w:rPr>
      </w:pPr>
    </w:p>
    <w:p w:rsidR="005E3A9A" w:rsidRPr="009353E6" w:rsidRDefault="005E3A9A" w:rsidP="00F831F6">
      <w:pPr>
        <w:pStyle w:val="BodyText"/>
        <w:tabs>
          <w:tab w:val="left" w:pos="540"/>
        </w:tabs>
        <w:spacing w:line="240" w:lineRule="auto"/>
        <w:jc w:val="left"/>
        <w:rPr>
          <w:b/>
          <w:sz w:val="22"/>
          <w:szCs w:val="22"/>
          <w:lang w:val="pl-PL"/>
        </w:rPr>
      </w:pPr>
    </w:p>
    <w:p w:rsidR="002D3E1A" w:rsidRPr="009353E6" w:rsidRDefault="002D3E1A" w:rsidP="005E3A9A">
      <w:pPr>
        <w:pStyle w:val="BodyText"/>
        <w:keepNext/>
        <w:tabs>
          <w:tab w:val="left" w:pos="540"/>
        </w:tabs>
        <w:spacing w:line="240" w:lineRule="auto"/>
        <w:jc w:val="left"/>
        <w:rPr>
          <w:b/>
          <w:sz w:val="22"/>
          <w:szCs w:val="22"/>
          <w:lang w:val="pl-PL"/>
        </w:rPr>
      </w:pPr>
      <w:r w:rsidRPr="009353E6">
        <w:rPr>
          <w:b/>
          <w:sz w:val="22"/>
          <w:szCs w:val="22"/>
          <w:lang w:val="pl-PL"/>
        </w:rPr>
        <w:t>2.</w:t>
      </w:r>
      <w:r w:rsidRPr="009353E6">
        <w:rPr>
          <w:b/>
          <w:sz w:val="22"/>
          <w:szCs w:val="22"/>
          <w:lang w:val="pl-PL"/>
        </w:rPr>
        <w:tab/>
      </w:r>
      <w:r w:rsidR="000A17A5" w:rsidRPr="009353E6">
        <w:rPr>
          <w:b/>
          <w:sz w:val="22"/>
          <w:szCs w:val="22"/>
          <w:lang w:val="pl-PL"/>
        </w:rPr>
        <w:t xml:space="preserve">Informacje ważne przed </w:t>
      </w:r>
      <w:r w:rsidR="00F03F7E" w:rsidRPr="009353E6">
        <w:rPr>
          <w:b/>
          <w:sz w:val="22"/>
          <w:szCs w:val="22"/>
          <w:lang w:val="pl-PL"/>
        </w:rPr>
        <w:t>przyjęciem</w:t>
      </w:r>
      <w:r w:rsidR="000A17A5" w:rsidRPr="009353E6">
        <w:rPr>
          <w:b/>
          <w:sz w:val="22"/>
          <w:szCs w:val="22"/>
          <w:lang w:val="pl-PL"/>
        </w:rPr>
        <w:t xml:space="preserve"> leku MicardisPlus </w:t>
      </w:r>
    </w:p>
    <w:p w:rsidR="002D3E1A" w:rsidRPr="009353E6" w:rsidRDefault="002D3E1A" w:rsidP="005E3A9A">
      <w:pPr>
        <w:pStyle w:val="BodyText"/>
        <w:keepNext/>
        <w:spacing w:line="240" w:lineRule="auto"/>
        <w:jc w:val="left"/>
        <w:rPr>
          <w:sz w:val="22"/>
          <w:szCs w:val="22"/>
          <w:lang w:val="pl-PL"/>
        </w:rPr>
      </w:pPr>
    </w:p>
    <w:p w:rsidR="002D3E1A" w:rsidRPr="009353E6" w:rsidRDefault="005502E3" w:rsidP="005E3A9A">
      <w:pPr>
        <w:pStyle w:val="BodyText"/>
        <w:keepNext/>
        <w:spacing w:line="240" w:lineRule="auto"/>
        <w:jc w:val="left"/>
        <w:rPr>
          <w:b/>
          <w:sz w:val="22"/>
          <w:szCs w:val="22"/>
          <w:lang w:val="pl-PL"/>
        </w:rPr>
      </w:pPr>
      <w:r w:rsidRPr="009353E6">
        <w:rPr>
          <w:b/>
          <w:sz w:val="22"/>
          <w:szCs w:val="22"/>
          <w:lang w:val="pl-PL"/>
        </w:rPr>
        <w:t xml:space="preserve">Kiedy nie </w:t>
      </w:r>
      <w:r w:rsidR="00F03F7E" w:rsidRPr="009353E6">
        <w:rPr>
          <w:b/>
          <w:sz w:val="22"/>
          <w:szCs w:val="22"/>
          <w:lang w:val="pl-PL"/>
        </w:rPr>
        <w:t>przyjmować</w:t>
      </w:r>
      <w:r w:rsidR="002D3E1A" w:rsidRPr="009353E6">
        <w:rPr>
          <w:b/>
          <w:sz w:val="22"/>
          <w:szCs w:val="22"/>
          <w:lang w:val="pl-PL"/>
        </w:rPr>
        <w:t xml:space="preserve"> leku MicardisPlus</w:t>
      </w:r>
    </w:p>
    <w:p w:rsidR="00655CF3" w:rsidRPr="009353E6" w:rsidRDefault="00655CF3" w:rsidP="005E3A9A">
      <w:pPr>
        <w:pStyle w:val="BodyText"/>
        <w:keepNext/>
        <w:spacing w:line="240" w:lineRule="auto"/>
        <w:jc w:val="left"/>
        <w:rPr>
          <w:b/>
          <w:sz w:val="22"/>
          <w:szCs w:val="22"/>
          <w:lang w:val="pl-PL"/>
        </w:rPr>
      </w:pPr>
    </w:p>
    <w:p w:rsidR="000A17A5" w:rsidRPr="009353E6" w:rsidRDefault="00D56D5D" w:rsidP="000A17A5">
      <w:pPr>
        <w:numPr>
          <w:ilvl w:val="0"/>
          <w:numId w:val="50"/>
        </w:numPr>
        <w:rPr>
          <w:sz w:val="22"/>
          <w:szCs w:val="22"/>
          <w:lang w:val="pl-PL" w:bidi="bn-IN"/>
        </w:rPr>
      </w:pPr>
      <w:r w:rsidRPr="009353E6">
        <w:rPr>
          <w:sz w:val="22"/>
          <w:szCs w:val="22"/>
          <w:lang w:val="pl-PL"/>
        </w:rPr>
        <w:t>jeśli pacjent ma uczulenie</w:t>
      </w:r>
      <w:r w:rsidR="000A17A5" w:rsidRPr="009353E6">
        <w:rPr>
          <w:sz w:val="22"/>
          <w:szCs w:val="22"/>
          <w:lang w:val="pl-PL"/>
        </w:rPr>
        <w:t xml:space="preserve"> </w:t>
      </w:r>
      <w:r w:rsidRPr="009353E6">
        <w:rPr>
          <w:sz w:val="22"/>
          <w:szCs w:val="22"/>
          <w:lang w:val="pl-PL"/>
        </w:rPr>
        <w:t xml:space="preserve">na telmisartan lub którykolwiek z pozostałych składników </w:t>
      </w:r>
      <w:r w:rsidR="000A17A5" w:rsidRPr="009353E6">
        <w:rPr>
          <w:sz w:val="22"/>
          <w:szCs w:val="22"/>
          <w:lang w:val="pl-PL" w:bidi="bn-IN"/>
        </w:rPr>
        <w:t>tego leku (wymienion</w:t>
      </w:r>
      <w:r w:rsidR="00D85981" w:rsidRPr="009353E6">
        <w:rPr>
          <w:sz w:val="22"/>
          <w:szCs w:val="22"/>
          <w:lang w:val="pl-PL" w:bidi="bn-IN"/>
        </w:rPr>
        <w:t>ych</w:t>
      </w:r>
      <w:r w:rsidR="000A17A5" w:rsidRPr="009353E6">
        <w:rPr>
          <w:sz w:val="22"/>
          <w:szCs w:val="22"/>
          <w:lang w:val="pl-PL" w:bidi="bn-IN"/>
        </w:rPr>
        <w:t xml:space="preserve"> w punkcie</w:t>
      </w:r>
      <w:r w:rsidR="00C6285D" w:rsidRPr="009353E6">
        <w:rPr>
          <w:sz w:val="22"/>
          <w:szCs w:val="22"/>
          <w:lang w:val="pl-PL" w:bidi="bn-IN"/>
        </w:rPr>
        <w:t> </w:t>
      </w:r>
      <w:r w:rsidR="000A17A5" w:rsidRPr="009353E6">
        <w:rPr>
          <w:sz w:val="22"/>
          <w:szCs w:val="22"/>
          <w:lang w:val="pl-PL" w:bidi="bn-IN"/>
        </w:rPr>
        <w:t>6);</w:t>
      </w:r>
    </w:p>
    <w:p w:rsidR="00D56D5D" w:rsidRPr="009353E6" w:rsidRDefault="00D56D5D" w:rsidP="00D56D5D">
      <w:pPr>
        <w:numPr>
          <w:ilvl w:val="0"/>
          <w:numId w:val="22"/>
        </w:numPr>
        <w:tabs>
          <w:tab w:val="clear" w:pos="720"/>
          <w:tab w:val="num" w:pos="567"/>
        </w:tabs>
        <w:ind w:left="567" w:hanging="578"/>
        <w:rPr>
          <w:strike/>
          <w:sz w:val="22"/>
          <w:szCs w:val="22"/>
          <w:lang w:val="pl-PL"/>
        </w:rPr>
      </w:pPr>
      <w:r w:rsidRPr="009353E6">
        <w:rPr>
          <w:sz w:val="22"/>
          <w:szCs w:val="22"/>
          <w:lang w:val="pl-PL"/>
        </w:rPr>
        <w:t>jeśli pacjent ma uczulenie</w:t>
      </w:r>
      <w:r w:rsidR="000A17A5" w:rsidRPr="009353E6">
        <w:rPr>
          <w:sz w:val="22"/>
          <w:szCs w:val="22"/>
          <w:lang w:val="pl-PL"/>
        </w:rPr>
        <w:t xml:space="preserve"> </w:t>
      </w:r>
      <w:r w:rsidRPr="009353E6">
        <w:rPr>
          <w:sz w:val="22"/>
          <w:szCs w:val="22"/>
          <w:lang w:val="pl-PL"/>
        </w:rPr>
        <w:t>na hydrochlorotiazyd lub pochodne sulfonamidów;</w:t>
      </w:r>
    </w:p>
    <w:p w:rsidR="002D5E68" w:rsidRPr="009353E6" w:rsidRDefault="00DE784A" w:rsidP="002D507E">
      <w:pPr>
        <w:pStyle w:val="BodyText"/>
        <w:numPr>
          <w:ilvl w:val="0"/>
          <w:numId w:val="22"/>
        </w:numPr>
        <w:tabs>
          <w:tab w:val="clear" w:pos="720"/>
          <w:tab w:val="num" w:pos="540"/>
        </w:tabs>
        <w:spacing w:line="240" w:lineRule="auto"/>
        <w:ind w:left="540" w:hanging="540"/>
        <w:jc w:val="left"/>
        <w:rPr>
          <w:sz w:val="22"/>
          <w:szCs w:val="22"/>
          <w:lang w:val="pl-PL"/>
        </w:rPr>
      </w:pPr>
      <w:r w:rsidRPr="009353E6">
        <w:rPr>
          <w:sz w:val="22"/>
          <w:szCs w:val="22"/>
          <w:lang w:val="pl-PL"/>
        </w:rPr>
        <w:t>po trzecim miesiącu ciąży</w:t>
      </w:r>
      <w:r w:rsidR="006C0287" w:rsidRPr="009353E6">
        <w:rPr>
          <w:sz w:val="22"/>
          <w:szCs w:val="22"/>
          <w:lang w:val="pl-PL"/>
        </w:rPr>
        <w:t>.</w:t>
      </w:r>
      <w:r w:rsidRPr="009353E6">
        <w:rPr>
          <w:sz w:val="22"/>
          <w:szCs w:val="22"/>
          <w:lang w:val="pl-PL"/>
        </w:rPr>
        <w:t xml:space="preserve"> (Również należy unikać stosowania leku MicardisPlus we wczesnym okresie ciąży</w:t>
      </w:r>
      <w:r w:rsidRPr="009353E6">
        <w:rPr>
          <w:strike/>
          <w:sz w:val="22"/>
          <w:szCs w:val="22"/>
          <w:lang w:val="pl-PL"/>
        </w:rPr>
        <w:t xml:space="preserve"> </w:t>
      </w:r>
      <w:r w:rsidRPr="009353E6">
        <w:rPr>
          <w:sz w:val="22"/>
          <w:szCs w:val="22"/>
          <w:lang w:val="pl-PL"/>
        </w:rPr>
        <w:t>– patrz punkt „Ciąż</w:t>
      </w:r>
      <w:r w:rsidR="00E926FA" w:rsidRPr="009353E6">
        <w:rPr>
          <w:sz w:val="22"/>
          <w:szCs w:val="22"/>
          <w:lang w:val="pl-PL"/>
        </w:rPr>
        <w:t>a</w:t>
      </w:r>
      <w:r w:rsidRPr="009353E6">
        <w:rPr>
          <w:sz w:val="22"/>
          <w:szCs w:val="22"/>
          <w:lang w:val="pl-PL"/>
        </w:rPr>
        <w:t>”);</w:t>
      </w:r>
    </w:p>
    <w:p w:rsidR="00CC2EB8" w:rsidRPr="009353E6" w:rsidRDefault="00CC2EB8" w:rsidP="002D507E">
      <w:pPr>
        <w:pStyle w:val="BodyText"/>
        <w:numPr>
          <w:ilvl w:val="0"/>
          <w:numId w:val="22"/>
        </w:numPr>
        <w:tabs>
          <w:tab w:val="clear" w:pos="720"/>
          <w:tab w:val="num" w:pos="540"/>
        </w:tabs>
        <w:spacing w:line="240" w:lineRule="auto"/>
        <w:ind w:left="540" w:hanging="540"/>
        <w:jc w:val="left"/>
        <w:rPr>
          <w:sz w:val="22"/>
          <w:szCs w:val="22"/>
          <w:lang w:val="pl-PL"/>
        </w:rPr>
      </w:pPr>
      <w:r w:rsidRPr="009353E6">
        <w:rPr>
          <w:sz w:val="22"/>
          <w:szCs w:val="22"/>
          <w:lang w:val="pl-PL"/>
        </w:rPr>
        <w:t xml:space="preserve">jeśli u pacjenta występuje </w:t>
      </w:r>
      <w:r w:rsidR="0054649E" w:rsidRPr="009353E6">
        <w:rPr>
          <w:sz w:val="22"/>
          <w:szCs w:val="22"/>
          <w:lang w:val="pl-PL"/>
        </w:rPr>
        <w:t>ciężka choroba wątroby, tak</w:t>
      </w:r>
      <w:r w:rsidR="00B96E77" w:rsidRPr="009353E6">
        <w:rPr>
          <w:sz w:val="22"/>
          <w:szCs w:val="22"/>
          <w:lang w:val="pl-PL"/>
        </w:rPr>
        <w:t>a</w:t>
      </w:r>
      <w:r w:rsidR="0054649E" w:rsidRPr="009353E6">
        <w:rPr>
          <w:sz w:val="22"/>
          <w:szCs w:val="22"/>
          <w:lang w:val="pl-PL"/>
        </w:rPr>
        <w:t xml:space="preserve"> jak </w:t>
      </w:r>
      <w:r w:rsidRPr="009353E6">
        <w:rPr>
          <w:sz w:val="22"/>
          <w:szCs w:val="22"/>
          <w:lang w:val="pl-PL"/>
        </w:rPr>
        <w:t>zastój żółci lub zwężeni</w:t>
      </w:r>
      <w:r w:rsidR="00B96E77" w:rsidRPr="009353E6">
        <w:rPr>
          <w:sz w:val="22"/>
          <w:szCs w:val="22"/>
          <w:lang w:val="pl-PL"/>
        </w:rPr>
        <w:t>e</w:t>
      </w:r>
      <w:r w:rsidRPr="009353E6">
        <w:rPr>
          <w:sz w:val="22"/>
          <w:szCs w:val="22"/>
          <w:lang w:val="pl-PL"/>
        </w:rPr>
        <w:t xml:space="preserve"> dróg żółciowych (zaburzenia odpływu żółci z</w:t>
      </w:r>
      <w:r w:rsidR="00A50023" w:rsidRPr="009353E6">
        <w:rPr>
          <w:sz w:val="22"/>
          <w:szCs w:val="22"/>
          <w:lang w:val="pl-PL"/>
        </w:rPr>
        <w:t xml:space="preserve"> wątroby i</w:t>
      </w:r>
      <w:r w:rsidRPr="009353E6">
        <w:rPr>
          <w:sz w:val="22"/>
          <w:szCs w:val="22"/>
          <w:lang w:val="pl-PL"/>
        </w:rPr>
        <w:t xml:space="preserve"> pęcherzyka żółciowego)</w:t>
      </w:r>
      <w:r w:rsidR="00B96E77" w:rsidRPr="009353E6">
        <w:rPr>
          <w:sz w:val="22"/>
          <w:szCs w:val="22"/>
          <w:lang w:val="pl-PL"/>
        </w:rPr>
        <w:t xml:space="preserve"> lub jakakolwiek inna c</w:t>
      </w:r>
      <w:r w:rsidRPr="009353E6">
        <w:rPr>
          <w:sz w:val="22"/>
          <w:szCs w:val="22"/>
          <w:lang w:val="pl-PL"/>
        </w:rPr>
        <w:t>iężk</w:t>
      </w:r>
      <w:r w:rsidR="00B96E77" w:rsidRPr="009353E6">
        <w:rPr>
          <w:sz w:val="22"/>
          <w:szCs w:val="22"/>
          <w:lang w:val="pl-PL"/>
        </w:rPr>
        <w:t>a</w:t>
      </w:r>
      <w:r w:rsidRPr="009353E6">
        <w:rPr>
          <w:sz w:val="22"/>
          <w:szCs w:val="22"/>
          <w:lang w:val="pl-PL"/>
        </w:rPr>
        <w:t xml:space="preserve"> chorob</w:t>
      </w:r>
      <w:r w:rsidR="00180110" w:rsidRPr="009353E6">
        <w:rPr>
          <w:sz w:val="22"/>
          <w:szCs w:val="22"/>
          <w:lang w:val="pl-PL"/>
        </w:rPr>
        <w:t>a</w:t>
      </w:r>
      <w:r w:rsidRPr="009353E6">
        <w:rPr>
          <w:sz w:val="22"/>
          <w:szCs w:val="22"/>
          <w:lang w:val="pl-PL"/>
        </w:rPr>
        <w:t xml:space="preserve"> wątroby</w:t>
      </w:r>
      <w:r w:rsidR="00180110" w:rsidRPr="009353E6">
        <w:rPr>
          <w:sz w:val="22"/>
          <w:szCs w:val="22"/>
          <w:lang w:val="pl-PL"/>
        </w:rPr>
        <w:t>;</w:t>
      </w:r>
    </w:p>
    <w:p w:rsidR="00CC2EB8" w:rsidRPr="009353E6" w:rsidRDefault="00CC2EB8" w:rsidP="002D507E">
      <w:pPr>
        <w:pStyle w:val="BodyText"/>
        <w:numPr>
          <w:ilvl w:val="0"/>
          <w:numId w:val="22"/>
        </w:numPr>
        <w:tabs>
          <w:tab w:val="clear" w:pos="720"/>
          <w:tab w:val="num" w:pos="540"/>
        </w:tabs>
        <w:spacing w:line="240" w:lineRule="auto"/>
        <w:ind w:left="540" w:hanging="540"/>
        <w:jc w:val="left"/>
        <w:rPr>
          <w:sz w:val="22"/>
          <w:szCs w:val="22"/>
          <w:lang w:val="pl-PL"/>
        </w:rPr>
      </w:pPr>
      <w:r w:rsidRPr="009353E6">
        <w:rPr>
          <w:sz w:val="22"/>
          <w:szCs w:val="22"/>
          <w:lang w:val="pl-PL"/>
        </w:rPr>
        <w:t>jeśli pacjent ma ciężką chorobę nerek</w:t>
      </w:r>
      <w:r w:rsidR="00180110" w:rsidRPr="009353E6">
        <w:rPr>
          <w:sz w:val="22"/>
          <w:szCs w:val="22"/>
          <w:lang w:val="pl-PL"/>
        </w:rPr>
        <w:t>;</w:t>
      </w:r>
    </w:p>
    <w:p w:rsidR="0054649E" w:rsidRPr="009353E6" w:rsidRDefault="0054649E" w:rsidP="002D507E">
      <w:pPr>
        <w:pStyle w:val="BodyText"/>
        <w:numPr>
          <w:ilvl w:val="0"/>
          <w:numId w:val="22"/>
        </w:numPr>
        <w:tabs>
          <w:tab w:val="clear" w:pos="720"/>
          <w:tab w:val="num" w:pos="540"/>
        </w:tabs>
        <w:spacing w:line="240" w:lineRule="auto"/>
        <w:ind w:left="540" w:hanging="540"/>
        <w:jc w:val="left"/>
        <w:rPr>
          <w:sz w:val="22"/>
          <w:szCs w:val="22"/>
          <w:lang w:val="pl-PL"/>
        </w:rPr>
      </w:pPr>
      <w:r w:rsidRPr="009353E6">
        <w:rPr>
          <w:sz w:val="22"/>
          <w:szCs w:val="22"/>
          <w:lang w:val="pl-PL"/>
        </w:rPr>
        <w:t xml:space="preserve">jeśli lekarz stwierdzi występowanie </w:t>
      </w:r>
      <w:r w:rsidR="00180110" w:rsidRPr="009353E6">
        <w:rPr>
          <w:sz w:val="22"/>
          <w:szCs w:val="22"/>
          <w:lang w:val="pl-PL"/>
        </w:rPr>
        <w:t xml:space="preserve">małego stężenia </w:t>
      </w:r>
      <w:r w:rsidRPr="009353E6">
        <w:rPr>
          <w:sz w:val="22"/>
          <w:szCs w:val="22"/>
          <w:lang w:val="pl-PL"/>
        </w:rPr>
        <w:t xml:space="preserve">potasu lub </w:t>
      </w:r>
      <w:r w:rsidR="00180110" w:rsidRPr="009353E6">
        <w:rPr>
          <w:sz w:val="22"/>
          <w:szCs w:val="22"/>
          <w:lang w:val="pl-PL"/>
        </w:rPr>
        <w:t xml:space="preserve">dużego stężenia </w:t>
      </w:r>
      <w:r w:rsidRPr="009353E6">
        <w:rPr>
          <w:sz w:val="22"/>
          <w:szCs w:val="22"/>
          <w:lang w:val="pl-PL"/>
        </w:rPr>
        <w:t>wapnia we krwi, które nie ulegają poprawie na skutek leczenia</w:t>
      </w:r>
      <w:r w:rsidR="00D26BEB" w:rsidRPr="009353E6">
        <w:rPr>
          <w:sz w:val="22"/>
          <w:szCs w:val="22"/>
          <w:lang w:val="pl-PL"/>
        </w:rPr>
        <w:t>;</w:t>
      </w:r>
    </w:p>
    <w:p w:rsidR="00065995" w:rsidRPr="009353E6" w:rsidRDefault="00065995" w:rsidP="00D50D09">
      <w:pPr>
        <w:numPr>
          <w:ilvl w:val="0"/>
          <w:numId w:val="22"/>
        </w:numPr>
        <w:tabs>
          <w:tab w:val="clear" w:pos="720"/>
          <w:tab w:val="num" w:pos="567"/>
        </w:tabs>
        <w:ind w:left="567" w:hanging="567"/>
        <w:rPr>
          <w:sz w:val="22"/>
          <w:szCs w:val="22"/>
          <w:lang w:val="pl-PL"/>
        </w:rPr>
      </w:pPr>
      <w:r w:rsidRPr="009353E6">
        <w:rPr>
          <w:sz w:val="22"/>
          <w:szCs w:val="22"/>
          <w:lang w:val="pl-PL"/>
        </w:rPr>
        <w:t>jeśli pacjent ma cukrzycę  lub zaburzenia czynności nerek i jest leczony lekiem obniżającym ciśnienie krwi zawierającym aliskiren.</w:t>
      </w:r>
    </w:p>
    <w:p w:rsidR="00A50023" w:rsidRPr="009353E6" w:rsidRDefault="00A50023" w:rsidP="00F831F6">
      <w:pPr>
        <w:pStyle w:val="BodyText"/>
        <w:spacing w:line="240" w:lineRule="auto"/>
        <w:jc w:val="left"/>
        <w:rPr>
          <w:sz w:val="22"/>
          <w:szCs w:val="22"/>
          <w:lang w:val="pl-PL"/>
        </w:rPr>
      </w:pPr>
    </w:p>
    <w:p w:rsidR="002D3E1A" w:rsidRPr="009353E6" w:rsidRDefault="00AD0A52" w:rsidP="00F831F6">
      <w:pPr>
        <w:pStyle w:val="BodyText"/>
        <w:spacing w:line="240" w:lineRule="auto"/>
        <w:jc w:val="left"/>
        <w:rPr>
          <w:sz w:val="22"/>
          <w:szCs w:val="22"/>
          <w:lang w:val="pl-PL"/>
        </w:rPr>
      </w:pPr>
      <w:r w:rsidRPr="009353E6">
        <w:rPr>
          <w:sz w:val="22"/>
          <w:szCs w:val="22"/>
          <w:lang w:val="pl-PL"/>
        </w:rPr>
        <w:t>Jeżeli</w:t>
      </w:r>
      <w:r w:rsidR="00180110" w:rsidRPr="009353E6">
        <w:rPr>
          <w:sz w:val="22"/>
          <w:szCs w:val="22"/>
          <w:lang w:val="pl-PL"/>
        </w:rPr>
        <w:t xml:space="preserve"> którakolwiek powyższa sytuacja dotyczy pacjenta, n</w:t>
      </w:r>
      <w:r w:rsidR="002D3E1A" w:rsidRPr="009353E6">
        <w:rPr>
          <w:sz w:val="22"/>
          <w:szCs w:val="22"/>
          <w:lang w:val="pl-PL"/>
        </w:rPr>
        <w:t xml:space="preserve">ależy poinformować lekarza lub farmaceutę, </w:t>
      </w:r>
      <w:r w:rsidR="0054649E" w:rsidRPr="009353E6">
        <w:rPr>
          <w:sz w:val="22"/>
          <w:szCs w:val="22"/>
          <w:lang w:val="pl-PL"/>
        </w:rPr>
        <w:t>przed zażyciem leku MicardisPlus</w:t>
      </w:r>
      <w:r w:rsidR="002D3E1A" w:rsidRPr="009353E6">
        <w:rPr>
          <w:sz w:val="22"/>
          <w:szCs w:val="22"/>
          <w:lang w:val="pl-PL"/>
        </w:rPr>
        <w:t>.</w:t>
      </w:r>
    </w:p>
    <w:p w:rsidR="0054649E" w:rsidRPr="009353E6" w:rsidRDefault="0054649E" w:rsidP="00F831F6">
      <w:pPr>
        <w:pStyle w:val="BodyText"/>
        <w:spacing w:line="240" w:lineRule="auto"/>
        <w:jc w:val="left"/>
        <w:rPr>
          <w:sz w:val="22"/>
          <w:szCs w:val="22"/>
          <w:lang w:val="pl-PL"/>
        </w:rPr>
      </w:pPr>
    </w:p>
    <w:p w:rsidR="00AC1BF8" w:rsidRPr="009353E6" w:rsidRDefault="00AC1BF8" w:rsidP="00AC1BF8">
      <w:pPr>
        <w:keepNext/>
        <w:keepLines/>
        <w:rPr>
          <w:b/>
          <w:sz w:val="22"/>
          <w:szCs w:val="22"/>
          <w:lang w:val="pl-PL" w:bidi="bn-IN"/>
        </w:rPr>
      </w:pPr>
      <w:r w:rsidRPr="009353E6">
        <w:rPr>
          <w:b/>
          <w:sz w:val="22"/>
          <w:szCs w:val="22"/>
          <w:lang w:val="pl-PL" w:bidi="bn-IN"/>
        </w:rPr>
        <w:t>Ostrzeżenia i środki ostrożności</w:t>
      </w:r>
    </w:p>
    <w:p w:rsidR="00C449BB" w:rsidRPr="009353E6" w:rsidRDefault="001F235C" w:rsidP="00C449BB">
      <w:pPr>
        <w:pStyle w:val="BodyText"/>
        <w:spacing w:line="240" w:lineRule="auto"/>
        <w:jc w:val="left"/>
        <w:rPr>
          <w:sz w:val="22"/>
          <w:szCs w:val="22"/>
          <w:lang w:val="pl-PL"/>
        </w:rPr>
      </w:pPr>
      <w:r w:rsidRPr="009353E6">
        <w:rPr>
          <w:sz w:val="22"/>
          <w:szCs w:val="22"/>
          <w:lang w:val="pl-PL"/>
        </w:rPr>
        <w:t>Przed rozpoczęciem przyjmowania leku MicardisPlus n</w:t>
      </w:r>
      <w:r w:rsidR="00C449BB" w:rsidRPr="009353E6">
        <w:rPr>
          <w:sz w:val="22"/>
          <w:szCs w:val="22"/>
          <w:lang w:val="pl-PL"/>
        </w:rPr>
        <w:t xml:space="preserve">ależy </w:t>
      </w:r>
      <w:r w:rsidR="00685232" w:rsidRPr="009353E6">
        <w:rPr>
          <w:sz w:val="22"/>
          <w:szCs w:val="22"/>
          <w:lang w:val="pl-PL"/>
        </w:rPr>
        <w:t>omówić to z lekarzem</w:t>
      </w:r>
      <w:r w:rsidR="00C449BB" w:rsidRPr="009353E6">
        <w:rPr>
          <w:sz w:val="22"/>
          <w:szCs w:val="22"/>
          <w:lang w:val="pl-PL"/>
        </w:rPr>
        <w:t xml:space="preserve">, jeśli u pacjenta występują lub występowały którekolwiek z poniższych stanów lub chorób: </w:t>
      </w:r>
    </w:p>
    <w:p w:rsidR="0054649E" w:rsidRPr="009353E6" w:rsidRDefault="0054649E" w:rsidP="00F831F6">
      <w:pPr>
        <w:pStyle w:val="BodyText"/>
        <w:spacing w:line="240" w:lineRule="auto"/>
        <w:jc w:val="left"/>
        <w:rPr>
          <w:sz w:val="22"/>
          <w:szCs w:val="22"/>
          <w:lang w:val="pl-PL"/>
        </w:rPr>
      </w:pPr>
    </w:p>
    <w:p w:rsidR="0054649E" w:rsidRPr="009353E6" w:rsidRDefault="00180110"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n</w:t>
      </w:r>
      <w:r w:rsidR="0054649E" w:rsidRPr="009353E6">
        <w:rPr>
          <w:rFonts w:eastAsia="MS Mincho"/>
          <w:sz w:val="22"/>
          <w:szCs w:val="22"/>
          <w:lang w:val="pl-PL" w:eastAsia="ja-JP"/>
        </w:rPr>
        <w:t xml:space="preserve">iskie ciśnienie tętnicze krwi (niedociśnienie), którego prawdopodobieństwo wystąpienia jest </w:t>
      </w:r>
      <w:r w:rsidRPr="009353E6">
        <w:rPr>
          <w:rFonts w:eastAsia="MS Mincho"/>
          <w:sz w:val="22"/>
          <w:szCs w:val="22"/>
          <w:lang w:val="pl-PL" w:eastAsia="ja-JP"/>
        </w:rPr>
        <w:t xml:space="preserve">większe, jeśli pacjent jest </w:t>
      </w:r>
      <w:r w:rsidR="0054649E" w:rsidRPr="009353E6">
        <w:rPr>
          <w:rFonts w:eastAsia="MS Mincho"/>
          <w:sz w:val="22"/>
          <w:szCs w:val="22"/>
          <w:lang w:val="pl-PL" w:eastAsia="ja-JP"/>
        </w:rPr>
        <w:t>odwodniony (z nadmiern</w:t>
      </w:r>
      <w:r w:rsidR="00371E78" w:rsidRPr="009353E6">
        <w:rPr>
          <w:rFonts w:eastAsia="MS Mincho"/>
          <w:sz w:val="22"/>
          <w:szCs w:val="22"/>
          <w:lang w:val="pl-PL" w:eastAsia="ja-JP"/>
        </w:rPr>
        <w:t>ą</w:t>
      </w:r>
      <w:r w:rsidR="0054649E" w:rsidRPr="009353E6">
        <w:rPr>
          <w:rFonts w:eastAsia="MS Mincho"/>
          <w:sz w:val="22"/>
          <w:szCs w:val="22"/>
          <w:lang w:val="pl-PL" w:eastAsia="ja-JP"/>
        </w:rPr>
        <w:t xml:space="preserve"> utrat</w:t>
      </w:r>
      <w:r w:rsidR="00371E78" w:rsidRPr="009353E6">
        <w:rPr>
          <w:rFonts w:eastAsia="MS Mincho"/>
          <w:sz w:val="22"/>
          <w:szCs w:val="22"/>
          <w:lang w:val="pl-PL" w:eastAsia="ja-JP"/>
        </w:rPr>
        <w:t>ą</w:t>
      </w:r>
      <w:r w:rsidR="0054649E" w:rsidRPr="009353E6">
        <w:rPr>
          <w:rFonts w:eastAsia="MS Mincho"/>
          <w:sz w:val="22"/>
          <w:szCs w:val="22"/>
          <w:lang w:val="pl-PL" w:eastAsia="ja-JP"/>
        </w:rPr>
        <w:t xml:space="preserve"> wody z organizmu) lub </w:t>
      </w:r>
      <w:r w:rsidRPr="009353E6">
        <w:rPr>
          <w:rFonts w:eastAsia="MS Mincho"/>
          <w:sz w:val="22"/>
          <w:szCs w:val="22"/>
          <w:lang w:val="pl-PL" w:eastAsia="ja-JP"/>
        </w:rPr>
        <w:t xml:space="preserve">ma </w:t>
      </w:r>
      <w:r w:rsidR="0054649E" w:rsidRPr="009353E6">
        <w:rPr>
          <w:rFonts w:eastAsia="MS Mincho"/>
          <w:sz w:val="22"/>
          <w:szCs w:val="22"/>
          <w:lang w:val="pl-PL" w:eastAsia="ja-JP"/>
        </w:rPr>
        <w:t>niedob</w:t>
      </w:r>
      <w:r w:rsidRPr="009353E6">
        <w:rPr>
          <w:rFonts w:eastAsia="MS Mincho"/>
          <w:sz w:val="22"/>
          <w:szCs w:val="22"/>
          <w:lang w:val="pl-PL" w:eastAsia="ja-JP"/>
        </w:rPr>
        <w:t>ó</w:t>
      </w:r>
      <w:r w:rsidR="0054649E" w:rsidRPr="009353E6">
        <w:rPr>
          <w:rFonts w:eastAsia="MS Mincho"/>
          <w:sz w:val="22"/>
          <w:szCs w:val="22"/>
          <w:lang w:val="pl-PL" w:eastAsia="ja-JP"/>
        </w:rPr>
        <w:t>r soli</w:t>
      </w:r>
      <w:r w:rsidRPr="009353E6">
        <w:rPr>
          <w:rFonts w:eastAsia="MS Mincho"/>
          <w:sz w:val="22"/>
          <w:szCs w:val="22"/>
          <w:lang w:val="pl-PL" w:eastAsia="ja-JP"/>
        </w:rPr>
        <w:t xml:space="preserve"> </w:t>
      </w:r>
      <w:r w:rsidR="0054649E" w:rsidRPr="009353E6">
        <w:rPr>
          <w:rFonts w:eastAsia="MS Mincho"/>
          <w:sz w:val="22"/>
          <w:szCs w:val="22"/>
          <w:lang w:val="pl-PL" w:eastAsia="ja-JP"/>
        </w:rPr>
        <w:t>z powodu stosowania leków moczopędnych (tabletek odwadniających), diety ubogosolnej, biegunki, wymiotów lub hemodializy</w:t>
      </w:r>
      <w:r w:rsidR="00D26BEB" w:rsidRPr="009353E6">
        <w:rPr>
          <w:rFonts w:eastAsia="MS Mincho"/>
          <w:sz w:val="22"/>
          <w:szCs w:val="22"/>
          <w:lang w:val="pl-PL" w:eastAsia="ja-JP"/>
        </w:rPr>
        <w:t>;</w:t>
      </w:r>
    </w:p>
    <w:p w:rsidR="0054649E" w:rsidRPr="009353E6" w:rsidRDefault="00180110"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54649E" w:rsidRPr="009353E6">
        <w:rPr>
          <w:rFonts w:eastAsia="MS Mincho"/>
          <w:sz w:val="22"/>
          <w:szCs w:val="22"/>
          <w:lang w:val="pl-PL" w:eastAsia="ja-JP"/>
        </w:rPr>
        <w:t>horoba nerek lub przeszczep nerk</w:t>
      </w:r>
      <w:r w:rsidRPr="009353E6">
        <w:rPr>
          <w:rFonts w:eastAsia="MS Mincho"/>
          <w:sz w:val="22"/>
          <w:szCs w:val="22"/>
          <w:lang w:val="pl-PL" w:eastAsia="ja-JP"/>
        </w:rPr>
        <w:t>i</w:t>
      </w:r>
      <w:r w:rsidR="00D26BEB" w:rsidRPr="009353E6">
        <w:rPr>
          <w:rFonts w:eastAsia="MS Mincho"/>
          <w:sz w:val="22"/>
          <w:szCs w:val="22"/>
          <w:lang w:val="pl-PL" w:eastAsia="ja-JP"/>
        </w:rPr>
        <w:t>;</w:t>
      </w:r>
    </w:p>
    <w:p w:rsidR="0054649E" w:rsidRPr="009353E6" w:rsidRDefault="00180110"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z</w:t>
      </w:r>
      <w:r w:rsidR="0054649E" w:rsidRPr="009353E6">
        <w:rPr>
          <w:rFonts w:eastAsia="MS Mincho"/>
          <w:sz w:val="22"/>
          <w:szCs w:val="22"/>
          <w:lang w:val="pl-PL" w:eastAsia="ja-JP"/>
        </w:rPr>
        <w:t>wężenie tętnicy nerkowej (zwężenie naczyń krwionośnych jednej nerki lub obu nerek)</w:t>
      </w:r>
      <w:r w:rsidRPr="009353E6">
        <w:rPr>
          <w:rFonts w:eastAsia="MS Mincho"/>
          <w:sz w:val="22"/>
          <w:szCs w:val="22"/>
          <w:lang w:val="pl-PL" w:eastAsia="ja-JP"/>
        </w:rPr>
        <w:t>.</w:t>
      </w:r>
    </w:p>
    <w:p w:rsidR="0054649E" w:rsidRPr="009353E6" w:rsidRDefault="00180110"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54649E" w:rsidRPr="009353E6">
        <w:rPr>
          <w:rFonts w:eastAsia="MS Mincho"/>
          <w:sz w:val="22"/>
          <w:szCs w:val="22"/>
          <w:lang w:val="pl-PL" w:eastAsia="ja-JP"/>
        </w:rPr>
        <w:t>horoba wątroby</w:t>
      </w:r>
      <w:r w:rsidR="00D26BEB" w:rsidRPr="009353E6">
        <w:rPr>
          <w:rFonts w:eastAsia="MS Mincho"/>
          <w:sz w:val="22"/>
          <w:szCs w:val="22"/>
          <w:lang w:val="pl-PL" w:eastAsia="ja-JP"/>
        </w:rPr>
        <w:t>;</w:t>
      </w:r>
    </w:p>
    <w:p w:rsidR="0054649E" w:rsidRPr="009353E6" w:rsidRDefault="00D26BEB"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choroba serca;</w:t>
      </w:r>
    </w:p>
    <w:p w:rsidR="0054649E" w:rsidRPr="009353E6" w:rsidRDefault="008841B5"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54649E" w:rsidRPr="009353E6">
        <w:rPr>
          <w:rFonts w:eastAsia="MS Mincho"/>
          <w:sz w:val="22"/>
          <w:szCs w:val="22"/>
          <w:lang w:val="pl-PL" w:eastAsia="ja-JP"/>
        </w:rPr>
        <w:t>ukrzyca</w:t>
      </w:r>
      <w:r w:rsidR="00D26BEB" w:rsidRPr="009353E6">
        <w:rPr>
          <w:rFonts w:eastAsia="MS Mincho"/>
          <w:sz w:val="22"/>
          <w:szCs w:val="22"/>
          <w:lang w:val="pl-PL" w:eastAsia="ja-JP"/>
        </w:rPr>
        <w:t>;</w:t>
      </w:r>
    </w:p>
    <w:p w:rsidR="00840891" w:rsidRPr="009353E6" w:rsidRDefault="007D7C96"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dna moczanowa</w:t>
      </w:r>
      <w:r w:rsidR="00D26BEB" w:rsidRPr="009353E6">
        <w:rPr>
          <w:rFonts w:eastAsia="MS Mincho"/>
          <w:sz w:val="22"/>
          <w:szCs w:val="22"/>
          <w:lang w:val="pl-PL" w:eastAsia="ja-JP"/>
        </w:rPr>
        <w:t>;</w:t>
      </w:r>
    </w:p>
    <w:p w:rsidR="007D7C96" w:rsidRPr="009353E6" w:rsidRDefault="007D7C96"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zwiększone stężenie aldosteronu (zatrzymanie wody i soli w organizmie łącznie z zaburzeniem równowagi elektrolitowej)</w:t>
      </w:r>
      <w:r w:rsidR="00D26BEB" w:rsidRPr="009353E6">
        <w:rPr>
          <w:rFonts w:eastAsia="MS Mincho"/>
          <w:sz w:val="22"/>
          <w:szCs w:val="22"/>
          <w:lang w:val="pl-PL" w:eastAsia="ja-JP"/>
        </w:rPr>
        <w:t>;</w:t>
      </w:r>
    </w:p>
    <w:p w:rsidR="0054649E" w:rsidRPr="009353E6" w:rsidRDefault="00180110" w:rsidP="002D507E">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t</w:t>
      </w:r>
      <w:r w:rsidR="0054649E" w:rsidRPr="009353E6">
        <w:rPr>
          <w:rFonts w:eastAsia="MS Mincho"/>
          <w:sz w:val="22"/>
          <w:szCs w:val="22"/>
          <w:lang w:val="pl-PL" w:eastAsia="ja-JP"/>
        </w:rPr>
        <w:t xml:space="preserve">oczeń rumieniowaty </w:t>
      </w:r>
      <w:r w:rsidR="0086728C" w:rsidRPr="009353E6">
        <w:rPr>
          <w:rFonts w:eastAsia="MS Mincho"/>
          <w:sz w:val="22"/>
          <w:szCs w:val="22"/>
          <w:lang w:val="pl-PL" w:eastAsia="ja-JP"/>
        </w:rPr>
        <w:t xml:space="preserve">układowy </w:t>
      </w:r>
      <w:r w:rsidR="0054649E" w:rsidRPr="009353E6">
        <w:rPr>
          <w:rFonts w:eastAsia="MS Mincho"/>
          <w:sz w:val="22"/>
          <w:szCs w:val="22"/>
          <w:lang w:val="pl-PL" w:eastAsia="ja-JP"/>
        </w:rPr>
        <w:t>(zwany również „toczniem” lub „SLE”), choroba, w przebiegu której układ odpornościowy atakuje własny organizm</w:t>
      </w:r>
      <w:r w:rsidR="00D26BEB" w:rsidRPr="009353E6">
        <w:rPr>
          <w:rFonts w:eastAsia="MS Mincho"/>
          <w:sz w:val="22"/>
          <w:szCs w:val="22"/>
          <w:lang w:val="pl-PL" w:eastAsia="ja-JP"/>
        </w:rPr>
        <w:t>;</w:t>
      </w:r>
    </w:p>
    <w:p w:rsidR="00836E05" w:rsidRPr="009353E6" w:rsidRDefault="00836E05" w:rsidP="007572B2">
      <w:pPr>
        <w:pStyle w:val="BodyText"/>
        <w:numPr>
          <w:ilvl w:val="0"/>
          <w:numId w:val="23"/>
        </w:numPr>
        <w:spacing w:line="240" w:lineRule="auto"/>
        <w:jc w:val="left"/>
        <w:rPr>
          <w:rFonts w:eastAsia="MS Mincho"/>
          <w:sz w:val="22"/>
          <w:szCs w:val="22"/>
          <w:lang w:val="pl-PL" w:eastAsia="ja-JP"/>
        </w:rPr>
      </w:pPr>
      <w:r w:rsidRPr="009353E6">
        <w:rPr>
          <w:rFonts w:eastAsia="MS Mincho"/>
          <w:sz w:val="22"/>
          <w:szCs w:val="22"/>
          <w:lang w:val="pl-PL" w:eastAsia="ja-JP"/>
        </w:rPr>
        <w:t xml:space="preserve">substancja czynna hydrochlorotiazyd może powodować rzadkie reakcje powodujące ograniczenie widzenia i ból oczu. Mogą to być objawy </w:t>
      </w:r>
      <w:r w:rsidR="007572B2" w:rsidRPr="009353E6">
        <w:rPr>
          <w:rFonts w:eastAsia="MS Mincho"/>
          <w:sz w:val="22"/>
          <w:szCs w:val="22"/>
          <w:lang w:val="pl-PL" w:eastAsia="ja-JP"/>
        </w:rPr>
        <w:t xml:space="preserve">gromadzenia się płynu w unaczynionej błonie otaczającej oko (nadmiernego nagromadzenia płynu między naczyniówką a twardówką) lub </w:t>
      </w:r>
      <w:r w:rsidRPr="009353E6">
        <w:rPr>
          <w:rFonts w:eastAsia="MS Mincho"/>
          <w:sz w:val="22"/>
          <w:szCs w:val="22"/>
          <w:lang w:val="pl-PL" w:eastAsia="ja-JP"/>
        </w:rPr>
        <w:t>zwiększonego ciśnienia w gałce ocznej</w:t>
      </w:r>
      <w:r w:rsidR="009A5024" w:rsidRPr="009353E6">
        <w:rPr>
          <w:rFonts w:eastAsia="MS Mincho"/>
          <w:sz w:val="22"/>
          <w:szCs w:val="22"/>
          <w:lang w:val="pl-PL" w:eastAsia="ja-JP"/>
        </w:rPr>
        <w:t xml:space="preserve">, </w:t>
      </w:r>
      <w:r w:rsidRPr="009353E6">
        <w:rPr>
          <w:rFonts w:eastAsia="MS Mincho"/>
          <w:sz w:val="22"/>
          <w:szCs w:val="22"/>
          <w:lang w:val="pl-PL" w:eastAsia="ja-JP"/>
        </w:rPr>
        <w:t xml:space="preserve">które mogą się pojawić w ciągu kilku godzin </w:t>
      </w:r>
      <w:r w:rsidR="00542F0E" w:rsidRPr="009353E6">
        <w:rPr>
          <w:rFonts w:eastAsia="MS Mincho"/>
          <w:sz w:val="22"/>
          <w:szCs w:val="22"/>
          <w:lang w:val="pl-PL" w:eastAsia="ja-JP"/>
        </w:rPr>
        <w:t xml:space="preserve">do </w:t>
      </w:r>
      <w:r w:rsidRPr="009353E6">
        <w:rPr>
          <w:rFonts w:eastAsia="MS Mincho"/>
          <w:sz w:val="22"/>
          <w:szCs w:val="22"/>
          <w:lang w:val="pl-PL" w:eastAsia="ja-JP"/>
        </w:rPr>
        <w:t>kilku tygodni od przyjęcia leku MicardisPlus. Nieleczone mogą prowadzić do trwałe</w:t>
      </w:r>
      <w:r w:rsidR="00A50023" w:rsidRPr="009353E6">
        <w:rPr>
          <w:rFonts w:eastAsia="MS Mincho"/>
          <w:sz w:val="22"/>
          <w:szCs w:val="22"/>
          <w:lang w:val="pl-PL" w:eastAsia="ja-JP"/>
        </w:rPr>
        <w:t xml:space="preserve">go zaburzenia </w:t>
      </w:r>
      <w:r w:rsidRPr="009353E6">
        <w:rPr>
          <w:rFonts w:eastAsia="MS Mincho"/>
          <w:sz w:val="22"/>
          <w:szCs w:val="22"/>
          <w:lang w:val="pl-PL" w:eastAsia="ja-JP"/>
        </w:rPr>
        <w:t>wzroku.</w:t>
      </w:r>
    </w:p>
    <w:p w:rsidR="008568F4" w:rsidRPr="009353E6" w:rsidRDefault="00BF2D01" w:rsidP="00836E05">
      <w:pPr>
        <w:pStyle w:val="BodyText"/>
        <w:numPr>
          <w:ilvl w:val="0"/>
          <w:numId w:val="23"/>
        </w:numPr>
        <w:tabs>
          <w:tab w:val="num" w:pos="540"/>
        </w:tabs>
        <w:spacing w:line="240" w:lineRule="auto"/>
        <w:ind w:left="540" w:hanging="540"/>
        <w:jc w:val="left"/>
        <w:rPr>
          <w:rFonts w:eastAsia="MS Mincho"/>
          <w:sz w:val="22"/>
          <w:szCs w:val="22"/>
          <w:lang w:val="pl-PL" w:eastAsia="ja-JP"/>
        </w:rPr>
      </w:pPr>
      <w:r w:rsidRPr="009353E6">
        <w:rPr>
          <w:sz w:val="22"/>
          <w:szCs w:val="22"/>
          <w:lang w:val="pl-PL"/>
        </w:rPr>
        <w:t>j</w:t>
      </w:r>
      <w:r w:rsidR="008568F4" w:rsidRPr="009353E6">
        <w:rPr>
          <w:sz w:val="22"/>
          <w:szCs w:val="22"/>
          <w:lang w:val="pl-PL"/>
        </w:rPr>
        <w:t>eśli w przeszłości u pacjenta wystąpił nowotwór złośliwy skóry lub jeśli w trakcie leczenia pojawi się nieoczekiwana zmiana skórna. Leczenie hydrochlorotiazydem, zwłaszcza dużymi dawkami przez dłuższy czas, może zwiększyć ryzyko niektórych rodzajów nowotworów złośliwych skóry i warg (nieczerniakowy now</w:t>
      </w:r>
      <w:r w:rsidR="00241C6B" w:rsidRPr="009353E6">
        <w:rPr>
          <w:sz w:val="22"/>
          <w:szCs w:val="22"/>
          <w:lang w:val="pl-PL"/>
        </w:rPr>
        <w:t>otwór złośliwy skóry). Podczas przyjmowania</w:t>
      </w:r>
      <w:r w:rsidR="008568F4" w:rsidRPr="009353E6">
        <w:rPr>
          <w:sz w:val="22"/>
          <w:szCs w:val="22"/>
          <w:lang w:val="pl-PL"/>
        </w:rPr>
        <w:t xml:space="preserve"> leku </w:t>
      </w:r>
      <w:r w:rsidR="00241C6B" w:rsidRPr="009353E6">
        <w:rPr>
          <w:sz w:val="22"/>
          <w:szCs w:val="22"/>
          <w:lang w:val="pl-PL"/>
        </w:rPr>
        <w:t>MicardisPlus</w:t>
      </w:r>
      <w:r w:rsidR="008568F4" w:rsidRPr="009353E6">
        <w:rPr>
          <w:sz w:val="22"/>
          <w:szCs w:val="22"/>
          <w:lang w:val="pl-PL"/>
        </w:rPr>
        <w:t xml:space="preserve"> należy chronić skórę przed działaniem światła słonecznego i</w:t>
      </w:r>
      <w:r w:rsidR="0096541B" w:rsidRPr="009353E6">
        <w:rPr>
          <w:sz w:val="22"/>
          <w:szCs w:val="22"/>
          <w:lang w:val="pl-PL"/>
        </w:rPr>
        <w:t> </w:t>
      </w:r>
      <w:r w:rsidR="008568F4" w:rsidRPr="009353E6">
        <w:rPr>
          <w:sz w:val="22"/>
          <w:szCs w:val="22"/>
          <w:lang w:val="pl-PL"/>
        </w:rPr>
        <w:t>promieniowaniem</w:t>
      </w:r>
      <w:r w:rsidR="0096541B" w:rsidRPr="009353E6">
        <w:rPr>
          <w:sz w:val="22"/>
          <w:szCs w:val="22"/>
          <w:lang w:val="pl-PL"/>
        </w:rPr>
        <w:t> </w:t>
      </w:r>
      <w:r w:rsidR="008568F4" w:rsidRPr="009353E6">
        <w:rPr>
          <w:sz w:val="22"/>
          <w:szCs w:val="22"/>
          <w:lang w:val="pl-PL"/>
        </w:rPr>
        <w:t>UV.</w:t>
      </w:r>
    </w:p>
    <w:p w:rsidR="00B66F2C" w:rsidRPr="009353E6" w:rsidRDefault="00B66F2C" w:rsidP="00B66F2C">
      <w:pPr>
        <w:rPr>
          <w:sz w:val="22"/>
          <w:szCs w:val="22"/>
          <w:lang w:val="pl-PL"/>
        </w:rPr>
      </w:pPr>
    </w:p>
    <w:p w:rsidR="00B66F2C" w:rsidRPr="009353E6" w:rsidRDefault="00B66F2C" w:rsidP="00B66F2C">
      <w:pPr>
        <w:rPr>
          <w:sz w:val="22"/>
          <w:szCs w:val="22"/>
          <w:lang w:val="pl-PL"/>
        </w:rPr>
      </w:pPr>
      <w:r w:rsidRPr="009353E6">
        <w:rPr>
          <w:sz w:val="22"/>
          <w:szCs w:val="22"/>
          <w:lang w:val="pl-PL"/>
        </w:rPr>
        <w:t xml:space="preserve">Przed </w:t>
      </w:r>
      <w:r w:rsidR="00D028CC" w:rsidRPr="009353E6">
        <w:rPr>
          <w:sz w:val="22"/>
          <w:szCs w:val="22"/>
          <w:lang w:val="pl-PL"/>
        </w:rPr>
        <w:t xml:space="preserve">rozpoczęciem </w:t>
      </w:r>
      <w:r w:rsidR="00685232" w:rsidRPr="009353E6">
        <w:rPr>
          <w:sz w:val="22"/>
          <w:szCs w:val="22"/>
          <w:lang w:val="pl-PL"/>
        </w:rPr>
        <w:t>przyjmowania</w:t>
      </w:r>
      <w:r w:rsidR="00D028CC" w:rsidRPr="009353E6">
        <w:rPr>
          <w:sz w:val="22"/>
          <w:szCs w:val="22"/>
          <w:lang w:val="pl-PL"/>
        </w:rPr>
        <w:t xml:space="preserve"> </w:t>
      </w:r>
      <w:r w:rsidRPr="009353E6">
        <w:rPr>
          <w:sz w:val="22"/>
          <w:szCs w:val="22"/>
          <w:lang w:val="pl-PL"/>
        </w:rPr>
        <w:t xml:space="preserve">leku MicardisPlus należy </w:t>
      </w:r>
      <w:r w:rsidR="00D028CC" w:rsidRPr="009353E6">
        <w:rPr>
          <w:sz w:val="22"/>
          <w:szCs w:val="22"/>
          <w:lang w:val="pl-PL"/>
        </w:rPr>
        <w:t>omówić to z</w:t>
      </w:r>
      <w:r w:rsidRPr="009353E6">
        <w:rPr>
          <w:sz w:val="22"/>
          <w:szCs w:val="22"/>
          <w:lang w:val="pl-PL"/>
        </w:rPr>
        <w:t xml:space="preserve"> lekarz</w:t>
      </w:r>
      <w:r w:rsidR="00D028CC" w:rsidRPr="009353E6">
        <w:rPr>
          <w:sz w:val="22"/>
          <w:szCs w:val="22"/>
          <w:lang w:val="pl-PL"/>
        </w:rPr>
        <w:t>em</w:t>
      </w:r>
      <w:r w:rsidRPr="009353E6">
        <w:rPr>
          <w:sz w:val="22"/>
          <w:szCs w:val="22"/>
          <w:lang w:val="pl-PL"/>
        </w:rPr>
        <w:t>:</w:t>
      </w:r>
    </w:p>
    <w:p w:rsidR="00065995" w:rsidRPr="009353E6" w:rsidRDefault="00065995" w:rsidP="00065995">
      <w:pPr>
        <w:numPr>
          <w:ilvl w:val="0"/>
          <w:numId w:val="55"/>
        </w:numPr>
        <w:tabs>
          <w:tab w:val="left" w:pos="567"/>
        </w:tabs>
        <w:spacing w:line="260" w:lineRule="exact"/>
        <w:ind w:left="567" w:hanging="567"/>
        <w:rPr>
          <w:sz w:val="22"/>
          <w:szCs w:val="22"/>
          <w:lang w:val="pl-PL"/>
        </w:rPr>
      </w:pPr>
      <w:r w:rsidRPr="009353E6">
        <w:rPr>
          <w:sz w:val="22"/>
          <w:szCs w:val="22"/>
          <w:lang w:val="pl-PL"/>
        </w:rPr>
        <w:t>jeśli pacjent przyjmuje którykolwiek z poniższych leków stosowanych w leczeniu wysokiego ciśnienia krwi:</w:t>
      </w:r>
    </w:p>
    <w:p w:rsidR="00065995" w:rsidRPr="009353E6" w:rsidRDefault="00065995" w:rsidP="00065995">
      <w:pPr>
        <w:tabs>
          <w:tab w:val="left" w:pos="567"/>
        </w:tabs>
        <w:spacing w:line="260" w:lineRule="exact"/>
        <w:ind w:left="567"/>
        <w:rPr>
          <w:sz w:val="22"/>
          <w:szCs w:val="22"/>
          <w:lang w:val="pl-PL"/>
        </w:rPr>
      </w:pPr>
      <w:r w:rsidRPr="009353E6">
        <w:rPr>
          <w:sz w:val="22"/>
          <w:szCs w:val="22"/>
          <w:lang w:val="pl-PL"/>
        </w:rPr>
        <w:t>- inhibitor konwertazy angiotensyny (ACE) (ang. Angiotensin Converting Enzyme Inhibitors, ACEI) (na przykład enalapryl, lizynopryl, ramipryl), w szczególności je</w:t>
      </w:r>
      <w:r w:rsidR="00B86B03" w:rsidRPr="009353E6">
        <w:rPr>
          <w:sz w:val="22"/>
          <w:szCs w:val="22"/>
          <w:lang w:val="pl-PL"/>
        </w:rPr>
        <w:t>ś</w:t>
      </w:r>
      <w:r w:rsidRPr="009353E6">
        <w:rPr>
          <w:sz w:val="22"/>
          <w:szCs w:val="22"/>
          <w:lang w:val="pl-PL"/>
        </w:rPr>
        <w:t>li pacjent ma zaburzenia czynności nerek związane z cukrzycą.</w:t>
      </w:r>
    </w:p>
    <w:p w:rsidR="00065995" w:rsidRPr="009353E6" w:rsidRDefault="00065995" w:rsidP="00065995">
      <w:pPr>
        <w:tabs>
          <w:tab w:val="left" w:pos="567"/>
        </w:tabs>
        <w:spacing w:line="260" w:lineRule="exact"/>
        <w:rPr>
          <w:sz w:val="22"/>
          <w:szCs w:val="22"/>
          <w:lang w:val="pl-PL"/>
        </w:rPr>
      </w:pPr>
      <w:r w:rsidRPr="009353E6">
        <w:rPr>
          <w:sz w:val="22"/>
          <w:szCs w:val="22"/>
          <w:lang w:val="pl-PL"/>
        </w:rPr>
        <w:tab/>
        <w:t>- aliskiren.</w:t>
      </w:r>
    </w:p>
    <w:p w:rsidR="00065995" w:rsidRPr="009353E6" w:rsidRDefault="00065995" w:rsidP="00065995">
      <w:pPr>
        <w:keepNext/>
        <w:ind w:left="567"/>
        <w:rPr>
          <w:sz w:val="22"/>
          <w:szCs w:val="22"/>
          <w:lang w:val="pl-PL"/>
        </w:rPr>
      </w:pPr>
      <w:r w:rsidRPr="009353E6">
        <w:rPr>
          <w:sz w:val="22"/>
          <w:szCs w:val="22"/>
          <w:lang w:val="pl-PL"/>
        </w:rPr>
        <w:t xml:space="preserve">Lekarz prowadzący może monitorować czynność nerek, ciśnienie krwi oraz stężenie elektrolitów (np. potasu) we krwi w regularnych odstępach czasu. Patrz także informacje pod nagłówkiem „Kiedy nie </w:t>
      </w:r>
      <w:r w:rsidR="00105AE1" w:rsidRPr="009353E6">
        <w:rPr>
          <w:sz w:val="22"/>
          <w:szCs w:val="22"/>
          <w:lang w:val="pl-PL"/>
        </w:rPr>
        <w:t>przyjmować</w:t>
      </w:r>
      <w:r w:rsidRPr="009353E6">
        <w:rPr>
          <w:sz w:val="22"/>
          <w:szCs w:val="22"/>
          <w:lang w:val="pl-PL"/>
        </w:rPr>
        <w:t xml:space="preserve"> leku MicardisPlus”.</w:t>
      </w:r>
    </w:p>
    <w:p w:rsidR="00065995" w:rsidRPr="009353E6" w:rsidRDefault="00065995" w:rsidP="00065995">
      <w:pPr>
        <w:numPr>
          <w:ilvl w:val="0"/>
          <w:numId w:val="55"/>
        </w:numPr>
        <w:tabs>
          <w:tab w:val="left" w:pos="567"/>
        </w:tabs>
        <w:spacing w:line="260" w:lineRule="exact"/>
        <w:ind w:left="567" w:hanging="567"/>
        <w:rPr>
          <w:sz w:val="22"/>
          <w:szCs w:val="22"/>
          <w:lang w:val="pl-PL"/>
        </w:rPr>
      </w:pPr>
      <w:r w:rsidRPr="009353E6">
        <w:rPr>
          <w:sz w:val="22"/>
          <w:szCs w:val="22"/>
          <w:lang w:val="pl-PL"/>
        </w:rPr>
        <w:t>jeśli pacjent przyjm</w:t>
      </w:r>
      <w:r w:rsidR="00D028CC" w:rsidRPr="009353E6">
        <w:rPr>
          <w:sz w:val="22"/>
          <w:szCs w:val="22"/>
          <w:lang w:val="pl-PL"/>
        </w:rPr>
        <w:t>u</w:t>
      </w:r>
      <w:r w:rsidRPr="009353E6">
        <w:rPr>
          <w:sz w:val="22"/>
          <w:szCs w:val="22"/>
          <w:lang w:val="pl-PL"/>
        </w:rPr>
        <w:t>je digoksynę.</w:t>
      </w:r>
    </w:p>
    <w:p w:rsidR="0021094B" w:rsidRPr="009353E6" w:rsidRDefault="0021094B" w:rsidP="00F831F6">
      <w:pPr>
        <w:pStyle w:val="BodyText"/>
        <w:spacing w:line="240" w:lineRule="auto"/>
        <w:jc w:val="left"/>
        <w:rPr>
          <w:sz w:val="22"/>
          <w:szCs w:val="22"/>
          <w:lang w:val="pl-PL"/>
        </w:rPr>
      </w:pPr>
    </w:p>
    <w:p w:rsidR="007D7C96" w:rsidRPr="009353E6" w:rsidRDefault="00F320BE" w:rsidP="00F831F6">
      <w:pPr>
        <w:pStyle w:val="BodyText"/>
        <w:spacing w:line="240" w:lineRule="auto"/>
        <w:jc w:val="left"/>
        <w:rPr>
          <w:rFonts w:eastAsia="MS Mincho"/>
          <w:sz w:val="22"/>
          <w:szCs w:val="22"/>
          <w:lang w:val="pl-PL" w:eastAsia="ja-JP"/>
        </w:rPr>
      </w:pPr>
      <w:r w:rsidRPr="009353E6">
        <w:rPr>
          <w:sz w:val="22"/>
          <w:szCs w:val="22"/>
          <w:lang w:val="pl-PL"/>
        </w:rPr>
        <w:t xml:space="preserve">Należy poinformować lekarza o podejrzeniu </w:t>
      </w:r>
      <w:r w:rsidR="00AC1BF8" w:rsidRPr="009353E6">
        <w:rPr>
          <w:sz w:val="22"/>
          <w:szCs w:val="22"/>
          <w:lang w:val="pl-PL"/>
        </w:rPr>
        <w:t>(</w:t>
      </w:r>
      <w:r w:rsidRPr="009353E6">
        <w:rPr>
          <w:sz w:val="22"/>
          <w:szCs w:val="22"/>
          <w:u w:val="single"/>
          <w:lang w:val="pl-PL"/>
        </w:rPr>
        <w:t>lub planowaniu</w:t>
      </w:r>
      <w:r w:rsidR="00AC1BF8" w:rsidRPr="009353E6">
        <w:rPr>
          <w:sz w:val="22"/>
          <w:szCs w:val="22"/>
          <w:u w:val="single"/>
          <w:lang w:val="pl-PL"/>
        </w:rPr>
        <w:t>)</w:t>
      </w:r>
      <w:r w:rsidRPr="009353E6">
        <w:rPr>
          <w:sz w:val="22"/>
          <w:szCs w:val="22"/>
          <w:lang w:val="pl-PL"/>
        </w:rPr>
        <w:t xml:space="preserve"> ciąży. Nie zaleca się stosowania leku MicardisPlus we wczesnym okresie ciąży, </w:t>
      </w:r>
      <w:r w:rsidR="00DE784A" w:rsidRPr="009353E6">
        <w:rPr>
          <w:rFonts w:eastAsia="MS Mincho"/>
          <w:sz w:val="22"/>
          <w:szCs w:val="22"/>
          <w:lang w:val="pl-PL" w:eastAsia="ja-JP"/>
        </w:rPr>
        <w:t>a n</w:t>
      </w:r>
      <w:r w:rsidR="007D7C96" w:rsidRPr="009353E6">
        <w:rPr>
          <w:rFonts w:eastAsia="MS Mincho"/>
          <w:sz w:val="22"/>
          <w:szCs w:val="22"/>
          <w:lang w:val="pl-PL" w:eastAsia="ja-JP"/>
        </w:rPr>
        <w:t xml:space="preserve">ie wolno go przyjmować </w:t>
      </w:r>
      <w:r w:rsidR="00DE784A" w:rsidRPr="009353E6">
        <w:rPr>
          <w:rFonts w:eastAsia="MS Mincho"/>
          <w:sz w:val="22"/>
          <w:szCs w:val="22"/>
          <w:lang w:val="pl-PL" w:eastAsia="ja-JP"/>
        </w:rPr>
        <w:t xml:space="preserve">po trzecim miesiącu ciąży, </w:t>
      </w:r>
      <w:r w:rsidR="007D7C96" w:rsidRPr="009353E6">
        <w:rPr>
          <w:rFonts w:eastAsia="MS Mincho"/>
          <w:sz w:val="22"/>
          <w:szCs w:val="22"/>
          <w:lang w:val="pl-PL" w:eastAsia="ja-JP"/>
        </w:rPr>
        <w:t>ponieważ stosowany w tym okresie może poważnie zaszkodzić dziecku (patrz punkt</w:t>
      </w:r>
      <w:r w:rsidR="00D72992" w:rsidRPr="009353E6">
        <w:rPr>
          <w:rFonts w:eastAsia="MS Mincho"/>
          <w:sz w:val="22"/>
          <w:szCs w:val="22"/>
          <w:lang w:val="pl-PL" w:eastAsia="ja-JP"/>
        </w:rPr>
        <w:t xml:space="preserve"> „Ciąż</w:t>
      </w:r>
      <w:r w:rsidR="00E926FA" w:rsidRPr="009353E6">
        <w:rPr>
          <w:rFonts w:eastAsia="MS Mincho"/>
          <w:sz w:val="22"/>
          <w:szCs w:val="22"/>
          <w:lang w:val="pl-PL" w:eastAsia="ja-JP"/>
        </w:rPr>
        <w:t>a</w:t>
      </w:r>
      <w:r w:rsidR="00D72992" w:rsidRPr="009353E6">
        <w:rPr>
          <w:rFonts w:eastAsia="MS Mincho"/>
          <w:sz w:val="22"/>
          <w:szCs w:val="22"/>
          <w:lang w:val="pl-PL" w:eastAsia="ja-JP"/>
        </w:rPr>
        <w:t xml:space="preserve">”). </w:t>
      </w:r>
    </w:p>
    <w:p w:rsidR="0054649E" w:rsidRPr="009353E6" w:rsidRDefault="0054649E" w:rsidP="00F831F6">
      <w:pPr>
        <w:pStyle w:val="BodyText"/>
        <w:spacing w:line="240" w:lineRule="auto"/>
        <w:jc w:val="left"/>
        <w:rPr>
          <w:sz w:val="22"/>
          <w:szCs w:val="22"/>
          <w:lang w:val="pl-PL"/>
        </w:rPr>
      </w:pPr>
    </w:p>
    <w:p w:rsidR="0054649E" w:rsidRPr="009353E6" w:rsidRDefault="00180110" w:rsidP="00F831F6">
      <w:pPr>
        <w:pStyle w:val="BodyText"/>
        <w:spacing w:line="240" w:lineRule="auto"/>
        <w:jc w:val="left"/>
        <w:rPr>
          <w:sz w:val="22"/>
          <w:szCs w:val="22"/>
          <w:lang w:val="pl-PL"/>
        </w:rPr>
      </w:pPr>
      <w:r w:rsidRPr="009353E6">
        <w:rPr>
          <w:sz w:val="22"/>
          <w:szCs w:val="22"/>
          <w:lang w:val="pl-PL"/>
        </w:rPr>
        <w:t xml:space="preserve">Leczenie </w:t>
      </w:r>
      <w:r w:rsidR="0054649E" w:rsidRPr="009353E6">
        <w:rPr>
          <w:sz w:val="22"/>
          <w:szCs w:val="22"/>
          <w:lang w:val="pl-PL"/>
        </w:rPr>
        <w:t>hydrochlorotiazyd</w:t>
      </w:r>
      <w:r w:rsidRPr="009353E6">
        <w:rPr>
          <w:sz w:val="22"/>
          <w:szCs w:val="22"/>
          <w:lang w:val="pl-PL"/>
        </w:rPr>
        <w:t>em</w:t>
      </w:r>
      <w:r w:rsidR="0054649E" w:rsidRPr="009353E6">
        <w:rPr>
          <w:sz w:val="22"/>
          <w:szCs w:val="22"/>
          <w:lang w:val="pl-PL"/>
        </w:rPr>
        <w:t xml:space="preserve"> może prowadzić do zaburzenia równowagi elektrolitów w organizmie. Typowe objawy zaburzenia gospodarki płynowej lub elektrolitowej obejmują suchość błon</w:t>
      </w:r>
      <w:r w:rsidRPr="009353E6">
        <w:rPr>
          <w:sz w:val="22"/>
          <w:szCs w:val="22"/>
          <w:lang w:val="pl-PL"/>
        </w:rPr>
        <w:t xml:space="preserve">y </w:t>
      </w:r>
      <w:r w:rsidR="0054649E" w:rsidRPr="009353E6">
        <w:rPr>
          <w:sz w:val="22"/>
          <w:szCs w:val="22"/>
          <w:lang w:val="pl-PL"/>
        </w:rPr>
        <w:t>śluzow</w:t>
      </w:r>
      <w:r w:rsidRPr="009353E6">
        <w:rPr>
          <w:sz w:val="22"/>
          <w:szCs w:val="22"/>
          <w:lang w:val="pl-PL"/>
        </w:rPr>
        <w:t>ej</w:t>
      </w:r>
      <w:r w:rsidR="0054649E" w:rsidRPr="009353E6">
        <w:rPr>
          <w:sz w:val="22"/>
          <w:szCs w:val="22"/>
          <w:lang w:val="pl-PL"/>
        </w:rPr>
        <w:t xml:space="preserve"> w jamie ustnej, osłabienie, letarg, senność, niepokój, bóle lub skurcze mięśniowe, nudności (mdłości), wymioty, zmęczenie mięśni oraz nieprawidłowo przyspieszone tętno (szybciej niż 100 uderzeń na minutę). W przypadku wystąpienia któregokolwiek z powyższych objawów należy poinformować lekarza.</w:t>
      </w:r>
    </w:p>
    <w:p w:rsidR="00AC1BF8" w:rsidRPr="009353E6" w:rsidRDefault="00AC1BF8" w:rsidP="00F831F6">
      <w:pPr>
        <w:pStyle w:val="BodyText"/>
        <w:spacing w:line="240" w:lineRule="auto"/>
        <w:jc w:val="left"/>
        <w:rPr>
          <w:sz w:val="22"/>
          <w:szCs w:val="22"/>
          <w:lang w:val="pl-PL"/>
        </w:rPr>
      </w:pPr>
    </w:p>
    <w:p w:rsidR="007D7C96" w:rsidRPr="009353E6" w:rsidRDefault="007D7C96" w:rsidP="00F831F6">
      <w:pPr>
        <w:pStyle w:val="BodyText"/>
        <w:spacing w:line="240" w:lineRule="auto"/>
        <w:jc w:val="left"/>
        <w:rPr>
          <w:sz w:val="22"/>
          <w:szCs w:val="22"/>
          <w:lang w:val="pl-PL"/>
        </w:rPr>
      </w:pPr>
      <w:r w:rsidRPr="009353E6">
        <w:rPr>
          <w:sz w:val="22"/>
          <w:szCs w:val="22"/>
          <w:lang w:val="pl-PL"/>
        </w:rPr>
        <w:t xml:space="preserve">Należy również poinformować lekarza o </w:t>
      </w:r>
      <w:r w:rsidR="00E267DC" w:rsidRPr="009353E6">
        <w:rPr>
          <w:sz w:val="22"/>
          <w:szCs w:val="22"/>
          <w:lang w:val="pl-PL"/>
        </w:rPr>
        <w:t>wystąpieniu nad</w:t>
      </w:r>
      <w:r w:rsidRPr="009353E6">
        <w:rPr>
          <w:sz w:val="22"/>
          <w:szCs w:val="22"/>
          <w:lang w:val="pl-PL"/>
        </w:rPr>
        <w:t>wrażliwości skóry na światło słoneczne,</w:t>
      </w:r>
      <w:r w:rsidR="00E267DC" w:rsidRPr="009353E6">
        <w:rPr>
          <w:sz w:val="22"/>
          <w:szCs w:val="22"/>
          <w:lang w:val="pl-PL"/>
        </w:rPr>
        <w:t xml:space="preserve"> w</w:t>
      </w:r>
      <w:r w:rsidR="00B43A19" w:rsidRPr="009353E6">
        <w:rPr>
          <w:sz w:val="22"/>
          <w:szCs w:val="22"/>
          <w:lang w:val="pl-PL"/>
        </w:rPr>
        <w:t> </w:t>
      </w:r>
      <w:r w:rsidR="00E267DC" w:rsidRPr="009353E6">
        <w:rPr>
          <w:sz w:val="22"/>
          <w:szCs w:val="22"/>
          <w:lang w:val="pl-PL"/>
        </w:rPr>
        <w:t xml:space="preserve">postaci </w:t>
      </w:r>
      <w:r w:rsidRPr="009353E6">
        <w:rPr>
          <w:sz w:val="22"/>
          <w:szCs w:val="22"/>
          <w:lang w:val="pl-PL"/>
        </w:rPr>
        <w:t>oparze</w:t>
      </w:r>
      <w:r w:rsidR="00E267DC" w:rsidRPr="009353E6">
        <w:rPr>
          <w:sz w:val="22"/>
          <w:szCs w:val="22"/>
          <w:lang w:val="pl-PL"/>
        </w:rPr>
        <w:t>ń</w:t>
      </w:r>
      <w:r w:rsidRPr="009353E6">
        <w:rPr>
          <w:sz w:val="22"/>
          <w:szCs w:val="22"/>
          <w:lang w:val="pl-PL"/>
        </w:rPr>
        <w:t xml:space="preserve"> słoneczny</w:t>
      </w:r>
      <w:r w:rsidR="00E267DC" w:rsidRPr="009353E6">
        <w:rPr>
          <w:sz w:val="22"/>
          <w:szCs w:val="22"/>
          <w:lang w:val="pl-PL"/>
        </w:rPr>
        <w:t>ch</w:t>
      </w:r>
      <w:r w:rsidRPr="009353E6">
        <w:rPr>
          <w:sz w:val="22"/>
          <w:szCs w:val="22"/>
          <w:lang w:val="pl-PL"/>
        </w:rPr>
        <w:t xml:space="preserve"> (np. zaczerwienienie, swędzenie, obrzęk, powstawanie </w:t>
      </w:r>
      <w:r w:rsidR="00E267DC" w:rsidRPr="009353E6">
        <w:rPr>
          <w:sz w:val="22"/>
          <w:szCs w:val="22"/>
          <w:lang w:val="pl-PL"/>
        </w:rPr>
        <w:t>pęcherzy</w:t>
      </w:r>
      <w:r w:rsidRPr="009353E6">
        <w:rPr>
          <w:sz w:val="22"/>
          <w:szCs w:val="22"/>
          <w:lang w:val="pl-PL"/>
        </w:rPr>
        <w:t xml:space="preserve">) </w:t>
      </w:r>
      <w:r w:rsidR="00E267DC" w:rsidRPr="009353E6">
        <w:rPr>
          <w:sz w:val="22"/>
          <w:szCs w:val="22"/>
          <w:lang w:val="pl-PL"/>
        </w:rPr>
        <w:t>pojawiających się szy</w:t>
      </w:r>
      <w:r w:rsidRPr="009353E6">
        <w:rPr>
          <w:sz w:val="22"/>
          <w:szCs w:val="22"/>
          <w:lang w:val="pl-PL"/>
        </w:rPr>
        <w:t>bciej niż zazwyczaj.</w:t>
      </w:r>
    </w:p>
    <w:p w:rsidR="0054649E" w:rsidRPr="009353E6" w:rsidRDefault="0054649E" w:rsidP="00F831F6">
      <w:pPr>
        <w:pStyle w:val="BodyText"/>
        <w:spacing w:line="240" w:lineRule="auto"/>
        <w:jc w:val="left"/>
        <w:rPr>
          <w:sz w:val="22"/>
          <w:szCs w:val="22"/>
          <w:lang w:val="pl-PL"/>
        </w:rPr>
      </w:pPr>
    </w:p>
    <w:p w:rsidR="0054649E" w:rsidRPr="009353E6" w:rsidRDefault="0054649E" w:rsidP="00F831F6">
      <w:pPr>
        <w:pStyle w:val="BodyText"/>
        <w:spacing w:line="240" w:lineRule="auto"/>
        <w:jc w:val="left"/>
        <w:rPr>
          <w:rFonts w:eastAsia="MS Mincho"/>
          <w:sz w:val="22"/>
          <w:szCs w:val="22"/>
          <w:lang w:val="pl-PL" w:eastAsia="ja-JP"/>
        </w:rPr>
      </w:pPr>
      <w:r w:rsidRPr="009353E6">
        <w:rPr>
          <w:rFonts w:eastAsia="MS Mincho"/>
          <w:sz w:val="22"/>
          <w:szCs w:val="22"/>
          <w:lang w:val="pl-PL" w:eastAsia="ja-JP"/>
        </w:rPr>
        <w:t>W przypadku planowanego zabiegu chirurgicznego lub znieczulenia należy poinformować lekarza o</w:t>
      </w:r>
      <w:r w:rsidR="00B43A19" w:rsidRPr="009353E6">
        <w:rPr>
          <w:rFonts w:eastAsia="MS Mincho"/>
          <w:sz w:val="22"/>
          <w:szCs w:val="22"/>
          <w:lang w:val="pl-PL" w:eastAsia="ja-JP"/>
        </w:rPr>
        <w:t> </w:t>
      </w:r>
      <w:r w:rsidRPr="009353E6">
        <w:rPr>
          <w:rFonts w:eastAsia="MS Mincho"/>
          <w:sz w:val="22"/>
          <w:szCs w:val="22"/>
          <w:lang w:val="pl-PL" w:eastAsia="ja-JP"/>
        </w:rPr>
        <w:t>przyjmowaniu leku MicardisPlus</w:t>
      </w:r>
      <w:r w:rsidR="001D027E" w:rsidRPr="009353E6">
        <w:rPr>
          <w:rFonts w:eastAsia="MS Mincho"/>
          <w:sz w:val="22"/>
          <w:szCs w:val="22"/>
          <w:lang w:val="pl-PL" w:eastAsia="ja-JP"/>
        </w:rPr>
        <w:t>.</w:t>
      </w:r>
    </w:p>
    <w:p w:rsidR="00AC1BF8" w:rsidRPr="009353E6" w:rsidRDefault="00AC1BF8" w:rsidP="00AC1BF8">
      <w:pPr>
        <w:rPr>
          <w:sz w:val="22"/>
          <w:szCs w:val="22"/>
          <w:lang w:val="pl-PL"/>
        </w:rPr>
      </w:pPr>
    </w:p>
    <w:p w:rsidR="00AC1BF8" w:rsidRPr="009353E6" w:rsidRDefault="00AC1BF8" w:rsidP="00AC1BF8">
      <w:pPr>
        <w:rPr>
          <w:sz w:val="22"/>
          <w:szCs w:val="22"/>
          <w:lang w:val="pl-PL"/>
        </w:rPr>
      </w:pPr>
      <w:r w:rsidRPr="009353E6">
        <w:rPr>
          <w:sz w:val="22"/>
          <w:szCs w:val="22"/>
          <w:lang w:val="pl-PL"/>
        </w:rPr>
        <w:t xml:space="preserve">MicardisPlus może mniej skutecznie obniżać ciśnienie </w:t>
      </w:r>
      <w:r w:rsidR="00DB03B7" w:rsidRPr="009353E6">
        <w:rPr>
          <w:sz w:val="22"/>
          <w:szCs w:val="22"/>
          <w:lang w:val="pl-PL"/>
        </w:rPr>
        <w:t>tętnicze</w:t>
      </w:r>
      <w:r w:rsidRPr="009353E6">
        <w:rPr>
          <w:sz w:val="22"/>
          <w:szCs w:val="22"/>
          <w:lang w:val="pl-PL"/>
        </w:rPr>
        <w:t xml:space="preserve"> u osób rasy czarnej.</w:t>
      </w:r>
    </w:p>
    <w:p w:rsidR="00AC1BF8" w:rsidRPr="009353E6" w:rsidRDefault="00AC1BF8" w:rsidP="00AC1BF8">
      <w:pPr>
        <w:rPr>
          <w:rFonts w:eastAsia="MS Mincho"/>
          <w:sz w:val="22"/>
          <w:szCs w:val="22"/>
          <w:lang w:val="pl-PL" w:eastAsia="ja-JP"/>
        </w:rPr>
      </w:pPr>
    </w:p>
    <w:p w:rsidR="00AC1BF8" w:rsidRPr="009353E6" w:rsidRDefault="00AC1BF8" w:rsidP="00AC1BF8">
      <w:pPr>
        <w:ind w:right="-2"/>
        <w:rPr>
          <w:sz w:val="22"/>
          <w:szCs w:val="22"/>
          <w:lang w:val="pl-PL" w:bidi="bn-IN"/>
        </w:rPr>
      </w:pPr>
      <w:r w:rsidRPr="009353E6">
        <w:rPr>
          <w:b/>
          <w:sz w:val="22"/>
          <w:szCs w:val="22"/>
          <w:lang w:val="pl-PL" w:bidi="bn-IN"/>
        </w:rPr>
        <w:t>Dzieci i młodzież</w:t>
      </w:r>
    </w:p>
    <w:p w:rsidR="0054649E" w:rsidRPr="009353E6" w:rsidRDefault="0054649E" w:rsidP="00F831F6">
      <w:pPr>
        <w:pStyle w:val="BodyText"/>
        <w:spacing w:line="240" w:lineRule="auto"/>
        <w:jc w:val="left"/>
        <w:rPr>
          <w:rFonts w:eastAsia="MS Mincho"/>
          <w:sz w:val="22"/>
          <w:szCs w:val="22"/>
          <w:lang w:val="pl-PL" w:eastAsia="ja-JP"/>
        </w:rPr>
      </w:pPr>
    </w:p>
    <w:p w:rsidR="0054649E" w:rsidRPr="009353E6" w:rsidRDefault="0054649E" w:rsidP="00F831F6">
      <w:pPr>
        <w:pStyle w:val="BodyText"/>
        <w:spacing w:line="240" w:lineRule="auto"/>
        <w:jc w:val="left"/>
        <w:rPr>
          <w:sz w:val="22"/>
          <w:szCs w:val="22"/>
          <w:lang w:val="pl-PL"/>
        </w:rPr>
      </w:pPr>
      <w:r w:rsidRPr="009353E6">
        <w:rPr>
          <w:sz w:val="22"/>
          <w:szCs w:val="22"/>
          <w:lang w:val="pl-PL"/>
        </w:rPr>
        <w:t>Stosowanie leku MicardisPlus u dzieci i młodzieży w wieku do 18 lat nie jest zalecane.</w:t>
      </w:r>
    </w:p>
    <w:p w:rsidR="0054649E" w:rsidRPr="009353E6" w:rsidRDefault="0054649E" w:rsidP="00F831F6">
      <w:pPr>
        <w:pStyle w:val="BodyText"/>
        <w:spacing w:line="240" w:lineRule="auto"/>
        <w:jc w:val="left"/>
        <w:rPr>
          <w:sz w:val="22"/>
          <w:szCs w:val="22"/>
          <w:lang w:val="pl-PL"/>
        </w:rPr>
      </w:pPr>
    </w:p>
    <w:p w:rsidR="00655CF3" w:rsidRPr="009353E6" w:rsidRDefault="00D028CC" w:rsidP="005E3A9A">
      <w:pPr>
        <w:pStyle w:val="BodyText"/>
        <w:keepNext/>
        <w:spacing w:line="240" w:lineRule="auto"/>
        <w:jc w:val="left"/>
        <w:rPr>
          <w:b/>
          <w:sz w:val="22"/>
          <w:szCs w:val="22"/>
          <w:lang w:val="pl-PL"/>
        </w:rPr>
      </w:pPr>
      <w:r w:rsidRPr="009353E6">
        <w:rPr>
          <w:b/>
          <w:sz w:val="22"/>
          <w:szCs w:val="22"/>
          <w:lang w:val="pl-PL" w:bidi="bn-IN"/>
        </w:rPr>
        <w:t>Lek</w:t>
      </w:r>
      <w:r w:rsidR="00AC1BF8" w:rsidRPr="009353E6">
        <w:rPr>
          <w:b/>
          <w:sz w:val="22"/>
          <w:szCs w:val="22"/>
          <w:lang w:val="pl-PL" w:bidi="bn-IN"/>
        </w:rPr>
        <w:t xml:space="preserve"> MicardisPlus</w:t>
      </w:r>
      <w:r w:rsidRPr="009353E6">
        <w:rPr>
          <w:b/>
          <w:sz w:val="22"/>
          <w:szCs w:val="22"/>
          <w:lang w:val="pl-PL" w:bidi="bn-IN"/>
        </w:rPr>
        <w:t xml:space="preserve"> a inne leki</w:t>
      </w:r>
      <w:r w:rsidR="00AC1BF8" w:rsidRPr="009353E6">
        <w:rPr>
          <w:b/>
          <w:sz w:val="22"/>
          <w:szCs w:val="22"/>
          <w:lang w:val="pl-PL" w:bidi="bn-IN"/>
        </w:rPr>
        <w:br/>
      </w:r>
    </w:p>
    <w:p w:rsidR="009054B1" w:rsidRPr="009353E6" w:rsidRDefault="00AC1BF8" w:rsidP="00F831F6">
      <w:pPr>
        <w:pStyle w:val="BodyText"/>
        <w:spacing w:line="240" w:lineRule="auto"/>
        <w:jc w:val="left"/>
        <w:rPr>
          <w:sz w:val="22"/>
          <w:szCs w:val="22"/>
          <w:lang w:val="pl-PL"/>
        </w:rPr>
      </w:pPr>
      <w:r w:rsidRPr="009353E6">
        <w:rPr>
          <w:sz w:val="22"/>
          <w:szCs w:val="22"/>
          <w:lang w:val="pl-PL" w:bidi="bn-IN"/>
        </w:rPr>
        <w:t xml:space="preserve">Należy powiedzieć lekarzowi lub farmaceucie o wszystkich lekach przyjmowanych </w:t>
      </w:r>
      <w:r w:rsidR="00D028CC" w:rsidRPr="009353E6">
        <w:rPr>
          <w:sz w:val="22"/>
          <w:szCs w:val="22"/>
          <w:lang w:val="pl-PL" w:bidi="bn-IN"/>
        </w:rPr>
        <w:t xml:space="preserve">przez pacjenta </w:t>
      </w:r>
      <w:r w:rsidRPr="009353E6">
        <w:rPr>
          <w:sz w:val="22"/>
          <w:szCs w:val="22"/>
          <w:lang w:val="pl-PL" w:bidi="bn-IN"/>
        </w:rPr>
        <w:t xml:space="preserve">obecnie lub ostatnio, a także o lekach, które pacjent planuje przyjmować. </w:t>
      </w:r>
      <w:r w:rsidR="009054B1" w:rsidRPr="009353E6">
        <w:rPr>
          <w:sz w:val="22"/>
          <w:szCs w:val="22"/>
          <w:lang w:val="pl-PL"/>
        </w:rPr>
        <w:t xml:space="preserve">Lekarz może zdecydować o zmianie dawki tych leków lub o podjęciu innych środków ostrożności. W niektórych przypadkach konieczne może być odstawienie któregoś z leków. Dotyczy to zwłaszcza jednoczesnego przyjmowania razem z lekiem MicardisPlus niżej wymienionych leków: </w:t>
      </w:r>
    </w:p>
    <w:p w:rsidR="009054B1" w:rsidRPr="009353E6" w:rsidRDefault="009054B1" w:rsidP="00F831F6">
      <w:pPr>
        <w:pStyle w:val="BodyText"/>
        <w:spacing w:line="240" w:lineRule="auto"/>
        <w:jc w:val="left"/>
        <w:rPr>
          <w:sz w:val="22"/>
          <w:szCs w:val="22"/>
          <w:lang w:val="pl-PL"/>
        </w:rPr>
      </w:pPr>
    </w:p>
    <w:p w:rsidR="009054B1" w:rsidRPr="009353E6" w:rsidRDefault="00180110" w:rsidP="002D507E">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p</w:t>
      </w:r>
      <w:r w:rsidR="009054B1" w:rsidRPr="009353E6">
        <w:rPr>
          <w:sz w:val="22"/>
          <w:szCs w:val="22"/>
          <w:lang w:val="pl-PL"/>
        </w:rPr>
        <w:t>reparaty litu, stosowane w leczeniu niektórych rodzajów depresji</w:t>
      </w:r>
      <w:r w:rsidR="00D26BEB" w:rsidRPr="009353E6">
        <w:rPr>
          <w:sz w:val="22"/>
          <w:szCs w:val="22"/>
          <w:lang w:val="pl-PL"/>
        </w:rPr>
        <w:t>;</w:t>
      </w:r>
    </w:p>
    <w:p w:rsidR="009054B1" w:rsidRPr="009353E6" w:rsidRDefault="00F831F6" w:rsidP="002D507E">
      <w:pPr>
        <w:pStyle w:val="BodyText"/>
        <w:numPr>
          <w:ilvl w:val="0"/>
          <w:numId w:val="24"/>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l</w:t>
      </w:r>
      <w:r w:rsidR="009054B1" w:rsidRPr="009353E6">
        <w:rPr>
          <w:rFonts w:eastAsia="MS Mincho"/>
          <w:sz w:val="22"/>
          <w:szCs w:val="22"/>
          <w:lang w:val="pl-PL" w:eastAsia="ja-JP"/>
        </w:rPr>
        <w:t xml:space="preserve">eki związane z występowaniem </w:t>
      </w:r>
      <w:r w:rsidR="00180110" w:rsidRPr="009353E6">
        <w:rPr>
          <w:rFonts w:eastAsia="MS Mincho"/>
          <w:sz w:val="22"/>
          <w:szCs w:val="22"/>
          <w:lang w:val="pl-PL" w:eastAsia="ja-JP"/>
        </w:rPr>
        <w:t>małego stężenia</w:t>
      </w:r>
      <w:r w:rsidR="0070396D" w:rsidRPr="009353E6">
        <w:rPr>
          <w:rFonts w:eastAsia="MS Mincho"/>
          <w:sz w:val="22"/>
          <w:szCs w:val="22"/>
          <w:lang w:val="pl-PL" w:eastAsia="ja-JP"/>
        </w:rPr>
        <w:t xml:space="preserve"> </w:t>
      </w:r>
      <w:r w:rsidR="009054B1" w:rsidRPr="009353E6">
        <w:rPr>
          <w:rFonts w:eastAsia="MS Mincho"/>
          <w:sz w:val="22"/>
          <w:szCs w:val="22"/>
          <w:lang w:val="pl-PL" w:eastAsia="ja-JP"/>
        </w:rPr>
        <w:t>potasu we krwi (hipokaliemia), tak jak inne leki moczopędne (tabletki odwadniające), leki przeczyszczające (np. olej rycynowy), kortykosteroidy (np. prednizolon), ACTH (hormon adrenokortykotropowy), amfoterycyna (lek przeciwgrzybiczy), karbenoksolon (stosowany w leczeniu owrzodzeń jamy ustnej), sól sodowa penicyliny G (antybiotyk), kwas salicylowy oraz jego pochodne</w:t>
      </w:r>
      <w:r w:rsidR="00D26BEB" w:rsidRPr="009353E6">
        <w:rPr>
          <w:rFonts w:eastAsia="MS Mincho"/>
          <w:sz w:val="22"/>
          <w:szCs w:val="22"/>
          <w:lang w:val="pl-PL" w:eastAsia="ja-JP"/>
        </w:rPr>
        <w:t>;</w:t>
      </w:r>
    </w:p>
    <w:p w:rsidR="009054B1" w:rsidRPr="009353E6" w:rsidRDefault="00475244" w:rsidP="002D507E">
      <w:pPr>
        <w:pStyle w:val="BodyText"/>
        <w:numPr>
          <w:ilvl w:val="0"/>
          <w:numId w:val="24"/>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 xml:space="preserve">leki mogące podwyższać stężenie potasu we krwi, np. </w:t>
      </w:r>
      <w:r w:rsidR="00180110" w:rsidRPr="009353E6">
        <w:rPr>
          <w:rFonts w:eastAsia="MS Mincho"/>
          <w:sz w:val="22"/>
          <w:szCs w:val="22"/>
          <w:lang w:val="pl-PL" w:eastAsia="ja-JP"/>
        </w:rPr>
        <w:t>l</w:t>
      </w:r>
      <w:r w:rsidR="009054B1" w:rsidRPr="009353E6">
        <w:rPr>
          <w:rFonts w:eastAsia="MS Mincho"/>
          <w:sz w:val="22"/>
          <w:szCs w:val="22"/>
          <w:lang w:val="pl-PL" w:eastAsia="ja-JP"/>
        </w:rPr>
        <w:t xml:space="preserve">eki moczopędne oszczędzające potas, suplementy potasu, substytuty soli zawierające potas, inhibitory ACE, </w:t>
      </w:r>
      <w:r w:rsidRPr="009353E6">
        <w:rPr>
          <w:rFonts w:eastAsia="MS Mincho"/>
          <w:sz w:val="22"/>
          <w:szCs w:val="22"/>
          <w:lang w:val="pl-PL" w:eastAsia="ja-JP"/>
        </w:rPr>
        <w:t>cyklosporyna (</w:t>
      </w:r>
      <w:r w:rsidR="008D736B" w:rsidRPr="009353E6">
        <w:rPr>
          <w:rFonts w:eastAsia="MS Mincho"/>
          <w:sz w:val="22"/>
          <w:szCs w:val="22"/>
          <w:lang w:val="pl-PL" w:eastAsia="ja-JP"/>
        </w:rPr>
        <w:t>l</w:t>
      </w:r>
      <w:r w:rsidRPr="009353E6">
        <w:rPr>
          <w:rFonts w:eastAsia="MS Mincho"/>
          <w:sz w:val="22"/>
          <w:szCs w:val="22"/>
          <w:lang w:val="pl-PL" w:eastAsia="ja-JP"/>
        </w:rPr>
        <w:t>ek immunosupresyjny) i inne produkty lecznicze, np. heparyna sodowa (</w:t>
      </w:r>
      <w:r w:rsidR="008D736B" w:rsidRPr="009353E6">
        <w:rPr>
          <w:rFonts w:eastAsia="MS Mincho"/>
          <w:sz w:val="22"/>
          <w:szCs w:val="22"/>
          <w:lang w:val="pl-PL" w:eastAsia="ja-JP"/>
        </w:rPr>
        <w:t>l</w:t>
      </w:r>
      <w:r w:rsidRPr="009353E6">
        <w:rPr>
          <w:rFonts w:eastAsia="MS Mincho"/>
          <w:sz w:val="22"/>
          <w:szCs w:val="22"/>
          <w:lang w:val="pl-PL" w:eastAsia="ja-JP"/>
        </w:rPr>
        <w:t>ek przeciwzakrzepowy)</w:t>
      </w:r>
      <w:r w:rsidR="00D26BEB" w:rsidRPr="009353E6">
        <w:rPr>
          <w:rFonts w:eastAsia="MS Mincho"/>
          <w:sz w:val="22"/>
          <w:szCs w:val="22"/>
          <w:lang w:val="pl-PL" w:eastAsia="ja-JP"/>
        </w:rPr>
        <w:t>;</w:t>
      </w:r>
    </w:p>
    <w:p w:rsidR="009054B1" w:rsidRPr="009353E6" w:rsidRDefault="003761E5" w:rsidP="008B0DDE">
      <w:pPr>
        <w:pStyle w:val="BodyText"/>
        <w:numPr>
          <w:ilvl w:val="0"/>
          <w:numId w:val="24"/>
        </w:numPr>
        <w:tabs>
          <w:tab w:val="clear" w:pos="2520"/>
          <w:tab w:val="num" w:pos="540"/>
        </w:tabs>
        <w:spacing w:line="240" w:lineRule="auto"/>
        <w:ind w:left="540" w:hanging="540"/>
        <w:jc w:val="left"/>
        <w:rPr>
          <w:sz w:val="22"/>
          <w:szCs w:val="22"/>
          <w:lang w:val="pl-PL"/>
        </w:rPr>
      </w:pPr>
      <w:r w:rsidRPr="009353E6">
        <w:rPr>
          <w:rFonts w:eastAsia="MS Mincho"/>
          <w:sz w:val="22"/>
          <w:szCs w:val="22"/>
          <w:lang w:val="pl-PL" w:eastAsia="ja-JP"/>
        </w:rPr>
        <w:t xml:space="preserve">leki, na które </w:t>
      </w:r>
      <w:r w:rsidR="008D736B" w:rsidRPr="009353E6">
        <w:rPr>
          <w:rFonts w:eastAsia="MS Mincho"/>
          <w:sz w:val="22"/>
          <w:szCs w:val="22"/>
          <w:lang w:val="pl-PL" w:eastAsia="ja-JP"/>
        </w:rPr>
        <w:t>wpływają</w:t>
      </w:r>
      <w:r w:rsidRPr="009353E6">
        <w:rPr>
          <w:rFonts w:eastAsia="MS Mincho"/>
          <w:sz w:val="22"/>
          <w:szCs w:val="22"/>
          <w:lang w:val="pl-PL" w:eastAsia="ja-JP"/>
        </w:rPr>
        <w:t xml:space="preserve"> zmi</w:t>
      </w:r>
      <w:r w:rsidR="008D736B" w:rsidRPr="009353E6">
        <w:rPr>
          <w:rFonts w:eastAsia="MS Mincho"/>
          <w:sz w:val="22"/>
          <w:szCs w:val="22"/>
          <w:lang w:val="pl-PL" w:eastAsia="ja-JP"/>
        </w:rPr>
        <w:t>any</w:t>
      </w:r>
      <w:r w:rsidR="0070396D" w:rsidRPr="009353E6">
        <w:rPr>
          <w:rFonts w:eastAsia="MS Mincho"/>
          <w:sz w:val="22"/>
          <w:szCs w:val="22"/>
          <w:lang w:val="pl-PL" w:eastAsia="ja-JP"/>
        </w:rPr>
        <w:t xml:space="preserve"> </w:t>
      </w:r>
      <w:r w:rsidRPr="009353E6">
        <w:rPr>
          <w:rFonts w:eastAsia="MS Mincho"/>
          <w:sz w:val="22"/>
          <w:szCs w:val="22"/>
          <w:lang w:val="pl-PL" w:eastAsia="ja-JP"/>
        </w:rPr>
        <w:t>stężeni</w:t>
      </w:r>
      <w:r w:rsidR="008D736B" w:rsidRPr="009353E6">
        <w:rPr>
          <w:rFonts w:eastAsia="MS Mincho"/>
          <w:sz w:val="22"/>
          <w:szCs w:val="22"/>
          <w:lang w:val="pl-PL" w:eastAsia="ja-JP"/>
        </w:rPr>
        <w:t>a</w:t>
      </w:r>
      <w:r w:rsidRPr="009353E6">
        <w:rPr>
          <w:rFonts w:eastAsia="MS Mincho"/>
          <w:sz w:val="22"/>
          <w:szCs w:val="22"/>
          <w:lang w:val="pl-PL" w:eastAsia="ja-JP"/>
        </w:rPr>
        <w:t xml:space="preserve"> potasu we krwi, takie jak leki nasercowe (np. digoksyna) czy też leki </w:t>
      </w:r>
      <w:r w:rsidR="008D736B" w:rsidRPr="009353E6">
        <w:rPr>
          <w:rFonts w:eastAsia="MS Mincho"/>
          <w:sz w:val="22"/>
          <w:szCs w:val="22"/>
          <w:lang w:val="pl-PL" w:eastAsia="ja-JP"/>
        </w:rPr>
        <w:t>regulu</w:t>
      </w:r>
      <w:r w:rsidRPr="009353E6">
        <w:rPr>
          <w:rFonts w:eastAsia="MS Mincho"/>
          <w:sz w:val="22"/>
          <w:szCs w:val="22"/>
          <w:lang w:val="pl-PL" w:eastAsia="ja-JP"/>
        </w:rPr>
        <w:t>jące</w:t>
      </w:r>
      <w:r w:rsidR="0070396D" w:rsidRPr="009353E6">
        <w:rPr>
          <w:rFonts w:eastAsia="MS Mincho"/>
          <w:sz w:val="22"/>
          <w:szCs w:val="22"/>
          <w:lang w:val="pl-PL" w:eastAsia="ja-JP"/>
        </w:rPr>
        <w:t xml:space="preserve"> </w:t>
      </w:r>
      <w:r w:rsidRPr="009353E6">
        <w:rPr>
          <w:rFonts w:eastAsia="MS Mincho"/>
          <w:sz w:val="22"/>
          <w:szCs w:val="22"/>
          <w:lang w:val="pl-PL" w:eastAsia="ja-JP"/>
        </w:rPr>
        <w:t xml:space="preserve">częstość akcji serca (np. </w:t>
      </w:r>
      <w:r w:rsidR="001D1754" w:rsidRPr="009353E6">
        <w:rPr>
          <w:rFonts w:eastAsia="MS Mincho"/>
          <w:sz w:val="22"/>
          <w:szCs w:val="22"/>
          <w:lang w:val="pl-PL" w:eastAsia="ja-JP"/>
        </w:rPr>
        <w:t>chinidyna, dyzopiramid</w:t>
      </w:r>
      <w:r w:rsidR="00475244" w:rsidRPr="009353E6">
        <w:rPr>
          <w:rFonts w:eastAsia="MS Mincho"/>
          <w:sz w:val="22"/>
          <w:szCs w:val="22"/>
          <w:lang w:val="pl-PL" w:eastAsia="ja-JP"/>
        </w:rPr>
        <w:t>, amiodaron, sotalol</w:t>
      </w:r>
      <w:r w:rsidR="001D1754" w:rsidRPr="009353E6">
        <w:rPr>
          <w:rFonts w:eastAsia="MS Mincho"/>
          <w:sz w:val="22"/>
          <w:szCs w:val="22"/>
          <w:lang w:val="pl-PL" w:eastAsia="ja-JP"/>
        </w:rPr>
        <w:t xml:space="preserve">), leki </w:t>
      </w:r>
      <w:r w:rsidR="008D736B" w:rsidRPr="009353E6">
        <w:rPr>
          <w:rFonts w:eastAsia="MS Mincho"/>
          <w:sz w:val="22"/>
          <w:szCs w:val="22"/>
          <w:lang w:val="pl-PL" w:eastAsia="ja-JP"/>
        </w:rPr>
        <w:t>uż</w:t>
      </w:r>
      <w:r w:rsidR="001D1754" w:rsidRPr="009353E6">
        <w:rPr>
          <w:rFonts w:eastAsia="MS Mincho"/>
          <w:sz w:val="22"/>
          <w:szCs w:val="22"/>
          <w:lang w:val="pl-PL" w:eastAsia="ja-JP"/>
        </w:rPr>
        <w:t xml:space="preserve">ywane w leczeniu </w:t>
      </w:r>
      <w:r w:rsidR="001A6C3F" w:rsidRPr="009353E6">
        <w:rPr>
          <w:rFonts w:eastAsia="MS Mincho"/>
          <w:sz w:val="22"/>
          <w:szCs w:val="22"/>
          <w:lang w:val="pl-PL" w:eastAsia="ja-JP"/>
        </w:rPr>
        <w:t>zaburzeń</w:t>
      </w:r>
      <w:r w:rsidR="001D1754" w:rsidRPr="009353E6">
        <w:rPr>
          <w:rFonts w:eastAsia="MS Mincho"/>
          <w:sz w:val="22"/>
          <w:szCs w:val="22"/>
          <w:lang w:val="pl-PL" w:eastAsia="ja-JP"/>
        </w:rPr>
        <w:t xml:space="preserve"> psychicznych </w:t>
      </w:r>
      <w:r w:rsidR="001A6C3F" w:rsidRPr="009353E6">
        <w:rPr>
          <w:rFonts w:eastAsia="MS Mincho"/>
          <w:sz w:val="22"/>
          <w:szCs w:val="22"/>
          <w:lang w:val="pl-PL" w:eastAsia="ja-JP"/>
        </w:rPr>
        <w:t>(np. tiorydazyna, chlor</w:t>
      </w:r>
      <w:r w:rsidR="003C3138" w:rsidRPr="009353E6">
        <w:rPr>
          <w:rFonts w:eastAsia="MS Mincho"/>
          <w:sz w:val="22"/>
          <w:szCs w:val="22"/>
          <w:lang w:val="pl-PL" w:eastAsia="ja-JP"/>
        </w:rPr>
        <w:t>o</w:t>
      </w:r>
      <w:r w:rsidR="001A6C3F" w:rsidRPr="009353E6">
        <w:rPr>
          <w:rFonts w:eastAsia="MS Mincho"/>
          <w:sz w:val="22"/>
          <w:szCs w:val="22"/>
          <w:lang w:val="pl-PL" w:eastAsia="ja-JP"/>
        </w:rPr>
        <w:t>promazyna, lewo</w:t>
      </w:r>
      <w:r w:rsidR="00672E35" w:rsidRPr="009353E6">
        <w:rPr>
          <w:rFonts w:eastAsia="MS Mincho"/>
          <w:sz w:val="22"/>
          <w:szCs w:val="22"/>
          <w:lang w:val="pl-PL" w:eastAsia="ja-JP"/>
        </w:rPr>
        <w:t>me</w:t>
      </w:r>
      <w:r w:rsidR="001A6C3F" w:rsidRPr="009353E6">
        <w:rPr>
          <w:rFonts w:eastAsia="MS Mincho"/>
          <w:sz w:val="22"/>
          <w:szCs w:val="22"/>
          <w:lang w:val="pl-PL" w:eastAsia="ja-JP"/>
        </w:rPr>
        <w:t>promazyna) oraz inne leki</w:t>
      </w:r>
      <w:r w:rsidR="000D0631" w:rsidRPr="009353E6">
        <w:rPr>
          <w:rFonts w:eastAsia="MS Mincho"/>
          <w:sz w:val="22"/>
          <w:szCs w:val="22"/>
          <w:lang w:val="pl-PL" w:eastAsia="ja-JP"/>
        </w:rPr>
        <w:t>,</w:t>
      </w:r>
      <w:r w:rsidR="001A6C3F" w:rsidRPr="009353E6">
        <w:rPr>
          <w:rFonts w:eastAsia="MS Mincho"/>
          <w:sz w:val="22"/>
          <w:szCs w:val="22"/>
          <w:lang w:val="pl-PL" w:eastAsia="ja-JP"/>
        </w:rPr>
        <w:t xml:space="preserve"> takie jak </w:t>
      </w:r>
      <w:r w:rsidR="008D736B" w:rsidRPr="009353E6">
        <w:rPr>
          <w:rFonts w:eastAsia="MS Mincho"/>
          <w:sz w:val="22"/>
          <w:szCs w:val="22"/>
          <w:lang w:val="pl-PL" w:eastAsia="ja-JP"/>
        </w:rPr>
        <w:t>niektór</w:t>
      </w:r>
      <w:r w:rsidR="001A6C3F" w:rsidRPr="009353E6">
        <w:rPr>
          <w:rFonts w:eastAsia="MS Mincho"/>
          <w:sz w:val="22"/>
          <w:szCs w:val="22"/>
          <w:lang w:val="pl-PL" w:eastAsia="ja-JP"/>
        </w:rPr>
        <w:t xml:space="preserve">e antybiotyki (np. sparfloksacyna, pentamidyna) </w:t>
      </w:r>
      <w:r w:rsidR="008D736B" w:rsidRPr="009353E6">
        <w:rPr>
          <w:rFonts w:eastAsia="MS Mincho"/>
          <w:sz w:val="22"/>
          <w:szCs w:val="22"/>
          <w:lang w:val="pl-PL" w:eastAsia="ja-JP"/>
        </w:rPr>
        <w:t>lub</w:t>
      </w:r>
      <w:r w:rsidR="001A6C3F" w:rsidRPr="009353E6">
        <w:rPr>
          <w:rFonts w:eastAsia="MS Mincho"/>
          <w:sz w:val="22"/>
          <w:szCs w:val="22"/>
          <w:lang w:val="pl-PL" w:eastAsia="ja-JP"/>
        </w:rPr>
        <w:t xml:space="preserve"> </w:t>
      </w:r>
      <w:r w:rsidR="008D736B" w:rsidRPr="009353E6">
        <w:rPr>
          <w:rFonts w:eastAsia="MS Mincho"/>
          <w:sz w:val="22"/>
          <w:szCs w:val="22"/>
          <w:lang w:val="pl-PL" w:eastAsia="ja-JP"/>
        </w:rPr>
        <w:t>pewne</w:t>
      </w:r>
      <w:r w:rsidR="001A6C3F" w:rsidRPr="009353E6">
        <w:rPr>
          <w:rFonts w:eastAsia="MS Mincho"/>
          <w:sz w:val="22"/>
          <w:szCs w:val="22"/>
          <w:lang w:val="pl-PL" w:eastAsia="ja-JP"/>
        </w:rPr>
        <w:t xml:space="preserve"> le</w:t>
      </w:r>
      <w:r w:rsidR="008D736B" w:rsidRPr="009353E6">
        <w:rPr>
          <w:rFonts w:eastAsia="MS Mincho"/>
          <w:sz w:val="22"/>
          <w:szCs w:val="22"/>
          <w:lang w:val="pl-PL" w:eastAsia="ja-JP"/>
        </w:rPr>
        <w:t>ki</w:t>
      </w:r>
      <w:r w:rsidR="001A6C3F" w:rsidRPr="009353E6">
        <w:rPr>
          <w:rFonts w:eastAsia="MS Mincho"/>
          <w:sz w:val="22"/>
          <w:szCs w:val="22"/>
          <w:lang w:val="pl-PL" w:eastAsia="ja-JP"/>
        </w:rPr>
        <w:t xml:space="preserve"> stosowane w terapii odczynów (reakcji) alergicznych (np. terfenadyna)</w:t>
      </w:r>
      <w:r w:rsidR="000D0631" w:rsidRPr="009353E6">
        <w:rPr>
          <w:rFonts w:eastAsia="MS Mincho"/>
          <w:sz w:val="22"/>
          <w:szCs w:val="22"/>
          <w:lang w:val="pl-PL" w:eastAsia="ja-JP"/>
        </w:rPr>
        <w:t>;</w:t>
      </w:r>
    </w:p>
    <w:p w:rsidR="001A6C3F" w:rsidRPr="009353E6" w:rsidRDefault="001A6C3F" w:rsidP="002D507E">
      <w:pPr>
        <w:pStyle w:val="BodyText"/>
        <w:numPr>
          <w:ilvl w:val="0"/>
          <w:numId w:val="24"/>
        </w:numPr>
        <w:tabs>
          <w:tab w:val="clear" w:pos="2520"/>
          <w:tab w:val="num" w:pos="540"/>
        </w:tabs>
        <w:spacing w:line="240" w:lineRule="auto"/>
        <w:ind w:left="540" w:hanging="540"/>
        <w:jc w:val="left"/>
        <w:rPr>
          <w:strike/>
          <w:sz w:val="22"/>
          <w:szCs w:val="22"/>
          <w:lang w:val="pl-PL"/>
        </w:rPr>
      </w:pPr>
      <w:r w:rsidRPr="009353E6">
        <w:rPr>
          <w:sz w:val="22"/>
          <w:szCs w:val="22"/>
          <w:lang w:val="pl-PL"/>
        </w:rPr>
        <w:t xml:space="preserve">leki stosowane w cukrzycy (insulina lub </w:t>
      </w:r>
      <w:r w:rsidR="008D736B" w:rsidRPr="009353E6">
        <w:rPr>
          <w:sz w:val="22"/>
          <w:szCs w:val="22"/>
          <w:lang w:val="pl-PL"/>
        </w:rPr>
        <w:t xml:space="preserve">leki </w:t>
      </w:r>
      <w:r w:rsidRPr="009353E6">
        <w:rPr>
          <w:sz w:val="22"/>
          <w:szCs w:val="22"/>
          <w:lang w:val="pl-PL"/>
        </w:rPr>
        <w:t>doustne</w:t>
      </w:r>
      <w:r w:rsidR="008D736B" w:rsidRPr="009353E6">
        <w:rPr>
          <w:sz w:val="22"/>
          <w:szCs w:val="22"/>
          <w:lang w:val="pl-PL"/>
        </w:rPr>
        <w:t xml:space="preserve"> </w:t>
      </w:r>
      <w:r w:rsidRPr="009353E6">
        <w:rPr>
          <w:sz w:val="22"/>
          <w:szCs w:val="22"/>
          <w:lang w:val="pl-PL"/>
        </w:rPr>
        <w:t>takie jak metf</w:t>
      </w:r>
      <w:r w:rsidR="00DE60C6" w:rsidRPr="009353E6">
        <w:rPr>
          <w:sz w:val="22"/>
          <w:szCs w:val="22"/>
          <w:lang w:val="pl-PL"/>
        </w:rPr>
        <w:t>o</w:t>
      </w:r>
      <w:r w:rsidRPr="009353E6">
        <w:rPr>
          <w:sz w:val="22"/>
          <w:szCs w:val="22"/>
          <w:lang w:val="pl-PL"/>
        </w:rPr>
        <w:t>rmina);</w:t>
      </w:r>
    </w:p>
    <w:p w:rsidR="001A6C3F" w:rsidRPr="009353E6" w:rsidRDefault="001A6C3F" w:rsidP="002D507E">
      <w:pPr>
        <w:pStyle w:val="BodyText"/>
        <w:numPr>
          <w:ilvl w:val="0"/>
          <w:numId w:val="24"/>
        </w:numPr>
        <w:tabs>
          <w:tab w:val="clear" w:pos="2520"/>
          <w:tab w:val="num" w:pos="540"/>
        </w:tabs>
        <w:spacing w:line="240" w:lineRule="auto"/>
        <w:ind w:left="540" w:hanging="540"/>
        <w:jc w:val="left"/>
        <w:rPr>
          <w:strike/>
          <w:sz w:val="22"/>
          <w:szCs w:val="22"/>
          <w:lang w:val="pl-PL"/>
        </w:rPr>
      </w:pPr>
      <w:r w:rsidRPr="009353E6">
        <w:rPr>
          <w:sz w:val="22"/>
          <w:szCs w:val="22"/>
          <w:lang w:val="pl-PL"/>
        </w:rPr>
        <w:t xml:space="preserve">kolestyramina i kolestypol, leki obniżające </w:t>
      </w:r>
      <w:r w:rsidR="008D736B" w:rsidRPr="009353E6">
        <w:rPr>
          <w:sz w:val="22"/>
          <w:szCs w:val="22"/>
          <w:lang w:val="pl-PL"/>
        </w:rPr>
        <w:t>stężenie</w:t>
      </w:r>
      <w:r w:rsidRPr="009353E6">
        <w:rPr>
          <w:sz w:val="22"/>
          <w:szCs w:val="22"/>
          <w:lang w:val="pl-PL"/>
        </w:rPr>
        <w:t xml:space="preserve"> </w:t>
      </w:r>
      <w:r w:rsidR="008D736B" w:rsidRPr="009353E6">
        <w:rPr>
          <w:sz w:val="22"/>
          <w:szCs w:val="22"/>
          <w:lang w:val="pl-PL"/>
        </w:rPr>
        <w:t>tłuszcz</w:t>
      </w:r>
      <w:r w:rsidRPr="009353E6">
        <w:rPr>
          <w:sz w:val="22"/>
          <w:szCs w:val="22"/>
          <w:lang w:val="pl-PL"/>
        </w:rPr>
        <w:t>ów we krwi</w:t>
      </w:r>
      <w:r w:rsidR="000D0631" w:rsidRPr="009353E6">
        <w:rPr>
          <w:sz w:val="22"/>
          <w:szCs w:val="22"/>
          <w:lang w:val="pl-PL"/>
        </w:rPr>
        <w:t>;</w:t>
      </w:r>
    </w:p>
    <w:p w:rsidR="001A6C3F" w:rsidRPr="009353E6" w:rsidRDefault="001A6C3F" w:rsidP="001A6C3F">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leki podwyższające ciśnienie krwi takie jak noradrenalina</w:t>
      </w:r>
      <w:r w:rsidR="000D0631" w:rsidRPr="009353E6">
        <w:rPr>
          <w:sz w:val="22"/>
          <w:szCs w:val="22"/>
          <w:lang w:val="pl-PL"/>
        </w:rPr>
        <w:t>;</w:t>
      </w:r>
    </w:p>
    <w:p w:rsidR="001A6C3F" w:rsidRPr="009353E6" w:rsidRDefault="001A6C3F" w:rsidP="001A6C3F">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leki zwiotczające mięśnie takie jak tubokuraryna</w:t>
      </w:r>
      <w:r w:rsidR="000D0631" w:rsidRPr="009353E6">
        <w:rPr>
          <w:sz w:val="22"/>
          <w:szCs w:val="22"/>
          <w:lang w:val="pl-PL"/>
        </w:rPr>
        <w:t>;</w:t>
      </w:r>
    </w:p>
    <w:p w:rsidR="001A6C3F" w:rsidRPr="009353E6" w:rsidRDefault="001A6C3F" w:rsidP="001A6C3F">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suplementy wapnia</w:t>
      </w:r>
      <w:r w:rsidR="005A4292" w:rsidRPr="009353E6">
        <w:rPr>
          <w:sz w:val="22"/>
          <w:szCs w:val="22"/>
          <w:lang w:val="pl-PL"/>
        </w:rPr>
        <w:t xml:space="preserve"> i</w:t>
      </w:r>
      <w:r w:rsidR="008D736B" w:rsidRPr="009353E6">
        <w:rPr>
          <w:sz w:val="22"/>
          <w:szCs w:val="22"/>
          <w:lang w:val="pl-PL"/>
        </w:rPr>
        <w:t xml:space="preserve"> (</w:t>
      </w:r>
      <w:r w:rsidR="005A4292" w:rsidRPr="009353E6">
        <w:rPr>
          <w:sz w:val="22"/>
          <w:szCs w:val="22"/>
          <w:lang w:val="pl-PL"/>
        </w:rPr>
        <w:t>lub</w:t>
      </w:r>
      <w:r w:rsidR="008D736B" w:rsidRPr="009353E6">
        <w:rPr>
          <w:sz w:val="22"/>
          <w:szCs w:val="22"/>
          <w:lang w:val="pl-PL"/>
        </w:rPr>
        <w:t>)</w:t>
      </w:r>
      <w:r w:rsidR="005A4292" w:rsidRPr="009353E6">
        <w:rPr>
          <w:sz w:val="22"/>
          <w:szCs w:val="22"/>
          <w:lang w:val="pl-PL"/>
        </w:rPr>
        <w:t xml:space="preserve"> witaminy D;</w:t>
      </w:r>
    </w:p>
    <w:p w:rsidR="001A6C3F" w:rsidRPr="009353E6" w:rsidRDefault="001A6C3F" w:rsidP="001A6C3F">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 xml:space="preserve">leki o działaniu antycholinergicznym (stosowane w leczeniu szeregu </w:t>
      </w:r>
      <w:r w:rsidR="008D736B" w:rsidRPr="009353E6">
        <w:rPr>
          <w:sz w:val="22"/>
          <w:szCs w:val="22"/>
          <w:lang w:val="pl-PL"/>
        </w:rPr>
        <w:t>zabu</w:t>
      </w:r>
      <w:r w:rsidRPr="009353E6">
        <w:rPr>
          <w:sz w:val="22"/>
          <w:szCs w:val="22"/>
          <w:lang w:val="pl-PL"/>
        </w:rPr>
        <w:t>rzeń</w:t>
      </w:r>
      <w:r w:rsidR="000D0631" w:rsidRPr="009353E6">
        <w:rPr>
          <w:sz w:val="22"/>
          <w:szCs w:val="22"/>
          <w:lang w:val="pl-PL"/>
        </w:rPr>
        <w:t>,</w:t>
      </w:r>
      <w:r w:rsidRPr="009353E6">
        <w:rPr>
          <w:sz w:val="22"/>
          <w:szCs w:val="22"/>
          <w:lang w:val="pl-PL"/>
        </w:rPr>
        <w:t xml:space="preserve"> takich jak </w:t>
      </w:r>
      <w:r w:rsidR="003C25C3" w:rsidRPr="009353E6">
        <w:rPr>
          <w:sz w:val="22"/>
          <w:szCs w:val="22"/>
          <w:lang w:val="pl-PL"/>
        </w:rPr>
        <w:t xml:space="preserve">stany skurczowe w obrębie przewodu pokarmowego, skurcze pęcherza moczowego, </w:t>
      </w:r>
      <w:r w:rsidR="002419B5" w:rsidRPr="009353E6">
        <w:rPr>
          <w:sz w:val="22"/>
          <w:szCs w:val="22"/>
          <w:lang w:val="pl-PL"/>
        </w:rPr>
        <w:t xml:space="preserve">astma, </w:t>
      </w:r>
      <w:r w:rsidR="003C25C3" w:rsidRPr="009353E6">
        <w:rPr>
          <w:sz w:val="22"/>
          <w:szCs w:val="22"/>
          <w:lang w:val="pl-PL"/>
        </w:rPr>
        <w:t>choroba lokomocyjna, skurcze mięśni, choroba Parkinsona</w:t>
      </w:r>
      <w:r w:rsidR="005B3B97" w:rsidRPr="009353E6">
        <w:rPr>
          <w:sz w:val="22"/>
          <w:szCs w:val="22"/>
          <w:lang w:val="pl-PL"/>
        </w:rPr>
        <w:t>,</w:t>
      </w:r>
      <w:r w:rsidR="003C25C3" w:rsidRPr="009353E6">
        <w:rPr>
          <w:sz w:val="22"/>
          <w:szCs w:val="22"/>
          <w:lang w:val="pl-PL"/>
        </w:rPr>
        <w:t xml:space="preserve"> oraz wspomagająco przy znieczuleniu)</w:t>
      </w:r>
      <w:r w:rsidR="000D0631" w:rsidRPr="009353E6">
        <w:rPr>
          <w:sz w:val="22"/>
          <w:szCs w:val="22"/>
          <w:lang w:val="pl-PL"/>
        </w:rPr>
        <w:t>,</w:t>
      </w:r>
      <w:r w:rsidR="003C25C3" w:rsidRPr="009353E6">
        <w:rPr>
          <w:sz w:val="22"/>
          <w:szCs w:val="22"/>
          <w:lang w:val="pl-PL"/>
        </w:rPr>
        <w:t xml:space="preserve"> takie jak atropina i biperyden</w:t>
      </w:r>
      <w:r w:rsidR="000D0631" w:rsidRPr="009353E6">
        <w:rPr>
          <w:sz w:val="22"/>
          <w:szCs w:val="22"/>
          <w:lang w:val="pl-PL"/>
        </w:rPr>
        <w:t>;</w:t>
      </w:r>
    </w:p>
    <w:p w:rsidR="003C25C3" w:rsidRPr="009353E6" w:rsidRDefault="003C25C3" w:rsidP="001A6C3F">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amantadyna (lek stosowany w chorob</w:t>
      </w:r>
      <w:r w:rsidR="005B3B97" w:rsidRPr="009353E6">
        <w:rPr>
          <w:sz w:val="22"/>
          <w:szCs w:val="22"/>
          <w:lang w:val="pl-PL"/>
        </w:rPr>
        <w:t>ie</w:t>
      </w:r>
      <w:r w:rsidRPr="009353E6">
        <w:rPr>
          <w:sz w:val="22"/>
          <w:szCs w:val="22"/>
          <w:lang w:val="pl-PL"/>
        </w:rPr>
        <w:t xml:space="preserve"> Parkinsona, a także w leczeniu </w:t>
      </w:r>
      <w:r w:rsidR="005B3B97" w:rsidRPr="009353E6">
        <w:rPr>
          <w:sz w:val="22"/>
          <w:szCs w:val="22"/>
          <w:lang w:val="pl-PL"/>
        </w:rPr>
        <w:t>lub zapobieganiu pew</w:t>
      </w:r>
      <w:r w:rsidRPr="009353E6">
        <w:rPr>
          <w:sz w:val="22"/>
          <w:szCs w:val="22"/>
          <w:lang w:val="pl-PL"/>
        </w:rPr>
        <w:t>nych chorób wirusow</w:t>
      </w:r>
      <w:r w:rsidR="005B3B97" w:rsidRPr="009353E6">
        <w:rPr>
          <w:sz w:val="22"/>
          <w:szCs w:val="22"/>
          <w:lang w:val="pl-PL"/>
        </w:rPr>
        <w:t>ych</w:t>
      </w:r>
      <w:r w:rsidR="000D0631" w:rsidRPr="009353E6">
        <w:rPr>
          <w:sz w:val="22"/>
          <w:szCs w:val="22"/>
          <w:lang w:val="pl-PL"/>
        </w:rPr>
        <w:t>;</w:t>
      </w:r>
    </w:p>
    <w:p w:rsidR="009054B1" w:rsidRPr="009353E6" w:rsidRDefault="00180110" w:rsidP="008B0DDE">
      <w:pPr>
        <w:pStyle w:val="BodyText"/>
        <w:numPr>
          <w:ilvl w:val="0"/>
          <w:numId w:val="24"/>
        </w:numPr>
        <w:tabs>
          <w:tab w:val="clear" w:pos="2520"/>
          <w:tab w:val="num" w:pos="540"/>
        </w:tabs>
        <w:spacing w:line="240" w:lineRule="auto"/>
        <w:ind w:left="540" w:hanging="540"/>
        <w:jc w:val="left"/>
        <w:rPr>
          <w:sz w:val="22"/>
          <w:szCs w:val="22"/>
          <w:lang w:val="pl-PL"/>
        </w:rPr>
      </w:pPr>
      <w:r w:rsidRPr="009353E6">
        <w:rPr>
          <w:sz w:val="22"/>
          <w:szCs w:val="22"/>
          <w:lang w:val="pl-PL"/>
        </w:rPr>
        <w:t>p</w:t>
      </w:r>
      <w:r w:rsidR="009054B1" w:rsidRPr="009353E6">
        <w:rPr>
          <w:sz w:val="22"/>
          <w:szCs w:val="22"/>
          <w:lang w:val="pl-PL"/>
        </w:rPr>
        <w:t xml:space="preserve">ozostałe leki stosowane w leczeniu nadciśnienia, </w:t>
      </w:r>
      <w:r w:rsidR="00475244" w:rsidRPr="009353E6">
        <w:rPr>
          <w:sz w:val="22"/>
          <w:szCs w:val="22"/>
          <w:lang w:val="pl-PL"/>
        </w:rPr>
        <w:t>kortyko</w:t>
      </w:r>
      <w:r w:rsidR="009054B1" w:rsidRPr="009353E6">
        <w:rPr>
          <w:sz w:val="22"/>
          <w:szCs w:val="22"/>
          <w:lang w:val="pl-PL"/>
        </w:rPr>
        <w:t>ste</w:t>
      </w:r>
      <w:r w:rsidRPr="009353E6">
        <w:rPr>
          <w:sz w:val="22"/>
          <w:szCs w:val="22"/>
          <w:lang w:val="pl-PL"/>
        </w:rPr>
        <w:t>roidy</w:t>
      </w:r>
      <w:r w:rsidR="009054B1" w:rsidRPr="009353E6">
        <w:rPr>
          <w:sz w:val="22"/>
          <w:szCs w:val="22"/>
          <w:lang w:val="pl-PL"/>
        </w:rPr>
        <w:t>, leki przeciwbólowe</w:t>
      </w:r>
      <w:r w:rsidR="00475244" w:rsidRPr="009353E6">
        <w:rPr>
          <w:sz w:val="22"/>
          <w:szCs w:val="22"/>
          <w:lang w:val="pl-PL"/>
        </w:rPr>
        <w:t xml:space="preserve"> (np. </w:t>
      </w:r>
      <w:r w:rsidR="009A44E6" w:rsidRPr="009353E6">
        <w:rPr>
          <w:sz w:val="22"/>
          <w:szCs w:val="22"/>
          <w:lang w:val="pl-PL"/>
        </w:rPr>
        <w:t>niesteroidowe</w:t>
      </w:r>
      <w:r w:rsidR="00475244" w:rsidRPr="009353E6">
        <w:rPr>
          <w:sz w:val="22"/>
          <w:szCs w:val="22"/>
          <w:lang w:val="pl-PL"/>
        </w:rPr>
        <w:t xml:space="preserve"> leki przeciwzapalne, NLPZ)</w:t>
      </w:r>
      <w:r w:rsidR="009054B1" w:rsidRPr="009353E6">
        <w:rPr>
          <w:sz w:val="22"/>
          <w:szCs w:val="22"/>
          <w:lang w:val="pl-PL"/>
        </w:rPr>
        <w:t>, leki stosowane w leczeniu nowotworów, dny moczanowej lub zapalenia stawów</w:t>
      </w:r>
      <w:r w:rsidR="00475244" w:rsidRPr="009353E6">
        <w:rPr>
          <w:sz w:val="22"/>
          <w:szCs w:val="22"/>
          <w:lang w:val="pl-PL"/>
        </w:rPr>
        <w:t>;</w:t>
      </w:r>
    </w:p>
    <w:p w:rsidR="00845BF0" w:rsidRPr="009353E6" w:rsidRDefault="00065995" w:rsidP="00845BF0">
      <w:pPr>
        <w:pStyle w:val="PlainText"/>
        <w:numPr>
          <w:ilvl w:val="0"/>
          <w:numId w:val="24"/>
        </w:numPr>
        <w:tabs>
          <w:tab w:val="clear" w:pos="2520"/>
          <w:tab w:val="num" w:pos="567"/>
        </w:tabs>
        <w:ind w:left="567" w:hanging="567"/>
        <w:rPr>
          <w:rFonts w:ascii="Times New Roman" w:eastAsia="Times New Roman" w:hAnsi="Times New Roman"/>
          <w:bCs/>
          <w:iCs/>
          <w:sz w:val="22"/>
          <w:lang w:val="pl-PL"/>
        </w:rPr>
      </w:pPr>
      <w:r w:rsidRPr="009353E6">
        <w:rPr>
          <w:rFonts w:ascii="Times New Roman" w:hAnsi="Times New Roman"/>
          <w:sz w:val="22"/>
          <w:szCs w:val="22"/>
          <w:lang w:val="pl-PL"/>
        </w:rPr>
        <w:t>przyjm</w:t>
      </w:r>
      <w:r w:rsidR="005B3B97" w:rsidRPr="009353E6">
        <w:rPr>
          <w:rFonts w:ascii="Times New Roman" w:hAnsi="Times New Roman"/>
          <w:sz w:val="22"/>
          <w:szCs w:val="22"/>
          <w:lang w:val="pl-PL"/>
        </w:rPr>
        <w:t>owanie</w:t>
      </w:r>
      <w:r w:rsidRPr="009353E6">
        <w:rPr>
          <w:rFonts w:ascii="Times New Roman" w:hAnsi="Times New Roman"/>
          <w:sz w:val="22"/>
          <w:szCs w:val="22"/>
          <w:lang w:val="pl-PL"/>
        </w:rPr>
        <w:t xml:space="preserve"> inhibitor</w:t>
      </w:r>
      <w:r w:rsidR="005B3B97" w:rsidRPr="009353E6">
        <w:rPr>
          <w:rFonts w:ascii="Times New Roman" w:hAnsi="Times New Roman"/>
          <w:sz w:val="22"/>
          <w:szCs w:val="22"/>
          <w:lang w:val="pl-PL"/>
        </w:rPr>
        <w:t>a</w:t>
      </w:r>
      <w:r w:rsidRPr="009353E6">
        <w:rPr>
          <w:rFonts w:ascii="Times New Roman" w:hAnsi="Times New Roman"/>
          <w:sz w:val="22"/>
          <w:szCs w:val="22"/>
          <w:lang w:val="pl-PL"/>
        </w:rPr>
        <w:t xml:space="preserve"> ACE lub aliskiren</w:t>
      </w:r>
      <w:r w:rsidR="005B3B97" w:rsidRPr="009353E6">
        <w:rPr>
          <w:rFonts w:ascii="Times New Roman" w:hAnsi="Times New Roman"/>
          <w:sz w:val="22"/>
          <w:szCs w:val="22"/>
          <w:lang w:val="pl-PL"/>
        </w:rPr>
        <w:t>u</w:t>
      </w:r>
      <w:r w:rsidRPr="009353E6">
        <w:rPr>
          <w:rFonts w:ascii="Times New Roman" w:hAnsi="Times New Roman"/>
          <w:sz w:val="22"/>
          <w:szCs w:val="22"/>
          <w:lang w:val="pl-PL"/>
        </w:rPr>
        <w:t xml:space="preserve"> (patrz także informacje pod nagłówkiem „Kiedy nie</w:t>
      </w:r>
      <w:r w:rsidR="00D028CC" w:rsidRPr="009353E6">
        <w:rPr>
          <w:rFonts w:ascii="Times New Roman" w:hAnsi="Times New Roman"/>
          <w:sz w:val="22"/>
          <w:szCs w:val="22"/>
          <w:lang w:val="pl-PL"/>
        </w:rPr>
        <w:t xml:space="preserve"> </w:t>
      </w:r>
      <w:r w:rsidR="00105AE1" w:rsidRPr="009353E6">
        <w:rPr>
          <w:rFonts w:ascii="Times New Roman" w:hAnsi="Times New Roman"/>
          <w:sz w:val="22"/>
          <w:szCs w:val="22"/>
          <w:lang w:val="pl-PL"/>
        </w:rPr>
        <w:t>przyjmować</w:t>
      </w:r>
      <w:r w:rsidR="00D028CC" w:rsidRPr="009353E6">
        <w:rPr>
          <w:rFonts w:ascii="Times New Roman" w:hAnsi="Times New Roman"/>
          <w:sz w:val="22"/>
          <w:szCs w:val="22"/>
          <w:lang w:val="pl-PL"/>
        </w:rPr>
        <w:t xml:space="preserve"> </w:t>
      </w:r>
      <w:r w:rsidRPr="009353E6">
        <w:rPr>
          <w:rFonts w:ascii="Times New Roman" w:hAnsi="Times New Roman"/>
          <w:sz w:val="22"/>
          <w:szCs w:val="22"/>
          <w:lang w:val="pl-PL"/>
        </w:rPr>
        <w:t>leku MicardisPlus” oraz „Ostrzeżenia i środki ostrożności”);</w:t>
      </w:r>
    </w:p>
    <w:p w:rsidR="009054B1" w:rsidRPr="009353E6" w:rsidRDefault="00B66F2C" w:rsidP="00845BF0">
      <w:pPr>
        <w:pStyle w:val="PlainText"/>
        <w:numPr>
          <w:ilvl w:val="0"/>
          <w:numId w:val="24"/>
        </w:numPr>
        <w:tabs>
          <w:tab w:val="clear" w:pos="2520"/>
          <w:tab w:val="num" w:pos="567"/>
        </w:tabs>
        <w:ind w:left="567" w:hanging="567"/>
        <w:rPr>
          <w:rFonts w:ascii="Times New Roman" w:eastAsia="Times New Roman" w:hAnsi="Times New Roman"/>
          <w:bCs/>
          <w:iCs/>
          <w:sz w:val="22"/>
          <w:lang w:val="pl-PL"/>
        </w:rPr>
      </w:pPr>
      <w:r w:rsidRPr="009353E6">
        <w:rPr>
          <w:rFonts w:ascii="Times New Roman" w:eastAsia="Times New Roman" w:hAnsi="Times New Roman"/>
          <w:bCs/>
          <w:iCs/>
          <w:sz w:val="22"/>
          <w:lang w:val="pl-PL"/>
        </w:rPr>
        <w:t>digoksyn</w:t>
      </w:r>
      <w:r w:rsidR="005B3B97" w:rsidRPr="009353E6">
        <w:rPr>
          <w:rFonts w:ascii="Times New Roman" w:eastAsia="Times New Roman" w:hAnsi="Times New Roman"/>
          <w:bCs/>
          <w:iCs/>
          <w:sz w:val="22"/>
          <w:lang w:val="pl-PL"/>
        </w:rPr>
        <w:t>a</w:t>
      </w:r>
      <w:r w:rsidR="00D26BEB" w:rsidRPr="009353E6">
        <w:rPr>
          <w:rFonts w:ascii="Times New Roman" w:eastAsia="Times New Roman" w:hAnsi="Times New Roman"/>
          <w:bCs/>
          <w:iCs/>
          <w:sz w:val="22"/>
          <w:lang w:val="pl-PL"/>
        </w:rPr>
        <w:t>.</w:t>
      </w:r>
    </w:p>
    <w:p w:rsidR="00B66F2C" w:rsidRPr="009353E6" w:rsidRDefault="00B66F2C" w:rsidP="00F831F6">
      <w:pPr>
        <w:pStyle w:val="BodyText"/>
        <w:spacing w:line="240" w:lineRule="auto"/>
        <w:jc w:val="left"/>
        <w:rPr>
          <w:bCs/>
          <w:iCs/>
          <w:sz w:val="22"/>
          <w:szCs w:val="21"/>
          <w:lang w:val="pl-PL"/>
        </w:rPr>
      </w:pPr>
    </w:p>
    <w:p w:rsidR="00D26BEB" w:rsidRPr="009353E6" w:rsidRDefault="009054B1" w:rsidP="00D26BEB">
      <w:pPr>
        <w:autoSpaceDE w:val="0"/>
        <w:autoSpaceDN w:val="0"/>
        <w:adjustRightInd w:val="0"/>
        <w:rPr>
          <w:rStyle w:val="hps"/>
          <w:sz w:val="22"/>
          <w:szCs w:val="22"/>
          <w:lang w:val="pl-PL"/>
        </w:rPr>
      </w:pPr>
      <w:r w:rsidRPr="009353E6">
        <w:rPr>
          <w:bCs/>
          <w:iCs/>
          <w:sz w:val="22"/>
          <w:szCs w:val="21"/>
          <w:lang w:val="pl-PL"/>
        </w:rPr>
        <w:t>MicardisPlus może nasilać działanie obniżające ciśnienie krwi innych leków</w:t>
      </w:r>
      <w:r w:rsidR="00B66F2C" w:rsidRPr="009353E6">
        <w:rPr>
          <w:rStyle w:val="hps"/>
          <w:sz w:val="22"/>
          <w:szCs w:val="22"/>
          <w:lang w:val="pl-PL"/>
        </w:rPr>
        <w:t xml:space="preserve"> </w:t>
      </w:r>
      <w:r w:rsidR="00D26BEB" w:rsidRPr="009353E6">
        <w:rPr>
          <w:rStyle w:val="hps"/>
          <w:sz w:val="22"/>
          <w:szCs w:val="22"/>
          <w:lang w:val="pl-PL"/>
        </w:rPr>
        <w:t>stosowanych w leczeniu nadciśnienia lub</w:t>
      </w:r>
      <w:r w:rsidR="00D26BEB" w:rsidRPr="009353E6">
        <w:rPr>
          <w:sz w:val="22"/>
          <w:szCs w:val="22"/>
          <w:lang w:val="pl-PL"/>
        </w:rPr>
        <w:t xml:space="preserve"> </w:t>
      </w:r>
      <w:r w:rsidR="00D26BEB" w:rsidRPr="009353E6">
        <w:rPr>
          <w:rStyle w:val="hps"/>
          <w:sz w:val="22"/>
          <w:szCs w:val="22"/>
          <w:lang w:val="pl-PL"/>
        </w:rPr>
        <w:t>leków</w:t>
      </w:r>
      <w:r w:rsidR="00D26BEB" w:rsidRPr="009353E6">
        <w:rPr>
          <w:sz w:val="22"/>
          <w:szCs w:val="22"/>
          <w:lang w:val="pl-PL"/>
        </w:rPr>
        <w:t xml:space="preserve"> </w:t>
      </w:r>
      <w:r w:rsidR="00D26BEB" w:rsidRPr="009353E6">
        <w:rPr>
          <w:rStyle w:val="hps"/>
          <w:sz w:val="22"/>
          <w:szCs w:val="22"/>
          <w:lang w:val="pl-PL"/>
        </w:rPr>
        <w:t>, które mogą</w:t>
      </w:r>
      <w:r w:rsidR="00D26BEB" w:rsidRPr="009353E6">
        <w:rPr>
          <w:sz w:val="22"/>
          <w:szCs w:val="22"/>
          <w:lang w:val="pl-PL"/>
        </w:rPr>
        <w:t xml:space="preserve"> wywołać </w:t>
      </w:r>
      <w:r w:rsidR="00D26BEB" w:rsidRPr="009353E6">
        <w:rPr>
          <w:rStyle w:val="hps"/>
          <w:sz w:val="22"/>
          <w:szCs w:val="22"/>
          <w:lang w:val="pl-PL"/>
        </w:rPr>
        <w:t>zmniejszenie ciśnienia krwi</w:t>
      </w:r>
      <w:r w:rsidR="00D26BEB" w:rsidRPr="009353E6">
        <w:rPr>
          <w:sz w:val="22"/>
          <w:szCs w:val="22"/>
          <w:lang w:val="pl-PL"/>
        </w:rPr>
        <w:t xml:space="preserve"> </w:t>
      </w:r>
      <w:r w:rsidR="00D26BEB" w:rsidRPr="009353E6">
        <w:rPr>
          <w:rStyle w:val="hps"/>
          <w:sz w:val="22"/>
          <w:szCs w:val="22"/>
          <w:lang w:val="pl-PL"/>
        </w:rPr>
        <w:t>(np.</w:t>
      </w:r>
      <w:r w:rsidR="00D26BEB" w:rsidRPr="009353E6">
        <w:rPr>
          <w:sz w:val="22"/>
          <w:szCs w:val="22"/>
          <w:lang w:val="pl-PL"/>
        </w:rPr>
        <w:t xml:space="preserve"> </w:t>
      </w:r>
      <w:r w:rsidR="00D26BEB" w:rsidRPr="009353E6">
        <w:rPr>
          <w:rStyle w:val="hps"/>
          <w:sz w:val="22"/>
          <w:szCs w:val="22"/>
          <w:lang w:val="pl-PL"/>
        </w:rPr>
        <w:t>baklofen</w:t>
      </w:r>
      <w:r w:rsidR="00D26BEB" w:rsidRPr="009353E6">
        <w:rPr>
          <w:sz w:val="22"/>
          <w:szCs w:val="22"/>
          <w:lang w:val="pl-PL"/>
        </w:rPr>
        <w:t xml:space="preserve">, </w:t>
      </w:r>
      <w:r w:rsidR="00D26BEB" w:rsidRPr="009353E6">
        <w:rPr>
          <w:rStyle w:val="hps"/>
          <w:sz w:val="22"/>
          <w:szCs w:val="22"/>
          <w:lang w:val="pl-PL"/>
        </w:rPr>
        <w:t>amifostyna</w:t>
      </w:r>
      <w:r w:rsidR="00D26BEB" w:rsidRPr="009353E6">
        <w:rPr>
          <w:sz w:val="22"/>
          <w:szCs w:val="22"/>
          <w:lang w:val="pl-PL"/>
        </w:rPr>
        <w:t xml:space="preserve">). </w:t>
      </w:r>
      <w:r w:rsidR="00D26BEB" w:rsidRPr="009353E6">
        <w:rPr>
          <w:rStyle w:val="hps"/>
          <w:sz w:val="22"/>
          <w:szCs w:val="22"/>
          <w:lang w:val="pl-PL"/>
        </w:rPr>
        <w:t>Ponadto</w:t>
      </w:r>
      <w:r w:rsidR="00D26BEB" w:rsidRPr="009353E6">
        <w:rPr>
          <w:sz w:val="22"/>
          <w:szCs w:val="22"/>
          <w:lang w:val="pl-PL"/>
        </w:rPr>
        <w:t xml:space="preserve"> niskie ciśnienie krwi </w:t>
      </w:r>
      <w:r w:rsidR="00D26BEB" w:rsidRPr="009353E6">
        <w:rPr>
          <w:rStyle w:val="hps"/>
          <w:sz w:val="22"/>
          <w:szCs w:val="22"/>
          <w:lang w:val="pl-PL"/>
        </w:rPr>
        <w:t>mogą dodatkowo zmniejszyć:</w:t>
      </w:r>
      <w:r w:rsidR="00D26BEB" w:rsidRPr="009353E6">
        <w:rPr>
          <w:sz w:val="22"/>
          <w:szCs w:val="22"/>
          <w:lang w:val="pl-PL"/>
        </w:rPr>
        <w:t xml:space="preserve"> </w:t>
      </w:r>
      <w:r w:rsidR="00D26BEB" w:rsidRPr="009353E6">
        <w:rPr>
          <w:rStyle w:val="hps"/>
          <w:sz w:val="22"/>
          <w:szCs w:val="22"/>
          <w:lang w:val="pl-PL"/>
        </w:rPr>
        <w:t>alkohol, barbiturany,</w:t>
      </w:r>
      <w:r w:rsidR="00D26BEB" w:rsidRPr="009353E6">
        <w:rPr>
          <w:sz w:val="22"/>
          <w:szCs w:val="22"/>
          <w:lang w:val="pl-PL"/>
        </w:rPr>
        <w:t xml:space="preserve"> </w:t>
      </w:r>
      <w:r w:rsidR="00D26BEB" w:rsidRPr="009353E6">
        <w:rPr>
          <w:rStyle w:val="hps"/>
          <w:sz w:val="22"/>
          <w:szCs w:val="22"/>
          <w:lang w:val="pl-PL"/>
        </w:rPr>
        <w:t>narkotyki lub</w:t>
      </w:r>
      <w:r w:rsidR="00D26BEB" w:rsidRPr="009353E6">
        <w:rPr>
          <w:sz w:val="22"/>
          <w:szCs w:val="22"/>
          <w:lang w:val="pl-PL"/>
        </w:rPr>
        <w:t xml:space="preserve"> </w:t>
      </w:r>
      <w:r w:rsidR="00D26BEB" w:rsidRPr="009353E6">
        <w:rPr>
          <w:rStyle w:val="hps"/>
          <w:sz w:val="22"/>
          <w:szCs w:val="22"/>
          <w:lang w:val="pl-PL"/>
        </w:rPr>
        <w:t>leki przeciwdepresyjne</w:t>
      </w:r>
      <w:r w:rsidR="00D26BEB" w:rsidRPr="009353E6">
        <w:rPr>
          <w:sz w:val="22"/>
          <w:szCs w:val="22"/>
          <w:lang w:val="pl-PL"/>
        </w:rPr>
        <w:t xml:space="preserve">. </w:t>
      </w:r>
      <w:r w:rsidR="00D26BEB" w:rsidRPr="009353E6">
        <w:rPr>
          <w:rStyle w:val="hps"/>
          <w:sz w:val="22"/>
          <w:szCs w:val="22"/>
          <w:lang w:val="pl-PL"/>
        </w:rPr>
        <w:t>Objawem są zawroty głowy</w:t>
      </w:r>
      <w:r w:rsidR="00D26BEB" w:rsidRPr="009353E6">
        <w:rPr>
          <w:sz w:val="22"/>
          <w:szCs w:val="22"/>
          <w:lang w:val="pl-PL"/>
        </w:rPr>
        <w:t xml:space="preserve"> </w:t>
      </w:r>
      <w:r w:rsidR="00D26BEB" w:rsidRPr="009353E6">
        <w:rPr>
          <w:rStyle w:val="hps"/>
          <w:sz w:val="22"/>
          <w:szCs w:val="22"/>
          <w:lang w:val="pl-PL"/>
        </w:rPr>
        <w:t>przy wstawaniu</w:t>
      </w:r>
      <w:r w:rsidR="00D26BEB" w:rsidRPr="009353E6">
        <w:rPr>
          <w:sz w:val="22"/>
          <w:szCs w:val="22"/>
          <w:lang w:val="pl-PL"/>
        </w:rPr>
        <w:t xml:space="preserve">. </w:t>
      </w:r>
      <w:r w:rsidR="00607E39" w:rsidRPr="009353E6">
        <w:rPr>
          <w:sz w:val="22"/>
          <w:szCs w:val="22"/>
          <w:lang w:val="pl-PL"/>
        </w:rPr>
        <w:t xml:space="preserve">W razie potrzeby należy poradzić się lekarza celem dostosowania dawki innego leku podczas przyjmowania </w:t>
      </w:r>
      <w:r w:rsidR="007A3277" w:rsidRPr="009353E6">
        <w:rPr>
          <w:sz w:val="22"/>
          <w:szCs w:val="22"/>
          <w:lang w:val="pl-PL"/>
        </w:rPr>
        <w:t>leku Micardis</w:t>
      </w:r>
      <w:r w:rsidR="00607E39" w:rsidRPr="009353E6">
        <w:rPr>
          <w:sz w:val="22"/>
          <w:szCs w:val="22"/>
          <w:lang w:val="pl-PL"/>
        </w:rPr>
        <w:t>Plus.</w:t>
      </w:r>
    </w:p>
    <w:p w:rsidR="009054B1" w:rsidRPr="009353E6" w:rsidRDefault="009054B1" w:rsidP="00A50023">
      <w:pPr>
        <w:rPr>
          <w:sz w:val="22"/>
          <w:szCs w:val="22"/>
          <w:lang w:val="pl-PL"/>
        </w:rPr>
      </w:pPr>
    </w:p>
    <w:p w:rsidR="009054B1" w:rsidRPr="009353E6" w:rsidRDefault="00AC1BF8" w:rsidP="00F831F6">
      <w:pPr>
        <w:pStyle w:val="BodyText"/>
        <w:spacing w:line="240" w:lineRule="auto"/>
        <w:jc w:val="left"/>
        <w:rPr>
          <w:iCs/>
          <w:sz w:val="22"/>
          <w:szCs w:val="22"/>
          <w:lang w:val="pl-PL"/>
        </w:rPr>
      </w:pPr>
      <w:r w:rsidRPr="009353E6">
        <w:rPr>
          <w:iCs/>
          <w:sz w:val="22"/>
          <w:szCs w:val="22"/>
          <w:lang w:val="pl-PL"/>
        </w:rPr>
        <w:t>D</w:t>
      </w:r>
      <w:r w:rsidR="009054B1" w:rsidRPr="009353E6">
        <w:rPr>
          <w:iCs/>
          <w:sz w:val="22"/>
          <w:szCs w:val="22"/>
          <w:lang w:val="pl-PL"/>
        </w:rPr>
        <w:t xml:space="preserve">ziałanie leku MicardisPlus może być osłabione w przypadku jednoczesnego stosowania </w:t>
      </w:r>
      <w:r w:rsidR="00B34C49" w:rsidRPr="009353E6">
        <w:rPr>
          <w:iCs/>
          <w:sz w:val="22"/>
          <w:szCs w:val="22"/>
          <w:lang w:val="pl-PL"/>
        </w:rPr>
        <w:t xml:space="preserve">NLPZ </w:t>
      </w:r>
      <w:r w:rsidR="009054B1" w:rsidRPr="009353E6">
        <w:rPr>
          <w:iCs/>
          <w:sz w:val="22"/>
          <w:szCs w:val="22"/>
          <w:lang w:val="pl-PL"/>
        </w:rPr>
        <w:t>(niester</w:t>
      </w:r>
      <w:r w:rsidR="00180110" w:rsidRPr="009353E6">
        <w:rPr>
          <w:iCs/>
          <w:sz w:val="22"/>
          <w:szCs w:val="22"/>
          <w:lang w:val="pl-PL"/>
        </w:rPr>
        <w:t>oido</w:t>
      </w:r>
      <w:r w:rsidR="009054B1" w:rsidRPr="009353E6">
        <w:rPr>
          <w:iCs/>
          <w:sz w:val="22"/>
          <w:szCs w:val="22"/>
          <w:lang w:val="pl-PL"/>
        </w:rPr>
        <w:t xml:space="preserve">wych leków przeciwzapalnych, np. </w:t>
      </w:r>
      <w:r w:rsidR="00180110" w:rsidRPr="009353E6">
        <w:rPr>
          <w:iCs/>
          <w:sz w:val="22"/>
          <w:szCs w:val="22"/>
          <w:lang w:val="pl-PL"/>
        </w:rPr>
        <w:t xml:space="preserve">kwasu acetylosalicylowego </w:t>
      </w:r>
      <w:r w:rsidR="009054B1" w:rsidRPr="009353E6">
        <w:rPr>
          <w:iCs/>
          <w:sz w:val="22"/>
          <w:szCs w:val="22"/>
          <w:lang w:val="pl-PL"/>
        </w:rPr>
        <w:t>lub ibuprofenu).</w:t>
      </w:r>
    </w:p>
    <w:p w:rsidR="003C25C3" w:rsidRPr="009353E6" w:rsidRDefault="003C25C3" w:rsidP="00F831F6">
      <w:pPr>
        <w:pStyle w:val="BodyText"/>
        <w:spacing w:line="240" w:lineRule="auto"/>
        <w:jc w:val="left"/>
        <w:rPr>
          <w:b/>
          <w:iCs/>
          <w:sz w:val="22"/>
          <w:szCs w:val="22"/>
          <w:lang w:val="pl-PL"/>
        </w:rPr>
      </w:pPr>
    </w:p>
    <w:p w:rsidR="003C25C3" w:rsidRPr="009353E6" w:rsidRDefault="003C25C3" w:rsidP="00F831F6">
      <w:pPr>
        <w:pStyle w:val="BodyText"/>
        <w:spacing w:line="240" w:lineRule="auto"/>
        <w:jc w:val="left"/>
        <w:rPr>
          <w:b/>
          <w:iCs/>
          <w:sz w:val="22"/>
          <w:szCs w:val="22"/>
          <w:lang w:val="pl-PL"/>
        </w:rPr>
      </w:pPr>
      <w:r w:rsidRPr="009353E6">
        <w:rPr>
          <w:b/>
          <w:iCs/>
          <w:sz w:val="22"/>
          <w:szCs w:val="22"/>
          <w:lang w:val="pl-PL"/>
        </w:rPr>
        <w:t xml:space="preserve">Stosowanie leku MicardisPlus z </w:t>
      </w:r>
      <w:r w:rsidR="00B700DC" w:rsidRPr="009353E6">
        <w:rPr>
          <w:b/>
          <w:iCs/>
          <w:sz w:val="22"/>
          <w:szCs w:val="22"/>
          <w:lang w:val="pl-PL"/>
        </w:rPr>
        <w:t>jedzeniem</w:t>
      </w:r>
      <w:r w:rsidRPr="009353E6">
        <w:rPr>
          <w:b/>
          <w:iCs/>
          <w:sz w:val="22"/>
          <w:szCs w:val="22"/>
          <w:lang w:val="pl-PL"/>
        </w:rPr>
        <w:t xml:space="preserve"> i alkoholem</w:t>
      </w:r>
    </w:p>
    <w:p w:rsidR="003C25C3" w:rsidRPr="009353E6" w:rsidRDefault="003C25C3" w:rsidP="00F831F6">
      <w:pPr>
        <w:pStyle w:val="BodyText"/>
        <w:spacing w:line="240" w:lineRule="auto"/>
        <w:jc w:val="left"/>
        <w:rPr>
          <w:iCs/>
          <w:sz w:val="22"/>
          <w:szCs w:val="22"/>
          <w:lang w:val="pl-PL"/>
        </w:rPr>
      </w:pPr>
      <w:r w:rsidRPr="009353E6">
        <w:rPr>
          <w:iCs/>
          <w:sz w:val="22"/>
          <w:szCs w:val="22"/>
          <w:lang w:val="pl-PL"/>
        </w:rPr>
        <w:t xml:space="preserve">Lek MicardisPlus można przyjmować z pożywieniem lub niezależnie od posiłków. </w:t>
      </w:r>
    </w:p>
    <w:p w:rsidR="003C25C3" w:rsidRPr="009353E6" w:rsidRDefault="003C25C3" w:rsidP="00F831F6">
      <w:pPr>
        <w:pStyle w:val="BodyText"/>
        <w:spacing w:line="240" w:lineRule="auto"/>
        <w:jc w:val="left"/>
        <w:rPr>
          <w:iCs/>
          <w:sz w:val="22"/>
          <w:szCs w:val="22"/>
          <w:lang w:val="pl-PL"/>
        </w:rPr>
      </w:pPr>
      <w:r w:rsidRPr="009353E6">
        <w:rPr>
          <w:iCs/>
          <w:sz w:val="22"/>
          <w:szCs w:val="22"/>
          <w:lang w:val="pl-PL"/>
        </w:rPr>
        <w:t>Należy unikać</w:t>
      </w:r>
      <w:r w:rsidR="0070396D" w:rsidRPr="009353E6">
        <w:rPr>
          <w:iCs/>
          <w:sz w:val="22"/>
          <w:szCs w:val="22"/>
          <w:lang w:val="pl-PL"/>
        </w:rPr>
        <w:t xml:space="preserve"> </w:t>
      </w:r>
      <w:r w:rsidRPr="009353E6">
        <w:rPr>
          <w:iCs/>
          <w:sz w:val="22"/>
          <w:szCs w:val="22"/>
          <w:lang w:val="pl-PL"/>
        </w:rPr>
        <w:t xml:space="preserve">alkoholu do czasu rozmowy z lekarzem. </w:t>
      </w:r>
      <w:r w:rsidR="00301041" w:rsidRPr="009353E6">
        <w:rPr>
          <w:iCs/>
          <w:sz w:val="22"/>
          <w:szCs w:val="22"/>
          <w:lang w:val="pl-PL"/>
        </w:rPr>
        <w:t>Alkohol może dodatkowo obniżyć ciśnienie krwi i</w:t>
      </w:r>
      <w:r w:rsidR="005B3B97" w:rsidRPr="009353E6">
        <w:rPr>
          <w:iCs/>
          <w:sz w:val="22"/>
          <w:szCs w:val="22"/>
          <w:lang w:val="pl-PL"/>
        </w:rPr>
        <w:t xml:space="preserve"> (</w:t>
      </w:r>
      <w:r w:rsidR="00301041" w:rsidRPr="009353E6">
        <w:rPr>
          <w:iCs/>
          <w:sz w:val="22"/>
          <w:szCs w:val="22"/>
          <w:lang w:val="pl-PL"/>
        </w:rPr>
        <w:t>lub</w:t>
      </w:r>
      <w:r w:rsidR="005B3B97" w:rsidRPr="009353E6">
        <w:rPr>
          <w:iCs/>
          <w:sz w:val="22"/>
          <w:szCs w:val="22"/>
          <w:lang w:val="pl-PL"/>
        </w:rPr>
        <w:t>)</w:t>
      </w:r>
      <w:r w:rsidR="00301041" w:rsidRPr="009353E6">
        <w:rPr>
          <w:iCs/>
          <w:sz w:val="22"/>
          <w:szCs w:val="22"/>
          <w:lang w:val="pl-PL"/>
        </w:rPr>
        <w:t xml:space="preserve"> nasilić ryzyko zawrotów głowy </w:t>
      </w:r>
      <w:r w:rsidR="005B3B97" w:rsidRPr="009353E6">
        <w:rPr>
          <w:iCs/>
          <w:sz w:val="22"/>
          <w:szCs w:val="22"/>
          <w:lang w:val="pl-PL"/>
        </w:rPr>
        <w:t>lub</w:t>
      </w:r>
      <w:r w:rsidR="00301041" w:rsidRPr="009353E6">
        <w:rPr>
          <w:iCs/>
          <w:sz w:val="22"/>
          <w:szCs w:val="22"/>
          <w:lang w:val="pl-PL"/>
        </w:rPr>
        <w:t xml:space="preserve"> omdlenia</w:t>
      </w:r>
      <w:r w:rsidRPr="009353E6">
        <w:rPr>
          <w:iCs/>
          <w:sz w:val="22"/>
          <w:szCs w:val="22"/>
          <w:lang w:val="pl-PL"/>
        </w:rPr>
        <w:t>.</w:t>
      </w:r>
    </w:p>
    <w:p w:rsidR="00065995" w:rsidRPr="009353E6" w:rsidRDefault="00065995"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b/>
          <w:sz w:val="22"/>
          <w:szCs w:val="22"/>
          <w:lang w:val="pl-PL"/>
        </w:rPr>
      </w:pPr>
      <w:r w:rsidRPr="009353E6">
        <w:rPr>
          <w:b/>
          <w:sz w:val="22"/>
          <w:szCs w:val="22"/>
          <w:lang w:val="pl-PL"/>
        </w:rPr>
        <w:t xml:space="preserve">Ciąża </w:t>
      </w:r>
      <w:r w:rsidR="00491019" w:rsidRPr="009353E6">
        <w:rPr>
          <w:b/>
          <w:sz w:val="22"/>
          <w:szCs w:val="22"/>
          <w:lang w:val="pl-PL"/>
        </w:rPr>
        <w:t>i karmienie piersią</w:t>
      </w:r>
    </w:p>
    <w:p w:rsidR="00655CF3" w:rsidRPr="009353E6" w:rsidRDefault="00655CF3" w:rsidP="00F831F6">
      <w:pPr>
        <w:pStyle w:val="BodyText"/>
        <w:spacing w:line="240" w:lineRule="auto"/>
        <w:jc w:val="left"/>
        <w:rPr>
          <w:b/>
          <w:sz w:val="22"/>
          <w:szCs w:val="22"/>
          <w:lang w:val="pl-PL"/>
        </w:rPr>
      </w:pPr>
    </w:p>
    <w:p w:rsidR="007D7C96" w:rsidRPr="009353E6" w:rsidRDefault="007D7C96" w:rsidP="00F831F6">
      <w:pPr>
        <w:pStyle w:val="BodyText"/>
        <w:spacing w:line="240" w:lineRule="auto"/>
        <w:jc w:val="left"/>
        <w:rPr>
          <w:sz w:val="22"/>
          <w:szCs w:val="22"/>
          <w:u w:val="single"/>
          <w:lang w:val="pl-PL"/>
        </w:rPr>
      </w:pPr>
      <w:r w:rsidRPr="009353E6">
        <w:rPr>
          <w:sz w:val="22"/>
          <w:szCs w:val="22"/>
          <w:u w:val="single"/>
          <w:lang w:val="pl-PL"/>
        </w:rPr>
        <w:t>Ciąża</w:t>
      </w:r>
    </w:p>
    <w:p w:rsidR="007D7C96" w:rsidRPr="009353E6" w:rsidRDefault="007D7C96" w:rsidP="00F831F6">
      <w:pPr>
        <w:pStyle w:val="BodyText"/>
        <w:spacing w:line="240" w:lineRule="auto"/>
        <w:jc w:val="left"/>
        <w:rPr>
          <w:sz w:val="22"/>
          <w:szCs w:val="22"/>
          <w:lang w:val="pl-PL"/>
        </w:rPr>
      </w:pPr>
      <w:r w:rsidRPr="009353E6">
        <w:rPr>
          <w:sz w:val="22"/>
          <w:szCs w:val="22"/>
          <w:lang w:val="pl-PL"/>
        </w:rPr>
        <w:t xml:space="preserve">Należy poinformować lekarza o podejrzeniu </w:t>
      </w:r>
      <w:r w:rsidR="00AC1BF8" w:rsidRPr="009353E6">
        <w:rPr>
          <w:sz w:val="22"/>
          <w:szCs w:val="22"/>
          <w:lang w:val="pl-PL"/>
        </w:rPr>
        <w:t>(</w:t>
      </w:r>
      <w:r w:rsidRPr="009353E6">
        <w:rPr>
          <w:sz w:val="22"/>
          <w:szCs w:val="22"/>
          <w:u w:val="single"/>
          <w:lang w:val="pl-PL"/>
        </w:rPr>
        <w:t>lub planowaniu</w:t>
      </w:r>
      <w:r w:rsidR="00AC1BF8" w:rsidRPr="009353E6">
        <w:rPr>
          <w:sz w:val="22"/>
          <w:szCs w:val="22"/>
          <w:u w:val="single"/>
          <w:lang w:val="pl-PL"/>
        </w:rPr>
        <w:t>)</w:t>
      </w:r>
      <w:r w:rsidRPr="009353E6">
        <w:rPr>
          <w:sz w:val="22"/>
          <w:szCs w:val="22"/>
          <w:lang w:val="pl-PL"/>
        </w:rPr>
        <w:t xml:space="preserve"> ciąży. </w:t>
      </w:r>
    </w:p>
    <w:p w:rsidR="007D7C96" w:rsidRPr="009353E6" w:rsidRDefault="00D72992" w:rsidP="00F831F6">
      <w:pPr>
        <w:pStyle w:val="BodyText"/>
        <w:spacing w:line="240" w:lineRule="auto"/>
        <w:jc w:val="left"/>
        <w:rPr>
          <w:sz w:val="22"/>
          <w:szCs w:val="22"/>
          <w:lang w:val="pl-PL"/>
        </w:rPr>
      </w:pPr>
      <w:r w:rsidRPr="009353E6">
        <w:rPr>
          <w:sz w:val="22"/>
          <w:szCs w:val="22"/>
          <w:lang w:val="pl-PL"/>
        </w:rPr>
        <w:t xml:space="preserve">Zazwyczaj lekarz zaleci zaprzestanie stosowania leku MicardisPlus przed planowaną ciążą lub natychmiast po stwierdzeniu ciąży i zaleci inny lek zamiast leku MicardisPlus. Nie zaleca się stosowania leku MicardisPlus </w:t>
      </w:r>
      <w:r w:rsidR="009554EB" w:rsidRPr="009353E6">
        <w:rPr>
          <w:sz w:val="22"/>
          <w:szCs w:val="22"/>
          <w:lang w:val="pl-PL"/>
        </w:rPr>
        <w:t xml:space="preserve">podczas </w:t>
      </w:r>
      <w:r w:rsidRPr="009353E6">
        <w:rPr>
          <w:sz w:val="22"/>
          <w:szCs w:val="22"/>
          <w:lang w:val="pl-PL"/>
        </w:rPr>
        <w:t xml:space="preserve">ciąży i nie wolno go stosować po trzecim miesiącu ciąży, ponieważ może poważnie zaszkodzić dziecku, jeśli jest stosowany po 3 miesiącu ciąży. </w:t>
      </w:r>
    </w:p>
    <w:p w:rsidR="007D7C96" w:rsidRPr="009353E6" w:rsidRDefault="007D7C96" w:rsidP="00F831F6">
      <w:pPr>
        <w:pStyle w:val="BodyText"/>
        <w:spacing w:line="240" w:lineRule="auto"/>
        <w:jc w:val="left"/>
        <w:rPr>
          <w:sz w:val="22"/>
          <w:szCs w:val="22"/>
          <w:lang w:val="pl-PL"/>
        </w:rPr>
      </w:pPr>
    </w:p>
    <w:p w:rsidR="007D7C96" w:rsidRPr="009353E6" w:rsidRDefault="007D7C96" w:rsidP="00F831F6">
      <w:pPr>
        <w:pStyle w:val="BodyText"/>
        <w:spacing w:line="240" w:lineRule="auto"/>
        <w:jc w:val="left"/>
        <w:rPr>
          <w:sz w:val="22"/>
          <w:szCs w:val="22"/>
          <w:u w:val="single"/>
          <w:lang w:val="pl-PL"/>
        </w:rPr>
      </w:pPr>
      <w:r w:rsidRPr="009353E6">
        <w:rPr>
          <w:sz w:val="22"/>
          <w:szCs w:val="22"/>
          <w:u w:val="single"/>
          <w:lang w:val="pl-PL"/>
        </w:rPr>
        <w:t>Karmienie piersią</w:t>
      </w:r>
    </w:p>
    <w:p w:rsidR="009554EB" w:rsidRPr="009353E6" w:rsidRDefault="0042510A" w:rsidP="009554EB">
      <w:pPr>
        <w:pStyle w:val="BodyText"/>
        <w:spacing w:line="240" w:lineRule="auto"/>
        <w:jc w:val="left"/>
        <w:rPr>
          <w:sz w:val="22"/>
          <w:szCs w:val="22"/>
          <w:lang w:val="pl-PL"/>
        </w:rPr>
      </w:pPr>
      <w:r w:rsidRPr="009353E6">
        <w:rPr>
          <w:sz w:val="22"/>
          <w:szCs w:val="22"/>
          <w:lang w:val="pl-PL"/>
        </w:rPr>
        <w:t>Należy powiedzieć lekarzowi o karmieniu piersią lub zamiarze karmienia piersią. Lek MicardisPlus nie jest zalecany podczas karmienia piersią. Lekarz może wybrać inne leczenie w trakcie karmienia piersią</w:t>
      </w:r>
      <w:r w:rsidR="009554EB" w:rsidRPr="009353E6">
        <w:rPr>
          <w:sz w:val="22"/>
          <w:szCs w:val="22"/>
          <w:lang w:val="pl-PL"/>
        </w:rPr>
        <w:t>.</w:t>
      </w:r>
    </w:p>
    <w:p w:rsidR="009554EB" w:rsidRPr="009353E6" w:rsidRDefault="009554EB" w:rsidP="00F831F6">
      <w:pPr>
        <w:pStyle w:val="BodyText"/>
        <w:spacing w:line="240" w:lineRule="auto"/>
        <w:jc w:val="left"/>
        <w:rPr>
          <w:b/>
          <w:sz w:val="22"/>
          <w:szCs w:val="22"/>
          <w:lang w:val="pl-PL"/>
        </w:rPr>
      </w:pPr>
    </w:p>
    <w:p w:rsidR="002D3E1A" w:rsidRPr="009353E6" w:rsidRDefault="002D3E1A" w:rsidP="00F831F6">
      <w:pPr>
        <w:pStyle w:val="BodyText"/>
        <w:spacing w:line="240" w:lineRule="auto"/>
        <w:jc w:val="left"/>
        <w:rPr>
          <w:b/>
          <w:sz w:val="22"/>
          <w:szCs w:val="22"/>
          <w:lang w:val="pl-PL"/>
        </w:rPr>
      </w:pPr>
      <w:r w:rsidRPr="009353E6">
        <w:rPr>
          <w:b/>
          <w:sz w:val="22"/>
          <w:szCs w:val="22"/>
          <w:lang w:val="pl-PL"/>
        </w:rPr>
        <w:t>Prowadzenie pojazdów i obsług</w:t>
      </w:r>
      <w:r w:rsidR="00F0332C" w:rsidRPr="009353E6">
        <w:rPr>
          <w:b/>
          <w:sz w:val="22"/>
          <w:szCs w:val="22"/>
          <w:lang w:val="pl-PL"/>
        </w:rPr>
        <w:t>iwanie</w:t>
      </w:r>
      <w:r w:rsidRPr="009353E6">
        <w:rPr>
          <w:b/>
          <w:sz w:val="22"/>
          <w:szCs w:val="22"/>
          <w:lang w:val="pl-PL"/>
        </w:rPr>
        <w:t xml:space="preserve"> maszyn</w:t>
      </w:r>
    </w:p>
    <w:p w:rsidR="00655CF3" w:rsidRPr="009353E6" w:rsidRDefault="00655CF3" w:rsidP="00F831F6">
      <w:pPr>
        <w:pStyle w:val="BodyText"/>
        <w:spacing w:line="240" w:lineRule="auto"/>
        <w:jc w:val="left"/>
        <w:rPr>
          <w:b/>
          <w:sz w:val="22"/>
          <w:szCs w:val="22"/>
          <w:lang w:val="pl-PL"/>
        </w:rPr>
      </w:pPr>
    </w:p>
    <w:p w:rsidR="00AC1BF8" w:rsidRPr="009353E6" w:rsidRDefault="00AC1BF8" w:rsidP="00AC1BF8">
      <w:pPr>
        <w:rPr>
          <w:sz w:val="22"/>
          <w:szCs w:val="22"/>
          <w:lang w:val="pl-PL"/>
        </w:rPr>
      </w:pPr>
      <w:r w:rsidRPr="009353E6">
        <w:rPr>
          <w:sz w:val="22"/>
          <w:szCs w:val="22"/>
          <w:lang w:val="pl-PL"/>
        </w:rPr>
        <w:t>Niektórzy pacjenci przyjmujący MicardisPlus mogą odczuwać zawroty głowy lub zmęczenie. W takim przypadku nie należy prowadzić pojazdów ani obsługiwać maszyn.</w:t>
      </w:r>
    </w:p>
    <w:p w:rsidR="002D3E1A" w:rsidRPr="009353E6" w:rsidRDefault="002D3E1A" w:rsidP="00F831F6">
      <w:pPr>
        <w:pStyle w:val="BodyText"/>
        <w:spacing w:line="240" w:lineRule="auto"/>
        <w:jc w:val="left"/>
        <w:rPr>
          <w:sz w:val="22"/>
          <w:szCs w:val="22"/>
          <w:lang w:val="pl-PL"/>
        </w:rPr>
      </w:pPr>
    </w:p>
    <w:p w:rsidR="00BF6A8A" w:rsidRPr="009353E6" w:rsidRDefault="00BF6A8A" w:rsidP="005E3A9A">
      <w:pPr>
        <w:pStyle w:val="BodyText"/>
        <w:keepNext/>
        <w:spacing w:line="240" w:lineRule="auto"/>
        <w:jc w:val="left"/>
        <w:rPr>
          <w:b/>
          <w:sz w:val="22"/>
          <w:szCs w:val="22"/>
          <w:lang w:val="pl-PL"/>
        </w:rPr>
      </w:pPr>
      <w:r w:rsidRPr="009353E6">
        <w:rPr>
          <w:b/>
          <w:sz w:val="22"/>
          <w:szCs w:val="22"/>
          <w:lang w:val="pl-PL"/>
        </w:rPr>
        <w:t>Lek MicardisPlus zawiera cukier (laktozę) i sorbitol.</w:t>
      </w:r>
    </w:p>
    <w:p w:rsidR="00EB034B" w:rsidRPr="009353E6" w:rsidRDefault="00EB034B" w:rsidP="00F831F6">
      <w:pPr>
        <w:pStyle w:val="BodyText"/>
        <w:spacing w:line="240" w:lineRule="auto"/>
        <w:jc w:val="left"/>
        <w:rPr>
          <w:sz w:val="22"/>
          <w:szCs w:val="22"/>
          <w:lang w:val="pl-PL"/>
        </w:rPr>
      </w:pPr>
      <w:r w:rsidRPr="009353E6">
        <w:rPr>
          <w:sz w:val="22"/>
          <w:szCs w:val="22"/>
          <w:lang w:val="pl-PL"/>
        </w:rPr>
        <w:t xml:space="preserve">Jeśli </w:t>
      </w:r>
      <w:r w:rsidR="009A3E17" w:rsidRPr="009353E6">
        <w:rPr>
          <w:sz w:val="22"/>
          <w:szCs w:val="22"/>
          <w:lang w:val="pl-PL"/>
        </w:rPr>
        <w:t xml:space="preserve">pacjent </w:t>
      </w:r>
      <w:r w:rsidRPr="009353E6">
        <w:rPr>
          <w:sz w:val="22"/>
          <w:szCs w:val="22"/>
          <w:lang w:val="pl-PL"/>
        </w:rPr>
        <w:t>ma nietolerancję pewnych cukrów, powinien skontaktować się z lekarzem przed zastosowaniem leku MicardisPlus.</w:t>
      </w:r>
    </w:p>
    <w:p w:rsidR="002D3E1A" w:rsidRPr="009353E6" w:rsidRDefault="002D3E1A"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sz w:val="22"/>
          <w:szCs w:val="22"/>
          <w:lang w:val="pl-PL"/>
        </w:rPr>
      </w:pPr>
    </w:p>
    <w:p w:rsidR="002D3E1A" w:rsidRPr="009353E6" w:rsidRDefault="002D3E1A" w:rsidP="00E40CF2">
      <w:pPr>
        <w:pStyle w:val="BodyText"/>
        <w:keepNext/>
        <w:tabs>
          <w:tab w:val="left" w:pos="540"/>
        </w:tabs>
        <w:spacing w:line="240" w:lineRule="auto"/>
        <w:jc w:val="left"/>
        <w:rPr>
          <w:b/>
          <w:sz w:val="22"/>
          <w:szCs w:val="22"/>
          <w:lang w:val="pl-PL"/>
        </w:rPr>
      </w:pPr>
      <w:r w:rsidRPr="009353E6">
        <w:rPr>
          <w:b/>
          <w:sz w:val="22"/>
          <w:szCs w:val="22"/>
          <w:lang w:val="pl-PL"/>
        </w:rPr>
        <w:t>3.</w:t>
      </w:r>
      <w:r w:rsidRPr="009353E6">
        <w:rPr>
          <w:b/>
          <w:sz w:val="22"/>
          <w:szCs w:val="22"/>
          <w:lang w:val="pl-PL"/>
        </w:rPr>
        <w:tab/>
      </w:r>
      <w:r w:rsidR="00AC1BF8" w:rsidRPr="009353E6">
        <w:rPr>
          <w:b/>
          <w:sz w:val="22"/>
          <w:szCs w:val="22"/>
          <w:lang w:val="pl-PL"/>
        </w:rPr>
        <w:t xml:space="preserve">Jak </w:t>
      </w:r>
      <w:r w:rsidR="00375114" w:rsidRPr="009353E6">
        <w:rPr>
          <w:b/>
          <w:sz w:val="22"/>
          <w:szCs w:val="22"/>
          <w:lang w:val="pl-PL"/>
        </w:rPr>
        <w:t>przyjmować</w:t>
      </w:r>
      <w:r w:rsidR="00AC1BF8" w:rsidRPr="009353E6">
        <w:rPr>
          <w:b/>
          <w:sz w:val="22"/>
          <w:szCs w:val="22"/>
          <w:lang w:val="pl-PL"/>
        </w:rPr>
        <w:t xml:space="preserve"> lek MicardisPlus </w:t>
      </w:r>
    </w:p>
    <w:p w:rsidR="002D3E1A" w:rsidRPr="009353E6" w:rsidRDefault="002D3E1A" w:rsidP="00E40CF2">
      <w:pPr>
        <w:pStyle w:val="BodyText"/>
        <w:keepNext/>
        <w:spacing w:line="240" w:lineRule="auto"/>
        <w:jc w:val="left"/>
        <w:rPr>
          <w:sz w:val="22"/>
          <w:szCs w:val="22"/>
          <w:lang w:val="pl-PL"/>
        </w:rPr>
      </w:pPr>
    </w:p>
    <w:p w:rsidR="002D3E1A" w:rsidRPr="009353E6" w:rsidRDefault="00E96C88" w:rsidP="00E40CF2">
      <w:pPr>
        <w:pStyle w:val="BodyText"/>
        <w:keepNext/>
        <w:spacing w:line="240" w:lineRule="auto"/>
        <w:jc w:val="left"/>
        <w:rPr>
          <w:sz w:val="22"/>
          <w:szCs w:val="22"/>
          <w:lang w:val="pl-PL"/>
        </w:rPr>
      </w:pPr>
      <w:r w:rsidRPr="009353E6">
        <w:rPr>
          <w:sz w:val="22"/>
          <w:szCs w:val="22"/>
          <w:lang w:val="pl-PL"/>
        </w:rPr>
        <w:t>Ten l</w:t>
      </w:r>
      <w:r w:rsidR="002D3E1A" w:rsidRPr="009353E6">
        <w:rPr>
          <w:sz w:val="22"/>
          <w:szCs w:val="22"/>
          <w:lang w:val="pl-PL"/>
        </w:rPr>
        <w:t xml:space="preserve">ek </w:t>
      </w:r>
      <w:r w:rsidR="00F0332C" w:rsidRPr="009353E6">
        <w:rPr>
          <w:sz w:val="22"/>
          <w:szCs w:val="22"/>
          <w:lang w:val="pl-PL"/>
        </w:rPr>
        <w:t xml:space="preserve">należy </w:t>
      </w:r>
      <w:r w:rsidR="004C5B08" w:rsidRPr="009353E6">
        <w:rPr>
          <w:sz w:val="22"/>
          <w:szCs w:val="22"/>
          <w:lang w:val="pl-PL"/>
        </w:rPr>
        <w:t>zawsze</w:t>
      </w:r>
      <w:r w:rsidR="002D3E1A" w:rsidRPr="009353E6">
        <w:rPr>
          <w:sz w:val="22"/>
          <w:szCs w:val="22"/>
          <w:lang w:val="pl-PL"/>
        </w:rPr>
        <w:t xml:space="preserve"> przyjmować zgodnie z zaleceniami lekarza. </w:t>
      </w:r>
      <w:r w:rsidR="004C5B08" w:rsidRPr="009353E6">
        <w:rPr>
          <w:sz w:val="22"/>
          <w:szCs w:val="22"/>
          <w:lang w:val="pl-PL"/>
        </w:rPr>
        <w:t xml:space="preserve">W </w:t>
      </w:r>
      <w:r w:rsidR="00F0332C" w:rsidRPr="009353E6">
        <w:rPr>
          <w:sz w:val="22"/>
          <w:szCs w:val="22"/>
          <w:lang w:val="pl-PL"/>
        </w:rPr>
        <w:t xml:space="preserve">razie </w:t>
      </w:r>
      <w:r w:rsidR="002D3E1A" w:rsidRPr="009353E6">
        <w:rPr>
          <w:sz w:val="22"/>
          <w:szCs w:val="22"/>
          <w:lang w:val="pl-PL"/>
        </w:rPr>
        <w:t xml:space="preserve">wątpliwości należy </w:t>
      </w:r>
      <w:r w:rsidR="00375114" w:rsidRPr="009353E6">
        <w:rPr>
          <w:sz w:val="22"/>
          <w:szCs w:val="22"/>
          <w:lang w:val="pl-PL"/>
        </w:rPr>
        <w:t>zwrócić</w:t>
      </w:r>
      <w:r w:rsidR="00F0332C" w:rsidRPr="009353E6">
        <w:rPr>
          <w:sz w:val="22"/>
          <w:szCs w:val="22"/>
          <w:lang w:val="pl-PL"/>
        </w:rPr>
        <w:t xml:space="preserve"> </w:t>
      </w:r>
      <w:r w:rsidR="004C5B08" w:rsidRPr="009353E6">
        <w:rPr>
          <w:sz w:val="22"/>
          <w:szCs w:val="22"/>
          <w:lang w:val="pl-PL"/>
        </w:rPr>
        <w:t xml:space="preserve">się </w:t>
      </w:r>
      <w:r w:rsidR="00375114" w:rsidRPr="009353E6">
        <w:rPr>
          <w:sz w:val="22"/>
          <w:szCs w:val="22"/>
          <w:lang w:val="pl-PL"/>
        </w:rPr>
        <w:t>do</w:t>
      </w:r>
      <w:r w:rsidR="004C5B08" w:rsidRPr="009353E6">
        <w:rPr>
          <w:sz w:val="22"/>
          <w:szCs w:val="22"/>
          <w:lang w:val="pl-PL"/>
        </w:rPr>
        <w:t xml:space="preserve"> lekarz</w:t>
      </w:r>
      <w:r w:rsidR="00375114" w:rsidRPr="009353E6">
        <w:rPr>
          <w:sz w:val="22"/>
          <w:szCs w:val="22"/>
          <w:lang w:val="pl-PL"/>
        </w:rPr>
        <w:t>a</w:t>
      </w:r>
      <w:r w:rsidR="004C5B08" w:rsidRPr="009353E6">
        <w:rPr>
          <w:sz w:val="22"/>
          <w:szCs w:val="22"/>
          <w:lang w:val="pl-PL"/>
        </w:rPr>
        <w:t xml:space="preserve"> </w:t>
      </w:r>
      <w:r w:rsidR="002D3E1A" w:rsidRPr="009353E6">
        <w:rPr>
          <w:sz w:val="22"/>
          <w:szCs w:val="22"/>
          <w:lang w:val="pl-PL"/>
        </w:rPr>
        <w:t>lub farmaceut</w:t>
      </w:r>
      <w:r w:rsidR="00375114" w:rsidRPr="009353E6">
        <w:rPr>
          <w:sz w:val="22"/>
          <w:szCs w:val="22"/>
          <w:lang w:val="pl-PL"/>
        </w:rPr>
        <w:t>y</w:t>
      </w:r>
      <w:r w:rsidR="002D3E1A" w:rsidRPr="009353E6">
        <w:rPr>
          <w:sz w:val="22"/>
          <w:szCs w:val="22"/>
          <w:lang w:val="pl-PL"/>
        </w:rPr>
        <w:t>.</w:t>
      </w:r>
    </w:p>
    <w:p w:rsidR="002D3E1A" w:rsidRPr="009353E6" w:rsidRDefault="002D3E1A" w:rsidP="00F831F6">
      <w:pPr>
        <w:pStyle w:val="BodyText"/>
        <w:spacing w:line="240" w:lineRule="auto"/>
        <w:jc w:val="left"/>
        <w:rPr>
          <w:sz w:val="22"/>
          <w:szCs w:val="22"/>
          <w:lang w:val="pl-PL"/>
        </w:rPr>
      </w:pPr>
    </w:p>
    <w:p w:rsidR="002D3E1A" w:rsidRPr="009353E6" w:rsidRDefault="00AC1BF8" w:rsidP="00F831F6">
      <w:pPr>
        <w:pStyle w:val="BodyText"/>
        <w:spacing w:line="240" w:lineRule="auto"/>
        <w:jc w:val="left"/>
        <w:rPr>
          <w:sz w:val="22"/>
          <w:szCs w:val="22"/>
          <w:lang w:val="pl-PL"/>
        </w:rPr>
      </w:pPr>
      <w:r w:rsidRPr="009353E6">
        <w:rPr>
          <w:sz w:val="22"/>
          <w:szCs w:val="22"/>
          <w:lang w:val="pl-PL"/>
        </w:rPr>
        <w:t xml:space="preserve">Zalecana </w:t>
      </w:r>
      <w:r w:rsidR="009A3E17" w:rsidRPr="009353E6">
        <w:rPr>
          <w:sz w:val="22"/>
          <w:szCs w:val="22"/>
          <w:lang w:val="pl-PL"/>
        </w:rPr>
        <w:t xml:space="preserve">dawka to </w:t>
      </w:r>
      <w:r w:rsidR="002D3E1A" w:rsidRPr="009353E6">
        <w:rPr>
          <w:sz w:val="22"/>
          <w:szCs w:val="22"/>
          <w:lang w:val="pl-PL"/>
        </w:rPr>
        <w:t>jedn</w:t>
      </w:r>
      <w:r w:rsidR="009A3E17" w:rsidRPr="009353E6">
        <w:rPr>
          <w:sz w:val="22"/>
          <w:szCs w:val="22"/>
          <w:lang w:val="pl-PL"/>
        </w:rPr>
        <w:t>a</w:t>
      </w:r>
      <w:r w:rsidR="002D3E1A" w:rsidRPr="009353E6">
        <w:rPr>
          <w:sz w:val="22"/>
          <w:szCs w:val="22"/>
          <w:lang w:val="pl-PL"/>
        </w:rPr>
        <w:t xml:space="preserve"> tabletk</w:t>
      </w:r>
      <w:r w:rsidR="009A3E17" w:rsidRPr="009353E6">
        <w:rPr>
          <w:sz w:val="22"/>
          <w:szCs w:val="22"/>
          <w:lang w:val="pl-PL"/>
        </w:rPr>
        <w:t xml:space="preserve">a </w:t>
      </w:r>
      <w:r w:rsidR="002D3E1A" w:rsidRPr="009353E6">
        <w:rPr>
          <w:sz w:val="22"/>
          <w:szCs w:val="22"/>
          <w:lang w:val="pl-PL"/>
        </w:rPr>
        <w:t>na dobę.</w:t>
      </w:r>
      <w:r w:rsidR="00BF6A8A" w:rsidRPr="009353E6">
        <w:rPr>
          <w:sz w:val="22"/>
          <w:szCs w:val="22"/>
          <w:lang w:val="pl-PL"/>
        </w:rPr>
        <w:t xml:space="preserve"> </w:t>
      </w:r>
      <w:r w:rsidR="009A3E17" w:rsidRPr="009353E6">
        <w:rPr>
          <w:sz w:val="22"/>
          <w:szCs w:val="22"/>
          <w:lang w:val="pl-PL"/>
        </w:rPr>
        <w:t>N</w:t>
      </w:r>
      <w:r w:rsidR="00BF6A8A" w:rsidRPr="009353E6">
        <w:rPr>
          <w:sz w:val="22"/>
          <w:szCs w:val="22"/>
          <w:lang w:val="pl-PL"/>
        </w:rPr>
        <w:t xml:space="preserve">ależy </w:t>
      </w:r>
      <w:r w:rsidR="009A3E17" w:rsidRPr="009353E6">
        <w:rPr>
          <w:sz w:val="22"/>
          <w:szCs w:val="22"/>
          <w:lang w:val="pl-PL"/>
        </w:rPr>
        <w:t>starać się przy</w:t>
      </w:r>
      <w:r w:rsidR="00BF6A8A" w:rsidRPr="009353E6">
        <w:rPr>
          <w:sz w:val="22"/>
          <w:szCs w:val="22"/>
          <w:lang w:val="pl-PL"/>
        </w:rPr>
        <w:t xml:space="preserve">jmować </w:t>
      </w:r>
      <w:r w:rsidR="009A3E17" w:rsidRPr="009353E6">
        <w:rPr>
          <w:sz w:val="22"/>
          <w:szCs w:val="22"/>
          <w:lang w:val="pl-PL"/>
        </w:rPr>
        <w:t>tabletkę o</w:t>
      </w:r>
      <w:r w:rsidR="00B43A19" w:rsidRPr="009353E6">
        <w:rPr>
          <w:sz w:val="22"/>
          <w:szCs w:val="22"/>
          <w:lang w:val="pl-PL"/>
        </w:rPr>
        <w:t> </w:t>
      </w:r>
      <w:r w:rsidR="009A3E17" w:rsidRPr="009353E6">
        <w:rPr>
          <w:sz w:val="22"/>
          <w:szCs w:val="22"/>
          <w:lang w:val="pl-PL"/>
        </w:rPr>
        <w:t xml:space="preserve">tej samej porze każdego dnia. </w:t>
      </w:r>
      <w:r w:rsidR="002D3E1A" w:rsidRPr="009353E6">
        <w:rPr>
          <w:sz w:val="22"/>
          <w:szCs w:val="22"/>
          <w:lang w:val="pl-PL"/>
        </w:rPr>
        <w:t xml:space="preserve">MicardisPlus można przyjmować podczas posiłku lub pomiędzy posiłkami. Tabletki należy połknąć popijając </w:t>
      </w:r>
      <w:r w:rsidR="00BF6A8A" w:rsidRPr="009353E6">
        <w:rPr>
          <w:sz w:val="22"/>
          <w:szCs w:val="22"/>
          <w:lang w:val="pl-PL"/>
        </w:rPr>
        <w:t xml:space="preserve">wodą lub napojem bezalkoholowym. </w:t>
      </w:r>
      <w:r w:rsidR="002D3E1A" w:rsidRPr="009353E6">
        <w:rPr>
          <w:sz w:val="22"/>
          <w:szCs w:val="22"/>
          <w:lang w:val="pl-PL"/>
        </w:rPr>
        <w:t>Ważne jest, aby lek MicardisPlus przyjmować każdego dnia, dopóki lekarz nie zaleci inaczej.</w:t>
      </w:r>
    </w:p>
    <w:p w:rsidR="002D3E1A" w:rsidRPr="009353E6" w:rsidRDefault="002D3E1A" w:rsidP="00F831F6">
      <w:pPr>
        <w:pStyle w:val="BodyText"/>
        <w:spacing w:line="240" w:lineRule="auto"/>
        <w:jc w:val="left"/>
        <w:rPr>
          <w:sz w:val="22"/>
          <w:szCs w:val="22"/>
          <w:lang w:val="pl-PL"/>
        </w:rPr>
      </w:pPr>
    </w:p>
    <w:p w:rsidR="002D3E1A" w:rsidRPr="009353E6" w:rsidRDefault="009A3E17" w:rsidP="00F831F6">
      <w:pPr>
        <w:pStyle w:val="BodyText"/>
        <w:spacing w:line="240" w:lineRule="auto"/>
        <w:jc w:val="left"/>
        <w:rPr>
          <w:sz w:val="22"/>
          <w:szCs w:val="22"/>
          <w:lang w:val="pl-PL"/>
        </w:rPr>
      </w:pPr>
      <w:r w:rsidRPr="009353E6">
        <w:rPr>
          <w:sz w:val="22"/>
          <w:szCs w:val="22"/>
          <w:lang w:val="pl-PL"/>
        </w:rPr>
        <w:t xml:space="preserve">Jeśli u pacjenta wątroba nie funkcjonuje właściwie, zwykła dawka nie powinna być </w:t>
      </w:r>
      <w:r w:rsidR="00371E78" w:rsidRPr="009353E6">
        <w:rPr>
          <w:sz w:val="22"/>
          <w:szCs w:val="22"/>
          <w:lang w:val="pl-PL"/>
        </w:rPr>
        <w:t>większa</w:t>
      </w:r>
      <w:r w:rsidRPr="009353E6">
        <w:rPr>
          <w:sz w:val="22"/>
          <w:szCs w:val="22"/>
          <w:lang w:val="pl-PL"/>
        </w:rPr>
        <w:t xml:space="preserve"> niż </w:t>
      </w:r>
      <w:r w:rsidR="002D3E1A" w:rsidRPr="009353E6">
        <w:rPr>
          <w:sz w:val="22"/>
          <w:szCs w:val="22"/>
          <w:lang w:val="pl-PL"/>
        </w:rPr>
        <w:t xml:space="preserve">40 mg telmisartanu i 12,5 mg hydrochlorotiazydu na dobę. </w:t>
      </w:r>
    </w:p>
    <w:p w:rsidR="002D3E1A" w:rsidRPr="009353E6" w:rsidRDefault="002D3E1A" w:rsidP="00F831F6">
      <w:pPr>
        <w:pStyle w:val="BodyText"/>
        <w:spacing w:line="240" w:lineRule="auto"/>
        <w:jc w:val="left"/>
        <w:rPr>
          <w:sz w:val="22"/>
          <w:szCs w:val="22"/>
          <w:lang w:val="pl-PL"/>
        </w:rPr>
      </w:pPr>
    </w:p>
    <w:p w:rsidR="009B0AED" w:rsidRPr="009353E6" w:rsidRDefault="00DE1FBA" w:rsidP="00F831F6">
      <w:pPr>
        <w:pStyle w:val="BodyText"/>
        <w:spacing w:line="240" w:lineRule="auto"/>
        <w:jc w:val="left"/>
        <w:rPr>
          <w:b/>
          <w:sz w:val="22"/>
          <w:szCs w:val="22"/>
          <w:lang w:val="pl-PL"/>
        </w:rPr>
      </w:pPr>
      <w:r w:rsidRPr="009353E6">
        <w:rPr>
          <w:b/>
          <w:sz w:val="22"/>
          <w:szCs w:val="22"/>
          <w:lang w:val="pl-PL"/>
        </w:rPr>
        <w:t>Przyjęcie</w:t>
      </w:r>
      <w:r w:rsidR="002D3E1A" w:rsidRPr="009353E6">
        <w:rPr>
          <w:b/>
          <w:sz w:val="22"/>
          <w:szCs w:val="22"/>
          <w:lang w:val="pl-PL"/>
        </w:rPr>
        <w:t xml:space="preserve"> większej niż zalecana dawki leku MicardisPlus</w:t>
      </w:r>
    </w:p>
    <w:p w:rsidR="002D3E1A" w:rsidRPr="009353E6" w:rsidRDefault="002D3E1A" w:rsidP="0000020A">
      <w:pPr>
        <w:pStyle w:val="BodyText"/>
        <w:spacing w:line="240" w:lineRule="auto"/>
        <w:jc w:val="left"/>
        <w:rPr>
          <w:sz w:val="22"/>
          <w:szCs w:val="22"/>
          <w:lang w:val="pl-PL"/>
        </w:rPr>
      </w:pPr>
      <w:r w:rsidRPr="009353E6">
        <w:rPr>
          <w:sz w:val="22"/>
          <w:szCs w:val="22"/>
          <w:lang w:val="pl-PL"/>
        </w:rPr>
        <w:t xml:space="preserve">Jeżeli przez pomyłkę zostanie przyjęta zbyt duża </w:t>
      </w:r>
      <w:r w:rsidR="009A3E17" w:rsidRPr="009353E6">
        <w:rPr>
          <w:sz w:val="22"/>
          <w:szCs w:val="22"/>
          <w:lang w:val="pl-PL"/>
        </w:rPr>
        <w:t xml:space="preserve">liczba </w:t>
      </w:r>
      <w:r w:rsidRPr="009353E6">
        <w:rPr>
          <w:sz w:val="22"/>
          <w:szCs w:val="22"/>
          <w:lang w:val="pl-PL"/>
        </w:rPr>
        <w:t xml:space="preserve">tabletek, </w:t>
      </w:r>
      <w:r w:rsidR="003C25C3" w:rsidRPr="009353E6">
        <w:rPr>
          <w:sz w:val="22"/>
          <w:szCs w:val="22"/>
          <w:lang w:val="pl-PL"/>
        </w:rPr>
        <w:t>mogą pojawić się takie oznaki</w:t>
      </w:r>
      <w:r w:rsidR="008A4D24" w:rsidRPr="009353E6">
        <w:rPr>
          <w:sz w:val="22"/>
          <w:szCs w:val="22"/>
          <w:lang w:val="pl-PL"/>
        </w:rPr>
        <w:t>,</w:t>
      </w:r>
      <w:r w:rsidR="003C25C3" w:rsidRPr="009353E6">
        <w:rPr>
          <w:sz w:val="22"/>
          <w:szCs w:val="22"/>
          <w:lang w:val="pl-PL"/>
        </w:rPr>
        <w:t xml:space="preserve"> jak </w:t>
      </w:r>
      <w:r w:rsidR="00475244" w:rsidRPr="009353E6">
        <w:rPr>
          <w:sz w:val="22"/>
          <w:szCs w:val="22"/>
          <w:lang w:val="pl-PL"/>
        </w:rPr>
        <w:t xml:space="preserve">niskie ciśnienie krwi i przyspieszenie akcji serca. </w:t>
      </w:r>
      <w:r w:rsidR="005B3B97" w:rsidRPr="009353E6">
        <w:rPr>
          <w:sz w:val="22"/>
          <w:szCs w:val="22"/>
          <w:lang w:val="pl-PL"/>
        </w:rPr>
        <w:t>Zgłasz</w:t>
      </w:r>
      <w:r w:rsidR="00001F65" w:rsidRPr="009353E6">
        <w:rPr>
          <w:sz w:val="22"/>
          <w:szCs w:val="22"/>
          <w:lang w:val="pl-PL"/>
        </w:rPr>
        <w:t>ano także przypadki</w:t>
      </w:r>
      <w:r w:rsidR="0070396D" w:rsidRPr="009353E6">
        <w:rPr>
          <w:sz w:val="22"/>
          <w:szCs w:val="22"/>
          <w:lang w:val="pl-PL"/>
        </w:rPr>
        <w:t xml:space="preserve"> </w:t>
      </w:r>
      <w:r w:rsidR="00475244" w:rsidRPr="009353E6">
        <w:rPr>
          <w:sz w:val="22"/>
          <w:szCs w:val="22"/>
          <w:lang w:val="pl-PL"/>
        </w:rPr>
        <w:t>spowolnienia akcji serca, zawrotów głowy, wymiotów, pogorszenia czynności nerek, w tym niewydolności nerek. Z powodu zawartości hydrochlorotiazydu może także wystąpić wyraźnie niskie ciśnienie krwi i niskie stężenia potasu we krwi, co może doprowadzić do</w:t>
      </w:r>
      <w:r w:rsidR="0070396D" w:rsidRPr="009353E6">
        <w:rPr>
          <w:sz w:val="22"/>
          <w:szCs w:val="22"/>
          <w:lang w:val="pl-PL"/>
        </w:rPr>
        <w:t xml:space="preserve"> </w:t>
      </w:r>
      <w:r w:rsidR="00475244" w:rsidRPr="009353E6">
        <w:rPr>
          <w:sz w:val="22"/>
          <w:szCs w:val="22"/>
          <w:lang w:val="pl-PL"/>
        </w:rPr>
        <w:t>nudności, senności i skurczów mięśni</w:t>
      </w:r>
      <w:r w:rsidR="00001F65" w:rsidRPr="009353E6">
        <w:rPr>
          <w:lang w:val="pl-PL"/>
        </w:rPr>
        <w:t xml:space="preserve"> </w:t>
      </w:r>
      <w:r w:rsidR="00AE7814" w:rsidRPr="009353E6">
        <w:rPr>
          <w:sz w:val="22"/>
          <w:szCs w:val="22"/>
          <w:lang w:val="pl-PL"/>
        </w:rPr>
        <w:t>i (</w:t>
      </w:r>
      <w:r w:rsidR="00001F65" w:rsidRPr="009353E6">
        <w:rPr>
          <w:sz w:val="22"/>
          <w:szCs w:val="22"/>
          <w:lang w:val="pl-PL"/>
        </w:rPr>
        <w:t>lub</w:t>
      </w:r>
      <w:r w:rsidR="00AE7814" w:rsidRPr="009353E6">
        <w:rPr>
          <w:sz w:val="22"/>
          <w:szCs w:val="22"/>
          <w:lang w:val="pl-PL"/>
        </w:rPr>
        <w:t>)</w:t>
      </w:r>
      <w:r w:rsidR="00001F65" w:rsidRPr="009353E6">
        <w:rPr>
          <w:sz w:val="22"/>
          <w:szCs w:val="22"/>
          <w:lang w:val="pl-PL"/>
        </w:rPr>
        <w:t xml:space="preserve"> nieregularne</w:t>
      </w:r>
      <w:r w:rsidR="00AE7814" w:rsidRPr="009353E6">
        <w:rPr>
          <w:sz w:val="22"/>
          <w:szCs w:val="22"/>
          <w:lang w:val="pl-PL"/>
        </w:rPr>
        <w:t xml:space="preserve"> bici</w:t>
      </w:r>
      <w:r w:rsidR="006D0A50" w:rsidRPr="009353E6">
        <w:rPr>
          <w:sz w:val="22"/>
          <w:szCs w:val="22"/>
          <w:lang w:val="pl-PL"/>
        </w:rPr>
        <w:t>e</w:t>
      </w:r>
      <w:r w:rsidR="00AE7814" w:rsidRPr="009353E6">
        <w:rPr>
          <w:sz w:val="22"/>
          <w:szCs w:val="22"/>
          <w:lang w:val="pl-PL"/>
        </w:rPr>
        <w:t xml:space="preserve"> serca</w:t>
      </w:r>
      <w:r w:rsidR="00001F65" w:rsidRPr="009353E6">
        <w:rPr>
          <w:sz w:val="22"/>
          <w:szCs w:val="22"/>
          <w:lang w:val="pl-PL"/>
        </w:rPr>
        <w:t xml:space="preserve"> związane z</w:t>
      </w:r>
      <w:r w:rsidR="00AE7814" w:rsidRPr="009353E6">
        <w:rPr>
          <w:sz w:val="22"/>
          <w:szCs w:val="22"/>
          <w:lang w:val="pl-PL"/>
        </w:rPr>
        <w:t xml:space="preserve"> jednoczesnym stosowaniem leków</w:t>
      </w:r>
      <w:r w:rsidR="006D0A50" w:rsidRPr="009353E6">
        <w:rPr>
          <w:sz w:val="22"/>
          <w:szCs w:val="22"/>
          <w:lang w:val="pl-PL"/>
        </w:rPr>
        <w:t>,</w:t>
      </w:r>
      <w:r w:rsidR="00001F65" w:rsidRPr="009353E6">
        <w:rPr>
          <w:sz w:val="22"/>
          <w:szCs w:val="22"/>
          <w:lang w:val="pl-PL"/>
        </w:rPr>
        <w:t xml:space="preserve"> takich jak </w:t>
      </w:r>
      <w:r w:rsidR="0000020A" w:rsidRPr="009353E6">
        <w:rPr>
          <w:sz w:val="22"/>
          <w:szCs w:val="22"/>
          <w:lang w:val="pl-PL"/>
        </w:rPr>
        <w:t xml:space="preserve">glikozydy </w:t>
      </w:r>
      <w:r w:rsidR="00001F65" w:rsidRPr="009353E6">
        <w:rPr>
          <w:sz w:val="22"/>
          <w:szCs w:val="22"/>
          <w:lang w:val="pl-PL"/>
        </w:rPr>
        <w:t>naparstnic</w:t>
      </w:r>
      <w:r w:rsidR="0000020A" w:rsidRPr="009353E6">
        <w:rPr>
          <w:sz w:val="22"/>
          <w:szCs w:val="22"/>
          <w:lang w:val="pl-PL"/>
        </w:rPr>
        <w:t>y</w:t>
      </w:r>
      <w:r w:rsidR="005D2A10" w:rsidRPr="009353E6">
        <w:rPr>
          <w:sz w:val="22"/>
          <w:szCs w:val="22"/>
          <w:lang w:val="pl-PL"/>
        </w:rPr>
        <w:t xml:space="preserve"> oraz</w:t>
      </w:r>
      <w:r w:rsidR="00001F65" w:rsidRPr="009353E6">
        <w:rPr>
          <w:sz w:val="22"/>
          <w:szCs w:val="22"/>
          <w:lang w:val="pl-PL"/>
        </w:rPr>
        <w:t xml:space="preserve"> </w:t>
      </w:r>
      <w:r w:rsidR="0000020A" w:rsidRPr="009353E6">
        <w:rPr>
          <w:sz w:val="22"/>
          <w:szCs w:val="22"/>
          <w:lang w:val="pl-PL"/>
        </w:rPr>
        <w:t>niektórych leków</w:t>
      </w:r>
      <w:r w:rsidR="00001F65" w:rsidRPr="009353E6">
        <w:rPr>
          <w:sz w:val="22"/>
          <w:szCs w:val="22"/>
          <w:lang w:val="pl-PL"/>
        </w:rPr>
        <w:t xml:space="preserve"> antyarytmicznych</w:t>
      </w:r>
      <w:r w:rsidR="003C25C3" w:rsidRPr="009353E6">
        <w:rPr>
          <w:sz w:val="22"/>
          <w:szCs w:val="22"/>
          <w:lang w:val="pl-PL"/>
        </w:rPr>
        <w:t>. N</w:t>
      </w:r>
      <w:r w:rsidRPr="009353E6">
        <w:rPr>
          <w:sz w:val="22"/>
          <w:szCs w:val="22"/>
          <w:lang w:val="pl-PL"/>
        </w:rPr>
        <w:t xml:space="preserve">ależy niezwłocznie </w:t>
      </w:r>
      <w:r w:rsidR="00BF6A8A" w:rsidRPr="009353E6">
        <w:rPr>
          <w:sz w:val="22"/>
          <w:szCs w:val="22"/>
          <w:lang w:val="pl-PL"/>
        </w:rPr>
        <w:t>skontaktowa</w:t>
      </w:r>
      <w:r w:rsidR="009A3E17" w:rsidRPr="009353E6">
        <w:rPr>
          <w:sz w:val="22"/>
          <w:szCs w:val="22"/>
          <w:lang w:val="pl-PL"/>
        </w:rPr>
        <w:t>ć</w:t>
      </w:r>
      <w:r w:rsidR="00BF6A8A" w:rsidRPr="009353E6">
        <w:rPr>
          <w:sz w:val="22"/>
          <w:szCs w:val="22"/>
          <w:lang w:val="pl-PL"/>
        </w:rPr>
        <w:t xml:space="preserve"> </w:t>
      </w:r>
      <w:r w:rsidRPr="009353E6">
        <w:rPr>
          <w:sz w:val="22"/>
          <w:szCs w:val="22"/>
          <w:lang w:val="pl-PL"/>
        </w:rPr>
        <w:t>się</w:t>
      </w:r>
      <w:r w:rsidR="00BF6A8A" w:rsidRPr="009353E6">
        <w:rPr>
          <w:sz w:val="22"/>
          <w:szCs w:val="22"/>
          <w:lang w:val="pl-PL"/>
        </w:rPr>
        <w:t xml:space="preserve"> z</w:t>
      </w:r>
      <w:r w:rsidRPr="009353E6">
        <w:rPr>
          <w:sz w:val="22"/>
          <w:szCs w:val="22"/>
          <w:lang w:val="pl-PL"/>
        </w:rPr>
        <w:t xml:space="preserve"> lekarz</w:t>
      </w:r>
      <w:r w:rsidR="00BF6A8A" w:rsidRPr="009353E6">
        <w:rPr>
          <w:sz w:val="22"/>
          <w:szCs w:val="22"/>
          <w:lang w:val="pl-PL"/>
        </w:rPr>
        <w:t>em</w:t>
      </w:r>
      <w:r w:rsidRPr="009353E6">
        <w:rPr>
          <w:sz w:val="22"/>
          <w:szCs w:val="22"/>
          <w:lang w:val="pl-PL"/>
        </w:rPr>
        <w:t xml:space="preserve"> lub farmaceut</w:t>
      </w:r>
      <w:r w:rsidR="00BF6A8A" w:rsidRPr="009353E6">
        <w:rPr>
          <w:sz w:val="22"/>
          <w:szCs w:val="22"/>
          <w:lang w:val="pl-PL"/>
        </w:rPr>
        <w:t xml:space="preserve">ą </w:t>
      </w:r>
      <w:r w:rsidRPr="009353E6">
        <w:rPr>
          <w:sz w:val="22"/>
          <w:szCs w:val="22"/>
          <w:lang w:val="pl-PL"/>
        </w:rPr>
        <w:t xml:space="preserve">albo </w:t>
      </w:r>
      <w:r w:rsidR="00BF6A8A" w:rsidRPr="009353E6">
        <w:rPr>
          <w:sz w:val="22"/>
          <w:szCs w:val="22"/>
          <w:lang w:val="pl-PL"/>
        </w:rPr>
        <w:t>z</w:t>
      </w:r>
      <w:r w:rsidRPr="009353E6">
        <w:rPr>
          <w:sz w:val="22"/>
          <w:szCs w:val="22"/>
          <w:lang w:val="pl-PL"/>
        </w:rPr>
        <w:t xml:space="preserve"> najbliższym szpitalnym oddziałem doraźnej pomocy medycznej.</w:t>
      </w:r>
    </w:p>
    <w:p w:rsidR="002D3E1A" w:rsidRPr="009353E6" w:rsidRDefault="002D3E1A" w:rsidP="00F831F6">
      <w:pPr>
        <w:pStyle w:val="BodyText"/>
        <w:spacing w:line="240" w:lineRule="auto"/>
        <w:jc w:val="left"/>
        <w:rPr>
          <w:sz w:val="22"/>
          <w:szCs w:val="22"/>
          <w:lang w:val="pl-PL"/>
        </w:rPr>
      </w:pPr>
    </w:p>
    <w:p w:rsidR="002D3E1A" w:rsidRPr="009353E6" w:rsidRDefault="00E925FB" w:rsidP="00F831F6">
      <w:pPr>
        <w:pStyle w:val="BodyText"/>
        <w:spacing w:line="240" w:lineRule="auto"/>
        <w:jc w:val="left"/>
        <w:rPr>
          <w:b/>
          <w:sz w:val="22"/>
          <w:szCs w:val="22"/>
          <w:lang w:val="pl-PL"/>
        </w:rPr>
      </w:pPr>
      <w:r w:rsidRPr="009353E6">
        <w:rPr>
          <w:b/>
          <w:sz w:val="22"/>
          <w:szCs w:val="22"/>
          <w:lang w:val="pl-PL"/>
        </w:rPr>
        <w:t>Po</w:t>
      </w:r>
      <w:r w:rsidR="002D3E1A" w:rsidRPr="009353E6">
        <w:rPr>
          <w:b/>
          <w:sz w:val="22"/>
          <w:szCs w:val="22"/>
          <w:lang w:val="pl-PL"/>
        </w:rPr>
        <w:t>minięci</w:t>
      </w:r>
      <w:r w:rsidRPr="009353E6">
        <w:rPr>
          <w:b/>
          <w:sz w:val="22"/>
          <w:szCs w:val="22"/>
          <w:lang w:val="pl-PL"/>
        </w:rPr>
        <w:t>e</w:t>
      </w:r>
      <w:r w:rsidR="002D3E1A" w:rsidRPr="009353E6">
        <w:rPr>
          <w:b/>
          <w:sz w:val="22"/>
          <w:szCs w:val="22"/>
          <w:lang w:val="pl-PL"/>
        </w:rPr>
        <w:t xml:space="preserve"> </w:t>
      </w:r>
      <w:r w:rsidR="00DE1FBA" w:rsidRPr="009353E6">
        <w:rPr>
          <w:b/>
          <w:sz w:val="22"/>
          <w:szCs w:val="22"/>
          <w:lang w:val="pl-PL"/>
        </w:rPr>
        <w:t>przyjęcia</w:t>
      </w:r>
      <w:r w:rsidRPr="009353E6">
        <w:rPr>
          <w:b/>
          <w:sz w:val="22"/>
          <w:szCs w:val="22"/>
          <w:lang w:val="pl-PL"/>
        </w:rPr>
        <w:t xml:space="preserve"> </w:t>
      </w:r>
      <w:r w:rsidR="002D3E1A" w:rsidRPr="009353E6">
        <w:rPr>
          <w:b/>
          <w:sz w:val="22"/>
          <w:szCs w:val="22"/>
          <w:lang w:val="pl-PL"/>
        </w:rPr>
        <w:t>leku MicardisPlus</w:t>
      </w:r>
    </w:p>
    <w:p w:rsidR="002D3E1A" w:rsidRPr="009353E6" w:rsidRDefault="002D3E1A" w:rsidP="00F831F6">
      <w:pPr>
        <w:pStyle w:val="BodyText"/>
        <w:spacing w:line="240" w:lineRule="auto"/>
        <w:jc w:val="left"/>
        <w:rPr>
          <w:sz w:val="22"/>
          <w:szCs w:val="22"/>
          <w:lang w:val="pl-PL"/>
        </w:rPr>
      </w:pPr>
      <w:r w:rsidRPr="009353E6">
        <w:rPr>
          <w:sz w:val="22"/>
          <w:szCs w:val="22"/>
          <w:lang w:val="pl-PL"/>
        </w:rPr>
        <w:t xml:space="preserve">Jeśli pacjent zapomni przyjąć dawkę leku, powinien zażyć go niezwłocznie po przypomnieniu sobie, tego samego dnia. Jeżeli </w:t>
      </w:r>
      <w:r w:rsidR="009A3E17" w:rsidRPr="009353E6">
        <w:rPr>
          <w:sz w:val="22"/>
          <w:szCs w:val="22"/>
          <w:lang w:val="pl-PL"/>
        </w:rPr>
        <w:t xml:space="preserve">tabletka </w:t>
      </w:r>
      <w:r w:rsidRPr="009353E6">
        <w:rPr>
          <w:sz w:val="22"/>
          <w:szCs w:val="22"/>
          <w:lang w:val="pl-PL"/>
        </w:rPr>
        <w:t>nie zostanie przyjęt</w:t>
      </w:r>
      <w:r w:rsidR="009A3E17" w:rsidRPr="009353E6">
        <w:rPr>
          <w:sz w:val="22"/>
          <w:szCs w:val="22"/>
          <w:lang w:val="pl-PL"/>
        </w:rPr>
        <w:t>a jednego dnia</w:t>
      </w:r>
      <w:r w:rsidRPr="009353E6">
        <w:rPr>
          <w:sz w:val="22"/>
          <w:szCs w:val="22"/>
          <w:lang w:val="pl-PL"/>
        </w:rPr>
        <w:t>, należy przyjąć zwykle stosowaną dawkę następnego dnia.</w:t>
      </w:r>
      <w:r w:rsidRPr="009353E6">
        <w:rPr>
          <w:b/>
          <w:sz w:val="22"/>
          <w:szCs w:val="22"/>
          <w:lang w:val="pl-PL"/>
        </w:rPr>
        <w:t xml:space="preserve"> </w:t>
      </w:r>
      <w:r w:rsidRPr="009353E6">
        <w:rPr>
          <w:b/>
          <w:i/>
          <w:sz w:val="22"/>
          <w:szCs w:val="22"/>
          <w:lang w:val="pl-PL"/>
        </w:rPr>
        <w:t>Nie należy</w:t>
      </w:r>
      <w:r w:rsidRPr="009353E6">
        <w:rPr>
          <w:b/>
          <w:sz w:val="22"/>
          <w:szCs w:val="22"/>
          <w:lang w:val="pl-PL"/>
        </w:rPr>
        <w:t xml:space="preserve"> </w:t>
      </w:r>
      <w:r w:rsidRPr="009353E6">
        <w:rPr>
          <w:sz w:val="22"/>
          <w:szCs w:val="22"/>
          <w:lang w:val="pl-PL"/>
        </w:rPr>
        <w:t>stosować dawki podwójnej w celu uzupełnienia pominięt</w:t>
      </w:r>
      <w:r w:rsidR="009E06FE" w:rsidRPr="009353E6">
        <w:rPr>
          <w:sz w:val="22"/>
          <w:szCs w:val="22"/>
          <w:lang w:val="pl-PL"/>
        </w:rPr>
        <w:t>ej</w:t>
      </w:r>
      <w:r w:rsidRPr="009353E6">
        <w:rPr>
          <w:sz w:val="22"/>
          <w:szCs w:val="22"/>
          <w:lang w:val="pl-PL"/>
        </w:rPr>
        <w:t xml:space="preserve"> dawk</w:t>
      </w:r>
      <w:r w:rsidR="009E06FE" w:rsidRPr="009353E6">
        <w:rPr>
          <w:sz w:val="22"/>
          <w:szCs w:val="22"/>
          <w:lang w:val="pl-PL"/>
        </w:rPr>
        <w:t>i</w:t>
      </w:r>
      <w:r w:rsidRPr="009353E6">
        <w:rPr>
          <w:sz w:val="22"/>
          <w:szCs w:val="22"/>
          <w:lang w:val="pl-PL"/>
        </w:rPr>
        <w:t>.</w:t>
      </w:r>
    </w:p>
    <w:p w:rsidR="002D3E1A" w:rsidRPr="009353E6" w:rsidRDefault="002D3E1A" w:rsidP="00F831F6">
      <w:pPr>
        <w:pStyle w:val="BodyText"/>
        <w:spacing w:line="240" w:lineRule="auto"/>
        <w:jc w:val="left"/>
        <w:rPr>
          <w:sz w:val="22"/>
          <w:szCs w:val="22"/>
          <w:lang w:val="pl-PL"/>
        </w:rPr>
      </w:pPr>
    </w:p>
    <w:p w:rsidR="00E925FB" w:rsidRPr="009353E6" w:rsidRDefault="00E925FB" w:rsidP="00F831F6">
      <w:pPr>
        <w:pStyle w:val="BodyText"/>
        <w:spacing w:line="240" w:lineRule="auto"/>
        <w:jc w:val="left"/>
        <w:rPr>
          <w:sz w:val="22"/>
          <w:szCs w:val="22"/>
          <w:lang w:val="pl-PL"/>
        </w:rPr>
      </w:pPr>
      <w:r w:rsidRPr="009353E6">
        <w:rPr>
          <w:sz w:val="22"/>
          <w:szCs w:val="22"/>
          <w:lang w:val="pl-PL"/>
        </w:rPr>
        <w:t xml:space="preserve">W </w:t>
      </w:r>
      <w:r w:rsidR="00F0332C" w:rsidRPr="009353E6">
        <w:rPr>
          <w:sz w:val="22"/>
          <w:szCs w:val="22"/>
          <w:lang w:val="pl-PL"/>
        </w:rPr>
        <w:t xml:space="preserve">razie jakichkolwiek </w:t>
      </w:r>
      <w:r w:rsidRPr="009353E6">
        <w:rPr>
          <w:sz w:val="22"/>
          <w:szCs w:val="22"/>
          <w:lang w:val="pl-PL"/>
        </w:rPr>
        <w:t xml:space="preserve">dalszych </w:t>
      </w:r>
      <w:r w:rsidR="00F0332C" w:rsidRPr="009353E6">
        <w:rPr>
          <w:sz w:val="22"/>
          <w:szCs w:val="22"/>
          <w:lang w:val="pl-PL"/>
        </w:rPr>
        <w:t>wątpliwości związanych ze</w:t>
      </w:r>
      <w:r w:rsidRPr="009353E6">
        <w:rPr>
          <w:sz w:val="22"/>
          <w:szCs w:val="22"/>
          <w:lang w:val="pl-PL"/>
        </w:rPr>
        <w:t xml:space="preserve"> stosowani</w:t>
      </w:r>
      <w:r w:rsidR="00F0332C" w:rsidRPr="009353E6">
        <w:rPr>
          <w:sz w:val="22"/>
          <w:szCs w:val="22"/>
          <w:lang w:val="pl-PL"/>
        </w:rPr>
        <w:t>em</w:t>
      </w:r>
      <w:r w:rsidRPr="009353E6">
        <w:rPr>
          <w:sz w:val="22"/>
          <w:szCs w:val="22"/>
          <w:lang w:val="pl-PL"/>
        </w:rPr>
        <w:t xml:space="preserve"> </w:t>
      </w:r>
      <w:r w:rsidR="00B808D0" w:rsidRPr="009353E6">
        <w:rPr>
          <w:sz w:val="22"/>
          <w:szCs w:val="22"/>
          <w:lang w:val="pl-PL"/>
        </w:rPr>
        <w:t xml:space="preserve">tego </w:t>
      </w:r>
      <w:r w:rsidRPr="009353E6">
        <w:rPr>
          <w:sz w:val="22"/>
          <w:szCs w:val="22"/>
          <w:lang w:val="pl-PL"/>
        </w:rPr>
        <w:t xml:space="preserve">leku, należy </w:t>
      </w:r>
      <w:r w:rsidR="00F0332C" w:rsidRPr="009353E6">
        <w:rPr>
          <w:sz w:val="22"/>
          <w:szCs w:val="22"/>
          <w:lang w:val="pl-PL"/>
        </w:rPr>
        <w:t xml:space="preserve">zwrócić </w:t>
      </w:r>
      <w:r w:rsidRPr="009353E6">
        <w:rPr>
          <w:sz w:val="22"/>
          <w:szCs w:val="22"/>
          <w:lang w:val="pl-PL"/>
        </w:rPr>
        <w:t xml:space="preserve">się </w:t>
      </w:r>
      <w:r w:rsidR="00F0332C" w:rsidRPr="009353E6">
        <w:rPr>
          <w:sz w:val="22"/>
          <w:szCs w:val="22"/>
          <w:lang w:val="pl-PL"/>
        </w:rPr>
        <w:t>do</w:t>
      </w:r>
      <w:r w:rsidRPr="009353E6">
        <w:rPr>
          <w:sz w:val="22"/>
          <w:szCs w:val="22"/>
          <w:lang w:val="pl-PL"/>
        </w:rPr>
        <w:t xml:space="preserve"> lekarz</w:t>
      </w:r>
      <w:r w:rsidR="00F0332C" w:rsidRPr="009353E6">
        <w:rPr>
          <w:sz w:val="22"/>
          <w:szCs w:val="22"/>
          <w:lang w:val="pl-PL"/>
        </w:rPr>
        <w:t>a</w:t>
      </w:r>
      <w:r w:rsidRPr="009353E6">
        <w:rPr>
          <w:sz w:val="22"/>
          <w:szCs w:val="22"/>
          <w:lang w:val="pl-PL"/>
        </w:rPr>
        <w:t xml:space="preserve"> lub farmaceut</w:t>
      </w:r>
      <w:r w:rsidR="00F0332C" w:rsidRPr="009353E6">
        <w:rPr>
          <w:sz w:val="22"/>
          <w:szCs w:val="22"/>
          <w:lang w:val="pl-PL"/>
        </w:rPr>
        <w:t>y</w:t>
      </w:r>
      <w:r w:rsidRPr="009353E6">
        <w:rPr>
          <w:sz w:val="22"/>
          <w:szCs w:val="22"/>
          <w:lang w:val="pl-PL"/>
        </w:rPr>
        <w:t>.</w:t>
      </w:r>
    </w:p>
    <w:p w:rsidR="002D3E1A" w:rsidRPr="009353E6" w:rsidRDefault="002D3E1A" w:rsidP="00F831F6">
      <w:pPr>
        <w:pStyle w:val="BodyText"/>
        <w:spacing w:line="240" w:lineRule="auto"/>
        <w:jc w:val="left"/>
        <w:rPr>
          <w:sz w:val="22"/>
          <w:szCs w:val="22"/>
          <w:lang w:val="pl-PL"/>
        </w:rPr>
      </w:pPr>
    </w:p>
    <w:p w:rsidR="00E925FB" w:rsidRPr="009353E6" w:rsidRDefault="00E925FB" w:rsidP="00F831F6">
      <w:pPr>
        <w:pStyle w:val="BodyText"/>
        <w:spacing w:line="240" w:lineRule="auto"/>
        <w:jc w:val="left"/>
        <w:rPr>
          <w:sz w:val="22"/>
          <w:szCs w:val="22"/>
          <w:lang w:val="pl-PL"/>
        </w:rPr>
      </w:pPr>
    </w:p>
    <w:p w:rsidR="002D3E1A" w:rsidRPr="009353E6" w:rsidRDefault="002D3E1A" w:rsidP="005E3A9A">
      <w:pPr>
        <w:pStyle w:val="BodyText"/>
        <w:keepNext/>
        <w:tabs>
          <w:tab w:val="left" w:pos="540"/>
        </w:tabs>
        <w:spacing w:line="240" w:lineRule="auto"/>
        <w:jc w:val="left"/>
        <w:rPr>
          <w:b/>
          <w:sz w:val="22"/>
          <w:szCs w:val="22"/>
          <w:lang w:val="pl-PL"/>
        </w:rPr>
      </w:pPr>
      <w:r w:rsidRPr="009353E6">
        <w:rPr>
          <w:b/>
          <w:sz w:val="22"/>
          <w:szCs w:val="22"/>
          <w:lang w:val="pl-PL"/>
        </w:rPr>
        <w:t>4.</w:t>
      </w:r>
      <w:r w:rsidRPr="009353E6">
        <w:rPr>
          <w:b/>
          <w:sz w:val="22"/>
          <w:szCs w:val="22"/>
          <w:lang w:val="pl-PL"/>
        </w:rPr>
        <w:tab/>
      </w:r>
      <w:r w:rsidR="00AC1BF8" w:rsidRPr="009353E6">
        <w:rPr>
          <w:b/>
          <w:sz w:val="22"/>
          <w:szCs w:val="22"/>
          <w:lang w:val="pl-PL"/>
        </w:rPr>
        <w:t>Możliwe działania niepożądane</w:t>
      </w:r>
      <w:r w:rsidRPr="009353E6">
        <w:rPr>
          <w:b/>
          <w:sz w:val="22"/>
          <w:szCs w:val="22"/>
          <w:lang w:val="pl-PL"/>
        </w:rPr>
        <w:br/>
      </w:r>
    </w:p>
    <w:p w:rsidR="002D3E1A" w:rsidRPr="009353E6" w:rsidRDefault="002D3E1A" w:rsidP="00F831F6">
      <w:pPr>
        <w:pStyle w:val="BodyText"/>
        <w:spacing w:line="240" w:lineRule="auto"/>
        <w:jc w:val="left"/>
        <w:rPr>
          <w:sz w:val="22"/>
          <w:szCs w:val="22"/>
          <w:lang w:val="pl-PL"/>
        </w:rPr>
      </w:pPr>
      <w:r w:rsidRPr="009353E6">
        <w:rPr>
          <w:sz w:val="22"/>
          <w:szCs w:val="22"/>
          <w:lang w:val="pl-PL"/>
        </w:rPr>
        <w:t xml:space="preserve">Jak każdy lek, </w:t>
      </w:r>
      <w:r w:rsidR="00AC1BF8" w:rsidRPr="009353E6">
        <w:rPr>
          <w:sz w:val="22"/>
          <w:szCs w:val="22"/>
          <w:lang w:val="pl-PL"/>
        </w:rPr>
        <w:t xml:space="preserve">lek </w:t>
      </w:r>
      <w:r w:rsidR="000307A1" w:rsidRPr="009353E6">
        <w:rPr>
          <w:sz w:val="22"/>
          <w:szCs w:val="22"/>
          <w:lang w:val="pl-PL"/>
        </w:rPr>
        <w:t xml:space="preserve">ten </w:t>
      </w:r>
      <w:r w:rsidRPr="009353E6">
        <w:rPr>
          <w:sz w:val="22"/>
          <w:szCs w:val="22"/>
          <w:lang w:val="pl-PL"/>
        </w:rPr>
        <w:t>może powodować działania niepożądane</w:t>
      </w:r>
      <w:r w:rsidR="00E925FB" w:rsidRPr="009353E6">
        <w:rPr>
          <w:sz w:val="22"/>
          <w:szCs w:val="22"/>
          <w:lang w:val="pl-PL"/>
        </w:rPr>
        <w:t>, chociaż nie u każdego one wyst</w:t>
      </w:r>
      <w:r w:rsidR="00002738" w:rsidRPr="009353E6">
        <w:rPr>
          <w:sz w:val="22"/>
          <w:szCs w:val="22"/>
          <w:lang w:val="pl-PL"/>
        </w:rPr>
        <w:t>ą</w:t>
      </w:r>
      <w:r w:rsidR="00E925FB" w:rsidRPr="009353E6">
        <w:rPr>
          <w:sz w:val="22"/>
          <w:szCs w:val="22"/>
          <w:lang w:val="pl-PL"/>
        </w:rPr>
        <w:t>pią</w:t>
      </w:r>
      <w:r w:rsidRPr="009353E6">
        <w:rPr>
          <w:sz w:val="22"/>
          <w:szCs w:val="22"/>
          <w:lang w:val="pl-PL"/>
        </w:rPr>
        <w:t>.</w:t>
      </w:r>
    </w:p>
    <w:p w:rsidR="002D3E1A" w:rsidRPr="009353E6" w:rsidRDefault="002D3E1A" w:rsidP="00F831F6">
      <w:pPr>
        <w:pStyle w:val="BodyText"/>
        <w:spacing w:line="240" w:lineRule="auto"/>
        <w:jc w:val="left"/>
        <w:rPr>
          <w:sz w:val="22"/>
          <w:szCs w:val="22"/>
          <w:lang w:val="pl-PL"/>
        </w:rPr>
      </w:pPr>
    </w:p>
    <w:p w:rsidR="0086728C" w:rsidRPr="009353E6" w:rsidRDefault="0086728C" w:rsidP="0086728C">
      <w:pPr>
        <w:rPr>
          <w:b/>
          <w:sz w:val="22"/>
          <w:szCs w:val="22"/>
          <w:lang w:val="pl-PL"/>
        </w:rPr>
      </w:pPr>
      <w:r w:rsidRPr="009353E6">
        <w:rPr>
          <w:b/>
          <w:sz w:val="22"/>
          <w:szCs w:val="22"/>
          <w:lang w:val="pl-PL"/>
        </w:rPr>
        <w:t>Niektóre działania niepożądane mogą być ciężkie i wymagają natychmiastowej pomocy medycznej:</w:t>
      </w:r>
    </w:p>
    <w:p w:rsidR="0086728C" w:rsidRPr="009353E6" w:rsidRDefault="0086728C" w:rsidP="0086728C">
      <w:pPr>
        <w:rPr>
          <w:sz w:val="22"/>
          <w:szCs w:val="22"/>
          <w:lang w:val="pl-PL"/>
        </w:rPr>
      </w:pPr>
      <w:r w:rsidRPr="009353E6">
        <w:rPr>
          <w:sz w:val="22"/>
          <w:szCs w:val="22"/>
          <w:lang w:val="pl-PL"/>
        </w:rPr>
        <w:t>W przypadku wystąpienia któregokolwiek z następujących objawów należy natychmiast skontaktować się z lekarzem:</w:t>
      </w:r>
    </w:p>
    <w:p w:rsidR="0086728C" w:rsidRPr="009353E6" w:rsidRDefault="0086728C" w:rsidP="0086728C">
      <w:pPr>
        <w:rPr>
          <w:sz w:val="22"/>
          <w:szCs w:val="22"/>
          <w:lang w:val="pl-PL"/>
        </w:rPr>
      </w:pPr>
    </w:p>
    <w:p w:rsidR="00891993" w:rsidRPr="009353E6" w:rsidRDefault="0086728C" w:rsidP="00891993">
      <w:pPr>
        <w:rPr>
          <w:sz w:val="22"/>
          <w:szCs w:val="22"/>
          <w:lang w:val="pl-PL"/>
        </w:rPr>
      </w:pPr>
      <w:r w:rsidRPr="009353E6">
        <w:rPr>
          <w:sz w:val="22"/>
          <w:szCs w:val="22"/>
          <w:lang w:val="pl-PL"/>
        </w:rPr>
        <w:t xml:space="preserve">Posocznica* </w:t>
      </w:r>
      <w:r w:rsidR="00891993" w:rsidRPr="009353E6">
        <w:rPr>
          <w:sz w:val="22"/>
          <w:szCs w:val="22"/>
          <w:lang w:val="pl-PL"/>
        </w:rPr>
        <w:t>(często nazywana zatruciem krwi, będąca ciężkim zakażeniem, z reakcją zapalną całego organizmu), nagły obrzęk skóry i błon śluzowych (obrzęk naczynioruchowy)</w:t>
      </w:r>
      <w:r w:rsidR="00F445C4" w:rsidRPr="009353E6">
        <w:rPr>
          <w:sz w:val="22"/>
          <w:szCs w:val="22"/>
          <w:lang w:val="pl-PL"/>
        </w:rPr>
        <w:t>; tw</w:t>
      </w:r>
      <w:r w:rsidR="00AC6652" w:rsidRPr="009353E6">
        <w:rPr>
          <w:sz w:val="22"/>
          <w:szCs w:val="22"/>
          <w:lang w:val="pl-PL"/>
        </w:rPr>
        <w:t xml:space="preserve">orzenie się pęcherzy i złuszczanie się </w:t>
      </w:r>
      <w:r w:rsidR="006D0A50" w:rsidRPr="009353E6">
        <w:rPr>
          <w:sz w:val="22"/>
          <w:szCs w:val="22"/>
          <w:lang w:val="pl-PL"/>
        </w:rPr>
        <w:t>zewnętrz</w:t>
      </w:r>
      <w:r w:rsidR="00AC6652" w:rsidRPr="009353E6">
        <w:rPr>
          <w:sz w:val="22"/>
          <w:szCs w:val="22"/>
          <w:lang w:val="pl-PL"/>
        </w:rPr>
        <w:t>nej wars</w:t>
      </w:r>
      <w:r w:rsidR="00AA25A4" w:rsidRPr="009353E6">
        <w:rPr>
          <w:sz w:val="22"/>
          <w:szCs w:val="22"/>
          <w:lang w:val="pl-PL"/>
        </w:rPr>
        <w:t>t</w:t>
      </w:r>
      <w:r w:rsidR="00AC6652" w:rsidRPr="009353E6">
        <w:rPr>
          <w:sz w:val="22"/>
          <w:szCs w:val="22"/>
          <w:lang w:val="pl-PL"/>
        </w:rPr>
        <w:t>wy skóry (toksyczn</w:t>
      </w:r>
      <w:r w:rsidR="006D0A50" w:rsidRPr="009353E6">
        <w:rPr>
          <w:sz w:val="22"/>
          <w:szCs w:val="22"/>
          <w:lang w:val="pl-PL"/>
        </w:rPr>
        <w:t>e</w:t>
      </w:r>
      <w:r w:rsidR="00AC6652" w:rsidRPr="009353E6">
        <w:rPr>
          <w:sz w:val="22"/>
          <w:szCs w:val="22"/>
          <w:lang w:val="pl-PL"/>
        </w:rPr>
        <w:t xml:space="preserve"> martwic</w:t>
      </w:r>
      <w:r w:rsidR="006D0A50" w:rsidRPr="009353E6">
        <w:rPr>
          <w:sz w:val="22"/>
          <w:szCs w:val="22"/>
          <w:lang w:val="pl-PL"/>
        </w:rPr>
        <w:t>ze</w:t>
      </w:r>
      <w:r w:rsidR="00AC6652" w:rsidRPr="009353E6">
        <w:rPr>
          <w:sz w:val="22"/>
          <w:szCs w:val="22"/>
          <w:lang w:val="pl-PL"/>
        </w:rPr>
        <w:t xml:space="preserve"> </w:t>
      </w:r>
      <w:r w:rsidR="006D0A50" w:rsidRPr="009353E6">
        <w:rPr>
          <w:sz w:val="22"/>
          <w:szCs w:val="22"/>
          <w:lang w:val="pl-PL"/>
        </w:rPr>
        <w:t>oddzielanie się</w:t>
      </w:r>
      <w:r w:rsidR="00AC6652" w:rsidRPr="009353E6">
        <w:rPr>
          <w:sz w:val="22"/>
          <w:szCs w:val="22"/>
          <w:lang w:val="pl-PL"/>
        </w:rPr>
        <w:t xml:space="preserve"> naskórka).</w:t>
      </w:r>
      <w:r w:rsidR="008B0DDE" w:rsidRPr="009353E6">
        <w:rPr>
          <w:sz w:val="22"/>
          <w:szCs w:val="22"/>
          <w:lang w:val="pl-PL"/>
        </w:rPr>
        <w:t xml:space="preserve"> </w:t>
      </w:r>
      <w:r w:rsidR="00AA25A4" w:rsidRPr="009353E6">
        <w:rPr>
          <w:sz w:val="22"/>
          <w:szCs w:val="22"/>
          <w:lang w:val="pl-PL"/>
        </w:rPr>
        <w:t>P</w:t>
      </w:r>
      <w:r w:rsidR="00891993" w:rsidRPr="009353E6">
        <w:rPr>
          <w:sz w:val="22"/>
          <w:szCs w:val="22"/>
          <w:lang w:val="pl-PL"/>
        </w:rPr>
        <w:t>owyższe działania niepożądane występują rzadko</w:t>
      </w:r>
      <w:r w:rsidR="00AC1BF8" w:rsidRPr="009353E6">
        <w:rPr>
          <w:sz w:val="22"/>
          <w:szCs w:val="22"/>
          <w:lang w:val="pl-PL"/>
        </w:rPr>
        <w:t xml:space="preserve"> (mogą wystąpić </w:t>
      </w:r>
      <w:r w:rsidR="00DB03B7" w:rsidRPr="009353E6">
        <w:rPr>
          <w:sz w:val="22"/>
          <w:szCs w:val="22"/>
          <w:lang w:val="pl-PL"/>
        </w:rPr>
        <w:t>do</w:t>
      </w:r>
      <w:r w:rsidR="00AC1BF8" w:rsidRPr="009353E6">
        <w:rPr>
          <w:sz w:val="22"/>
          <w:szCs w:val="22"/>
          <w:lang w:val="pl-PL"/>
        </w:rPr>
        <w:t xml:space="preserve"> 1 na 1000 pacjentów)</w:t>
      </w:r>
      <w:r w:rsidR="00AC6652" w:rsidRPr="009353E6">
        <w:rPr>
          <w:sz w:val="22"/>
          <w:szCs w:val="22"/>
          <w:lang w:val="pl-PL"/>
        </w:rPr>
        <w:t xml:space="preserve"> </w:t>
      </w:r>
      <w:r w:rsidR="006D0A50" w:rsidRPr="009353E6">
        <w:rPr>
          <w:sz w:val="22"/>
          <w:szCs w:val="22"/>
          <w:lang w:val="pl-PL"/>
        </w:rPr>
        <w:t>albo</w:t>
      </w:r>
      <w:r w:rsidR="00AC6652" w:rsidRPr="009353E6">
        <w:rPr>
          <w:sz w:val="22"/>
          <w:szCs w:val="22"/>
          <w:lang w:val="pl-PL"/>
        </w:rPr>
        <w:t xml:space="preserve"> z niezna</w:t>
      </w:r>
      <w:r w:rsidR="000C103B" w:rsidRPr="009353E6">
        <w:rPr>
          <w:sz w:val="22"/>
          <w:szCs w:val="22"/>
          <w:lang w:val="pl-PL"/>
        </w:rPr>
        <w:t>ną częstością</w:t>
      </w:r>
      <w:r w:rsidR="006D0A50" w:rsidRPr="009353E6">
        <w:rPr>
          <w:sz w:val="22"/>
          <w:szCs w:val="22"/>
          <w:lang w:val="pl-PL"/>
        </w:rPr>
        <w:t xml:space="preserve"> </w:t>
      </w:r>
      <w:r w:rsidR="000C103B" w:rsidRPr="009353E6">
        <w:rPr>
          <w:sz w:val="22"/>
          <w:szCs w:val="22"/>
          <w:lang w:val="pl-PL"/>
        </w:rPr>
        <w:t>(w przypadku toksyczne</w:t>
      </w:r>
      <w:r w:rsidR="002D6BE9" w:rsidRPr="009353E6">
        <w:rPr>
          <w:sz w:val="22"/>
          <w:szCs w:val="22"/>
          <w:lang w:val="pl-PL"/>
        </w:rPr>
        <w:t>go</w:t>
      </w:r>
      <w:r w:rsidR="000C103B" w:rsidRPr="009353E6">
        <w:rPr>
          <w:sz w:val="22"/>
          <w:szCs w:val="22"/>
          <w:lang w:val="pl-PL"/>
        </w:rPr>
        <w:t xml:space="preserve"> martwic</w:t>
      </w:r>
      <w:r w:rsidR="002D6BE9" w:rsidRPr="009353E6">
        <w:rPr>
          <w:sz w:val="22"/>
          <w:szCs w:val="22"/>
          <w:lang w:val="pl-PL"/>
        </w:rPr>
        <w:t>zego</w:t>
      </w:r>
      <w:r w:rsidR="000C103B" w:rsidRPr="009353E6">
        <w:rPr>
          <w:sz w:val="22"/>
          <w:szCs w:val="22"/>
          <w:lang w:val="pl-PL"/>
        </w:rPr>
        <w:t xml:space="preserve"> </w:t>
      </w:r>
      <w:r w:rsidR="002D6BE9" w:rsidRPr="009353E6">
        <w:rPr>
          <w:sz w:val="22"/>
          <w:szCs w:val="22"/>
          <w:lang w:val="pl-PL"/>
        </w:rPr>
        <w:t>oddzielania się</w:t>
      </w:r>
      <w:r w:rsidR="000C103B" w:rsidRPr="009353E6">
        <w:rPr>
          <w:sz w:val="22"/>
          <w:szCs w:val="22"/>
          <w:lang w:val="pl-PL"/>
        </w:rPr>
        <w:t xml:space="preserve"> naskórka)</w:t>
      </w:r>
      <w:r w:rsidR="00891993" w:rsidRPr="009353E6">
        <w:rPr>
          <w:sz w:val="22"/>
          <w:szCs w:val="22"/>
          <w:lang w:val="pl-PL"/>
        </w:rPr>
        <w:t>, ale są niezwykle ciężkie</w:t>
      </w:r>
      <w:r w:rsidR="006D0A50" w:rsidRPr="009353E6">
        <w:rPr>
          <w:sz w:val="22"/>
          <w:szCs w:val="22"/>
          <w:lang w:val="pl-PL"/>
        </w:rPr>
        <w:t>;</w:t>
      </w:r>
      <w:r w:rsidR="00891993" w:rsidRPr="009353E6">
        <w:rPr>
          <w:sz w:val="22"/>
          <w:szCs w:val="22"/>
          <w:lang w:val="pl-PL"/>
        </w:rPr>
        <w:t xml:space="preserve"> w takim przypadku należy przerwać przyjmowanie leku i natychmiast skontaktować się z lekarzem. Jeśli powyższe objawy nie są leczone, mogą zakończyć się zgonem.</w:t>
      </w:r>
    </w:p>
    <w:p w:rsidR="00AC1BF8" w:rsidRPr="009353E6" w:rsidRDefault="00AC1BF8" w:rsidP="00AC1BF8">
      <w:pPr>
        <w:rPr>
          <w:sz w:val="22"/>
          <w:szCs w:val="22"/>
          <w:lang w:val="pl-PL"/>
        </w:rPr>
      </w:pPr>
      <w:r w:rsidRPr="009353E6">
        <w:rPr>
          <w:sz w:val="22"/>
          <w:szCs w:val="22"/>
          <w:lang w:val="pl-PL"/>
        </w:rPr>
        <w:t>Zwiększoną częstość występowania posocznicy obserwowano u osób przyjmujących telmisartan w monoterapii, nie można jej jednak wykluczyć w przypadku terapii lekiem MicardisPlus.</w:t>
      </w:r>
    </w:p>
    <w:p w:rsidR="00891993" w:rsidRPr="009353E6" w:rsidRDefault="00891993" w:rsidP="00891993">
      <w:pPr>
        <w:rPr>
          <w:sz w:val="22"/>
          <w:szCs w:val="22"/>
          <w:u w:val="single"/>
          <w:lang w:val="pl-PL"/>
        </w:rPr>
      </w:pPr>
    </w:p>
    <w:p w:rsidR="0086728C" w:rsidRPr="009353E6" w:rsidRDefault="00836A1D" w:rsidP="00E40CF2">
      <w:pPr>
        <w:keepNext/>
        <w:rPr>
          <w:b/>
          <w:sz w:val="22"/>
          <w:szCs w:val="22"/>
          <w:lang w:val="pl-PL"/>
        </w:rPr>
      </w:pPr>
      <w:r w:rsidRPr="009353E6">
        <w:rPr>
          <w:b/>
          <w:sz w:val="22"/>
          <w:szCs w:val="22"/>
          <w:lang w:val="pl-PL"/>
        </w:rPr>
        <w:t>Możliwe</w:t>
      </w:r>
      <w:r w:rsidR="0086728C" w:rsidRPr="009353E6">
        <w:rPr>
          <w:b/>
          <w:sz w:val="22"/>
          <w:szCs w:val="22"/>
          <w:lang w:val="pl-PL"/>
        </w:rPr>
        <w:t xml:space="preserve"> działania niepożądane </w:t>
      </w:r>
      <w:r w:rsidR="006A188A" w:rsidRPr="009353E6">
        <w:rPr>
          <w:b/>
          <w:sz w:val="22"/>
          <w:szCs w:val="22"/>
          <w:lang w:val="pl-PL"/>
        </w:rPr>
        <w:t xml:space="preserve">leku </w:t>
      </w:r>
      <w:r w:rsidR="0086728C" w:rsidRPr="009353E6">
        <w:rPr>
          <w:b/>
          <w:sz w:val="22"/>
          <w:szCs w:val="22"/>
          <w:lang w:val="pl-PL"/>
        </w:rPr>
        <w:t>MicardisPlus</w:t>
      </w:r>
      <w:r w:rsidRPr="009353E6">
        <w:rPr>
          <w:b/>
          <w:sz w:val="22"/>
          <w:szCs w:val="22"/>
          <w:lang w:val="pl-PL"/>
        </w:rPr>
        <w:t>:</w:t>
      </w:r>
    </w:p>
    <w:p w:rsidR="0086728C" w:rsidRPr="009353E6" w:rsidRDefault="0086728C" w:rsidP="00E40CF2">
      <w:pPr>
        <w:pStyle w:val="BodyText"/>
        <w:keepNext/>
        <w:spacing w:line="240" w:lineRule="auto"/>
        <w:jc w:val="left"/>
        <w:rPr>
          <w:sz w:val="22"/>
          <w:szCs w:val="22"/>
          <w:lang w:val="pl-PL"/>
        </w:rPr>
      </w:pPr>
    </w:p>
    <w:p w:rsidR="00AC1BF8" w:rsidRPr="009353E6" w:rsidRDefault="00AC1BF8" w:rsidP="00E40CF2">
      <w:pPr>
        <w:keepNext/>
        <w:rPr>
          <w:sz w:val="22"/>
          <w:szCs w:val="22"/>
          <w:lang w:val="pl-PL"/>
        </w:rPr>
      </w:pPr>
      <w:r w:rsidRPr="009353E6">
        <w:rPr>
          <w:sz w:val="22"/>
          <w:szCs w:val="22"/>
          <w:u w:val="single"/>
          <w:lang w:val="pl-PL"/>
        </w:rPr>
        <w:t>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 pacjentów):</w:t>
      </w:r>
    </w:p>
    <w:p w:rsidR="007D7C96" w:rsidRPr="009353E6" w:rsidRDefault="007D7C96" w:rsidP="00E40CF2">
      <w:pPr>
        <w:pStyle w:val="BodyText"/>
        <w:keepNext/>
        <w:spacing w:line="240" w:lineRule="auto"/>
        <w:jc w:val="left"/>
        <w:rPr>
          <w:sz w:val="22"/>
          <w:szCs w:val="22"/>
          <w:lang w:val="pl-PL"/>
        </w:rPr>
      </w:pPr>
      <w:r w:rsidRPr="009353E6">
        <w:rPr>
          <w:sz w:val="22"/>
          <w:szCs w:val="22"/>
          <w:lang w:val="pl-PL"/>
        </w:rPr>
        <w:t>Z</w:t>
      </w:r>
      <w:r w:rsidR="00F0332C" w:rsidRPr="009353E6">
        <w:rPr>
          <w:sz w:val="22"/>
          <w:szCs w:val="22"/>
          <w:lang w:val="pl-PL"/>
        </w:rPr>
        <w:t>a</w:t>
      </w:r>
      <w:r w:rsidRPr="009353E6">
        <w:rPr>
          <w:sz w:val="22"/>
          <w:szCs w:val="22"/>
          <w:lang w:val="pl-PL"/>
        </w:rPr>
        <w:t>wroty głowy</w:t>
      </w:r>
    </w:p>
    <w:p w:rsidR="0086728C" w:rsidRPr="009353E6" w:rsidRDefault="0086728C" w:rsidP="00F831F6">
      <w:pPr>
        <w:pStyle w:val="BodyText"/>
        <w:spacing w:line="240" w:lineRule="auto"/>
        <w:jc w:val="left"/>
        <w:rPr>
          <w:sz w:val="22"/>
          <w:szCs w:val="22"/>
          <w:u w:val="single"/>
          <w:lang w:val="pl-PL"/>
        </w:rPr>
      </w:pPr>
    </w:p>
    <w:p w:rsidR="00AC1BF8" w:rsidRPr="009353E6" w:rsidRDefault="00AC1BF8" w:rsidP="00AC1BF8">
      <w:pPr>
        <w:rPr>
          <w:sz w:val="22"/>
          <w:szCs w:val="22"/>
          <w:lang w:val="pl-PL"/>
        </w:rPr>
      </w:pPr>
      <w:r w:rsidRPr="009353E6">
        <w:rPr>
          <w:sz w:val="22"/>
          <w:szCs w:val="22"/>
          <w:u w:val="single"/>
          <w:lang w:val="pl-PL"/>
        </w:rPr>
        <w:t>Niezbyt 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 pacjentów): </w:t>
      </w:r>
    </w:p>
    <w:p w:rsidR="007D7C96" w:rsidRPr="009353E6" w:rsidRDefault="00104B51" w:rsidP="00F831F6">
      <w:pPr>
        <w:pStyle w:val="BodyText"/>
        <w:spacing w:line="240" w:lineRule="auto"/>
        <w:jc w:val="left"/>
        <w:rPr>
          <w:sz w:val="22"/>
          <w:szCs w:val="22"/>
          <w:lang w:val="pl-PL"/>
        </w:rPr>
      </w:pPr>
      <w:r w:rsidRPr="009353E6">
        <w:rPr>
          <w:sz w:val="22"/>
          <w:szCs w:val="22"/>
          <w:lang w:val="pl-PL"/>
        </w:rPr>
        <w:t xml:space="preserve">Zmniejszenie stężenia </w:t>
      </w:r>
      <w:r w:rsidR="007D7C96" w:rsidRPr="009353E6">
        <w:rPr>
          <w:sz w:val="22"/>
          <w:szCs w:val="22"/>
          <w:lang w:val="pl-PL"/>
        </w:rPr>
        <w:t>potasu we krwi</w:t>
      </w:r>
      <w:r w:rsidR="00F0332C" w:rsidRPr="009353E6">
        <w:rPr>
          <w:sz w:val="22"/>
          <w:szCs w:val="22"/>
          <w:lang w:val="pl-PL"/>
        </w:rPr>
        <w:t>,</w:t>
      </w:r>
      <w:r w:rsidR="007D7C96" w:rsidRPr="009353E6">
        <w:rPr>
          <w:sz w:val="22"/>
          <w:szCs w:val="22"/>
          <w:lang w:val="pl-PL"/>
        </w:rPr>
        <w:t xml:space="preserve"> lęk</w:t>
      </w:r>
      <w:r w:rsidR="00F0332C" w:rsidRPr="009353E6">
        <w:rPr>
          <w:sz w:val="22"/>
          <w:szCs w:val="22"/>
          <w:lang w:val="pl-PL"/>
        </w:rPr>
        <w:t>,</w:t>
      </w:r>
      <w:r w:rsidR="007D7C96" w:rsidRPr="009353E6">
        <w:rPr>
          <w:sz w:val="22"/>
          <w:szCs w:val="22"/>
          <w:lang w:val="pl-PL"/>
        </w:rPr>
        <w:t xml:space="preserve"> omdlenia</w:t>
      </w:r>
      <w:r w:rsidR="00F0332C" w:rsidRPr="009353E6">
        <w:rPr>
          <w:sz w:val="22"/>
          <w:szCs w:val="22"/>
          <w:lang w:val="pl-PL"/>
        </w:rPr>
        <w:t>,</w:t>
      </w:r>
      <w:r w:rsidR="007D7C96" w:rsidRPr="009353E6">
        <w:rPr>
          <w:sz w:val="22"/>
          <w:szCs w:val="22"/>
          <w:lang w:val="pl-PL"/>
        </w:rPr>
        <w:t xml:space="preserve"> uczucie mrowienia i drętwienia (parestezje)</w:t>
      </w:r>
      <w:r w:rsidR="00F0332C" w:rsidRPr="009353E6">
        <w:rPr>
          <w:sz w:val="22"/>
          <w:szCs w:val="22"/>
          <w:lang w:val="pl-PL"/>
        </w:rPr>
        <w:t>,</w:t>
      </w:r>
      <w:r w:rsidR="007D7C96" w:rsidRPr="009353E6">
        <w:rPr>
          <w:sz w:val="22"/>
          <w:szCs w:val="22"/>
          <w:lang w:val="pl-PL"/>
        </w:rPr>
        <w:t xml:space="preserve"> uczucie wirowania</w:t>
      </w:r>
      <w:r w:rsidR="00F0332C" w:rsidRPr="009353E6">
        <w:rPr>
          <w:sz w:val="22"/>
          <w:szCs w:val="22"/>
          <w:lang w:val="pl-PL"/>
        </w:rPr>
        <w:t>,</w:t>
      </w:r>
      <w:r w:rsidR="007D7C96" w:rsidRPr="009353E6">
        <w:rPr>
          <w:sz w:val="22"/>
          <w:szCs w:val="22"/>
          <w:lang w:val="pl-PL"/>
        </w:rPr>
        <w:t xml:space="preserve"> przyspieszone tętno (częstoskurcz), zaburzenia </w:t>
      </w:r>
      <w:r w:rsidRPr="009353E6">
        <w:rPr>
          <w:sz w:val="22"/>
          <w:szCs w:val="22"/>
          <w:lang w:val="pl-PL"/>
        </w:rPr>
        <w:t>rytmu serca</w:t>
      </w:r>
      <w:r w:rsidR="007D7C96" w:rsidRPr="009353E6">
        <w:rPr>
          <w:sz w:val="22"/>
          <w:szCs w:val="22"/>
          <w:lang w:val="pl-PL"/>
        </w:rPr>
        <w:t>, niskie ciśnienie tętnicze krwi, nagł</w:t>
      </w:r>
      <w:r w:rsidRPr="009353E6">
        <w:rPr>
          <w:sz w:val="22"/>
          <w:szCs w:val="22"/>
          <w:lang w:val="pl-PL"/>
        </w:rPr>
        <w:t>e o</w:t>
      </w:r>
      <w:r w:rsidR="003203A7" w:rsidRPr="009353E6">
        <w:rPr>
          <w:sz w:val="22"/>
          <w:szCs w:val="22"/>
          <w:lang w:val="pl-PL"/>
        </w:rPr>
        <w:t>b</w:t>
      </w:r>
      <w:r w:rsidRPr="009353E6">
        <w:rPr>
          <w:sz w:val="22"/>
          <w:szCs w:val="22"/>
          <w:lang w:val="pl-PL"/>
        </w:rPr>
        <w:t xml:space="preserve">niżenie </w:t>
      </w:r>
      <w:r w:rsidR="007D7C96" w:rsidRPr="009353E6">
        <w:rPr>
          <w:sz w:val="22"/>
          <w:szCs w:val="22"/>
          <w:lang w:val="pl-PL"/>
        </w:rPr>
        <w:t>ciśnienia tętniczego krwi podczas wstawania</w:t>
      </w:r>
      <w:r w:rsidR="00F0332C" w:rsidRPr="009353E6">
        <w:rPr>
          <w:sz w:val="22"/>
          <w:szCs w:val="22"/>
          <w:lang w:val="pl-PL"/>
        </w:rPr>
        <w:t>,</w:t>
      </w:r>
      <w:r w:rsidR="007D7C96" w:rsidRPr="009353E6">
        <w:rPr>
          <w:sz w:val="22"/>
          <w:szCs w:val="22"/>
          <w:lang w:val="pl-PL"/>
        </w:rPr>
        <w:t xml:space="preserve"> </w:t>
      </w:r>
      <w:r w:rsidRPr="009353E6">
        <w:rPr>
          <w:sz w:val="22"/>
          <w:szCs w:val="22"/>
          <w:lang w:val="pl-PL"/>
        </w:rPr>
        <w:t>skrócenie oddechu</w:t>
      </w:r>
      <w:r w:rsidR="007D7C96" w:rsidRPr="009353E6">
        <w:rPr>
          <w:sz w:val="22"/>
          <w:szCs w:val="22"/>
          <w:lang w:val="pl-PL"/>
        </w:rPr>
        <w:t xml:space="preserve"> (dusznoś</w:t>
      </w:r>
      <w:r w:rsidRPr="009353E6">
        <w:rPr>
          <w:sz w:val="22"/>
          <w:szCs w:val="22"/>
          <w:lang w:val="pl-PL"/>
        </w:rPr>
        <w:t>ć</w:t>
      </w:r>
      <w:r w:rsidR="007D7C96" w:rsidRPr="009353E6">
        <w:rPr>
          <w:sz w:val="22"/>
          <w:szCs w:val="22"/>
          <w:lang w:val="pl-PL"/>
        </w:rPr>
        <w:t>)</w:t>
      </w:r>
      <w:r w:rsidR="00F0332C" w:rsidRPr="009353E6">
        <w:rPr>
          <w:sz w:val="22"/>
          <w:szCs w:val="22"/>
          <w:lang w:val="pl-PL"/>
        </w:rPr>
        <w:t>,</w:t>
      </w:r>
      <w:r w:rsidR="007D7C96" w:rsidRPr="009353E6">
        <w:rPr>
          <w:sz w:val="22"/>
          <w:szCs w:val="22"/>
          <w:lang w:val="pl-PL"/>
        </w:rPr>
        <w:t xml:space="preserve"> biegunka</w:t>
      </w:r>
      <w:r w:rsidR="00F0332C" w:rsidRPr="009353E6">
        <w:rPr>
          <w:sz w:val="22"/>
          <w:szCs w:val="22"/>
          <w:lang w:val="pl-PL"/>
        </w:rPr>
        <w:t>,</w:t>
      </w:r>
      <w:r w:rsidR="007D7C96" w:rsidRPr="009353E6">
        <w:rPr>
          <w:sz w:val="22"/>
          <w:szCs w:val="22"/>
          <w:lang w:val="pl-PL"/>
        </w:rPr>
        <w:t xml:space="preserve"> suchość błon śluzowych w jamie ustnej</w:t>
      </w:r>
      <w:r w:rsidR="00F0332C" w:rsidRPr="009353E6">
        <w:rPr>
          <w:sz w:val="22"/>
          <w:szCs w:val="22"/>
          <w:lang w:val="pl-PL"/>
        </w:rPr>
        <w:t>,</w:t>
      </w:r>
      <w:r w:rsidR="007D7C96" w:rsidRPr="009353E6">
        <w:rPr>
          <w:sz w:val="22"/>
          <w:szCs w:val="22"/>
          <w:lang w:val="pl-PL"/>
        </w:rPr>
        <w:t xml:space="preserve"> wzdęcia</w:t>
      </w:r>
      <w:r w:rsidR="00F0332C" w:rsidRPr="009353E6">
        <w:rPr>
          <w:sz w:val="22"/>
          <w:szCs w:val="22"/>
          <w:lang w:val="pl-PL"/>
        </w:rPr>
        <w:t>,</w:t>
      </w:r>
      <w:r w:rsidRPr="009353E6">
        <w:rPr>
          <w:sz w:val="22"/>
          <w:szCs w:val="22"/>
          <w:lang w:val="pl-PL"/>
        </w:rPr>
        <w:t xml:space="preserve"> </w:t>
      </w:r>
      <w:r w:rsidR="007D7C96" w:rsidRPr="009353E6">
        <w:rPr>
          <w:sz w:val="22"/>
          <w:szCs w:val="22"/>
          <w:lang w:val="pl-PL"/>
        </w:rPr>
        <w:t>ból pleców, skurcze mięśni, ból mięśni, zaburzenia erekcji (niezdolność do uzyskania lub utrzymania er</w:t>
      </w:r>
      <w:r w:rsidRPr="009353E6">
        <w:rPr>
          <w:sz w:val="22"/>
          <w:szCs w:val="22"/>
          <w:lang w:val="pl-PL"/>
        </w:rPr>
        <w:t>ekcji)</w:t>
      </w:r>
      <w:r w:rsidR="00F0332C" w:rsidRPr="009353E6">
        <w:rPr>
          <w:sz w:val="22"/>
          <w:szCs w:val="22"/>
          <w:lang w:val="pl-PL"/>
        </w:rPr>
        <w:t>,</w:t>
      </w:r>
      <w:r w:rsidRPr="009353E6">
        <w:rPr>
          <w:sz w:val="22"/>
          <w:szCs w:val="22"/>
          <w:lang w:val="pl-PL"/>
        </w:rPr>
        <w:t xml:space="preserve"> ból w klatce piersiowej</w:t>
      </w:r>
      <w:r w:rsidR="00F0332C" w:rsidRPr="009353E6">
        <w:rPr>
          <w:sz w:val="22"/>
          <w:szCs w:val="22"/>
          <w:lang w:val="pl-PL"/>
        </w:rPr>
        <w:t>,</w:t>
      </w:r>
      <w:r w:rsidR="007D7C96" w:rsidRPr="009353E6">
        <w:rPr>
          <w:sz w:val="22"/>
          <w:szCs w:val="22"/>
          <w:lang w:val="pl-PL"/>
        </w:rPr>
        <w:t xml:space="preserve"> </w:t>
      </w:r>
      <w:r w:rsidRPr="009353E6">
        <w:rPr>
          <w:sz w:val="22"/>
          <w:szCs w:val="22"/>
          <w:lang w:val="pl-PL"/>
        </w:rPr>
        <w:t xml:space="preserve">zwiększone stężenie </w:t>
      </w:r>
      <w:r w:rsidR="007D7C96" w:rsidRPr="009353E6">
        <w:rPr>
          <w:sz w:val="22"/>
          <w:szCs w:val="22"/>
          <w:lang w:val="pl-PL"/>
        </w:rPr>
        <w:t>kwasu moczowego we krwi.</w:t>
      </w:r>
    </w:p>
    <w:p w:rsidR="007D7C96" w:rsidRPr="009353E6" w:rsidRDefault="007D7C96" w:rsidP="00F831F6">
      <w:pPr>
        <w:pStyle w:val="BodyText"/>
        <w:spacing w:line="240" w:lineRule="auto"/>
        <w:jc w:val="left"/>
        <w:rPr>
          <w:sz w:val="22"/>
          <w:szCs w:val="22"/>
          <w:lang w:val="pl-PL"/>
        </w:rPr>
      </w:pPr>
    </w:p>
    <w:p w:rsidR="00AC1BF8" w:rsidRPr="009353E6" w:rsidRDefault="00AC1BF8" w:rsidP="00AC1BF8">
      <w:pPr>
        <w:rPr>
          <w:sz w:val="22"/>
          <w:szCs w:val="22"/>
          <w:lang w:val="pl-PL"/>
        </w:rPr>
      </w:pPr>
      <w:r w:rsidRPr="009353E6">
        <w:rPr>
          <w:sz w:val="22"/>
          <w:szCs w:val="22"/>
          <w:u w:val="single"/>
          <w:lang w:val="pl-PL"/>
        </w:rPr>
        <w:t>Rzadkie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1000 pacjentów):</w:t>
      </w:r>
    </w:p>
    <w:p w:rsidR="007D7C96" w:rsidRPr="009353E6" w:rsidRDefault="00F0332C" w:rsidP="00F831F6">
      <w:pPr>
        <w:pStyle w:val="BodyText"/>
        <w:spacing w:line="240" w:lineRule="auto"/>
        <w:jc w:val="left"/>
        <w:rPr>
          <w:sz w:val="22"/>
          <w:szCs w:val="22"/>
          <w:lang w:val="pl-PL"/>
        </w:rPr>
      </w:pPr>
      <w:r w:rsidRPr="009353E6">
        <w:rPr>
          <w:sz w:val="22"/>
          <w:szCs w:val="22"/>
          <w:lang w:val="pl-PL"/>
        </w:rPr>
        <w:t>Zapalenie płuc (zapalenie oskrzeli),</w:t>
      </w:r>
      <w:r w:rsidR="00C3795E" w:rsidRPr="009353E6">
        <w:rPr>
          <w:sz w:val="22"/>
          <w:szCs w:val="22"/>
          <w:lang w:val="pl-PL"/>
        </w:rPr>
        <w:t xml:space="preserve"> </w:t>
      </w:r>
      <w:r w:rsidR="0086728C" w:rsidRPr="009353E6">
        <w:rPr>
          <w:sz w:val="22"/>
          <w:szCs w:val="22"/>
          <w:lang w:val="pl-PL"/>
        </w:rPr>
        <w:t>aktywacja lub zaostrzenie tocznia rumieniowatego układowego (choroba</w:t>
      </w:r>
      <w:r w:rsidR="00D707F3" w:rsidRPr="009353E6">
        <w:rPr>
          <w:sz w:val="22"/>
          <w:szCs w:val="22"/>
          <w:lang w:val="pl-PL"/>
        </w:rPr>
        <w:t xml:space="preserve">, </w:t>
      </w:r>
      <w:r w:rsidR="0086728C" w:rsidRPr="009353E6">
        <w:rPr>
          <w:sz w:val="22"/>
          <w:szCs w:val="22"/>
          <w:lang w:val="pl-PL"/>
        </w:rPr>
        <w:t xml:space="preserve">w której organizm jest atakowany przez własny system odpornościowy co powoduje ból stawów, wysypki skórne i gorączkę), </w:t>
      </w:r>
      <w:r w:rsidRPr="009353E6">
        <w:rPr>
          <w:sz w:val="22"/>
          <w:szCs w:val="22"/>
          <w:lang w:val="pl-PL"/>
        </w:rPr>
        <w:t xml:space="preserve">ból gardła, zapalenie zatok, </w:t>
      </w:r>
      <w:r w:rsidR="007D7C96" w:rsidRPr="009353E6">
        <w:rPr>
          <w:sz w:val="22"/>
          <w:szCs w:val="22"/>
          <w:lang w:val="pl-PL"/>
        </w:rPr>
        <w:t xml:space="preserve"> uczucie smutku (depresja)</w:t>
      </w:r>
      <w:r w:rsidRPr="009353E6">
        <w:rPr>
          <w:sz w:val="22"/>
          <w:szCs w:val="22"/>
          <w:lang w:val="pl-PL"/>
        </w:rPr>
        <w:t>,</w:t>
      </w:r>
      <w:r w:rsidR="007D7C96" w:rsidRPr="009353E6">
        <w:rPr>
          <w:sz w:val="22"/>
          <w:szCs w:val="22"/>
          <w:lang w:val="pl-PL"/>
        </w:rPr>
        <w:t xml:space="preserve"> trudności w zasypianiu (bezsenność)</w:t>
      </w:r>
      <w:r w:rsidRPr="009353E6">
        <w:rPr>
          <w:sz w:val="22"/>
          <w:szCs w:val="22"/>
          <w:lang w:val="pl-PL"/>
        </w:rPr>
        <w:t>,</w:t>
      </w:r>
      <w:r w:rsidR="007D7C96" w:rsidRPr="009353E6">
        <w:rPr>
          <w:sz w:val="22"/>
          <w:szCs w:val="22"/>
          <w:lang w:val="pl-PL"/>
        </w:rPr>
        <w:t xml:space="preserve"> </w:t>
      </w:r>
      <w:r w:rsidR="00104B51" w:rsidRPr="009353E6">
        <w:rPr>
          <w:sz w:val="22"/>
          <w:szCs w:val="22"/>
          <w:lang w:val="pl-PL"/>
        </w:rPr>
        <w:t xml:space="preserve">zaburzenia </w:t>
      </w:r>
      <w:r w:rsidR="007D7C96" w:rsidRPr="009353E6">
        <w:rPr>
          <w:sz w:val="22"/>
          <w:szCs w:val="22"/>
          <w:lang w:val="pl-PL"/>
        </w:rPr>
        <w:t>widzeni</w:t>
      </w:r>
      <w:r w:rsidR="00104B51" w:rsidRPr="009353E6">
        <w:rPr>
          <w:sz w:val="22"/>
          <w:szCs w:val="22"/>
          <w:lang w:val="pl-PL"/>
        </w:rPr>
        <w:t>a</w:t>
      </w:r>
      <w:r w:rsidRPr="009353E6">
        <w:rPr>
          <w:sz w:val="22"/>
          <w:szCs w:val="22"/>
          <w:lang w:val="pl-PL"/>
        </w:rPr>
        <w:t>,</w:t>
      </w:r>
      <w:r w:rsidR="007D7C96" w:rsidRPr="009353E6">
        <w:rPr>
          <w:sz w:val="22"/>
          <w:szCs w:val="22"/>
          <w:lang w:val="pl-PL"/>
        </w:rPr>
        <w:t xml:space="preserve"> trudności w oddychaniu</w:t>
      </w:r>
      <w:r w:rsidRPr="009353E6">
        <w:rPr>
          <w:sz w:val="22"/>
          <w:szCs w:val="22"/>
          <w:lang w:val="pl-PL"/>
        </w:rPr>
        <w:t>,</w:t>
      </w:r>
      <w:r w:rsidR="007D7C96" w:rsidRPr="009353E6">
        <w:rPr>
          <w:sz w:val="22"/>
          <w:szCs w:val="22"/>
          <w:lang w:val="pl-PL"/>
        </w:rPr>
        <w:t xml:space="preserve"> ból brzucha, zaparcia, wzdęcia (niestrawność), </w:t>
      </w:r>
      <w:r w:rsidR="00104B51" w:rsidRPr="009353E6">
        <w:rPr>
          <w:sz w:val="22"/>
          <w:szCs w:val="22"/>
          <w:lang w:val="pl-PL"/>
        </w:rPr>
        <w:t>nudności</w:t>
      </w:r>
      <w:r w:rsidR="00260720" w:rsidRPr="009353E6">
        <w:rPr>
          <w:sz w:val="22"/>
          <w:szCs w:val="22"/>
          <w:lang w:val="pl-PL"/>
        </w:rPr>
        <w:t xml:space="preserve"> (wymioty)</w:t>
      </w:r>
      <w:r w:rsidRPr="009353E6">
        <w:rPr>
          <w:sz w:val="22"/>
          <w:szCs w:val="22"/>
          <w:lang w:val="pl-PL"/>
        </w:rPr>
        <w:t xml:space="preserve">, zapalenie błony śluzowej </w:t>
      </w:r>
      <w:r w:rsidR="00371E78" w:rsidRPr="009353E6">
        <w:rPr>
          <w:sz w:val="22"/>
          <w:szCs w:val="22"/>
          <w:lang w:val="pl-PL"/>
        </w:rPr>
        <w:t>żołądka</w:t>
      </w:r>
      <w:r w:rsidRPr="009353E6">
        <w:rPr>
          <w:sz w:val="22"/>
          <w:szCs w:val="22"/>
          <w:lang w:val="pl-PL"/>
        </w:rPr>
        <w:t>,</w:t>
      </w:r>
      <w:r w:rsidR="007D7C96" w:rsidRPr="009353E6">
        <w:rPr>
          <w:sz w:val="22"/>
          <w:szCs w:val="22"/>
          <w:lang w:val="pl-PL"/>
        </w:rPr>
        <w:t xml:space="preserve"> nieprawidłowa czynność wątroby</w:t>
      </w:r>
      <w:r w:rsidR="00AC1BF8" w:rsidRPr="009353E6">
        <w:rPr>
          <w:sz w:val="22"/>
          <w:szCs w:val="22"/>
          <w:lang w:val="pl-PL"/>
        </w:rPr>
        <w:t xml:space="preserve"> (występuje częściej u pacjentów pochodzenia japońskiego)</w:t>
      </w:r>
      <w:r w:rsidRPr="009353E6">
        <w:rPr>
          <w:sz w:val="22"/>
          <w:szCs w:val="22"/>
          <w:lang w:val="pl-PL"/>
        </w:rPr>
        <w:t>,</w:t>
      </w:r>
      <w:r w:rsidR="007D7C96" w:rsidRPr="009353E6">
        <w:rPr>
          <w:sz w:val="22"/>
          <w:szCs w:val="22"/>
          <w:lang w:val="pl-PL"/>
        </w:rPr>
        <w:t xml:space="preserve"> zaczerwienienie skóry (rumień)</w:t>
      </w:r>
      <w:r w:rsidRPr="009353E6">
        <w:rPr>
          <w:sz w:val="22"/>
          <w:szCs w:val="22"/>
          <w:lang w:val="pl-PL"/>
        </w:rPr>
        <w:t>,</w:t>
      </w:r>
      <w:r w:rsidR="007D7C96" w:rsidRPr="009353E6">
        <w:rPr>
          <w:sz w:val="22"/>
          <w:szCs w:val="22"/>
          <w:lang w:val="pl-PL"/>
        </w:rPr>
        <w:t xml:space="preserve"> reakcje alergiczne, </w:t>
      </w:r>
      <w:r w:rsidR="00104B51" w:rsidRPr="009353E6">
        <w:rPr>
          <w:sz w:val="22"/>
          <w:szCs w:val="22"/>
          <w:lang w:val="pl-PL"/>
        </w:rPr>
        <w:t xml:space="preserve">takie jak świąd </w:t>
      </w:r>
      <w:r w:rsidR="007D7C96" w:rsidRPr="009353E6">
        <w:rPr>
          <w:sz w:val="22"/>
          <w:szCs w:val="22"/>
          <w:lang w:val="pl-PL"/>
        </w:rPr>
        <w:t>lub wysypka</w:t>
      </w:r>
      <w:r w:rsidRPr="009353E6">
        <w:rPr>
          <w:sz w:val="22"/>
          <w:szCs w:val="22"/>
          <w:lang w:val="pl-PL"/>
        </w:rPr>
        <w:t>,</w:t>
      </w:r>
      <w:r w:rsidR="007D7C96" w:rsidRPr="009353E6">
        <w:rPr>
          <w:sz w:val="22"/>
          <w:szCs w:val="22"/>
          <w:lang w:val="pl-PL"/>
        </w:rPr>
        <w:t xml:space="preserve"> zwiększona potliwość, pokrzywka</w:t>
      </w:r>
      <w:r w:rsidRPr="009353E6">
        <w:rPr>
          <w:sz w:val="22"/>
          <w:szCs w:val="22"/>
          <w:lang w:val="pl-PL"/>
        </w:rPr>
        <w:t>,</w:t>
      </w:r>
      <w:r w:rsidR="007D7C96" w:rsidRPr="009353E6">
        <w:rPr>
          <w:sz w:val="22"/>
          <w:szCs w:val="22"/>
          <w:lang w:val="pl-PL"/>
        </w:rPr>
        <w:t xml:space="preserve"> ból stawów i ból kończyn, skurcze mięśni</w:t>
      </w:r>
      <w:r w:rsidRPr="009353E6">
        <w:rPr>
          <w:sz w:val="22"/>
          <w:szCs w:val="22"/>
          <w:lang w:val="pl-PL"/>
        </w:rPr>
        <w:t>,</w:t>
      </w:r>
      <w:r w:rsidR="007D7C96" w:rsidRPr="009353E6">
        <w:rPr>
          <w:sz w:val="22"/>
          <w:szCs w:val="22"/>
          <w:lang w:val="pl-PL"/>
        </w:rPr>
        <w:t xml:space="preserve"> objawy grypopodobne</w:t>
      </w:r>
      <w:r w:rsidRPr="009353E6">
        <w:rPr>
          <w:sz w:val="22"/>
          <w:szCs w:val="22"/>
          <w:lang w:val="pl-PL"/>
        </w:rPr>
        <w:t>,</w:t>
      </w:r>
      <w:r w:rsidR="007D7C96" w:rsidRPr="009353E6">
        <w:rPr>
          <w:sz w:val="22"/>
          <w:szCs w:val="22"/>
          <w:lang w:val="pl-PL"/>
        </w:rPr>
        <w:t xml:space="preserve"> ból</w:t>
      </w:r>
      <w:r w:rsidRPr="009353E6">
        <w:rPr>
          <w:sz w:val="22"/>
          <w:szCs w:val="22"/>
          <w:lang w:val="pl-PL"/>
        </w:rPr>
        <w:t>,</w:t>
      </w:r>
      <w:r w:rsidR="007D7C96" w:rsidRPr="009353E6">
        <w:rPr>
          <w:sz w:val="22"/>
          <w:szCs w:val="22"/>
          <w:lang w:val="pl-PL"/>
        </w:rPr>
        <w:t xml:space="preserve"> </w:t>
      </w:r>
      <w:r w:rsidR="00104B51" w:rsidRPr="009353E6">
        <w:rPr>
          <w:sz w:val="22"/>
          <w:szCs w:val="22"/>
          <w:lang w:val="pl-PL"/>
        </w:rPr>
        <w:t xml:space="preserve">małe stężenie </w:t>
      </w:r>
      <w:r w:rsidR="007D7C96" w:rsidRPr="009353E6">
        <w:rPr>
          <w:sz w:val="22"/>
          <w:szCs w:val="22"/>
          <w:lang w:val="pl-PL"/>
        </w:rPr>
        <w:t xml:space="preserve">sodu, </w:t>
      </w:r>
      <w:r w:rsidR="00104B51" w:rsidRPr="009353E6">
        <w:rPr>
          <w:sz w:val="22"/>
          <w:szCs w:val="22"/>
          <w:lang w:val="pl-PL"/>
        </w:rPr>
        <w:t xml:space="preserve">zwiększone stężenie </w:t>
      </w:r>
      <w:r w:rsidR="007D7C96" w:rsidRPr="009353E6">
        <w:rPr>
          <w:sz w:val="22"/>
          <w:szCs w:val="22"/>
          <w:lang w:val="pl-PL"/>
        </w:rPr>
        <w:t>kreatyniny,</w:t>
      </w:r>
      <w:r w:rsidR="00104B51" w:rsidRPr="009353E6">
        <w:rPr>
          <w:sz w:val="22"/>
          <w:szCs w:val="22"/>
          <w:lang w:val="pl-PL"/>
        </w:rPr>
        <w:t xml:space="preserve"> zwiększona aktywność en</w:t>
      </w:r>
      <w:r w:rsidR="007D7C96" w:rsidRPr="009353E6">
        <w:rPr>
          <w:sz w:val="22"/>
          <w:szCs w:val="22"/>
          <w:lang w:val="pl-PL"/>
        </w:rPr>
        <w:t xml:space="preserve">zymów wątrobowych </w:t>
      </w:r>
      <w:r w:rsidR="003203A7" w:rsidRPr="009353E6">
        <w:rPr>
          <w:sz w:val="22"/>
          <w:szCs w:val="22"/>
          <w:lang w:val="pl-PL"/>
        </w:rPr>
        <w:t xml:space="preserve">lub </w:t>
      </w:r>
      <w:r w:rsidR="007D7C96" w:rsidRPr="009353E6">
        <w:rPr>
          <w:sz w:val="22"/>
          <w:szCs w:val="22"/>
          <w:lang w:val="pl-PL"/>
        </w:rPr>
        <w:t>fosfokinazy kreatynowej we krwi.</w:t>
      </w:r>
    </w:p>
    <w:p w:rsidR="007D7C96" w:rsidRPr="009353E6" w:rsidRDefault="007D7C96" w:rsidP="00F831F6">
      <w:pPr>
        <w:pStyle w:val="BodyText"/>
        <w:spacing w:line="240" w:lineRule="auto"/>
        <w:jc w:val="left"/>
        <w:rPr>
          <w:sz w:val="22"/>
          <w:szCs w:val="22"/>
          <w:lang w:val="pl-PL"/>
        </w:rPr>
      </w:pPr>
    </w:p>
    <w:p w:rsidR="00AC1BF8" w:rsidRPr="009353E6" w:rsidRDefault="00AC1BF8" w:rsidP="00AC1BF8">
      <w:pPr>
        <w:rPr>
          <w:lang w:val="pl-PL"/>
        </w:rPr>
      </w:pPr>
      <w:r w:rsidRPr="009353E6">
        <w:rPr>
          <w:sz w:val="22"/>
          <w:szCs w:val="22"/>
          <w:lang w:val="pl-PL"/>
        </w:rPr>
        <w:t xml:space="preserve">Działania niepożądane zgłaszane dla jednego ze składników mogą wystąpić również podczas terapii </w:t>
      </w:r>
      <w:r w:rsidR="00210316" w:rsidRPr="009353E6">
        <w:rPr>
          <w:sz w:val="22"/>
          <w:szCs w:val="22"/>
          <w:lang w:val="pl-PL"/>
        </w:rPr>
        <w:t>lekiem</w:t>
      </w:r>
      <w:r w:rsidRPr="009353E6">
        <w:rPr>
          <w:sz w:val="22"/>
          <w:szCs w:val="22"/>
          <w:lang w:val="pl-PL"/>
        </w:rPr>
        <w:t xml:space="preserve"> MicardisPlus, nawet jeśli nie stwierdzono ich podczas badań klinicznych produktu.   </w:t>
      </w:r>
    </w:p>
    <w:p w:rsidR="00CF3559" w:rsidRPr="009353E6" w:rsidRDefault="00CF3559" w:rsidP="00F831F6">
      <w:pPr>
        <w:pStyle w:val="BodyText"/>
        <w:spacing w:line="240" w:lineRule="auto"/>
        <w:jc w:val="left"/>
        <w:rPr>
          <w:sz w:val="22"/>
          <w:szCs w:val="22"/>
          <w:lang w:val="pl-PL"/>
        </w:rPr>
      </w:pPr>
    </w:p>
    <w:p w:rsidR="00CF3559" w:rsidRPr="009353E6" w:rsidRDefault="00CF3559" w:rsidP="00F831F6">
      <w:pPr>
        <w:pStyle w:val="BodyText"/>
        <w:spacing w:line="240" w:lineRule="auto"/>
        <w:jc w:val="left"/>
        <w:rPr>
          <w:b/>
          <w:sz w:val="22"/>
          <w:szCs w:val="22"/>
          <w:lang w:val="pl-PL"/>
        </w:rPr>
      </w:pPr>
      <w:r w:rsidRPr="009353E6">
        <w:rPr>
          <w:b/>
          <w:sz w:val="22"/>
          <w:szCs w:val="22"/>
          <w:lang w:val="pl-PL"/>
        </w:rPr>
        <w:t>Telmisartan</w:t>
      </w:r>
    </w:p>
    <w:p w:rsidR="00CF3559" w:rsidRPr="009353E6" w:rsidRDefault="00CF3559" w:rsidP="00F831F6">
      <w:pPr>
        <w:pStyle w:val="BodyText"/>
        <w:spacing w:line="240" w:lineRule="auto"/>
        <w:jc w:val="left"/>
        <w:rPr>
          <w:sz w:val="22"/>
          <w:szCs w:val="22"/>
          <w:lang w:val="pl-PL"/>
        </w:rPr>
      </w:pPr>
      <w:r w:rsidRPr="009353E6">
        <w:rPr>
          <w:sz w:val="22"/>
          <w:szCs w:val="22"/>
          <w:lang w:val="pl-PL"/>
        </w:rPr>
        <w:t>U pacjentów przyjmujących wyłącznie telmisartan, obserwowano dodatkowo następujące działania niepożądane</w:t>
      </w:r>
      <w:r w:rsidR="00891993" w:rsidRPr="009353E6">
        <w:rPr>
          <w:sz w:val="22"/>
          <w:szCs w:val="22"/>
          <w:lang w:val="pl-PL"/>
        </w:rPr>
        <w:t>:</w:t>
      </w:r>
    </w:p>
    <w:p w:rsidR="00CF3559" w:rsidRPr="009353E6" w:rsidRDefault="00CF3559" w:rsidP="00F831F6">
      <w:pPr>
        <w:pStyle w:val="BodyText"/>
        <w:spacing w:line="240" w:lineRule="auto"/>
        <w:jc w:val="left"/>
        <w:rPr>
          <w:sz w:val="22"/>
          <w:szCs w:val="22"/>
          <w:lang w:val="pl-PL"/>
        </w:rPr>
      </w:pPr>
    </w:p>
    <w:p w:rsidR="00AC1BF8" w:rsidRPr="009353E6" w:rsidRDefault="00AC1BF8" w:rsidP="00AC1BF8">
      <w:pPr>
        <w:rPr>
          <w:sz w:val="22"/>
          <w:szCs w:val="22"/>
          <w:lang w:val="pl-PL"/>
        </w:rPr>
      </w:pPr>
      <w:r w:rsidRPr="009353E6">
        <w:rPr>
          <w:sz w:val="22"/>
          <w:szCs w:val="22"/>
          <w:u w:val="single"/>
          <w:lang w:val="pl-PL"/>
        </w:rPr>
        <w:t>Niezbyt 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 pacjentów): </w:t>
      </w:r>
    </w:p>
    <w:p w:rsidR="00D2018C" w:rsidRPr="009353E6" w:rsidRDefault="00D2018C" w:rsidP="00D2018C">
      <w:pPr>
        <w:rPr>
          <w:sz w:val="22"/>
          <w:szCs w:val="22"/>
          <w:lang w:val="pl-PL"/>
        </w:rPr>
      </w:pPr>
      <w:r w:rsidRPr="009353E6">
        <w:rPr>
          <w:sz w:val="22"/>
          <w:szCs w:val="22"/>
          <w:lang w:val="pl-PL"/>
        </w:rPr>
        <w:t>Zakażenie górnych dróg oddechowych (np. ból gardła, zapalenie zatok, przeziębienie), zakażenia układu moczowego, za mała liczba krwinek czerwonych (niedokrwistość), duże stężenie potasu, wolna czynność serca (bradykardia), zaburzenie czynności nerek, w tym ostra niewydolność nerek, osłabienie</w:t>
      </w:r>
      <w:r w:rsidR="00AC1BF8" w:rsidRPr="009353E6">
        <w:rPr>
          <w:sz w:val="22"/>
          <w:szCs w:val="22"/>
          <w:lang w:val="pl-PL"/>
        </w:rPr>
        <w:t>, kaszel</w:t>
      </w:r>
      <w:r w:rsidRPr="009353E6">
        <w:rPr>
          <w:sz w:val="22"/>
          <w:szCs w:val="22"/>
          <w:lang w:val="pl-PL"/>
        </w:rPr>
        <w:t>.</w:t>
      </w:r>
    </w:p>
    <w:p w:rsidR="00863DE3" w:rsidRPr="009353E6" w:rsidRDefault="00863DE3" w:rsidP="00863DE3">
      <w:pPr>
        <w:rPr>
          <w:sz w:val="22"/>
          <w:szCs w:val="22"/>
          <w:u w:val="single"/>
          <w:lang w:val="pl-PL"/>
        </w:rPr>
      </w:pPr>
    </w:p>
    <w:p w:rsidR="00AC1BF8" w:rsidRPr="009353E6" w:rsidRDefault="00AC1BF8" w:rsidP="00AC1BF8">
      <w:pPr>
        <w:rPr>
          <w:sz w:val="22"/>
          <w:szCs w:val="22"/>
          <w:lang w:val="pl-PL"/>
        </w:rPr>
      </w:pPr>
      <w:r w:rsidRPr="009353E6">
        <w:rPr>
          <w:sz w:val="22"/>
          <w:szCs w:val="22"/>
          <w:u w:val="single"/>
          <w:lang w:val="pl-PL"/>
        </w:rPr>
        <w:t>Rzadkie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1000 pacjentów):</w:t>
      </w:r>
    </w:p>
    <w:p w:rsidR="00D2018C" w:rsidRPr="009353E6" w:rsidRDefault="00890DD7" w:rsidP="00D2018C">
      <w:pPr>
        <w:rPr>
          <w:sz w:val="22"/>
          <w:szCs w:val="22"/>
          <w:lang w:val="pl-PL"/>
        </w:rPr>
      </w:pPr>
      <w:r w:rsidRPr="009353E6">
        <w:rPr>
          <w:sz w:val="22"/>
          <w:szCs w:val="22"/>
          <w:lang w:val="pl-PL"/>
        </w:rPr>
        <w:t>M</w:t>
      </w:r>
      <w:r w:rsidR="00D2018C" w:rsidRPr="009353E6">
        <w:rPr>
          <w:sz w:val="22"/>
          <w:szCs w:val="22"/>
          <w:lang w:val="pl-PL"/>
        </w:rPr>
        <w:t xml:space="preserve">ała liczba płytek </w:t>
      </w:r>
      <w:r w:rsidR="00C370AC" w:rsidRPr="009353E6">
        <w:rPr>
          <w:sz w:val="22"/>
          <w:szCs w:val="22"/>
          <w:lang w:val="pl-PL"/>
        </w:rPr>
        <w:t xml:space="preserve">krwi </w:t>
      </w:r>
      <w:r w:rsidR="00D2018C" w:rsidRPr="009353E6">
        <w:rPr>
          <w:sz w:val="22"/>
          <w:szCs w:val="22"/>
          <w:lang w:val="pl-PL"/>
        </w:rPr>
        <w:t>(małopłytkowość), zwiększenie liczby niektórych krwinek białych (eozynofilia), ciężka reakcja alergiczna (np. nadwrażliwość, reakcja anafilaktyczna, wysypka polekowa), małe stężenie glukozy we krwi (u</w:t>
      </w:r>
      <w:r w:rsidR="00B43A19" w:rsidRPr="009353E6">
        <w:rPr>
          <w:sz w:val="22"/>
          <w:szCs w:val="22"/>
          <w:lang w:val="pl-PL"/>
        </w:rPr>
        <w:t> </w:t>
      </w:r>
      <w:r w:rsidR="00D2018C" w:rsidRPr="009353E6">
        <w:rPr>
          <w:sz w:val="22"/>
          <w:szCs w:val="22"/>
          <w:lang w:val="pl-PL"/>
        </w:rPr>
        <w:t>pacjentów z cukrzycą), nieżyt żołądka, wyprysk (zaburzenie skóry), zwyrodnienie stawów, zapalenie ścięgien, zmniejszone stężenie hemoglobiny (białka krwi)</w:t>
      </w:r>
      <w:r w:rsidR="00AC1BF8" w:rsidRPr="009353E6">
        <w:rPr>
          <w:sz w:val="22"/>
          <w:szCs w:val="22"/>
          <w:lang w:val="pl-PL"/>
        </w:rPr>
        <w:t>, senność</w:t>
      </w:r>
      <w:r w:rsidR="00D2018C" w:rsidRPr="009353E6">
        <w:rPr>
          <w:sz w:val="22"/>
          <w:szCs w:val="22"/>
          <w:lang w:val="pl-PL"/>
        </w:rPr>
        <w:t>.</w:t>
      </w:r>
    </w:p>
    <w:p w:rsidR="00863DE3" w:rsidRPr="009353E6" w:rsidRDefault="00863DE3" w:rsidP="00863DE3">
      <w:pPr>
        <w:rPr>
          <w:sz w:val="22"/>
          <w:szCs w:val="22"/>
          <w:u w:val="single"/>
          <w:lang w:val="pl-PL"/>
        </w:rPr>
      </w:pPr>
    </w:p>
    <w:p w:rsidR="00AC1BF8" w:rsidRPr="009353E6" w:rsidRDefault="00AC1BF8" w:rsidP="005E3A9A">
      <w:pPr>
        <w:keepNext/>
        <w:rPr>
          <w:sz w:val="22"/>
          <w:szCs w:val="22"/>
          <w:lang w:val="pl-PL"/>
        </w:rPr>
      </w:pPr>
      <w:r w:rsidRPr="009353E6">
        <w:rPr>
          <w:sz w:val="22"/>
          <w:szCs w:val="22"/>
          <w:u w:val="single"/>
          <w:lang w:val="pl-PL"/>
        </w:rPr>
        <w:t>Bardzo rzadkie działania niepożądane</w:t>
      </w:r>
      <w:r w:rsidRPr="009353E6">
        <w:rPr>
          <w:sz w:val="22"/>
          <w:szCs w:val="22"/>
          <w:lang w:val="pl-PL"/>
        </w:rPr>
        <w:t xml:space="preserve"> </w:t>
      </w:r>
      <w:r w:rsidRPr="009353E6">
        <w:rPr>
          <w:rFonts w:eastAsia="SimSun"/>
          <w:sz w:val="22"/>
          <w:szCs w:val="22"/>
          <w:lang w:val="pl-PL" w:eastAsia="zh-CN"/>
        </w:rPr>
        <w:t xml:space="preserve">(mogą wystąpić </w:t>
      </w:r>
      <w:r w:rsidR="00DB03B7" w:rsidRPr="009353E6">
        <w:rPr>
          <w:rFonts w:eastAsia="SimSun"/>
          <w:sz w:val="22"/>
          <w:szCs w:val="22"/>
          <w:lang w:val="pl-PL" w:eastAsia="zh-CN"/>
        </w:rPr>
        <w:t>do</w:t>
      </w:r>
      <w:r w:rsidRPr="009353E6">
        <w:rPr>
          <w:rFonts w:eastAsia="SimSun"/>
          <w:sz w:val="22"/>
          <w:szCs w:val="22"/>
          <w:lang w:val="pl-PL" w:eastAsia="zh-CN"/>
        </w:rPr>
        <w:t xml:space="preserve"> 1 na 10 000 </w:t>
      </w:r>
      <w:r w:rsidR="006C0287" w:rsidRPr="009353E6">
        <w:rPr>
          <w:rFonts w:eastAsia="SimSun"/>
          <w:sz w:val="22"/>
          <w:szCs w:val="22"/>
          <w:lang w:val="pl-PL" w:eastAsia="zh-CN"/>
        </w:rPr>
        <w:t>pacjentów)</w:t>
      </w:r>
      <w:r w:rsidRPr="009353E6">
        <w:rPr>
          <w:sz w:val="22"/>
          <w:szCs w:val="22"/>
          <w:lang w:val="pl-PL"/>
        </w:rPr>
        <w:t>:</w:t>
      </w:r>
    </w:p>
    <w:p w:rsidR="00AC1BF8" w:rsidRPr="009353E6" w:rsidRDefault="00AC1BF8" w:rsidP="00AC1BF8">
      <w:pPr>
        <w:rPr>
          <w:sz w:val="22"/>
          <w:szCs w:val="22"/>
          <w:lang w:val="pl-PL"/>
        </w:rPr>
      </w:pPr>
      <w:r w:rsidRPr="009353E6">
        <w:rPr>
          <w:sz w:val="22"/>
          <w:szCs w:val="22"/>
          <w:lang w:val="pl-PL"/>
        </w:rPr>
        <w:t>Postępujące bliznowacenie pęcherzyków płucnych (śródmiąższowa choroba płuc)**</w:t>
      </w:r>
    </w:p>
    <w:p w:rsidR="00863DE3" w:rsidRPr="009353E6" w:rsidRDefault="00863DE3" w:rsidP="00863DE3">
      <w:pPr>
        <w:rPr>
          <w:sz w:val="22"/>
          <w:szCs w:val="22"/>
          <w:lang w:val="pl-PL"/>
        </w:rPr>
      </w:pPr>
      <w:r w:rsidRPr="009353E6">
        <w:rPr>
          <w:sz w:val="22"/>
          <w:szCs w:val="22"/>
          <w:lang w:val="pl-PL"/>
        </w:rPr>
        <w:t>*Zjawisko to może być przypadkowe lub związane z mechanizmem, który nie został jeszcze poznany.</w:t>
      </w:r>
    </w:p>
    <w:p w:rsidR="00AC1BF8" w:rsidRPr="009353E6" w:rsidRDefault="00AC1BF8" w:rsidP="00AC1BF8">
      <w:pPr>
        <w:rPr>
          <w:sz w:val="22"/>
          <w:szCs w:val="22"/>
          <w:lang w:val="pl-PL"/>
        </w:rPr>
      </w:pPr>
    </w:p>
    <w:p w:rsidR="00AC1BF8" w:rsidRPr="009353E6" w:rsidRDefault="00AC1BF8" w:rsidP="00AC1BF8">
      <w:pPr>
        <w:rPr>
          <w:sz w:val="22"/>
          <w:szCs w:val="22"/>
          <w:lang w:val="pl-PL"/>
        </w:rPr>
      </w:pPr>
      <w:r w:rsidRPr="009353E6">
        <w:rPr>
          <w:sz w:val="22"/>
          <w:szCs w:val="22"/>
          <w:lang w:val="pl-PL"/>
        </w:rPr>
        <w:t>**</w:t>
      </w:r>
      <w:r w:rsidR="0047605B" w:rsidRPr="009353E6">
        <w:rPr>
          <w:sz w:val="22"/>
          <w:szCs w:val="22"/>
          <w:lang w:val="pl-PL"/>
        </w:rPr>
        <w:t>Z</w:t>
      </w:r>
      <w:r w:rsidRPr="009353E6">
        <w:rPr>
          <w:sz w:val="22"/>
          <w:szCs w:val="22"/>
          <w:lang w:val="pl-PL"/>
        </w:rPr>
        <w:t>głaszano przypadki śródmiąższowej choroby płuc pozostające w związku czasowym z przyjmowaniem telmisartanu. Nie ustalono jednak związku przyczynowego.</w:t>
      </w:r>
    </w:p>
    <w:p w:rsidR="0047675F" w:rsidRPr="009353E6" w:rsidRDefault="0047675F" w:rsidP="0047675F">
      <w:pPr>
        <w:rPr>
          <w:sz w:val="22"/>
          <w:szCs w:val="22"/>
          <w:highlight w:val="yellow"/>
          <w:lang w:val="pl-PL"/>
        </w:rPr>
      </w:pPr>
    </w:p>
    <w:p w:rsidR="00CF3559" w:rsidRPr="009353E6" w:rsidRDefault="00CF3559" w:rsidP="00E40CF2">
      <w:pPr>
        <w:pStyle w:val="BodyText"/>
        <w:keepNext/>
        <w:spacing w:line="240" w:lineRule="auto"/>
        <w:jc w:val="left"/>
        <w:rPr>
          <w:b/>
          <w:sz w:val="22"/>
          <w:szCs w:val="22"/>
          <w:u w:val="single"/>
          <w:lang w:val="pl-PL"/>
        </w:rPr>
      </w:pPr>
      <w:r w:rsidRPr="009353E6">
        <w:rPr>
          <w:b/>
          <w:sz w:val="22"/>
          <w:szCs w:val="22"/>
          <w:u w:val="single"/>
          <w:lang w:val="pl-PL"/>
        </w:rPr>
        <w:t>Hydrochlorotiazyd</w:t>
      </w:r>
    </w:p>
    <w:p w:rsidR="00CF3559" w:rsidRPr="009353E6" w:rsidRDefault="00CF3559" w:rsidP="00E40CF2">
      <w:pPr>
        <w:pStyle w:val="BodyText"/>
        <w:keepNext/>
        <w:spacing w:line="240" w:lineRule="auto"/>
        <w:jc w:val="left"/>
        <w:rPr>
          <w:sz w:val="22"/>
          <w:szCs w:val="22"/>
          <w:lang w:val="pl-PL"/>
        </w:rPr>
      </w:pPr>
      <w:r w:rsidRPr="009353E6">
        <w:rPr>
          <w:sz w:val="22"/>
          <w:szCs w:val="22"/>
          <w:lang w:val="pl-PL"/>
        </w:rPr>
        <w:t>U pacjentów przyjmujących wyłącznie hydrochlorotiazyd obserwowano dodatkowe następujące działania niepożądane:</w:t>
      </w:r>
    </w:p>
    <w:p w:rsidR="00CF3559" w:rsidRPr="009353E6" w:rsidRDefault="00CF3559" w:rsidP="00E40CF2">
      <w:pPr>
        <w:pStyle w:val="BodyText"/>
        <w:keepNext/>
        <w:spacing w:line="240" w:lineRule="auto"/>
        <w:jc w:val="left"/>
        <w:rPr>
          <w:sz w:val="22"/>
          <w:szCs w:val="22"/>
          <w:lang w:val="pl-PL"/>
        </w:rPr>
      </w:pPr>
    </w:p>
    <w:p w:rsidR="00536313" w:rsidRPr="009353E6" w:rsidRDefault="00536313" w:rsidP="00536313">
      <w:pPr>
        <w:rPr>
          <w:sz w:val="22"/>
          <w:szCs w:val="22"/>
          <w:lang w:val="pl-PL"/>
        </w:rPr>
      </w:pPr>
      <w:r w:rsidRPr="009353E6">
        <w:rPr>
          <w:sz w:val="22"/>
          <w:szCs w:val="22"/>
          <w:u w:val="single"/>
          <w:lang w:val="pl-PL"/>
        </w:rPr>
        <w:t>Częste działania niepożądane (mogą wystąpić do 1 na 10 pacjentów):</w:t>
      </w:r>
    </w:p>
    <w:p w:rsidR="00536313" w:rsidRPr="009353E6" w:rsidRDefault="00536313" w:rsidP="00536313">
      <w:pPr>
        <w:rPr>
          <w:sz w:val="22"/>
          <w:szCs w:val="22"/>
          <w:lang w:val="pl-PL"/>
        </w:rPr>
      </w:pPr>
      <w:r w:rsidRPr="009353E6">
        <w:rPr>
          <w:sz w:val="22"/>
          <w:szCs w:val="22"/>
          <w:lang w:val="pl-PL"/>
        </w:rPr>
        <w:t>Nudności, małe stężenie magnezu we krwi.</w:t>
      </w:r>
    </w:p>
    <w:p w:rsidR="00536313" w:rsidRPr="009353E6" w:rsidRDefault="00536313" w:rsidP="00536313">
      <w:pPr>
        <w:rPr>
          <w:sz w:val="22"/>
          <w:szCs w:val="22"/>
          <w:u w:val="single"/>
          <w:lang w:val="pl-PL"/>
        </w:rPr>
      </w:pPr>
    </w:p>
    <w:p w:rsidR="00536313" w:rsidRPr="009353E6" w:rsidRDefault="00536313" w:rsidP="00536313">
      <w:pPr>
        <w:rPr>
          <w:sz w:val="22"/>
          <w:szCs w:val="22"/>
          <w:u w:val="single"/>
          <w:lang w:val="pl-PL"/>
        </w:rPr>
      </w:pPr>
      <w:r w:rsidRPr="009353E6">
        <w:rPr>
          <w:sz w:val="22"/>
          <w:szCs w:val="22"/>
          <w:u w:val="single"/>
          <w:lang w:val="pl-PL"/>
        </w:rPr>
        <w:t>Rzadkie działania niepożądane (mogą wystąpić do 1 na 1000 pacjentów):</w:t>
      </w:r>
    </w:p>
    <w:p w:rsidR="00536313" w:rsidRPr="009353E6" w:rsidRDefault="00530501" w:rsidP="00536313">
      <w:pPr>
        <w:rPr>
          <w:sz w:val="22"/>
          <w:szCs w:val="22"/>
          <w:lang w:val="pl-PL"/>
        </w:rPr>
      </w:pPr>
      <w:r w:rsidRPr="009353E6">
        <w:rPr>
          <w:sz w:val="22"/>
          <w:szCs w:val="22"/>
          <w:lang w:val="pl-PL"/>
        </w:rPr>
        <w:t>Zmniejszenie liczby płytek krwi, przez co wzrasta ryzyko wystąpienia krwawień lub siniaków (niewielkie, fioletowo-czerwone zmiany na skórze lub w innych tkankach, spowodowane przez krwawienie), duże stężenie wapnia we krwi, ból głowy</w:t>
      </w:r>
      <w:r w:rsidR="00536313" w:rsidRPr="009353E6">
        <w:rPr>
          <w:sz w:val="22"/>
          <w:szCs w:val="22"/>
          <w:lang w:val="pl-PL"/>
        </w:rPr>
        <w:t>.</w:t>
      </w:r>
    </w:p>
    <w:p w:rsidR="00536313" w:rsidRPr="009353E6" w:rsidRDefault="00536313" w:rsidP="00536313">
      <w:pPr>
        <w:rPr>
          <w:sz w:val="22"/>
          <w:szCs w:val="22"/>
          <w:u w:val="single"/>
          <w:lang w:val="pl-PL"/>
        </w:rPr>
      </w:pPr>
    </w:p>
    <w:p w:rsidR="00536313" w:rsidRPr="009353E6" w:rsidRDefault="00536313" w:rsidP="00536313">
      <w:pPr>
        <w:rPr>
          <w:sz w:val="22"/>
          <w:szCs w:val="22"/>
          <w:lang w:val="pl-PL"/>
        </w:rPr>
      </w:pPr>
      <w:r w:rsidRPr="009353E6">
        <w:rPr>
          <w:sz w:val="22"/>
          <w:szCs w:val="22"/>
          <w:u w:val="single"/>
          <w:lang w:val="pl-PL"/>
        </w:rPr>
        <w:t xml:space="preserve">Bardzo rzadkie działania niepożądane </w:t>
      </w:r>
      <w:r w:rsidRPr="009353E6">
        <w:rPr>
          <w:rFonts w:eastAsia="SimSun"/>
          <w:sz w:val="22"/>
          <w:szCs w:val="22"/>
          <w:u w:val="single"/>
          <w:lang w:val="pl-PL" w:eastAsia="zh-CN"/>
        </w:rPr>
        <w:t>(mogą wystąpić do 1 na 10 000 pacjentów)</w:t>
      </w:r>
      <w:r w:rsidRPr="009353E6">
        <w:rPr>
          <w:sz w:val="22"/>
          <w:szCs w:val="22"/>
          <w:u w:val="single"/>
          <w:lang w:val="pl-PL"/>
        </w:rPr>
        <w:t>:</w:t>
      </w:r>
    </w:p>
    <w:p w:rsidR="00536313" w:rsidRPr="009353E6" w:rsidRDefault="00FA76EA" w:rsidP="00536313">
      <w:pPr>
        <w:rPr>
          <w:sz w:val="22"/>
          <w:szCs w:val="22"/>
          <w:lang w:val="pl-PL"/>
        </w:rPr>
      </w:pPr>
      <w:r w:rsidRPr="009353E6">
        <w:rPr>
          <w:sz w:val="22"/>
          <w:szCs w:val="22"/>
          <w:lang w:val="pl-PL"/>
        </w:rPr>
        <w:t>W</w:t>
      </w:r>
      <w:r w:rsidR="0043086D" w:rsidRPr="009353E6">
        <w:rPr>
          <w:sz w:val="22"/>
          <w:szCs w:val="22"/>
          <w:lang w:val="pl-PL"/>
        </w:rPr>
        <w:t>zrost pH (zakłócona równowaga kwasowo-zasadowa) ze względu na małe stężenie chlorków we krwi</w:t>
      </w:r>
      <w:r w:rsidR="00536313" w:rsidRPr="009353E6">
        <w:rPr>
          <w:sz w:val="22"/>
          <w:szCs w:val="22"/>
          <w:lang w:val="pl-PL"/>
        </w:rPr>
        <w:t>.</w:t>
      </w:r>
    </w:p>
    <w:p w:rsidR="00536313" w:rsidRPr="009353E6" w:rsidRDefault="00536313" w:rsidP="00536313">
      <w:pPr>
        <w:rPr>
          <w:sz w:val="22"/>
          <w:szCs w:val="22"/>
          <w:lang w:val="pl-PL"/>
        </w:rPr>
      </w:pPr>
    </w:p>
    <w:p w:rsidR="00AC1BF8" w:rsidRPr="009353E6" w:rsidRDefault="00AC1BF8" w:rsidP="00AC1BF8">
      <w:pPr>
        <w:tabs>
          <w:tab w:val="center" w:pos="10224"/>
          <w:tab w:val="left" w:pos="10800"/>
          <w:tab w:val="left" w:pos="11088"/>
        </w:tabs>
        <w:rPr>
          <w:sz w:val="22"/>
          <w:szCs w:val="22"/>
          <w:u w:val="single"/>
          <w:lang w:val="pl-PL"/>
        </w:rPr>
      </w:pPr>
      <w:r w:rsidRPr="009353E6">
        <w:rPr>
          <w:sz w:val="22"/>
          <w:szCs w:val="22"/>
          <w:u w:val="single"/>
          <w:lang w:val="pl-PL"/>
        </w:rPr>
        <w:t xml:space="preserve">Działania niepożądane o nieznanej częstości występowania </w:t>
      </w:r>
      <w:r w:rsidRPr="009353E6">
        <w:rPr>
          <w:rFonts w:eastAsia="SimSun"/>
          <w:sz w:val="22"/>
          <w:szCs w:val="22"/>
          <w:u w:val="single"/>
          <w:lang w:val="pl-PL" w:eastAsia="zh-CN"/>
        </w:rPr>
        <w:t>(</w:t>
      </w:r>
      <w:r w:rsidR="00CD03F5" w:rsidRPr="009353E6">
        <w:rPr>
          <w:rFonts w:eastAsia="SimSun"/>
          <w:sz w:val="22"/>
          <w:szCs w:val="22"/>
          <w:u w:val="single"/>
          <w:lang w:val="pl-PL" w:eastAsia="zh-CN"/>
        </w:rPr>
        <w:t xml:space="preserve">częstość </w:t>
      </w:r>
      <w:r w:rsidRPr="009353E6">
        <w:rPr>
          <w:rFonts w:eastAsia="SimSun"/>
          <w:sz w:val="22"/>
          <w:szCs w:val="22"/>
          <w:u w:val="single"/>
          <w:lang w:val="pl-PL" w:eastAsia="zh-CN"/>
        </w:rPr>
        <w:t>niemożliwa do oszacowania na podstawie dostępnych danych)</w:t>
      </w:r>
      <w:r w:rsidRPr="009353E6">
        <w:rPr>
          <w:sz w:val="22"/>
          <w:szCs w:val="22"/>
          <w:u w:val="single"/>
          <w:lang w:val="pl-PL"/>
        </w:rPr>
        <w:t>:</w:t>
      </w:r>
    </w:p>
    <w:p w:rsidR="007D7C96" w:rsidRPr="009353E6" w:rsidRDefault="007D7C96" w:rsidP="00F831F6">
      <w:pPr>
        <w:pStyle w:val="BodyText"/>
        <w:spacing w:line="240" w:lineRule="auto"/>
        <w:jc w:val="left"/>
        <w:rPr>
          <w:sz w:val="22"/>
          <w:szCs w:val="22"/>
          <w:lang w:val="pl-PL"/>
        </w:rPr>
      </w:pPr>
      <w:r w:rsidRPr="009353E6">
        <w:rPr>
          <w:sz w:val="22"/>
          <w:szCs w:val="22"/>
          <w:lang w:val="pl-PL"/>
        </w:rPr>
        <w:t xml:space="preserve">Zapalenie ślinianek, </w:t>
      </w:r>
      <w:r w:rsidR="00076904" w:rsidRPr="009353E6">
        <w:rPr>
          <w:sz w:val="22"/>
          <w:szCs w:val="22"/>
          <w:lang w:val="pl-PL"/>
        </w:rPr>
        <w:t>nowotwory złośliwe skóry i warg (nieczerniakowe nowotwory złośliwe skóry),</w:t>
      </w:r>
      <w:r w:rsidR="00076904" w:rsidRPr="009353E6">
        <w:rPr>
          <w:sz w:val="22"/>
          <w:szCs w:val="22"/>
          <w:u w:val="single"/>
          <w:lang w:val="pl-PL"/>
        </w:rPr>
        <w:t xml:space="preserve"> </w:t>
      </w:r>
      <w:r w:rsidRPr="009353E6">
        <w:rPr>
          <w:sz w:val="22"/>
          <w:szCs w:val="22"/>
          <w:lang w:val="pl-PL"/>
        </w:rPr>
        <w:t>zmniejszenie liczby</w:t>
      </w:r>
      <w:r w:rsidR="008F3913" w:rsidRPr="009353E6">
        <w:rPr>
          <w:sz w:val="22"/>
          <w:szCs w:val="22"/>
          <w:lang w:val="pl-PL"/>
        </w:rPr>
        <w:t xml:space="preserve"> (lub nawet brak)</w:t>
      </w:r>
      <w:r w:rsidRPr="009353E6">
        <w:rPr>
          <w:sz w:val="22"/>
          <w:szCs w:val="22"/>
          <w:lang w:val="pl-PL"/>
        </w:rPr>
        <w:t xml:space="preserve"> </w:t>
      </w:r>
      <w:r w:rsidR="00104B51" w:rsidRPr="009353E6">
        <w:rPr>
          <w:sz w:val="22"/>
          <w:szCs w:val="22"/>
          <w:lang w:val="pl-PL"/>
        </w:rPr>
        <w:t>krwinek</w:t>
      </w:r>
      <w:r w:rsidRPr="009353E6">
        <w:rPr>
          <w:sz w:val="22"/>
          <w:szCs w:val="22"/>
          <w:lang w:val="pl-PL"/>
        </w:rPr>
        <w:t xml:space="preserve">, w tym </w:t>
      </w:r>
      <w:r w:rsidR="00104B51" w:rsidRPr="009353E6">
        <w:rPr>
          <w:sz w:val="22"/>
          <w:szCs w:val="22"/>
          <w:lang w:val="pl-PL"/>
        </w:rPr>
        <w:t xml:space="preserve">mała ilość </w:t>
      </w:r>
      <w:r w:rsidRPr="009353E6">
        <w:rPr>
          <w:sz w:val="22"/>
          <w:szCs w:val="22"/>
          <w:lang w:val="pl-PL"/>
        </w:rPr>
        <w:t>czerwonych i białych krwinek, ciężkie reakcje alergiczne (np. nadwrażliwość, rea</w:t>
      </w:r>
      <w:r w:rsidR="00A41295" w:rsidRPr="009353E6">
        <w:rPr>
          <w:sz w:val="22"/>
          <w:szCs w:val="22"/>
          <w:lang w:val="pl-PL"/>
        </w:rPr>
        <w:t>k</w:t>
      </w:r>
      <w:r w:rsidRPr="009353E6">
        <w:rPr>
          <w:sz w:val="22"/>
          <w:szCs w:val="22"/>
          <w:lang w:val="pl-PL"/>
        </w:rPr>
        <w:t xml:space="preserve">cje anafilaktyczne), </w:t>
      </w:r>
      <w:r w:rsidR="00104B51" w:rsidRPr="009353E6">
        <w:rPr>
          <w:sz w:val="22"/>
          <w:szCs w:val="22"/>
          <w:lang w:val="pl-PL"/>
        </w:rPr>
        <w:t>zmniejszenie lub utrata apetytu</w:t>
      </w:r>
      <w:r w:rsidR="00863DE3" w:rsidRPr="009353E6">
        <w:rPr>
          <w:sz w:val="22"/>
          <w:szCs w:val="22"/>
          <w:lang w:val="pl-PL"/>
        </w:rPr>
        <w:t>,</w:t>
      </w:r>
      <w:r w:rsidRPr="009353E6">
        <w:rPr>
          <w:sz w:val="22"/>
          <w:szCs w:val="22"/>
          <w:lang w:val="pl-PL"/>
        </w:rPr>
        <w:t xml:space="preserve"> niepokój, </w:t>
      </w:r>
      <w:r w:rsidR="00F93D6A" w:rsidRPr="009353E6">
        <w:rPr>
          <w:sz w:val="22"/>
          <w:szCs w:val="22"/>
          <w:lang w:val="pl-PL"/>
        </w:rPr>
        <w:t>uczucie pustki w głowie</w:t>
      </w:r>
      <w:r w:rsidR="00863DE3" w:rsidRPr="009353E6">
        <w:rPr>
          <w:sz w:val="22"/>
          <w:szCs w:val="22"/>
          <w:lang w:val="pl-PL"/>
        </w:rPr>
        <w:t>,</w:t>
      </w:r>
      <w:r w:rsidRPr="009353E6">
        <w:rPr>
          <w:sz w:val="22"/>
          <w:szCs w:val="22"/>
          <w:lang w:val="pl-PL"/>
        </w:rPr>
        <w:t xml:space="preserve"> niewyraźne </w:t>
      </w:r>
      <w:r w:rsidR="00371E78" w:rsidRPr="009353E6">
        <w:rPr>
          <w:sz w:val="22"/>
          <w:szCs w:val="22"/>
          <w:lang w:val="pl-PL"/>
        </w:rPr>
        <w:t>widzenie</w:t>
      </w:r>
      <w:r w:rsidRPr="009353E6">
        <w:rPr>
          <w:sz w:val="22"/>
          <w:szCs w:val="22"/>
          <w:lang w:val="pl-PL"/>
        </w:rPr>
        <w:t xml:space="preserve"> lub widzenie na żółto</w:t>
      </w:r>
      <w:r w:rsidR="00863DE3" w:rsidRPr="009353E6">
        <w:rPr>
          <w:sz w:val="22"/>
          <w:szCs w:val="22"/>
          <w:lang w:val="pl-PL"/>
        </w:rPr>
        <w:t>,</w:t>
      </w:r>
      <w:r w:rsidRPr="009353E6">
        <w:rPr>
          <w:sz w:val="22"/>
          <w:szCs w:val="22"/>
          <w:lang w:val="pl-PL"/>
        </w:rPr>
        <w:t xml:space="preserve"> </w:t>
      </w:r>
      <w:r w:rsidR="0001616F" w:rsidRPr="009353E6">
        <w:rPr>
          <w:rFonts w:eastAsia="MS Mincho"/>
          <w:sz w:val="22"/>
          <w:szCs w:val="22"/>
          <w:lang w:val="pl-PL" w:eastAsia="ja-JP"/>
        </w:rPr>
        <w:t xml:space="preserve">ograniczenie widzenia i ból oczu (prawdopodobnie objawy </w:t>
      </w:r>
      <w:r w:rsidR="007572B2" w:rsidRPr="009353E6">
        <w:rPr>
          <w:rFonts w:eastAsia="MS Mincho"/>
          <w:sz w:val="22"/>
          <w:szCs w:val="22"/>
          <w:lang w:val="pl-PL" w:eastAsia="ja-JP"/>
        </w:rPr>
        <w:t xml:space="preserve">gromadzenia się płynu w unaczynionej błonie otaczającej oko — nadmiernego nagromadzenia płynu między naczyniówką a twardówką — lub </w:t>
      </w:r>
      <w:r w:rsidR="00A50023" w:rsidRPr="009353E6">
        <w:rPr>
          <w:rFonts w:eastAsia="MS Mincho"/>
          <w:sz w:val="22"/>
          <w:szCs w:val="22"/>
          <w:lang w:val="pl-PL" w:eastAsia="ja-JP"/>
        </w:rPr>
        <w:t xml:space="preserve">ostrej krótkowzroczności lub </w:t>
      </w:r>
      <w:r w:rsidR="0001616F" w:rsidRPr="009353E6">
        <w:rPr>
          <w:rFonts w:eastAsia="MS Mincho"/>
          <w:sz w:val="22"/>
          <w:szCs w:val="22"/>
          <w:lang w:val="pl-PL" w:eastAsia="ja-JP"/>
        </w:rPr>
        <w:t xml:space="preserve">ostrej jaskry </w:t>
      </w:r>
      <w:r w:rsidR="00836E05" w:rsidRPr="009353E6">
        <w:rPr>
          <w:rFonts w:eastAsia="MS Mincho"/>
          <w:sz w:val="22"/>
          <w:szCs w:val="22"/>
          <w:lang w:val="pl-PL" w:eastAsia="ja-JP"/>
        </w:rPr>
        <w:t xml:space="preserve">z </w:t>
      </w:r>
      <w:r w:rsidR="0001616F" w:rsidRPr="009353E6">
        <w:rPr>
          <w:rFonts w:eastAsia="MS Mincho"/>
          <w:sz w:val="22"/>
          <w:szCs w:val="22"/>
          <w:lang w:val="pl-PL" w:eastAsia="ja-JP"/>
        </w:rPr>
        <w:t>zamknięt</w:t>
      </w:r>
      <w:r w:rsidR="00836E05" w:rsidRPr="009353E6">
        <w:rPr>
          <w:rFonts w:eastAsia="MS Mincho"/>
          <w:sz w:val="22"/>
          <w:szCs w:val="22"/>
          <w:lang w:val="pl-PL" w:eastAsia="ja-JP"/>
        </w:rPr>
        <w:t xml:space="preserve">ym </w:t>
      </w:r>
      <w:r w:rsidR="0001616F" w:rsidRPr="009353E6">
        <w:rPr>
          <w:rFonts w:eastAsia="MS Mincho"/>
          <w:sz w:val="22"/>
          <w:szCs w:val="22"/>
          <w:lang w:val="pl-PL" w:eastAsia="ja-JP"/>
        </w:rPr>
        <w:t>kąt</w:t>
      </w:r>
      <w:r w:rsidR="00836E05" w:rsidRPr="009353E6">
        <w:rPr>
          <w:rFonts w:eastAsia="MS Mincho"/>
          <w:sz w:val="22"/>
          <w:szCs w:val="22"/>
          <w:lang w:val="pl-PL" w:eastAsia="ja-JP"/>
        </w:rPr>
        <w:t>em przesączania</w:t>
      </w:r>
      <w:r w:rsidR="0001616F" w:rsidRPr="009353E6">
        <w:rPr>
          <w:rFonts w:eastAsia="MS Mincho"/>
          <w:sz w:val="22"/>
          <w:szCs w:val="22"/>
          <w:lang w:val="pl-PL" w:eastAsia="ja-JP"/>
        </w:rPr>
        <w:t>),</w:t>
      </w:r>
      <w:r w:rsidR="0001616F" w:rsidRPr="009353E6">
        <w:rPr>
          <w:rFonts w:eastAsia="MS Mincho"/>
          <w:color w:val="92D050"/>
          <w:sz w:val="22"/>
          <w:szCs w:val="22"/>
          <w:lang w:val="pl-PL" w:eastAsia="ja-JP"/>
        </w:rPr>
        <w:t xml:space="preserve"> </w:t>
      </w:r>
      <w:r w:rsidR="00863DE3" w:rsidRPr="009353E6">
        <w:rPr>
          <w:sz w:val="22"/>
          <w:szCs w:val="22"/>
          <w:lang w:val="pl-PL"/>
        </w:rPr>
        <w:t>zapalenie naczyń krwionośnych (</w:t>
      </w:r>
      <w:r w:rsidR="00D2018C" w:rsidRPr="009353E6">
        <w:rPr>
          <w:sz w:val="22"/>
          <w:szCs w:val="22"/>
          <w:lang w:val="pl-PL"/>
        </w:rPr>
        <w:t xml:space="preserve">martwicze </w:t>
      </w:r>
      <w:r w:rsidR="00863DE3" w:rsidRPr="009353E6">
        <w:rPr>
          <w:sz w:val="22"/>
          <w:szCs w:val="22"/>
          <w:lang w:val="pl-PL"/>
        </w:rPr>
        <w:t xml:space="preserve">zapalenie naczyń), </w:t>
      </w:r>
      <w:r w:rsidRPr="009353E6">
        <w:rPr>
          <w:sz w:val="22"/>
          <w:szCs w:val="22"/>
          <w:lang w:val="pl-PL"/>
        </w:rPr>
        <w:t>zapalenie trzustki</w:t>
      </w:r>
      <w:r w:rsidR="00104B51" w:rsidRPr="009353E6">
        <w:rPr>
          <w:sz w:val="22"/>
          <w:szCs w:val="22"/>
          <w:lang w:val="pl-PL"/>
        </w:rPr>
        <w:t xml:space="preserve">, nieżyt </w:t>
      </w:r>
      <w:r w:rsidRPr="009353E6">
        <w:rPr>
          <w:sz w:val="22"/>
          <w:szCs w:val="22"/>
          <w:lang w:val="pl-PL"/>
        </w:rPr>
        <w:t xml:space="preserve">żołądka, zażółcenie skóry lub oczu (żółtaczka), </w:t>
      </w:r>
      <w:r w:rsidR="006D0AD0" w:rsidRPr="009353E6">
        <w:rPr>
          <w:sz w:val="22"/>
          <w:szCs w:val="22"/>
          <w:lang w:val="pl-PL"/>
        </w:rPr>
        <w:t xml:space="preserve">zespół </w:t>
      </w:r>
      <w:r w:rsidR="00891993" w:rsidRPr="009353E6">
        <w:rPr>
          <w:sz w:val="22"/>
          <w:szCs w:val="22"/>
          <w:lang w:val="pl-PL"/>
        </w:rPr>
        <w:t>o typie tocznia</w:t>
      </w:r>
      <w:r w:rsidR="006D0AD0" w:rsidRPr="009353E6">
        <w:rPr>
          <w:sz w:val="22"/>
          <w:szCs w:val="22"/>
          <w:lang w:val="pl-PL"/>
        </w:rPr>
        <w:t xml:space="preserve"> (choroba naśladująca toczeń rumieniowaty układowy, w którym organizm jest atakowany przez własny układ odpornościowy),</w:t>
      </w:r>
      <w:r w:rsidR="00891993" w:rsidRPr="009353E6">
        <w:rPr>
          <w:sz w:val="22"/>
          <w:szCs w:val="22"/>
          <w:lang w:val="pl-PL"/>
        </w:rPr>
        <w:t xml:space="preserve"> </w:t>
      </w:r>
      <w:r w:rsidRPr="009353E6">
        <w:rPr>
          <w:sz w:val="22"/>
          <w:szCs w:val="22"/>
          <w:lang w:val="pl-PL"/>
        </w:rPr>
        <w:t>zaburzenia skóry, takie jak zapalenie naczyń krwionośnych w skórze</w:t>
      </w:r>
      <w:r w:rsidR="00863DE3" w:rsidRPr="009353E6">
        <w:rPr>
          <w:sz w:val="22"/>
          <w:szCs w:val="22"/>
          <w:lang w:val="pl-PL"/>
        </w:rPr>
        <w:t>,</w:t>
      </w:r>
      <w:r w:rsidRPr="009353E6">
        <w:rPr>
          <w:sz w:val="22"/>
          <w:szCs w:val="22"/>
          <w:lang w:val="pl-PL"/>
        </w:rPr>
        <w:t xml:space="preserve"> zwiększona wrażliwość na światło słoneczne</w:t>
      </w:r>
      <w:r w:rsidR="00126E87" w:rsidRPr="009353E6">
        <w:rPr>
          <w:sz w:val="22"/>
          <w:szCs w:val="22"/>
          <w:lang w:val="pl-PL"/>
        </w:rPr>
        <w:t>,</w:t>
      </w:r>
      <w:r w:rsidR="0061526C" w:rsidRPr="009353E6">
        <w:rPr>
          <w:sz w:val="22"/>
          <w:szCs w:val="22"/>
          <w:lang w:val="pl-PL"/>
        </w:rPr>
        <w:t xml:space="preserve"> wysypka, zaczerwienienie skóry, powstawanie pęcherzy na wargach, oczach i ustach, łuszczenie </w:t>
      </w:r>
      <w:r w:rsidR="00F4609A" w:rsidRPr="009353E6">
        <w:rPr>
          <w:sz w:val="22"/>
          <w:szCs w:val="22"/>
          <w:lang w:val="pl-PL"/>
        </w:rPr>
        <w:t xml:space="preserve">się </w:t>
      </w:r>
      <w:r w:rsidR="0061526C" w:rsidRPr="009353E6">
        <w:rPr>
          <w:sz w:val="22"/>
          <w:szCs w:val="22"/>
          <w:lang w:val="pl-PL"/>
        </w:rPr>
        <w:t>skóry, gorączka (możliwe objawy rumienia wielopostaciowego)</w:t>
      </w:r>
      <w:r w:rsidR="00E3319D" w:rsidRPr="009353E6">
        <w:rPr>
          <w:sz w:val="22"/>
          <w:szCs w:val="22"/>
          <w:lang w:val="pl-PL"/>
        </w:rPr>
        <w:t>,</w:t>
      </w:r>
      <w:r w:rsidR="00104B51" w:rsidRPr="009353E6">
        <w:rPr>
          <w:sz w:val="22"/>
          <w:szCs w:val="22"/>
          <w:lang w:val="pl-PL"/>
        </w:rPr>
        <w:t xml:space="preserve"> </w:t>
      </w:r>
      <w:r w:rsidR="00863DE3" w:rsidRPr="009353E6">
        <w:rPr>
          <w:sz w:val="22"/>
          <w:szCs w:val="22"/>
          <w:lang w:val="pl-PL"/>
        </w:rPr>
        <w:t>osłabienie,</w:t>
      </w:r>
      <w:r w:rsidRPr="009353E6">
        <w:rPr>
          <w:sz w:val="22"/>
          <w:szCs w:val="22"/>
          <w:lang w:val="pl-PL"/>
        </w:rPr>
        <w:t xml:space="preserve"> zapalenie nerek lub zaburzeni</w:t>
      </w:r>
      <w:r w:rsidR="00104B51" w:rsidRPr="009353E6">
        <w:rPr>
          <w:sz w:val="22"/>
          <w:szCs w:val="22"/>
          <w:lang w:val="pl-PL"/>
        </w:rPr>
        <w:t>a</w:t>
      </w:r>
      <w:r w:rsidRPr="009353E6">
        <w:rPr>
          <w:sz w:val="22"/>
          <w:szCs w:val="22"/>
          <w:lang w:val="pl-PL"/>
        </w:rPr>
        <w:t xml:space="preserve"> czynności nerek</w:t>
      </w:r>
      <w:r w:rsidR="00863DE3" w:rsidRPr="009353E6">
        <w:rPr>
          <w:sz w:val="22"/>
          <w:szCs w:val="22"/>
          <w:lang w:val="pl-PL"/>
        </w:rPr>
        <w:t>, obecność glukozy w moczu (cukromocz),</w:t>
      </w:r>
      <w:r w:rsidRPr="009353E6">
        <w:rPr>
          <w:sz w:val="22"/>
          <w:szCs w:val="22"/>
          <w:lang w:val="pl-PL"/>
        </w:rPr>
        <w:t xml:space="preserve"> gorączka</w:t>
      </w:r>
      <w:r w:rsidR="00863DE3" w:rsidRPr="009353E6">
        <w:rPr>
          <w:sz w:val="22"/>
          <w:szCs w:val="22"/>
          <w:lang w:val="pl-PL"/>
        </w:rPr>
        <w:t>,</w:t>
      </w:r>
      <w:r w:rsidRPr="009353E6">
        <w:rPr>
          <w:sz w:val="22"/>
          <w:szCs w:val="22"/>
          <w:lang w:val="pl-PL"/>
        </w:rPr>
        <w:t xml:space="preserve"> zaburzeni</w:t>
      </w:r>
      <w:r w:rsidR="00104B51" w:rsidRPr="009353E6">
        <w:rPr>
          <w:sz w:val="22"/>
          <w:szCs w:val="22"/>
          <w:lang w:val="pl-PL"/>
        </w:rPr>
        <w:t>a</w:t>
      </w:r>
      <w:r w:rsidRPr="009353E6">
        <w:rPr>
          <w:sz w:val="22"/>
          <w:szCs w:val="22"/>
          <w:lang w:val="pl-PL"/>
        </w:rPr>
        <w:t xml:space="preserve"> równowagi elektrolitowej, </w:t>
      </w:r>
      <w:r w:rsidR="00104B51" w:rsidRPr="009353E6">
        <w:rPr>
          <w:sz w:val="22"/>
          <w:szCs w:val="22"/>
          <w:lang w:val="pl-PL"/>
        </w:rPr>
        <w:t>duże stężenie c</w:t>
      </w:r>
      <w:r w:rsidRPr="009353E6">
        <w:rPr>
          <w:sz w:val="22"/>
          <w:szCs w:val="22"/>
          <w:lang w:val="pl-PL"/>
        </w:rPr>
        <w:t>holesterolu we krwi, zmniejszona objętość krwi,</w:t>
      </w:r>
      <w:r w:rsidR="005A4292" w:rsidRPr="009353E6">
        <w:rPr>
          <w:sz w:val="22"/>
          <w:szCs w:val="22"/>
          <w:lang w:val="pl-PL"/>
        </w:rPr>
        <w:t xml:space="preserve"> wzrost stężenia glukozy we krwi</w:t>
      </w:r>
      <w:r w:rsidR="005D2A10" w:rsidRPr="009353E6">
        <w:rPr>
          <w:sz w:val="22"/>
          <w:szCs w:val="22"/>
          <w:lang w:val="pl-PL"/>
        </w:rPr>
        <w:t xml:space="preserve">, trudności w kontrolowaniu </w:t>
      </w:r>
      <w:r w:rsidR="006D0A50" w:rsidRPr="009353E6">
        <w:rPr>
          <w:sz w:val="22"/>
          <w:szCs w:val="22"/>
          <w:lang w:val="pl-PL"/>
        </w:rPr>
        <w:t>stężenia</w:t>
      </w:r>
      <w:r w:rsidR="005D2A10" w:rsidRPr="009353E6">
        <w:rPr>
          <w:sz w:val="22"/>
          <w:szCs w:val="22"/>
          <w:lang w:val="pl-PL"/>
        </w:rPr>
        <w:t xml:space="preserve"> glukozy we krwi</w:t>
      </w:r>
      <w:r w:rsidR="005A4292" w:rsidRPr="009353E6">
        <w:rPr>
          <w:sz w:val="22"/>
          <w:szCs w:val="22"/>
          <w:lang w:val="pl-PL"/>
        </w:rPr>
        <w:t xml:space="preserve">/moczu </w:t>
      </w:r>
      <w:r w:rsidR="006D0A50" w:rsidRPr="009353E6">
        <w:rPr>
          <w:sz w:val="22"/>
          <w:szCs w:val="22"/>
          <w:lang w:val="pl-PL"/>
        </w:rPr>
        <w:t xml:space="preserve">u </w:t>
      </w:r>
      <w:r w:rsidR="005A4292" w:rsidRPr="009353E6">
        <w:rPr>
          <w:sz w:val="22"/>
          <w:szCs w:val="22"/>
          <w:lang w:val="pl-PL"/>
        </w:rPr>
        <w:t>pacjentów z rozpoznaną cukrzycą</w:t>
      </w:r>
      <w:r w:rsidR="006D0A50" w:rsidRPr="009353E6">
        <w:rPr>
          <w:sz w:val="22"/>
          <w:szCs w:val="22"/>
          <w:lang w:val="pl-PL"/>
        </w:rPr>
        <w:t>,</w:t>
      </w:r>
      <w:r w:rsidRPr="009353E6">
        <w:rPr>
          <w:sz w:val="22"/>
          <w:szCs w:val="22"/>
          <w:lang w:val="pl-PL"/>
        </w:rPr>
        <w:t xml:space="preserve"> lub tłuszczu we krwi.</w:t>
      </w:r>
    </w:p>
    <w:p w:rsidR="00CF3559" w:rsidRPr="009353E6" w:rsidRDefault="00CF3559" w:rsidP="00F831F6">
      <w:pPr>
        <w:pStyle w:val="BodyText"/>
        <w:spacing w:line="240" w:lineRule="auto"/>
        <w:jc w:val="left"/>
        <w:rPr>
          <w:sz w:val="22"/>
          <w:szCs w:val="22"/>
          <w:lang w:val="pl-PL"/>
        </w:rPr>
      </w:pPr>
    </w:p>
    <w:p w:rsidR="0090033D" w:rsidRPr="009353E6" w:rsidRDefault="0090033D" w:rsidP="0090033D">
      <w:pPr>
        <w:numPr>
          <w:ilvl w:val="12"/>
          <w:numId w:val="0"/>
        </w:numPr>
        <w:rPr>
          <w:b/>
          <w:sz w:val="22"/>
          <w:szCs w:val="22"/>
          <w:lang w:val="pl-PL"/>
        </w:rPr>
      </w:pPr>
      <w:r w:rsidRPr="009353E6">
        <w:rPr>
          <w:b/>
          <w:sz w:val="22"/>
          <w:szCs w:val="22"/>
          <w:lang w:val="pl-PL"/>
        </w:rPr>
        <w:t>Zgłaszanie działań niepożądanych</w:t>
      </w:r>
    </w:p>
    <w:p w:rsidR="0090033D" w:rsidRPr="009353E6" w:rsidRDefault="0090033D" w:rsidP="0090033D">
      <w:pPr>
        <w:numPr>
          <w:ilvl w:val="12"/>
          <w:numId w:val="0"/>
        </w:numPr>
        <w:rPr>
          <w:sz w:val="22"/>
          <w:szCs w:val="22"/>
          <w:lang w:val="pl-PL"/>
        </w:rPr>
      </w:pPr>
      <w:r w:rsidRPr="009353E6">
        <w:rPr>
          <w:sz w:val="22"/>
          <w:szCs w:val="22"/>
          <w:lang w:val="pl-PL"/>
        </w:rPr>
        <w:t>Jeśli wystąpią jakiekolwiek objawy niepożądane, w tym wszelkie ob</w:t>
      </w:r>
      <w:r w:rsidR="00013D4F" w:rsidRPr="009353E6">
        <w:rPr>
          <w:sz w:val="22"/>
          <w:szCs w:val="22"/>
          <w:lang w:val="pl-PL"/>
        </w:rPr>
        <w:t>j</w:t>
      </w:r>
      <w:r w:rsidRPr="009353E6">
        <w:rPr>
          <w:sz w:val="22"/>
          <w:szCs w:val="22"/>
          <w:lang w:val="pl-PL"/>
        </w:rPr>
        <w:t>awy niepożądane niewymienione w ulotce, należy powiedzieć o tym lekarzowi</w:t>
      </w:r>
      <w:r w:rsidR="000307A1" w:rsidRPr="009353E6">
        <w:rPr>
          <w:lang w:val="pl-PL"/>
        </w:rPr>
        <w:t xml:space="preserve"> </w:t>
      </w:r>
      <w:r w:rsidR="000307A1" w:rsidRPr="009353E6">
        <w:rPr>
          <w:sz w:val="22"/>
          <w:szCs w:val="22"/>
          <w:lang w:val="pl-PL"/>
        </w:rPr>
        <w:t>lub</w:t>
      </w:r>
      <w:r w:rsidRPr="009353E6">
        <w:rPr>
          <w:sz w:val="22"/>
          <w:szCs w:val="22"/>
          <w:lang w:val="pl-PL"/>
        </w:rPr>
        <w:t xml:space="preserve"> farmaceucie. Działania niepożądane można zgłaszać bezpośrednio do </w:t>
      </w:r>
      <w:r w:rsidRPr="009353E6">
        <w:rPr>
          <w:sz w:val="22"/>
          <w:szCs w:val="22"/>
          <w:highlight w:val="lightGray"/>
          <w:lang w:val="pl-PL"/>
        </w:rPr>
        <w:t xml:space="preserve">„krajowego systemu zgłaszania” wymienionego w </w:t>
      </w:r>
      <w:hyperlink r:id="rId15">
        <w:r w:rsidR="00BC39DD" w:rsidRPr="009353E6">
          <w:rPr>
            <w:rStyle w:val="Hyperlink"/>
            <w:sz w:val="22"/>
            <w:highlight w:val="lightGray"/>
            <w:lang w:val="pl-PL"/>
          </w:rPr>
          <w:t>załączniku V</w:t>
        </w:r>
      </w:hyperlink>
      <w:r w:rsidRPr="009353E6">
        <w:rPr>
          <w:sz w:val="22"/>
          <w:szCs w:val="22"/>
          <w:highlight w:val="lightGray"/>
          <w:lang w:val="pl-PL"/>
        </w:rPr>
        <w:t xml:space="preserve">. </w:t>
      </w:r>
      <w:r w:rsidRPr="009353E6">
        <w:rPr>
          <w:sz w:val="22"/>
          <w:szCs w:val="22"/>
          <w:lang w:val="pl-PL"/>
        </w:rPr>
        <w:t xml:space="preserve">Dzięki zgłaszaniu działań niepożądanych można będzie zgromadzić więcej informacji na temat bezpieczeństwa stosowania leku. </w:t>
      </w:r>
    </w:p>
    <w:p w:rsidR="00CF3559" w:rsidRPr="009353E6" w:rsidRDefault="00CF3559" w:rsidP="00F831F6">
      <w:pPr>
        <w:pStyle w:val="BodyText"/>
        <w:spacing w:line="240" w:lineRule="auto"/>
        <w:jc w:val="left"/>
        <w:rPr>
          <w:strike/>
          <w:sz w:val="22"/>
          <w:szCs w:val="22"/>
          <w:lang w:val="pl-PL"/>
        </w:rPr>
      </w:pPr>
    </w:p>
    <w:p w:rsidR="00CF3559" w:rsidRPr="009353E6" w:rsidRDefault="00CF3559" w:rsidP="00F831F6">
      <w:pPr>
        <w:pStyle w:val="BodyText"/>
        <w:spacing w:line="240" w:lineRule="auto"/>
        <w:jc w:val="left"/>
        <w:rPr>
          <w:sz w:val="22"/>
          <w:szCs w:val="22"/>
          <w:lang w:val="pl-PL"/>
        </w:rPr>
      </w:pPr>
    </w:p>
    <w:p w:rsidR="002D3E1A" w:rsidRPr="009353E6" w:rsidRDefault="002D3E1A" w:rsidP="005E3A9A">
      <w:pPr>
        <w:pStyle w:val="BodyText"/>
        <w:keepNext/>
        <w:tabs>
          <w:tab w:val="left" w:pos="540"/>
        </w:tabs>
        <w:spacing w:line="240" w:lineRule="auto"/>
        <w:jc w:val="left"/>
        <w:rPr>
          <w:b/>
          <w:sz w:val="22"/>
          <w:szCs w:val="22"/>
          <w:lang w:val="pl-PL"/>
        </w:rPr>
      </w:pPr>
      <w:r w:rsidRPr="009353E6">
        <w:rPr>
          <w:b/>
          <w:sz w:val="22"/>
          <w:szCs w:val="22"/>
          <w:lang w:val="pl-PL"/>
        </w:rPr>
        <w:t>5.</w:t>
      </w:r>
      <w:r w:rsidRPr="009353E6">
        <w:rPr>
          <w:b/>
          <w:sz w:val="22"/>
          <w:szCs w:val="22"/>
          <w:lang w:val="pl-PL"/>
        </w:rPr>
        <w:tab/>
      </w:r>
      <w:r w:rsidR="00AC1BF8" w:rsidRPr="009353E6">
        <w:rPr>
          <w:b/>
          <w:sz w:val="22"/>
          <w:szCs w:val="22"/>
          <w:lang w:val="pl-PL"/>
        </w:rPr>
        <w:t>Jak przechowywać lek MicardisPlus</w:t>
      </w:r>
    </w:p>
    <w:p w:rsidR="002D3E1A" w:rsidRPr="009353E6" w:rsidRDefault="002D3E1A" w:rsidP="005E3A9A">
      <w:pPr>
        <w:pStyle w:val="BodyText"/>
        <w:keepNext/>
        <w:spacing w:line="240" w:lineRule="auto"/>
        <w:jc w:val="left"/>
        <w:rPr>
          <w:sz w:val="22"/>
          <w:szCs w:val="22"/>
          <w:lang w:val="pl-PL"/>
        </w:rPr>
      </w:pPr>
    </w:p>
    <w:p w:rsidR="002D3E1A" w:rsidRPr="009353E6" w:rsidRDefault="000530BC" w:rsidP="00F831F6">
      <w:pPr>
        <w:pStyle w:val="BodyText"/>
        <w:spacing w:line="240" w:lineRule="auto"/>
        <w:jc w:val="left"/>
        <w:rPr>
          <w:sz w:val="22"/>
          <w:szCs w:val="22"/>
          <w:lang w:val="pl-PL"/>
        </w:rPr>
      </w:pPr>
      <w:r w:rsidRPr="009353E6">
        <w:rPr>
          <w:sz w:val="22"/>
          <w:szCs w:val="22"/>
          <w:lang w:val="pl-PL"/>
        </w:rPr>
        <w:t>Lek należy p</w:t>
      </w:r>
      <w:r w:rsidR="002D3E1A" w:rsidRPr="009353E6">
        <w:rPr>
          <w:sz w:val="22"/>
          <w:szCs w:val="22"/>
          <w:lang w:val="pl-PL"/>
        </w:rPr>
        <w:t xml:space="preserve">rzechowywać w miejscu </w:t>
      </w:r>
      <w:r w:rsidR="00AC1BF8" w:rsidRPr="009353E6">
        <w:rPr>
          <w:sz w:val="22"/>
          <w:szCs w:val="22"/>
          <w:lang w:val="pl-PL"/>
        </w:rPr>
        <w:t xml:space="preserve">niewidocznym i </w:t>
      </w:r>
      <w:r w:rsidR="002D3E1A" w:rsidRPr="009353E6">
        <w:rPr>
          <w:sz w:val="22"/>
          <w:szCs w:val="22"/>
          <w:lang w:val="pl-PL"/>
        </w:rPr>
        <w:t>niedostępnym dla dzieci.</w:t>
      </w:r>
    </w:p>
    <w:p w:rsidR="00E925FB" w:rsidRPr="009353E6" w:rsidRDefault="00E925FB" w:rsidP="00F831F6">
      <w:pPr>
        <w:pStyle w:val="BodyText"/>
        <w:spacing w:line="240" w:lineRule="auto"/>
        <w:jc w:val="left"/>
        <w:rPr>
          <w:sz w:val="22"/>
          <w:szCs w:val="22"/>
          <w:lang w:val="pl-PL"/>
        </w:rPr>
      </w:pPr>
    </w:p>
    <w:p w:rsidR="00E925FB" w:rsidRPr="009353E6" w:rsidRDefault="00E925FB" w:rsidP="00F831F6">
      <w:pPr>
        <w:pStyle w:val="BodyText"/>
        <w:spacing w:line="240" w:lineRule="auto"/>
        <w:jc w:val="left"/>
        <w:rPr>
          <w:sz w:val="22"/>
          <w:szCs w:val="22"/>
          <w:lang w:val="pl-PL"/>
        </w:rPr>
      </w:pPr>
      <w:r w:rsidRPr="009353E6">
        <w:rPr>
          <w:sz w:val="22"/>
          <w:szCs w:val="22"/>
          <w:lang w:val="pl-PL"/>
        </w:rPr>
        <w:t xml:space="preserve">Nie stosować </w:t>
      </w:r>
      <w:r w:rsidR="00AC1BF8" w:rsidRPr="009353E6">
        <w:rPr>
          <w:sz w:val="22"/>
          <w:szCs w:val="22"/>
          <w:lang w:val="pl-PL"/>
        </w:rPr>
        <w:t xml:space="preserve">tego </w:t>
      </w:r>
      <w:r w:rsidRPr="009353E6">
        <w:rPr>
          <w:sz w:val="22"/>
          <w:szCs w:val="22"/>
          <w:lang w:val="pl-PL"/>
        </w:rPr>
        <w:t>leku po upływie terminu ważności zamieszczon</w:t>
      </w:r>
      <w:r w:rsidR="000D5AB0" w:rsidRPr="009353E6">
        <w:rPr>
          <w:sz w:val="22"/>
          <w:szCs w:val="22"/>
          <w:lang w:val="pl-PL"/>
        </w:rPr>
        <w:t>ego</w:t>
      </w:r>
      <w:r w:rsidRPr="009353E6">
        <w:rPr>
          <w:sz w:val="22"/>
          <w:szCs w:val="22"/>
          <w:lang w:val="pl-PL"/>
        </w:rPr>
        <w:t xml:space="preserve"> na </w:t>
      </w:r>
      <w:r w:rsidR="009A3E17" w:rsidRPr="009353E6">
        <w:rPr>
          <w:sz w:val="22"/>
          <w:szCs w:val="22"/>
          <w:lang w:val="pl-PL"/>
        </w:rPr>
        <w:t xml:space="preserve">pudełku </w:t>
      </w:r>
      <w:r w:rsidRPr="009353E6">
        <w:rPr>
          <w:sz w:val="22"/>
          <w:szCs w:val="22"/>
          <w:lang w:val="pl-PL"/>
        </w:rPr>
        <w:t>po</w:t>
      </w:r>
      <w:r w:rsidR="0001616F" w:rsidRPr="009353E6">
        <w:rPr>
          <w:sz w:val="22"/>
          <w:szCs w:val="22"/>
          <w:lang w:val="pl-PL"/>
        </w:rPr>
        <w:t xml:space="preserve">: </w:t>
      </w:r>
      <w:r w:rsidRPr="009353E6">
        <w:rPr>
          <w:sz w:val="22"/>
          <w:szCs w:val="22"/>
          <w:lang w:val="pl-PL"/>
        </w:rPr>
        <w:t xml:space="preserve">Termin ważności. Termin ważności oznacza ostatni dzień </w:t>
      </w:r>
      <w:r w:rsidR="00437BDA" w:rsidRPr="009353E6">
        <w:rPr>
          <w:sz w:val="22"/>
          <w:szCs w:val="22"/>
          <w:lang w:val="pl-PL"/>
        </w:rPr>
        <w:t>po</w:t>
      </w:r>
      <w:r w:rsidRPr="009353E6">
        <w:rPr>
          <w:sz w:val="22"/>
          <w:szCs w:val="22"/>
          <w:lang w:val="pl-PL"/>
        </w:rPr>
        <w:t>danego miesiąca.</w:t>
      </w:r>
    </w:p>
    <w:p w:rsidR="00E925FB" w:rsidRPr="009353E6" w:rsidRDefault="00E925FB" w:rsidP="00F831F6">
      <w:pPr>
        <w:pStyle w:val="BodyText"/>
        <w:spacing w:line="240" w:lineRule="auto"/>
        <w:jc w:val="left"/>
        <w:rPr>
          <w:sz w:val="22"/>
          <w:szCs w:val="22"/>
          <w:lang w:val="pl-PL"/>
        </w:rPr>
      </w:pPr>
    </w:p>
    <w:p w:rsidR="00B66F2C" w:rsidRPr="009353E6" w:rsidRDefault="004C64DB" w:rsidP="00B66F2C">
      <w:pPr>
        <w:rPr>
          <w:sz w:val="22"/>
          <w:szCs w:val="22"/>
          <w:lang w:val="pl-PL"/>
        </w:rPr>
      </w:pPr>
      <w:r w:rsidRPr="009353E6">
        <w:rPr>
          <w:sz w:val="22"/>
          <w:szCs w:val="22"/>
          <w:lang w:val="pl-PL"/>
        </w:rPr>
        <w:t xml:space="preserve">Brak szczególnych wymagań dotyczących </w:t>
      </w:r>
      <w:r w:rsidR="00AC1BF8" w:rsidRPr="009353E6">
        <w:rPr>
          <w:sz w:val="22"/>
          <w:szCs w:val="22"/>
          <w:lang w:val="pl-PL"/>
        </w:rPr>
        <w:t xml:space="preserve">temperatury </w:t>
      </w:r>
      <w:r w:rsidRPr="009353E6">
        <w:rPr>
          <w:sz w:val="22"/>
          <w:szCs w:val="22"/>
          <w:lang w:val="pl-PL"/>
        </w:rPr>
        <w:t xml:space="preserve">przechowywania leku. </w:t>
      </w:r>
      <w:r w:rsidR="002D3E1A" w:rsidRPr="009353E6">
        <w:rPr>
          <w:sz w:val="22"/>
          <w:szCs w:val="22"/>
          <w:lang w:val="pl-PL"/>
        </w:rPr>
        <w:t xml:space="preserve">Przechowywać </w:t>
      </w:r>
      <w:r w:rsidR="00423DD6" w:rsidRPr="009353E6">
        <w:rPr>
          <w:sz w:val="22"/>
          <w:szCs w:val="22"/>
          <w:lang w:val="pl-PL"/>
        </w:rPr>
        <w:t xml:space="preserve">lek </w:t>
      </w:r>
      <w:r w:rsidR="002D3E1A" w:rsidRPr="009353E6">
        <w:rPr>
          <w:sz w:val="22"/>
          <w:szCs w:val="22"/>
          <w:lang w:val="pl-PL"/>
        </w:rPr>
        <w:t xml:space="preserve">w oryginalnym opakowaniu w celu </w:t>
      </w:r>
      <w:r w:rsidR="00423DD6" w:rsidRPr="009353E6">
        <w:rPr>
          <w:sz w:val="22"/>
          <w:szCs w:val="22"/>
          <w:lang w:val="pl-PL"/>
        </w:rPr>
        <w:t xml:space="preserve">ochrony tabletek </w:t>
      </w:r>
      <w:r w:rsidR="002D3E1A" w:rsidRPr="009353E6">
        <w:rPr>
          <w:sz w:val="22"/>
          <w:szCs w:val="22"/>
          <w:lang w:val="pl-PL"/>
        </w:rPr>
        <w:t>przed wilgocią.</w:t>
      </w:r>
      <w:r w:rsidR="00B66F2C" w:rsidRPr="009353E6">
        <w:rPr>
          <w:sz w:val="22"/>
          <w:szCs w:val="22"/>
          <w:lang w:val="pl-PL"/>
        </w:rPr>
        <w:t xml:space="preserve"> </w:t>
      </w:r>
      <w:r w:rsidR="00B66F2C" w:rsidRPr="009353E6">
        <w:rPr>
          <w:rStyle w:val="hps"/>
          <w:sz w:val="22"/>
          <w:szCs w:val="22"/>
          <w:lang w:val="pl-PL"/>
        </w:rPr>
        <w:t>Tabletkę leku MicardisPlus należy wyjąć</w:t>
      </w:r>
      <w:r w:rsidR="00B66F2C" w:rsidRPr="009353E6">
        <w:rPr>
          <w:sz w:val="22"/>
          <w:szCs w:val="22"/>
          <w:lang w:val="pl-PL"/>
        </w:rPr>
        <w:t xml:space="preserve"> </w:t>
      </w:r>
      <w:r w:rsidR="00B66F2C" w:rsidRPr="009353E6">
        <w:rPr>
          <w:rStyle w:val="hps"/>
          <w:sz w:val="22"/>
          <w:szCs w:val="22"/>
          <w:lang w:val="pl-PL"/>
        </w:rPr>
        <w:t>z blistra</w:t>
      </w:r>
      <w:r w:rsidR="00B66F2C" w:rsidRPr="009353E6">
        <w:rPr>
          <w:sz w:val="22"/>
          <w:szCs w:val="22"/>
          <w:lang w:val="pl-PL"/>
        </w:rPr>
        <w:t xml:space="preserve"> </w:t>
      </w:r>
      <w:r w:rsidR="00B66F2C" w:rsidRPr="009353E6">
        <w:rPr>
          <w:rStyle w:val="hps"/>
          <w:sz w:val="22"/>
          <w:szCs w:val="22"/>
          <w:lang w:val="pl-PL"/>
        </w:rPr>
        <w:t>bezpośrednio</w:t>
      </w:r>
      <w:r w:rsidR="00B66F2C" w:rsidRPr="009353E6">
        <w:rPr>
          <w:sz w:val="22"/>
          <w:szCs w:val="22"/>
          <w:lang w:val="pl-PL"/>
        </w:rPr>
        <w:t xml:space="preserve"> </w:t>
      </w:r>
      <w:r w:rsidR="00B66F2C" w:rsidRPr="009353E6">
        <w:rPr>
          <w:rStyle w:val="hps"/>
          <w:sz w:val="22"/>
          <w:szCs w:val="22"/>
          <w:lang w:val="pl-PL"/>
        </w:rPr>
        <w:t>przed</w:t>
      </w:r>
      <w:r w:rsidR="00B66F2C" w:rsidRPr="009353E6">
        <w:rPr>
          <w:sz w:val="22"/>
          <w:szCs w:val="22"/>
          <w:lang w:val="pl-PL"/>
        </w:rPr>
        <w:t xml:space="preserve"> </w:t>
      </w:r>
      <w:r w:rsidR="00B66F2C" w:rsidRPr="009353E6">
        <w:rPr>
          <w:rStyle w:val="hps"/>
          <w:sz w:val="22"/>
          <w:szCs w:val="22"/>
          <w:lang w:val="pl-PL"/>
        </w:rPr>
        <w:t>zażyciem.</w:t>
      </w:r>
    </w:p>
    <w:p w:rsidR="00E925FB" w:rsidRPr="009353E6" w:rsidRDefault="00E925FB"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sz w:val="22"/>
          <w:szCs w:val="22"/>
          <w:lang w:val="pl-PL"/>
        </w:rPr>
      </w:pPr>
      <w:r w:rsidRPr="009353E6">
        <w:rPr>
          <w:sz w:val="22"/>
          <w:szCs w:val="22"/>
          <w:lang w:val="pl-PL"/>
        </w:rPr>
        <w:t>Czasami zdarza się, że zewnętrzna powłoka blistra odkleja się od wewnętrznej pomiędzy kieszeniami blistra. W tym przypadku nie ma potrzeby podejmowania żadnych działań.</w:t>
      </w:r>
    </w:p>
    <w:p w:rsidR="00E925FB" w:rsidRPr="009353E6" w:rsidRDefault="00E925FB" w:rsidP="00F831F6">
      <w:pPr>
        <w:pStyle w:val="BodyText"/>
        <w:spacing w:line="240" w:lineRule="auto"/>
        <w:jc w:val="left"/>
        <w:rPr>
          <w:sz w:val="22"/>
          <w:szCs w:val="22"/>
          <w:lang w:val="pl-PL"/>
        </w:rPr>
      </w:pPr>
    </w:p>
    <w:p w:rsidR="00AC1BF8" w:rsidRPr="009353E6" w:rsidRDefault="00AC1BF8" w:rsidP="00AC1BF8">
      <w:pPr>
        <w:ind w:right="-2"/>
        <w:rPr>
          <w:sz w:val="22"/>
          <w:szCs w:val="22"/>
          <w:lang w:val="pl-PL" w:bidi="bn-IN"/>
        </w:rPr>
      </w:pPr>
      <w:r w:rsidRPr="009353E6">
        <w:rPr>
          <w:sz w:val="22"/>
          <w:szCs w:val="22"/>
          <w:lang w:val="pl-PL" w:bidi="bn-IN"/>
        </w:rPr>
        <w:t>Leków nie należy wyrzucać do kanalizacji ani domowych pojemników na odpadki. Należy zapytać farmaceutę, jak usunąć leki, których się już nie używa. Takie postępowanie pomoże chronić środowisko.</w:t>
      </w:r>
    </w:p>
    <w:p w:rsidR="00E925FB" w:rsidRPr="009353E6" w:rsidRDefault="00E925FB" w:rsidP="00F831F6">
      <w:pPr>
        <w:pStyle w:val="BodyText"/>
        <w:spacing w:line="240" w:lineRule="auto"/>
        <w:jc w:val="left"/>
        <w:rPr>
          <w:sz w:val="22"/>
          <w:szCs w:val="22"/>
          <w:lang w:val="pl-PL"/>
        </w:rPr>
      </w:pPr>
    </w:p>
    <w:p w:rsidR="00510588" w:rsidRPr="009353E6" w:rsidRDefault="00510588" w:rsidP="00F831F6">
      <w:pPr>
        <w:pStyle w:val="BodyText"/>
        <w:spacing w:line="240" w:lineRule="auto"/>
        <w:jc w:val="left"/>
        <w:rPr>
          <w:sz w:val="22"/>
          <w:szCs w:val="22"/>
          <w:lang w:val="pl-PL"/>
        </w:rPr>
      </w:pPr>
    </w:p>
    <w:p w:rsidR="002D3E1A" w:rsidRPr="009353E6" w:rsidRDefault="005D27AA" w:rsidP="005E3A9A">
      <w:pPr>
        <w:pStyle w:val="BodyText"/>
        <w:keepNext/>
        <w:tabs>
          <w:tab w:val="left" w:pos="540"/>
        </w:tabs>
        <w:spacing w:line="240" w:lineRule="auto"/>
        <w:jc w:val="left"/>
        <w:rPr>
          <w:b/>
          <w:sz w:val="22"/>
          <w:szCs w:val="22"/>
          <w:lang w:val="pl-PL"/>
        </w:rPr>
      </w:pPr>
      <w:r w:rsidRPr="009353E6">
        <w:rPr>
          <w:b/>
          <w:sz w:val="22"/>
          <w:szCs w:val="22"/>
          <w:lang w:val="pl-PL"/>
        </w:rPr>
        <w:t>6.</w:t>
      </w:r>
      <w:r w:rsidRPr="009353E6">
        <w:rPr>
          <w:b/>
          <w:sz w:val="22"/>
          <w:szCs w:val="22"/>
          <w:lang w:val="pl-PL"/>
        </w:rPr>
        <w:tab/>
      </w:r>
      <w:r w:rsidR="00AC1BF8" w:rsidRPr="009353E6">
        <w:rPr>
          <w:b/>
          <w:sz w:val="22"/>
          <w:szCs w:val="22"/>
          <w:lang w:val="pl-PL" w:bidi="bn-IN"/>
        </w:rPr>
        <w:t>Zawartość opakowania i inne informacje</w:t>
      </w:r>
    </w:p>
    <w:p w:rsidR="005502E3" w:rsidRPr="009353E6" w:rsidRDefault="005502E3" w:rsidP="005E3A9A">
      <w:pPr>
        <w:pStyle w:val="BodyText"/>
        <w:keepNext/>
        <w:spacing w:line="240" w:lineRule="auto"/>
        <w:jc w:val="left"/>
        <w:rPr>
          <w:sz w:val="22"/>
          <w:szCs w:val="22"/>
          <w:lang w:val="pl-PL"/>
        </w:rPr>
      </w:pPr>
    </w:p>
    <w:p w:rsidR="00602859" w:rsidRPr="009353E6" w:rsidRDefault="00602859" w:rsidP="005E3A9A">
      <w:pPr>
        <w:pStyle w:val="BodyText"/>
        <w:keepNext/>
        <w:spacing w:line="240" w:lineRule="auto"/>
        <w:jc w:val="left"/>
        <w:rPr>
          <w:b/>
          <w:sz w:val="22"/>
          <w:szCs w:val="22"/>
          <w:lang w:val="pl-PL"/>
        </w:rPr>
      </w:pPr>
      <w:r w:rsidRPr="009353E6">
        <w:rPr>
          <w:b/>
          <w:sz w:val="22"/>
          <w:szCs w:val="22"/>
          <w:lang w:val="pl-PL"/>
        </w:rPr>
        <w:t>Co zawiera lek MicardisPlus</w:t>
      </w:r>
    </w:p>
    <w:p w:rsidR="0065487C" w:rsidRPr="009353E6" w:rsidRDefault="0065487C" w:rsidP="005E3A9A">
      <w:pPr>
        <w:pStyle w:val="BodyText"/>
        <w:keepNext/>
        <w:spacing w:line="240" w:lineRule="auto"/>
        <w:jc w:val="left"/>
        <w:rPr>
          <w:sz w:val="22"/>
          <w:szCs w:val="22"/>
          <w:lang w:val="pl-PL"/>
        </w:rPr>
      </w:pPr>
    </w:p>
    <w:p w:rsidR="00602859" w:rsidRPr="009353E6" w:rsidRDefault="00602859" w:rsidP="00F831F6">
      <w:pPr>
        <w:pStyle w:val="BodyText"/>
        <w:spacing w:line="240" w:lineRule="auto"/>
        <w:jc w:val="left"/>
        <w:rPr>
          <w:sz w:val="22"/>
          <w:szCs w:val="22"/>
          <w:lang w:val="pl-PL"/>
        </w:rPr>
      </w:pPr>
      <w:r w:rsidRPr="009353E6">
        <w:rPr>
          <w:sz w:val="22"/>
          <w:szCs w:val="22"/>
          <w:lang w:val="pl-PL"/>
        </w:rPr>
        <w:t>Substancj</w:t>
      </w:r>
      <w:r w:rsidR="00946E78" w:rsidRPr="009353E6">
        <w:rPr>
          <w:sz w:val="22"/>
          <w:szCs w:val="22"/>
          <w:lang w:val="pl-PL"/>
        </w:rPr>
        <w:t>ami</w:t>
      </w:r>
      <w:r w:rsidRPr="009353E6">
        <w:rPr>
          <w:sz w:val="22"/>
          <w:szCs w:val="22"/>
          <w:lang w:val="pl-PL"/>
        </w:rPr>
        <w:t xml:space="preserve"> czynn</w:t>
      </w:r>
      <w:r w:rsidR="00946E78" w:rsidRPr="009353E6">
        <w:rPr>
          <w:sz w:val="22"/>
          <w:szCs w:val="22"/>
          <w:lang w:val="pl-PL"/>
        </w:rPr>
        <w:t>ymi leku są</w:t>
      </w:r>
      <w:r w:rsidRPr="009353E6">
        <w:rPr>
          <w:sz w:val="22"/>
          <w:szCs w:val="22"/>
          <w:lang w:val="pl-PL"/>
        </w:rPr>
        <w:t>: telmisartan i hydrochlorotiazyd</w:t>
      </w:r>
      <w:r w:rsidR="002C55F0" w:rsidRPr="009353E6">
        <w:rPr>
          <w:sz w:val="22"/>
          <w:szCs w:val="22"/>
          <w:lang w:val="pl-PL"/>
        </w:rPr>
        <w:t xml:space="preserve">. Każda tabletka zawiera 40 mg telmisartanu i 12,5 mg hydrochlorotiazydu. </w:t>
      </w:r>
    </w:p>
    <w:p w:rsidR="00602859" w:rsidRPr="009353E6" w:rsidRDefault="003B7268" w:rsidP="00F831F6">
      <w:pPr>
        <w:pStyle w:val="BodyText"/>
        <w:spacing w:line="240" w:lineRule="auto"/>
        <w:jc w:val="left"/>
        <w:rPr>
          <w:sz w:val="22"/>
          <w:szCs w:val="22"/>
          <w:lang w:val="pl-PL"/>
        </w:rPr>
      </w:pPr>
      <w:r w:rsidRPr="009353E6">
        <w:rPr>
          <w:sz w:val="22"/>
          <w:szCs w:val="22"/>
          <w:lang w:val="pl-PL"/>
        </w:rPr>
        <w:t>Pozostałe składniki to</w:t>
      </w:r>
      <w:r w:rsidR="00602859" w:rsidRPr="009353E6">
        <w:rPr>
          <w:sz w:val="22"/>
          <w:szCs w:val="22"/>
          <w:lang w:val="pl-PL"/>
        </w:rPr>
        <w:t>: laktoza jednowodna, stearynian magnezu, skrobia kukurydziana, meglumina, mikrokrystaliczna celuloza, powidon, czerwony tlenek żelaza (E172), wodorotlenek sodu, skrobi glikolan sodu (typ A)</w:t>
      </w:r>
      <w:r w:rsidR="002C55F0" w:rsidRPr="009353E6">
        <w:rPr>
          <w:sz w:val="22"/>
          <w:szCs w:val="22"/>
          <w:lang w:val="pl-PL"/>
        </w:rPr>
        <w:t>,</w:t>
      </w:r>
      <w:r w:rsidR="00602859" w:rsidRPr="009353E6">
        <w:rPr>
          <w:sz w:val="22"/>
          <w:szCs w:val="22"/>
          <w:lang w:val="pl-PL"/>
        </w:rPr>
        <w:t xml:space="preserve">  sorbitol (E420). </w:t>
      </w:r>
    </w:p>
    <w:p w:rsidR="005502E3" w:rsidRPr="009353E6" w:rsidRDefault="005502E3" w:rsidP="00F831F6">
      <w:pPr>
        <w:pStyle w:val="BodyText"/>
        <w:spacing w:line="240" w:lineRule="auto"/>
        <w:jc w:val="left"/>
        <w:rPr>
          <w:sz w:val="22"/>
          <w:szCs w:val="22"/>
          <w:lang w:val="pl-PL"/>
        </w:rPr>
      </w:pPr>
    </w:p>
    <w:p w:rsidR="00602859" w:rsidRPr="009353E6" w:rsidRDefault="00602859" w:rsidP="00F831F6">
      <w:pPr>
        <w:pStyle w:val="BodyText"/>
        <w:spacing w:line="240" w:lineRule="auto"/>
        <w:jc w:val="left"/>
        <w:rPr>
          <w:b/>
          <w:sz w:val="22"/>
          <w:szCs w:val="22"/>
          <w:lang w:val="pl-PL"/>
        </w:rPr>
      </w:pPr>
      <w:r w:rsidRPr="009353E6">
        <w:rPr>
          <w:b/>
          <w:sz w:val="22"/>
          <w:szCs w:val="22"/>
          <w:lang w:val="pl-PL"/>
        </w:rPr>
        <w:t xml:space="preserve">Jak wygląda </w:t>
      </w:r>
      <w:r w:rsidR="009B0AED" w:rsidRPr="009353E6">
        <w:rPr>
          <w:b/>
          <w:sz w:val="22"/>
          <w:szCs w:val="22"/>
          <w:lang w:val="pl-PL"/>
        </w:rPr>
        <w:t xml:space="preserve">lek </w:t>
      </w:r>
      <w:r w:rsidRPr="009353E6">
        <w:rPr>
          <w:b/>
          <w:sz w:val="22"/>
          <w:szCs w:val="22"/>
          <w:lang w:val="pl-PL"/>
        </w:rPr>
        <w:t>MicardisPlus i co zawiera opakowanie</w:t>
      </w:r>
    </w:p>
    <w:p w:rsidR="0065487C" w:rsidRPr="009353E6" w:rsidRDefault="0065487C" w:rsidP="00F831F6">
      <w:pPr>
        <w:pStyle w:val="BodyText"/>
        <w:spacing w:line="240" w:lineRule="auto"/>
        <w:jc w:val="left"/>
        <w:rPr>
          <w:sz w:val="22"/>
          <w:szCs w:val="22"/>
          <w:lang w:val="pl-PL"/>
        </w:rPr>
      </w:pPr>
    </w:p>
    <w:p w:rsidR="005502E3" w:rsidRPr="009353E6" w:rsidRDefault="002C55F0" w:rsidP="00F831F6">
      <w:pPr>
        <w:pStyle w:val="BodyText"/>
        <w:spacing w:line="240" w:lineRule="auto"/>
        <w:jc w:val="left"/>
        <w:rPr>
          <w:sz w:val="22"/>
          <w:szCs w:val="22"/>
          <w:lang w:val="pl-PL"/>
        </w:rPr>
      </w:pPr>
      <w:r w:rsidRPr="009353E6">
        <w:rPr>
          <w:sz w:val="22"/>
          <w:szCs w:val="22"/>
          <w:lang w:val="pl-PL"/>
        </w:rPr>
        <w:t xml:space="preserve">MicardisPlus 40 mg/12,5 mg tabletki to </w:t>
      </w:r>
      <w:r w:rsidR="00844C2F" w:rsidRPr="009353E6">
        <w:rPr>
          <w:sz w:val="22"/>
          <w:szCs w:val="22"/>
          <w:lang w:val="pl-PL"/>
        </w:rPr>
        <w:t>czerwon</w:t>
      </w:r>
      <w:r w:rsidR="00DB03B7" w:rsidRPr="009353E6">
        <w:rPr>
          <w:sz w:val="22"/>
          <w:szCs w:val="22"/>
          <w:lang w:val="pl-PL"/>
        </w:rPr>
        <w:t>o-</w:t>
      </w:r>
      <w:r w:rsidR="005502E3" w:rsidRPr="009353E6">
        <w:rPr>
          <w:sz w:val="22"/>
          <w:szCs w:val="22"/>
          <w:lang w:val="pl-PL"/>
        </w:rPr>
        <w:t>biał</w:t>
      </w:r>
      <w:r w:rsidRPr="009353E6">
        <w:rPr>
          <w:sz w:val="22"/>
          <w:szCs w:val="22"/>
          <w:lang w:val="pl-PL"/>
        </w:rPr>
        <w:t>e</w:t>
      </w:r>
      <w:r w:rsidR="00D26BEB" w:rsidRPr="009353E6">
        <w:rPr>
          <w:sz w:val="22"/>
          <w:szCs w:val="22"/>
          <w:lang w:val="pl-PL"/>
        </w:rPr>
        <w:t xml:space="preserve">, </w:t>
      </w:r>
      <w:r w:rsidR="00685A4E" w:rsidRPr="009353E6">
        <w:rPr>
          <w:sz w:val="22"/>
          <w:szCs w:val="22"/>
          <w:lang w:val="pl-PL"/>
        </w:rPr>
        <w:t>podłużne</w:t>
      </w:r>
      <w:r w:rsidR="00D26BEB" w:rsidRPr="009353E6">
        <w:rPr>
          <w:sz w:val="22"/>
          <w:szCs w:val="22"/>
          <w:lang w:val="pl-PL"/>
        </w:rPr>
        <w:t xml:space="preserve"> tabletki </w:t>
      </w:r>
      <w:r w:rsidR="005502E3" w:rsidRPr="009353E6">
        <w:rPr>
          <w:sz w:val="22"/>
          <w:szCs w:val="22"/>
          <w:lang w:val="pl-PL"/>
        </w:rPr>
        <w:t>dwuwarstwow</w:t>
      </w:r>
      <w:r w:rsidRPr="009353E6">
        <w:rPr>
          <w:sz w:val="22"/>
          <w:szCs w:val="22"/>
          <w:lang w:val="pl-PL"/>
        </w:rPr>
        <w:t>e</w:t>
      </w:r>
      <w:r w:rsidR="00D26BEB" w:rsidRPr="009353E6">
        <w:rPr>
          <w:sz w:val="22"/>
          <w:szCs w:val="22"/>
          <w:lang w:val="pl-PL"/>
        </w:rPr>
        <w:t xml:space="preserve">, </w:t>
      </w:r>
      <w:r w:rsidR="005502E3" w:rsidRPr="009353E6">
        <w:rPr>
          <w:sz w:val="22"/>
          <w:szCs w:val="22"/>
          <w:lang w:val="pl-PL"/>
        </w:rPr>
        <w:t>z wy</w:t>
      </w:r>
      <w:r w:rsidR="00D26BEB" w:rsidRPr="009353E6">
        <w:rPr>
          <w:sz w:val="22"/>
          <w:szCs w:val="22"/>
          <w:lang w:val="pl-PL"/>
        </w:rPr>
        <w:t>tłoczonym</w:t>
      </w:r>
      <w:r w:rsidR="005502E3" w:rsidRPr="009353E6">
        <w:rPr>
          <w:sz w:val="22"/>
          <w:szCs w:val="22"/>
          <w:lang w:val="pl-PL"/>
        </w:rPr>
        <w:t xml:space="preserve"> logo i kodem </w:t>
      </w:r>
      <w:r w:rsidR="00D26BEB" w:rsidRPr="009353E6">
        <w:rPr>
          <w:sz w:val="22"/>
          <w:szCs w:val="22"/>
          <w:lang w:val="pl-PL"/>
        </w:rPr>
        <w:t>„</w:t>
      </w:r>
      <w:r w:rsidR="005502E3" w:rsidRPr="009353E6">
        <w:rPr>
          <w:sz w:val="22"/>
          <w:szCs w:val="22"/>
          <w:lang w:val="pl-PL"/>
        </w:rPr>
        <w:t>H4</w:t>
      </w:r>
      <w:r w:rsidR="00D26BEB" w:rsidRPr="009353E6">
        <w:rPr>
          <w:sz w:val="22"/>
          <w:szCs w:val="22"/>
          <w:lang w:val="pl-PL"/>
        </w:rPr>
        <w:t>”</w:t>
      </w:r>
      <w:r w:rsidR="005502E3" w:rsidRPr="009353E6">
        <w:rPr>
          <w:sz w:val="22"/>
          <w:szCs w:val="22"/>
          <w:lang w:val="pl-PL"/>
        </w:rPr>
        <w:t>.</w:t>
      </w:r>
    </w:p>
    <w:p w:rsidR="00844C2F" w:rsidRPr="009353E6" w:rsidRDefault="005502E3" w:rsidP="00F831F6">
      <w:pPr>
        <w:pStyle w:val="BodyText"/>
        <w:spacing w:line="240" w:lineRule="auto"/>
        <w:jc w:val="left"/>
        <w:rPr>
          <w:sz w:val="22"/>
          <w:szCs w:val="22"/>
          <w:lang w:val="pl-PL"/>
        </w:rPr>
      </w:pPr>
      <w:r w:rsidRPr="009353E6">
        <w:rPr>
          <w:sz w:val="22"/>
          <w:szCs w:val="22"/>
          <w:lang w:val="pl-PL"/>
        </w:rPr>
        <w:t xml:space="preserve">Lek MicardisPlus </w:t>
      </w:r>
      <w:r w:rsidR="00EB034B" w:rsidRPr="009353E6">
        <w:rPr>
          <w:sz w:val="22"/>
          <w:szCs w:val="22"/>
          <w:lang w:val="pl-PL"/>
        </w:rPr>
        <w:t xml:space="preserve">jest </w:t>
      </w:r>
      <w:r w:rsidRPr="009353E6">
        <w:rPr>
          <w:sz w:val="22"/>
          <w:szCs w:val="22"/>
          <w:lang w:val="pl-PL"/>
        </w:rPr>
        <w:t xml:space="preserve">dostępny w blistrach </w:t>
      </w:r>
      <w:r w:rsidR="00EB034B" w:rsidRPr="009353E6">
        <w:rPr>
          <w:sz w:val="22"/>
          <w:szCs w:val="22"/>
          <w:lang w:val="pl-PL"/>
        </w:rPr>
        <w:t xml:space="preserve">zawierających </w:t>
      </w:r>
      <w:r w:rsidRPr="009353E6">
        <w:rPr>
          <w:sz w:val="22"/>
          <w:szCs w:val="22"/>
          <w:lang w:val="pl-PL"/>
        </w:rPr>
        <w:t>14, 28, 56, 84</w:t>
      </w:r>
      <w:r w:rsidR="001C1D53" w:rsidRPr="009353E6">
        <w:rPr>
          <w:sz w:val="22"/>
          <w:szCs w:val="22"/>
          <w:lang w:val="pl-PL"/>
        </w:rPr>
        <w:t xml:space="preserve"> </w:t>
      </w:r>
      <w:r w:rsidRPr="009353E6">
        <w:rPr>
          <w:sz w:val="22"/>
          <w:szCs w:val="22"/>
          <w:lang w:val="pl-PL"/>
        </w:rPr>
        <w:t>lub 98 tabletek</w:t>
      </w:r>
      <w:r w:rsidR="00844C2F" w:rsidRPr="009353E6">
        <w:rPr>
          <w:sz w:val="22"/>
          <w:szCs w:val="22"/>
          <w:lang w:val="pl-PL"/>
        </w:rPr>
        <w:t>, lub</w:t>
      </w:r>
      <w:r w:rsidR="00EB034B" w:rsidRPr="009353E6">
        <w:rPr>
          <w:sz w:val="22"/>
          <w:szCs w:val="22"/>
          <w:lang w:val="pl-PL"/>
        </w:rPr>
        <w:t xml:space="preserve"> </w:t>
      </w:r>
      <w:r w:rsidR="00844C2F" w:rsidRPr="009353E6">
        <w:rPr>
          <w:sz w:val="22"/>
          <w:szCs w:val="22"/>
          <w:lang w:val="pl-PL"/>
        </w:rPr>
        <w:t xml:space="preserve">w </w:t>
      </w:r>
      <w:r w:rsidR="009A3E17" w:rsidRPr="009353E6">
        <w:rPr>
          <w:sz w:val="22"/>
          <w:szCs w:val="22"/>
          <w:lang w:val="pl-PL"/>
        </w:rPr>
        <w:t>b</w:t>
      </w:r>
      <w:r w:rsidR="00F512E0" w:rsidRPr="009353E6">
        <w:rPr>
          <w:sz w:val="22"/>
          <w:szCs w:val="22"/>
          <w:lang w:val="pl-PL"/>
        </w:rPr>
        <w:t>l</w:t>
      </w:r>
      <w:r w:rsidR="009A3E17" w:rsidRPr="009353E6">
        <w:rPr>
          <w:sz w:val="22"/>
          <w:szCs w:val="22"/>
          <w:lang w:val="pl-PL"/>
        </w:rPr>
        <w:t xml:space="preserve">istrach podzielonych na </w:t>
      </w:r>
      <w:r w:rsidR="00844C2F" w:rsidRPr="009353E6">
        <w:rPr>
          <w:sz w:val="22"/>
          <w:szCs w:val="22"/>
          <w:lang w:val="pl-PL"/>
        </w:rPr>
        <w:t xml:space="preserve">dawki </w:t>
      </w:r>
      <w:r w:rsidR="009A3E17" w:rsidRPr="009353E6">
        <w:rPr>
          <w:sz w:val="22"/>
          <w:szCs w:val="22"/>
          <w:lang w:val="pl-PL"/>
        </w:rPr>
        <w:t xml:space="preserve">pojedyncze </w:t>
      </w:r>
      <w:r w:rsidR="00844C2F" w:rsidRPr="009353E6">
        <w:rPr>
          <w:sz w:val="22"/>
          <w:szCs w:val="22"/>
          <w:lang w:val="pl-PL"/>
        </w:rPr>
        <w:t>zawierających 28 x 1</w:t>
      </w:r>
      <w:r w:rsidR="001C1D53" w:rsidRPr="009353E6">
        <w:rPr>
          <w:sz w:val="22"/>
          <w:szCs w:val="22"/>
          <w:lang w:val="pl-PL"/>
        </w:rPr>
        <w:t>, 30 x 1 lub 90 x 1</w:t>
      </w:r>
      <w:r w:rsidR="00844C2F" w:rsidRPr="009353E6">
        <w:rPr>
          <w:sz w:val="22"/>
          <w:szCs w:val="22"/>
          <w:lang w:val="pl-PL"/>
        </w:rPr>
        <w:t xml:space="preserve"> tabletk</w:t>
      </w:r>
      <w:r w:rsidR="002822E0" w:rsidRPr="009353E6">
        <w:rPr>
          <w:sz w:val="22"/>
          <w:szCs w:val="22"/>
          <w:lang w:val="pl-PL"/>
        </w:rPr>
        <w:t>a</w:t>
      </w:r>
      <w:r w:rsidR="00844C2F" w:rsidRPr="009353E6">
        <w:rPr>
          <w:sz w:val="22"/>
          <w:szCs w:val="22"/>
          <w:lang w:val="pl-PL"/>
        </w:rPr>
        <w:t>.</w:t>
      </w:r>
    </w:p>
    <w:p w:rsidR="00844C2F" w:rsidRPr="009353E6" w:rsidRDefault="00844C2F" w:rsidP="00F831F6">
      <w:pPr>
        <w:pStyle w:val="BodyText"/>
        <w:spacing w:line="240" w:lineRule="auto"/>
        <w:jc w:val="left"/>
        <w:rPr>
          <w:sz w:val="22"/>
          <w:szCs w:val="22"/>
          <w:lang w:val="pl-PL"/>
        </w:rPr>
      </w:pPr>
    </w:p>
    <w:p w:rsidR="005502E3" w:rsidRPr="009353E6" w:rsidRDefault="00844C2F" w:rsidP="00F831F6">
      <w:pPr>
        <w:pStyle w:val="BodyText"/>
        <w:spacing w:line="240" w:lineRule="auto"/>
        <w:jc w:val="left"/>
        <w:rPr>
          <w:sz w:val="22"/>
          <w:szCs w:val="22"/>
          <w:lang w:val="pl-PL"/>
        </w:rPr>
      </w:pPr>
      <w:r w:rsidRPr="009353E6">
        <w:rPr>
          <w:sz w:val="22"/>
          <w:szCs w:val="22"/>
          <w:lang w:val="pl-PL"/>
        </w:rPr>
        <w:t>N</w:t>
      </w:r>
      <w:r w:rsidR="005502E3" w:rsidRPr="009353E6">
        <w:rPr>
          <w:sz w:val="22"/>
          <w:szCs w:val="22"/>
          <w:lang w:val="pl-PL"/>
        </w:rPr>
        <w:t>ie wszystkie wielkości opakowań mogą być dostępne w sprzedaży.</w:t>
      </w:r>
    </w:p>
    <w:p w:rsidR="005502E3" w:rsidRPr="009353E6" w:rsidRDefault="005502E3" w:rsidP="00F831F6">
      <w:pPr>
        <w:pStyle w:val="BodyText"/>
        <w:spacing w:line="240" w:lineRule="auto"/>
        <w:jc w:val="left"/>
        <w:rPr>
          <w:sz w:val="22"/>
          <w:szCs w:val="22"/>
          <w:lang w:val="pl-PL"/>
        </w:rPr>
      </w:pPr>
    </w:p>
    <w:tbl>
      <w:tblPr>
        <w:tblW w:w="0" w:type="auto"/>
        <w:tblLook w:val="01E0" w:firstRow="1" w:lastRow="1" w:firstColumn="1" w:lastColumn="1" w:noHBand="0" w:noVBand="0"/>
      </w:tblPr>
      <w:tblGrid>
        <w:gridCol w:w="4606"/>
        <w:gridCol w:w="4606"/>
      </w:tblGrid>
      <w:tr w:rsidR="000A739F" w:rsidRPr="009353E6" w:rsidTr="005A1483">
        <w:tc>
          <w:tcPr>
            <w:tcW w:w="4606" w:type="dxa"/>
          </w:tcPr>
          <w:p w:rsidR="000A739F" w:rsidRPr="009353E6" w:rsidRDefault="000A739F" w:rsidP="002D507E">
            <w:pPr>
              <w:pStyle w:val="BodyText"/>
              <w:spacing w:line="240" w:lineRule="auto"/>
              <w:jc w:val="left"/>
              <w:rPr>
                <w:b/>
                <w:sz w:val="22"/>
                <w:szCs w:val="22"/>
                <w:lang w:val="pl-PL"/>
              </w:rPr>
            </w:pPr>
            <w:r w:rsidRPr="009353E6">
              <w:rPr>
                <w:b/>
                <w:sz w:val="22"/>
                <w:szCs w:val="22"/>
                <w:lang w:val="pl-PL"/>
              </w:rPr>
              <w:t>Podmiot odpowiedzialny</w:t>
            </w:r>
          </w:p>
        </w:tc>
        <w:tc>
          <w:tcPr>
            <w:tcW w:w="4606" w:type="dxa"/>
          </w:tcPr>
          <w:p w:rsidR="000A739F" w:rsidRPr="009353E6" w:rsidRDefault="000A739F" w:rsidP="002D507E">
            <w:pPr>
              <w:pStyle w:val="BodyText"/>
              <w:spacing w:line="240" w:lineRule="auto"/>
              <w:jc w:val="left"/>
              <w:rPr>
                <w:b/>
                <w:sz w:val="22"/>
                <w:szCs w:val="22"/>
                <w:lang w:val="pl-PL"/>
              </w:rPr>
            </w:pPr>
            <w:r w:rsidRPr="009353E6">
              <w:rPr>
                <w:b/>
                <w:sz w:val="22"/>
                <w:szCs w:val="22"/>
                <w:lang w:val="pl-PL"/>
              </w:rPr>
              <w:t>Wytwórca</w:t>
            </w:r>
          </w:p>
          <w:p w:rsidR="000A739F" w:rsidRPr="009353E6" w:rsidRDefault="000A739F" w:rsidP="002D507E">
            <w:pPr>
              <w:pStyle w:val="BodyText"/>
              <w:spacing w:line="240" w:lineRule="auto"/>
              <w:jc w:val="left"/>
              <w:rPr>
                <w:b/>
                <w:sz w:val="22"/>
                <w:szCs w:val="22"/>
                <w:lang w:val="pl-PL"/>
              </w:rPr>
            </w:pPr>
          </w:p>
        </w:tc>
      </w:tr>
      <w:tr w:rsidR="000A739F" w:rsidRPr="009353E6" w:rsidTr="005A1483">
        <w:tc>
          <w:tcPr>
            <w:tcW w:w="4606" w:type="dxa"/>
          </w:tcPr>
          <w:p w:rsidR="000A739F" w:rsidRPr="009353E6" w:rsidRDefault="000A739F" w:rsidP="002D507E">
            <w:pPr>
              <w:pStyle w:val="BodyText"/>
              <w:spacing w:line="240" w:lineRule="auto"/>
              <w:jc w:val="left"/>
              <w:rPr>
                <w:sz w:val="22"/>
                <w:szCs w:val="22"/>
                <w:lang w:val="pl-PL"/>
              </w:rPr>
            </w:pPr>
            <w:r w:rsidRPr="009353E6">
              <w:rPr>
                <w:sz w:val="22"/>
                <w:szCs w:val="22"/>
                <w:lang w:val="pl-PL"/>
              </w:rPr>
              <w:t>Boehringer Ingelheim International GmbH</w:t>
            </w:r>
          </w:p>
          <w:p w:rsidR="000A739F" w:rsidRPr="009353E6" w:rsidRDefault="000A739F" w:rsidP="002D507E">
            <w:pPr>
              <w:pStyle w:val="BodyText"/>
              <w:spacing w:line="240" w:lineRule="auto"/>
              <w:jc w:val="left"/>
              <w:rPr>
                <w:sz w:val="22"/>
                <w:szCs w:val="22"/>
                <w:lang w:val="pl-PL"/>
              </w:rPr>
            </w:pPr>
            <w:r w:rsidRPr="009353E6">
              <w:rPr>
                <w:sz w:val="22"/>
                <w:szCs w:val="22"/>
                <w:lang w:val="pl-PL"/>
              </w:rPr>
              <w:t>Binger Str. 173</w:t>
            </w:r>
          </w:p>
          <w:p w:rsidR="000A739F" w:rsidRPr="009353E6" w:rsidRDefault="000A739F" w:rsidP="002D507E">
            <w:pPr>
              <w:pStyle w:val="BodyText"/>
              <w:spacing w:line="240" w:lineRule="auto"/>
              <w:jc w:val="left"/>
              <w:rPr>
                <w:sz w:val="22"/>
                <w:szCs w:val="22"/>
                <w:lang w:val="pl-PL"/>
              </w:rPr>
            </w:pPr>
            <w:r w:rsidRPr="009353E6">
              <w:rPr>
                <w:sz w:val="22"/>
                <w:szCs w:val="22"/>
                <w:lang w:val="pl-PL"/>
              </w:rPr>
              <w:t>D-55216 Ingelheim am Rhein</w:t>
            </w:r>
          </w:p>
          <w:p w:rsidR="000A739F" w:rsidRPr="009353E6" w:rsidRDefault="000A739F" w:rsidP="002D507E">
            <w:pPr>
              <w:pStyle w:val="BodyText"/>
              <w:spacing w:line="240" w:lineRule="auto"/>
              <w:jc w:val="left"/>
              <w:rPr>
                <w:sz w:val="22"/>
                <w:szCs w:val="22"/>
                <w:lang w:val="pl-PL"/>
              </w:rPr>
            </w:pPr>
            <w:r w:rsidRPr="009353E6">
              <w:rPr>
                <w:sz w:val="22"/>
                <w:szCs w:val="22"/>
                <w:lang w:val="pl-PL"/>
              </w:rPr>
              <w:t>Niemcy</w:t>
            </w:r>
          </w:p>
          <w:p w:rsidR="000A739F" w:rsidRPr="009353E6" w:rsidRDefault="000A739F" w:rsidP="002D507E">
            <w:pPr>
              <w:pStyle w:val="BodyText"/>
              <w:spacing w:line="240" w:lineRule="auto"/>
              <w:jc w:val="left"/>
              <w:rPr>
                <w:sz w:val="22"/>
                <w:szCs w:val="22"/>
                <w:lang w:val="pl-PL"/>
              </w:rPr>
            </w:pPr>
          </w:p>
        </w:tc>
        <w:tc>
          <w:tcPr>
            <w:tcW w:w="4606" w:type="dxa"/>
          </w:tcPr>
          <w:p w:rsidR="000A739F" w:rsidRPr="009353E6" w:rsidRDefault="000A739F" w:rsidP="002D507E">
            <w:pPr>
              <w:pStyle w:val="BodyText"/>
              <w:spacing w:line="240" w:lineRule="auto"/>
              <w:jc w:val="left"/>
              <w:rPr>
                <w:sz w:val="22"/>
                <w:szCs w:val="22"/>
                <w:lang w:val="pl-PL"/>
              </w:rPr>
            </w:pPr>
            <w:r w:rsidRPr="009353E6">
              <w:rPr>
                <w:sz w:val="22"/>
                <w:szCs w:val="22"/>
                <w:lang w:val="pl-PL"/>
              </w:rPr>
              <w:t>Boehringer Ingelheim Pharma GmbH &amp; Co. KG</w:t>
            </w:r>
          </w:p>
          <w:p w:rsidR="000A739F" w:rsidRPr="009353E6" w:rsidRDefault="000A739F" w:rsidP="002D507E">
            <w:pPr>
              <w:pStyle w:val="BodyText"/>
              <w:spacing w:line="240" w:lineRule="auto"/>
              <w:jc w:val="left"/>
              <w:rPr>
                <w:sz w:val="22"/>
                <w:szCs w:val="22"/>
                <w:lang w:val="pl-PL"/>
              </w:rPr>
            </w:pPr>
            <w:r w:rsidRPr="009353E6">
              <w:rPr>
                <w:sz w:val="22"/>
                <w:szCs w:val="22"/>
                <w:lang w:val="pl-PL"/>
              </w:rPr>
              <w:t>Binger Str. 173</w:t>
            </w:r>
          </w:p>
          <w:p w:rsidR="000A739F" w:rsidRPr="009353E6" w:rsidRDefault="000A739F" w:rsidP="002D507E">
            <w:pPr>
              <w:pStyle w:val="BodyText"/>
              <w:spacing w:line="240" w:lineRule="auto"/>
              <w:jc w:val="left"/>
              <w:rPr>
                <w:sz w:val="22"/>
                <w:szCs w:val="22"/>
                <w:lang w:val="pl-PL"/>
              </w:rPr>
            </w:pPr>
            <w:r w:rsidRPr="009353E6">
              <w:rPr>
                <w:sz w:val="22"/>
                <w:szCs w:val="22"/>
                <w:lang w:val="pl-PL"/>
              </w:rPr>
              <w:t>D –55216 Ingelheim am Rhein</w:t>
            </w:r>
          </w:p>
          <w:p w:rsidR="000A739F" w:rsidRPr="009353E6" w:rsidRDefault="000A739F" w:rsidP="002D507E">
            <w:pPr>
              <w:pStyle w:val="BodyText"/>
              <w:spacing w:line="240" w:lineRule="auto"/>
              <w:jc w:val="left"/>
              <w:rPr>
                <w:sz w:val="22"/>
                <w:szCs w:val="22"/>
                <w:lang w:val="pl-PL"/>
              </w:rPr>
            </w:pPr>
            <w:r w:rsidRPr="009353E6">
              <w:rPr>
                <w:sz w:val="22"/>
                <w:szCs w:val="22"/>
                <w:lang w:val="pl-PL"/>
              </w:rPr>
              <w:t>Niemcy</w:t>
            </w:r>
          </w:p>
          <w:p w:rsidR="00A5076C" w:rsidRPr="009353E6" w:rsidRDefault="00A5076C" w:rsidP="002D507E">
            <w:pPr>
              <w:pStyle w:val="BodyText"/>
              <w:spacing w:line="240" w:lineRule="auto"/>
              <w:jc w:val="left"/>
              <w:rPr>
                <w:sz w:val="22"/>
                <w:szCs w:val="22"/>
                <w:lang w:val="pl-PL"/>
              </w:rPr>
            </w:pPr>
          </w:p>
          <w:p w:rsidR="00752E10" w:rsidRPr="009353E6" w:rsidRDefault="00752E10" w:rsidP="002D507E">
            <w:pPr>
              <w:pStyle w:val="BodyText"/>
              <w:spacing w:line="240" w:lineRule="auto"/>
              <w:jc w:val="left"/>
              <w:rPr>
                <w:sz w:val="22"/>
                <w:szCs w:val="22"/>
                <w:lang w:val="pl-PL"/>
              </w:rPr>
            </w:pPr>
            <w:r w:rsidRPr="009353E6">
              <w:rPr>
                <w:sz w:val="22"/>
                <w:szCs w:val="22"/>
                <w:lang w:val="pl-PL"/>
              </w:rPr>
              <w:t>i</w:t>
            </w:r>
          </w:p>
          <w:p w:rsidR="00752E10" w:rsidRPr="009353E6" w:rsidRDefault="00752E10" w:rsidP="002D507E">
            <w:pPr>
              <w:pStyle w:val="BodyText"/>
              <w:spacing w:line="240" w:lineRule="auto"/>
              <w:jc w:val="left"/>
              <w:rPr>
                <w:sz w:val="22"/>
                <w:szCs w:val="22"/>
                <w:lang w:val="pl-PL"/>
              </w:rPr>
            </w:pPr>
          </w:p>
          <w:p w:rsidR="00A5076C" w:rsidRPr="009353E6" w:rsidRDefault="00A5076C" w:rsidP="00A5076C">
            <w:pPr>
              <w:pStyle w:val="Default"/>
              <w:rPr>
                <w:color w:val="auto"/>
                <w:sz w:val="22"/>
                <w:szCs w:val="22"/>
                <w:lang w:val="pl-PL"/>
              </w:rPr>
            </w:pPr>
            <w:r w:rsidRPr="009353E6">
              <w:rPr>
                <w:color w:val="auto"/>
                <w:sz w:val="22"/>
                <w:szCs w:val="22"/>
                <w:lang w:val="pl-PL"/>
              </w:rPr>
              <w:t xml:space="preserve">Boehringer Ingelheim Ellas A.E. </w:t>
            </w:r>
          </w:p>
          <w:p w:rsidR="00A5076C" w:rsidRPr="009353E6" w:rsidRDefault="00A5076C" w:rsidP="00A5076C">
            <w:pPr>
              <w:pStyle w:val="Default"/>
              <w:rPr>
                <w:color w:val="auto"/>
                <w:sz w:val="22"/>
                <w:szCs w:val="22"/>
                <w:lang w:val="pl-PL"/>
              </w:rPr>
            </w:pPr>
            <w:r w:rsidRPr="009353E6">
              <w:rPr>
                <w:color w:val="auto"/>
                <w:sz w:val="22"/>
                <w:szCs w:val="22"/>
                <w:lang w:val="pl-PL"/>
              </w:rPr>
              <w:t xml:space="preserve">5th km Paiania – Markopoulo </w:t>
            </w:r>
          </w:p>
          <w:p w:rsidR="00A5076C" w:rsidRPr="009353E6" w:rsidRDefault="00A5076C" w:rsidP="00A5076C">
            <w:pPr>
              <w:pStyle w:val="Default"/>
              <w:rPr>
                <w:color w:val="auto"/>
                <w:sz w:val="22"/>
                <w:szCs w:val="22"/>
                <w:lang w:val="pl-PL"/>
              </w:rPr>
            </w:pPr>
            <w:r w:rsidRPr="009353E6">
              <w:rPr>
                <w:color w:val="auto"/>
                <w:sz w:val="22"/>
                <w:szCs w:val="22"/>
                <w:lang w:val="pl-PL"/>
              </w:rPr>
              <w:t>Koropi Attiki, 194 00</w:t>
            </w:r>
          </w:p>
          <w:p w:rsidR="00A5076C" w:rsidRPr="009353E6" w:rsidRDefault="00A5076C" w:rsidP="00A5076C">
            <w:pPr>
              <w:pStyle w:val="BodyText"/>
              <w:spacing w:line="240" w:lineRule="auto"/>
              <w:jc w:val="left"/>
              <w:rPr>
                <w:sz w:val="22"/>
                <w:szCs w:val="22"/>
                <w:lang w:val="pl-PL"/>
              </w:rPr>
            </w:pPr>
            <w:r w:rsidRPr="009353E6">
              <w:rPr>
                <w:sz w:val="22"/>
                <w:szCs w:val="22"/>
                <w:lang w:val="pl-PL"/>
              </w:rPr>
              <w:t>Grecja</w:t>
            </w:r>
          </w:p>
          <w:p w:rsidR="000A739F" w:rsidRPr="009353E6" w:rsidRDefault="000A739F" w:rsidP="00891071">
            <w:pPr>
              <w:pStyle w:val="BodyText"/>
              <w:spacing w:line="240" w:lineRule="auto"/>
              <w:jc w:val="left"/>
              <w:rPr>
                <w:sz w:val="22"/>
                <w:szCs w:val="22"/>
                <w:lang w:val="pl-PL"/>
              </w:rPr>
            </w:pPr>
          </w:p>
          <w:p w:rsidR="00891071" w:rsidRPr="009353E6" w:rsidRDefault="00891071" w:rsidP="00891071">
            <w:pPr>
              <w:pStyle w:val="BodyText"/>
              <w:spacing w:line="240" w:lineRule="auto"/>
              <w:jc w:val="left"/>
              <w:rPr>
                <w:sz w:val="22"/>
                <w:szCs w:val="22"/>
                <w:lang w:val="pl-PL"/>
              </w:rPr>
            </w:pPr>
            <w:r w:rsidRPr="009353E6">
              <w:rPr>
                <w:sz w:val="22"/>
                <w:szCs w:val="22"/>
                <w:lang w:val="pl-PL"/>
              </w:rPr>
              <w:t>i</w:t>
            </w:r>
          </w:p>
          <w:p w:rsidR="00891071" w:rsidRPr="009353E6" w:rsidRDefault="00891071" w:rsidP="00891071">
            <w:pPr>
              <w:pStyle w:val="BodyText"/>
              <w:spacing w:line="240" w:lineRule="auto"/>
              <w:rPr>
                <w:sz w:val="22"/>
                <w:szCs w:val="22"/>
                <w:lang w:val="pl-PL"/>
              </w:rPr>
            </w:pPr>
          </w:p>
          <w:p w:rsidR="00891071" w:rsidRPr="009353E6" w:rsidRDefault="00891071" w:rsidP="00891071">
            <w:pPr>
              <w:pStyle w:val="BodyText"/>
              <w:spacing w:line="240" w:lineRule="auto"/>
              <w:rPr>
                <w:sz w:val="22"/>
                <w:szCs w:val="22"/>
                <w:lang w:val="pl-PL"/>
              </w:rPr>
            </w:pPr>
            <w:r w:rsidRPr="009353E6">
              <w:rPr>
                <w:sz w:val="22"/>
                <w:szCs w:val="22"/>
                <w:lang w:val="pl-PL"/>
              </w:rPr>
              <w:t>Rottendorf Pharma GmbH</w:t>
            </w:r>
          </w:p>
          <w:p w:rsidR="00891071" w:rsidRPr="009353E6" w:rsidRDefault="00891071" w:rsidP="00891071">
            <w:pPr>
              <w:pStyle w:val="BodyText"/>
              <w:spacing w:line="240" w:lineRule="auto"/>
              <w:rPr>
                <w:sz w:val="22"/>
                <w:szCs w:val="22"/>
                <w:lang w:val="pl-PL"/>
              </w:rPr>
            </w:pPr>
            <w:r w:rsidRPr="009353E6">
              <w:rPr>
                <w:sz w:val="22"/>
                <w:szCs w:val="22"/>
                <w:lang w:val="pl-PL"/>
              </w:rPr>
              <w:t>Ostenfelder Straße 51 - 61</w:t>
            </w:r>
          </w:p>
          <w:p w:rsidR="00891071" w:rsidRPr="009353E6" w:rsidRDefault="00891071" w:rsidP="00891071">
            <w:pPr>
              <w:pStyle w:val="BodyText"/>
              <w:spacing w:line="240" w:lineRule="auto"/>
              <w:rPr>
                <w:sz w:val="22"/>
                <w:szCs w:val="22"/>
                <w:lang w:val="pl-PL"/>
              </w:rPr>
            </w:pPr>
            <w:r w:rsidRPr="009353E6">
              <w:rPr>
                <w:sz w:val="22"/>
                <w:szCs w:val="22"/>
                <w:lang w:val="pl-PL"/>
              </w:rPr>
              <w:t>D-59320 Ennigerloh</w:t>
            </w:r>
          </w:p>
          <w:p w:rsidR="00891071" w:rsidRPr="009353E6" w:rsidRDefault="00891071" w:rsidP="00891071">
            <w:pPr>
              <w:pStyle w:val="BodyText"/>
              <w:spacing w:line="240" w:lineRule="auto"/>
              <w:jc w:val="left"/>
              <w:rPr>
                <w:sz w:val="22"/>
                <w:szCs w:val="22"/>
                <w:lang w:val="pl-PL"/>
              </w:rPr>
            </w:pPr>
            <w:r w:rsidRPr="009353E6">
              <w:rPr>
                <w:sz w:val="22"/>
                <w:szCs w:val="22"/>
                <w:lang w:val="pl-PL"/>
              </w:rPr>
              <w:t>Niemcy</w:t>
            </w:r>
          </w:p>
        </w:tc>
      </w:tr>
    </w:tbl>
    <w:p w:rsidR="00D2018C" w:rsidRPr="009353E6" w:rsidRDefault="00D2018C" w:rsidP="00F831F6">
      <w:pPr>
        <w:pStyle w:val="BodyText"/>
        <w:spacing w:line="240" w:lineRule="auto"/>
        <w:jc w:val="left"/>
        <w:rPr>
          <w:sz w:val="22"/>
          <w:szCs w:val="22"/>
          <w:lang w:val="pl-PL"/>
        </w:rPr>
      </w:pPr>
    </w:p>
    <w:p w:rsidR="000A739F" w:rsidRPr="009353E6" w:rsidRDefault="00D2018C" w:rsidP="00F831F6">
      <w:pPr>
        <w:pStyle w:val="BodyText"/>
        <w:spacing w:line="240" w:lineRule="auto"/>
        <w:jc w:val="left"/>
        <w:rPr>
          <w:sz w:val="22"/>
          <w:szCs w:val="22"/>
          <w:lang w:val="pl-PL"/>
        </w:rPr>
      </w:pPr>
      <w:r w:rsidRPr="009353E6">
        <w:rPr>
          <w:sz w:val="22"/>
          <w:szCs w:val="22"/>
          <w:lang w:val="pl-PL"/>
        </w:rPr>
        <w:br w:type="page"/>
      </w:r>
    </w:p>
    <w:p w:rsidR="002D3E1A" w:rsidRPr="009353E6" w:rsidRDefault="002D3E1A" w:rsidP="00F831F6">
      <w:pPr>
        <w:pStyle w:val="BodyText"/>
        <w:spacing w:line="240" w:lineRule="auto"/>
        <w:jc w:val="left"/>
        <w:rPr>
          <w:sz w:val="22"/>
          <w:szCs w:val="22"/>
          <w:lang w:val="pl-PL"/>
        </w:rPr>
      </w:pPr>
      <w:r w:rsidRPr="009353E6">
        <w:rPr>
          <w:sz w:val="22"/>
          <w:szCs w:val="22"/>
          <w:lang w:val="pl-PL"/>
        </w:rPr>
        <w:t xml:space="preserve">W celu uzyskania bardziej szczegółowych informacji należy zwrócić się do </w:t>
      </w:r>
      <w:r w:rsidR="00747663" w:rsidRPr="009353E6">
        <w:rPr>
          <w:sz w:val="22"/>
          <w:szCs w:val="22"/>
          <w:lang w:val="pl-PL"/>
        </w:rPr>
        <w:t xml:space="preserve">miejscowego </w:t>
      </w:r>
      <w:r w:rsidRPr="009353E6">
        <w:rPr>
          <w:sz w:val="22"/>
          <w:szCs w:val="22"/>
          <w:lang w:val="pl-PL"/>
        </w:rPr>
        <w:t>przedstawiciela podmiotu odpowiedzialnego</w:t>
      </w:r>
      <w:r w:rsidR="004136A6" w:rsidRPr="009353E6">
        <w:rPr>
          <w:sz w:val="22"/>
          <w:szCs w:val="22"/>
          <w:lang w:val="pl-PL"/>
        </w:rPr>
        <w:t>:</w:t>
      </w:r>
      <w:r w:rsidRPr="009353E6">
        <w:rPr>
          <w:sz w:val="22"/>
          <w:szCs w:val="22"/>
          <w:lang w:val="pl-PL"/>
        </w:rPr>
        <w:t xml:space="preserve"> </w:t>
      </w:r>
    </w:p>
    <w:p w:rsidR="002D3E1A" w:rsidRPr="009353E6" w:rsidRDefault="002D3E1A" w:rsidP="00F831F6">
      <w:pPr>
        <w:pStyle w:val="BodyText"/>
        <w:spacing w:line="240" w:lineRule="auto"/>
        <w:jc w:val="left"/>
        <w:rPr>
          <w:sz w:val="22"/>
          <w:szCs w:val="22"/>
          <w:lang w:val="pl-PL"/>
        </w:rPr>
      </w:pPr>
    </w:p>
    <w:tbl>
      <w:tblPr>
        <w:tblW w:w="9408" w:type="dxa"/>
        <w:tblInd w:w="-86" w:type="dxa"/>
        <w:tblLayout w:type="fixed"/>
        <w:tblLook w:val="0000" w:firstRow="0" w:lastRow="0" w:firstColumn="0" w:lastColumn="0" w:noHBand="0" w:noVBand="0"/>
      </w:tblPr>
      <w:tblGrid>
        <w:gridCol w:w="34"/>
        <w:gridCol w:w="18"/>
        <w:gridCol w:w="4626"/>
        <w:gridCol w:w="52"/>
        <w:gridCol w:w="4626"/>
        <w:gridCol w:w="52"/>
      </w:tblGrid>
      <w:tr w:rsidR="00314B38" w:rsidRPr="009353E6" w:rsidTr="005E3A9A">
        <w:tblPrEx>
          <w:tblCellMar>
            <w:top w:w="0" w:type="dxa"/>
            <w:bottom w:w="0" w:type="dxa"/>
          </w:tblCellMar>
        </w:tblPrEx>
        <w:trPr>
          <w:gridBefore w:val="1"/>
          <w:gridAfter w:val="1"/>
          <w:wBefore w:w="34" w:type="dxa"/>
          <w:wAfter w:w="52" w:type="dxa"/>
        </w:trPr>
        <w:tc>
          <w:tcPr>
            <w:tcW w:w="4644" w:type="dxa"/>
            <w:gridSpan w:val="2"/>
          </w:tcPr>
          <w:p w:rsidR="00314B38" w:rsidRPr="009353E6" w:rsidRDefault="00314B38" w:rsidP="00F831F6">
            <w:pPr>
              <w:pStyle w:val="BodyText"/>
              <w:spacing w:line="240" w:lineRule="auto"/>
              <w:jc w:val="left"/>
              <w:rPr>
                <w:b/>
                <w:sz w:val="22"/>
                <w:szCs w:val="22"/>
                <w:lang w:val="pl-PL"/>
              </w:rPr>
            </w:pPr>
            <w:r w:rsidRPr="009353E6">
              <w:rPr>
                <w:b/>
                <w:bCs/>
                <w:sz w:val="22"/>
                <w:szCs w:val="22"/>
                <w:lang w:val="pl-PL"/>
              </w:rPr>
              <w:t>België/Belgique/Belgien</w:t>
            </w:r>
          </w:p>
          <w:p w:rsidR="00314B38" w:rsidRPr="009353E6" w:rsidRDefault="00314B38" w:rsidP="00F831F6">
            <w:pPr>
              <w:pStyle w:val="BodyText"/>
              <w:spacing w:line="240" w:lineRule="auto"/>
              <w:jc w:val="left"/>
              <w:rPr>
                <w:sz w:val="22"/>
                <w:szCs w:val="22"/>
                <w:lang w:val="pl-PL" w:eastAsia="ja-JP"/>
              </w:rPr>
            </w:pPr>
            <w:r w:rsidRPr="009353E6">
              <w:rPr>
                <w:rFonts w:eastAsia="MS Mincho"/>
                <w:sz w:val="22"/>
                <w:szCs w:val="22"/>
                <w:lang w:val="pl-PL" w:eastAsia="ja-JP"/>
              </w:rPr>
              <w:t>SCS Boehringer Ingelheim Comm.V.</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Tél/Tel: +32 2 773 33 11</w:t>
            </w:r>
          </w:p>
        </w:tc>
        <w:tc>
          <w:tcPr>
            <w:tcW w:w="4678" w:type="dxa"/>
            <w:gridSpan w:val="2"/>
          </w:tcPr>
          <w:p w:rsidR="00314B38" w:rsidRPr="009353E6" w:rsidRDefault="00314B38" w:rsidP="00314B38">
            <w:pPr>
              <w:rPr>
                <w:sz w:val="22"/>
                <w:szCs w:val="22"/>
                <w:lang w:val="pl-PL"/>
              </w:rPr>
            </w:pPr>
            <w:r w:rsidRPr="009353E6">
              <w:rPr>
                <w:b/>
                <w:bCs/>
                <w:sz w:val="22"/>
                <w:szCs w:val="22"/>
                <w:lang w:val="pl-PL"/>
              </w:rPr>
              <w:t>Lietuva</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Lietuvos filialas</w:t>
            </w:r>
          </w:p>
          <w:p w:rsidR="00314B38" w:rsidRPr="009353E6" w:rsidRDefault="00314B38" w:rsidP="00314B38">
            <w:pPr>
              <w:rPr>
                <w:sz w:val="22"/>
                <w:szCs w:val="22"/>
                <w:lang w:val="pl-PL"/>
              </w:rPr>
            </w:pPr>
            <w:r w:rsidRPr="009353E6">
              <w:rPr>
                <w:sz w:val="22"/>
                <w:szCs w:val="22"/>
                <w:lang w:val="pl-PL" w:eastAsia="ja-JP"/>
              </w:rPr>
              <w:t>Tel.: +370 37 473922</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1"/>
          <w:gridAfter w:val="1"/>
          <w:wBefore w:w="34" w:type="dxa"/>
          <w:wAfter w:w="52" w:type="dxa"/>
        </w:trPr>
        <w:tc>
          <w:tcPr>
            <w:tcW w:w="4644" w:type="dxa"/>
            <w:gridSpan w:val="2"/>
          </w:tcPr>
          <w:p w:rsidR="00314B38" w:rsidRPr="009353E6" w:rsidRDefault="00314B38" w:rsidP="00B66F2C">
            <w:pPr>
              <w:autoSpaceDE w:val="0"/>
              <w:autoSpaceDN w:val="0"/>
              <w:adjustRightInd w:val="0"/>
              <w:rPr>
                <w:b/>
                <w:bCs/>
                <w:sz w:val="22"/>
                <w:szCs w:val="22"/>
                <w:lang w:val="pl-PL"/>
              </w:rPr>
            </w:pPr>
            <w:r w:rsidRPr="009353E6">
              <w:rPr>
                <w:b/>
                <w:bCs/>
                <w:sz w:val="22"/>
                <w:szCs w:val="22"/>
                <w:lang w:val="pl-PL"/>
              </w:rPr>
              <w:t>България</w:t>
            </w:r>
          </w:p>
          <w:p w:rsidR="00314B38" w:rsidRPr="009353E6" w:rsidRDefault="00314B38" w:rsidP="00B66F2C">
            <w:pPr>
              <w:rPr>
                <w:sz w:val="22"/>
                <w:szCs w:val="22"/>
                <w:lang w:val="pl-PL"/>
              </w:rPr>
            </w:pPr>
            <w:r w:rsidRPr="009353E6">
              <w:rPr>
                <w:rFonts w:eastAsia="MS Mincho"/>
                <w:sz w:val="22"/>
                <w:szCs w:val="22"/>
                <w:lang w:val="pl-PL" w:eastAsia="ja-JP"/>
              </w:rPr>
              <w:t>Бьорингер Ингелхайм РЦВ ГмбХ и Ко. КГ - клон България</w:t>
            </w:r>
          </w:p>
          <w:p w:rsidR="00314B38" w:rsidRPr="009353E6" w:rsidRDefault="00314B38" w:rsidP="00B66F2C">
            <w:pPr>
              <w:autoSpaceDE w:val="0"/>
              <w:autoSpaceDN w:val="0"/>
              <w:adjustRightInd w:val="0"/>
              <w:rPr>
                <w:sz w:val="22"/>
                <w:szCs w:val="22"/>
                <w:lang w:val="pl-PL"/>
              </w:rPr>
            </w:pPr>
            <w:r w:rsidRPr="009353E6">
              <w:rPr>
                <w:rFonts w:eastAsia="MS Mincho"/>
                <w:sz w:val="22"/>
                <w:szCs w:val="22"/>
                <w:lang w:val="pl-PL" w:eastAsia="ja-JP"/>
              </w:rPr>
              <w:t>Тел: +359 2 958 79 98</w:t>
            </w:r>
          </w:p>
          <w:p w:rsidR="00314B38" w:rsidRPr="009353E6" w:rsidRDefault="00314B38" w:rsidP="00F831F6">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Luxembourg/Luxemburg</w:t>
            </w:r>
          </w:p>
          <w:p w:rsidR="00314B38" w:rsidRPr="009353E6" w:rsidRDefault="00314B38" w:rsidP="00314B38">
            <w:pPr>
              <w:pStyle w:val="BodyText"/>
              <w:spacing w:line="240" w:lineRule="auto"/>
              <w:jc w:val="left"/>
              <w:rPr>
                <w:sz w:val="22"/>
                <w:szCs w:val="22"/>
                <w:lang w:val="pl-PL" w:eastAsia="ja-JP"/>
              </w:rPr>
            </w:pPr>
            <w:r w:rsidRPr="009353E6">
              <w:rPr>
                <w:rFonts w:eastAsia="MS Mincho"/>
                <w:sz w:val="22"/>
                <w:szCs w:val="22"/>
                <w:lang w:val="pl-PL" w:eastAsia="ja-JP"/>
              </w:rPr>
              <w:t>SCS Boehringer Ingelheim Comm.V.</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Tél/Tel: +32 2 773 33 11</w:t>
            </w:r>
          </w:p>
          <w:p w:rsidR="00314B38" w:rsidRPr="009353E6" w:rsidRDefault="00314B38" w:rsidP="00F831F6">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1"/>
          <w:gridAfter w:val="1"/>
          <w:wBefore w:w="34" w:type="dxa"/>
          <w:wAfter w:w="52" w:type="dxa"/>
          <w:trHeight w:val="1031"/>
        </w:trPr>
        <w:tc>
          <w:tcPr>
            <w:tcW w:w="4644" w:type="dxa"/>
            <w:gridSpan w:val="2"/>
          </w:tcPr>
          <w:p w:rsidR="00314B38" w:rsidRPr="009353E6" w:rsidRDefault="00314B38" w:rsidP="00F831F6">
            <w:pPr>
              <w:pStyle w:val="BodyText"/>
              <w:spacing w:line="240" w:lineRule="auto"/>
              <w:jc w:val="left"/>
              <w:rPr>
                <w:b/>
                <w:sz w:val="22"/>
                <w:szCs w:val="22"/>
                <w:lang w:val="pl-PL"/>
              </w:rPr>
            </w:pPr>
            <w:r w:rsidRPr="009353E6">
              <w:rPr>
                <w:b/>
                <w:bCs/>
                <w:sz w:val="22"/>
                <w:szCs w:val="22"/>
                <w:lang w:val="pl-PL"/>
              </w:rPr>
              <w:t>Česká republika</w:t>
            </w:r>
          </w:p>
          <w:p w:rsidR="00314B38" w:rsidRPr="009353E6" w:rsidRDefault="00314B38" w:rsidP="00F831F6">
            <w:pPr>
              <w:pStyle w:val="BodyText"/>
              <w:spacing w:line="240" w:lineRule="auto"/>
              <w:jc w:val="left"/>
              <w:rPr>
                <w:sz w:val="22"/>
                <w:szCs w:val="22"/>
                <w:lang w:val="pl-PL" w:eastAsia="ja-JP"/>
              </w:rPr>
            </w:pPr>
            <w:r w:rsidRPr="009353E6">
              <w:rPr>
                <w:sz w:val="22"/>
                <w:szCs w:val="22"/>
                <w:lang w:val="pl-PL" w:eastAsia="ja-JP"/>
              </w:rPr>
              <w:t>Boehringer Ingelheim spol. s r.o.</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Tel: +420 234 655 111</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Magyarország</w:t>
            </w:r>
          </w:p>
          <w:p w:rsidR="00314B38" w:rsidRPr="009353E6" w:rsidRDefault="00314B38" w:rsidP="00314B38">
            <w:pPr>
              <w:pStyle w:val="BodyText"/>
              <w:spacing w:line="240" w:lineRule="auto"/>
              <w:jc w:val="left"/>
              <w:rPr>
                <w:sz w:val="22"/>
                <w:szCs w:val="22"/>
                <w:lang w:val="pl-PL" w:eastAsia="de-DE"/>
              </w:rPr>
            </w:pPr>
            <w:r w:rsidRPr="009353E6">
              <w:rPr>
                <w:sz w:val="22"/>
                <w:szCs w:val="22"/>
                <w:lang w:val="pl-PL" w:eastAsia="de-DE"/>
              </w:rPr>
              <w:t>Boehringer Ingelheim RCV GmbH &amp; Co KG</w:t>
            </w:r>
          </w:p>
          <w:p w:rsidR="00314B38" w:rsidRPr="009353E6" w:rsidRDefault="00314B38" w:rsidP="00314B38">
            <w:pPr>
              <w:pStyle w:val="BodyText"/>
              <w:spacing w:line="240" w:lineRule="auto"/>
              <w:jc w:val="left"/>
              <w:rPr>
                <w:sz w:val="22"/>
                <w:szCs w:val="22"/>
                <w:lang w:val="pl-PL" w:eastAsia="de-DE"/>
              </w:rPr>
            </w:pPr>
            <w:r w:rsidRPr="009353E6">
              <w:rPr>
                <w:bCs/>
                <w:sz w:val="22"/>
                <w:szCs w:val="22"/>
                <w:lang w:val="pl-PL"/>
              </w:rPr>
              <w:t xml:space="preserve">Magyarországi </w:t>
            </w:r>
            <w:r w:rsidRPr="009353E6">
              <w:rPr>
                <w:sz w:val="22"/>
                <w:szCs w:val="22"/>
                <w:lang w:val="pl-PL" w:eastAsia="de-DE"/>
              </w:rPr>
              <w:t>Fióktelepe</w:t>
            </w:r>
          </w:p>
          <w:p w:rsidR="00314B38" w:rsidRPr="009353E6" w:rsidRDefault="00314B38" w:rsidP="00314B38">
            <w:pPr>
              <w:pStyle w:val="BodyText"/>
              <w:spacing w:line="240" w:lineRule="auto"/>
              <w:jc w:val="left"/>
              <w:rPr>
                <w:sz w:val="22"/>
                <w:szCs w:val="22"/>
                <w:lang w:val="pl-PL"/>
              </w:rPr>
            </w:pPr>
            <w:r w:rsidRPr="009353E6">
              <w:rPr>
                <w:sz w:val="22"/>
                <w:szCs w:val="22"/>
                <w:lang w:val="pl-PL" w:eastAsia="de-DE"/>
              </w:rPr>
              <w:t xml:space="preserve">Tel.: </w:t>
            </w:r>
            <w:r w:rsidRPr="009353E6">
              <w:rPr>
                <w:sz w:val="22"/>
                <w:szCs w:val="22"/>
                <w:lang w:val="pl-PL"/>
              </w:rPr>
              <w:t>+36 1 299 8900</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1"/>
          <w:gridAfter w:val="1"/>
          <w:wBefore w:w="34" w:type="dxa"/>
          <w:wAfter w:w="52" w:type="dxa"/>
        </w:trPr>
        <w:tc>
          <w:tcPr>
            <w:tcW w:w="4644" w:type="dxa"/>
            <w:gridSpan w:val="2"/>
          </w:tcPr>
          <w:p w:rsidR="00314B38" w:rsidRPr="009353E6" w:rsidRDefault="00314B38" w:rsidP="00F831F6">
            <w:pPr>
              <w:pStyle w:val="BodyText"/>
              <w:spacing w:line="240" w:lineRule="auto"/>
              <w:jc w:val="left"/>
              <w:rPr>
                <w:b/>
                <w:sz w:val="22"/>
                <w:szCs w:val="22"/>
                <w:lang w:val="pl-PL"/>
              </w:rPr>
            </w:pPr>
            <w:r w:rsidRPr="009353E6">
              <w:rPr>
                <w:b/>
                <w:bCs/>
                <w:sz w:val="22"/>
                <w:szCs w:val="22"/>
                <w:lang w:val="pl-PL"/>
              </w:rPr>
              <w:t>Danmark</w:t>
            </w:r>
          </w:p>
          <w:p w:rsidR="00314B38" w:rsidRPr="009353E6" w:rsidRDefault="00314B38" w:rsidP="00F831F6">
            <w:pPr>
              <w:pStyle w:val="BodyText"/>
              <w:spacing w:line="240" w:lineRule="auto"/>
              <w:jc w:val="left"/>
              <w:rPr>
                <w:sz w:val="22"/>
                <w:szCs w:val="22"/>
                <w:lang w:val="pl-PL" w:eastAsia="ja-JP"/>
              </w:rPr>
            </w:pPr>
            <w:r w:rsidRPr="009353E6">
              <w:rPr>
                <w:sz w:val="22"/>
                <w:szCs w:val="22"/>
                <w:lang w:val="pl-PL" w:eastAsia="ja-JP"/>
              </w:rPr>
              <w:t>Boehringer Ingelheim Danmark A/S</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Tlf: +45 39 15 88 88</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Malta</w:t>
            </w:r>
          </w:p>
          <w:p w:rsidR="004405E1" w:rsidRPr="009353E6" w:rsidRDefault="004405E1" w:rsidP="004405E1">
            <w:pPr>
              <w:rPr>
                <w:sz w:val="22"/>
                <w:szCs w:val="22"/>
                <w:lang w:val="pl-PL" w:eastAsia="ja-JP"/>
              </w:rPr>
            </w:pPr>
            <w:r w:rsidRPr="009353E6">
              <w:rPr>
                <w:sz w:val="22"/>
                <w:szCs w:val="22"/>
                <w:lang w:val="pl-PL" w:eastAsia="ja-JP"/>
              </w:rPr>
              <w:t>Boehringer Ingelheim Ireland Ltd.</w:t>
            </w:r>
          </w:p>
          <w:p w:rsidR="00314B38" w:rsidRPr="009353E6" w:rsidRDefault="004405E1" w:rsidP="00314B38">
            <w:pPr>
              <w:pStyle w:val="BodyText"/>
              <w:spacing w:line="240" w:lineRule="auto"/>
              <w:jc w:val="left"/>
              <w:rPr>
                <w:sz w:val="22"/>
                <w:szCs w:val="22"/>
                <w:lang w:val="pl-PL" w:eastAsia="ja-JP"/>
              </w:rPr>
            </w:pPr>
            <w:r w:rsidRPr="009353E6">
              <w:rPr>
                <w:sz w:val="22"/>
                <w:szCs w:val="22"/>
                <w:lang w:val="pl-PL" w:eastAsia="ja-JP"/>
              </w:rPr>
              <w:t>Tel: +353 1 295 9620</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1"/>
          <w:gridAfter w:val="1"/>
          <w:wBefore w:w="34" w:type="dxa"/>
          <w:wAfter w:w="52" w:type="dxa"/>
        </w:trPr>
        <w:tc>
          <w:tcPr>
            <w:tcW w:w="4644" w:type="dxa"/>
            <w:gridSpan w:val="2"/>
          </w:tcPr>
          <w:p w:rsidR="00314B38" w:rsidRPr="009353E6" w:rsidRDefault="00314B38" w:rsidP="00F831F6">
            <w:pPr>
              <w:pStyle w:val="BodyText"/>
              <w:spacing w:line="240" w:lineRule="auto"/>
              <w:jc w:val="left"/>
              <w:rPr>
                <w:b/>
                <w:sz w:val="22"/>
                <w:szCs w:val="22"/>
                <w:lang w:val="pl-PL"/>
              </w:rPr>
            </w:pPr>
            <w:r w:rsidRPr="009353E6">
              <w:rPr>
                <w:b/>
                <w:bCs/>
                <w:sz w:val="22"/>
                <w:szCs w:val="22"/>
                <w:lang w:val="pl-PL"/>
              </w:rPr>
              <w:t>Deutschland</w:t>
            </w:r>
          </w:p>
          <w:p w:rsidR="00314B38" w:rsidRPr="009353E6" w:rsidRDefault="00314B38" w:rsidP="00F831F6">
            <w:pPr>
              <w:pStyle w:val="BodyText"/>
              <w:spacing w:line="240" w:lineRule="auto"/>
              <w:jc w:val="left"/>
              <w:rPr>
                <w:sz w:val="22"/>
                <w:szCs w:val="22"/>
                <w:lang w:val="pl-PL" w:eastAsia="ja-JP"/>
              </w:rPr>
            </w:pPr>
            <w:r w:rsidRPr="009353E6">
              <w:rPr>
                <w:sz w:val="22"/>
                <w:szCs w:val="22"/>
                <w:lang w:val="pl-PL" w:eastAsia="ja-JP"/>
              </w:rPr>
              <w:t>Boehringer Ingelheim Pharma GmbH &amp; Co. KG</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 xml:space="preserve">Tel: +49 (0) 800 / 77 90 900 </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Nederland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b.v.</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 xml:space="preserve">Tel: +31 (0) 800 22 55 889 </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1"/>
          <w:gridAfter w:val="1"/>
          <w:wBefore w:w="34" w:type="dxa"/>
          <w:wAfter w:w="52" w:type="dxa"/>
        </w:trPr>
        <w:tc>
          <w:tcPr>
            <w:tcW w:w="4644" w:type="dxa"/>
            <w:gridSpan w:val="2"/>
          </w:tcPr>
          <w:p w:rsidR="00314B38" w:rsidRPr="009353E6" w:rsidRDefault="00314B38" w:rsidP="00B66F2C">
            <w:pPr>
              <w:tabs>
                <w:tab w:val="left" w:pos="-720"/>
              </w:tabs>
              <w:suppressAutoHyphens/>
              <w:rPr>
                <w:b/>
                <w:bCs/>
                <w:sz w:val="22"/>
                <w:szCs w:val="22"/>
                <w:lang w:val="pl-PL"/>
              </w:rPr>
            </w:pPr>
            <w:r w:rsidRPr="009353E6">
              <w:rPr>
                <w:b/>
                <w:bCs/>
                <w:sz w:val="22"/>
                <w:szCs w:val="22"/>
                <w:lang w:val="pl-PL"/>
              </w:rPr>
              <w:t>Eesti</w:t>
            </w:r>
          </w:p>
          <w:p w:rsidR="00314B38" w:rsidRPr="009353E6" w:rsidRDefault="00314B38" w:rsidP="00B66F2C">
            <w:pPr>
              <w:tabs>
                <w:tab w:val="left" w:pos="-720"/>
              </w:tabs>
              <w:suppressAutoHyphens/>
              <w:rPr>
                <w:sz w:val="22"/>
                <w:szCs w:val="22"/>
                <w:lang w:val="pl-PL" w:eastAsia="ja-JP"/>
              </w:rPr>
            </w:pPr>
            <w:r w:rsidRPr="009353E6">
              <w:rPr>
                <w:sz w:val="22"/>
                <w:szCs w:val="22"/>
                <w:lang w:val="pl-PL" w:eastAsia="ja-JP"/>
              </w:rPr>
              <w:t>Boehringer Ingelheim RCV GmbH &amp; Co KG</w:t>
            </w:r>
          </w:p>
          <w:p w:rsidR="00314B38" w:rsidRPr="009353E6" w:rsidRDefault="00314B38" w:rsidP="00B66F2C">
            <w:pPr>
              <w:tabs>
                <w:tab w:val="left" w:pos="-720"/>
              </w:tabs>
              <w:suppressAutoHyphens/>
              <w:rPr>
                <w:sz w:val="22"/>
                <w:szCs w:val="22"/>
                <w:lang w:val="pl-PL" w:eastAsia="de-DE"/>
              </w:rPr>
            </w:pPr>
            <w:r w:rsidRPr="009353E6">
              <w:rPr>
                <w:sz w:val="22"/>
                <w:szCs w:val="22"/>
                <w:lang w:val="pl-PL" w:eastAsia="de-DE"/>
              </w:rPr>
              <w:t>Eesti Filiaal</w:t>
            </w:r>
          </w:p>
          <w:p w:rsidR="00314B38" w:rsidRPr="009353E6" w:rsidRDefault="00314B38" w:rsidP="00B66F2C">
            <w:pPr>
              <w:tabs>
                <w:tab w:val="left" w:pos="-720"/>
              </w:tabs>
              <w:suppressAutoHyphens/>
              <w:rPr>
                <w:sz w:val="22"/>
                <w:szCs w:val="22"/>
                <w:lang w:val="pl-PL" w:eastAsia="ja-JP"/>
              </w:rPr>
            </w:pPr>
            <w:r w:rsidRPr="009353E6">
              <w:rPr>
                <w:sz w:val="22"/>
                <w:szCs w:val="22"/>
                <w:lang w:val="pl-PL" w:eastAsia="ja-JP"/>
              </w:rPr>
              <w:t>Tel: +372 612 8000</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 </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Norge</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Norway KS</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Tlf: +47 66 76 13 00</w:t>
            </w:r>
          </w:p>
          <w:p w:rsidR="00314B38" w:rsidRPr="009353E6" w:rsidRDefault="00314B38" w:rsidP="00F831F6">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1"/>
          <w:gridAfter w:val="1"/>
          <w:wBefore w:w="34" w:type="dxa"/>
          <w:wAfter w:w="52" w:type="dxa"/>
        </w:trPr>
        <w:tc>
          <w:tcPr>
            <w:tcW w:w="4644" w:type="dxa"/>
            <w:gridSpan w:val="2"/>
          </w:tcPr>
          <w:p w:rsidR="00314B38" w:rsidRPr="009353E6" w:rsidRDefault="00314B38" w:rsidP="00F831F6">
            <w:pPr>
              <w:pStyle w:val="BodyText"/>
              <w:spacing w:line="240" w:lineRule="auto"/>
              <w:jc w:val="left"/>
              <w:rPr>
                <w:b/>
                <w:sz w:val="22"/>
                <w:szCs w:val="22"/>
                <w:lang w:val="pl-PL"/>
              </w:rPr>
            </w:pPr>
            <w:r w:rsidRPr="009353E6">
              <w:rPr>
                <w:b/>
                <w:bCs/>
                <w:sz w:val="22"/>
                <w:szCs w:val="22"/>
                <w:lang w:val="pl-PL"/>
              </w:rPr>
              <w:t>Ελλάδα</w:t>
            </w:r>
          </w:p>
          <w:p w:rsidR="00314B38" w:rsidRPr="009353E6" w:rsidRDefault="00314B38" w:rsidP="00F831F6">
            <w:pPr>
              <w:pStyle w:val="BodyText"/>
              <w:spacing w:line="240" w:lineRule="auto"/>
              <w:jc w:val="left"/>
              <w:rPr>
                <w:sz w:val="22"/>
                <w:szCs w:val="22"/>
                <w:lang w:val="pl-PL" w:eastAsia="ja-JP"/>
              </w:rPr>
            </w:pPr>
            <w:r w:rsidRPr="009353E6">
              <w:rPr>
                <w:sz w:val="22"/>
                <w:szCs w:val="22"/>
                <w:lang w:val="pl-PL" w:eastAsia="ja-JP"/>
              </w:rPr>
              <w:t>Boehringer Ingelheim Ellas A.E.</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Tηλ: +30 2 10 89 06 300</w:t>
            </w:r>
          </w:p>
        </w:tc>
        <w:tc>
          <w:tcPr>
            <w:tcW w:w="4678" w:type="dxa"/>
            <w:gridSpan w:val="2"/>
          </w:tcPr>
          <w:p w:rsidR="00314B38" w:rsidRPr="009353E6" w:rsidRDefault="00314B38" w:rsidP="00314B38">
            <w:pPr>
              <w:rPr>
                <w:sz w:val="22"/>
                <w:szCs w:val="22"/>
                <w:lang w:val="pl-PL"/>
              </w:rPr>
            </w:pPr>
            <w:r w:rsidRPr="009353E6">
              <w:rPr>
                <w:b/>
                <w:bCs/>
                <w:sz w:val="22"/>
                <w:szCs w:val="22"/>
                <w:lang w:val="pl-PL"/>
              </w:rPr>
              <w:t>Österreich</w:t>
            </w:r>
          </w:p>
          <w:p w:rsidR="00314B38" w:rsidRPr="009353E6" w:rsidRDefault="00314B38" w:rsidP="00314B38">
            <w:pPr>
              <w:autoSpaceDE w:val="0"/>
              <w:autoSpaceDN w:val="0"/>
              <w:adjustRightInd w:val="0"/>
              <w:rPr>
                <w:sz w:val="22"/>
                <w:szCs w:val="22"/>
                <w:lang w:val="pl-PL" w:eastAsia="de-DE"/>
              </w:rPr>
            </w:pPr>
            <w:r w:rsidRPr="009353E6">
              <w:rPr>
                <w:sz w:val="22"/>
                <w:szCs w:val="22"/>
                <w:lang w:val="pl-PL" w:eastAsia="de-DE"/>
              </w:rPr>
              <w:t>Boehringer Ingelheim RCV GmbH &amp; Co KG</w:t>
            </w:r>
          </w:p>
          <w:p w:rsidR="00314B38" w:rsidRPr="009353E6" w:rsidRDefault="00314B38" w:rsidP="00314B38">
            <w:pPr>
              <w:pStyle w:val="BodyText"/>
              <w:spacing w:line="240" w:lineRule="auto"/>
              <w:jc w:val="left"/>
              <w:rPr>
                <w:sz w:val="22"/>
                <w:szCs w:val="22"/>
                <w:lang w:val="pl-PL" w:eastAsia="de-DE"/>
              </w:rPr>
            </w:pPr>
            <w:r w:rsidRPr="009353E6">
              <w:rPr>
                <w:sz w:val="22"/>
                <w:szCs w:val="22"/>
                <w:lang w:val="pl-PL" w:eastAsia="de-DE"/>
              </w:rPr>
              <w:t xml:space="preserve">Tel: </w:t>
            </w:r>
            <w:r w:rsidR="00B20D8F" w:rsidRPr="009353E6">
              <w:rPr>
                <w:sz w:val="22"/>
                <w:szCs w:val="22"/>
                <w:lang w:val="pl-PL" w:eastAsia="de-DE"/>
              </w:rPr>
              <w:t>+43 1 80 105-7870</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After w:val="1"/>
          <w:wAfter w:w="52" w:type="dxa"/>
        </w:trPr>
        <w:tc>
          <w:tcPr>
            <w:tcW w:w="4678" w:type="dxa"/>
            <w:gridSpan w:val="3"/>
          </w:tcPr>
          <w:p w:rsidR="00314B38" w:rsidRPr="009353E6" w:rsidRDefault="00314B38" w:rsidP="00F831F6">
            <w:pPr>
              <w:pStyle w:val="BodyText"/>
              <w:spacing w:line="240" w:lineRule="auto"/>
              <w:jc w:val="left"/>
              <w:rPr>
                <w:b/>
                <w:bCs/>
                <w:sz w:val="22"/>
                <w:szCs w:val="22"/>
                <w:lang w:val="pl-PL"/>
              </w:rPr>
            </w:pPr>
            <w:r w:rsidRPr="009353E6">
              <w:rPr>
                <w:b/>
                <w:bCs/>
                <w:sz w:val="22"/>
                <w:szCs w:val="22"/>
                <w:lang w:val="pl-PL"/>
              </w:rPr>
              <w:t>España</w:t>
            </w:r>
          </w:p>
          <w:p w:rsidR="00314B38" w:rsidRPr="009353E6" w:rsidRDefault="00314B38" w:rsidP="00F831F6">
            <w:pPr>
              <w:pStyle w:val="BodyText"/>
              <w:spacing w:line="240" w:lineRule="auto"/>
              <w:jc w:val="left"/>
              <w:rPr>
                <w:sz w:val="22"/>
                <w:szCs w:val="22"/>
                <w:lang w:val="pl-PL" w:eastAsia="ja-JP"/>
              </w:rPr>
            </w:pPr>
            <w:r w:rsidRPr="009353E6">
              <w:rPr>
                <w:sz w:val="22"/>
                <w:szCs w:val="22"/>
                <w:lang w:val="pl-PL" w:eastAsia="ja-JP"/>
              </w:rPr>
              <w:t>Boehringer Ingelheim España S.A.</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Tel: +34 93 404 51 00</w:t>
            </w:r>
          </w:p>
          <w:p w:rsidR="00314B38" w:rsidRPr="009353E6" w:rsidRDefault="00314B38" w:rsidP="00F831F6">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bCs/>
                <w:i/>
                <w:iCs/>
                <w:sz w:val="22"/>
                <w:szCs w:val="22"/>
                <w:lang w:val="pl-PL"/>
              </w:rPr>
            </w:pPr>
            <w:r w:rsidRPr="009353E6">
              <w:rPr>
                <w:b/>
                <w:bCs/>
                <w:sz w:val="22"/>
                <w:szCs w:val="22"/>
                <w:lang w:val="pl-PL"/>
              </w:rPr>
              <w:t>Polska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Sp.</w:t>
            </w:r>
            <w:r w:rsidR="00371E78" w:rsidRPr="009353E6">
              <w:rPr>
                <w:sz w:val="22"/>
                <w:szCs w:val="22"/>
                <w:lang w:val="pl-PL" w:eastAsia="ja-JP"/>
              </w:rPr>
              <w:t xml:space="preserve"> </w:t>
            </w:r>
            <w:r w:rsidRPr="009353E6">
              <w:rPr>
                <w:sz w:val="22"/>
                <w:szCs w:val="22"/>
                <w:lang w:val="pl-PL" w:eastAsia="ja-JP"/>
              </w:rPr>
              <w:t>z o.o.</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+48 22 699 0 699</w:t>
            </w:r>
          </w:p>
          <w:p w:rsidR="00314B38" w:rsidRPr="009353E6" w:rsidRDefault="00314B38" w:rsidP="00F831F6">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After w:val="1"/>
          <w:wAfter w:w="52" w:type="dxa"/>
        </w:trPr>
        <w:tc>
          <w:tcPr>
            <w:tcW w:w="4678" w:type="dxa"/>
            <w:gridSpan w:val="3"/>
          </w:tcPr>
          <w:p w:rsidR="00314B38" w:rsidRPr="009353E6" w:rsidRDefault="00314B38" w:rsidP="00F831F6">
            <w:pPr>
              <w:pStyle w:val="BodyText"/>
              <w:spacing w:line="240" w:lineRule="auto"/>
              <w:jc w:val="left"/>
              <w:rPr>
                <w:b/>
                <w:bCs/>
                <w:sz w:val="22"/>
                <w:szCs w:val="22"/>
                <w:lang w:val="pl-PL"/>
              </w:rPr>
            </w:pPr>
            <w:r w:rsidRPr="009353E6">
              <w:rPr>
                <w:b/>
                <w:bCs/>
                <w:sz w:val="22"/>
                <w:szCs w:val="22"/>
                <w:lang w:val="pl-PL"/>
              </w:rPr>
              <w:t>France</w:t>
            </w:r>
          </w:p>
          <w:p w:rsidR="00314B38" w:rsidRPr="009353E6" w:rsidRDefault="00314B38" w:rsidP="00F831F6">
            <w:pPr>
              <w:pStyle w:val="BodyText"/>
              <w:spacing w:line="240" w:lineRule="auto"/>
              <w:jc w:val="left"/>
              <w:rPr>
                <w:sz w:val="22"/>
                <w:szCs w:val="22"/>
                <w:lang w:val="pl-PL" w:eastAsia="ja-JP"/>
              </w:rPr>
            </w:pPr>
            <w:r w:rsidRPr="009353E6">
              <w:rPr>
                <w:sz w:val="22"/>
                <w:szCs w:val="22"/>
                <w:lang w:val="pl-PL" w:eastAsia="ja-JP"/>
              </w:rPr>
              <w:t>Boehringer Ingelheim France S.A.S.</w:t>
            </w:r>
          </w:p>
          <w:p w:rsidR="00314B38" w:rsidRPr="009353E6" w:rsidRDefault="00314B38" w:rsidP="00F831F6">
            <w:pPr>
              <w:pStyle w:val="BodyText"/>
              <w:spacing w:line="240" w:lineRule="auto"/>
              <w:jc w:val="left"/>
              <w:rPr>
                <w:bCs/>
                <w:sz w:val="22"/>
                <w:szCs w:val="22"/>
                <w:lang w:val="pl-PL"/>
              </w:rPr>
            </w:pPr>
            <w:r w:rsidRPr="009353E6">
              <w:rPr>
                <w:sz w:val="22"/>
                <w:szCs w:val="22"/>
                <w:lang w:val="pl-PL" w:eastAsia="ja-JP"/>
              </w:rPr>
              <w:t>Tél: +33 3 26 50 45 33</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Portugal</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w:t>
            </w:r>
            <w:r w:rsidR="007B064C" w:rsidRPr="009353E6">
              <w:rPr>
                <w:sz w:val="22"/>
                <w:szCs w:val="22"/>
                <w:lang w:val="pl-PL" w:eastAsia="ja-JP"/>
              </w:rPr>
              <w:t xml:space="preserve">Unipessoal </w:t>
            </w:r>
            <w:r w:rsidRPr="009353E6">
              <w:rPr>
                <w:sz w:val="22"/>
                <w:szCs w:val="22"/>
                <w:lang w:val="pl-PL" w:eastAsia="ja-JP"/>
              </w:rPr>
              <w:t xml:space="preserve"> Lda.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+351 21 313 53 00</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After w:val="1"/>
          <w:wAfter w:w="52" w:type="dxa"/>
        </w:trPr>
        <w:tc>
          <w:tcPr>
            <w:tcW w:w="4678" w:type="dxa"/>
            <w:gridSpan w:val="3"/>
          </w:tcPr>
          <w:p w:rsidR="00314B38" w:rsidRPr="009353E6" w:rsidRDefault="00314B38" w:rsidP="00314B38">
            <w:pPr>
              <w:pStyle w:val="HeadNoNum1"/>
              <w:rPr>
                <w:noProof w:val="0"/>
                <w:lang w:val="pl-PL"/>
              </w:rPr>
            </w:pPr>
            <w:r w:rsidRPr="009353E6">
              <w:rPr>
                <w:noProof w:val="0"/>
                <w:szCs w:val="22"/>
                <w:lang w:val="pl-PL"/>
              </w:rPr>
              <w:br w:type="page"/>
            </w:r>
            <w:r w:rsidRPr="009353E6">
              <w:rPr>
                <w:noProof w:val="0"/>
                <w:lang w:val="pl-PL"/>
              </w:rPr>
              <w:t>Hrvatska</w:t>
            </w:r>
          </w:p>
          <w:p w:rsidR="00314B38" w:rsidRPr="009353E6" w:rsidRDefault="00314B38" w:rsidP="00314B38">
            <w:pPr>
              <w:pStyle w:val="HeadNoNum1"/>
              <w:rPr>
                <w:b w:val="0"/>
                <w:noProof w:val="0"/>
                <w:lang w:val="pl-PL"/>
              </w:rPr>
            </w:pPr>
            <w:r w:rsidRPr="009353E6">
              <w:rPr>
                <w:b w:val="0"/>
                <w:noProof w:val="0"/>
                <w:lang w:val="pl-PL"/>
              </w:rPr>
              <w:t>Boehringer Ingelheim Zagreb d.o.o.</w:t>
            </w:r>
          </w:p>
          <w:p w:rsidR="00314B38" w:rsidRPr="009353E6" w:rsidRDefault="00314B38" w:rsidP="00314B38">
            <w:pPr>
              <w:pStyle w:val="HeadNoNum1"/>
              <w:rPr>
                <w:b w:val="0"/>
                <w:noProof w:val="0"/>
                <w:lang w:val="pl-PL"/>
              </w:rPr>
            </w:pPr>
            <w:r w:rsidRPr="009353E6">
              <w:rPr>
                <w:b w:val="0"/>
                <w:noProof w:val="0"/>
                <w:lang w:val="pl-PL"/>
              </w:rPr>
              <w:t>Tel: +385 1 2444 600</w:t>
            </w:r>
          </w:p>
          <w:p w:rsidR="00314B38" w:rsidRPr="009353E6" w:rsidRDefault="00314B38" w:rsidP="00314B38">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România</w:t>
            </w:r>
          </w:p>
          <w:p w:rsidR="00314B38" w:rsidRPr="009353E6" w:rsidRDefault="00314B38" w:rsidP="00314B38">
            <w:pPr>
              <w:pStyle w:val="BodyText"/>
              <w:spacing w:line="240" w:lineRule="auto"/>
              <w:jc w:val="left"/>
              <w:rPr>
                <w:sz w:val="22"/>
                <w:szCs w:val="22"/>
                <w:lang w:val="pl-PL"/>
              </w:rPr>
            </w:pPr>
            <w:r w:rsidRPr="009353E6">
              <w:rPr>
                <w:sz w:val="22"/>
                <w:szCs w:val="22"/>
                <w:lang w:val="pl-PL"/>
              </w:rPr>
              <w:t xml:space="preserve">Boehringer Ingelheim RCV GmbH &amp; Co KG Viena - Sucursala Bucuresti </w:t>
            </w:r>
          </w:p>
          <w:p w:rsidR="00314B38" w:rsidRPr="009353E6" w:rsidRDefault="00314B38" w:rsidP="00314B38">
            <w:pPr>
              <w:pStyle w:val="BodyText"/>
              <w:spacing w:line="240" w:lineRule="auto"/>
              <w:jc w:val="left"/>
              <w:rPr>
                <w:sz w:val="22"/>
                <w:szCs w:val="22"/>
                <w:lang w:val="pl-PL"/>
              </w:rPr>
            </w:pPr>
            <w:r w:rsidRPr="009353E6">
              <w:rPr>
                <w:sz w:val="22"/>
                <w:szCs w:val="22"/>
                <w:lang w:val="pl-PL"/>
              </w:rPr>
              <w:t>Tel: +40 21 302 28 00</w:t>
            </w:r>
          </w:p>
          <w:p w:rsidR="00314B38" w:rsidRPr="009353E6" w:rsidRDefault="00314B38" w:rsidP="00314B38">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After w:val="1"/>
          <w:wAfter w:w="52" w:type="dxa"/>
        </w:trPr>
        <w:tc>
          <w:tcPr>
            <w:tcW w:w="4678" w:type="dxa"/>
            <w:gridSpan w:val="3"/>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Ireland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Ireland Ltd.</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Tel: +353 1 295 9620</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Slovenija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Podružnica Ljubljana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+386 1 586 40 00</w:t>
            </w:r>
          </w:p>
          <w:p w:rsidR="00314B38" w:rsidRPr="009353E6" w:rsidRDefault="00314B38" w:rsidP="00314B38">
            <w:pPr>
              <w:pStyle w:val="BodyText"/>
              <w:spacing w:line="240" w:lineRule="auto"/>
              <w:jc w:val="left"/>
              <w:rPr>
                <w:bCs/>
                <w:sz w:val="22"/>
                <w:szCs w:val="22"/>
                <w:lang w:val="pl-PL"/>
              </w:rPr>
            </w:pPr>
          </w:p>
        </w:tc>
      </w:tr>
      <w:tr w:rsidR="009A291C"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5E3A9A">
            <w:pPr>
              <w:pStyle w:val="BodyText"/>
              <w:keepNext/>
              <w:spacing w:line="240" w:lineRule="auto"/>
              <w:jc w:val="left"/>
              <w:rPr>
                <w:b/>
                <w:bCs/>
                <w:sz w:val="22"/>
                <w:szCs w:val="22"/>
                <w:lang w:val="pl-PL"/>
              </w:rPr>
            </w:pPr>
            <w:r w:rsidRPr="009353E6">
              <w:rPr>
                <w:b/>
                <w:bCs/>
                <w:sz w:val="22"/>
                <w:szCs w:val="22"/>
                <w:lang w:val="pl-PL"/>
              </w:rPr>
              <w:t>Ísland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Vistor hf.</w:t>
            </w:r>
          </w:p>
          <w:p w:rsidR="00314B38" w:rsidRPr="009353E6" w:rsidRDefault="00314B38" w:rsidP="00314B38">
            <w:pPr>
              <w:pStyle w:val="BodyText"/>
              <w:spacing w:line="240" w:lineRule="auto"/>
              <w:jc w:val="left"/>
              <w:rPr>
                <w:sz w:val="22"/>
                <w:szCs w:val="22"/>
                <w:lang w:val="pl-PL"/>
              </w:rPr>
            </w:pPr>
            <w:r w:rsidRPr="009353E6">
              <w:rPr>
                <w:sz w:val="22"/>
                <w:szCs w:val="22"/>
                <w:lang w:val="pl-PL"/>
              </w:rPr>
              <w:t>Sími</w:t>
            </w:r>
            <w:r w:rsidRPr="009353E6">
              <w:rPr>
                <w:sz w:val="22"/>
                <w:szCs w:val="22"/>
                <w:lang w:val="pl-PL" w:eastAsia="ja-JP"/>
              </w:rPr>
              <w:t>: +354 535 7000</w:t>
            </w:r>
          </w:p>
          <w:p w:rsidR="009A291C" w:rsidRPr="009353E6" w:rsidRDefault="009A291C" w:rsidP="00F831F6">
            <w:pPr>
              <w:pStyle w:val="BodyText"/>
              <w:spacing w:line="240" w:lineRule="auto"/>
              <w:jc w:val="left"/>
              <w:rPr>
                <w:bCs/>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Slovenská republika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 xml:space="preserve">Boehringer Ingelheim RCV GMBH &amp; Co KG </w:t>
            </w:r>
          </w:p>
          <w:p w:rsidR="00314B38" w:rsidRPr="009353E6" w:rsidRDefault="00314B38" w:rsidP="00314B38">
            <w:pPr>
              <w:pStyle w:val="BodyText"/>
              <w:spacing w:line="240" w:lineRule="auto"/>
              <w:jc w:val="left"/>
              <w:rPr>
                <w:sz w:val="22"/>
                <w:szCs w:val="22"/>
                <w:lang w:val="pl-PL" w:eastAsia="de-DE"/>
              </w:rPr>
            </w:pPr>
            <w:r w:rsidRPr="009353E6">
              <w:rPr>
                <w:sz w:val="22"/>
                <w:szCs w:val="22"/>
                <w:lang w:val="pl-PL" w:eastAsia="de-DE"/>
              </w:rPr>
              <w:t>organizačná zložka</w:t>
            </w:r>
          </w:p>
          <w:p w:rsidR="00314B38" w:rsidRPr="009353E6" w:rsidRDefault="00314B38" w:rsidP="00314B38">
            <w:pPr>
              <w:pStyle w:val="BodyText"/>
              <w:spacing w:line="240" w:lineRule="auto"/>
              <w:jc w:val="left"/>
              <w:rPr>
                <w:sz w:val="22"/>
                <w:szCs w:val="22"/>
                <w:lang w:val="pl-PL" w:eastAsia="de-DE"/>
              </w:rPr>
            </w:pPr>
            <w:r w:rsidRPr="009353E6">
              <w:rPr>
                <w:sz w:val="22"/>
                <w:szCs w:val="22"/>
                <w:lang w:val="pl-PL" w:eastAsia="de-DE"/>
              </w:rPr>
              <w:t>Tel: +421 2 5810 1211</w:t>
            </w:r>
          </w:p>
          <w:p w:rsidR="009A291C" w:rsidRPr="009353E6" w:rsidRDefault="009A291C" w:rsidP="00314B38">
            <w:pPr>
              <w:pStyle w:val="BodyText"/>
              <w:spacing w:line="240" w:lineRule="auto"/>
              <w:jc w:val="left"/>
              <w:rPr>
                <w:sz w:val="22"/>
                <w:szCs w:val="22"/>
                <w:lang w:val="pl-PL"/>
              </w:rPr>
            </w:pPr>
          </w:p>
        </w:tc>
      </w:tr>
      <w:tr w:rsidR="009A291C"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Italia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Italia S.p.A.</w:t>
            </w:r>
          </w:p>
          <w:p w:rsidR="009A291C" w:rsidRPr="009353E6" w:rsidRDefault="00314B38" w:rsidP="00314B38">
            <w:pPr>
              <w:pStyle w:val="BodyText"/>
              <w:spacing w:line="240" w:lineRule="auto"/>
              <w:jc w:val="left"/>
              <w:rPr>
                <w:bCs/>
                <w:sz w:val="22"/>
                <w:szCs w:val="22"/>
                <w:lang w:val="pl-PL"/>
              </w:rPr>
            </w:pPr>
            <w:r w:rsidRPr="009353E6">
              <w:rPr>
                <w:sz w:val="22"/>
                <w:szCs w:val="22"/>
                <w:lang w:val="pl-PL" w:eastAsia="ja-JP"/>
              </w:rPr>
              <w:t>Tel: +39 02 5355 1</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Suomi/Finland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Finland Ky</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Puh/Tel: +358 10 3102 800</w:t>
            </w:r>
          </w:p>
          <w:p w:rsidR="009A291C" w:rsidRPr="009353E6" w:rsidRDefault="009A291C" w:rsidP="00314B38">
            <w:pPr>
              <w:pStyle w:val="BodyText"/>
              <w:spacing w:line="240" w:lineRule="auto"/>
              <w:jc w:val="left"/>
              <w:rPr>
                <w:bCs/>
                <w:sz w:val="22"/>
                <w:szCs w:val="22"/>
                <w:lang w:val="pl-PL"/>
              </w:rPr>
            </w:pPr>
          </w:p>
        </w:tc>
      </w:tr>
      <w:tr w:rsidR="009A291C"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Κύπρος</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Ellas A.E.</w:t>
            </w:r>
          </w:p>
          <w:p w:rsidR="009A291C" w:rsidRPr="009353E6" w:rsidRDefault="00314B38" w:rsidP="00314B38">
            <w:pPr>
              <w:pStyle w:val="BodyText"/>
              <w:spacing w:line="240" w:lineRule="auto"/>
              <w:jc w:val="left"/>
              <w:rPr>
                <w:sz w:val="22"/>
                <w:szCs w:val="22"/>
                <w:lang w:val="pl-PL"/>
              </w:rPr>
            </w:pPr>
            <w:r w:rsidRPr="009353E6">
              <w:rPr>
                <w:sz w:val="22"/>
                <w:szCs w:val="22"/>
                <w:lang w:val="pl-PL" w:eastAsia="ja-JP"/>
              </w:rPr>
              <w:t>Tηλ: +30 2 10 89 06 300</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Sverige</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AB</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+46 8 721 21 00</w:t>
            </w:r>
          </w:p>
          <w:p w:rsidR="009A291C" w:rsidRPr="009353E6" w:rsidRDefault="009A291C" w:rsidP="00F831F6">
            <w:pPr>
              <w:pStyle w:val="BodyText"/>
              <w:spacing w:line="240" w:lineRule="auto"/>
              <w:jc w:val="left"/>
              <w:rPr>
                <w:sz w:val="22"/>
                <w:szCs w:val="22"/>
                <w:lang w:val="pl-PL"/>
              </w:rPr>
            </w:pPr>
          </w:p>
        </w:tc>
      </w:tr>
      <w:tr w:rsidR="00314B38"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Latvija</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rPr>
              <w:t>Latvijas filiāle</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Tel: +371 67 240 011</w:t>
            </w:r>
          </w:p>
          <w:p w:rsidR="00314B38" w:rsidRPr="009353E6" w:rsidRDefault="00314B38" w:rsidP="00314B38">
            <w:pPr>
              <w:rPr>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United Kingdom</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Ltd.</w:t>
            </w:r>
          </w:p>
          <w:p w:rsidR="00314B38" w:rsidRPr="009353E6" w:rsidRDefault="00314B38" w:rsidP="00F831F6">
            <w:pPr>
              <w:pStyle w:val="BodyText"/>
              <w:spacing w:line="240" w:lineRule="auto"/>
              <w:jc w:val="left"/>
              <w:rPr>
                <w:sz w:val="22"/>
                <w:szCs w:val="22"/>
                <w:lang w:val="pl-PL"/>
              </w:rPr>
            </w:pPr>
            <w:r w:rsidRPr="009353E6">
              <w:rPr>
                <w:sz w:val="22"/>
                <w:szCs w:val="22"/>
                <w:lang w:val="pl-PL" w:eastAsia="ja-JP"/>
              </w:rPr>
              <w:t>Tel: +44 1344 424 600</w:t>
            </w:r>
          </w:p>
        </w:tc>
      </w:tr>
    </w:tbl>
    <w:p w:rsidR="002D3E1A" w:rsidRPr="009353E6" w:rsidRDefault="002D3E1A" w:rsidP="00F831F6">
      <w:pPr>
        <w:pStyle w:val="BodyText"/>
        <w:spacing w:line="240" w:lineRule="auto"/>
        <w:jc w:val="left"/>
        <w:rPr>
          <w:sz w:val="22"/>
          <w:szCs w:val="22"/>
          <w:lang w:val="pl-PL"/>
        </w:rPr>
      </w:pPr>
    </w:p>
    <w:p w:rsidR="009A291C" w:rsidRPr="009353E6" w:rsidRDefault="009A291C" w:rsidP="00F831F6">
      <w:pPr>
        <w:pStyle w:val="BodyText"/>
        <w:spacing w:line="240" w:lineRule="auto"/>
        <w:jc w:val="left"/>
        <w:rPr>
          <w:sz w:val="22"/>
          <w:szCs w:val="22"/>
          <w:lang w:val="pl-PL"/>
        </w:rPr>
      </w:pPr>
    </w:p>
    <w:p w:rsidR="002D3521" w:rsidRPr="009353E6" w:rsidRDefault="002D3521" w:rsidP="002D3521">
      <w:pPr>
        <w:numPr>
          <w:ilvl w:val="12"/>
          <w:numId w:val="0"/>
        </w:numPr>
        <w:ind w:right="-2"/>
        <w:rPr>
          <w:sz w:val="22"/>
          <w:szCs w:val="22"/>
          <w:lang w:val="pl-PL" w:bidi="bn-IN"/>
        </w:rPr>
      </w:pPr>
      <w:r w:rsidRPr="009353E6">
        <w:rPr>
          <w:b/>
          <w:sz w:val="22"/>
          <w:szCs w:val="22"/>
          <w:lang w:val="pl-PL" w:bidi="bn-IN"/>
        </w:rPr>
        <w:t>Data ostatniej aktualizacji ulotki:</w:t>
      </w:r>
    </w:p>
    <w:p w:rsidR="00914B3E" w:rsidRPr="009353E6" w:rsidRDefault="00914B3E" w:rsidP="00F831F6">
      <w:pPr>
        <w:pStyle w:val="BodyText"/>
        <w:spacing w:line="240" w:lineRule="auto"/>
        <w:jc w:val="left"/>
        <w:rPr>
          <w:sz w:val="22"/>
          <w:szCs w:val="22"/>
          <w:lang w:val="pl-PL"/>
        </w:rPr>
      </w:pPr>
    </w:p>
    <w:p w:rsidR="00E3319D" w:rsidRPr="009353E6" w:rsidRDefault="00E3319D" w:rsidP="00F831F6">
      <w:pPr>
        <w:pStyle w:val="BodyText"/>
        <w:spacing w:line="240" w:lineRule="auto"/>
        <w:jc w:val="left"/>
        <w:rPr>
          <w:b/>
          <w:sz w:val="22"/>
          <w:szCs w:val="22"/>
          <w:lang w:val="pl-PL"/>
        </w:rPr>
      </w:pPr>
      <w:r w:rsidRPr="009353E6">
        <w:rPr>
          <w:b/>
          <w:sz w:val="22"/>
          <w:szCs w:val="22"/>
          <w:lang w:val="pl-PL"/>
        </w:rPr>
        <w:t>Inne źródła informacji</w:t>
      </w:r>
    </w:p>
    <w:p w:rsidR="004045BC" w:rsidRPr="009353E6" w:rsidRDefault="00C056FC" w:rsidP="00F831F6">
      <w:pPr>
        <w:pStyle w:val="BodyText"/>
        <w:spacing w:line="240" w:lineRule="auto"/>
        <w:jc w:val="left"/>
        <w:rPr>
          <w:sz w:val="22"/>
          <w:szCs w:val="22"/>
          <w:lang w:val="pl-PL"/>
        </w:rPr>
      </w:pPr>
      <w:r w:rsidRPr="009353E6">
        <w:rPr>
          <w:sz w:val="22"/>
          <w:szCs w:val="22"/>
          <w:lang w:val="pl-PL"/>
        </w:rPr>
        <w:t>Szczegółowe informacje o tym leku znajdują się</w:t>
      </w:r>
      <w:r w:rsidR="004045BC" w:rsidRPr="009353E6">
        <w:rPr>
          <w:sz w:val="22"/>
          <w:szCs w:val="22"/>
          <w:lang w:val="pl-PL"/>
        </w:rPr>
        <w:t xml:space="preserve"> na stronie internetowej Europejskiej Agencji </w:t>
      </w:r>
      <w:r w:rsidR="00322A0A" w:rsidRPr="009353E6">
        <w:rPr>
          <w:sz w:val="22"/>
          <w:szCs w:val="22"/>
          <w:lang w:val="pl-PL"/>
        </w:rPr>
        <w:t>Leków</w:t>
      </w:r>
      <w:r w:rsidR="00F54F8E" w:rsidRPr="009353E6">
        <w:rPr>
          <w:sz w:val="22"/>
          <w:szCs w:val="22"/>
          <w:lang w:val="pl-PL"/>
        </w:rPr>
        <w:t xml:space="preserve"> </w:t>
      </w:r>
      <w:hyperlink r:id="rId16" w:history="1">
        <w:r w:rsidR="00BC39DD" w:rsidRPr="009353E6">
          <w:rPr>
            <w:rStyle w:val="Hyperlink"/>
            <w:noProof/>
            <w:lang w:val="pl-PL"/>
          </w:rPr>
          <w:t>http://www.ema.europa.eu</w:t>
        </w:r>
      </w:hyperlink>
      <w:r w:rsidRPr="009353E6">
        <w:rPr>
          <w:sz w:val="22"/>
          <w:szCs w:val="22"/>
          <w:lang w:val="pl-PL"/>
        </w:rPr>
        <w:t>.</w:t>
      </w:r>
    </w:p>
    <w:p w:rsidR="002D3521" w:rsidRPr="009353E6" w:rsidRDefault="002D3E1A" w:rsidP="002D3521">
      <w:pPr>
        <w:pStyle w:val="BodyText"/>
        <w:spacing w:line="240" w:lineRule="auto"/>
        <w:jc w:val="center"/>
        <w:rPr>
          <w:b/>
          <w:sz w:val="22"/>
          <w:szCs w:val="22"/>
          <w:lang w:val="pl-PL"/>
        </w:rPr>
      </w:pPr>
      <w:r w:rsidRPr="009353E6">
        <w:rPr>
          <w:sz w:val="22"/>
          <w:szCs w:val="22"/>
          <w:lang w:val="pl-PL"/>
        </w:rPr>
        <w:br w:type="page"/>
      </w:r>
      <w:r w:rsidR="002D3521" w:rsidRPr="009353E6">
        <w:rPr>
          <w:b/>
          <w:sz w:val="22"/>
          <w:szCs w:val="22"/>
          <w:lang w:val="pl-PL" w:bidi="bn-IN"/>
        </w:rPr>
        <w:t xml:space="preserve">Ulotka dołączona do opakowania: informacja dla </w:t>
      </w:r>
      <w:r w:rsidR="007B064C" w:rsidRPr="009353E6">
        <w:rPr>
          <w:b/>
          <w:sz w:val="22"/>
          <w:szCs w:val="22"/>
          <w:lang w:val="pl-PL" w:bidi="bn-IN"/>
        </w:rPr>
        <w:t xml:space="preserve">pacjenta </w:t>
      </w:r>
    </w:p>
    <w:p w:rsidR="002D3521" w:rsidRPr="009353E6" w:rsidRDefault="002D3521" w:rsidP="005D27AA">
      <w:pPr>
        <w:pStyle w:val="BodyText"/>
        <w:spacing w:line="240" w:lineRule="auto"/>
        <w:jc w:val="center"/>
        <w:rPr>
          <w:b/>
          <w:sz w:val="22"/>
          <w:szCs w:val="22"/>
          <w:lang w:val="pl-PL"/>
        </w:rPr>
      </w:pPr>
    </w:p>
    <w:p w:rsidR="00602859" w:rsidRPr="009353E6" w:rsidRDefault="00602859" w:rsidP="005D27AA">
      <w:pPr>
        <w:pStyle w:val="BodyText"/>
        <w:spacing w:line="240" w:lineRule="auto"/>
        <w:jc w:val="center"/>
        <w:rPr>
          <w:b/>
          <w:sz w:val="22"/>
          <w:szCs w:val="22"/>
          <w:lang w:val="pl-PL"/>
        </w:rPr>
      </w:pPr>
      <w:r w:rsidRPr="009353E6">
        <w:rPr>
          <w:b/>
          <w:sz w:val="22"/>
          <w:szCs w:val="22"/>
          <w:lang w:val="pl-PL"/>
        </w:rPr>
        <w:t>MicardisPlus 80</w:t>
      </w:r>
      <w:r w:rsidR="00FC199A" w:rsidRPr="009353E6">
        <w:rPr>
          <w:b/>
          <w:sz w:val="22"/>
          <w:szCs w:val="22"/>
          <w:lang w:val="pl-PL"/>
        </w:rPr>
        <w:t xml:space="preserve"> mg</w:t>
      </w:r>
      <w:r w:rsidRPr="009353E6">
        <w:rPr>
          <w:b/>
          <w:sz w:val="22"/>
          <w:szCs w:val="22"/>
          <w:lang w:val="pl-PL"/>
        </w:rPr>
        <w:t>/12,5 mg tabletki</w:t>
      </w:r>
    </w:p>
    <w:p w:rsidR="00602859" w:rsidRPr="009353E6" w:rsidRDefault="000A739F" w:rsidP="005D27AA">
      <w:pPr>
        <w:pStyle w:val="BodyText"/>
        <w:spacing w:line="240" w:lineRule="auto"/>
        <w:jc w:val="center"/>
        <w:rPr>
          <w:sz w:val="22"/>
          <w:szCs w:val="22"/>
          <w:lang w:val="pl-PL"/>
        </w:rPr>
      </w:pPr>
      <w:r w:rsidRPr="009353E6">
        <w:rPr>
          <w:sz w:val="22"/>
          <w:szCs w:val="22"/>
          <w:lang w:val="pl-PL"/>
        </w:rPr>
        <w:t>t</w:t>
      </w:r>
      <w:r w:rsidR="00602859" w:rsidRPr="009353E6">
        <w:rPr>
          <w:sz w:val="22"/>
          <w:szCs w:val="22"/>
          <w:lang w:val="pl-PL"/>
        </w:rPr>
        <w:t>elmisartan/</w:t>
      </w:r>
      <w:r w:rsidRPr="009353E6">
        <w:rPr>
          <w:sz w:val="22"/>
          <w:szCs w:val="22"/>
          <w:lang w:val="pl-PL"/>
        </w:rPr>
        <w:t>h</w:t>
      </w:r>
      <w:r w:rsidR="00602859" w:rsidRPr="009353E6">
        <w:rPr>
          <w:sz w:val="22"/>
          <w:szCs w:val="22"/>
          <w:lang w:val="pl-PL"/>
        </w:rPr>
        <w:t>ydrochlorotiazyd</w:t>
      </w:r>
    </w:p>
    <w:p w:rsidR="002D3E1A" w:rsidRPr="009353E6" w:rsidRDefault="002D3E1A" w:rsidP="00D2018C">
      <w:pPr>
        <w:pStyle w:val="BodyText"/>
        <w:spacing w:line="240" w:lineRule="auto"/>
        <w:jc w:val="center"/>
        <w:rPr>
          <w:sz w:val="22"/>
          <w:szCs w:val="22"/>
          <w:lang w:val="pl-PL"/>
        </w:rPr>
      </w:pPr>
    </w:p>
    <w:p w:rsidR="002D3521" w:rsidRPr="009353E6" w:rsidRDefault="002D3521" w:rsidP="002D3521">
      <w:pPr>
        <w:ind w:right="-2"/>
        <w:rPr>
          <w:b/>
          <w:sz w:val="22"/>
          <w:szCs w:val="22"/>
          <w:lang w:val="pl-PL" w:bidi="bn-IN"/>
        </w:rPr>
      </w:pPr>
      <w:r w:rsidRPr="009353E6">
        <w:rPr>
          <w:b/>
          <w:sz w:val="22"/>
          <w:szCs w:val="22"/>
          <w:lang w:val="pl-PL" w:bidi="bn-IN"/>
        </w:rPr>
        <w:t xml:space="preserve">Należy uważnie zapoznać się z treścią ulotki przed </w:t>
      </w:r>
      <w:r w:rsidR="007C257C" w:rsidRPr="009353E6">
        <w:rPr>
          <w:b/>
          <w:sz w:val="22"/>
          <w:szCs w:val="22"/>
          <w:lang w:val="pl-PL" w:bidi="bn-IN"/>
        </w:rPr>
        <w:t>zażyciem</w:t>
      </w:r>
      <w:r w:rsidRPr="009353E6">
        <w:rPr>
          <w:b/>
          <w:sz w:val="22"/>
          <w:szCs w:val="22"/>
          <w:lang w:val="pl-PL" w:bidi="bn-IN"/>
        </w:rPr>
        <w:t xml:space="preserve"> leku, ponieważ zawiera ona informacje ważne dla pacjenta.</w:t>
      </w:r>
    </w:p>
    <w:p w:rsidR="002D3521" w:rsidRPr="009353E6" w:rsidRDefault="002D3521" w:rsidP="002D3521">
      <w:pPr>
        <w:numPr>
          <w:ilvl w:val="0"/>
          <w:numId w:val="49"/>
        </w:numPr>
        <w:ind w:left="567" w:right="-2" w:hanging="567"/>
        <w:rPr>
          <w:sz w:val="22"/>
          <w:szCs w:val="22"/>
          <w:lang w:val="pl-PL" w:bidi="bn-IN"/>
        </w:rPr>
      </w:pPr>
      <w:r w:rsidRPr="009353E6">
        <w:rPr>
          <w:sz w:val="22"/>
          <w:szCs w:val="22"/>
          <w:lang w:val="pl-PL" w:bidi="bn-IN"/>
        </w:rPr>
        <w:t>Należy zachować tę ulotkę, aby w razie potrzeby móc ją ponownie przeczytać.</w:t>
      </w:r>
    </w:p>
    <w:p w:rsidR="002D3521" w:rsidRPr="009353E6" w:rsidRDefault="007C257C" w:rsidP="002D3521">
      <w:pPr>
        <w:numPr>
          <w:ilvl w:val="0"/>
          <w:numId w:val="49"/>
        </w:numPr>
        <w:ind w:left="567" w:right="-2" w:hanging="567"/>
        <w:rPr>
          <w:sz w:val="22"/>
          <w:szCs w:val="22"/>
          <w:lang w:val="pl-PL" w:bidi="bn-IN"/>
        </w:rPr>
      </w:pPr>
      <w:r w:rsidRPr="009353E6">
        <w:rPr>
          <w:sz w:val="22"/>
          <w:szCs w:val="22"/>
          <w:lang w:val="pl-PL" w:bidi="bn-IN"/>
        </w:rPr>
        <w:t>W razie jakichkolwiek wątpliwości n</w:t>
      </w:r>
      <w:r w:rsidR="002D3521" w:rsidRPr="009353E6">
        <w:rPr>
          <w:sz w:val="22"/>
          <w:szCs w:val="22"/>
          <w:lang w:val="pl-PL" w:bidi="bn-IN"/>
        </w:rPr>
        <w:t>ależy zwrócić się do lekarza lub farmaceuty.</w:t>
      </w:r>
    </w:p>
    <w:p w:rsidR="002D3521" w:rsidRPr="009353E6" w:rsidRDefault="002D3521" w:rsidP="002D3521">
      <w:pPr>
        <w:numPr>
          <w:ilvl w:val="0"/>
          <w:numId w:val="49"/>
        </w:numPr>
        <w:ind w:left="567" w:right="-2" w:hanging="567"/>
        <w:rPr>
          <w:b/>
          <w:sz w:val="22"/>
          <w:szCs w:val="22"/>
          <w:lang w:val="pl-PL" w:bidi="bn-IN"/>
        </w:rPr>
      </w:pPr>
      <w:r w:rsidRPr="009353E6">
        <w:rPr>
          <w:sz w:val="22"/>
          <w:szCs w:val="22"/>
          <w:lang w:val="pl-PL" w:bidi="bn-IN"/>
        </w:rPr>
        <w:t>Lek ten przepisano ściśle określonej osobie. Nie należy go przekazywać innym. Lek może zaszkodzić innej osobie, nawet jeśli objawy jej choroby są takie same.</w:t>
      </w:r>
    </w:p>
    <w:p w:rsidR="00C370AC" w:rsidRPr="009353E6" w:rsidRDefault="002D3521" w:rsidP="00C370AC">
      <w:pPr>
        <w:numPr>
          <w:ilvl w:val="0"/>
          <w:numId w:val="44"/>
        </w:numPr>
        <w:ind w:right="-2"/>
        <w:rPr>
          <w:sz w:val="22"/>
          <w:szCs w:val="22"/>
          <w:lang w:val="pl-PL"/>
        </w:rPr>
      </w:pPr>
      <w:r w:rsidRPr="009353E6">
        <w:rPr>
          <w:sz w:val="22"/>
          <w:szCs w:val="22"/>
          <w:lang w:val="pl-PL" w:bidi="bn-IN"/>
        </w:rPr>
        <w:t xml:space="preserve">Jeśli </w:t>
      </w:r>
      <w:r w:rsidR="007C257C" w:rsidRPr="009353E6">
        <w:rPr>
          <w:sz w:val="22"/>
          <w:szCs w:val="22"/>
          <w:lang w:val="pl-PL" w:bidi="bn-IN"/>
        </w:rPr>
        <w:t xml:space="preserve">u pacjenta </w:t>
      </w:r>
      <w:r w:rsidRPr="009353E6">
        <w:rPr>
          <w:sz w:val="22"/>
          <w:szCs w:val="22"/>
          <w:lang w:val="pl-PL" w:bidi="bn-IN"/>
        </w:rPr>
        <w:t xml:space="preserve">wystąpią jakiekolwiek objawy niepożądane, w tym wszelkie objawy niepożądane niewymienione w </w:t>
      </w:r>
      <w:r w:rsidR="007C257C" w:rsidRPr="009353E6">
        <w:rPr>
          <w:sz w:val="22"/>
          <w:szCs w:val="22"/>
          <w:lang w:val="pl-PL" w:bidi="bn-IN"/>
        </w:rPr>
        <w:t xml:space="preserve">tej </w:t>
      </w:r>
      <w:r w:rsidRPr="009353E6">
        <w:rPr>
          <w:sz w:val="22"/>
          <w:szCs w:val="22"/>
          <w:lang w:val="pl-PL" w:bidi="bn-IN"/>
        </w:rPr>
        <w:t>ulotce, należy powiedzieć o tym lekarzowi lub farmaceucie.</w:t>
      </w:r>
      <w:r w:rsidR="00123CB1" w:rsidRPr="009353E6">
        <w:rPr>
          <w:lang w:val="pl-PL"/>
        </w:rPr>
        <w:t xml:space="preserve"> </w:t>
      </w:r>
      <w:r w:rsidR="00123CB1" w:rsidRPr="009353E6">
        <w:rPr>
          <w:sz w:val="22"/>
          <w:szCs w:val="22"/>
          <w:lang w:val="pl-PL" w:bidi="bn-IN"/>
        </w:rPr>
        <w:t>Patrz punkt 4.</w:t>
      </w:r>
    </w:p>
    <w:p w:rsidR="00021125" w:rsidRPr="009353E6" w:rsidRDefault="00021125" w:rsidP="00F831F6">
      <w:pPr>
        <w:pStyle w:val="BodyText"/>
        <w:spacing w:line="240" w:lineRule="auto"/>
        <w:jc w:val="left"/>
        <w:rPr>
          <w:sz w:val="22"/>
          <w:szCs w:val="22"/>
          <w:u w:val="single"/>
          <w:lang w:val="pl-PL"/>
        </w:rPr>
      </w:pPr>
    </w:p>
    <w:p w:rsidR="002D3E1A" w:rsidRPr="009353E6" w:rsidRDefault="002D3E1A" w:rsidP="00F831F6">
      <w:pPr>
        <w:pStyle w:val="BodyText"/>
        <w:spacing w:line="240" w:lineRule="auto"/>
        <w:jc w:val="left"/>
        <w:rPr>
          <w:b/>
          <w:sz w:val="22"/>
          <w:szCs w:val="22"/>
          <w:lang w:val="pl-PL"/>
        </w:rPr>
      </w:pPr>
      <w:r w:rsidRPr="009353E6">
        <w:rPr>
          <w:b/>
          <w:sz w:val="22"/>
          <w:szCs w:val="22"/>
          <w:lang w:val="pl-PL"/>
        </w:rPr>
        <w:t>Spis treści ulotki</w:t>
      </w:r>
    </w:p>
    <w:p w:rsidR="00655CF3" w:rsidRPr="009353E6" w:rsidRDefault="00655CF3" w:rsidP="00F831F6">
      <w:pPr>
        <w:pStyle w:val="BodyText"/>
        <w:spacing w:line="240" w:lineRule="auto"/>
        <w:jc w:val="left"/>
        <w:rPr>
          <w:b/>
          <w:sz w:val="22"/>
          <w:szCs w:val="22"/>
          <w:lang w:val="pl-PL"/>
        </w:rPr>
      </w:pPr>
    </w:p>
    <w:p w:rsidR="002D3E1A" w:rsidRPr="009353E6" w:rsidRDefault="002D3E1A" w:rsidP="005D27AA">
      <w:pPr>
        <w:pStyle w:val="BodyText"/>
        <w:tabs>
          <w:tab w:val="left" w:pos="540"/>
        </w:tabs>
        <w:spacing w:line="240" w:lineRule="auto"/>
        <w:jc w:val="left"/>
        <w:rPr>
          <w:sz w:val="22"/>
          <w:szCs w:val="22"/>
          <w:lang w:val="pl-PL"/>
        </w:rPr>
      </w:pPr>
      <w:r w:rsidRPr="009353E6">
        <w:rPr>
          <w:sz w:val="22"/>
          <w:szCs w:val="22"/>
          <w:lang w:val="pl-PL"/>
        </w:rPr>
        <w:t>1.</w:t>
      </w:r>
      <w:r w:rsidRPr="009353E6">
        <w:rPr>
          <w:sz w:val="22"/>
          <w:szCs w:val="22"/>
          <w:lang w:val="pl-PL"/>
        </w:rPr>
        <w:tab/>
        <w:t xml:space="preserve">Co to </w:t>
      </w:r>
      <w:r w:rsidR="00602859" w:rsidRPr="009353E6">
        <w:rPr>
          <w:sz w:val="22"/>
          <w:szCs w:val="22"/>
          <w:lang w:val="pl-PL"/>
        </w:rPr>
        <w:t xml:space="preserve">jest lek </w:t>
      </w:r>
      <w:r w:rsidRPr="009353E6">
        <w:rPr>
          <w:sz w:val="22"/>
          <w:szCs w:val="22"/>
          <w:lang w:val="pl-PL"/>
        </w:rPr>
        <w:t>M</w:t>
      </w:r>
      <w:r w:rsidR="00602859" w:rsidRPr="009353E6">
        <w:rPr>
          <w:sz w:val="22"/>
          <w:szCs w:val="22"/>
          <w:lang w:val="pl-PL"/>
        </w:rPr>
        <w:t xml:space="preserve">icardisPlus </w:t>
      </w:r>
      <w:r w:rsidRPr="009353E6">
        <w:rPr>
          <w:sz w:val="22"/>
          <w:szCs w:val="22"/>
          <w:lang w:val="pl-PL"/>
        </w:rPr>
        <w:t>i w jakim celu się go stosuje</w:t>
      </w:r>
    </w:p>
    <w:p w:rsidR="002D3E1A" w:rsidRPr="009353E6" w:rsidRDefault="002D3E1A" w:rsidP="005D27AA">
      <w:pPr>
        <w:pStyle w:val="BodyText"/>
        <w:tabs>
          <w:tab w:val="left" w:pos="540"/>
        </w:tabs>
        <w:spacing w:line="240" w:lineRule="auto"/>
        <w:jc w:val="left"/>
        <w:rPr>
          <w:sz w:val="22"/>
          <w:szCs w:val="22"/>
          <w:lang w:val="pl-PL"/>
        </w:rPr>
      </w:pPr>
      <w:r w:rsidRPr="009353E6">
        <w:rPr>
          <w:sz w:val="22"/>
          <w:szCs w:val="22"/>
          <w:lang w:val="pl-PL"/>
        </w:rPr>
        <w:t xml:space="preserve">2. </w:t>
      </w:r>
      <w:r w:rsidRPr="009353E6">
        <w:rPr>
          <w:sz w:val="22"/>
          <w:szCs w:val="22"/>
          <w:lang w:val="pl-PL"/>
        </w:rPr>
        <w:tab/>
      </w:r>
      <w:r w:rsidR="00602859" w:rsidRPr="009353E6">
        <w:rPr>
          <w:sz w:val="22"/>
          <w:szCs w:val="22"/>
          <w:lang w:val="pl-PL"/>
        </w:rPr>
        <w:t xml:space="preserve">Informacje ważne przed </w:t>
      </w:r>
      <w:r w:rsidR="007D54FB" w:rsidRPr="009353E6">
        <w:rPr>
          <w:sz w:val="22"/>
          <w:szCs w:val="22"/>
          <w:lang w:val="pl-PL"/>
        </w:rPr>
        <w:t>przyjęciem</w:t>
      </w:r>
      <w:r w:rsidR="00602859" w:rsidRPr="009353E6">
        <w:rPr>
          <w:sz w:val="22"/>
          <w:szCs w:val="22"/>
          <w:lang w:val="pl-PL"/>
        </w:rPr>
        <w:t xml:space="preserve"> leku</w:t>
      </w:r>
      <w:r w:rsidRPr="009353E6">
        <w:rPr>
          <w:sz w:val="22"/>
          <w:szCs w:val="22"/>
          <w:lang w:val="pl-PL"/>
        </w:rPr>
        <w:t xml:space="preserve"> M</w:t>
      </w:r>
      <w:r w:rsidR="00602859" w:rsidRPr="009353E6">
        <w:rPr>
          <w:sz w:val="22"/>
          <w:szCs w:val="22"/>
          <w:lang w:val="pl-PL"/>
        </w:rPr>
        <w:t>icardis</w:t>
      </w:r>
      <w:r w:rsidRPr="009353E6">
        <w:rPr>
          <w:sz w:val="22"/>
          <w:szCs w:val="22"/>
          <w:lang w:val="pl-PL"/>
        </w:rPr>
        <w:t>P</w:t>
      </w:r>
      <w:r w:rsidR="00602859" w:rsidRPr="009353E6">
        <w:rPr>
          <w:sz w:val="22"/>
          <w:szCs w:val="22"/>
          <w:lang w:val="pl-PL"/>
        </w:rPr>
        <w:t>lus</w:t>
      </w:r>
      <w:r w:rsidRPr="009353E6">
        <w:rPr>
          <w:sz w:val="22"/>
          <w:szCs w:val="22"/>
          <w:lang w:val="pl-PL"/>
        </w:rPr>
        <w:t xml:space="preserve">  </w:t>
      </w:r>
    </w:p>
    <w:p w:rsidR="002D3E1A" w:rsidRPr="009353E6" w:rsidRDefault="002D3E1A" w:rsidP="005D27AA">
      <w:pPr>
        <w:pStyle w:val="BodyText"/>
        <w:tabs>
          <w:tab w:val="left" w:pos="540"/>
        </w:tabs>
        <w:spacing w:line="240" w:lineRule="auto"/>
        <w:jc w:val="left"/>
        <w:rPr>
          <w:sz w:val="22"/>
          <w:szCs w:val="22"/>
          <w:lang w:val="pl-PL"/>
        </w:rPr>
      </w:pPr>
      <w:r w:rsidRPr="009353E6">
        <w:rPr>
          <w:sz w:val="22"/>
          <w:szCs w:val="22"/>
          <w:lang w:val="pl-PL"/>
        </w:rPr>
        <w:t xml:space="preserve">3. </w:t>
      </w:r>
      <w:r w:rsidRPr="009353E6">
        <w:rPr>
          <w:sz w:val="22"/>
          <w:szCs w:val="22"/>
          <w:lang w:val="pl-PL"/>
        </w:rPr>
        <w:tab/>
        <w:t xml:space="preserve">Jak </w:t>
      </w:r>
      <w:r w:rsidR="007D54FB" w:rsidRPr="009353E6">
        <w:rPr>
          <w:sz w:val="22"/>
          <w:szCs w:val="22"/>
          <w:lang w:val="pl-PL"/>
        </w:rPr>
        <w:t>przyjmować</w:t>
      </w:r>
      <w:r w:rsidRPr="009353E6">
        <w:rPr>
          <w:sz w:val="22"/>
          <w:szCs w:val="22"/>
          <w:lang w:val="pl-PL"/>
        </w:rPr>
        <w:t xml:space="preserve"> </w:t>
      </w:r>
      <w:r w:rsidR="00602859" w:rsidRPr="009353E6">
        <w:rPr>
          <w:sz w:val="22"/>
          <w:szCs w:val="22"/>
          <w:lang w:val="pl-PL"/>
        </w:rPr>
        <w:t xml:space="preserve">lek </w:t>
      </w:r>
      <w:r w:rsidRPr="009353E6">
        <w:rPr>
          <w:sz w:val="22"/>
          <w:szCs w:val="22"/>
          <w:lang w:val="pl-PL"/>
        </w:rPr>
        <w:t>M</w:t>
      </w:r>
      <w:r w:rsidR="00602859" w:rsidRPr="009353E6">
        <w:rPr>
          <w:sz w:val="22"/>
          <w:szCs w:val="22"/>
          <w:lang w:val="pl-PL"/>
        </w:rPr>
        <w:t>icardisPlus</w:t>
      </w:r>
      <w:r w:rsidRPr="009353E6">
        <w:rPr>
          <w:sz w:val="22"/>
          <w:szCs w:val="22"/>
          <w:vertAlign w:val="superscript"/>
          <w:lang w:val="pl-PL"/>
        </w:rPr>
        <w:t xml:space="preserve"> </w:t>
      </w:r>
    </w:p>
    <w:p w:rsidR="002D3E1A" w:rsidRPr="009353E6" w:rsidRDefault="002D3E1A" w:rsidP="005D27AA">
      <w:pPr>
        <w:pStyle w:val="BodyText"/>
        <w:tabs>
          <w:tab w:val="left" w:pos="540"/>
        </w:tabs>
        <w:spacing w:line="240" w:lineRule="auto"/>
        <w:jc w:val="left"/>
        <w:rPr>
          <w:sz w:val="22"/>
          <w:szCs w:val="22"/>
          <w:lang w:val="pl-PL"/>
        </w:rPr>
      </w:pPr>
      <w:r w:rsidRPr="009353E6">
        <w:rPr>
          <w:sz w:val="22"/>
          <w:szCs w:val="22"/>
          <w:lang w:val="pl-PL"/>
        </w:rPr>
        <w:t xml:space="preserve">4. </w:t>
      </w:r>
      <w:r w:rsidRPr="009353E6">
        <w:rPr>
          <w:sz w:val="22"/>
          <w:szCs w:val="22"/>
          <w:lang w:val="pl-PL"/>
        </w:rPr>
        <w:tab/>
        <w:t>Możliwe działania niepożądane</w:t>
      </w:r>
    </w:p>
    <w:p w:rsidR="002D3E1A" w:rsidRPr="009353E6" w:rsidRDefault="002D3E1A" w:rsidP="005D27AA">
      <w:pPr>
        <w:pStyle w:val="BodyText"/>
        <w:tabs>
          <w:tab w:val="left" w:pos="540"/>
        </w:tabs>
        <w:spacing w:line="240" w:lineRule="auto"/>
        <w:jc w:val="left"/>
        <w:rPr>
          <w:sz w:val="22"/>
          <w:szCs w:val="22"/>
          <w:lang w:val="pl-PL"/>
        </w:rPr>
      </w:pPr>
      <w:r w:rsidRPr="009353E6">
        <w:rPr>
          <w:sz w:val="22"/>
          <w:szCs w:val="22"/>
          <w:lang w:val="pl-PL"/>
        </w:rPr>
        <w:t xml:space="preserve">5. </w:t>
      </w:r>
      <w:r w:rsidRPr="009353E6">
        <w:rPr>
          <w:sz w:val="22"/>
          <w:szCs w:val="22"/>
          <w:lang w:val="pl-PL"/>
        </w:rPr>
        <w:tab/>
      </w:r>
      <w:r w:rsidR="00602859" w:rsidRPr="009353E6">
        <w:rPr>
          <w:sz w:val="22"/>
          <w:szCs w:val="22"/>
          <w:lang w:val="pl-PL"/>
        </w:rPr>
        <w:t>Jak p</w:t>
      </w:r>
      <w:r w:rsidRPr="009353E6">
        <w:rPr>
          <w:sz w:val="22"/>
          <w:szCs w:val="22"/>
          <w:lang w:val="pl-PL"/>
        </w:rPr>
        <w:t>rzechowywa</w:t>
      </w:r>
      <w:r w:rsidR="00602859" w:rsidRPr="009353E6">
        <w:rPr>
          <w:sz w:val="22"/>
          <w:szCs w:val="22"/>
          <w:lang w:val="pl-PL"/>
        </w:rPr>
        <w:t>ć</w:t>
      </w:r>
      <w:r w:rsidRPr="009353E6">
        <w:rPr>
          <w:sz w:val="22"/>
          <w:szCs w:val="22"/>
          <w:lang w:val="pl-PL"/>
        </w:rPr>
        <w:t xml:space="preserve"> lek M</w:t>
      </w:r>
      <w:r w:rsidR="00602859" w:rsidRPr="009353E6">
        <w:rPr>
          <w:sz w:val="22"/>
          <w:szCs w:val="22"/>
          <w:lang w:val="pl-PL"/>
        </w:rPr>
        <w:t>icardisPlus</w:t>
      </w:r>
      <w:r w:rsidRPr="009353E6">
        <w:rPr>
          <w:sz w:val="22"/>
          <w:szCs w:val="22"/>
          <w:lang w:val="pl-PL"/>
        </w:rPr>
        <w:t xml:space="preserve"> </w:t>
      </w:r>
    </w:p>
    <w:p w:rsidR="002D3521" w:rsidRPr="009353E6" w:rsidRDefault="002D3E1A" w:rsidP="00F37EE9">
      <w:pPr>
        <w:tabs>
          <w:tab w:val="left" w:pos="567"/>
        </w:tabs>
        <w:rPr>
          <w:sz w:val="22"/>
          <w:szCs w:val="22"/>
          <w:lang w:val="pl-PL"/>
        </w:rPr>
      </w:pPr>
      <w:r w:rsidRPr="009353E6">
        <w:rPr>
          <w:sz w:val="22"/>
          <w:szCs w:val="22"/>
          <w:lang w:val="pl-PL"/>
        </w:rPr>
        <w:t>6.</w:t>
      </w:r>
      <w:r w:rsidR="00F37EE9" w:rsidRPr="009353E6">
        <w:rPr>
          <w:sz w:val="22"/>
          <w:szCs w:val="22"/>
          <w:lang w:val="pl-PL"/>
        </w:rPr>
        <w:tab/>
      </w:r>
      <w:r w:rsidR="002D3521" w:rsidRPr="009353E6">
        <w:rPr>
          <w:sz w:val="22"/>
          <w:szCs w:val="22"/>
          <w:lang w:val="pl-PL" w:bidi="bn-IN"/>
        </w:rPr>
        <w:t>Zawartość opakowania i inne informacje</w:t>
      </w:r>
    </w:p>
    <w:p w:rsidR="002D3E1A" w:rsidRPr="009353E6" w:rsidRDefault="002D3E1A" w:rsidP="002D3521">
      <w:pPr>
        <w:pStyle w:val="BodyText"/>
        <w:tabs>
          <w:tab w:val="left" w:pos="540"/>
        </w:tabs>
        <w:spacing w:line="240" w:lineRule="auto"/>
        <w:jc w:val="left"/>
        <w:rPr>
          <w:i/>
          <w:sz w:val="22"/>
          <w:szCs w:val="22"/>
          <w:lang w:val="pl-PL"/>
        </w:rPr>
      </w:pPr>
    </w:p>
    <w:p w:rsidR="002D3E1A" w:rsidRPr="009353E6" w:rsidRDefault="002D3E1A" w:rsidP="00F831F6">
      <w:pPr>
        <w:pStyle w:val="BodyText"/>
        <w:spacing w:line="240" w:lineRule="auto"/>
        <w:jc w:val="left"/>
        <w:rPr>
          <w:sz w:val="22"/>
          <w:szCs w:val="22"/>
          <w:lang w:val="pl-PL"/>
        </w:rPr>
      </w:pPr>
    </w:p>
    <w:p w:rsidR="002D3E1A" w:rsidRPr="009353E6" w:rsidRDefault="002D3E1A" w:rsidP="005D27AA">
      <w:pPr>
        <w:pStyle w:val="BodyText"/>
        <w:tabs>
          <w:tab w:val="left" w:pos="540"/>
        </w:tabs>
        <w:spacing w:line="240" w:lineRule="auto"/>
        <w:jc w:val="left"/>
        <w:rPr>
          <w:b/>
          <w:sz w:val="22"/>
          <w:szCs w:val="22"/>
          <w:lang w:val="pl-PL"/>
        </w:rPr>
      </w:pPr>
      <w:r w:rsidRPr="009353E6">
        <w:rPr>
          <w:b/>
          <w:sz w:val="22"/>
          <w:szCs w:val="22"/>
          <w:lang w:val="pl-PL"/>
        </w:rPr>
        <w:t>1.</w:t>
      </w:r>
      <w:r w:rsidRPr="009353E6">
        <w:rPr>
          <w:b/>
          <w:sz w:val="22"/>
          <w:szCs w:val="22"/>
          <w:lang w:val="pl-PL"/>
        </w:rPr>
        <w:tab/>
      </w:r>
      <w:r w:rsidR="002D3521" w:rsidRPr="009353E6">
        <w:rPr>
          <w:b/>
          <w:sz w:val="22"/>
          <w:szCs w:val="22"/>
          <w:lang w:val="pl-PL"/>
        </w:rPr>
        <w:t>Co to jest lek MicardisPlus i w jakim celu się go stosuje</w:t>
      </w:r>
    </w:p>
    <w:p w:rsidR="0072154B" w:rsidRPr="009353E6" w:rsidRDefault="0072154B" w:rsidP="00F831F6">
      <w:pPr>
        <w:pStyle w:val="BodyText"/>
        <w:spacing w:line="240" w:lineRule="auto"/>
        <w:jc w:val="left"/>
        <w:rPr>
          <w:sz w:val="22"/>
          <w:szCs w:val="22"/>
          <w:lang w:val="pl-PL"/>
        </w:rPr>
      </w:pPr>
    </w:p>
    <w:p w:rsidR="00844C2F" w:rsidRPr="009353E6" w:rsidRDefault="00844C2F" w:rsidP="00F831F6">
      <w:pPr>
        <w:pStyle w:val="BodyText"/>
        <w:spacing w:line="240" w:lineRule="auto"/>
        <w:jc w:val="left"/>
        <w:rPr>
          <w:sz w:val="22"/>
          <w:szCs w:val="22"/>
          <w:lang w:val="pl-PL"/>
        </w:rPr>
      </w:pPr>
      <w:r w:rsidRPr="009353E6">
        <w:rPr>
          <w:sz w:val="22"/>
          <w:szCs w:val="22"/>
          <w:lang w:val="pl-PL"/>
        </w:rPr>
        <w:t xml:space="preserve">MicardisPlus jest </w:t>
      </w:r>
      <w:r w:rsidR="00A54564" w:rsidRPr="009353E6">
        <w:rPr>
          <w:sz w:val="22"/>
          <w:szCs w:val="22"/>
          <w:lang w:val="pl-PL"/>
        </w:rPr>
        <w:t>lekiem złożonym, z</w:t>
      </w:r>
      <w:r w:rsidR="00450054" w:rsidRPr="009353E6">
        <w:rPr>
          <w:sz w:val="22"/>
          <w:szCs w:val="22"/>
          <w:lang w:val="pl-PL"/>
        </w:rPr>
        <w:t>a</w:t>
      </w:r>
      <w:r w:rsidR="00A54564" w:rsidRPr="009353E6">
        <w:rPr>
          <w:sz w:val="22"/>
          <w:szCs w:val="22"/>
          <w:lang w:val="pl-PL"/>
        </w:rPr>
        <w:t xml:space="preserve">wierającym dwie </w:t>
      </w:r>
      <w:r w:rsidRPr="009353E6">
        <w:rPr>
          <w:sz w:val="22"/>
          <w:szCs w:val="22"/>
          <w:lang w:val="pl-PL"/>
        </w:rPr>
        <w:t>substancj</w:t>
      </w:r>
      <w:r w:rsidR="00A54564" w:rsidRPr="009353E6">
        <w:rPr>
          <w:sz w:val="22"/>
          <w:szCs w:val="22"/>
          <w:lang w:val="pl-PL"/>
        </w:rPr>
        <w:t>e</w:t>
      </w:r>
      <w:r w:rsidRPr="009353E6">
        <w:rPr>
          <w:sz w:val="22"/>
          <w:szCs w:val="22"/>
          <w:lang w:val="pl-PL"/>
        </w:rPr>
        <w:t xml:space="preserve"> czynn</w:t>
      </w:r>
      <w:r w:rsidR="00A54564" w:rsidRPr="009353E6">
        <w:rPr>
          <w:sz w:val="22"/>
          <w:szCs w:val="22"/>
          <w:lang w:val="pl-PL"/>
        </w:rPr>
        <w:t>e</w:t>
      </w:r>
      <w:r w:rsidRPr="009353E6">
        <w:rPr>
          <w:sz w:val="22"/>
          <w:szCs w:val="22"/>
          <w:lang w:val="pl-PL"/>
        </w:rPr>
        <w:t>, telmisartan i</w:t>
      </w:r>
    </w:p>
    <w:p w:rsidR="00844C2F" w:rsidRPr="009353E6" w:rsidRDefault="00C368B1" w:rsidP="00F831F6">
      <w:pPr>
        <w:pStyle w:val="BodyText"/>
        <w:spacing w:line="240" w:lineRule="auto"/>
        <w:jc w:val="left"/>
        <w:rPr>
          <w:sz w:val="22"/>
          <w:szCs w:val="22"/>
          <w:lang w:val="pl-PL"/>
        </w:rPr>
      </w:pPr>
      <w:r w:rsidRPr="009353E6">
        <w:rPr>
          <w:sz w:val="22"/>
          <w:szCs w:val="22"/>
          <w:lang w:val="pl-PL"/>
        </w:rPr>
        <w:t>h</w:t>
      </w:r>
      <w:r w:rsidR="00844C2F" w:rsidRPr="009353E6">
        <w:rPr>
          <w:sz w:val="22"/>
          <w:szCs w:val="22"/>
          <w:lang w:val="pl-PL"/>
        </w:rPr>
        <w:t>ydrochlorotiazyd</w:t>
      </w:r>
      <w:r w:rsidR="00A54564" w:rsidRPr="009353E6">
        <w:rPr>
          <w:sz w:val="22"/>
          <w:szCs w:val="22"/>
          <w:lang w:val="pl-PL"/>
        </w:rPr>
        <w:t xml:space="preserve"> </w:t>
      </w:r>
      <w:r w:rsidR="00844C2F" w:rsidRPr="009353E6">
        <w:rPr>
          <w:sz w:val="22"/>
          <w:szCs w:val="22"/>
          <w:lang w:val="pl-PL"/>
        </w:rPr>
        <w:t xml:space="preserve">w jednej tabletce. Obie substancje wspomagają kontrolę wysokiego ciśnienia tętniczego krwi.  </w:t>
      </w:r>
    </w:p>
    <w:p w:rsidR="00844C2F" w:rsidRPr="009353E6" w:rsidRDefault="00844C2F" w:rsidP="00F831F6">
      <w:pPr>
        <w:pStyle w:val="BodyText"/>
        <w:spacing w:line="240" w:lineRule="auto"/>
        <w:jc w:val="left"/>
        <w:rPr>
          <w:sz w:val="22"/>
          <w:szCs w:val="22"/>
          <w:lang w:val="pl-PL"/>
        </w:rPr>
      </w:pPr>
    </w:p>
    <w:p w:rsidR="00844C2F" w:rsidRPr="009353E6" w:rsidRDefault="00844C2F" w:rsidP="002D507E">
      <w:pPr>
        <w:pStyle w:val="BodyText"/>
        <w:numPr>
          <w:ilvl w:val="0"/>
          <w:numId w:val="26"/>
        </w:numPr>
        <w:tabs>
          <w:tab w:val="clear" w:pos="2520"/>
          <w:tab w:val="num" w:pos="540"/>
        </w:tabs>
        <w:spacing w:line="240" w:lineRule="auto"/>
        <w:ind w:left="540" w:hanging="540"/>
        <w:jc w:val="left"/>
        <w:rPr>
          <w:sz w:val="22"/>
          <w:szCs w:val="22"/>
          <w:lang w:val="pl-PL"/>
        </w:rPr>
      </w:pPr>
      <w:r w:rsidRPr="009353E6">
        <w:rPr>
          <w:sz w:val="22"/>
          <w:szCs w:val="22"/>
          <w:lang w:val="pl-PL"/>
        </w:rPr>
        <w:t xml:space="preserve">Telmisartan należy do grupy leków zwanych antagonistami receptora angiotensyny II. Angiotensyna II jest substancją </w:t>
      </w:r>
      <w:r w:rsidR="00A54564" w:rsidRPr="009353E6">
        <w:rPr>
          <w:sz w:val="22"/>
          <w:szCs w:val="22"/>
          <w:lang w:val="pl-PL"/>
        </w:rPr>
        <w:t xml:space="preserve">wytwarzaną </w:t>
      </w:r>
      <w:r w:rsidRPr="009353E6">
        <w:rPr>
          <w:sz w:val="22"/>
          <w:szCs w:val="22"/>
          <w:lang w:val="pl-PL"/>
        </w:rPr>
        <w:t>w organizmie, powodującą zwężenie naczyń krwionośnych</w:t>
      </w:r>
      <w:r w:rsidR="00A54564" w:rsidRPr="009353E6">
        <w:rPr>
          <w:sz w:val="22"/>
          <w:szCs w:val="22"/>
          <w:lang w:val="pl-PL"/>
        </w:rPr>
        <w:t>, t</w:t>
      </w:r>
      <w:r w:rsidRPr="009353E6">
        <w:rPr>
          <w:sz w:val="22"/>
          <w:szCs w:val="22"/>
          <w:lang w:val="pl-PL"/>
        </w:rPr>
        <w:t>ym samym podwyższając</w:t>
      </w:r>
      <w:r w:rsidR="00A54564" w:rsidRPr="009353E6">
        <w:rPr>
          <w:sz w:val="22"/>
          <w:szCs w:val="22"/>
          <w:lang w:val="pl-PL"/>
        </w:rPr>
        <w:t xml:space="preserve">ą </w:t>
      </w:r>
      <w:r w:rsidRPr="009353E6">
        <w:rPr>
          <w:sz w:val="22"/>
          <w:szCs w:val="22"/>
          <w:lang w:val="pl-PL"/>
        </w:rPr>
        <w:t>ciśnienie tętnicze. Te</w:t>
      </w:r>
      <w:r w:rsidR="00450054" w:rsidRPr="009353E6">
        <w:rPr>
          <w:sz w:val="22"/>
          <w:szCs w:val="22"/>
          <w:lang w:val="pl-PL"/>
        </w:rPr>
        <w:t>l</w:t>
      </w:r>
      <w:r w:rsidRPr="009353E6">
        <w:rPr>
          <w:sz w:val="22"/>
          <w:szCs w:val="22"/>
          <w:lang w:val="pl-PL"/>
        </w:rPr>
        <w:t>misartan blokuje działani</w:t>
      </w:r>
      <w:r w:rsidR="00A54564" w:rsidRPr="009353E6">
        <w:rPr>
          <w:sz w:val="22"/>
          <w:szCs w:val="22"/>
          <w:lang w:val="pl-PL"/>
        </w:rPr>
        <w:t>e</w:t>
      </w:r>
      <w:r w:rsidRPr="009353E6">
        <w:rPr>
          <w:sz w:val="22"/>
          <w:szCs w:val="22"/>
          <w:lang w:val="pl-PL"/>
        </w:rPr>
        <w:t xml:space="preserve"> angiotensyny II, w związku z czym naczynia krwionośne rozszerzają się, a ciśnienie tętnicze obniża. </w:t>
      </w:r>
    </w:p>
    <w:p w:rsidR="00844C2F" w:rsidRPr="009353E6" w:rsidRDefault="00844C2F" w:rsidP="005D27AA">
      <w:pPr>
        <w:pStyle w:val="BodyText"/>
        <w:tabs>
          <w:tab w:val="num" w:pos="540"/>
        </w:tabs>
        <w:spacing w:line="240" w:lineRule="auto"/>
        <w:ind w:left="540" w:hanging="540"/>
        <w:jc w:val="left"/>
        <w:rPr>
          <w:sz w:val="22"/>
          <w:szCs w:val="22"/>
          <w:lang w:val="pl-PL"/>
        </w:rPr>
      </w:pPr>
    </w:p>
    <w:p w:rsidR="00844C2F" w:rsidRPr="009353E6" w:rsidRDefault="00844C2F" w:rsidP="002D507E">
      <w:pPr>
        <w:pStyle w:val="BodyText"/>
        <w:numPr>
          <w:ilvl w:val="0"/>
          <w:numId w:val="26"/>
        </w:numPr>
        <w:tabs>
          <w:tab w:val="clear" w:pos="2520"/>
          <w:tab w:val="num" w:pos="540"/>
        </w:tabs>
        <w:spacing w:line="240" w:lineRule="auto"/>
        <w:ind w:left="540" w:hanging="540"/>
        <w:jc w:val="left"/>
        <w:rPr>
          <w:sz w:val="22"/>
          <w:szCs w:val="22"/>
          <w:lang w:val="pl-PL"/>
        </w:rPr>
      </w:pPr>
      <w:r w:rsidRPr="009353E6">
        <w:rPr>
          <w:sz w:val="22"/>
          <w:szCs w:val="22"/>
          <w:lang w:val="pl-PL"/>
        </w:rPr>
        <w:t xml:space="preserve">Hydrochlorotiazyd należy do grupy leków zwanych tiazydowymi lekami moczopędnymi, zwiększa wydalanie moczu, co prowadzi do obniżenia ciśnienia tętniczego. </w:t>
      </w:r>
    </w:p>
    <w:p w:rsidR="00844C2F" w:rsidRPr="009353E6" w:rsidRDefault="00844C2F" w:rsidP="00F831F6">
      <w:pPr>
        <w:pStyle w:val="BodyText"/>
        <w:spacing w:line="240" w:lineRule="auto"/>
        <w:jc w:val="left"/>
        <w:rPr>
          <w:sz w:val="22"/>
          <w:szCs w:val="22"/>
          <w:lang w:val="pl-PL"/>
        </w:rPr>
      </w:pPr>
    </w:p>
    <w:p w:rsidR="00844C2F" w:rsidRPr="009353E6" w:rsidRDefault="00844C2F" w:rsidP="00F831F6">
      <w:pPr>
        <w:pStyle w:val="BodyText"/>
        <w:spacing w:line="240" w:lineRule="auto"/>
        <w:jc w:val="left"/>
        <w:rPr>
          <w:sz w:val="22"/>
          <w:szCs w:val="22"/>
          <w:lang w:val="pl-PL"/>
        </w:rPr>
      </w:pPr>
      <w:r w:rsidRPr="009353E6">
        <w:rPr>
          <w:sz w:val="22"/>
          <w:szCs w:val="22"/>
          <w:lang w:val="pl-PL"/>
        </w:rPr>
        <w:t>Nieleczone podwyższone ciśnienie tętnicze może powodować uszkodzenie naczyń krwionośnych w</w:t>
      </w:r>
      <w:r w:rsidR="00B43A19" w:rsidRPr="009353E6">
        <w:rPr>
          <w:sz w:val="22"/>
          <w:szCs w:val="22"/>
          <w:lang w:val="pl-PL"/>
        </w:rPr>
        <w:t> </w:t>
      </w:r>
      <w:r w:rsidRPr="009353E6">
        <w:rPr>
          <w:sz w:val="22"/>
          <w:szCs w:val="22"/>
          <w:lang w:val="pl-PL"/>
        </w:rPr>
        <w:t>narządach, w niektórych przypadkach może być przyczyną powikłań takich jak zawał serca, niewydolność serca lub nerek, udar mózgu lub utrata wzroku. Najczęściej przed pojawieniem się powyższych powikłań nie obserwuje się występowania żadnych</w:t>
      </w:r>
      <w:r w:rsidR="00A54564" w:rsidRPr="009353E6">
        <w:rPr>
          <w:sz w:val="22"/>
          <w:szCs w:val="22"/>
          <w:lang w:val="pl-PL"/>
        </w:rPr>
        <w:t xml:space="preserve"> </w:t>
      </w:r>
      <w:r w:rsidRPr="009353E6">
        <w:rPr>
          <w:sz w:val="22"/>
          <w:szCs w:val="22"/>
          <w:lang w:val="pl-PL"/>
        </w:rPr>
        <w:t>objawów</w:t>
      </w:r>
      <w:r w:rsidR="00A54564" w:rsidRPr="009353E6">
        <w:rPr>
          <w:sz w:val="22"/>
          <w:szCs w:val="22"/>
          <w:lang w:val="pl-PL"/>
        </w:rPr>
        <w:t xml:space="preserve"> podwyższonego ciśnienia krwi. Z tego względu ważne jest, aby regularnie mierzyć </w:t>
      </w:r>
      <w:r w:rsidRPr="009353E6">
        <w:rPr>
          <w:sz w:val="22"/>
          <w:szCs w:val="22"/>
          <w:lang w:val="pl-PL"/>
        </w:rPr>
        <w:t>ciśnieni</w:t>
      </w:r>
      <w:r w:rsidR="00A54564" w:rsidRPr="009353E6">
        <w:rPr>
          <w:sz w:val="22"/>
          <w:szCs w:val="22"/>
          <w:lang w:val="pl-PL"/>
        </w:rPr>
        <w:t>e</w:t>
      </w:r>
      <w:r w:rsidRPr="009353E6">
        <w:rPr>
          <w:sz w:val="22"/>
          <w:szCs w:val="22"/>
          <w:lang w:val="pl-PL"/>
        </w:rPr>
        <w:t xml:space="preserve"> tętnicze krwi</w:t>
      </w:r>
      <w:r w:rsidR="00A54564" w:rsidRPr="009353E6">
        <w:rPr>
          <w:sz w:val="22"/>
          <w:szCs w:val="22"/>
          <w:lang w:val="pl-PL"/>
        </w:rPr>
        <w:t>, żeby sprawdzać, czy mieści się ono w prawidłowym zakresie wartości.</w:t>
      </w:r>
      <w:r w:rsidRPr="009353E6">
        <w:rPr>
          <w:sz w:val="22"/>
          <w:szCs w:val="22"/>
          <w:lang w:val="pl-PL"/>
        </w:rPr>
        <w:t xml:space="preserve"> </w:t>
      </w:r>
    </w:p>
    <w:p w:rsidR="00844C2F" w:rsidRPr="009353E6" w:rsidRDefault="00844C2F" w:rsidP="00F831F6">
      <w:pPr>
        <w:pStyle w:val="BodyText"/>
        <w:spacing w:line="240" w:lineRule="auto"/>
        <w:jc w:val="left"/>
        <w:rPr>
          <w:sz w:val="22"/>
          <w:szCs w:val="22"/>
          <w:lang w:val="pl-PL"/>
        </w:rPr>
      </w:pPr>
    </w:p>
    <w:p w:rsidR="00844C2F" w:rsidRPr="009353E6" w:rsidRDefault="00844C2F" w:rsidP="00F831F6">
      <w:pPr>
        <w:pStyle w:val="BodyText"/>
        <w:spacing w:line="240" w:lineRule="auto"/>
        <w:jc w:val="left"/>
        <w:rPr>
          <w:rFonts w:eastAsia="MS Mincho"/>
          <w:sz w:val="22"/>
          <w:szCs w:val="22"/>
          <w:lang w:val="pl-PL" w:eastAsia="ja-JP"/>
        </w:rPr>
      </w:pPr>
      <w:r w:rsidRPr="009353E6">
        <w:rPr>
          <w:rFonts w:eastAsia="MS Mincho"/>
          <w:b/>
          <w:sz w:val="22"/>
          <w:szCs w:val="22"/>
          <w:lang w:val="pl-PL" w:eastAsia="ja-JP"/>
        </w:rPr>
        <w:t>MicardisPlus jest stosowany</w:t>
      </w:r>
      <w:r w:rsidRPr="009353E6">
        <w:rPr>
          <w:rFonts w:eastAsia="MS Mincho"/>
          <w:sz w:val="22"/>
          <w:szCs w:val="22"/>
          <w:lang w:val="pl-PL" w:eastAsia="ja-JP"/>
        </w:rPr>
        <w:t xml:space="preserve"> w leczeniu wysokiego ciśnienia tętniczego (samoistnego nadciśnienia tętniczego) u</w:t>
      </w:r>
      <w:r w:rsidR="00DB03B7" w:rsidRPr="009353E6">
        <w:rPr>
          <w:rFonts w:eastAsia="MS Mincho"/>
          <w:sz w:val="22"/>
          <w:szCs w:val="22"/>
          <w:lang w:val="pl-PL" w:eastAsia="ja-JP"/>
        </w:rPr>
        <w:t xml:space="preserve"> osób</w:t>
      </w:r>
      <w:r w:rsidRPr="009353E6">
        <w:rPr>
          <w:rFonts w:eastAsia="MS Mincho"/>
          <w:sz w:val="22"/>
          <w:szCs w:val="22"/>
          <w:lang w:val="pl-PL" w:eastAsia="ja-JP"/>
        </w:rPr>
        <w:t xml:space="preserve"> </w:t>
      </w:r>
      <w:r w:rsidR="002D3521" w:rsidRPr="009353E6">
        <w:rPr>
          <w:rFonts w:eastAsia="MS Mincho"/>
          <w:sz w:val="22"/>
          <w:szCs w:val="22"/>
          <w:lang w:val="pl-PL" w:eastAsia="ja-JP"/>
        </w:rPr>
        <w:t>dorosłych</w:t>
      </w:r>
      <w:r w:rsidRPr="009353E6">
        <w:rPr>
          <w:rFonts w:eastAsia="MS Mincho"/>
          <w:sz w:val="22"/>
          <w:szCs w:val="22"/>
          <w:lang w:val="pl-PL" w:eastAsia="ja-JP"/>
        </w:rPr>
        <w:t xml:space="preserve">, u których ciśnienie </w:t>
      </w:r>
      <w:r w:rsidR="00DB03B7" w:rsidRPr="009353E6">
        <w:rPr>
          <w:rFonts w:eastAsia="MS Mincho"/>
          <w:sz w:val="22"/>
          <w:szCs w:val="22"/>
          <w:lang w:val="pl-PL" w:eastAsia="ja-JP"/>
        </w:rPr>
        <w:t xml:space="preserve">tętnicze </w:t>
      </w:r>
      <w:r w:rsidRPr="009353E6">
        <w:rPr>
          <w:rFonts w:eastAsia="MS Mincho"/>
          <w:sz w:val="22"/>
          <w:szCs w:val="22"/>
          <w:lang w:val="pl-PL" w:eastAsia="ja-JP"/>
        </w:rPr>
        <w:t>nie jest wystarczająco kontrolowane przez telmisartan lub hydrochlorotiazyd stosowan</w:t>
      </w:r>
      <w:r w:rsidR="00A54564" w:rsidRPr="009353E6">
        <w:rPr>
          <w:rFonts w:eastAsia="MS Mincho"/>
          <w:sz w:val="22"/>
          <w:szCs w:val="22"/>
          <w:lang w:val="pl-PL" w:eastAsia="ja-JP"/>
        </w:rPr>
        <w:t>y</w:t>
      </w:r>
      <w:r w:rsidRPr="009353E6">
        <w:rPr>
          <w:rFonts w:eastAsia="MS Mincho"/>
          <w:sz w:val="22"/>
          <w:szCs w:val="22"/>
          <w:lang w:val="pl-PL" w:eastAsia="ja-JP"/>
        </w:rPr>
        <w:t xml:space="preserve"> oddzielnie.</w:t>
      </w:r>
    </w:p>
    <w:p w:rsidR="002D3E1A" w:rsidRPr="009353E6" w:rsidRDefault="002D3E1A"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sz w:val="22"/>
          <w:szCs w:val="22"/>
          <w:lang w:val="pl-PL"/>
        </w:rPr>
      </w:pPr>
    </w:p>
    <w:p w:rsidR="002D3E1A" w:rsidRPr="009353E6" w:rsidRDefault="002D3E1A" w:rsidP="005E3A9A">
      <w:pPr>
        <w:pStyle w:val="BodyText"/>
        <w:keepNext/>
        <w:tabs>
          <w:tab w:val="left" w:pos="540"/>
        </w:tabs>
        <w:spacing w:line="240" w:lineRule="auto"/>
        <w:jc w:val="left"/>
        <w:rPr>
          <w:b/>
          <w:sz w:val="22"/>
          <w:szCs w:val="22"/>
          <w:lang w:val="pl-PL"/>
        </w:rPr>
      </w:pPr>
      <w:r w:rsidRPr="009353E6">
        <w:rPr>
          <w:b/>
          <w:sz w:val="22"/>
          <w:szCs w:val="22"/>
          <w:lang w:val="pl-PL"/>
        </w:rPr>
        <w:t>2.</w:t>
      </w:r>
      <w:r w:rsidRPr="009353E6">
        <w:rPr>
          <w:b/>
          <w:sz w:val="22"/>
          <w:szCs w:val="22"/>
          <w:lang w:val="pl-PL"/>
        </w:rPr>
        <w:tab/>
      </w:r>
      <w:r w:rsidR="002D3521" w:rsidRPr="009353E6">
        <w:rPr>
          <w:b/>
          <w:sz w:val="22"/>
          <w:szCs w:val="22"/>
          <w:lang w:val="pl-PL"/>
        </w:rPr>
        <w:t xml:space="preserve">Informacje ważne przed </w:t>
      </w:r>
      <w:r w:rsidR="007D54FB" w:rsidRPr="009353E6">
        <w:rPr>
          <w:b/>
          <w:sz w:val="22"/>
          <w:szCs w:val="22"/>
          <w:lang w:val="pl-PL"/>
        </w:rPr>
        <w:t>przyjęciem</w:t>
      </w:r>
      <w:r w:rsidR="002D3521" w:rsidRPr="009353E6">
        <w:rPr>
          <w:b/>
          <w:sz w:val="22"/>
          <w:szCs w:val="22"/>
          <w:lang w:val="pl-PL"/>
        </w:rPr>
        <w:t xml:space="preserve"> leku MicardisPlus </w:t>
      </w:r>
    </w:p>
    <w:p w:rsidR="002D3E1A" w:rsidRPr="009353E6" w:rsidRDefault="005E3A9A" w:rsidP="005E3A9A">
      <w:pPr>
        <w:pStyle w:val="BodyText"/>
        <w:keepNext/>
        <w:tabs>
          <w:tab w:val="left" w:pos="1305"/>
        </w:tabs>
        <w:spacing w:line="240" w:lineRule="auto"/>
        <w:jc w:val="left"/>
        <w:rPr>
          <w:sz w:val="22"/>
          <w:szCs w:val="22"/>
          <w:lang w:val="pl-PL"/>
        </w:rPr>
      </w:pPr>
      <w:r w:rsidRPr="009353E6">
        <w:rPr>
          <w:sz w:val="22"/>
          <w:szCs w:val="22"/>
          <w:lang w:val="pl-PL"/>
        </w:rPr>
        <w:tab/>
      </w:r>
    </w:p>
    <w:p w:rsidR="00844C2F" w:rsidRPr="009353E6" w:rsidRDefault="00844C2F" w:rsidP="005E3A9A">
      <w:pPr>
        <w:pStyle w:val="BodyText"/>
        <w:keepNext/>
        <w:spacing w:line="240" w:lineRule="auto"/>
        <w:jc w:val="left"/>
        <w:rPr>
          <w:b/>
          <w:sz w:val="22"/>
          <w:szCs w:val="22"/>
          <w:lang w:val="pl-PL"/>
        </w:rPr>
      </w:pPr>
      <w:r w:rsidRPr="009353E6">
        <w:rPr>
          <w:b/>
          <w:sz w:val="22"/>
          <w:szCs w:val="22"/>
          <w:lang w:val="pl-PL"/>
        </w:rPr>
        <w:t xml:space="preserve">Kiedy nie </w:t>
      </w:r>
      <w:r w:rsidR="007D54FB" w:rsidRPr="009353E6">
        <w:rPr>
          <w:b/>
          <w:sz w:val="22"/>
          <w:szCs w:val="22"/>
          <w:lang w:val="pl-PL"/>
        </w:rPr>
        <w:t>przyjmować</w:t>
      </w:r>
      <w:r w:rsidRPr="009353E6">
        <w:rPr>
          <w:b/>
          <w:sz w:val="22"/>
          <w:szCs w:val="22"/>
          <w:lang w:val="pl-PL"/>
        </w:rPr>
        <w:t xml:space="preserve"> leku MicardisPlus</w:t>
      </w:r>
    </w:p>
    <w:p w:rsidR="006427B8" w:rsidRPr="009353E6" w:rsidRDefault="006427B8" w:rsidP="005E3A9A">
      <w:pPr>
        <w:pStyle w:val="BodyText"/>
        <w:keepNext/>
        <w:spacing w:line="240" w:lineRule="auto"/>
        <w:jc w:val="left"/>
        <w:rPr>
          <w:b/>
          <w:sz w:val="22"/>
          <w:szCs w:val="22"/>
          <w:lang w:val="pl-PL"/>
        </w:rPr>
      </w:pPr>
    </w:p>
    <w:p w:rsidR="002D3521" w:rsidRPr="009353E6" w:rsidRDefault="0046551F" w:rsidP="002D3521">
      <w:pPr>
        <w:numPr>
          <w:ilvl w:val="0"/>
          <w:numId w:val="50"/>
        </w:numPr>
        <w:rPr>
          <w:sz w:val="22"/>
          <w:szCs w:val="22"/>
          <w:lang w:val="pl-PL" w:bidi="bn-IN"/>
        </w:rPr>
      </w:pPr>
      <w:r w:rsidRPr="009353E6">
        <w:rPr>
          <w:sz w:val="22"/>
          <w:szCs w:val="22"/>
          <w:lang w:val="pl-PL"/>
        </w:rPr>
        <w:t xml:space="preserve">jeśli pacjent ma uczulenie na telmisartan lub którykolwiek z pozostałych składników </w:t>
      </w:r>
      <w:r w:rsidR="002D3521" w:rsidRPr="009353E6">
        <w:rPr>
          <w:sz w:val="22"/>
          <w:szCs w:val="22"/>
          <w:lang w:val="pl-PL" w:bidi="bn-IN"/>
        </w:rPr>
        <w:t>tego leku (wymienion</w:t>
      </w:r>
      <w:r w:rsidR="007D54FB" w:rsidRPr="009353E6">
        <w:rPr>
          <w:sz w:val="22"/>
          <w:szCs w:val="22"/>
          <w:lang w:val="pl-PL" w:bidi="bn-IN"/>
        </w:rPr>
        <w:t>ych</w:t>
      </w:r>
      <w:r w:rsidR="002D3521" w:rsidRPr="009353E6">
        <w:rPr>
          <w:sz w:val="22"/>
          <w:szCs w:val="22"/>
          <w:lang w:val="pl-PL" w:bidi="bn-IN"/>
        </w:rPr>
        <w:t xml:space="preserve"> w punkcie</w:t>
      </w:r>
      <w:r w:rsidR="00A02686" w:rsidRPr="009353E6">
        <w:rPr>
          <w:sz w:val="22"/>
          <w:szCs w:val="22"/>
          <w:lang w:val="pl-PL" w:bidi="bn-IN"/>
        </w:rPr>
        <w:t> </w:t>
      </w:r>
      <w:r w:rsidR="002D3521" w:rsidRPr="009353E6">
        <w:rPr>
          <w:sz w:val="22"/>
          <w:szCs w:val="22"/>
          <w:lang w:val="pl-PL" w:bidi="bn-IN"/>
        </w:rPr>
        <w:t>6)</w:t>
      </w:r>
      <w:r w:rsidR="00D26BEB" w:rsidRPr="009353E6">
        <w:rPr>
          <w:sz w:val="22"/>
          <w:szCs w:val="22"/>
          <w:lang w:val="pl-PL" w:bidi="bn-IN"/>
        </w:rPr>
        <w:t>;</w:t>
      </w:r>
    </w:p>
    <w:p w:rsidR="0046551F" w:rsidRPr="009353E6" w:rsidRDefault="0046551F" w:rsidP="0046551F">
      <w:pPr>
        <w:numPr>
          <w:ilvl w:val="0"/>
          <w:numId w:val="27"/>
        </w:numPr>
        <w:tabs>
          <w:tab w:val="clear" w:pos="720"/>
          <w:tab w:val="num" w:pos="567"/>
        </w:tabs>
        <w:ind w:hanging="720"/>
        <w:rPr>
          <w:strike/>
          <w:sz w:val="22"/>
          <w:szCs w:val="22"/>
          <w:lang w:val="pl-PL"/>
        </w:rPr>
      </w:pPr>
      <w:r w:rsidRPr="009353E6">
        <w:rPr>
          <w:sz w:val="22"/>
          <w:szCs w:val="22"/>
          <w:lang w:val="pl-PL"/>
        </w:rPr>
        <w:t>jeśli pacjent ma uczulenie na hydrochlorotiazyd lub pochodne sulfonamidów;</w:t>
      </w:r>
    </w:p>
    <w:p w:rsidR="0042510A" w:rsidRPr="009353E6" w:rsidRDefault="0042510A" w:rsidP="002D507E">
      <w:pPr>
        <w:pStyle w:val="BodyText"/>
        <w:numPr>
          <w:ilvl w:val="0"/>
          <w:numId w:val="27"/>
        </w:numPr>
        <w:tabs>
          <w:tab w:val="clear" w:pos="720"/>
          <w:tab w:val="num" w:pos="540"/>
        </w:tabs>
        <w:spacing w:line="240" w:lineRule="auto"/>
        <w:ind w:left="540" w:hanging="540"/>
        <w:jc w:val="left"/>
        <w:rPr>
          <w:sz w:val="22"/>
          <w:szCs w:val="22"/>
          <w:lang w:val="pl-PL"/>
        </w:rPr>
      </w:pPr>
      <w:r w:rsidRPr="009353E6">
        <w:rPr>
          <w:sz w:val="22"/>
          <w:szCs w:val="22"/>
          <w:lang w:val="pl-PL"/>
        </w:rPr>
        <w:t>po trzecim miesiącu ciąży</w:t>
      </w:r>
      <w:r w:rsidR="0001616F" w:rsidRPr="009353E6">
        <w:rPr>
          <w:sz w:val="22"/>
          <w:szCs w:val="22"/>
          <w:lang w:val="pl-PL"/>
        </w:rPr>
        <w:t xml:space="preserve">. </w:t>
      </w:r>
      <w:r w:rsidRPr="009353E6">
        <w:rPr>
          <w:sz w:val="22"/>
          <w:szCs w:val="22"/>
          <w:lang w:val="pl-PL"/>
        </w:rPr>
        <w:t>(Również należy unikać stosowania leku MicardisPlus we wczesnym ok</w:t>
      </w:r>
      <w:r w:rsidR="00E926FA" w:rsidRPr="009353E6">
        <w:rPr>
          <w:sz w:val="22"/>
          <w:szCs w:val="22"/>
          <w:lang w:val="pl-PL"/>
        </w:rPr>
        <w:t>resie ciąży – patrz punkt „Ciąża</w:t>
      </w:r>
      <w:r w:rsidRPr="009353E6">
        <w:rPr>
          <w:sz w:val="22"/>
          <w:szCs w:val="22"/>
          <w:lang w:val="pl-PL"/>
        </w:rPr>
        <w:t>”);</w:t>
      </w:r>
    </w:p>
    <w:p w:rsidR="00844C2F" w:rsidRPr="009353E6" w:rsidRDefault="00844C2F" w:rsidP="002D507E">
      <w:pPr>
        <w:pStyle w:val="BodyText"/>
        <w:numPr>
          <w:ilvl w:val="0"/>
          <w:numId w:val="27"/>
        </w:numPr>
        <w:tabs>
          <w:tab w:val="clear" w:pos="720"/>
          <w:tab w:val="num" w:pos="540"/>
        </w:tabs>
        <w:spacing w:line="240" w:lineRule="auto"/>
        <w:ind w:left="540" w:hanging="540"/>
        <w:jc w:val="left"/>
        <w:rPr>
          <w:sz w:val="22"/>
          <w:szCs w:val="22"/>
          <w:lang w:val="pl-PL"/>
        </w:rPr>
      </w:pPr>
      <w:r w:rsidRPr="009353E6">
        <w:rPr>
          <w:sz w:val="22"/>
          <w:szCs w:val="22"/>
          <w:lang w:val="pl-PL"/>
        </w:rPr>
        <w:t>jeśli u pacjenta występuje ciężka choroba wątroby, tak</w:t>
      </w:r>
      <w:r w:rsidR="00A54564" w:rsidRPr="009353E6">
        <w:rPr>
          <w:sz w:val="22"/>
          <w:szCs w:val="22"/>
          <w:lang w:val="pl-PL"/>
        </w:rPr>
        <w:t>a</w:t>
      </w:r>
      <w:r w:rsidRPr="009353E6">
        <w:rPr>
          <w:sz w:val="22"/>
          <w:szCs w:val="22"/>
          <w:lang w:val="pl-PL"/>
        </w:rPr>
        <w:t xml:space="preserve"> jak zastój żółci lub zwężeni</w:t>
      </w:r>
      <w:r w:rsidR="00A54564" w:rsidRPr="009353E6">
        <w:rPr>
          <w:sz w:val="22"/>
          <w:szCs w:val="22"/>
          <w:lang w:val="pl-PL"/>
        </w:rPr>
        <w:t>e</w:t>
      </w:r>
      <w:r w:rsidRPr="009353E6">
        <w:rPr>
          <w:sz w:val="22"/>
          <w:szCs w:val="22"/>
          <w:lang w:val="pl-PL"/>
        </w:rPr>
        <w:t xml:space="preserve"> dróg żółciowych (zaburzenia odpływu</w:t>
      </w:r>
      <w:r w:rsidR="001D027E" w:rsidRPr="009353E6">
        <w:rPr>
          <w:sz w:val="22"/>
          <w:szCs w:val="22"/>
          <w:lang w:val="pl-PL"/>
        </w:rPr>
        <w:t xml:space="preserve"> żółci </w:t>
      </w:r>
      <w:r w:rsidR="00A50023" w:rsidRPr="009353E6">
        <w:rPr>
          <w:sz w:val="22"/>
          <w:szCs w:val="22"/>
          <w:lang w:val="pl-PL"/>
        </w:rPr>
        <w:t xml:space="preserve">z wątroby i </w:t>
      </w:r>
      <w:r w:rsidR="001D027E" w:rsidRPr="009353E6">
        <w:rPr>
          <w:sz w:val="22"/>
          <w:szCs w:val="22"/>
          <w:lang w:val="pl-PL"/>
        </w:rPr>
        <w:t>pęcherzyka żółciowego)</w:t>
      </w:r>
      <w:r w:rsidR="00A54564" w:rsidRPr="009353E6">
        <w:rPr>
          <w:sz w:val="22"/>
          <w:szCs w:val="22"/>
          <w:lang w:val="pl-PL"/>
        </w:rPr>
        <w:t xml:space="preserve"> lub jakakolwiek inna c</w:t>
      </w:r>
      <w:r w:rsidR="001D027E" w:rsidRPr="009353E6">
        <w:rPr>
          <w:sz w:val="22"/>
          <w:szCs w:val="22"/>
          <w:lang w:val="pl-PL"/>
        </w:rPr>
        <w:t>iężk</w:t>
      </w:r>
      <w:r w:rsidR="00A54564" w:rsidRPr="009353E6">
        <w:rPr>
          <w:sz w:val="22"/>
          <w:szCs w:val="22"/>
          <w:lang w:val="pl-PL"/>
        </w:rPr>
        <w:t>a</w:t>
      </w:r>
      <w:r w:rsidR="001D027E" w:rsidRPr="009353E6">
        <w:rPr>
          <w:sz w:val="22"/>
          <w:szCs w:val="22"/>
          <w:lang w:val="pl-PL"/>
        </w:rPr>
        <w:t xml:space="preserve"> chorob</w:t>
      </w:r>
      <w:r w:rsidR="00A54564" w:rsidRPr="009353E6">
        <w:rPr>
          <w:sz w:val="22"/>
          <w:szCs w:val="22"/>
          <w:lang w:val="pl-PL"/>
        </w:rPr>
        <w:t>a</w:t>
      </w:r>
      <w:r w:rsidR="001D027E" w:rsidRPr="009353E6">
        <w:rPr>
          <w:sz w:val="22"/>
          <w:szCs w:val="22"/>
          <w:lang w:val="pl-PL"/>
        </w:rPr>
        <w:t xml:space="preserve"> wątroby</w:t>
      </w:r>
      <w:r w:rsidR="00A54564" w:rsidRPr="009353E6">
        <w:rPr>
          <w:sz w:val="22"/>
          <w:szCs w:val="22"/>
          <w:lang w:val="pl-PL"/>
        </w:rPr>
        <w:t xml:space="preserve">; </w:t>
      </w:r>
    </w:p>
    <w:p w:rsidR="00844C2F" w:rsidRPr="009353E6" w:rsidRDefault="00844C2F" w:rsidP="002D507E">
      <w:pPr>
        <w:pStyle w:val="BodyText"/>
        <w:numPr>
          <w:ilvl w:val="0"/>
          <w:numId w:val="27"/>
        </w:numPr>
        <w:tabs>
          <w:tab w:val="clear" w:pos="720"/>
          <w:tab w:val="num" w:pos="540"/>
        </w:tabs>
        <w:spacing w:line="240" w:lineRule="auto"/>
        <w:ind w:left="540" w:hanging="540"/>
        <w:jc w:val="left"/>
        <w:rPr>
          <w:sz w:val="22"/>
          <w:szCs w:val="22"/>
          <w:lang w:val="pl-PL"/>
        </w:rPr>
      </w:pPr>
      <w:r w:rsidRPr="009353E6">
        <w:rPr>
          <w:sz w:val="22"/>
          <w:szCs w:val="22"/>
          <w:lang w:val="pl-PL"/>
        </w:rPr>
        <w:t xml:space="preserve">jeśli </w:t>
      </w:r>
      <w:r w:rsidR="001D027E" w:rsidRPr="009353E6">
        <w:rPr>
          <w:sz w:val="22"/>
          <w:szCs w:val="22"/>
          <w:lang w:val="pl-PL"/>
        </w:rPr>
        <w:t>pacjent ma ciężką chorobę nerek</w:t>
      </w:r>
      <w:r w:rsidR="00A54564" w:rsidRPr="009353E6">
        <w:rPr>
          <w:sz w:val="22"/>
          <w:szCs w:val="22"/>
          <w:lang w:val="pl-PL"/>
        </w:rPr>
        <w:t xml:space="preserve">; </w:t>
      </w:r>
    </w:p>
    <w:p w:rsidR="00844C2F" w:rsidRPr="009353E6" w:rsidRDefault="00844C2F" w:rsidP="002D507E">
      <w:pPr>
        <w:pStyle w:val="BodyText"/>
        <w:numPr>
          <w:ilvl w:val="0"/>
          <w:numId w:val="27"/>
        </w:numPr>
        <w:tabs>
          <w:tab w:val="clear" w:pos="720"/>
          <w:tab w:val="num" w:pos="540"/>
        </w:tabs>
        <w:spacing w:line="240" w:lineRule="auto"/>
        <w:ind w:left="540" w:hanging="540"/>
        <w:jc w:val="left"/>
        <w:rPr>
          <w:sz w:val="22"/>
          <w:szCs w:val="22"/>
          <w:lang w:val="pl-PL"/>
        </w:rPr>
      </w:pPr>
      <w:r w:rsidRPr="009353E6">
        <w:rPr>
          <w:sz w:val="22"/>
          <w:szCs w:val="22"/>
          <w:lang w:val="pl-PL"/>
        </w:rPr>
        <w:t xml:space="preserve">jeśli lekarz stwierdzi występowanie </w:t>
      </w:r>
      <w:r w:rsidR="00A54564" w:rsidRPr="009353E6">
        <w:rPr>
          <w:sz w:val="22"/>
          <w:szCs w:val="22"/>
          <w:lang w:val="pl-PL"/>
        </w:rPr>
        <w:t xml:space="preserve">małego stężenia </w:t>
      </w:r>
      <w:r w:rsidRPr="009353E6">
        <w:rPr>
          <w:sz w:val="22"/>
          <w:szCs w:val="22"/>
          <w:lang w:val="pl-PL"/>
        </w:rPr>
        <w:t>potasu lub</w:t>
      </w:r>
      <w:r w:rsidR="00A54564" w:rsidRPr="009353E6">
        <w:rPr>
          <w:sz w:val="22"/>
          <w:szCs w:val="22"/>
          <w:lang w:val="pl-PL"/>
        </w:rPr>
        <w:t xml:space="preserve"> dużego stężenia </w:t>
      </w:r>
      <w:r w:rsidRPr="009353E6">
        <w:rPr>
          <w:sz w:val="22"/>
          <w:szCs w:val="22"/>
          <w:lang w:val="pl-PL"/>
        </w:rPr>
        <w:t>wapnia we krwi, które nie ulegają poprawie na skutek leczenia</w:t>
      </w:r>
      <w:r w:rsidR="00D26BEB" w:rsidRPr="009353E6">
        <w:rPr>
          <w:sz w:val="22"/>
          <w:szCs w:val="22"/>
          <w:lang w:val="pl-PL"/>
        </w:rPr>
        <w:t>;</w:t>
      </w:r>
    </w:p>
    <w:p w:rsidR="00065995" w:rsidRPr="009353E6" w:rsidRDefault="00065995" w:rsidP="00D50D09">
      <w:pPr>
        <w:numPr>
          <w:ilvl w:val="0"/>
          <w:numId w:val="27"/>
        </w:numPr>
        <w:tabs>
          <w:tab w:val="clear" w:pos="720"/>
          <w:tab w:val="num" w:pos="567"/>
        </w:tabs>
        <w:ind w:left="567" w:hanging="578"/>
        <w:rPr>
          <w:sz w:val="22"/>
          <w:szCs w:val="22"/>
          <w:lang w:val="pl-PL"/>
        </w:rPr>
      </w:pPr>
      <w:r w:rsidRPr="009353E6">
        <w:rPr>
          <w:sz w:val="22"/>
          <w:szCs w:val="22"/>
          <w:lang w:val="pl-PL"/>
        </w:rPr>
        <w:t>jeśli pacjent ma cukrzycę  lub zaburzenia czynności nerek i jest leczony lekiem obniżającym ciśnienie krwi zawierającym aliskiren.</w:t>
      </w:r>
    </w:p>
    <w:p w:rsidR="00A50023" w:rsidRPr="009353E6" w:rsidRDefault="00A50023" w:rsidP="00A50023">
      <w:pPr>
        <w:rPr>
          <w:sz w:val="22"/>
          <w:szCs w:val="22"/>
          <w:lang w:val="pl-PL"/>
        </w:rPr>
      </w:pPr>
    </w:p>
    <w:p w:rsidR="00844C2F" w:rsidRPr="009353E6" w:rsidRDefault="00844C2F" w:rsidP="00F831F6">
      <w:pPr>
        <w:pStyle w:val="BodyText"/>
        <w:spacing w:line="240" w:lineRule="auto"/>
        <w:jc w:val="left"/>
        <w:rPr>
          <w:sz w:val="22"/>
          <w:szCs w:val="22"/>
          <w:lang w:val="pl-PL"/>
        </w:rPr>
      </w:pPr>
    </w:p>
    <w:p w:rsidR="00844C2F" w:rsidRPr="009353E6" w:rsidRDefault="00AD0A52" w:rsidP="00F831F6">
      <w:pPr>
        <w:pStyle w:val="BodyText"/>
        <w:spacing w:line="240" w:lineRule="auto"/>
        <w:jc w:val="left"/>
        <w:rPr>
          <w:sz w:val="22"/>
          <w:szCs w:val="22"/>
          <w:lang w:val="pl-PL"/>
        </w:rPr>
      </w:pPr>
      <w:r w:rsidRPr="009353E6">
        <w:rPr>
          <w:sz w:val="22"/>
          <w:szCs w:val="22"/>
          <w:lang w:val="pl-PL"/>
        </w:rPr>
        <w:t>Jeżeli</w:t>
      </w:r>
      <w:r w:rsidR="00A54564" w:rsidRPr="009353E6">
        <w:rPr>
          <w:sz w:val="22"/>
          <w:szCs w:val="22"/>
          <w:lang w:val="pl-PL"/>
        </w:rPr>
        <w:t xml:space="preserve"> którakolwiek powyższa sytuacja dotyczy pacjenta, n</w:t>
      </w:r>
      <w:r w:rsidR="00844C2F" w:rsidRPr="009353E6">
        <w:rPr>
          <w:sz w:val="22"/>
          <w:szCs w:val="22"/>
          <w:lang w:val="pl-PL"/>
        </w:rPr>
        <w:t>ależy poinformować lekarza lub farmaceutę, przed zażyciem leku MicardisPlus.</w:t>
      </w:r>
    </w:p>
    <w:p w:rsidR="00844C2F" w:rsidRPr="009353E6" w:rsidRDefault="00844C2F" w:rsidP="00F831F6">
      <w:pPr>
        <w:pStyle w:val="BodyText"/>
        <w:spacing w:line="240" w:lineRule="auto"/>
        <w:jc w:val="left"/>
        <w:rPr>
          <w:sz w:val="22"/>
          <w:szCs w:val="22"/>
          <w:lang w:val="pl-PL"/>
        </w:rPr>
      </w:pPr>
    </w:p>
    <w:p w:rsidR="002D3521" w:rsidRPr="009353E6" w:rsidRDefault="002D3521" w:rsidP="002D3521">
      <w:pPr>
        <w:keepNext/>
        <w:keepLines/>
        <w:rPr>
          <w:b/>
          <w:sz w:val="22"/>
          <w:szCs w:val="22"/>
          <w:lang w:val="pl-PL" w:bidi="bn-IN"/>
        </w:rPr>
      </w:pPr>
      <w:r w:rsidRPr="009353E6">
        <w:rPr>
          <w:b/>
          <w:sz w:val="22"/>
          <w:szCs w:val="22"/>
          <w:lang w:val="pl-PL" w:bidi="bn-IN"/>
        </w:rPr>
        <w:t>Ostrzeżenia i środki ostrożności</w:t>
      </w:r>
    </w:p>
    <w:p w:rsidR="00C449BB" w:rsidRPr="009353E6" w:rsidRDefault="00123CB1" w:rsidP="00C449BB">
      <w:pPr>
        <w:pStyle w:val="BodyText"/>
        <w:spacing w:line="240" w:lineRule="auto"/>
        <w:jc w:val="left"/>
        <w:rPr>
          <w:sz w:val="22"/>
          <w:szCs w:val="22"/>
          <w:lang w:val="pl-PL"/>
        </w:rPr>
      </w:pPr>
      <w:r w:rsidRPr="009353E6">
        <w:rPr>
          <w:sz w:val="22"/>
          <w:szCs w:val="22"/>
          <w:lang w:val="pl-PL"/>
        </w:rPr>
        <w:t>Przed rozpoczęciem przyjmowania leku MicardisPlus n</w:t>
      </w:r>
      <w:r w:rsidR="00C449BB" w:rsidRPr="009353E6">
        <w:rPr>
          <w:sz w:val="22"/>
          <w:szCs w:val="22"/>
          <w:lang w:val="pl-PL"/>
        </w:rPr>
        <w:t xml:space="preserve">ależy </w:t>
      </w:r>
      <w:r w:rsidR="007D54FB" w:rsidRPr="009353E6">
        <w:rPr>
          <w:sz w:val="22"/>
          <w:szCs w:val="22"/>
          <w:lang w:val="pl-PL"/>
        </w:rPr>
        <w:t>omówić to z lekarzem</w:t>
      </w:r>
      <w:r w:rsidR="00C449BB" w:rsidRPr="009353E6">
        <w:rPr>
          <w:sz w:val="22"/>
          <w:szCs w:val="22"/>
          <w:lang w:val="pl-PL"/>
        </w:rPr>
        <w:t xml:space="preserve">, jeśli u pacjenta występują lub występowały którekolwiek z poniższych stanów lub chorób: </w:t>
      </w:r>
    </w:p>
    <w:p w:rsidR="00844C2F" w:rsidRPr="009353E6" w:rsidRDefault="00844C2F" w:rsidP="00F831F6">
      <w:pPr>
        <w:pStyle w:val="BodyText"/>
        <w:spacing w:line="240" w:lineRule="auto"/>
        <w:jc w:val="left"/>
        <w:rPr>
          <w:sz w:val="22"/>
          <w:szCs w:val="22"/>
          <w:lang w:val="pl-PL"/>
        </w:rPr>
      </w:pPr>
    </w:p>
    <w:p w:rsidR="00844C2F" w:rsidRPr="009353E6" w:rsidRDefault="00A54564"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n</w:t>
      </w:r>
      <w:r w:rsidR="00844C2F" w:rsidRPr="009353E6">
        <w:rPr>
          <w:rFonts w:eastAsia="MS Mincho"/>
          <w:sz w:val="22"/>
          <w:szCs w:val="22"/>
          <w:lang w:val="pl-PL" w:eastAsia="ja-JP"/>
        </w:rPr>
        <w:t>iskie ciśnienie tętnicze krwi (niedociśnienie), którego prawdopodobieństwo wystąpienia jest w</w:t>
      </w:r>
      <w:r w:rsidRPr="009353E6">
        <w:rPr>
          <w:rFonts w:eastAsia="MS Mincho"/>
          <w:sz w:val="22"/>
          <w:szCs w:val="22"/>
          <w:lang w:val="pl-PL" w:eastAsia="ja-JP"/>
        </w:rPr>
        <w:t>iększe, jeśli pacjent jest</w:t>
      </w:r>
      <w:r w:rsidR="00844C2F" w:rsidRPr="009353E6">
        <w:rPr>
          <w:rFonts w:eastAsia="MS Mincho"/>
          <w:sz w:val="22"/>
          <w:szCs w:val="22"/>
          <w:lang w:val="pl-PL" w:eastAsia="ja-JP"/>
        </w:rPr>
        <w:t xml:space="preserve"> odwodniony (nadmiern</w:t>
      </w:r>
      <w:r w:rsidRPr="009353E6">
        <w:rPr>
          <w:rFonts w:eastAsia="MS Mincho"/>
          <w:sz w:val="22"/>
          <w:szCs w:val="22"/>
          <w:lang w:val="pl-PL" w:eastAsia="ja-JP"/>
        </w:rPr>
        <w:t>a</w:t>
      </w:r>
      <w:r w:rsidR="00844C2F" w:rsidRPr="009353E6">
        <w:rPr>
          <w:rFonts w:eastAsia="MS Mincho"/>
          <w:sz w:val="22"/>
          <w:szCs w:val="22"/>
          <w:lang w:val="pl-PL" w:eastAsia="ja-JP"/>
        </w:rPr>
        <w:t xml:space="preserve"> utrat</w:t>
      </w:r>
      <w:r w:rsidRPr="009353E6">
        <w:rPr>
          <w:rFonts w:eastAsia="MS Mincho"/>
          <w:sz w:val="22"/>
          <w:szCs w:val="22"/>
          <w:lang w:val="pl-PL" w:eastAsia="ja-JP"/>
        </w:rPr>
        <w:t>a</w:t>
      </w:r>
      <w:r w:rsidR="00844C2F" w:rsidRPr="009353E6">
        <w:rPr>
          <w:rFonts w:eastAsia="MS Mincho"/>
          <w:sz w:val="22"/>
          <w:szCs w:val="22"/>
          <w:lang w:val="pl-PL" w:eastAsia="ja-JP"/>
        </w:rPr>
        <w:t xml:space="preserve"> wody z organizmu) lub </w:t>
      </w:r>
      <w:r w:rsidRPr="009353E6">
        <w:rPr>
          <w:rFonts w:eastAsia="MS Mincho"/>
          <w:sz w:val="22"/>
          <w:szCs w:val="22"/>
          <w:lang w:val="pl-PL" w:eastAsia="ja-JP"/>
        </w:rPr>
        <w:t xml:space="preserve">ma </w:t>
      </w:r>
      <w:r w:rsidR="00844C2F" w:rsidRPr="009353E6">
        <w:rPr>
          <w:rFonts w:eastAsia="MS Mincho"/>
          <w:sz w:val="22"/>
          <w:szCs w:val="22"/>
          <w:lang w:val="pl-PL" w:eastAsia="ja-JP"/>
        </w:rPr>
        <w:t>niedob</w:t>
      </w:r>
      <w:r w:rsidRPr="009353E6">
        <w:rPr>
          <w:rFonts w:eastAsia="MS Mincho"/>
          <w:sz w:val="22"/>
          <w:szCs w:val="22"/>
          <w:lang w:val="pl-PL" w:eastAsia="ja-JP"/>
        </w:rPr>
        <w:t>ór</w:t>
      </w:r>
      <w:r w:rsidR="00844C2F" w:rsidRPr="009353E6">
        <w:rPr>
          <w:rFonts w:eastAsia="MS Mincho"/>
          <w:sz w:val="22"/>
          <w:szCs w:val="22"/>
          <w:lang w:val="pl-PL" w:eastAsia="ja-JP"/>
        </w:rPr>
        <w:t xml:space="preserve"> soli, z powodu stosowania leków moczopędnych (tabletek odwadniających), diety ubogosolnej, biegunki, wymiotów lub hemodializy</w:t>
      </w:r>
      <w:r w:rsidR="00D26BEB" w:rsidRPr="009353E6">
        <w:rPr>
          <w:rFonts w:eastAsia="MS Mincho"/>
          <w:sz w:val="22"/>
          <w:szCs w:val="22"/>
          <w:lang w:val="pl-PL" w:eastAsia="ja-JP"/>
        </w:rPr>
        <w:t>;</w:t>
      </w:r>
    </w:p>
    <w:p w:rsidR="00844C2F" w:rsidRPr="009353E6" w:rsidRDefault="00A54564"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844C2F" w:rsidRPr="009353E6">
        <w:rPr>
          <w:rFonts w:eastAsia="MS Mincho"/>
          <w:sz w:val="22"/>
          <w:szCs w:val="22"/>
          <w:lang w:val="pl-PL" w:eastAsia="ja-JP"/>
        </w:rPr>
        <w:t>horoba nerek lub przeszczep nerk</w:t>
      </w:r>
      <w:r w:rsidRPr="009353E6">
        <w:rPr>
          <w:rFonts w:eastAsia="MS Mincho"/>
          <w:sz w:val="22"/>
          <w:szCs w:val="22"/>
          <w:lang w:val="pl-PL" w:eastAsia="ja-JP"/>
        </w:rPr>
        <w:t>i</w:t>
      </w:r>
      <w:r w:rsidR="00D26BEB" w:rsidRPr="009353E6">
        <w:rPr>
          <w:rFonts w:eastAsia="MS Mincho"/>
          <w:sz w:val="22"/>
          <w:szCs w:val="22"/>
          <w:lang w:val="pl-PL" w:eastAsia="ja-JP"/>
        </w:rPr>
        <w:t>;</w:t>
      </w:r>
    </w:p>
    <w:p w:rsidR="00844C2F" w:rsidRPr="009353E6" w:rsidRDefault="00A54564"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z</w:t>
      </w:r>
      <w:r w:rsidR="00844C2F" w:rsidRPr="009353E6">
        <w:rPr>
          <w:rFonts w:eastAsia="MS Mincho"/>
          <w:sz w:val="22"/>
          <w:szCs w:val="22"/>
          <w:lang w:val="pl-PL" w:eastAsia="ja-JP"/>
        </w:rPr>
        <w:t>wężenie tętnicy nerkowej (zwężenie naczyń krwionośnych jednej nerki lub obu nerek)</w:t>
      </w:r>
      <w:r w:rsidRPr="009353E6">
        <w:rPr>
          <w:rFonts w:eastAsia="MS Mincho"/>
          <w:sz w:val="22"/>
          <w:szCs w:val="22"/>
          <w:lang w:val="pl-PL" w:eastAsia="ja-JP"/>
        </w:rPr>
        <w:t>.</w:t>
      </w:r>
    </w:p>
    <w:p w:rsidR="00844C2F" w:rsidRPr="009353E6" w:rsidRDefault="00A54564"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844C2F" w:rsidRPr="009353E6">
        <w:rPr>
          <w:rFonts w:eastAsia="MS Mincho"/>
          <w:sz w:val="22"/>
          <w:szCs w:val="22"/>
          <w:lang w:val="pl-PL" w:eastAsia="ja-JP"/>
        </w:rPr>
        <w:t>horoba wątroby</w:t>
      </w:r>
      <w:r w:rsidR="00D26BEB" w:rsidRPr="009353E6">
        <w:rPr>
          <w:rFonts w:eastAsia="MS Mincho"/>
          <w:sz w:val="22"/>
          <w:szCs w:val="22"/>
          <w:lang w:val="pl-PL" w:eastAsia="ja-JP"/>
        </w:rPr>
        <w:t>;</w:t>
      </w:r>
    </w:p>
    <w:p w:rsidR="00844C2F" w:rsidRPr="009353E6" w:rsidRDefault="00D26BEB"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 xml:space="preserve">choroba serca; </w:t>
      </w:r>
    </w:p>
    <w:p w:rsidR="00844C2F" w:rsidRPr="009353E6" w:rsidRDefault="008841B5"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844C2F" w:rsidRPr="009353E6">
        <w:rPr>
          <w:rFonts w:eastAsia="MS Mincho"/>
          <w:sz w:val="22"/>
          <w:szCs w:val="22"/>
          <w:lang w:val="pl-PL" w:eastAsia="ja-JP"/>
        </w:rPr>
        <w:t>ukrzyca</w:t>
      </w:r>
      <w:r w:rsidR="00D26BEB" w:rsidRPr="009353E6">
        <w:rPr>
          <w:rFonts w:eastAsia="MS Mincho"/>
          <w:sz w:val="22"/>
          <w:szCs w:val="22"/>
          <w:lang w:val="pl-PL" w:eastAsia="ja-JP"/>
        </w:rPr>
        <w:t>;</w:t>
      </w:r>
    </w:p>
    <w:p w:rsidR="00943AC1" w:rsidRPr="009353E6" w:rsidRDefault="008841B5"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dna moczanowa</w:t>
      </w:r>
      <w:r w:rsidR="00D26BEB" w:rsidRPr="009353E6">
        <w:rPr>
          <w:rFonts w:eastAsia="MS Mincho"/>
          <w:sz w:val="22"/>
          <w:szCs w:val="22"/>
          <w:lang w:val="pl-PL" w:eastAsia="ja-JP"/>
        </w:rPr>
        <w:t xml:space="preserve">; </w:t>
      </w:r>
    </w:p>
    <w:p w:rsidR="008841B5" w:rsidRPr="009353E6" w:rsidRDefault="008841B5"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zwiększone stężenie aldosteronu (zatrzymanie wody i soli w organizmie łącznie z zaburzeniem równowagi elektrolitowej)</w:t>
      </w:r>
      <w:r w:rsidR="00D26BEB" w:rsidRPr="009353E6">
        <w:rPr>
          <w:rFonts w:eastAsia="MS Mincho"/>
          <w:sz w:val="22"/>
          <w:szCs w:val="22"/>
          <w:lang w:val="pl-PL" w:eastAsia="ja-JP"/>
        </w:rPr>
        <w:t>;</w:t>
      </w:r>
    </w:p>
    <w:p w:rsidR="00844C2F" w:rsidRPr="009353E6" w:rsidRDefault="00A54564" w:rsidP="002D507E">
      <w:pPr>
        <w:pStyle w:val="BodyText"/>
        <w:numPr>
          <w:ilvl w:val="0"/>
          <w:numId w:val="28"/>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t</w:t>
      </w:r>
      <w:r w:rsidR="00844C2F" w:rsidRPr="009353E6">
        <w:rPr>
          <w:rFonts w:eastAsia="MS Mincho"/>
          <w:sz w:val="22"/>
          <w:szCs w:val="22"/>
          <w:lang w:val="pl-PL" w:eastAsia="ja-JP"/>
        </w:rPr>
        <w:t xml:space="preserve">oczeń rumieniowaty </w:t>
      </w:r>
      <w:r w:rsidR="006D0AD0" w:rsidRPr="009353E6">
        <w:rPr>
          <w:rFonts w:eastAsia="MS Mincho"/>
          <w:sz w:val="22"/>
          <w:szCs w:val="22"/>
          <w:lang w:val="pl-PL" w:eastAsia="ja-JP"/>
        </w:rPr>
        <w:t xml:space="preserve">układowy </w:t>
      </w:r>
      <w:r w:rsidR="00844C2F" w:rsidRPr="009353E6">
        <w:rPr>
          <w:rFonts w:eastAsia="MS Mincho"/>
          <w:sz w:val="22"/>
          <w:szCs w:val="22"/>
          <w:lang w:val="pl-PL" w:eastAsia="ja-JP"/>
        </w:rPr>
        <w:t>(zwany również „toczniem” lub „SLE”), choroba, w przebiegu której układ odpornościowy atakuje własny organizm</w:t>
      </w:r>
      <w:r w:rsidR="00D26BEB" w:rsidRPr="009353E6">
        <w:rPr>
          <w:rFonts w:eastAsia="MS Mincho"/>
          <w:sz w:val="22"/>
          <w:szCs w:val="22"/>
          <w:lang w:val="pl-PL" w:eastAsia="ja-JP"/>
        </w:rPr>
        <w:t>;</w:t>
      </w:r>
    </w:p>
    <w:p w:rsidR="00836E05" w:rsidRPr="009353E6" w:rsidRDefault="00836E05" w:rsidP="00836E05">
      <w:pPr>
        <w:pStyle w:val="BodyText"/>
        <w:numPr>
          <w:ilvl w:val="0"/>
          <w:numId w:val="28"/>
        </w:numPr>
        <w:tabs>
          <w:tab w:val="clear" w:pos="2520"/>
          <w:tab w:val="num" w:pos="567"/>
        </w:tabs>
        <w:spacing w:line="240" w:lineRule="auto"/>
        <w:ind w:left="567" w:hanging="567"/>
        <w:jc w:val="left"/>
        <w:rPr>
          <w:rFonts w:eastAsia="MS Mincho"/>
          <w:sz w:val="22"/>
          <w:szCs w:val="22"/>
          <w:lang w:val="pl-PL" w:eastAsia="ja-JP"/>
        </w:rPr>
      </w:pPr>
      <w:r w:rsidRPr="009353E6">
        <w:rPr>
          <w:rFonts w:eastAsia="MS Mincho"/>
          <w:sz w:val="22"/>
          <w:szCs w:val="22"/>
          <w:lang w:val="pl-PL" w:eastAsia="ja-JP"/>
        </w:rPr>
        <w:t xml:space="preserve">substancja czynna hydrochlorotiazyd może powodować rzadkie reakcje powodujące ograniczenie widzenia i ból oczu. Mogą to być objawy </w:t>
      </w:r>
      <w:r w:rsidR="007572B2" w:rsidRPr="009353E6">
        <w:rPr>
          <w:rFonts w:eastAsia="MS Mincho"/>
          <w:sz w:val="22"/>
          <w:szCs w:val="22"/>
          <w:lang w:val="pl-PL" w:eastAsia="ja-JP"/>
        </w:rPr>
        <w:t xml:space="preserve">gromadzenia się płynu w unaczynionej błonie otaczającej oko (nadmiernego nagromadzenia płynu między naczyniówką a twardówką) lub </w:t>
      </w:r>
      <w:r w:rsidRPr="009353E6">
        <w:rPr>
          <w:rFonts w:eastAsia="MS Mincho"/>
          <w:sz w:val="22"/>
          <w:szCs w:val="22"/>
          <w:lang w:val="pl-PL" w:eastAsia="ja-JP"/>
        </w:rPr>
        <w:t>zwiększonego ciśnienia w gałce ocznej</w:t>
      </w:r>
      <w:r w:rsidR="0086646A" w:rsidRPr="009353E6">
        <w:rPr>
          <w:rFonts w:eastAsia="MS Mincho"/>
          <w:sz w:val="22"/>
          <w:szCs w:val="22"/>
          <w:lang w:val="pl-PL" w:eastAsia="ja-JP"/>
        </w:rPr>
        <w:t>,</w:t>
      </w:r>
      <w:r w:rsidRPr="009353E6">
        <w:rPr>
          <w:rFonts w:eastAsia="MS Mincho"/>
          <w:sz w:val="22"/>
          <w:szCs w:val="22"/>
          <w:lang w:val="pl-PL" w:eastAsia="ja-JP"/>
        </w:rPr>
        <w:t xml:space="preserve"> które mogą się pojawić w ciągu kilku godzin </w:t>
      </w:r>
      <w:r w:rsidR="00542F0E" w:rsidRPr="009353E6">
        <w:rPr>
          <w:rFonts w:eastAsia="MS Mincho"/>
          <w:sz w:val="22"/>
          <w:szCs w:val="22"/>
          <w:lang w:val="pl-PL" w:eastAsia="ja-JP"/>
        </w:rPr>
        <w:t xml:space="preserve">do </w:t>
      </w:r>
      <w:r w:rsidRPr="009353E6">
        <w:rPr>
          <w:rFonts w:eastAsia="MS Mincho"/>
          <w:sz w:val="22"/>
          <w:szCs w:val="22"/>
          <w:lang w:val="pl-PL" w:eastAsia="ja-JP"/>
        </w:rPr>
        <w:t>kilku tygodni od przyjęcia leku MicardisPlus. Nieleczone mogą prowadzić do trwałe</w:t>
      </w:r>
      <w:r w:rsidR="00A50023" w:rsidRPr="009353E6">
        <w:rPr>
          <w:rFonts w:eastAsia="MS Mincho"/>
          <w:sz w:val="22"/>
          <w:szCs w:val="22"/>
          <w:lang w:val="pl-PL" w:eastAsia="ja-JP"/>
        </w:rPr>
        <w:t>go zaburzenia</w:t>
      </w:r>
      <w:r w:rsidRPr="009353E6">
        <w:rPr>
          <w:rFonts w:eastAsia="MS Mincho"/>
          <w:sz w:val="22"/>
          <w:szCs w:val="22"/>
          <w:lang w:val="pl-PL" w:eastAsia="ja-JP"/>
        </w:rPr>
        <w:t xml:space="preserve"> wzroku.</w:t>
      </w:r>
    </w:p>
    <w:p w:rsidR="006B5AC0" w:rsidRPr="009353E6" w:rsidRDefault="006B5AC0" w:rsidP="00836E05">
      <w:pPr>
        <w:pStyle w:val="BodyText"/>
        <w:numPr>
          <w:ilvl w:val="0"/>
          <w:numId w:val="28"/>
        </w:numPr>
        <w:tabs>
          <w:tab w:val="clear" w:pos="2520"/>
          <w:tab w:val="num" w:pos="567"/>
        </w:tabs>
        <w:spacing w:line="240" w:lineRule="auto"/>
        <w:ind w:left="567" w:hanging="567"/>
        <w:jc w:val="left"/>
        <w:rPr>
          <w:rFonts w:eastAsia="MS Mincho"/>
          <w:sz w:val="22"/>
          <w:szCs w:val="22"/>
          <w:lang w:val="pl-PL" w:eastAsia="ja-JP"/>
        </w:rPr>
      </w:pPr>
      <w:r w:rsidRPr="009353E6">
        <w:rPr>
          <w:sz w:val="22"/>
          <w:szCs w:val="22"/>
          <w:lang w:val="pl-PL"/>
        </w:rPr>
        <w:t>jeśli w przeszłości u pacjenta wystąpił nowotwór złośliwy skóry lub jeśli w trakcie leczenia pojawi się nieoczekiwana zmiana skórna. Leczenie hydrochlorotiazydem, zwłaszcza dużymi dawkami przez dłuższy czas, może zwiększyć ryzyko niektórych rodzajów nowotworów złośliwych skóry i warg (nieczerniakowy nowotwór złośliwy skóry). Podczas przyjmowania leku MicardisPlus należy chronić skórę przed działaniem światła słonecznego i</w:t>
      </w:r>
      <w:r w:rsidR="0096541B" w:rsidRPr="009353E6">
        <w:rPr>
          <w:sz w:val="22"/>
          <w:szCs w:val="22"/>
          <w:lang w:val="pl-PL"/>
        </w:rPr>
        <w:t> </w:t>
      </w:r>
      <w:r w:rsidRPr="009353E6">
        <w:rPr>
          <w:sz w:val="22"/>
          <w:szCs w:val="22"/>
          <w:lang w:val="pl-PL"/>
        </w:rPr>
        <w:t>promieniowaniem</w:t>
      </w:r>
      <w:r w:rsidR="007D79F4" w:rsidRPr="009353E6">
        <w:rPr>
          <w:sz w:val="22"/>
          <w:szCs w:val="22"/>
          <w:lang w:val="pl-PL"/>
        </w:rPr>
        <w:t> </w:t>
      </w:r>
      <w:r w:rsidRPr="009353E6">
        <w:rPr>
          <w:sz w:val="22"/>
          <w:szCs w:val="22"/>
          <w:lang w:val="pl-PL"/>
        </w:rPr>
        <w:t>UV.</w:t>
      </w:r>
    </w:p>
    <w:p w:rsidR="009A6C23" w:rsidRPr="009353E6" w:rsidRDefault="009A6C23" w:rsidP="009A6C23">
      <w:pPr>
        <w:rPr>
          <w:sz w:val="22"/>
          <w:szCs w:val="22"/>
          <w:lang w:val="pl-PL"/>
        </w:rPr>
      </w:pPr>
    </w:p>
    <w:p w:rsidR="009A6C23" w:rsidRPr="009353E6" w:rsidRDefault="009A6C23" w:rsidP="009A6C23">
      <w:pPr>
        <w:rPr>
          <w:sz w:val="22"/>
          <w:szCs w:val="22"/>
          <w:lang w:val="pl-PL"/>
        </w:rPr>
      </w:pPr>
      <w:r w:rsidRPr="009353E6">
        <w:rPr>
          <w:sz w:val="22"/>
          <w:szCs w:val="22"/>
          <w:lang w:val="pl-PL"/>
        </w:rPr>
        <w:t xml:space="preserve">Przed </w:t>
      </w:r>
      <w:r w:rsidR="00D028CC" w:rsidRPr="009353E6">
        <w:rPr>
          <w:sz w:val="22"/>
          <w:szCs w:val="22"/>
          <w:lang w:val="pl-PL"/>
        </w:rPr>
        <w:t xml:space="preserve">rozpoczęciem </w:t>
      </w:r>
      <w:r w:rsidR="007D54FB" w:rsidRPr="009353E6">
        <w:rPr>
          <w:sz w:val="22"/>
          <w:szCs w:val="22"/>
          <w:lang w:val="pl-PL"/>
        </w:rPr>
        <w:t>przyjmowania</w:t>
      </w:r>
      <w:r w:rsidR="00D028CC" w:rsidRPr="009353E6">
        <w:rPr>
          <w:sz w:val="22"/>
          <w:szCs w:val="22"/>
          <w:lang w:val="pl-PL"/>
        </w:rPr>
        <w:t xml:space="preserve"> </w:t>
      </w:r>
      <w:r w:rsidRPr="009353E6">
        <w:rPr>
          <w:sz w:val="22"/>
          <w:szCs w:val="22"/>
          <w:lang w:val="pl-PL"/>
        </w:rPr>
        <w:t xml:space="preserve">leku MicardisPlus należy </w:t>
      </w:r>
      <w:r w:rsidR="00D028CC" w:rsidRPr="009353E6">
        <w:rPr>
          <w:sz w:val="22"/>
          <w:szCs w:val="22"/>
          <w:lang w:val="pl-PL"/>
        </w:rPr>
        <w:t>omówić to z lekarzem</w:t>
      </w:r>
      <w:r w:rsidRPr="009353E6">
        <w:rPr>
          <w:sz w:val="22"/>
          <w:szCs w:val="22"/>
          <w:lang w:val="pl-PL"/>
        </w:rPr>
        <w:t>:</w:t>
      </w:r>
    </w:p>
    <w:p w:rsidR="00065995" w:rsidRPr="009353E6" w:rsidRDefault="00065995" w:rsidP="00065995">
      <w:pPr>
        <w:numPr>
          <w:ilvl w:val="0"/>
          <w:numId w:val="55"/>
        </w:numPr>
        <w:tabs>
          <w:tab w:val="left" w:pos="567"/>
        </w:tabs>
        <w:spacing w:line="260" w:lineRule="exact"/>
        <w:ind w:left="567" w:hanging="567"/>
        <w:rPr>
          <w:sz w:val="22"/>
          <w:szCs w:val="22"/>
          <w:lang w:val="pl-PL"/>
        </w:rPr>
      </w:pPr>
      <w:r w:rsidRPr="009353E6">
        <w:rPr>
          <w:sz w:val="22"/>
          <w:szCs w:val="22"/>
          <w:lang w:val="pl-PL"/>
        </w:rPr>
        <w:t>jeśli pacjent przyjmuje którykolwiek z poniższych leków stosowanych w leczeniu wysokiego ciśnienia krwi:</w:t>
      </w:r>
    </w:p>
    <w:p w:rsidR="00065995" w:rsidRPr="009353E6" w:rsidRDefault="00065995" w:rsidP="00065995">
      <w:pPr>
        <w:tabs>
          <w:tab w:val="left" w:pos="567"/>
        </w:tabs>
        <w:spacing w:line="260" w:lineRule="exact"/>
        <w:ind w:left="567"/>
        <w:rPr>
          <w:sz w:val="22"/>
          <w:szCs w:val="22"/>
          <w:lang w:val="pl-PL"/>
        </w:rPr>
      </w:pPr>
      <w:r w:rsidRPr="009353E6">
        <w:rPr>
          <w:sz w:val="22"/>
          <w:szCs w:val="22"/>
          <w:lang w:val="pl-PL"/>
        </w:rPr>
        <w:t>- inhibitor konwertazy angiotensyny (ACE) (ang. Angiotensin Converting Enzyme Inhibitors, ACEI) (na przykład enalapryl, lizynopryl, ramipryl), w szczególności je</w:t>
      </w:r>
      <w:r w:rsidR="00B86B03" w:rsidRPr="009353E6">
        <w:rPr>
          <w:sz w:val="22"/>
          <w:szCs w:val="22"/>
          <w:lang w:val="pl-PL"/>
        </w:rPr>
        <w:t>ś</w:t>
      </w:r>
      <w:r w:rsidRPr="009353E6">
        <w:rPr>
          <w:sz w:val="22"/>
          <w:szCs w:val="22"/>
          <w:lang w:val="pl-PL"/>
        </w:rPr>
        <w:t>li pacjent ma zaburzenia czynności nerek związane z cukrzycą.</w:t>
      </w:r>
    </w:p>
    <w:p w:rsidR="00065995" w:rsidRPr="009353E6" w:rsidRDefault="00065995" w:rsidP="00065995">
      <w:pPr>
        <w:tabs>
          <w:tab w:val="left" w:pos="567"/>
        </w:tabs>
        <w:spacing w:line="260" w:lineRule="exact"/>
        <w:rPr>
          <w:sz w:val="22"/>
          <w:szCs w:val="22"/>
          <w:lang w:val="pl-PL"/>
        </w:rPr>
      </w:pPr>
      <w:r w:rsidRPr="009353E6">
        <w:rPr>
          <w:sz w:val="22"/>
          <w:szCs w:val="22"/>
          <w:lang w:val="pl-PL"/>
        </w:rPr>
        <w:tab/>
        <w:t>- aliskiren.</w:t>
      </w:r>
    </w:p>
    <w:p w:rsidR="00065995" w:rsidRPr="009353E6" w:rsidRDefault="00065995" w:rsidP="00065995">
      <w:pPr>
        <w:keepNext/>
        <w:ind w:left="567"/>
        <w:rPr>
          <w:sz w:val="22"/>
          <w:szCs w:val="22"/>
          <w:lang w:val="pl-PL"/>
        </w:rPr>
      </w:pPr>
      <w:r w:rsidRPr="009353E6">
        <w:rPr>
          <w:sz w:val="22"/>
          <w:szCs w:val="22"/>
          <w:lang w:val="pl-PL"/>
        </w:rPr>
        <w:t xml:space="preserve">Lekarz prowadzący może monitorować czynność nerek, ciśnienie krwi oraz stężenie elektrolitów (np. potasu) we krwi w regularnych odstępach czasu. Patrz także informacje pod nagłówkiem „Kiedy nie </w:t>
      </w:r>
      <w:r w:rsidR="00105AE1" w:rsidRPr="009353E6">
        <w:rPr>
          <w:sz w:val="22"/>
          <w:szCs w:val="22"/>
          <w:lang w:val="pl-PL"/>
        </w:rPr>
        <w:t>przyjmować</w:t>
      </w:r>
      <w:r w:rsidRPr="009353E6">
        <w:rPr>
          <w:sz w:val="22"/>
          <w:szCs w:val="22"/>
          <w:lang w:val="pl-PL"/>
        </w:rPr>
        <w:t xml:space="preserve"> leku MicardisPlus”.</w:t>
      </w:r>
    </w:p>
    <w:p w:rsidR="00065995" w:rsidRPr="009353E6" w:rsidRDefault="00065995" w:rsidP="00065995">
      <w:pPr>
        <w:numPr>
          <w:ilvl w:val="0"/>
          <w:numId w:val="55"/>
        </w:numPr>
        <w:tabs>
          <w:tab w:val="left" w:pos="567"/>
        </w:tabs>
        <w:spacing w:line="260" w:lineRule="exact"/>
        <w:ind w:left="567" w:hanging="567"/>
        <w:rPr>
          <w:sz w:val="22"/>
          <w:szCs w:val="22"/>
          <w:lang w:val="pl-PL"/>
        </w:rPr>
      </w:pPr>
      <w:r w:rsidRPr="009353E6">
        <w:rPr>
          <w:sz w:val="22"/>
          <w:szCs w:val="22"/>
          <w:lang w:val="pl-PL"/>
        </w:rPr>
        <w:t>jeśli pacjent przyjmuje digoksynę.</w:t>
      </w:r>
    </w:p>
    <w:p w:rsidR="0021094B" w:rsidRPr="009353E6" w:rsidRDefault="0021094B" w:rsidP="00F831F6">
      <w:pPr>
        <w:pStyle w:val="BodyText"/>
        <w:spacing w:line="240" w:lineRule="auto"/>
        <w:jc w:val="left"/>
        <w:rPr>
          <w:sz w:val="22"/>
          <w:szCs w:val="22"/>
          <w:lang w:val="pl-PL"/>
        </w:rPr>
      </w:pPr>
    </w:p>
    <w:p w:rsidR="00F37EE9" w:rsidRPr="009353E6" w:rsidRDefault="00F320BE" w:rsidP="00F831F6">
      <w:pPr>
        <w:pStyle w:val="BodyText"/>
        <w:spacing w:line="240" w:lineRule="auto"/>
        <w:jc w:val="left"/>
        <w:rPr>
          <w:rFonts w:eastAsia="MS Mincho"/>
          <w:sz w:val="22"/>
          <w:szCs w:val="22"/>
          <w:lang w:val="pl-PL" w:eastAsia="ja-JP"/>
        </w:rPr>
      </w:pPr>
      <w:r w:rsidRPr="009353E6">
        <w:rPr>
          <w:sz w:val="22"/>
          <w:szCs w:val="22"/>
          <w:lang w:val="pl-PL"/>
        </w:rPr>
        <w:t xml:space="preserve">Należy poinformować lekarza o podejrzeniu </w:t>
      </w:r>
      <w:r w:rsidR="002D3521" w:rsidRPr="009353E6">
        <w:rPr>
          <w:sz w:val="22"/>
          <w:szCs w:val="22"/>
          <w:lang w:val="pl-PL"/>
        </w:rPr>
        <w:t>(</w:t>
      </w:r>
      <w:r w:rsidRPr="009353E6">
        <w:rPr>
          <w:sz w:val="22"/>
          <w:szCs w:val="22"/>
          <w:u w:val="single"/>
          <w:lang w:val="pl-PL"/>
        </w:rPr>
        <w:t>lub planowaniu</w:t>
      </w:r>
      <w:r w:rsidR="002D3521" w:rsidRPr="009353E6">
        <w:rPr>
          <w:sz w:val="22"/>
          <w:szCs w:val="22"/>
          <w:u w:val="single"/>
          <w:lang w:val="pl-PL"/>
        </w:rPr>
        <w:t>)</w:t>
      </w:r>
      <w:r w:rsidRPr="009353E6">
        <w:rPr>
          <w:sz w:val="22"/>
          <w:szCs w:val="22"/>
          <w:lang w:val="pl-PL"/>
        </w:rPr>
        <w:t xml:space="preserve"> ciąży. Nie zaleca się stosowania leku MicardisPlus we wczesnym okresie ciąży, </w:t>
      </w:r>
      <w:r w:rsidR="0042510A" w:rsidRPr="009353E6">
        <w:rPr>
          <w:rFonts w:eastAsia="MS Mincho"/>
          <w:sz w:val="22"/>
          <w:szCs w:val="22"/>
          <w:lang w:val="pl-PL" w:eastAsia="ja-JP"/>
        </w:rPr>
        <w:t>a nie wolno go przyjmować po trzecim miesiącu ciąży, ponieważ stosowany w tym okresie może poważnie zaszkodzić dziecku (patrz punkt „Ciąż</w:t>
      </w:r>
      <w:r w:rsidR="00E926FA" w:rsidRPr="009353E6">
        <w:rPr>
          <w:rFonts w:eastAsia="MS Mincho"/>
          <w:sz w:val="22"/>
          <w:szCs w:val="22"/>
          <w:lang w:val="pl-PL" w:eastAsia="ja-JP"/>
        </w:rPr>
        <w:t>a</w:t>
      </w:r>
      <w:r w:rsidR="0042510A" w:rsidRPr="009353E6">
        <w:rPr>
          <w:rFonts w:eastAsia="MS Mincho"/>
          <w:sz w:val="22"/>
          <w:szCs w:val="22"/>
          <w:lang w:val="pl-PL" w:eastAsia="ja-JP"/>
        </w:rPr>
        <w:t xml:space="preserve">”). </w:t>
      </w:r>
    </w:p>
    <w:p w:rsidR="0042510A" w:rsidRPr="009353E6" w:rsidRDefault="0042510A" w:rsidP="00F831F6">
      <w:pPr>
        <w:pStyle w:val="BodyText"/>
        <w:spacing w:line="240" w:lineRule="auto"/>
        <w:jc w:val="left"/>
        <w:rPr>
          <w:rFonts w:eastAsia="MS Mincho"/>
          <w:sz w:val="22"/>
          <w:szCs w:val="22"/>
          <w:lang w:val="pl-PL" w:eastAsia="ja-JP"/>
        </w:rPr>
      </w:pPr>
    </w:p>
    <w:p w:rsidR="00844C2F" w:rsidRPr="009353E6" w:rsidRDefault="00A54564" w:rsidP="00F831F6">
      <w:pPr>
        <w:pStyle w:val="BodyText"/>
        <w:spacing w:line="240" w:lineRule="auto"/>
        <w:jc w:val="left"/>
        <w:rPr>
          <w:sz w:val="22"/>
          <w:szCs w:val="22"/>
          <w:lang w:val="pl-PL"/>
        </w:rPr>
      </w:pPr>
      <w:r w:rsidRPr="009353E6">
        <w:rPr>
          <w:sz w:val="22"/>
          <w:szCs w:val="22"/>
          <w:lang w:val="pl-PL"/>
        </w:rPr>
        <w:t>Lec</w:t>
      </w:r>
      <w:r w:rsidR="008841B5" w:rsidRPr="009353E6">
        <w:rPr>
          <w:sz w:val="22"/>
          <w:szCs w:val="22"/>
          <w:lang w:val="pl-PL"/>
        </w:rPr>
        <w:t>z</w:t>
      </w:r>
      <w:r w:rsidRPr="009353E6">
        <w:rPr>
          <w:sz w:val="22"/>
          <w:szCs w:val="22"/>
          <w:lang w:val="pl-PL"/>
        </w:rPr>
        <w:t xml:space="preserve">enie </w:t>
      </w:r>
      <w:r w:rsidR="00844C2F" w:rsidRPr="009353E6">
        <w:rPr>
          <w:sz w:val="22"/>
          <w:szCs w:val="22"/>
          <w:lang w:val="pl-PL"/>
        </w:rPr>
        <w:t>hydrochlorotiazyd</w:t>
      </w:r>
      <w:r w:rsidRPr="009353E6">
        <w:rPr>
          <w:sz w:val="22"/>
          <w:szCs w:val="22"/>
          <w:lang w:val="pl-PL"/>
        </w:rPr>
        <w:t>em</w:t>
      </w:r>
      <w:r w:rsidR="00844C2F" w:rsidRPr="009353E6">
        <w:rPr>
          <w:sz w:val="22"/>
          <w:szCs w:val="22"/>
          <w:lang w:val="pl-PL"/>
        </w:rPr>
        <w:t xml:space="preserve"> może prowadzić do zaburzenia równowagi elektrolitów w organizmie. Typowe objawy zaburzenia gospodarki płynowej lub elektrolitowej obejmują suchość błon</w:t>
      </w:r>
      <w:r w:rsidRPr="009353E6">
        <w:rPr>
          <w:sz w:val="22"/>
          <w:szCs w:val="22"/>
          <w:lang w:val="pl-PL"/>
        </w:rPr>
        <w:t>y</w:t>
      </w:r>
      <w:r w:rsidR="00844C2F" w:rsidRPr="009353E6">
        <w:rPr>
          <w:sz w:val="22"/>
          <w:szCs w:val="22"/>
          <w:lang w:val="pl-PL"/>
        </w:rPr>
        <w:t xml:space="preserve"> śluzow</w:t>
      </w:r>
      <w:r w:rsidRPr="009353E6">
        <w:rPr>
          <w:sz w:val="22"/>
          <w:szCs w:val="22"/>
          <w:lang w:val="pl-PL"/>
        </w:rPr>
        <w:t>ej</w:t>
      </w:r>
      <w:r w:rsidR="00844C2F" w:rsidRPr="009353E6">
        <w:rPr>
          <w:sz w:val="22"/>
          <w:szCs w:val="22"/>
          <w:lang w:val="pl-PL"/>
        </w:rPr>
        <w:t xml:space="preserve"> w jamie ustnej, osłabienie, letarg, senność, niepokój, bóle lub skurcze mięśniowe, nudności (mdłości), wymioty, zmęczenie mięśni oraz nieprawidłowo przyspieszone tętno (szybciej niż 100 uderzeń na minutę). W przypadku wystąpienia któregokolwiek z powyższych objawów należy poinformować lekarza.</w:t>
      </w:r>
    </w:p>
    <w:p w:rsidR="002D3521" w:rsidRPr="009353E6" w:rsidRDefault="002D3521" w:rsidP="00F831F6">
      <w:pPr>
        <w:pStyle w:val="BodyText"/>
        <w:spacing w:line="240" w:lineRule="auto"/>
        <w:jc w:val="left"/>
        <w:rPr>
          <w:sz w:val="22"/>
          <w:szCs w:val="22"/>
          <w:lang w:val="pl-PL"/>
        </w:rPr>
      </w:pPr>
    </w:p>
    <w:p w:rsidR="008841B5" w:rsidRPr="009353E6" w:rsidRDefault="008841B5" w:rsidP="00F831F6">
      <w:pPr>
        <w:pStyle w:val="BodyText"/>
        <w:spacing w:line="240" w:lineRule="auto"/>
        <w:jc w:val="left"/>
        <w:rPr>
          <w:sz w:val="22"/>
          <w:szCs w:val="22"/>
          <w:lang w:val="pl-PL"/>
        </w:rPr>
      </w:pPr>
      <w:r w:rsidRPr="009353E6">
        <w:rPr>
          <w:sz w:val="22"/>
          <w:szCs w:val="22"/>
          <w:lang w:val="pl-PL"/>
        </w:rPr>
        <w:t xml:space="preserve">Należy również poinformować lekarza o </w:t>
      </w:r>
      <w:r w:rsidR="00701864" w:rsidRPr="009353E6">
        <w:rPr>
          <w:sz w:val="22"/>
          <w:szCs w:val="22"/>
          <w:lang w:val="pl-PL"/>
        </w:rPr>
        <w:t>wystąpieniu nadw</w:t>
      </w:r>
      <w:r w:rsidRPr="009353E6">
        <w:rPr>
          <w:sz w:val="22"/>
          <w:szCs w:val="22"/>
          <w:lang w:val="pl-PL"/>
        </w:rPr>
        <w:t>rażliwości sk</w:t>
      </w:r>
      <w:r w:rsidR="00701864" w:rsidRPr="009353E6">
        <w:rPr>
          <w:sz w:val="22"/>
          <w:szCs w:val="22"/>
          <w:lang w:val="pl-PL"/>
        </w:rPr>
        <w:t>óry na światło słoneczne w</w:t>
      </w:r>
      <w:r w:rsidR="00B43A19" w:rsidRPr="009353E6">
        <w:rPr>
          <w:sz w:val="22"/>
          <w:szCs w:val="22"/>
          <w:lang w:val="pl-PL"/>
        </w:rPr>
        <w:t> </w:t>
      </w:r>
      <w:r w:rsidR="00701864" w:rsidRPr="009353E6">
        <w:rPr>
          <w:sz w:val="22"/>
          <w:szCs w:val="22"/>
          <w:lang w:val="pl-PL"/>
        </w:rPr>
        <w:t xml:space="preserve">postaci </w:t>
      </w:r>
      <w:r w:rsidRPr="009353E6">
        <w:rPr>
          <w:sz w:val="22"/>
          <w:szCs w:val="22"/>
          <w:lang w:val="pl-PL"/>
        </w:rPr>
        <w:t>oparze</w:t>
      </w:r>
      <w:r w:rsidR="00701864" w:rsidRPr="009353E6">
        <w:rPr>
          <w:sz w:val="22"/>
          <w:szCs w:val="22"/>
          <w:lang w:val="pl-PL"/>
        </w:rPr>
        <w:t>ń</w:t>
      </w:r>
      <w:r w:rsidRPr="009353E6">
        <w:rPr>
          <w:sz w:val="22"/>
          <w:szCs w:val="22"/>
          <w:lang w:val="pl-PL"/>
        </w:rPr>
        <w:t xml:space="preserve"> słoneczny</w:t>
      </w:r>
      <w:r w:rsidR="00701864" w:rsidRPr="009353E6">
        <w:rPr>
          <w:sz w:val="22"/>
          <w:szCs w:val="22"/>
          <w:lang w:val="pl-PL"/>
        </w:rPr>
        <w:t>ch</w:t>
      </w:r>
      <w:r w:rsidRPr="009353E6">
        <w:rPr>
          <w:sz w:val="22"/>
          <w:szCs w:val="22"/>
          <w:lang w:val="pl-PL"/>
        </w:rPr>
        <w:t xml:space="preserve"> (np. zaczerwienienie, swędzenie, obrzęk, powstawanie p</w:t>
      </w:r>
      <w:r w:rsidR="00701864" w:rsidRPr="009353E6">
        <w:rPr>
          <w:sz w:val="22"/>
          <w:szCs w:val="22"/>
          <w:lang w:val="pl-PL"/>
        </w:rPr>
        <w:t>ęcherzy</w:t>
      </w:r>
      <w:r w:rsidRPr="009353E6">
        <w:rPr>
          <w:sz w:val="22"/>
          <w:szCs w:val="22"/>
          <w:lang w:val="pl-PL"/>
        </w:rPr>
        <w:t xml:space="preserve">) </w:t>
      </w:r>
      <w:r w:rsidR="00701864" w:rsidRPr="009353E6">
        <w:rPr>
          <w:sz w:val="22"/>
          <w:szCs w:val="22"/>
          <w:lang w:val="pl-PL"/>
        </w:rPr>
        <w:t xml:space="preserve">pojawiających się </w:t>
      </w:r>
      <w:r w:rsidRPr="009353E6">
        <w:rPr>
          <w:sz w:val="22"/>
          <w:szCs w:val="22"/>
          <w:lang w:val="pl-PL"/>
        </w:rPr>
        <w:t>szybciej niż zazwyczaj.</w:t>
      </w:r>
    </w:p>
    <w:p w:rsidR="00844C2F" w:rsidRPr="009353E6" w:rsidRDefault="00844C2F" w:rsidP="00F831F6">
      <w:pPr>
        <w:pStyle w:val="BodyText"/>
        <w:spacing w:line="240" w:lineRule="auto"/>
        <w:jc w:val="left"/>
        <w:rPr>
          <w:sz w:val="22"/>
          <w:szCs w:val="22"/>
          <w:lang w:val="pl-PL"/>
        </w:rPr>
      </w:pPr>
    </w:p>
    <w:p w:rsidR="00844C2F" w:rsidRPr="009353E6" w:rsidRDefault="00844C2F" w:rsidP="00F831F6">
      <w:pPr>
        <w:pStyle w:val="BodyText"/>
        <w:spacing w:line="240" w:lineRule="auto"/>
        <w:jc w:val="left"/>
        <w:rPr>
          <w:rFonts w:eastAsia="MS Mincho"/>
          <w:sz w:val="22"/>
          <w:szCs w:val="22"/>
          <w:lang w:val="pl-PL" w:eastAsia="ja-JP"/>
        </w:rPr>
      </w:pPr>
      <w:r w:rsidRPr="009353E6">
        <w:rPr>
          <w:rFonts w:eastAsia="MS Mincho"/>
          <w:sz w:val="22"/>
          <w:szCs w:val="22"/>
          <w:lang w:val="pl-PL" w:eastAsia="ja-JP"/>
        </w:rPr>
        <w:t>W przypadku planowanego zabiegu chirurgicznego lub znieczulenia należy poinformować lekarza o</w:t>
      </w:r>
      <w:r w:rsidR="00B43A19" w:rsidRPr="009353E6">
        <w:rPr>
          <w:rFonts w:eastAsia="MS Mincho"/>
          <w:sz w:val="22"/>
          <w:szCs w:val="22"/>
          <w:lang w:val="pl-PL" w:eastAsia="ja-JP"/>
        </w:rPr>
        <w:t> </w:t>
      </w:r>
      <w:r w:rsidRPr="009353E6">
        <w:rPr>
          <w:rFonts w:eastAsia="MS Mincho"/>
          <w:sz w:val="22"/>
          <w:szCs w:val="22"/>
          <w:lang w:val="pl-PL" w:eastAsia="ja-JP"/>
        </w:rPr>
        <w:t>przyjmowaniu leku MicardisPlus</w:t>
      </w:r>
      <w:r w:rsidR="001D027E" w:rsidRPr="009353E6">
        <w:rPr>
          <w:rFonts w:eastAsia="MS Mincho"/>
          <w:sz w:val="22"/>
          <w:szCs w:val="22"/>
          <w:lang w:val="pl-PL" w:eastAsia="ja-JP"/>
        </w:rPr>
        <w:t>.</w:t>
      </w:r>
    </w:p>
    <w:p w:rsidR="002D3521" w:rsidRPr="009353E6" w:rsidRDefault="002D3521" w:rsidP="002D3521">
      <w:pPr>
        <w:rPr>
          <w:sz w:val="22"/>
          <w:szCs w:val="22"/>
          <w:lang w:val="pl-PL"/>
        </w:rPr>
      </w:pPr>
    </w:p>
    <w:p w:rsidR="002D3521" w:rsidRPr="009353E6" w:rsidRDefault="002D3521" w:rsidP="002D3521">
      <w:pPr>
        <w:rPr>
          <w:sz w:val="22"/>
          <w:szCs w:val="22"/>
          <w:lang w:val="pl-PL"/>
        </w:rPr>
      </w:pPr>
      <w:r w:rsidRPr="009353E6">
        <w:rPr>
          <w:sz w:val="22"/>
          <w:szCs w:val="22"/>
          <w:lang w:val="pl-PL"/>
        </w:rPr>
        <w:t xml:space="preserve">MicardisPlus może mniej skutecznie obniżać ciśnienie </w:t>
      </w:r>
      <w:r w:rsidR="00DB03B7" w:rsidRPr="009353E6">
        <w:rPr>
          <w:sz w:val="22"/>
          <w:szCs w:val="22"/>
          <w:lang w:val="pl-PL"/>
        </w:rPr>
        <w:t xml:space="preserve">tętnicze </w:t>
      </w:r>
      <w:r w:rsidRPr="009353E6">
        <w:rPr>
          <w:sz w:val="22"/>
          <w:szCs w:val="22"/>
          <w:lang w:val="pl-PL"/>
        </w:rPr>
        <w:t>u osób rasy czarnej.</w:t>
      </w:r>
    </w:p>
    <w:p w:rsidR="002D3521" w:rsidRPr="009353E6" w:rsidRDefault="002D3521" w:rsidP="002D3521">
      <w:pPr>
        <w:ind w:right="-2"/>
        <w:rPr>
          <w:b/>
          <w:sz w:val="22"/>
          <w:szCs w:val="22"/>
          <w:lang w:val="pl-PL" w:bidi="bn-IN"/>
        </w:rPr>
      </w:pPr>
    </w:p>
    <w:p w:rsidR="002D3521" w:rsidRPr="009353E6" w:rsidRDefault="002D3521" w:rsidP="00E40CF2">
      <w:pPr>
        <w:keepNext/>
        <w:rPr>
          <w:sz w:val="22"/>
          <w:szCs w:val="22"/>
          <w:lang w:val="pl-PL" w:bidi="bn-IN"/>
        </w:rPr>
      </w:pPr>
      <w:r w:rsidRPr="009353E6">
        <w:rPr>
          <w:b/>
          <w:sz w:val="22"/>
          <w:szCs w:val="22"/>
          <w:lang w:val="pl-PL" w:bidi="bn-IN"/>
        </w:rPr>
        <w:t>Dzieci i młodzież</w:t>
      </w:r>
    </w:p>
    <w:p w:rsidR="00844C2F" w:rsidRPr="009353E6" w:rsidRDefault="00844C2F" w:rsidP="00F831F6">
      <w:pPr>
        <w:pStyle w:val="BodyText"/>
        <w:spacing w:line="240" w:lineRule="auto"/>
        <w:jc w:val="left"/>
        <w:rPr>
          <w:sz w:val="22"/>
          <w:szCs w:val="22"/>
          <w:lang w:val="pl-PL"/>
        </w:rPr>
      </w:pPr>
      <w:r w:rsidRPr="009353E6">
        <w:rPr>
          <w:sz w:val="22"/>
          <w:szCs w:val="22"/>
          <w:lang w:val="pl-PL"/>
        </w:rPr>
        <w:t>Stosowanie leku MicardisPlus u dzieci i młodzieży w wieku do 18 lat nie jest zalecane.</w:t>
      </w:r>
    </w:p>
    <w:p w:rsidR="00844C2F" w:rsidRPr="009353E6" w:rsidRDefault="00844C2F" w:rsidP="00F831F6">
      <w:pPr>
        <w:pStyle w:val="BodyText"/>
        <w:spacing w:line="240" w:lineRule="auto"/>
        <w:jc w:val="left"/>
        <w:rPr>
          <w:sz w:val="22"/>
          <w:szCs w:val="22"/>
          <w:lang w:val="pl-PL"/>
        </w:rPr>
      </w:pPr>
    </w:p>
    <w:p w:rsidR="006427B8" w:rsidRPr="009353E6" w:rsidRDefault="00F21309" w:rsidP="005E3A9A">
      <w:pPr>
        <w:pStyle w:val="BodyText"/>
        <w:keepNext/>
        <w:spacing w:line="240" w:lineRule="auto"/>
        <w:jc w:val="left"/>
        <w:rPr>
          <w:b/>
          <w:sz w:val="22"/>
          <w:szCs w:val="22"/>
          <w:lang w:val="pl-PL"/>
        </w:rPr>
      </w:pPr>
      <w:r w:rsidRPr="009353E6">
        <w:rPr>
          <w:b/>
          <w:sz w:val="22"/>
          <w:szCs w:val="22"/>
          <w:lang w:val="pl-PL" w:bidi="bn-IN"/>
        </w:rPr>
        <w:t xml:space="preserve">Lek </w:t>
      </w:r>
      <w:r w:rsidR="002D3521" w:rsidRPr="009353E6">
        <w:rPr>
          <w:b/>
          <w:sz w:val="22"/>
          <w:szCs w:val="22"/>
          <w:lang w:val="pl-PL" w:bidi="bn-IN"/>
        </w:rPr>
        <w:t>MicardisPlus</w:t>
      </w:r>
      <w:r w:rsidRPr="009353E6">
        <w:rPr>
          <w:b/>
          <w:sz w:val="22"/>
          <w:szCs w:val="22"/>
          <w:lang w:val="pl-PL" w:bidi="bn-IN"/>
        </w:rPr>
        <w:t xml:space="preserve"> a inne leki</w:t>
      </w:r>
      <w:r w:rsidR="002D3521" w:rsidRPr="009353E6">
        <w:rPr>
          <w:b/>
          <w:sz w:val="22"/>
          <w:szCs w:val="22"/>
          <w:lang w:val="pl-PL" w:bidi="bn-IN"/>
        </w:rPr>
        <w:br/>
      </w:r>
    </w:p>
    <w:p w:rsidR="000A739F" w:rsidRPr="009353E6" w:rsidRDefault="002D3521" w:rsidP="00F831F6">
      <w:pPr>
        <w:pStyle w:val="BodyText"/>
        <w:spacing w:line="240" w:lineRule="auto"/>
        <w:jc w:val="left"/>
        <w:rPr>
          <w:sz w:val="22"/>
          <w:szCs w:val="22"/>
          <w:lang w:val="pl-PL"/>
        </w:rPr>
      </w:pPr>
      <w:r w:rsidRPr="009353E6">
        <w:rPr>
          <w:sz w:val="22"/>
          <w:szCs w:val="22"/>
          <w:lang w:val="pl-PL" w:bidi="bn-IN"/>
        </w:rPr>
        <w:t xml:space="preserve">Należy powiedzieć lekarzowi lub farmaceucie o wszystkich lekach przyjmowanych </w:t>
      </w:r>
      <w:r w:rsidR="00F21309" w:rsidRPr="009353E6">
        <w:rPr>
          <w:sz w:val="22"/>
          <w:szCs w:val="22"/>
          <w:lang w:val="pl-PL" w:bidi="bn-IN"/>
        </w:rPr>
        <w:t xml:space="preserve">przez pacjenta </w:t>
      </w:r>
      <w:r w:rsidRPr="009353E6">
        <w:rPr>
          <w:sz w:val="22"/>
          <w:szCs w:val="22"/>
          <w:lang w:val="pl-PL" w:bidi="bn-IN"/>
        </w:rPr>
        <w:t xml:space="preserve">obecnie lub ostatnio, a także o lekach, które pacjent planuje przyjmować. </w:t>
      </w:r>
      <w:r w:rsidRPr="009353E6">
        <w:rPr>
          <w:sz w:val="22"/>
          <w:szCs w:val="22"/>
          <w:lang w:val="pl-PL"/>
        </w:rPr>
        <w:t>L</w:t>
      </w:r>
      <w:r w:rsidR="000A739F" w:rsidRPr="009353E6">
        <w:rPr>
          <w:sz w:val="22"/>
          <w:szCs w:val="22"/>
          <w:lang w:val="pl-PL"/>
        </w:rPr>
        <w:t xml:space="preserve">ekarz może zdecydować o zmianie dawki tych leków lub o podjęciu innych środków ostrożności. W niektórych przypadkach konieczne może być odstawienie któregoś z leków. Dotyczy to zwłaszcza jednoczesnego przyjmowania razem z lekiem MicardisPlus niżej wymienionych leków: </w:t>
      </w:r>
    </w:p>
    <w:p w:rsidR="000A739F" w:rsidRPr="009353E6" w:rsidRDefault="000A739F" w:rsidP="00F831F6">
      <w:pPr>
        <w:pStyle w:val="BodyText"/>
        <w:spacing w:line="240" w:lineRule="auto"/>
        <w:jc w:val="left"/>
        <w:rPr>
          <w:sz w:val="22"/>
          <w:szCs w:val="22"/>
          <w:lang w:val="pl-PL"/>
        </w:rPr>
      </w:pPr>
    </w:p>
    <w:p w:rsidR="000A739F" w:rsidRPr="009353E6" w:rsidRDefault="00A54564" w:rsidP="002D507E">
      <w:pPr>
        <w:pStyle w:val="BodyText"/>
        <w:numPr>
          <w:ilvl w:val="0"/>
          <w:numId w:val="29"/>
        </w:numPr>
        <w:tabs>
          <w:tab w:val="clear" w:pos="2520"/>
        </w:tabs>
        <w:spacing w:line="240" w:lineRule="auto"/>
        <w:ind w:left="540" w:hanging="540"/>
        <w:jc w:val="left"/>
        <w:rPr>
          <w:sz w:val="22"/>
          <w:szCs w:val="22"/>
          <w:lang w:val="pl-PL"/>
        </w:rPr>
      </w:pPr>
      <w:r w:rsidRPr="009353E6">
        <w:rPr>
          <w:sz w:val="22"/>
          <w:szCs w:val="22"/>
          <w:lang w:val="pl-PL"/>
        </w:rPr>
        <w:t>p</w:t>
      </w:r>
      <w:r w:rsidR="000A739F" w:rsidRPr="009353E6">
        <w:rPr>
          <w:sz w:val="22"/>
          <w:szCs w:val="22"/>
          <w:lang w:val="pl-PL"/>
        </w:rPr>
        <w:t>reparaty litu, stosowane w leczeniu niektórych rodzajów depresji</w:t>
      </w:r>
      <w:r w:rsidR="00D26BEB" w:rsidRPr="009353E6">
        <w:rPr>
          <w:sz w:val="22"/>
          <w:szCs w:val="22"/>
          <w:lang w:val="pl-PL"/>
        </w:rPr>
        <w:t>;</w:t>
      </w:r>
    </w:p>
    <w:p w:rsidR="000A739F" w:rsidRPr="009353E6" w:rsidRDefault="00A54564" w:rsidP="002D507E">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l</w:t>
      </w:r>
      <w:r w:rsidR="000A739F" w:rsidRPr="009353E6">
        <w:rPr>
          <w:rFonts w:eastAsia="MS Mincho"/>
          <w:sz w:val="22"/>
          <w:szCs w:val="22"/>
          <w:lang w:val="pl-PL" w:eastAsia="ja-JP"/>
        </w:rPr>
        <w:t xml:space="preserve">eki związane z występowaniem </w:t>
      </w:r>
      <w:r w:rsidRPr="009353E6">
        <w:rPr>
          <w:rFonts w:eastAsia="MS Mincho"/>
          <w:sz w:val="22"/>
          <w:szCs w:val="22"/>
          <w:lang w:val="pl-PL" w:eastAsia="ja-JP"/>
        </w:rPr>
        <w:t xml:space="preserve">małego stężenia </w:t>
      </w:r>
      <w:r w:rsidR="000A739F" w:rsidRPr="009353E6">
        <w:rPr>
          <w:rFonts w:eastAsia="MS Mincho"/>
          <w:sz w:val="22"/>
          <w:szCs w:val="22"/>
          <w:lang w:val="pl-PL" w:eastAsia="ja-JP"/>
        </w:rPr>
        <w:t>potasu we krwi (hipokaliemia), tak</w:t>
      </w:r>
      <w:r w:rsidRPr="009353E6">
        <w:rPr>
          <w:rFonts w:eastAsia="MS Mincho"/>
          <w:sz w:val="22"/>
          <w:szCs w:val="22"/>
          <w:lang w:val="pl-PL" w:eastAsia="ja-JP"/>
        </w:rPr>
        <w:t>i</w:t>
      </w:r>
      <w:r w:rsidR="000A739F" w:rsidRPr="009353E6">
        <w:rPr>
          <w:rFonts w:eastAsia="MS Mincho"/>
          <w:sz w:val="22"/>
          <w:szCs w:val="22"/>
          <w:lang w:val="pl-PL" w:eastAsia="ja-JP"/>
        </w:rPr>
        <w:t>e jak inne leki moczopędne (tabletki odwadniające), leki przeczyszczające (np. olej rycynowy), kortykosteroidy (np. prednizolon), ACTH (hormon adrenokortykotropowy), amfoterycyna (lek przeciwgrzybiczy), karbenoksolon (stosowany w leczeniu owrzodzeń jamy ustnej), sól sodowa penicyliny G (antybiotyk), kwas salicylowy oraz jego pochodne</w:t>
      </w:r>
      <w:r w:rsidR="00D26BEB" w:rsidRPr="009353E6">
        <w:rPr>
          <w:rFonts w:eastAsia="MS Mincho"/>
          <w:sz w:val="22"/>
          <w:szCs w:val="22"/>
          <w:lang w:val="pl-PL" w:eastAsia="ja-JP"/>
        </w:rPr>
        <w:t>;</w:t>
      </w:r>
    </w:p>
    <w:p w:rsidR="00F445C4" w:rsidRPr="009353E6" w:rsidRDefault="008831F4"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 xml:space="preserve">leki mogące podwyższać stężenie potasu we krwi, np. </w:t>
      </w:r>
      <w:r w:rsidR="00A54564" w:rsidRPr="009353E6">
        <w:rPr>
          <w:rFonts w:eastAsia="MS Mincho"/>
          <w:sz w:val="22"/>
          <w:szCs w:val="22"/>
          <w:lang w:val="pl-PL" w:eastAsia="ja-JP"/>
        </w:rPr>
        <w:t>l</w:t>
      </w:r>
      <w:r w:rsidR="000A739F" w:rsidRPr="009353E6">
        <w:rPr>
          <w:rFonts w:eastAsia="MS Mincho"/>
          <w:sz w:val="22"/>
          <w:szCs w:val="22"/>
          <w:lang w:val="pl-PL" w:eastAsia="ja-JP"/>
        </w:rPr>
        <w:t xml:space="preserve">eki moczopędne oszczędzające potas, suplementy potasu, substytuty soli zawierające potas, inhibitory ACE, </w:t>
      </w:r>
      <w:r w:rsidRPr="009353E6">
        <w:rPr>
          <w:rFonts w:eastAsia="MS Mincho"/>
          <w:sz w:val="22"/>
          <w:szCs w:val="22"/>
          <w:lang w:val="pl-PL" w:eastAsia="ja-JP"/>
        </w:rPr>
        <w:t>cyklosporyna (</w:t>
      </w:r>
      <w:r w:rsidR="0002485A" w:rsidRPr="009353E6">
        <w:rPr>
          <w:rFonts w:eastAsia="MS Mincho"/>
          <w:sz w:val="22"/>
          <w:szCs w:val="22"/>
          <w:lang w:val="pl-PL" w:eastAsia="ja-JP"/>
        </w:rPr>
        <w:t>l</w:t>
      </w:r>
      <w:r w:rsidRPr="009353E6">
        <w:rPr>
          <w:rFonts w:eastAsia="MS Mincho"/>
          <w:sz w:val="22"/>
          <w:szCs w:val="22"/>
          <w:lang w:val="pl-PL" w:eastAsia="ja-JP"/>
        </w:rPr>
        <w:t>ek immunosupresyjny) i inne produkty lecznicze, np. heparyna sodowa (</w:t>
      </w:r>
      <w:r w:rsidR="0002485A" w:rsidRPr="009353E6">
        <w:rPr>
          <w:rFonts w:eastAsia="MS Mincho"/>
          <w:sz w:val="22"/>
          <w:szCs w:val="22"/>
          <w:lang w:val="pl-PL" w:eastAsia="ja-JP"/>
        </w:rPr>
        <w:t>l</w:t>
      </w:r>
      <w:r w:rsidRPr="009353E6">
        <w:rPr>
          <w:rFonts w:eastAsia="MS Mincho"/>
          <w:sz w:val="22"/>
          <w:szCs w:val="22"/>
          <w:lang w:val="pl-PL" w:eastAsia="ja-JP"/>
        </w:rPr>
        <w:t>ek przeciwzakrzepowy);</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 xml:space="preserve">leki, na które </w:t>
      </w:r>
      <w:r w:rsidR="0002485A" w:rsidRPr="009353E6">
        <w:rPr>
          <w:rFonts w:eastAsia="MS Mincho"/>
          <w:sz w:val="22"/>
          <w:szCs w:val="22"/>
          <w:lang w:val="pl-PL" w:eastAsia="ja-JP"/>
        </w:rPr>
        <w:t>wpływają</w:t>
      </w:r>
      <w:r w:rsidRPr="009353E6">
        <w:rPr>
          <w:rFonts w:eastAsia="MS Mincho"/>
          <w:sz w:val="22"/>
          <w:szCs w:val="22"/>
          <w:lang w:val="pl-PL" w:eastAsia="ja-JP"/>
        </w:rPr>
        <w:t xml:space="preserve"> zmi</w:t>
      </w:r>
      <w:r w:rsidR="00843EED" w:rsidRPr="009353E6">
        <w:rPr>
          <w:rFonts w:eastAsia="MS Mincho"/>
          <w:sz w:val="22"/>
          <w:szCs w:val="22"/>
          <w:lang w:val="pl-PL" w:eastAsia="ja-JP"/>
        </w:rPr>
        <w:t>any</w:t>
      </w:r>
      <w:r w:rsidRPr="009353E6">
        <w:rPr>
          <w:rFonts w:eastAsia="MS Mincho"/>
          <w:sz w:val="22"/>
          <w:szCs w:val="22"/>
          <w:lang w:val="pl-PL" w:eastAsia="ja-JP"/>
        </w:rPr>
        <w:t xml:space="preserve"> stężeni</w:t>
      </w:r>
      <w:r w:rsidR="00D82DF5" w:rsidRPr="009353E6">
        <w:rPr>
          <w:rFonts w:eastAsia="MS Mincho"/>
          <w:sz w:val="22"/>
          <w:szCs w:val="22"/>
          <w:lang w:val="pl-PL" w:eastAsia="ja-JP"/>
        </w:rPr>
        <w:t>a</w:t>
      </w:r>
      <w:r w:rsidRPr="009353E6">
        <w:rPr>
          <w:rFonts w:eastAsia="MS Mincho"/>
          <w:sz w:val="22"/>
          <w:szCs w:val="22"/>
          <w:lang w:val="pl-PL" w:eastAsia="ja-JP"/>
        </w:rPr>
        <w:t xml:space="preserve"> potasu we krwi, takie jak leki nasercowe (np. digoksyna) czy też leki </w:t>
      </w:r>
      <w:r w:rsidR="00843EED" w:rsidRPr="009353E6">
        <w:rPr>
          <w:rFonts w:eastAsia="MS Mincho"/>
          <w:sz w:val="22"/>
          <w:szCs w:val="22"/>
          <w:lang w:val="pl-PL" w:eastAsia="ja-JP"/>
        </w:rPr>
        <w:t>regulu</w:t>
      </w:r>
      <w:r w:rsidRPr="009353E6">
        <w:rPr>
          <w:rFonts w:eastAsia="MS Mincho"/>
          <w:sz w:val="22"/>
          <w:szCs w:val="22"/>
          <w:lang w:val="pl-PL" w:eastAsia="ja-JP"/>
        </w:rPr>
        <w:t>jące częstość akcji serca (np. chinidyna, dyzopiramid</w:t>
      </w:r>
      <w:r w:rsidR="008831F4" w:rsidRPr="009353E6">
        <w:rPr>
          <w:rFonts w:eastAsia="MS Mincho"/>
          <w:sz w:val="22"/>
          <w:szCs w:val="22"/>
          <w:lang w:val="pl-PL" w:eastAsia="ja-JP"/>
        </w:rPr>
        <w:t>, amiodaron, sotalol</w:t>
      </w:r>
      <w:r w:rsidRPr="009353E6">
        <w:rPr>
          <w:rFonts w:eastAsia="MS Mincho"/>
          <w:sz w:val="22"/>
          <w:szCs w:val="22"/>
          <w:lang w:val="pl-PL" w:eastAsia="ja-JP"/>
        </w:rPr>
        <w:t xml:space="preserve">), leki </w:t>
      </w:r>
      <w:r w:rsidR="00843EED" w:rsidRPr="009353E6">
        <w:rPr>
          <w:rFonts w:eastAsia="MS Mincho"/>
          <w:sz w:val="22"/>
          <w:szCs w:val="22"/>
          <w:lang w:val="pl-PL" w:eastAsia="ja-JP"/>
        </w:rPr>
        <w:t>uż</w:t>
      </w:r>
      <w:r w:rsidRPr="009353E6">
        <w:rPr>
          <w:rFonts w:eastAsia="MS Mincho"/>
          <w:sz w:val="22"/>
          <w:szCs w:val="22"/>
          <w:lang w:val="pl-PL" w:eastAsia="ja-JP"/>
        </w:rPr>
        <w:t>ywane w leczeniu zaburzeń psychicznych (np. tiorydazyna, chlor</w:t>
      </w:r>
      <w:r w:rsidR="003C3138" w:rsidRPr="009353E6">
        <w:rPr>
          <w:rFonts w:eastAsia="MS Mincho"/>
          <w:sz w:val="22"/>
          <w:szCs w:val="22"/>
          <w:lang w:val="pl-PL" w:eastAsia="ja-JP"/>
        </w:rPr>
        <w:t>o</w:t>
      </w:r>
      <w:r w:rsidRPr="009353E6">
        <w:rPr>
          <w:rFonts w:eastAsia="MS Mincho"/>
          <w:sz w:val="22"/>
          <w:szCs w:val="22"/>
          <w:lang w:val="pl-PL" w:eastAsia="ja-JP"/>
        </w:rPr>
        <w:t>promazyna, lewo</w:t>
      </w:r>
      <w:r w:rsidR="00672E35" w:rsidRPr="009353E6">
        <w:rPr>
          <w:rFonts w:eastAsia="MS Mincho"/>
          <w:sz w:val="22"/>
          <w:szCs w:val="22"/>
          <w:lang w:val="pl-PL" w:eastAsia="ja-JP"/>
        </w:rPr>
        <w:t>me</w:t>
      </w:r>
      <w:r w:rsidRPr="009353E6">
        <w:rPr>
          <w:rFonts w:eastAsia="MS Mincho"/>
          <w:sz w:val="22"/>
          <w:szCs w:val="22"/>
          <w:lang w:val="pl-PL" w:eastAsia="ja-JP"/>
        </w:rPr>
        <w:t>promazyna) oraz inne leki</w:t>
      </w:r>
      <w:r w:rsidR="008A4D24" w:rsidRPr="009353E6">
        <w:rPr>
          <w:rFonts w:eastAsia="MS Mincho"/>
          <w:sz w:val="22"/>
          <w:szCs w:val="22"/>
          <w:lang w:val="pl-PL" w:eastAsia="ja-JP"/>
        </w:rPr>
        <w:t>,</w:t>
      </w:r>
      <w:r w:rsidRPr="009353E6">
        <w:rPr>
          <w:rFonts w:eastAsia="MS Mincho"/>
          <w:sz w:val="22"/>
          <w:szCs w:val="22"/>
          <w:lang w:val="pl-PL" w:eastAsia="ja-JP"/>
        </w:rPr>
        <w:t xml:space="preserve"> takie jak </w:t>
      </w:r>
      <w:r w:rsidR="00843EED" w:rsidRPr="009353E6">
        <w:rPr>
          <w:rFonts w:eastAsia="MS Mincho"/>
          <w:sz w:val="22"/>
          <w:szCs w:val="22"/>
          <w:lang w:val="pl-PL" w:eastAsia="ja-JP"/>
        </w:rPr>
        <w:t>niektór</w:t>
      </w:r>
      <w:r w:rsidRPr="009353E6">
        <w:rPr>
          <w:rFonts w:eastAsia="MS Mincho"/>
          <w:sz w:val="22"/>
          <w:szCs w:val="22"/>
          <w:lang w:val="pl-PL" w:eastAsia="ja-JP"/>
        </w:rPr>
        <w:t xml:space="preserve">e antybiotyki (np. sparfloksacyna, pentamidyna) </w:t>
      </w:r>
      <w:r w:rsidR="00843EED" w:rsidRPr="009353E6">
        <w:rPr>
          <w:rFonts w:eastAsia="MS Mincho"/>
          <w:sz w:val="22"/>
          <w:szCs w:val="22"/>
          <w:lang w:val="pl-PL" w:eastAsia="ja-JP"/>
        </w:rPr>
        <w:t>lub</w:t>
      </w:r>
      <w:r w:rsidRPr="009353E6">
        <w:rPr>
          <w:rFonts w:eastAsia="MS Mincho"/>
          <w:sz w:val="22"/>
          <w:szCs w:val="22"/>
          <w:lang w:val="pl-PL" w:eastAsia="ja-JP"/>
        </w:rPr>
        <w:t xml:space="preserve"> </w:t>
      </w:r>
      <w:r w:rsidR="00843EED" w:rsidRPr="009353E6">
        <w:rPr>
          <w:rFonts w:eastAsia="MS Mincho"/>
          <w:sz w:val="22"/>
          <w:szCs w:val="22"/>
          <w:lang w:val="pl-PL" w:eastAsia="ja-JP"/>
        </w:rPr>
        <w:t>pewne</w:t>
      </w:r>
      <w:r w:rsidRPr="009353E6">
        <w:rPr>
          <w:rFonts w:eastAsia="MS Mincho"/>
          <w:sz w:val="22"/>
          <w:szCs w:val="22"/>
          <w:lang w:val="pl-PL" w:eastAsia="ja-JP"/>
        </w:rPr>
        <w:t xml:space="preserve"> le</w:t>
      </w:r>
      <w:r w:rsidR="00843EED" w:rsidRPr="009353E6">
        <w:rPr>
          <w:rFonts w:eastAsia="MS Mincho"/>
          <w:sz w:val="22"/>
          <w:szCs w:val="22"/>
          <w:lang w:val="pl-PL" w:eastAsia="ja-JP"/>
        </w:rPr>
        <w:t>ki</w:t>
      </w:r>
      <w:r w:rsidRPr="009353E6">
        <w:rPr>
          <w:rFonts w:eastAsia="MS Mincho"/>
          <w:sz w:val="22"/>
          <w:szCs w:val="22"/>
          <w:lang w:val="pl-PL" w:eastAsia="ja-JP"/>
        </w:rPr>
        <w:t xml:space="preserve"> stosowane w terapii odczynów (reakcji) alergicznych (np. terfenadyna)</w:t>
      </w:r>
      <w:r w:rsidR="008A4D24" w:rsidRPr="009353E6">
        <w:rPr>
          <w:rFonts w:eastAsia="MS Mincho"/>
          <w:sz w:val="22"/>
          <w:szCs w:val="22"/>
          <w:lang w:val="pl-PL" w:eastAsia="ja-JP"/>
        </w:rPr>
        <w:t>;</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 xml:space="preserve">leki stosowane w cukrzycy (insulina lub </w:t>
      </w:r>
      <w:r w:rsidR="00843EED" w:rsidRPr="009353E6">
        <w:rPr>
          <w:sz w:val="22"/>
          <w:szCs w:val="22"/>
          <w:lang w:val="pl-PL"/>
        </w:rPr>
        <w:t xml:space="preserve">leki </w:t>
      </w:r>
      <w:r w:rsidRPr="009353E6">
        <w:rPr>
          <w:sz w:val="22"/>
          <w:szCs w:val="22"/>
          <w:lang w:val="pl-PL"/>
        </w:rPr>
        <w:t>doustne</w:t>
      </w:r>
      <w:r w:rsidR="00843EED" w:rsidRPr="009353E6">
        <w:rPr>
          <w:sz w:val="22"/>
          <w:szCs w:val="22"/>
          <w:lang w:val="pl-PL"/>
        </w:rPr>
        <w:t>,</w:t>
      </w:r>
      <w:r w:rsidRPr="009353E6">
        <w:rPr>
          <w:sz w:val="22"/>
          <w:szCs w:val="22"/>
          <w:lang w:val="pl-PL"/>
        </w:rPr>
        <w:t xml:space="preserve"> takie jak metformina);</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 xml:space="preserve">kolestyramina i kolestypol, leki obniżające </w:t>
      </w:r>
      <w:r w:rsidR="00843EED" w:rsidRPr="009353E6">
        <w:rPr>
          <w:sz w:val="22"/>
          <w:szCs w:val="22"/>
          <w:lang w:val="pl-PL"/>
        </w:rPr>
        <w:t>stężenie</w:t>
      </w:r>
      <w:r w:rsidRPr="009353E6">
        <w:rPr>
          <w:sz w:val="22"/>
          <w:szCs w:val="22"/>
          <w:lang w:val="pl-PL"/>
        </w:rPr>
        <w:t xml:space="preserve"> </w:t>
      </w:r>
      <w:r w:rsidR="00843EED" w:rsidRPr="009353E6">
        <w:rPr>
          <w:sz w:val="22"/>
          <w:szCs w:val="22"/>
          <w:lang w:val="pl-PL"/>
        </w:rPr>
        <w:t>tłuszcz</w:t>
      </w:r>
      <w:r w:rsidRPr="009353E6">
        <w:rPr>
          <w:sz w:val="22"/>
          <w:szCs w:val="22"/>
          <w:lang w:val="pl-PL"/>
        </w:rPr>
        <w:t>ów we krwi</w:t>
      </w:r>
      <w:r w:rsidR="00F445C4" w:rsidRPr="009353E6">
        <w:rPr>
          <w:sz w:val="22"/>
          <w:szCs w:val="22"/>
          <w:lang w:val="pl-PL"/>
        </w:rPr>
        <w:t>,</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leki podwyższające ciśnienie krwi takie jak noradrenalina</w:t>
      </w:r>
      <w:r w:rsidR="008A4D24" w:rsidRPr="009353E6">
        <w:rPr>
          <w:sz w:val="22"/>
          <w:szCs w:val="22"/>
          <w:lang w:val="pl-PL"/>
        </w:rPr>
        <w:t>;</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leki zwiotczające mięśnie takie jak tubokuraryna</w:t>
      </w:r>
      <w:r w:rsidR="008A4D24" w:rsidRPr="009353E6">
        <w:rPr>
          <w:sz w:val="22"/>
          <w:szCs w:val="22"/>
          <w:lang w:val="pl-PL"/>
        </w:rPr>
        <w:t>;</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suplementy wapnia</w:t>
      </w:r>
      <w:r w:rsidR="008831F4" w:rsidRPr="009353E6">
        <w:rPr>
          <w:sz w:val="22"/>
          <w:szCs w:val="22"/>
          <w:lang w:val="pl-PL"/>
        </w:rPr>
        <w:t xml:space="preserve"> i</w:t>
      </w:r>
      <w:r w:rsidR="00843EED" w:rsidRPr="009353E6">
        <w:rPr>
          <w:sz w:val="22"/>
          <w:szCs w:val="22"/>
          <w:lang w:val="pl-PL"/>
        </w:rPr>
        <w:t xml:space="preserve"> (</w:t>
      </w:r>
      <w:r w:rsidR="008831F4" w:rsidRPr="009353E6">
        <w:rPr>
          <w:sz w:val="22"/>
          <w:szCs w:val="22"/>
          <w:lang w:val="pl-PL"/>
        </w:rPr>
        <w:t>lub</w:t>
      </w:r>
      <w:r w:rsidR="00843EED" w:rsidRPr="009353E6">
        <w:rPr>
          <w:sz w:val="22"/>
          <w:szCs w:val="22"/>
          <w:lang w:val="pl-PL"/>
        </w:rPr>
        <w:t>)</w:t>
      </w:r>
      <w:r w:rsidR="008831F4" w:rsidRPr="009353E6">
        <w:rPr>
          <w:sz w:val="22"/>
          <w:szCs w:val="22"/>
          <w:lang w:val="pl-PL"/>
        </w:rPr>
        <w:t xml:space="preserve"> witaminy D</w:t>
      </w:r>
      <w:r w:rsidR="006F2FCB" w:rsidRPr="009353E6">
        <w:rPr>
          <w:sz w:val="22"/>
          <w:szCs w:val="22"/>
          <w:lang w:val="pl-PL"/>
        </w:rPr>
        <w:t>;</w:t>
      </w:r>
    </w:p>
    <w:p w:rsidR="00F445C4" w:rsidRPr="009353E6" w:rsidRDefault="00DE60C6" w:rsidP="0070396D">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 xml:space="preserve">leki o działaniu antycholinergicznym (stosowane w leczeniu szeregu </w:t>
      </w:r>
      <w:r w:rsidR="00843EED" w:rsidRPr="009353E6">
        <w:rPr>
          <w:sz w:val="22"/>
          <w:szCs w:val="22"/>
          <w:lang w:val="pl-PL"/>
        </w:rPr>
        <w:t>zabu</w:t>
      </w:r>
      <w:r w:rsidRPr="009353E6">
        <w:rPr>
          <w:sz w:val="22"/>
          <w:szCs w:val="22"/>
          <w:lang w:val="pl-PL"/>
        </w:rPr>
        <w:t>rzeń</w:t>
      </w:r>
      <w:r w:rsidR="006F2FCB" w:rsidRPr="009353E6">
        <w:rPr>
          <w:sz w:val="22"/>
          <w:szCs w:val="22"/>
          <w:lang w:val="pl-PL"/>
        </w:rPr>
        <w:t>,</w:t>
      </w:r>
      <w:r w:rsidRPr="009353E6">
        <w:rPr>
          <w:sz w:val="22"/>
          <w:szCs w:val="22"/>
          <w:lang w:val="pl-PL"/>
        </w:rPr>
        <w:t xml:space="preserve"> takich jak stany skurczowe w obrębie przewodu pokarmowego, skurcze pęcherza moczowego, </w:t>
      </w:r>
      <w:r w:rsidR="006F5038" w:rsidRPr="009353E6">
        <w:rPr>
          <w:sz w:val="22"/>
          <w:szCs w:val="22"/>
          <w:lang w:val="pl-PL"/>
        </w:rPr>
        <w:t xml:space="preserve">astma, </w:t>
      </w:r>
      <w:r w:rsidRPr="009353E6">
        <w:rPr>
          <w:sz w:val="22"/>
          <w:szCs w:val="22"/>
          <w:lang w:val="pl-PL"/>
        </w:rPr>
        <w:t>choroba lokomocyjna, skurcze mięśni, choroba Parkinsona oraz wspomagająco przy znieczuleniu)</w:t>
      </w:r>
      <w:r w:rsidR="006F2FCB" w:rsidRPr="009353E6">
        <w:rPr>
          <w:sz w:val="22"/>
          <w:szCs w:val="22"/>
          <w:lang w:val="pl-PL"/>
        </w:rPr>
        <w:t>,</w:t>
      </w:r>
      <w:r w:rsidRPr="009353E6">
        <w:rPr>
          <w:sz w:val="22"/>
          <w:szCs w:val="22"/>
          <w:lang w:val="pl-PL"/>
        </w:rPr>
        <w:t xml:space="preserve"> takie jak atropina i biperyden</w:t>
      </w:r>
      <w:r w:rsidR="006F2FCB" w:rsidRPr="009353E6">
        <w:rPr>
          <w:sz w:val="22"/>
          <w:szCs w:val="22"/>
          <w:lang w:val="pl-PL"/>
        </w:rPr>
        <w:t>;</w:t>
      </w:r>
    </w:p>
    <w:p w:rsidR="000A739F" w:rsidRPr="009353E6" w:rsidRDefault="00DE60C6" w:rsidP="009C42AE">
      <w:pPr>
        <w:pStyle w:val="BodyText"/>
        <w:numPr>
          <w:ilvl w:val="0"/>
          <w:numId w:val="29"/>
        </w:numPr>
        <w:tabs>
          <w:tab w:val="clear" w:pos="2520"/>
        </w:tabs>
        <w:spacing w:line="240" w:lineRule="auto"/>
        <w:ind w:left="540" w:hanging="540"/>
        <w:jc w:val="left"/>
        <w:rPr>
          <w:rFonts w:eastAsia="MS Mincho"/>
          <w:sz w:val="22"/>
          <w:szCs w:val="22"/>
          <w:lang w:val="pl-PL" w:eastAsia="ja-JP"/>
        </w:rPr>
      </w:pPr>
      <w:r w:rsidRPr="009353E6">
        <w:rPr>
          <w:sz w:val="22"/>
          <w:szCs w:val="22"/>
          <w:lang w:val="pl-PL"/>
        </w:rPr>
        <w:t>amantadyna (lek stosowany w chorob</w:t>
      </w:r>
      <w:r w:rsidR="00843EED" w:rsidRPr="009353E6">
        <w:rPr>
          <w:sz w:val="22"/>
          <w:szCs w:val="22"/>
          <w:lang w:val="pl-PL"/>
        </w:rPr>
        <w:t>ie</w:t>
      </w:r>
      <w:r w:rsidRPr="009353E6">
        <w:rPr>
          <w:sz w:val="22"/>
          <w:szCs w:val="22"/>
          <w:lang w:val="pl-PL"/>
        </w:rPr>
        <w:t xml:space="preserve"> Parkinsona, a także w leczeniu </w:t>
      </w:r>
      <w:r w:rsidR="00843EED" w:rsidRPr="009353E6">
        <w:rPr>
          <w:sz w:val="22"/>
          <w:szCs w:val="22"/>
          <w:lang w:val="pl-PL"/>
        </w:rPr>
        <w:t>lub zapobieganiu pew</w:t>
      </w:r>
      <w:r w:rsidRPr="009353E6">
        <w:rPr>
          <w:sz w:val="22"/>
          <w:szCs w:val="22"/>
          <w:lang w:val="pl-PL"/>
        </w:rPr>
        <w:t>nych chorób wirusow</w:t>
      </w:r>
      <w:r w:rsidR="002D6BE9" w:rsidRPr="009353E6">
        <w:rPr>
          <w:sz w:val="22"/>
          <w:szCs w:val="22"/>
          <w:lang w:val="pl-PL"/>
        </w:rPr>
        <w:t>ych</w:t>
      </w:r>
      <w:r w:rsidR="009C42AE" w:rsidRPr="009353E6">
        <w:rPr>
          <w:sz w:val="22"/>
          <w:szCs w:val="22"/>
          <w:lang w:val="pl-PL"/>
        </w:rPr>
        <w:t>);</w:t>
      </w:r>
    </w:p>
    <w:p w:rsidR="000A739F" w:rsidRPr="009353E6" w:rsidRDefault="00A54564" w:rsidP="002D507E">
      <w:pPr>
        <w:pStyle w:val="BodyText"/>
        <w:numPr>
          <w:ilvl w:val="0"/>
          <w:numId w:val="29"/>
        </w:numPr>
        <w:tabs>
          <w:tab w:val="clear" w:pos="2520"/>
        </w:tabs>
        <w:spacing w:line="240" w:lineRule="auto"/>
        <w:ind w:left="540" w:hanging="540"/>
        <w:jc w:val="left"/>
        <w:rPr>
          <w:sz w:val="22"/>
          <w:szCs w:val="22"/>
          <w:lang w:val="pl-PL"/>
        </w:rPr>
      </w:pPr>
      <w:r w:rsidRPr="009353E6">
        <w:rPr>
          <w:sz w:val="22"/>
          <w:szCs w:val="22"/>
          <w:lang w:val="pl-PL"/>
        </w:rPr>
        <w:t>p</w:t>
      </w:r>
      <w:r w:rsidR="000A739F" w:rsidRPr="009353E6">
        <w:rPr>
          <w:sz w:val="22"/>
          <w:szCs w:val="22"/>
          <w:lang w:val="pl-PL"/>
        </w:rPr>
        <w:t xml:space="preserve">ozostałe leki stosowane w leczeniu nadciśnienia, </w:t>
      </w:r>
      <w:r w:rsidR="009A44E6" w:rsidRPr="009353E6">
        <w:rPr>
          <w:sz w:val="22"/>
          <w:szCs w:val="22"/>
          <w:lang w:val="pl-PL"/>
        </w:rPr>
        <w:t>kortykosteroidy</w:t>
      </w:r>
      <w:r w:rsidR="000A739F" w:rsidRPr="009353E6">
        <w:rPr>
          <w:sz w:val="22"/>
          <w:szCs w:val="22"/>
          <w:lang w:val="pl-PL"/>
        </w:rPr>
        <w:t>, leki przeciwbólowe</w:t>
      </w:r>
      <w:r w:rsidR="00AB7730" w:rsidRPr="009353E6">
        <w:rPr>
          <w:sz w:val="22"/>
          <w:szCs w:val="22"/>
          <w:lang w:val="pl-PL"/>
        </w:rPr>
        <w:t xml:space="preserve"> (np. </w:t>
      </w:r>
      <w:r w:rsidR="009A44E6" w:rsidRPr="009353E6">
        <w:rPr>
          <w:sz w:val="22"/>
          <w:szCs w:val="22"/>
          <w:lang w:val="pl-PL"/>
        </w:rPr>
        <w:t>niesteroidowe</w:t>
      </w:r>
      <w:r w:rsidR="00AB7730" w:rsidRPr="009353E6">
        <w:rPr>
          <w:sz w:val="22"/>
          <w:szCs w:val="22"/>
          <w:lang w:val="pl-PL"/>
        </w:rPr>
        <w:t xml:space="preserve"> leki przeciwzapalne, NLPZ)</w:t>
      </w:r>
      <w:r w:rsidR="000A739F" w:rsidRPr="009353E6">
        <w:rPr>
          <w:sz w:val="22"/>
          <w:szCs w:val="22"/>
          <w:lang w:val="pl-PL"/>
        </w:rPr>
        <w:t>, leki stosowane w leczeniu nowotworów, dny moczanowej lub zapalenia stawów</w:t>
      </w:r>
      <w:r w:rsidR="00D26BEB" w:rsidRPr="009353E6">
        <w:rPr>
          <w:sz w:val="22"/>
          <w:szCs w:val="22"/>
          <w:lang w:val="pl-PL"/>
        </w:rPr>
        <w:t>;</w:t>
      </w:r>
    </w:p>
    <w:p w:rsidR="00065995" w:rsidRPr="009353E6" w:rsidRDefault="00065995" w:rsidP="00D50D09">
      <w:pPr>
        <w:numPr>
          <w:ilvl w:val="0"/>
          <w:numId w:val="29"/>
        </w:numPr>
        <w:tabs>
          <w:tab w:val="clear" w:pos="2520"/>
          <w:tab w:val="num" w:pos="567"/>
        </w:tabs>
        <w:ind w:left="567" w:hanging="567"/>
        <w:rPr>
          <w:sz w:val="22"/>
          <w:szCs w:val="22"/>
          <w:lang w:val="pl-PL"/>
        </w:rPr>
      </w:pPr>
      <w:r w:rsidRPr="009353E6">
        <w:rPr>
          <w:sz w:val="22"/>
          <w:szCs w:val="22"/>
          <w:lang w:val="pl-PL"/>
        </w:rPr>
        <w:t>przyjm</w:t>
      </w:r>
      <w:r w:rsidR="002D6BE9" w:rsidRPr="009353E6">
        <w:rPr>
          <w:sz w:val="22"/>
          <w:szCs w:val="22"/>
          <w:lang w:val="pl-PL"/>
        </w:rPr>
        <w:t>owanie</w:t>
      </w:r>
      <w:r w:rsidRPr="009353E6">
        <w:rPr>
          <w:sz w:val="22"/>
          <w:szCs w:val="22"/>
          <w:lang w:val="pl-PL"/>
        </w:rPr>
        <w:t xml:space="preserve"> inhibitor</w:t>
      </w:r>
      <w:r w:rsidR="002D6BE9" w:rsidRPr="009353E6">
        <w:rPr>
          <w:sz w:val="22"/>
          <w:szCs w:val="22"/>
          <w:lang w:val="pl-PL"/>
        </w:rPr>
        <w:t>a</w:t>
      </w:r>
      <w:r w:rsidRPr="009353E6">
        <w:rPr>
          <w:sz w:val="22"/>
          <w:szCs w:val="22"/>
          <w:lang w:val="pl-PL"/>
        </w:rPr>
        <w:t xml:space="preserve"> ACE lub aliskiren</w:t>
      </w:r>
      <w:r w:rsidR="002D6BE9" w:rsidRPr="009353E6">
        <w:rPr>
          <w:sz w:val="22"/>
          <w:szCs w:val="22"/>
          <w:lang w:val="pl-PL"/>
        </w:rPr>
        <w:t>u</w:t>
      </w:r>
      <w:r w:rsidRPr="009353E6">
        <w:rPr>
          <w:sz w:val="22"/>
          <w:szCs w:val="22"/>
          <w:lang w:val="pl-PL"/>
        </w:rPr>
        <w:t xml:space="preserve"> (patrz także informacje pod nagłówkiem „Kiedy nie </w:t>
      </w:r>
      <w:r w:rsidR="00105AE1" w:rsidRPr="009353E6">
        <w:rPr>
          <w:sz w:val="22"/>
          <w:szCs w:val="22"/>
          <w:lang w:val="pl-PL"/>
        </w:rPr>
        <w:t>przyjmować</w:t>
      </w:r>
      <w:r w:rsidR="00F21309" w:rsidRPr="009353E6">
        <w:rPr>
          <w:sz w:val="22"/>
          <w:szCs w:val="22"/>
          <w:lang w:val="pl-PL"/>
        </w:rPr>
        <w:t xml:space="preserve"> </w:t>
      </w:r>
      <w:r w:rsidRPr="009353E6">
        <w:rPr>
          <w:sz w:val="22"/>
          <w:szCs w:val="22"/>
          <w:lang w:val="pl-PL"/>
        </w:rPr>
        <w:t>leku MicardisPlus” oraz „Ostrzeżenia i środki ostrożności”);</w:t>
      </w:r>
    </w:p>
    <w:p w:rsidR="009A6C23" w:rsidRPr="009353E6" w:rsidRDefault="009A6C23" w:rsidP="009A6C23">
      <w:pPr>
        <w:numPr>
          <w:ilvl w:val="0"/>
          <w:numId w:val="29"/>
        </w:numPr>
        <w:tabs>
          <w:tab w:val="clear" w:pos="2520"/>
          <w:tab w:val="num" w:pos="567"/>
        </w:tabs>
        <w:ind w:hanging="2520"/>
        <w:rPr>
          <w:sz w:val="22"/>
          <w:szCs w:val="22"/>
          <w:lang w:val="pl-PL"/>
        </w:rPr>
      </w:pPr>
      <w:r w:rsidRPr="009353E6">
        <w:rPr>
          <w:bCs/>
          <w:iCs/>
          <w:sz w:val="22"/>
          <w:szCs w:val="20"/>
          <w:lang w:val="pl-PL"/>
        </w:rPr>
        <w:t>digoksyn</w:t>
      </w:r>
      <w:r w:rsidR="002D6BE9" w:rsidRPr="009353E6">
        <w:rPr>
          <w:bCs/>
          <w:iCs/>
          <w:sz w:val="22"/>
          <w:szCs w:val="20"/>
          <w:lang w:val="pl-PL"/>
        </w:rPr>
        <w:t>a</w:t>
      </w:r>
      <w:r w:rsidR="00D26BEB" w:rsidRPr="009353E6">
        <w:rPr>
          <w:bCs/>
          <w:iCs/>
          <w:sz w:val="22"/>
          <w:szCs w:val="20"/>
          <w:lang w:val="pl-PL"/>
        </w:rPr>
        <w:t>.</w:t>
      </w:r>
    </w:p>
    <w:p w:rsidR="000A739F" w:rsidRPr="009353E6" w:rsidRDefault="000A739F" w:rsidP="00F831F6">
      <w:pPr>
        <w:pStyle w:val="BodyText"/>
        <w:spacing w:line="240" w:lineRule="auto"/>
        <w:jc w:val="left"/>
        <w:rPr>
          <w:sz w:val="22"/>
          <w:szCs w:val="22"/>
          <w:lang w:val="pl-PL"/>
        </w:rPr>
      </w:pPr>
    </w:p>
    <w:p w:rsidR="00D26BEB" w:rsidRPr="009353E6" w:rsidRDefault="000A739F" w:rsidP="00D26BEB">
      <w:pPr>
        <w:autoSpaceDE w:val="0"/>
        <w:autoSpaceDN w:val="0"/>
        <w:adjustRightInd w:val="0"/>
        <w:rPr>
          <w:rStyle w:val="hps"/>
          <w:sz w:val="22"/>
          <w:szCs w:val="22"/>
          <w:lang w:val="pl-PL"/>
        </w:rPr>
      </w:pPr>
      <w:r w:rsidRPr="009353E6">
        <w:rPr>
          <w:sz w:val="22"/>
          <w:szCs w:val="22"/>
          <w:lang w:val="pl-PL"/>
        </w:rPr>
        <w:t>MicardisPlus może nasilać działanie obniżające ciśnienie krwi innych leków</w:t>
      </w:r>
      <w:r w:rsidR="009A6C23" w:rsidRPr="009353E6">
        <w:rPr>
          <w:rStyle w:val="hps"/>
          <w:sz w:val="22"/>
          <w:szCs w:val="22"/>
          <w:lang w:val="pl-PL"/>
        </w:rPr>
        <w:t xml:space="preserve"> </w:t>
      </w:r>
      <w:r w:rsidR="00D26BEB" w:rsidRPr="009353E6">
        <w:rPr>
          <w:rStyle w:val="hps"/>
          <w:sz w:val="22"/>
          <w:szCs w:val="22"/>
          <w:lang w:val="pl-PL"/>
        </w:rPr>
        <w:t>stosowanych w leczeniu nadciśnienia lub</w:t>
      </w:r>
      <w:r w:rsidR="00D26BEB" w:rsidRPr="009353E6">
        <w:rPr>
          <w:sz w:val="22"/>
          <w:szCs w:val="22"/>
          <w:lang w:val="pl-PL"/>
        </w:rPr>
        <w:t xml:space="preserve"> </w:t>
      </w:r>
      <w:r w:rsidR="00D26BEB" w:rsidRPr="009353E6">
        <w:rPr>
          <w:rStyle w:val="hps"/>
          <w:sz w:val="22"/>
          <w:szCs w:val="22"/>
          <w:lang w:val="pl-PL"/>
        </w:rPr>
        <w:t>leków</w:t>
      </w:r>
      <w:r w:rsidR="00D26BEB" w:rsidRPr="009353E6">
        <w:rPr>
          <w:sz w:val="22"/>
          <w:szCs w:val="22"/>
          <w:lang w:val="pl-PL"/>
        </w:rPr>
        <w:t xml:space="preserve"> </w:t>
      </w:r>
      <w:r w:rsidR="00D26BEB" w:rsidRPr="009353E6">
        <w:rPr>
          <w:rStyle w:val="hps"/>
          <w:sz w:val="22"/>
          <w:szCs w:val="22"/>
          <w:lang w:val="pl-PL"/>
        </w:rPr>
        <w:t>, które mogą</w:t>
      </w:r>
      <w:r w:rsidR="00D26BEB" w:rsidRPr="009353E6">
        <w:rPr>
          <w:sz w:val="22"/>
          <w:szCs w:val="22"/>
          <w:lang w:val="pl-PL"/>
        </w:rPr>
        <w:t xml:space="preserve"> wywołać </w:t>
      </w:r>
      <w:r w:rsidR="00D26BEB" w:rsidRPr="009353E6">
        <w:rPr>
          <w:rStyle w:val="hps"/>
          <w:sz w:val="22"/>
          <w:szCs w:val="22"/>
          <w:lang w:val="pl-PL"/>
        </w:rPr>
        <w:t>zmniejszenie ciśnienia krwi</w:t>
      </w:r>
      <w:r w:rsidR="00D26BEB" w:rsidRPr="009353E6">
        <w:rPr>
          <w:sz w:val="22"/>
          <w:szCs w:val="22"/>
          <w:lang w:val="pl-PL"/>
        </w:rPr>
        <w:t xml:space="preserve"> </w:t>
      </w:r>
      <w:r w:rsidR="00D26BEB" w:rsidRPr="009353E6">
        <w:rPr>
          <w:rStyle w:val="hps"/>
          <w:sz w:val="22"/>
          <w:szCs w:val="22"/>
          <w:lang w:val="pl-PL"/>
        </w:rPr>
        <w:t>(np.</w:t>
      </w:r>
      <w:r w:rsidR="00D26BEB" w:rsidRPr="009353E6">
        <w:rPr>
          <w:sz w:val="22"/>
          <w:szCs w:val="22"/>
          <w:lang w:val="pl-PL"/>
        </w:rPr>
        <w:t xml:space="preserve"> </w:t>
      </w:r>
      <w:r w:rsidR="00D26BEB" w:rsidRPr="009353E6">
        <w:rPr>
          <w:rStyle w:val="hps"/>
          <w:sz w:val="22"/>
          <w:szCs w:val="22"/>
          <w:lang w:val="pl-PL"/>
        </w:rPr>
        <w:t>baklofen</w:t>
      </w:r>
      <w:r w:rsidR="00D26BEB" w:rsidRPr="009353E6">
        <w:rPr>
          <w:sz w:val="22"/>
          <w:szCs w:val="22"/>
          <w:lang w:val="pl-PL"/>
        </w:rPr>
        <w:t xml:space="preserve">, </w:t>
      </w:r>
      <w:r w:rsidR="00D26BEB" w:rsidRPr="009353E6">
        <w:rPr>
          <w:rStyle w:val="hps"/>
          <w:sz w:val="22"/>
          <w:szCs w:val="22"/>
          <w:lang w:val="pl-PL"/>
        </w:rPr>
        <w:t>amifostyna</w:t>
      </w:r>
      <w:r w:rsidR="00D26BEB" w:rsidRPr="009353E6">
        <w:rPr>
          <w:sz w:val="22"/>
          <w:szCs w:val="22"/>
          <w:lang w:val="pl-PL"/>
        </w:rPr>
        <w:t xml:space="preserve">). </w:t>
      </w:r>
      <w:r w:rsidR="00D26BEB" w:rsidRPr="009353E6">
        <w:rPr>
          <w:rStyle w:val="hps"/>
          <w:sz w:val="22"/>
          <w:szCs w:val="22"/>
          <w:lang w:val="pl-PL"/>
        </w:rPr>
        <w:t>Ponadto</w:t>
      </w:r>
      <w:r w:rsidR="00D26BEB" w:rsidRPr="009353E6">
        <w:rPr>
          <w:sz w:val="22"/>
          <w:szCs w:val="22"/>
          <w:lang w:val="pl-PL"/>
        </w:rPr>
        <w:t xml:space="preserve"> niskie ciśnienie krwi </w:t>
      </w:r>
      <w:r w:rsidR="00D26BEB" w:rsidRPr="009353E6">
        <w:rPr>
          <w:rStyle w:val="hps"/>
          <w:sz w:val="22"/>
          <w:szCs w:val="22"/>
          <w:lang w:val="pl-PL"/>
        </w:rPr>
        <w:t>mogą dodatkowo zmniejszyć:</w:t>
      </w:r>
      <w:r w:rsidR="00D26BEB" w:rsidRPr="009353E6">
        <w:rPr>
          <w:sz w:val="22"/>
          <w:szCs w:val="22"/>
          <w:lang w:val="pl-PL"/>
        </w:rPr>
        <w:t xml:space="preserve"> </w:t>
      </w:r>
      <w:r w:rsidR="00D26BEB" w:rsidRPr="009353E6">
        <w:rPr>
          <w:rStyle w:val="hps"/>
          <w:sz w:val="22"/>
          <w:szCs w:val="22"/>
          <w:lang w:val="pl-PL"/>
        </w:rPr>
        <w:t>alkohol, barbiturany,</w:t>
      </w:r>
      <w:r w:rsidR="00D26BEB" w:rsidRPr="009353E6">
        <w:rPr>
          <w:sz w:val="22"/>
          <w:szCs w:val="22"/>
          <w:lang w:val="pl-PL"/>
        </w:rPr>
        <w:t xml:space="preserve"> </w:t>
      </w:r>
      <w:r w:rsidR="00D26BEB" w:rsidRPr="009353E6">
        <w:rPr>
          <w:rStyle w:val="hps"/>
          <w:sz w:val="22"/>
          <w:szCs w:val="22"/>
          <w:lang w:val="pl-PL"/>
        </w:rPr>
        <w:t>narkotyki lub</w:t>
      </w:r>
      <w:r w:rsidR="00D26BEB" w:rsidRPr="009353E6">
        <w:rPr>
          <w:sz w:val="22"/>
          <w:szCs w:val="22"/>
          <w:lang w:val="pl-PL"/>
        </w:rPr>
        <w:t xml:space="preserve"> </w:t>
      </w:r>
      <w:r w:rsidR="00D26BEB" w:rsidRPr="009353E6">
        <w:rPr>
          <w:rStyle w:val="hps"/>
          <w:sz w:val="22"/>
          <w:szCs w:val="22"/>
          <w:lang w:val="pl-PL"/>
        </w:rPr>
        <w:t>leki przeciwdepresyjne</w:t>
      </w:r>
      <w:r w:rsidR="00D26BEB" w:rsidRPr="009353E6">
        <w:rPr>
          <w:sz w:val="22"/>
          <w:szCs w:val="22"/>
          <w:lang w:val="pl-PL"/>
        </w:rPr>
        <w:t xml:space="preserve">. </w:t>
      </w:r>
      <w:r w:rsidR="00D26BEB" w:rsidRPr="009353E6">
        <w:rPr>
          <w:rStyle w:val="hps"/>
          <w:sz w:val="22"/>
          <w:szCs w:val="22"/>
          <w:lang w:val="pl-PL"/>
        </w:rPr>
        <w:t>Objawem są zawroty głowy</w:t>
      </w:r>
      <w:r w:rsidR="00D26BEB" w:rsidRPr="009353E6">
        <w:rPr>
          <w:sz w:val="22"/>
          <w:szCs w:val="22"/>
          <w:lang w:val="pl-PL"/>
        </w:rPr>
        <w:t xml:space="preserve"> </w:t>
      </w:r>
      <w:r w:rsidR="00D26BEB" w:rsidRPr="009353E6">
        <w:rPr>
          <w:rStyle w:val="hps"/>
          <w:sz w:val="22"/>
          <w:szCs w:val="22"/>
          <w:lang w:val="pl-PL"/>
        </w:rPr>
        <w:t>przy wstawaniu</w:t>
      </w:r>
      <w:r w:rsidR="00D26BEB" w:rsidRPr="009353E6">
        <w:rPr>
          <w:sz w:val="22"/>
          <w:szCs w:val="22"/>
          <w:lang w:val="pl-PL"/>
        </w:rPr>
        <w:t xml:space="preserve">. </w:t>
      </w:r>
      <w:r w:rsidR="00607E39" w:rsidRPr="009353E6">
        <w:rPr>
          <w:sz w:val="22"/>
          <w:szCs w:val="22"/>
          <w:lang w:val="pl-PL"/>
        </w:rPr>
        <w:t>W razie potrzeby należy poradzić się lekarza celem dostosowania dawki innego leku pod</w:t>
      </w:r>
      <w:r w:rsidR="007A3277" w:rsidRPr="009353E6">
        <w:rPr>
          <w:sz w:val="22"/>
          <w:szCs w:val="22"/>
          <w:lang w:val="pl-PL"/>
        </w:rPr>
        <w:t>czas przyjmowania leku Micardis</w:t>
      </w:r>
      <w:r w:rsidR="00607E39" w:rsidRPr="009353E6">
        <w:rPr>
          <w:sz w:val="22"/>
          <w:szCs w:val="22"/>
          <w:lang w:val="pl-PL"/>
        </w:rPr>
        <w:t>Plus.</w:t>
      </w:r>
    </w:p>
    <w:p w:rsidR="000A739F" w:rsidRPr="009353E6" w:rsidRDefault="000A739F" w:rsidP="00A50023">
      <w:pPr>
        <w:rPr>
          <w:sz w:val="22"/>
          <w:szCs w:val="22"/>
          <w:lang w:val="pl-PL"/>
        </w:rPr>
      </w:pPr>
    </w:p>
    <w:p w:rsidR="000A739F" w:rsidRPr="009353E6" w:rsidRDefault="002D3521" w:rsidP="00F831F6">
      <w:pPr>
        <w:pStyle w:val="BodyText"/>
        <w:spacing w:line="240" w:lineRule="auto"/>
        <w:jc w:val="left"/>
        <w:rPr>
          <w:iCs/>
          <w:sz w:val="22"/>
          <w:szCs w:val="22"/>
          <w:lang w:val="pl-PL"/>
        </w:rPr>
      </w:pPr>
      <w:r w:rsidRPr="009353E6">
        <w:rPr>
          <w:iCs/>
          <w:sz w:val="22"/>
          <w:szCs w:val="22"/>
          <w:lang w:val="pl-PL"/>
        </w:rPr>
        <w:t>D</w:t>
      </w:r>
      <w:r w:rsidR="000A739F" w:rsidRPr="009353E6">
        <w:rPr>
          <w:iCs/>
          <w:sz w:val="22"/>
          <w:szCs w:val="22"/>
          <w:lang w:val="pl-PL"/>
        </w:rPr>
        <w:t xml:space="preserve">ziałanie leku MicardisPlus może być osłabione w przypadku jednoczesnego stosowania </w:t>
      </w:r>
      <w:r w:rsidR="00FB61B3" w:rsidRPr="009353E6">
        <w:rPr>
          <w:iCs/>
          <w:sz w:val="22"/>
          <w:szCs w:val="22"/>
          <w:lang w:val="pl-PL"/>
        </w:rPr>
        <w:t xml:space="preserve">NLPZ </w:t>
      </w:r>
      <w:r w:rsidR="000A739F" w:rsidRPr="009353E6">
        <w:rPr>
          <w:iCs/>
          <w:sz w:val="22"/>
          <w:szCs w:val="22"/>
          <w:lang w:val="pl-PL"/>
        </w:rPr>
        <w:t>(niester</w:t>
      </w:r>
      <w:r w:rsidR="00D707F3" w:rsidRPr="009353E6">
        <w:rPr>
          <w:iCs/>
          <w:sz w:val="22"/>
          <w:szCs w:val="22"/>
          <w:lang w:val="pl-PL"/>
        </w:rPr>
        <w:t>oidowych</w:t>
      </w:r>
      <w:r w:rsidR="000A739F" w:rsidRPr="009353E6">
        <w:rPr>
          <w:iCs/>
          <w:sz w:val="22"/>
          <w:szCs w:val="22"/>
          <w:lang w:val="pl-PL"/>
        </w:rPr>
        <w:t xml:space="preserve"> leków przeciwzapalnych, np. </w:t>
      </w:r>
      <w:r w:rsidR="00A54564" w:rsidRPr="009353E6">
        <w:rPr>
          <w:iCs/>
          <w:sz w:val="22"/>
          <w:szCs w:val="22"/>
          <w:lang w:val="pl-PL"/>
        </w:rPr>
        <w:t>kwasu acetylosalicylowego lu</w:t>
      </w:r>
      <w:r w:rsidR="000A739F" w:rsidRPr="009353E6">
        <w:rPr>
          <w:iCs/>
          <w:sz w:val="22"/>
          <w:szCs w:val="22"/>
          <w:lang w:val="pl-PL"/>
        </w:rPr>
        <w:t>b ibuprofenu).</w:t>
      </w:r>
    </w:p>
    <w:p w:rsidR="00F445C4" w:rsidRPr="009353E6" w:rsidRDefault="00F445C4" w:rsidP="00F831F6">
      <w:pPr>
        <w:pStyle w:val="BodyText"/>
        <w:spacing w:line="240" w:lineRule="auto"/>
        <w:jc w:val="left"/>
        <w:rPr>
          <w:iCs/>
          <w:sz w:val="22"/>
          <w:szCs w:val="22"/>
          <w:lang w:val="pl-PL"/>
        </w:rPr>
      </w:pPr>
    </w:p>
    <w:p w:rsidR="00F445C4" w:rsidRPr="009353E6" w:rsidRDefault="00F445C4" w:rsidP="00F445C4">
      <w:pPr>
        <w:pStyle w:val="BodyText"/>
        <w:spacing w:line="240" w:lineRule="auto"/>
        <w:jc w:val="left"/>
        <w:rPr>
          <w:b/>
          <w:iCs/>
          <w:sz w:val="22"/>
          <w:szCs w:val="22"/>
          <w:lang w:val="pl-PL"/>
        </w:rPr>
      </w:pPr>
      <w:r w:rsidRPr="009353E6">
        <w:rPr>
          <w:b/>
          <w:iCs/>
          <w:sz w:val="22"/>
          <w:szCs w:val="22"/>
          <w:lang w:val="pl-PL"/>
        </w:rPr>
        <w:t xml:space="preserve">Stosowanie leku MicardisPlus z </w:t>
      </w:r>
      <w:r w:rsidR="007D54FB" w:rsidRPr="009353E6">
        <w:rPr>
          <w:b/>
          <w:iCs/>
          <w:sz w:val="22"/>
          <w:szCs w:val="22"/>
          <w:lang w:val="pl-PL"/>
        </w:rPr>
        <w:t>jedzeniem</w:t>
      </w:r>
      <w:r w:rsidRPr="009353E6">
        <w:rPr>
          <w:b/>
          <w:iCs/>
          <w:sz w:val="22"/>
          <w:szCs w:val="22"/>
          <w:lang w:val="pl-PL"/>
        </w:rPr>
        <w:t xml:space="preserve"> i alkoholem</w:t>
      </w:r>
    </w:p>
    <w:p w:rsidR="00F445C4" w:rsidRPr="009353E6" w:rsidRDefault="00F445C4" w:rsidP="00F445C4">
      <w:pPr>
        <w:pStyle w:val="BodyText"/>
        <w:spacing w:line="240" w:lineRule="auto"/>
        <w:jc w:val="left"/>
        <w:rPr>
          <w:iCs/>
          <w:sz w:val="22"/>
          <w:szCs w:val="22"/>
          <w:lang w:val="pl-PL"/>
        </w:rPr>
      </w:pPr>
      <w:r w:rsidRPr="009353E6">
        <w:rPr>
          <w:iCs/>
          <w:sz w:val="22"/>
          <w:szCs w:val="22"/>
          <w:lang w:val="pl-PL"/>
        </w:rPr>
        <w:t xml:space="preserve">Lek MicardisPlus można przyjmować z pożywieniem lub niezależnie od posiłków. </w:t>
      </w:r>
    </w:p>
    <w:p w:rsidR="00F445C4" w:rsidRPr="009353E6" w:rsidRDefault="00F445C4" w:rsidP="00F831F6">
      <w:pPr>
        <w:pStyle w:val="BodyText"/>
        <w:spacing w:line="240" w:lineRule="auto"/>
        <w:jc w:val="left"/>
        <w:rPr>
          <w:iCs/>
          <w:sz w:val="22"/>
          <w:szCs w:val="22"/>
          <w:lang w:val="pl-PL"/>
        </w:rPr>
      </w:pPr>
      <w:r w:rsidRPr="009353E6">
        <w:rPr>
          <w:iCs/>
          <w:sz w:val="22"/>
          <w:szCs w:val="22"/>
          <w:lang w:val="pl-PL"/>
        </w:rPr>
        <w:t xml:space="preserve">Należy unikać alkoholu do czasu rozmowy z lekarzem. </w:t>
      </w:r>
      <w:r w:rsidR="00360869" w:rsidRPr="009353E6">
        <w:rPr>
          <w:iCs/>
          <w:sz w:val="22"/>
          <w:szCs w:val="22"/>
          <w:lang w:val="pl-PL"/>
        </w:rPr>
        <w:t>Alkohol może dodatkowo obniżyć ciśnienie krwi i</w:t>
      </w:r>
      <w:r w:rsidR="002D6BE9" w:rsidRPr="009353E6">
        <w:rPr>
          <w:iCs/>
          <w:sz w:val="22"/>
          <w:szCs w:val="22"/>
          <w:lang w:val="pl-PL"/>
        </w:rPr>
        <w:t xml:space="preserve"> (</w:t>
      </w:r>
      <w:r w:rsidR="00360869" w:rsidRPr="009353E6">
        <w:rPr>
          <w:iCs/>
          <w:sz w:val="22"/>
          <w:szCs w:val="22"/>
          <w:lang w:val="pl-PL"/>
        </w:rPr>
        <w:t>lub</w:t>
      </w:r>
      <w:r w:rsidR="002D6BE9" w:rsidRPr="009353E6">
        <w:rPr>
          <w:iCs/>
          <w:sz w:val="22"/>
          <w:szCs w:val="22"/>
          <w:lang w:val="pl-PL"/>
        </w:rPr>
        <w:t>)</w:t>
      </w:r>
      <w:r w:rsidR="00360869" w:rsidRPr="009353E6">
        <w:rPr>
          <w:iCs/>
          <w:sz w:val="22"/>
          <w:szCs w:val="22"/>
          <w:lang w:val="pl-PL"/>
        </w:rPr>
        <w:t xml:space="preserve"> nasilić ryzyko zawrotów głowy </w:t>
      </w:r>
      <w:r w:rsidR="002D6BE9" w:rsidRPr="009353E6">
        <w:rPr>
          <w:iCs/>
          <w:sz w:val="22"/>
          <w:szCs w:val="22"/>
          <w:lang w:val="pl-PL"/>
        </w:rPr>
        <w:t>lub</w:t>
      </w:r>
      <w:r w:rsidR="00360869" w:rsidRPr="009353E6">
        <w:rPr>
          <w:iCs/>
          <w:sz w:val="22"/>
          <w:szCs w:val="22"/>
          <w:lang w:val="pl-PL"/>
        </w:rPr>
        <w:t xml:space="preserve"> omdlenia.</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Ciąża i karmienie piersią</w:t>
      </w:r>
    </w:p>
    <w:p w:rsidR="006427B8" w:rsidRPr="009353E6" w:rsidRDefault="006427B8" w:rsidP="00F831F6">
      <w:pPr>
        <w:pStyle w:val="BodyText"/>
        <w:spacing w:line="240" w:lineRule="auto"/>
        <w:jc w:val="left"/>
        <w:rPr>
          <w:b/>
          <w:sz w:val="22"/>
          <w:szCs w:val="22"/>
          <w:lang w:val="pl-PL"/>
        </w:rPr>
      </w:pPr>
    </w:p>
    <w:p w:rsidR="0042510A" w:rsidRPr="009353E6" w:rsidRDefault="0042510A" w:rsidP="00F831F6">
      <w:pPr>
        <w:pStyle w:val="BodyText"/>
        <w:spacing w:line="240" w:lineRule="auto"/>
        <w:jc w:val="left"/>
        <w:rPr>
          <w:sz w:val="22"/>
          <w:szCs w:val="22"/>
          <w:u w:val="single"/>
          <w:lang w:val="pl-PL"/>
        </w:rPr>
      </w:pPr>
      <w:r w:rsidRPr="009353E6">
        <w:rPr>
          <w:sz w:val="22"/>
          <w:szCs w:val="22"/>
          <w:u w:val="single"/>
          <w:lang w:val="pl-PL"/>
        </w:rPr>
        <w:t>Ciąża</w:t>
      </w:r>
    </w:p>
    <w:p w:rsidR="0042510A" w:rsidRPr="009353E6" w:rsidRDefault="0042510A" w:rsidP="00F831F6">
      <w:pPr>
        <w:pStyle w:val="BodyText"/>
        <w:spacing w:line="240" w:lineRule="auto"/>
        <w:jc w:val="left"/>
        <w:rPr>
          <w:sz w:val="22"/>
          <w:szCs w:val="22"/>
          <w:lang w:val="pl-PL"/>
        </w:rPr>
      </w:pPr>
      <w:r w:rsidRPr="009353E6">
        <w:rPr>
          <w:sz w:val="22"/>
          <w:szCs w:val="22"/>
          <w:lang w:val="pl-PL"/>
        </w:rPr>
        <w:t xml:space="preserve">Należy poinformować lekarza o podejrzeniu </w:t>
      </w:r>
      <w:r w:rsidR="002D3521" w:rsidRPr="009353E6">
        <w:rPr>
          <w:sz w:val="22"/>
          <w:szCs w:val="22"/>
          <w:lang w:val="pl-PL"/>
        </w:rPr>
        <w:t>(</w:t>
      </w:r>
      <w:r w:rsidRPr="009353E6">
        <w:rPr>
          <w:sz w:val="22"/>
          <w:szCs w:val="22"/>
          <w:u w:val="single"/>
          <w:lang w:val="pl-PL"/>
        </w:rPr>
        <w:t>lub planowaniu</w:t>
      </w:r>
      <w:r w:rsidR="002D3521" w:rsidRPr="009353E6">
        <w:rPr>
          <w:sz w:val="22"/>
          <w:szCs w:val="22"/>
          <w:u w:val="single"/>
          <w:lang w:val="pl-PL"/>
        </w:rPr>
        <w:t>)</w:t>
      </w:r>
      <w:r w:rsidRPr="009353E6">
        <w:rPr>
          <w:sz w:val="22"/>
          <w:szCs w:val="22"/>
          <w:lang w:val="pl-PL"/>
        </w:rPr>
        <w:t xml:space="preserve"> ciąży. </w:t>
      </w:r>
    </w:p>
    <w:p w:rsidR="0042510A" w:rsidRPr="009353E6" w:rsidRDefault="0042510A" w:rsidP="00F831F6">
      <w:pPr>
        <w:pStyle w:val="BodyText"/>
        <w:spacing w:line="240" w:lineRule="auto"/>
        <w:jc w:val="left"/>
        <w:rPr>
          <w:sz w:val="22"/>
          <w:szCs w:val="22"/>
          <w:lang w:val="pl-PL"/>
        </w:rPr>
      </w:pPr>
      <w:r w:rsidRPr="009353E6">
        <w:rPr>
          <w:sz w:val="22"/>
          <w:szCs w:val="22"/>
          <w:lang w:val="pl-PL"/>
        </w:rPr>
        <w:t xml:space="preserve">Zazwyczaj lekarz zaleci zaprzestanie stosowania leku MicardisPlus przed planowaną ciążą lub natychmiast po stwierdzeniu ciąży i zaleci inny lek zamiast leku MicardisPlus. Nie zaleca się stosowania leku MicardisPlus </w:t>
      </w:r>
      <w:r w:rsidR="009554EB" w:rsidRPr="009353E6">
        <w:rPr>
          <w:sz w:val="22"/>
          <w:szCs w:val="22"/>
          <w:lang w:val="pl-PL"/>
        </w:rPr>
        <w:t xml:space="preserve">podczas </w:t>
      </w:r>
      <w:r w:rsidRPr="009353E6">
        <w:rPr>
          <w:sz w:val="22"/>
          <w:szCs w:val="22"/>
          <w:lang w:val="pl-PL"/>
        </w:rPr>
        <w:t xml:space="preserve">ciąży i nie wolno go stosować po trzecim miesiącu ciąży, ponieważ może poważnie zaszkodzić dziecku, jeśli jest stosowany po 3 miesiącu ciąży. </w:t>
      </w:r>
    </w:p>
    <w:p w:rsidR="0042510A" w:rsidRPr="009353E6" w:rsidRDefault="0042510A" w:rsidP="00F831F6">
      <w:pPr>
        <w:pStyle w:val="BodyText"/>
        <w:spacing w:line="240" w:lineRule="auto"/>
        <w:jc w:val="left"/>
        <w:rPr>
          <w:sz w:val="22"/>
          <w:szCs w:val="22"/>
          <w:lang w:val="pl-PL"/>
        </w:rPr>
      </w:pPr>
    </w:p>
    <w:p w:rsidR="0042510A" w:rsidRPr="009353E6" w:rsidRDefault="0042510A" w:rsidP="00F831F6">
      <w:pPr>
        <w:pStyle w:val="BodyText"/>
        <w:spacing w:line="240" w:lineRule="auto"/>
        <w:jc w:val="left"/>
        <w:rPr>
          <w:sz w:val="22"/>
          <w:szCs w:val="22"/>
          <w:u w:val="single"/>
          <w:lang w:val="pl-PL"/>
        </w:rPr>
      </w:pPr>
      <w:r w:rsidRPr="009353E6">
        <w:rPr>
          <w:sz w:val="22"/>
          <w:szCs w:val="22"/>
          <w:u w:val="single"/>
          <w:lang w:val="pl-PL"/>
        </w:rPr>
        <w:t>Karmienie piersią</w:t>
      </w:r>
    </w:p>
    <w:p w:rsidR="009554EB" w:rsidRPr="009353E6" w:rsidRDefault="0042510A" w:rsidP="009554EB">
      <w:pPr>
        <w:pStyle w:val="BodyText"/>
        <w:spacing w:line="240" w:lineRule="auto"/>
        <w:jc w:val="left"/>
        <w:rPr>
          <w:sz w:val="22"/>
          <w:szCs w:val="22"/>
          <w:lang w:val="pl-PL"/>
        </w:rPr>
      </w:pPr>
      <w:r w:rsidRPr="009353E6">
        <w:rPr>
          <w:sz w:val="22"/>
          <w:szCs w:val="22"/>
          <w:lang w:val="pl-PL"/>
        </w:rPr>
        <w:t>Należy powiedzieć lekarzowi o karmieniu piersią lub zamiarze karmienia piersią. Lek MicardisPlus nie jest zalecany podczas karmienia piersią. Lekarz może wybrać inne leczenie w trakcie karmienia piersią</w:t>
      </w:r>
      <w:r w:rsidR="009554EB"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Prowadzenie pojazdów i obsług</w:t>
      </w:r>
      <w:r w:rsidR="00FB61B3" w:rsidRPr="009353E6">
        <w:rPr>
          <w:b/>
          <w:sz w:val="22"/>
          <w:szCs w:val="22"/>
          <w:lang w:val="pl-PL"/>
        </w:rPr>
        <w:t>iwanie</w:t>
      </w:r>
      <w:r w:rsidRPr="009353E6">
        <w:rPr>
          <w:b/>
          <w:sz w:val="22"/>
          <w:szCs w:val="22"/>
          <w:lang w:val="pl-PL"/>
        </w:rPr>
        <w:t xml:space="preserve"> maszyn</w:t>
      </w:r>
    </w:p>
    <w:p w:rsidR="006427B8" w:rsidRPr="009353E6" w:rsidRDefault="006427B8" w:rsidP="00F831F6">
      <w:pPr>
        <w:pStyle w:val="BodyText"/>
        <w:spacing w:line="240" w:lineRule="auto"/>
        <w:jc w:val="left"/>
        <w:rPr>
          <w:b/>
          <w:sz w:val="22"/>
          <w:szCs w:val="22"/>
          <w:lang w:val="pl-PL"/>
        </w:rPr>
      </w:pPr>
    </w:p>
    <w:p w:rsidR="00072513" w:rsidRPr="009353E6" w:rsidRDefault="00072513" w:rsidP="00072513">
      <w:pPr>
        <w:pStyle w:val="BodyText"/>
        <w:spacing w:line="240" w:lineRule="auto"/>
        <w:jc w:val="left"/>
        <w:rPr>
          <w:sz w:val="22"/>
          <w:szCs w:val="22"/>
          <w:lang w:val="pl-PL"/>
        </w:rPr>
      </w:pPr>
      <w:r w:rsidRPr="009353E6">
        <w:rPr>
          <w:sz w:val="22"/>
          <w:szCs w:val="22"/>
          <w:lang w:val="pl-PL"/>
        </w:rPr>
        <w:t>Niektórzy pacjenci przyjmujący MicardisPlus mogą odczuwać zawroty głowy lub zmęczenie. W takim przypadku nie należy prowadzić pojazdów ani obsługiwać maszyn.</w:t>
      </w:r>
      <w:r w:rsidRPr="009353E6" w:rsidDel="00072513">
        <w:rPr>
          <w:sz w:val="22"/>
          <w:szCs w:val="22"/>
          <w:lang w:val="pl-PL"/>
        </w:rPr>
        <w:t xml:space="preserve"> </w:t>
      </w:r>
    </w:p>
    <w:p w:rsidR="000A739F" w:rsidRPr="009353E6" w:rsidRDefault="000A739F" w:rsidP="00F831F6">
      <w:pPr>
        <w:pStyle w:val="BodyText"/>
        <w:spacing w:line="240" w:lineRule="auto"/>
        <w:jc w:val="left"/>
        <w:rPr>
          <w:sz w:val="22"/>
          <w:szCs w:val="22"/>
          <w:lang w:val="pl-PL"/>
        </w:rPr>
      </w:pPr>
    </w:p>
    <w:p w:rsidR="000A739F" w:rsidRPr="009353E6" w:rsidRDefault="000A739F" w:rsidP="005E3A9A">
      <w:pPr>
        <w:pStyle w:val="BodyText"/>
        <w:keepNext/>
        <w:spacing w:line="240" w:lineRule="auto"/>
        <w:jc w:val="left"/>
        <w:rPr>
          <w:b/>
          <w:sz w:val="22"/>
          <w:szCs w:val="22"/>
          <w:lang w:val="pl-PL"/>
        </w:rPr>
      </w:pPr>
      <w:r w:rsidRPr="009353E6">
        <w:rPr>
          <w:b/>
          <w:sz w:val="22"/>
          <w:szCs w:val="22"/>
          <w:lang w:val="pl-PL"/>
        </w:rPr>
        <w:t>Lek MicardisPlus zawiera cukier (laktozę) i sorbitol.</w:t>
      </w: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Jeśli </w:t>
      </w:r>
      <w:r w:rsidR="00A54564" w:rsidRPr="009353E6">
        <w:rPr>
          <w:sz w:val="22"/>
          <w:szCs w:val="22"/>
          <w:lang w:val="pl-PL"/>
        </w:rPr>
        <w:t xml:space="preserve">pacjent </w:t>
      </w:r>
      <w:r w:rsidRPr="009353E6">
        <w:rPr>
          <w:sz w:val="22"/>
          <w:szCs w:val="22"/>
          <w:lang w:val="pl-PL"/>
        </w:rPr>
        <w:t>ma nietolerancję pewnych cukrów, powinien skontaktować się z lekarzem przed zastosowaniem leku MicardisPlus.</w:t>
      </w:r>
    </w:p>
    <w:p w:rsidR="002D3E1A" w:rsidRPr="009353E6" w:rsidRDefault="002D3E1A" w:rsidP="00F831F6">
      <w:pPr>
        <w:pStyle w:val="BodyText"/>
        <w:spacing w:line="240" w:lineRule="auto"/>
        <w:jc w:val="left"/>
        <w:rPr>
          <w:sz w:val="22"/>
          <w:szCs w:val="22"/>
          <w:lang w:val="pl-PL"/>
        </w:rPr>
      </w:pPr>
    </w:p>
    <w:p w:rsidR="002D3E1A" w:rsidRPr="009353E6" w:rsidRDefault="002D3E1A" w:rsidP="00F831F6">
      <w:pPr>
        <w:pStyle w:val="BodyText"/>
        <w:spacing w:line="240" w:lineRule="auto"/>
        <w:jc w:val="left"/>
        <w:rPr>
          <w:sz w:val="22"/>
          <w:szCs w:val="22"/>
          <w:lang w:val="pl-PL"/>
        </w:rPr>
      </w:pPr>
    </w:p>
    <w:p w:rsidR="002D3E1A" w:rsidRPr="009353E6" w:rsidRDefault="005D27AA" w:rsidP="00E40CF2">
      <w:pPr>
        <w:pStyle w:val="BodyText"/>
        <w:keepNext/>
        <w:tabs>
          <w:tab w:val="left" w:pos="540"/>
        </w:tabs>
        <w:spacing w:line="240" w:lineRule="auto"/>
        <w:jc w:val="left"/>
        <w:rPr>
          <w:b/>
          <w:sz w:val="22"/>
          <w:szCs w:val="22"/>
          <w:lang w:val="pl-PL"/>
        </w:rPr>
      </w:pPr>
      <w:r w:rsidRPr="009353E6">
        <w:rPr>
          <w:b/>
          <w:sz w:val="22"/>
          <w:szCs w:val="22"/>
          <w:lang w:val="pl-PL"/>
        </w:rPr>
        <w:t>3.</w:t>
      </w:r>
      <w:r w:rsidRPr="009353E6">
        <w:rPr>
          <w:b/>
          <w:sz w:val="22"/>
          <w:szCs w:val="22"/>
          <w:lang w:val="pl-PL"/>
        </w:rPr>
        <w:tab/>
      </w:r>
      <w:r w:rsidR="002D3521" w:rsidRPr="009353E6">
        <w:rPr>
          <w:b/>
          <w:sz w:val="22"/>
          <w:szCs w:val="22"/>
          <w:lang w:val="pl-PL"/>
        </w:rPr>
        <w:t xml:space="preserve">Jak </w:t>
      </w:r>
      <w:r w:rsidR="007D54FB" w:rsidRPr="009353E6">
        <w:rPr>
          <w:b/>
          <w:sz w:val="22"/>
          <w:szCs w:val="22"/>
          <w:lang w:val="pl-PL"/>
        </w:rPr>
        <w:t>przyjmować</w:t>
      </w:r>
      <w:r w:rsidR="002D3521" w:rsidRPr="009353E6">
        <w:rPr>
          <w:b/>
          <w:sz w:val="22"/>
          <w:szCs w:val="22"/>
          <w:lang w:val="pl-PL"/>
        </w:rPr>
        <w:t xml:space="preserve"> lek MicardisPlus </w:t>
      </w:r>
    </w:p>
    <w:p w:rsidR="002D3E1A" w:rsidRPr="009353E6" w:rsidRDefault="002D3E1A" w:rsidP="00E40CF2">
      <w:pPr>
        <w:pStyle w:val="BodyText"/>
        <w:keepNext/>
        <w:spacing w:line="240" w:lineRule="auto"/>
        <w:jc w:val="left"/>
        <w:rPr>
          <w:sz w:val="22"/>
          <w:szCs w:val="22"/>
          <w:lang w:val="pl-PL"/>
        </w:rPr>
      </w:pPr>
    </w:p>
    <w:p w:rsidR="000A739F" w:rsidRPr="009353E6" w:rsidRDefault="00123CB1" w:rsidP="00E40CF2">
      <w:pPr>
        <w:pStyle w:val="BodyText"/>
        <w:keepNext/>
        <w:spacing w:line="240" w:lineRule="auto"/>
        <w:jc w:val="left"/>
        <w:rPr>
          <w:sz w:val="22"/>
          <w:szCs w:val="22"/>
          <w:lang w:val="pl-PL"/>
        </w:rPr>
      </w:pPr>
      <w:r w:rsidRPr="009353E6">
        <w:rPr>
          <w:sz w:val="22"/>
          <w:szCs w:val="22"/>
          <w:lang w:val="pl-PL"/>
        </w:rPr>
        <w:t>Ten l</w:t>
      </w:r>
      <w:r w:rsidR="000A739F" w:rsidRPr="009353E6">
        <w:rPr>
          <w:sz w:val="22"/>
          <w:szCs w:val="22"/>
          <w:lang w:val="pl-PL"/>
        </w:rPr>
        <w:t xml:space="preserve">ek </w:t>
      </w:r>
      <w:r w:rsidR="00FB61B3" w:rsidRPr="009353E6">
        <w:rPr>
          <w:sz w:val="22"/>
          <w:szCs w:val="22"/>
          <w:lang w:val="pl-PL"/>
        </w:rPr>
        <w:t xml:space="preserve">należy </w:t>
      </w:r>
      <w:r w:rsidR="000A739F" w:rsidRPr="009353E6">
        <w:rPr>
          <w:sz w:val="22"/>
          <w:szCs w:val="22"/>
          <w:lang w:val="pl-PL"/>
        </w:rPr>
        <w:t xml:space="preserve">zawsze przyjmować zgodnie z zaleceniami lekarza. W </w:t>
      </w:r>
      <w:r w:rsidR="00FB61B3" w:rsidRPr="009353E6">
        <w:rPr>
          <w:sz w:val="22"/>
          <w:szCs w:val="22"/>
          <w:lang w:val="pl-PL"/>
        </w:rPr>
        <w:t xml:space="preserve">razie </w:t>
      </w:r>
      <w:r w:rsidR="000A739F" w:rsidRPr="009353E6">
        <w:rPr>
          <w:sz w:val="22"/>
          <w:szCs w:val="22"/>
          <w:lang w:val="pl-PL"/>
        </w:rPr>
        <w:t xml:space="preserve">wątpliwości należy </w:t>
      </w:r>
      <w:r w:rsidR="007D54FB" w:rsidRPr="009353E6">
        <w:rPr>
          <w:sz w:val="22"/>
          <w:szCs w:val="22"/>
          <w:lang w:val="pl-PL"/>
        </w:rPr>
        <w:t>zwrócić</w:t>
      </w:r>
      <w:r w:rsidR="00FB61B3" w:rsidRPr="009353E6">
        <w:rPr>
          <w:sz w:val="22"/>
          <w:szCs w:val="22"/>
          <w:lang w:val="pl-PL"/>
        </w:rPr>
        <w:t xml:space="preserve"> </w:t>
      </w:r>
      <w:r w:rsidR="000A739F" w:rsidRPr="009353E6">
        <w:rPr>
          <w:sz w:val="22"/>
          <w:szCs w:val="22"/>
          <w:lang w:val="pl-PL"/>
        </w:rPr>
        <w:t xml:space="preserve">się </w:t>
      </w:r>
      <w:r w:rsidR="007D54FB" w:rsidRPr="009353E6">
        <w:rPr>
          <w:sz w:val="22"/>
          <w:szCs w:val="22"/>
          <w:lang w:val="pl-PL"/>
        </w:rPr>
        <w:t>do</w:t>
      </w:r>
      <w:r w:rsidR="000A739F" w:rsidRPr="009353E6">
        <w:rPr>
          <w:sz w:val="22"/>
          <w:szCs w:val="22"/>
          <w:lang w:val="pl-PL"/>
        </w:rPr>
        <w:t xml:space="preserve"> lekarz</w:t>
      </w:r>
      <w:r w:rsidR="007D54FB" w:rsidRPr="009353E6">
        <w:rPr>
          <w:sz w:val="22"/>
          <w:szCs w:val="22"/>
          <w:lang w:val="pl-PL"/>
        </w:rPr>
        <w:t>a</w:t>
      </w:r>
      <w:r w:rsidR="000A739F" w:rsidRPr="009353E6">
        <w:rPr>
          <w:sz w:val="22"/>
          <w:szCs w:val="22"/>
          <w:lang w:val="pl-PL"/>
        </w:rPr>
        <w:t xml:space="preserve"> lub farmaceut</w:t>
      </w:r>
      <w:r w:rsidR="007D54FB" w:rsidRPr="009353E6">
        <w:rPr>
          <w:sz w:val="22"/>
          <w:szCs w:val="22"/>
          <w:lang w:val="pl-PL"/>
        </w:rPr>
        <w:t>y</w:t>
      </w:r>
      <w:r w:rsidR="000A739F"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2D3521" w:rsidP="00F831F6">
      <w:pPr>
        <w:pStyle w:val="BodyText"/>
        <w:spacing w:line="240" w:lineRule="auto"/>
        <w:jc w:val="left"/>
        <w:rPr>
          <w:sz w:val="22"/>
          <w:szCs w:val="22"/>
          <w:lang w:val="pl-PL"/>
        </w:rPr>
      </w:pPr>
      <w:r w:rsidRPr="009353E6">
        <w:rPr>
          <w:sz w:val="22"/>
          <w:szCs w:val="22"/>
          <w:lang w:val="pl-PL"/>
        </w:rPr>
        <w:t xml:space="preserve">Zalecana </w:t>
      </w:r>
      <w:r w:rsidR="00A54564" w:rsidRPr="009353E6">
        <w:rPr>
          <w:sz w:val="22"/>
          <w:szCs w:val="22"/>
          <w:lang w:val="pl-PL"/>
        </w:rPr>
        <w:t xml:space="preserve">dawka to jedna </w:t>
      </w:r>
      <w:r w:rsidR="000A739F" w:rsidRPr="009353E6">
        <w:rPr>
          <w:sz w:val="22"/>
          <w:szCs w:val="22"/>
          <w:lang w:val="pl-PL"/>
        </w:rPr>
        <w:t>tablet</w:t>
      </w:r>
      <w:r w:rsidR="00A54564" w:rsidRPr="009353E6">
        <w:rPr>
          <w:sz w:val="22"/>
          <w:szCs w:val="22"/>
          <w:lang w:val="pl-PL"/>
        </w:rPr>
        <w:t>ka na dobę. N</w:t>
      </w:r>
      <w:r w:rsidR="000A739F" w:rsidRPr="009353E6">
        <w:rPr>
          <w:sz w:val="22"/>
          <w:szCs w:val="22"/>
          <w:lang w:val="pl-PL"/>
        </w:rPr>
        <w:t xml:space="preserve">ależy </w:t>
      </w:r>
      <w:r w:rsidR="00A54564" w:rsidRPr="009353E6">
        <w:rPr>
          <w:sz w:val="22"/>
          <w:szCs w:val="22"/>
          <w:lang w:val="pl-PL"/>
        </w:rPr>
        <w:t xml:space="preserve">starać się </w:t>
      </w:r>
      <w:r w:rsidR="000A739F" w:rsidRPr="009353E6">
        <w:rPr>
          <w:sz w:val="22"/>
          <w:szCs w:val="22"/>
          <w:lang w:val="pl-PL"/>
        </w:rPr>
        <w:t>przyjmować</w:t>
      </w:r>
      <w:r w:rsidR="00A54564" w:rsidRPr="009353E6">
        <w:rPr>
          <w:sz w:val="22"/>
          <w:szCs w:val="22"/>
          <w:lang w:val="pl-PL"/>
        </w:rPr>
        <w:t xml:space="preserve"> tabletkę o</w:t>
      </w:r>
      <w:r w:rsidR="00B43A19" w:rsidRPr="009353E6">
        <w:rPr>
          <w:sz w:val="22"/>
          <w:szCs w:val="22"/>
          <w:lang w:val="pl-PL"/>
        </w:rPr>
        <w:t> </w:t>
      </w:r>
      <w:r w:rsidR="00A54564" w:rsidRPr="009353E6">
        <w:rPr>
          <w:sz w:val="22"/>
          <w:szCs w:val="22"/>
          <w:lang w:val="pl-PL"/>
        </w:rPr>
        <w:t xml:space="preserve">tej samej porze każdego dnia. </w:t>
      </w:r>
      <w:r w:rsidR="000A739F" w:rsidRPr="009353E6">
        <w:rPr>
          <w:sz w:val="22"/>
          <w:szCs w:val="22"/>
          <w:lang w:val="pl-PL"/>
        </w:rPr>
        <w:t>MicardisPlus można przyjmować podczas posiłku lub pomiędzy posiłkami. Tabletki należy połknąć popijając wodą lub napojem bezalkoholowym. Ważne jest, aby lek MicardisPlus przyjmować każdego dnia, dopóki lekarz nie zaleci inaczej.</w:t>
      </w:r>
    </w:p>
    <w:p w:rsidR="000A739F" w:rsidRPr="009353E6" w:rsidRDefault="000A739F" w:rsidP="00F831F6">
      <w:pPr>
        <w:pStyle w:val="BodyText"/>
        <w:spacing w:line="240" w:lineRule="auto"/>
        <w:jc w:val="left"/>
        <w:rPr>
          <w:sz w:val="22"/>
          <w:szCs w:val="22"/>
          <w:lang w:val="pl-PL"/>
        </w:rPr>
      </w:pPr>
    </w:p>
    <w:p w:rsidR="000A739F" w:rsidRPr="009353E6" w:rsidRDefault="00A54564" w:rsidP="00F831F6">
      <w:pPr>
        <w:pStyle w:val="BodyText"/>
        <w:spacing w:line="240" w:lineRule="auto"/>
        <w:jc w:val="left"/>
        <w:rPr>
          <w:sz w:val="22"/>
          <w:szCs w:val="22"/>
          <w:lang w:val="pl-PL"/>
        </w:rPr>
      </w:pPr>
      <w:r w:rsidRPr="009353E6">
        <w:rPr>
          <w:sz w:val="22"/>
          <w:szCs w:val="22"/>
          <w:lang w:val="pl-PL"/>
        </w:rPr>
        <w:t>Jeśli u pacjenta wątroba nie funkcjonuje właściwie, zwykła dawka nie powinna być większa niż 4</w:t>
      </w:r>
      <w:r w:rsidR="000A739F" w:rsidRPr="009353E6">
        <w:rPr>
          <w:sz w:val="22"/>
          <w:szCs w:val="22"/>
          <w:lang w:val="pl-PL"/>
        </w:rPr>
        <w:t xml:space="preserve">0 mg telmisartanu i 12,5 mg hydrochlorotiazydu na dobę. </w:t>
      </w:r>
    </w:p>
    <w:p w:rsidR="000A739F" w:rsidRPr="009353E6" w:rsidRDefault="000A739F" w:rsidP="00F831F6">
      <w:pPr>
        <w:pStyle w:val="BodyText"/>
        <w:spacing w:line="240" w:lineRule="auto"/>
        <w:jc w:val="left"/>
        <w:rPr>
          <w:sz w:val="22"/>
          <w:szCs w:val="22"/>
          <w:lang w:val="pl-PL"/>
        </w:rPr>
      </w:pPr>
    </w:p>
    <w:p w:rsidR="000A739F" w:rsidRPr="009353E6" w:rsidRDefault="007D54FB" w:rsidP="00F831F6">
      <w:pPr>
        <w:pStyle w:val="BodyText"/>
        <w:spacing w:line="240" w:lineRule="auto"/>
        <w:jc w:val="left"/>
        <w:rPr>
          <w:b/>
          <w:sz w:val="22"/>
          <w:szCs w:val="22"/>
          <w:lang w:val="pl-PL"/>
        </w:rPr>
      </w:pPr>
      <w:r w:rsidRPr="009353E6">
        <w:rPr>
          <w:b/>
          <w:sz w:val="22"/>
          <w:szCs w:val="22"/>
          <w:lang w:val="pl-PL"/>
        </w:rPr>
        <w:t>Przyjęcie</w:t>
      </w:r>
      <w:r w:rsidR="000A739F" w:rsidRPr="009353E6">
        <w:rPr>
          <w:b/>
          <w:sz w:val="22"/>
          <w:szCs w:val="22"/>
          <w:lang w:val="pl-PL"/>
        </w:rPr>
        <w:t xml:space="preserve"> większej niż zalecana dawki leku MicardisPlus</w:t>
      </w:r>
      <w:r w:rsidR="000A739F" w:rsidRPr="009353E6">
        <w:rPr>
          <w:b/>
          <w:strike/>
          <w:sz w:val="22"/>
          <w:szCs w:val="22"/>
          <w:lang w:val="pl-PL"/>
        </w:rPr>
        <w:t xml:space="preserve"> </w:t>
      </w:r>
    </w:p>
    <w:p w:rsidR="000A739F" w:rsidRPr="009353E6" w:rsidRDefault="000A739F" w:rsidP="0000020A">
      <w:pPr>
        <w:pStyle w:val="BodyText"/>
        <w:spacing w:line="240" w:lineRule="auto"/>
        <w:jc w:val="left"/>
        <w:rPr>
          <w:sz w:val="22"/>
          <w:szCs w:val="22"/>
          <w:lang w:val="pl-PL"/>
        </w:rPr>
      </w:pPr>
      <w:r w:rsidRPr="009353E6">
        <w:rPr>
          <w:sz w:val="22"/>
          <w:szCs w:val="22"/>
          <w:lang w:val="pl-PL"/>
        </w:rPr>
        <w:t>Jeżeli przez pomyłkę zostanie przyjęta zbyt duża</w:t>
      </w:r>
      <w:r w:rsidR="00A54564" w:rsidRPr="009353E6">
        <w:rPr>
          <w:sz w:val="22"/>
          <w:szCs w:val="22"/>
          <w:lang w:val="pl-PL"/>
        </w:rPr>
        <w:t xml:space="preserve"> liczba </w:t>
      </w:r>
      <w:r w:rsidRPr="009353E6">
        <w:rPr>
          <w:sz w:val="22"/>
          <w:szCs w:val="22"/>
          <w:lang w:val="pl-PL"/>
        </w:rPr>
        <w:t>tabletek,</w:t>
      </w:r>
      <w:r w:rsidR="00F445C4" w:rsidRPr="009353E6">
        <w:rPr>
          <w:sz w:val="22"/>
          <w:szCs w:val="22"/>
          <w:lang w:val="pl-PL"/>
        </w:rPr>
        <w:t xml:space="preserve"> mogą pojawić się takie oznaki</w:t>
      </w:r>
      <w:r w:rsidR="00F56AA0" w:rsidRPr="009353E6">
        <w:rPr>
          <w:sz w:val="22"/>
          <w:szCs w:val="22"/>
          <w:lang w:val="pl-PL"/>
        </w:rPr>
        <w:t>,</w:t>
      </w:r>
      <w:r w:rsidR="00F445C4" w:rsidRPr="009353E6">
        <w:rPr>
          <w:sz w:val="22"/>
          <w:szCs w:val="22"/>
          <w:lang w:val="pl-PL"/>
        </w:rPr>
        <w:t xml:space="preserve"> jak </w:t>
      </w:r>
      <w:r w:rsidR="00AB7730" w:rsidRPr="009353E6">
        <w:rPr>
          <w:sz w:val="22"/>
          <w:szCs w:val="22"/>
          <w:lang w:val="pl-PL"/>
        </w:rPr>
        <w:t xml:space="preserve">niskie ciśnienie krwi i przyspieszenie akcji serca. </w:t>
      </w:r>
      <w:r w:rsidR="002D6BE9" w:rsidRPr="009353E6">
        <w:rPr>
          <w:sz w:val="22"/>
          <w:szCs w:val="22"/>
          <w:lang w:val="pl-PL"/>
        </w:rPr>
        <w:t>Zgłasz</w:t>
      </w:r>
      <w:r w:rsidR="0000020A" w:rsidRPr="009353E6">
        <w:rPr>
          <w:sz w:val="22"/>
          <w:szCs w:val="22"/>
          <w:lang w:val="pl-PL"/>
        </w:rPr>
        <w:t xml:space="preserve">ano także przypadki </w:t>
      </w:r>
      <w:r w:rsidR="00AB7730" w:rsidRPr="009353E6">
        <w:rPr>
          <w:sz w:val="22"/>
          <w:szCs w:val="22"/>
          <w:lang w:val="pl-PL"/>
        </w:rPr>
        <w:t>spowolnienia akcji serca, zawrotów głowy, wymiotów, pogorszenia czynności nerek, w tym niewydolności nerek. Z powodu zawartości hydrochlorotiazydu może także wystąpić wyraźnie niskie ciśnienie krwi i niskie stężenia potasu we krwi, co może doprowadzić do nudności, senności i skurczów mięśni</w:t>
      </w:r>
      <w:r w:rsidR="0000020A" w:rsidRPr="009353E6">
        <w:rPr>
          <w:lang w:val="pl-PL"/>
        </w:rPr>
        <w:t xml:space="preserve"> </w:t>
      </w:r>
      <w:r w:rsidR="009C42AE" w:rsidRPr="009353E6">
        <w:rPr>
          <w:sz w:val="22"/>
          <w:szCs w:val="22"/>
          <w:lang w:val="pl-PL"/>
        </w:rPr>
        <w:t>i</w:t>
      </w:r>
      <w:r w:rsidR="002D6BE9" w:rsidRPr="009353E6">
        <w:rPr>
          <w:sz w:val="22"/>
          <w:szCs w:val="22"/>
          <w:lang w:val="pl-PL"/>
        </w:rPr>
        <w:t xml:space="preserve"> (</w:t>
      </w:r>
      <w:r w:rsidR="0000020A" w:rsidRPr="009353E6">
        <w:rPr>
          <w:sz w:val="22"/>
          <w:szCs w:val="22"/>
          <w:lang w:val="pl-PL"/>
        </w:rPr>
        <w:t>lub</w:t>
      </w:r>
      <w:r w:rsidR="002D6BE9" w:rsidRPr="009353E6">
        <w:rPr>
          <w:sz w:val="22"/>
          <w:szCs w:val="22"/>
          <w:lang w:val="pl-PL"/>
        </w:rPr>
        <w:t>)</w:t>
      </w:r>
      <w:r w:rsidR="0000020A" w:rsidRPr="009353E6">
        <w:rPr>
          <w:sz w:val="22"/>
          <w:szCs w:val="22"/>
          <w:lang w:val="pl-PL"/>
        </w:rPr>
        <w:t xml:space="preserve"> nieregularne bicie serca związane z jednoczesnym stosowaniem leków takich jak glikozydy naparstnicy oraz niektórych leków antyarytmicznych</w:t>
      </w:r>
      <w:r w:rsidR="002D6BE9" w:rsidRPr="009353E6">
        <w:rPr>
          <w:sz w:val="22"/>
          <w:szCs w:val="22"/>
          <w:lang w:val="pl-PL"/>
        </w:rPr>
        <w:t>.</w:t>
      </w:r>
      <w:r w:rsidR="00F445C4" w:rsidRPr="009353E6">
        <w:rPr>
          <w:sz w:val="22"/>
          <w:szCs w:val="22"/>
          <w:lang w:val="pl-PL"/>
        </w:rPr>
        <w:t xml:space="preserve"> Należy</w:t>
      </w:r>
      <w:r w:rsidRPr="009353E6">
        <w:rPr>
          <w:sz w:val="22"/>
          <w:szCs w:val="22"/>
          <w:lang w:val="pl-PL"/>
        </w:rPr>
        <w:t xml:space="preserve"> niezwłocznie skontaktowa</w:t>
      </w:r>
      <w:r w:rsidR="00A54564" w:rsidRPr="009353E6">
        <w:rPr>
          <w:sz w:val="22"/>
          <w:szCs w:val="22"/>
          <w:lang w:val="pl-PL"/>
        </w:rPr>
        <w:t>ć</w:t>
      </w:r>
      <w:r w:rsidRPr="009353E6">
        <w:rPr>
          <w:sz w:val="22"/>
          <w:szCs w:val="22"/>
          <w:lang w:val="pl-PL"/>
        </w:rPr>
        <w:t xml:space="preserve"> się z lekarzem lub farmaceutą albo z najbliższym szpitalnym oddziałem doraźnej pomocy medycznej.</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 xml:space="preserve">Pominięcie </w:t>
      </w:r>
      <w:r w:rsidR="007D54FB" w:rsidRPr="009353E6">
        <w:rPr>
          <w:b/>
          <w:sz w:val="22"/>
          <w:szCs w:val="22"/>
          <w:lang w:val="pl-PL"/>
        </w:rPr>
        <w:t>przyjęcia</w:t>
      </w:r>
      <w:r w:rsidRPr="009353E6">
        <w:rPr>
          <w:b/>
          <w:sz w:val="22"/>
          <w:szCs w:val="22"/>
          <w:lang w:val="pl-PL"/>
        </w:rPr>
        <w:t xml:space="preserve"> leku MicardisPlus</w:t>
      </w:r>
    </w:p>
    <w:p w:rsidR="00845BF0" w:rsidRPr="009353E6" w:rsidRDefault="000A739F" w:rsidP="00F831F6">
      <w:pPr>
        <w:pStyle w:val="BodyText"/>
        <w:spacing w:line="240" w:lineRule="auto"/>
        <w:jc w:val="left"/>
        <w:rPr>
          <w:sz w:val="22"/>
          <w:szCs w:val="22"/>
          <w:lang w:val="pl-PL"/>
        </w:rPr>
      </w:pPr>
      <w:r w:rsidRPr="009353E6">
        <w:rPr>
          <w:sz w:val="22"/>
          <w:szCs w:val="22"/>
          <w:lang w:val="pl-PL"/>
        </w:rPr>
        <w:t xml:space="preserve">Jeśli pacjent zapomni przyjąć dawkę leku, powinien zażyć go niezwłocznie po przypomnieniu sobie, tego samego dnia. Jeżeli </w:t>
      </w:r>
      <w:r w:rsidR="00A54564" w:rsidRPr="009353E6">
        <w:rPr>
          <w:sz w:val="22"/>
          <w:szCs w:val="22"/>
          <w:lang w:val="pl-PL"/>
        </w:rPr>
        <w:t>tabletka nie</w:t>
      </w:r>
      <w:r w:rsidRPr="009353E6">
        <w:rPr>
          <w:sz w:val="22"/>
          <w:szCs w:val="22"/>
          <w:lang w:val="pl-PL"/>
        </w:rPr>
        <w:t xml:space="preserve"> zostanie przyjęt</w:t>
      </w:r>
      <w:r w:rsidR="00A54564" w:rsidRPr="009353E6">
        <w:rPr>
          <w:sz w:val="22"/>
          <w:szCs w:val="22"/>
          <w:lang w:val="pl-PL"/>
        </w:rPr>
        <w:t>a jednego dnia</w:t>
      </w:r>
      <w:r w:rsidRPr="009353E6">
        <w:rPr>
          <w:sz w:val="22"/>
          <w:szCs w:val="22"/>
          <w:lang w:val="pl-PL"/>
        </w:rPr>
        <w:t xml:space="preserve">, należy przyjąć zwykle stosowaną dawkę następnego dnia. </w:t>
      </w:r>
      <w:r w:rsidRPr="009353E6">
        <w:rPr>
          <w:b/>
          <w:i/>
          <w:sz w:val="22"/>
          <w:szCs w:val="22"/>
          <w:lang w:val="pl-PL"/>
        </w:rPr>
        <w:t>Nie należy</w:t>
      </w:r>
      <w:r w:rsidRPr="009353E6">
        <w:rPr>
          <w:b/>
          <w:sz w:val="22"/>
          <w:szCs w:val="22"/>
          <w:lang w:val="pl-PL"/>
        </w:rPr>
        <w:t xml:space="preserve"> </w:t>
      </w:r>
      <w:r w:rsidRPr="009353E6">
        <w:rPr>
          <w:sz w:val="22"/>
          <w:szCs w:val="22"/>
          <w:lang w:val="pl-PL"/>
        </w:rPr>
        <w:t>stosować dawki podwójnej w celu uzupełnienia pominięt</w:t>
      </w:r>
      <w:r w:rsidR="007B064C" w:rsidRPr="009353E6">
        <w:rPr>
          <w:sz w:val="22"/>
          <w:szCs w:val="22"/>
          <w:lang w:val="pl-PL"/>
        </w:rPr>
        <w:t>ej</w:t>
      </w:r>
      <w:r w:rsidRPr="009353E6">
        <w:rPr>
          <w:sz w:val="22"/>
          <w:szCs w:val="22"/>
          <w:lang w:val="pl-PL"/>
        </w:rPr>
        <w:t xml:space="preserve"> dawk</w:t>
      </w:r>
      <w:r w:rsidR="007B064C" w:rsidRPr="009353E6">
        <w:rPr>
          <w:sz w:val="22"/>
          <w:szCs w:val="22"/>
          <w:lang w:val="pl-PL"/>
        </w:rPr>
        <w:t>i</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W </w:t>
      </w:r>
      <w:r w:rsidR="00333562" w:rsidRPr="009353E6">
        <w:rPr>
          <w:sz w:val="22"/>
          <w:szCs w:val="22"/>
          <w:lang w:val="pl-PL"/>
        </w:rPr>
        <w:t xml:space="preserve">razie jakichkolwiek </w:t>
      </w:r>
      <w:r w:rsidRPr="009353E6">
        <w:rPr>
          <w:sz w:val="22"/>
          <w:szCs w:val="22"/>
          <w:lang w:val="pl-PL"/>
        </w:rPr>
        <w:t xml:space="preserve">dalszych </w:t>
      </w:r>
      <w:r w:rsidR="00333562" w:rsidRPr="009353E6">
        <w:rPr>
          <w:sz w:val="22"/>
          <w:szCs w:val="22"/>
          <w:lang w:val="pl-PL"/>
        </w:rPr>
        <w:t>wątpliwości związanych ze</w:t>
      </w:r>
      <w:r w:rsidRPr="009353E6">
        <w:rPr>
          <w:sz w:val="22"/>
          <w:szCs w:val="22"/>
          <w:lang w:val="pl-PL"/>
        </w:rPr>
        <w:t xml:space="preserve"> stosowani</w:t>
      </w:r>
      <w:r w:rsidR="00333562" w:rsidRPr="009353E6">
        <w:rPr>
          <w:sz w:val="22"/>
          <w:szCs w:val="22"/>
          <w:lang w:val="pl-PL"/>
        </w:rPr>
        <w:t>em</w:t>
      </w:r>
      <w:r w:rsidRPr="009353E6">
        <w:rPr>
          <w:sz w:val="22"/>
          <w:szCs w:val="22"/>
          <w:lang w:val="pl-PL"/>
        </w:rPr>
        <w:t xml:space="preserve"> </w:t>
      </w:r>
      <w:r w:rsidR="00B808D0" w:rsidRPr="009353E6">
        <w:rPr>
          <w:sz w:val="22"/>
          <w:szCs w:val="22"/>
          <w:lang w:val="pl-PL"/>
        </w:rPr>
        <w:t xml:space="preserve">tego </w:t>
      </w:r>
      <w:r w:rsidRPr="009353E6">
        <w:rPr>
          <w:sz w:val="22"/>
          <w:szCs w:val="22"/>
          <w:lang w:val="pl-PL"/>
        </w:rPr>
        <w:t xml:space="preserve">leku, należy </w:t>
      </w:r>
      <w:r w:rsidR="00333562" w:rsidRPr="009353E6">
        <w:rPr>
          <w:sz w:val="22"/>
          <w:szCs w:val="22"/>
          <w:lang w:val="pl-PL"/>
        </w:rPr>
        <w:t xml:space="preserve">zwrócić </w:t>
      </w:r>
      <w:r w:rsidRPr="009353E6">
        <w:rPr>
          <w:sz w:val="22"/>
          <w:szCs w:val="22"/>
          <w:lang w:val="pl-PL"/>
        </w:rPr>
        <w:t xml:space="preserve">się </w:t>
      </w:r>
      <w:r w:rsidR="00333562" w:rsidRPr="009353E6">
        <w:rPr>
          <w:sz w:val="22"/>
          <w:szCs w:val="22"/>
          <w:lang w:val="pl-PL"/>
        </w:rPr>
        <w:t>do</w:t>
      </w:r>
      <w:r w:rsidRPr="009353E6">
        <w:rPr>
          <w:sz w:val="22"/>
          <w:szCs w:val="22"/>
          <w:lang w:val="pl-PL"/>
        </w:rPr>
        <w:t xml:space="preserve"> lekarz</w:t>
      </w:r>
      <w:r w:rsidR="00333562" w:rsidRPr="009353E6">
        <w:rPr>
          <w:sz w:val="22"/>
          <w:szCs w:val="22"/>
          <w:lang w:val="pl-PL"/>
        </w:rPr>
        <w:t>a</w:t>
      </w:r>
      <w:r w:rsidRPr="009353E6">
        <w:rPr>
          <w:sz w:val="22"/>
          <w:szCs w:val="22"/>
          <w:lang w:val="pl-PL"/>
        </w:rPr>
        <w:t xml:space="preserve"> lub farmaceut</w:t>
      </w:r>
      <w:r w:rsidR="00333562" w:rsidRPr="009353E6">
        <w:rPr>
          <w:sz w:val="22"/>
          <w:szCs w:val="22"/>
          <w:lang w:val="pl-PL"/>
        </w:rPr>
        <w:t>y</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5144A6" w:rsidRPr="009353E6" w:rsidRDefault="005144A6" w:rsidP="00F831F6">
      <w:pPr>
        <w:pStyle w:val="BodyText"/>
        <w:spacing w:line="240" w:lineRule="auto"/>
        <w:jc w:val="left"/>
        <w:rPr>
          <w:sz w:val="22"/>
          <w:szCs w:val="22"/>
          <w:lang w:val="pl-PL"/>
        </w:rPr>
      </w:pPr>
    </w:p>
    <w:p w:rsidR="002D3E1A" w:rsidRPr="009353E6" w:rsidRDefault="005D27AA" w:rsidP="005D27AA">
      <w:pPr>
        <w:pStyle w:val="BodyText"/>
        <w:tabs>
          <w:tab w:val="left" w:pos="540"/>
        </w:tabs>
        <w:spacing w:line="240" w:lineRule="auto"/>
        <w:jc w:val="left"/>
        <w:rPr>
          <w:b/>
          <w:sz w:val="22"/>
          <w:szCs w:val="22"/>
          <w:lang w:val="pl-PL"/>
        </w:rPr>
      </w:pPr>
      <w:r w:rsidRPr="009353E6">
        <w:rPr>
          <w:b/>
          <w:sz w:val="22"/>
          <w:szCs w:val="22"/>
          <w:lang w:val="pl-PL"/>
        </w:rPr>
        <w:t>4.</w:t>
      </w:r>
      <w:r w:rsidRPr="009353E6">
        <w:rPr>
          <w:b/>
          <w:sz w:val="22"/>
          <w:szCs w:val="22"/>
          <w:lang w:val="pl-PL"/>
        </w:rPr>
        <w:tab/>
      </w:r>
      <w:r w:rsidR="002D3521" w:rsidRPr="009353E6">
        <w:rPr>
          <w:b/>
          <w:sz w:val="22"/>
          <w:szCs w:val="22"/>
          <w:lang w:val="pl-PL"/>
        </w:rPr>
        <w:t>Możliwe działania niepożądane</w:t>
      </w:r>
    </w:p>
    <w:p w:rsidR="002D3E1A" w:rsidRPr="009353E6" w:rsidRDefault="002D3E1A"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Jak każdy lek, </w:t>
      </w:r>
      <w:r w:rsidR="002D3521" w:rsidRPr="009353E6">
        <w:rPr>
          <w:sz w:val="22"/>
          <w:szCs w:val="22"/>
          <w:lang w:val="pl-PL"/>
        </w:rPr>
        <w:t xml:space="preserve">lek ten </w:t>
      </w:r>
      <w:r w:rsidRPr="009353E6">
        <w:rPr>
          <w:sz w:val="22"/>
          <w:szCs w:val="22"/>
          <w:lang w:val="pl-PL"/>
        </w:rPr>
        <w:t>może powodować działania niepożądane, chociaż nie u każdego one wystąpią.</w:t>
      </w:r>
    </w:p>
    <w:p w:rsidR="000A739F" w:rsidRPr="009353E6" w:rsidRDefault="000A739F" w:rsidP="00F831F6">
      <w:pPr>
        <w:pStyle w:val="BodyText"/>
        <w:spacing w:line="240" w:lineRule="auto"/>
        <w:jc w:val="left"/>
        <w:rPr>
          <w:sz w:val="22"/>
          <w:szCs w:val="22"/>
          <w:lang w:val="pl-PL"/>
        </w:rPr>
      </w:pPr>
    </w:p>
    <w:p w:rsidR="006D0AD0" w:rsidRPr="009353E6" w:rsidRDefault="006D0AD0" w:rsidP="005E3A9A">
      <w:pPr>
        <w:keepNext/>
        <w:rPr>
          <w:b/>
          <w:sz w:val="22"/>
          <w:szCs w:val="22"/>
          <w:lang w:val="pl-PL"/>
        </w:rPr>
      </w:pPr>
      <w:r w:rsidRPr="009353E6">
        <w:rPr>
          <w:b/>
          <w:sz w:val="22"/>
          <w:szCs w:val="22"/>
          <w:lang w:val="pl-PL"/>
        </w:rPr>
        <w:t>Niektóre działania niepożądane mogą być ciężkie i wymagają natychmiastowej pomocy medycznej:</w:t>
      </w:r>
    </w:p>
    <w:p w:rsidR="002D3521" w:rsidRPr="009353E6" w:rsidRDefault="002D3521" w:rsidP="005E3A9A">
      <w:pPr>
        <w:keepNext/>
        <w:rPr>
          <w:sz w:val="22"/>
          <w:szCs w:val="22"/>
          <w:lang w:val="pl-PL"/>
        </w:rPr>
      </w:pPr>
    </w:p>
    <w:p w:rsidR="006D0AD0" w:rsidRPr="009353E6" w:rsidRDefault="006D0AD0" w:rsidP="006D0AD0">
      <w:pPr>
        <w:rPr>
          <w:sz w:val="22"/>
          <w:szCs w:val="22"/>
          <w:lang w:val="pl-PL"/>
        </w:rPr>
      </w:pPr>
      <w:r w:rsidRPr="009353E6">
        <w:rPr>
          <w:sz w:val="22"/>
          <w:szCs w:val="22"/>
          <w:lang w:val="pl-PL"/>
        </w:rPr>
        <w:t>W przypadku wystąpienia któregokolwiek z następujących objawów należy natychmiast skontaktować się z lekarzem:</w:t>
      </w:r>
    </w:p>
    <w:p w:rsidR="006D0AD0" w:rsidRPr="009353E6" w:rsidRDefault="006D0AD0" w:rsidP="006D0AD0">
      <w:pPr>
        <w:rPr>
          <w:sz w:val="22"/>
          <w:szCs w:val="22"/>
          <w:lang w:val="pl-PL"/>
        </w:rPr>
      </w:pPr>
    </w:p>
    <w:p w:rsidR="00891993" w:rsidRPr="009353E6" w:rsidRDefault="006D0AD0" w:rsidP="00F445C4">
      <w:pPr>
        <w:rPr>
          <w:sz w:val="22"/>
          <w:szCs w:val="22"/>
          <w:lang w:val="pl-PL"/>
        </w:rPr>
      </w:pPr>
      <w:r w:rsidRPr="009353E6">
        <w:rPr>
          <w:sz w:val="22"/>
          <w:szCs w:val="22"/>
          <w:lang w:val="pl-PL"/>
        </w:rPr>
        <w:t xml:space="preserve">Posocznica* </w:t>
      </w:r>
      <w:r w:rsidR="00891993" w:rsidRPr="009353E6">
        <w:rPr>
          <w:sz w:val="22"/>
          <w:szCs w:val="22"/>
          <w:lang w:val="pl-PL"/>
        </w:rPr>
        <w:t>(często nazywana zatruciem krwi, będąca ciężkim zakażeniem, z reakcją zapalną całego organizmu), nagły obrzęk skóry i błon śluzowych (obrzęk naczynioruchowy)</w:t>
      </w:r>
      <w:r w:rsidR="005A4164" w:rsidRPr="009353E6">
        <w:rPr>
          <w:sz w:val="22"/>
          <w:szCs w:val="22"/>
          <w:lang w:val="pl-PL"/>
        </w:rPr>
        <w:t>;</w:t>
      </w:r>
      <w:r w:rsidR="00F445C4" w:rsidRPr="009353E6">
        <w:rPr>
          <w:sz w:val="22"/>
          <w:szCs w:val="22"/>
          <w:lang w:val="pl-PL"/>
        </w:rPr>
        <w:t xml:space="preserve"> tworzenie się pęcherzy i złuszczanie się </w:t>
      </w:r>
      <w:r w:rsidR="002D6BE9" w:rsidRPr="009353E6">
        <w:rPr>
          <w:sz w:val="22"/>
          <w:szCs w:val="22"/>
          <w:lang w:val="pl-PL"/>
        </w:rPr>
        <w:t>zewnętrz</w:t>
      </w:r>
      <w:r w:rsidR="00F445C4" w:rsidRPr="009353E6">
        <w:rPr>
          <w:sz w:val="22"/>
          <w:szCs w:val="22"/>
          <w:lang w:val="pl-PL"/>
        </w:rPr>
        <w:t>nej wars</w:t>
      </w:r>
      <w:r w:rsidR="00AA25A4" w:rsidRPr="009353E6">
        <w:rPr>
          <w:sz w:val="22"/>
          <w:szCs w:val="22"/>
          <w:lang w:val="pl-PL"/>
        </w:rPr>
        <w:t>t</w:t>
      </w:r>
      <w:r w:rsidR="00F445C4" w:rsidRPr="009353E6">
        <w:rPr>
          <w:sz w:val="22"/>
          <w:szCs w:val="22"/>
          <w:lang w:val="pl-PL"/>
        </w:rPr>
        <w:t>wy skóry (toksyczn</w:t>
      </w:r>
      <w:r w:rsidR="002D6BE9" w:rsidRPr="009353E6">
        <w:rPr>
          <w:sz w:val="22"/>
          <w:szCs w:val="22"/>
          <w:lang w:val="pl-PL"/>
        </w:rPr>
        <w:t>e</w:t>
      </w:r>
      <w:r w:rsidR="00F445C4" w:rsidRPr="009353E6">
        <w:rPr>
          <w:sz w:val="22"/>
          <w:szCs w:val="22"/>
          <w:lang w:val="pl-PL"/>
        </w:rPr>
        <w:t xml:space="preserve"> martwic</w:t>
      </w:r>
      <w:r w:rsidR="002D6BE9" w:rsidRPr="009353E6">
        <w:rPr>
          <w:sz w:val="22"/>
          <w:szCs w:val="22"/>
          <w:lang w:val="pl-PL"/>
        </w:rPr>
        <w:t>ze</w:t>
      </w:r>
      <w:r w:rsidR="00F445C4" w:rsidRPr="009353E6">
        <w:rPr>
          <w:sz w:val="22"/>
          <w:szCs w:val="22"/>
          <w:lang w:val="pl-PL"/>
        </w:rPr>
        <w:t xml:space="preserve"> </w:t>
      </w:r>
      <w:r w:rsidR="002D6BE9" w:rsidRPr="009353E6">
        <w:rPr>
          <w:sz w:val="22"/>
          <w:szCs w:val="22"/>
          <w:lang w:val="pl-PL"/>
        </w:rPr>
        <w:t>oddzielanie się</w:t>
      </w:r>
      <w:r w:rsidR="00F445C4" w:rsidRPr="009353E6">
        <w:rPr>
          <w:sz w:val="22"/>
          <w:szCs w:val="22"/>
          <w:lang w:val="pl-PL"/>
        </w:rPr>
        <w:t xml:space="preserve"> naskórka).</w:t>
      </w:r>
      <w:r w:rsidR="005A4164" w:rsidRPr="009353E6">
        <w:rPr>
          <w:sz w:val="22"/>
          <w:szCs w:val="22"/>
          <w:lang w:val="pl-PL"/>
        </w:rPr>
        <w:t xml:space="preserve"> P</w:t>
      </w:r>
      <w:r w:rsidR="00F445C4" w:rsidRPr="009353E6">
        <w:rPr>
          <w:sz w:val="22"/>
          <w:szCs w:val="22"/>
          <w:lang w:val="pl-PL"/>
        </w:rPr>
        <w:t xml:space="preserve">owyższe działania niepożądane występują rzadko (mogą wystąpić do 1 na 1000 pacjentów) </w:t>
      </w:r>
      <w:r w:rsidR="002D6BE9" w:rsidRPr="009353E6">
        <w:rPr>
          <w:sz w:val="22"/>
          <w:szCs w:val="22"/>
          <w:lang w:val="pl-PL"/>
        </w:rPr>
        <w:t>albo</w:t>
      </w:r>
      <w:r w:rsidR="00F445C4" w:rsidRPr="009353E6">
        <w:rPr>
          <w:sz w:val="22"/>
          <w:szCs w:val="22"/>
          <w:lang w:val="pl-PL"/>
        </w:rPr>
        <w:t xml:space="preserve"> z nieznaną częstością (w przypadku toksyczne</w:t>
      </w:r>
      <w:r w:rsidR="002D6BE9" w:rsidRPr="009353E6">
        <w:rPr>
          <w:sz w:val="22"/>
          <w:szCs w:val="22"/>
          <w:lang w:val="pl-PL"/>
        </w:rPr>
        <w:t>go</w:t>
      </w:r>
      <w:r w:rsidR="00F445C4" w:rsidRPr="009353E6">
        <w:rPr>
          <w:sz w:val="22"/>
          <w:szCs w:val="22"/>
          <w:lang w:val="pl-PL"/>
        </w:rPr>
        <w:t xml:space="preserve"> martwic</w:t>
      </w:r>
      <w:r w:rsidR="002D6BE9" w:rsidRPr="009353E6">
        <w:rPr>
          <w:sz w:val="22"/>
          <w:szCs w:val="22"/>
          <w:lang w:val="pl-PL"/>
        </w:rPr>
        <w:t>zego</w:t>
      </w:r>
      <w:r w:rsidR="00F445C4" w:rsidRPr="009353E6">
        <w:rPr>
          <w:sz w:val="22"/>
          <w:szCs w:val="22"/>
          <w:lang w:val="pl-PL"/>
        </w:rPr>
        <w:t xml:space="preserve"> </w:t>
      </w:r>
      <w:r w:rsidR="002D6BE9" w:rsidRPr="009353E6">
        <w:rPr>
          <w:sz w:val="22"/>
          <w:szCs w:val="22"/>
          <w:lang w:val="pl-PL"/>
        </w:rPr>
        <w:t>oddzielania się</w:t>
      </w:r>
      <w:r w:rsidR="00F445C4" w:rsidRPr="009353E6">
        <w:rPr>
          <w:sz w:val="22"/>
          <w:szCs w:val="22"/>
          <w:lang w:val="pl-PL"/>
        </w:rPr>
        <w:t xml:space="preserve"> naskórka),</w:t>
      </w:r>
      <w:r w:rsidR="00AD7894" w:rsidRPr="009353E6">
        <w:rPr>
          <w:sz w:val="22"/>
          <w:szCs w:val="22"/>
          <w:lang w:val="pl-PL"/>
        </w:rPr>
        <w:t>ale są niezwykle ciężkie;</w:t>
      </w:r>
      <w:r w:rsidR="00891993" w:rsidRPr="009353E6">
        <w:rPr>
          <w:sz w:val="22"/>
          <w:szCs w:val="22"/>
          <w:lang w:val="pl-PL"/>
        </w:rPr>
        <w:t xml:space="preserve"> w takim przypadku należy przerwać przyjmowanie leku i natychmiast skontaktować się z lekarzem. Jeśli powyższe objawy nie są leczone, mogą zakończyć się zgonem.</w:t>
      </w:r>
    </w:p>
    <w:p w:rsidR="002D3521" w:rsidRPr="009353E6" w:rsidRDefault="002D3521" w:rsidP="002D3521">
      <w:pPr>
        <w:rPr>
          <w:sz w:val="22"/>
          <w:szCs w:val="22"/>
          <w:lang w:val="pl-PL"/>
        </w:rPr>
      </w:pPr>
      <w:r w:rsidRPr="009353E6">
        <w:rPr>
          <w:sz w:val="22"/>
          <w:szCs w:val="22"/>
          <w:lang w:val="pl-PL"/>
        </w:rPr>
        <w:t>Zwiększoną częstość występowania posocznicy obserwowano u osób przyjmujących telmisartan w monoterapii, nie można jej jednak wykluczyć w przypadku terapii lekiem MicardisPlus.</w:t>
      </w:r>
    </w:p>
    <w:p w:rsidR="006D0AD0" w:rsidRPr="009353E6" w:rsidRDefault="006D0AD0" w:rsidP="00891993">
      <w:pPr>
        <w:rPr>
          <w:sz w:val="22"/>
          <w:szCs w:val="22"/>
          <w:u w:val="single"/>
          <w:lang w:val="pl-PL"/>
        </w:rPr>
      </w:pPr>
    </w:p>
    <w:p w:rsidR="006D0AD0" w:rsidRPr="009353E6" w:rsidRDefault="00836A1D" w:rsidP="00E40CF2">
      <w:pPr>
        <w:keepNext/>
        <w:rPr>
          <w:b/>
          <w:sz w:val="22"/>
          <w:szCs w:val="22"/>
          <w:lang w:val="pl-PL"/>
        </w:rPr>
      </w:pPr>
      <w:r w:rsidRPr="009353E6">
        <w:rPr>
          <w:b/>
          <w:sz w:val="22"/>
          <w:szCs w:val="22"/>
          <w:lang w:val="pl-PL"/>
        </w:rPr>
        <w:t xml:space="preserve">Możliwe </w:t>
      </w:r>
      <w:r w:rsidR="006D0AD0" w:rsidRPr="009353E6">
        <w:rPr>
          <w:b/>
          <w:sz w:val="22"/>
          <w:szCs w:val="22"/>
          <w:lang w:val="pl-PL"/>
        </w:rPr>
        <w:t xml:space="preserve">działania niepożądane </w:t>
      </w:r>
      <w:r w:rsidR="006A188A" w:rsidRPr="009353E6">
        <w:rPr>
          <w:b/>
          <w:sz w:val="22"/>
          <w:szCs w:val="22"/>
          <w:lang w:val="pl-PL"/>
        </w:rPr>
        <w:t xml:space="preserve">leku </w:t>
      </w:r>
      <w:r w:rsidR="006D0AD0" w:rsidRPr="009353E6">
        <w:rPr>
          <w:b/>
          <w:sz w:val="22"/>
          <w:szCs w:val="22"/>
          <w:lang w:val="pl-PL"/>
        </w:rPr>
        <w:t>MicardisPlus</w:t>
      </w:r>
      <w:r w:rsidRPr="009353E6">
        <w:rPr>
          <w:b/>
          <w:sz w:val="22"/>
          <w:szCs w:val="22"/>
          <w:lang w:val="pl-PL"/>
        </w:rPr>
        <w:t>:</w:t>
      </w:r>
    </w:p>
    <w:p w:rsidR="006D0AD0" w:rsidRPr="009353E6" w:rsidRDefault="006D0AD0" w:rsidP="00E40CF2">
      <w:pPr>
        <w:pStyle w:val="BodyText"/>
        <w:keepNext/>
        <w:spacing w:line="240" w:lineRule="auto"/>
        <w:jc w:val="left"/>
        <w:rPr>
          <w:sz w:val="22"/>
          <w:szCs w:val="22"/>
          <w:lang w:val="pl-PL"/>
        </w:rPr>
      </w:pPr>
    </w:p>
    <w:p w:rsidR="002D3521" w:rsidRPr="009353E6" w:rsidRDefault="002D3521" w:rsidP="00E40CF2">
      <w:pPr>
        <w:keepNext/>
        <w:rPr>
          <w:sz w:val="22"/>
          <w:szCs w:val="22"/>
          <w:lang w:val="pl-PL"/>
        </w:rPr>
      </w:pPr>
      <w:r w:rsidRPr="009353E6">
        <w:rPr>
          <w:sz w:val="22"/>
          <w:szCs w:val="22"/>
          <w:u w:val="single"/>
          <w:lang w:val="pl-PL"/>
        </w:rPr>
        <w:t>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 pacjentów):</w:t>
      </w:r>
    </w:p>
    <w:p w:rsidR="008841B5" w:rsidRPr="009353E6" w:rsidRDefault="008841B5" w:rsidP="00F831F6">
      <w:pPr>
        <w:pStyle w:val="BodyText"/>
        <w:spacing w:line="240" w:lineRule="auto"/>
        <w:jc w:val="left"/>
        <w:rPr>
          <w:sz w:val="22"/>
          <w:szCs w:val="22"/>
          <w:lang w:val="pl-PL"/>
        </w:rPr>
      </w:pPr>
      <w:r w:rsidRPr="009353E6">
        <w:rPr>
          <w:sz w:val="22"/>
          <w:szCs w:val="22"/>
          <w:lang w:val="pl-PL"/>
        </w:rPr>
        <w:t>Z</w:t>
      </w:r>
      <w:r w:rsidR="00471D5E" w:rsidRPr="009353E6">
        <w:rPr>
          <w:sz w:val="22"/>
          <w:szCs w:val="22"/>
          <w:lang w:val="pl-PL"/>
        </w:rPr>
        <w:t>a</w:t>
      </w:r>
      <w:r w:rsidRPr="009353E6">
        <w:rPr>
          <w:sz w:val="22"/>
          <w:szCs w:val="22"/>
          <w:lang w:val="pl-PL"/>
        </w:rPr>
        <w:t>wroty głowy</w:t>
      </w:r>
    </w:p>
    <w:p w:rsidR="008841B5" w:rsidRPr="009353E6" w:rsidRDefault="008841B5" w:rsidP="00F831F6">
      <w:pPr>
        <w:pStyle w:val="BodyText"/>
        <w:spacing w:line="240" w:lineRule="auto"/>
        <w:jc w:val="left"/>
        <w:rPr>
          <w:sz w:val="22"/>
          <w:szCs w:val="22"/>
          <w:lang w:val="pl-PL"/>
        </w:rPr>
      </w:pPr>
    </w:p>
    <w:p w:rsidR="002D3521" w:rsidRPr="009353E6" w:rsidRDefault="002D3521" w:rsidP="002D3521">
      <w:pPr>
        <w:rPr>
          <w:sz w:val="22"/>
          <w:szCs w:val="22"/>
          <w:lang w:val="pl-PL"/>
        </w:rPr>
      </w:pPr>
      <w:r w:rsidRPr="009353E6">
        <w:rPr>
          <w:sz w:val="22"/>
          <w:szCs w:val="22"/>
          <w:u w:val="single"/>
          <w:lang w:val="pl-PL"/>
        </w:rPr>
        <w:t>Niezbyt 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 pacjentów): </w:t>
      </w:r>
    </w:p>
    <w:p w:rsidR="00701864" w:rsidRPr="009353E6" w:rsidRDefault="00701864" w:rsidP="00F831F6">
      <w:pPr>
        <w:pStyle w:val="BodyText"/>
        <w:spacing w:line="240" w:lineRule="auto"/>
        <w:jc w:val="left"/>
        <w:rPr>
          <w:sz w:val="22"/>
          <w:szCs w:val="22"/>
          <w:lang w:val="pl-PL"/>
        </w:rPr>
      </w:pPr>
      <w:r w:rsidRPr="009353E6">
        <w:rPr>
          <w:sz w:val="22"/>
          <w:szCs w:val="22"/>
          <w:lang w:val="pl-PL"/>
        </w:rPr>
        <w:t>Zmniejszenie stężenia potasu we krwi</w:t>
      </w:r>
      <w:r w:rsidR="008C4BB0" w:rsidRPr="009353E6">
        <w:rPr>
          <w:sz w:val="22"/>
          <w:szCs w:val="22"/>
          <w:lang w:val="pl-PL"/>
        </w:rPr>
        <w:t>,</w:t>
      </w:r>
      <w:r w:rsidRPr="009353E6">
        <w:rPr>
          <w:sz w:val="22"/>
          <w:szCs w:val="22"/>
          <w:lang w:val="pl-PL"/>
        </w:rPr>
        <w:t xml:space="preserve"> lęk</w:t>
      </w:r>
      <w:r w:rsidR="008C4BB0" w:rsidRPr="009353E6">
        <w:rPr>
          <w:sz w:val="22"/>
          <w:szCs w:val="22"/>
          <w:lang w:val="pl-PL"/>
        </w:rPr>
        <w:t>,</w:t>
      </w:r>
      <w:r w:rsidRPr="009353E6">
        <w:rPr>
          <w:sz w:val="22"/>
          <w:szCs w:val="22"/>
          <w:lang w:val="pl-PL"/>
        </w:rPr>
        <w:t xml:space="preserve"> omdlenia</w:t>
      </w:r>
      <w:r w:rsidR="008C4BB0" w:rsidRPr="009353E6">
        <w:rPr>
          <w:sz w:val="22"/>
          <w:szCs w:val="22"/>
          <w:lang w:val="pl-PL"/>
        </w:rPr>
        <w:t>,</w:t>
      </w:r>
      <w:r w:rsidRPr="009353E6">
        <w:rPr>
          <w:sz w:val="22"/>
          <w:szCs w:val="22"/>
          <w:lang w:val="pl-PL"/>
        </w:rPr>
        <w:t xml:space="preserve"> uczucie mrowienia i drętwienia (parestezje)</w:t>
      </w:r>
      <w:r w:rsidR="008C4BB0" w:rsidRPr="009353E6">
        <w:rPr>
          <w:sz w:val="22"/>
          <w:szCs w:val="22"/>
          <w:lang w:val="pl-PL"/>
        </w:rPr>
        <w:t>,</w:t>
      </w:r>
      <w:r w:rsidRPr="009353E6">
        <w:rPr>
          <w:sz w:val="22"/>
          <w:szCs w:val="22"/>
          <w:lang w:val="pl-PL"/>
        </w:rPr>
        <w:t xml:space="preserve"> uczucie wirowania</w:t>
      </w:r>
      <w:r w:rsidR="008C4BB0" w:rsidRPr="009353E6">
        <w:rPr>
          <w:sz w:val="22"/>
          <w:szCs w:val="22"/>
          <w:lang w:val="pl-PL"/>
        </w:rPr>
        <w:t>,</w:t>
      </w:r>
      <w:r w:rsidRPr="009353E6">
        <w:rPr>
          <w:sz w:val="22"/>
          <w:szCs w:val="22"/>
          <w:lang w:val="pl-PL"/>
        </w:rPr>
        <w:t xml:space="preserve"> przyspieszone tętno (częstoskurcz), zaburzenia rytmu serca, niskie ciśnienie tętnicze krwi, nagłe o</w:t>
      </w:r>
      <w:r w:rsidR="006F4808" w:rsidRPr="009353E6">
        <w:rPr>
          <w:sz w:val="22"/>
          <w:szCs w:val="22"/>
          <w:lang w:val="pl-PL"/>
        </w:rPr>
        <w:t>b</w:t>
      </w:r>
      <w:r w:rsidRPr="009353E6">
        <w:rPr>
          <w:sz w:val="22"/>
          <w:szCs w:val="22"/>
          <w:lang w:val="pl-PL"/>
        </w:rPr>
        <w:t>niżenie ciśnienia tętniczego krwi podczas wstawania</w:t>
      </w:r>
      <w:r w:rsidR="008C4BB0" w:rsidRPr="009353E6">
        <w:rPr>
          <w:sz w:val="22"/>
          <w:szCs w:val="22"/>
          <w:lang w:val="pl-PL"/>
        </w:rPr>
        <w:t>,</w:t>
      </w:r>
      <w:r w:rsidRPr="009353E6">
        <w:rPr>
          <w:sz w:val="22"/>
          <w:szCs w:val="22"/>
          <w:lang w:val="pl-PL"/>
        </w:rPr>
        <w:t xml:space="preserve"> skrócenie oddechu (duszność)</w:t>
      </w:r>
      <w:r w:rsidR="008C4BB0" w:rsidRPr="009353E6">
        <w:rPr>
          <w:sz w:val="22"/>
          <w:szCs w:val="22"/>
          <w:lang w:val="pl-PL"/>
        </w:rPr>
        <w:t>,</w:t>
      </w:r>
      <w:r w:rsidRPr="009353E6">
        <w:rPr>
          <w:sz w:val="22"/>
          <w:szCs w:val="22"/>
          <w:lang w:val="pl-PL"/>
        </w:rPr>
        <w:t xml:space="preserve"> biegunka</w:t>
      </w:r>
      <w:r w:rsidR="008C4BB0" w:rsidRPr="009353E6">
        <w:rPr>
          <w:sz w:val="22"/>
          <w:szCs w:val="22"/>
          <w:lang w:val="pl-PL"/>
        </w:rPr>
        <w:t>,</w:t>
      </w:r>
      <w:r w:rsidR="00D707F3" w:rsidRPr="009353E6">
        <w:rPr>
          <w:sz w:val="22"/>
          <w:szCs w:val="22"/>
          <w:lang w:val="pl-PL"/>
        </w:rPr>
        <w:t xml:space="preserve"> </w:t>
      </w:r>
      <w:r w:rsidRPr="009353E6">
        <w:rPr>
          <w:sz w:val="22"/>
          <w:szCs w:val="22"/>
          <w:lang w:val="pl-PL"/>
        </w:rPr>
        <w:t>suchość błon śluzowych w jamie ustnej</w:t>
      </w:r>
      <w:r w:rsidR="008C4BB0" w:rsidRPr="009353E6">
        <w:rPr>
          <w:sz w:val="22"/>
          <w:szCs w:val="22"/>
          <w:lang w:val="pl-PL"/>
        </w:rPr>
        <w:t>,</w:t>
      </w:r>
      <w:r w:rsidRPr="009353E6">
        <w:rPr>
          <w:sz w:val="22"/>
          <w:szCs w:val="22"/>
          <w:lang w:val="pl-PL"/>
        </w:rPr>
        <w:t xml:space="preserve"> wzdęcia</w:t>
      </w:r>
      <w:r w:rsidR="008C4BB0" w:rsidRPr="009353E6">
        <w:rPr>
          <w:sz w:val="22"/>
          <w:szCs w:val="22"/>
          <w:lang w:val="pl-PL"/>
        </w:rPr>
        <w:t>,</w:t>
      </w:r>
      <w:r w:rsidRPr="009353E6">
        <w:rPr>
          <w:sz w:val="22"/>
          <w:szCs w:val="22"/>
          <w:lang w:val="pl-PL"/>
        </w:rPr>
        <w:t xml:space="preserve"> ból pleców, skurcze mięśni, ból mięśni, zaburzenia erekcji (niezdolność do uzyskania lub utrzymania erekcji)</w:t>
      </w:r>
      <w:r w:rsidR="008C4BB0" w:rsidRPr="009353E6">
        <w:rPr>
          <w:sz w:val="22"/>
          <w:szCs w:val="22"/>
          <w:lang w:val="pl-PL"/>
        </w:rPr>
        <w:t>,</w:t>
      </w:r>
      <w:r w:rsidRPr="009353E6">
        <w:rPr>
          <w:sz w:val="22"/>
          <w:szCs w:val="22"/>
          <w:lang w:val="pl-PL"/>
        </w:rPr>
        <w:t xml:space="preserve"> ból w klatce piersiowej</w:t>
      </w:r>
      <w:r w:rsidR="008C4BB0" w:rsidRPr="009353E6">
        <w:rPr>
          <w:sz w:val="22"/>
          <w:szCs w:val="22"/>
          <w:lang w:val="pl-PL"/>
        </w:rPr>
        <w:t>,</w:t>
      </w:r>
      <w:r w:rsidRPr="009353E6">
        <w:rPr>
          <w:sz w:val="22"/>
          <w:szCs w:val="22"/>
          <w:lang w:val="pl-PL"/>
        </w:rPr>
        <w:t xml:space="preserve"> zwiększone stężenie kwasu moczowego we krwi.</w:t>
      </w:r>
    </w:p>
    <w:p w:rsidR="00701864" w:rsidRPr="009353E6" w:rsidRDefault="00701864" w:rsidP="00F831F6">
      <w:pPr>
        <w:pStyle w:val="BodyText"/>
        <w:spacing w:line="240" w:lineRule="auto"/>
        <w:jc w:val="left"/>
        <w:rPr>
          <w:sz w:val="22"/>
          <w:szCs w:val="22"/>
          <w:lang w:val="pl-PL"/>
        </w:rPr>
      </w:pPr>
    </w:p>
    <w:p w:rsidR="002D3521" w:rsidRPr="009353E6" w:rsidRDefault="002D3521" w:rsidP="002D3521">
      <w:pPr>
        <w:rPr>
          <w:sz w:val="22"/>
          <w:szCs w:val="22"/>
          <w:lang w:val="pl-PL"/>
        </w:rPr>
      </w:pPr>
      <w:r w:rsidRPr="009353E6">
        <w:rPr>
          <w:sz w:val="22"/>
          <w:szCs w:val="22"/>
          <w:u w:val="single"/>
          <w:lang w:val="pl-PL"/>
        </w:rPr>
        <w:t>Rzadkie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1000 pacjentów):</w:t>
      </w:r>
    </w:p>
    <w:p w:rsidR="00701864" w:rsidRPr="009353E6" w:rsidRDefault="00CD2EEA" w:rsidP="00F831F6">
      <w:pPr>
        <w:pStyle w:val="BodyText"/>
        <w:spacing w:line="240" w:lineRule="auto"/>
        <w:jc w:val="left"/>
        <w:rPr>
          <w:sz w:val="22"/>
          <w:szCs w:val="22"/>
          <w:lang w:val="pl-PL"/>
        </w:rPr>
      </w:pPr>
      <w:r w:rsidRPr="009353E6">
        <w:rPr>
          <w:sz w:val="22"/>
          <w:szCs w:val="22"/>
          <w:lang w:val="pl-PL"/>
        </w:rPr>
        <w:t>Zapalenie płuc (zapalenie oskrzeli),</w:t>
      </w:r>
      <w:r w:rsidR="00C3795E" w:rsidRPr="009353E6">
        <w:rPr>
          <w:sz w:val="22"/>
          <w:szCs w:val="22"/>
          <w:lang w:val="pl-PL"/>
        </w:rPr>
        <w:t xml:space="preserve"> </w:t>
      </w:r>
      <w:r w:rsidR="00F512E0" w:rsidRPr="009353E6">
        <w:rPr>
          <w:sz w:val="22"/>
          <w:szCs w:val="22"/>
          <w:lang w:val="pl-PL"/>
        </w:rPr>
        <w:t>aktywacja lub zaostrzenie tocznia rumieniowatego układowego (choroba</w:t>
      </w:r>
      <w:r w:rsidR="00D707F3" w:rsidRPr="009353E6">
        <w:rPr>
          <w:sz w:val="22"/>
          <w:szCs w:val="22"/>
          <w:lang w:val="pl-PL"/>
        </w:rPr>
        <w:t xml:space="preserve">, </w:t>
      </w:r>
      <w:r w:rsidR="00F512E0" w:rsidRPr="009353E6">
        <w:rPr>
          <w:sz w:val="22"/>
          <w:szCs w:val="22"/>
          <w:lang w:val="pl-PL"/>
        </w:rPr>
        <w:t>w której organizm jest atakowany przez własny system odpornościowy co powoduje ból stawów, wysypki skórne i gorączkę),</w:t>
      </w:r>
      <w:r w:rsidR="00C3795E" w:rsidRPr="009353E6">
        <w:rPr>
          <w:sz w:val="22"/>
          <w:szCs w:val="22"/>
          <w:lang w:val="pl-PL"/>
        </w:rPr>
        <w:t xml:space="preserve"> </w:t>
      </w:r>
      <w:r w:rsidRPr="009353E6">
        <w:rPr>
          <w:sz w:val="22"/>
          <w:szCs w:val="22"/>
          <w:lang w:val="pl-PL"/>
        </w:rPr>
        <w:t xml:space="preserve">ból gardła, zapalenie zatok, </w:t>
      </w:r>
      <w:r w:rsidR="00701864" w:rsidRPr="009353E6">
        <w:rPr>
          <w:sz w:val="22"/>
          <w:szCs w:val="22"/>
          <w:lang w:val="pl-PL"/>
        </w:rPr>
        <w:t>uczucie smutku (depresja)</w:t>
      </w:r>
      <w:r w:rsidRPr="009353E6">
        <w:rPr>
          <w:sz w:val="22"/>
          <w:szCs w:val="22"/>
          <w:lang w:val="pl-PL"/>
        </w:rPr>
        <w:t>,</w:t>
      </w:r>
      <w:r w:rsidR="00701864" w:rsidRPr="009353E6">
        <w:rPr>
          <w:sz w:val="22"/>
          <w:szCs w:val="22"/>
          <w:lang w:val="pl-PL"/>
        </w:rPr>
        <w:t xml:space="preserve"> trudności w zasypianiu (bezsenność)</w:t>
      </w:r>
      <w:r w:rsidRPr="009353E6">
        <w:rPr>
          <w:sz w:val="22"/>
          <w:szCs w:val="22"/>
          <w:lang w:val="pl-PL"/>
        </w:rPr>
        <w:t>,</w:t>
      </w:r>
      <w:r w:rsidR="00701864" w:rsidRPr="009353E6">
        <w:rPr>
          <w:sz w:val="22"/>
          <w:szCs w:val="22"/>
          <w:lang w:val="pl-PL"/>
        </w:rPr>
        <w:t xml:space="preserve"> zaburzenia widzenia</w:t>
      </w:r>
      <w:r w:rsidRPr="009353E6">
        <w:rPr>
          <w:sz w:val="22"/>
          <w:szCs w:val="22"/>
          <w:lang w:val="pl-PL"/>
        </w:rPr>
        <w:t>,</w:t>
      </w:r>
      <w:r w:rsidR="00701864" w:rsidRPr="009353E6">
        <w:rPr>
          <w:sz w:val="22"/>
          <w:szCs w:val="22"/>
          <w:lang w:val="pl-PL"/>
        </w:rPr>
        <w:t xml:space="preserve"> trudności w oddychaniu</w:t>
      </w:r>
      <w:r w:rsidRPr="009353E6">
        <w:rPr>
          <w:sz w:val="22"/>
          <w:szCs w:val="22"/>
          <w:lang w:val="pl-PL"/>
        </w:rPr>
        <w:t>,</w:t>
      </w:r>
      <w:r w:rsidR="00701864" w:rsidRPr="009353E6">
        <w:rPr>
          <w:sz w:val="22"/>
          <w:szCs w:val="22"/>
          <w:lang w:val="pl-PL"/>
        </w:rPr>
        <w:t xml:space="preserve"> ból brzucha, zaparcia, wzdęcia (niestrawność), nudności</w:t>
      </w:r>
      <w:r w:rsidR="00C055AA" w:rsidRPr="009353E6">
        <w:rPr>
          <w:sz w:val="22"/>
          <w:szCs w:val="22"/>
          <w:lang w:val="pl-PL"/>
        </w:rPr>
        <w:t xml:space="preserve"> (wymioty)</w:t>
      </w:r>
      <w:r w:rsidRPr="009353E6">
        <w:rPr>
          <w:sz w:val="22"/>
          <w:szCs w:val="22"/>
          <w:lang w:val="pl-PL"/>
        </w:rPr>
        <w:t>,</w:t>
      </w:r>
      <w:r w:rsidR="00D707F3" w:rsidRPr="009353E6">
        <w:rPr>
          <w:sz w:val="22"/>
          <w:szCs w:val="22"/>
          <w:lang w:val="pl-PL"/>
        </w:rPr>
        <w:t xml:space="preserve"> </w:t>
      </w:r>
      <w:r w:rsidRPr="009353E6">
        <w:rPr>
          <w:sz w:val="22"/>
          <w:szCs w:val="22"/>
          <w:lang w:val="pl-PL"/>
        </w:rPr>
        <w:t>zapalenie błony śluzowej żołądka,</w:t>
      </w:r>
      <w:r w:rsidR="00701864" w:rsidRPr="009353E6">
        <w:rPr>
          <w:sz w:val="22"/>
          <w:szCs w:val="22"/>
          <w:lang w:val="pl-PL"/>
        </w:rPr>
        <w:t xml:space="preserve"> nieprawidłowa czynność wątroby</w:t>
      </w:r>
      <w:r w:rsidR="002D3521" w:rsidRPr="009353E6">
        <w:rPr>
          <w:sz w:val="22"/>
          <w:szCs w:val="22"/>
          <w:lang w:val="pl-PL"/>
        </w:rPr>
        <w:t xml:space="preserve"> (występuje częściej u pacjentów pochodzenia japońskiego),</w:t>
      </w:r>
      <w:r w:rsidR="00701864" w:rsidRPr="009353E6">
        <w:rPr>
          <w:sz w:val="22"/>
          <w:szCs w:val="22"/>
          <w:lang w:val="pl-PL"/>
        </w:rPr>
        <w:t xml:space="preserve"> zaczerwienienie skóry (rumień)</w:t>
      </w:r>
      <w:r w:rsidRPr="009353E6">
        <w:rPr>
          <w:sz w:val="22"/>
          <w:szCs w:val="22"/>
          <w:lang w:val="pl-PL"/>
        </w:rPr>
        <w:t>,</w:t>
      </w:r>
      <w:r w:rsidR="00701864" w:rsidRPr="009353E6">
        <w:rPr>
          <w:sz w:val="22"/>
          <w:szCs w:val="22"/>
          <w:lang w:val="pl-PL"/>
        </w:rPr>
        <w:t xml:space="preserve"> reakcje alergiczne, takie jak świąd lub wysypka</w:t>
      </w:r>
      <w:r w:rsidRPr="009353E6">
        <w:rPr>
          <w:sz w:val="22"/>
          <w:szCs w:val="22"/>
          <w:lang w:val="pl-PL"/>
        </w:rPr>
        <w:t>,</w:t>
      </w:r>
      <w:r w:rsidR="00701864" w:rsidRPr="009353E6">
        <w:rPr>
          <w:sz w:val="22"/>
          <w:szCs w:val="22"/>
          <w:lang w:val="pl-PL"/>
        </w:rPr>
        <w:t xml:space="preserve"> zwiększona potliwość, pokrzywka</w:t>
      </w:r>
      <w:r w:rsidRPr="009353E6">
        <w:rPr>
          <w:sz w:val="22"/>
          <w:szCs w:val="22"/>
          <w:lang w:val="pl-PL"/>
        </w:rPr>
        <w:t>,</w:t>
      </w:r>
      <w:r w:rsidR="00701864" w:rsidRPr="009353E6">
        <w:rPr>
          <w:sz w:val="22"/>
          <w:szCs w:val="22"/>
          <w:lang w:val="pl-PL"/>
        </w:rPr>
        <w:t xml:space="preserve"> ból stawów i ból kończyn, skurcze mięśni</w:t>
      </w:r>
      <w:r w:rsidRPr="009353E6">
        <w:rPr>
          <w:sz w:val="22"/>
          <w:szCs w:val="22"/>
          <w:lang w:val="pl-PL"/>
        </w:rPr>
        <w:t>,</w:t>
      </w:r>
      <w:r w:rsidR="00701864" w:rsidRPr="009353E6">
        <w:rPr>
          <w:sz w:val="22"/>
          <w:szCs w:val="22"/>
          <w:lang w:val="pl-PL"/>
        </w:rPr>
        <w:t xml:space="preserve"> objawy grypopodobne</w:t>
      </w:r>
      <w:r w:rsidRPr="009353E6">
        <w:rPr>
          <w:sz w:val="22"/>
          <w:szCs w:val="22"/>
          <w:lang w:val="pl-PL"/>
        </w:rPr>
        <w:t>,</w:t>
      </w:r>
      <w:r w:rsidR="00701864" w:rsidRPr="009353E6">
        <w:rPr>
          <w:sz w:val="22"/>
          <w:szCs w:val="22"/>
          <w:lang w:val="pl-PL"/>
        </w:rPr>
        <w:t xml:space="preserve"> ból</w:t>
      </w:r>
      <w:r w:rsidRPr="009353E6">
        <w:rPr>
          <w:sz w:val="22"/>
          <w:szCs w:val="22"/>
          <w:lang w:val="pl-PL"/>
        </w:rPr>
        <w:t>,</w:t>
      </w:r>
      <w:r w:rsidR="00701864" w:rsidRPr="009353E6">
        <w:rPr>
          <w:sz w:val="22"/>
          <w:szCs w:val="22"/>
          <w:lang w:val="pl-PL"/>
        </w:rPr>
        <w:t xml:space="preserve"> małe stężenie sodu, zwiększone stężenie kreatyniny, zwiększona aktywność enzymów wątrobowych </w:t>
      </w:r>
      <w:r w:rsidR="006F4808" w:rsidRPr="009353E6">
        <w:rPr>
          <w:sz w:val="22"/>
          <w:szCs w:val="22"/>
          <w:lang w:val="pl-PL"/>
        </w:rPr>
        <w:t xml:space="preserve">lub </w:t>
      </w:r>
      <w:r w:rsidR="00701864" w:rsidRPr="009353E6">
        <w:rPr>
          <w:sz w:val="22"/>
          <w:szCs w:val="22"/>
          <w:lang w:val="pl-PL"/>
        </w:rPr>
        <w:t>fosfokinazy kreatynowej we krwi.</w:t>
      </w:r>
    </w:p>
    <w:p w:rsidR="00701864" w:rsidRPr="009353E6" w:rsidRDefault="00701864" w:rsidP="00F831F6">
      <w:pPr>
        <w:pStyle w:val="BodyText"/>
        <w:spacing w:line="240" w:lineRule="auto"/>
        <w:jc w:val="left"/>
        <w:rPr>
          <w:sz w:val="22"/>
          <w:szCs w:val="22"/>
          <w:lang w:val="pl-PL"/>
        </w:rPr>
      </w:pPr>
    </w:p>
    <w:p w:rsidR="002D3521" w:rsidRPr="009353E6" w:rsidRDefault="002D3521" w:rsidP="002D3521">
      <w:pPr>
        <w:rPr>
          <w:lang w:val="pl-PL"/>
        </w:rPr>
      </w:pPr>
      <w:r w:rsidRPr="009353E6">
        <w:rPr>
          <w:sz w:val="22"/>
          <w:szCs w:val="22"/>
          <w:lang w:val="pl-PL"/>
        </w:rPr>
        <w:t xml:space="preserve">Działania niepożądane zgłaszane dla jednego ze składników mogą wystąpić również podczas terapii </w:t>
      </w:r>
      <w:r w:rsidR="00E2337A" w:rsidRPr="009353E6">
        <w:rPr>
          <w:sz w:val="22"/>
          <w:szCs w:val="22"/>
          <w:lang w:val="pl-PL"/>
        </w:rPr>
        <w:t>lekiem</w:t>
      </w:r>
      <w:r w:rsidRPr="009353E6">
        <w:rPr>
          <w:sz w:val="22"/>
          <w:szCs w:val="22"/>
          <w:lang w:val="pl-PL"/>
        </w:rPr>
        <w:t xml:space="preserve"> MicardisPlus, nawet jeśli nie stwierdzono ich podczas badań klinicznych produktu.   </w:t>
      </w:r>
    </w:p>
    <w:p w:rsidR="00AC5FD6" w:rsidRPr="009353E6" w:rsidRDefault="00AC5FD6" w:rsidP="00F831F6">
      <w:pPr>
        <w:pStyle w:val="BodyText"/>
        <w:spacing w:line="240" w:lineRule="auto"/>
        <w:jc w:val="left"/>
        <w:rPr>
          <w:sz w:val="22"/>
          <w:szCs w:val="22"/>
          <w:u w:val="single"/>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Telmisartan</w:t>
      </w:r>
    </w:p>
    <w:p w:rsidR="000A739F" w:rsidRPr="009353E6" w:rsidRDefault="000A739F" w:rsidP="00F831F6">
      <w:pPr>
        <w:pStyle w:val="BodyText"/>
        <w:spacing w:line="240" w:lineRule="auto"/>
        <w:jc w:val="left"/>
        <w:rPr>
          <w:sz w:val="22"/>
          <w:szCs w:val="22"/>
          <w:lang w:val="pl-PL"/>
        </w:rPr>
      </w:pPr>
      <w:r w:rsidRPr="009353E6">
        <w:rPr>
          <w:sz w:val="22"/>
          <w:szCs w:val="22"/>
          <w:lang w:val="pl-PL"/>
        </w:rPr>
        <w:t>U pacjentów przyjmujących wyłącznie telmisartan, obserwowano dodatkowo następujące działania niepożądane</w:t>
      </w:r>
      <w:r w:rsidR="00891993"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6B7743" w:rsidRPr="009353E6" w:rsidRDefault="006B7743" w:rsidP="006B7743">
      <w:pPr>
        <w:rPr>
          <w:sz w:val="22"/>
          <w:szCs w:val="22"/>
          <w:lang w:val="pl-PL"/>
        </w:rPr>
      </w:pPr>
      <w:r w:rsidRPr="009353E6">
        <w:rPr>
          <w:sz w:val="22"/>
          <w:szCs w:val="22"/>
          <w:u w:val="single"/>
          <w:lang w:val="pl-PL"/>
        </w:rPr>
        <w:t>Niezbyt 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 pacjentów): </w:t>
      </w:r>
    </w:p>
    <w:p w:rsidR="00D2018C" w:rsidRPr="009353E6" w:rsidRDefault="00D2018C" w:rsidP="00D2018C">
      <w:pPr>
        <w:rPr>
          <w:sz w:val="22"/>
          <w:szCs w:val="22"/>
          <w:lang w:val="pl-PL"/>
        </w:rPr>
      </w:pPr>
      <w:r w:rsidRPr="009353E6">
        <w:rPr>
          <w:sz w:val="22"/>
          <w:szCs w:val="22"/>
          <w:lang w:val="pl-PL"/>
        </w:rPr>
        <w:t>Zakażenie górnych dróg oddechowych (np. ból gardła, zapalenie zatok, przeziębienie), zakażenia układu moczowego, za mała liczba krwinek czerwonych (niedokrwistość), duże stężenie potasu, wolna czynność serca (bradykardia), zaburzenie czynności nerek, w tym ostra niewydolność nerek, osłabienie</w:t>
      </w:r>
      <w:r w:rsidR="006B7743" w:rsidRPr="009353E6">
        <w:rPr>
          <w:sz w:val="22"/>
          <w:szCs w:val="22"/>
          <w:lang w:val="pl-PL"/>
        </w:rPr>
        <w:t>, kaszel</w:t>
      </w:r>
      <w:r w:rsidRPr="009353E6">
        <w:rPr>
          <w:sz w:val="22"/>
          <w:szCs w:val="22"/>
          <w:lang w:val="pl-PL"/>
        </w:rPr>
        <w:t>.</w:t>
      </w:r>
    </w:p>
    <w:p w:rsidR="00B60066" w:rsidRPr="009353E6" w:rsidRDefault="00B60066" w:rsidP="00B60066">
      <w:pPr>
        <w:rPr>
          <w:sz w:val="22"/>
          <w:szCs w:val="22"/>
          <w:u w:val="single"/>
          <w:lang w:val="pl-PL"/>
        </w:rPr>
      </w:pPr>
    </w:p>
    <w:p w:rsidR="006B7743" w:rsidRPr="009353E6" w:rsidRDefault="006B7743" w:rsidP="006B7743">
      <w:pPr>
        <w:rPr>
          <w:sz w:val="22"/>
          <w:szCs w:val="22"/>
          <w:lang w:val="pl-PL"/>
        </w:rPr>
      </w:pPr>
      <w:r w:rsidRPr="009353E6">
        <w:rPr>
          <w:sz w:val="22"/>
          <w:szCs w:val="22"/>
          <w:u w:val="single"/>
          <w:lang w:val="pl-PL"/>
        </w:rPr>
        <w:t>Rzadkie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1000 pacjentów):</w:t>
      </w:r>
    </w:p>
    <w:p w:rsidR="00D2018C" w:rsidRPr="009353E6" w:rsidRDefault="00B210CA" w:rsidP="00D2018C">
      <w:pPr>
        <w:rPr>
          <w:sz w:val="22"/>
          <w:szCs w:val="22"/>
          <w:lang w:val="pl-PL"/>
        </w:rPr>
      </w:pPr>
      <w:r w:rsidRPr="009353E6">
        <w:rPr>
          <w:sz w:val="22"/>
          <w:szCs w:val="22"/>
          <w:lang w:val="pl-PL"/>
        </w:rPr>
        <w:t>M</w:t>
      </w:r>
      <w:r w:rsidR="00D2018C" w:rsidRPr="009353E6">
        <w:rPr>
          <w:sz w:val="22"/>
          <w:szCs w:val="22"/>
          <w:lang w:val="pl-PL"/>
        </w:rPr>
        <w:t xml:space="preserve">ała liczba płytek </w:t>
      </w:r>
      <w:r w:rsidR="00C370AC" w:rsidRPr="009353E6">
        <w:rPr>
          <w:sz w:val="22"/>
          <w:szCs w:val="22"/>
          <w:lang w:val="pl-PL"/>
        </w:rPr>
        <w:t xml:space="preserve">krwi </w:t>
      </w:r>
      <w:r w:rsidR="00D2018C" w:rsidRPr="009353E6">
        <w:rPr>
          <w:sz w:val="22"/>
          <w:szCs w:val="22"/>
          <w:lang w:val="pl-PL"/>
        </w:rPr>
        <w:t>(małopłytkowość), zwiększenie liczby niektórych krwinek białych (eozynofilia), ciężka reakcja alergiczna (np. nadwrażliwość, reakcja anafilaktyczna, wysypka polekowa), małe stężenie glukozy we krwi (u</w:t>
      </w:r>
      <w:r w:rsidR="00B43A19" w:rsidRPr="009353E6">
        <w:rPr>
          <w:sz w:val="22"/>
          <w:szCs w:val="22"/>
          <w:lang w:val="pl-PL"/>
        </w:rPr>
        <w:t> </w:t>
      </w:r>
      <w:r w:rsidR="00D2018C" w:rsidRPr="009353E6">
        <w:rPr>
          <w:sz w:val="22"/>
          <w:szCs w:val="22"/>
          <w:lang w:val="pl-PL"/>
        </w:rPr>
        <w:t>pacjentów z cukrzycą), nieżyt żołądka, wyprysk (zaburzenie skóry), zwyrodnienie stawów, zapalenie ścięgien, zmniejszone stężenie hemoglobiny (białka krwi)</w:t>
      </w:r>
      <w:r w:rsidR="006B7743" w:rsidRPr="009353E6">
        <w:rPr>
          <w:sz w:val="22"/>
          <w:szCs w:val="22"/>
          <w:lang w:val="pl-PL"/>
        </w:rPr>
        <w:t>, senność</w:t>
      </w:r>
      <w:r w:rsidR="00D2018C" w:rsidRPr="009353E6">
        <w:rPr>
          <w:sz w:val="22"/>
          <w:szCs w:val="22"/>
          <w:lang w:val="pl-PL"/>
        </w:rPr>
        <w:t>.</w:t>
      </w:r>
    </w:p>
    <w:p w:rsidR="006B7743" w:rsidRPr="009353E6" w:rsidRDefault="006B7743" w:rsidP="006B7743">
      <w:pPr>
        <w:rPr>
          <w:sz w:val="22"/>
          <w:szCs w:val="22"/>
          <w:lang w:val="pl-PL"/>
        </w:rPr>
      </w:pPr>
    </w:p>
    <w:p w:rsidR="006B7743" w:rsidRPr="009353E6" w:rsidRDefault="006B7743" w:rsidP="005E3A9A">
      <w:pPr>
        <w:keepNext/>
        <w:rPr>
          <w:sz w:val="22"/>
          <w:szCs w:val="22"/>
          <w:lang w:val="pl-PL"/>
        </w:rPr>
      </w:pPr>
      <w:r w:rsidRPr="009353E6">
        <w:rPr>
          <w:sz w:val="22"/>
          <w:szCs w:val="22"/>
          <w:u w:val="single"/>
          <w:lang w:val="pl-PL"/>
        </w:rPr>
        <w:t>Bardzo rzadkie działania niepożądane</w:t>
      </w:r>
      <w:r w:rsidRPr="009353E6">
        <w:rPr>
          <w:sz w:val="22"/>
          <w:szCs w:val="22"/>
          <w:lang w:val="pl-PL"/>
        </w:rPr>
        <w:t xml:space="preserve"> </w:t>
      </w:r>
      <w:r w:rsidRPr="009353E6">
        <w:rPr>
          <w:rFonts w:eastAsia="SimSun"/>
          <w:sz w:val="22"/>
          <w:szCs w:val="22"/>
          <w:lang w:val="pl-PL" w:eastAsia="zh-CN"/>
        </w:rPr>
        <w:t xml:space="preserve">(mogą wystąpić </w:t>
      </w:r>
      <w:r w:rsidR="00DB03B7" w:rsidRPr="009353E6">
        <w:rPr>
          <w:rFonts w:eastAsia="SimSun"/>
          <w:sz w:val="22"/>
          <w:szCs w:val="22"/>
          <w:lang w:val="pl-PL" w:eastAsia="zh-CN"/>
        </w:rPr>
        <w:t>do</w:t>
      </w:r>
      <w:r w:rsidRPr="009353E6">
        <w:rPr>
          <w:rFonts w:eastAsia="SimSun"/>
          <w:sz w:val="22"/>
          <w:szCs w:val="22"/>
          <w:lang w:val="pl-PL" w:eastAsia="zh-CN"/>
        </w:rPr>
        <w:t xml:space="preserve"> 1 na 10 000 </w:t>
      </w:r>
      <w:r w:rsidR="0001616F" w:rsidRPr="009353E6">
        <w:rPr>
          <w:rFonts w:eastAsia="SimSun"/>
          <w:sz w:val="22"/>
          <w:szCs w:val="22"/>
          <w:lang w:val="pl-PL" w:eastAsia="zh-CN"/>
        </w:rPr>
        <w:t>pacjentów</w:t>
      </w:r>
      <w:r w:rsidRPr="009353E6">
        <w:rPr>
          <w:rFonts w:eastAsia="SimSun"/>
          <w:sz w:val="22"/>
          <w:szCs w:val="22"/>
          <w:lang w:val="pl-PL" w:eastAsia="zh-CN"/>
        </w:rPr>
        <w:t>)</w:t>
      </w:r>
      <w:r w:rsidRPr="009353E6">
        <w:rPr>
          <w:sz w:val="22"/>
          <w:szCs w:val="22"/>
          <w:lang w:val="pl-PL"/>
        </w:rPr>
        <w:t>:</w:t>
      </w:r>
    </w:p>
    <w:p w:rsidR="006B7743" w:rsidRPr="009353E6" w:rsidRDefault="006B7743" w:rsidP="006B7743">
      <w:pPr>
        <w:rPr>
          <w:sz w:val="22"/>
          <w:szCs w:val="22"/>
          <w:lang w:val="pl-PL"/>
        </w:rPr>
      </w:pPr>
      <w:r w:rsidRPr="009353E6">
        <w:rPr>
          <w:sz w:val="22"/>
          <w:szCs w:val="22"/>
          <w:lang w:val="pl-PL"/>
        </w:rPr>
        <w:t>Postępujące bliznowacenie pęcherzyków płucnych (śródmiąższowa choroba płuc)**</w:t>
      </w:r>
    </w:p>
    <w:p w:rsidR="00B60066" w:rsidRPr="009353E6" w:rsidRDefault="00B60066" w:rsidP="00B60066">
      <w:pPr>
        <w:rPr>
          <w:sz w:val="22"/>
          <w:szCs w:val="22"/>
          <w:lang w:val="pl-PL"/>
        </w:rPr>
      </w:pPr>
    </w:p>
    <w:p w:rsidR="00B60066" w:rsidRPr="009353E6" w:rsidRDefault="00B60066" w:rsidP="00B60066">
      <w:pPr>
        <w:rPr>
          <w:sz w:val="22"/>
          <w:szCs w:val="22"/>
          <w:lang w:val="pl-PL"/>
        </w:rPr>
      </w:pPr>
      <w:r w:rsidRPr="009353E6">
        <w:rPr>
          <w:sz w:val="22"/>
          <w:szCs w:val="22"/>
          <w:lang w:val="pl-PL"/>
        </w:rPr>
        <w:t>*Zjawisko to może być przypadkowe lub związane z mechanizmem, który nie został jeszcze poznany.</w:t>
      </w:r>
    </w:p>
    <w:p w:rsidR="006B7743" w:rsidRPr="009353E6" w:rsidRDefault="006B7743" w:rsidP="006B7743">
      <w:pPr>
        <w:rPr>
          <w:sz w:val="22"/>
          <w:szCs w:val="22"/>
          <w:lang w:val="pl-PL"/>
        </w:rPr>
      </w:pPr>
    </w:p>
    <w:p w:rsidR="006B7743" w:rsidRPr="009353E6" w:rsidRDefault="006B7743" w:rsidP="006B7743">
      <w:pPr>
        <w:rPr>
          <w:sz w:val="22"/>
          <w:szCs w:val="22"/>
          <w:lang w:val="pl-PL"/>
        </w:rPr>
      </w:pPr>
      <w:r w:rsidRPr="009353E6">
        <w:rPr>
          <w:sz w:val="22"/>
          <w:szCs w:val="22"/>
          <w:lang w:val="pl-PL"/>
        </w:rPr>
        <w:t>**</w:t>
      </w:r>
      <w:r w:rsidR="0047605B" w:rsidRPr="009353E6">
        <w:rPr>
          <w:sz w:val="22"/>
          <w:szCs w:val="22"/>
          <w:lang w:val="pl-PL"/>
        </w:rPr>
        <w:t>Z</w:t>
      </w:r>
      <w:r w:rsidRPr="009353E6">
        <w:rPr>
          <w:sz w:val="22"/>
          <w:szCs w:val="22"/>
          <w:lang w:val="pl-PL"/>
        </w:rPr>
        <w:t xml:space="preserve">głaszano przypadki śródmiąższowej choroby płuc pozostające w związku czasowym z przyjmowaniem telmisartanu. Nie ustalono jednak związku przyczynowego. </w:t>
      </w:r>
    </w:p>
    <w:p w:rsidR="00557693" w:rsidRPr="009353E6" w:rsidRDefault="00557693" w:rsidP="00557693">
      <w:pPr>
        <w:rPr>
          <w:sz w:val="22"/>
          <w:szCs w:val="22"/>
          <w:lang w:val="pl-PL"/>
        </w:rPr>
      </w:pPr>
    </w:p>
    <w:p w:rsidR="000A739F" w:rsidRPr="009353E6" w:rsidRDefault="000A739F" w:rsidP="00E40CF2">
      <w:pPr>
        <w:pStyle w:val="BodyText"/>
        <w:keepNext/>
        <w:spacing w:line="240" w:lineRule="auto"/>
        <w:jc w:val="left"/>
        <w:rPr>
          <w:b/>
          <w:sz w:val="22"/>
          <w:szCs w:val="22"/>
          <w:u w:val="single"/>
          <w:lang w:val="pl-PL"/>
        </w:rPr>
      </w:pPr>
      <w:r w:rsidRPr="009353E6">
        <w:rPr>
          <w:b/>
          <w:sz w:val="22"/>
          <w:szCs w:val="22"/>
          <w:u w:val="single"/>
          <w:lang w:val="pl-PL"/>
        </w:rPr>
        <w:t>Hydrochlorotiazyd</w:t>
      </w:r>
    </w:p>
    <w:p w:rsidR="000A739F" w:rsidRPr="009353E6" w:rsidRDefault="000A739F" w:rsidP="00E40CF2">
      <w:pPr>
        <w:pStyle w:val="BodyText"/>
        <w:keepNext/>
        <w:spacing w:line="240" w:lineRule="auto"/>
        <w:jc w:val="left"/>
        <w:rPr>
          <w:sz w:val="22"/>
          <w:szCs w:val="22"/>
          <w:lang w:val="pl-PL"/>
        </w:rPr>
      </w:pPr>
      <w:r w:rsidRPr="009353E6">
        <w:rPr>
          <w:sz w:val="22"/>
          <w:szCs w:val="22"/>
          <w:lang w:val="pl-PL"/>
        </w:rPr>
        <w:t>U pacjentów przyjmujących wyłącznie hydrochlorotiazyd obserwowano dodatkowe następujące działania niepożądane:</w:t>
      </w:r>
    </w:p>
    <w:p w:rsidR="000A739F" w:rsidRPr="009353E6" w:rsidRDefault="000A739F" w:rsidP="00F831F6">
      <w:pPr>
        <w:pStyle w:val="BodyText"/>
        <w:spacing w:line="240" w:lineRule="auto"/>
        <w:jc w:val="left"/>
        <w:rPr>
          <w:sz w:val="22"/>
          <w:szCs w:val="22"/>
          <w:lang w:val="pl-PL"/>
        </w:rPr>
      </w:pPr>
    </w:p>
    <w:p w:rsidR="00AC31AB" w:rsidRPr="009353E6" w:rsidRDefault="00AC31AB" w:rsidP="00AC31AB">
      <w:pPr>
        <w:rPr>
          <w:sz w:val="22"/>
          <w:szCs w:val="22"/>
          <w:lang w:val="pl-PL"/>
        </w:rPr>
      </w:pPr>
      <w:r w:rsidRPr="009353E6">
        <w:rPr>
          <w:sz w:val="22"/>
          <w:szCs w:val="22"/>
          <w:u w:val="single"/>
          <w:lang w:val="pl-PL"/>
        </w:rPr>
        <w:t>Częste działania niepożądane (mogą wystąpić do 1 na 10 </w:t>
      </w:r>
      <w:r w:rsidR="003B18A3" w:rsidRPr="009353E6">
        <w:rPr>
          <w:sz w:val="22"/>
          <w:szCs w:val="22"/>
          <w:u w:val="single"/>
          <w:lang w:val="pl-PL"/>
        </w:rPr>
        <w:t>pacjentów):</w:t>
      </w:r>
    </w:p>
    <w:p w:rsidR="00AC31AB" w:rsidRPr="009353E6" w:rsidRDefault="00AC31AB" w:rsidP="00AC31AB">
      <w:pPr>
        <w:rPr>
          <w:sz w:val="22"/>
          <w:szCs w:val="22"/>
          <w:lang w:val="pl-PL"/>
        </w:rPr>
      </w:pPr>
      <w:r w:rsidRPr="009353E6">
        <w:rPr>
          <w:sz w:val="22"/>
          <w:szCs w:val="22"/>
          <w:lang w:val="pl-PL"/>
        </w:rPr>
        <w:t>Nudności, małe stężenie magnezu we krwi.</w:t>
      </w:r>
    </w:p>
    <w:p w:rsidR="00AC31AB" w:rsidRPr="009353E6" w:rsidRDefault="00AC31AB" w:rsidP="00AC31AB">
      <w:pPr>
        <w:rPr>
          <w:sz w:val="22"/>
          <w:szCs w:val="22"/>
          <w:u w:val="single"/>
          <w:lang w:val="pl-PL"/>
        </w:rPr>
      </w:pPr>
    </w:p>
    <w:p w:rsidR="00AC31AB" w:rsidRPr="009353E6" w:rsidRDefault="00AC31AB" w:rsidP="00AC31AB">
      <w:pPr>
        <w:rPr>
          <w:sz w:val="22"/>
          <w:szCs w:val="22"/>
          <w:lang w:val="pl-PL"/>
        </w:rPr>
      </w:pPr>
      <w:r w:rsidRPr="009353E6">
        <w:rPr>
          <w:sz w:val="22"/>
          <w:szCs w:val="22"/>
          <w:u w:val="single"/>
          <w:lang w:val="pl-PL"/>
        </w:rPr>
        <w:t>Rzadkie działania niepożądane (mogą wystąpić do 1 na 1000 pacjentów):</w:t>
      </w:r>
    </w:p>
    <w:p w:rsidR="00AC31AB" w:rsidRPr="009353E6" w:rsidRDefault="00AC31AB" w:rsidP="00AC31AB">
      <w:pPr>
        <w:rPr>
          <w:sz w:val="22"/>
          <w:szCs w:val="22"/>
          <w:lang w:val="pl-PL"/>
        </w:rPr>
      </w:pPr>
      <w:r w:rsidRPr="009353E6">
        <w:rPr>
          <w:sz w:val="22"/>
          <w:szCs w:val="22"/>
          <w:lang w:val="pl-PL"/>
        </w:rPr>
        <w:t>Zmniejszenie liczby płytek krwi, przez co wzrasta ryzyko wystąpienia krwawień lub siniaków (niewielkie, fioletowo-czerwone zmiany na skórze lub w innych tkankach, spowodowane przez krwawienie), duże stężenie wapnia we krwi, ból głowy.</w:t>
      </w:r>
    </w:p>
    <w:p w:rsidR="00AC31AB" w:rsidRPr="009353E6" w:rsidRDefault="00AC31AB" w:rsidP="00AC31AB">
      <w:pPr>
        <w:rPr>
          <w:sz w:val="22"/>
          <w:szCs w:val="22"/>
          <w:u w:val="single"/>
          <w:lang w:val="pl-PL"/>
        </w:rPr>
      </w:pPr>
    </w:p>
    <w:p w:rsidR="00AC31AB" w:rsidRPr="009353E6" w:rsidRDefault="00AC31AB" w:rsidP="00AC31AB">
      <w:pPr>
        <w:rPr>
          <w:sz w:val="22"/>
          <w:szCs w:val="22"/>
          <w:u w:val="single"/>
          <w:lang w:val="pl-PL"/>
        </w:rPr>
      </w:pPr>
      <w:r w:rsidRPr="009353E6">
        <w:rPr>
          <w:sz w:val="22"/>
          <w:szCs w:val="22"/>
          <w:u w:val="single"/>
          <w:lang w:val="pl-PL"/>
        </w:rPr>
        <w:t xml:space="preserve">Bardzo rzadkie działania niepożądane </w:t>
      </w:r>
      <w:r w:rsidRPr="009353E6">
        <w:rPr>
          <w:rFonts w:eastAsia="SimSun"/>
          <w:sz w:val="22"/>
          <w:szCs w:val="22"/>
          <w:u w:val="single"/>
          <w:lang w:val="pl-PL" w:eastAsia="zh-CN"/>
        </w:rPr>
        <w:t>(mogą wystąpić do 1 na 10 000 pacjentów)</w:t>
      </w:r>
      <w:r w:rsidRPr="009353E6">
        <w:rPr>
          <w:sz w:val="22"/>
          <w:szCs w:val="22"/>
          <w:u w:val="single"/>
          <w:lang w:val="pl-PL"/>
        </w:rPr>
        <w:t>:</w:t>
      </w:r>
    </w:p>
    <w:p w:rsidR="00AC31AB" w:rsidRPr="009353E6" w:rsidRDefault="00FA76EA" w:rsidP="00AC31AB">
      <w:pPr>
        <w:rPr>
          <w:sz w:val="22"/>
          <w:szCs w:val="22"/>
          <w:lang w:val="pl-PL"/>
        </w:rPr>
      </w:pPr>
      <w:r w:rsidRPr="009353E6">
        <w:rPr>
          <w:sz w:val="22"/>
          <w:szCs w:val="22"/>
          <w:lang w:val="pl-PL"/>
        </w:rPr>
        <w:t>W</w:t>
      </w:r>
      <w:r w:rsidR="00AC31AB" w:rsidRPr="009353E6">
        <w:rPr>
          <w:sz w:val="22"/>
          <w:szCs w:val="22"/>
          <w:lang w:val="pl-PL"/>
        </w:rPr>
        <w:t>zrost pH (zakłócona równowaga kwasowo-zasadowa) ze względu na małe stężenie chlorków we krwi.</w:t>
      </w:r>
    </w:p>
    <w:p w:rsidR="00AC31AB" w:rsidRPr="009353E6" w:rsidRDefault="00AC31AB" w:rsidP="00AC31AB">
      <w:pPr>
        <w:rPr>
          <w:sz w:val="22"/>
          <w:szCs w:val="22"/>
          <w:lang w:val="pl-PL"/>
        </w:rPr>
      </w:pPr>
    </w:p>
    <w:p w:rsidR="006B7743" w:rsidRPr="009353E6" w:rsidRDefault="006B7743" w:rsidP="006B7743">
      <w:pPr>
        <w:tabs>
          <w:tab w:val="center" w:pos="10224"/>
          <w:tab w:val="left" w:pos="10800"/>
          <w:tab w:val="left" w:pos="11088"/>
        </w:tabs>
        <w:rPr>
          <w:sz w:val="22"/>
          <w:szCs w:val="22"/>
          <w:u w:val="single"/>
          <w:lang w:val="pl-PL"/>
        </w:rPr>
      </w:pPr>
      <w:r w:rsidRPr="009353E6">
        <w:rPr>
          <w:sz w:val="22"/>
          <w:szCs w:val="22"/>
          <w:u w:val="single"/>
          <w:lang w:val="pl-PL"/>
        </w:rPr>
        <w:t xml:space="preserve">Działania niepożądane o nieznanej częstości występowania </w:t>
      </w:r>
      <w:r w:rsidRPr="009353E6">
        <w:rPr>
          <w:rFonts w:eastAsia="SimSun"/>
          <w:sz w:val="22"/>
          <w:szCs w:val="22"/>
          <w:u w:val="single"/>
          <w:lang w:val="pl-PL" w:eastAsia="zh-CN"/>
        </w:rPr>
        <w:t>(</w:t>
      </w:r>
      <w:r w:rsidR="006A2A20" w:rsidRPr="009353E6">
        <w:rPr>
          <w:rFonts w:eastAsia="SimSun"/>
          <w:sz w:val="22"/>
          <w:szCs w:val="22"/>
          <w:u w:val="single"/>
          <w:lang w:val="pl-PL" w:eastAsia="zh-CN"/>
        </w:rPr>
        <w:t xml:space="preserve">częstość </w:t>
      </w:r>
      <w:r w:rsidRPr="009353E6">
        <w:rPr>
          <w:rFonts w:eastAsia="SimSun"/>
          <w:sz w:val="22"/>
          <w:szCs w:val="22"/>
          <w:u w:val="single"/>
          <w:lang w:val="pl-PL" w:eastAsia="zh-CN"/>
        </w:rPr>
        <w:t>niemożliwa do oszacowania na podstawie dostępnych danych)</w:t>
      </w:r>
      <w:r w:rsidRPr="009353E6">
        <w:rPr>
          <w:sz w:val="22"/>
          <w:szCs w:val="22"/>
          <w:u w:val="single"/>
          <w:lang w:val="pl-PL"/>
        </w:rPr>
        <w:t>:</w:t>
      </w:r>
    </w:p>
    <w:p w:rsidR="00701864" w:rsidRPr="009353E6" w:rsidRDefault="00701864" w:rsidP="00836E05">
      <w:pPr>
        <w:pStyle w:val="BodyText"/>
        <w:spacing w:line="240" w:lineRule="auto"/>
        <w:jc w:val="left"/>
        <w:rPr>
          <w:sz w:val="22"/>
          <w:szCs w:val="22"/>
          <w:lang w:val="pl-PL"/>
        </w:rPr>
      </w:pPr>
      <w:r w:rsidRPr="009353E6">
        <w:rPr>
          <w:sz w:val="22"/>
          <w:szCs w:val="22"/>
          <w:lang w:val="pl-PL"/>
        </w:rPr>
        <w:t xml:space="preserve">Zapalenie ślinianek, </w:t>
      </w:r>
      <w:r w:rsidR="00022F38" w:rsidRPr="009353E6">
        <w:rPr>
          <w:sz w:val="22"/>
          <w:szCs w:val="22"/>
          <w:lang w:val="pl-PL"/>
        </w:rPr>
        <w:t xml:space="preserve">nowotwory złośliwe skóry i warg (nieczerniakowe nowotwory złośliwe skóry), </w:t>
      </w:r>
      <w:r w:rsidRPr="009353E6">
        <w:rPr>
          <w:sz w:val="22"/>
          <w:szCs w:val="22"/>
          <w:lang w:val="pl-PL"/>
        </w:rPr>
        <w:t>zmniejszenie liczby</w:t>
      </w:r>
      <w:r w:rsidR="007D3D08" w:rsidRPr="009353E6">
        <w:rPr>
          <w:sz w:val="22"/>
          <w:szCs w:val="22"/>
          <w:lang w:val="pl-PL"/>
        </w:rPr>
        <w:t xml:space="preserve"> (lub nawet brak)</w:t>
      </w:r>
      <w:r w:rsidRPr="009353E6">
        <w:rPr>
          <w:sz w:val="22"/>
          <w:szCs w:val="22"/>
          <w:lang w:val="pl-PL"/>
        </w:rPr>
        <w:t xml:space="preserve"> krwinek, w tym mała ilość czerwonych i białych krwinek, ciężkie reakcje alergiczne (np. nadwrażliwość, rea</w:t>
      </w:r>
      <w:r w:rsidR="00A41295" w:rsidRPr="009353E6">
        <w:rPr>
          <w:sz w:val="22"/>
          <w:szCs w:val="22"/>
          <w:lang w:val="pl-PL"/>
        </w:rPr>
        <w:t>k</w:t>
      </w:r>
      <w:r w:rsidRPr="009353E6">
        <w:rPr>
          <w:sz w:val="22"/>
          <w:szCs w:val="22"/>
          <w:lang w:val="pl-PL"/>
        </w:rPr>
        <w:t>cje anafilaktyczne), zmniejszenie lub utrata apetytu</w:t>
      </w:r>
      <w:r w:rsidR="00B60066" w:rsidRPr="009353E6">
        <w:rPr>
          <w:sz w:val="22"/>
          <w:szCs w:val="22"/>
          <w:lang w:val="pl-PL"/>
        </w:rPr>
        <w:t>,</w:t>
      </w:r>
      <w:r w:rsidRPr="009353E6">
        <w:rPr>
          <w:sz w:val="22"/>
          <w:szCs w:val="22"/>
          <w:lang w:val="pl-PL"/>
        </w:rPr>
        <w:t xml:space="preserve"> niepokój, </w:t>
      </w:r>
      <w:r w:rsidR="00A834E9" w:rsidRPr="009353E6">
        <w:rPr>
          <w:sz w:val="22"/>
          <w:szCs w:val="22"/>
          <w:lang w:val="pl-PL"/>
        </w:rPr>
        <w:t>uczucie pustki w głowie</w:t>
      </w:r>
      <w:r w:rsidR="00B60066" w:rsidRPr="009353E6">
        <w:rPr>
          <w:sz w:val="22"/>
          <w:szCs w:val="22"/>
          <w:lang w:val="pl-PL"/>
        </w:rPr>
        <w:t>,</w:t>
      </w:r>
      <w:r w:rsidR="006457EB" w:rsidRPr="009353E6">
        <w:rPr>
          <w:sz w:val="22"/>
          <w:szCs w:val="22"/>
          <w:lang w:val="pl-PL"/>
        </w:rPr>
        <w:t xml:space="preserve"> niewyraźne widz</w:t>
      </w:r>
      <w:r w:rsidRPr="009353E6">
        <w:rPr>
          <w:sz w:val="22"/>
          <w:szCs w:val="22"/>
          <w:lang w:val="pl-PL"/>
        </w:rPr>
        <w:t>enie lub widzenie na żółto</w:t>
      </w:r>
      <w:r w:rsidR="00B60066" w:rsidRPr="009353E6">
        <w:rPr>
          <w:sz w:val="22"/>
          <w:szCs w:val="22"/>
          <w:lang w:val="pl-PL"/>
        </w:rPr>
        <w:t>,</w:t>
      </w:r>
      <w:r w:rsidRPr="009353E6">
        <w:rPr>
          <w:sz w:val="22"/>
          <w:szCs w:val="22"/>
          <w:lang w:val="pl-PL"/>
        </w:rPr>
        <w:t xml:space="preserve"> </w:t>
      </w:r>
      <w:r w:rsidR="00836E05" w:rsidRPr="009353E6">
        <w:rPr>
          <w:rFonts w:eastAsia="MS Mincho"/>
          <w:sz w:val="22"/>
          <w:szCs w:val="22"/>
          <w:lang w:val="pl-PL" w:eastAsia="ja-JP"/>
        </w:rPr>
        <w:t xml:space="preserve">ograniczenie widzenia i ból oczu (prawdopodobnie objawy </w:t>
      </w:r>
      <w:r w:rsidR="007572B2" w:rsidRPr="009353E6">
        <w:rPr>
          <w:rFonts w:eastAsia="MS Mincho"/>
          <w:sz w:val="22"/>
          <w:szCs w:val="22"/>
          <w:lang w:val="pl-PL" w:eastAsia="ja-JP"/>
        </w:rPr>
        <w:t xml:space="preserve">gromadzenia się płynu w unaczynionej błonie otaczającej oko — nadmiernego nagromadzenia płynu między naczyniówką a twardówką — lub </w:t>
      </w:r>
      <w:r w:rsidR="00A50023" w:rsidRPr="009353E6">
        <w:rPr>
          <w:rFonts w:eastAsia="MS Mincho"/>
          <w:sz w:val="22"/>
          <w:szCs w:val="22"/>
          <w:lang w:val="pl-PL" w:eastAsia="ja-JP"/>
        </w:rPr>
        <w:t xml:space="preserve">ostrej krótkowzroczności lub </w:t>
      </w:r>
      <w:r w:rsidR="003270A3" w:rsidRPr="009353E6">
        <w:rPr>
          <w:rFonts w:eastAsia="MS Mincho"/>
          <w:sz w:val="22"/>
          <w:szCs w:val="22"/>
          <w:lang w:val="pl-PL" w:eastAsia="ja-JP"/>
        </w:rPr>
        <w:t xml:space="preserve">ostrej </w:t>
      </w:r>
      <w:r w:rsidR="00836E05" w:rsidRPr="009353E6">
        <w:rPr>
          <w:rFonts w:eastAsia="MS Mincho"/>
          <w:sz w:val="22"/>
          <w:szCs w:val="22"/>
          <w:lang w:val="pl-PL" w:eastAsia="ja-JP"/>
        </w:rPr>
        <w:t>jaskry z zamkniętym kątem przesączania</w:t>
      </w:r>
      <w:r w:rsidR="0001616F" w:rsidRPr="009353E6">
        <w:rPr>
          <w:rFonts w:eastAsia="MS Mincho"/>
          <w:sz w:val="22"/>
          <w:szCs w:val="22"/>
          <w:lang w:val="pl-PL" w:eastAsia="ja-JP"/>
        </w:rPr>
        <w:t>)</w:t>
      </w:r>
      <w:r w:rsidR="0001616F" w:rsidRPr="009353E6">
        <w:rPr>
          <w:rFonts w:eastAsia="MS Mincho"/>
          <w:color w:val="92D050"/>
          <w:sz w:val="22"/>
          <w:szCs w:val="22"/>
          <w:lang w:val="pl-PL" w:eastAsia="ja-JP"/>
        </w:rPr>
        <w:t>,</w:t>
      </w:r>
      <w:r w:rsidR="00836EE8" w:rsidRPr="009353E6">
        <w:rPr>
          <w:rFonts w:eastAsia="MS Mincho"/>
          <w:color w:val="92D050"/>
          <w:sz w:val="22"/>
          <w:szCs w:val="22"/>
          <w:lang w:val="pl-PL" w:eastAsia="ja-JP"/>
        </w:rPr>
        <w:t xml:space="preserve"> </w:t>
      </w:r>
      <w:r w:rsidR="00B60066" w:rsidRPr="009353E6">
        <w:rPr>
          <w:sz w:val="22"/>
          <w:szCs w:val="22"/>
          <w:lang w:val="pl-PL"/>
        </w:rPr>
        <w:t>zapalenie naczyń krwionośnych (</w:t>
      </w:r>
      <w:r w:rsidR="00D2018C" w:rsidRPr="009353E6">
        <w:rPr>
          <w:sz w:val="22"/>
          <w:szCs w:val="22"/>
          <w:lang w:val="pl-PL"/>
        </w:rPr>
        <w:t>martwicze</w:t>
      </w:r>
      <w:r w:rsidR="00B60066" w:rsidRPr="009353E6">
        <w:rPr>
          <w:sz w:val="22"/>
          <w:szCs w:val="22"/>
          <w:lang w:val="pl-PL"/>
        </w:rPr>
        <w:t xml:space="preserve"> zapalenie naczyń), </w:t>
      </w:r>
      <w:r w:rsidRPr="009353E6">
        <w:rPr>
          <w:sz w:val="22"/>
          <w:szCs w:val="22"/>
          <w:lang w:val="pl-PL"/>
        </w:rPr>
        <w:t xml:space="preserve">zapalenie trzustki, nieżyt żołądka, zażółcenie skóry lub oczu (żółtaczka), </w:t>
      </w:r>
      <w:r w:rsidR="00F512E0" w:rsidRPr="009353E6">
        <w:rPr>
          <w:sz w:val="22"/>
          <w:szCs w:val="22"/>
          <w:lang w:val="pl-PL"/>
        </w:rPr>
        <w:t>zespół</w:t>
      </w:r>
      <w:r w:rsidR="00891993" w:rsidRPr="009353E6">
        <w:rPr>
          <w:sz w:val="22"/>
          <w:szCs w:val="22"/>
          <w:lang w:val="pl-PL"/>
        </w:rPr>
        <w:t xml:space="preserve"> o typie tocznia </w:t>
      </w:r>
      <w:r w:rsidR="00F512E0" w:rsidRPr="009353E6">
        <w:rPr>
          <w:sz w:val="22"/>
          <w:szCs w:val="22"/>
          <w:lang w:val="pl-PL"/>
        </w:rPr>
        <w:t xml:space="preserve">(choroba naśladująca toczeń rumieniowaty układowy, w którym organizm jest atakowany przez własny układ odpornościowy), </w:t>
      </w:r>
      <w:r w:rsidRPr="009353E6">
        <w:rPr>
          <w:sz w:val="22"/>
          <w:szCs w:val="22"/>
          <w:lang w:val="pl-PL"/>
        </w:rPr>
        <w:t>zaburzenia skóry, takie jak zapalen</w:t>
      </w:r>
      <w:r w:rsidR="00096917" w:rsidRPr="009353E6">
        <w:rPr>
          <w:sz w:val="22"/>
          <w:szCs w:val="22"/>
          <w:lang w:val="pl-PL"/>
        </w:rPr>
        <w:t>ie naczyń krwionośnych w skórze,</w:t>
      </w:r>
      <w:r w:rsidRPr="009353E6">
        <w:rPr>
          <w:sz w:val="22"/>
          <w:szCs w:val="22"/>
          <w:lang w:val="pl-PL"/>
        </w:rPr>
        <w:t xml:space="preserve"> zwiększona wrażliwość na światło słoneczne</w:t>
      </w:r>
      <w:r w:rsidR="00B60066" w:rsidRPr="009353E6">
        <w:rPr>
          <w:sz w:val="22"/>
          <w:szCs w:val="22"/>
          <w:lang w:val="pl-PL"/>
        </w:rPr>
        <w:t>,</w:t>
      </w:r>
      <w:r w:rsidR="007D3D08" w:rsidRPr="009353E6">
        <w:rPr>
          <w:sz w:val="22"/>
          <w:szCs w:val="22"/>
          <w:lang w:val="pl-PL"/>
        </w:rPr>
        <w:t xml:space="preserve"> wysypka, zaczerwienienie skóry, powstawanie pęcherzy na wargach, oczach i ustach, łuszczenie </w:t>
      </w:r>
      <w:r w:rsidR="00F4609A" w:rsidRPr="009353E6">
        <w:rPr>
          <w:sz w:val="22"/>
          <w:szCs w:val="22"/>
          <w:lang w:val="pl-PL"/>
        </w:rPr>
        <w:t xml:space="preserve">się </w:t>
      </w:r>
      <w:r w:rsidR="007D3D08" w:rsidRPr="009353E6">
        <w:rPr>
          <w:sz w:val="22"/>
          <w:szCs w:val="22"/>
          <w:lang w:val="pl-PL"/>
        </w:rPr>
        <w:t>skóry, gorączka (możliwe objawy rumienia wielopostaciowego),</w:t>
      </w:r>
      <w:r w:rsidR="00B60066" w:rsidRPr="009353E6">
        <w:rPr>
          <w:sz w:val="22"/>
          <w:szCs w:val="22"/>
          <w:lang w:val="pl-PL"/>
        </w:rPr>
        <w:t xml:space="preserve"> osłabienie,</w:t>
      </w:r>
      <w:r w:rsidRPr="009353E6">
        <w:rPr>
          <w:sz w:val="22"/>
          <w:szCs w:val="22"/>
          <w:lang w:val="pl-PL"/>
        </w:rPr>
        <w:t xml:space="preserve"> zapalenie nerek lub zaburzenia czynności nerek</w:t>
      </w:r>
      <w:r w:rsidR="00B60066" w:rsidRPr="009353E6">
        <w:rPr>
          <w:sz w:val="22"/>
          <w:szCs w:val="22"/>
          <w:lang w:val="pl-PL"/>
        </w:rPr>
        <w:t xml:space="preserve">, obecność glukozy w moczu (cukromocz), </w:t>
      </w:r>
      <w:r w:rsidRPr="009353E6">
        <w:rPr>
          <w:sz w:val="22"/>
          <w:szCs w:val="22"/>
          <w:lang w:val="pl-PL"/>
        </w:rPr>
        <w:t>gorączka</w:t>
      </w:r>
      <w:r w:rsidR="00B60066" w:rsidRPr="009353E6">
        <w:rPr>
          <w:sz w:val="22"/>
          <w:szCs w:val="22"/>
          <w:lang w:val="pl-PL"/>
        </w:rPr>
        <w:t>,</w:t>
      </w:r>
      <w:r w:rsidRPr="009353E6">
        <w:rPr>
          <w:sz w:val="22"/>
          <w:szCs w:val="22"/>
          <w:lang w:val="pl-PL"/>
        </w:rPr>
        <w:t xml:space="preserve"> zaburzenia równowagi elektrolitowej, duże stężenie cholesterolu we krwi, zmniejszona objętość krwi</w:t>
      </w:r>
      <w:r w:rsidR="00AB7730" w:rsidRPr="009353E6">
        <w:rPr>
          <w:sz w:val="22"/>
          <w:szCs w:val="22"/>
          <w:lang w:val="pl-PL"/>
        </w:rPr>
        <w:t>, wzrost stężenia glukozy we krwi</w:t>
      </w:r>
      <w:r w:rsidR="0000020A" w:rsidRPr="009353E6">
        <w:rPr>
          <w:sz w:val="22"/>
          <w:szCs w:val="22"/>
          <w:lang w:val="pl-PL"/>
        </w:rPr>
        <w:t>,</w:t>
      </w:r>
      <w:r w:rsidR="0000020A" w:rsidRPr="009353E6">
        <w:rPr>
          <w:lang w:val="pl-PL"/>
        </w:rPr>
        <w:t xml:space="preserve"> </w:t>
      </w:r>
      <w:r w:rsidR="0000020A" w:rsidRPr="009353E6">
        <w:rPr>
          <w:sz w:val="22"/>
          <w:szCs w:val="22"/>
          <w:lang w:val="pl-PL"/>
        </w:rPr>
        <w:t xml:space="preserve">trudności w kontrolowaniu </w:t>
      </w:r>
      <w:r w:rsidR="00D82DF5" w:rsidRPr="009353E6">
        <w:rPr>
          <w:sz w:val="22"/>
          <w:szCs w:val="22"/>
          <w:lang w:val="pl-PL"/>
        </w:rPr>
        <w:t>stężenia</w:t>
      </w:r>
      <w:r w:rsidR="0000020A" w:rsidRPr="009353E6">
        <w:rPr>
          <w:sz w:val="22"/>
          <w:szCs w:val="22"/>
          <w:lang w:val="pl-PL"/>
        </w:rPr>
        <w:t xml:space="preserve"> glukozy we krwi</w:t>
      </w:r>
      <w:r w:rsidR="00AB7730" w:rsidRPr="009353E6">
        <w:rPr>
          <w:sz w:val="22"/>
          <w:szCs w:val="22"/>
          <w:lang w:val="pl-PL"/>
        </w:rPr>
        <w:t xml:space="preserve">/moczu </w:t>
      </w:r>
      <w:r w:rsidR="00D82DF5" w:rsidRPr="009353E6">
        <w:rPr>
          <w:sz w:val="22"/>
          <w:szCs w:val="22"/>
          <w:lang w:val="pl-PL"/>
        </w:rPr>
        <w:t xml:space="preserve">u </w:t>
      </w:r>
      <w:r w:rsidR="00AB7730" w:rsidRPr="009353E6">
        <w:rPr>
          <w:sz w:val="22"/>
          <w:szCs w:val="22"/>
          <w:lang w:val="pl-PL"/>
        </w:rPr>
        <w:t>pacjentów z rozpoznaną cukrzycą</w:t>
      </w:r>
      <w:r w:rsidR="00D82DF5" w:rsidRPr="009353E6">
        <w:rPr>
          <w:sz w:val="22"/>
          <w:szCs w:val="22"/>
          <w:lang w:val="pl-PL"/>
        </w:rPr>
        <w:t>,</w:t>
      </w:r>
      <w:r w:rsidRPr="009353E6">
        <w:rPr>
          <w:sz w:val="22"/>
          <w:szCs w:val="22"/>
          <w:lang w:val="pl-PL"/>
        </w:rPr>
        <w:t xml:space="preserve"> lub tłuszczu we krwi.</w:t>
      </w:r>
    </w:p>
    <w:p w:rsidR="000A739F" w:rsidRPr="009353E6" w:rsidRDefault="000A739F" w:rsidP="00F831F6">
      <w:pPr>
        <w:pStyle w:val="BodyText"/>
        <w:spacing w:line="240" w:lineRule="auto"/>
        <w:jc w:val="left"/>
        <w:rPr>
          <w:sz w:val="22"/>
          <w:szCs w:val="22"/>
          <w:lang w:val="pl-PL"/>
        </w:rPr>
      </w:pPr>
    </w:p>
    <w:p w:rsidR="0090033D" w:rsidRPr="009353E6" w:rsidRDefault="0090033D" w:rsidP="0090033D">
      <w:pPr>
        <w:numPr>
          <w:ilvl w:val="12"/>
          <w:numId w:val="0"/>
        </w:numPr>
        <w:rPr>
          <w:b/>
          <w:sz w:val="22"/>
          <w:szCs w:val="22"/>
          <w:lang w:val="pl-PL"/>
        </w:rPr>
      </w:pPr>
      <w:r w:rsidRPr="009353E6">
        <w:rPr>
          <w:b/>
          <w:sz w:val="22"/>
          <w:szCs w:val="22"/>
          <w:lang w:val="pl-PL"/>
        </w:rPr>
        <w:t>Zgłaszanie działań niepożądanych</w:t>
      </w:r>
    </w:p>
    <w:p w:rsidR="0090033D" w:rsidRPr="009353E6" w:rsidRDefault="0090033D" w:rsidP="0090033D">
      <w:pPr>
        <w:numPr>
          <w:ilvl w:val="12"/>
          <w:numId w:val="0"/>
        </w:numPr>
        <w:rPr>
          <w:sz w:val="22"/>
          <w:szCs w:val="22"/>
          <w:lang w:val="pl-PL"/>
        </w:rPr>
      </w:pPr>
      <w:r w:rsidRPr="009353E6">
        <w:rPr>
          <w:sz w:val="22"/>
          <w:szCs w:val="22"/>
          <w:lang w:val="pl-PL"/>
        </w:rPr>
        <w:t>Jeśli wystąpią jakiekolwiek objawy niepożądane, w tym wszelkie ob</w:t>
      </w:r>
      <w:r w:rsidR="00013D4F" w:rsidRPr="009353E6">
        <w:rPr>
          <w:sz w:val="22"/>
          <w:szCs w:val="22"/>
          <w:lang w:val="pl-PL"/>
        </w:rPr>
        <w:t>j</w:t>
      </w:r>
      <w:r w:rsidRPr="009353E6">
        <w:rPr>
          <w:sz w:val="22"/>
          <w:szCs w:val="22"/>
          <w:lang w:val="pl-PL"/>
        </w:rPr>
        <w:t>awy niepożądane niewymienione w ulotce, należy powiedzieć o tym lekarzowi</w:t>
      </w:r>
      <w:r w:rsidR="007D54FB" w:rsidRPr="009353E6">
        <w:rPr>
          <w:sz w:val="22"/>
          <w:szCs w:val="22"/>
          <w:lang w:val="pl-PL"/>
        </w:rPr>
        <w:t xml:space="preserve"> lub</w:t>
      </w:r>
      <w:r w:rsidRPr="009353E6">
        <w:rPr>
          <w:sz w:val="22"/>
          <w:szCs w:val="22"/>
          <w:lang w:val="pl-PL"/>
        </w:rPr>
        <w:t xml:space="preserve"> farmaceucie. Działania niepożądane można zgłaszać bezpośrednio do </w:t>
      </w:r>
      <w:r w:rsidRPr="009353E6">
        <w:rPr>
          <w:sz w:val="22"/>
          <w:szCs w:val="22"/>
          <w:highlight w:val="lightGray"/>
          <w:lang w:val="pl-PL"/>
        </w:rPr>
        <w:t xml:space="preserve">„krajowego systemu zgłaszania” wymienionego w </w:t>
      </w:r>
      <w:hyperlink r:id="rId17">
        <w:r w:rsidR="00BC39DD" w:rsidRPr="009353E6">
          <w:rPr>
            <w:rStyle w:val="Hyperlink"/>
            <w:sz w:val="22"/>
            <w:highlight w:val="lightGray"/>
            <w:lang w:val="pl-PL"/>
          </w:rPr>
          <w:t>załączniku V</w:t>
        </w:r>
      </w:hyperlink>
      <w:r w:rsidRPr="009353E6">
        <w:rPr>
          <w:sz w:val="22"/>
          <w:szCs w:val="22"/>
          <w:highlight w:val="lightGray"/>
          <w:lang w:val="pl-PL"/>
        </w:rPr>
        <w:t xml:space="preserve">. </w:t>
      </w:r>
      <w:r w:rsidRPr="009353E6">
        <w:rPr>
          <w:sz w:val="22"/>
          <w:szCs w:val="22"/>
          <w:lang w:val="pl-PL"/>
        </w:rPr>
        <w:t xml:space="preserve">Dzięki zgłaszaniu działań niepożądanych można będzie zgromadzić więcej informacji na temat bezpieczeństwa stosowania leku. </w:t>
      </w:r>
    </w:p>
    <w:p w:rsidR="002D3E1A" w:rsidRPr="009353E6" w:rsidRDefault="002D3E1A" w:rsidP="00F831F6">
      <w:pPr>
        <w:pStyle w:val="BodyText"/>
        <w:spacing w:line="240" w:lineRule="auto"/>
        <w:jc w:val="left"/>
        <w:rPr>
          <w:sz w:val="22"/>
          <w:szCs w:val="22"/>
          <w:lang w:val="pl-PL"/>
        </w:rPr>
      </w:pPr>
    </w:p>
    <w:p w:rsidR="006B7743" w:rsidRPr="009353E6" w:rsidRDefault="006B7743" w:rsidP="00F831F6">
      <w:pPr>
        <w:pStyle w:val="BodyText"/>
        <w:spacing w:line="240" w:lineRule="auto"/>
        <w:jc w:val="left"/>
        <w:rPr>
          <w:sz w:val="22"/>
          <w:szCs w:val="22"/>
          <w:lang w:val="pl-PL"/>
        </w:rPr>
      </w:pPr>
    </w:p>
    <w:p w:rsidR="002D3E1A" w:rsidRPr="009353E6" w:rsidRDefault="002D3E1A" w:rsidP="005E3A9A">
      <w:pPr>
        <w:pStyle w:val="BodyText"/>
        <w:keepNext/>
        <w:tabs>
          <w:tab w:val="left" w:pos="540"/>
        </w:tabs>
        <w:spacing w:line="240" w:lineRule="auto"/>
        <w:jc w:val="left"/>
        <w:rPr>
          <w:b/>
          <w:sz w:val="22"/>
          <w:szCs w:val="22"/>
          <w:vertAlign w:val="superscript"/>
          <w:lang w:val="pl-PL"/>
        </w:rPr>
      </w:pPr>
      <w:r w:rsidRPr="009353E6">
        <w:rPr>
          <w:b/>
          <w:sz w:val="22"/>
          <w:szCs w:val="22"/>
          <w:lang w:val="pl-PL"/>
        </w:rPr>
        <w:t xml:space="preserve">5. </w:t>
      </w:r>
      <w:r w:rsidRPr="009353E6">
        <w:rPr>
          <w:b/>
          <w:sz w:val="22"/>
          <w:szCs w:val="22"/>
          <w:lang w:val="pl-PL"/>
        </w:rPr>
        <w:tab/>
      </w:r>
      <w:r w:rsidR="006B7743" w:rsidRPr="009353E6">
        <w:rPr>
          <w:b/>
          <w:sz w:val="22"/>
          <w:szCs w:val="22"/>
          <w:lang w:val="pl-PL"/>
        </w:rPr>
        <w:t>Jak przechowywać lek MicardisPlus</w:t>
      </w:r>
    </w:p>
    <w:p w:rsidR="002D3E1A" w:rsidRPr="009353E6" w:rsidRDefault="002D3E1A" w:rsidP="005E3A9A">
      <w:pPr>
        <w:pStyle w:val="BodyText"/>
        <w:keepNext/>
        <w:spacing w:line="240" w:lineRule="auto"/>
        <w:jc w:val="left"/>
        <w:rPr>
          <w:sz w:val="22"/>
          <w:szCs w:val="22"/>
          <w:lang w:val="pl-PL"/>
        </w:rPr>
      </w:pPr>
    </w:p>
    <w:p w:rsidR="000A739F" w:rsidRPr="009353E6" w:rsidRDefault="00326E2D" w:rsidP="00F831F6">
      <w:pPr>
        <w:pStyle w:val="BodyText"/>
        <w:spacing w:line="240" w:lineRule="auto"/>
        <w:jc w:val="left"/>
        <w:rPr>
          <w:sz w:val="22"/>
          <w:szCs w:val="22"/>
          <w:lang w:val="pl-PL"/>
        </w:rPr>
      </w:pPr>
      <w:r w:rsidRPr="009353E6">
        <w:rPr>
          <w:sz w:val="22"/>
          <w:szCs w:val="22"/>
          <w:lang w:val="pl-PL"/>
        </w:rPr>
        <w:t>Lek należy p</w:t>
      </w:r>
      <w:r w:rsidR="000A739F" w:rsidRPr="009353E6">
        <w:rPr>
          <w:sz w:val="22"/>
          <w:szCs w:val="22"/>
          <w:lang w:val="pl-PL"/>
        </w:rPr>
        <w:t xml:space="preserve">rzechowywać w miejscu </w:t>
      </w:r>
      <w:r w:rsidR="006B7743" w:rsidRPr="009353E6">
        <w:rPr>
          <w:sz w:val="22"/>
          <w:szCs w:val="22"/>
          <w:lang w:val="pl-PL"/>
        </w:rPr>
        <w:t xml:space="preserve">niewidocznym i </w:t>
      </w:r>
      <w:r w:rsidR="000A739F" w:rsidRPr="009353E6">
        <w:rPr>
          <w:sz w:val="22"/>
          <w:szCs w:val="22"/>
          <w:lang w:val="pl-PL"/>
        </w:rPr>
        <w:t>niedostępnym dla dzieci.</w:t>
      </w:r>
    </w:p>
    <w:p w:rsidR="000A739F" w:rsidRPr="009353E6" w:rsidRDefault="000A739F" w:rsidP="00F831F6">
      <w:pPr>
        <w:pStyle w:val="BodyText"/>
        <w:spacing w:line="240" w:lineRule="auto"/>
        <w:jc w:val="left"/>
        <w:rPr>
          <w:sz w:val="22"/>
          <w:szCs w:val="22"/>
          <w:lang w:val="pl-PL"/>
        </w:rPr>
      </w:pPr>
    </w:p>
    <w:p w:rsidR="00F37EE9" w:rsidRPr="009353E6" w:rsidRDefault="000A739F" w:rsidP="00F831F6">
      <w:pPr>
        <w:pStyle w:val="BodyText"/>
        <w:spacing w:line="240" w:lineRule="auto"/>
        <w:jc w:val="left"/>
        <w:rPr>
          <w:sz w:val="22"/>
          <w:szCs w:val="22"/>
          <w:lang w:val="pl-PL"/>
        </w:rPr>
      </w:pPr>
      <w:r w:rsidRPr="009353E6">
        <w:rPr>
          <w:sz w:val="22"/>
          <w:szCs w:val="22"/>
          <w:lang w:val="pl-PL"/>
        </w:rPr>
        <w:t xml:space="preserve">Nie stosować </w:t>
      </w:r>
      <w:r w:rsidR="006B7743" w:rsidRPr="009353E6">
        <w:rPr>
          <w:sz w:val="22"/>
          <w:szCs w:val="22"/>
          <w:lang w:val="pl-PL"/>
        </w:rPr>
        <w:t xml:space="preserve">tego </w:t>
      </w:r>
      <w:r w:rsidRPr="009353E6">
        <w:rPr>
          <w:sz w:val="22"/>
          <w:szCs w:val="22"/>
          <w:lang w:val="pl-PL"/>
        </w:rPr>
        <w:t>leku po upływie terminu ważności zamieszczon</w:t>
      </w:r>
      <w:r w:rsidR="000D5AB0" w:rsidRPr="009353E6">
        <w:rPr>
          <w:sz w:val="22"/>
          <w:szCs w:val="22"/>
          <w:lang w:val="pl-PL"/>
        </w:rPr>
        <w:t xml:space="preserve">ego </w:t>
      </w:r>
      <w:r w:rsidRPr="009353E6">
        <w:rPr>
          <w:sz w:val="22"/>
          <w:szCs w:val="22"/>
          <w:lang w:val="pl-PL"/>
        </w:rPr>
        <w:t>na</w:t>
      </w:r>
      <w:r w:rsidR="000D5AB0" w:rsidRPr="009353E6">
        <w:rPr>
          <w:sz w:val="22"/>
          <w:szCs w:val="22"/>
          <w:lang w:val="pl-PL"/>
        </w:rPr>
        <w:t xml:space="preserve"> pudełku </w:t>
      </w:r>
      <w:r w:rsidR="005515AC" w:rsidRPr="009353E6">
        <w:rPr>
          <w:sz w:val="22"/>
          <w:szCs w:val="22"/>
          <w:lang w:val="pl-PL"/>
        </w:rPr>
        <w:t>po</w:t>
      </w:r>
      <w:r w:rsidR="0001616F" w:rsidRPr="009353E6">
        <w:rPr>
          <w:sz w:val="22"/>
          <w:szCs w:val="22"/>
          <w:lang w:val="pl-PL"/>
        </w:rPr>
        <w:t xml:space="preserve">: </w:t>
      </w:r>
      <w:r w:rsidRPr="009353E6">
        <w:rPr>
          <w:sz w:val="22"/>
          <w:szCs w:val="22"/>
          <w:lang w:val="pl-PL"/>
        </w:rPr>
        <w:t xml:space="preserve">Termin ważności. Termin ważności oznacza ostatni dzień </w:t>
      </w:r>
      <w:r w:rsidR="007D54FB" w:rsidRPr="009353E6">
        <w:rPr>
          <w:sz w:val="22"/>
          <w:szCs w:val="22"/>
          <w:lang w:val="pl-PL"/>
        </w:rPr>
        <w:t>po</w:t>
      </w:r>
      <w:r w:rsidRPr="009353E6">
        <w:rPr>
          <w:sz w:val="22"/>
          <w:szCs w:val="22"/>
          <w:lang w:val="pl-PL"/>
        </w:rPr>
        <w:t>danego miesiąca.</w:t>
      </w:r>
    </w:p>
    <w:p w:rsidR="000A739F" w:rsidRPr="009353E6" w:rsidRDefault="000A739F" w:rsidP="00F831F6">
      <w:pPr>
        <w:pStyle w:val="BodyText"/>
        <w:spacing w:line="240" w:lineRule="auto"/>
        <w:jc w:val="left"/>
        <w:rPr>
          <w:sz w:val="22"/>
          <w:szCs w:val="22"/>
          <w:lang w:val="pl-PL"/>
        </w:rPr>
      </w:pPr>
    </w:p>
    <w:p w:rsidR="009A6C23" w:rsidRPr="009353E6" w:rsidRDefault="004C64DB" w:rsidP="009A6C23">
      <w:pPr>
        <w:ind w:right="-2"/>
        <w:rPr>
          <w:sz w:val="22"/>
          <w:szCs w:val="22"/>
          <w:lang w:val="pl-PL"/>
        </w:rPr>
      </w:pPr>
      <w:r w:rsidRPr="009353E6">
        <w:rPr>
          <w:sz w:val="22"/>
          <w:szCs w:val="22"/>
          <w:lang w:val="pl-PL"/>
        </w:rPr>
        <w:t xml:space="preserve">Brak szczególnych wymagań dotyczących </w:t>
      </w:r>
      <w:r w:rsidR="006B7743" w:rsidRPr="009353E6">
        <w:rPr>
          <w:sz w:val="22"/>
          <w:szCs w:val="22"/>
          <w:lang w:val="pl-PL"/>
        </w:rPr>
        <w:t xml:space="preserve">temperatury </w:t>
      </w:r>
      <w:r w:rsidRPr="009353E6">
        <w:rPr>
          <w:sz w:val="22"/>
          <w:szCs w:val="22"/>
          <w:lang w:val="pl-PL"/>
        </w:rPr>
        <w:t xml:space="preserve">przechowywania leku. </w:t>
      </w:r>
      <w:r w:rsidR="000A739F" w:rsidRPr="009353E6">
        <w:rPr>
          <w:sz w:val="22"/>
          <w:szCs w:val="22"/>
          <w:lang w:val="pl-PL"/>
        </w:rPr>
        <w:t>Przechowywać lek w oryginalnym opakowaniu w celu ochrony tabletek przed wilgocią.</w:t>
      </w:r>
      <w:r w:rsidR="009A6C23" w:rsidRPr="009353E6">
        <w:rPr>
          <w:rStyle w:val="hps"/>
          <w:sz w:val="22"/>
          <w:szCs w:val="22"/>
          <w:lang w:val="pl-PL"/>
        </w:rPr>
        <w:t xml:space="preserve"> Tabletkę leku MicardisPlus należy wyjąć</w:t>
      </w:r>
      <w:r w:rsidR="009A6C23" w:rsidRPr="009353E6">
        <w:rPr>
          <w:sz w:val="22"/>
          <w:szCs w:val="22"/>
          <w:lang w:val="pl-PL"/>
        </w:rPr>
        <w:t xml:space="preserve"> </w:t>
      </w:r>
      <w:r w:rsidR="009A6C23" w:rsidRPr="009353E6">
        <w:rPr>
          <w:rStyle w:val="hps"/>
          <w:sz w:val="22"/>
          <w:szCs w:val="22"/>
          <w:lang w:val="pl-PL"/>
        </w:rPr>
        <w:t>z blistra</w:t>
      </w:r>
      <w:r w:rsidR="009A6C23" w:rsidRPr="009353E6">
        <w:rPr>
          <w:sz w:val="22"/>
          <w:szCs w:val="22"/>
          <w:lang w:val="pl-PL"/>
        </w:rPr>
        <w:t xml:space="preserve"> </w:t>
      </w:r>
      <w:r w:rsidR="009A6C23" w:rsidRPr="009353E6">
        <w:rPr>
          <w:rStyle w:val="hps"/>
          <w:sz w:val="22"/>
          <w:szCs w:val="22"/>
          <w:lang w:val="pl-PL"/>
        </w:rPr>
        <w:t>bezpośrednio</w:t>
      </w:r>
      <w:r w:rsidR="009A6C23" w:rsidRPr="009353E6">
        <w:rPr>
          <w:sz w:val="22"/>
          <w:szCs w:val="22"/>
          <w:lang w:val="pl-PL"/>
        </w:rPr>
        <w:t xml:space="preserve"> </w:t>
      </w:r>
      <w:r w:rsidR="009A6C23" w:rsidRPr="009353E6">
        <w:rPr>
          <w:rStyle w:val="hps"/>
          <w:sz w:val="22"/>
          <w:szCs w:val="22"/>
          <w:lang w:val="pl-PL"/>
        </w:rPr>
        <w:t>przed</w:t>
      </w:r>
      <w:r w:rsidR="009A6C23" w:rsidRPr="009353E6">
        <w:rPr>
          <w:sz w:val="22"/>
          <w:szCs w:val="22"/>
          <w:lang w:val="pl-PL"/>
        </w:rPr>
        <w:t xml:space="preserve"> </w:t>
      </w:r>
      <w:r w:rsidR="009A6C23" w:rsidRPr="009353E6">
        <w:rPr>
          <w:rStyle w:val="hps"/>
          <w:sz w:val="22"/>
          <w:szCs w:val="22"/>
          <w:lang w:val="pl-PL"/>
        </w:rPr>
        <w:t>zażyciem.</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Czasami zdarza się, że zewnętrzna powłoka blistra odkleja się od wewnętrznej pomiędzy kieszeniami blistra. W tym przypadku nie ma potrzeby podejmowania żadnych działań.</w:t>
      </w:r>
    </w:p>
    <w:p w:rsidR="000A739F" w:rsidRPr="009353E6" w:rsidRDefault="000A739F" w:rsidP="00F831F6">
      <w:pPr>
        <w:pStyle w:val="BodyText"/>
        <w:spacing w:line="240" w:lineRule="auto"/>
        <w:jc w:val="left"/>
        <w:rPr>
          <w:sz w:val="22"/>
          <w:szCs w:val="22"/>
          <w:lang w:val="pl-PL"/>
        </w:rPr>
      </w:pPr>
    </w:p>
    <w:p w:rsidR="006B7743" w:rsidRPr="009353E6" w:rsidRDefault="006B7743" w:rsidP="006B7743">
      <w:pPr>
        <w:ind w:right="-2"/>
        <w:rPr>
          <w:sz w:val="22"/>
          <w:szCs w:val="22"/>
          <w:lang w:val="pl-PL" w:bidi="bn-IN"/>
        </w:rPr>
      </w:pPr>
      <w:r w:rsidRPr="009353E6">
        <w:rPr>
          <w:sz w:val="22"/>
          <w:szCs w:val="22"/>
          <w:lang w:val="pl-PL" w:bidi="bn-IN"/>
        </w:rPr>
        <w:t>Leków nie należy wyrzucać do kanalizacji ani domowych pojemników na odpadki. Należy zapytać farmaceutę, jak usunąć leki, których się już nie używa. Takie postępowanie pomoże chronić środowisko.</w:t>
      </w:r>
    </w:p>
    <w:p w:rsidR="003B55EC" w:rsidRPr="009353E6" w:rsidRDefault="003B55EC" w:rsidP="006B7743">
      <w:pPr>
        <w:ind w:right="-2"/>
        <w:rPr>
          <w:sz w:val="22"/>
          <w:szCs w:val="22"/>
          <w:lang w:val="pl-PL" w:bidi="bn-IN"/>
        </w:rPr>
      </w:pPr>
    </w:p>
    <w:p w:rsidR="003B55EC" w:rsidRPr="009353E6" w:rsidRDefault="003B55EC" w:rsidP="006B7743">
      <w:pPr>
        <w:ind w:right="-2"/>
        <w:rPr>
          <w:sz w:val="22"/>
          <w:szCs w:val="22"/>
          <w:lang w:val="pl-PL" w:bidi="bn-IN"/>
        </w:rPr>
      </w:pPr>
    </w:p>
    <w:p w:rsidR="006B7743" w:rsidRPr="009353E6" w:rsidRDefault="006B7743" w:rsidP="005E3A9A">
      <w:pPr>
        <w:pStyle w:val="BodyText"/>
        <w:keepNext/>
        <w:numPr>
          <w:ilvl w:val="0"/>
          <w:numId w:val="10"/>
        </w:numPr>
        <w:tabs>
          <w:tab w:val="clear" w:pos="360"/>
          <w:tab w:val="num" w:pos="0"/>
          <w:tab w:val="left" w:pos="567"/>
        </w:tabs>
        <w:spacing w:line="240" w:lineRule="auto"/>
        <w:ind w:left="0" w:firstLine="0"/>
        <w:jc w:val="left"/>
        <w:rPr>
          <w:b/>
          <w:sz w:val="22"/>
          <w:szCs w:val="22"/>
          <w:lang w:val="pl-PL" w:bidi="bn-IN"/>
        </w:rPr>
      </w:pPr>
      <w:r w:rsidRPr="009353E6">
        <w:rPr>
          <w:b/>
          <w:sz w:val="22"/>
          <w:szCs w:val="22"/>
          <w:lang w:val="pl-PL" w:bidi="bn-IN"/>
        </w:rPr>
        <w:t>Zawartość opakowania i inne informacje</w:t>
      </w:r>
    </w:p>
    <w:p w:rsidR="006B7743" w:rsidRPr="009353E6" w:rsidRDefault="006B7743" w:rsidP="005E3A9A">
      <w:pPr>
        <w:pStyle w:val="BodyText"/>
        <w:keepNext/>
        <w:spacing w:line="240" w:lineRule="auto"/>
        <w:jc w:val="left"/>
        <w:rPr>
          <w:b/>
          <w:sz w:val="22"/>
          <w:szCs w:val="22"/>
          <w:lang w:val="pl-PL"/>
        </w:rPr>
      </w:pPr>
    </w:p>
    <w:p w:rsidR="000A739F" w:rsidRPr="009353E6" w:rsidRDefault="000A739F" w:rsidP="005E3A9A">
      <w:pPr>
        <w:pStyle w:val="BodyText"/>
        <w:keepNext/>
        <w:spacing w:line="240" w:lineRule="auto"/>
        <w:jc w:val="left"/>
        <w:rPr>
          <w:b/>
          <w:sz w:val="22"/>
          <w:szCs w:val="22"/>
          <w:lang w:val="pl-PL"/>
        </w:rPr>
      </w:pPr>
      <w:r w:rsidRPr="009353E6">
        <w:rPr>
          <w:b/>
          <w:sz w:val="22"/>
          <w:szCs w:val="22"/>
          <w:lang w:val="pl-PL"/>
        </w:rPr>
        <w:t>Co zawiera lek MicardisPlus</w:t>
      </w:r>
    </w:p>
    <w:p w:rsidR="0065487C" w:rsidRPr="009353E6" w:rsidRDefault="0065487C" w:rsidP="005E3A9A">
      <w:pPr>
        <w:pStyle w:val="BodyText"/>
        <w:keepN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Substancj</w:t>
      </w:r>
      <w:r w:rsidR="0027360E" w:rsidRPr="009353E6">
        <w:rPr>
          <w:sz w:val="22"/>
          <w:szCs w:val="22"/>
          <w:lang w:val="pl-PL"/>
        </w:rPr>
        <w:t>ami</w:t>
      </w:r>
      <w:r w:rsidRPr="009353E6">
        <w:rPr>
          <w:sz w:val="22"/>
          <w:szCs w:val="22"/>
          <w:lang w:val="pl-PL"/>
        </w:rPr>
        <w:t xml:space="preserve"> czynn</w:t>
      </w:r>
      <w:r w:rsidR="0027360E" w:rsidRPr="009353E6">
        <w:rPr>
          <w:sz w:val="22"/>
          <w:szCs w:val="22"/>
          <w:lang w:val="pl-PL"/>
        </w:rPr>
        <w:t>ymi leku są</w:t>
      </w:r>
      <w:r w:rsidRPr="009353E6">
        <w:rPr>
          <w:sz w:val="22"/>
          <w:szCs w:val="22"/>
          <w:lang w:val="pl-PL"/>
        </w:rPr>
        <w:t xml:space="preserve">: telmisartan i hydrochlorotiazyd. Każda tabletka zawiera 80 mg telmisartanu i 12,5 mg hydrochlorotiazydu. </w:t>
      </w:r>
    </w:p>
    <w:p w:rsidR="000A739F" w:rsidRPr="009353E6" w:rsidRDefault="00AA7407" w:rsidP="00F831F6">
      <w:pPr>
        <w:pStyle w:val="BodyText"/>
        <w:spacing w:line="240" w:lineRule="auto"/>
        <w:jc w:val="left"/>
        <w:rPr>
          <w:sz w:val="22"/>
          <w:szCs w:val="22"/>
          <w:lang w:val="pl-PL"/>
        </w:rPr>
      </w:pPr>
      <w:r w:rsidRPr="009353E6">
        <w:rPr>
          <w:sz w:val="22"/>
          <w:szCs w:val="22"/>
          <w:lang w:val="pl-PL"/>
        </w:rPr>
        <w:t>Pozostałe składniki to</w:t>
      </w:r>
      <w:r w:rsidR="000A739F" w:rsidRPr="009353E6">
        <w:rPr>
          <w:sz w:val="22"/>
          <w:szCs w:val="22"/>
          <w:lang w:val="pl-PL"/>
        </w:rPr>
        <w:t xml:space="preserve">: laktoza jednowodna, stearynian magnezu, skrobia kukurydziana, meglumina, mikrokrystaliczna celuloza, powidon, czerwony tlenek żelaza (E172), wodorotlenek sodu, skrobi glikolan sodu (typ A),  sorbitol (E420). </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 xml:space="preserve">Jak wygląda </w:t>
      </w:r>
      <w:r w:rsidR="005515AC" w:rsidRPr="009353E6">
        <w:rPr>
          <w:b/>
          <w:sz w:val="22"/>
          <w:szCs w:val="22"/>
          <w:lang w:val="pl-PL"/>
        </w:rPr>
        <w:t xml:space="preserve">lek </w:t>
      </w:r>
      <w:r w:rsidRPr="009353E6">
        <w:rPr>
          <w:b/>
          <w:sz w:val="22"/>
          <w:szCs w:val="22"/>
          <w:lang w:val="pl-PL"/>
        </w:rPr>
        <w:t>MicardisPlus i co zawiera opakowanie</w:t>
      </w:r>
    </w:p>
    <w:p w:rsidR="0065487C" w:rsidRPr="009353E6" w:rsidRDefault="0065487C"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MicardisPlus 80 mg/12,5 mg tabletki to </w:t>
      </w:r>
      <w:r w:rsidR="00DB03B7" w:rsidRPr="009353E6">
        <w:rPr>
          <w:sz w:val="22"/>
          <w:szCs w:val="22"/>
          <w:lang w:val="pl-PL"/>
        </w:rPr>
        <w:t>czerwono-</w:t>
      </w:r>
      <w:r w:rsidRPr="009353E6">
        <w:rPr>
          <w:sz w:val="22"/>
          <w:szCs w:val="22"/>
          <w:lang w:val="pl-PL"/>
        </w:rPr>
        <w:t>białe</w:t>
      </w:r>
      <w:r w:rsidR="00D26BEB" w:rsidRPr="009353E6">
        <w:rPr>
          <w:sz w:val="22"/>
          <w:szCs w:val="22"/>
          <w:lang w:val="pl-PL"/>
        </w:rPr>
        <w:t xml:space="preserve">, </w:t>
      </w:r>
      <w:r w:rsidR="00685A4E" w:rsidRPr="009353E6">
        <w:rPr>
          <w:sz w:val="22"/>
          <w:szCs w:val="22"/>
          <w:lang w:val="pl-PL"/>
        </w:rPr>
        <w:t>podłużne</w:t>
      </w:r>
      <w:r w:rsidR="00D26BEB" w:rsidRPr="009353E6">
        <w:rPr>
          <w:sz w:val="22"/>
          <w:szCs w:val="22"/>
          <w:lang w:val="pl-PL"/>
        </w:rPr>
        <w:t xml:space="preserve"> tabletki </w:t>
      </w:r>
      <w:r w:rsidRPr="009353E6">
        <w:rPr>
          <w:sz w:val="22"/>
          <w:szCs w:val="22"/>
          <w:lang w:val="pl-PL"/>
        </w:rPr>
        <w:t xml:space="preserve"> dwuwarstwowe</w:t>
      </w:r>
      <w:r w:rsidR="00D26BEB" w:rsidRPr="009353E6">
        <w:rPr>
          <w:sz w:val="22"/>
          <w:szCs w:val="22"/>
          <w:lang w:val="pl-PL"/>
        </w:rPr>
        <w:t xml:space="preserve">, </w:t>
      </w:r>
      <w:r w:rsidRPr="009353E6">
        <w:rPr>
          <w:sz w:val="22"/>
          <w:szCs w:val="22"/>
          <w:lang w:val="pl-PL"/>
        </w:rPr>
        <w:t>z wy</w:t>
      </w:r>
      <w:r w:rsidR="00D26BEB" w:rsidRPr="009353E6">
        <w:rPr>
          <w:sz w:val="22"/>
          <w:szCs w:val="22"/>
          <w:lang w:val="pl-PL"/>
        </w:rPr>
        <w:t>tłoczonym</w:t>
      </w:r>
      <w:r w:rsidRPr="009353E6">
        <w:rPr>
          <w:sz w:val="22"/>
          <w:szCs w:val="22"/>
          <w:lang w:val="pl-PL"/>
        </w:rPr>
        <w:t xml:space="preserve"> logo i kodem </w:t>
      </w:r>
      <w:r w:rsidR="00D26BEB" w:rsidRPr="009353E6">
        <w:rPr>
          <w:sz w:val="22"/>
          <w:szCs w:val="22"/>
          <w:lang w:val="pl-PL"/>
        </w:rPr>
        <w:t>„</w:t>
      </w:r>
      <w:r w:rsidRPr="009353E6">
        <w:rPr>
          <w:sz w:val="22"/>
          <w:szCs w:val="22"/>
          <w:lang w:val="pl-PL"/>
        </w:rPr>
        <w:t>H8</w:t>
      </w:r>
      <w:r w:rsidR="00D26BEB" w:rsidRPr="009353E6">
        <w:rPr>
          <w:sz w:val="22"/>
          <w:szCs w:val="22"/>
          <w:lang w:val="pl-PL"/>
        </w:rPr>
        <w:t>”</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r w:rsidRPr="009353E6">
        <w:rPr>
          <w:sz w:val="22"/>
          <w:szCs w:val="22"/>
          <w:lang w:val="pl-PL"/>
        </w:rPr>
        <w:t>Lek MicardisPlus jest dostępny w blistrach zawierających 14, 28, 56, 84</w:t>
      </w:r>
      <w:r w:rsidR="001C1D53" w:rsidRPr="009353E6">
        <w:rPr>
          <w:sz w:val="22"/>
          <w:szCs w:val="22"/>
          <w:lang w:val="pl-PL"/>
        </w:rPr>
        <w:t xml:space="preserve"> </w:t>
      </w:r>
      <w:r w:rsidRPr="009353E6">
        <w:rPr>
          <w:sz w:val="22"/>
          <w:szCs w:val="22"/>
          <w:lang w:val="pl-PL"/>
        </w:rPr>
        <w:t xml:space="preserve">lub 98 tabletek, lub w </w:t>
      </w:r>
      <w:r w:rsidR="000D5AB0" w:rsidRPr="009353E6">
        <w:rPr>
          <w:sz w:val="22"/>
          <w:szCs w:val="22"/>
          <w:lang w:val="pl-PL"/>
        </w:rPr>
        <w:t>b</w:t>
      </w:r>
      <w:r w:rsidR="00F512E0" w:rsidRPr="009353E6">
        <w:rPr>
          <w:sz w:val="22"/>
          <w:szCs w:val="22"/>
          <w:lang w:val="pl-PL"/>
        </w:rPr>
        <w:t>l</w:t>
      </w:r>
      <w:r w:rsidR="000D5AB0" w:rsidRPr="009353E6">
        <w:rPr>
          <w:sz w:val="22"/>
          <w:szCs w:val="22"/>
          <w:lang w:val="pl-PL"/>
        </w:rPr>
        <w:t xml:space="preserve">istrach podzielonych na dawki </w:t>
      </w:r>
      <w:r w:rsidRPr="009353E6">
        <w:rPr>
          <w:sz w:val="22"/>
          <w:szCs w:val="22"/>
          <w:lang w:val="pl-PL"/>
        </w:rPr>
        <w:t>pojedyncz</w:t>
      </w:r>
      <w:r w:rsidR="000D5AB0" w:rsidRPr="009353E6">
        <w:rPr>
          <w:sz w:val="22"/>
          <w:szCs w:val="22"/>
          <w:lang w:val="pl-PL"/>
        </w:rPr>
        <w:t>e</w:t>
      </w:r>
      <w:r w:rsidRPr="009353E6">
        <w:rPr>
          <w:sz w:val="22"/>
          <w:szCs w:val="22"/>
          <w:lang w:val="pl-PL"/>
        </w:rPr>
        <w:t xml:space="preserve"> zawierających 28 x 1</w:t>
      </w:r>
      <w:r w:rsidR="001C1D53" w:rsidRPr="009353E6">
        <w:rPr>
          <w:sz w:val="22"/>
          <w:szCs w:val="22"/>
          <w:lang w:val="pl-PL"/>
        </w:rPr>
        <w:t>, 30 x 1 lub 90</w:t>
      </w:r>
      <w:r w:rsidR="00ED0100" w:rsidRPr="009353E6">
        <w:rPr>
          <w:sz w:val="22"/>
          <w:szCs w:val="22"/>
          <w:lang w:val="pl-PL"/>
        </w:rPr>
        <w:t xml:space="preserve"> </w:t>
      </w:r>
      <w:r w:rsidR="001C1D53" w:rsidRPr="009353E6">
        <w:rPr>
          <w:sz w:val="22"/>
          <w:szCs w:val="22"/>
          <w:lang w:val="pl-PL"/>
        </w:rPr>
        <w:t>x 1</w:t>
      </w:r>
      <w:r w:rsidRPr="009353E6">
        <w:rPr>
          <w:sz w:val="22"/>
          <w:szCs w:val="22"/>
          <w:lang w:val="pl-PL"/>
        </w:rPr>
        <w:t xml:space="preserve"> tabletk</w:t>
      </w:r>
      <w:r w:rsidR="002822E0" w:rsidRPr="009353E6">
        <w:rPr>
          <w:sz w:val="22"/>
          <w:szCs w:val="22"/>
          <w:lang w:val="pl-PL"/>
        </w:rPr>
        <w:t>a</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Nie wszystkie wielkości opakowań mogą być dostępne w sprzedaży.</w:t>
      </w:r>
    </w:p>
    <w:p w:rsidR="000A739F" w:rsidRPr="009353E6" w:rsidRDefault="000A739F" w:rsidP="00F831F6">
      <w:pPr>
        <w:pStyle w:val="BodyText"/>
        <w:spacing w:line="240" w:lineRule="auto"/>
        <w:jc w:val="left"/>
        <w:rPr>
          <w:sz w:val="22"/>
          <w:szCs w:val="22"/>
          <w:lang w:val="pl-PL"/>
        </w:rPr>
      </w:pPr>
    </w:p>
    <w:tbl>
      <w:tblPr>
        <w:tblW w:w="0" w:type="auto"/>
        <w:tblLook w:val="01E0" w:firstRow="1" w:lastRow="1" w:firstColumn="1" w:lastColumn="1" w:noHBand="0" w:noVBand="0"/>
      </w:tblPr>
      <w:tblGrid>
        <w:gridCol w:w="4606"/>
        <w:gridCol w:w="4606"/>
      </w:tblGrid>
      <w:tr w:rsidR="000A739F" w:rsidRPr="009353E6" w:rsidTr="005A1483">
        <w:tc>
          <w:tcPr>
            <w:tcW w:w="4606" w:type="dxa"/>
          </w:tcPr>
          <w:p w:rsidR="000A739F" w:rsidRPr="009353E6" w:rsidRDefault="000A739F" w:rsidP="002D507E">
            <w:pPr>
              <w:pStyle w:val="BodyText"/>
              <w:spacing w:line="240" w:lineRule="auto"/>
              <w:jc w:val="left"/>
              <w:rPr>
                <w:b/>
                <w:sz w:val="22"/>
                <w:szCs w:val="22"/>
                <w:lang w:val="pl-PL"/>
              </w:rPr>
            </w:pPr>
            <w:r w:rsidRPr="009353E6">
              <w:rPr>
                <w:b/>
                <w:sz w:val="22"/>
                <w:szCs w:val="22"/>
                <w:lang w:val="pl-PL"/>
              </w:rPr>
              <w:t>Podmiot odpowiedzialny</w:t>
            </w:r>
          </w:p>
        </w:tc>
        <w:tc>
          <w:tcPr>
            <w:tcW w:w="4606" w:type="dxa"/>
          </w:tcPr>
          <w:p w:rsidR="000A739F" w:rsidRPr="009353E6" w:rsidRDefault="000A739F" w:rsidP="002D507E">
            <w:pPr>
              <w:pStyle w:val="BodyText"/>
              <w:spacing w:line="240" w:lineRule="auto"/>
              <w:jc w:val="left"/>
              <w:rPr>
                <w:b/>
                <w:sz w:val="22"/>
                <w:szCs w:val="22"/>
                <w:lang w:val="pl-PL"/>
              </w:rPr>
            </w:pPr>
            <w:r w:rsidRPr="009353E6">
              <w:rPr>
                <w:b/>
                <w:sz w:val="22"/>
                <w:szCs w:val="22"/>
                <w:lang w:val="pl-PL"/>
              </w:rPr>
              <w:t>Wytwórca</w:t>
            </w:r>
          </w:p>
          <w:p w:rsidR="000A739F" w:rsidRPr="009353E6" w:rsidRDefault="000A739F" w:rsidP="002D507E">
            <w:pPr>
              <w:pStyle w:val="BodyText"/>
              <w:spacing w:line="240" w:lineRule="auto"/>
              <w:jc w:val="left"/>
              <w:rPr>
                <w:b/>
                <w:sz w:val="22"/>
                <w:szCs w:val="22"/>
                <w:lang w:val="pl-PL"/>
              </w:rPr>
            </w:pPr>
          </w:p>
        </w:tc>
      </w:tr>
      <w:tr w:rsidR="000A739F" w:rsidRPr="009353E6" w:rsidTr="005A1483">
        <w:tc>
          <w:tcPr>
            <w:tcW w:w="4606" w:type="dxa"/>
          </w:tcPr>
          <w:p w:rsidR="000A739F" w:rsidRPr="009353E6" w:rsidRDefault="000A739F" w:rsidP="002D507E">
            <w:pPr>
              <w:pStyle w:val="BodyText"/>
              <w:spacing w:line="240" w:lineRule="auto"/>
              <w:jc w:val="left"/>
              <w:rPr>
                <w:sz w:val="22"/>
                <w:szCs w:val="22"/>
                <w:lang w:val="pl-PL"/>
              </w:rPr>
            </w:pPr>
            <w:r w:rsidRPr="009353E6">
              <w:rPr>
                <w:sz w:val="22"/>
                <w:szCs w:val="22"/>
                <w:lang w:val="pl-PL"/>
              </w:rPr>
              <w:t>Boehringer Ingelheim International GmbH</w:t>
            </w:r>
          </w:p>
          <w:p w:rsidR="000A739F" w:rsidRPr="009353E6" w:rsidRDefault="000A739F" w:rsidP="002D507E">
            <w:pPr>
              <w:pStyle w:val="BodyText"/>
              <w:spacing w:line="240" w:lineRule="auto"/>
              <w:jc w:val="left"/>
              <w:rPr>
                <w:sz w:val="22"/>
                <w:szCs w:val="22"/>
                <w:lang w:val="pl-PL"/>
              </w:rPr>
            </w:pPr>
            <w:r w:rsidRPr="009353E6">
              <w:rPr>
                <w:sz w:val="22"/>
                <w:szCs w:val="22"/>
                <w:lang w:val="pl-PL"/>
              </w:rPr>
              <w:t>Binger Str. 173</w:t>
            </w:r>
          </w:p>
          <w:p w:rsidR="000A739F" w:rsidRPr="009353E6" w:rsidRDefault="000A739F" w:rsidP="002D507E">
            <w:pPr>
              <w:pStyle w:val="BodyText"/>
              <w:spacing w:line="240" w:lineRule="auto"/>
              <w:jc w:val="left"/>
              <w:rPr>
                <w:sz w:val="22"/>
                <w:szCs w:val="22"/>
                <w:lang w:val="pl-PL"/>
              </w:rPr>
            </w:pPr>
            <w:r w:rsidRPr="009353E6">
              <w:rPr>
                <w:sz w:val="22"/>
                <w:szCs w:val="22"/>
                <w:lang w:val="pl-PL"/>
              </w:rPr>
              <w:t>D-55216 Ingelheim am Rhein</w:t>
            </w:r>
          </w:p>
          <w:p w:rsidR="000A739F" w:rsidRPr="009353E6" w:rsidRDefault="000A739F" w:rsidP="002D507E">
            <w:pPr>
              <w:pStyle w:val="BodyText"/>
              <w:spacing w:line="240" w:lineRule="auto"/>
              <w:jc w:val="left"/>
              <w:rPr>
                <w:sz w:val="22"/>
                <w:szCs w:val="22"/>
                <w:lang w:val="pl-PL"/>
              </w:rPr>
            </w:pPr>
            <w:r w:rsidRPr="009353E6">
              <w:rPr>
                <w:sz w:val="22"/>
                <w:szCs w:val="22"/>
                <w:lang w:val="pl-PL"/>
              </w:rPr>
              <w:t>Niemcy</w:t>
            </w:r>
          </w:p>
          <w:p w:rsidR="000A739F" w:rsidRPr="009353E6" w:rsidRDefault="000A739F" w:rsidP="002D507E">
            <w:pPr>
              <w:pStyle w:val="BodyText"/>
              <w:spacing w:line="240" w:lineRule="auto"/>
              <w:jc w:val="left"/>
              <w:rPr>
                <w:sz w:val="22"/>
                <w:szCs w:val="22"/>
                <w:lang w:val="pl-PL"/>
              </w:rPr>
            </w:pPr>
          </w:p>
        </w:tc>
        <w:tc>
          <w:tcPr>
            <w:tcW w:w="4606" w:type="dxa"/>
          </w:tcPr>
          <w:p w:rsidR="000A739F" w:rsidRPr="009353E6" w:rsidRDefault="000A739F" w:rsidP="002D507E">
            <w:pPr>
              <w:pStyle w:val="BodyText"/>
              <w:spacing w:line="240" w:lineRule="auto"/>
              <w:jc w:val="left"/>
              <w:rPr>
                <w:sz w:val="22"/>
                <w:szCs w:val="22"/>
                <w:lang w:val="pl-PL"/>
              </w:rPr>
            </w:pPr>
            <w:r w:rsidRPr="009353E6">
              <w:rPr>
                <w:sz w:val="22"/>
                <w:szCs w:val="22"/>
                <w:lang w:val="pl-PL"/>
              </w:rPr>
              <w:t>Boehringer Ingelheim Pharma GmbH &amp; Co. KG</w:t>
            </w:r>
          </w:p>
          <w:p w:rsidR="000A739F" w:rsidRPr="009353E6" w:rsidRDefault="000A739F" w:rsidP="002D507E">
            <w:pPr>
              <w:pStyle w:val="BodyText"/>
              <w:spacing w:line="240" w:lineRule="auto"/>
              <w:jc w:val="left"/>
              <w:rPr>
                <w:sz w:val="22"/>
                <w:szCs w:val="22"/>
                <w:lang w:val="pl-PL"/>
              </w:rPr>
            </w:pPr>
            <w:r w:rsidRPr="009353E6">
              <w:rPr>
                <w:sz w:val="22"/>
                <w:szCs w:val="22"/>
                <w:lang w:val="pl-PL"/>
              </w:rPr>
              <w:t>Binger Str. 173</w:t>
            </w:r>
          </w:p>
          <w:p w:rsidR="000A739F" w:rsidRPr="009353E6" w:rsidRDefault="000A739F" w:rsidP="002D507E">
            <w:pPr>
              <w:pStyle w:val="BodyText"/>
              <w:spacing w:line="240" w:lineRule="auto"/>
              <w:jc w:val="left"/>
              <w:rPr>
                <w:sz w:val="22"/>
                <w:szCs w:val="22"/>
                <w:lang w:val="pl-PL"/>
              </w:rPr>
            </w:pPr>
            <w:r w:rsidRPr="009353E6">
              <w:rPr>
                <w:sz w:val="22"/>
                <w:szCs w:val="22"/>
                <w:lang w:val="pl-PL"/>
              </w:rPr>
              <w:t>D –55216 Ingelheim am Rhein</w:t>
            </w:r>
          </w:p>
          <w:p w:rsidR="000A739F" w:rsidRPr="009353E6" w:rsidRDefault="000A739F" w:rsidP="002D507E">
            <w:pPr>
              <w:pStyle w:val="BodyText"/>
              <w:spacing w:line="240" w:lineRule="auto"/>
              <w:jc w:val="left"/>
              <w:rPr>
                <w:sz w:val="22"/>
                <w:szCs w:val="22"/>
                <w:lang w:val="pl-PL"/>
              </w:rPr>
            </w:pPr>
            <w:r w:rsidRPr="009353E6">
              <w:rPr>
                <w:sz w:val="22"/>
                <w:szCs w:val="22"/>
                <w:lang w:val="pl-PL"/>
              </w:rPr>
              <w:t>Niemcy</w:t>
            </w:r>
          </w:p>
          <w:p w:rsidR="000A739F" w:rsidRPr="009353E6" w:rsidRDefault="000A739F" w:rsidP="002D507E">
            <w:pPr>
              <w:pStyle w:val="BodyText"/>
              <w:spacing w:line="240" w:lineRule="auto"/>
              <w:jc w:val="left"/>
              <w:rPr>
                <w:sz w:val="22"/>
                <w:szCs w:val="22"/>
                <w:lang w:val="pl-PL"/>
              </w:rPr>
            </w:pPr>
          </w:p>
          <w:p w:rsidR="00752E10" w:rsidRPr="009353E6" w:rsidRDefault="00752E10" w:rsidP="00752E10">
            <w:pPr>
              <w:pStyle w:val="BodyText"/>
              <w:spacing w:line="240" w:lineRule="auto"/>
              <w:jc w:val="left"/>
              <w:rPr>
                <w:sz w:val="22"/>
                <w:szCs w:val="22"/>
                <w:lang w:val="pl-PL"/>
              </w:rPr>
            </w:pPr>
            <w:r w:rsidRPr="009353E6">
              <w:rPr>
                <w:sz w:val="22"/>
                <w:szCs w:val="22"/>
                <w:lang w:val="pl-PL"/>
              </w:rPr>
              <w:t>i</w:t>
            </w:r>
          </w:p>
          <w:p w:rsidR="00752E10" w:rsidRPr="009353E6" w:rsidRDefault="00752E10" w:rsidP="00752E10">
            <w:pPr>
              <w:pStyle w:val="BodyText"/>
              <w:spacing w:line="240" w:lineRule="auto"/>
              <w:jc w:val="left"/>
              <w:rPr>
                <w:sz w:val="22"/>
                <w:szCs w:val="22"/>
                <w:lang w:val="pl-PL"/>
              </w:rPr>
            </w:pPr>
          </w:p>
          <w:p w:rsidR="00752E10" w:rsidRPr="009353E6" w:rsidRDefault="00752E10" w:rsidP="00752E10">
            <w:pPr>
              <w:pStyle w:val="Default"/>
              <w:rPr>
                <w:color w:val="auto"/>
                <w:sz w:val="22"/>
                <w:szCs w:val="22"/>
                <w:lang w:val="pl-PL"/>
              </w:rPr>
            </w:pPr>
            <w:r w:rsidRPr="009353E6">
              <w:rPr>
                <w:color w:val="auto"/>
                <w:sz w:val="22"/>
                <w:szCs w:val="22"/>
                <w:lang w:val="pl-PL"/>
              </w:rPr>
              <w:t xml:space="preserve">Boehringer Ingelheim Ellas A.E. </w:t>
            </w:r>
          </w:p>
          <w:p w:rsidR="00752E10" w:rsidRPr="009353E6" w:rsidRDefault="00752E10" w:rsidP="00752E10">
            <w:pPr>
              <w:pStyle w:val="Default"/>
              <w:rPr>
                <w:color w:val="auto"/>
                <w:sz w:val="22"/>
                <w:szCs w:val="22"/>
                <w:lang w:val="pl-PL"/>
              </w:rPr>
            </w:pPr>
            <w:r w:rsidRPr="009353E6">
              <w:rPr>
                <w:color w:val="auto"/>
                <w:sz w:val="22"/>
                <w:szCs w:val="22"/>
                <w:lang w:val="pl-PL"/>
              </w:rPr>
              <w:t xml:space="preserve">5th km Paiania – Markopoulo </w:t>
            </w:r>
          </w:p>
          <w:p w:rsidR="00752E10" w:rsidRPr="009353E6" w:rsidRDefault="00752E10" w:rsidP="00752E10">
            <w:pPr>
              <w:pStyle w:val="Default"/>
              <w:rPr>
                <w:color w:val="auto"/>
                <w:sz w:val="22"/>
                <w:szCs w:val="22"/>
                <w:lang w:val="pl-PL"/>
              </w:rPr>
            </w:pPr>
            <w:r w:rsidRPr="009353E6">
              <w:rPr>
                <w:color w:val="auto"/>
                <w:sz w:val="22"/>
                <w:szCs w:val="22"/>
                <w:lang w:val="pl-PL"/>
              </w:rPr>
              <w:t>Koropi Attiki, 194 00</w:t>
            </w:r>
          </w:p>
          <w:p w:rsidR="00752E10" w:rsidRPr="009353E6" w:rsidRDefault="00752E10" w:rsidP="00752E10">
            <w:pPr>
              <w:pStyle w:val="BodyText"/>
              <w:spacing w:line="240" w:lineRule="auto"/>
              <w:jc w:val="left"/>
              <w:rPr>
                <w:sz w:val="22"/>
                <w:szCs w:val="22"/>
                <w:lang w:val="pl-PL"/>
              </w:rPr>
            </w:pPr>
            <w:r w:rsidRPr="009353E6">
              <w:rPr>
                <w:sz w:val="22"/>
                <w:szCs w:val="22"/>
                <w:lang w:val="pl-PL"/>
              </w:rPr>
              <w:t>Grecja</w:t>
            </w:r>
          </w:p>
          <w:p w:rsidR="00891071" w:rsidRPr="009353E6" w:rsidRDefault="00891071" w:rsidP="00891071">
            <w:pPr>
              <w:pStyle w:val="BodyText"/>
              <w:spacing w:line="240" w:lineRule="auto"/>
              <w:jc w:val="left"/>
              <w:rPr>
                <w:sz w:val="22"/>
                <w:szCs w:val="22"/>
                <w:lang w:val="pl-PL"/>
              </w:rPr>
            </w:pPr>
          </w:p>
          <w:p w:rsidR="00891071" w:rsidRPr="009353E6" w:rsidRDefault="00891071" w:rsidP="00891071">
            <w:pPr>
              <w:pStyle w:val="BodyText"/>
              <w:spacing w:line="240" w:lineRule="auto"/>
              <w:jc w:val="left"/>
              <w:rPr>
                <w:sz w:val="22"/>
                <w:szCs w:val="22"/>
                <w:lang w:val="pl-PL"/>
              </w:rPr>
            </w:pPr>
            <w:r w:rsidRPr="009353E6">
              <w:rPr>
                <w:sz w:val="22"/>
                <w:szCs w:val="22"/>
                <w:lang w:val="pl-PL"/>
              </w:rPr>
              <w:t>i</w:t>
            </w:r>
          </w:p>
          <w:p w:rsidR="00891071" w:rsidRPr="009353E6" w:rsidRDefault="00891071" w:rsidP="00891071">
            <w:pPr>
              <w:pStyle w:val="BodyText"/>
              <w:spacing w:line="240" w:lineRule="auto"/>
              <w:rPr>
                <w:sz w:val="22"/>
                <w:szCs w:val="22"/>
                <w:lang w:val="pl-PL"/>
              </w:rPr>
            </w:pPr>
          </w:p>
          <w:p w:rsidR="00891071" w:rsidRPr="009353E6" w:rsidRDefault="00891071" w:rsidP="00891071">
            <w:pPr>
              <w:pStyle w:val="BodyText"/>
              <w:spacing w:line="240" w:lineRule="auto"/>
              <w:rPr>
                <w:sz w:val="22"/>
                <w:szCs w:val="22"/>
                <w:lang w:val="pl-PL"/>
              </w:rPr>
            </w:pPr>
            <w:r w:rsidRPr="009353E6">
              <w:rPr>
                <w:sz w:val="22"/>
                <w:szCs w:val="22"/>
                <w:lang w:val="pl-PL"/>
              </w:rPr>
              <w:t>Rottendorf Pharma GmbH</w:t>
            </w:r>
          </w:p>
          <w:p w:rsidR="00891071" w:rsidRPr="009353E6" w:rsidRDefault="00891071" w:rsidP="00891071">
            <w:pPr>
              <w:pStyle w:val="BodyText"/>
              <w:spacing w:line="240" w:lineRule="auto"/>
              <w:rPr>
                <w:sz w:val="22"/>
                <w:szCs w:val="22"/>
                <w:lang w:val="pl-PL"/>
              </w:rPr>
            </w:pPr>
            <w:r w:rsidRPr="009353E6">
              <w:rPr>
                <w:sz w:val="22"/>
                <w:szCs w:val="22"/>
                <w:lang w:val="pl-PL"/>
              </w:rPr>
              <w:t>Ostenfelder Straße 51 - 61</w:t>
            </w:r>
          </w:p>
          <w:p w:rsidR="00891071" w:rsidRPr="009353E6" w:rsidRDefault="00891071" w:rsidP="00891071">
            <w:pPr>
              <w:pStyle w:val="BodyText"/>
              <w:spacing w:line="240" w:lineRule="auto"/>
              <w:rPr>
                <w:sz w:val="22"/>
                <w:szCs w:val="22"/>
                <w:lang w:val="pl-PL"/>
              </w:rPr>
            </w:pPr>
            <w:r w:rsidRPr="009353E6">
              <w:rPr>
                <w:sz w:val="22"/>
                <w:szCs w:val="22"/>
                <w:lang w:val="pl-PL"/>
              </w:rPr>
              <w:t>D-59320 Ennigerloh</w:t>
            </w:r>
          </w:p>
          <w:p w:rsidR="00752E10" w:rsidRPr="009353E6" w:rsidRDefault="00891071" w:rsidP="00891071">
            <w:pPr>
              <w:pStyle w:val="BodyText"/>
              <w:spacing w:line="240" w:lineRule="auto"/>
              <w:jc w:val="left"/>
              <w:rPr>
                <w:sz w:val="22"/>
                <w:szCs w:val="22"/>
                <w:lang w:val="pl-PL"/>
              </w:rPr>
            </w:pPr>
            <w:r w:rsidRPr="009353E6">
              <w:rPr>
                <w:sz w:val="22"/>
                <w:szCs w:val="22"/>
                <w:lang w:val="pl-PL"/>
              </w:rPr>
              <w:t>Niemcy</w:t>
            </w:r>
          </w:p>
        </w:tc>
      </w:tr>
    </w:tbl>
    <w:p w:rsidR="00D2018C" w:rsidRPr="009353E6" w:rsidRDefault="00D2018C" w:rsidP="00F831F6">
      <w:pPr>
        <w:pStyle w:val="BodyText"/>
        <w:spacing w:line="240" w:lineRule="auto"/>
        <w:jc w:val="left"/>
        <w:rPr>
          <w:sz w:val="22"/>
          <w:szCs w:val="22"/>
          <w:lang w:val="pl-PL"/>
        </w:rPr>
      </w:pPr>
    </w:p>
    <w:p w:rsidR="00A834E9" w:rsidRPr="009353E6" w:rsidRDefault="00D2018C" w:rsidP="00F831F6">
      <w:pPr>
        <w:pStyle w:val="BodyText"/>
        <w:spacing w:line="240" w:lineRule="auto"/>
        <w:jc w:val="left"/>
        <w:rPr>
          <w:sz w:val="22"/>
          <w:szCs w:val="22"/>
          <w:lang w:val="pl-PL"/>
        </w:rPr>
      </w:pPr>
      <w:r w:rsidRPr="009353E6">
        <w:rPr>
          <w:sz w:val="22"/>
          <w:szCs w:val="22"/>
          <w:lang w:val="pl-PL"/>
        </w:rPr>
        <w:br w:type="page"/>
      </w:r>
    </w:p>
    <w:p w:rsidR="002D3E1A" w:rsidRPr="009353E6" w:rsidRDefault="002D3E1A" w:rsidP="00F831F6">
      <w:pPr>
        <w:pStyle w:val="BodyText"/>
        <w:spacing w:line="240" w:lineRule="auto"/>
        <w:jc w:val="left"/>
        <w:rPr>
          <w:sz w:val="22"/>
          <w:szCs w:val="22"/>
          <w:lang w:val="pl-PL"/>
        </w:rPr>
      </w:pPr>
      <w:r w:rsidRPr="009353E6">
        <w:rPr>
          <w:sz w:val="22"/>
          <w:szCs w:val="22"/>
          <w:lang w:val="pl-PL"/>
        </w:rPr>
        <w:t xml:space="preserve">W celu uzyskania bardziej szczegółowych informacji należy zwrócić się do </w:t>
      </w:r>
      <w:r w:rsidR="00E7723E" w:rsidRPr="009353E6">
        <w:rPr>
          <w:sz w:val="22"/>
          <w:szCs w:val="22"/>
          <w:lang w:val="pl-PL"/>
        </w:rPr>
        <w:t xml:space="preserve">miejscowego </w:t>
      </w:r>
      <w:r w:rsidRPr="009353E6">
        <w:rPr>
          <w:sz w:val="22"/>
          <w:szCs w:val="22"/>
          <w:lang w:val="pl-PL"/>
        </w:rPr>
        <w:t>przedstawiciela podmiotu odpowiedzialneg</w:t>
      </w:r>
      <w:r w:rsidR="004136A6" w:rsidRPr="009353E6">
        <w:rPr>
          <w:sz w:val="22"/>
          <w:szCs w:val="22"/>
          <w:lang w:val="pl-PL"/>
        </w:rPr>
        <w:t>o:</w:t>
      </w:r>
    </w:p>
    <w:p w:rsidR="005D27AA" w:rsidRPr="009353E6" w:rsidRDefault="005D27AA" w:rsidP="00F831F6">
      <w:pPr>
        <w:pStyle w:val="BodyText"/>
        <w:spacing w:line="240" w:lineRule="auto"/>
        <w:jc w:val="left"/>
        <w:rPr>
          <w:sz w:val="22"/>
          <w:szCs w:val="22"/>
          <w:lang w:val="pl-PL"/>
        </w:rPr>
      </w:pPr>
    </w:p>
    <w:tbl>
      <w:tblPr>
        <w:tblW w:w="9408" w:type="dxa"/>
        <w:tblInd w:w="-86" w:type="dxa"/>
        <w:tblLayout w:type="fixed"/>
        <w:tblLook w:val="0000" w:firstRow="0" w:lastRow="0" w:firstColumn="0" w:lastColumn="0" w:noHBand="0" w:noVBand="0"/>
      </w:tblPr>
      <w:tblGrid>
        <w:gridCol w:w="52"/>
        <w:gridCol w:w="4626"/>
        <w:gridCol w:w="52"/>
        <w:gridCol w:w="4626"/>
        <w:gridCol w:w="52"/>
      </w:tblGrid>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België/Belgique/Belgien</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SCS Boehringer Ingelheim Comm.V.</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Tél/Tel: +32 2 773 33 11</w:t>
            </w:r>
          </w:p>
        </w:tc>
        <w:tc>
          <w:tcPr>
            <w:tcW w:w="4678" w:type="dxa"/>
            <w:gridSpan w:val="2"/>
          </w:tcPr>
          <w:p w:rsidR="00314B38" w:rsidRPr="009353E6" w:rsidRDefault="00314B38" w:rsidP="00314B38">
            <w:pPr>
              <w:rPr>
                <w:sz w:val="22"/>
                <w:szCs w:val="22"/>
                <w:lang w:val="pl-PL"/>
              </w:rPr>
            </w:pPr>
            <w:r w:rsidRPr="009353E6">
              <w:rPr>
                <w:b/>
                <w:bCs/>
                <w:sz w:val="22"/>
                <w:szCs w:val="22"/>
                <w:lang w:val="pl-PL"/>
              </w:rPr>
              <w:t>Lietuva</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Lietuvos filialas</w:t>
            </w:r>
          </w:p>
          <w:p w:rsidR="00314B38" w:rsidRPr="009353E6" w:rsidRDefault="00314B38" w:rsidP="00314B38">
            <w:pPr>
              <w:rPr>
                <w:sz w:val="22"/>
                <w:szCs w:val="22"/>
                <w:lang w:val="pl-PL"/>
              </w:rPr>
            </w:pPr>
            <w:r w:rsidRPr="009353E6">
              <w:rPr>
                <w:sz w:val="22"/>
                <w:szCs w:val="22"/>
                <w:lang w:val="pl-PL" w:eastAsia="ja-JP"/>
              </w:rPr>
              <w:t>Tel.: +370 37 473922</w:t>
            </w:r>
          </w:p>
          <w:p w:rsidR="008841B5" w:rsidRPr="009353E6" w:rsidRDefault="008841B5"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9A6C23" w:rsidRPr="009353E6" w:rsidRDefault="009A6C23" w:rsidP="009A6C23">
            <w:pPr>
              <w:autoSpaceDE w:val="0"/>
              <w:autoSpaceDN w:val="0"/>
              <w:adjustRightInd w:val="0"/>
              <w:rPr>
                <w:b/>
                <w:bCs/>
                <w:sz w:val="22"/>
                <w:szCs w:val="22"/>
                <w:lang w:val="pl-PL"/>
              </w:rPr>
            </w:pPr>
            <w:r w:rsidRPr="009353E6">
              <w:rPr>
                <w:b/>
                <w:bCs/>
                <w:sz w:val="22"/>
                <w:szCs w:val="22"/>
                <w:lang w:val="pl-PL"/>
              </w:rPr>
              <w:t>България</w:t>
            </w:r>
          </w:p>
          <w:p w:rsidR="009A6C23" w:rsidRPr="009353E6" w:rsidRDefault="009A6C23" w:rsidP="009A6C23">
            <w:pPr>
              <w:rPr>
                <w:sz w:val="22"/>
                <w:szCs w:val="22"/>
                <w:lang w:val="pl-PL"/>
              </w:rPr>
            </w:pPr>
            <w:r w:rsidRPr="009353E6">
              <w:rPr>
                <w:rFonts w:eastAsia="MS Mincho"/>
                <w:sz w:val="22"/>
                <w:szCs w:val="22"/>
                <w:lang w:val="pl-PL" w:eastAsia="ja-JP"/>
              </w:rPr>
              <w:t>Бьорингер Ингелхайм РЦВ ГмбХ и Ко. КГ - клон България</w:t>
            </w:r>
          </w:p>
          <w:p w:rsidR="009A6C23" w:rsidRPr="009353E6" w:rsidRDefault="009A6C23" w:rsidP="009A6C23">
            <w:pPr>
              <w:autoSpaceDE w:val="0"/>
              <w:autoSpaceDN w:val="0"/>
              <w:adjustRightInd w:val="0"/>
              <w:rPr>
                <w:sz w:val="22"/>
                <w:szCs w:val="22"/>
                <w:lang w:val="pl-PL"/>
              </w:rPr>
            </w:pPr>
            <w:r w:rsidRPr="009353E6">
              <w:rPr>
                <w:rFonts w:eastAsia="MS Mincho"/>
                <w:sz w:val="22"/>
                <w:szCs w:val="22"/>
                <w:lang w:val="pl-PL" w:eastAsia="ja-JP"/>
              </w:rPr>
              <w:t>Тел: +359 2 958 79 98</w:t>
            </w:r>
          </w:p>
          <w:p w:rsidR="008841B5" w:rsidRPr="009353E6" w:rsidRDefault="008841B5" w:rsidP="00F831F6">
            <w:pPr>
              <w:pStyle w:val="BodyText"/>
              <w:spacing w:line="240" w:lineRule="auto"/>
              <w:jc w:val="left"/>
              <w:rPr>
                <w:bCs/>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Luxembourg/Luxemburg</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SCS Boehringer Ingelheim Comm.V.</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Tél/Tel: +32 2 773 33 11</w:t>
            </w:r>
          </w:p>
          <w:p w:rsidR="008841B5" w:rsidRPr="009353E6" w:rsidRDefault="008841B5" w:rsidP="00F831F6">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Česká republika</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Boehringer Ingelheim spol. s r.o.</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Tel: +420 234 655 111</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Magyarország</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 xml:space="preserve">Boehringer Ingelheim RCV GmbH &amp; Co KG </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Magyarországi Fióktelepe</w:t>
            </w:r>
          </w:p>
          <w:p w:rsidR="008841B5" w:rsidRPr="009353E6" w:rsidRDefault="00314B38" w:rsidP="00314B38">
            <w:pPr>
              <w:pStyle w:val="BodyText"/>
              <w:spacing w:line="240" w:lineRule="auto"/>
              <w:jc w:val="left"/>
              <w:rPr>
                <w:bCs/>
                <w:sz w:val="22"/>
                <w:szCs w:val="22"/>
                <w:lang w:val="pl-PL"/>
              </w:rPr>
            </w:pPr>
            <w:r w:rsidRPr="009353E6">
              <w:rPr>
                <w:bCs/>
                <w:sz w:val="22"/>
                <w:szCs w:val="22"/>
                <w:lang w:val="pl-PL"/>
              </w:rPr>
              <w:t>Tel.: +36 1 299 8900</w:t>
            </w:r>
          </w:p>
          <w:p w:rsidR="00314B38" w:rsidRPr="009353E6" w:rsidRDefault="00314B38"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Danmark</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Boehringer Ingelheim Danmark A/S</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Tlf: +45 39 15 88 88</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Malta</w:t>
            </w:r>
          </w:p>
          <w:p w:rsidR="004405E1" w:rsidRPr="009353E6" w:rsidRDefault="004405E1" w:rsidP="004405E1">
            <w:pPr>
              <w:rPr>
                <w:sz w:val="22"/>
                <w:szCs w:val="22"/>
                <w:lang w:val="pl-PL" w:eastAsia="ja-JP"/>
              </w:rPr>
            </w:pPr>
            <w:r w:rsidRPr="009353E6">
              <w:rPr>
                <w:sz w:val="22"/>
                <w:szCs w:val="22"/>
                <w:lang w:val="pl-PL" w:eastAsia="ja-JP"/>
              </w:rPr>
              <w:t>Boehringer Ingelheim Ireland Ltd.</w:t>
            </w:r>
          </w:p>
          <w:p w:rsidR="00314B38" w:rsidRPr="009353E6" w:rsidRDefault="004405E1" w:rsidP="00314B38">
            <w:pPr>
              <w:pStyle w:val="BodyText"/>
              <w:spacing w:line="240" w:lineRule="auto"/>
              <w:jc w:val="left"/>
              <w:rPr>
                <w:bCs/>
                <w:sz w:val="22"/>
                <w:szCs w:val="22"/>
                <w:lang w:val="pl-PL"/>
              </w:rPr>
            </w:pPr>
            <w:r w:rsidRPr="009353E6">
              <w:rPr>
                <w:sz w:val="22"/>
                <w:szCs w:val="22"/>
                <w:lang w:val="pl-PL" w:eastAsia="ja-JP"/>
              </w:rPr>
              <w:t>Tel: +353 1 295 9620</w:t>
            </w:r>
          </w:p>
          <w:p w:rsidR="008841B5" w:rsidRPr="009353E6" w:rsidRDefault="008841B5"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Deutschland</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Boehringer Ingelheim Pharma GmbH &amp; Co. KG</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 xml:space="preserve">Tel: +49 (0) 800 / 77 90 900 </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Nederland</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Boehringer Ingelheim b.v.</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 xml:space="preserve">Tel: +31 (0) 800 22 55 889 </w:t>
            </w:r>
          </w:p>
          <w:p w:rsidR="008841B5" w:rsidRPr="009353E6" w:rsidRDefault="008841B5"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9A6C23" w:rsidRPr="009353E6" w:rsidRDefault="009A6C23" w:rsidP="009A6C23">
            <w:pPr>
              <w:tabs>
                <w:tab w:val="left" w:pos="-720"/>
              </w:tabs>
              <w:suppressAutoHyphens/>
              <w:rPr>
                <w:b/>
                <w:bCs/>
                <w:sz w:val="22"/>
                <w:szCs w:val="22"/>
                <w:lang w:val="pl-PL"/>
              </w:rPr>
            </w:pPr>
            <w:r w:rsidRPr="009353E6">
              <w:rPr>
                <w:b/>
                <w:bCs/>
                <w:sz w:val="22"/>
                <w:szCs w:val="22"/>
                <w:lang w:val="pl-PL"/>
              </w:rPr>
              <w:t>Eesti</w:t>
            </w:r>
          </w:p>
          <w:p w:rsidR="009A6C23" w:rsidRPr="009353E6" w:rsidRDefault="009A6C23" w:rsidP="009A6C23">
            <w:pPr>
              <w:tabs>
                <w:tab w:val="left" w:pos="-720"/>
              </w:tabs>
              <w:suppressAutoHyphens/>
              <w:rPr>
                <w:sz w:val="22"/>
                <w:szCs w:val="22"/>
                <w:lang w:val="pl-PL" w:eastAsia="ja-JP"/>
              </w:rPr>
            </w:pPr>
            <w:r w:rsidRPr="009353E6">
              <w:rPr>
                <w:sz w:val="22"/>
                <w:szCs w:val="22"/>
                <w:lang w:val="pl-PL" w:eastAsia="ja-JP"/>
              </w:rPr>
              <w:t>Boehringer Ingelheim RCV GmbH &amp; Co KG</w:t>
            </w:r>
          </w:p>
          <w:p w:rsidR="009A6C23" w:rsidRPr="009353E6" w:rsidRDefault="009A6C23" w:rsidP="009A6C23">
            <w:pPr>
              <w:tabs>
                <w:tab w:val="left" w:pos="-720"/>
              </w:tabs>
              <w:suppressAutoHyphens/>
              <w:rPr>
                <w:sz w:val="22"/>
                <w:szCs w:val="22"/>
                <w:lang w:val="pl-PL" w:eastAsia="de-DE"/>
              </w:rPr>
            </w:pPr>
            <w:r w:rsidRPr="009353E6">
              <w:rPr>
                <w:sz w:val="22"/>
                <w:szCs w:val="22"/>
                <w:lang w:val="pl-PL" w:eastAsia="de-DE"/>
              </w:rPr>
              <w:t>Eesti Filiaal</w:t>
            </w:r>
          </w:p>
          <w:p w:rsidR="009A6C23" w:rsidRPr="009353E6" w:rsidRDefault="009A6C23" w:rsidP="009A6C23">
            <w:pPr>
              <w:tabs>
                <w:tab w:val="left" w:pos="-720"/>
              </w:tabs>
              <w:suppressAutoHyphens/>
              <w:rPr>
                <w:sz w:val="22"/>
                <w:szCs w:val="22"/>
                <w:lang w:val="pl-PL" w:eastAsia="ja-JP"/>
              </w:rPr>
            </w:pPr>
            <w:r w:rsidRPr="009353E6">
              <w:rPr>
                <w:sz w:val="22"/>
                <w:szCs w:val="22"/>
                <w:lang w:val="pl-PL" w:eastAsia="ja-JP"/>
              </w:rPr>
              <w:t>Tel: +372 612 8000</w:t>
            </w:r>
          </w:p>
          <w:p w:rsidR="008841B5" w:rsidRPr="009353E6" w:rsidRDefault="009A6C23" w:rsidP="00F831F6">
            <w:pPr>
              <w:pStyle w:val="BodyText"/>
              <w:spacing w:line="240" w:lineRule="auto"/>
              <w:jc w:val="left"/>
              <w:rPr>
                <w:bCs/>
                <w:sz w:val="22"/>
                <w:szCs w:val="22"/>
                <w:lang w:val="pl-PL"/>
              </w:rPr>
            </w:pPr>
            <w:r w:rsidRPr="009353E6">
              <w:rPr>
                <w:bCs/>
                <w:sz w:val="22"/>
                <w:szCs w:val="22"/>
                <w:lang w:val="pl-PL"/>
              </w:rPr>
              <w:t> </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Norge</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Boehringer Ingelheim Norway KS</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Tlf: +47 66 76 13 00</w:t>
            </w:r>
          </w:p>
          <w:p w:rsidR="008841B5" w:rsidRPr="009353E6" w:rsidRDefault="008841B5" w:rsidP="00F831F6">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Ελλάδα</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Boehringer Ingelheim Ellas A.E.</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Tηλ: +30 2 10 89 06 300</w:t>
            </w:r>
          </w:p>
        </w:tc>
        <w:tc>
          <w:tcPr>
            <w:tcW w:w="4678" w:type="dxa"/>
            <w:gridSpan w:val="2"/>
          </w:tcPr>
          <w:p w:rsidR="00314B38" w:rsidRPr="009353E6" w:rsidRDefault="00314B38" w:rsidP="00314B38">
            <w:pPr>
              <w:rPr>
                <w:sz w:val="22"/>
                <w:szCs w:val="22"/>
                <w:lang w:val="pl-PL"/>
              </w:rPr>
            </w:pPr>
            <w:r w:rsidRPr="009353E6">
              <w:rPr>
                <w:b/>
                <w:bCs/>
                <w:sz w:val="22"/>
                <w:szCs w:val="22"/>
                <w:lang w:val="pl-PL"/>
              </w:rPr>
              <w:t>Österreich</w:t>
            </w:r>
          </w:p>
          <w:p w:rsidR="00314B38" w:rsidRPr="009353E6" w:rsidRDefault="00314B38" w:rsidP="00314B38">
            <w:pPr>
              <w:autoSpaceDE w:val="0"/>
              <w:autoSpaceDN w:val="0"/>
              <w:adjustRightInd w:val="0"/>
              <w:rPr>
                <w:sz w:val="22"/>
                <w:szCs w:val="22"/>
                <w:lang w:val="pl-PL" w:eastAsia="de-DE"/>
              </w:rPr>
            </w:pPr>
            <w:r w:rsidRPr="009353E6">
              <w:rPr>
                <w:sz w:val="22"/>
                <w:szCs w:val="22"/>
                <w:lang w:val="pl-PL" w:eastAsia="de-DE"/>
              </w:rPr>
              <w:t>Boehringer Ingelheim RCV GmbH &amp; Co KG</w:t>
            </w:r>
          </w:p>
          <w:p w:rsidR="008841B5" w:rsidRPr="009353E6" w:rsidRDefault="00314B38" w:rsidP="00314B38">
            <w:pPr>
              <w:pStyle w:val="BodyText"/>
              <w:spacing w:line="240" w:lineRule="auto"/>
              <w:jc w:val="left"/>
              <w:rPr>
                <w:sz w:val="22"/>
                <w:szCs w:val="22"/>
                <w:lang w:val="pl-PL" w:eastAsia="de-DE"/>
              </w:rPr>
            </w:pPr>
            <w:r w:rsidRPr="009353E6">
              <w:rPr>
                <w:sz w:val="22"/>
                <w:szCs w:val="22"/>
                <w:lang w:val="pl-PL" w:eastAsia="de-DE"/>
              </w:rPr>
              <w:t xml:space="preserve">Tel: </w:t>
            </w:r>
            <w:r w:rsidR="00901663" w:rsidRPr="009353E6">
              <w:rPr>
                <w:sz w:val="22"/>
                <w:szCs w:val="22"/>
                <w:lang w:val="pl-PL" w:eastAsia="de-DE"/>
              </w:rPr>
              <w:t>+43 1 80 105-7870</w:t>
            </w:r>
          </w:p>
          <w:p w:rsidR="00314B38" w:rsidRPr="009353E6" w:rsidRDefault="00314B38"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España</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Boehringer Ingelheim España S.A.</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Tel: +34 93 404 5</w:t>
            </w:r>
            <w:r w:rsidR="00BA5248" w:rsidRPr="009353E6">
              <w:rPr>
                <w:bCs/>
                <w:sz w:val="22"/>
                <w:szCs w:val="22"/>
                <w:lang w:val="pl-PL"/>
              </w:rPr>
              <w:t>1</w:t>
            </w:r>
            <w:r w:rsidRPr="009353E6">
              <w:rPr>
                <w:bCs/>
                <w:sz w:val="22"/>
                <w:szCs w:val="22"/>
                <w:lang w:val="pl-PL"/>
              </w:rPr>
              <w:t xml:space="preserve"> 00</w:t>
            </w:r>
          </w:p>
          <w:p w:rsidR="008841B5" w:rsidRPr="009353E6" w:rsidRDefault="008841B5" w:rsidP="00F831F6">
            <w:pPr>
              <w:pStyle w:val="BodyText"/>
              <w:spacing w:line="240" w:lineRule="auto"/>
              <w:jc w:val="left"/>
              <w:rPr>
                <w:bCs/>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Polska</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Boehringer Ingelheim Sp.</w:t>
            </w:r>
            <w:r w:rsidR="006457EB" w:rsidRPr="009353E6">
              <w:rPr>
                <w:bCs/>
                <w:sz w:val="22"/>
                <w:szCs w:val="22"/>
                <w:lang w:val="pl-PL"/>
              </w:rPr>
              <w:t xml:space="preserve"> </w:t>
            </w:r>
            <w:r w:rsidRPr="009353E6">
              <w:rPr>
                <w:bCs/>
                <w:sz w:val="22"/>
                <w:szCs w:val="22"/>
                <w:lang w:val="pl-PL"/>
              </w:rPr>
              <w:t>z o.o.</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Tel.: +48 22 699 0 699</w:t>
            </w:r>
          </w:p>
          <w:p w:rsidR="008841B5" w:rsidRPr="009353E6" w:rsidRDefault="008841B5" w:rsidP="00F831F6">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8841B5" w:rsidRPr="009353E6" w:rsidRDefault="008841B5" w:rsidP="00F831F6">
            <w:pPr>
              <w:pStyle w:val="BodyText"/>
              <w:spacing w:line="240" w:lineRule="auto"/>
              <w:jc w:val="left"/>
              <w:rPr>
                <w:b/>
                <w:bCs/>
                <w:sz w:val="22"/>
                <w:szCs w:val="22"/>
                <w:lang w:val="pl-PL"/>
              </w:rPr>
            </w:pPr>
            <w:r w:rsidRPr="009353E6">
              <w:rPr>
                <w:b/>
                <w:bCs/>
                <w:sz w:val="22"/>
                <w:szCs w:val="22"/>
                <w:lang w:val="pl-PL"/>
              </w:rPr>
              <w:t>France</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Boehringer Ingelheim France S.A.S.</w:t>
            </w:r>
          </w:p>
          <w:p w:rsidR="008841B5" w:rsidRPr="009353E6" w:rsidRDefault="008841B5" w:rsidP="00F831F6">
            <w:pPr>
              <w:pStyle w:val="BodyText"/>
              <w:spacing w:line="240" w:lineRule="auto"/>
              <w:jc w:val="left"/>
              <w:rPr>
                <w:bCs/>
                <w:sz w:val="22"/>
                <w:szCs w:val="22"/>
                <w:lang w:val="pl-PL"/>
              </w:rPr>
            </w:pPr>
            <w:r w:rsidRPr="009353E6">
              <w:rPr>
                <w:bCs/>
                <w:sz w:val="22"/>
                <w:szCs w:val="22"/>
                <w:lang w:val="pl-PL"/>
              </w:rPr>
              <w:t>Tél: +33 3 26 50 45 33</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Portugal</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 xml:space="preserve">Boehringer Ingelheim, </w:t>
            </w:r>
            <w:r w:rsidR="007B064C" w:rsidRPr="009353E6">
              <w:rPr>
                <w:bCs/>
                <w:sz w:val="22"/>
                <w:szCs w:val="22"/>
                <w:lang w:val="pl-PL"/>
              </w:rPr>
              <w:t xml:space="preserve">Unipessoal </w:t>
            </w:r>
            <w:r w:rsidRPr="009353E6">
              <w:rPr>
                <w:bCs/>
                <w:sz w:val="22"/>
                <w:szCs w:val="22"/>
                <w:lang w:val="pl-PL"/>
              </w:rPr>
              <w:t>Lda.</w:t>
            </w:r>
          </w:p>
          <w:p w:rsidR="008841B5" w:rsidRPr="009353E6" w:rsidRDefault="00314B38" w:rsidP="00314B38">
            <w:pPr>
              <w:pStyle w:val="BodyText"/>
              <w:spacing w:line="240" w:lineRule="auto"/>
              <w:jc w:val="left"/>
              <w:rPr>
                <w:bCs/>
                <w:sz w:val="22"/>
                <w:szCs w:val="22"/>
                <w:lang w:val="pl-PL"/>
              </w:rPr>
            </w:pPr>
            <w:r w:rsidRPr="009353E6">
              <w:rPr>
                <w:bCs/>
                <w:sz w:val="22"/>
                <w:szCs w:val="22"/>
                <w:lang w:val="pl-PL"/>
              </w:rPr>
              <w:t>Tel: +351 21 313 53 00</w:t>
            </w:r>
          </w:p>
          <w:p w:rsidR="00314B38" w:rsidRPr="009353E6" w:rsidRDefault="00314B38"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314B38" w:rsidRPr="009353E6" w:rsidRDefault="008841B5" w:rsidP="00314B38">
            <w:pPr>
              <w:pStyle w:val="HeadNoNum1"/>
              <w:rPr>
                <w:noProof w:val="0"/>
                <w:lang w:val="pl-PL"/>
              </w:rPr>
            </w:pPr>
            <w:r w:rsidRPr="009353E6">
              <w:rPr>
                <w:bCs/>
                <w:noProof w:val="0"/>
                <w:szCs w:val="22"/>
                <w:lang w:val="pl-PL"/>
              </w:rPr>
              <w:br w:type="page"/>
            </w:r>
            <w:r w:rsidR="00314B38" w:rsidRPr="009353E6">
              <w:rPr>
                <w:noProof w:val="0"/>
                <w:lang w:val="pl-PL"/>
              </w:rPr>
              <w:t>Hrvatska</w:t>
            </w:r>
          </w:p>
          <w:p w:rsidR="00314B38" w:rsidRPr="009353E6" w:rsidRDefault="00314B38" w:rsidP="00314B38">
            <w:pPr>
              <w:pStyle w:val="HeadNoNum1"/>
              <w:rPr>
                <w:b w:val="0"/>
                <w:noProof w:val="0"/>
                <w:lang w:val="pl-PL"/>
              </w:rPr>
            </w:pPr>
            <w:r w:rsidRPr="009353E6">
              <w:rPr>
                <w:b w:val="0"/>
                <w:noProof w:val="0"/>
                <w:lang w:val="pl-PL"/>
              </w:rPr>
              <w:t>Boehringer Ingelheim Zagreb d.o.o.</w:t>
            </w:r>
          </w:p>
          <w:p w:rsidR="00314B38" w:rsidRPr="009353E6" w:rsidRDefault="00314B38" w:rsidP="00314B38">
            <w:pPr>
              <w:pStyle w:val="HeadNoNum1"/>
              <w:rPr>
                <w:b w:val="0"/>
                <w:noProof w:val="0"/>
                <w:lang w:val="pl-PL"/>
              </w:rPr>
            </w:pPr>
            <w:r w:rsidRPr="009353E6">
              <w:rPr>
                <w:b w:val="0"/>
                <w:noProof w:val="0"/>
                <w:lang w:val="pl-PL"/>
              </w:rPr>
              <w:t>Tel: +385 1 2444 600</w:t>
            </w:r>
          </w:p>
          <w:p w:rsidR="008841B5" w:rsidRPr="009353E6" w:rsidRDefault="008841B5" w:rsidP="00314B38">
            <w:pPr>
              <w:pStyle w:val="BodyText"/>
              <w:spacing w:line="240" w:lineRule="auto"/>
              <w:jc w:val="left"/>
              <w:rPr>
                <w:bCs/>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România</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 xml:space="preserve">Boehringer Ingelheim RCV GmbH &amp; Co KG Viena – Sucursala Bucuresti </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Tel: +40 21 302 28 00</w:t>
            </w:r>
          </w:p>
          <w:p w:rsidR="008841B5" w:rsidRPr="009353E6" w:rsidRDefault="008841B5" w:rsidP="00314B38">
            <w:pPr>
              <w:pStyle w:val="BodyText"/>
              <w:spacing w:line="240" w:lineRule="auto"/>
              <w:jc w:val="left"/>
              <w:rPr>
                <w:bCs/>
                <w:sz w:val="22"/>
                <w:szCs w:val="22"/>
                <w:lang w:val="pl-PL"/>
              </w:rPr>
            </w:pPr>
          </w:p>
        </w:tc>
      </w:tr>
      <w:tr w:rsidR="008841B5" w:rsidRPr="009353E6" w:rsidTr="005E3A9A">
        <w:tblPrEx>
          <w:tblCellMar>
            <w:top w:w="0" w:type="dxa"/>
            <w:bottom w:w="0" w:type="dxa"/>
          </w:tblCellMar>
        </w:tblPrEx>
        <w:trPr>
          <w:gridAfter w:val="1"/>
          <w:wAfter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Ireland</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Boehringer Ingelheim Ireland Ltd.</w:t>
            </w:r>
          </w:p>
          <w:p w:rsidR="008841B5" w:rsidRPr="009353E6" w:rsidRDefault="00314B38" w:rsidP="00314B38">
            <w:pPr>
              <w:pStyle w:val="BodyText"/>
              <w:spacing w:line="240" w:lineRule="auto"/>
              <w:jc w:val="left"/>
              <w:rPr>
                <w:bCs/>
                <w:sz w:val="22"/>
                <w:szCs w:val="22"/>
                <w:lang w:val="pl-PL"/>
              </w:rPr>
            </w:pPr>
            <w:r w:rsidRPr="009353E6">
              <w:rPr>
                <w:bCs/>
                <w:sz w:val="22"/>
                <w:szCs w:val="22"/>
                <w:lang w:val="pl-PL"/>
              </w:rPr>
              <w:t>Tel: +353 1 295 9620</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Slovenija</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 xml:space="preserve">Boehringer Ingelheim RCV GmbH &amp; Co KG </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Podružnica Ljubljana</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Tel: +386 1 586 40 00</w:t>
            </w:r>
          </w:p>
          <w:p w:rsidR="008841B5" w:rsidRPr="009353E6" w:rsidRDefault="008841B5" w:rsidP="00314B38">
            <w:pPr>
              <w:pStyle w:val="BodyText"/>
              <w:spacing w:line="240" w:lineRule="auto"/>
              <w:jc w:val="left"/>
              <w:rPr>
                <w:bCs/>
                <w:sz w:val="22"/>
                <w:szCs w:val="22"/>
                <w:lang w:val="pl-PL"/>
              </w:rPr>
            </w:pPr>
          </w:p>
        </w:tc>
      </w:tr>
      <w:tr w:rsidR="009A291C" w:rsidRPr="009353E6" w:rsidTr="005E3A9A">
        <w:tblPrEx>
          <w:tblCellMar>
            <w:top w:w="0" w:type="dxa"/>
            <w:bottom w:w="0" w:type="dxa"/>
          </w:tblCellMar>
        </w:tblPrEx>
        <w:trPr>
          <w:gridBefore w:val="1"/>
          <w:wBefore w:w="52" w:type="dxa"/>
        </w:trPr>
        <w:tc>
          <w:tcPr>
            <w:tcW w:w="4678" w:type="dxa"/>
            <w:gridSpan w:val="2"/>
          </w:tcPr>
          <w:p w:rsidR="00314B38" w:rsidRPr="009353E6" w:rsidRDefault="00314B38" w:rsidP="005E3A9A">
            <w:pPr>
              <w:pStyle w:val="BodyText"/>
              <w:keepNext/>
              <w:spacing w:line="240" w:lineRule="auto"/>
              <w:jc w:val="left"/>
              <w:rPr>
                <w:b/>
                <w:bCs/>
                <w:sz w:val="22"/>
                <w:szCs w:val="22"/>
                <w:lang w:val="pl-PL"/>
              </w:rPr>
            </w:pPr>
            <w:r w:rsidRPr="009353E6">
              <w:rPr>
                <w:b/>
                <w:bCs/>
                <w:sz w:val="22"/>
                <w:szCs w:val="22"/>
                <w:lang w:val="pl-PL"/>
              </w:rPr>
              <w:t>Ísland</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Vistor hf.</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Sími: +354 535 7000</w:t>
            </w:r>
          </w:p>
          <w:p w:rsidR="009A291C" w:rsidRPr="009353E6" w:rsidRDefault="009A291C" w:rsidP="00F831F6">
            <w:pPr>
              <w:pStyle w:val="BodyText"/>
              <w:spacing w:line="240" w:lineRule="auto"/>
              <w:jc w:val="left"/>
              <w:rPr>
                <w:bCs/>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Slovenská republika</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Boehringer Ingelheim RCV GmbH &amp; Co KG</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organizačná zložka</w:t>
            </w:r>
          </w:p>
          <w:p w:rsidR="00314B38" w:rsidRPr="009353E6" w:rsidRDefault="00314B38" w:rsidP="00314B38">
            <w:pPr>
              <w:pStyle w:val="BodyText"/>
              <w:spacing w:line="240" w:lineRule="auto"/>
              <w:jc w:val="left"/>
              <w:rPr>
                <w:bCs/>
                <w:sz w:val="22"/>
                <w:szCs w:val="22"/>
                <w:lang w:val="pl-PL"/>
              </w:rPr>
            </w:pPr>
            <w:r w:rsidRPr="009353E6">
              <w:rPr>
                <w:bCs/>
                <w:sz w:val="22"/>
                <w:szCs w:val="22"/>
                <w:lang w:val="pl-PL"/>
              </w:rPr>
              <w:t>Tel: +421 2 5810 1211</w:t>
            </w:r>
          </w:p>
          <w:p w:rsidR="009A291C" w:rsidRPr="009353E6" w:rsidRDefault="009A291C" w:rsidP="00314B38">
            <w:pPr>
              <w:pStyle w:val="BodyText"/>
              <w:spacing w:line="240" w:lineRule="auto"/>
              <w:jc w:val="left"/>
              <w:rPr>
                <w:sz w:val="22"/>
                <w:szCs w:val="22"/>
                <w:lang w:val="pl-PL"/>
              </w:rPr>
            </w:pPr>
          </w:p>
        </w:tc>
      </w:tr>
      <w:tr w:rsidR="009A291C" w:rsidRPr="009353E6" w:rsidTr="005E3A9A">
        <w:tblPrEx>
          <w:tblCellMar>
            <w:top w:w="0" w:type="dxa"/>
            <w:bottom w:w="0" w:type="dxa"/>
          </w:tblCellMar>
        </w:tblPrEx>
        <w:trPr>
          <w:gridBefore w:val="1"/>
          <w:wBefore w:w="52" w:type="dxa"/>
        </w:trPr>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Italia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Italia S.p.A.</w:t>
            </w:r>
          </w:p>
          <w:p w:rsidR="009A291C" w:rsidRPr="009353E6" w:rsidRDefault="00314B38" w:rsidP="00314B38">
            <w:pPr>
              <w:pStyle w:val="BodyText"/>
              <w:spacing w:line="240" w:lineRule="auto"/>
              <w:jc w:val="left"/>
              <w:rPr>
                <w:bCs/>
                <w:sz w:val="22"/>
                <w:szCs w:val="22"/>
                <w:lang w:val="pl-PL"/>
              </w:rPr>
            </w:pPr>
            <w:r w:rsidRPr="009353E6">
              <w:rPr>
                <w:sz w:val="22"/>
                <w:szCs w:val="22"/>
                <w:lang w:val="pl-PL" w:eastAsia="ja-JP"/>
              </w:rPr>
              <w:t>Tel: +39 02 5355 1</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Suomi/Finland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Finland Ky</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Puh/Tel: +358 10 3102 800</w:t>
            </w:r>
          </w:p>
          <w:p w:rsidR="009A291C" w:rsidRPr="009353E6" w:rsidRDefault="009A291C" w:rsidP="00314B38">
            <w:pPr>
              <w:pStyle w:val="BodyText"/>
              <w:spacing w:line="240" w:lineRule="auto"/>
              <w:jc w:val="left"/>
              <w:rPr>
                <w:bCs/>
                <w:sz w:val="22"/>
                <w:szCs w:val="22"/>
                <w:lang w:val="pl-PL"/>
              </w:rPr>
            </w:pPr>
          </w:p>
        </w:tc>
      </w:tr>
      <w:tr w:rsidR="009A291C" w:rsidRPr="009353E6" w:rsidTr="005E3A9A">
        <w:tblPrEx>
          <w:tblCellMar>
            <w:top w:w="0" w:type="dxa"/>
            <w:bottom w:w="0" w:type="dxa"/>
          </w:tblCellMar>
        </w:tblPrEx>
        <w:trPr>
          <w:gridBefore w:val="1"/>
          <w:wBefore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Κύπρος</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Ellas A.E.</w:t>
            </w:r>
          </w:p>
          <w:p w:rsidR="009A291C" w:rsidRPr="009353E6" w:rsidRDefault="00314B38" w:rsidP="00314B38">
            <w:pPr>
              <w:pStyle w:val="BodyText"/>
              <w:spacing w:line="240" w:lineRule="auto"/>
              <w:jc w:val="left"/>
              <w:rPr>
                <w:sz w:val="22"/>
                <w:szCs w:val="22"/>
                <w:lang w:val="pl-PL"/>
              </w:rPr>
            </w:pPr>
            <w:r w:rsidRPr="009353E6">
              <w:rPr>
                <w:sz w:val="22"/>
                <w:szCs w:val="22"/>
                <w:lang w:val="pl-PL" w:eastAsia="ja-JP"/>
              </w:rPr>
              <w:t>Tηλ: +30 2 10 89 06 300</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Sverige</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AB</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+46 8 721 21 00</w:t>
            </w:r>
          </w:p>
          <w:p w:rsidR="009A291C" w:rsidRPr="009353E6" w:rsidRDefault="009A291C" w:rsidP="00F831F6">
            <w:pPr>
              <w:pStyle w:val="BodyText"/>
              <w:spacing w:line="240" w:lineRule="auto"/>
              <w:jc w:val="left"/>
              <w:rPr>
                <w:sz w:val="22"/>
                <w:szCs w:val="22"/>
                <w:lang w:val="pl-PL"/>
              </w:rPr>
            </w:pPr>
          </w:p>
        </w:tc>
      </w:tr>
      <w:tr w:rsidR="009A291C" w:rsidRPr="009353E6" w:rsidTr="005E3A9A">
        <w:tblPrEx>
          <w:tblCellMar>
            <w:top w:w="0" w:type="dxa"/>
            <w:bottom w:w="0" w:type="dxa"/>
          </w:tblCellMar>
        </w:tblPrEx>
        <w:trPr>
          <w:gridBefore w:val="1"/>
          <w:wBefore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Latvija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tabs>
                <w:tab w:val="left" w:pos="-720"/>
              </w:tabs>
              <w:suppressAutoHyphens/>
              <w:rPr>
                <w:sz w:val="22"/>
                <w:szCs w:val="22"/>
                <w:lang w:val="pl-PL" w:eastAsia="ja-JP"/>
              </w:rPr>
            </w:pPr>
            <w:r w:rsidRPr="009353E6">
              <w:rPr>
                <w:sz w:val="22"/>
                <w:szCs w:val="22"/>
                <w:lang w:val="pl-PL"/>
              </w:rPr>
              <w:t>Latvijas filiāle</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Tel: +371 67 240 011</w:t>
            </w:r>
          </w:p>
          <w:p w:rsidR="009A291C" w:rsidRPr="009353E6" w:rsidRDefault="009A291C" w:rsidP="00314B38">
            <w:pPr>
              <w:rPr>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United Kingdom</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Ltd.</w:t>
            </w:r>
          </w:p>
          <w:p w:rsidR="009A291C" w:rsidRPr="009353E6" w:rsidRDefault="00314B38" w:rsidP="00314B38">
            <w:pPr>
              <w:pStyle w:val="BodyText"/>
              <w:spacing w:line="240" w:lineRule="auto"/>
              <w:jc w:val="left"/>
              <w:rPr>
                <w:sz w:val="22"/>
                <w:szCs w:val="22"/>
                <w:lang w:val="pl-PL"/>
              </w:rPr>
            </w:pPr>
            <w:r w:rsidRPr="009353E6">
              <w:rPr>
                <w:sz w:val="22"/>
                <w:szCs w:val="22"/>
                <w:lang w:val="pl-PL" w:eastAsia="ja-JP"/>
              </w:rPr>
              <w:t>Tel: +44 1344 424 600</w:t>
            </w:r>
          </w:p>
        </w:tc>
      </w:tr>
    </w:tbl>
    <w:p w:rsidR="009A291C" w:rsidRPr="009353E6" w:rsidRDefault="009A291C" w:rsidP="00F831F6">
      <w:pPr>
        <w:pStyle w:val="BodyText"/>
        <w:spacing w:line="240" w:lineRule="auto"/>
        <w:jc w:val="left"/>
        <w:rPr>
          <w:sz w:val="22"/>
          <w:szCs w:val="22"/>
          <w:lang w:val="pl-PL"/>
        </w:rPr>
      </w:pPr>
    </w:p>
    <w:p w:rsidR="002E4BBA" w:rsidRPr="009353E6" w:rsidRDefault="002E4BBA" w:rsidP="00F831F6">
      <w:pPr>
        <w:pStyle w:val="BodyText"/>
        <w:spacing w:line="240" w:lineRule="auto"/>
        <w:jc w:val="left"/>
        <w:rPr>
          <w:sz w:val="22"/>
          <w:szCs w:val="22"/>
          <w:lang w:val="pl-PL"/>
        </w:rPr>
      </w:pPr>
    </w:p>
    <w:p w:rsidR="006B7743" w:rsidRPr="009353E6" w:rsidRDefault="006B7743" w:rsidP="006B7743">
      <w:pPr>
        <w:numPr>
          <w:ilvl w:val="12"/>
          <w:numId w:val="0"/>
        </w:numPr>
        <w:ind w:right="-2"/>
        <w:rPr>
          <w:sz w:val="22"/>
          <w:szCs w:val="22"/>
          <w:lang w:val="pl-PL" w:bidi="bn-IN"/>
        </w:rPr>
      </w:pPr>
      <w:r w:rsidRPr="009353E6">
        <w:rPr>
          <w:b/>
          <w:sz w:val="22"/>
          <w:szCs w:val="22"/>
          <w:lang w:val="pl-PL" w:bidi="bn-IN"/>
        </w:rPr>
        <w:t>Data ostatniej aktualizacji ulotki:</w:t>
      </w:r>
    </w:p>
    <w:p w:rsidR="004045BC" w:rsidRPr="009353E6" w:rsidRDefault="004045BC" w:rsidP="00F831F6">
      <w:pPr>
        <w:pStyle w:val="BodyText"/>
        <w:spacing w:line="240" w:lineRule="auto"/>
        <w:jc w:val="left"/>
        <w:rPr>
          <w:sz w:val="22"/>
          <w:szCs w:val="22"/>
          <w:lang w:val="pl-PL"/>
        </w:rPr>
      </w:pPr>
    </w:p>
    <w:p w:rsidR="002E4BBA" w:rsidRPr="009353E6" w:rsidRDefault="007D3D08" w:rsidP="00F831F6">
      <w:pPr>
        <w:pStyle w:val="BodyText"/>
        <w:spacing w:line="240" w:lineRule="auto"/>
        <w:jc w:val="left"/>
        <w:rPr>
          <w:b/>
          <w:sz w:val="22"/>
          <w:szCs w:val="22"/>
          <w:lang w:val="pl-PL"/>
        </w:rPr>
      </w:pPr>
      <w:r w:rsidRPr="009353E6">
        <w:rPr>
          <w:b/>
          <w:sz w:val="22"/>
          <w:szCs w:val="22"/>
          <w:lang w:val="pl-PL"/>
        </w:rPr>
        <w:t>Inne źródła informacji</w:t>
      </w:r>
    </w:p>
    <w:p w:rsidR="004045BC" w:rsidRPr="009353E6" w:rsidRDefault="007D54FB" w:rsidP="00F831F6">
      <w:pPr>
        <w:pStyle w:val="BodyText"/>
        <w:spacing w:line="240" w:lineRule="auto"/>
        <w:jc w:val="left"/>
        <w:rPr>
          <w:sz w:val="22"/>
          <w:szCs w:val="22"/>
          <w:lang w:val="pl-PL"/>
        </w:rPr>
      </w:pPr>
      <w:r w:rsidRPr="009353E6">
        <w:rPr>
          <w:sz w:val="22"/>
          <w:szCs w:val="22"/>
          <w:lang w:val="pl-PL"/>
        </w:rPr>
        <w:t>Szczegółowe informacje o tym leku znajdują się</w:t>
      </w:r>
      <w:r w:rsidR="004045BC" w:rsidRPr="009353E6">
        <w:rPr>
          <w:sz w:val="22"/>
          <w:szCs w:val="22"/>
          <w:lang w:val="pl-PL"/>
        </w:rPr>
        <w:t xml:space="preserve"> na stronie internetowej Europejskiej Agencji </w:t>
      </w:r>
      <w:r w:rsidR="0059558B" w:rsidRPr="009353E6">
        <w:rPr>
          <w:sz w:val="22"/>
          <w:szCs w:val="22"/>
          <w:lang w:val="pl-PL"/>
        </w:rPr>
        <w:t>Leków</w:t>
      </w:r>
      <w:r w:rsidR="004045BC" w:rsidRPr="009353E6">
        <w:rPr>
          <w:sz w:val="22"/>
          <w:szCs w:val="22"/>
          <w:lang w:val="pl-PL"/>
        </w:rPr>
        <w:t xml:space="preserve"> </w:t>
      </w:r>
      <w:hyperlink r:id="rId18" w:history="1">
        <w:r w:rsidR="00BC39DD" w:rsidRPr="009353E6">
          <w:rPr>
            <w:rStyle w:val="Hyperlink"/>
            <w:noProof/>
            <w:lang w:val="pl-PL"/>
          </w:rPr>
          <w:t>http://www.ema.europa.eu</w:t>
        </w:r>
      </w:hyperlink>
      <w:r w:rsidRPr="009353E6">
        <w:rPr>
          <w:sz w:val="22"/>
          <w:szCs w:val="22"/>
          <w:lang w:val="pl-PL"/>
        </w:rPr>
        <w:t>.</w:t>
      </w:r>
    </w:p>
    <w:p w:rsidR="00BD7796" w:rsidRPr="009353E6" w:rsidRDefault="000D2739" w:rsidP="0047605B">
      <w:pPr>
        <w:pStyle w:val="BodyText"/>
        <w:spacing w:line="240" w:lineRule="auto"/>
        <w:jc w:val="center"/>
        <w:rPr>
          <w:b/>
          <w:sz w:val="22"/>
          <w:szCs w:val="22"/>
          <w:lang w:val="pl-PL"/>
        </w:rPr>
      </w:pPr>
      <w:r w:rsidRPr="009353E6">
        <w:rPr>
          <w:sz w:val="22"/>
          <w:szCs w:val="22"/>
          <w:lang w:val="pl-PL"/>
        </w:rPr>
        <w:br w:type="page"/>
      </w:r>
      <w:r w:rsidR="00BD7796" w:rsidRPr="009353E6">
        <w:rPr>
          <w:b/>
          <w:sz w:val="22"/>
          <w:szCs w:val="22"/>
          <w:lang w:val="pl-PL" w:bidi="bn-IN"/>
        </w:rPr>
        <w:t>Ulotka dołączona do opakowania: informacja dla</w:t>
      </w:r>
      <w:r w:rsidR="007B064C" w:rsidRPr="009353E6">
        <w:rPr>
          <w:b/>
          <w:sz w:val="22"/>
          <w:szCs w:val="22"/>
          <w:lang w:val="pl-PL" w:bidi="bn-IN"/>
        </w:rPr>
        <w:t xml:space="preserve"> pacjenta</w:t>
      </w:r>
      <w:r w:rsidR="00BD7796" w:rsidRPr="009353E6">
        <w:rPr>
          <w:b/>
          <w:sz w:val="22"/>
          <w:szCs w:val="22"/>
          <w:lang w:val="pl-PL" w:bidi="bn-IN"/>
        </w:rPr>
        <w:t xml:space="preserve"> </w:t>
      </w:r>
    </w:p>
    <w:p w:rsidR="000A739F" w:rsidRPr="009353E6" w:rsidRDefault="000A739F" w:rsidP="00F831F6">
      <w:pPr>
        <w:pStyle w:val="BodyText"/>
        <w:spacing w:line="240" w:lineRule="auto"/>
        <w:jc w:val="left"/>
        <w:rPr>
          <w:sz w:val="22"/>
          <w:szCs w:val="22"/>
          <w:lang w:val="pl-PL"/>
        </w:rPr>
      </w:pPr>
    </w:p>
    <w:p w:rsidR="000A739F" w:rsidRPr="009353E6" w:rsidRDefault="000A739F" w:rsidP="005D27AA">
      <w:pPr>
        <w:pStyle w:val="BodyText"/>
        <w:spacing w:line="240" w:lineRule="auto"/>
        <w:jc w:val="center"/>
        <w:rPr>
          <w:b/>
          <w:sz w:val="22"/>
          <w:szCs w:val="22"/>
          <w:lang w:val="pl-PL"/>
        </w:rPr>
      </w:pPr>
      <w:r w:rsidRPr="009353E6">
        <w:rPr>
          <w:b/>
          <w:sz w:val="22"/>
          <w:szCs w:val="22"/>
          <w:lang w:val="pl-PL"/>
        </w:rPr>
        <w:t>MicardisPlus 80 mg/25 mg tabletki</w:t>
      </w:r>
    </w:p>
    <w:p w:rsidR="000A739F" w:rsidRPr="009353E6" w:rsidRDefault="000A739F" w:rsidP="005D27AA">
      <w:pPr>
        <w:pStyle w:val="BodyText"/>
        <w:spacing w:line="240" w:lineRule="auto"/>
        <w:jc w:val="center"/>
        <w:rPr>
          <w:sz w:val="22"/>
          <w:szCs w:val="22"/>
          <w:lang w:val="pl-PL"/>
        </w:rPr>
      </w:pPr>
      <w:r w:rsidRPr="009353E6">
        <w:rPr>
          <w:sz w:val="22"/>
          <w:szCs w:val="22"/>
          <w:lang w:val="pl-PL"/>
        </w:rPr>
        <w:t>telmisartan/hydrochlorotiazyd</w:t>
      </w:r>
    </w:p>
    <w:p w:rsidR="000A739F" w:rsidRPr="009353E6" w:rsidRDefault="000A739F" w:rsidP="00F831F6">
      <w:pPr>
        <w:pStyle w:val="BodyText"/>
        <w:spacing w:line="240" w:lineRule="auto"/>
        <w:jc w:val="left"/>
        <w:rPr>
          <w:sz w:val="22"/>
          <w:szCs w:val="22"/>
          <w:lang w:val="pl-PL"/>
        </w:rPr>
      </w:pPr>
    </w:p>
    <w:p w:rsidR="00BD7796" w:rsidRPr="009353E6" w:rsidRDefault="00BD7796" w:rsidP="00BD7796">
      <w:pPr>
        <w:ind w:right="-2"/>
        <w:rPr>
          <w:b/>
          <w:sz w:val="22"/>
          <w:szCs w:val="22"/>
          <w:lang w:val="pl-PL" w:bidi="bn-IN"/>
        </w:rPr>
      </w:pPr>
      <w:r w:rsidRPr="009353E6">
        <w:rPr>
          <w:b/>
          <w:sz w:val="22"/>
          <w:szCs w:val="22"/>
          <w:lang w:val="pl-PL" w:bidi="bn-IN"/>
        </w:rPr>
        <w:t xml:space="preserve">Należy uważnie zapoznać się z treścią ulotki przed </w:t>
      </w:r>
      <w:r w:rsidR="00105AE1" w:rsidRPr="009353E6">
        <w:rPr>
          <w:b/>
          <w:sz w:val="22"/>
          <w:szCs w:val="22"/>
          <w:lang w:val="pl-PL" w:bidi="bn-IN"/>
        </w:rPr>
        <w:t>zażyciem</w:t>
      </w:r>
      <w:r w:rsidRPr="009353E6">
        <w:rPr>
          <w:b/>
          <w:sz w:val="22"/>
          <w:szCs w:val="22"/>
          <w:lang w:val="pl-PL" w:bidi="bn-IN"/>
        </w:rPr>
        <w:t xml:space="preserve"> leku, ponieważ zawiera ona informacje ważne dla pacjenta.</w:t>
      </w:r>
    </w:p>
    <w:p w:rsidR="00BD7796" w:rsidRPr="009353E6" w:rsidRDefault="00BD7796" w:rsidP="00BD7796">
      <w:pPr>
        <w:numPr>
          <w:ilvl w:val="0"/>
          <w:numId w:val="49"/>
        </w:numPr>
        <w:ind w:left="567" w:right="-2" w:hanging="567"/>
        <w:rPr>
          <w:sz w:val="22"/>
          <w:szCs w:val="22"/>
          <w:lang w:val="pl-PL" w:bidi="bn-IN"/>
        </w:rPr>
      </w:pPr>
      <w:r w:rsidRPr="009353E6">
        <w:rPr>
          <w:sz w:val="22"/>
          <w:szCs w:val="22"/>
          <w:lang w:val="pl-PL" w:bidi="bn-IN"/>
        </w:rPr>
        <w:t>Należy zachować tę ulotkę, aby w razie potrzeby móc ją ponownie przeczytać.</w:t>
      </w:r>
    </w:p>
    <w:p w:rsidR="00BD7796" w:rsidRPr="009353E6" w:rsidRDefault="00105AE1" w:rsidP="00BD7796">
      <w:pPr>
        <w:numPr>
          <w:ilvl w:val="0"/>
          <w:numId w:val="49"/>
        </w:numPr>
        <w:ind w:left="567" w:right="-2" w:hanging="567"/>
        <w:rPr>
          <w:sz w:val="22"/>
          <w:szCs w:val="22"/>
          <w:lang w:val="pl-PL" w:bidi="bn-IN"/>
        </w:rPr>
      </w:pPr>
      <w:r w:rsidRPr="009353E6">
        <w:rPr>
          <w:sz w:val="22"/>
          <w:szCs w:val="22"/>
          <w:lang w:val="pl-PL" w:bidi="bn-IN"/>
        </w:rPr>
        <w:t>W razie jakichkolwiek wątpliwości n</w:t>
      </w:r>
      <w:r w:rsidR="00BD7796" w:rsidRPr="009353E6">
        <w:rPr>
          <w:sz w:val="22"/>
          <w:szCs w:val="22"/>
          <w:lang w:val="pl-PL" w:bidi="bn-IN"/>
        </w:rPr>
        <w:t>ależy zwrócić się do lekarza lub farmaceuty.</w:t>
      </w:r>
    </w:p>
    <w:p w:rsidR="00BD7796" w:rsidRPr="009353E6" w:rsidRDefault="00BD7796" w:rsidP="00BD7796">
      <w:pPr>
        <w:numPr>
          <w:ilvl w:val="0"/>
          <w:numId w:val="49"/>
        </w:numPr>
        <w:ind w:left="567" w:right="-2" w:hanging="567"/>
        <w:rPr>
          <w:b/>
          <w:sz w:val="22"/>
          <w:szCs w:val="22"/>
          <w:lang w:val="pl-PL" w:bidi="bn-IN"/>
        </w:rPr>
      </w:pPr>
      <w:r w:rsidRPr="009353E6">
        <w:rPr>
          <w:sz w:val="22"/>
          <w:szCs w:val="22"/>
          <w:lang w:val="pl-PL" w:bidi="bn-IN"/>
        </w:rPr>
        <w:t>Lek ten przepisano ściśle określonej osobie. Nie należy go przekazywać innym. Lek może zaszkodzić innej osobie, nawet jeśli objawy jej choroby są takie same.</w:t>
      </w:r>
    </w:p>
    <w:p w:rsidR="00BD7796" w:rsidRPr="009353E6" w:rsidRDefault="00BD7796" w:rsidP="00BD7796">
      <w:pPr>
        <w:numPr>
          <w:ilvl w:val="12"/>
          <w:numId w:val="0"/>
        </w:numPr>
        <w:ind w:left="567" w:right="-2" w:hanging="567"/>
        <w:rPr>
          <w:sz w:val="22"/>
          <w:szCs w:val="22"/>
          <w:lang w:val="pl-PL" w:bidi="bn-IN"/>
        </w:rPr>
      </w:pPr>
      <w:r w:rsidRPr="009353E6">
        <w:rPr>
          <w:sz w:val="22"/>
          <w:szCs w:val="22"/>
          <w:lang w:val="pl-PL" w:bidi="bn-IN"/>
        </w:rPr>
        <w:t>-</w:t>
      </w:r>
      <w:r w:rsidRPr="009353E6">
        <w:rPr>
          <w:sz w:val="22"/>
          <w:szCs w:val="22"/>
          <w:lang w:val="pl-PL" w:bidi="bn-IN"/>
        </w:rPr>
        <w:tab/>
        <w:t xml:space="preserve">Jeśli </w:t>
      </w:r>
      <w:r w:rsidR="00105AE1" w:rsidRPr="009353E6">
        <w:rPr>
          <w:sz w:val="22"/>
          <w:szCs w:val="22"/>
          <w:lang w:val="pl-PL" w:bidi="bn-IN"/>
        </w:rPr>
        <w:t xml:space="preserve">u pacjenta </w:t>
      </w:r>
      <w:r w:rsidRPr="009353E6">
        <w:rPr>
          <w:sz w:val="22"/>
          <w:szCs w:val="22"/>
          <w:lang w:val="pl-PL" w:bidi="bn-IN"/>
        </w:rPr>
        <w:t xml:space="preserve">wystąpią jakiekolwiek objawy niepożądane, w tym wszelkie objawy niepożądane niewymienione w </w:t>
      </w:r>
      <w:r w:rsidR="00105AE1" w:rsidRPr="009353E6">
        <w:rPr>
          <w:sz w:val="22"/>
          <w:szCs w:val="22"/>
          <w:lang w:val="pl-PL" w:bidi="bn-IN"/>
        </w:rPr>
        <w:t xml:space="preserve">tej </w:t>
      </w:r>
      <w:r w:rsidRPr="009353E6">
        <w:rPr>
          <w:sz w:val="22"/>
          <w:szCs w:val="22"/>
          <w:lang w:val="pl-PL" w:bidi="bn-IN"/>
        </w:rPr>
        <w:t>ulotce, należy powiedzieć o tym lekarzowi lub farmaceucie.</w:t>
      </w:r>
      <w:r w:rsidR="007D3D08" w:rsidRPr="009353E6">
        <w:rPr>
          <w:sz w:val="22"/>
          <w:szCs w:val="22"/>
          <w:lang w:val="pl-PL" w:bidi="bn-IN"/>
        </w:rPr>
        <w:t xml:space="preserve"> Patrz punkt 4.</w:t>
      </w:r>
    </w:p>
    <w:p w:rsidR="000A739F" w:rsidRPr="009353E6" w:rsidRDefault="000A739F" w:rsidP="00D2018C">
      <w:pPr>
        <w:pStyle w:val="BodyText"/>
        <w:spacing w:line="240" w:lineRule="auto"/>
        <w:jc w:val="left"/>
        <w:rPr>
          <w:sz w:val="22"/>
          <w:szCs w:val="22"/>
          <w:u w:val="single"/>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Spis treści ulotki</w:t>
      </w:r>
    </w:p>
    <w:p w:rsidR="006427B8" w:rsidRPr="009353E6" w:rsidRDefault="006427B8" w:rsidP="00F831F6">
      <w:pPr>
        <w:pStyle w:val="BodyText"/>
        <w:spacing w:line="240" w:lineRule="auto"/>
        <w:jc w:val="left"/>
        <w:rPr>
          <w:b/>
          <w:sz w:val="22"/>
          <w:szCs w:val="22"/>
          <w:lang w:val="pl-PL"/>
        </w:rPr>
      </w:pPr>
    </w:p>
    <w:p w:rsidR="000A739F" w:rsidRPr="009353E6" w:rsidRDefault="000A739F" w:rsidP="005D27AA">
      <w:pPr>
        <w:pStyle w:val="BodyText"/>
        <w:tabs>
          <w:tab w:val="left" w:pos="540"/>
        </w:tabs>
        <w:spacing w:line="240" w:lineRule="auto"/>
        <w:jc w:val="left"/>
        <w:rPr>
          <w:sz w:val="22"/>
          <w:szCs w:val="22"/>
          <w:lang w:val="pl-PL"/>
        </w:rPr>
      </w:pPr>
      <w:r w:rsidRPr="009353E6">
        <w:rPr>
          <w:sz w:val="22"/>
          <w:szCs w:val="22"/>
          <w:lang w:val="pl-PL"/>
        </w:rPr>
        <w:t>1.</w:t>
      </w:r>
      <w:r w:rsidRPr="009353E6">
        <w:rPr>
          <w:sz w:val="22"/>
          <w:szCs w:val="22"/>
          <w:lang w:val="pl-PL"/>
        </w:rPr>
        <w:tab/>
        <w:t>Co to jest lek MicardisPlus i w jakim celu się go stosuje</w:t>
      </w:r>
    </w:p>
    <w:p w:rsidR="000A739F" w:rsidRPr="009353E6" w:rsidRDefault="000A739F" w:rsidP="005D27AA">
      <w:pPr>
        <w:pStyle w:val="BodyText"/>
        <w:tabs>
          <w:tab w:val="left" w:pos="540"/>
        </w:tabs>
        <w:spacing w:line="240" w:lineRule="auto"/>
        <w:jc w:val="left"/>
        <w:rPr>
          <w:sz w:val="22"/>
          <w:szCs w:val="22"/>
          <w:lang w:val="pl-PL"/>
        </w:rPr>
      </w:pPr>
      <w:r w:rsidRPr="009353E6">
        <w:rPr>
          <w:sz w:val="22"/>
          <w:szCs w:val="22"/>
          <w:lang w:val="pl-PL"/>
        </w:rPr>
        <w:t xml:space="preserve">2. </w:t>
      </w:r>
      <w:r w:rsidRPr="009353E6">
        <w:rPr>
          <w:sz w:val="22"/>
          <w:szCs w:val="22"/>
          <w:lang w:val="pl-PL"/>
        </w:rPr>
        <w:tab/>
        <w:t xml:space="preserve">Informacje ważne przed </w:t>
      </w:r>
      <w:r w:rsidR="00105AE1" w:rsidRPr="009353E6">
        <w:rPr>
          <w:sz w:val="22"/>
          <w:szCs w:val="22"/>
          <w:lang w:val="pl-PL"/>
        </w:rPr>
        <w:t>przyjęciem</w:t>
      </w:r>
      <w:r w:rsidRPr="009353E6">
        <w:rPr>
          <w:sz w:val="22"/>
          <w:szCs w:val="22"/>
          <w:lang w:val="pl-PL"/>
        </w:rPr>
        <w:t xml:space="preserve"> leku MicardisPlus  </w:t>
      </w:r>
    </w:p>
    <w:p w:rsidR="000A739F" w:rsidRPr="009353E6" w:rsidRDefault="000A739F" w:rsidP="005D27AA">
      <w:pPr>
        <w:pStyle w:val="BodyText"/>
        <w:tabs>
          <w:tab w:val="left" w:pos="540"/>
        </w:tabs>
        <w:spacing w:line="240" w:lineRule="auto"/>
        <w:jc w:val="left"/>
        <w:rPr>
          <w:sz w:val="22"/>
          <w:szCs w:val="22"/>
          <w:lang w:val="pl-PL"/>
        </w:rPr>
      </w:pPr>
      <w:r w:rsidRPr="009353E6">
        <w:rPr>
          <w:sz w:val="22"/>
          <w:szCs w:val="22"/>
          <w:lang w:val="pl-PL"/>
        </w:rPr>
        <w:t xml:space="preserve">3. </w:t>
      </w:r>
      <w:r w:rsidRPr="009353E6">
        <w:rPr>
          <w:sz w:val="22"/>
          <w:szCs w:val="22"/>
          <w:lang w:val="pl-PL"/>
        </w:rPr>
        <w:tab/>
        <w:t xml:space="preserve">Jak </w:t>
      </w:r>
      <w:r w:rsidR="00105AE1" w:rsidRPr="009353E6">
        <w:rPr>
          <w:sz w:val="22"/>
          <w:szCs w:val="22"/>
          <w:lang w:val="pl-PL"/>
        </w:rPr>
        <w:t>przyjmować</w:t>
      </w:r>
      <w:r w:rsidRPr="009353E6">
        <w:rPr>
          <w:sz w:val="22"/>
          <w:szCs w:val="22"/>
          <w:lang w:val="pl-PL"/>
        </w:rPr>
        <w:t xml:space="preserve"> lek MicardisPlus</w:t>
      </w:r>
      <w:r w:rsidRPr="009353E6">
        <w:rPr>
          <w:sz w:val="22"/>
          <w:szCs w:val="22"/>
          <w:vertAlign w:val="superscript"/>
          <w:lang w:val="pl-PL"/>
        </w:rPr>
        <w:t xml:space="preserve"> </w:t>
      </w:r>
    </w:p>
    <w:p w:rsidR="000A739F" w:rsidRPr="009353E6" w:rsidRDefault="000A739F" w:rsidP="005D27AA">
      <w:pPr>
        <w:pStyle w:val="BodyText"/>
        <w:tabs>
          <w:tab w:val="left" w:pos="540"/>
        </w:tabs>
        <w:spacing w:line="240" w:lineRule="auto"/>
        <w:jc w:val="left"/>
        <w:rPr>
          <w:sz w:val="22"/>
          <w:szCs w:val="22"/>
          <w:lang w:val="pl-PL"/>
        </w:rPr>
      </w:pPr>
      <w:r w:rsidRPr="009353E6">
        <w:rPr>
          <w:sz w:val="22"/>
          <w:szCs w:val="22"/>
          <w:lang w:val="pl-PL"/>
        </w:rPr>
        <w:t xml:space="preserve">4. </w:t>
      </w:r>
      <w:r w:rsidRPr="009353E6">
        <w:rPr>
          <w:sz w:val="22"/>
          <w:szCs w:val="22"/>
          <w:lang w:val="pl-PL"/>
        </w:rPr>
        <w:tab/>
        <w:t>Możliwe działania niepożądane</w:t>
      </w:r>
    </w:p>
    <w:p w:rsidR="000A739F" w:rsidRPr="009353E6" w:rsidRDefault="000A739F" w:rsidP="005D27AA">
      <w:pPr>
        <w:pStyle w:val="BodyText"/>
        <w:tabs>
          <w:tab w:val="left" w:pos="540"/>
        </w:tabs>
        <w:spacing w:line="240" w:lineRule="auto"/>
        <w:jc w:val="left"/>
        <w:rPr>
          <w:sz w:val="22"/>
          <w:szCs w:val="22"/>
          <w:lang w:val="pl-PL"/>
        </w:rPr>
      </w:pPr>
      <w:r w:rsidRPr="009353E6">
        <w:rPr>
          <w:sz w:val="22"/>
          <w:szCs w:val="22"/>
          <w:lang w:val="pl-PL"/>
        </w:rPr>
        <w:t xml:space="preserve">5. </w:t>
      </w:r>
      <w:r w:rsidRPr="009353E6">
        <w:rPr>
          <w:sz w:val="22"/>
          <w:szCs w:val="22"/>
          <w:lang w:val="pl-PL"/>
        </w:rPr>
        <w:tab/>
        <w:t xml:space="preserve">Jak przechowywać lek MicardisPlus </w:t>
      </w:r>
    </w:p>
    <w:p w:rsidR="000A739F" w:rsidRPr="009353E6" w:rsidRDefault="000A739F" w:rsidP="005D27AA">
      <w:pPr>
        <w:pStyle w:val="BodyText"/>
        <w:tabs>
          <w:tab w:val="left" w:pos="540"/>
        </w:tabs>
        <w:spacing w:line="240" w:lineRule="auto"/>
        <w:jc w:val="left"/>
        <w:rPr>
          <w:sz w:val="22"/>
          <w:szCs w:val="22"/>
          <w:lang w:val="pl-PL"/>
        </w:rPr>
      </w:pPr>
      <w:r w:rsidRPr="009353E6">
        <w:rPr>
          <w:sz w:val="22"/>
          <w:szCs w:val="22"/>
          <w:lang w:val="pl-PL"/>
        </w:rPr>
        <w:t xml:space="preserve">6. </w:t>
      </w:r>
      <w:r w:rsidRPr="009353E6">
        <w:rPr>
          <w:sz w:val="22"/>
          <w:szCs w:val="22"/>
          <w:lang w:val="pl-PL"/>
        </w:rPr>
        <w:tab/>
      </w:r>
      <w:r w:rsidR="00BD7796" w:rsidRPr="009353E6">
        <w:rPr>
          <w:sz w:val="22"/>
          <w:szCs w:val="22"/>
          <w:lang w:val="pl-PL" w:bidi="bn-IN"/>
        </w:rPr>
        <w:t>Zawartość opakowania i inne informacje</w:t>
      </w:r>
    </w:p>
    <w:p w:rsidR="000A739F" w:rsidRPr="009353E6" w:rsidRDefault="000A739F" w:rsidP="00F831F6">
      <w:pPr>
        <w:pStyle w:val="BodyText"/>
        <w:spacing w:line="240" w:lineRule="auto"/>
        <w:jc w:val="left"/>
        <w:rPr>
          <w:i/>
          <w:sz w:val="22"/>
          <w:szCs w:val="22"/>
          <w:lang w:val="pl-PL"/>
        </w:rPr>
      </w:pPr>
    </w:p>
    <w:p w:rsidR="000A739F" w:rsidRPr="009353E6" w:rsidRDefault="000A739F" w:rsidP="00F831F6">
      <w:pPr>
        <w:pStyle w:val="BodyText"/>
        <w:spacing w:line="240" w:lineRule="auto"/>
        <w:jc w:val="left"/>
        <w:rPr>
          <w:sz w:val="22"/>
          <w:szCs w:val="22"/>
          <w:lang w:val="pl-PL"/>
        </w:rPr>
      </w:pPr>
    </w:p>
    <w:p w:rsidR="000A739F" w:rsidRPr="009353E6" w:rsidRDefault="000A739F" w:rsidP="005D27AA">
      <w:pPr>
        <w:pStyle w:val="BodyText"/>
        <w:tabs>
          <w:tab w:val="left" w:pos="540"/>
        </w:tabs>
        <w:spacing w:line="240" w:lineRule="auto"/>
        <w:jc w:val="left"/>
        <w:rPr>
          <w:b/>
          <w:sz w:val="22"/>
          <w:szCs w:val="22"/>
          <w:lang w:val="pl-PL"/>
        </w:rPr>
      </w:pPr>
      <w:r w:rsidRPr="009353E6">
        <w:rPr>
          <w:b/>
          <w:sz w:val="22"/>
          <w:szCs w:val="22"/>
          <w:lang w:val="pl-PL"/>
        </w:rPr>
        <w:t>1.</w:t>
      </w:r>
      <w:r w:rsidRPr="009353E6">
        <w:rPr>
          <w:b/>
          <w:sz w:val="22"/>
          <w:szCs w:val="22"/>
          <w:lang w:val="pl-PL"/>
        </w:rPr>
        <w:tab/>
      </w:r>
      <w:r w:rsidR="00BD7796" w:rsidRPr="009353E6">
        <w:rPr>
          <w:b/>
          <w:sz w:val="22"/>
          <w:szCs w:val="22"/>
          <w:lang w:val="pl-PL"/>
        </w:rPr>
        <w:t>Co to jest lek MicardisPlus i w jakim celu się go stosuje</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MicardisPlus jest </w:t>
      </w:r>
      <w:r w:rsidR="000D5AB0" w:rsidRPr="009353E6">
        <w:rPr>
          <w:sz w:val="22"/>
          <w:szCs w:val="22"/>
          <w:lang w:val="pl-PL"/>
        </w:rPr>
        <w:t>lekie</w:t>
      </w:r>
      <w:r w:rsidR="00BD7796" w:rsidRPr="009353E6">
        <w:rPr>
          <w:sz w:val="22"/>
          <w:szCs w:val="22"/>
          <w:lang w:val="pl-PL"/>
        </w:rPr>
        <w:t xml:space="preserve">m </w:t>
      </w:r>
      <w:r w:rsidR="000D5AB0" w:rsidRPr="009353E6">
        <w:rPr>
          <w:sz w:val="22"/>
          <w:szCs w:val="22"/>
          <w:lang w:val="pl-PL"/>
        </w:rPr>
        <w:t xml:space="preserve">złożonym, zawierającym </w:t>
      </w:r>
      <w:r w:rsidRPr="009353E6">
        <w:rPr>
          <w:sz w:val="22"/>
          <w:szCs w:val="22"/>
          <w:lang w:val="pl-PL"/>
        </w:rPr>
        <w:t>dw</w:t>
      </w:r>
      <w:r w:rsidR="000D5AB0" w:rsidRPr="009353E6">
        <w:rPr>
          <w:sz w:val="22"/>
          <w:szCs w:val="22"/>
          <w:lang w:val="pl-PL"/>
        </w:rPr>
        <w:t>ie</w:t>
      </w:r>
      <w:r w:rsidRPr="009353E6">
        <w:rPr>
          <w:sz w:val="22"/>
          <w:szCs w:val="22"/>
          <w:lang w:val="pl-PL"/>
        </w:rPr>
        <w:t xml:space="preserve"> substancj</w:t>
      </w:r>
      <w:r w:rsidR="000D5AB0" w:rsidRPr="009353E6">
        <w:rPr>
          <w:sz w:val="22"/>
          <w:szCs w:val="22"/>
          <w:lang w:val="pl-PL"/>
        </w:rPr>
        <w:t>e</w:t>
      </w:r>
      <w:r w:rsidRPr="009353E6">
        <w:rPr>
          <w:sz w:val="22"/>
          <w:szCs w:val="22"/>
          <w:lang w:val="pl-PL"/>
        </w:rPr>
        <w:t xml:space="preserve"> czynn</w:t>
      </w:r>
      <w:r w:rsidR="000D5AB0" w:rsidRPr="009353E6">
        <w:rPr>
          <w:sz w:val="22"/>
          <w:szCs w:val="22"/>
          <w:lang w:val="pl-PL"/>
        </w:rPr>
        <w:t>e</w:t>
      </w:r>
      <w:r w:rsidRPr="009353E6">
        <w:rPr>
          <w:sz w:val="22"/>
          <w:szCs w:val="22"/>
          <w:lang w:val="pl-PL"/>
        </w:rPr>
        <w:t>, telmisartan i</w:t>
      </w:r>
    </w:p>
    <w:p w:rsidR="000A739F" w:rsidRPr="009353E6" w:rsidRDefault="00C368B1" w:rsidP="00F831F6">
      <w:pPr>
        <w:pStyle w:val="BodyText"/>
        <w:spacing w:line="240" w:lineRule="auto"/>
        <w:jc w:val="left"/>
        <w:rPr>
          <w:sz w:val="22"/>
          <w:szCs w:val="22"/>
          <w:lang w:val="pl-PL"/>
        </w:rPr>
      </w:pPr>
      <w:r w:rsidRPr="009353E6">
        <w:rPr>
          <w:sz w:val="22"/>
          <w:szCs w:val="22"/>
          <w:lang w:val="pl-PL"/>
        </w:rPr>
        <w:t>h</w:t>
      </w:r>
      <w:r w:rsidR="000A739F" w:rsidRPr="009353E6">
        <w:rPr>
          <w:sz w:val="22"/>
          <w:szCs w:val="22"/>
          <w:lang w:val="pl-PL"/>
        </w:rPr>
        <w:t>ydrochlorotiazyd</w:t>
      </w:r>
      <w:r w:rsidR="000D5AB0" w:rsidRPr="009353E6">
        <w:rPr>
          <w:sz w:val="22"/>
          <w:szCs w:val="22"/>
          <w:lang w:val="pl-PL"/>
        </w:rPr>
        <w:t xml:space="preserve"> </w:t>
      </w:r>
      <w:r w:rsidR="000A739F" w:rsidRPr="009353E6">
        <w:rPr>
          <w:sz w:val="22"/>
          <w:szCs w:val="22"/>
          <w:lang w:val="pl-PL"/>
        </w:rPr>
        <w:t xml:space="preserve">w jednej tabletce. Obie substancje wspomagają kontrolę wysokiego ciśnienia tętniczego krwi.  </w:t>
      </w:r>
    </w:p>
    <w:p w:rsidR="000A739F" w:rsidRPr="009353E6" w:rsidRDefault="000A739F" w:rsidP="00F831F6">
      <w:pPr>
        <w:pStyle w:val="BodyText"/>
        <w:spacing w:line="240" w:lineRule="auto"/>
        <w:jc w:val="left"/>
        <w:rPr>
          <w:sz w:val="22"/>
          <w:szCs w:val="22"/>
          <w:lang w:val="pl-PL"/>
        </w:rPr>
      </w:pPr>
    </w:p>
    <w:p w:rsidR="000A739F" w:rsidRPr="009353E6" w:rsidRDefault="000A739F" w:rsidP="002D507E">
      <w:pPr>
        <w:pStyle w:val="BodyText"/>
        <w:numPr>
          <w:ilvl w:val="0"/>
          <w:numId w:val="31"/>
        </w:numPr>
        <w:tabs>
          <w:tab w:val="clear" w:pos="2520"/>
          <w:tab w:val="num" w:pos="540"/>
        </w:tabs>
        <w:spacing w:line="240" w:lineRule="auto"/>
        <w:ind w:left="540" w:hanging="540"/>
        <w:jc w:val="left"/>
        <w:rPr>
          <w:sz w:val="22"/>
          <w:szCs w:val="22"/>
          <w:lang w:val="pl-PL"/>
        </w:rPr>
      </w:pPr>
      <w:r w:rsidRPr="009353E6">
        <w:rPr>
          <w:sz w:val="22"/>
          <w:szCs w:val="22"/>
          <w:lang w:val="pl-PL"/>
        </w:rPr>
        <w:t xml:space="preserve">Telmisartan należy do grupy leków zwanych antagonistami receptora angiotensyny II. Angiotensyna II jest substancją </w:t>
      </w:r>
      <w:r w:rsidR="000D5AB0" w:rsidRPr="009353E6">
        <w:rPr>
          <w:sz w:val="22"/>
          <w:szCs w:val="22"/>
          <w:lang w:val="pl-PL"/>
        </w:rPr>
        <w:t xml:space="preserve">wytwarzaną </w:t>
      </w:r>
      <w:r w:rsidRPr="009353E6">
        <w:rPr>
          <w:sz w:val="22"/>
          <w:szCs w:val="22"/>
          <w:lang w:val="pl-PL"/>
        </w:rPr>
        <w:t>w organizmie, powodującą zwężenie naczyń krwionośnych</w:t>
      </w:r>
      <w:r w:rsidR="000D5AB0" w:rsidRPr="009353E6">
        <w:rPr>
          <w:sz w:val="22"/>
          <w:szCs w:val="22"/>
          <w:lang w:val="pl-PL"/>
        </w:rPr>
        <w:t>, t</w:t>
      </w:r>
      <w:r w:rsidRPr="009353E6">
        <w:rPr>
          <w:sz w:val="22"/>
          <w:szCs w:val="22"/>
          <w:lang w:val="pl-PL"/>
        </w:rPr>
        <w:t>ym samym podwyższaj</w:t>
      </w:r>
      <w:r w:rsidR="000D5AB0" w:rsidRPr="009353E6">
        <w:rPr>
          <w:sz w:val="22"/>
          <w:szCs w:val="22"/>
          <w:lang w:val="pl-PL"/>
        </w:rPr>
        <w:t>ącą</w:t>
      </w:r>
      <w:r w:rsidRPr="009353E6">
        <w:rPr>
          <w:sz w:val="22"/>
          <w:szCs w:val="22"/>
          <w:lang w:val="pl-PL"/>
        </w:rPr>
        <w:t xml:space="preserve"> ciśnienie tętnicze. Te</w:t>
      </w:r>
      <w:r w:rsidR="00D707F3" w:rsidRPr="009353E6">
        <w:rPr>
          <w:sz w:val="22"/>
          <w:szCs w:val="22"/>
          <w:lang w:val="pl-PL"/>
        </w:rPr>
        <w:t>l</w:t>
      </w:r>
      <w:r w:rsidRPr="009353E6">
        <w:rPr>
          <w:sz w:val="22"/>
          <w:szCs w:val="22"/>
          <w:lang w:val="pl-PL"/>
        </w:rPr>
        <w:t xml:space="preserve">misartan blokuje efekt działania angiotensyny II, w związku z czym naczynia krwionośne rozszerzają się, a ciśnienie tętnicze obniża. </w:t>
      </w:r>
    </w:p>
    <w:p w:rsidR="000A739F" w:rsidRPr="009353E6" w:rsidRDefault="000A739F" w:rsidP="005D27AA">
      <w:pPr>
        <w:pStyle w:val="BodyText"/>
        <w:tabs>
          <w:tab w:val="num" w:pos="540"/>
        </w:tabs>
        <w:spacing w:line="240" w:lineRule="auto"/>
        <w:ind w:left="540" w:hanging="540"/>
        <w:jc w:val="left"/>
        <w:rPr>
          <w:sz w:val="22"/>
          <w:szCs w:val="22"/>
          <w:lang w:val="pl-PL"/>
        </w:rPr>
      </w:pPr>
    </w:p>
    <w:p w:rsidR="000A739F" w:rsidRPr="009353E6" w:rsidRDefault="000A739F" w:rsidP="002D507E">
      <w:pPr>
        <w:pStyle w:val="BodyText"/>
        <w:numPr>
          <w:ilvl w:val="0"/>
          <w:numId w:val="31"/>
        </w:numPr>
        <w:tabs>
          <w:tab w:val="clear" w:pos="2520"/>
          <w:tab w:val="num" w:pos="540"/>
        </w:tabs>
        <w:spacing w:line="240" w:lineRule="auto"/>
        <w:ind w:left="540" w:hanging="540"/>
        <w:jc w:val="left"/>
        <w:rPr>
          <w:sz w:val="22"/>
          <w:szCs w:val="22"/>
          <w:lang w:val="pl-PL"/>
        </w:rPr>
      </w:pPr>
      <w:r w:rsidRPr="009353E6">
        <w:rPr>
          <w:sz w:val="22"/>
          <w:szCs w:val="22"/>
          <w:lang w:val="pl-PL"/>
        </w:rPr>
        <w:t xml:space="preserve">Hydrochlorotiazyd należy do grupy leków zwanych tiazydowymi lekami moczopędnymi, zwiększa wydalanie moczu, co prowadzi do obniżenia ciśnienia tętniczego. </w:t>
      </w: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  </w:t>
      </w:r>
    </w:p>
    <w:p w:rsidR="000A739F" w:rsidRPr="009353E6" w:rsidRDefault="000A739F" w:rsidP="00F831F6">
      <w:pPr>
        <w:pStyle w:val="BodyText"/>
        <w:spacing w:line="240" w:lineRule="auto"/>
        <w:jc w:val="left"/>
        <w:rPr>
          <w:sz w:val="22"/>
          <w:szCs w:val="22"/>
          <w:lang w:val="pl-PL"/>
        </w:rPr>
      </w:pPr>
      <w:r w:rsidRPr="009353E6">
        <w:rPr>
          <w:sz w:val="22"/>
          <w:szCs w:val="22"/>
          <w:lang w:val="pl-PL"/>
        </w:rPr>
        <w:t>Nieleczone podwyższone ciśnienie tętnicze może powodować uszkodzenie naczyń krwionośnych w</w:t>
      </w:r>
      <w:r w:rsidR="00B43A19" w:rsidRPr="009353E6">
        <w:rPr>
          <w:sz w:val="22"/>
          <w:szCs w:val="22"/>
          <w:lang w:val="pl-PL"/>
        </w:rPr>
        <w:t> </w:t>
      </w:r>
      <w:r w:rsidRPr="009353E6">
        <w:rPr>
          <w:sz w:val="22"/>
          <w:szCs w:val="22"/>
          <w:lang w:val="pl-PL"/>
        </w:rPr>
        <w:t>narządach, w niektórych przypadkach może być przyczyną powikłań takich jak zawał serca, niewydolność serca lub nerek, udar mózgu lub utrata wzroku. Najczęściej przed pojawieniem się powyższych powikłań nie obserwuje się występowania żadnych</w:t>
      </w:r>
      <w:r w:rsidR="000D5AB0" w:rsidRPr="009353E6">
        <w:rPr>
          <w:sz w:val="22"/>
          <w:szCs w:val="22"/>
          <w:lang w:val="pl-PL"/>
        </w:rPr>
        <w:t xml:space="preserve"> </w:t>
      </w:r>
      <w:r w:rsidRPr="009353E6">
        <w:rPr>
          <w:sz w:val="22"/>
          <w:szCs w:val="22"/>
          <w:lang w:val="pl-PL"/>
        </w:rPr>
        <w:t>objawów</w:t>
      </w:r>
      <w:r w:rsidR="000D5AB0" w:rsidRPr="009353E6">
        <w:rPr>
          <w:sz w:val="22"/>
          <w:szCs w:val="22"/>
          <w:lang w:val="pl-PL"/>
        </w:rPr>
        <w:t xml:space="preserve"> podwyższonego ciśnienia krwi. Z tego powodu wa</w:t>
      </w:r>
      <w:r w:rsidR="00D707F3" w:rsidRPr="009353E6">
        <w:rPr>
          <w:sz w:val="22"/>
          <w:szCs w:val="22"/>
          <w:lang w:val="pl-PL"/>
        </w:rPr>
        <w:t>ż</w:t>
      </w:r>
      <w:r w:rsidR="000D5AB0" w:rsidRPr="009353E6">
        <w:rPr>
          <w:sz w:val="22"/>
          <w:szCs w:val="22"/>
          <w:lang w:val="pl-PL"/>
        </w:rPr>
        <w:t xml:space="preserve">ne jest, aby regularnie mierzyć </w:t>
      </w:r>
      <w:r w:rsidRPr="009353E6">
        <w:rPr>
          <w:sz w:val="22"/>
          <w:szCs w:val="22"/>
          <w:lang w:val="pl-PL"/>
        </w:rPr>
        <w:t>ciśnieni</w:t>
      </w:r>
      <w:r w:rsidR="000D5AB0" w:rsidRPr="009353E6">
        <w:rPr>
          <w:sz w:val="22"/>
          <w:szCs w:val="22"/>
          <w:lang w:val="pl-PL"/>
        </w:rPr>
        <w:t>e</w:t>
      </w:r>
      <w:r w:rsidRPr="009353E6">
        <w:rPr>
          <w:sz w:val="22"/>
          <w:szCs w:val="22"/>
          <w:lang w:val="pl-PL"/>
        </w:rPr>
        <w:t xml:space="preserve"> tętnicze krwi</w:t>
      </w:r>
      <w:r w:rsidR="000D5AB0" w:rsidRPr="009353E6">
        <w:rPr>
          <w:sz w:val="22"/>
          <w:szCs w:val="22"/>
          <w:lang w:val="pl-PL"/>
        </w:rPr>
        <w:t>, żeby spr</w:t>
      </w:r>
      <w:r w:rsidR="00D707F3" w:rsidRPr="009353E6">
        <w:rPr>
          <w:sz w:val="22"/>
          <w:szCs w:val="22"/>
          <w:lang w:val="pl-PL"/>
        </w:rPr>
        <w:t>a</w:t>
      </w:r>
      <w:r w:rsidR="000D5AB0" w:rsidRPr="009353E6">
        <w:rPr>
          <w:sz w:val="22"/>
          <w:szCs w:val="22"/>
          <w:lang w:val="pl-PL"/>
        </w:rPr>
        <w:t xml:space="preserve">wdzać, czy mieści się ono w prawidłowym zakresie wartości. </w:t>
      </w:r>
      <w:r w:rsidRPr="009353E6">
        <w:rPr>
          <w:sz w:val="22"/>
          <w:szCs w:val="22"/>
          <w:lang w:val="pl-PL"/>
        </w:rPr>
        <w:t xml:space="preserve"> </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rFonts w:eastAsia="MS Mincho"/>
          <w:sz w:val="22"/>
          <w:szCs w:val="22"/>
          <w:lang w:val="pl-PL" w:eastAsia="ja-JP"/>
        </w:rPr>
      </w:pPr>
      <w:r w:rsidRPr="009353E6">
        <w:rPr>
          <w:rFonts w:eastAsia="MS Mincho"/>
          <w:b/>
          <w:sz w:val="22"/>
          <w:szCs w:val="22"/>
          <w:lang w:val="pl-PL" w:eastAsia="ja-JP"/>
        </w:rPr>
        <w:t>MicardisPlus jest stosowany</w:t>
      </w:r>
      <w:r w:rsidRPr="009353E6">
        <w:rPr>
          <w:rFonts w:eastAsia="MS Mincho"/>
          <w:sz w:val="22"/>
          <w:szCs w:val="22"/>
          <w:lang w:val="pl-PL" w:eastAsia="ja-JP"/>
        </w:rPr>
        <w:t xml:space="preserve"> w leczeniu wysokiego ciśnienia tętniczego (samoistnego nadciśnienia tętniczego) u </w:t>
      </w:r>
      <w:r w:rsidR="00DB03B7" w:rsidRPr="009353E6">
        <w:rPr>
          <w:rFonts w:eastAsia="MS Mincho"/>
          <w:sz w:val="22"/>
          <w:szCs w:val="22"/>
          <w:lang w:val="pl-PL" w:eastAsia="ja-JP"/>
        </w:rPr>
        <w:t xml:space="preserve">osób </w:t>
      </w:r>
      <w:r w:rsidR="00BD7796" w:rsidRPr="009353E6">
        <w:rPr>
          <w:rFonts w:eastAsia="MS Mincho"/>
          <w:sz w:val="22"/>
          <w:szCs w:val="22"/>
          <w:lang w:val="pl-PL" w:eastAsia="ja-JP"/>
        </w:rPr>
        <w:t>dorosłych</w:t>
      </w:r>
      <w:r w:rsidRPr="009353E6">
        <w:rPr>
          <w:rFonts w:eastAsia="MS Mincho"/>
          <w:sz w:val="22"/>
          <w:szCs w:val="22"/>
          <w:lang w:val="pl-PL" w:eastAsia="ja-JP"/>
        </w:rPr>
        <w:t xml:space="preserve">, u których ciśnienie </w:t>
      </w:r>
      <w:r w:rsidR="00DB03B7" w:rsidRPr="009353E6">
        <w:rPr>
          <w:rFonts w:eastAsia="MS Mincho"/>
          <w:sz w:val="22"/>
          <w:szCs w:val="22"/>
          <w:lang w:val="pl-PL" w:eastAsia="ja-JP"/>
        </w:rPr>
        <w:t xml:space="preserve">tętnicze </w:t>
      </w:r>
      <w:r w:rsidRPr="009353E6">
        <w:rPr>
          <w:rFonts w:eastAsia="MS Mincho"/>
          <w:sz w:val="22"/>
          <w:szCs w:val="22"/>
          <w:lang w:val="pl-PL" w:eastAsia="ja-JP"/>
        </w:rPr>
        <w:t>nie jest wystarczająco kontrolowane przez</w:t>
      </w:r>
      <w:r w:rsidR="00BD7796" w:rsidRPr="009353E6">
        <w:rPr>
          <w:rFonts w:eastAsia="MS Mincho"/>
          <w:sz w:val="22"/>
          <w:szCs w:val="22"/>
          <w:lang w:val="pl-PL" w:eastAsia="ja-JP"/>
        </w:rPr>
        <w:t xml:space="preserve"> MicardisPlus 80/12,5 mg lub u pacjentów którzy wcześniej byli ustabilizowani przez </w:t>
      </w:r>
      <w:r w:rsidRPr="009353E6">
        <w:rPr>
          <w:rFonts w:eastAsia="MS Mincho"/>
          <w:sz w:val="22"/>
          <w:szCs w:val="22"/>
          <w:lang w:val="pl-PL" w:eastAsia="ja-JP"/>
        </w:rPr>
        <w:t>telmisartan lub hydrochlorotiazyd stosowan</w:t>
      </w:r>
      <w:r w:rsidR="000D5AB0" w:rsidRPr="009353E6">
        <w:rPr>
          <w:rFonts w:eastAsia="MS Mincho"/>
          <w:sz w:val="22"/>
          <w:szCs w:val="22"/>
          <w:lang w:val="pl-PL" w:eastAsia="ja-JP"/>
        </w:rPr>
        <w:t>y</w:t>
      </w:r>
      <w:r w:rsidRPr="009353E6">
        <w:rPr>
          <w:rFonts w:eastAsia="MS Mincho"/>
          <w:sz w:val="22"/>
          <w:szCs w:val="22"/>
          <w:lang w:val="pl-PL" w:eastAsia="ja-JP"/>
        </w:rPr>
        <w:t xml:space="preserve"> oddzielnie.</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p w:rsidR="000A739F" w:rsidRPr="009353E6" w:rsidRDefault="000A739F" w:rsidP="005E3A9A">
      <w:pPr>
        <w:pStyle w:val="BodyText"/>
        <w:keepNext/>
        <w:tabs>
          <w:tab w:val="left" w:pos="540"/>
        </w:tabs>
        <w:spacing w:line="240" w:lineRule="auto"/>
        <w:jc w:val="left"/>
        <w:rPr>
          <w:b/>
          <w:sz w:val="22"/>
          <w:szCs w:val="22"/>
          <w:lang w:val="pl-PL"/>
        </w:rPr>
      </w:pPr>
      <w:r w:rsidRPr="009353E6">
        <w:rPr>
          <w:b/>
          <w:sz w:val="22"/>
          <w:szCs w:val="22"/>
          <w:lang w:val="pl-PL"/>
        </w:rPr>
        <w:t>2.</w:t>
      </w:r>
      <w:r w:rsidRPr="009353E6">
        <w:rPr>
          <w:b/>
          <w:sz w:val="22"/>
          <w:szCs w:val="22"/>
          <w:lang w:val="pl-PL"/>
        </w:rPr>
        <w:tab/>
      </w:r>
      <w:r w:rsidR="00BD7796" w:rsidRPr="009353E6">
        <w:rPr>
          <w:b/>
          <w:sz w:val="22"/>
          <w:szCs w:val="22"/>
          <w:lang w:val="pl-PL"/>
        </w:rPr>
        <w:t xml:space="preserve">Informacje ważne przed </w:t>
      </w:r>
      <w:r w:rsidR="00105AE1" w:rsidRPr="009353E6">
        <w:rPr>
          <w:b/>
          <w:sz w:val="22"/>
          <w:szCs w:val="22"/>
          <w:lang w:val="pl-PL"/>
        </w:rPr>
        <w:t>przyjęciem</w:t>
      </w:r>
      <w:r w:rsidR="00BD7796" w:rsidRPr="009353E6">
        <w:rPr>
          <w:b/>
          <w:sz w:val="22"/>
          <w:szCs w:val="22"/>
          <w:lang w:val="pl-PL"/>
        </w:rPr>
        <w:t xml:space="preserve"> leku MicardisPlus </w:t>
      </w:r>
    </w:p>
    <w:p w:rsidR="000A739F" w:rsidRPr="009353E6" w:rsidRDefault="000A739F" w:rsidP="005E3A9A">
      <w:pPr>
        <w:pStyle w:val="BodyText"/>
        <w:keepNext/>
        <w:spacing w:line="240" w:lineRule="auto"/>
        <w:jc w:val="left"/>
        <w:rPr>
          <w:sz w:val="22"/>
          <w:szCs w:val="22"/>
          <w:lang w:val="pl-PL"/>
        </w:rPr>
      </w:pPr>
    </w:p>
    <w:p w:rsidR="000A739F" w:rsidRPr="009353E6" w:rsidRDefault="000A739F" w:rsidP="005E3A9A">
      <w:pPr>
        <w:pStyle w:val="BodyText"/>
        <w:keepNext/>
        <w:spacing w:line="240" w:lineRule="auto"/>
        <w:jc w:val="left"/>
        <w:rPr>
          <w:b/>
          <w:sz w:val="22"/>
          <w:szCs w:val="22"/>
          <w:lang w:val="pl-PL"/>
        </w:rPr>
      </w:pPr>
      <w:r w:rsidRPr="009353E6">
        <w:rPr>
          <w:b/>
          <w:sz w:val="22"/>
          <w:szCs w:val="22"/>
          <w:lang w:val="pl-PL"/>
        </w:rPr>
        <w:t xml:space="preserve">Kiedy nie </w:t>
      </w:r>
      <w:r w:rsidR="00105AE1" w:rsidRPr="009353E6">
        <w:rPr>
          <w:b/>
          <w:sz w:val="22"/>
          <w:szCs w:val="22"/>
          <w:lang w:val="pl-PL"/>
        </w:rPr>
        <w:t>przyjmować</w:t>
      </w:r>
      <w:r w:rsidRPr="009353E6">
        <w:rPr>
          <w:b/>
          <w:sz w:val="22"/>
          <w:szCs w:val="22"/>
          <w:lang w:val="pl-PL"/>
        </w:rPr>
        <w:t xml:space="preserve"> leku MicardisPlus</w:t>
      </w:r>
    </w:p>
    <w:p w:rsidR="00BD7796" w:rsidRPr="009353E6" w:rsidRDefault="003C4A75" w:rsidP="00BD7796">
      <w:pPr>
        <w:numPr>
          <w:ilvl w:val="0"/>
          <w:numId w:val="50"/>
        </w:numPr>
        <w:rPr>
          <w:sz w:val="22"/>
          <w:szCs w:val="22"/>
          <w:lang w:val="pl-PL" w:bidi="bn-IN"/>
        </w:rPr>
      </w:pPr>
      <w:r w:rsidRPr="009353E6">
        <w:rPr>
          <w:sz w:val="22"/>
          <w:szCs w:val="22"/>
          <w:lang w:val="pl-PL"/>
        </w:rPr>
        <w:t xml:space="preserve">jeśli pacjent ma uczulenie na telmisartan lub którykolwiek z pozostałych składników </w:t>
      </w:r>
      <w:r w:rsidR="00BD7796" w:rsidRPr="009353E6">
        <w:rPr>
          <w:sz w:val="22"/>
          <w:szCs w:val="22"/>
          <w:lang w:val="pl-PL" w:bidi="bn-IN"/>
        </w:rPr>
        <w:t>tego leku (wymienion</w:t>
      </w:r>
      <w:r w:rsidR="00105AE1" w:rsidRPr="009353E6">
        <w:rPr>
          <w:sz w:val="22"/>
          <w:szCs w:val="22"/>
          <w:lang w:val="pl-PL" w:bidi="bn-IN"/>
        </w:rPr>
        <w:t>ych</w:t>
      </w:r>
      <w:r w:rsidR="00BD7796" w:rsidRPr="009353E6">
        <w:rPr>
          <w:sz w:val="22"/>
          <w:szCs w:val="22"/>
          <w:lang w:val="pl-PL" w:bidi="bn-IN"/>
        </w:rPr>
        <w:t xml:space="preserve"> w punkcie</w:t>
      </w:r>
      <w:r w:rsidR="00AF3932" w:rsidRPr="009353E6">
        <w:rPr>
          <w:sz w:val="22"/>
          <w:szCs w:val="22"/>
          <w:lang w:val="pl-PL" w:bidi="bn-IN"/>
        </w:rPr>
        <w:t> </w:t>
      </w:r>
      <w:r w:rsidR="00BD7796" w:rsidRPr="009353E6">
        <w:rPr>
          <w:sz w:val="22"/>
          <w:szCs w:val="22"/>
          <w:lang w:val="pl-PL" w:bidi="bn-IN"/>
        </w:rPr>
        <w:t>6)</w:t>
      </w:r>
      <w:r w:rsidR="00D26BEB" w:rsidRPr="009353E6">
        <w:rPr>
          <w:sz w:val="22"/>
          <w:szCs w:val="22"/>
          <w:lang w:val="pl-PL" w:bidi="bn-IN"/>
        </w:rPr>
        <w:t>;</w:t>
      </w:r>
    </w:p>
    <w:p w:rsidR="003C4A75" w:rsidRPr="009353E6" w:rsidRDefault="003C4A75" w:rsidP="003C4A75">
      <w:pPr>
        <w:numPr>
          <w:ilvl w:val="0"/>
          <w:numId w:val="32"/>
        </w:numPr>
        <w:tabs>
          <w:tab w:val="clear" w:pos="720"/>
          <w:tab w:val="num" w:pos="567"/>
        </w:tabs>
        <w:ind w:left="567" w:hanging="567"/>
        <w:rPr>
          <w:strike/>
          <w:sz w:val="22"/>
          <w:szCs w:val="22"/>
          <w:lang w:val="pl-PL"/>
        </w:rPr>
      </w:pPr>
      <w:r w:rsidRPr="009353E6">
        <w:rPr>
          <w:sz w:val="22"/>
          <w:szCs w:val="22"/>
          <w:lang w:val="pl-PL"/>
        </w:rPr>
        <w:t>jeśli pacjent ma uczulenie</w:t>
      </w:r>
      <w:r w:rsidR="00BD7796" w:rsidRPr="009353E6">
        <w:rPr>
          <w:sz w:val="22"/>
          <w:szCs w:val="22"/>
          <w:lang w:val="pl-PL"/>
        </w:rPr>
        <w:t xml:space="preserve"> </w:t>
      </w:r>
      <w:r w:rsidRPr="009353E6">
        <w:rPr>
          <w:sz w:val="22"/>
          <w:szCs w:val="22"/>
          <w:lang w:val="pl-PL"/>
        </w:rPr>
        <w:t>na hydrochlorotiazyd lub pochodne sulfonamidów;</w:t>
      </w:r>
    </w:p>
    <w:p w:rsidR="0042510A" w:rsidRPr="009353E6" w:rsidRDefault="0042510A" w:rsidP="002D507E">
      <w:pPr>
        <w:pStyle w:val="BodyText"/>
        <w:numPr>
          <w:ilvl w:val="0"/>
          <w:numId w:val="32"/>
        </w:numPr>
        <w:tabs>
          <w:tab w:val="clear" w:pos="720"/>
          <w:tab w:val="num" w:pos="540"/>
        </w:tabs>
        <w:spacing w:line="240" w:lineRule="auto"/>
        <w:ind w:left="540" w:hanging="540"/>
        <w:jc w:val="left"/>
        <w:rPr>
          <w:sz w:val="22"/>
          <w:szCs w:val="22"/>
          <w:lang w:val="pl-PL"/>
        </w:rPr>
      </w:pPr>
      <w:r w:rsidRPr="009353E6">
        <w:rPr>
          <w:sz w:val="22"/>
          <w:szCs w:val="22"/>
          <w:lang w:val="pl-PL"/>
        </w:rPr>
        <w:t>po trzecim miesiącu ciąży</w:t>
      </w:r>
      <w:r w:rsidR="0001616F" w:rsidRPr="009353E6">
        <w:rPr>
          <w:sz w:val="22"/>
          <w:szCs w:val="22"/>
          <w:lang w:val="pl-PL"/>
        </w:rPr>
        <w:t>.</w:t>
      </w:r>
      <w:r w:rsidRPr="009353E6">
        <w:rPr>
          <w:sz w:val="22"/>
          <w:szCs w:val="22"/>
          <w:lang w:val="pl-PL"/>
        </w:rPr>
        <w:t xml:space="preserve"> (Również należy unikać stosowania leku MicardisPlus we wczesnym okresie ciąży – patrz punkt „Ciąż</w:t>
      </w:r>
      <w:r w:rsidR="00E926FA" w:rsidRPr="009353E6">
        <w:rPr>
          <w:sz w:val="22"/>
          <w:szCs w:val="22"/>
          <w:lang w:val="pl-PL"/>
        </w:rPr>
        <w:t>a</w:t>
      </w:r>
      <w:r w:rsidRPr="009353E6">
        <w:rPr>
          <w:sz w:val="22"/>
          <w:szCs w:val="22"/>
          <w:lang w:val="pl-PL"/>
        </w:rPr>
        <w:t>”);</w:t>
      </w:r>
    </w:p>
    <w:p w:rsidR="000A739F" w:rsidRPr="009353E6" w:rsidRDefault="000A739F" w:rsidP="002D507E">
      <w:pPr>
        <w:pStyle w:val="BodyText"/>
        <w:numPr>
          <w:ilvl w:val="0"/>
          <w:numId w:val="32"/>
        </w:numPr>
        <w:tabs>
          <w:tab w:val="clear" w:pos="720"/>
          <w:tab w:val="num" w:pos="540"/>
        </w:tabs>
        <w:spacing w:line="240" w:lineRule="auto"/>
        <w:ind w:left="540" w:hanging="540"/>
        <w:jc w:val="left"/>
        <w:rPr>
          <w:sz w:val="22"/>
          <w:szCs w:val="22"/>
          <w:lang w:val="pl-PL"/>
        </w:rPr>
      </w:pPr>
      <w:r w:rsidRPr="009353E6">
        <w:rPr>
          <w:sz w:val="22"/>
          <w:szCs w:val="22"/>
          <w:lang w:val="pl-PL"/>
        </w:rPr>
        <w:t>jeśli u pacjenta występuje ciężka choroba wątroby, tak</w:t>
      </w:r>
      <w:r w:rsidR="000D5AB0" w:rsidRPr="009353E6">
        <w:rPr>
          <w:sz w:val="22"/>
          <w:szCs w:val="22"/>
          <w:lang w:val="pl-PL"/>
        </w:rPr>
        <w:t>a</w:t>
      </w:r>
      <w:r w:rsidRPr="009353E6">
        <w:rPr>
          <w:sz w:val="22"/>
          <w:szCs w:val="22"/>
          <w:lang w:val="pl-PL"/>
        </w:rPr>
        <w:t xml:space="preserve"> jak zastój żółci lub zwężeni</w:t>
      </w:r>
      <w:r w:rsidR="000D5AB0" w:rsidRPr="009353E6">
        <w:rPr>
          <w:sz w:val="22"/>
          <w:szCs w:val="22"/>
          <w:lang w:val="pl-PL"/>
        </w:rPr>
        <w:t>e</w:t>
      </w:r>
      <w:r w:rsidRPr="009353E6">
        <w:rPr>
          <w:sz w:val="22"/>
          <w:szCs w:val="22"/>
          <w:lang w:val="pl-PL"/>
        </w:rPr>
        <w:t xml:space="preserve"> dróg żółciowych (zaburzenia odpływu</w:t>
      </w:r>
      <w:r w:rsidR="001D027E" w:rsidRPr="009353E6">
        <w:rPr>
          <w:sz w:val="22"/>
          <w:szCs w:val="22"/>
          <w:lang w:val="pl-PL"/>
        </w:rPr>
        <w:t xml:space="preserve"> żółci z </w:t>
      </w:r>
      <w:r w:rsidR="00A50023" w:rsidRPr="009353E6">
        <w:rPr>
          <w:sz w:val="22"/>
          <w:szCs w:val="22"/>
          <w:lang w:val="pl-PL"/>
        </w:rPr>
        <w:t xml:space="preserve">wątroby i </w:t>
      </w:r>
      <w:r w:rsidR="001D027E" w:rsidRPr="009353E6">
        <w:rPr>
          <w:sz w:val="22"/>
          <w:szCs w:val="22"/>
          <w:lang w:val="pl-PL"/>
        </w:rPr>
        <w:t>pęcherzyka żółciowego)</w:t>
      </w:r>
      <w:r w:rsidR="000D5AB0" w:rsidRPr="009353E6">
        <w:rPr>
          <w:sz w:val="22"/>
          <w:szCs w:val="22"/>
          <w:lang w:val="pl-PL"/>
        </w:rPr>
        <w:t xml:space="preserve"> lub jakakolwiek inna ciężka </w:t>
      </w:r>
      <w:r w:rsidR="001D027E" w:rsidRPr="009353E6">
        <w:rPr>
          <w:sz w:val="22"/>
          <w:szCs w:val="22"/>
          <w:lang w:val="pl-PL"/>
        </w:rPr>
        <w:t>chorob</w:t>
      </w:r>
      <w:r w:rsidR="000D5AB0" w:rsidRPr="009353E6">
        <w:rPr>
          <w:sz w:val="22"/>
          <w:szCs w:val="22"/>
          <w:lang w:val="pl-PL"/>
        </w:rPr>
        <w:t>a</w:t>
      </w:r>
      <w:r w:rsidR="001D027E" w:rsidRPr="009353E6">
        <w:rPr>
          <w:sz w:val="22"/>
          <w:szCs w:val="22"/>
          <w:lang w:val="pl-PL"/>
        </w:rPr>
        <w:t xml:space="preserve"> wątroby</w:t>
      </w:r>
      <w:r w:rsidR="000D5AB0" w:rsidRPr="009353E6">
        <w:rPr>
          <w:sz w:val="22"/>
          <w:szCs w:val="22"/>
          <w:lang w:val="pl-PL"/>
        </w:rPr>
        <w:t>;</w:t>
      </w:r>
    </w:p>
    <w:p w:rsidR="000A739F" w:rsidRPr="009353E6" w:rsidRDefault="000A739F" w:rsidP="002D507E">
      <w:pPr>
        <w:pStyle w:val="BodyText"/>
        <w:numPr>
          <w:ilvl w:val="0"/>
          <w:numId w:val="32"/>
        </w:numPr>
        <w:tabs>
          <w:tab w:val="clear" w:pos="720"/>
          <w:tab w:val="num" w:pos="540"/>
        </w:tabs>
        <w:spacing w:line="240" w:lineRule="auto"/>
        <w:ind w:left="540" w:hanging="540"/>
        <w:jc w:val="left"/>
        <w:rPr>
          <w:sz w:val="22"/>
          <w:szCs w:val="22"/>
          <w:lang w:val="pl-PL"/>
        </w:rPr>
      </w:pPr>
      <w:r w:rsidRPr="009353E6">
        <w:rPr>
          <w:sz w:val="22"/>
          <w:szCs w:val="22"/>
          <w:lang w:val="pl-PL"/>
        </w:rPr>
        <w:t>jeśli pacjent ma ciężką cho</w:t>
      </w:r>
      <w:r w:rsidR="001D027E" w:rsidRPr="009353E6">
        <w:rPr>
          <w:sz w:val="22"/>
          <w:szCs w:val="22"/>
          <w:lang w:val="pl-PL"/>
        </w:rPr>
        <w:t>robę nerek</w:t>
      </w:r>
      <w:r w:rsidR="000D5AB0" w:rsidRPr="009353E6">
        <w:rPr>
          <w:sz w:val="22"/>
          <w:szCs w:val="22"/>
          <w:lang w:val="pl-PL"/>
        </w:rPr>
        <w:t>;</w:t>
      </w:r>
    </w:p>
    <w:p w:rsidR="000A739F" w:rsidRPr="009353E6" w:rsidRDefault="000A739F" w:rsidP="002D507E">
      <w:pPr>
        <w:pStyle w:val="BodyText"/>
        <w:numPr>
          <w:ilvl w:val="0"/>
          <w:numId w:val="32"/>
        </w:numPr>
        <w:tabs>
          <w:tab w:val="clear" w:pos="720"/>
          <w:tab w:val="num" w:pos="540"/>
        </w:tabs>
        <w:spacing w:line="240" w:lineRule="auto"/>
        <w:ind w:left="540" w:hanging="540"/>
        <w:jc w:val="left"/>
        <w:rPr>
          <w:sz w:val="22"/>
          <w:szCs w:val="22"/>
          <w:lang w:val="pl-PL"/>
        </w:rPr>
      </w:pPr>
      <w:r w:rsidRPr="009353E6">
        <w:rPr>
          <w:sz w:val="22"/>
          <w:szCs w:val="22"/>
          <w:lang w:val="pl-PL"/>
        </w:rPr>
        <w:t>jeśli lekarz stwierdzi występowanie</w:t>
      </w:r>
      <w:r w:rsidR="000D5AB0" w:rsidRPr="009353E6">
        <w:rPr>
          <w:sz w:val="22"/>
          <w:szCs w:val="22"/>
          <w:lang w:val="pl-PL"/>
        </w:rPr>
        <w:t xml:space="preserve"> małego stężenia </w:t>
      </w:r>
      <w:r w:rsidRPr="009353E6">
        <w:rPr>
          <w:sz w:val="22"/>
          <w:szCs w:val="22"/>
          <w:lang w:val="pl-PL"/>
        </w:rPr>
        <w:t xml:space="preserve">potasu lub </w:t>
      </w:r>
      <w:r w:rsidR="000D5AB0" w:rsidRPr="009353E6">
        <w:rPr>
          <w:sz w:val="22"/>
          <w:szCs w:val="22"/>
          <w:lang w:val="pl-PL"/>
        </w:rPr>
        <w:t>dużego stężenia</w:t>
      </w:r>
      <w:r w:rsidRPr="009353E6">
        <w:rPr>
          <w:sz w:val="22"/>
          <w:szCs w:val="22"/>
          <w:lang w:val="pl-PL"/>
        </w:rPr>
        <w:t xml:space="preserve"> wapnia we krwi, które nie ulegają poprawie na skutek leczenia</w:t>
      </w:r>
      <w:r w:rsidR="00D26BEB" w:rsidRPr="009353E6">
        <w:rPr>
          <w:sz w:val="22"/>
          <w:szCs w:val="22"/>
          <w:lang w:val="pl-PL"/>
        </w:rPr>
        <w:t>;</w:t>
      </w:r>
    </w:p>
    <w:p w:rsidR="00065995" w:rsidRPr="009353E6" w:rsidRDefault="00065995" w:rsidP="00D50D09">
      <w:pPr>
        <w:numPr>
          <w:ilvl w:val="0"/>
          <w:numId w:val="32"/>
        </w:numPr>
        <w:tabs>
          <w:tab w:val="clear" w:pos="720"/>
          <w:tab w:val="num" w:pos="567"/>
        </w:tabs>
        <w:ind w:left="567" w:hanging="578"/>
        <w:rPr>
          <w:sz w:val="22"/>
          <w:szCs w:val="22"/>
          <w:lang w:val="pl-PL"/>
        </w:rPr>
      </w:pPr>
      <w:r w:rsidRPr="009353E6">
        <w:rPr>
          <w:sz w:val="22"/>
          <w:szCs w:val="22"/>
          <w:lang w:val="pl-PL"/>
        </w:rPr>
        <w:t>jeśli pacjent ma cukrzycę lub zaburzenia czynności nerek i jest leczony lekiem obniżającym ciśnienie krwi zawierającym aliskiren.</w:t>
      </w:r>
    </w:p>
    <w:p w:rsidR="000A739F" w:rsidRPr="009353E6" w:rsidRDefault="000A739F" w:rsidP="00F831F6">
      <w:pPr>
        <w:pStyle w:val="BodyText"/>
        <w:spacing w:line="240" w:lineRule="auto"/>
        <w:jc w:val="left"/>
        <w:rPr>
          <w:sz w:val="22"/>
          <w:szCs w:val="22"/>
          <w:lang w:val="pl-PL"/>
        </w:rPr>
      </w:pPr>
    </w:p>
    <w:p w:rsidR="000A739F" w:rsidRPr="009353E6" w:rsidRDefault="00AD0A52" w:rsidP="00F831F6">
      <w:pPr>
        <w:pStyle w:val="BodyText"/>
        <w:spacing w:line="240" w:lineRule="auto"/>
        <w:jc w:val="left"/>
        <w:rPr>
          <w:sz w:val="22"/>
          <w:szCs w:val="22"/>
          <w:lang w:val="pl-PL"/>
        </w:rPr>
      </w:pPr>
      <w:r w:rsidRPr="009353E6">
        <w:rPr>
          <w:sz w:val="22"/>
          <w:szCs w:val="22"/>
          <w:lang w:val="pl-PL"/>
        </w:rPr>
        <w:t>Jeżeli</w:t>
      </w:r>
      <w:r w:rsidR="000D5AB0" w:rsidRPr="009353E6">
        <w:rPr>
          <w:sz w:val="22"/>
          <w:szCs w:val="22"/>
          <w:lang w:val="pl-PL"/>
        </w:rPr>
        <w:t xml:space="preserve"> którakolwiek powyższa sytuacja dotyczy pacjenta, na</w:t>
      </w:r>
      <w:r w:rsidR="000A739F" w:rsidRPr="009353E6">
        <w:rPr>
          <w:sz w:val="22"/>
          <w:szCs w:val="22"/>
          <w:lang w:val="pl-PL"/>
        </w:rPr>
        <w:t>leży poinformować lekarza lub farmaceutę, przed zażyciem leku MicardisPlus.</w:t>
      </w:r>
    </w:p>
    <w:p w:rsidR="000A739F" w:rsidRPr="009353E6" w:rsidRDefault="000A739F" w:rsidP="00F831F6">
      <w:pPr>
        <w:pStyle w:val="BodyText"/>
        <w:spacing w:line="240" w:lineRule="auto"/>
        <w:jc w:val="left"/>
        <w:rPr>
          <w:sz w:val="22"/>
          <w:szCs w:val="22"/>
          <w:lang w:val="pl-PL"/>
        </w:rPr>
      </w:pPr>
    </w:p>
    <w:p w:rsidR="00BD7796" w:rsidRPr="009353E6" w:rsidRDefault="00BD7796" w:rsidP="00BD7796">
      <w:pPr>
        <w:keepNext/>
        <w:keepLines/>
        <w:rPr>
          <w:b/>
          <w:sz w:val="22"/>
          <w:szCs w:val="22"/>
          <w:lang w:val="pl-PL" w:bidi="bn-IN"/>
        </w:rPr>
      </w:pPr>
      <w:r w:rsidRPr="009353E6">
        <w:rPr>
          <w:b/>
          <w:sz w:val="22"/>
          <w:szCs w:val="22"/>
          <w:lang w:val="pl-PL" w:bidi="bn-IN"/>
        </w:rPr>
        <w:t>Ostrzeżenia i środki ostrożności</w:t>
      </w:r>
    </w:p>
    <w:p w:rsidR="00C449BB" w:rsidRPr="009353E6" w:rsidRDefault="007D3D08" w:rsidP="00C449BB">
      <w:pPr>
        <w:pStyle w:val="BodyText"/>
        <w:spacing w:line="240" w:lineRule="auto"/>
        <w:jc w:val="left"/>
        <w:rPr>
          <w:sz w:val="22"/>
          <w:szCs w:val="22"/>
          <w:lang w:val="pl-PL"/>
        </w:rPr>
      </w:pPr>
      <w:r w:rsidRPr="009353E6">
        <w:rPr>
          <w:sz w:val="22"/>
          <w:szCs w:val="22"/>
          <w:lang w:val="pl-PL"/>
        </w:rPr>
        <w:t>Przed rozpoczęciem przyjmowania leku MicardisPlus n</w:t>
      </w:r>
      <w:r w:rsidR="00C449BB" w:rsidRPr="009353E6">
        <w:rPr>
          <w:sz w:val="22"/>
          <w:szCs w:val="22"/>
          <w:lang w:val="pl-PL"/>
        </w:rPr>
        <w:t xml:space="preserve">ależy </w:t>
      </w:r>
      <w:r w:rsidR="00105AE1" w:rsidRPr="009353E6">
        <w:rPr>
          <w:sz w:val="22"/>
          <w:szCs w:val="22"/>
          <w:lang w:val="pl-PL"/>
        </w:rPr>
        <w:t>omówić to z lekarzem</w:t>
      </w:r>
      <w:r w:rsidR="00C449BB" w:rsidRPr="009353E6">
        <w:rPr>
          <w:sz w:val="22"/>
          <w:szCs w:val="22"/>
          <w:lang w:val="pl-PL"/>
        </w:rPr>
        <w:t xml:space="preserve">, jeśli u pacjenta występują lub występowały którekolwiek z poniższych stanów lub chorób: </w:t>
      </w:r>
    </w:p>
    <w:p w:rsidR="000A739F" w:rsidRPr="009353E6" w:rsidRDefault="000A739F" w:rsidP="00F831F6">
      <w:pPr>
        <w:pStyle w:val="BodyText"/>
        <w:spacing w:line="240" w:lineRule="auto"/>
        <w:jc w:val="left"/>
        <w:rPr>
          <w:sz w:val="22"/>
          <w:szCs w:val="22"/>
          <w:lang w:val="pl-PL"/>
        </w:rPr>
      </w:pPr>
    </w:p>
    <w:p w:rsidR="000A739F" w:rsidRPr="009353E6" w:rsidRDefault="000D5AB0"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n</w:t>
      </w:r>
      <w:r w:rsidR="000A739F" w:rsidRPr="009353E6">
        <w:rPr>
          <w:rFonts w:eastAsia="MS Mincho"/>
          <w:sz w:val="22"/>
          <w:szCs w:val="22"/>
          <w:lang w:val="pl-PL" w:eastAsia="ja-JP"/>
        </w:rPr>
        <w:t>iskie ciśnienie tętnicze krwi (niedociśnienie), którego prawdopodobieństwo wystąpienia jest w</w:t>
      </w:r>
      <w:r w:rsidRPr="009353E6">
        <w:rPr>
          <w:rFonts w:eastAsia="MS Mincho"/>
          <w:sz w:val="22"/>
          <w:szCs w:val="22"/>
          <w:lang w:val="pl-PL" w:eastAsia="ja-JP"/>
        </w:rPr>
        <w:t>iększe, jeśli pacjent jest</w:t>
      </w:r>
      <w:r w:rsidR="000A739F" w:rsidRPr="009353E6">
        <w:rPr>
          <w:rFonts w:eastAsia="MS Mincho"/>
          <w:sz w:val="22"/>
          <w:szCs w:val="22"/>
          <w:lang w:val="pl-PL" w:eastAsia="ja-JP"/>
        </w:rPr>
        <w:t xml:space="preserve"> odwodniony (nadmiern</w:t>
      </w:r>
      <w:r w:rsidRPr="009353E6">
        <w:rPr>
          <w:rFonts w:eastAsia="MS Mincho"/>
          <w:sz w:val="22"/>
          <w:szCs w:val="22"/>
          <w:lang w:val="pl-PL" w:eastAsia="ja-JP"/>
        </w:rPr>
        <w:t>a</w:t>
      </w:r>
      <w:r w:rsidR="000A739F" w:rsidRPr="009353E6">
        <w:rPr>
          <w:rFonts w:eastAsia="MS Mincho"/>
          <w:sz w:val="22"/>
          <w:szCs w:val="22"/>
          <w:lang w:val="pl-PL" w:eastAsia="ja-JP"/>
        </w:rPr>
        <w:t xml:space="preserve"> utrat</w:t>
      </w:r>
      <w:r w:rsidRPr="009353E6">
        <w:rPr>
          <w:rFonts w:eastAsia="MS Mincho"/>
          <w:sz w:val="22"/>
          <w:szCs w:val="22"/>
          <w:lang w:val="pl-PL" w:eastAsia="ja-JP"/>
        </w:rPr>
        <w:t xml:space="preserve">a </w:t>
      </w:r>
      <w:r w:rsidR="000A739F" w:rsidRPr="009353E6">
        <w:rPr>
          <w:rFonts w:eastAsia="MS Mincho"/>
          <w:sz w:val="22"/>
          <w:szCs w:val="22"/>
          <w:lang w:val="pl-PL" w:eastAsia="ja-JP"/>
        </w:rPr>
        <w:t xml:space="preserve">wody z organizmu) lub </w:t>
      </w:r>
      <w:r w:rsidRPr="009353E6">
        <w:rPr>
          <w:rFonts w:eastAsia="MS Mincho"/>
          <w:sz w:val="22"/>
          <w:szCs w:val="22"/>
          <w:lang w:val="pl-PL" w:eastAsia="ja-JP"/>
        </w:rPr>
        <w:t xml:space="preserve">ma </w:t>
      </w:r>
      <w:r w:rsidR="000A739F" w:rsidRPr="009353E6">
        <w:rPr>
          <w:rFonts w:eastAsia="MS Mincho"/>
          <w:sz w:val="22"/>
          <w:szCs w:val="22"/>
          <w:lang w:val="pl-PL" w:eastAsia="ja-JP"/>
        </w:rPr>
        <w:t>niedob</w:t>
      </w:r>
      <w:r w:rsidRPr="009353E6">
        <w:rPr>
          <w:rFonts w:eastAsia="MS Mincho"/>
          <w:sz w:val="22"/>
          <w:szCs w:val="22"/>
          <w:lang w:val="pl-PL" w:eastAsia="ja-JP"/>
        </w:rPr>
        <w:t>ó</w:t>
      </w:r>
      <w:r w:rsidR="000A739F" w:rsidRPr="009353E6">
        <w:rPr>
          <w:rFonts w:eastAsia="MS Mincho"/>
          <w:sz w:val="22"/>
          <w:szCs w:val="22"/>
          <w:lang w:val="pl-PL" w:eastAsia="ja-JP"/>
        </w:rPr>
        <w:t>r soli, z powodu stosowania leków moczopędnych (tabletek odwadniających), diety ubogosolnej, biegunki, wymiotów lub hemodializy</w:t>
      </w:r>
      <w:r w:rsidR="00D26BEB" w:rsidRPr="009353E6">
        <w:rPr>
          <w:rFonts w:eastAsia="MS Mincho"/>
          <w:sz w:val="22"/>
          <w:szCs w:val="22"/>
          <w:lang w:val="pl-PL" w:eastAsia="ja-JP"/>
        </w:rPr>
        <w:t>;</w:t>
      </w:r>
    </w:p>
    <w:p w:rsidR="000A739F" w:rsidRPr="009353E6" w:rsidRDefault="000D5AB0"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0A739F" w:rsidRPr="009353E6">
        <w:rPr>
          <w:rFonts w:eastAsia="MS Mincho"/>
          <w:sz w:val="22"/>
          <w:szCs w:val="22"/>
          <w:lang w:val="pl-PL" w:eastAsia="ja-JP"/>
        </w:rPr>
        <w:t>horoba nerek lub przeszczep nerk</w:t>
      </w:r>
      <w:r w:rsidRPr="009353E6">
        <w:rPr>
          <w:rFonts w:eastAsia="MS Mincho"/>
          <w:sz w:val="22"/>
          <w:szCs w:val="22"/>
          <w:lang w:val="pl-PL" w:eastAsia="ja-JP"/>
        </w:rPr>
        <w:t>i</w:t>
      </w:r>
      <w:r w:rsidR="00D26BEB" w:rsidRPr="009353E6">
        <w:rPr>
          <w:rFonts w:eastAsia="MS Mincho"/>
          <w:sz w:val="22"/>
          <w:szCs w:val="22"/>
          <w:lang w:val="pl-PL" w:eastAsia="ja-JP"/>
        </w:rPr>
        <w:t>;</w:t>
      </w:r>
    </w:p>
    <w:p w:rsidR="000A739F" w:rsidRPr="009353E6" w:rsidRDefault="000D5AB0"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z</w:t>
      </w:r>
      <w:r w:rsidR="000A739F" w:rsidRPr="009353E6">
        <w:rPr>
          <w:rFonts w:eastAsia="MS Mincho"/>
          <w:sz w:val="22"/>
          <w:szCs w:val="22"/>
          <w:lang w:val="pl-PL" w:eastAsia="ja-JP"/>
        </w:rPr>
        <w:t>wężenie tętnicy nerkowej (zwężenie naczyń krwionośnych jednej nerki lub obu nerek)</w:t>
      </w:r>
      <w:r w:rsidR="00D26BEB" w:rsidRPr="009353E6">
        <w:rPr>
          <w:rFonts w:eastAsia="MS Mincho"/>
          <w:sz w:val="22"/>
          <w:szCs w:val="22"/>
          <w:lang w:val="pl-PL" w:eastAsia="ja-JP"/>
        </w:rPr>
        <w:t>;</w:t>
      </w:r>
    </w:p>
    <w:p w:rsidR="000A739F" w:rsidRPr="009353E6" w:rsidRDefault="000D5AB0"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0A739F" w:rsidRPr="009353E6">
        <w:rPr>
          <w:rFonts w:eastAsia="MS Mincho"/>
          <w:sz w:val="22"/>
          <w:szCs w:val="22"/>
          <w:lang w:val="pl-PL" w:eastAsia="ja-JP"/>
        </w:rPr>
        <w:t>horoba wątroby</w:t>
      </w:r>
      <w:r w:rsidR="00D26BEB" w:rsidRPr="009353E6">
        <w:rPr>
          <w:rFonts w:eastAsia="MS Mincho"/>
          <w:sz w:val="22"/>
          <w:szCs w:val="22"/>
          <w:lang w:val="pl-PL" w:eastAsia="ja-JP"/>
        </w:rPr>
        <w:t>;</w:t>
      </w:r>
    </w:p>
    <w:p w:rsidR="000A739F" w:rsidRPr="009353E6" w:rsidRDefault="00D26BEB"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choroba serca;</w:t>
      </w:r>
    </w:p>
    <w:p w:rsidR="000A739F" w:rsidRPr="009353E6" w:rsidRDefault="00D26BEB"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c</w:t>
      </w:r>
      <w:r w:rsidR="000A739F" w:rsidRPr="009353E6">
        <w:rPr>
          <w:rFonts w:eastAsia="MS Mincho"/>
          <w:sz w:val="22"/>
          <w:szCs w:val="22"/>
          <w:lang w:val="pl-PL" w:eastAsia="ja-JP"/>
        </w:rPr>
        <w:t>ukrzyca</w:t>
      </w:r>
      <w:r w:rsidRPr="009353E6">
        <w:rPr>
          <w:rFonts w:eastAsia="MS Mincho"/>
          <w:sz w:val="22"/>
          <w:szCs w:val="22"/>
          <w:lang w:val="pl-PL" w:eastAsia="ja-JP"/>
        </w:rPr>
        <w:t>;</w:t>
      </w:r>
    </w:p>
    <w:p w:rsidR="00840891" w:rsidRPr="009353E6" w:rsidRDefault="00943AC1"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dna moczanowa</w:t>
      </w:r>
      <w:r w:rsidR="00D26BEB" w:rsidRPr="009353E6">
        <w:rPr>
          <w:rFonts w:eastAsia="MS Mincho"/>
          <w:sz w:val="22"/>
          <w:szCs w:val="22"/>
          <w:lang w:val="pl-PL" w:eastAsia="ja-JP"/>
        </w:rPr>
        <w:t>;</w:t>
      </w:r>
    </w:p>
    <w:p w:rsidR="00943AC1" w:rsidRPr="009353E6" w:rsidRDefault="00943AC1"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zwiększone stężenie aldosteronu (zatrzymanie wody i soli w organizmie łącznie z zaburzeniem równowagi elektrolitowej)</w:t>
      </w:r>
      <w:r w:rsidR="00D26BEB" w:rsidRPr="009353E6">
        <w:rPr>
          <w:rFonts w:eastAsia="MS Mincho"/>
          <w:sz w:val="22"/>
          <w:szCs w:val="22"/>
          <w:lang w:val="pl-PL" w:eastAsia="ja-JP"/>
        </w:rPr>
        <w:t>;</w:t>
      </w:r>
    </w:p>
    <w:p w:rsidR="000A739F" w:rsidRPr="009353E6" w:rsidRDefault="000D5AB0" w:rsidP="002D507E">
      <w:pPr>
        <w:pStyle w:val="BodyText"/>
        <w:numPr>
          <w:ilvl w:val="0"/>
          <w:numId w:val="33"/>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t</w:t>
      </w:r>
      <w:r w:rsidR="000A739F" w:rsidRPr="009353E6">
        <w:rPr>
          <w:rFonts w:eastAsia="MS Mincho"/>
          <w:sz w:val="22"/>
          <w:szCs w:val="22"/>
          <w:lang w:val="pl-PL" w:eastAsia="ja-JP"/>
        </w:rPr>
        <w:t>oczeń rumieniowaty</w:t>
      </w:r>
      <w:r w:rsidR="00F512E0" w:rsidRPr="009353E6">
        <w:rPr>
          <w:rFonts w:eastAsia="MS Mincho"/>
          <w:sz w:val="22"/>
          <w:szCs w:val="22"/>
          <w:lang w:val="pl-PL" w:eastAsia="ja-JP"/>
        </w:rPr>
        <w:t xml:space="preserve"> układowy</w:t>
      </w:r>
      <w:r w:rsidR="000A739F" w:rsidRPr="009353E6">
        <w:rPr>
          <w:rFonts w:eastAsia="MS Mincho"/>
          <w:sz w:val="22"/>
          <w:szCs w:val="22"/>
          <w:lang w:val="pl-PL" w:eastAsia="ja-JP"/>
        </w:rPr>
        <w:t xml:space="preserve"> (zwany również „toczniem” lub „SLE”), choroba, w przebiegu której układ odpornościowy atakuje własny organizm</w:t>
      </w:r>
      <w:r w:rsidR="00D26BEB" w:rsidRPr="009353E6">
        <w:rPr>
          <w:rFonts w:eastAsia="MS Mincho"/>
          <w:sz w:val="22"/>
          <w:szCs w:val="22"/>
          <w:lang w:val="pl-PL" w:eastAsia="ja-JP"/>
        </w:rPr>
        <w:t>;</w:t>
      </w:r>
    </w:p>
    <w:p w:rsidR="00836E05" w:rsidRPr="009353E6" w:rsidRDefault="00836E05" w:rsidP="00836E05">
      <w:pPr>
        <w:pStyle w:val="BodyText"/>
        <w:numPr>
          <w:ilvl w:val="0"/>
          <w:numId w:val="33"/>
        </w:numPr>
        <w:tabs>
          <w:tab w:val="clear" w:pos="2520"/>
          <w:tab w:val="num" w:pos="567"/>
        </w:tabs>
        <w:spacing w:line="240" w:lineRule="auto"/>
        <w:ind w:left="567" w:hanging="567"/>
        <w:jc w:val="left"/>
        <w:rPr>
          <w:rFonts w:eastAsia="MS Mincho"/>
          <w:sz w:val="22"/>
          <w:szCs w:val="22"/>
          <w:lang w:val="pl-PL" w:eastAsia="ja-JP"/>
        </w:rPr>
      </w:pPr>
      <w:r w:rsidRPr="009353E6">
        <w:rPr>
          <w:rFonts w:eastAsia="MS Mincho"/>
          <w:sz w:val="22"/>
          <w:szCs w:val="22"/>
          <w:lang w:val="pl-PL" w:eastAsia="ja-JP"/>
        </w:rPr>
        <w:t xml:space="preserve">substancja czynna hydrochlorotiazyd może powodować rzadkie reakcje powodujące ograniczenie widzenia i ból oczu. Mogą to być objawy </w:t>
      </w:r>
      <w:r w:rsidR="007572B2" w:rsidRPr="009353E6">
        <w:rPr>
          <w:rFonts w:eastAsia="MS Mincho"/>
          <w:sz w:val="22"/>
          <w:szCs w:val="22"/>
          <w:lang w:val="pl-PL" w:eastAsia="ja-JP"/>
        </w:rPr>
        <w:t xml:space="preserve">gromadzenia się płynu w unaczynionej błonie otaczającej oko (nadmiernego nagromadzenia płynu między naczyniówką a twardówką) lub </w:t>
      </w:r>
      <w:r w:rsidRPr="009353E6">
        <w:rPr>
          <w:rFonts w:eastAsia="MS Mincho"/>
          <w:sz w:val="22"/>
          <w:szCs w:val="22"/>
          <w:lang w:val="pl-PL" w:eastAsia="ja-JP"/>
        </w:rPr>
        <w:t>zwiększonego ciśnienia w gałce ocznej</w:t>
      </w:r>
      <w:r w:rsidR="0086646A" w:rsidRPr="009353E6">
        <w:rPr>
          <w:rFonts w:eastAsia="MS Mincho"/>
          <w:sz w:val="22"/>
          <w:szCs w:val="22"/>
          <w:lang w:val="pl-PL" w:eastAsia="ja-JP"/>
        </w:rPr>
        <w:t>,</w:t>
      </w:r>
      <w:r w:rsidRPr="009353E6">
        <w:rPr>
          <w:rFonts w:eastAsia="MS Mincho"/>
          <w:sz w:val="22"/>
          <w:szCs w:val="22"/>
          <w:lang w:val="pl-PL" w:eastAsia="ja-JP"/>
        </w:rPr>
        <w:t xml:space="preserve"> które mogą się pojawić w ciągu kilku godzin </w:t>
      </w:r>
      <w:r w:rsidR="00542F0E" w:rsidRPr="009353E6">
        <w:rPr>
          <w:rFonts w:eastAsia="MS Mincho"/>
          <w:sz w:val="22"/>
          <w:szCs w:val="22"/>
          <w:lang w:val="pl-PL" w:eastAsia="ja-JP"/>
        </w:rPr>
        <w:t xml:space="preserve">do </w:t>
      </w:r>
      <w:r w:rsidRPr="009353E6">
        <w:rPr>
          <w:rFonts w:eastAsia="MS Mincho"/>
          <w:sz w:val="22"/>
          <w:szCs w:val="22"/>
          <w:lang w:val="pl-PL" w:eastAsia="ja-JP"/>
        </w:rPr>
        <w:t>kilku tygodni od przyjęcia leku MicardisPlus. Nieleczone mogą prowadzić do trwałe</w:t>
      </w:r>
      <w:r w:rsidR="00A50023" w:rsidRPr="009353E6">
        <w:rPr>
          <w:rFonts w:eastAsia="MS Mincho"/>
          <w:sz w:val="22"/>
          <w:szCs w:val="22"/>
          <w:lang w:val="pl-PL" w:eastAsia="ja-JP"/>
        </w:rPr>
        <w:t>go zaburzenia</w:t>
      </w:r>
      <w:r w:rsidRPr="009353E6">
        <w:rPr>
          <w:rFonts w:eastAsia="MS Mincho"/>
          <w:sz w:val="22"/>
          <w:szCs w:val="22"/>
          <w:lang w:val="pl-PL" w:eastAsia="ja-JP"/>
        </w:rPr>
        <w:t xml:space="preserve"> wzroku.</w:t>
      </w:r>
    </w:p>
    <w:p w:rsidR="001A0C0D" w:rsidRPr="009353E6" w:rsidRDefault="001A0C0D" w:rsidP="00836E05">
      <w:pPr>
        <w:pStyle w:val="BodyText"/>
        <w:numPr>
          <w:ilvl w:val="0"/>
          <w:numId w:val="33"/>
        </w:numPr>
        <w:tabs>
          <w:tab w:val="clear" w:pos="2520"/>
          <w:tab w:val="num" w:pos="567"/>
        </w:tabs>
        <w:spacing w:line="240" w:lineRule="auto"/>
        <w:ind w:left="567" w:hanging="567"/>
        <w:jc w:val="left"/>
        <w:rPr>
          <w:rFonts w:eastAsia="MS Mincho"/>
          <w:sz w:val="22"/>
          <w:szCs w:val="22"/>
          <w:lang w:val="pl-PL" w:eastAsia="ja-JP"/>
        </w:rPr>
      </w:pPr>
      <w:r w:rsidRPr="009353E6">
        <w:rPr>
          <w:sz w:val="22"/>
          <w:szCs w:val="22"/>
          <w:lang w:val="pl-PL"/>
        </w:rPr>
        <w:t>jeśli w przeszłości u pacjenta wystąpił nowotwór złośliwy skóry lub jeśli w trakcie leczenia pojawi się nieoczekiwana zmiana skórna. Leczenie hydrochlorotiazydem, zwłaszcza dużymi dawkami przez dłuższy czas, może zwiększyć ryzyko niektórych rodzajów nowotworów złośliwych skóry i warg (nieczerniakowy nowotwór złośliwy skóry). Podczas przyjmowania leku MicardisPlus należy chronić skórę przed działaniem światła słonecznego i promieniowaniem UV.</w:t>
      </w:r>
    </w:p>
    <w:p w:rsidR="009A6C23" w:rsidRPr="009353E6" w:rsidRDefault="009A6C23" w:rsidP="009A6C23">
      <w:pPr>
        <w:rPr>
          <w:sz w:val="22"/>
          <w:szCs w:val="22"/>
          <w:lang w:val="pl-PL"/>
        </w:rPr>
      </w:pPr>
    </w:p>
    <w:p w:rsidR="009A6C23" w:rsidRPr="009353E6" w:rsidRDefault="009A6C23" w:rsidP="009A6C23">
      <w:pPr>
        <w:rPr>
          <w:sz w:val="22"/>
          <w:szCs w:val="22"/>
          <w:lang w:val="pl-PL"/>
        </w:rPr>
      </w:pPr>
      <w:r w:rsidRPr="009353E6">
        <w:rPr>
          <w:sz w:val="22"/>
          <w:szCs w:val="22"/>
          <w:lang w:val="pl-PL"/>
        </w:rPr>
        <w:t xml:space="preserve">Przed </w:t>
      </w:r>
      <w:r w:rsidR="00F21309" w:rsidRPr="009353E6">
        <w:rPr>
          <w:sz w:val="22"/>
          <w:szCs w:val="22"/>
          <w:lang w:val="pl-PL"/>
        </w:rPr>
        <w:t xml:space="preserve">rozpoczęciem </w:t>
      </w:r>
      <w:r w:rsidR="00105AE1" w:rsidRPr="009353E6">
        <w:rPr>
          <w:sz w:val="22"/>
          <w:szCs w:val="22"/>
          <w:lang w:val="pl-PL"/>
        </w:rPr>
        <w:t>przyjmowania</w:t>
      </w:r>
      <w:r w:rsidRPr="009353E6">
        <w:rPr>
          <w:sz w:val="22"/>
          <w:szCs w:val="22"/>
          <w:lang w:val="pl-PL"/>
        </w:rPr>
        <w:t xml:space="preserve"> leku MicardisPlus należy </w:t>
      </w:r>
      <w:r w:rsidR="006457EB" w:rsidRPr="009353E6">
        <w:rPr>
          <w:sz w:val="22"/>
          <w:szCs w:val="22"/>
          <w:lang w:val="pl-PL"/>
        </w:rPr>
        <w:t>omówić</w:t>
      </w:r>
      <w:r w:rsidR="00F21309" w:rsidRPr="009353E6">
        <w:rPr>
          <w:sz w:val="22"/>
          <w:szCs w:val="22"/>
          <w:lang w:val="pl-PL"/>
        </w:rPr>
        <w:t xml:space="preserve"> to z lekarzem</w:t>
      </w:r>
      <w:r w:rsidRPr="009353E6">
        <w:rPr>
          <w:sz w:val="22"/>
          <w:szCs w:val="22"/>
          <w:lang w:val="pl-PL"/>
        </w:rPr>
        <w:t>:</w:t>
      </w:r>
    </w:p>
    <w:p w:rsidR="00065995" w:rsidRPr="009353E6" w:rsidRDefault="00065995" w:rsidP="00065995">
      <w:pPr>
        <w:numPr>
          <w:ilvl w:val="0"/>
          <w:numId w:val="55"/>
        </w:numPr>
        <w:tabs>
          <w:tab w:val="left" w:pos="567"/>
        </w:tabs>
        <w:spacing w:line="260" w:lineRule="exact"/>
        <w:ind w:left="567" w:hanging="567"/>
        <w:rPr>
          <w:sz w:val="22"/>
          <w:szCs w:val="22"/>
          <w:lang w:val="pl-PL"/>
        </w:rPr>
      </w:pPr>
      <w:r w:rsidRPr="009353E6">
        <w:rPr>
          <w:sz w:val="22"/>
          <w:szCs w:val="22"/>
          <w:lang w:val="pl-PL"/>
        </w:rPr>
        <w:t>jeśli pacjent przyjmuje którykolwiek z poniższych leków stosowanych w leczeniu wysokiego ciśnienia krwi:</w:t>
      </w:r>
    </w:p>
    <w:p w:rsidR="00065995" w:rsidRPr="009353E6" w:rsidRDefault="00065995" w:rsidP="00065995">
      <w:pPr>
        <w:tabs>
          <w:tab w:val="left" w:pos="567"/>
        </w:tabs>
        <w:spacing w:line="260" w:lineRule="exact"/>
        <w:ind w:left="567"/>
        <w:rPr>
          <w:sz w:val="22"/>
          <w:szCs w:val="22"/>
          <w:lang w:val="pl-PL"/>
        </w:rPr>
      </w:pPr>
      <w:r w:rsidRPr="009353E6">
        <w:rPr>
          <w:sz w:val="22"/>
          <w:szCs w:val="22"/>
          <w:lang w:val="pl-PL"/>
        </w:rPr>
        <w:t>- inhibitor konwertazy angiotensyny (ACE) (ang. Angiotensin Converting Enzyme Inhibitors, ACEI) (na przykład enalapryl, lizynopryl, ramipryl), w szczególności je</w:t>
      </w:r>
      <w:r w:rsidR="00B86B03" w:rsidRPr="009353E6">
        <w:rPr>
          <w:sz w:val="22"/>
          <w:szCs w:val="22"/>
          <w:lang w:val="pl-PL"/>
        </w:rPr>
        <w:t>ś</w:t>
      </w:r>
      <w:r w:rsidRPr="009353E6">
        <w:rPr>
          <w:sz w:val="22"/>
          <w:szCs w:val="22"/>
          <w:lang w:val="pl-PL"/>
        </w:rPr>
        <w:t>li pacjent ma zaburzenia czynności nerek związane z cukrzycą.</w:t>
      </w:r>
    </w:p>
    <w:p w:rsidR="00065995" w:rsidRPr="009353E6" w:rsidRDefault="00065995" w:rsidP="00065995">
      <w:pPr>
        <w:tabs>
          <w:tab w:val="left" w:pos="567"/>
        </w:tabs>
        <w:spacing w:line="260" w:lineRule="exact"/>
        <w:rPr>
          <w:sz w:val="22"/>
          <w:szCs w:val="22"/>
          <w:lang w:val="pl-PL"/>
        </w:rPr>
      </w:pPr>
      <w:r w:rsidRPr="009353E6">
        <w:rPr>
          <w:sz w:val="22"/>
          <w:szCs w:val="22"/>
          <w:lang w:val="pl-PL"/>
        </w:rPr>
        <w:tab/>
        <w:t>- aliskiren.</w:t>
      </w:r>
    </w:p>
    <w:p w:rsidR="00065995" w:rsidRPr="009353E6" w:rsidRDefault="00065995" w:rsidP="00065995">
      <w:pPr>
        <w:keepNext/>
        <w:ind w:left="567"/>
        <w:rPr>
          <w:sz w:val="22"/>
          <w:szCs w:val="22"/>
          <w:lang w:val="pl-PL"/>
        </w:rPr>
      </w:pPr>
      <w:r w:rsidRPr="009353E6">
        <w:rPr>
          <w:sz w:val="22"/>
          <w:szCs w:val="22"/>
          <w:lang w:val="pl-PL"/>
        </w:rPr>
        <w:t xml:space="preserve">Lekarz prowadzący może monitorować czynność nerek, ciśnienie krwi oraz stężenie elektrolitów (np. potasu) we krwi w regularnych odstępach czasu. Patrz także informacje pod nagłówkiem „Kiedy nie </w:t>
      </w:r>
      <w:r w:rsidR="00105AE1" w:rsidRPr="009353E6">
        <w:rPr>
          <w:sz w:val="22"/>
          <w:szCs w:val="22"/>
          <w:lang w:val="pl-PL"/>
        </w:rPr>
        <w:t>przyjmować</w:t>
      </w:r>
      <w:r w:rsidRPr="009353E6">
        <w:rPr>
          <w:sz w:val="22"/>
          <w:szCs w:val="22"/>
          <w:lang w:val="pl-PL"/>
        </w:rPr>
        <w:t xml:space="preserve"> leku MicardisPlus”.</w:t>
      </w:r>
    </w:p>
    <w:p w:rsidR="00065995" w:rsidRPr="009353E6" w:rsidRDefault="00065995" w:rsidP="00065995">
      <w:pPr>
        <w:numPr>
          <w:ilvl w:val="0"/>
          <w:numId w:val="55"/>
        </w:numPr>
        <w:tabs>
          <w:tab w:val="left" w:pos="567"/>
        </w:tabs>
        <w:spacing w:line="260" w:lineRule="exact"/>
        <w:ind w:left="567" w:hanging="567"/>
        <w:rPr>
          <w:sz w:val="22"/>
          <w:szCs w:val="22"/>
          <w:lang w:val="pl-PL"/>
        </w:rPr>
      </w:pPr>
      <w:r w:rsidRPr="009353E6">
        <w:rPr>
          <w:sz w:val="22"/>
          <w:szCs w:val="22"/>
          <w:lang w:val="pl-PL"/>
        </w:rPr>
        <w:t>jeśli pacjent przyjmuje digoksynę.</w:t>
      </w:r>
    </w:p>
    <w:p w:rsidR="00845BF0" w:rsidRPr="009353E6" w:rsidRDefault="00845BF0" w:rsidP="00F831F6">
      <w:pPr>
        <w:pStyle w:val="BodyText"/>
        <w:spacing w:line="240" w:lineRule="auto"/>
        <w:jc w:val="left"/>
        <w:rPr>
          <w:sz w:val="22"/>
          <w:szCs w:val="22"/>
          <w:lang w:val="pl-PL"/>
        </w:rPr>
      </w:pPr>
    </w:p>
    <w:p w:rsidR="0042510A" w:rsidRPr="009353E6" w:rsidRDefault="00F320BE" w:rsidP="00F831F6">
      <w:pPr>
        <w:pStyle w:val="BodyText"/>
        <w:spacing w:line="240" w:lineRule="auto"/>
        <w:jc w:val="left"/>
        <w:rPr>
          <w:rFonts w:eastAsia="MS Mincho"/>
          <w:sz w:val="22"/>
          <w:szCs w:val="22"/>
          <w:lang w:val="pl-PL" w:eastAsia="ja-JP"/>
        </w:rPr>
      </w:pPr>
      <w:r w:rsidRPr="009353E6">
        <w:rPr>
          <w:sz w:val="22"/>
          <w:szCs w:val="22"/>
          <w:lang w:val="pl-PL"/>
        </w:rPr>
        <w:t xml:space="preserve">Należy poinformować lekarza o podejrzeniu </w:t>
      </w:r>
      <w:r w:rsidR="00BD7796" w:rsidRPr="009353E6">
        <w:rPr>
          <w:sz w:val="22"/>
          <w:szCs w:val="22"/>
          <w:lang w:val="pl-PL"/>
        </w:rPr>
        <w:t>(</w:t>
      </w:r>
      <w:r w:rsidRPr="009353E6">
        <w:rPr>
          <w:sz w:val="22"/>
          <w:szCs w:val="22"/>
          <w:u w:val="single"/>
          <w:lang w:val="pl-PL"/>
        </w:rPr>
        <w:t>lub planowaniu</w:t>
      </w:r>
      <w:r w:rsidR="00BD7796" w:rsidRPr="009353E6">
        <w:rPr>
          <w:sz w:val="22"/>
          <w:szCs w:val="22"/>
          <w:u w:val="single"/>
          <w:lang w:val="pl-PL"/>
        </w:rPr>
        <w:t>)</w:t>
      </w:r>
      <w:r w:rsidRPr="009353E6">
        <w:rPr>
          <w:sz w:val="22"/>
          <w:szCs w:val="22"/>
          <w:lang w:val="pl-PL"/>
        </w:rPr>
        <w:t xml:space="preserve"> ciąży. Nie zaleca się stosowania leku MicardisPlus we wczesnym okresie ciąży, </w:t>
      </w:r>
      <w:r w:rsidR="0042510A" w:rsidRPr="009353E6">
        <w:rPr>
          <w:rFonts w:eastAsia="MS Mincho"/>
          <w:sz w:val="22"/>
          <w:szCs w:val="22"/>
          <w:lang w:val="pl-PL" w:eastAsia="ja-JP"/>
        </w:rPr>
        <w:t>a nie wolno go przyjmować po trzecim miesiącu ciąży, ponieważ stosowany w tym okresie może poważnie zaszkodzić dziecku (patrz punkt „Ciąż</w:t>
      </w:r>
      <w:r w:rsidR="00E926FA" w:rsidRPr="009353E6">
        <w:rPr>
          <w:rFonts w:eastAsia="MS Mincho"/>
          <w:sz w:val="22"/>
          <w:szCs w:val="22"/>
          <w:lang w:val="pl-PL" w:eastAsia="ja-JP"/>
        </w:rPr>
        <w:t>a</w:t>
      </w:r>
      <w:r w:rsidR="0042510A" w:rsidRPr="009353E6">
        <w:rPr>
          <w:rFonts w:eastAsia="MS Mincho"/>
          <w:sz w:val="22"/>
          <w:szCs w:val="22"/>
          <w:lang w:val="pl-PL" w:eastAsia="ja-JP"/>
        </w:rPr>
        <w:t xml:space="preserve">”). </w:t>
      </w:r>
    </w:p>
    <w:p w:rsidR="0021094B" w:rsidRPr="009353E6" w:rsidRDefault="0021094B" w:rsidP="00F831F6">
      <w:pPr>
        <w:pStyle w:val="BodyText"/>
        <w:spacing w:line="240" w:lineRule="auto"/>
        <w:jc w:val="left"/>
        <w:rPr>
          <w:sz w:val="22"/>
          <w:szCs w:val="22"/>
          <w:lang w:val="pl-PL"/>
        </w:rPr>
      </w:pPr>
    </w:p>
    <w:p w:rsidR="00F37EE9" w:rsidRPr="009353E6" w:rsidRDefault="000D5AB0" w:rsidP="00F831F6">
      <w:pPr>
        <w:pStyle w:val="BodyText"/>
        <w:spacing w:line="240" w:lineRule="auto"/>
        <w:jc w:val="left"/>
        <w:rPr>
          <w:sz w:val="22"/>
          <w:szCs w:val="22"/>
          <w:lang w:val="pl-PL"/>
        </w:rPr>
      </w:pPr>
      <w:r w:rsidRPr="009353E6">
        <w:rPr>
          <w:sz w:val="22"/>
          <w:szCs w:val="22"/>
          <w:lang w:val="pl-PL"/>
        </w:rPr>
        <w:t xml:space="preserve">Leczenie </w:t>
      </w:r>
      <w:r w:rsidR="000A739F" w:rsidRPr="009353E6">
        <w:rPr>
          <w:sz w:val="22"/>
          <w:szCs w:val="22"/>
          <w:lang w:val="pl-PL"/>
        </w:rPr>
        <w:t>hydrochlorotiazyd</w:t>
      </w:r>
      <w:r w:rsidRPr="009353E6">
        <w:rPr>
          <w:sz w:val="22"/>
          <w:szCs w:val="22"/>
          <w:lang w:val="pl-PL"/>
        </w:rPr>
        <w:t>em</w:t>
      </w:r>
      <w:r w:rsidR="000A739F" w:rsidRPr="009353E6">
        <w:rPr>
          <w:sz w:val="22"/>
          <w:szCs w:val="22"/>
          <w:lang w:val="pl-PL"/>
        </w:rPr>
        <w:t xml:space="preserve"> może prowadzić do zaburzenia równowagi elektrolitów w organizmie. Typowe objawy zaburzenia gospodarki płynowej lub elektrolitowej obejmują suchość błon</w:t>
      </w:r>
      <w:r w:rsidRPr="009353E6">
        <w:rPr>
          <w:sz w:val="22"/>
          <w:szCs w:val="22"/>
          <w:lang w:val="pl-PL"/>
        </w:rPr>
        <w:t>y</w:t>
      </w:r>
      <w:r w:rsidR="000A739F" w:rsidRPr="009353E6">
        <w:rPr>
          <w:sz w:val="22"/>
          <w:szCs w:val="22"/>
          <w:lang w:val="pl-PL"/>
        </w:rPr>
        <w:t xml:space="preserve"> śluzow</w:t>
      </w:r>
      <w:r w:rsidRPr="009353E6">
        <w:rPr>
          <w:sz w:val="22"/>
          <w:szCs w:val="22"/>
          <w:lang w:val="pl-PL"/>
        </w:rPr>
        <w:t>ej</w:t>
      </w:r>
      <w:r w:rsidR="000A739F" w:rsidRPr="009353E6">
        <w:rPr>
          <w:sz w:val="22"/>
          <w:szCs w:val="22"/>
          <w:lang w:val="pl-PL"/>
        </w:rPr>
        <w:t xml:space="preserve"> </w:t>
      </w:r>
    </w:p>
    <w:p w:rsidR="000A739F" w:rsidRPr="009353E6" w:rsidRDefault="000A739F" w:rsidP="00F831F6">
      <w:pPr>
        <w:pStyle w:val="BodyText"/>
        <w:spacing w:line="240" w:lineRule="auto"/>
        <w:jc w:val="left"/>
        <w:rPr>
          <w:sz w:val="22"/>
          <w:szCs w:val="22"/>
          <w:lang w:val="pl-PL"/>
        </w:rPr>
      </w:pPr>
      <w:r w:rsidRPr="009353E6">
        <w:rPr>
          <w:sz w:val="22"/>
          <w:szCs w:val="22"/>
          <w:lang w:val="pl-PL"/>
        </w:rPr>
        <w:t>w jamie ustnej, osłabienie, letarg, senność, niepokój, bóle lub skurcze mięśniowe, nudności (mdłości), wymioty, zmęczenie mięśni oraz nieprawidłowo przyspieszone tętno (szybciej niż 100 uderzeń na minutę). W przypadku wystąpienia któregokolwiek z powyższych objawów należy poinformować lekarza.</w:t>
      </w:r>
    </w:p>
    <w:p w:rsidR="00943AC1" w:rsidRPr="009353E6" w:rsidRDefault="00943AC1" w:rsidP="00F831F6">
      <w:pPr>
        <w:pStyle w:val="BodyText"/>
        <w:spacing w:line="240" w:lineRule="auto"/>
        <w:jc w:val="left"/>
        <w:rPr>
          <w:sz w:val="22"/>
          <w:szCs w:val="22"/>
          <w:lang w:val="pl-PL"/>
        </w:rPr>
      </w:pPr>
    </w:p>
    <w:p w:rsidR="00701864" w:rsidRPr="009353E6" w:rsidRDefault="00701864" w:rsidP="00F831F6">
      <w:pPr>
        <w:pStyle w:val="BodyText"/>
        <w:spacing w:line="240" w:lineRule="auto"/>
        <w:jc w:val="left"/>
        <w:rPr>
          <w:sz w:val="22"/>
          <w:szCs w:val="22"/>
          <w:lang w:val="pl-PL"/>
        </w:rPr>
      </w:pPr>
      <w:r w:rsidRPr="009353E6">
        <w:rPr>
          <w:sz w:val="22"/>
          <w:szCs w:val="22"/>
          <w:lang w:val="pl-PL"/>
        </w:rPr>
        <w:t>Należy również poinformować lekarza o wystąpieniu nadwrażliwości skóry na światło słoneczne w</w:t>
      </w:r>
      <w:r w:rsidR="006174C8" w:rsidRPr="009353E6">
        <w:rPr>
          <w:sz w:val="22"/>
          <w:szCs w:val="22"/>
          <w:lang w:val="pl-PL"/>
        </w:rPr>
        <w:t> </w:t>
      </w:r>
      <w:r w:rsidRPr="009353E6">
        <w:rPr>
          <w:sz w:val="22"/>
          <w:szCs w:val="22"/>
          <w:lang w:val="pl-PL"/>
        </w:rPr>
        <w:t>postaci oparzeń słonecznych (np. zaczerwienienie, swędzenie, obrzęk, powstawanie pęcherzy) pojawiających się szybciej niż zazwyczaj.</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rFonts w:eastAsia="MS Mincho"/>
          <w:sz w:val="22"/>
          <w:szCs w:val="22"/>
          <w:lang w:val="pl-PL" w:eastAsia="ja-JP"/>
        </w:rPr>
      </w:pPr>
      <w:r w:rsidRPr="009353E6">
        <w:rPr>
          <w:rFonts w:eastAsia="MS Mincho"/>
          <w:sz w:val="22"/>
          <w:szCs w:val="22"/>
          <w:lang w:val="pl-PL" w:eastAsia="ja-JP"/>
        </w:rPr>
        <w:t>W przypadku planowanego zabiegu chirurgicznego lub znieczulenia należy poinformować lekarza o</w:t>
      </w:r>
      <w:r w:rsidR="006174C8" w:rsidRPr="009353E6">
        <w:rPr>
          <w:rFonts w:eastAsia="MS Mincho"/>
          <w:sz w:val="22"/>
          <w:szCs w:val="22"/>
          <w:lang w:val="pl-PL" w:eastAsia="ja-JP"/>
        </w:rPr>
        <w:t> </w:t>
      </w:r>
      <w:r w:rsidRPr="009353E6">
        <w:rPr>
          <w:rFonts w:eastAsia="MS Mincho"/>
          <w:sz w:val="22"/>
          <w:szCs w:val="22"/>
          <w:lang w:val="pl-PL" w:eastAsia="ja-JP"/>
        </w:rPr>
        <w:t>przyjmowaniu leku MicardisPlus</w:t>
      </w:r>
      <w:r w:rsidR="001D027E" w:rsidRPr="009353E6">
        <w:rPr>
          <w:rFonts w:eastAsia="MS Mincho"/>
          <w:sz w:val="22"/>
          <w:szCs w:val="22"/>
          <w:lang w:val="pl-PL" w:eastAsia="ja-JP"/>
        </w:rPr>
        <w:t>.</w:t>
      </w:r>
    </w:p>
    <w:p w:rsidR="00BD7796" w:rsidRPr="009353E6" w:rsidRDefault="00BD7796" w:rsidP="00BD7796">
      <w:pPr>
        <w:rPr>
          <w:sz w:val="22"/>
          <w:szCs w:val="22"/>
          <w:lang w:val="pl-PL"/>
        </w:rPr>
      </w:pPr>
    </w:p>
    <w:p w:rsidR="00BD7796" w:rsidRPr="009353E6" w:rsidRDefault="00BD7796" w:rsidP="00BD7796">
      <w:pPr>
        <w:rPr>
          <w:sz w:val="22"/>
          <w:szCs w:val="22"/>
          <w:lang w:val="pl-PL"/>
        </w:rPr>
      </w:pPr>
      <w:r w:rsidRPr="009353E6">
        <w:rPr>
          <w:sz w:val="22"/>
          <w:szCs w:val="22"/>
          <w:lang w:val="pl-PL"/>
        </w:rPr>
        <w:t xml:space="preserve">MicardisPlus może mniej skutecznie obniżać ciśnienie </w:t>
      </w:r>
      <w:r w:rsidR="00DB03B7" w:rsidRPr="009353E6">
        <w:rPr>
          <w:sz w:val="22"/>
          <w:szCs w:val="22"/>
          <w:lang w:val="pl-PL"/>
        </w:rPr>
        <w:t xml:space="preserve">tętnicze </w:t>
      </w:r>
      <w:r w:rsidRPr="009353E6">
        <w:rPr>
          <w:sz w:val="22"/>
          <w:szCs w:val="22"/>
          <w:lang w:val="pl-PL"/>
        </w:rPr>
        <w:t>u osób rasy czarnej.</w:t>
      </w:r>
    </w:p>
    <w:p w:rsidR="00BD7796" w:rsidRPr="009353E6" w:rsidRDefault="00BD7796" w:rsidP="00BD7796">
      <w:pPr>
        <w:ind w:right="-2"/>
        <w:rPr>
          <w:b/>
          <w:sz w:val="22"/>
          <w:szCs w:val="22"/>
          <w:lang w:val="pl-PL" w:bidi="bn-IN"/>
        </w:rPr>
      </w:pPr>
    </w:p>
    <w:p w:rsidR="00BD7796" w:rsidRPr="009353E6" w:rsidRDefault="00BD7796" w:rsidP="00BD7796">
      <w:pPr>
        <w:ind w:right="-2"/>
        <w:rPr>
          <w:sz w:val="22"/>
          <w:szCs w:val="22"/>
          <w:lang w:val="pl-PL" w:bidi="bn-IN"/>
        </w:rPr>
      </w:pPr>
      <w:r w:rsidRPr="009353E6">
        <w:rPr>
          <w:b/>
          <w:sz w:val="22"/>
          <w:szCs w:val="22"/>
          <w:lang w:val="pl-PL" w:bidi="bn-IN"/>
        </w:rPr>
        <w:t>Dzieci i młodzież</w:t>
      </w:r>
    </w:p>
    <w:p w:rsidR="000A739F" w:rsidRPr="009353E6" w:rsidRDefault="000A739F" w:rsidP="00F831F6">
      <w:pPr>
        <w:pStyle w:val="BodyText"/>
        <w:spacing w:line="240" w:lineRule="auto"/>
        <w:jc w:val="left"/>
        <w:rPr>
          <w:sz w:val="22"/>
          <w:szCs w:val="22"/>
          <w:lang w:val="pl-PL"/>
        </w:rPr>
      </w:pPr>
      <w:r w:rsidRPr="009353E6">
        <w:rPr>
          <w:sz w:val="22"/>
          <w:szCs w:val="22"/>
          <w:lang w:val="pl-PL"/>
        </w:rPr>
        <w:t>Stosowanie leku MicardisPlus u dzieci i młodzieży w wieku do 18 lat nie jest zalecane.</w:t>
      </w:r>
    </w:p>
    <w:p w:rsidR="000A739F" w:rsidRPr="009353E6" w:rsidRDefault="000A739F" w:rsidP="00F831F6">
      <w:pPr>
        <w:pStyle w:val="BodyText"/>
        <w:spacing w:line="240" w:lineRule="auto"/>
        <w:jc w:val="left"/>
        <w:rPr>
          <w:sz w:val="22"/>
          <w:szCs w:val="22"/>
          <w:lang w:val="pl-PL"/>
        </w:rPr>
      </w:pPr>
    </w:p>
    <w:p w:rsidR="00BD7796" w:rsidRPr="009353E6" w:rsidRDefault="00F21309" w:rsidP="005E3A9A">
      <w:pPr>
        <w:keepNext/>
        <w:tabs>
          <w:tab w:val="left" w:pos="3261"/>
        </w:tabs>
        <w:rPr>
          <w:sz w:val="22"/>
          <w:szCs w:val="22"/>
          <w:lang w:val="pl-PL"/>
        </w:rPr>
      </w:pPr>
      <w:r w:rsidRPr="009353E6">
        <w:rPr>
          <w:b/>
          <w:sz w:val="22"/>
          <w:szCs w:val="22"/>
          <w:lang w:val="pl-PL" w:bidi="bn-IN"/>
        </w:rPr>
        <w:t xml:space="preserve">Lek </w:t>
      </w:r>
      <w:r w:rsidR="00BD7796" w:rsidRPr="009353E6">
        <w:rPr>
          <w:b/>
          <w:sz w:val="22"/>
          <w:szCs w:val="22"/>
          <w:lang w:val="pl-PL" w:bidi="bn-IN"/>
        </w:rPr>
        <w:t>MicardisPlus</w:t>
      </w:r>
      <w:r w:rsidRPr="009353E6">
        <w:rPr>
          <w:b/>
          <w:sz w:val="22"/>
          <w:szCs w:val="22"/>
          <w:lang w:val="pl-PL" w:bidi="bn-IN"/>
        </w:rPr>
        <w:t xml:space="preserve"> a inne leki</w:t>
      </w:r>
      <w:r w:rsidR="00BD7796" w:rsidRPr="009353E6">
        <w:rPr>
          <w:b/>
          <w:sz w:val="22"/>
          <w:szCs w:val="22"/>
          <w:lang w:val="pl-PL" w:bidi="bn-IN"/>
        </w:rPr>
        <w:br/>
      </w:r>
    </w:p>
    <w:p w:rsidR="000A739F" w:rsidRPr="009353E6" w:rsidRDefault="00BD7796" w:rsidP="00F831F6">
      <w:pPr>
        <w:pStyle w:val="BodyText"/>
        <w:spacing w:line="240" w:lineRule="auto"/>
        <w:jc w:val="left"/>
        <w:rPr>
          <w:sz w:val="22"/>
          <w:szCs w:val="22"/>
          <w:lang w:val="pl-PL"/>
        </w:rPr>
      </w:pPr>
      <w:r w:rsidRPr="009353E6">
        <w:rPr>
          <w:sz w:val="22"/>
          <w:szCs w:val="22"/>
          <w:lang w:val="pl-PL" w:bidi="bn-IN"/>
        </w:rPr>
        <w:t>Należy powiedzieć lekarzowi lub farmaceucie o wszystkich lekach przyjmowanych</w:t>
      </w:r>
      <w:r w:rsidR="00F21309" w:rsidRPr="009353E6">
        <w:rPr>
          <w:sz w:val="22"/>
          <w:szCs w:val="22"/>
          <w:lang w:val="pl-PL" w:bidi="bn-IN"/>
        </w:rPr>
        <w:t xml:space="preserve"> przez pacjenta</w:t>
      </w:r>
      <w:r w:rsidRPr="009353E6">
        <w:rPr>
          <w:sz w:val="22"/>
          <w:szCs w:val="22"/>
          <w:lang w:val="pl-PL" w:bidi="bn-IN"/>
        </w:rPr>
        <w:t xml:space="preserve"> obecnie lub ostatnio, a także o lekach, które pacjent planuje przyjmować. </w:t>
      </w:r>
      <w:r w:rsidR="000A739F" w:rsidRPr="009353E6">
        <w:rPr>
          <w:sz w:val="22"/>
          <w:szCs w:val="22"/>
          <w:lang w:val="pl-PL"/>
        </w:rPr>
        <w:t>Lekarz może zdecydować o zmianie dawki tych leków lub o podjęciu innych środków ostrożności.</w:t>
      </w:r>
      <w:r w:rsidRPr="009353E6">
        <w:rPr>
          <w:sz w:val="22"/>
          <w:szCs w:val="22"/>
          <w:lang w:val="pl-PL"/>
        </w:rPr>
        <w:t xml:space="preserve"> W</w:t>
      </w:r>
      <w:r w:rsidR="000A739F" w:rsidRPr="009353E6">
        <w:rPr>
          <w:sz w:val="22"/>
          <w:szCs w:val="22"/>
          <w:lang w:val="pl-PL"/>
        </w:rPr>
        <w:t xml:space="preserve"> niektórych przypadkach konieczne może być odstawienie któregoś z leków. Dotyczy to zwłaszcza jednoczesnego przyjmowania razem z lekiem MicardisPlus niżej wymienionych leków: </w:t>
      </w:r>
    </w:p>
    <w:p w:rsidR="000A739F" w:rsidRPr="009353E6" w:rsidRDefault="000A739F" w:rsidP="00F831F6">
      <w:pPr>
        <w:pStyle w:val="BodyText"/>
        <w:spacing w:line="240" w:lineRule="auto"/>
        <w:jc w:val="left"/>
        <w:rPr>
          <w:sz w:val="22"/>
          <w:szCs w:val="22"/>
          <w:lang w:val="pl-PL"/>
        </w:rPr>
      </w:pPr>
    </w:p>
    <w:p w:rsidR="000A739F" w:rsidRPr="009353E6" w:rsidRDefault="000D5AB0" w:rsidP="002D507E">
      <w:pPr>
        <w:pStyle w:val="BodyText"/>
        <w:numPr>
          <w:ilvl w:val="0"/>
          <w:numId w:val="34"/>
        </w:numPr>
        <w:tabs>
          <w:tab w:val="clear" w:pos="2520"/>
          <w:tab w:val="num" w:pos="540"/>
        </w:tabs>
        <w:spacing w:line="240" w:lineRule="auto"/>
        <w:ind w:left="540" w:hanging="540"/>
        <w:jc w:val="left"/>
        <w:rPr>
          <w:sz w:val="22"/>
          <w:szCs w:val="22"/>
          <w:lang w:val="pl-PL"/>
        </w:rPr>
      </w:pPr>
      <w:r w:rsidRPr="009353E6">
        <w:rPr>
          <w:sz w:val="22"/>
          <w:szCs w:val="22"/>
          <w:lang w:val="pl-PL"/>
        </w:rPr>
        <w:t>p</w:t>
      </w:r>
      <w:r w:rsidR="000A739F" w:rsidRPr="009353E6">
        <w:rPr>
          <w:sz w:val="22"/>
          <w:szCs w:val="22"/>
          <w:lang w:val="pl-PL"/>
        </w:rPr>
        <w:t>reparaty litu, stosowane w leczeniu niektórych rodzajów depresji</w:t>
      </w:r>
      <w:r w:rsidR="00D26BEB" w:rsidRPr="009353E6">
        <w:rPr>
          <w:sz w:val="22"/>
          <w:szCs w:val="22"/>
          <w:lang w:val="pl-PL"/>
        </w:rPr>
        <w:t>;</w:t>
      </w:r>
    </w:p>
    <w:p w:rsidR="000A739F" w:rsidRPr="009353E6" w:rsidRDefault="000D5AB0" w:rsidP="002D507E">
      <w:pPr>
        <w:pStyle w:val="BodyText"/>
        <w:numPr>
          <w:ilvl w:val="0"/>
          <w:numId w:val="34"/>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l</w:t>
      </w:r>
      <w:r w:rsidR="000A739F" w:rsidRPr="009353E6">
        <w:rPr>
          <w:rFonts w:eastAsia="MS Mincho"/>
          <w:sz w:val="22"/>
          <w:szCs w:val="22"/>
          <w:lang w:val="pl-PL" w:eastAsia="ja-JP"/>
        </w:rPr>
        <w:t xml:space="preserve">eki związane z występowaniem </w:t>
      </w:r>
      <w:r w:rsidRPr="009353E6">
        <w:rPr>
          <w:rFonts w:eastAsia="MS Mincho"/>
          <w:sz w:val="22"/>
          <w:szCs w:val="22"/>
          <w:lang w:val="pl-PL" w:eastAsia="ja-JP"/>
        </w:rPr>
        <w:t xml:space="preserve">małego stężenia </w:t>
      </w:r>
      <w:r w:rsidR="000A739F" w:rsidRPr="009353E6">
        <w:rPr>
          <w:rFonts w:eastAsia="MS Mincho"/>
          <w:sz w:val="22"/>
          <w:szCs w:val="22"/>
          <w:lang w:val="pl-PL" w:eastAsia="ja-JP"/>
        </w:rPr>
        <w:t>potasu we krwi (hipokaliemia), tak</w:t>
      </w:r>
      <w:r w:rsidRPr="009353E6">
        <w:rPr>
          <w:rFonts w:eastAsia="MS Mincho"/>
          <w:sz w:val="22"/>
          <w:szCs w:val="22"/>
          <w:lang w:val="pl-PL" w:eastAsia="ja-JP"/>
        </w:rPr>
        <w:t>i</w:t>
      </w:r>
      <w:r w:rsidR="000A739F" w:rsidRPr="009353E6">
        <w:rPr>
          <w:rFonts w:eastAsia="MS Mincho"/>
          <w:sz w:val="22"/>
          <w:szCs w:val="22"/>
          <w:lang w:val="pl-PL" w:eastAsia="ja-JP"/>
        </w:rPr>
        <w:t>e jak inne leki moczopędne (tabletki odwadniające), leki przeczyszczające (np. olej rycynowy), kortykosteroidy (np. prednizolon), ACTH (hormon adrenokortykotropowy), amfoterycyna (lek przeciwgrzybiczy), karbenoksolon (stosowany w leczeniu owrzodzeń jamy ustnej), sól sodowa penicyliny G (antybiotyk), kwas salicylowy oraz jego pochodne</w:t>
      </w:r>
      <w:r w:rsidR="00D26BEB" w:rsidRPr="009353E6">
        <w:rPr>
          <w:rFonts w:eastAsia="MS Mincho"/>
          <w:sz w:val="22"/>
          <w:szCs w:val="22"/>
          <w:lang w:val="pl-PL" w:eastAsia="ja-JP"/>
        </w:rPr>
        <w:t>;</w:t>
      </w:r>
    </w:p>
    <w:p w:rsidR="005A4164" w:rsidRPr="009353E6" w:rsidRDefault="00AB7730" w:rsidP="0070396D">
      <w:pPr>
        <w:pStyle w:val="BodyText"/>
        <w:numPr>
          <w:ilvl w:val="0"/>
          <w:numId w:val="34"/>
        </w:numPr>
        <w:tabs>
          <w:tab w:val="clear" w:pos="2520"/>
          <w:tab w:val="num" w:pos="540"/>
        </w:tabs>
        <w:spacing w:line="240" w:lineRule="auto"/>
        <w:ind w:left="540" w:hanging="540"/>
        <w:jc w:val="left"/>
        <w:rPr>
          <w:rFonts w:eastAsia="MS Mincho"/>
          <w:sz w:val="22"/>
          <w:szCs w:val="22"/>
          <w:lang w:val="pl-PL" w:eastAsia="ja-JP"/>
        </w:rPr>
      </w:pPr>
      <w:r w:rsidRPr="009353E6">
        <w:rPr>
          <w:rFonts w:eastAsia="MS Mincho"/>
          <w:sz w:val="22"/>
          <w:szCs w:val="22"/>
          <w:lang w:val="pl-PL" w:eastAsia="ja-JP"/>
        </w:rPr>
        <w:t xml:space="preserve">leki mogące podwyższać stężenie potasu we krwi, np. </w:t>
      </w:r>
      <w:r w:rsidR="000D5AB0" w:rsidRPr="009353E6">
        <w:rPr>
          <w:rFonts w:eastAsia="MS Mincho"/>
          <w:sz w:val="22"/>
          <w:szCs w:val="22"/>
          <w:lang w:val="pl-PL" w:eastAsia="ja-JP"/>
        </w:rPr>
        <w:t>l</w:t>
      </w:r>
      <w:r w:rsidR="000A739F" w:rsidRPr="009353E6">
        <w:rPr>
          <w:rFonts w:eastAsia="MS Mincho"/>
          <w:sz w:val="22"/>
          <w:szCs w:val="22"/>
          <w:lang w:val="pl-PL" w:eastAsia="ja-JP"/>
        </w:rPr>
        <w:t xml:space="preserve">eki moczopędne oszczędzające potas, suplementy potasu, substytuty soli zawierające potas, inhibitory ACE, </w:t>
      </w:r>
      <w:r w:rsidRPr="009353E6">
        <w:rPr>
          <w:rFonts w:eastAsia="MS Mincho"/>
          <w:sz w:val="22"/>
          <w:szCs w:val="22"/>
          <w:lang w:val="pl-PL" w:eastAsia="ja-JP"/>
        </w:rPr>
        <w:t>cyklosporyna (</w:t>
      </w:r>
      <w:r w:rsidR="00D82DF5" w:rsidRPr="009353E6">
        <w:rPr>
          <w:rFonts w:eastAsia="MS Mincho"/>
          <w:sz w:val="22"/>
          <w:szCs w:val="22"/>
          <w:lang w:val="pl-PL" w:eastAsia="ja-JP"/>
        </w:rPr>
        <w:t>l</w:t>
      </w:r>
      <w:r w:rsidRPr="009353E6">
        <w:rPr>
          <w:rFonts w:eastAsia="MS Mincho"/>
          <w:sz w:val="22"/>
          <w:szCs w:val="22"/>
          <w:lang w:val="pl-PL" w:eastAsia="ja-JP"/>
        </w:rPr>
        <w:t>ek immunosupresyjny) i inne produkty lecznicze, np. heparyna sodowa (</w:t>
      </w:r>
      <w:r w:rsidR="00D82DF5" w:rsidRPr="009353E6">
        <w:rPr>
          <w:rFonts w:eastAsia="MS Mincho"/>
          <w:sz w:val="22"/>
          <w:szCs w:val="22"/>
          <w:lang w:val="pl-PL" w:eastAsia="ja-JP"/>
        </w:rPr>
        <w:t>l</w:t>
      </w:r>
      <w:r w:rsidRPr="009353E6">
        <w:rPr>
          <w:rFonts w:eastAsia="MS Mincho"/>
          <w:sz w:val="22"/>
          <w:szCs w:val="22"/>
          <w:lang w:val="pl-PL" w:eastAsia="ja-JP"/>
        </w:rPr>
        <w:t>ek przeciwzakrzepowy)</w:t>
      </w:r>
      <w:r w:rsidR="00D26BEB" w:rsidRPr="009353E6">
        <w:rPr>
          <w:rFonts w:eastAsia="MS Mincho"/>
          <w:sz w:val="22"/>
          <w:szCs w:val="22"/>
          <w:lang w:val="pl-PL" w:eastAsia="ja-JP"/>
        </w:rPr>
        <w:t>;</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rFonts w:eastAsia="MS Mincho"/>
          <w:color w:val="000000"/>
          <w:sz w:val="22"/>
          <w:szCs w:val="22"/>
          <w:lang w:val="pl-PL" w:eastAsia="ja-JP"/>
        </w:rPr>
        <w:t xml:space="preserve">leki, na które </w:t>
      </w:r>
      <w:r w:rsidR="00D82DF5" w:rsidRPr="009353E6">
        <w:rPr>
          <w:rFonts w:eastAsia="MS Mincho"/>
          <w:color w:val="000000"/>
          <w:sz w:val="22"/>
          <w:szCs w:val="22"/>
          <w:lang w:val="pl-PL" w:eastAsia="ja-JP"/>
        </w:rPr>
        <w:t>wpływają</w:t>
      </w:r>
      <w:r w:rsidRPr="009353E6">
        <w:rPr>
          <w:rFonts w:eastAsia="MS Mincho"/>
          <w:color w:val="000000"/>
          <w:sz w:val="22"/>
          <w:szCs w:val="22"/>
          <w:lang w:val="pl-PL" w:eastAsia="ja-JP"/>
        </w:rPr>
        <w:t xml:space="preserve"> zmi</w:t>
      </w:r>
      <w:r w:rsidR="00D82DF5" w:rsidRPr="009353E6">
        <w:rPr>
          <w:rFonts w:eastAsia="MS Mincho"/>
          <w:color w:val="000000"/>
          <w:sz w:val="22"/>
          <w:szCs w:val="22"/>
          <w:lang w:val="pl-PL" w:eastAsia="ja-JP"/>
        </w:rPr>
        <w:t>any</w:t>
      </w:r>
      <w:r w:rsidRPr="009353E6">
        <w:rPr>
          <w:rFonts w:eastAsia="MS Mincho"/>
          <w:color w:val="000000"/>
          <w:sz w:val="22"/>
          <w:szCs w:val="22"/>
          <w:lang w:val="pl-PL" w:eastAsia="ja-JP"/>
        </w:rPr>
        <w:t xml:space="preserve"> stężeni</w:t>
      </w:r>
      <w:r w:rsidR="00D82DF5" w:rsidRPr="009353E6">
        <w:rPr>
          <w:rFonts w:eastAsia="MS Mincho"/>
          <w:color w:val="000000"/>
          <w:sz w:val="22"/>
          <w:szCs w:val="22"/>
          <w:lang w:val="pl-PL" w:eastAsia="ja-JP"/>
        </w:rPr>
        <w:t>a</w:t>
      </w:r>
      <w:r w:rsidRPr="009353E6">
        <w:rPr>
          <w:rFonts w:eastAsia="MS Mincho"/>
          <w:color w:val="000000"/>
          <w:sz w:val="22"/>
          <w:szCs w:val="22"/>
          <w:lang w:val="pl-PL" w:eastAsia="ja-JP"/>
        </w:rPr>
        <w:t xml:space="preserve"> potasu we krwi, takie jak leki nasercowe (np. digoksyna) czy też leki </w:t>
      </w:r>
      <w:r w:rsidR="00D82DF5" w:rsidRPr="009353E6">
        <w:rPr>
          <w:rFonts w:eastAsia="MS Mincho"/>
          <w:color w:val="000000"/>
          <w:sz w:val="22"/>
          <w:szCs w:val="22"/>
          <w:lang w:val="pl-PL" w:eastAsia="ja-JP"/>
        </w:rPr>
        <w:t>regulu</w:t>
      </w:r>
      <w:r w:rsidRPr="009353E6">
        <w:rPr>
          <w:rFonts w:eastAsia="MS Mincho"/>
          <w:color w:val="000000"/>
          <w:sz w:val="22"/>
          <w:szCs w:val="22"/>
          <w:lang w:val="pl-PL" w:eastAsia="ja-JP"/>
        </w:rPr>
        <w:t>jące częstość akcji serca (np. chinidyna, dyzopiramid</w:t>
      </w:r>
      <w:r w:rsidR="00AB7730" w:rsidRPr="009353E6">
        <w:rPr>
          <w:rFonts w:eastAsia="MS Mincho"/>
          <w:color w:val="000000"/>
          <w:sz w:val="22"/>
          <w:szCs w:val="22"/>
          <w:lang w:val="pl-PL" w:eastAsia="ja-JP"/>
        </w:rPr>
        <w:t>, amiodaron, sotalol</w:t>
      </w:r>
      <w:r w:rsidRPr="009353E6">
        <w:rPr>
          <w:rFonts w:eastAsia="MS Mincho"/>
          <w:color w:val="000000"/>
          <w:sz w:val="22"/>
          <w:szCs w:val="22"/>
          <w:lang w:val="pl-PL" w:eastAsia="ja-JP"/>
        </w:rPr>
        <w:t xml:space="preserve">), leki </w:t>
      </w:r>
      <w:r w:rsidR="00D82DF5" w:rsidRPr="009353E6">
        <w:rPr>
          <w:rFonts w:eastAsia="MS Mincho"/>
          <w:color w:val="000000"/>
          <w:sz w:val="22"/>
          <w:szCs w:val="22"/>
          <w:lang w:val="pl-PL" w:eastAsia="ja-JP"/>
        </w:rPr>
        <w:t>uż</w:t>
      </w:r>
      <w:r w:rsidRPr="009353E6">
        <w:rPr>
          <w:rFonts w:eastAsia="MS Mincho"/>
          <w:color w:val="000000"/>
          <w:sz w:val="22"/>
          <w:szCs w:val="22"/>
          <w:lang w:val="pl-PL" w:eastAsia="ja-JP"/>
        </w:rPr>
        <w:t>ywane w leczeniu zaburzeń psychicznych (np. tiorydazyna, chlor</w:t>
      </w:r>
      <w:r w:rsidR="003C3138" w:rsidRPr="009353E6">
        <w:rPr>
          <w:rFonts w:eastAsia="MS Mincho"/>
          <w:color w:val="000000"/>
          <w:sz w:val="22"/>
          <w:szCs w:val="22"/>
          <w:lang w:val="pl-PL" w:eastAsia="ja-JP"/>
        </w:rPr>
        <w:t>o</w:t>
      </w:r>
      <w:r w:rsidRPr="009353E6">
        <w:rPr>
          <w:rFonts w:eastAsia="MS Mincho"/>
          <w:color w:val="000000"/>
          <w:sz w:val="22"/>
          <w:szCs w:val="22"/>
          <w:lang w:val="pl-PL" w:eastAsia="ja-JP"/>
        </w:rPr>
        <w:t>promazyna, lewo</w:t>
      </w:r>
      <w:r w:rsidR="00672E35" w:rsidRPr="009353E6">
        <w:rPr>
          <w:rFonts w:eastAsia="MS Mincho"/>
          <w:color w:val="000000"/>
          <w:sz w:val="22"/>
          <w:szCs w:val="22"/>
          <w:lang w:val="pl-PL" w:eastAsia="ja-JP"/>
        </w:rPr>
        <w:t>me</w:t>
      </w:r>
      <w:r w:rsidRPr="009353E6">
        <w:rPr>
          <w:rFonts w:eastAsia="MS Mincho"/>
          <w:color w:val="000000"/>
          <w:sz w:val="22"/>
          <w:szCs w:val="22"/>
          <w:lang w:val="pl-PL" w:eastAsia="ja-JP"/>
        </w:rPr>
        <w:t>promazyna) oraz inne leki</w:t>
      </w:r>
      <w:r w:rsidR="00672E35" w:rsidRPr="009353E6">
        <w:rPr>
          <w:rFonts w:eastAsia="MS Mincho"/>
          <w:color w:val="000000"/>
          <w:sz w:val="22"/>
          <w:szCs w:val="22"/>
          <w:lang w:val="pl-PL" w:eastAsia="ja-JP"/>
        </w:rPr>
        <w:t>,</w:t>
      </w:r>
      <w:r w:rsidRPr="009353E6">
        <w:rPr>
          <w:rFonts w:eastAsia="MS Mincho"/>
          <w:color w:val="000000"/>
          <w:sz w:val="22"/>
          <w:szCs w:val="22"/>
          <w:lang w:val="pl-PL" w:eastAsia="ja-JP"/>
        </w:rPr>
        <w:t xml:space="preserve"> takie jak </w:t>
      </w:r>
      <w:r w:rsidR="00D82DF5" w:rsidRPr="009353E6">
        <w:rPr>
          <w:rFonts w:eastAsia="MS Mincho"/>
          <w:color w:val="000000"/>
          <w:sz w:val="22"/>
          <w:szCs w:val="22"/>
          <w:lang w:val="pl-PL" w:eastAsia="ja-JP"/>
        </w:rPr>
        <w:t>niektór</w:t>
      </w:r>
      <w:r w:rsidRPr="009353E6">
        <w:rPr>
          <w:rFonts w:eastAsia="MS Mincho"/>
          <w:color w:val="000000"/>
          <w:sz w:val="22"/>
          <w:szCs w:val="22"/>
          <w:lang w:val="pl-PL" w:eastAsia="ja-JP"/>
        </w:rPr>
        <w:t xml:space="preserve">e antybiotyki (np. sparfloksacyna, pentamidyna) </w:t>
      </w:r>
      <w:r w:rsidR="00D82DF5" w:rsidRPr="009353E6">
        <w:rPr>
          <w:rFonts w:eastAsia="MS Mincho"/>
          <w:color w:val="000000"/>
          <w:sz w:val="22"/>
          <w:szCs w:val="22"/>
          <w:lang w:val="pl-PL" w:eastAsia="ja-JP"/>
        </w:rPr>
        <w:t>lub</w:t>
      </w:r>
      <w:r w:rsidRPr="009353E6">
        <w:rPr>
          <w:rFonts w:eastAsia="MS Mincho"/>
          <w:color w:val="000000"/>
          <w:sz w:val="22"/>
          <w:szCs w:val="22"/>
          <w:lang w:val="pl-PL" w:eastAsia="ja-JP"/>
        </w:rPr>
        <w:t xml:space="preserve"> </w:t>
      </w:r>
      <w:r w:rsidR="00D82DF5" w:rsidRPr="009353E6">
        <w:rPr>
          <w:rFonts w:eastAsia="MS Mincho"/>
          <w:color w:val="000000"/>
          <w:sz w:val="22"/>
          <w:szCs w:val="22"/>
          <w:lang w:val="pl-PL" w:eastAsia="ja-JP"/>
        </w:rPr>
        <w:t>pewne</w:t>
      </w:r>
      <w:r w:rsidRPr="009353E6">
        <w:rPr>
          <w:rFonts w:eastAsia="MS Mincho"/>
          <w:color w:val="000000"/>
          <w:sz w:val="22"/>
          <w:szCs w:val="22"/>
          <w:lang w:val="pl-PL" w:eastAsia="ja-JP"/>
        </w:rPr>
        <w:t xml:space="preserve"> le</w:t>
      </w:r>
      <w:r w:rsidR="00D82DF5" w:rsidRPr="009353E6">
        <w:rPr>
          <w:rFonts w:eastAsia="MS Mincho"/>
          <w:color w:val="000000"/>
          <w:sz w:val="22"/>
          <w:szCs w:val="22"/>
          <w:lang w:val="pl-PL" w:eastAsia="ja-JP"/>
        </w:rPr>
        <w:t>ki</w:t>
      </w:r>
      <w:r w:rsidRPr="009353E6">
        <w:rPr>
          <w:rFonts w:eastAsia="MS Mincho"/>
          <w:color w:val="000000"/>
          <w:sz w:val="22"/>
          <w:szCs w:val="22"/>
          <w:lang w:val="pl-PL" w:eastAsia="ja-JP"/>
        </w:rPr>
        <w:t xml:space="preserve"> stosowane w terapii odczynów (reakcji) alergicznych (np. terfenadyna)</w:t>
      </w:r>
      <w:r w:rsidR="00672E35" w:rsidRPr="009353E6">
        <w:rPr>
          <w:rFonts w:eastAsia="MS Mincho"/>
          <w:color w:val="000000"/>
          <w:sz w:val="22"/>
          <w:szCs w:val="22"/>
          <w:lang w:val="pl-PL" w:eastAsia="ja-JP"/>
        </w:rPr>
        <w:t>;</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 xml:space="preserve">leki stosowane w cukrzycy (insulina lub </w:t>
      </w:r>
      <w:r w:rsidR="009B29F1" w:rsidRPr="009353E6">
        <w:rPr>
          <w:color w:val="000000"/>
          <w:sz w:val="22"/>
          <w:szCs w:val="22"/>
          <w:lang w:val="pl-PL"/>
        </w:rPr>
        <w:t xml:space="preserve">leki </w:t>
      </w:r>
      <w:r w:rsidRPr="009353E6">
        <w:rPr>
          <w:color w:val="000000"/>
          <w:sz w:val="22"/>
          <w:szCs w:val="22"/>
          <w:lang w:val="pl-PL"/>
        </w:rPr>
        <w:t>doustne takie jak metformina);</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 xml:space="preserve">kolestyramina i kolestypol, leki obniżające </w:t>
      </w:r>
      <w:r w:rsidR="009B29F1" w:rsidRPr="009353E6">
        <w:rPr>
          <w:color w:val="000000"/>
          <w:sz w:val="22"/>
          <w:szCs w:val="22"/>
          <w:lang w:val="pl-PL"/>
        </w:rPr>
        <w:t>stężenie</w:t>
      </w:r>
      <w:r w:rsidRPr="009353E6">
        <w:rPr>
          <w:color w:val="000000"/>
          <w:sz w:val="22"/>
          <w:szCs w:val="22"/>
          <w:lang w:val="pl-PL"/>
        </w:rPr>
        <w:t xml:space="preserve"> </w:t>
      </w:r>
      <w:r w:rsidR="009B29F1" w:rsidRPr="009353E6">
        <w:rPr>
          <w:color w:val="000000"/>
          <w:sz w:val="22"/>
          <w:szCs w:val="22"/>
          <w:lang w:val="pl-PL"/>
        </w:rPr>
        <w:t>tłuszcz</w:t>
      </w:r>
      <w:r w:rsidRPr="009353E6">
        <w:rPr>
          <w:color w:val="000000"/>
          <w:sz w:val="22"/>
          <w:szCs w:val="22"/>
          <w:lang w:val="pl-PL"/>
        </w:rPr>
        <w:t>ów we krwi</w:t>
      </w:r>
      <w:r w:rsidR="00672E35" w:rsidRPr="009353E6">
        <w:rPr>
          <w:color w:val="000000"/>
          <w:sz w:val="22"/>
          <w:szCs w:val="22"/>
          <w:lang w:val="pl-PL"/>
        </w:rPr>
        <w:t>;</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leki podwyższające ciśnienie krwi takie jak noradrenalina</w:t>
      </w:r>
      <w:r w:rsidR="00672E35" w:rsidRPr="009353E6">
        <w:rPr>
          <w:color w:val="000000"/>
          <w:sz w:val="22"/>
          <w:szCs w:val="22"/>
          <w:lang w:val="pl-PL"/>
        </w:rPr>
        <w:t>;</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leki zwiotczające mięśnie takie jak tubokuraryna</w:t>
      </w:r>
      <w:r w:rsidR="00672E35" w:rsidRPr="009353E6">
        <w:rPr>
          <w:color w:val="000000"/>
          <w:sz w:val="22"/>
          <w:szCs w:val="22"/>
          <w:lang w:val="pl-PL"/>
        </w:rPr>
        <w:t>;</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suplementy wapnia</w:t>
      </w:r>
      <w:r w:rsidR="00AB7730" w:rsidRPr="009353E6">
        <w:rPr>
          <w:color w:val="000000"/>
          <w:sz w:val="22"/>
          <w:szCs w:val="22"/>
          <w:lang w:val="pl-PL"/>
        </w:rPr>
        <w:t xml:space="preserve"> i</w:t>
      </w:r>
      <w:r w:rsidR="009B29F1" w:rsidRPr="009353E6">
        <w:rPr>
          <w:color w:val="000000"/>
          <w:sz w:val="22"/>
          <w:szCs w:val="22"/>
          <w:lang w:val="pl-PL"/>
        </w:rPr>
        <w:t xml:space="preserve"> (</w:t>
      </w:r>
      <w:r w:rsidR="00AB7730" w:rsidRPr="009353E6">
        <w:rPr>
          <w:color w:val="000000"/>
          <w:sz w:val="22"/>
          <w:szCs w:val="22"/>
          <w:lang w:val="pl-PL"/>
        </w:rPr>
        <w:t>lub</w:t>
      </w:r>
      <w:r w:rsidR="009B29F1" w:rsidRPr="009353E6">
        <w:rPr>
          <w:color w:val="000000"/>
          <w:sz w:val="22"/>
          <w:szCs w:val="22"/>
          <w:lang w:val="pl-PL"/>
        </w:rPr>
        <w:t>)</w:t>
      </w:r>
      <w:r w:rsidR="00AB7730" w:rsidRPr="009353E6">
        <w:rPr>
          <w:color w:val="000000"/>
          <w:sz w:val="22"/>
          <w:szCs w:val="22"/>
          <w:lang w:val="pl-PL"/>
        </w:rPr>
        <w:t xml:space="preserve"> witaminy D</w:t>
      </w:r>
      <w:r w:rsidR="00672E35" w:rsidRPr="009353E6">
        <w:rPr>
          <w:color w:val="000000"/>
          <w:sz w:val="22"/>
          <w:szCs w:val="22"/>
          <w:lang w:val="pl-PL"/>
        </w:rPr>
        <w:t>;</w:t>
      </w:r>
    </w:p>
    <w:p w:rsidR="005A4164" w:rsidRPr="009353E6" w:rsidRDefault="005A4164" w:rsidP="0070396D">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 xml:space="preserve">leki o działaniu antycholinergicznym (stosowane w leczeniu szeregu </w:t>
      </w:r>
      <w:r w:rsidR="009B29F1" w:rsidRPr="009353E6">
        <w:rPr>
          <w:color w:val="000000"/>
          <w:sz w:val="22"/>
          <w:szCs w:val="22"/>
          <w:lang w:val="pl-PL"/>
        </w:rPr>
        <w:t>zabu</w:t>
      </w:r>
      <w:r w:rsidRPr="009353E6">
        <w:rPr>
          <w:color w:val="000000"/>
          <w:sz w:val="22"/>
          <w:szCs w:val="22"/>
          <w:lang w:val="pl-PL"/>
        </w:rPr>
        <w:t xml:space="preserve">rzeń takich jak stany skurczowe w obrębie przewodu pokarmowego, skurcze pęcherza moczowego, </w:t>
      </w:r>
      <w:r w:rsidR="005A31C0" w:rsidRPr="009353E6">
        <w:rPr>
          <w:color w:val="000000"/>
          <w:sz w:val="22"/>
          <w:szCs w:val="22"/>
          <w:lang w:val="pl-PL"/>
        </w:rPr>
        <w:t xml:space="preserve">astma, </w:t>
      </w:r>
      <w:r w:rsidRPr="009353E6">
        <w:rPr>
          <w:color w:val="000000"/>
          <w:sz w:val="22"/>
          <w:szCs w:val="22"/>
          <w:lang w:val="pl-PL"/>
        </w:rPr>
        <w:t>choroba lokomocyjna, skurcze mięśni, choroba Parkinsona oraz wspomagająco przy znieczuleniu)</w:t>
      </w:r>
      <w:r w:rsidR="00A1061F" w:rsidRPr="009353E6">
        <w:rPr>
          <w:color w:val="000000"/>
          <w:sz w:val="22"/>
          <w:szCs w:val="22"/>
          <w:lang w:val="pl-PL"/>
        </w:rPr>
        <w:t>,</w:t>
      </w:r>
      <w:r w:rsidRPr="009353E6">
        <w:rPr>
          <w:color w:val="000000"/>
          <w:sz w:val="22"/>
          <w:szCs w:val="22"/>
          <w:lang w:val="pl-PL"/>
        </w:rPr>
        <w:t xml:space="preserve"> takie jak atropina i biperyden</w:t>
      </w:r>
      <w:r w:rsidR="00672E35" w:rsidRPr="009353E6">
        <w:rPr>
          <w:color w:val="000000"/>
          <w:sz w:val="22"/>
          <w:szCs w:val="22"/>
          <w:lang w:val="pl-PL"/>
        </w:rPr>
        <w:t>;</w:t>
      </w:r>
    </w:p>
    <w:p w:rsidR="000A739F" w:rsidRPr="009353E6" w:rsidRDefault="005A4164" w:rsidP="00AD7894">
      <w:pPr>
        <w:pStyle w:val="BodyText"/>
        <w:numPr>
          <w:ilvl w:val="0"/>
          <w:numId w:val="34"/>
        </w:numPr>
        <w:tabs>
          <w:tab w:val="clear" w:pos="2520"/>
          <w:tab w:val="num" w:pos="540"/>
        </w:tabs>
        <w:spacing w:line="240" w:lineRule="auto"/>
        <w:ind w:left="540" w:hanging="540"/>
        <w:jc w:val="left"/>
        <w:rPr>
          <w:rFonts w:eastAsia="MS Mincho"/>
          <w:color w:val="000000"/>
          <w:sz w:val="22"/>
          <w:szCs w:val="22"/>
          <w:lang w:val="pl-PL" w:eastAsia="ja-JP"/>
        </w:rPr>
      </w:pPr>
      <w:r w:rsidRPr="009353E6">
        <w:rPr>
          <w:color w:val="000000"/>
          <w:sz w:val="22"/>
          <w:szCs w:val="22"/>
          <w:lang w:val="pl-PL"/>
        </w:rPr>
        <w:t>amantadyna (lek stosowany w chorob</w:t>
      </w:r>
      <w:r w:rsidR="009B29F1" w:rsidRPr="009353E6">
        <w:rPr>
          <w:color w:val="000000"/>
          <w:sz w:val="22"/>
          <w:szCs w:val="22"/>
          <w:lang w:val="pl-PL"/>
        </w:rPr>
        <w:t>ie</w:t>
      </w:r>
      <w:r w:rsidRPr="009353E6">
        <w:rPr>
          <w:color w:val="000000"/>
          <w:sz w:val="22"/>
          <w:szCs w:val="22"/>
          <w:lang w:val="pl-PL"/>
        </w:rPr>
        <w:t xml:space="preserve"> Parkinsona, a także w leczeniu </w:t>
      </w:r>
      <w:r w:rsidR="009B29F1" w:rsidRPr="009353E6">
        <w:rPr>
          <w:color w:val="000000"/>
          <w:sz w:val="22"/>
          <w:szCs w:val="22"/>
          <w:lang w:val="pl-PL"/>
        </w:rPr>
        <w:t>lub zapobieganiu pew</w:t>
      </w:r>
      <w:r w:rsidRPr="009353E6">
        <w:rPr>
          <w:color w:val="000000"/>
          <w:sz w:val="22"/>
          <w:szCs w:val="22"/>
          <w:lang w:val="pl-PL"/>
        </w:rPr>
        <w:t>nych chorób wirusow</w:t>
      </w:r>
      <w:r w:rsidR="009B29F1" w:rsidRPr="009353E6">
        <w:rPr>
          <w:color w:val="000000"/>
          <w:sz w:val="22"/>
          <w:szCs w:val="22"/>
          <w:lang w:val="pl-PL"/>
        </w:rPr>
        <w:t>ych</w:t>
      </w:r>
      <w:r w:rsidR="00AD7894" w:rsidRPr="009353E6">
        <w:rPr>
          <w:color w:val="000000"/>
          <w:sz w:val="22"/>
          <w:szCs w:val="22"/>
          <w:lang w:val="pl-PL"/>
        </w:rPr>
        <w:t>)</w:t>
      </w:r>
      <w:r w:rsidR="00672E35" w:rsidRPr="009353E6">
        <w:rPr>
          <w:color w:val="000000"/>
          <w:sz w:val="22"/>
          <w:szCs w:val="22"/>
          <w:lang w:val="pl-PL"/>
        </w:rPr>
        <w:t>;</w:t>
      </w:r>
    </w:p>
    <w:p w:rsidR="000A739F" w:rsidRPr="009353E6" w:rsidRDefault="000D5AB0" w:rsidP="002D507E">
      <w:pPr>
        <w:pStyle w:val="BodyText"/>
        <w:numPr>
          <w:ilvl w:val="0"/>
          <w:numId w:val="34"/>
        </w:numPr>
        <w:tabs>
          <w:tab w:val="clear" w:pos="2520"/>
          <w:tab w:val="num" w:pos="540"/>
        </w:tabs>
        <w:spacing w:line="240" w:lineRule="auto"/>
        <w:ind w:left="540" w:hanging="540"/>
        <w:jc w:val="left"/>
        <w:rPr>
          <w:sz w:val="22"/>
          <w:szCs w:val="22"/>
          <w:lang w:val="pl-PL"/>
        </w:rPr>
      </w:pPr>
      <w:r w:rsidRPr="009353E6">
        <w:rPr>
          <w:sz w:val="22"/>
          <w:szCs w:val="22"/>
          <w:lang w:val="pl-PL"/>
        </w:rPr>
        <w:t>p</w:t>
      </w:r>
      <w:r w:rsidR="000A739F" w:rsidRPr="009353E6">
        <w:rPr>
          <w:sz w:val="22"/>
          <w:szCs w:val="22"/>
          <w:lang w:val="pl-PL"/>
        </w:rPr>
        <w:t xml:space="preserve">ozostałe leki stosowane w leczeniu nadciśnienia, </w:t>
      </w:r>
      <w:r w:rsidR="009A44E6" w:rsidRPr="009353E6">
        <w:rPr>
          <w:sz w:val="22"/>
          <w:szCs w:val="22"/>
          <w:lang w:val="pl-PL"/>
        </w:rPr>
        <w:t>kortykosteroidy</w:t>
      </w:r>
      <w:r w:rsidR="000A739F" w:rsidRPr="009353E6">
        <w:rPr>
          <w:sz w:val="22"/>
          <w:szCs w:val="22"/>
          <w:lang w:val="pl-PL"/>
        </w:rPr>
        <w:t>, leki przeciwbólowe</w:t>
      </w:r>
      <w:r w:rsidR="00AB7730" w:rsidRPr="009353E6">
        <w:rPr>
          <w:sz w:val="22"/>
          <w:szCs w:val="22"/>
          <w:lang w:val="pl-PL"/>
        </w:rPr>
        <w:t xml:space="preserve"> (np. </w:t>
      </w:r>
      <w:r w:rsidR="009A44E6" w:rsidRPr="009353E6">
        <w:rPr>
          <w:sz w:val="22"/>
          <w:szCs w:val="22"/>
          <w:lang w:val="pl-PL"/>
        </w:rPr>
        <w:t>niesteroidowe</w:t>
      </w:r>
      <w:r w:rsidR="00AB7730" w:rsidRPr="009353E6">
        <w:rPr>
          <w:sz w:val="22"/>
          <w:szCs w:val="22"/>
          <w:lang w:val="pl-PL"/>
        </w:rPr>
        <w:t xml:space="preserve"> leki przeciwzapalne, NLPZ)</w:t>
      </w:r>
      <w:r w:rsidR="000A739F" w:rsidRPr="009353E6">
        <w:rPr>
          <w:sz w:val="22"/>
          <w:szCs w:val="22"/>
          <w:lang w:val="pl-PL"/>
        </w:rPr>
        <w:t>, leki stosowane w leczeniu nowotworów, dny moczanowej lub zapalenia stawów</w:t>
      </w:r>
      <w:r w:rsidR="00D26BEB" w:rsidRPr="009353E6">
        <w:rPr>
          <w:sz w:val="22"/>
          <w:szCs w:val="22"/>
          <w:lang w:val="pl-PL"/>
        </w:rPr>
        <w:t>;</w:t>
      </w:r>
    </w:p>
    <w:p w:rsidR="00065995" w:rsidRPr="009353E6" w:rsidRDefault="00065995" w:rsidP="00D50D09">
      <w:pPr>
        <w:numPr>
          <w:ilvl w:val="0"/>
          <w:numId w:val="34"/>
        </w:numPr>
        <w:tabs>
          <w:tab w:val="clear" w:pos="2520"/>
          <w:tab w:val="num" w:pos="567"/>
        </w:tabs>
        <w:ind w:left="567" w:hanging="567"/>
        <w:rPr>
          <w:sz w:val="22"/>
          <w:szCs w:val="22"/>
          <w:lang w:val="pl-PL"/>
        </w:rPr>
      </w:pPr>
      <w:r w:rsidRPr="009353E6">
        <w:rPr>
          <w:sz w:val="22"/>
          <w:szCs w:val="22"/>
          <w:lang w:val="pl-PL"/>
        </w:rPr>
        <w:t>przyjm</w:t>
      </w:r>
      <w:r w:rsidR="009B29F1" w:rsidRPr="009353E6">
        <w:rPr>
          <w:sz w:val="22"/>
          <w:szCs w:val="22"/>
          <w:lang w:val="pl-PL"/>
        </w:rPr>
        <w:t>owanie</w:t>
      </w:r>
      <w:r w:rsidRPr="009353E6">
        <w:rPr>
          <w:sz w:val="22"/>
          <w:szCs w:val="22"/>
          <w:lang w:val="pl-PL"/>
        </w:rPr>
        <w:t xml:space="preserve"> inhibitor</w:t>
      </w:r>
      <w:r w:rsidR="009B29F1" w:rsidRPr="009353E6">
        <w:rPr>
          <w:sz w:val="22"/>
          <w:szCs w:val="22"/>
          <w:lang w:val="pl-PL"/>
        </w:rPr>
        <w:t>a</w:t>
      </w:r>
      <w:r w:rsidRPr="009353E6">
        <w:rPr>
          <w:sz w:val="22"/>
          <w:szCs w:val="22"/>
          <w:lang w:val="pl-PL"/>
        </w:rPr>
        <w:t xml:space="preserve"> ACE lub aliskiren</w:t>
      </w:r>
      <w:r w:rsidR="009B29F1" w:rsidRPr="009353E6">
        <w:rPr>
          <w:sz w:val="22"/>
          <w:szCs w:val="22"/>
          <w:lang w:val="pl-PL"/>
        </w:rPr>
        <w:t>u</w:t>
      </w:r>
      <w:r w:rsidRPr="009353E6">
        <w:rPr>
          <w:sz w:val="22"/>
          <w:szCs w:val="22"/>
          <w:lang w:val="pl-PL"/>
        </w:rPr>
        <w:t xml:space="preserve"> (patrz także informacje pod nagłówkiem „Kiedy nie </w:t>
      </w:r>
      <w:r w:rsidR="00105AE1" w:rsidRPr="009353E6">
        <w:rPr>
          <w:sz w:val="22"/>
          <w:szCs w:val="22"/>
          <w:lang w:val="pl-PL"/>
        </w:rPr>
        <w:t>przyjmować</w:t>
      </w:r>
      <w:r w:rsidR="00F21309" w:rsidRPr="009353E6">
        <w:rPr>
          <w:sz w:val="22"/>
          <w:szCs w:val="22"/>
          <w:lang w:val="pl-PL"/>
        </w:rPr>
        <w:t xml:space="preserve"> </w:t>
      </w:r>
      <w:r w:rsidRPr="009353E6">
        <w:rPr>
          <w:sz w:val="22"/>
          <w:szCs w:val="22"/>
          <w:lang w:val="pl-PL"/>
        </w:rPr>
        <w:t>leku MicardisPlus” oraz „Ostrzeżenia i środki ostrożności”).</w:t>
      </w:r>
    </w:p>
    <w:p w:rsidR="009A6C23" w:rsidRPr="009353E6" w:rsidRDefault="009A6C23" w:rsidP="009A6C23">
      <w:pPr>
        <w:numPr>
          <w:ilvl w:val="0"/>
          <w:numId w:val="34"/>
        </w:numPr>
        <w:tabs>
          <w:tab w:val="clear" w:pos="2520"/>
          <w:tab w:val="num" w:pos="567"/>
        </w:tabs>
        <w:ind w:left="567" w:hanging="567"/>
        <w:rPr>
          <w:sz w:val="22"/>
          <w:szCs w:val="22"/>
          <w:lang w:val="pl-PL"/>
        </w:rPr>
      </w:pPr>
      <w:r w:rsidRPr="009353E6">
        <w:rPr>
          <w:bCs/>
          <w:iCs/>
          <w:sz w:val="22"/>
          <w:szCs w:val="20"/>
          <w:lang w:val="pl-PL"/>
        </w:rPr>
        <w:t>digoksyn</w:t>
      </w:r>
      <w:r w:rsidR="009B29F1" w:rsidRPr="009353E6">
        <w:rPr>
          <w:bCs/>
          <w:iCs/>
          <w:sz w:val="22"/>
          <w:szCs w:val="20"/>
          <w:lang w:val="pl-PL"/>
        </w:rPr>
        <w:t>a</w:t>
      </w:r>
      <w:r w:rsidR="00D26BEB" w:rsidRPr="009353E6">
        <w:rPr>
          <w:bCs/>
          <w:iCs/>
          <w:sz w:val="22"/>
          <w:szCs w:val="20"/>
          <w:lang w:val="pl-PL"/>
        </w:rPr>
        <w:t>.</w:t>
      </w:r>
    </w:p>
    <w:p w:rsidR="000A739F" w:rsidRPr="009353E6" w:rsidRDefault="000A739F" w:rsidP="00F831F6">
      <w:pPr>
        <w:pStyle w:val="BodyText"/>
        <w:spacing w:line="240" w:lineRule="auto"/>
        <w:jc w:val="left"/>
        <w:rPr>
          <w:sz w:val="22"/>
          <w:szCs w:val="22"/>
          <w:lang w:val="pl-PL"/>
        </w:rPr>
      </w:pPr>
    </w:p>
    <w:p w:rsidR="00D26BEB" w:rsidRPr="009353E6" w:rsidRDefault="000A739F" w:rsidP="00D26BEB">
      <w:pPr>
        <w:autoSpaceDE w:val="0"/>
        <w:autoSpaceDN w:val="0"/>
        <w:adjustRightInd w:val="0"/>
        <w:rPr>
          <w:rStyle w:val="hps"/>
          <w:sz w:val="22"/>
          <w:szCs w:val="22"/>
          <w:lang w:val="pl-PL"/>
        </w:rPr>
      </w:pPr>
      <w:r w:rsidRPr="009353E6">
        <w:rPr>
          <w:sz w:val="22"/>
          <w:szCs w:val="22"/>
          <w:lang w:val="pl-PL"/>
        </w:rPr>
        <w:t>MicardisPlus może nasilać działanie obniżające ciśnienie krwi innych leków</w:t>
      </w:r>
      <w:r w:rsidR="009A6C23" w:rsidRPr="009353E6">
        <w:rPr>
          <w:rStyle w:val="hps"/>
          <w:sz w:val="22"/>
          <w:szCs w:val="22"/>
          <w:lang w:val="pl-PL"/>
        </w:rPr>
        <w:t xml:space="preserve"> </w:t>
      </w:r>
      <w:r w:rsidR="00D26BEB" w:rsidRPr="009353E6">
        <w:rPr>
          <w:rStyle w:val="hps"/>
          <w:sz w:val="22"/>
          <w:szCs w:val="22"/>
          <w:lang w:val="pl-PL"/>
        </w:rPr>
        <w:t>stosowanych w leczeniu nadciśnienia lub</w:t>
      </w:r>
      <w:r w:rsidR="00D26BEB" w:rsidRPr="009353E6">
        <w:rPr>
          <w:sz w:val="22"/>
          <w:szCs w:val="22"/>
          <w:lang w:val="pl-PL"/>
        </w:rPr>
        <w:t xml:space="preserve"> </w:t>
      </w:r>
      <w:r w:rsidR="00D26BEB" w:rsidRPr="009353E6">
        <w:rPr>
          <w:rStyle w:val="hps"/>
          <w:sz w:val="22"/>
          <w:szCs w:val="22"/>
          <w:lang w:val="pl-PL"/>
        </w:rPr>
        <w:t>leków, które mogą</w:t>
      </w:r>
      <w:r w:rsidR="00D26BEB" w:rsidRPr="009353E6">
        <w:rPr>
          <w:sz w:val="22"/>
          <w:szCs w:val="22"/>
          <w:lang w:val="pl-PL"/>
        </w:rPr>
        <w:t xml:space="preserve"> wywołać </w:t>
      </w:r>
      <w:r w:rsidR="00D26BEB" w:rsidRPr="009353E6">
        <w:rPr>
          <w:rStyle w:val="hps"/>
          <w:sz w:val="22"/>
          <w:szCs w:val="22"/>
          <w:lang w:val="pl-PL"/>
        </w:rPr>
        <w:t>zmniejszenie ciśnienia krwi</w:t>
      </w:r>
      <w:r w:rsidR="00D26BEB" w:rsidRPr="009353E6">
        <w:rPr>
          <w:sz w:val="22"/>
          <w:szCs w:val="22"/>
          <w:lang w:val="pl-PL"/>
        </w:rPr>
        <w:t xml:space="preserve"> </w:t>
      </w:r>
      <w:r w:rsidR="00D26BEB" w:rsidRPr="009353E6">
        <w:rPr>
          <w:rStyle w:val="hps"/>
          <w:sz w:val="22"/>
          <w:szCs w:val="22"/>
          <w:lang w:val="pl-PL"/>
        </w:rPr>
        <w:t>(np.</w:t>
      </w:r>
      <w:r w:rsidR="00D26BEB" w:rsidRPr="009353E6">
        <w:rPr>
          <w:sz w:val="22"/>
          <w:szCs w:val="22"/>
          <w:lang w:val="pl-PL"/>
        </w:rPr>
        <w:t xml:space="preserve"> </w:t>
      </w:r>
      <w:r w:rsidR="00D26BEB" w:rsidRPr="009353E6">
        <w:rPr>
          <w:rStyle w:val="hps"/>
          <w:sz w:val="22"/>
          <w:szCs w:val="22"/>
          <w:lang w:val="pl-PL"/>
        </w:rPr>
        <w:t>baklofen</w:t>
      </w:r>
      <w:r w:rsidR="00D26BEB" w:rsidRPr="009353E6">
        <w:rPr>
          <w:sz w:val="22"/>
          <w:szCs w:val="22"/>
          <w:lang w:val="pl-PL"/>
        </w:rPr>
        <w:t xml:space="preserve">, </w:t>
      </w:r>
      <w:r w:rsidR="00D26BEB" w:rsidRPr="009353E6">
        <w:rPr>
          <w:rStyle w:val="hps"/>
          <w:sz w:val="22"/>
          <w:szCs w:val="22"/>
          <w:lang w:val="pl-PL"/>
        </w:rPr>
        <w:t>amifostyna</w:t>
      </w:r>
      <w:r w:rsidR="00D26BEB" w:rsidRPr="009353E6">
        <w:rPr>
          <w:sz w:val="22"/>
          <w:szCs w:val="22"/>
          <w:lang w:val="pl-PL"/>
        </w:rPr>
        <w:t xml:space="preserve">). </w:t>
      </w:r>
      <w:r w:rsidR="00D26BEB" w:rsidRPr="009353E6">
        <w:rPr>
          <w:rStyle w:val="hps"/>
          <w:sz w:val="22"/>
          <w:szCs w:val="22"/>
          <w:lang w:val="pl-PL"/>
        </w:rPr>
        <w:t>Ponadto</w:t>
      </w:r>
      <w:r w:rsidR="00D26BEB" w:rsidRPr="009353E6">
        <w:rPr>
          <w:sz w:val="22"/>
          <w:szCs w:val="22"/>
          <w:lang w:val="pl-PL"/>
        </w:rPr>
        <w:t xml:space="preserve"> niskie ciśnienie krwi </w:t>
      </w:r>
      <w:r w:rsidR="00D26BEB" w:rsidRPr="009353E6">
        <w:rPr>
          <w:rStyle w:val="hps"/>
          <w:sz w:val="22"/>
          <w:szCs w:val="22"/>
          <w:lang w:val="pl-PL"/>
        </w:rPr>
        <w:t>mogą dodatkowo zmniejszyć:</w:t>
      </w:r>
      <w:r w:rsidR="00D26BEB" w:rsidRPr="009353E6">
        <w:rPr>
          <w:sz w:val="22"/>
          <w:szCs w:val="22"/>
          <w:lang w:val="pl-PL"/>
        </w:rPr>
        <w:t xml:space="preserve"> </w:t>
      </w:r>
      <w:r w:rsidR="00D26BEB" w:rsidRPr="009353E6">
        <w:rPr>
          <w:rStyle w:val="hps"/>
          <w:sz w:val="22"/>
          <w:szCs w:val="22"/>
          <w:lang w:val="pl-PL"/>
        </w:rPr>
        <w:t>alkohol, barbiturany,</w:t>
      </w:r>
      <w:r w:rsidR="00D26BEB" w:rsidRPr="009353E6">
        <w:rPr>
          <w:sz w:val="22"/>
          <w:szCs w:val="22"/>
          <w:lang w:val="pl-PL"/>
        </w:rPr>
        <w:t xml:space="preserve"> </w:t>
      </w:r>
      <w:r w:rsidR="00D26BEB" w:rsidRPr="009353E6">
        <w:rPr>
          <w:rStyle w:val="hps"/>
          <w:sz w:val="22"/>
          <w:szCs w:val="22"/>
          <w:lang w:val="pl-PL"/>
        </w:rPr>
        <w:t>narkotyki lub</w:t>
      </w:r>
      <w:r w:rsidR="00D26BEB" w:rsidRPr="009353E6">
        <w:rPr>
          <w:sz w:val="22"/>
          <w:szCs w:val="22"/>
          <w:lang w:val="pl-PL"/>
        </w:rPr>
        <w:t xml:space="preserve"> </w:t>
      </w:r>
      <w:r w:rsidR="00D26BEB" w:rsidRPr="009353E6">
        <w:rPr>
          <w:rStyle w:val="hps"/>
          <w:sz w:val="22"/>
          <w:szCs w:val="22"/>
          <w:lang w:val="pl-PL"/>
        </w:rPr>
        <w:t>leki przeciwdepresyjne</w:t>
      </w:r>
      <w:r w:rsidR="00D26BEB" w:rsidRPr="009353E6">
        <w:rPr>
          <w:sz w:val="22"/>
          <w:szCs w:val="22"/>
          <w:lang w:val="pl-PL"/>
        </w:rPr>
        <w:t xml:space="preserve">. </w:t>
      </w:r>
      <w:r w:rsidR="00D26BEB" w:rsidRPr="009353E6">
        <w:rPr>
          <w:rStyle w:val="hps"/>
          <w:sz w:val="22"/>
          <w:szCs w:val="22"/>
          <w:lang w:val="pl-PL"/>
        </w:rPr>
        <w:t>Objawem są zawroty głowy</w:t>
      </w:r>
      <w:r w:rsidR="00D26BEB" w:rsidRPr="009353E6">
        <w:rPr>
          <w:sz w:val="22"/>
          <w:szCs w:val="22"/>
          <w:lang w:val="pl-PL"/>
        </w:rPr>
        <w:t xml:space="preserve"> </w:t>
      </w:r>
      <w:r w:rsidR="00D26BEB" w:rsidRPr="009353E6">
        <w:rPr>
          <w:rStyle w:val="hps"/>
          <w:sz w:val="22"/>
          <w:szCs w:val="22"/>
          <w:lang w:val="pl-PL"/>
        </w:rPr>
        <w:t>przy wstawaniu</w:t>
      </w:r>
      <w:r w:rsidR="00D26BEB" w:rsidRPr="009353E6">
        <w:rPr>
          <w:sz w:val="22"/>
          <w:szCs w:val="22"/>
          <w:lang w:val="pl-PL"/>
        </w:rPr>
        <w:t xml:space="preserve">. </w:t>
      </w:r>
      <w:r w:rsidR="00607E39" w:rsidRPr="009353E6">
        <w:rPr>
          <w:sz w:val="22"/>
          <w:szCs w:val="22"/>
          <w:lang w:val="pl-PL"/>
        </w:rPr>
        <w:t>W razie potrzeby należy poradzić się lekarza celem dostosowania dawki innego leku podczas przyjmowania leku Micardi</w:t>
      </w:r>
      <w:r w:rsidR="007A3277" w:rsidRPr="009353E6">
        <w:rPr>
          <w:sz w:val="22"/>
          <w:szCs w:val="22"/>
          <w:lang w:val="pl-PL"/>
        </w:rPr>
        <w:t>s</w:t>
      </w:r>
      <w:r w:rsidR="00607E39" w:rsidRPr="009353E6">
        <w:rPr>
          <w:sz w:val="22"/>
          <w:szCs w:val="22"/>
          <w:lang w:val="pl-PL"/>
        </w:rPr>
        <w:t>Plus.</w:t>
      </w:r>
    </w:p>
    <w:p w:rsidR="000A739F" w:rsidRPr="009353E6" w:rsidRDefault="000A739F" w:rsidP="00A50023">
      <w:pPr>
        <w:rPr>
          <w:sz w:val="22"/>
          <w:szCs w:val="22"/>
          <w:lang w:val="pl-PL"/>
        </w:rPr>
      </w:pPr>
    </w:p>
    <w:p w:rsidR="000A739F" w:rsidRPr="009353E6" w:rsidRDefault="00BD7796" w:rsidP="00F831F6">
      <w:pPr>
        <w:pStyle w:val="BodyText"/>
        <w:spacing w:line="240" w:lineRule="auto"/>
        <w:jc w:val="left"/>
        <w:rPr>
          <w:iCs/>
          <w:sz w:val="22"/>
          <w:szCs w:val="22"/>
          <w:lang w:val="pl-PL"/>
        </w:rPr>
      </w:pPr>
      <w:r w:rsidRPr="009353E6">
        <w:rPr>
          <w:iCs/>
          <w:sz w:val="22"/>
          <w:szCs w:val="22"/>
          <w:lang w:val="pl-PL"/>
        </w:rPr>
        <w:t>D</w:t>
      </w:r>
      <w:r w:rsidR="000A739F" w:rsidRPr="009353E6">
        <w:rPr>
          <w:iCs/>
          <w:sz w:val="22"/>
          <w:szCs w:val="22"/>
          <w:lang w:val="pl-PL"/>
        </w:rPr>
        <w:t xml:space="preserve">ziałanie leku MicardisPlus może być osłabione w przypadku jednoczesnego stosowania </w:t>
      </w:r>
      <w:r w:rsidR="00247849" w:rsidRPr="009353E6">
        <w:rPr>
          <w:iCs/>
          <w:sz w:val="22"/>
          <w:szCs w:val="22"/>
          <w:lang w:val="pl-PL"/>
        </w:rPr>
        <w:t xml:space="preserve">NLPZ </w:t>
      </w:r>
      <w:r w:rsidR="000A739F" w:rsidRPr="009353E6">
        <w:rPr>
          <w:iCs/>
          <w:sz w:val="22"/>
          <w:szCs w:val="22"/>
          <w:lang w:val="pl-PL"/>
        </w:rPr>
        <w:t>(niest</w:t>
      </w:r>
      <w:r w:rsidR="000D5AB0" w:rsidRPr="009353E6">
        <w:rPr>
          <w:iCs/>
          <w:sz w:val="22"/>
          <w:szCs w:val="22"/>
          <w:lang w:val="pl-PL"/>
        </w:rPr>
        <w:t>eroid</w:t>
      </w:r>
      <w:r w:rsidR="000A739F" w:rsidRPr="009353E6">
        <w:rPr>
          <w:iCs/>
          <w:sz w:val="22"/>
          <w:szCs w:val="22"/>
          <w:lang w:val="pl-PL"/>
        </w:rPr>
        <w:t xml:space="preserve">owych leków przeciwzapalnych, np. </w:t>
      </w:r>
      <w:r w:rsidR="000D5AB0" w:rsidRPr="009353E6">
        <w:rPr>
          <w:iCs/>
          <w:sz w:val="22"/>
          <w:szCs w:val="22"/>
          <w:lang w:val="pl-PL"/>
        </w:rPr>
        <w:t>kwasu acetylosalicylowego</w:t>
      </w:r>
      <w:r w:rsidR="000A739F" w:rsidRPr="009353E6">
        <w:rPr>
          <w:iCs/>
          <w:sz w:val="22"/>
          <w:szCs w:val="22"/>
          <w:lang w:val="pl-PL"/>
        </w:rPr>
        <w:t xml:space="preserve"> lub ibuprofenu).</w:t>
      </w:r>
    </w:p>
    <w:p w:rsidR="005A4164" w:rsidRPr="009353E6" w:rsidRDefault="005A4164" w:rsidP="00F831F6">
      <w:pPr>
        <w:pStyle w:val="BodyText"/>
        <w:spacing w:line="240" w:lineRule="auto"/>
        <w:jc w:val="left"/>
        <w:rPr>
          <w:iCs/>
          <w:sz w:val="22"/>
          <w:szCs w:val="22"/>
          <w:lang w:val="pl-PL"/>
        </w:rPr>
      </w:pPr>
    </w:p>
    <w:p w:rsidR="005A4164" w:rsidRPr="009353E6" w:rsidRDefault="005A4164" w:rsidP="005A4164">
      <w:pPr>
        <w:pStyle w:val="BodyText"/>
        <w:spacing w:line="240" w:lineRule="auto"/>
        <w:jc w:val="left"/>
        <w:rPr>
          <w:b/>
          <w:iCs/>
          <w:sz w:val="22"/>
          <w:szCs w:val="22"/>
          <w:lang w:val="pl-PL"/>
        </w:rPr>
      </w:pPr>
      <w:r w:rsidRPr="009353E6">
        <w:rPr>
          <w:b/>
          <w:iCs/>
          <w:sz w:val="22"/>
          <w:szCs w:val="22"/>
          <w:lang w:val="pl-PL"/>
        </w:rPr>
        <w:t xml:space="preserve">Stosowanie leku MicardisPlus z </w:t>
      </w:r>
      <w:r w:rsidR="00105AE1" w:rsidRPr="009353E6">
        <w:rPr>
          <w:b/>
          <w:iCs/>
          <w:sz w:val="22"/>
          <w:szCs w:val="22"/>
          <w:lang w:val="pl-PL"/>
        </w:rPr>
        <w:t>jedzeniem</w:t>
      </w:r>
      <w:r w:rsidRPr="009353E6">
        <w:rPr>
          <w:b/>
          <w:iCs/>
          <w:sz w:val="22"/>
          <w:szCs w:val="22"/>
          <w:lang w:val="pl-PL"/>
        </w:rPr>
        <w:t xml:space="preserve"> i alkoholem</w:t>
      </w:r>
    </w:p>
    <w:p w:rsidR="005A4164" w:rsidRPr="009353E6" w:rsidRDefault="005A4164" w:rsidP="005A4164">
      <w:pPr>
        <w:pStyle w:val="BodyText"/>
        <w:spacing w:line="240" w:lineRule="auto"/>
        <w:jc w:val="left"/>
        <w:rPr>
          <w:iCs/>
          <w:sz w:val="22"/>
          <w:szCs w:val="22"/>
          <w:lang w:val="pl-PL"/>
        </w:rPr>
      </w:pPr>
      <w:r w:rsidRPr="009353E6">
        <w:rPr>
          <w:iCs/>
          <w:sz w:val="22"/>
          <w:szCs w:val="22"/>
          <w:lang w:val="pl-PL"/>
        </w:rPr>
        <w:t xml:space="preserve">Lek MicardisPlus można przyjmować z pożywieniem lub niezależnie od posiłków. </w:t>
      </w:r>
    </w:p>
    <w:p w:rsidR="005A4164" w:rsidRPr="009353E6" w:rsidRDefault="005A4164" w:rsidP="00F831F6">
      <w:pPr>
        <w:pStyle w:val="BodyText"/>
        <w:spacing w:line="240" w:lineRule="auto"/>
        <w:jc w:val="left"/>
        <w:rPr>
          <w:iCs/>
          <w:sz w:val="22"/>
          <w:szCs w:val="22"/>
          <w:lang w:val="pl-PL"/>
        </w:rPr>
      </w:pPr>
      <w:r w:rsidRPr="009353E6">
        <w:rPr>
          <w:iCs/>
          <w:sz w:val="22"/>
          <w:szCs w:val="22"/>
          <w:lang w:val="pl-PL"/>
        </w:rPr>
        <w:t xml:space="preserve">Należy unikać alkoholu do czasu rozmowy z lekarzem. </w:t>
      </w:r>
      <w:r w:rsidR="00DF7258" w:rsidRPr="009353E6">
        <w:rPr>
          <w:iCs/>
          <w:sz w:val="22"/>
          <w:szCs w:val="22"/>
          <w:lang w:val="pl-PL"/>
        </w:rPr>
        <w:t>Alkohol może dodatkowo obniżyć ciśnienie krwi i</w:t>
      </w:r>
      <w:r w:rsidR="009B29F1" w:rsidRPr="009353E6">
        <w:rPr>
          <w:iCs/>
          <w:sz w:val="22"/>
          <w:szCs w:val="22"/>
          <w:lang w:val="pl-PL"/>
        </w:rPr>
        <w:t xml:space="preserve"> (</w:t>
      </w:r>
      <w:r w:rsidR="00DF7258" w:rsidRPr="009353E6">
        <w:rPr>
          <w:iCs/>
          <w:sz w:val="22"/>
          <w:szCs w:val="22"/>
          <w:lang w:val="pl-PL"/>
        </w:rPr>
        <w:t>lub</w:t>
      </w:r>
      <w:r w:rsidR="009B29F1" w:rsidRPr="009353E6">
        <w:rPr>
          <w:iCs/>
          <w:sz w:val="22"/>
          <w:szCs w:val="22"/>
          <w:lang w:val="pl-PL"/>
        </w:rPr>
        <w:t>)</w:t>
      </w:r>
      <w:r w:rsidR="00DF7258" w:rsidRPr="009353E6">
        <w:rPr>
          <w:iCs/>
          <w:sz w:val="22"/>
          <w:szCs w:val="22"/>
          <w:lang w:val="pl-PL"/>
        </w:rPr>
        <w:t xml:space="preserve"> nasilić ryzyko zawrotów głowy </w:t>
      </w:r>
      <w:r w:rsidR="009B29F1" w:rsidRPr="009353E6">
        <w:rPr>
          <w:iCs/>
          <w:sz w:val="22"/>
          <w:szCs w:val="22"/>
          <w:lang w:val="pl-PL"/>
        </w:rPr>
        <w:t>lub</w:t>
      </w:r>
      <w:r w:rsidR="00DF7258" w:rsidRPr="009353E6">
        <w:rPr>
          <w:iCs/>
          <w:sz w:val="22"/>
          <w:szCs w:val="22"/>
          <w:lang w:val="pl-PL"/>
        </w:rPr>
        <w:t xml:space="preserve"> omdlenia.</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Ciąża i karmienie piersią</w:t>
      </w:r>
    </w:p>
    <w:p w:rsidR="009C39B5" w:rsidRPr="009353E6" w:rsidRDefault="009C39B5" w:rsidP="00F831F6">
      <w:pPr>
        <w:pStyle w:val="BodyText"/>
        <w:spacing w:line="240" w:lineRule="auto"/>
        <w:jc w:val="left"/>
        <w:rPr>
          <w:sz w:val="22"/>
          <w:szCs w:val="22"/>
          <w:u w:val="single"/>
          <w:lang w:val="pl-PL"/>
        </w:rPr>
      </w:pPr>
    </w:p>
    <w:p w:rsidR="0042510A" w:rsidRPr="009353E6" w:rsidRDefault="0042510A" w:rsidP="00F831F6">
      <w:pPr>
        <w:pStyle w:val="BodyText"/>
        <w:spacing w:line="240" w:lineRule="auto"/>
        <w:jc w:val="left"/>
        <w:rPr>
          <w:sz w:val="22"/>
          <w:szCs w:val="22"/>
          <w:u w:val="single"/>
          <w:lang w:val="pl-PL"/>
        </w:rPr>
      </w:pPr>
      <w:r w:rsidRPr="009353E6">
        <w:rPr>
          <w:sz w:val="22"/>
          <w:szCs w:val="22"/>
          <w:u w:val="single"/>
          <w:lang w:val="pl-PL"/>
        </w:rPr>
        <w:t>Ciąża</w:t>
      </w:r>
    </w:p>
    <w:p w:rsidR="00F37EE9" w:rsidRPr="009353E6" w:rsidRDefault="0042510A" w:rsidP="00F831F6">
      <w:pPr>
        <w:pStyle w:val="BodyText"/>
        <w:spacing w:line="240" w:lineRule="auto"/>
        <w:jc w:val="left"/>
        <w:rPr>
          <w:sz w:val="22"/>
          <w:szCs w:val="22"/>
          <w:lang w:val="pl-PL"/>
        </w:rPr>
      </w:pPr>
      <w:r w:rsidRPr="009353E6">
        <w:rPr>
          <w:sz w:val="22"/>
          <w:szCs w:val="22"/>
          <w:lang w:val="pl-PL"/>
        </w:rPr>
        <w:t xml:space="preserve">Należy poinformować lekarza o podejrzeniu </w:t>
      </w:r>
      <w:r w:rsidR="00BD7796" w:rsidRPr="009353E6">
        <w:rPr>
          <w:sz w:val="22"/>
          <w:szCs w:val="22"/>
          <w:lang w:val="pl-PL"/>
        </w:rPr>
        <w:t>(</w:t>
      </w:r>
      <w:r w:rsidRPr="009353E6">
        <w:rPr>
          <w:sz w:val="22"/>
          <w:szCs w:val="22"/>
          <w:u w:val="single"/>
          <w:lang w:val="pl-PL"/>
        </w:rPr>
        <w:t>lub planowaniu</w:t>
      </w:r>
      <w:r w:rsidR="00BD7796" w:rsidRPr="009353E6">
        <w:rPr>
          <w:sz w:val="22"/>
          <w:szCs w:val="22"/>
          <w:u w:val="single"/>
          <w:lang w:val="pl-PL"/>
        </w:rPr>
        <w:t>)</w:t>
      </w:r>
      <w:r w:rsidRPr="009353E6">
        <w:rPr>
          <w:sz w:val="22"/>
          <w:szCs w:val="22"/>
          <w:lang w:val="pl-PL"/>
        </w:rPr>
        <w:t xml:space="preserve"> ciąży. </w:t>
      </w:r>
    </w:p>
    <w:p w:rsidR="0042510A" w:rsidRPr="009353E6" w:rsidRDefault="0042510A" w:rsidP="00F831F6">
      <w:pPr>
        <w:pStyle w:val="BodyText"/>
        <w:spacing w:line="240" w:lineRule="auto"/>
        <w:jc w:val="left"/>
        <w:rPr>
          <w:sz w:val="22"/>
          <w:szCs w:val="22"/>
          <w:lang w:val="pl-PL"/>
        </w:rPr>
      </w:pPr>
    </w:p>
    <w:p w:rsidR="0042510A" w:rsidRPr="009353E6" w:rsidRDefault="0042510A" w:rsidP="00F831F6">
      <w:pPr>
        <w:pStyle w:val="BodyText"/>
        <w:spacing w:line="240" w:lineRule="auto"/>
        <w:jc w:val="left"/>
        <w:rPr>
          <w:sz w:val="22"/>
          <w:szCs w:val="22"/>
          <w:lang w:val="pl-PL"/>
        </w:rPr>
      </w:pPr>
      <w:r w:rsidRPr="009353E6">
        <w:rPr>
          <w:sz w:val="22"/>
          <w:szCs w:val="22"/>
          <w:lang w:val="pl-PL"/>
        </w:rPr>
        <w:t xml:space="preserve">Zazwyczaj lekarz zaleci zaprzestanie stosowania leku MicardisPlus przed planowaną ciążą lub natychmiast po stwierdzeniu ciąży i zaleci inny lek zamiast leku MicardisPlus. Nie zaleca się stosowania leku MicardisPlus </w:t>
      </w:r>
      <w:r w:rsidR="009554EB" w:rsidRPr="009353E6">
        <w:rPr>
          <w:sz w:val="22"/>
          <w:szCs w:val="22"/>
          <w:lang w:val="pl-PL"/>
        </w:rPr>
        <w:t xml:space="preserve">podczas </w:t>
      </w:r>
      <w:r w:rsidRPr="009353E6">
        <w:rPr>
          <w:sz w:val="22"/>
          <w:szCs w:val="22"/>
          <w:lang w:val="pl-PL"/>
        </w:rPr>
        <w:t xml:space="preserve">ciąży i nie wolno go stosować po trzecim miesiącu ciąży, ponieważ może poważnie zaszkodzić dziecku, jeśli jest stosowany po 3 miesiącu ciąży. </w:t>
      </w:r>
    </w:p>
    <w:p w:rsidR="009A6C23" w:rsidRPr="009353E6" w:rsidRDefault="009A6C23" w:rsidP="00F831F6">
      <w:pPr>
        <w:pStyle w:val="BodyText"/>
        <w:spacing w:line="240" w:lineRule="auto"/>
        <w:jc w:val="left"/>
        <w:rPr>
          <w:sz w:val="22"/>
          <w:szCs w:val="22"/>
          <w:lang w:val="pl-PL"/>
        </w:rPr>
      </w:pPr>
    </w:p>
    <w:p w:rsidR="0042510A" w:rsidRPr="009353E6" w:rsidRDefault="0042510A" w:rsidP="00F831F6">
      <w:pPr>
        <w:pStyle w:val="BodyText"/>
        <w:spacing w:line="240" w:lineRule="auto"/>
        <w:jc w:val="left"/>
        <w:rPr>
          <w:sz w:val="22"/>
          <w:szCs w:val="22"/>
          <w:u w:val="single"/>
          <w:lang w:val="pl-PL"/>
        </w:rPr>
      </w:pPr>
      <w:r w:rsidRPr="009353E6">
        <w:rPr>
          <w:sz w:val="22"/>
          <w:szCs w:val="22"/>
          <w:u w:val="single"/>
          <w:lang w:val="pl-PL"/>
        </w:rPr>
        <w:t>Karmienie piersią</w:t>
      </w:r>
    </w:p>
    <w:p w:rsidR="009554EB" w:rsidRPr="009353E6" w:rsidRDefault="0042510A" w:rsidP="009554EB">
      <w:pPr>
        <w:pStyle w:val="BodyText"/>
        <w:spacing w:line="240" w:lineRule="auto"/>
        <w:jc w:val="left"/>
        <w:rPr>
          <w:sz w:val="22"/>
          <w:szCs w:val="22"/>
          <w:lang w:val="pl-PL"/>
        </w:rPr>
      </w:pPr>
      <w:r w:rsidRPr="009353E6">
        <w:rPr>
          <w:sz w:val="22"/>
          <w:szCs w:val="22"/>
          <w:lang w:val="pl-PL"/>
        </w:rPr>
        <w:t>Należy powiedzieć lekarzowi o karmieniu piersią lub zamiarze karmienia piersią. Lek MicardisPlus nie jest zalecany podczas karmienia piersią. Lekarz może wybrać inne leczenie w trakcie karmienia piersią</w:t>
      </w:r>
      <w:r w:rsidR="009554EB" w:rsidRPr="009353E6">
        <w:rPr>
          <w:sz w:val="22"/>
          <w:szCs w:val="22"/>
          <w:lang w:val="pl-PL"/>
        </w:rPr>
        <w:t>.</w:t>
      </w:r>
    </w:p>
    <w:p w:rsidR="0021094B" w:rsidRPr="009353E6" w:rsidRDefault="0021094B"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Prowadzenie pojazdów i obsług</w:t>
      </w:r>
      <w:r w:rsidR="002502ED" w:rsidRPr="009353E6">
        <w:rPr>
          <w:b/>
          <w:sz w:val="22"/>
          <w:szCs w:val="22"/>
          <w:lang w:val="pl-PL"/>
        </w:rPr>
        <w:t>iwanie</w:t>
      </w:r>
      <w:r w:rsidRPr="009353E6">
        <w:rPr>
          <w:b/>
          <w:sz w:val="22"/>
          <w:szCs w:val="22"/>
          <w:lang w:val="pl-PL"/>
        </w:rPr>
        <w:t xml:space="preserve"> maszyn</w:t>
      </w:r>
    </w:p>
    <w:p w:rsidR="009C39B5" w:rsidRPr="009353E6" w:rsidRDefault="009C39B5" w:rsidP="00F831F6">
      <w:pPr>
        <w:pStyle w:val="BodyText"/>
        <w:spacing w:line="240" w:lineRule="auto"/>
        <w:jc w:val="left"/>
        <w:rPr>
          <w:sz w:val="22"/>
          <w:szCs w:val="22"/>
          <w:lang w:val="pl-PL"/>
        </w:rPr>
      </w:pPr>
    </w:p>
    <w:p w:rsidR="001E0A55" w:rsidRPr="009353E6" w:rsidRDefault="00072513" w:rsidP="00F831F6">
      <w:pPr>
        <w:pStyle w:val="BodyText"/>
        <w:spacing w:line="240" w:lineRule="auto"/>
        <w:jc w:val="left"/>
        <w:rPr>
          <w:sz w:val="22"/>
          <w:szCs w:val="22"/>
          <w:lang w:val="pl-PL"/>
        </w:rPr>
      </w:pPr>
      <w:r w:rsidRPr="009353E6">
        <w:rPr>
          <w:sz w:val="22"/>
          <w:szCs w:val="22"/>
          <w:lang w:val="pl-PL"/>
        </w:rPr>
        <w:t xml:space="preserve">Niektórzy pacjenci przyjmujący MicardisPlus mogą odczuwać zawroty głowy lub zmęczenie. </w:t>
      </w:r>
    </w:p>
    <w:p w:rsidR="00072513" w:rsidRPr="009353E6" w:rsidRDefault="00072513" w:rsidP="00F831F6">
      <w:pPr>
        <w:pStyle w:val="BodyText"/>
        <w:spacing w:line="240" w:lineRule="auto"/>
        <w:jc w:val="left"/>
        <w:rPr>
          <w:sz w:val="22"/>
          <w:szCs w:val="22"/>
          <w:lang w:val="pl-PL"/>
        </w:rPr>
      </w:pPr>
      <w:r w:rsidRPr="009353E6">
        <w:rPr>
          <w:sz w:val="22"/>
          <w:szCs w:val="22"/>
          <w:lang w:val="pl-PL"/>
        </w:rPr>
        <w:t>W takim przypadku nie należy prowadzić pojazdów ani obsługiwać maszyn.</w:t>
      </w:r>
      <w:r w:rsidRPr="009353E6" w:rsidDel="00072513">
        <w:rPr>
          <w:sz w:val="22"/>
          <w:szCs w:val="22"/>
          <w:lang w:val="pl-PL"/>
        </w:rPr>
        <w:t xml:space="preserve"> </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Lek MicardisPlus zawiera cukier (laktozę) i sorbitol.</w:t>
      </w: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Jeśli </w:t>
      </w:r>
      <w:r w:rsidR="003314C3" w:rsidRPr="009353E6">
        <w:rPr>
          <w:sz w:val="22"/>
          <w:szCs w:val="22"/>
          <w:lang w:val="pl-PL"/>
        </w:rPr>
        <w:t xml:space="preserve">pacjent </w:t>
      </w:r>
      <w:r w:rsidRPr="009353E6">
        <w:rPr>
          <w:sz w:val="22"/>
          <w:szCs w:val="22"/>
          <w:lang w:val="pl-PL"/>
        </w:rPr>
        <w:t>ma nietolerancję pewnych cukrów, powinien skontaktować się z lekarzem przed zastosowaniem leku MicardisPlus.</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p w:rsidR="000A739F" w:rsidRPr="009353E6" w:rsidRDefault="00C368B1" w:rsidP="00E40CF2">
      <w:pPr>
        <w:pStyle w:val="BodyText"/>
        <w:keepNext/>
        <w:tabs>
          <w:tab w:val="left" w:pos="540"/>
        </w:tabs>
        <w:spacing w:line="240" w:lineRule="auto"/>
        <w:jc w:val="left"/>
        <w:rPr>
          <w:b/>
          <w:sz w:val="22"/>
          <w:szCs w:val="22"/>
          <w:lang w:val="pl-PL"/>
        </w:rPr>
      </w:pPr>
      <w:r w:rsidRPr="009353E6">
        <w:rPr>
          <w:b/>
          <w:sz w:val="22"/>
          <w:szCs w:val="22"/>
          <w:lang w:val="pl-PL"/>
        </w:rPr>
        <w:t>3.</w:t>
      </w:r>
      <w:r w:rsidRPr="009353E6">
        <w:rPr>
          <w:b/>
          <w:sz w:val="22"/>
          <w:szCs w:val="22"/>
          <w:lang w:val="pl-PL"/>
        </w:rPr>
        <w:tab/>
      </w:r>
      <w:r w:rsidR="00072513" w:rsidRPr="009353E6">
        <w:rPr>
          <w:b/>
          <w:sz w:val="22"/>
          <w:szCs w:val="22"/>
          <w:lang w:val="pl-PL"/>
        </w:rPr>
        <w:t xml:space="preserve">Jak </w:t>
      </w:r>
      <w:r w:rsidR="00105AE1" w:rsidRPr="009353E6">
        <w:rPr>
          <w:b/>
          <w:sz w:val="22"/>
          <w:szCs w:val="22"/>
          <w:lang w:val="pl-PL"/>
        </w:rPr>
        <w:t>przyjmować</w:t>
      </w:r>
      <w:r w:rsidR="00072513" w:rsidRPr="009353E6">
        <w:rPr>
          <w:b/>
          <w:sz w:val="22"/>
          <w:szCs w:val="22"/>
          <w:lang w:val="pl-PL"/>
        </w:rPr>
        <w:t xml:space="preserve"> lek MicardisPlus </w:t>
      </w:r>
    </w:p>
    <w:p w:rsidR="000A739F" w:rsidRPr="009353E6" w:rsidRDefault="000A739F" w:rsidP="00E40CF2">
      <w:pPr>
        <w:pStyle w:val="BodyText"/>
        <w:keepNext/>
        <w:spacing w:line="240" w:lineRule="auto"/>
        <w:jc w:val="left"/>
        <w:rPr>
          <w:sz w:val="22"/>
          <w:szCs w:val="22"/>
          <w:lang w:val="pl-PL"/>
        </w:rPr>
      </w:pPr>
    </w:p>
    <w:p w:rsidR="000A739F" w:rsidRPr="009353E6" w:rsidRDefault="007D3D08" w:rsidP="00E40CF2">
      <w:pPr>
        <w:pStyle w:val="BodyText"/>
        <w:keepNext/>
        <w:spacing w:line="240" w:lineRule="auto"/>
        <w:jc w:val="left"/>
        <w:rPr>
          <w:sz w:val="22"/>
          <w:szCs w:val="22"/>
          <w:lang w:val="pl-PL"/>
        </w:rPr>
      </w:pPr>
      <w:r w:rsidRPr="009353E6">
        <w:rPr>
          <w:sz w:val="22"/>
          <w:szCs w:val="22"/>
          <w:lang w:val="pl-PL"/>
        </w:rPr>
        <w:t>Ten l</w:t>
      </w:r>
      <w:r w:rsidR="000A739F" w:rsidRPr="009353E6">
        <w:rPr>
          <w:sz w:val="22"/>
          <w:szCs w:val="22"/>
          <w:lang w:val="pl-PL"/>
        </w:rPr>
        <w:t xml:space="preserve">ek </w:t>
      </w:r>
      <w:r w:rsidR="002502ED" w:rsidRPr="009353E6">
        <w:rPr>
          <w:sz w:val="22"/>
          <w:szCs w:val="22"/>
          <w:lang w:val="pl-PL"/>
        </w:rPr>
        <w:t xml:space="preserve">należy </w:t>
      </w:r>
      <w:r w:rsidR="000A739F" w:rsidRPr="009353E6">
        <w:rPr>
          <w:sz w:val="22"/>
          <w:szCs w:val="22"/>
          <w:lang w:val="pl-PL"/>
        </w:rPr>
        <w:t xml:space="preserve">zawsze przyjmować zgodnie z zaleceniami lekarza. W </w:t>
      </w:r>
      <w:r w:rsidR="002502ED" w:rsidRPr="009353E6">
        <w:rPr>
          <w:sz w:val="22"/>
          <w:szCs w:val="22"/>
          <w:lang w:val="pl-PL"/>
        </w:rPr>
        <w:t xml:space="preserve">razie </w:t>
      </w:r>
      <w:r w:rsidR="000A739F" w:rsidRPr="009353E6">
        <w:rPr>
          <w:sz w:val="22"/>
          <w:szCs w:val="22"/>
          <w:lang w:val="pl-PL"/>
        </w:rPr>
        <w:t xml:space="preserve">wątpliwości należy </w:t>
      </w:r>
      <w:r w:rsidR="00105AE1" w:rsidRPr="009353E6">
        <w:rPr>
          <w:sz w:val="22"/>
          <w:szCs w:val="22"/>
          <w:lang w:val="pl-PL"/>
        </w:rPr>
        <w:t>zwrócić</w:t>
      </w:r>
      <w:r w:rsidR="002502ED" w:rsidRPr="009353E6">
        <w:rPr>
          <w:sz w:val="22"/>
          <w:szCs w:val="22"/>
          <w:lang w:val="pl-PL"/>
        </w:rPr>
        <w:t xml:space="preserve"> </w:t>
      </w:r>
      <w:r w:rsidR="000A739F" w:rsidRPr="009353E6">
        <w:rPr>
          <w:sz w:val="22"/>
          <w:szCs w:val="22"/>
          <w:lang w:val="pl-PL"/>
        </w:rPr>
        <w:t xml:space="preserve">się </w:t>
      </w:r>
      <w:r w:rsidR="00105AE1" w:rsidRPr="009353E6">
        <w:rPr>
          <w:sz w:val="22"/>
          <w:szCs w:val="22"/>
          <w:lang w:val="pl-PL"/>
        </w:rPr>
        <w:t>do</w:t>
      </w:r>
      <w:r w:rsidR="002502ED" w:rsidRPr="009353E6">
        <w:rPr>
          <w:sz w:val="22"/>
          <w:szCs w:val="22"/>
          <w:lang w:val="pl-PL"/>
        </w:rPr>
        <w:t xml:space="preserve"> </w:t>
      </w:r>
      <w:r w:rsidR="000A739F" w:rsidRPr="009353E6">
        <w:rPr>
          <w:sz w:val="22"/>
          <w:szCs w:val="22"/>
          <w:lang w:val="pl-PL"/>
        </w:rPr>
        <w:t>lekarz</w:t>
      </w:r>
      <w:r w:rsidR="00105AE1" w:rsidRPr="009353E6">
        <w:rPr>
          <w:sz w:val="22"/>
          <w:szCs w:val="22"/>
          <w:lang w:val="pl-PL"/>
        </w:rPr>
        <w:t>a</w:t>
      </w:r>
      <w:r w:rsidR="000A739F" w:rsidRPr="009353E6">
        <w:rPr>
          <w:sz w:val="22"/>
          <w:szCs w:val="22"/>
          <w:lang w:val="pl-PL"/>
        </w:rPr>
        <w:t xml:space="preserve"> lub farmaceut</w:t>
      </w:r>
      <w:r w:rsidR="00105AE1" w:rsidRPr="009353E6">
        <w:rPr>
          <w:sz w:val="22"/>
          <w:szCs w:val="22"/>
          <w:lang w:val="pl-PL"/>
        </w:rPr>
        <w:t>y</w:t>
      </w:r>
      <w:r w:rsidR="000A739F"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72513" w:rsidP="00F831F6">
      <w:pPr>
        <w:pStyle w:val="BodyText"/>
        <w:spacing w:line="240" w:lineRule="auto"/>
        <w:jc w:val="left"/>
        <w:rPr>
          <w:sz w:val="22"/>
          <w:szCs w:val="22"/>
          <w:lang w:val="pl-PL"/>
        </w:rPr>
      </w:pPr>
      <w:r w:rsidRPr="009353E6">
        <w:rPr>
          <w:sz w:val="22"/>
          <w:szCs w:val="22"/>
          <w:lang w:val="pl-PL"/>
        </w:rPr>
        <w:t xml:space="preserve">Zalecana </w:t>
      </w:r>
      <w:r w:rsidR="003314C3" w:rsidRPr="009353E6">
        <w:rPr>
          <w:sz w:val="22"/>
          <w:szCs w:val="22"/>
          <w:lang w:val="pl-PL"/>
        </w:rPr>
        <w:t xml:space="preserve">dawka to jedna tabletka na dobę. Należy starać się </w:t>
      </w:r>
      <w:r w:rsidR="000A739F" w:rsidRPr="009353E6">
        <w:rPr>
          <w:sz w:val="22"/>
          <w:szCs w:val="22"/>
          <w:lang w:val="pl-PL"/>
        </w:rPr>
        <w:t xml:space="preserve">przyjmować </w:t>
      </w:r>
      <w:r w:rsidR="003314C3" w:rsidRPr="009353E6">
        <w:rPr>
          <w:sz w:val="22"/>
          <w:szCs w:val="22"/>
          <w:lang w:val="pl-PL"/>
        </w:rPr>
        <w:t>tabletkę o</w:t>
      </w:r>
      <w:r w:rsidR="006174C8" w:rsidRPr="009353E6">
        <w:rPr>
          <w:sz w:val="22"/>
          <w:szCs w:val="22"/>
          <w:lang w:val="pl-PL"/>
        </w:rPr>
        <w:t> </w:t>
      </w:r>
      <w:r w:rsidR="003314C3" w:rsidRPr="009353E6">
        <w:rPr>
          <w:sz w:val="22"/>
          <w:szCs w:val="22"/>
          <w:lang w:val="pl-PL"/>
        </w:rPr>
        <w:t>tej samej porze każ</w:t>
      </w:r>
      <w:r w:rsidR="000A739F" w:rsidRPr="009353E6">
        <w:rPr>
          <w:sz w:val="22"/>
          <w:szCs w:val="22"/>
          <w:lang w:val="pl-PL"/>
        </w:rPr>
        <w:t>dego dnia</w:t>
      </w:r>
      <w:r w:rsidR="003314C3" w:rsidRPr="009353E6">
        <w:rPr>
          <w:sz w:val="22"/>
          <w:szCs w:val="22"/>
          <w:lang w:val="pl-PL"/>
        </w:rPr>
        <w:t xml:space="preserve">. </w:t>
      </w:r>
      <w:r w:rsidR="000A739F" w:rsidRPr="009353E6">
        <w:rPr>
          <w:sz w:val="22"/>
          <w:szCs w:val="22"/>
          <w:lang w:val="pl-PL"/>
        </w:rPr>
        <w:t>MicardisPlus można przyjmować podczas posiłku lub pomiędzy posiłkami. Tabletki należy połknąć popijając wodą lub napojem bezalkoholowym. Ważne jest, aby lek MicardisPlus przyjmować każdego dnia, dopóki lekarz nie zaleci inaczej.</w:t>
      </w:r>
    </w:p>
    <w:p w:rsidR="000A739F" w:rsidRPr="009353E6" w:rsidRDefault="000A739F" w:rsidP="00F831F6">
      <w:pPr>
        <w:pStyle w:val="BodyText"/>
        <w:spacing w:line="240" w:lineRule="auto"/>
        <w:jc w:val="left"/>
        <w:rPr>
          <w:sz w:val="22"/>
          <w:szCs w:val="22"/>
          <w:lang w:val="pl-PL"/>
        </w:rPr>
      </w:pPr>
    </w:p>
    <w:p w:rsidR="000A739F" w:rsidRPr="009353E6" w:rsidRDefault="003314C3" w:rsidP="00F831F6">
      <w:pPr>
        <w:pStyle w:val="BodyText"/>
        <w:spacing w:line="240" w:lineRule="auto"/>
        <w:jc w:val="left"/>
        <w:rPr>
          <w:sz w:val="22"/>
          <w:szCs w:val="22"/>
          <w:lang w:val="pl-PL"/>
        </w:rPr>
      </w:pPr>
      <w:r w:rsidRPr="009353E6">
        <w:rPr>
          <w:sz w:val="22"/>
          <w:szCs w:val="22"/>
          <w:lang w:val="pl-PL"/>
        </w:rPr>
        <w:t xml:space="preserve">Jeśli u pacjenta wątroba nie funkcjonuje właściwie, zwykła dawka nie powinna być większa niż </w:t>
      </w:r>
      <w:r w:rsidR="000A739F" w:rsidRPr="009353E6">
        <w:rPr>
          <w:sz w:val="22"/>
          <w:szCs w:val="22"/>
          <w:lang w:val="pl-PL"/>
        </w:rPr>
        <w:t xml:space="preserve">40 mg telmisartanu i 12,5 mg hydrochlorotiazydu na dobę. </w:t>
      </w:r>
    </w:p>
    <w:p w:rsidR="000A739F" w:rsidRPr="009353E6" w:rsidRDefault="000A739F" w:rsidP="00F831F6">
      <w:pPr>
        <w:pStyle w:val="BodyText"/>
        <w:spacing w:line="240" w:lineRule="auto"/>
        <w:jc w:val="left"/>
        <w:rPr>
          <w:sz w:val="22"/>
          <w:szCs w:val="22"/>
          <w:lang w:val="pl-PL"/>
        </w:rPr>
      </w:pPr>
    </w:p>
    <w:p w:rsidR="000A739F" w:rsidRPr="009353E6" w:rsidRDefault="00105AE1" w:rsidP="00F831F6">
      <w:pPr>
        <w:pStyle w:val="BodyText"/>
        <w:spacing w:line="240" w:lineRule="auto"/>
        <w:jc w:val="left"/>
        <w:rPr>
          <w:b/>
          <w:sz w:val="22"/>
          <w:szCs w:val="22"/>
          <w:lang w:val="pl-PL"/>
        </w:rPr>
      </w:pPr>
      <w:r w:rsidRPr="009353E6">
        <w:rPr>
          <w:b/>
          <w:sz w:val="22"/>
          <w:szCs w:val="22"/>
          <w:lang w:val="pl-PL"/>
        </w:rPr>
        <w:t>Przyjęcie</w:t>
      </w:r>
      <w:r w:rsidR="000A739F" w:rsidRPr="009353E6">
        <w:rPr>
          <w:b/>
          <w:sz w:val="22"/>
          <w:szCs w:val="22"/>
          <w:lang w:val="pl-PL"/>
        </w:rPr>
        <w:t xml:space="preserve"> większej niż zalecana dawki leku MicardisPlus</w:t>
      </w:r>
      <w:r w:rsidR="000A739F" w:rsidRPr="009353E6">
        <w:rPr>
          <w:b/>
          <w:strike/>
          <w:sz w:val="22"/>
          <w:szCs w:val="22"/>
          <w:lang w:val="pl-PL"/>
        </w:rPr>
        <w:t xml:space="preserve"> </w:t>
      </w:r>
    </w:p>
    <w:p w:rsidR="000A739F" w:rsidRPr="009353E6" w:rsidRDefault="000A739F" w:rsidP="0000020A">
      <w:pPr>
        <w:pStyle w:val="BodyText"/>
        <w:spacing w:line="240" w:lineRule="auto"/>
        <w:jc w:val="left"/>
        <w:rPr>
          <w:sz w:val="22"/>
          <w:szCs w:val="22"/>
          <w:lang w:val="pl-PL"/>
        </w:rPr>
      </w:pPr>
      <w:r w:rsidRPr="009353E6">
        <w:rPr>
          <w:sz w:val="22"/>
          <w:szCs w:val="22"/>
          <w:lang w:val="pl-PL"/>
        </w:rPr>
        <w:t xml:space="preserve">Jeżeli przez pomyłkę zostanie przyjęta zbyt duża </w:t>
      </w:r>
      <w:r w:rsidR="003314C3" w:rsidRPr="009353E6">
        <w:rPr>
          <w:sz w:val="22"/>
          <w:szCs w:val="22"/>
          <w:lang w:val="pl-PL"/>
        </w:rPr>
        <w:t xml:space="preserve">liczba </w:t>
      </w:r>
      <w:r w:rsidRPr="009353E6">
        <w:rPr>
          <w:sz w:val="22"/>
          <w:szCs w:val="22"/>
          <w:lang w:val="pl-PL"/>
        </w:rPr>
        <w:t xml:space="preserve">tabletek, </w:t>
      </w:r>
      <w:r w:rsidR="005A4164" w:rsidRPr="009353E6">
        <w:rPr>
          <w:sz w:val="22"/>
          <w:szCs w:val="22"/>
          <w:lang w:val="pl-PL"/>
        </w:rPr>
        <w:t>mogą pojawić się takie oznaki</w:t>
      </w:r>
      <w:r w:rsidR="00A1061F" w:rsidRPr="009353E6">
        <w:rPr>
          <w:sz w:val="22"/>
          <w:szCs w:val="22"/>
          <w:lang w:val="pl-PL"/>
        </w:rPr>
        <w:t>,</w:t>
      </w:r>
      <w:r w:rsidR="005A4164" w:rsidRPr="009353E6">
        <w:rPr>
          <w:sz w:val="22"/>
          <w:szCs w:val="22"/>
          <w:lang w:val="pl-PL"/>
        </w:rPr>
        <w:t xml:space="preserve"> jak </w:t>
      </w:r>
      <w:r w:rsidR="00AB7730" w:rsidRPr="009353E6">
        <w:rPr>
          <w:sz w:val="22"/>
          <w:szCs w:val="22"/>
          <w:lang w:val="pl-PL"/>
        </w:rPr>
        <w:t xml:space="preserve">niskie ciśnienie krwi i przyspieszenie akcji serca. </w:t>
      </w:r>
      <w:r w:rsidR="009B29F1" w:rsidRPr="009353E6">
        <w:rPr>
          <w:sz w:val="22"/>
          <w:szCs w:val="22"/>
          <w:lang w:val="pl-PL"/>
        </w:rPr>
        <w:t>Zgłasz</w:t>
      </w:r>
      <w:r w:rsidR="0000020A" w:rsidRPr="009353E6">
        <w:rPr>
          <w:sz w:val="22"/>
          <w:szCs w:val="22"/>
          <w:lang w:val="pl-PL"/>
        </w:rPr>
        <w:t xml:space="preserve">ano także przypadki </w:t>
      </w:r>
      <w:r w:rsidR="00AB7730" w:rsidRPr="009353E6">
        <w:rPr>
          <w:sz w:val="22"/>
          <w:szCs w:val="22"/>
          <w:lang w:val="pl-PL"/>
        </w:rPr>
        <w:t>spowolnienia akcji serca, zawrotów głowy, wymiotów, pogorszenia czynności nerek, w tym niewydolności nerek. Z powodu zawartości hydrochlorotiazydu może także wystąpić wyraźnie niskie ciśnienie krwi i niskie stężenia potasu we krwi, co może doprowadzić do nudności, senności i skurczów mięśni</w:t>
      </w:r>
      <w:r w:rsidR="0000020A" w:rsidRPr="009353E6">
        <w:rPr>
          <w:lang w:val="pl-PL"/>
        </w:rPr>
        <w:t xml:space="preserve"> </w:t>
      </w:r>
      <w:r w:rsidR="0000020A" w:rsidRPr="009353E6">
        <w:rPr>
          <w:sz w:val="22"/>
          <w:szCs w:val="22"/>
          <w:lang w:val="pl-PL"/>
        </w:rPr>
        <w:t>i</w:t>
      </w:r>
      <w:r w:rsidR="009B29F1" w:rsidRPr="009353E6">
        <w:rPr>
          <w:sz w:val="22"/>
          <w:szCs w:val="22"/>
          <w:lang w:val="pl-PL"/>
        </w:rPr>
        <w:t xml:space="preserve"> (</w:t>
      </w:r>
      <w:r w:rsidR="0000020A" w:rsidRPr="009353E6">
        <w:rPr>
          <w:sz w:val="22"/>
          <w:szCs w:val="22"/>
          <w:lang w:val="pl-PL"/>
        </w:rPr>
        <w:t>lub</w:t>
      </w:r>
      <w:r w:rsidR="009B29F1" w:rsidRPr="009353E6">
        <w:rPr>
          <w:sz w:val="22"/>
          <w:szCs w:val="22"/>
          <w:lang w:val="pl-PL"/>
        </w:rPr>
        <w:t>)</w:t>
      </w:r>
      <w:r w:rsidR="0000020A" w:rsidRPr="009353E6">
        <w:rPr>
          <w:sz w:val="22"/>
          <w:szCs w:val="22"/>
          <w:lang w:val="pl-PL"/>
        </w:rPr>
        <w:t xml:space="preserve"> nieregularne bicie serca związane z jednoczesnym stosowaniem leków takich jak glikozydy naparstnicy oraz niektórych leków antyarytmicznych</w:t>
      </w:r>
      <w:r w:rsidR="009B29F1" w:rsidRPr="009353E6">
        <w:rPr>
          <w:sz w:val="22"/>
          <w:szCs w:val="22"/>
          <w:lang w:val="pl-PL"/>
        </w:rPr>
        <w:t>.</w:t>
      </w:r>
      <w:r w:rsidR="005A4164" w:rsidRPr="009353E6">
        <w:rPr>
          <w:sz w:val="22"/>
          <w:szCs w:val="22"/>
          <w:lang w:val="pl-PL"/>
        </w:rPr>
        <w:t xml:space="preserve"> Należy </w:t>
      </w:r>
      <w:r w:rsidRPr="009353E6">
        <w:rPr>
          <w:sz w:val="22"/>
          <w:szCs w:val="22"/>
          <w:lang w:val="pl-PL"/>
        </w:rPr>
        <w:t xml:space="preserve">niezwłocznie </w:t>
      </w:r>
      <w:r w:rsidR="003314C3" w:rsidRPr="009353E6">
        <w:rPr>
          <w:sz w:val="22"/>
          <w:szCs w:val="22"/>
          <w:lang w:val="pl-PL"/>
        </w:rPr>
        <w:t xml:space="preserve">skontaktować </w:t>
      </w:r>
      <w:r w:rsidRPr="009353E6">
        <w:rPr>
          <w:sz w:val="22"/>
          <w:szCs w:val="22"/>
          <w:lang w:val="pl-PL"/>
        </w:rPr>
        <w:t>się z lekarzem lub farmaceutą albo z najbliższym szpitalnym oddziałem doraźnej pomocy medycznej.</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 xml:space="preserve">Pominięcie </w:t>
      </w:r>
      <w:r w:rsidR="00105AE1" w:rsidRPr="009353E6">
        <w:rPr>
          <w:b/>
          <w:sz w:val="22"/>
          <w:szCs w:val="22"/>
          <w:lang w:val="pl-PL"/>
        </w:rPr>
        <w:t>przyjęcia</w:t>
      </w:r>
      <w:r w:rsidRPr="009353E6">
        <w:rPr>
          <w:b/>
          <w:sz w:val="22"/>
          <w:szCs w:val="22"/>
          <w:lang w:val="pl-PL"/>
        </w:rPr>
        <w:t xml:space="preserve"> leku MicardisPlus</w:t>
      </w: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Jeśli pacjent zapomni przyjąć dawkę leku, powinien zażyć go niezwłocznie po przypomnieniu sobie, tego samego dnia. Jeżeli </w:t>
      </w:r>
      <w:r w:rsidR="003314C3" w:rsidRPr="009353E6">
        <w:rPr>
          <w:sz w:val="22"/>
          <w:szCs w:val="22"/>
          <w:lang w:val="pl-PL"/>
        </w:rPr>
        <w:t xml:space="preserve">tabletka </w:t>
      </w:r>
      <w:r w:rsidRPr="009353E6">
        <w:rPr>
          <w:sz w:val="22"/>
          <w:szCs w:val="22"/>
          <w:lang w:val="pl-PL"/>
        </w:rPr>
        <w:t>nie zostanie przyjęt</w:t>
      </w:r>
      <w:r w:rsidR="003314C3" w:rsidRPr="009353E6">
        <w:rPr>
          <w:sz w:val="22"/>
          <w:szCs w:val="22"/>
          <w:lang w:val="pl-PL"/>
        </w:rPr>
        <w:t>a jednego dnia</w:t>
      </w:r>
      <w:r w:rsidRPr="009353E6">
        <w:rPr>
          <w:sz w:val="22"/>
          <w:szCs w:val="22"/>
          <w:lang w:val="pl-PL"/>
        </w:rPr>
        <w:t xml:space="preserve">, należy przyjąć zwykle stosowaną dawkę następnego dnia. </w:t>
      </w:r>
      <w:r w:rsidRPr="009353E6">
        <w:rPr>
          <w:b/>
          <w:i/>
          <w:sz w:val="22"/>
          <w:szCs w:val="22"/>
          <w:lang w:val="pl-PL"/>
        </w:rPr>
        <w:t>Nie należy</w:t>
      </w:r>
      <w:r w:rsidRPr="009353E6">
        <w:rPr>
          <w:sz w:val="22"/>
          <w:szCs w:val="22"/>
          <w:lang w:val="pl-PL"/>
        </w:rPr>
        <w:t xml:space="preserve"> stosować dawki podwójnej w celu uzupełnienia pominięt</w:t>
      </w:r>
      <w:r w:rsidR="007B064C" w:rsidRPr="009353E6">
        <w:rPr>
          <w:sz w:val="22"/>
          <w:szCs w:val="22"/>
          <w:lang w:val="pl-PL"/>
        </w:rPr>
        <w:t>ej</w:t>
      </w:r>
      <w:r w:rsidRPr="009353E6">
        <w:rPr>
          <w:sz w:val="22"/>
          <w:szCs w:val="22"/>
          <w:lang w:val="pl-PL"/>
        </w:rPr>
        <w:t xml:space="preserve"> dawk</w:t>
      </w:r>
      <w:r w:rsidR="007B064C" w:rsidRPr="009353E6">
        <w:rPr>
          <w:sz w:val="22"/>
          <w:szCs w:val="22"/>
          <w:lang w:val="pl-PL"/>
        </w:rPr>
        <w:t>i</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W </w:t>
      </w:r>
      <w:r w:rsidR="002502ED" w:rsidRPr="009353E6">
        <w:rPr>
          <w:sz w:val="22"/>
          <w:szCs w:val="22"/>
          <w:lang w:val="pl-PL"/>
        </w:rPr>
        <w:t xml:space="preserve">razie jakichkolwiek </w:t>
      </w:r>
      <w:r w:rsidRPr="009353E6">
        <w:rPr>
          <w:sz w:val="22"/>
          <w:szCs w:val="22"/>
          <w:lang w:val="pl-PL"/>
        </w:rPr>
        <w:t xml:space="preserve">dalszych </w:t>
      </w:r>
      <w:r w:rsidR="002502ED" w:rsidRPr="009353E6">
        <w:rPr>
          <w:sz w:val="22"/>
          <w:szCs w:val="22"/>
          <w:lang w:val="pl-PL"/>
        </w:rPr>
        <w:t>wątpliwości zwi</w:t>
      </w:r>
      <w:r w:rsidR="00D707F3" w:rsidRPr="009353E6">
        <w:rPr>
          <w:sz w:val="22"/>
          <w:szCs w:val="22"/>
          <w:lang w:val="pl-PL"/>
        </w:rPr>
        <w:t>ą</w:t>
      </w:r>
      <w:r w:rsidR="002502ED" w:rsidRPr="009353E6">
        <w:rPr>
          <w:sz w:val="22"/>
          <w:szCs w:val="22"/>
          <w:lang w:val="pl-PL"/>
        </w:rPr>
        <w:t xml:space="preserve">zanych ze </w:t>
      </w:r>
      <w:r w:rsidRPr="009353E6">
        <w:rPr>
          <w:sz w:val="22"/>
          <w:szCs w:val="22"/>
          <w:lang w:val="pl-PL"/>
        </w:rPr>
        <w:t>stosowani</w:t>
      </w:r>
      <w:r w:rsidR="002502ED" w:rsidRPr="009353E6">
        <w:rPr>
          <w:sz w:val="22"/>
          <w:szCs w:val="22"/>
          <w:lang w:val="pl-PL"/>
        </w:rPr>
        <w:t>em</w:t>
      </w:r>
      <w:r w:rsidRPr="009353E6">
        <w:rPr>
          <w:sz w:val="22"/>
          <w:szCs w:val="22"/>
          <w:lang w:val="pl-PL"/>
        </w:rPr>
        <w:t xml:space="preserve"> </w:t>
      </w:r>
      <w:r w:rsidR="00B808D0" w:rsidRPr="009353E6">
        <w:rPr>
          <w:sz w:val="22"/>
          <w:szCs w:val="22"/>
          <w:lang w:val="pl-PL"/>
        </w:rPr>
        <w:t xml:space="preserve">tego </w:t>
      </w:r>
      <w:r w:rsidRPr="009353E6">
        <w:rPr>
          <w:sz w:val="22"/>
          <w:szCs w:val="22"/>
          <w:lang w:val="pl-PL"/>
        </w:rPr>
        <w:t xml:space="preserve">leku, należy </w:t>
      </w:r>
      <w:r w:rsidR="002502ED" w:rsidRPr="009353E6">
        <w:rPr>
          <w:sz w:val="22"/>
          <w:szCs w:val="22"/>
          <w:lang w:val="pl-PL"/>
        </w:rPr>
        <w:t xml:space="preserve">zwrócić </w:t>
      </w:r>
      <w:r w:rsidRPr="009353E6">
        <w:rPr>
          <w:sz w:val="22"/>
          <w:szCs w:val="22"/>
          <w:lang w:val="pl-PL"/>
        </w:rPr>
        <w:t xml:space="preserve">się </w:t>
      </w:r>
      <w:r w:rsidR="002502ED" w:rsidRPr="009353E6">
        <w:rPr>
          <w:sz w:val="22"/>
          <w:szCs w:val="22"/>
          <w:lang w:val="pl-PL"/>
        </w:rPr>
        <w:t>do</w:t>
      </w:r>
      <w:r w:rsidRPr="009353E6">
        <w:rPr>
          <w:sz w:val="22"/>
          <w:szCs w:val="22"/>
          <w:lang w:val="pl-PL"/>
        </w:rPr>
        <w:t xml:space="preserve"> lekarz</w:t>
      </w:r>
      <w:r w:rsidR="002502ED" w:rsidRPr="009353E6">
        <w:rPr>
          <w:sz w:val="22"/>
          <w:szCs w:val="22"/>
          <w:lang w:val="pl-PL"/>
        </w:rPr>
        <w:t>a</w:t>
      </w:r>
      <w:r w:rsidRPr="009353E6">
        <w:rPr>
          <w:sz w:val="22"/>
          <w:szCs w:val="22"/>
          <w:lang w:val="pl-PL"/>
        </w:rPr>
        <w:t xml:space="preserve"> lub farmaceut</w:t>
      </w:r>
      <w:r w:rsidR="002502ED" w:rsidRPr="009353E6">
        <w:rPr>
          <w:sz w:val="22"/>
          <w:szCs w:val="22"/>
          <w:lang w:val="pl-PL"/>
        </w:rPr>
        <w:t>y</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p w:rsidR="000A739F" w:rsidRPr="009353E6" w:rsidRDefault="00C368B1" w:rsidP="00C368B1">
      <w:pPr>
        <w:pStyle w:val="BodyText"/>
        <w:tabs>
          <w:tab w:val="left" w:pos="540"/>
        </w:tabs>
        <w:spacing w:line="240" w:lineRule="auto"/>
        <w:jc w:val="left"/>
        <w:rPr>
          <w:b/>
          <w:sz w:val="22"/>
          <w:szCs w:val="22"/>
          <w:lang w:val="pl-PL"/>
        </w:rPr>
      </w:pPr>
      <w:r w:rsidRPr="009353E6">
        <w:rPr>
          <w:b/>
          <w:sz w:val="22"/>
          <w:szCs w:val="22"/>
          <w:lang w:val="pl-PL"/>
        </w:rPr>
        <w:t>4.</w:t>
      </w:r>
      <w:r w:rsidRPr="009353E6">
        <w:rPr>
          <w:b/>
          <w:sz w:val="22"/>
          <w:szCs w:val="22"/>
          <w:lang w:val="pl-PL"/>
        </w:rPr>
        <w:tab/>
      </w:r>
      <w:r w:rsidR="00072513" w:rsidRPr="009353E6">
        <w:rPr>
          <w:b/>
          <w:sz w:val="22"/>
          <w:szCs w:val="22"/>
          <w:lang w:val="pl-PL"/>
        </w:rPr>
        <w:t>Możliwe działania niepożądane</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Jak każdy lek,</w:t>
      </w:r>
      <w:r w:rsidR="00072513" w:rsidRPr="009353E6">
        <w:rPr>
          <w:sz w:val="22"/>
          <w:szCs w:val="22"/>
          <w:lang w:val="pl-PL"/>
        </w:rPr>
        <w:t xml:space="preserve"> lek </w:t>
      </w:r>
      <w:r w:rsidR="00105AE1" w:rsidRPr="009353E6">
        <w:rPr>
          <w:sz w:val="22"/>
          <w:szCs w:val="22"/>
          <w:lang w:val="pl-PL"/>
        </w:rPr>
        <w:t xml:space="preserve">ten </w:t>
      </w:r>
      <w:r w:rsidRPr="009353E6">
        <w:rPr>
          <w:sz w:val="22"/>
          <w:szCs w:val="22"/>
          <w:lang w:val="pl-PL"/>
        </w:rPr>
        <w:t>może powodować działania niepożądane, chociaż nie u każdego one wystąpią.</w:t>
      </w:r>
    </w:p>
    <w:p w:rsidR="000A739F" w:rsidRPr="009353E6" w:rsidRDefault="000A739F" w:rsidP="00F831F6">
      <w:pPr>
        <w:pStyle w:val="BodyText"/>
        <w:spacing w:line="240" w:lineRule="auto"/>
        <w:jc w:val="left"/>
        <w:rPr>
          <w:sz w:val="22"/>
          <w:szCs w:val="22"/>
          <w:lang w:val="pl-PL"/>
        </w:rPr>
      </w:pPr>
    </w:p>
    <w:p w:rsidR="00F37EE9" w:rsidRPr="009353E6" w:rsidRDefault="00F512E0" w:rsidP="00F512E0">
      <w:pPr>
        <w:rPr>
          <w:b/>
          <w:sz w:val="22"/>
          <w:szCs w:val="22"/>
          <w:lang w:val="pl-PL"/>
        </w:rPr>
      </w:pPr>
      <w:r w:rsidRPr="009353E6">
        <w:rPr>
          <w:b/>
          <w:sz w:val="22"/>
          <w:szCs w:val="22"/>
          <w:lang w:val="pl-PL"/>
        </w:rPr>
        <w:t>Niektóre działania niepożądane mogą być ciężkie i wymagają natychmiastowej pomocy medycznej:</w:t>
      </w:r>
    </w:p>
    <w:p w:rsidR="00072513" w:rsidRPr="009353E6" w:rsidRDefault="00072513" w:rsidP="00F512E0">
      <w:pPr>
        <w:rPr>
          <w:sz w:val="22"/>
          <w:szCs w:val="22"/>
          <w:lang w:val="pl-PL"/>
        </w:rPr>
      </w:pPr>
    </w:p>
    <w:p w:rsidR="00F512E0" w:rsidRPr="009353E6" w:rsidRDefault="00F512E0" w:rsidP="00F512E0">
      <w:pPr>
        <w:rPr>
          <w:sz w:val="22"/>
          <w:szCs w:val="22"/>
          <w:lang w:val="pl-PL"/>
        </w:rPr>
      </w:pPr>
      <w:r w:rsidRPr="009353E6">
        <w:rPr>
          <w:sz w:val="22"/>
          <w:szCs w:val="22"/>
          <w:lang w:val="pl-PL"/>
        </w:rPr>
        <w:t>W przypadku wystąpienia któregokolwiek z następujących objawów należy natychmiast skontaktować się z lekarzem:</w:t>
      </w:r>
    </w:p>
    <w:p w:rsidR="00F512E0" w:rsidRPr="009353E6" w:rsidRDefault="00F512E0" w:rsidP="00F512E0">
      <w:pPr>
        <w:rPr>
          <w:sz w:val="22"/>
          <w:szCs w:val="22"/>
          <w:lang w:val="pl-PL"/>
        </w:rPr>
      </w:pPr>
    </w:p>
    <w:p w:rsidR="00891993" w:rsidRPr="009353E6" w:rsidRDefault="00F512E0" w:rsidP="00891993">
      <w:pPr>
        <w:rPr>
          <w:sz w:val="22"/>
          <w:szCs w:val="22"/>
          <w:lang w:val="pl-PL"/>
        </w:rPr>
      </w:pPr>
      <w:r w:rsidRPr="009353E6">
        <w:rPr>
          <w:sz w:val="22"/>
          <w:szCs w:val="22"/>
          <w:lang w:val="pl-PL"/>
        </w:rPr>
        <w:t xml:space="preserve">Posocznica* </w:t>
      </w:r>
      <w:r w:rsidR="00891993" w:rsidRPr="009353E6">
        <w:rPr>
          <w:sz w:val="22"/>
          <w:szCs w:val="22"/>
          <w:lang w:val="pl-PL"/>
        </w:rPr>
        <w:t>(często nazywana zatruciem krwi, będąca ciężkim zakażeniem, z reakcją zapalną całego organizmu), nagły obrzęk skóry i błon śluzowych (obrzęk naczynioruchowy)</w:t>
      </w:r>
      <w:r w:rsidR="005A4164" w:rsidRPr="009353E6">
        <w:rPr>
          <w:sz w:val="22"/>
          <w:szCs w:val="22"/>
          <w:lang w:val="pl-PL"/>
        </w:rPr>
        <w:t xml:space="preserve">; tworzenie się pęcherzy i złuszczanie się </w:t>
      </w:r>
      <w:r w:rsidR="009B29F1" w:rsidRPr="009353E6">
        <w:rPr>
          <w:sz w:val="22"/>
          <w:szCs w:val="22"/>
          <w:lang w:val="pl-PL"/>
        </w:rPr>
        <w:t>zewnętrz</w:t>
      </w:r>
      <w:r w:rsidR="005A4164" w:rsidRPr="009353E6">
        <w:rPr>
          <w:sz w:val="22"/>
          <w:szCs w:val="22"/>
          <w:lang w:val="pl-PL"/>
        </w:rPr>
        <w:t>nej wars</w:t>
      </w:r>
      <w:r w:rsidR="00AA25A4" w:rsidRPr="009353E6">
        <w:rPr>
          <w:sz w:val="22"/>
          <w:szCs w:val="22"/>
          <w:lang w:val="pl-PL"/>
        </w:rPr>
        <w:t>t</w:t>
      </w:r>
      <w:r w:rsidR="005A4164" w:rsidRPr="009353E6">
        <w:rPr>
          <w:sz w:val="22"/>
          <w:szCs w:val="22"/>
          <w:lang w:val="pl-PL"/>
        </w:rPr>
        <w:t>wy skóry (toksyczn</w:t>
      </w:r>
      <w:r w:rsidR="009B29F1" w:rsidRPr="009353E6">
        <w:rPr>
          <w:sz w:val="22"/>
          <w:szCs w:val="22"/>
          <w:lang w:val="pl-PL"/>
        </w:rPr>
        <w:t>e</w:t>
      </w:r>
      <w:r w:rsidR="005A4164" w:rsidRPr="009353E6">
        <w:rPr>
          <w:sz w:val="22"/>
          <w:szCs w:val="22"/>
          <w:lang w:val="pl-PL"/>
        </w:rPr>
        <w:t xml:space="preserve"> martwic</w:t>
      </w:r>
      <w:r w:rsidR="009B29F1" w:rsidRPr="009353E6">
        <w:rPr>
          <w:sz w:val="22"/>
          <w:szCs w:val="22"/>
          <w:lang w:val="pl-PL"/>
        </w:rPr>
        <w:t>ze</w:t>
      </w:r>
      <w:r w:rsidR="005A4164" w:rsidRPr="009353E6">
        <w:rPr>
          <w:sz w:val="22"/>
          <w:szCs w:val="22"/>
          <w:lang w:val="pl-PL"/>
        </w:rPr>
        <w:t xml:space="preserve"> </w:t>
      </w:r>
      <w:r w:rsidR="009B29F1" w:rsidRPr="009353E6">
        <w:rPr>
          <w:sz w:val="22"/>
          <w:szCs w:val="22"/>
          <w:lang w:val="pl-PL"/>
        </w:rPr>
        <w:t>oddzielanie się</w:t>
      </w:r>
      <w:r w:rsidR="005A4164" w:rsidRPr="009353E6">
        <w:rPr>
          <w:sz w:val="22"/>
          <w:szCs w:val="22"/>
          <w:lang w:val="pl-PL"/>
        </w:rPr>
        <w:t xml:space="preserve"> naskórka). Powyższe działania niepożądane występują rzadko (mogą wystąpić do 1 na 1000 pacjentów) </w:t>
      </w:r>
      <w:r w:rsidR="009B29F1" w:rsidRPr="009353E6">
        <w:rPr>
          <w:sz w:val="22"/>
          <w:szCs w:val="22"/>
          <w:lang w:val="pl-PL"/>
        </w:rPr>
        <w:t>albo</w:t>
      </w:r>
      <w:r w:rsidR="005A4164" w:rsidRPr="009353E6">
        <w:rPr>
          <w:sz w:val="22"/>
          <w:szCs w:val="22"/>
          <w:lang w:val="pl-PL"/>
        </w:rPr>
        <w:t xml:space="preserve"> z nieznaną częstością (w przypadku toksyczne</w:t>
      </w:r>
      <w:r w:rsidR="007305E2" w:rsidRPr="009353E6">
        <w:rPr>
          <w:sz w:val="22"/>
          <w:szCs w:val="22"/>
          <w:lang w:val="pl-PL"/>
        </w:rPr>
        <w:t>go</w:t>
      </w:r>
      <w:r w:rsidR="005A4164" w:rsidRPr="009353E6">
        <w:rPr>
          <w:sz w:val="22"/>
          <w:szCs w:val="22"/>
          <w:lang w:val="pl-PL"/>
        </w:rPr>
        <w:t xml:space="preserve"> martwic</w:t>
      </w:r>
      <w:r w:rsidR="007305E2" w:rsidRPr="009353E6">
        <w:rPr>
          <w:sz w:val="22"/>
          <w:szCs w:val="22"/>
          <w:lang w:val="pl-PL"/>
        </w:rPr>
        <w:t>zego</w:t>
      </w:r>
      <w:r w:rsidR="005A4164" w:rsidRPr="009353E6">
        <w:rPr>
          <w:sz w:val="22"/>
          <w:szCs w:val="22"/>
          <w:lang w:val="pl-PL"/>
        </w:rPr>
        <w:t xml:space="preserve"> </w:t>
      </w:r>
      <w:r w:rsidR="007305E2" w:rsidRPr="009353E6">
        <w:rPr>
          <w:sz w:val="22"/>
          <w:szCs w:val="22"/>
          <w:lang w:val="pl-PL"/>
        </w:rPr>
        <w:t>oddzielania się</w:t>
      </w:r>
      <w:r w:rsidR="005A4164" w:rsidRPr="009353E6">
        <w:rPr>
          <w:sz w:val="22"/>
          <w:szCs w:val="22"/>
          <w:lang w:val="pl-PL"/>
        </w:rPr>
        <w:t xml:space="preserve"> naskórka),</w:t>
      </w:r>
      <w:r w:rsidR="00891993" w:rsidRPr="009353E6">
        <w:rPr>
          <w:sz w:val="22"/>
          <w:szCs w:val="22"/>
          <w:lang w:val="pl-PL"/>
        </w:rPr>
        <w:t xml:space="preserve"> ale są niezwykle ciężkie</w:t>
      </w:r>
      <w:r w:rsidR="007305E2" w:rsidRPr="009353E6">
        <w:rPr>
          <w:sz w:val="22"/>
          <w:szCs w:val="22"/>
          <w:lang w:val="pl-PL"/>
        </w:rPr>
        <w:t>;</w:t>
      </w:r>
      <w:r w:rsidR="00891993" w:rsidRPr="009353E6">
        <w:rPr>
          <w:sz w:val="22"/>
          <w:szCs w:val="22"/>
          <w:lang w:val="pl-PL"/>
        </w:rPr>
        <w:t xml:space="preserve"> w takim przypadku należy przerwać przyjmowanie leku i natychmiast skontaktować się z lekarzem. Jeśli powyższe objawy nie są leczone, mogą zakończyć się zgonem.</w:t>
      </w:r>
    </w:p>
    <w:p w:rsidR="00072513" w:rsidRPr="009353E6" w:rsidRDefault="00072513" w:rsidP="00072513">
      <w:pPr>
        <w:rPr>
          <w:sz w:val="22"/>
          <w:szCs w:val="22"/>
          <w:lang w:val="pl-PL"/>
        </w:rPr>
      </w:pPr>
      <w:r w:rsidRPr="009353E6">
        <w:rPr>
          <w:sz w:val="22"/>
          <w:szCs w:val="22"/>
          <w:lang w:val="pl-PL"/>
        </w:rPr>
        <w:t>Zwiększoną częstość występowania posocznicy obserwowano u osób przyjmujących telmisartan w monoterapii, nie można jej jednak wykluczyć w przypadku terapii lekiem MicardisPlus.</w:t>
      </w:r>
    </w:p>
    <w:p w:rsidR="00F512E0" w:rsidRPr="009353E6" w:rsidRDefault="00F512E0" w:rsidP="00891993">
      <w:pPr>
        <w:rPr>
          <w:sz w:val="22"/>
          <w:szCs w:val="22"/>
          <w:u w:val="single"/>
          <w:lang w:val="pl-PL"/>
        </w:rPr>
      </w:pPr>
    </w:p>
    <w:p w:rsidR="00F512E0" w:rsidRPr="009353E6" w:rsidRDefault="00836A1D" w:rsidP="00E40CF2">
      <w:pPr>
        <w:keepNext/>
        <w:rPr>
          <w:b/>
          <w:sz w:val="22"/>
          <w:szCs w:val="22"/>
          <w:lang w:val="pl-PL"/>
        </w:rPr>
      </w:pPr>
      <w:r w:rsidRPr="009353E6">
        <w:rPr>
          <w:b/>
          <w:sz w:val="22"/>
          <w:szCs w:val="22"/>
          <w:lang w:val="pl-PL"/>
        </w:rPr>
        <w:t xml:space="preserve">Możliwe </w:t>
      </w:r>
      <w:r w:rsidR="00F512E0" w:rsidRPr="009353E6">
        <w:rPr>
          <w:b/>
          <w:sz w:val="22"/>
          <w:szCs w:val="22"/>
          <w:lang w:val="pl-PL"/>
        </w:rPr>
        <w:t xml:space="preserve">działania niepożądane </w:t>
      </w:r>
      <w:r w:rsidR="006A188A" w:rsidRPr="009353E6">
        <w:rPr>
          <w:b/>
          <w:sz w:val="22"/>
          <w:szCs w:val="22"/>
          <w:lang w:val="pl-PL"/>
        </w:rPr>
        <w:t xml:space="preserve">leku </w:t>
      </w:r>
      <w:r w:rsidR="00F512E0" w:rsidRPr="009353E6">
        <w:rPr>
          <w:b/>
          <w:sz w:val="22"/>
          <w:szCs w:val="22"/>
          <w:lang w:val="pl-PL"/>
        </w:rPr>
        <w:t>MicardisPlus</w:t>
      </w:r>
      <w:r w:rsidRPr="009353E6">
        <w:rPr>
          <w:b/>
          <w:sz w:val="22"/>
          <w:szCs w:val="22"/>
          <w:lang w:val="pl-PL"/>
        </w:rPr>
        <w:t>:</w:t>
      </w:r>
    </w:p>
    <w:p w:rsidR="00F512E0" w:rsidRPr="009353E6" w:rsidRDefault="00F512E0" w:rsidP="00E40CF2">
      <w:pPr>
        <w:pStyle w:val="BodyText"/>
        <w:keepNext/>
        <w:spacing w:line="240" w:lineRule="auto"/>
        <w:jc w:val="left"/>
        <w:rPr>
          <w:sz w:val="22"/>
          <w:szCs w:val="22"/>
          <w:u w:val="single"/>
          <w:lang w:val="pl-PL"/>
        </w:rPr>
      </w:pPr>
    </w:p>
    <w:p w:rsidR="00072513" w:rsidRPr="009353E6" w:rsidRDefault="00072513" w:rsidP="00E40CF2">
      <w:pPr>
        <w:keepNext/>
        <w:rPr>
          <w:sz w:val="22"/>
          <w:szCs w:val="22"/>
          <w:lang w:val="pl-PL"/>
        </w:rPr>
      </w:pPr>
      <w:r w:rsidRPr="009353E6">
        <w:rPr>
          <w:sz w:val="22"/>
          <w:szCs w:val="22"/>
          <w:u w:val="single"/>
          <w:lang w:val="pl-PL"/>
        </w:rPr>
        <w:t>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 pacjentów):</w:t>
      </w:r>
    </w:p>
    <w:p w:rsidR="00943AC1" w:rsidRPr="009353E6" w:rsidRDefault="00943AC1" w:rsidP="00F831F6">
      <w:pPr>
        <w:pStyle w:val="BodyText"/>
        <w:spacing w:line="240" w:lineRule="auto"/>
        <w:jc w:val="left"/>
        <w:rPr>
          <w:sz w:val="22"/>
          <w:szCs w:val="22"/>
          <w:lang w:val="pl-PL"/>
        </w:rPr>
      </w:pPr>
      <w:r w:rsidRPr="009353E6">
        <w:rPr>
          <w:sz w:val="22"/>
          <w:szCs w:val="22"/>
          <w:lang w:val="pl-PL"/>
        </w:rPr>
        <w:t>Z</w:t>
      </w:r>
      <w:r w:rsidR="00F25724" w:rsidRPr="009353E6">
        <w:rPr>
          <w:sz w:val="22"/>
          <w:szCs w:val="22"/>
          <w:lang w:val="pl-PL"/>
        </w:rPr>
        <w:t>a</w:t>
      </w:r>
      <w:r w:rsidRPr="009353E6">
        <w:rPr>
          <w:sz w:val="22"/>
          <w:szCs w:val="22"/>
          <w:lang w:val="pl-PL"/>
        </w:rPr>
        <w:t>wroty głowy</w:t>
      </w:r>
    </w:p>
    <w:p w:rsidR="00943AC1" w:rsidRPr="009353E6" w:rsidRDefault="00943AC1" w:rsidP="00F831F6">
      <w:pPr>
        <w:pStyle w:val="BodyText"/>
        <w:spacing w:line="240" w:lineRule="auto"/>
        <w:jc w:val="left"/>
        <w:rPr>
          <w:sz w:val="22"/>
          <w:szCs w:val="22"/>
          <w:lang w:val="pl-PL"/>
        </w:rPr>
      </w:pPr>
    </w:p>
    <w:p w:rsidR="00072513" w:rsidRPr="009353E6" w:rsidRDefault="00072513" w:rsidP="005E3A9A">
      <w:pPr>
        <w:keepNext/>
        <w:rPr>
          <w:sz w:val="22"/>
          <w:szCs w:val="22"/>
          <w:lang w:val="pl-PL"/>
        </w:rPr>
      </w:pPr>
      <w:r w:rsidRPr="009353E6">
        <w:rPr>
          <w:sz w:val="22"/>
          <w:szCs w:val="22"/>
          <w:u w:val="single"/>
          <w:lang w:val="pl-PL"/>
        </w:rPr>
        <w:t>Niezbyt 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 pacjentów): </w:t>
      </w:r>
    </w:p>
    <w:p w:rsidR="00701864" w:rsidRPr="009353E6" w:rsidRDefault="00701864" w:rsidP="00F831F6">
      <w:pPr>
        <w:pStyle w:val="BodyText"/>
        <w:spacing w:line="240" w:lineRule="auto"/>
        <w:jc w:val="left"/>
        <w:rPr>
          <w:sz w:val="22"/>
          <w:szCs w:val="22"/>
          <w:lang w:val="pl-PL"/>
        </w:rPr>
      </w:pPr>
      <w:r w:rsidRPr="009353E6">
        <w:rPr>
          <w:sz w:val="22"/>
          <w:szCs w:val="22"/>
          <w:lang w:val="pl-PL"/>
        </w:rPr>
        <w:t>Zmniejszenie stężenia potasu we krwi</w:t>
      </w:r>
      <w:r w:rsidR="00F25724" w:rsidRPr="009353E6">
        <w:rPr>
          <w:sz w:val="22"/>
          <w:szCs w:val="22"/>
          <w:lang w:val="pl-PL"/>
        </w:rPr>
        <w:t>,</w:t>
      </w:r>
      <w:r w:rsidRPr="009353E6">
        <w:rPr>
          <w:sz w:val="22"/>
          <w:szCs w:val="22"/>
          <w:lang w:val="pl-PL"/>
        </w:rPr>
        <w:t xml:space="preserve"> lęk</w:t>
      </w:r>
      <w:r w:rsidR="00F25724" w:rsidRPr="009353E6">
        <w:rPr>
          <w:sz w:val="22"/>
          <w:szCs w:val="22"/>
          <w:lang w:val="pl-PL"/>
        </w:rPr>
        <w:t>,</w:t>
      </w:r>
      <w:r w:rsidRPr="009353E6">
        <w:rPr>
          <w:sz w:val="22"/>
          <w:szCs w:val="22"/>
          <w:lang w:val="pl-PL"/>
        </w:rPr>
        <w:t xml:space="preserve"> omdlenia</w:t>
      </w:r>
      <w:r w:rsidR="00F25724" w:rsidRPr="009353E6">
        <w:rPr>
          <w:sz w:val="22"/>
          <w:szCs w:val="22"/>
          <w:lang w:val="pl-PL"/>
        </w:rPr>
        <w:t>,</w:t>
      </w:r>
      <w:r w:rsidRPr="009353E6">
        <w:rPr>
          <w:sz w:val="22"/>
          <w:szCs w:val="22"/>
          <w:lang w:val="pl-PL"/>
        </w:rPr>
        <w:t xml:space="preserve"> uczucie mrowienia i drętwienia (parestezje)</w:t>
      </w:r>
      <w:r w:rsidR="00F25724" w:rsidRPr="009353E6">
        <w:rPr>
          <w:sz w:val="22"/>
          <w:szCs w:val="22"/>
          <w:lang w:val="pl-PL"/>
        </w:rPr>
        <w:t>,</w:t>
      </w:r>
      <w:r w:rsidRPr="009353E6">
        <w:rPr>
          <w:sz w:val="22"/>
          <w:szCs w:val="22"/>
          <w:lang w:val="pl-PL"/>
        </w:rPr>
        <w:t xml:space="preserve"> uczucie wirowania</w:t>
      </w:r>
      <w:r w:rsidR="00F25724" w:rsidRPr="009353E6">
        <w:rPr>
          <w:sz w:val="22"/>
          <w:szCs w:val="22"/>
          <w:lang w:val="pl-PL"/>
        </w:rPr>
        <w:t>,</w:t>
      </w:r>
      <w:r w:rsidRPr="009353E6">
        <w:rPr>
          <w:sz w:val="22"/>
          <w:szCs w:val="22"/>
          <w:lang w:val="pl-PL"/>
        </w:rPr>
        <w:t xml:space="preserve"> przyspieszone tętno (częstoskurcz), zaburzenia rytmu serca, niskie ciśnienie tętnicze krwi, nagłe o</w:t>
      </w:r>
      <w:r w:rsidR="00ED5DB0" w:rsidRPr="009353E6">
        <w:rPr>
          <w:sz w:val="22"/>
          <w:szCs w:val="22"/>
          <w:lang w:val="pl-PL"/>
        </w:rPr>
        <w:t>b</w:t>
      </w:r>
      <w:r w:rsidRPr="009353E6">
        <w:rPr>
          <w:sz w:val="22"/>
          <w:szCs w:val="22"/>
          <w:lang w:val="pl-PL"/>
        </w:rPr>
        <w:t>niżenie ciśnienia tętniczego krwi podczas wstawania</w:t>
      </w:r>
      <w:r w:rsidR="00F25724" w:rsidRPr="009353E6">
        <w:rPr>
          <w:sz w:val="22"/>
          <w:szCs w:val="22"/>
          <w:lang w:val="pl-PL"/>
        </w:rPr>
        <w:t>,</w:t>
      </w:r>
      <w:r w:rsidRPr="009353E6">
        <w:rPr>
          <w:sz w:val="22"/>
          <w:szCs w:val="22"/>
          <w:lang w:val="pl-PL"/>
        </w:rPr>
        <w:t xml:space="preserve"> skrócenie oddechu (duszność)</w:t>
      </w:r>
      <w:r w:rsidR="00F25724" w:rsidRPr="009353E6">
        <w:rPr>
          <w:sz w:val="22"/>
          <w:szCs w:val="22"/>
          <w:lang w:val="pl-PL"/>
        </w:rPr>
        <w:t>,</w:t>
      </w:r>
      <w:r w:rsidRPr="009353E6">
        <w:rPr>
          <w:sz w:val="22"/>
          <w:szCs w:val="22"/>
          <w:lang w:val="pl-PL"/>
        </w:rPr>
        <w:t xml:space="preserve"> biegunka</w:t>
      </w:r>
      <w:r w:rsidR="00F25724" w:rsidRPr="009353E6">
        <w:rPr>
          <w:sz w:val="22"/>
          <w:szCs w:val="22"/>
          <w:lang w:val="pl-PL"/>
        </w:rPr>
        <w:t>,</w:t>
      </w:r>
      <w:r w:rsidRPr="009353E6">
        <w:rPr>
          <w:sz w:val="22"/>
          <w:szCs w:val="22"/>
          <w:lang w:val="pl-PL"/>
        </w:rPr>
        <w:t xml:space="preserve"> suchość błon śluzowych w jamie ustnej</w:t>
      </w:r>
      <w:r w:rsidR="00F25724" w:rsidRPr="009353E6">
        <w:rPr>
          <w:sz w:val="22"/>
          <w:szCs w:val="22"/>
          <w:lang w:val="pl-PL"/>
        </w:rPr>
        <w:t>,</w:t>
      </w:r>
      <w:r w:rsidRPr="009353E6">
        <w:rPr>
          <w:sz w:val="22"/>
          <w:szCs w:val="22"/>
          <w:lang w:val="pl-PL"/>
        </w:rPr>
        <w:t xml:space="preserve"> wzdęcia</w:t>
      </w:r>
      <w:r w:rsidR="00F25724" w:rsidRPr="009353E6">
        <w:rPr>
          <w:sz w:val="22"/>
          <w:szCs w:val="22"/>
          <w:lang w:val="pl-PL"/>
        </w:rPr>
        <w:t>,</w:t>
      </w:r>
      <w:r w:rsidRPr="009353E6">
        <w:rPr>
          <w:sz w:val="22"/>
          <w:szCs w:val="22"/>
          <w:lang w:val="pl-PL"/>
        </w:rPr>
        <w:t xml:space="preserve"> ból pleców, skurcze mięśni, ból mięśni, zaburzenia erekcji (niezdolność do uzyskania lub utrzymania erekcji)</w:t>
      </w:r>
      <w:r w:rsidR="00F25724" w:rsidRPr="009353E6">
        <w:rPr>
          <w:sz w:val="22"/>
          <w:szCs w:val="22"/>
          <w:lang w:val="pl-PL"/>
        </w:rPr>
        <w:t>,</w:t>
      </w:r>
      <w:r w:rsidRPr="009353E6">
        <w:rPr>
          <w:sz w:val="22"/>
          <w:szCs w:val="22"/>
          <w:lang w:val="pl-PL"/>
        </w:rPr>
        <w:t xml:space="preserve"> ból w klatce piersiowej</w:t>
      </w:r>
      <w:r w:rsidR="00F25724" w:rsidRPr="009353E6">
        <w:rPr>
          <w:sz w:val="22"/>
          <w:szCs w:val="22"/>
          <w:lang w:val="pl-PL"/>
        </w:rPr>
        <w:t>,</w:t>
      </w:r>
      <w:r w:rsidRPr="009353E6">
        <w:rPr>
          <w:sz w:val="22"/>
          <w:szCs w:val="22"/>
          <w:lang w:val="pl-PL"/>
        </w:rPr>
        <w:t xml:space="preserve"> zwiększone stężenie kwasu moczowego we krwi.</w:t>
      </w:r>
    </w:p>
    <w:p w:rsidR="00701864" w:rsidRPr="009353E6" w:rsidRDefault="00701864" w:rsidP="00F831F6">
      <w:pPr>
        <w:pStyle w:val="BodyText"/>
        <w:spacing w:line="240" w:lineRule="auto"/>
        <w:jc w:val="left"/>
        <w:rPr>
          <w:sz w:val="22"/>
          <w:szCs w:val="22"/>
          <w:lang w:val="pl-PL"/>
        </w:rPr>
      </w:pPr>
    </w:p>
    <w:p w:rsidR="00072513" w:rsidRPr="009353E6" w:rsidRDefault="00072513" w:rsidP="005E3A9A">
      <w:pPr>
        <w:keepNext/>
        <w:rPr>
          <w:sz w:val="22"/>
          <w:szCs w:val="22"/>
          <w:lang w:val="pl-PL"/>
        </w:rPr>
      </w:pPr>
      <w:r w:rsidRPr="009353E6">
        <w:rPr>
          <w:sz w:val="22"/>
          <w:szCs w:val="22"/>
          <w:u w:val="single"/>
          <w:lang w:val="pl-PL"/>
        </w:rPr>
        <w:t>Rzadkie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1000 pacjentów):</w:t>
      </w:r>
    </w:p>
    <w:p w:rsidR="00701864" w:rsidRPr="009353E6" w:rsidRDefault="00F25724" w:rsidP="00F831F6">
      <w:pPr>
        <w:pStyle w:val="BodyText"/>
        <w:spacing w:line="240" w:lineRule="auto"/>
        <w:jc w:val="left"/>
        <w:rPr>
          <w:sz w:val="22"/>
          <w:szCs w:val="22"/>
          <w:lang w:val="pl-PL"/>
        </w:rPr>
      </w:pPr>
      <w:r w:rsidRPr="009353E6">
        <w:rPr>
          <w:sz w:val="22"/>
          <w:szCs w:val="22"/>
          <w:lang w:val="pl-PL"/>
        </w:rPr>
        <w:t>Zapalenie płuc (zapalenie oskrzeli),</w:t>
      </w:r>
      <w:r w:rsidR="00891993" w:rsidRPr="009353E6">
        <w:rPr>
          <w:sz w:val="22"/>
          <w:szCs w:val="22"/>
          <w:lang w:val="pl-PL"/>
        </w:rPr>
        <w:t xml:space="preserve"> a</w:t>
      </w:r>
      <w:r w:rsidR="00F512E0" w:rsidRPr="009353E6">
        <w:rPr>
          <w:sz w:val="22"/>
          <w:szCs w:val="22"/>
          <w:lang w:val="pl-PL"/>
        </w:rPr>
        <w:t>ktywacja lub zaostrzenie tocznia rumieniowatego układowego (choroba</w:t>
      </w:r>
      <w:r w:rsidR="003A5066" w:rsidRPr="009353E6">
        <w:rPr>
          <w:sz w:val="22"/>
          <w:szCs w:val="22"/>
          <w:lang w:val="pl-PL"/>
        </w:rPr>
        <w:t>,</w:t>
      </w:r>
      <w:r w:rsidR="00F512E0" w:rsidRPr="009353E6">
        <w:rPr>
          <w:sz w:val="22"/>
          <w:szCs w:val="22"/>
          <w:lang w:val="pl-PL"/>
        </w:rPr>
        <w:t xml:space="preserve"> w której organizm jest atakowany przez własny system odpornościowy co powoduje ból stawów, wysypki skórne i gorączkę),</w:t>
      </w:r>
      <w:r w:rsidR="00891993" w:rsidRPr="009353E6">
        <w:rPr>
          <w:sz w:val="22"/>
          <w:szCs w:val="22"/>
          <w:lang w:val="pl-PL"/>
        </w:rPr>
        <w:t xml:space="preserve"> </w:t>
      </w:r>
      <w:r w:rsidRPr="009353E6">
        <w:rPr>
          <w:sz w:val="22"/>
          <w:szCs w:val="22"/>
          <w:lang w:val="pl-PL"/>
        </w:rPr>
        <w:t>ból gardła, zapalenie zatok,</w:t>
      </w:r>
      <w:r w:rsidR="00701864" w:rsidRPr="009353E6">
        <w:rPr>
          <w:sz w:val="22"/>
          <w:szCs w:val="22"/>
          <w:lang w:val="pl-PL"/>
        </w:rPr>
        <w:t xml:space="preserve"> uczucie smutku (depresja)</w:t>
      </w:r>
      <w:r w:rsidRPr="009353E6">
        <w:rPr>
          <w:sz w:val="22"/>
          <w:szCs w:val="22"/>
          <w:lang w:val="pl-PL"/>
        </w:rPr>
        <w:t>,</w:t>
      </w:r>
      <w:r w:rsidR="00701864" w:rsidRPr="009353E6">
        <w:rPr>
          <w:sz w:val="22"/>
          <w:szCs w:val="22"/>
          <w:lang w:val="pl-PL"/>
        </w:rPr>
        <w:t xml:space="preserve"> trudności w zasypianiu (bezsenność)</w:t>
      </w:r>
      <w:r w:rsidRPr="009353E6">
        <w:rPr>
          <w:sz w:val="22"/>
          <w:szCs w:val="22"/>
          <w:lang w:val="pl-PL"/>
        </w:rPr>
        <w:t>,</w:t>
      </w:r>
      <w:r w:rsidR="00701864" w:rsidRPr="009353E6">
        <w:rPr>
          <w:sz w:val="22"/>
          <w:szCs w:val="22"/>
          <w:lang w:val="pl-PL"/>
        </w:rPr>
        <w:t xml:space="preserve"> zaburzenia widzenia</w:t>
      </w:r>
      <w:r w:rsidRPr="009353E6">
        <w:rPr>
          <w:sz w:val="22"/>
          <w:szCs w:val="22"/>
          <w:lang w:val="pl-PL"/>
        </w:rPr>
        <w:t>,</w:t>
      </w:r>
      <w:r w:rsidR="00701864" w:rsidRPr="009353E6">
        <w:rPr>
          <w:sz w:val="22"/>
          <w:szCs w:val="22"/>
          <w:lang w:val="pl-PL"/>
        </w:rPr>
        <w:t xml:space="preserve"> trudności w oddychaniu</w:t>
      </w:r>
      <w:r w:rsidRPr="009353E6">
        <w:rPr>
          <w:sz w:val="22"/>
          <w:szCs w:val="22"/>
          <w:lang w:val="pl-PL"/>
        </w:rPr>
        <w:t>,</w:t>
      </w:r>
      <w:r w:rsidR="00701864" w:rsidRPr="009353E6">
        <w:rPr>
          <w:sz w:val="22"/>
          <w:szCs w:val="22"/>
          <w:lang w:val="pl-PL"/>
        </w:rPr>
        <w:t xml:space="preserve"> ból brzucha, zaparcia, wzdęcia (niestrawność), nudności</w:t>
      </w:r>
      <w:r w:rsidR="007D3D08" w:rsidRPr="009353E6">
        <w:rPr>
          <w:sz w:val="22"/>
          <w:szCs w:val="22"/>
          <w:lang w:val="pl-PL"/>
        </w:rPr>
        <w:t xml:space="preserve"> (wymioty)</w:t>
      </w:r>
      <w:r w:rsidRPr="009353E6">
        <w:rPr>
          <w:sz w:val="22"/>
          <w:szCs w:val="22"/>
          <w:lang w:val="pl-PL"/>
        </w:rPr>
        <w:t>,</w:t>
      </w:r>
      <w:r w:rsidR="00701864" w:rsidRPr="009353E6">
        <w:rPr>
          <w:sz w:val="22"/>
          <w:szCs w:val="22"/>
          <w:lang w:val="pl-PL"/>
        </w:rPr>
        <w:t xml:space="preserve"> </w:t>
      </w:r>
      <w:r w:rsidRPr="009353E6">
        <w:rPr>
          <w:sz w:val="22"/>
          <w:szCs w:val="22"/>
          <w:lang w:val="pl-PL"/>
        </w:rPr>
        <w:t xml:space="preserve">zapalenie błony śluzowej żołądka, </w:t>
      </w:r>
      <w:r w:rsidR="00701864" w:rsidRPr="009353E6">
        <w:rPr>
          <w:sz w:val="22"/>
          <w:szCs w:val="22"/>
          <w:lang w:val="pl-PL"/>
        </w:rPr>
        <w:t>nieprawidłowa czynność wątroby</w:t>
      </w:r>
      <w:r w:rsidR="00072513" w:rsidRPr="009353E6">
        <w:rPr>
          <w:sz w:val="22"/>
          <w:szCs w:val="22"/>
          <w:lang w:val="pl-PL"/>
        </w:rPr>
        <w:t xml:space="preserve"> (występuje częściej u pacjentów pochodzenia japońskiego)</w:t>
      </w:r>
      <w:r w:rsidRPr="009353E6">
        <w:rPr>
          <w:sz w:val="22"/>
          <w:szCs w:val="22"/>
          <w:lang w:val="pl-PL"/>
        </w:rPr>
        <w:t>,</w:t>
      </w:r>
      <w:r w:rsidR="00701864" w:rsidRPr="009353E6">
        <w:rPr>
          <w:sz w:val="22"/>
          <w:szCs w:val="22"/>
          <w:lang w:val="pl-PL"/>
        </w:rPr>
        <w:t xml:space="preserve"> zaczerwienienie skóry (rumień)</w:t>
      </w:r>
      <w:r w:rsidRPr="009353E6">
        <w:rPr>
          <w:sz w:val="22"/>
          <w:szCs w:val="22"/>
          <w:lang w:val="pl-PL"/>
        </w:rPr>
        <w:t>,</w:t>
      </w:r>
      <w:r w:rsidR="00701864" w:rsidRPr="009353E6">
        <w:rPr>
          <w:sz w:val="22"/>
          <w:szCs w:val="22"/>
          <w:lang w:val="pl-PL"/>
        </w:rPr>
        <w:t xml:space="preserve"> reakcje alergiczne, takie jak świąd lub wysypka</w:t>
      </w:r>
      <w:r w:rsidRPr="009353E6">
        <w:rPr>
          <w:sz w:val="22"/>
          <w:szCs w:val="22"/>
          <w:lang w:val="pl-PL"/>
        </w:rPr>
        <w:t>,</w:t>
      </w:r>
      <w:r w:rsidR="00701864" w:rsidRPr="009353E6">
        <w:rPr>
          <w:sz w:val="22"/>
          <w:szCs w:val="22"/>
          <w:lang w:val="pl-PL"/>
        </w:rPr>
        <w:t xml:space="preserve"> zwiększona potliwość, pokrzywka</w:t>
      </w:r>
      <w:r w:rsidRPr="009353E6">
        <w:rPr>
          <w:sz w:val="22"/>
          <w:szCs w:val="22"/>
          <w:lang w:val="pl-PL"/>
        </w:rPr>
        <w:t>,</w:t>
      </w:r>
      <w:r w:rsidR="00701864" w:rsidRPr="009353E6">
        <w:rPr>
          <w:sz w:val="22"/>
          <w:szCs w:val="22"/>
          <w:lang w:val="pl-PL"/>
        </w:rPr>
        <w:t xml:space="preserve"> ból stawów i ból kończyn, skurcze mięśni</w:t>
      </w:r>
      <w:r w:rsidRPr="009353E6">
        <w:rPr>
          <w:sz w:val="22"/>
          <w:szCs w:val="22"/>
          <w:lang w:val="pl-PL"/>
        </w:rPr>
        <w:t>,</w:t>
      </w:r>
      <w:r w:rsidR="00701864" w:rsidRPr="009353E6">
        <w:rPr>
          <w:sz w:val="22"/>
          <w:szCs w:val="22"/>
          <w:lang w:val="pl-PL"/>
        </w:rPr>
        <w:t xml:space="preserve"> objawy grypopodobne</w:t>
      </w:r>
      <w:r w:rsidRPr="009353E6">
        <w:rPr>
          <w:sz w:val="22"/>
          <w:szCs w:val="22"/>
          <w:lang w:val="pl-PL"/>
        </w:rPr>
        <w:t>,</w:t>
      </w:r>
      <w:r w:rsidR="00701864" w:rsidRPr="009353E6">
        <w:rPr>
          <w:sz w:val="22"/>
          <w:szCs w:val="22"/>
          <w:lang w:val="pl-PL"/>
        </w:rPr>
        <w:t xml:space="preserve"> ból</w:t>
      </w:r>
      <w:r w:rsidRPr="009353E6">
        <w:rPr>
          <w:sz w:val="22"/>
          <w:szCs w:val="22"/>
          <w:lang w:val="pl-PL"/>
        </w:rPr>
        <w:t>,</w:t>
      </w:r>
      <w:r w:rsidR="00B86290" w:rsidRPr="009353E6">
        <w:rPr>
          <w:sz w:val="22"/>
          <w:szCs w:val="22"/>
          <w:lang w:val="pl-PL"/>
        </w:rPr>
        <w:t xml:space="preserve"> </w:t>
      </w:r>
      <w:r w:rsidR="00701864" w:rsidRPr="009353E6">
        <w:rPr>
          <w:sz w:val="22"/>
          <w:szCs w:val="22"/>
          <w:lang w:val="pl-PL"/>
        </w:rPr>
        <w:t xml:space="preserve">małe stężenie sodu, zwiększone stężenie kreatyniny, zwiększona aktywność enzymów wątrobowych </w:t>
      </w:r>
      <w:r w:rsidR="007F3E2C" w:rsidRPr="009353E6">
        <w:rPr>
          <w:sz w:val="22"/>
          <w:szCs w:val="22"/>
          <w:lang w:val="pl-PL"/>
        </w:rPr>
        <w:t xml:space="preserve">lub </w:t>
      </w:r>
      <w:r w:rsidR="00701864" w:rsidRPr="009353E6">
        <w:rPr>
          <w:sz w:val="22"/>
          <w:szCs w:val="22"/>
          <w:lang w:val="pl-PL"/>
        </w:rPr>
        <w:t>fosfokinazy kreatynowej we krwi.</w:t>
      </w:r>
    </w:p>
    <w:p w:rsidR="00701864" w:rsidRPr="009353E6" w:rsidRDefault="00701864" w:rsidP="00F831F6">
      <w:pPr>
        <w:pStyle w:val="BodyText"/>
        <w:spacing w:line="240" w:lineRule="auto"/>
        <w:jc w:val="left"/>
        <w:rPr>
          <w:sz w:val="22"/>
          <w:szCs w:val="22"/>
          <w:lang w:val="pl-PL"/>
        </w:rPr>
      </w:pPr>
    </w:p>
    <w:p w:rsidR="00072513" w:rsidRPr="009353E6" w:rsidRDefault="00072513" w:rsidP="00072513">
      <w:pPr>
        <w:rPr>
          <w:lang w:val="pl-PL"/>
        </w:rPr>
      </w:pPr>
      <w:r w:rsidRPr="009353E6">
        <w:rPr>
          <w:sz w:val="22"/>
          <w:szCs w:val="22"/>
          <w:lang w:val="pl-PL"/>
        </w:rPr>
        <w:t xml:space="preserve">Działania niepożądane zgłaszane dla jednego ze składników mogą wystąpić również podczas terapii </w:t>
      </w:r>
      <w:r w:rsidR="00DF0C7E" w:rsidRPr="009353E6">
        <w:rPr>
          <w:sz w:val="22"/>
          <w:szCs w:val="22"/>
          <w:lang w:val="pl-PL"/>
        </w:rPr>
        <w:t>lekiem</w:t>
      </w:r>
      <w:r w:rsidRPr="009353E6">
        <w:rPr>
          <w:sz w:val="22"/>
          <w:szCs w:val="22"/>
          <w:lang w:val="pl-PL"/>
        </w:rPr>
        <w:t xml:space="preserve"> MicardisPlus, nawet jeśli nie stwierdzono ich podczas badań klinicznych produktu.   </w:t>
      </w:r>
    </w:p>
    <w:p w:rsidR="001A358A" w:rsidRPr="009353E6" w:rsidRDefault="001A358A" w:rsidP="00F831F6">
      <w:pPr>
        <w:pStyle w:val="BodyText"/>
        <w:spacing w:line="240" w:lineRule="auto"/>
        <w:jc w:val="left"/>
        <w:rPr>
          <w:b/>
          <w:sz w:val="22"/>
          <w:szCs w:val="22"/>
          <w:lang w:val="pl-PL"/>
        </w:rPr>
      </w:pPr>
    </w:p>
    <w:p w:rsidR="000A739F" w:rsidRPr="009353E6" w:rsidRDefault="000A739F" w:rsidP="00F831F6">
      <w:pPr>
        <w:pStyle w:val="BodyText"/>
        <w:spacing w:line="240" w:lineRule="auto"/>
        <w:jc w:val="left"/>
        <w:rPr>
          <w:b/>
          <w:sz w:val="22"/>
          <w:szCs w:val="22"/>
          <w:u w:val="single"/>
          <w:lang w:val="pl-PL"/>
        </w:rPr>
      </w:pPr>
      <w:r w:rsidRPr="009353E6">
        <w:rPr>
          <w:b/>
          <w:sz w:val="22"/>
          <w:szCs w:val="22"/>
          <w:u w:val="single"/>
          <w:lang w:val="pl-PL"/>
        </w:rPr>
        <w:t>Telmisartan</w:t>
      </w:r>
    </w:p>
    <w:p w:rsidR="000A739F" w:rsidRPr="009353E6" w:rsidRDefault="000A739F" w:rsidP="00F831F6">
      <w:pPr>
        <w:pStyle w:val="BodyText"/>
        <w:spacing w:line="240" w:lineRule="auto"/>
        <w:jc w:val="left"/>
        <w:rPr>
          <w:sz w:val="22"/>
          <w:szCs w:val="22"/>
          <w:lang w:val="pl-PL"/>
        </w:rPr>
      </w:pPr>
      <w:r w:rsidRPr="009353E6">
        <w:rPr>
          <w:sz w:val="22"/>
          <w:szCs w:val="22"/>
          <w:lang w:val="pl-PL"/>
        </w:rPr>
        <w:t>U pacjentów przyjmujących wyłącznie telmisartan, obserwowano dodatkowo następujące działania niepożądane</w:t>
      </w:r>
      <w:r w:rsidR="00891993"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72513" w:rsidRPr="009353E6" w:rsidRDefault="00072513" w:rsidP="00072513">
      <w:pPr>
        <w:rPr>
          <w:sz w:val="22"/>
          <w:szCs w:val="22"/>
          <w:lang w:val="pl-PL"/>
        </w:rPr>
      </w:pPr>
      <w:r w:rsidRPr="009353E6">
        <w:rPr>
          <w:sz w:val="22"/>
          <w:szCs w:val="22"/>
          <w:u w:val="single"/>
          <w:lang w:val="pl-PL"/>
        </w:rPr>
        <w:t>Niezbyt częste działania niepożądane</w:t>
      </w:r>
      <w:r w:rsidRPr="009353E6">
        <w:rPr>
          <w:sz w:val="22"/>
          <w:szCs w:val="22"/>
          <w:lang w:val="pl-PL"/>
        </w:rPr>
        <w:t xml:space="preserve"> (mogą wystąpić </w:t>
      </w:r>
      <w:r w:rsidR="00DB03B7" w:rsidRPr="009353E6">
        <w:rPr>
          <w:sz w:val="22"/>
          <w:szCs w:val="22"/>
          <w:lang w:val="pl-PL"/>
        </w:rPr>
        <w:t>do</w:t>
      </w:r>
      <w:r w:rsidRPr="009353E6">
        <w:rPr>
          <w:sz w:val="22"/>
          <w:szCs w:val="22"/>
          <w:lang w:val="pl-PL"/>
        </w:rPr>
        <w:t xml:space="preserve"> 1 na 100 pacjentów): </w:t>
      </w:r>
    </w:p>
    <w:p w:rsidR="00D2018C" w:rsidRPr="009353E6" w:rsidRDefault="00D2018C" w:rsidP="00D2018C">
      <w:pPr>
        <w:rPr>
          <w:sz w:val="22"/>
          <w:szCs w:val="22"/>
          <w:lang w:val="pl-PL"/>
        </w:rPr>
      </w:pPr>
      <w:r w:rsidRPr="009353E6">
        <w:rPr>
          <w:sz w:val="22"/>
          <w:szCs w:val="22"/>
          <w:lang w:val="pl-PL"/>
        </w:rPr>
        <w:t>Zakażenie górnych dróg oddechowych (np. ból gardła, zapalenie zatok, przeziębienie), zakażenia układu moczowego, za mała liczba krwinek czerwonych (niedokrwistość), duże stężenie potasu, wolna czynność serca (bradykardia), zaburzenie czynności nerek, w tym ostra niewydolność nerek, osłabienie</w:t>
      </w:r>
      <w:r w:rsidR="00072513" w:rsidRPr="009353E6">
        <w:rPr>
          <w:sz w:val="22"/>
          <w:szCs w:val="22"/>
          <w:lang w:val="pl-PL"/>
        </w:rPr>
        <w:t>, kaszel</w:t>
      </w:r>
      <w:r w:rsidRPr="009353E6">
        <w:rPr>
          <w:sz w:val="22"/>
          <w:szCs w:val="22"/>
          <w:lang w:val="pl-PL"/>
        </w:rPr>
        <w:t>.</w:t>
      </w:r>
    </w:p>
    <w:p w:rsidR="00F25724" w:rsidRPr="009353E6" w:rsidRDefault="00F25724" w:rsidP="00F25724">
      <w:pPr>
        <w:rPr>
          <w:sz w:val="22"/>
          <w:szCs w:val="22"/>
          <w:u w:val="single"/>
          <w:lang w:val="pl-PL"/>
        </w:rPr>
      </w:pPr>
    </w:p>
    <w:p w:rsidR="00072513" w:rsidRPr="009353E6" w:rsidRDefault="00072513" w:rsidP="00072513">
      <w:pPr>
        <w:rPr>
          <w:sz w:val="22"/>
          <w:szCs w:val="22"/>
          <w:lang w:val="pl-PL"/>
        </w:rPr>
      </w:pPr>
      <w:r w:rsidRPr="009353E6">
        <w:rPr>
          <w:sz w:val="22"/>
          <w:szCs w:val="22"/>
          <w:u w:val="single"/>
          <w:lang w:val="pl-PL"/>
        </w:rPr>
        <w:t>Rzadkie działania niepożądane</w:t>
      </w:r>
      <w:r w:rsidRPr="009353E6">
        <w:rPr>
          <w:sz w:val="22"/>
          <w:szCs w:val="22"/>
          <w:lang w:val="pl-PL"/>
        </w:rPr>
        <w:t xml:space="preserve"> (mogą wystąpić </w:t>
      </w:r>
      <w:r w:rsidR="006C51C3" w:rsidRPr="009353E6">
        <w:rPr>
          <w:sz w:val="22"/>
          <w:szCs w:val="22"/>
          <w:lang w:val="pl-PL"/>
        </w:rPr>
        <w:t>do</w:t>
      </w:r>
      <w:r w:rsidRPr="009353E6">
        <w:rPr>
          <w:sz w:val="22"/>
          <w:szCs w:val="22"/>
          <w:lang w:val="pl-PL"/>
        </w:rPr>
        <w:t xml:space="preserve"> 1 na 1000 pacjentów):</w:t>
      </w:r>
    </w:p>
    <w:p w:rsidR="00D2018C" w:rsidRPr="009353E6" w:rsidRDefault="00A1061F" w:rsidP="00D2018C">
      <w:pPr>
        <w:rPr>
          <w:sz w:val="22"/>
          <w:szCs w:val="22"/>
          <w:lang w:val="pl-PL"/>
        </w:rPr>
      </w:pPr>
      <w:r w:rsidRPr="009353E6">
        <w:rPr>
          <w:sz w:val="22"/>
          <w:szCs w:val="22"/>
          <w:lang w:val="pl-PL"/>
        </w:rPr>
        <w:t>M</w:t>
      </w:r>
      <w:r w:rsidR="00D2018C" w:rsidRPr="009353E6">
        <w:rPr>
          <w:sz w:val="22"/>
          <w:szCs w:val="22"/>
          <w:lang w:val="pl-PL"/>
        </w:rPr>
        <w:t xml:space="preserve">ała liczba płytek </w:t>
      </w:r>
      <w:r w:rsidR="00C370AC" w:rsidRPr="009353E6">
        <w:rPr>
          <w:sz w:val="22"/>
          <w:szCs w:val="22"/>
          <w:lang w:val="pl-PL"/>
        </w:rPr>
        <w:t xml:space="preserve">krwi </w:t>
      </w:r>
      <w:r w:rsidR="00D2018C" w:rsidRPr="009353E6">
        <w:rPr>
          <w:sz w:val="22"/>
          <w:szCs w:val="22"/>
          <w:lang w:val="pl-PL"/>
        </w:rPr>
        <w:t>(małopłytkowość), zwiększenie liczby niektórych krwinek białych (eozynofilia), ciężka reakcja alergiczna (np. nadwrażliwość, reakcja anafilaktyczna, wysypka polekowa), małe stężenie glukozy we krwi (u</w:t>
      </w:r>
      <w:r w:rsidR="006174C8" w:rsidRPr="009353E6">
        <w:rPr>
          <w:sz w:val="22"/>
          <w:szCs w:val="22"/>
          <w:lang w:val="pl-PL"/>
        </w:rPr>
        <w:t> </w:t>
      </w:r>
      <w:r w:rsidR="00D2018C" w:rsidRPr="009353E6">
        <w:rPr>
          <w:sz w:val="22"/>
          <w:szCs w:val="22"/>
          <w:lang w:val="pl-PL"/>
        </w:rPr>
        <w:t>pacjentów z cukrzycą), nieżyt żołądka, wyprysk (zaburzenie skóry), zwyrodnienie stawów, zapalenie ścięgien, zmniejszone stężenie hemoglobiny (białka krwi)</w:t>
      </w:r>
      <w:r w:rsidR="00072513" w:rsidRPr="009353E6">
        <w:rPr>
          <w:sz w:val="22"/>
          <w:szCs w:val="22"/>
          <w:lang w:val="pl-PL"/>
        </w:rPr>
        <w:t>, senność</w:t>
      </w:r>
      <w:r w:rsidR="00D2018C" w:rsidRPr="009353E6">
        <w:rPr>
          <w:sz w:val="22"/>
          <w:szCs w:val="22"/>
          <w:lang w:val="pl-PL"/>
        </w:rPr>
        <w:t>.</w:t>
      </w:r>
    </w:p>
    <w:p w:rsidR="00F25724" w:rsidRPr="009353E6" w:rsidRDefault="00F25724" w:rsidP="00F25724">
      <w:pPr>
        <w:rPr>
          <w:sz w:val="22"/>
          <w:szCs w:val="22"/>
          <w:u w:val="single"/>
          <w:lang w:val="pl-PL"/>
        </w:rPr>
      </w:pPr>
    </w:p>
    <w:p w:rsidR="00072513" w:rsidRPr="009353E6" w:rsidRDefault="00072513" w:rsidP="00072513">
      <w:pPr>
        <w:rPr>
          <w:sz w:val="22"/>
          <w:szCs w:val="22"/>
          <w:lang w:val="pl-PL"/>
        </w:rPr>
      </w:pPr>
      <w:r w:rsidRPr="009353E6">
        <w:rPr>
          <w:sz w:val="22"/>
          <w:szCs w:val="22"/>
          <w:u w:val="single"/>
          <w:lang w:val="pl-PL"/>
        </w:rPr>
        <w:t>Bardzo rzadkie działania niepożądane</w:t>
      </w:r>
      <w:r w:rsidRPr="009353E6">
        <w:rPr>
          <w:sz w:val="22"/>
          <w:szCs w:val="22"/>
          <w:lang w:val="pl-PL"/>
        </w:rPr>
        <w:t xml:space="preserve"> </w:t>
      </w:r>
      <w:r w:rsidRPr="009353E6">
        <w:rPr>
          <w:rFonts w:eastAsia="SimSun"/>
          <w:sz w:val="22"/>
          <w:szCs w:val="22"/>
          <w:lang w:val="pl-PL" w:eastAsia="zh-CN"/>
        </w:rPr>
        <w:t xml:space="preserve">(mogą wystąpić </w:t>
      </w:r>
      <w:r w:rsidR="00DB03B7" w:rsidRPr="009353E6">
        <w:rPr>
          <w:rFonts w:eastAsia="SimSun"/>
          <w:sz w:val="22"/>
          <w:szCs w:val="22"/>
          <w:lang w:val="pl-PL" w:eastAsia="zh-CN"/>
        </w:rPr>
        <w:t>do</w:t>
      </w:r>
      <w:r w:rsidRPr="009353E6">
        <w:rPr>
          <w:rFonts w:eastAsia="SimSun"/>
          <w:sz w:val="22"/>
          <w:szCs w:val="22"/>
          <w:lang w:val="pl-PL" w:eastAsia="zh-CN"/>
        </w:rPr>
        <w:t xml:space="preserve"> 1 na 10 000 </w:t>
      </w:r>
      <w:r w:rsidR="0001616F" w:rsidRPr="009353E6">
        <w:rPr>
          <w:rFonts w:eastAsia="SimSun"/>
          <w:sz w:val="22"/>
          <w:szCs w:val="22"/>
          <w:lang w:val="pl-PL" w:eastAsia="zh-CN"/>
        </w:rPr>
        <w:t>pacjentów</w:t>
      </w:r>
      <w:r w:rsidRPr="009353E6">
        <w:rPr>
          <w:rFonts w:eastAsia="SimSun"/>
          <w:sz w:val="22"/>
          <w:szCs w:val="22"/>
          <w:lang w:val="pl-PL" w:eastAsia="zh-CN"/>
        </w:rPr>
        <w:t>)</w:t>
      </w:r>
      <w:r w:rsidRPr="009353E6">
        <w:rPr>
          <w:sz w:val="22"/>
          <w:szCs w:val="22"/>
          <w:lang w:val="pl-PL"/>
        </w:rPr>
        <w:t>:</w:t>
      </w:r>
    </w:p>
    <w:p w:rsidR="00072513" w:rsidRPr="009353E6" w:rsidRDefault="00072513" w:rsidP="00072513">
      <w:pPr>
        <w:rPr>
          <w:sz w:val="22"/>
          <w:szCs w:val="22"/>
          <w:lang w:val="pl-PL"/>
        </w:rPr>
      </w:pPr>
      <w:r w:rsidRPr="009353E6">
        <w:rPr>
          <w:sz w:val="22"/>
          <w:szCs w:val="22"/>
          <w:lang w:val="pl-PL"/>
        </w:rPr>
        <w:t>Postępujące bliznowacenie pęcherzyków płucnych (śródmiąższowa choroba płuc)**</w:t>
      </w:r>
    </w:p>
    <w:p w:rsidR="00F25724" w:rsidRPr="009353E6" w:rsidRDefault="00F25724" w:rsidP="00F25724">
      <w:pPr>
        <w:rPr>
          <w:sz w:val="22"/>
          <w:szCs w:val="22"/>
          <w:lang w:val="pl-PL"/>
        </w:rPr>
      </w:pPr>
      <w:r w:rsidRPr="009353E6">
        <w:rPr>
          <w:sz w:val="22"/>
          <w:szCs w:val="22"/>
          <w:lang w:val="pl-PL"/>
        </w:rPr>
        <w:t>*Zjawisko to może być przypadkowe lub związane z mechanizmem, który nie został jeszcze poznany.</w:t>
      </w:r>
    </w:p>
    <w:p w:rsidR="00072513" w:rsidRPr="009353E6" w:rsidRDefault="00072513" w:rsidP="00072513">
      <w:pPr>
        <w:rPr>
          <w:sz w:val="22"/>
          <w:szCs w:val="22"/>
          <w:lang w:val="pl-PL"/>
        </w:rPr>
      </w:pPr>
    </w:p>
    <w:p w:rsidR="00072513" w:rsidRPr="009353E6" w:rsidRDefault="00072513" w:rsidP="00072513">
      <w:pPr>
        <w:rPr>
          <w:sz w:val="22"/>
          <w:szCs w:val="22"/>
          <w:lang w:val="pl-PL"/>
        </w:rPr>
      </w:pPr>
      <w:r w:rsidRPr="009353E6">
        <w:rPr>
          <w:sz w:val="22"/>
          <w:szCs w:val="22"/>
          <w:lang w:val="pl-PL"/>
        </w:rPr>
        <w:t>**</w:t>
      </w:r>
      <w:r w:rsidR="0047605B" w:rsidRPr="009353E6">
        <w:rPr>
          <w:sz w:val="22"/>
          <w:szCs w:val="22"/>
          <w:lang w:val="pl-PL"/>
        </w:rPr>
        <w:t>Z</w:t>
      </w:r>
      <w:r w:rsidRPr="009353E6">
        <w:rPr>
          <w:sz w:val="22"/>
          <w:szCs w:val="22"/>
          <w:lang w:val="pl-PL"/>
        </w:rPr>
        <w:t xml:space="preserve">głaszano przypadki śródmiąższowej choroby płuc pozostające w związku czasowym z przyjmowaniem telmisartanu. Nie ustalono jednak związku przyczynowego. </w:t>
      </w:r>
    </w:p>
    <w:p w:rsidR="000A739F" w:rsidRPr="009353E6" w:rsidRDefault="000A739F" w:rsidP="00F831F6">
      <w:pPr>
        <w:pStyle w:val="BodyText"/>
        <w:spacing w:line="240" w:lineRule="auto"/>
        <w:jc w:val="left"/>
        <w:rPr>
          <w:sz w:val="22"/>
          <w:szCs w:val="22"/>
          <w:lang w:val="pl-PL"/>
        </w:rPr>
      </w:pPr>
    </w:p>
    <w:p w:rsidR="000A739F" w:rsidRPr="009353E6" w:rsidRDefault="000A739F" w:rsidP="00E40CF2">
      <w:pPr>
        <w:pStyle w:val="BodyText"/>
        <w:keepNext/>
        <w:spacing w:line="240" w:lineRule="auto"/>
        <w:jc w:val="left"/>
        <w:rPr>
          <w:b/>
          <w:sz w:val="22"/>
          <w:szCs w:val="22"/>
          <w:u w:val="single"/>
          <w:lang w:val="pl-PL"/>
        </w:rPr>
      </w:pPr>
      <w:r w:rsidRPr="009353E6">
        <w:rPr>
          <w:b/>
          <w:sz w:val="22"/>
          <w:szCs w:val="22"/>
          <w:u w:val="single"/>
          <w:lang w:val="pl-PL"/>
        </w:rPr>
        <w:t>Hydrochlorotiazyd</w:t>
      </w:r>
    </w:p>
    <w:p w:rsidR="000A739F" w:rsidRPr="009353E6" w:rsidRDefault="000A739F" w:rsidP="00E40CF2">
      <w:pPr>
        <w:pStyle w:val="BodyText"/>
        <w:keepNext/>
        <w:spacing w:line="240" w:lineRule="auto"/>
        <w:jc w:val="left"/>
        <w:rPr>
          <w:sz w:val="22"/>
          <w:szCs w:val="22"/>
          <w:lang w:val="pl-PL"/>
        </w:rPr>
      </w:pPr>
      <w:r w:rsidRPr="009353E6">
        <w:rPr>
          <w:sz w:val="22"/>
          <w:szCs w:val="22"/>
          <w:lang w:val="pl-PL"/>
        </w:rPr>
        <w:t>U pacjentów przyjmujących wyłącznie hydrochlorotiazyd obserwowano dodatkowe następujące działania niepożądane:</w:t>
      </w:r>
    </w:p>
    <w:p w:rsidR="000A739F" w:rsidRPr="009353E6" w:rsidRDefault="000A739F" w:rsidP="00E40CF2">
      <w:pPr>
        <w:pStyle w:val="BodyText"/>
        <w:keepNext/>
        <w:spacing w:line="240" w:lineRule="auto"/>
        <w:jc w:val="left"/>
        <w:rPr>
          <w:sz w:val="22"/>
          <w:szCs w:val="22"/>
          <w:lang w:val="pl-PL"/>
        </w:rPr>
      </w:pPr>
    </w:p>
    <w:p w:rsidR="00F062A5" w:rsidRPr="009353E6" w:rsidRDefault="00F062A5" w:rsidP="00E40CF2">
      <w:pPr>
        <w:keepNext/>
        <w:rPr>
          <w:sz w:val="22"/>
          <w:szCs w:val="22"/>
          <w:lang w:val="pl-PL"/>
        </w:rPr>
      </w:pPr>
      <w:r w:rsidRPr="009353E6">
        <w:rPr>
          <w:sz w:val="22"/>
          <w:szCs w:val="22"/>
          <w:u w:val="single"/>
          <w:lang w:val="pl-PL"/>
        </w:rPr>
        <w:t>Częste działania niepożądane (mogą wystąpić do 1 na 10 </w:t>
      </w:r>
      <w:r w:rsidR="003B18A3" w:rsidRPr="009353E6">
        <w:rPr>
          <w:sz w:val="22"/>
          <w:szCs w:val="22"/>
          <w:u w:val="single"/>
          <w:lang w:val="pl-PL"/>
        </w:rPr>
        <w:t>pacjentów):</w:t>
      </w:r>
    </w:p>
    <w:p w:rsidR="00F062A5" w:rsidRPr="009353E6" w:rsidRDefault="00F062A5" w:rsidP="00F062A5">
      <w:pPr>
        <w:rPr>
          <w:sz w:val="22"/>
          <w:szCs w:val="22"/>
          <w:lang w:val="pl-PL"/>
        </w:rPr>
      </w:pPr>
      <w:r w:rsidRPr="009353E6">
        <w:rPr>
          <w:sz w:val="22"/>
          <w:szCs w:val="22"/>
          <w:lang w:val="pl-PL"/>
        </w:rPr>
        <w:t>Nudności, małe stężenie magnezu we krwi.</w:t>
      </w:r>
    </w:p>
    <w:p w:rsidR="00F062A5" w:rsidRPr="009353E6" w:rsidRDefault="00F062A5" w:rsidP="00F062A5">
      <w:pPr>
        <w:rPr>
          <w:sz w:val="22"/>
          <w:szCs w:val="22"/>
          <w:u w:val="single"/>
          <w:lang w:val="pl-PL"/>
        </w:rPr>
      </w:pPr>
    </w:p>
    <w:p w:rsidR="00F062A5" w:rsidRPr="009353E6" w:rsidRDefault="00F062A5" w:rsidP="005E3A9A">
      <w:pPr>
        <w:keepNext/>
        <w:rPr>
          <w:sz w:val="22"/>
          <w:szCs w:val="22"/>
          <w:lang w:val="pl-PL"/>
        </w:rPr>
      </w:pPr>
      <w:r w:rsidRPr="009353E6">
        <w:rPr>
          <w:sz w:val="22"/>
          <w:szCs w:val="22"/>
          <w:u w:val="single"/>
          <w:lang w:val="pl-PL"/>
        </w:rPr>
        <w:t>Rzadkie działania niepożądane (mogą wystąpić do 1 na 1000 pacjentów):</w:t>
      </w:r>
    </w:p>
    <w:p w:rsidR="00F062A5" w:rsidRPr="009353E6" w:rsidRDefault="00F062A5" w:rsidP="00F062A5">
      <w:pPr>
        <w:rPr>
          <w:sz w:val="22"/>
          <w:szCs w:val="22"/>
          <w:lang w:val="pl-PL"/>
        </w:rPr>
      </w:pPr>
      <w:r w:rsidRPr="009353E6">
        <w:rPr>
          <w:sz w:val="22"/>
          <w:szCs w:val="22"/>
          <w:lang w:val="pl-PL"/>
        </w:rPr>
        <w:t>Zmniejszenie liczby płytek krwi, przez co wzrasta ryzyko wystąpienia krwawień lub siniaków (niewielkie, fioletowo-czerwone zmiany na skórze lub w innych tkankach, spowodowane przez krwawienie), duże stężenie wapnia we krwi, ból głowy.</w:t>
      </w:r>
    </w:p>
    <w:p w:rsidR="00F062A5" w:rsidRPr="009353E6" w:rsidRDefault="00F062A5" w:rsidP="00F062A5">
      <w:pPr>
        <w:rPr>
          <w:sz w:val="22"/>
          <w:szCs w:val="22"/>
          <w:u w:val="single"/>
          <w:lang w:val="pl-PL"/>
        </w:rPr>
      </w:pPr>
    </w:p>
    <w:p w:rsidR="00F062A5" w:rsidRPr="009353E6" w:rsidRDefault="00F062A5" w:rsidP="005E3A9A">
      <w:pPr>
        <w:keepNext/>
        <w:rPr>
          <w:sz w:val="22"/>
          <w:szCs w:val="22"/>
          <w:lang w:val="pl-PL"/>
        </w:rPr>
      </w:pPr>
      <w:r w:rsidRPr="009353E6">
        <w:rPr>
          <w:sz w:val="22"/>
          <w:szCs w:val="22"/>
          <w:u w:val="single"/>
          <w:lang w:val="pl-PL"/>
        </w:rPr>
        <w:t xml:space="preserve">Bardzo rzadkie działania niepożądane </w:t>
      </w:r>
      <w:r w:rsidRPr="009353E6">
        <w:rPr>
          <w:rFonts w:eastAsia="SimSun"/>
          <w:sz w:val="22"/>
          <w:szCs w:val="22"/>
          <w:u w:val="single"/>
          <w:lang w:val="pl-PL" w:eastAsia="zh-CN"/>
        </w:rPr>
        <w:t>(mogą wystąpić do 1 na 10 000 pacjentów)</w:t>
      </w:r>
      <w:r w:rsidRPr="009353E6">
        <w:rPr>
          <w:sz w:val="22"/>
          <w:szCs w:val="22"/>
          <w:u w:val="single"/>
          <w:lang w:val="pl-PL"/>
        </w:rPr>
        <w:t>:</w:t>
      </w:r>
    </w:p>
    <w:p w:rsidR="00F062A5" w:rsidRPr="009353E6" w:rsidRDefault="00FA76EA" w:rsidP="00F062A5">
      <w:pPr>
        <w:rPr>
          <w:sz w:val="22"/>
          <w:szCs w:val="22"/>
          <w:lang w:val="pl-PL"/>
        </w:rPr>
      </w:pPr>
      <w:r w:rsidRPr="009353E6">
        <w:rPr>
          <w:sz w:val="22"/>
          <w:szCs w:val="22"/>
          <w:lang w:val="pl-PL"/>
        </w:rPr>
        <w:t>W</w:t>
      </w:r>
      <w:r w:rsidR="00F062A5" w:rsidRPr="009353E6">
        <w:rPr>
          <w:sz w:val="22"/>
          <w:szCs w:val="22"/>
          <w:lang w:val="pl-PL"/>
        </w:rPr>
        <w:t>zrost pH (zakłócona równowaga kwasowo-zasadowa) ze względu na małe stężenie chlorków we krwi.</w:t>
      </w:r>
    </w:p>
    <w:p w:rsidR="00F062A5" w:rsidRPr="009353E6" w:rsidRDefault="00F062A5" w:rsidP="00F062A5">
      <w:pPr>
        <w:rPr>
          <w:sz w:val="22"/>
          <w:szCs w:val="22"/>
          <w:lang w:val="pl-PL"/>
        </w:rPr>
      </w:pPr>
    </w:p>
    <w:p w:rsidR="00072513" w:rsidRPr="009353E6" w:rsidRDefault="00072513" w:rsidP="00072513">
      <w:pPr>
        <w:tabs>
          <w:tab w:val="center" w:pos="10224"/>
          <w:tab w:val="left" w:pos="10800"/>
          <w:tab w:val="left" w:pos="11088"/>
        </w:tabs>
        <w:rPr>
          <w:sz w:val="22"/>
          <w:szCs w:val="22"/>
          <w:u w:val="single"/>
          <w:lang w:val="pl-PL"/>
        </w:rPr>
      </w:pPr>
      <w:r w:rsidRPr="009353E6">
        <w:rPr>
          <w:sz w:val="22"/>
          <w:szCs w:val="22"/>
          <w:u w:val="single"/>
          <w:lang w:val="pl-PL"/>
        </w:rPr>
        <w:t xml:space="preserve">Działania niepożądane o nieznanej częstości występowania </w:t>
      </w:r>
      <w:r w:rsidRPr="009353E6">
        <w:rPr>
          <w:rFonts w:eastAsia="SimSun"/>
          <w:sz w:val="22"/>
          <w:szCs w:val="22"/>
          <w:u w:val="single"/>
          <w:lang w:val="pl-PL" w:eastAsia="zh-CN"/>
        </w:rPr>
        <w:t>(</w:t>
      </w:r>
      <w:r w:rsidR="00FD2538" w:rsidRPr="009353E6">
        <w:rPr>
          <w:rFonts w:eastAsia="SimSun"/>
          <w:sz w:val="22"/>
          <w:szCs w:val="22"/>
          <w:u w:val="single"/>
          <w:lang w:val="pl-PL" w:eastAsia="zh-CN"/>
        </w:rPr>
        <w:t>cz</w:t>
      </w:r>
      <w:r w:rsidR="003A5066" w:rsidRPr="009353E6">
        <w:rPr>
          <w:rFonts w:eastAsia="SimSun"/>
          <w:sz w:val="22"/>
          <w:szCs w:val="22"/>
          <w:u w:val="single"/>
          <w:lang w:val="pl-PL" w:eastAsia="zh-CN"/>
        </w:rPr>
        <w:t>ę</w:t>
      </w:r>
      <w:r w:rsidR="00FD2538" w:rsidRPr="009353E6">
        <w:rPr>
          <w:rFonts w:eastAsia="SimSun"/>
          <w:sz w:val="22"/>
          <w:szCs w:val="22"/>
          <w:u w:val="single"/>
          <w:lang w:val="pl-PL" w:eastAsia="zh-CN"/>
        </w:rPr>
        <w:t xml:space="preserve">stość </w:t>
      </w:r>
      <w:r w:rsidRPr="009353E6">
        <w:rPr>
          <w:rFonts w:eastAsia="SimSun"/>
          <w:sz w:val="22"/>
          <w:szCs w:val="22"/>
          <w:u w:val="single"/>
          <w:lang w:val="pl-PL" w:eastAsia="zh-CN"/>
        </w:rPr>
        <w:t>niemożliwa do oszacowania na podstawie dostępnych danych)</w:t>
      </w:r>
      <w:r w:rsidRPr="009353E6">
        <w:rPr>
          <w:sz w:val="22"/>
          <w:szCs w:val="22"/>
          <w:u w:val="single"/>
          <w:lang w:val="pl-PL"/>
        </w:rPr>
        <w:t>:</w:t>
      </w:r>
    </w:p>
    <w:p w:rsidR="00701864" w:rsidRPr="009353E6" w:rsidRDefault="00701864" w:rsidP="00F831F6">
      <w:pPr>
        <w:pStyle w:val="BodyText"/>
        <w:spacing w:line="240" w:lineRule="auto"/>
        <w:jc w:val="left"/>
        <w:rPr>
          <w:sz w:val="22"/>
          <w:szCs w:val="22"/>
          <w:lang w:val="pl-PL"/>
        </w:rPr>
      </w:pPr>
      <w:r w:rsidRPr="009353E6">
        <w:rPr>
          <w:sz w:val="22"/>
          <w:szCs w:val="22"/>
          <w:lang w:val="pl-PL"/>
        </w:rPr>
        <w:t xml:space="preserve">Zapalenie ślinianek, </w:t>
      </w:r>
      <w:r w:rsidR="00F1692E" w:rsidRPr="009353E6">
        <w:rPr>
          <w:sz w:val="22"/>
          <w:szCs w:val="22"/>
          <w:lang w:val="pl-PL"/>
        </w:rPr>
        <w:t xml:space="preserve">nowotwory złośliwe skóry i warg (nieczerniakowe nowotwory złośliwe skóry), </w:t>
      </w:r>
      <w:r w:rsidRPr="009353E6">
        <w:rPr>
          <w:sz w:val="22"/>
          <w:szCs w:val="22"/>
          <w:lang w:val="pl-PL"/>
        </w:rPr>
        <w:t>zmniejszenie liczby</w:t>
      </w:r>
      <w:r w:rsidR="007C0043" w:rsidRPr="009353E6">
        <w:rPr>
          <w:sz w:val="22"/>
          <w:szCs w:val="22"/>
          <w:lang w:val="pl-PL"/>
        </w:rPr>
        <w:t xml:space="preserve"> (lub nawet brak)</w:t>
      </w:r>
      <w:r w:rsidRPr="009353E6">
        <w:rPr>
          <w:sz w:val="22"/>
          <w:szCs w:val="22"/>
          <w:lang w:val="pl-PL"/>
        </w:rPr>
        <w:t xml:space="preserve"> krwinek, w tym mała ilość czerwonych i białych krwinek, ciężkie reakcje alergiczne (np. nadwrażliwość, re</w:t>
      </w:r>
      <w:r w:rsidR="003A5066" w:rsidRPr="009353E6">
        <w:rPr>
          <w:sz w:val="22"/>
          <w:szCs w:val="22"/>
          <w:lang w:val="pl-PL"/>
        </w:rPr>
        <w:t>a</w:t>
      </w:r>
      <w:r w:rsidRPr="009353E6">
        <w:rPr>
          <w:sz w:val="22"/>
          <w:szCs w:val="22"/>
          <w:lang w:val="pl-PL"/>
        </w:rPr>
        <w:t>kcje anafilaktyczne),</w:t>
      </w:r>
      <w:r w:rsidR="00C370AC" w:rsidRPr="009353E6">
        <w:rPr>
          <w:sz w:val="22"/>
          <w:szCs w:val="22"/>
          <w:lang w:val="pl-PL"/>
        </w:rPr>
        <w:t xml:space="preserve"> </w:t>
      </w:r>
      <w:r w:rsidRPr="009353E6">
        <w:rPr>
          <w:sz w:val="22"/>
          <w:szCs w:val="22"/>
          <w:lang w:val="pl-PL"/>
        </w:rPr>
        <w:t>zmniejszenie lub utrata apetytu</w:t>
      </w:r>
      <w:r w:rsidR="007F5F31" w:rsidRPr="009353E6">
        <w:rPr>
          <w:sz w:val="22"/>
          <w:szCs w:val="22"/>
          <w:lang w:val="pl-PL"/>
        </w:rPr>
        <w:t>,</w:t>
      </w:r>
      <w:r w:rsidRPr="009353E6">
        <w:rPr>
          <w:sz w:val="22"/>
          <w:szCs w:val="22"/>
          <w:lang w:val="pl-PL"/>
        </w:rPr>
        <w:t xml:space="preserve"> niepokój, </w:t>
      </w:r>
      <w:r w:rsidR="00A834E9" w:rsidRPr="009353E6">
        <w:rPr>
          <w:sz w:val="22"/>
          <w:szCs w:val="22"/>
          <w:lang w:val="pl-PL"/>
        </w:rPr>
        <w:t>uczucie pustki w głowie</w:t>
      </w:r>
      <w:r w:rsidR="007F5F31" w:rsidRPr="009353E6">
        <w:rPr>
          <w:sz w:val="22"/>
          <w:szCs w:val="22"/>
          <w:lang w:val="pl-PL"/>
        </w:rPr>
        <w:t>,</w:t>
      </w:r>
      <w:r w:rsidR="006457EB" w:rsidRPr="009353E6">
        <w:rPr>
          <w:sz w:val="22"/>
          <w:szCs w:val="22"/>
          <w:lang w:val="pl-PL"/>
        </w:rPr>
        <w:t xml:space="preserve"> niewyraźne widz</w:t>
      </w:r>
      <w:r w:rsidRPr="009353E6">
        <w:rPr>
          <w:sz w:val="22"/>
          <w:szCs w:val="22"/>
          <w:lang w:val="pl-PL"/>
        </w:rPr>
        <w:t>enie lub widzenie na żółto</w:t>
      </w:r>
      <w:r w:rsidR="007F5F31" w:rsidRPr="009353E6">
        <w:rPr>
          <w:sz w:val="22"/>
          <w:szCs w:val="22"/>
          <w:lang w:val="pl-PL"/>
        </w:rPr>
        <w:t>,</w:t>
      </w:r>
      <w:r w:rsidRPr="009353E6">
        <w:rPr>
          <w:sz w:val="22"/>
          <w:szCs w:val="22"/>
          <w:lang w:val="pl-PL"/>
        </w:rPr>
        <w:t xml:space="preserve"> </w:t>
      </w:r>
      <w:r w:rsidR="00836E05" w:rsidRPr="009353E6">
        <w:rPr>
          <w:rFonts w:eastAsia="MS Mincho"/>
          <w:sz w:val="22"/>
          <w:szCs w:val="22"/>
          <w:lang w:val="pl-PL" w:eastAsia="ja-JP"/>
        </w:rPr>
        <w:t xml:space="preserve">ograniczenie widzenia i ból oczu (prawdopodobnie objawy </w:t>
      </w:r>
      <w:r w:rsidR="007572B2" w:rsidRPr="009353E6">
        <w:rPr>
          <w:rFonts w:eastAsia="MS Mincho"/>
          <w:sz w:val="22"/>
          <w:szCs w:val="22"/>
          <w:lang w:val="pl-PL" w:eastAsia="ja-JP"/>
        </w:rPr>
        <w:t xml:space="preserve">gromadzenia się płynu w unaczynionej błonie otaczającej oko — nadmiernego nagromadzenia płynu między naczyniówką a twardówką — lub </w:t>
      </w:r>
      <w:r w:rsidR="00A50023" w:rsidRPr="009353E6">
        <w:rPr>
          <w:rFonts w:eastAsia="MS Mincho"/>
          <w:sz w:val="22"/>
          <w:szCs w:val="22"/>
          <w:lang w:val="pl-PL" w:eastAsia="ja-JP"/>
        </w:rPr>
        <w:t xml:space="preserve">ostrej krótkowzroczności lub </w:t>
      </w:r>
      <w:r w:rsidR="00836E05" w:rsidRPr="009353E6">
        <w:rPr>
          <w:rFonts w:eastAsia="MS Mincho"/>
          <w:sz w:val="22"/>
          <w:szCs w:val="22"/>
          <w:lang w:val="pl-PL" w:eastAsia="ja-JP"/>
        </w:rPr>
        <w:t>ostrej jaskry z zamkniętym kątem przesączania</w:t>
      </w:r>
      <w:r w:rsidR="0001616F" w:rsidRPr="009353E6">
        <w:rPr>
          <w:rFonts w:eastAsia="MS Mincho"/>
          <w:sz w:val="22"/>
          <w:szCs w:val="22"/>
          <w:lang w:val="pl-PL" w:eastAsia="ja-JP"/>
        </w:rPr>
        <w:t xml:space="preserve">), </w:t>
      </w:r>
      <w:r w:rsidR="007F5F31" w:rsidRPr="009353E6">
        <w:rPr>
          <w:sz w:val="22"/>
          <w:szCs w:val="22"/>
          <w:lang w:val="pl-PL"/>
        </w:rPr>
        <w:t xml:space="preserve">zapalenie naczyń krwionośnych (nekrolizujace zapalenie naczyń), </w:t>
      </w:r>
      <w:r w:rsidRPr="009353E6">
        <w:rPr>
          <w:sz w:val="22"/>
          <w:szCs w:val="22"/>
          <w:lang w:val="pl-PL"/>
        </w:rPr>
        <w:t xml:space="preserve">zapalenie trzustki, nieżyt żołądka, zażółcenie skóry lub oczu (żółtaczka), </w:t>
      </w:r>
      <w:r w:rsidR="00C47D2D" w:rsidRPr="009353E6">
        <w:rPr>
          <w:sz w:val="22"/>
          <w:szCs w:val="22"/>
          <w:lang w:val="pl-PL"/>
        </w:rPr>
        <w:t xml:space="preserve">zespół </w:t>
      </w:r>
      <w:r w:rsidR="00891993" w:rsidRPr="009353E6">
        <w:rPr>
          <w:sz w:val="22"/>
          <w:szCs w:val="22"/>
          <w:lang w:val="pl-PL"/>
        </w:rPr>
        <w:t>o typie tocznia</w:t>
      </w:r>
      <w:r w:rsidR="00C47D2D" w:rsidRPr="009353E6">
        <w:rPr>
          <w:sz w:val="22"/>
          <w:szCs w:val="22"/>
          <w:lang w:val="pl-PL"/>
        </w:rPr>
        <w:t xml:space="preserve"> (choroba naśladująca toczeń rumieniowaty układowy, w którym organizm jest atakowany przez własny układ odpornościowy),</w:t>
      </w:r>
      <w:r w:rsidR="0001616F" w:rsidRPr="009353E6">
        <w:rPr>
          <w:sz w:val="22"/>
          <w:szCs w:val="22"/>
          <w:lang w:val="pl-PL"/>
        </w:rPr>
        <w:t xml:space="preserve"> </w:t>
      </w:r>
      <w:r w:rsidRPr="009353E6">
        <w:rPr>
          <w:sz w:val="22"/>
          <w:szCs w:val="22"/>
          <w:lang w:val="pl-PL"/>
        </w:rPr>
        <w:t>zaburzenia skóry, takie jak zapalenie naczyń krwionośnych w skórze</w:t>
      </w:r>
      <w:r w:rsidR="00DA6B80" w:rsidRPr="009353E6">
        <w:rPr>
          <w:sz w:val="22"/>
          <w:szCs w:val="22"/>
          <w:lang w:val="pl-PL"/>
        </w:rPr>
        <w:t>,</w:t>
      </w:r>
      <w:r w:rsidRPr="009353E6">
        <w:rPr>
          <w:sz w:val="22"/>
          <w:szCs w:val="22"/>
          <w:lang w:val="pl-PL"/>
        </w:rPr>
        <w:t xml:space="preserve"> zwiększona wrażliwość na światło słoneczne</w:t>
      </w:r>
      <w:r w:rsidR="007305E2" w:rsidRPr="009353E6">
        <w:rPr>
          <w:sz w:val="22"/>
          <w:szCs w:val="22"/>
          <w:lang w:val="pl-PL"/>
        </w:rPr>
        <w:t>,</w:t>
      </w:r>
      <w:r w:rsidRPr="009353E6">
        <w:rPr>
          <w:sz w:val="22"/>
          <w:szCs w:val="22"/>
          <w:lang w:val="pl-PL"/>
        </w:rPr>
        <w:t xml:space="preserve"> </w:t>
      </w:r>
      <w:r w:rsidR="007C0043" w:rsidRPr="009353E6">
        <w:rPr>
          <w:sz w:val="22"/>
          <w:szCs w:val="22"/>
          <w:lang w:val="pl-PL"/>
        </w:rPr>
        <w:t xml:space="preserve">wysypka, zaczerwienienie skóry, powstawanie pęcherzy na wargach, oczach i ustach, łuszczenie </w:t>
      </w:r>
      <w:r w:rsidR="00F4609A" w:rsidRPr="009353E6">
        <w:rPr>
          <w:sz w:val="22"/>
          <w:szCs w:val="22"/>
          <w:lang w:val="pl-PL"/>
        </w:rPr>
        <w:t xml:space="preserve">się </w:t>
      </w:r>
      <w:r w:rsidR="007C0043" w:rsidRPr="009353E6">
        <w:rPr>
          <w:sz w:val="22"/>
          <w:szCs w:val="22"/>
          <w:lang w:val="pl-PL"/>
        </w:rPr>
        <w:t xml:space="preserve">skóry, gorączka (możliwe objawy rumienia wielopostaciowego), </w:t>
      </w:r>
      <w:r w:rsidR="00DA6B80" w:rsidRPr="009353E6">
        <w:rPr>
          <w:sz w:val="22"/>
          <w:szCs w:val="22"/>
          <w:lang w:val="pl-PL"/>
        </w:rPr>
        <w:t xml:space="preserve">osłabienie, </w:t>
      </w:r>
      <w:r w:rsidRPr="009353E6">
        <w:rPr>
          <w:sz w:val="22"/>
          <w:szCs w:val="22"/>
          <w:lang w:val="pl-PL"/>
        </w:rPr>
        <w:t>zapalenie nerek lub zaburzenia czynności nerek</w:t>
      </w:r>
      <w:r w:rsidR="00DA6B80" w:rsidRPr="009353E6">
        <w:rPr>
          <w:sz w:val="22"/>
          <w:szCs w:val="22"/>
          <w:lang w:val="pl-PL"/>
        </w:rPr>
        <w:t>,</w:t>
      </w:r>
      <w:r w:rsidRPr="009353E6">
        <w:rPr>
          <w:sz w:val="22"/>
          <w:szCs w:val="22"/>
          <w:lang w:val="pl-PL"/>
        </w:rPr>
        <w:t xml:space="preserve"> </w:t>
      </w:r>
      <w:r w:rsidR="00DA6B80" w:rsidRPr="009353E6">
        <w:rPr>
          <w:sz w:val="22"/>
          <w:szCs w:val="22"/>
          <w:lang w:val="pl-PL"/>
        </w:rPr>
        <w:t xml:space="preserve">obecność glukozy w moczu (cukromocz), </w:t>
      </w:r>
      <w:r w:rsidRPr="009353E6">
        <w:rPr>
          <w:sz w:val="22"/>
          <w:szCs w:val="22"/>
          <w:lang w:val="pl-PL"/>
        </w:rPr>
        <w:t>gorączka</w:t>
      </w:r>
      <w:r w:rsidR="00627149" w:rsidRPr="009353E6">
        <w:rPr>
          <w:sz w:val="22"/>
          <w:szCs w:val="22"/>
          <w:lang w:val="pl-PL"/>
        </w:rPr>
        <w:t>,</w:t>
      </w:r>
      <w:r w:rsidRPr="009353E6">
        <w:rPr>
          <w:sz w:val="22"/>
          <w:szCs w:val="22"/>
          <w:lang w:val="pl-PL"/>
        </w:rPr>
        <w:t xml:space="preserve"> zaburzenia równowagi elektrolitowej, duże stężenie cholesterolu we krwi, zmniejszona objętość krwi, </w:t>
      </w:r>
      <w:r w:rsidR="009A44E6" w:rsidRPr="009353E6">
        <w:rPr>
          <w:sz w:val="22"/>
          <w:szCs w:val="22"/>
          <w:lang w:val="pl-PL"/>
        </w:rPr>
        <w:t>wzrost stężenia glukozy we krwi</w:t>
      </w:r>
      <w:r w:rsidR="0000020A" w:rsidRPr="009353E6">
        <w:rPr>
          <w:sz w:val="22"/>
          <w:szCs w:val="22"/>
          <w:lang w:val="pl-PL"/>
        </w:rPr>
        <w:t>,</w:t>
      </w:r>
      <w:r w:rsidR="0000020A" w:rsidRPr="009353E6">
        <w:rPr>
          <w:lang w:val="pl-PL"/>
        </w:rPr>
        <w:t xml:space="preserve"> </w:t>
      </w:r>
      <w:r w:rsidR="0000020A" w:rsidRPr="009353E6">
        <w:rPr>
          <w:sz w:val="22"/>
          <w:szCs w:val="22"/>
          <w:lang w:val="pl-PL"/>
        </w:rPr>
        <w:t xml:space="preserve">trudności w kontrolowaniu </w:t>
      </w:r>
      <w:r w:rsidR="007305E2" w:rsidRPr="009353E6">
        <w:rPr>
          <w:sz w:val="22"/>
          <w:szCs w:val="22"/>
          <w:lang w:val="pl-PL"/>
        </w:rPr>
        <w:t>stężenia</w:t>
      </w:r>
      <w:r w:rsidR="0000020A" w:rsidRPr="009353E6">
        <w:rPr>
          <w:sz w:val="22"/>
          <w:szCs w:val="22"/>
          <w:lang w:val="pl-PL"/>
        </w:rPr>
        <w:t xml:space="preserve"> glukozy we krwi</w:t>
      </w:r>
      <w:r w:rsidR="009A44E6" w:rsidRPr="009353E6">
        <w:rPr>
          <w:sz w:val="22"/>
          <w:szCs w:val="22"/>
          <w:lang w:val="pl-PL"/>
        </w:rPr>
        <w:t xml:space="preserve">/moczu </w:t>
      </w:r>
      <w:r w:rsidR="007305E2" w:rsidRPr="009353E6">
        <w:rPr>
          <w:sz w:val="22"/>
          <w:szCs w:val="22"/>
          <w:lang w:val="pl-PL"/>
        </w:rPr>
        <w:t xml:space="preserve">u </w:t>
      </w:r>
      <w:r w:rsidR="009A44E6" w:rsidRPr="009353E6">
        <w:rPr>
          <w:sz w:val="22"/>
          <w:szCs w:val="22"/>
          <w:lang w:val="pl-PL"/>
        </w:rPr>
        <w:t>pacjentów z rozpoznaną cukrzycą</w:t>
      </w:r>
      <w:r w:rsidR="007305E2" w:rsidRPr="009353E6">
        <w:rPr>
          <w:sz w:val="22"/>
          <w:szCs w:val="22"/>
          <w:lang w:val="pl-PL"/>
        </w:rPr>
        <w:t>,</w:t>
      </w:r>
      <w:r w:rsidRPr="009353E6">
        <w:rPr>
          <w:sz w:val="22"/>
          <w:szCs w:val="22"/>
          <w:lang w:val="pl-PL"/>
        </w:rPr>
        <w:t xml:space="preserve"> lub tłuszczu we krwi.</w:t>
      </w:r>
    </w:p>
    <w:p w:rsidR="000A739F" w:rsidRPr="009353E6" w:rsidRDefault="000A739F" w:rsidP="00F831F6">
      <w:pPr>
        <w:pStyle w:val="BodyText"/>
        <w:spacing w:line="240" w:lineRule="auto"/>
        <w:jc w:val="left"/>
        <w:rPr>
          <w:sz w:val="22"/>
          <w:szCs w:val="22"/>
          <w:lang w:val="pl-PL"/>
        </w:rPr>
      </w:pPr>
    </w:p>
    <w:p w:rsidR="0090033D" w:rsidRPr="009353E6" w:rsidRDefault="0090033D" w:rsidP="003D10DA">
      <w:pPr>
        <w:tabs>
          <w:tab w:val="left" w:pos="0"/>
        </w:tabs>
        <w:rPr>
          <w:b/>
          <w:sz w:val="22"/>
          <w:szCs w:val="22"/>
          <w:lang w:val="pl-PL"/>
        </w:rPr>
      </w:pPr>
      <w:r w:rsidRPr="009353E6">
        <w:rPr>
          <w:b/>
          <w:sz w:val="22"/>
          <w:szCs w:val="22"/>
          <w:lang w:val="pl-PL"/>
        </w:rPr>
        <w:t>Zgłaszanie działań niepożądanych</w:t>
      </w:r>
    </w:p>
    <w:p w:rsidR="0090033D" w:rsidRPr="009353E6" w:rsidRDefault="0090033D" w:rsidP="0090033D">
      <w:pPr>
        <w:numPr>
          <w:ilvl w:val="12"/>
          <w:numId w:val="0"/>
        </w:numPr>
        <w:rPr>
          <w:sz w:val="22"/>
          <w:szCs w:val="22"/>
          <w:lang w:val="pl-PL"/>
        </w:rPr>
      </w:pPr>
      <w:r w:rsidRPr="009353E6">
        <w:rPr>
          <w:sz w:val="22"/>
          <w:szCs w:val="22"/>
          <w:lang w:val="pl-PL"/>
        </w:rPr>
        <w:t>Jeśli wystąpią jakiekolwiek objawy niepożądane, w tym wszelkie ob</w:t>
      </w:r>
      <w:r w:rsidR="00013D4F" w:rsidRPr="009353E6">
        <w:rPr>
          <w:sz w:val="22"/>
          <w:szCs w:val="22"/>
          <w:lang w:val="pl-PL"/>
        </w:rPr>
        <w:t>j</w:t>
      </w:r>
      <w:r w:rsidRPr="009353E6">
        <w:rPr>
          <w:sz w:val="22"/>
          <w:szCs w:val="22"/>
          <w:lang w:val="pl-PL"/>
        </w:rPr>
        <w:t>awy niepożądane niewymienione w ulotce, należy powiedzieć o tym lekarzowi</w:t>
      </w:r>
      <w:r w:rsidR="00105AE1" w:rsidRPr="009353E6">
        <w:rPr>
          <w:sz w:val="22"/>
          <w:szCs w:val="22"/>
          <w:lang w:val="pl-PL"/>
        </w:rPr>
        <w:t xml:space="preserve"> lub</w:t>
      </w:r>
      <w:r w:rsidRPr="009353E6">
        <w:rPr>
          <w:sz w:val="22"/>
          <w:szCs w:val="22"/>
          <w:lang w:val="pl-PL"/>
        </w:rPr>
        <w:t xml:space="preserve"> farmaceucie. Działania niepożądane można zgłaszać bezpośrednio do </w:t>
      </w:r>
      <w:r w:rsidRPr="009353E6">
        <w:rPr>
          <w:sz w:val="22"/>
          <w:szCs w:val="22"/>
          <w:highlight w:val="lightGray"/>
          <w:lang w:val="pl-PL"/>
        </w:rPr>
        <w:t>„krajowego systemu zgłaszania” wymienionego w</w:t>
      </w:r>
      <w:r w:rsidR="00BC39DD" w:rsidRPr="009353E6">
        <w:rPr>
          <w:sz w:val="22"/>
          <w:szCs w:val="22"/>
          <w:highlight w:val="lightGray"/>
          <w:lang w:val="pl-PL"/>
        </w:rPr>
        <w:t xml:space="preserve"> </w:t>
      </w:r>
      <w:hyperlink r:id="rId19">
        <w:r w:rsidR="00BC39DD" w:rsidRPr="009353E6">
          <w:rPr>
            <w:rStyle w:val="Hyperlink"/>
            <w:sz w:val="22"/>
            <w:highlight w:val="lightGray"/>
            <w:lang w:val="pl-PL"/>
          </w:rPr>
          <w:t>załączniku V</w:t>
        </w:r>
      </w:hyperlink>
      <w:r w:rsidRPr="009353E6">
        <w:rPr>
          <w:sz w:val="22"/>
          <w:szCs w:val="22"/>
          <w:highlight w:val="lightGray"/>
          <w:lang w:val="pl-PL"/>
        </w:rPr>
        <w:t xml:space="preserve">. </w:t>
      </w:r>
      <w:r w:rsidRPr="009353E6">
        <w:rPr>
          <w:sz w:val="22"/>
          <w:szCs w:val="22"/>
          <w:lang w:val="pl-PL"/>
        </w:rPr>
        <w:t xml:space="preserve">Dzięki zgłaszaniu działań niepożądanych można będzie zgromadzić więcej informacji na temat bezpieczeństwa stosowania leku. </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p w:rsidR="000A739F" w:rsidRPr="009353E6" w:rsidRDefault="000A739F" w:rsidP="00C368B1">
      <w:pPr>
        <w:pStyle w:val="BodyText"/>
        <w:tabs>
          <w:tab w:val="left" w:pos="540"/>
        </w:tabs>
        <w:spacing w:line="240" w:lineRule="auto"/>
        <w:jc w:val="left"/>
        <w:rPr>
          <w:b/>
          <w:sz w:val="22"/>
          <w:szCs w:val="22"/>
          <w:vertAlign w:val="superscript"/>
          <w:lang w:val="pl-PL"/>
        </w:rPr>
      </w:pPr>
      <w:r w:rsidRPr="009353E6">
        <w:rPr>
          <w:b/>
          <w:sz w:val="22"/>
          <w:szCs w:val="22"/>
          <w:lang w:val="pl-PL"/>
        </w:rPr>
        <w:t xml:space="preserve">5. </w:t>
      </w:r>
      <w:r w:rsidRPr="009353E6">
        <w:rPr>
          <w:b/>
          <w:sz w:val="22"/>
          <w:szCs w:val="22"/>
          <w:lang w:val="pl-PL"/>
        </w:rPr>
        <w:tab/>
      </w:r>
      <w:r w:rsidR="00072513" w:rsidRPr="009353E6">
        <w:rPr>
          <w:b/>
          <w:sz w:val="22"/>
          <w:szCs w:val="22"/>
          <w:lang w:val="pl-PL"/>
        </w:rPr>
        <w:t>Jak przechowywać lek MicardisPlus</w:t>
      </w:r>
    </w:p>
    <w:p w:rsidR="000A739F" w:rsidRPr="009353E6" w:rsidRDefault="000A739F" w:rsidP="00F831F6">
      <w:pPr>
        <w:pStyle w:val="BodyText"/>
        <w:spacing w:line="240" w:lineRule="auto"/>
        <w:jc w:val="left"/>
        <w:rPr>
          <w:sz w:val="22"/>
          <w:szCs w:val="22"/>
          <w:lang w:val="pl-PL"/>
        </w:rPr>
      </w:pPr>
    </w:p>
    <w:p w:rsidR="000A739F" w:rsidRPr="009353E6" w:rsidRDefault="00D96C46" w:rsidP="00F831F6">
      <w:pPr>
        <w:pStyle w:val="BodyText"/>
        <w:spacing w:line="240" w:lineRule="auto"/>
        <w:jc w:val="left"/>
        <w:rPr>
          <w:sz w:val="22"/>
          <w:szCs w:val="22"/>
          <w:lang w:val="pl-PL"/>
        </w:rPr>
      </w:pPr>
      <w:r w:rsidRPr="009353E6">
        <w:rPr>
          <w:sz w:val="22"/>
          <w:szCs w:val="22"/>
          <w:lang w:val="pl-PL"/>
        </w:rPr>
        <w:t>Lek należy p</w:t>
      </w:r>
      <w:r w:rsidR="000A739F" w:rsidRPr="009353E6">
        <w:rPr>
          <w:sz w:val="22"/>
          <w:szCs w:val="22"/>
          <w:lang w:val="pl-PL"/>
        </w:rPr>
        <w:t xml:space="preserve">rzechowywać w miejscu </w:t>
      </w:r>
      <w:r w:rsidR="00072513" w:rsidRPr="009353E6">
        <w:rPr>
          <w:sz w:val="22"/>
          <w:szCs w:val="22"/>
          <w:lang w:val="pl-PL"/>
        </w:rPr>
        <w:t xml:space="preserve">niewidocznym i </w:t>
      </w:r>
      <w:r w:rsidR="000A739F" w:rsidRPr="009353E6">
        <w:rPr>
          <w:sz w:val="22"/>
          <w:szCs w:val="22"/>
          <w:lang w:val="pl-PL"/>
        </w:rPr>
        <w:t>niedostępnym dla dzieci.</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Nie stosować</w:t>
      </w:r>
      <w:r w:rsidR="00072513" w:rsidRPr="009353E6">
        <w:rPr>
          <w:sz w:val="22"/>
          <w:szCs w:val="22"/>
          <w:lang w:val="pl-PL"/>
        </w:rPr>
        <w:t xml:space="preserve"> tego</w:t>
      </w:r>
      <w:r w:rsidRPr="009353E6">
        <w:rPr>
          <w:sz w:val="22"/>
          <w:szCs w:val="22"/>
          <w:lang w:val="pl-PL"/>
        </w:rPr>
        <w:t xml:space="preserve"> leku</w:t>
      </w:r>
      <w:r w:rsidR="00072513" w:rsidRPr="009353E6">
        <w:rPr>
          <w:sz w:val="22"/>
          <w:szCs w:val="22"/>
          <w:lang w:val="pl-PL"/>
        </w:rPr>
        <w:t xml:space="preserve"> </w:t>
      </w:r>
      <w:r w:rsidRPr="009353E6">
        <w:rPr>
          <w:sz w:val="22"/>
          <w:szCs w:val="22"/>
          <w:lang w:val="pl-PL"/>
        </w:rPr>
        <w:t xml:space="preserve">po upływie terminu ważności zamieszczonego na </w:t>
      </w:r>
      <w:r w:rsidR="003314C3" w:rsidRPr="009353E6">
        <w:rPr>
          <w:sz w:val="22"/>
          <w:szCs w:val="22"/>
          <w:lang w:val="pl-PL"/>
        </w:rPr>
        <w:t xml:space="preserve">pudełku </w:t>
      </w:r>
      <w:r w:rsidRPr="009353E6">
        <w:rPr>
          <w:sz w:val="22"/>
          <w:szCs w:val="22"/>
          <w:lang w:val="pl-PL"/>
        </w:rPr>
        <w:t>po</w:t>
      </w:r>
      <w:r w:rsidR="0001616F" w:rsidRPr="009353E6">
        <w:rPr>
          <w:sz w:val="22"/>
          <w:szCs w:val="22"/>
          <w:lang w:val="pl-PL"/>
        </w:rPr>
        <w:t xml:space="preserve">: </w:t>
      </w:r>
      <w:r w:rsidRPr="009353E6">
        <w:rPr>
          <w:sz w:val="22"/>
          <w:szCs w:val="22"/>
          <w:lang w:val="pl-PL"/>
        </w:rPr>
        <w:t xml:space="preserve">Termin ważności. Termin ważności oznacza ostatni dzień </w:t>
      </w:r>
      <w:r w:rsidR="00105AE1" w:rsidRPr="009353E6">
        <w:rPr>
          <w:sz w:val="22"/>
          <w:szCs w:val="22"/>
          <w:lang w:val="pl-PL"/>
        </w:rPr>
        <w:t>po</w:t>
      </w:r>
      <w:r w:rsidRPr="009353E6">
        <w:rPr>
          <w:sz w:val="22"/>
          <w:szCs w:val="22"/>
          <w:lang w:val="pl-PL"/>
        </w:rPr>
        <w:t>danego miesiąca.</w:t>
      </w:r>
    </w:p>
    <w:p w:rsidR="000A739F" w:rsidRPr="009353E6" w:rsidRDefault="000A739F" w:rsidP="00F831F6">
      <w:pPr>
        <w:pStyle w:val="BodyText"/>
        <w:spacing w:line="240" w:lineRule="auto"/>
        <w:jc w:val="left"/>
        <w:rPr>
          <w:sz w:val="22"/>
          <w:szCs w:val="22"/>
          <w:lang w:val="pl-PL"/>
        </w:rPr>
      </w:pPr>
    </w:p>
    <w:p w:rsidR="009A6C23" w:rsidRPr="009353E6" w:rsidRDefault="004C64DB" w:rsidP="009A6C23">
      <w:pPr>
        <w:ind w:right="-2"/>
        <w:rPr>
          <w:sz w:val="22"/>
          <w:szCs w:val="22"/>
          <w:lang w:val="pl-PL"/>
        </w:rPr>
      </w:pPr>
      <w:r w:rsidRPr="009353E6">
        <w:rPr>
          <w:sz w:val="22"/>
          <w:szCs w:val="22"/>
          <w:lang w:val="pl-PL"/>
        </w:rPr>
        <w:t xml:space="preserve">Brak szczególnych wymagań dotyczących </w:t>
      </w:r>
      <w:r w:rsidR="00072513" w:rsidRPr="009353E6">
        <w:rPr>
          <w:sz w:val="22"/>
          <w:szCs w:val="22"/>
          <w:lang w:val="pl-PL"/>
        </w:rPr>
        <w:t xml:space="preserve">temperatury </w:t>
      </w:r>
      <w:r w:rsidRPr="009353E6">
        <w:rPr>
          <w:sz w:val="22"/>
          <w:szCs w:val="22"/>
          <w:lang w:val="pl-PL"/>
        </w:rPr>
        <w:t xml:space="preserve">przechowywania leku. </w:t>
      </w:r>
      <w:r w:rsidR="000A739F" w:rsidRPr="009353E6">
        <w:rPr>
          <w:sz w:val="22"/>
          <w:szCs w:val="22"/>
          <w:lang w:val="pl-PL"/>
        </w:rPr>
        <w:t>Przechowywać lek w oryginalnym opakowaniu w celu ochrony tabletek przed wilgocią.</w:t>
      </w:r>
      <w:r w:rsidR="009A6C23" w:rsidRPr="009353E6">
        <w:rPr>
          <w:sz w:val="22"/>
          <w:szCs w:val="22"/>
          <w:lang w:val="pl-PL"/>
        </w:rPr>
        <w:t xml:space="preserve"> </w:t>
      </w:r>
      <w:r w:rsidR="009A6C23" w:rsidRPr="009353E6">
        <w:rPr>
          <w:rStyle w:val="hps"/>
          <w:sz w:val="22"/>
          <w:szCs w:val="22"/>
          <w:lang w:val="pl-PL"/>
        </w:rPr>
        <w:t>Tabletkę leku MicardisPlus należy wyjąć</w:t>
      </w:r>
      <w:r w:rsidR="009A6C23" w:rsidRPr="009353E6">
        <w:rPr>
          <w:sz w:val="22"/>
          <w:szCs w:val="22"/>
          <w:lang w:val="pl-PL"/>
        </w:rPr>
        <w:t xml:space="preserve"> </w:t>
      </w:r>
      <w:r w:rsidR="009A6C23" w:rsidRPr="009353E6">
        <w:rPr>
          <w:rStyle w:val="hps"/>
          <w:sz w:val="22"/>
          <w:szCs w:val="22"/>
          <w:lang w:val="pl-PL"/>
        </w:rPr>
        <w:t>z blistra</w:t>
      </w:r>
      <w:r w:rsidR="009A6C23" w:rsidRPr="009353E6">
        <w:rPr>
          <w:sz w:val="22"/>
          <w:szCs w:val="22"/>
          <w:lang w:val="pl-PL"/>
        </w:rPr>
        <w:t xml:space="preserve"> </w:t>
      </w:r>
      <w:r w:rsidR="009A6C23" w:rsidRPr="009353E6">
        <w:rPr>
          <w:rStyle w:val="hps"/>
          <w:sz w:val="22"/>
          <w:szCs w:val="22"/>
          <w:lang w:val="pl-PL"/>
        </w:rPr>
        <w:t>bezpośrednio</w:t>
      </w:r>
      <w:r w:rsidR="009A6C23" w:rsidRPr="009353E6">
        <w:rPr>
          <w:sz w:val="22"/>
          <w:szCs w:val="22"/>
          <w:lang w:val="pl-PL"/>
        </w:rPr>
        <w:t xml:space="preserve"> </w:t>
      </w:r>
      <w:r w:rsidR="009A6C23" w:rsidRPr="009353E6">
        <w:rPr>
          <w:rStyle w:val="hps"/>
          <w:sz w:val="22"/>
          <w:szCs w:val="22"/>
          <w:lang w:val="pl-PL"/>
        </w:rPr>
        <w:t>przed</w:t>
      </w:r>
      <w:r w:rsidR="009A6C23" w:rsidRPr="009353E6">
        <w:rPr>
          <w:sz w:val="22"/>
          <w:szCs w:val="22"/>
          <w:lang w:val="pl-PL"/>
        </w:rPr>
        <w:t xml:space="preserve"> </w:t>
      </w:r>
      <w:r w:rsidR="009A6C23" w:rsidRPr="009353E6">
        <w:rPr>
          <w:rStyle w:val="hps"/>
          <w:sz w:val="22"/>
          <w:szCs w:val="22"/>
          <w:lang w:val="pl-PL"/>
        </w:rPr>
        <w:t>zażyciem.</w:t>
      </w:r>
    </w:p>
    <w:p w:rsidR="000A739F" w:rsidRPr="009353E6" w:rsidRDefault="000A739F" w:rsidP="00F831F6">
      <w:pPr>
        <w:pStyle w:val="BodyText"/>
        <w:spacing w:line="240" w:lineRule="auto"/>
        <w:jc w:val="left"/>
        <w:rPr>
          <w:sz w:val="22"/>
          <w:szCs w:val="22"/>
          <w:lang w:val="pl-PL"/>
        </w:rPr>
      </w:pPr>
    </w:p>
    <w:p w:rsidR="00F37EE9" w:rsidRPr="009353E6" w:rsidRDefault="000A739F" w:rsidP="00F831F6">
      <w:pPr>
        <w:pStyle w:val="BodyText"/>
        <w:spacing w:line="240" w:lineRule="auto"/>
        <w:jc w:val="left"/>
        <w:rPr>
          <w:sz w:val="22"/>
          <w:szCs w:val="22"/>
          <w:lang w:val="pl-PL"/>
        </w:rPr>
      </w:pPr>
      <w:r w:rsidRPr="009353E6">
        <w:rPr>
          <w:sz w:val="22"/>
          <w:szCs w:val="22"/>
          <w:lang w:val="pl-PL"/>
        </w:rPr>
        <w:t>Czasami zdarza się, że zewnętrzna powłoka blistra odkleja się od wewnętrznej pomiędzy kieszeniami blistra. W tym przypadku nie ma potrzeby podejmowania żadnych działań.</w:t>
      </w:r>
    </w:p>
    <w:p w:rsidR="000A739F" w:rsidRPr="009353E6" w:rsidRDefault="000A739F" w:rsidP="00F831F6">
      <w:pPr>
        <w:pStyle w:val="BodyText"/>
        <w:spacing w:line="240" w:lineRule="auto"/>
        <w:jc w:val="left"/>
        <w:rPr>
          <w:sz w:val="22"/>
          <w:szCs w:val="22"/>
          <w:lang w:val="pl-PL"/>
        </w:rPr>
      </w:pPr>
    </w:p>
    <w:p w:rsidR="00072513" w:rsidRPr="009353E6" w:rsidRDefault="00072513" w:rsidP="00072513">
      <w:pPr>
        <w:ind w:right="-2"/>
        <w:rPr>
          <w:sz w:val="22"/>
          <w:szCs w:val="22"/>
          <w:lang w:val="pl-PL" w:bidi="bn-IN"/>
        </w:rPr>
      </w:pPr>
      <w:r w:rsidRPr="009353E6">
        <w:rPr>
          <w:sz w:val="22"/>
          <w:szCs w:val="22"/>
          <w:lang w:val="pl-PL" w:bidi="bn-IN"/>
        </w:rPr>
        <w:t>Leków nie należy wyrzucać do kanalizacji ani domowych pojemników na odpadki. Należy zapytać farmaceutę, jak usunąć leki, których się już nie używa. Takie postępowanie pomoże chronić środowisko.</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p w:rsidR="000A739F" w:rsidRPr="009353E6" w:rsidRDefault="000A739F" w:rsidP="005E3A9A">
      <w:pPr>
        <w:pStyle w:val="BodyText"/>
        <w:keepNext/>
        <w:tabs>
          <w:tab w:val="left" w:pos="540"/>
        </w:tabs>
        <w:spacing w:line="240" w:lineRule="auto"/>
        <w:jc w:val="left"/>
        <w:rPr>
          <w:b/>
          <w:sz w:val="22"/>
          <w:szCs w:val="22"/>
          <w:lang w:val="pl-PL"/>
        </w:rPr>
      </w:pPr>
      <w:r w:rsidRPr="009353E6">
        <w:rPr>
          <w:b/>
          <w:sz w:val="22"/>
          <w:szCs w:val="22"/>
          <w:lang w:val="pl-PL"/>
        </w:rPr>
        <w:t>6.</w:t>
      </w:r>
      <w:r w:rsidRPr="009353E6">
        <w:rPr>
          <w:b/>
          <w:sz w:val="22"/>
          <w:szCs w:val="22"/>
          <w:lang w:val="pl-PL"/>
        </w:rPr>
        <w:tab/>
      </w:r>
      <w:r w:rsidR="00072513" w:rsidRPr="009353E6">
        <w:rPr>
          <w:b/>
          <w:sz w:val="22"/>
          <w:szCs w:val="22"/>
          <w:lang w:val="pl-PL" w:bidi="bn-IN"/>
        </w:rPr>
        <w:t>Zawartość opakowania i inne informacje</w:t>
      </w:r>
    </w:p>
    <w:p w:rsidR="000A739F" w:rsidRPr="009353E6" w:rsidRDefault="000A739F" w:rsidP="005E3A9A">
      <w:pPr>
        <w:pStyle w:val="BodyText"/>
        <w:keepNext/>
        <w:spacing w:line="240" w:lineRule="auto"/>
        <w:jc w:val="left"/>
        <w:rPr>
          <w:sz w:val="22"/>
          <w:szCs w:val="22"/>
          <w:lang w:val="pl-PL"/>
        </w:rPr>
      </w:pPr>
    </w:p>
    <w:p w:rsidR="000A739F" w:rsidRPr="009353E6" w:rsidRDefault="000A739F" w:rsidP="005E3A9A">
      <w:pPr>
        <w:pStyle w:val="BodyText"/>
        <w:keepNext/>
        <w:spacing w:line="240" w:lineRule="auto"/>
        <w:jc w:val="left"/>
        <w:rPr>
          <w:b/>
          <w:sz w:val="22"/>
          <w:szCs w:val="22"/>
          <w:lang w:val="pl-PL"/>
        </w:rPr>
      </w:pPr>
      <w:r w:rsidRPr="009353E6">
        <w:rPr>
          <w:b/>
          <w:sz w:val="22"/>
          <w:szCs w:val="22"/>
          <w:lang w:val="pl-PL"/>
        </w:rPr>
        <w:t>Co zawiera lek MicardisPlus</w:t>
      </w:r>
    </w:p>
    <w:p w:rsidR="0065487C" w:rsidRPr="009353E6" w:rsidRDefault="0065487C" w:rsidP="005E3A9A">
      <w:pPr>
        <w:pStyle w:val="BodyText"/>
        <w:keepNext/>
        <w:spacing w:line="240" w:lineRule="auto"/>
        <w:jc w:val="left"/>
        <w:rPr>
          <w:sz w:val="22"/>
          <w:szCs w:val="22"/>
          <w:lang w:val="pl-PL"/>
        </w:rPr>
      </w:pPr>
    </w:p>
    <w:p w:rsidR="000A739F" w:rsidRPr="009353E6" w:rsidRDefault="000B49DE" w:rsidP="00F831F6">
      <w:pPr>
        <w:pStyle w:val="BodyText"/>
        <w:spacing w:line="240" w:lineRule="auto"/>
        <w:jc w:val="left"/>
        <w:rPr>
          <w:sz w:val="22"/>
          <w:szCs w:val="22"/>
          <w:lang w:val="pl-PL"/>
        </w:rPr>
      </w:pPr>
      <w:r w:rsidRPr="009353E6">
        <w:rPr>
          <w:sz w:val="22"/>
          <w:szCs w:val="22"/>
          <w:lang w:val="pl-PL"/>
        </w:rPr>
        <w:t>Substancjami czynnymi leku są</w:t>
      </w:r>
      <w:r w:rsidR="000A739F" w:rsidRPr="009353E6">
        <w:rPr>
          <w:sz w:val="22"/>
          <w:szCs w:val="22"/>
          <w:lang w:val="pl-PL"/>
        </w:rPr>
        <w:t xml:space="preserve">: telmisartan i hydrochlorotiazyd. Każda tabletka zawiera 80 mg telmisartanu i 25 mg hydrochlorotiazydu. </w:t>
      </w:r>
    </w:p>
    <w:p w:rsidR="000A739F" w:rsidRPr="009353E6" w:rsidRDefault="00040CB7" w:rsidP="00F831F6">
      <w:pPr>
        <w:pStyle w:val="BodyText"/>
        <w:spacing w:line="240" w:lineRule="auto"/>
        <w:jc w:val="left"/>
        <w:rPr>
          <w:sz w:val="22"/>
          <w:szCs w:val="22"/>
          <w:lang w:val="pl-PL"/>
        </w:rPr>
      </w:pPr>
      <w:r w:rsidRPr="009353E6">
        <w:rPr>
          <w:sz w:val="22"/>
          <w:szCs w:val="22"/>
          <w:lang w:val="pl-PL"/>
        </w:rPr>
        <w:t>Pozostałe składniki to</w:t>
      </w:r>
      <w:r w:rsidR="000A739F" w:rsidRPr="009353E6">
        <w:rPr>
          <w:sz w:val="22"/>
          <w:szCs w:val="22"/>
          <w:lang w:val="pl-PL"/>
        </w:rPr>
        <w:t xml:space="preserve">: laktoza jednowodna, stearynian magnezu, skrobia kukurydziana, meglumina, mikrokrystaliczna celuloza, powidon, </w:t>
      </w:r>
      <w:r w:rsidR="00C37451" w:rsidRPr="009353E6">
        <w:rPr>
          <w:sz w:val="22"/>
          <w:szCs w:val="22"/>
          <w:lang w:val="pl-PL"/>
        </w:rPr>
        <w:t xml:space="preserve">żółty tlenek </w:t>
      </w:r>
      <w:r w:rsidR="000A739F" w:rsidRPr="009353E6">
        <w:rPr>
          <w:sz w:val="22"/>
          <w:szCs w:val="22"/>
          <w:lang w:val="pl-PL"/>
        </w:rPr>
        <w:t xml:space="preserve">żelaza (E172), wodorotlenek sodu, skrobi glikolan sodu (typ A), sorbitol (E420). </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b/>
          <w:sz w:val="22"/>
          <w:szCs w:val="22"/>
          <w:lang w:val="pl-PL"/>
        </w:rPr>
      </w:pPr>
      <w:r w:rsidRPr="009353E6">
        <w:rPr>
          <w:b/>
          <w:sz w:val="22"/>
          <w:szCs w:val="22"/>
          <w:lang w:val="pl-PL"/>
        </w:rPr>
        <w:t>Jak wygląda</w:t>
      </w:r>
      <w:r w:rsidR="00D92036" w:rsidRPr="009353E6">
        <w:rPr>
          <w:b/>
          <w:sz w:val="22"/>
          <w:szCs w:val="22"/>
          <w:lang w:val="pl-PL"/>
        </w:rPr>
        <w:t xml:space="preserve"> lek </w:t>
      </w:r>
      <w:r w:rsidRPr="009353E6">
        <w:rPr>
          <w:b/>
          <w:sz w:val="22"/>
          <w:szCs w:val="22"/>
          <w:lang w:val="pl-PL"/>
        </w:rPr>
        <w:t>MicardisPlus i co zawiera opakowanie</w:t>
      </w:r>
    </w:p>
    <w:p w:rsidR="0065487C" w:rsidRPr="009353E6" w:rsidRDefault="0065487C"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 xml:space="preserve">MicardisPlus 80 mg/25 mg tabletki to </w:t>
      </w:r>
      <w:r w:rsidR="00C37451" w:rsidRPr="009353E6">
        <w:rPr>
          <w:sz w:val="22"/>
          <w:szCs w:val="22"/>
          <w:lang w:val="pl-PL"/>
        </w:rPr>
        <w:t>żółt</w:t>
      </w:r>
      <w:r w:rsidR="00DB03B7" w:rsidRPr="009353E6">
        <w:rPr>
          <w:sz w:val="22"/>
          <w:szCs w:val="22"/>
          <w:lang w:val="pl-PL"/>
        </w:rPr>
        <w:t>o-</w:t>
      </w:r>
      <w:r w:rsidRPr="009353E6">
        <w:rPr>
          <w:sz w:val="22"/>
          <w:szCs w:val="22"/>
          <w:lang w:val="pl-PL"/>
        </w:rPr>
        <w:t>białe</w:t>
      </w:r>
      <w:r w:rsidR="00D26BEB" w:rsidRPr="009353E6">
        <w:rPr>
          <w:sz w:val="22"/>
          <w:szCs w:val="22"/>
          <w:lang w:val="pl-PL"/>
        </w:rPr>
        <w:t xml:space="preserve">, </w:t>
      </w:r>
      <w:r w:rsidR="00685A4E" w:rsidRPr="009353E6">
        <w:rPr>
          <w:sz w:val="22"/>
          <w:szCs w:val="22"/>
          <w:lang w:val="pl-PL"/>
        </w:rPr>
        <w:t>podłużne</w:t>
      </w:r>
      <w:r w:rsidR="00D26BEB" w:rsidRPr="009353E6">
        <w:rPr>
          <w:sz w:val="22"/>
          <w:szCs w:val="22"/>
          <w:lang w:val="pl-PL"/>
        </w:rPr>
        <w:t xml:space="preserve"> tabletki </w:t>
      </w:r>
      <w:r w:rsidRPr="009353E6">
        <w:rPr>
          <w:sz w:val="22"/>
          <w:szCs w:val="22"/>
          <w:lang w:val="pl-PL"/>
        </w:rPr>
        <w:t>dwuwarstwowe</w:t>
      </w:r>
      <w:r w:rsidR="00D26BEB" w:rsidRPr="009353E6">
        <w:rPr>
          <w:sz w:val="22"/>
          <w:szCs w:val="22"/>
          <w:lang w:val="pl-PL"/>
        </w:rPr>
        <w:t xml:space="preserve">, </w:t>
      </w:r>
      <w:r w:rsidRPr="009353E6">
        <w:rPr>
          <w:sz w:val="22"/>
          <w:szCs w:val="22"/>
          <w:lang w:val="pl-PL"/>
        </w:rPr>
        <w:t>z wy</w:t>
      </w:r>
      <w:r w:rsidR="00D26BEB" w:rsidRPr="009353E6">
        <w:rPr>
          <w:sz w:val="22"/>
          <w:szCs w:val="22"/>
          <w:lang w:val="pl-PL"/>
        </w:rPr>
        <w:t>tłoczonym</w:t>
      </w:r>
      <w:r w:rsidRPr="009353E6">
        <w:rPr>
          <w:sz w:val="22"/>
          <w:szCs w:val="22"/>
          <w:lang w:val="pl-PL"/>
        </w:rPr>
        <w:t xml:space="preserve"> logo i kodem </w:t>
      </w:r>
      <w:r w:rsidR="00D26BEB" w:rsidRPr="009353E6">
        <w:rPr>
          <w:sz w:val="22"/>
          <w:szCs w:val="22"/>
          <w:lang w:val="pl-PL"/>
        </w:rPr>
        <w:t>„</w:t>
      </w:r>
      <w:r w:rsidRPr="009353E6">
        <w:rPr>
          <w:sz w:val="22"/>
          <w:szCs w:val="22"/>
          <w:lang w:val="pl-PL"/>
        </w:rPr>
        <w:t>H</w:t>
      </w:r>
      <w:r w:rsidR="00C37451" w:rsidRPr="009353E6">
        <w:rPr>
          <w:sz w:val="22"/>
          <w:szCs w:val="22"/>
          <w:lang w:val="pl-PL"/>
        </w:rPr>
        <w:t>9</w:t>
      </w:r>
      <w:r w:rsidR="00D26BEB" w:rsidRPr="009353E6">
        <w:rPr>
          <w:sz w:val="22"/>
          <w:szCs w:val="22"/>
          <w:lang w:val="pl-PL"/>
        </w:rPr>
        <w:t>”</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r w:rsidRPr="009353E6">
        <w:rPr>
          <w:sz w:val="22"/>
          <w:szCs w:val="22"/>
          <w:lang w:val="pl-PL"/>
        </w:rPr>
        <w:t>Lek MicardisPlus jest dostępny w blistrach zawierających 14, 28, 56</w:t>
      </w:r>
      <w:r w:rsidR="001C1D53" w:rsidRPr="009353E6">
        <w:rPr>
          <w:sz w:val="22"/>
          <w:szCs w:val="22"/>
          <w:lang w:val="pl-PL"/>
        </w:rPr>
        <w:t xml:space="preserve"> </w:t>
      </w:r>
      <w:r w:rsidRPr="009353E6">
        <w:rPr>
          <w:sz w:val="22"/>
          <w:szCs w:val="22"/>
          <w:lang w:val="pl-PL"/>
        </w:rPr>
        <w:t xml:space="preserve">lub 98 tabletek, lub w </w:t>
      </w:r>
      <w:r w:rsidR="003314C3" w:rsidRPr="009353E6">
        <w:rPr>
          <w:sz w:val="22"/>
          <w:szCs w:val="22"/>
          <w:lang w:val="pl-PL"/>
        </w:rPr>
        <w:t>b</w:t>
      </w:r>
      <w:r w:rsidR="00C47D2D" w:rsidRPr="009353E6">
        <w:rPr>
          <w:sz w:val="22"/>
          <w:szCs w:val="22"/>
          <w:lang w:val="pl-PL"/>
        </w:rPr>
        <w:t>l</w:t>
      </w:r>
      <w:r w:rsidR="003314C3" w:rsidRPr="009353E6">
        <w:rPr>
          <w:sz w:val="22"/>
          <w:szCs w:val="22"/>
          <w:lang w:val="pl-PL"/>
        </w:rPr>
        <w:t xml:space="preserve">istrach podzielonych na dawki </w:t>
      </w:r>
      <w:r w:rsidRPr="009353E6">
        <w:rPr>
          <w:sz w:val="22"/>
          <w:szCs w:val="22"/>
          <w:lang w:val="pl-PL"/>
        </w:rPr>
        <w:t>pojedyncz</w:t>
      </w:r>
      <w:r w:rsidR="003314C3" w:rsidRPr="009353E6">
        <w:rPr>
          <w:sz w:val="22"/>
          <w:szCs w:val="22"/>
          <w:lang w:val="pl-PL"/>
        </w:rPr>
        <w:t xml:space="preserve">e </w:t>
      </w:r>
      <w:r w:rsidRPr="009353E6">
        <w:rPr>
          <w:sz w:val="22"/>
          <w:szCs w:val="22"/>
          <w:lang w:val="pl-PL"/>
        </w:rPr>
        <w:t>zawierając</w:t>
      </w:r>
      <w:r w:rsidR="003314C3" w:rsidRPr="009353E6">
        <w:rPr>
          <w:sz w:val="22"/>
          <w:szCs w:val="22"/>
          <w:lang w:val="pl-PL"/>
        </w:rPr>
        <w:t xml:space="preserve">ych </w:t>
      </w:r>
      <w:r w:rsidRPr="009353E6">
        <w:rPr>
          <w:sz w:val="22"/>
          <w:szCs w:val="22"/>
          <w:lang w:val="pl-PL"/>
        </w:rPr>
        <w:t>28 x 1</w:t>
      </w:r>
      <w:r w:rsidR="001C1D53" w:rsidRPr="009353E6">
        <w:rPr>
          <w:sz w:val="22"/>
          <w:szCs w:val="22"/>
          <w:lang w:val="pl-PL"/>
        </w:rPr>
        <w:t>, 30 x 1 lub 90 x 1</w:t>
      </w:r>
      <w:r w:rsidRPr="009353E6">
        <w:rPr>
          <w:sz w:val="22"/>
          <w:szCs w:val="22"/>
          <w:lang w:val="pl-PL"/>
        </w:rPr>
        <w:t xml:space="preserve"> tabletk</w:t>
      </w:r>
      <w:r w:rsidR="002822E0" w:rsidRPr="009353E6">
        <w:rPr>
          <w:sz w:val="22"/>
          <w:szCs w:val="22"/>
          <w:lang w:val="pl-PL"/>
        </w:rPr>
        <w:t>a</w:t>
      </w:r>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r w:rsidRPr="009353E6">
        <w:rPr>
          <w:sz w:val="22"/>
          <w:szCs w:val="22"/>
          <w:lang w:val="pl-PL"/>
        </w:rPr>
        <w:t>Nie wszystkie wielkości opakowań mogą być dostępne w sprzedaży.</w:t>
      </w:r>
    </w:p>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tbl>
      <w:tblPr>
        <w:tblW w:w="0" w:type="auto"/>
        <w:tblLook w:val="01E0" w:firstRow="1" w:lastRow="1" w:firstColumn="1" w:lastColumn="1" w:noHBand="0" w:noVBand="0"/>
      </w:tblPr>
      <w:tblGrid>
        <w:gridCol w:w="4606"/>
        <w:gridCol w:w="4606"/>
      </w:tblGrid>
      <w:tr w:rsidR="000A739F" w:rsidRPr="009353E6" w:rsidTr="005A1483">
        <w:tc>
          <w:tcPr>
            <w:tcW w:w="4606" w:type="dxa"/>
          </w:tcPr>
          <w:p w:rsidR="000A739F" w:rsidRPr="009353E6" w:rsidRDefault="000A739F" w:rsidP="002D507E">
            <w:pPr>
              <w:pStyle w:val="BodyText"/>
              <w:spacing w:line="240" w:lineRule="auto"/>
              <w:jc w:val="left"/>
              <w:rPr>
                <w:b/>
                <w:sz w:val="22"/>
                <w:szCs w:val="22"/>
                <w:lang w:val="pl-PL"/>
              </w:rPr>
            </w:pPr>
            <w:r w:rsidRPr="009353E6">
              <w:rPr>
                <w:b/>
                <w:sz w:val="22"/>
                <w:szCs w:val="22"/>
                <w:lang w:val="pl-PL"/>
              </w:rPr>
              <w:t>Podmiot odpowiedzialny</w:t>
            </w:r>
          </w:p>
        </w:tc>
        <w:tc>
          <w:tcPr>
            <w:tcW w:w="4606" w:type="dxa"/>
          </w:tcPr>
          <w:p w:rsidR="000A739F" w:rsidRPr="009353E6" w:rsidRDefault="000A739F" w:rsidP="002D507E">
            <w:pPr>
              <w:pStyle w:val="BodyText"/>
              <w:spacing w:line="240" w:lineRule="auto"/>
              <w:jc w:val="left"/>
              <w:rPr>
                <w:b/>
                <w:sz w:val="22"/>
                <w:szCs w:val="22"/>
                <w:lang w:val="pl-PL"/>
              </w:rPr>
            </w:pPr>
            <w:r w:rsidRPr="009353E6">
              <w:rPr>
                <w:b/>
                <w:sz w:val="22"/>
                <w:szCs w:val="22"/>
                <w:lang w:val="pl-PL"/>
              </w:rPr>
              <w:t>Wytwórca</w:t>
            </w:r>
          </w:p>
          <w:p w:rsidR="000A739F" w:rsidRPr="009353E6" w:rsidRDefault="000A739F" w:rsidP="002D507E">
            <w:pPr>
              <w:pStyle w:val="BodyText"/>
              <w:spacing w:line="240" w:lineRule="auto"/>
              <w:jc w:val="left"/>
              <w:rPr>
                <w:b/>
                <w:sz w:val="22"/>
                <w:szCs w:val="22"/>
                <w:lang w:val="pl-PL"/>
              </w:rPr>
            </w:pPr>
          </w:p>
        </w:tc>
      </w:tr>
      <w:tr w:rsidR="000A739F" w:rsidRPr="009353E6" w:rsidTr="005A1483">
        <w:tc>
          <w:tcPr>
            <w:tcW w:w="4606" w:type="dxa"/>
          </w:tcPr>
          <w:p w:rsidR="000A739F" w:rsidRPr="009353E6" w:rsidRDefault="000A739F" w:rsidP="002D507E">
            <w:pPr>
              <w:pStyle w:val="BodyText"/>
              <w:spacing w:line="240" w:lineRule="auto"/>
              <w:jc w:val="left"/>
              <w:rPr>
                <w:sz w:val="22"/>
                <w:szCs w:val="22"/>
                <w:lang w:val="pl-PL"/>
              </w:rPr>
            </w:pPr>
            <w:r w:rsidRPr="009353E6">
              <w:rPr>
                <w:sz w:val="22"/>
                <w:szCs w:val="22"/>
                <w:lang w:val="pl-PL"/>
              </w:rPr>
              <w:t>Boehringer Ingelheim International GmbH</w:t>
            </w:r>
          </w:p>
          <w:p w:rsidR="000A739F" w:rsidRPr="009353E6" w:rsidRDefault="000A739F" w:rsidP="002D507E">
            <w:pPr>
              <w:pStyle w:val="BodyText"/>
              <w:spacing w:line="240" w:lineRule="auto"/>
              <w:jc w:val="left"/>
              <w:rPr>
                <w:sz w:val="22"/>
                <w:szCs w:val="22"/>
                <w:lang w:val="pl-PL"/>
              </w:rPr>
            </w:pPr>
            <w:r w:rsidRPr="009353E6">
              <w:rPr>
                <w:sz w:val="22"/>
                <w:szCs w:val="22"/>
                <w:lang w:val="pl-PL"/>
              </w:rPr>
              <w:t>Binger Str. 173</w:t>
            </w:r>
          </w:p>
          <w:p w:rsidR="000A739F" w:rsidRPr="009353E6" w:rsidRDefault="000A739F" w:rsidP="002D507E">
            <w:pPr>
              <w:pStyle w:val="BodyText"/>
              <w:spacing w:line="240" w:lineRule="auto"/>
              <w:jc w:val="left"/>
              <w:rPr>
                <w:sz w:val="22"/>
                <w:szCs w:val="22"/>
                <w:lang w:val="pl-PL"/>
              </w:rPr>
            </w:pPr>
            <w:r w:rsidRPr="009353E6">
              <w:rPr>
                <w:sz w:val="22"/>
                <w:szCs w:val="22"/>
                <w:lang w:val="pl-PL"/>
              </w:rPr>
              <w:t>D-55216 Ingelheim am Rhein</w:t>
            </w:r>
          </w:p>
          <w:p w:rsidR="000A739F" w:rsidRPr="009353E6" w:rsidRDefault="000A739F" w:rsidP="002D507E">
            <w:pPr>
              <w:pStyle w:val="BodyText"/>
              <w:spacing w:line="240" w:lineRule="auto"/>
              <w:jc w:val="left"/>
              <w:rPr>
                <w:sz w:val="22"/>
                <w:szCs w:val="22"/>
                <w:lang w:val="pl-PL"/>
              </w:rPr>
            </w:pPr>
            <w:r w:rsidRPr="009353E6">
              <w:rPr>
                <w:sz w:val="22"/>
                <w:szCs w:val="22"/>
                <w:lang w:val="pl-PL"/>
              </w:rPr>
              <w:t>Niemcy</w:t>
            </w:r>
          </w:p>
          <w:p w:rsidR="000A739F" w:rsidRPr="009353E6" w:rsidRDefault="000A739F" w:rsidP="002D507E">
            <w:pPr>
              <w:pStyle w:val="BodyText"/>
              <w:spacing w:line="240" w:lineRule="auto"/>
              <w:jc w:val="left"/>
              <w:rPr>
                <w:sz w:val="22"/>
                <w:szCs w:val="22"/>
                <w:lang w:val="pl-PL"/>
              </w:rPr>
            </w:pPr>
          </w:p>
        </w:tc>
        <w:tc>
          <w:tcPr>
            <w:tcW w:w="4606" w:type="dxa"/>
          </w:tcPr>
          <w:p w:rsidR="000A739F" w:rsidRPr="009353E6" w:rsidRDefault="000A739F" w:rsidP="002D507E">
            <w:pPr>
              <w:pStyle w:val="BodyText"/>
              <w:spacing w:line="240" w:lineRule="auto"/>
              <w:jc w:val="left"/>
              <w:rPr>
                <w:sz w:val="22"/>
                <w:szCs w:val="22"/>
                <w:lang w:val="pl-PL"/>
              </w:rPr>
            </w:pPr>
            <w:r w:rsidRPr="009353E6">
              <w:rPr>
                <w:sz w:val="22"/>
                <w:szCs w:val="22"/>
                <w:lang w:val="pl-PL"/>
              </w:rPr>
              <w:t>Boehringer Ingelheim Pharma GmbH &amp; Co. KG</w:t>
            </w:r>
          </w:p>
          <w:p w:rsidR="000A739F" w:rsidRPr="009353E6" w:rsidRDefault="000A739F" w:rsidP="002D507E">
            <w:pPr>
              <w:pStyle w:val="BodyText"/>
              <w:spacing w:line="240" w:lineRule="auto"/>
              <w:jc w:val="left"/>
              <w:rPr>
                <w:sz w:val="22"/>
                <w:szCs w:val="22"/>
                <w:lang w:val="pl-PL"/>
              </w:rPr>
            </w:pPr>
            <w:r w:rsidRPr="009353E6">
              <w:rPr>
                <w:sz w:val="22"/>
                <w:szCs w:val="22"/>
                <w:lang w:val="pl-PL"/>
              </w:rPr>
              <w:t>Binger Str. 173</w:t>
            </w:r>
          </w:p>
          <w:p w:rsidR="000A739F" w:rsidRPr="009353E6" w:rsidRDefault="000A739F" w:rsidP="002D507E">
            <w:pPr>
              <w:pStyle w:val="BodyText"/>
              <w:spacing w:line="240" w:lineRule="auto"/>
              <w:jc w:val="left"/>
              <w:rPr>
                <w:sz w:val="22"/>
                <w:szCs w:val="22"/>
                <w:lang w:val="pl-PL"/>
              </w:rPr>
            </w:pPr>
            <w:r w:rsidRPr="009353E6">
              <w:rPr>
                <w:sz w:val="22"/>
                <w:szCs w:val="22"/>
                <w:lang w:val="pl-PL"/>
              </w:rPr>
              <w:t>D –55216 Ingelheim am Rhein</w:t>
            </w:r>
          </w:p>
          <w:p w:rsidR="000A739F" w:rsidRPr="009353E6" w:rsidRDefault="000A739F" w:rsidP="002D507E">
            <w:pPr>
              <w:pStyle w:val="BodyText"/>
              <w:spacing w:line="240" w:lineRule="auto"/>
              <w:jc w:val="left"/>
              <w:rPr>
                <w:sz w:val="22"/>
                <w:szCs w:val="22"/>
                <w:lang w:val="pl-PL"/>
              </w:rPr>
            </w:pPr>
            <w:r w:rsidRPr="009353E6">
              <w:rPr>
                <w:sz w:val="22"/>
                <w:szCs w:val="22"/>
                <w:lang w:val="pl-PL"/>
              </w:rPr>
              <w:t>Niemcy</w:t>
            </w:r>
          </w:p>
          <w:p w:rsidR="000A739F" w:rsidRPr="009353E6" w:rsidRDefault="000A739F" w:rsidP="002D507E">
            <w:pPr>
              <w:pStyle w:val="BodyText"/>
              <w:spacing w:line="240" w:lineRule="auto"/>
              <w:jc w:val="left"/>
              <w:rPr>
                <w:sz w:val="22"/>
                <w:szCs w:val="22"/>
                <w:lang w:val="pl-PL"/>
              </w:rPr>
            </w:pPr>
          </w:p>
          <w:p w:rsidR="00841974" w:rsidRPr="009353E6" w:rsidRDefault="00841974" w:rsidP="00841974">
            <w:pPr>
              <w:pStyle w:val="BodyText"/>
              <w:spacing w:line="240" w:lineRule="auto"/>
              <w:jc w:val="left"/>
              <w:rPr>
                <w:sz w:val="22"/>
                <w:szCs w:val="22"/>
                <w:lang w:val="pl-PL"/>
              </w:rPr>
            </w:pPr>
            <w:r w:rsidRPr="009353E6">
              <w:rPr>
                <w:sz w:val="22"/>
                <w:szCs w:val="22"/>
                <w:lang w:val="pl-PL"/>
              </w:rPr>
              <w:t>i</w:t>
            </w:r>
          </w:p>
          <w:p w:rsidR="00841974" w:rsidRPr="009353E6" w:rsidRDefault="00841974" w:rsidP="00841974">
            <w:pPr>
              <w:pStyle w:val="BodyText"/>
              <w:spacing w:line="240" w:lineRule="auto"/>
              <w:jc w:val="left"/>
              <w:rPr>
                <w:sz w:val="22"/>
                <w:szCs w:val="22"/>
                <w:lang w:val="pl-PL"/>
              </w:rPr>
            </w:pPr>
          </w:p>
          <w:p w:rsidR="00841974" w:rsidRPr="009353E6" w:rsidRDefault="00841974" w:rsidP="00841974">
            <w:pPr>
              <w:pStyle w:val="Default"/>
              <w:rPr>
                <w:color w:val="auto"/>
                <w:sz w:val="22"/>
                <w:szCs w:val="22"/>
                <w:lang w:val="pl-PL"/>
              </w:rPr>
            </w:pPr>
            <w:r w:rsidRPr="009353E6">
              <w:rPr>
                <w:color w:val="auto"/>
                <w:sz w:val="22"/>
                <w:szCs w:val="22"/>
                <w:lang w:val="pl-PL"/>
              </w:rPr>
              <w:t xml:space="preserve">Boehringer Ingelheim Ellas A.E. </w:t>
            </w:r>
          </w:p>
          <w:p w:rsidR="00841974" w:rsidRPr="009353E6" w:rsidRDefault="00841974" w:rsidP="00841974">
            <w:pPr>
              <w:pStyle w:val="Default"/>
              <w:rPr>
                <w:color w:val="auto"/>
                <w:sz w:val="22"/>
                <w:szCs w:val="22"/>
                <w:lang w:val="pl-PL"/>
              </w:rPr>
            </w:pPr>
            <w:r w:rsidRPr="009353E6">
              <w:rPr>
                <w:color w:val="auto"/>
                <w:sz w:val="22"/>
                <w:szCs w:val="22"/>
                <w:lang w:val="pl-PL"/>
              </w:rPr>
              <w:t xml:space="preserve">5th km Paiania – Markopoulo </w:t>
            </w:r>
          </w:p>
          <w:p w:rsidR="00841974" w:rsidRPr="009353E6" w:rsidRDefault="00841974" w:rsidP="00841974">
            <w:pPr>
              <w:pStyle w:val="Default"/>
              <w:rPr>
                <w:color w:val="auto"/>
                <w:sz w:val="22"/>
                <w:szCs w:val="22"/>
                <w:lang w:val="pl-PL"/>
              </w:rPr>
            </w:pPr>
            <w:r w:rsidRPr="009353E6">
              <w:rPr>
                <w:color w:val="auto"/>
                <w:sz w:val="22"/>
                <w:szCs w:val="22"/>
                <w:lang w:val="pl-PL"/>
              </w:rPr>
              <w:t>Koropi Attiki, 194 00</w:t>
            </w:r>
          </w:p>
          <w:p w:rsidR="00841974" w:rsidRPr="009353E6" w:rsidRDefault="00841974" w:rsidP="00841974">
            <w:pPr>
              <w:pStyle w:val="BodyText"/>
              <w:spacing w:line="240" w:lineRule="auto"/>
              <w:jc w:val="left"/>
              <w:rPr>
                <w:sz w:val="22"/>
                <w:szCs w:val="22"/>
                <w:lang w:val="pl-PL"/>
              </w:rPr>
            </w:pPr>
            <w:r w:rsidRPr="009353E6">
              <w:rPr>
                <w:sz w:val="22"/>
                <w:szCs w:val="22"/>
                <w:lang w:val="pl-PL"/>
              </w:rPr>
              <w:t>Grecja</w:t>
            </w:r>
          </w:p>
          <w:p w:rsidR="00891071" w:rsidRPr="009353E6" w:rsidRDefault="00891071" w:rsidP="00891071">
            <w:pPr>
              <w:pStyle w:val="BodyText"/>
              <w:spacing w:line="240" w:lineRule="auto"/>
              <w:jc w:val="left"/>
              <w:rPr>
                <w:sz w:val="22"/>
                <w:szCs w:val="22"/>
                <w:lang w:val="pl-PL"/>
              </w:rPr>
            </w:pPr>
          </w:p>
          <w:p w:rsidR="00891071" w:rsidRPr="009353E6" w:rsidRDefault="00891071" w:rsidP="00891071">
            <w:pPr>
              <w:pStyle w:val="BodyText"/>
              <w:spacing w:line="240" w:lineRule="auto"/>
              <w:jc w:val="left"/>
              <w:rPr>
                <w:sz w:val="22"/>
                <w:szCs w:val="22"/>
                <w:lang w:val="pl-PL"/>
              </w:rPr>
            </w:pPr>
            <w:r w:rsidRPr="009353E6">
              <w:rPr>
                <w:sz w:val="22"/>
                <w:szCs w:val="22"/>
                <w:lang w:val="pl-PL"/>
              </w:rPr>
              <w:t>i</w:t>
            </w:r>
          </w:p>
          <w:p w:rsidR="00891071" w:rsidRPr="009353E6" w:rsidRDefault="00891071" w:rsidP="00891071">
            <w:pPr>
              <w:pStyle w:val="BodyText"/>
              <w:spacing w:line="240" w:lineRule="auto"/>
              <w:rPr>
                <w:sz w:val="22"/>
                <w:szCs w:val="22"/>
                <w:lang w:val="pl-PL"/>
              </w:rPr>
            </w:pPr>
          </w:p>
          <w:p w:rsidR="00891071" w:rsidRPr="009353E6" w:rsidRDefault="00891071" w:rsidP="00891071">
            <w:pPr>
              <w:pStyle w:val="BodyText"/>
              <w:spacing w:line="240" w:lineRule="auto"/>
              <w:rPr>
                <w:sz w:val="22"/>
                <w:szCs w:val="22"/>
                <w:lang w:val="pl-PL"/>
              </w:rPr>
            </w:pPr>
            <w:r w:rsidRPr="009353E6">
              <w:rPr>
                <w:sz w:val="22"/>
                <w:szCs w:val="22"/>
                <w:lang w:val="pl-PL"/>
              </w:rPr>
              <w:t>Rottendorf Pharma GmbH</w:t>
            </w:r>
          </w:p>
          <w:p w:rsidR="00891071" w:rsidRPr="009353E6" w:rsidRDefault="00891071" w:rsidP="00891071">
            <w:pPr>
              <w:pStyle w:val="BodyText"/>
              <w:spacing w:line="240" w:lineRule="auto"/>
              <w:rPr>
                <w:sz w:val="22"/>
                <w:szCs w:val="22"/>
                <w:lang w:val="pl-PL"/>
              </w:rPr>
            </w:pPr>
            <w:r w:rsidRPr="009353E6">
              <w:rPr>
                <w:sz w:val="22"/>
                <w:szCs w:val="22"/>
                <w:lang w:val="pl-PL"/>
              </w:rPr>
              <w:t>Ostenfelder Straße 51 - 61</w:t>
            </w:r>
          </w:p>
          <w:p w:rsidR="00891071" w:rsidRPr="009353E6" w:rsidRDefault="00891071" w:rsidP="00891071">
            <w:pPr>
              <w:pStyle w:val="BodyText"/>
              <w:spacing w:line="240" w:lineRule="auto"/>
              <w:rPr>
                <w:sz w:val="22"/>
                <w:szCs w:val="22"/>
                <w:lang w:val="pl-PL"/>
              </w:rPr>
            </w:pPr>
            <w:r w:rsidRPr="009353E6">
              <w:rPr>
                <w:sz w:val="22"/>
                <w:szCs w:val="22"/>
                <w:lang w:val="pl-PL"/>
              </w:rPr>
              <w:t>D-59320 Ennigerloh</w:t>
            </w:r>
          </w:p>
          <w:p w:rsidR="00841974" w:rsidRPr="009353E6" w:rsidRDefault="00891071" w:rsidP="00891071">
            <w:pPr>
              <w:pStyle w:val="BodyText"/>
              <w:spacing w:line="240" w:lineRule="auto"/>
              <w:jc w:val="left"/>
              <w:rPr>
                <w:sz w:val="22"/>
                <w:szCs w:val="22"/>
                <w:lang w:val="pl-PL"/>
              </w:rPr>
            </w:pPr>
            <w:r w:rsidRPr="009353E6">
              <w:rPr>
                <w:sz w:val="22"/>
                <w:szCs w:val="22"/>
                <w:lang w:val="pl-PL"/>
              </w:rPr>
              <w:t>Niemcy</w:t>
            </w:r>
          </w:p>
        </w:tc>
      </w:tr>
    </w:tbl>
    <w:p w:rsidR="000A739F" w:rsidRPr="009353E6" w:rsidRDefault="000A739F" w:rsidP="00F831F6">
      <w:pPr>
        <w:pStyle w:val="BodyText"/>
        <w:spacing w:line="240" w:lineRule="auto"/>
        <w:jc w:val="left"/>
        <w:rPr>
          <w:sz w:val="22"/>
          <w:szCs w:val="22"/>
          <w:lang w:val="pl-PL"/>
        </w:rPr>
      </w:pPr>
    </w:p>
    <w:p w:rsidR="000A739F" w:rsidRPr="009353E6" w:rsidRDefault="0087729B" w:rsidP="00F831F6">
      <w:pPr>
        <w:pStyle w:val="BodyText"/>
        <w:spacing w:line="240" w:lineRule="auto"/>
        <w:jc w:val="left"/>
        <w:rPr>
          <w:sz w:val="22"/>
          <w:szCs w:val="22"/>
          <w:lang w:val="pl-PL"/>
        </w:rPr>
      </w:pPr>
      <w:r w:rsidRPr="009353E6">
        <w:rPr>
          <w:sz w:val="22"/>
          <w:szCs w:val="22"/>
          <w:lang w:val="pl-PL"/>
        </w:rPr>
        <w:br w:type="page"/>
      </w:r>
      <w:r w:rsidR="000A739F" w:rsidRPr="009353E6">
        <w:rPr>
          <w:sz w:val="22"/>
          <w:szCs w:val="22"/>
          <w:lang w:val="pl-PL"/>
        </w:rPr>
        <w:t xml:space="preserve">W celu uzyskania bardziej szczegółowych informacji należy zwrócić się do </w:t>
      </w:r>
      <w:r w:rsidR="00605B65" w:rsidRPr="009353E6">
        <w:rPr>
          <w:sz w:val="22"/>
          <w:szCs w:val="22"/>
          <w:lang w:val="pl-PL"/>
        </w:rPr>
        <w:t xml:space="preserve">miejscowego </w:t>
      </w:r>
      <w:r w:rsidR="000A739F" w:rsidRPr="009353E6">
        <w:rPr>
          <w:sz w:val="22"/>
          <w:szCs w:val="22"/>
          <w:lang w:val="pl-PL"/>
        </w:rPr>
        <w:t>przedstawiciela podmiotu odpowiedzialnego</w:t>
      </w:r>
      <w:r w:rsidR="004136A6" w:rsidRPr="009353E6">
        <w:rPr>
          <w:sz w:val="22"/>
          <w:szCs w:val="22"/>
          <w:lang w:val="pl-PL"/>
        </w:rPr>
        <w:t>:</w:t>
      </w:r>
      <w:r w:rsidR="000A739F" w:rsidRPr="009353E6">
        <w:rPr>
          <w:sz w:val="22"/>
          <w:szCs w:val="22"/>
          <w:lang w:val="pl-PL"/>
        </w:rPr>
        <w:t xml:space="preserve"> </w:t>
      </w:r>
    </w:p>
    <w:p w:rsidR="00C368B1" w:rsidRPr="009353E6" w:rsidRDefault="00C368B1" w:rsidP="00F831F6">
      <w:pPr>
        <w:pStyle w:val="BodyText"/>
        <w:spacing w:line="240" w:lineRule="auto"/>
        <w:jc w:val="left"/>
        <w:rPr>
          <w:sz w:val="22"/>
          <w:szCs w:val="22"/>
          <w:lang w:val="pl-PL"/>
        </w:rPr>
      </w:pPr>
    </w:p>
    <w:tbl>
      <w:tblPr>
        <w:tblW w:w="9408" w:type="dxa"/>
        <w:tblInd w:w="-86" w:type="dxa"/>
        <w:tblLayout w:type="fixed"/>
        <w:tblLook w:val="0000" w:firstRow="0" w:lastRow="0" w:firstColumn="0" w:lastColumn="0" w:noHBand="0" w:noVBand="0"/>
      </w:tblPr>
      <w:tblGrid>
        <w:gridCol w:w="34"/>
        <w:gridCol w:w="18"/>
        <w:gridCol w:w="4626"/>
        <w:gridCol w:w="52"/>
        <w:gridCol w:w="4626"/>
        <w:gridCol w:w="52"/>
      </w:tblGrid>
      <w:tr w:rsidR="00943AC1" w:rsidRPr="009353E6" w:rsidTr="005E3A9A">
        <w:tblPrEx>
          <w:tblCellMar>
            <w:top w:w="0" w:type="dxa"/>
            <w:bottom w:w="0" w:type="dxa"/>
          </w:tblCellMar>
        </w:tblPrEx>
        <w:trPr>
          <w:gridBefore w:val="1"/>
          <w:gridAfter w:val="1"/>
          <w:wBefore w:w="34" w:type="dxa"/>
          <w:wAfter w:w="52" w:type="dxa"/>
        </w:trPr>
        <w:tc>
          <w:tcPr>
            <w:tcW w:w="4644" w:type="dxa"/>
            <w:gridSpan w:val="2"/>
          </w:tcPr>
          <w:p w:rsidR="00943AC1" w:rsidRPr="009353E6" w:rsidRDefault="00943AC1" w:rsidP="00F831F6">
            <w:pPr>
              <w:pStyle w:val="BodyText"/>
              <w:spacing w:line="240" w:lineRule="auto"/>
              <w:jc w:val="left"/>
              <w:rPr>
                <w:b/>
                <w:sz w:val="22"/>
                <w:szCs w:val="22"/>
                <w:lang w:val="pl-PL"/>
              </w:rPr>
            </w:pPr>
            <w:r w:rsidRPr="009353E6">
              <w:rPr>
                <w:b/>
                <w:bCs/>
                <w:sz w:val="22"/>
                <w:szCs w:val="22"/>
                <w:lang w:val="pl-PL"/>
              </w:rPr>
              <w:t>België/Belgique/Belgien</w:t>
            </w:r>
          </w:p>
          <w:p w:rsidR="00943AC1" w:rsidRPr="009353E6" w:rsidRDefault="00943AC1" w:rsidP="00F831F6">
            <w:pPr>
              <w:pStyle w:val="BodyText"/>
              <w:spacing w:line="240" w:lineRule="auto"/>
              <w:jc w:val="left"/>
              <w:rPr>
                <w:sz w:val="22"/>
                <w:szCs w:val="22"/>
                <w:lang w:val="pl-PL" w:eastAsia="ja-JP"/>
              </w:rPr>
            </w:pPr>
            <w:r w:rsidRPr="009353E6">
              <w:rPr>
                <w:rFonts w:eastAsia="MS Mincho"/>
                <w:sz w:val="22"/>
                <w:szCs w:val="22"/>
                <w:lang w:val="pl-PL" w:eastAsia="ja-JP"/>
              </w:rPr>
              <w:t>SCS Boehringer Ingelheim Comm.V.</w:t>
            </w:r>
          </w:p>
          <w:p w:rsidR="00943AC1" w:rsidRPr="009353E6" w:rsidRDefault="00943AC1" w:rsidP="00F831F6">
            <w:pPr>
              <w:pStyle w:val="BodyText"/>
              <w:spacing w:line="240" w:lineRule="auto"/>
              <w:jc w:val="left"/>
              <w:rPr>
                <w:sz w:val="22"/>
                <w:szCs w:val="22"/>
                <w:lang w:val="pl-PL"/>
              </w:rPr>
            </w:pPr>
            <w:r w:rsidRPr="009353E6">
              <w:rPr>
                <w:sz w:val="22"/>
                <w:szCs w:val="22"/>
                <w:lang w:val="pl-PL" w:eastAsia="ja-JP"/>
              </w:rPr>
              <w:t>Tél/Tel: +32 2 773 33 11</w:t>
            </w:r>
          </w:p>
        </w:tc>
        <w:tc>
          <w:tcPr>
            <w:tcW w:w="4678" w:type="dxa"/>
            <w:gridSpan w:val="2"/>
          </w:tcPr>
          <w:p w:rsidR="00314B38" w:rsidRPr="009353E6" w:rsidRDefault="00314B38" w:rsidP="00314B38">
            <w:pPr>
              <w:rPr>
                <w:sz w:val="22"/>
                <w:szCs w:val="22"/>
                <w:lang w:val="pl-PL"/>
              </w:rPr>
            </w:pPr>
            <w:r w:rsidRPr="009353E6">
              <w:rPr>
                <w:b/>
                <w:bCs/>
                <w:sz w:val="22"/>
                <w:szCs w:val="22"/>
                <w:lang w:val="pl-PL"/>
              </w:rPr>
              <w:t>Lietuva</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Lietuvos filialas</w:t>
            </w:r>
          </w:p>
          <w:p w:rsidR="00314B38" w:rsidRPr="009353E6" w:rsidRDefault="00314B38" w:rsidP="00314B38">
            <w:pPr>
              <w:rPr>
                <w:sz w:val="22"/>
                <w:szCs w:val="22"/>
                <w:lang w:val="pl-PL"/>
              </w:rPr>
            </w:pPr>
            <w:r w:rsidRPr="009353E6">
              <w:rPr>
                <w:sz w:val="22"/>
                <w:szCs w:val="22"/>
                <w:lang w:val="pl-PL" w:eastAsia="ja-JP"/>
              </w:rPr>
              <w:t>Tel.: +370 37 473922</w:t>
            </w:r>
          </w:p>
          <w:p w:rsidR="00943AC1" w:rsidRPr="009353E6" w:rsidRDefault="00943AC1"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Before w:val="1"/>
          <w:gridAfter w:val="1"/>
          <w:wBefore w:w="34" w:type="dxa"/>
          <w:wAfter w:w="52" w:type="dxa"/>
        </w:trPr>
        <w:tc>
          <w:tcPr>
            <w:tcW w:w="4644" w:type="dxa"/>
            <w:gridSpan w:val="2"/>
          </w:tcPr>
          <w:p w:rsidR="009A6C23" w:rsidRPr="009353E6" w:rsidRDefault="009A6C23" w:rsidP="009A6C23">
            <w:pPr>
              <w:autoSpaceDE w:val="0"/>
              <w:autoSpaceDN w:val="0"/>
              <w:adjustRightInd w:val="0"/>
              <w:rPr>
                <w:b/>
                <w:bCs/>
                <w:sz w:val="22"/>
                <w:szCs w:val="22"/>
                <w:lang w:val="pl-PL"/>
              </w:rPr>
            </w:pPr>
            <w:r w:rsidRPr="009353E6">
              <w:rPr>
                <w:b/>
                <w:bCs/>
                <w:sz w:val="22"/>
                <w:szCs w:val="22"/>
                <w:lang w:val="pl-PL"/>
              </w:rPr>
              <w:t>България</w:t>
            </w:r>
          </w:p>
          <w:p w:rsidR="009A6C23" w:rsidRPr="009353E6" w:rsidRDefault="009A6C23" w:rsidP="009A6C23">
            <w:pPr>
              <w:rPr>
                <w:sz w:val="22"/>
                <w:szCs w:val="22"/>
                <w:lang w:val="pl-PL"/>
              </w:rPr>
            </w:pPr>
            <w:r w:rsidRPr="009353E6">
              <w:rPr>
                <w:rFonts w:eastAsia="MS Mincho"/>
                <w:sz w:val="22"/>
                <w:szCs w:val="22"/>
                <w:lang w:val="pl-PL" w:eastAsia="ja-JP"/>
              </w:rPr>
              <w:t>Бьорингер Ингелхайм РЦВ ГмбХ и Ко. КГ - клон България</w:t>
            </w:r>
          </w:p>
          <w:p w:rsidR="009A6C23" w:rsidRPr="009353E6" w:rsidRDefault="009A6C23" w:rsidP="009A6C23">
            <w:pPr>
              <w:autoSpaceDE w:val="0"/>
              <w:autoSpaceDN w:val="0"/>
              <w:adjustRightInd w:val="0"/>
              <w:rPr>
                <w:sz w:val="22"/>
                <w:szCs w:val="22"/>
                <w:lang w:val="pl-PL"/>
              </w:rPr>
            </w:pPr>
            <w:r w:rsidRPr="009353E6">
              <w:rPr>
                <w:rFonts w:eastAsia="MS Mincho"/>
                <w:sz w:val="22"/>
                <w:szCs w:val="22"/>
                <w:lang w:val="pl-PL" w:eastAsia="ja-JP"/>
              </w:rPr>
              <w:t>Тел: +359 2 958 79 98</w:t>
            </w:r>
          </w:p>
          <w:p w:rsidR="00943AC1" w:rsidRPr="009353E6" w:rsidRDefault="00943AC1" w:rsidP="00F831F6">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Luxembourg/Luxemburg</w:t>
            </w:r>
          </w:p>
          <w:p w:rsidR="00314B38" w:rsidRPr="009353E6" w:rsidRDefault="00314B38" w:rsidP="00314B38">
            <w:pPr>
              <w:pStyle w:val="BodyText"/>
              <w:spacing w:line="240" w:lineRule="auto"/>
              <w:jc w:val="left"/>
              <w:rPr>
                <w:sz w:val="22"/>
                <w:szCs w:val="22"/>
                <w:lang w:val="pl-PL" w:eastAsia="ja-JP"/>
              </w:rPr>
            </w:pPr>
            <w:r w:rsidRPr="009353E6">
              <w:rPr>
                <w:rFonts w:eastAsia="MS Mincho"/>
                <w:sz w:val="22"/>
                <w:szCs w:val="22"/>
                <w:lang w:val="pl-PL" w:eastAsia="ja-JP"/>
              </w:rPr>
              <w:t>SCS Boehringer Ingelheim Comm.V.</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Tél/Tel: +32 2 773 33 11</w:t>
            </w:r>
          </w:p>
          <w:p w:rsidR="00943AC1" w:rsidRPr="009353E6" w:rsidRDefault="00943AC1" w:rsidP="00F831F6">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Before w:val="1"/>
          <w:gridAfter w:val="1"/>
          <w:wBefore w:w="34" w:type="dxa"/>
          <w:wAfter w:w="52" w:type="dxa"/>
          <w:trHeight w:val="1031"/>
        </w:trPr>
        <w:tc>
          <w:tcPr>
            <w:tcW w:w="4644" w:type="dxa"/>
            <w:gridSpan w:val="2"/>
          </w:tcPr>
          <w:p w:rsidR="00943AC1" w:rsidRPr="009353E6" w:rsidRDefault="00943AC1" w:rsidP="00F831F6">
            <w:pPr>
              <w:pStyle w:val="BodyText"/>
              <w:spacing w:line="240" w:lineRule="auto"/>
              <w:jc w:val="left"/>
              <w:rPr>
                <w:b/>
                <w:sz w:val="22"/>
                <w:szCs w:val="22"/>
                <w:lang w:val="pl-PL"/>
              </w:rPr>
            </w:pPr>
            <w:r w:rsidRPr="009353E6">
              <w:rPr>
                <w:b/>
                <w:bCs/>
                <w:sz w:val="22"/>
                <w:szCs w:val="22"/>
                <w:lang w:val="pl-PL"/>
              </w:rPr>
              <w:t>Česká republika</w:t>
            </w:r>
          </w:p>
          <w:p w:rsidR="00943AC1" w:rsidRPr="009353E6" w:rsidRDefault="00943AC1" w:rsidP="00F831F6">
            <w:pPr>
              <w:pStyle w:val="BodyText"/>
              <w:spacing w:line="240" w:lineRule="auto"/>
              <w:jc w:val="left"/>
              <w:rPr>
                <w:sz w:val="22"/>
                <w:szCs w:val="22"/>
                <w:lang w:val="pl-PL" w:eastAsia="ja-JP"/>
              </w:rPr>
            </w:pPr>
            <w:r w:rsidRPr="009353E6">
              <w:rPr>
                <w:sz w:val="22"/>
                <w:szCs w:val="22"/>
                <w:lang w:val="pl-PL" w:eastAsia="ja-JP"/>
              </w:rPr>
              <w:t>Boehringer Ingelheim spol. s r.o.</w:t>
            </w:r>
          </w:p>
          <w:p w:rsidR="00943AC1" w:rsidRPr="009353E6" w:rsidRDefault="00943AC1" w:rsidP="00F831F6">
            <w:pPr>
              <w:pStyle w:val="BodyText"/>
              <w:spacing w:line="240" w:lineRule="auto"/>
              <w:jc w:val="left"/>
              <w:rPr>
                <w:sz w:val="22"/>
                <w:szCs w:val="22"/>
                <w:lang w:val="pl-PL"/>
              </w:rPr>
            </w:pPr>
            <w:r w:rsidRPr="009353E6">
              <w:rPr>
                <w:sz w:val="22"/>
                <w:szCs w:val="22"/>
                <w:lang w:val="pl-PL" w:eastAsia="ja-JP"/>
              </w:rPr>
              <w:t>Tel: +420 234 655 111</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Magyarország</w:t>
            </w:r>
          </w:p>
          <w:p w:rsidR="00314B38" w:rsidRPr="009353E6" w:rsidRDefault="00314B38" w:rsidP="00314B38">
            <w:pPr>
              <w:pStyle w:val="BodyText"/>
              <w:spacing w:line="240" w:lineRule="auto"/>
              <w:jc w:val="left"/>
              <w:rPr>
                <w:sz w:val="22"/>
                <w:szCs w:val="22"/>
                <w:lang w:val="pl-PL" w:eastAsia="de-DE"/>
              </w:rPr>
            </w:pPr>
            <w:r w:rsidRPr="009353E6">
              <w:rPr>
                <w:sz w:val="22"/>
                <w:szCs w:val="22"/>
                <w:lang w:val="pl-PL" w:eastAsia="de-DE"/>
              </w:rPr>
              <w:t xml:space="preserve">Boehringer Ingelheim RCV GmbH &amp; Co KG </w:t>
            </w:r>
            <w:r w:rsidRPr="009353E6">
              <w:rPr>
                <w:bCs/>
                <w:sz w:val="22"/>
                <w:szCs w:val="22"/>
                <w:lang w:val="pl-PL"/>
              </w:rPr>
              <w:t>Magyarországi</w:t>
            </w:r>
            <w:r w:rsidRPr="009353E6">
              <w:rPr>
                <w:b/>
                <w:bCs/>
                <w:sz w:val="22"/>
                <w:szCs w:val="22"/>
                <w:lang w:val="pl-PL"/>
              </w:rPr>
              <w:t xml:space="preserve"> </w:t>
            </w:r>
            <w:r w:rsidRPr="009353E6">
              <w:rPr>
                <w:sz w:val="22"/>
                <w:szCs w:val="22"/>
                <w:lang w:val="pl-PL" w:eastAsia="de-DE"/>
              </w:rPr>
              <w:t>Fióktelepe</w:t>
            </w:r>
          </w:p>
          <w:p w:rsidR="00943AC1" w:rsidRPr="009353E6" w:rsidRDefault="00314B38" w:rsidP="00314B38">
            <w:pPr>
              <w:pStyle w:val="BodyText"/>
              <w:spacing w:line="240" w:lineRule="auto"/>
              <w:jc w:val="left"/>
              <w:rPr>
                <w:sz w:val="22"/>
                <w:szCs w:val="22"/>
                <w:lang w:val="pl-PL"/>
              </w:rPr>
            </w:pPr>
            <w:r w:rsidRPr="009353E6">
              <w:rPr>
                <w:sz w:val="22"/>
                <w:szCs w:val="22"/>
                <w:lang w:val="pl-PL" w:eastAsia="de-DE"/>
              </w:rPr>
              <w:t xml:space="preserve">Tel.: </w:t>
            </w:r>
            <w:r w:rsidRPr="009353E6">
              <w:rPr>
                <w:sz w:val="22"/>
                <w:szCs w:val="22"/>
                <w:lang w:val="pl-PL"/>
              </w:rPr>
              <w:t>+36 1 299 8900</w:t>
            </w:r>
          </w:p>
          <w:p w:rsidR="00314B38" w:rsidRPr="009353E6" w:rsidRDefault="00314B38"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Before w:val="1"/>
          <w:gridAfter w:val="1"/>
          <w:wBefore w:w="34" w:type="dxa"/>
          <w:wAfter w:w="52" w:type="dxa"/>
        </w:trPr>
        <w:tc>
          <w:tcPr>
            <w:tcW w:w="4644" w:type="dxa"/>
            <w:gridSpan w:val="2"/>
          </w:tcPr>
          <w:p w:rsidR="00943AC1" w:rsidRPr="009353E6" w:rsidRDefault="00943AC1" w:rsidP="00F831F6">
            <w:pPr>
              <w:pStyle w:val="BodyText"/>
              <w:spacing w:line="240" w:lineRule="auto"/>
              <w:jc w:val="left"/>
              <w:rPr>
                <w:b/>
                <w:sz w:val="22"/>
                <w:szCs w:val="22"/>
                <w:lang w:val="pl-PL"/>
              </w:rPr>
            </w:pPr>
            <w:r w:rsidRPr="009353E6">
              <w:rPr>
                <w:b/>
                <w:bCs/>
                <w:sz w:val="22"/>
                <w:szCs w:val="22"/>
                <w:lang w:val="pl-PL"/>
              </w:rPr>
              <w:t>Danmark</w:t>
            </w:r>
          </w:p>
          <w:p w:rsidR="0009268C" w:rsidRPr="009353E6" w:rsidRDefault="00943AC1" w:rsidP="00F831F6">
            <w:pPr>
              <w:pStyle w:val="BodyText"/>
              <w:spacing w:line="240" w:lineRule="auto"/>
              <w:jc w:val="left"/>
              <w:rPr>
                <w:sz w:val="22"/>
                <w:szCs w:val="22"/>
                <w:lang w:val="pl-PL" w:eastAsia="ja-JP"/>
              </w:rPr>
            </w:pPr>
            <w:r w:rsidRPr="009353E6">
              <w:rPr>
                <w:sz w:val="22"/>
                <w:szCs w:val="22"/>
                <w:lang w:val="pl-PL" w:eastAsia="ja-JP"/>
              </w:rPr>
              <w:t xml:space="preserve">Boehringer Ingelheim </w:t>
            </w:r>
            <w:r w:rsidR="0009268C" w:rsidRPr="009353E6">
              <w:rPr>
                <w:sz w:val="22"/>
                <w:szCs w:val="22"/>
                <w:lang w:val="pl-PL" w:eastAsia="ja-JP"/>
              </w:rPr>
              <w:t xml:space="preserve">Denmark A/S </w:t>
            </w:r>
          </w:p>
          <w:p w:rsidR="00943AC1" w:rsidRPr="009353E6" w:rsidRDefault="00943AC1" w:rsidP="00F831F6">
            <w:pPr>
              <w:pStyle w:val="BodyText"/>
              <w:spacing w:line="240" w:lineRule="auto"/>
              <w:jc w:val="left"/>
              <w:rPr>
                <w:sz w:val="22"/>
                <w:szCs w:val="22"/>
                <w:lang w:val="pl-PL"/>
              </w:rPr>
            </w:pPr>
            <w:r w:rsidRPr="009353E6">
              <w:rPr>
                <w:sz w:val="22"/>
                <w:szCs w:val="22"/>
                <w:lang w:val="pl-PL" w:eastAsia="ja-JP"/>
              </w:rPr>
              <w:t>Tlf: +45 39 15 88</w:t>
            </w:r>
            <w:r w:rsidR="0009268C" w:rsidRPr="009353E6">
              <w:rPr>
                <w:sz w:val="22"/>
                <w:szCs w:val="22"/>
                <w:lang w:val="pl-PL" w:eastAsia="ja-JP"/>
              </w:rPr>
              <w:t xml:space="preserve"> 88</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Malta</w:t>
            </w:r>
          </w:p>
          <w:p w:rsidR="004405E1" w:rsidRPr="009353E6" w:rsidRDefault="004405E1" w:rsidP="004405E1">
            <w:pPr>
              <w:rPr>
                <w:sz w:val="22"/>
                <w:szCs w:val="22"/>
                <w:lang w:val="pl-PL" w:eastAsia="ja-JP"/>
              </w:rPr>
            </w:pPr>
            <w:r w:rsidRPr="009353E6">
              <w:rPr>
                <w:sz w:val="22"/>
                <w:szCs w:val="22"/>
                <w:lang w:val="pl-PL" w:eastAsia="ja-JP"/>
              </w:rPr>
              <w:t>Boehringer Ingelheim Ireland Ltd.</w:t>
            </w:r>
          </w:p>
          <w:p w:rsidR="00943AC1" w:rsidRPr="009353E6" w:rsidRDefault="004405E1" w:rsidP="00314B38">
            <w:pPr>
              <w:pStyle w:val="BodyText"/>
              <w:spacing w:line="240" w:lineRule="auto"/>
              <w:jc w:val="left"/>
              <w:rPr>
                <w:sz w:val="22"/>
                <w:szCs w:val="22"/>
                <w:lang w:val="pl-PL" w:eastAsia="ja-JP"/>
              </w:rPr>
            </w:pPr>
            <w:r w:rsidRPr="009353E6">
              <w:rPr>
                <w:sz w:val="22"/>
                <w:szCs w:val="22"/>
                <w:lang w:val="pl-PL" w:eastAsia="ja-JP"/>
              </w:rPr>
              <w:t>Tel: +353 1 295 9620</w:t>
            </w:r>
          </w:p>
          <w:p w:rsidR="00314B38" w:rsidRPr="009353E6" w:rsidRDefault="00314B38"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Before w:val="1"/>
          <w:gridAfter w:val="1"/>
          <w:wBefore w:w="34" w:type="dxa"/>
          <w:wAfter w:w="52" w:type="dxa"/>
        </w:trPr>
        <w:tc>
          <w:tcPr>
            <w:tcW w:w="4644" w:type="dxa"/>
            <w:gridSpan w:val="2"/>
          </w:tcPr>
          <w:p w:rsidR="00943AC1" w:rsidRPr="009353E6" w:rsidRDefault="00943AC1" w:rsidP="00F831F6">
            <w:pPr>
              <w:pStyle w:val="BodyText"/>
              <w:spacing w:line="240" w:lineRule="auto"/>
              <w:jc w:val="left"/>
              <w:rPr>
                <w:b/>
                <w:sz w:val="22"/>
                <w:szCs w:val="22"/>
                <w:lang w:val="pl-PL"/>
              </w:rPr>
            </w:pPr>
            <w:r w:rsidRPr="009353E6">
              <w:rPr>
                <w:b/>
                <w:bCs/>
                <w:sz w:val="22"/>
                <w:szCs w:val="22"/>
                <w:lang w:val="pl-PL"/>
              </w:rPr>
              <w:t>Deutschland</w:t>
            </w:r>
          </w:p>
          <w:p w:rsidR="00943AC1" w:rsidRPr="009353E6" w:rsidRDefault="00943AC1" w:rsidP="00F831F6">
            <w:pPr>
              <w:pStyle w:val="BodyText"/>
              <w:spacing w:line="240" w:lineRule="auto"/>
              <w:jc w:val="left"/>
              <w:rPr>
                <w:sz w:val="22"/>
                <w:szCs w:val="22"/>
                <w:lang w:val="pl-PL" w:eastAsia="ja-JP"/>
              </w:rPr>
            </w:pPr>
            <w:r w:rsidRPr="009353E6">
              <w:rPr>
                <w:sz w:val="22"/>
                <w:szCs w:val="22"/>
                <w:lang w:val="pl-PL" w:eastAsia="ja-JP"/>
              </w:rPr>
              <w:t>Boehringer Ingelheim Pharma GmbH &amp; Co. KG</w:t>
            </w:r>
          </w:p>
          <w:p w:rsidR="00943AC1" w:rsidRPr="009353E6" w:rsidRDefault="00943AC1" w:rsidP="00F831F6">
            <w:pPr>
              <w:pStyle w:val="BodyText"/>
              <w:spacing w:line="240" w:lineRule="auto"/>
              <w:jc w:val="left"/>
              <w:rPr>
                <w:sz w:val="22"/>
                <w:szCs w:val="22"/>
                <w:lang w:val="pl-PL" w:eastAsia="ja-JP"/>
              </w:rPr>
            </w:pPr>
            <w:r w:rsidRPr="009353E6">
              <w:rPr>
                <w:sz w:val="22"/>
                <w:szCs w:val="22"/>
                <w:lang w:val="pl-PL" w:eastAsia="ja-JP"/>
              </w:rPr>
              <w:t>Tel: +49 1805 / 77 90 90</w:t>
            </w:r>
          </w:p>
          <w:p w:rsidR="00030DF3" w:rsidRPr="009353E6" w:rsidRDefault="00030DF3" w:rsidP="00F831F6">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Nederland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b.v.</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+31 (0) 800 22 55 889</w:t>
            </w:r>
          </w:p>
          <w:p w:rsidR="00943AC1" w:rsidRPr="009353E6" w:rsidRDefault="00943AC1"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Before w:val="1"/>
          <w:gridAfter w:val="1"/>
          <w:wBefore w:w="34" w:type="dxa"/>
          <w:wAfter w:w="52" w:type="dxa"/>
        </w:trPr>
        <w:tc>
          <w:tcPr>
            <w:tcW w:w="4644" w:type="dxa"/>
            <w:gridSpan w:val="2"/>
          </w:tcPr>
          <w:p w:rsidR="009A6C23" w:rsidRPr="009353E6" w:rsidRDefault="009A6C23" w:rsidP="009A6C23">
            <w:pPr>
              <w:tabs>
                <w:tab w:val="left" w:pos="-720"/>
              </w:tabs>
              <w:suppressAutoHyphens/>
              <w:rPr>
                <w:b/>
                <w:bCs/>
                <w:sz w:val="22"/>
                <w:szCs w:val="22"/>
                <w:lang w:val="pl-PL"/>
              </w:rPr>
            </w:pPr>
            <w:r w:rsidRPr="009353E6">
              <w:rPr>
                <w:b/>
                <w:bCs/>
                <w:sz w:val="22"/>
                <w:szCs w:val="22"/>
                <w:lang w:val="pl-PL"/>
              </w:rPr>
              <w:t>Eesti</w:t>
            </w:r>
          </w:p>
          <w:p w:rsidR="009A6C23" w:rsidRPr="009353E6" w:rsidRDefault="009A6C23" w:rsidP="009A6C23">
            <w:pPr>
              <w:tabs>
                <w:tab w:val="left" w:pos="-720"/>
              </w:tabs>
              <w:suppressAutoHyphens/>
              <w:rPr>
                <w:sz w:val="22"/>
                <w:szCs w:val="22"/>
                <w:lang w:val="pl-PL" w:eastAsia="ja-JP"/>
              </w:rPr>
            </w:pPr>
            <w:r w:rsidRPr="009353E6">
              <w:rPr>
                <w:sz w:val="22"/>
                <w:szCs w:val="22"/>
                <w:lang w:val="pl-PL" w:eastAsia="ja-JP"/>
              </w:rPr>
              <w:t>Boehringer Ingelheim RCV GmbH &amp; Co KG</w:t>
            </w:r>
          </w:p>
          <w:p w:rsidR="009A6C23" w:rsidRPr="009353E6" w:rsidRDefault="009A6C23" w:rsidP="009A6C23">
            <w:pPr>
              <w:tabs>
                <w:tab w:val="left" w:pos="-720"/>
              </w:tabs>
              <w:suppressAutoHyphens/>
              <w:rPr>
                <w:sz w:val="22"/>
                <w:szCs w:val="22"/>
                <w:lang w:val="pl-PL" w:eastAsia="de-DE"/>
              </w:rPr>
            </w:pPr>
            <w:r w:rsidRPr="009353E6">
              <w:rPr>
                <w:sz w:val="22"/>
                <w:szCs w:val="22"/>
                <w:lang w:val="pl-PL" w:eastAsia="de-DE"/>
              </w:rPr>
              <w:t>Eesti Filiaal</w:t>
            </w:r>
          </w:p>
          <w:p w:rsidR="009A6C23" w:rsidRPr="009353E6" w:rsidRDefault="009A6C23" w:rsidP="009A6C23">
            <w:pPr>
              <w:tabs>
                <w:tab w:val="left" w:pos="-720"/>
              </w:tabs>
              <w:suppressAutoHyphens/>
              <w:rPr>
                <w:sz w:val="22"/>
                <w:szCs w:val="22"/>
                <w:lang w:val="pl-PL" w:eastAsia="ja-JP"/>
              </w:rPr>
            </w:pPr>
            <w:r w:rsidRPr="009353E6">
              <w:rPr>
                <w:sz w:val="22"/>
                <w:szCs w:val="22"/>
                <w:lang w:val="pl-PL" w:eastAsia="ja-JP"/>
              </w:rPr>
              <w:t>Tel: +372 612 8000</w:t>
            </w:r>
          </w:p>
          <w:p w:rsidR="00943AC1" w:rsidRPr="009353E6" w:rsidRDefault="009A6C23" w:rsidP="00F831F6">
            <w:pPr>
              <w:pStyle w:val="BodyText"/>
              <w:spacing w:line="240" w:lineRule="auto"/>
              <w:jc w:val="left"/>
              <w:rPr>
                <w:sz w:val="22"/>
                <w:szCs w:val="22"/>
                <w:lang w:val="pl-PL"/>
              </w:rPr>
            </w:pPr>
            <w:r w:rsidRPr="009353E6">
              <w:rPr>
                <w:sz w:val="22"/>
                <w:szCs w:val="22"/>
                <w:lang w:val="pl-PL" w:eastAsia="ja-JP"/>
              </w:rPr>
              <w:t> </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Norge</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Norway KS</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Tlf: +47 66 76 13 00</w:t>
            </w:r>
          </w:p>
          <w:p w:rsidR="00943AC1" w:rsidRPr="009353E6" w:rsidRDefault="00943AC1" w:rsidP="00F831F6">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Before w:val="1"/>
          <w:gridAfter w:val="1"/>
          <w:wBefore w:w="34" w:type="dxa"/>
          <w:wAfter w:w="52" w:type="dxa"/>
        </w:trPr>
        <w:tc>
          <w:tcPr>
            <w:tcW w:w="4644" w:type="dxa"/>
            <w:gridSpan w:val="2"/>
          </w:tcPr>
          <w:p w:rsidR="00943AC1" w:rsidRPr="009353E6" w:rsidRDefault="00943AC1" w:rsidP="00F831F6">
            <w:pPr>
              <w:pStyle w:val="BodyText"/>
              <w:spacing w:line="240" w:lineRule="auto"/>
              <w:jc w:val="left"/>
              <w:rPr>
                <w:b/>
                <w:sz w:val="22"/>
                <w:szCs w:val="22"/>
                <w:lang w:val="pl-PL"/>
              </w:rPr>
            </w:pPr>
            <w:r w:rsidRPr="009353E6">
              <w:rPr>
                <w:b/>
                <w:bCs/>
                <w:sz w:val="22"/>
                <w:szCs w:val="22"/>
                <w:lang w:val="pl-PL"/>
              </w:rPr>
              <w:t>Ελλάδα</w:t>
            </w:r>
          </w:p>
          <w:p w:rsidR="00943AC1" w:rsidRPr="009353E6" w:rsidRDefault="00943AC1" w:rsidP="00F831F6">
            <w:pPr>
              <w:pStyle w:val="BodyText"/>
              <w:spacing w:line="240" w:lineRule="auto"/>
              <w:jc w:val="left"/>
              <w:rPr>
                <w:sz w:val="22"/>
                <w:szCs w:val="22"/>
                <w:lang w:val="pl-PL" w:eastAsia="ja-JP"/>
              </w:rPr>
            </w:pPr>
            <w:r w:rsidRPr="009353E6">
              <w:rPr>
                <w:sz w:val="22"/>
                <w:szCs w:val="22"/>
                <w:lang w:val="pl-PL" w:eastAsia="ja-JP"/>
              </w:rPr>
              <w:t>Boehringer Ingelheim Ellas A.E.</w:t>
            </w:r>
          </w:p>
          <w:p w:rsidR="00943AC1" w:rsidRPr="009353E6" w:rsidRDefault="00943AC1" w:rsidP="00F831F6">
            <w:pPr>
              <w:pStyle w:val="BodyText"/>
              <w:spacing w:line="240" w:lineRule="auto"/>
              <w:jc w:val="left"/>
              <w:rPr>
                <w:sz w:val="22"/>
                <w:szCs w:val="22"/>
                <w:lang w:val="pl-PL"/>
              </w:rPr>
            </w:pPr>
            <w:r w:rsidRPr="009353E6">
              <w:rPr>
                <w:sz w:val="22"/>
                <w:szCs w:val="22"/>
                <w:lang w:val="pl-PL" w:eastAsia="ja-JP"/>
              </w:rPr>
              <w:t>Tηλ: +30 2 10 89 06 300</w:t>
            </w:r>
          </w:p>
        </w:tc>
        <w:tc>
          <w:tcPr>
            <w:tcW w:w="4678" w:type="dxa"/>
            <w:gridSpan w:val="2"/>
          </w:tcPr>
          <w:p w:rsidR="00314B38" w:rsidRPr="009353E6" w:rsidRDefault="00314B38" w:rsidP="00314B38">
            <w:pPr>
              <w:rPr>
                <w:sz w:val="22"/>
                <w:szCs w:val="22"/>
                <w:lang w:val="pl-PL"/>
              </w:rPr>
            </w:pPr>
            <w:r w:rsidRPr="009353E6">
              <w:rPr>
                <w:b/>
                <w:bCs/>
                <w:sz w:val="22"/>
                <w:szCs w:val="22"/>
                <w:lang w:val="pl-PL"/>
              </w:rPr>
              <w:t>Österreich</w:t>
            </w:r>
          </w:p>
          <w:p w:rsidR="00314B38" w:rsidRPr="009353E6" w:rsidRDefault="00314B38" w:rsidP="00314B38">
            <w:pPr>
              <w:autoSpaceDE w:val="0"/>
              <w:autoSpaceDN w:val="0"/>
              <w:adjustRightInd w:val="0"/>
              <w:rPr>
                <w:sz w:val="22"/>
                <w:szCs w:val="22"/>
                <w:lang w:val="pl-PL" w:eastAsia="de-DE"/>
              </w:rPr>
            </w:pPr>
            <w:r w:rsidRPr="009353E6">
              <w:rPr>
                <w:sz w:val="22"/>
                <w:szCs w:val="22"/>
                <w:lang w:val="pl-PL" w:eastAsia="de-DE"/>
              </w:rPr>
              <w:t>Boehringer Ingelheim RCV GmbH &amp; Co KG</w:t>
            </w:r>
          </w:p>
          <w:p w:rsidR="00943AC1" w:rsidRPr="009353E6" w:rsidRDefault="00314B38" w:rsidP="00314B38">
            <w:pPr>
              <w:pStyle w:val="BodyText"/>
              <w:spacing w:line="240" w:lineRule="auto"/>
              <w:jc w:val="left"/>
              <w:rPr>
                <w:sz w:val="22"/>
                <w:szCs w:val="22"/>
                <w:lang w:val="pl-PL" w:eastAsia="de-DE"/>
              </w:rPr>
            </w:pPr>
            <w:r w:rsidRPr="009353E6">
              <w:rPr>
                <w:sz w:val="22"/>
                <w:szCs w:val="22"/>
                <w:lang w:val="pl-PL" w:eastAsia="de-DE"/>
              </w:rPr>
              <w:t xml:space="preserve">Tel: </w:t>
            </w:r>
            <w:r w:rsidR="00365117" w:rsidRPr="009353E6">
              <w:rPr>
                <w:sz w:val="22"/>
                <w:szCs w:val="22"/>
                <w:lang w:val="pl-PL" w:eastAsia="de-DE"/>
              </w:rPr>
              <w:t>+43 1 80 105-7870</w:t>
            </w:r>
          </w:p>
          <w:p w:rsidR="00314B38" w:rsidRPr="009353E6" w:rsidRDefault="00314B38"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After w:val="1"/>
          <w:wAfter w:w="52" w:type="dxa"/>
        </w:trPr>
        <w:tc>
          <w:tcPr>
            <w:tcW w:w="4678" w:type="dxa"/>
            <w:gridSpan w:val="3"/>
          </w:tcPr>
          <w:p w:rsidR="00943AC1" w:rsidRPr="009353E6" w:rsidRDefault="00943AC1" w:rsidP="00F831F6">
            <w:pPr>
              <w:pStyle w:val="BodyText"/>
              <w:spacing w:line="240" w:lineRule="auto"/>
              <w:jc w:val="left"/>
              <w:rPr>
                <w:b/>
                <w:bCs/>
                <w:sz w:val="22"/>
                <w:szCs w:val="22"/>
                <w:lang w:val="pl-PL"/>
              </w:rPr>
            </w:pPr>
            <w:r w:rsidRPr="009353E6">
              <w:rPr>
                <w:b/>
                <w:bCs/>
                <w:sz w:val="22"/>
                <w:szCs w:val="22"/>
                <w:lang w:val="pl-PL"/>
              </w:rPr>
              <w:t>España</w:t>
            </w:r>
          </w:p>
          <w:p w:rsidR="00943AC1" w:rsidRPr="009353E6" w:rsidRDefault="00943AC1" w:rsidP="00F831F6">
            <w:pPr>
              <w:pStyle w:val="BodyText"/>
              <w:spacing w:line="240" w:lineRule="auto"/>
              <w:jc w:val="left"/>
              <w:rPr>
                <w:sz w:val="22"/>
                <w:szCs w:val="22"/>
                <w:lang w:val="pl-PL" w:eastAsia="ja-JP"/>
              </w:rPr>
            </w:pPr>
            <w:r w:rsidRPr="009353E6">
              <w:rPr>
                <w:sz w:val="22"/>
                <w:szCs w:val="22"/>
                <w:lang w:val="pl-PL" w:eastAsia="ja-JP"/>
              </w:rPr>
              <w:t>Boehringer Ingelheim España S.A.</w:t>
            </w:r>
          </w:p>
          <w:p w:rsidR="00943AC1" w:rsidRPr="009353E6" w:rsidRDefault="00943AC1" w:rsidP="00F831F6">
            <w:pPr>
              <w:pStyle w:val="BodyText"/>
              <w:spacing w:line="240" w:lineRule="auto"/>
              <w:jc w:val="left"/>
              <w:rPr>
                <w:sz w:val="22"/>
                <w:szCs w:val="22"/>
                <w:lang w:val="pl-PL"/>
              </w:rPr>
            </w:pPr>
            <w:r w:rsidRPr="009353E6">
              <w:rPr>
                <w:sz w:val="22"/>
                <w:szCs w:val="22"/>
                <w:lang w:val="pl-PL" w:eastAsia="ja-JP"/>
              </w:rPr>
              <w:t>Tel: +34 93 404 5</w:t>
            </w:r>
            <w:r w:rsidR="00DF6B61" w:rsidRPr="009353E6">
              <w:rPr>
                <w:sz w:val="22"/>
                <w:szCs w:val="22"/>
                <w:lang w:val="pl-PL" w:eastAsia="ja-JP"/>
              </w:rPr>
              <w:t>1</w:t>
            </w:r>
            <w:r w:rsidRPr="009353E6">
              <w:rPr>
                <w:sz w:val="22"/>
                <w:szCs w:val="22"/>
                <w:lang w:val="pl-PL" w:eastAsia="ja-JP"/>
              </w:rPr>
              <w:t xml:space="preserve"> 00</w:t>
            </w:r>
          </w:p>
          <w:p w:rsidR="00943AC1" w:rsidRPr="009353E6" w:rsidRDefault="00943AC1" w:rsidP="00F831F6">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bCs/>
                <w:i/>
                <w:iCs/>
                <w:sz w:val="22"/>
                <w:szCs w:val="22"/>
                <w:lang w:val="pl-PL"/>
              </w:rPr>
            </w:pPr>
            <w:r w:rsidRPr="009353E6">
              <w:rPr>
                <w:b/>
                <w:bCs/>
                <w:sz w:val="22"/>
                <w:szCs w:val="22"/>
                <w:lang w:val="pl-PL"/>
              </w:rPr>
              <w:t>Polska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Sp.</w:t>
            </w:r>
            <w:r w:rsidR="006457EB" w:rsidRPr="009353E6">
              <w:rPr>
                <w:sz w:val="22"/>
                <w:szCs w:val="22"/>
                <w:lang w:val="pl-PL" w:eastAsia="ja-JP"/>
              </w:rPr>
              <w:t xml:space="preserve"> </w:t>
            </w:r>
            <w:r w:rsidRPr="009353E6">
              <w:rPr>
                <w:sz w:val="22"/>
                <w:szCs w:val="22"/>
                <w:lang w:val="pl-PL" w:eastAsia="ja-JP"/>
              </w:rPr>
              <w:t>z o.o.</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+48 22 699 0 699</w:t>
            </w:r>
          </w:p>
          <w:p w:rsidR="00943AC1" w:rsidRPr="009353E6" w:rsidRDefault="00943AC1" w:rsidP="00F831F6">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After w:val="1"/>
          <w:wAfter w:w="52" w:type="dxa"/>
        </w:trPr>
        <w:tc>
          <w:tcPr>
            <w:tcW w:w="4678" w:type="dxa"/>
            <w:gridSpan w:val="3"/>
          </w:tcPr>
          <w:p w:rsidR="00943AC1" w:rsidRPr="009353E6" w:rsidRDefault="00943AC1" w:rsidP="00F831F6">
            <w:pPr>
              <w:pStyle w:val="BodyText"/>
              <w:spacing w:line="240" w:lineRule="auto"/>
              <w:jc w:val="left"/>
              <w:rPr>
                <w:b/>
                <w:bCs/>
                <w:sz w:val="22"/>
                <w:szCs w:val="22"/>
                <w:lang w:val="pl-PL"/>
              </w:rPr>
            </w:pPr>
            <w:r w:rsidRPr="009353E6">
              <w:rPr>
                <w:b/>
                <w:bCs/>
                <w:sz w:val="22"/>
                <w:szCs w:val="22"/>
                <w:lang w:val="pl-PL"/>
              </w:rPr>
              <w:t>France</w:t>
            </w:r>
          </w:p>
          <w:p w:rsidR="00943AC1" w:rsidRPr="009353E6" w:rsidRDefault="00943AC1" w:rsidP="00F831F6">
            <w:pPr>
              <w:pStyle w:val="BodyText"/>
              <w:spacing w:line="240" w:lineRule="auto"/>
              <w:jc w:val="left"/>
              <w:rPr>
                <w:sz w:val="22"/>
                <w:szCs w:val="22"/>
                <w:lang w:val="pl-PL" w:eastAsia="ja-JP"/>
              </w:rPr>
            </w:pPr>
            <w:r w:rsidRPr="009353E6">
              <w:rPr>
                <w:sz w:val="22"/>
                <w:szCs w:val="22"/>
                <w:lang w:val="pl-PL" w:eastAsia="ja-JP"/>
              </w:rPr>
              <w:t>Boehringer Ingelheim France S.A.S.</w:t>
            </w:r>
          </w:p>
          <w:p w:rsidR="00943AC1" w:rsidRPr="009353E6" w:rsidRDefault="00943AC1" w:rsidP="00F831F6">
            <w:pPr>
              <w:pStyle w:val="BodyText"/>
              <w:spacing w:line="240" w:lineRule="auto"/>
              <w:jc w:val="left"/>
              <w:rPr>
                <w:bCs/>
                <w:sz w:val="22"/>
                <w:szCs w:val="22"/>
                <w:lang w:val="pl-PL"/>
              </w:rPr>
            </w:pPr>
            <w:r w:rsidRPr="009353E6">
              <w:rPr>
                <w:sz w:val="22"/>
                <w:szCs w:val="22"/>
                <w:lang w:val="pl-PL" w:eastAsia="ja-JP"/>
              </w:rPr>
              <w:t>Tél: +33 3 26 50 45 33</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Portugal</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 xml:space="preserve">Boehringer Ingelheim, </w:t>
            </w:r>
            <w:r w:rsidR="009D0F13" w:rsidRPr="009353E6">
              <w:rPr>
                <w:sz w:val="22"/>
                <w:szCs w:val="22"/>
                <w:lang w:val="pl-PL" w:eastAsia="ja-JP"/>
              </w:rPr>
              <w:t xml:space="preserve">Unipessoal </w:t>
            </w:r>
            <w:r w:rsidRPr="009353E6">
              <w:rPr>
                <w:sz w:val="22"/>
                <w:szCs w:val="22"/>
                <w:lang w:val="pl-PL" w:eastAsia="ja-JP"/>
              </w:rPr>
              <w:t>Lda.</w:t>
            </w:r>
          </w:p>
          <w:p w:rsidR="00943AC1"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+351 21 313 53 00</w:t>
            </w:r>
          </w:p>
          <w:p w:rsidR="00314B38" w:rsidRPr="009353E6" w:rsidRDefault="00314B38"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After w:val="1"/>
          <w:wAfter w:w="52" w:type="dxa"/>
        </w:trPr>
        <w:tc>
          <w:tcPr>
            <w:tcW w:w="4678" w:type="dxa"/>
            <w:gridSpan w:val="3"/>
          </w:tcPr>
          <w:p w:rsidR="00314B38" w:rsidRPr="009353E6" w:rsidRDefault="00943AC1" w:rsidP="00314B38">
            <w:pPr>
              <w:pStyle w:val="HeadNoNum1"/>
              <w:rPr>
                <w:noProof w:val="0"/>
                <w:lang w:val="pl-PL"/>
              </w:rPr>
            </w:pPr>
            <w:r w:rsidRPr="009353E6">
              <w:rPr>
                <w:noProof w:val="0"/>
                <w:szCs w:val="22"/>
                <w:lang w:val="pl-PL"/>
              </w:rPr>
              <w:br w:type="page"/>
            </w:r>
            <w:r w:rsidR="00314B38" w:rsidRPr="009353E6">
              <w:rPr>
                <w:noProof w:val="0"/>
                <w:lang w:val="pl-PL"/>
              </w:rPr>
              <w:t>Hrvatska</w:t>
            </w:r>
          </w:p>
          <w:p w:rsidR="00314B38" w:rsidRPr="009353E6" w:rsidRDefault="00314B38" w:rsidP="00314B38">
            <w:pPr>
              <w:pStyle w:val="HeadNoNum1"/>
              <w:rPr>
                <w:b w:val="0"/>
                <w:noProof w:val="0"/>
                <w:lang w:val="pl-PL"/>
              </w:rPr>
            </w:pPr>
            <w:r w:rsidRPr="009353E6">
              <w:rPr>
                <w:b w:val="0"/>
                <w:noProof w:val="0"/>
                <w:lang w:val="pl-PL"/>
              </w:rPr>
              <w:t>Boehringer Ingelheim Zagreb d.o.o.</w:t>
            </w:r>
          </w:p>
          <w:p w:rsidR="00314B38" w:rsidRPr="009353E6" w:rsidRDefault="00314B38" w:rsidP="00314B38">
            <w:pPr>
              <w:pStyle w:val="HeadNoNum1"/>
              <w:rPr>
                <w:b w:val="0"/>
                <w:noProof w:val="0"/>
                <w:lang w:val="pl-PL"/>
              </w:rPr>
            </w:pPr>
            <w:r w:rsidRPr="009353E6">
              <w:rPr>
                <w:b w:val="0"/>
                <w:noProof w:val="0"/>
                <w:lang w:val="pl-PL"/>
              </w:rPr>
              <w:t>Tel: +385 1 2444 600</w:t>
            </w:r>
          </w:p>
          <w:p w:rsidR="00943AC1" w:rsidRPr="009353E6" w:rsidRDefault="00943AC1" w:rsidP="00314B38">
            <w:pPr>
              <w:pStyle w:val="BodyText"/>
              <w:spacing w:line="240" w:lineRule="auto"/>
              <w:jc w:val="left"/>
              <w:rPr>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România</w:t>
            </w:r>
          </w:p>
          <w:p w:rsidR="00314B38" w:rsidRPr="009353E6" w:rsidRDefault="00314B38" w:rsidP="00314B38">
            <w:pPr>
              <w:pStyle w:val="BodyText"/>
              <w:spacing w:line="240" w:lineRule="auto"/>
              <w:jc w:val="left"/>
              <w:rPr>
                <w:sz w:val="22"/>
                <w:szCs w:val="22"/>
                <w:lang w:val="pl-PL"/>
              </w:rPr>
            </w:pPr>
            <w:r w:rsidRPr="009353E6">
              <w:rPr>
                <w:sz w:val="22"/>
                <w:szCs w:val="22"/>
                <w:lang w:val="pl-PL"/>
              </w:rPr>
              <w:t xml:space="preserve">Boehringer Ingelheim RCV GmbH &amp; Co KG  Viena – Sucursala Bucuresti  </w:t>
            </w:r>
          </w:p>
          <w:p w:rsidR="00314B38" w:rsidRPr="009353E6" w:rsidRDefault="00314B38" w:rsidP="00314B38">
            <w:pPr>
              <w:pStyle w:val="BodyText"/>
              <w:spacing w:line="240" w:lineRule="auto"/>
              <w:jc w:val="left"/>
              <w:rPr>
                <w:sz w:val="22"/>
                <w:szCs w:val="22"/>
                <w:lang w:val="pl-PL"/>
              </w:rPr>
            </w:pPr>
            <w:r w:rsidRPr="009353E6">
              <w:rPr>
                <w:sz w:val="22"/>
                <w:szCs w:val="22"/>
                <w:lang w:val="pl-PL"/>
              </w:rPr>
              <w:t>Reprezentanţa din România</w:t>
            </w:r>
          </w:p>
          <w:p w:rsidR="00314B38" w:rsidRPr="009353E6" w:rsidRDefault="00314B38" w:rsidP="00314B38">
            <w:pPr>
              <w:pStyle w:val="BodyText"/>
              <w:spacing w:line="240" w:lineRule="auto"/>
              <w:jc w:val="left"/>
              <w:rPr>
                <w:sz w:val="22"/>
                <w:szCs w:val="22"/>
                <w:lang w:val="pl-PL"/>
              </w:rPr>
            </w:pPr>
            <w:r w:rsidRPr="009353E6">
              <w:rPr>
                <w:sz w:val="22"/>
                <w:szCs w:val="22"/>
                <w:lang w:val="pl-PL"/>
              </w:rPr>
              <w:t>Tel: +40 21 302 28 00</w:t>
            </w:r>
          </w:p>
          <w:p w:rsidR="00943AC1" w:rsidRPr="009353E6" w:rsidRDefault="00943AC1" w:rsidP="00314B38">
            <w:pPr>
              <w:pStyle w:val="BodyText"/>
              <w:spacing w:line="240" w:lineRule="auto"/>
              <w:jc w:val="left"/>
              <w:rPr>
                <w:sz w:val="22"/>
                <w:szCs w:val="22"/>
                <w:lang w:val="pl-PL"/>
              </w:rPr>
            </w:pPr>
          </w:p>
        </w:tc>
      </w:tr>
      <w:tr w:rsidR="00943AC1" w:rsidRPr="009353E6" w:rsidTr="005E3A9A">
        <w:tblPrEx>
          <w:tblCellMar>
            <w:top w:w="0" w:type="dxa"/>
            <w:bottom w:w="0" w:type="dxa"/>
          </w:tblCellMar>
        </w:tblPrEx>
        <w:trPr>
          <w:gridAfter w:val="1"/>
          <w:wAfter w:w="52" w:type="dxa"/>
        </w:trPr>
        <w:tc>
          <w:tcPr>
            <w:tcW w:w="4678" w:type="dxa"/>
            <w:gridSpan w:val="3"/>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Ireland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Ireland Ltd.</w:t>
            </w:r>
          </w:p>
          <w:p w:rsidR="00943AC1" w:rsidRPr="009353E6" w:rsidRDefault="00314B38" w:rsidP="00314B38">
            <w:pPr>
              <w:pStyle w:val="BodyText"/>
              <w:spacing w:line="240" w:lineRule="auto"/>
              <w:jc w:val="left"/>
              <w:rPr>
                <w:sz w:val="22"/>
                <w:szCs w:val="22"/>
                <w:lang w:val="pl-PL"/>
              </w:rPr>
            </w:pPr>
            <w:r w:rsidRPr="009353E6">
              <w:rPr>
                <w:sz w:val="22"/>
                <w:szCs w:val="22"/>
                <w:lang w:val="pl-PL" w:eastAsia="ja-JP"/>
              </w:rPr>
              <w:t>Tel: +353 1 295 9620</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Slovenija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rPr>
              <w:t>Boehringer Ingelheim RCV GmbH &amp; Co KG  P</w:t>
            </w:r>
            <w:r w:rsidRPr="009353E6">
              <w:rPr>
                <w:sz w:val="22"/>
                <w:szCs w:val="22"/>
                <w:lang w:val="pl-PL" w:eastAsia="ja-JP"/>
              </w:rPr>
              <w:t>odružnica Ljubljana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+386 1 586 40 00</w:t>
            </w:r>
          </w:p>
          <w:p w:rsidR="00943AC1" w:rsidRPr="009353E6" w:rsidRDefault="00943AC1" w:rsidP="00F831F6">
            <w:pPr>
              <w:pStyle w:val="BodyText"/>
              <w:spacing w:line="240" w:lineRule="auto"/>
              <w:jc w:val="left"/>
              <w:rPr>
                <w:bCs/>
                <w:sz w:val="22"/>
                <w:szCs w:val="22"/>
                <w:lang w:val="pl-PL"/>
              </w:rPr>
            </w:pPr>
          </w:p>
        </w:tc>
      </w:tr>
      <w:tr w:rsidR="000A739F"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5E3A9A">
            <w:pPr>
              <w:pStyle w:val="BodyText"/>
              <w:keepNext/>
              <w:spacing w:line="240" w:lineRule="auto"/>
              <w:jc w:val="left"/>
              <w:rPr>
                <w:b/>
                <w:bCs/>
                <w:sz w:val="22"/>
                <w:szCs w:val="22"/>
                <w:lang w:val="pl-PL"/>
              </w:rPr>
            </w:pPr>
            <w:r w:rsidRPr="009353E6">
              <w:rPr>
                <w:b/>
                <w:bCs/>
                <w:sz w:val="22"/>
                <w:szCs w:val="22"/>
                <w:lang w:val="pl-PL"/>
              </w:rPr>
              <w:t>Ísland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Vistor hf.</w:t>
            </w:r>
          </w:p>
          <w:p w:rsidR="00314B38" w:rsidRPr="009353E6" w:rsidRDefault="00314B38" w:rsidP="00314B38">
            <w:pPr>
              <w:pStyle w:val="BodyText"/>
              <w:spacing w:line="240" w:lineRule="auto"/>
              <w:jc w:val="left"/>
              <w:rPr>
                <w:sz w:val="22"/>
                <w:szCs w:val="22"/>
                <w:lang w:val="pl-PL"/>
              </w:rPr>
            </w:pPr>
            <w:r w:rsidRPr="009353E6">
              <w:rPr>
                <w:sz w:val="22"/>
                <w:szCs w:val="22"/>
                <w:lang w:val="pl-PL"/>
              </w:rPr>
              <w:t>Sími</w:t>
            </w:r>
            <w:r w:rsidRPr="009353E6">
              <w:rPr>
                <w:sz w:val="22"/>
                <w:szCs w:val="22"/>
                <w:lang w:val="pl-PL" w:eastAsia="ja-JP"/>
              </w:rPr>
              <w:t>: +354 535 7000</w:t>
            </w:r>
          </w:p>
          <w:p w:rsidR="000A739F" w:rsidRPr="009353E6" w:rsidRDefault="000A739F" w:rsidP="00F831F6">
            <w:pPr>
              <w:pStyle w:val="BodyText"/>
              <w:spacing w:line="240" w:lineRule="auto"/>
              <w:jc w:val="left"/>
              <w:rPr>
                <w:bCs/>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Slovenská republika</w:t>
            </w:r>
          </w:p>
          <w:p w:rsidR="00314B38" w:rsidRPr="009353E6" w:rsidRDefault="00314B38" w:rsidP="00314B38">
            <w:pPr>
              <w:pStyle w:val="BodyText"/>
              <w:spacing w:line="240" w:lineRule="auto"/>
              <w:jc w:val="left"/>
              <w:rPr>
                <w:sz w:val="22"/>
                <w:szCs w:val="22"/>
                <w:lang w:val="pl-PL" w:eastAsia="de-DE"/>
              </w:rPr>
            </w:pPr>
            <w:r w:rsidRPr="009353E6">
              <w:rPr>
                <w:sz w:val="22"/>
                <w:szCs w:val="22"/>
                <w:lang w:val="pl-PL"/>
              </w:rPr>
              <w:t xml:space="preserve">Boehringer Ingelheim RCV GmbH &amp; Co KG  </w:t>
            </w:r>
            <w:r w:rsidRPr="009353E6">
              <w:rPr>
                <w:sz w:val="22"/>
                <w:szCs w:val="22"/>
                <w:lang w:val="pl-PL" w:eastAsia="de-DE"/>
              </w:rPr>
              <w:t>organizačná zložka</w:t>
            </w:r>
          </w:p>
          <w:p w:rsidR="000A739F" w:rsidRPr="009353E6" w:rsidRDefault="00314B38" w:rsidP="00314B38">
            <w:pPr>
              <w:pStyle w:val="BodyText"/>
              <w:spacing w:line="240" w:lineRule="auto"/>
              <w:jc w:val="left"/>
              <w:rPr>
                <w:sz w:val="22"/>
                <w:szCs w:val="22"/>
                <w:lang w:val="pl-PL" w:eastAsia="de-DE"/>
              </w:rPr>
            </w:pPr>
            <w:r w:rsidRPr="009353E6">
              <w:rPr>
                <w:sz w:val="22"/>
                <w:szCs w:val="22"/>
                <w:lang w:val="pl-PL" w:eastAsia="de-DE"/>
              </w:rPr>
              <w:t>Tel: +421 2 5810 1211</w:t>
            </w:r>
          </w:p>
          <w:p w:rsidR="00314B38" w:rsidRPr="009353E6" w:rsidRDefault="00314B38" w:rsidP="00314B38">
            <w:pPr>
              <w:pStyle w:val="BodyText"/>
              <w:spacing w:line="240" w:lineRule="auto"/>
              <w:jc w:val="left"/>
              <w:rPr>
                <w:sz w:val="22"/>
                <w:szCs w:val="22"/>
                <w:lang w:val="pl-PL"/>
              </w:rPr>
            </w:pPr>
          </w:p>
        </w:tc>
      </w:tr>
      <w:tr w:rsidR="000A739F"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Italia</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Italia S.p.A.</w:t>
            </w:r>
          </w:p>
          <w:p w:rsidR="000A739F" w:rsidRPr="009353E6" w:rsidRDefault="00314B38" w:rsidP="00314B38">
            <w:pPr>
              <w:pStyle w:val="BodyText"/>
              <w:spacing w:line="240" w:lineRule="auto"/>
              <w:jc w:val="left"/>
              <w:rPr>
                <w:bCs/>
                <w:sz w:val="22"/>
                <w:szCs w:val="22"/>
                <w:lang w:val="pl-PL"/>
              </w:rPr>
            </w:pPr>
            <w:r w:rsidRPr="009353E6">
              <w:rPr>
                <w:sz w:val="22"/>
                <w:szCs w:val="22"/>
                <w:lang w:val="pl-PL" w:eastAsia="ja-JP"/>
              </w:rPr>
              <w:t>Tel: +39 02 5355 1</w:t>
            </w:r>
          </w:p>
        </w:tc>
        <w:tc>
          <w:tcPr>
            <w:tcW w:w="4678" w:type="dxa"/>
            <w:gridSpan w:val="2"/>
          </w:tcPr>
          <w:p w:rsidR="00314B38" w:rsidRPr="009353E6" w:rsidRDefault="00314B38" w:rsidP="00314B38">
            <w:pPr>
              <w:pStyle w:val="BodyText"/>
              <w:spacing w:line="240" w:lineRule="auto"/>
              <w:jc w:val="left"/>
              <w:rPr>
                <w:b/>
                <w:sz w:val="22"/>
                <w:szCs w:val="22"/>
                <w:lang w:val="pl-PL"/>
              </w:rPr>
            </w:pPr>
            <w:r w:rsidRPr="009353E6">
              <w:rPr>
                <w:b/>
                <w:bCs/>
                <w:sz w:val="22"/>
                <w:szCs w:val="22"/>
                <w:lang w:val="pl-PL"/>
              </w:rPr>
              <w:t>Suomi/Finland</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Finland Ky</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Puh/Tel: +358 10 3102 800</w:t>
            </w:r>
          </w:p>
          <w:p w:rsidR="000A739F" w:rsidRPr="009353E6" w:rsidRDefault="000A739F" w:rsidP="00314B38">
            <w:pPr>
              <w:pStyle w:val="BodyText"/>
              <w:spacing w:line="240" w:lineRule="auto"/>
              <w:jc w:val="left"/>
              <w:rPr>
                <w:bCs/>
                <w:sz w:val="22"/>
                <w:szCs w:val="22"/>
                <w:lang w:val="pl-PL"/>
              </w:rPr>
            </w:pPr>
          </w:p>
        </w:tc>
      </w:tr>
      <w:tr w:rsidR="000A739F"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Κύπρος</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Ellas A.E.</w:t>
            </w:r>
          </w:p>
          <w:p w:rsidR="000A739F" w:rsidRPr="009353E6" w:rsidRDefault="00314B38" w:rsidP="00314B38">
            <w:pPr>
              <w:pStyle w:val="BodyText"/>
              <w:spacing w:line="240" w:lineRule="auto"/>
              <w:jc w:val="left"/>
              <w:rPr>
                <w:sz w:val="22"/>
                <w:szCs w:val="22"/>
                <w:lang w:val="pl-PL"/>
              </w:rPr>
            </w:pPr>
            <w:r w:rsidRPr="009353E6">
              <w:rPr>
                <w:sz w:val="22"/>
                <w:szCs w:val="22"/>
                <w:lang w:val="pl-PL" w:eastAsia="ja-JP"/>
              </w:rPr>
              <w:t>Tηλ: +30 2 10 89 06 300</w:t>
            </w: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Sverige</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AB</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Tel: +46 8 721 21 00</w:t>
            </w:r>
          </w:p>
          <w:p w:rsidR="000A739F" w:rsidRPr="009353E6" w:rsidRDefault="000A739F" w:rsidP="00F831F6">
            <w:pPr>
              <w:pStyle w:val="BodyText"/>
              <w:spacing w:line="240" w:lineRule="auto"/>
              <w:jc w:val="left"/>
              <w:rPr>
                <w:sz w:val="22"/>
                <w:szCs w:val="22"/>
                <w:lang w:val="pl-PL"/>
              </w:rPr>
            </w:pPr>
          </w:p>
        </w:tc>
      </w:tr>
      <w:tr w:rsidR="000A739F" w:rsidRPr="009353E6" w:rsidTr="005E3A9A">
        <w:tblPrEx>
          <w:tblCellMar>
            <w:top w:w="0" w:type="dxa"/>
            <w:bottom w:w="0" w:type="dxa"/>
          </w:tblCellMar>
        </w:tblPrEx>
        <w:trPr>
          <w:gridBefore w:val="2"/>
          <w:wBefore w:w="52" w:type="dxa"/>
        </w:trPr>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Latvija</w:t>
            </w:r>
          </w:p>
          <w:p w:rsidR="00314B38" w:rsidRPr="009353E6" w:rsidRDefault="00314B38" w:rsidP="00314B38">
            <w:pPr>
              <w:tabs>
                <w:tab w:val="left" w:pos="-720"/>
              </w:tabs>
              <w:suppressAutoHyphens/>
              <w:rPr>
                <w:sz w:val="22"/>
                <w:szCs w:val="22"/>
                <w:lang w:val="pl-PL" w:eastAsia="ja-JP"/>
              </w:rPr>
            </w:pPr>
            <w:r w:rsidRPr="009353E6">
              <w:rPr>
                <w:sz w:val="22"/>
                <w:szCs w:val="22"/>
                <w:lang w:val="pl-PL" w:eastAsia="ja-JP"/>
              </w:rPr>
              <w:t>Boehringer Ingelheim RCV GmbH &amp; Co KG</w:t>
            </w:r>
          </w:p>
          <w:p w:rsidR="00314B38" w:rsidRPr="009353E6" w:rsidRDefault="00314B38" w:rsidP="00314B38">
            <w:pPr>
              <w:tabs>
                <w:tab w:val="left" w:pos="-720"/>
              </w:tabs>
              <w:suppressAutoHyphens/>
              <w:rPr>
                <w:sz w:val="22"/>
                <w:szCs w:val="22"/>
                <w:lang w:val="pl-PL" w:eastAsia="ja-JP"/>
              </w:rPr>
            </w:pPr>
            <w:r w:rsidRPr="009353E6">
              <w:rPr>
                <w:sz w:val="22"/>
                <w:szCs w:val="22"/>
                <w:lang w:val="pl-PL"/>
              </w:rPr>
              <w:t>Latvijas filiāle</w:t>
            </w:r>
          </w:p>
          <w:p w:rsidR="00314B38" w:rsidRPr="009353E6" w:rsidRDefault="00314B38" w:rsidP="00314B38">
            <w:pPr>
              <w:pStyle w:val="BodyText"/>
              <w:spacing w:line="240" w:lineRule="auto"/>
              <w:jc w:val="left"/>
              <w:rPr>
                <w:sz w:val="22"/>
                <w:szCs w:val="22"/>
                <w:lang w:val="pl-PL"/>
              </w:rPr>
            </w:pPr>
            <w:r w:rsidRPr="009353E6">
              <w:rPr>
                <w:sz w:val="22"/>
                <w:szCs w:val="22"/>
                <w:lang w:val="pl-PL" w:eastAsia="ja-JP"/>
              </w:rPr>
              <w:t>Tel: +371 67 240 011</w:t>
            </w:r>
          </w:p>
          <w:p w:rsidR="000A739F" w:rsidRPr="009353E6" w:rsidRDefault="000A739F" w:rsidP="00314B38">
            <w:pPr>
              <w:rPr>
                <w:sz w:val="22"/>
                <w:szCs w:val="22"/>
                <w:lang w:val="pl-PL"/>
              </w:rPr>
            </w:pPr>
          </w:p>
        </w:tc>
        <w:tc>
          <w:tcPr>
            <w:tcW w:w="4678" w:type="dxa"/>
            <w:gridSpan w:val="2"/>
          </w:tcPr>
          <w:p w:rsidR="00314B38" w:rsidRPr="009353E6" w:rsidRDefault="00314B38" w:rsidP="00314B38">
            <w:pPr>
              <w:pStyle w:val="BodyText"/>
              <w:spacing w:line="240" w:lineRule="auto"/>
              <w:jc w:val="left"/>
              <w:rPr>
                <w:b/>
                <w:bCs/>
                <w:sz w:val="22"/>
                <w:szCs w:val="22"/>
                <w:lang w:val="pl-PL"/>
              </w:rPr>
            </w:pPr>
            <w:r w:rsidRPr="009353E6">
              <w:rPr>
                <w:b/>
                <w:bCs/>
                <w:sz w:val="22"/>
                <w:szCs w:val="22"/>
                <w:lang w:val="pl-PL"/>
              </w:rPr>
              <w:t>United Kingdom</w:t>
            </w:r>
          </w:p>
          <w:p w:rsidR="00314B38" w:rsidRPr="009353E6" w:rsidRDefault="00314B38" w:rsidP="00314B38">
            <w:pPr>
              <w:pStyle w:val="BodyText"/>
              <w:spacing w:line="240" w:lineRule="auto"/>
              <w:jc w:val="left"/>
              <w:rPr>
                <w:sz w:val="22"/>
                <w:szCs w:val="22"/>
                <w:lang w:val="pl-PL" w:eastAsia="ja-JP"/>
              </w:rPr>
            </w:pPr>
            <w:r w:rsidRPr="009353E6">
              <w:rPr>
                <w:sz w:val="22"/>
                <w:szCs w:val="22"/>
                <w:lang w:val="pl-PL" w:eastAsia="ja-JP"/>
              </w:rPr>
              <w:t>Boehringer Ingelheim Ltd.</w:t>
            </w:r>
          </w:p>
          <w:p w:rsidR="000A739F" w:rsidRPr="009353E6" w:rsidRDefault="00314B38" w:rsidP="00314B38">
            <w:pPr>
              <w:pStyle w:val="BodyText"/>
              <w:spacing w:line="240" w:lineRule="auto"/>
              <w:jc w:val="left"/>
              <w:rPr>
                <w:sz w:val="22"/>
                <w:szCs w:val="22"/>
                <w:lang w:val="pl-PL"/>
              </w:rPr>
            </w:pPr>
            <w:r w:rsidRPr="009353E6">
              <w:rPr>
                <w:sz w:val="22"/>
                <w:szCs w:val="22"/>
                <w:lang w:val="pl-PL" w:eastAsia="ja-JP"/>
              </w:rPr>
              <w:t>Tel: +44 1344 424 600</w:t>
            </w:r>
          </w:p>
        </w:tc>
      </w:tr>
    </w:tbl>
    <w:p w:rsidR="000A739F" w:rsidRPr="009353E6" w:rsidRDefault="000A739F" w:rsidP="00F831F6">
      <w:pPr>
        <w:pStyle w:val="BodyText"/>
        <w:spacing w:line="240" w:lineRule="auto"/>
        <w:jc w:val="left"/>
        <w:rPr>
          <w:sz w:val="22"/>
          <w:szCs w:val="22"/>
          <w:lang w:val="pl-PL"/>
        </w:rPr>
      </w:pPr>
    </w:p>
    <w:p w:rsidR="000A739F" w:rsidRPr="009353E6" w:rsidRDefault="000A739F" w:rsidP="00F831F6">
      <w:pPr>
        <w:pStyle w:val="BodyText"/>
        <w:spacing w:line="240" w:lineRule="auto"/>
        <w:jc w:val="left"/>
        <w:rPr>
          <w:sz w:val="22"/>
          <w:szCs w:val="22"/>
          <w:lang w:val="pl-PL"/>
        </w:rPr>
      </w:pPr>
    </w:p>
    <w:p w:rsidR="00072513" w:rsidRPr="009353E6" w:rsidRDefault="00072513" w:rsidP="00072513">
      <w:pPr>
        <w:numPr>
          <w:ilvl w:val="12"/>
          <w:numId w:val="0"/>
        </w:numPr>
        <w:ind w:right="-2"/>
        <w:rPr>
          <w:sz w:val="22"/>
          <w:szCs w:val="22"/>
          <w:lang w:val="pl-PL" w:bidi="bn-IN"/>
        </w:rPr>
      </w:pPr>
      <w:r w:rsidRPr="009353E6">
        <w:rPr>
          <w:b/>
          <w:sz w:val="22"/>
          <w:szCs w:val="22"/>
          <w:lang w:val="pl-PL" w:bidi="bn-IN"/>
        </w:rPr>
        <w:t>Data ostatniej aktualizacji ulotki:</w:t>
      </w:r>
    </w:p>
    <w:p w:rsidR="000A739F" w:rsidRPr="009353E6" w:rsidRDefault="000A739F" w:rsidP="00F831F6">
      <w:pPr>
        <w:pStyle w:val="BodyText"/>
        <w:spacing w:line="240" w:lineRule="auto"/>
        <w:jc w:val="left"/>
        <w:rPr>
          <w:sz w:val="22"/>
          <w:szCs w:val="22"/>
          <w:lang w:val="pl-PL"/>
        </w:rPr>
      </w:pPr>
    </w:p>
    <w:p w:rsidR="000A739F" w:rsidRPr="009353E6" w:rsidRDefault="007C0043" w:rsidP="00F831F6">
      <w:pPr>
        <w:pStyle w:val="BodyText"/>
        <w:spacing w:line="240" w:lineRule="auto"/>
        <w:jc w:val="left"/>
        <w:rPr>
          <w:sz w:val="22"/>
          <w:szCs w:val="22"/>
          <w:lang w:val="pl-PL"/>
        </w:rPr>
      </w:pPr>
      <w:r w:rsidRPr="009353E6">
        <w:rPr>
          <w:b/>
          <w:sz w:val="22"/>
          <w:szCs w:val="22"/>
          <w:lang w:val="pl-PL"/>
        </w:rPr>
        <w:t>Inne źródła informacji</w:t>
      </w:r>
    </w:p>
    <w:p w:rsidR="000A739F" w:rsidRPr="009353E6" w:rsidRDefault="00685D6A" w:rsidP="00F831F6">
      <w:pPr>
        <w:pStyle w:val="BodyText"/>
        <w:spacing w:line="240" w:lineRule="auto"/>
        <w:jc w:val="left"/>
        <w:rPr>
          <w:sz w:val="22"/>
          <w:szCs w:val="22"/>
          <w:lang w:val="pl-PL"/>
        </w:rPr>
      </w:pPr>
      <w:r w:rsidRPr="009353E6">
        <w:rPr>
          <w:sz w:val="22"/>
          <w:szCs w:val="22"/>
          <w:lang w:val="pl-PL"/>
        </w:rPr>
        <w:t>Szczegółowe informacje o tym leku znajdują się</w:t>
      </w:r>
      <w:r w:rsidR="000A739F" w:rsidRPr="009353E6">
        <w:rPr>
          <w:sz w:val="22"/>
          <w:szCs w:val="22"/>
          <w:lang w:val="pl-PL"/>
        </w:rPr>
        <w:t xml:space="preserve"> na stronie internetowej Europejskiej Agencji </w:t>
      </w:r>
      <w:r w:rsidR="00605B65" w:rsidRPr="009353E6">
        <w:rPr>
          <w:sz w:val="22"/>
          <w:szCs w:val="22"/>
          <w:lang w:val="pl-PL"/>
        </w:rPr>
        <w:t>Leków</w:t>
      </w:r>
      <w:r w:rsidR="000A739F" w:rsidRPr="009353E6">
        <w:rPr>
          <w:sz w:val="22"/>
          <w:szCs w:val="22"/>
          <w:lang w:val="pl-PL"/>
        </w:rPr>
        <w:t xml:space="preserve"> </w:t>
      </w:r>
      <w:hyperlink r:id="rId20" w:history="1">
        <w:r w:rsidR="00BC39DD" w:rsidRPr="009353E6">
          <w:rPr>
            <w:rStyle w:val="Hyperlink"/>
            <w:noProof/>
            <w:lang w:val="pl-PL"/>
          </w:rPr>
          <w:t>http://www.ema.europa.eu</w:t>
        </w:r>
      </w:hyperlink>
      <w:r w:rsidRPr="009353E6">
        <w:rPr>
          <w:sz w:val="22"/>
          <w:szCs w:val="22"/>
          <w:lang w:val="pl-PL"/>
        </w:rPr>
        <w:t>.</w:t>
      </w:r>
    </w:p>
    <w:p w:rsidR="000A739F" w:rsidRPr="009353E6" w:rsidRDefault="000A739F" w:rsidP="00F831F6">
      <w:pPr>
        <w:pStyle w:val="BodyText"/>
        <w:spacing w:line="240" w:lineRule="auto"/>
        <w:jc w:val="left"/>
        <w:rPr>
          <w:sz w:val="22"/>
          <w:szCs w:val="22"/>
          <w:lang w:val="pl-PL"/>
        </w:rPr>
      </w:pPr>
    </w:p>
    <w:p w:rsidR="000A739F" w:rsidRPr="009353E6" w:rsidRDefault="000A739F" w:rsidP="007D25B3">
      <w:pPr>
        <w:rPr>
          <w:sz w:val="22"/>
          <w:szCs w:val="22"/>
          <w:lang w:val="pl-PL"/>
        </w:rPr>
      </w:pPr>
    </w:p>
    <w:sectPr w:rsidR="000A739F" w:rsidRPr="009353E6" w:rsidSect="00571DF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E71" w:rsidRDefault="00E37E71">
      <w:r>
        <w:separator/>
      </w:r>
    </w:p>
  </w:endnote>
  <w:endnote w:type="continuationSeparator" w:id="0">
    <w:p w:rsidR="00E37E71" w:rsidRDefault="00E3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F4" w:rsidRPr="00E2307A" w:rsidRDefault="00E40CF2" w:rsidP="00E2307A">
    <w:pPr>
      <w:pStyle w:val="Footer"/>
      <w:jc w:val="center"/>
      <w:rPr>
        <w:rFonts w:ascii="Arial" w:hAnsi="Arial" w:cs="Arial"/>
        <w:sz w:val="16"/>
        <w:szCs w:val="16"/>
      </w:rPr>
    </w:pPr>
    <w:r w:rsidRPr="00E2307A">
      <w:rPr>
        <w:rFonts w:ascii="Arial" w:hAnsi="Arial" w:cs="Arial"/>
        <w:sz w:val="16"/>
        <w:szCs w:val="16"/>
      </w:rPr>
      <w:fldChar w:fldCharType="begin"/>
    </w:r>
    <w:r w:rsidRPr="00E2307A">
      <w:rPr>
        <w:rFonts w:ascii="Arial" w:hAnsi="Arial" w:cs="Arial"/>
        <w:sz w:val="16"/>
        <w:szCs w:val="16"/>
      </w:rPr>
      <w:instrText>PAGE   \* MERGEFORMAT</w:instrText>
    </w:r>
    <w:r w:rsidRPr="00E2307A">
      <w:rPr>
        <w:rFonts w:ascii="Arial" w:hAnsi="Arial" w:cs="Arial"/>
        <w:sz w:val="16"/>
        <w:szCs w:val="16"/>
      </w:rPr>
      <w:fldChar w:fldCharType="separate"/>
    </w:r>
    <w:r w:rsidR="00C9491F" w:rsidRPr="00C9491F">
      <w:rPr>
        <w:rFonts w:ascii="Arial" w:hAnsi="Arial" w:cs="Arial"/>
        <w:noProof/>
        <w:sz w:val="16"/>
        <w:szCs w:val="16"/>
        <w:lang w:val="pl-PL"/>
      </w:rPr>
      <w:t>2</w:t>
    </w:r>
    <w:r w:rsidRPr="00E2307A">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E71" w:rsidRDefault="00E37E71">
      <w:r>
        <w:separator/>
      </w:r>
    </w:p>
  </w:footnote>
  <w:footnote w:type="continuationSeparator" w:id="0">
    <w:p w:rsidR="00E37E71" w:rsidRDefault="00E37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D8E1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F4E3E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84677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59223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5E2E7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9EE6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8213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22F5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502D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9CCF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2C57AE"/>
    <w:multiLevelType w:val="hybridMultilevel"/>
    <w:tmpl w:val="3CF4D8A6"/>
    <w:lvl w:ilvl="0" w:tplc="04150015">
      <w:start w:val="1"/>
      <w:numFmt w:val="upperLetter"/>
      <w:lvlText w:val="%1."/>
      <w:lvlJc w:val="left"/>
      <w:pPr>
        <w:tabs>
          <w:tab w:val="num" w:pos="360"/>
        </w:tabs>
        <w:ind w:left="360" w:hanging="360"/>
      </w:pPr>
      <w:rPr>
        <w:rFonts w:hint="default"/>
      </w:r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2"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3"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A2637A"/>
    <w:multiLevelType w:val="hybridMultilevel"/>
    <w:tmpl w:val="AE242C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8EF684B"/>
    <w:multiLevelType w:val="hybridMultilevel"/>
    <w:tmpl w:val="BB26200C"/>
    <w:lvl w:ilvl="0" w:tplc="0A08102A">
      <w:start w:val="1"/>
      <w:numFmt w:val="bullet"/>
      <w:lvlText w:val=""/>
      <w:lvlJc w:val="left"/>
      <w:pPr>
        <w:tabs>
          <w:tab w:val="num" w:pos="2520"/>
        </w:tabs>
        <w:ind w:left="25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301609"/>
    <w:multiLevelType w:val="hybridMultilevel"/>
    <w:tmpl w:val="1318F9A6"/>
    <w:lvl w:ilvl="0" w:tplc="DEDAD502">
      <w:start w:val="1"/>
      <w:numFmt w:val="bullet"/>
      <w:lvlText w:val=""/>
      <w:lvlJc w:val="left"/>
      <w:pPr>
        <w:tabs>
          <w:tab w:val="num" w:pos="360"/>
        </w:tabs>
        <w:ind w:left="360" w:hanging="360"/>
      </w:pPr>
      <w:rPr>
        <w:rFonts w:ascii="Symbol" w:hAnsi="Symbol" w:cs="Times New Roman" w:hint="default"/>
      </w:rPr>
    </w:lvl>
    <w:lvl w:ilvl="1" w:tplc="FD542978">
      <w:start w:val="1"/>
      <w:numFmt w:val="bullet"/>
      <w:lvlText w:val=""/>
      <w:lvlJc w:val="left"/>
      <w:pPr>
        <w:tabs>
          <w:tab w:val="num" w:pos="1440"/>
        </w:tabs>
        <w:ind w:left="1440" w:hanging="360"/>
      </w:pPr>
      <w:rPr>
        <w:rFonts w:ascii="Symbol" w:hAnsi="Symbol" w:cs="Times New Roman" w:hint="default"/>
        <w:color w:val="auto"/>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32E0A"/>
    <w:multiLevelType w:val="hybridMultilevel"/>
    <w:tmpl w:val="BFAA4DC0"/>
    <w:lvl w:ilvl="0" w:tplc="0A08102A">
      <w:start w:val="1"/>
      <w:numFmt w:val="bullet"/>
      <w:lvlText w:val=""/>
      <w:lvlJc w:val="left"/>
      <w:pPr>
        <w:tabs>
          <w:tab w:val="num" w:pos="2520"/>
        </w:tabs>
        <w:ind w:left="25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B642E8F"/>
    <w:multiLevelType w:val="hybridMultilevel"/>
    <w:tmpl w:val="6FAC8932"/>
    <w:lvl w:ilvl="0" w:tplc="58A0710E">
      <w:start w:val="8"/>
      <w:numFmt w:val="decimal"/>
      <w:lvlText w:val="%1."/>
      <w:lvlJc w:val="left"/>
      <w:pPr>
        <w:tabs>
          <w:tab w:val="num" w:pos="900"/>
        </w:tabs>
        <w:ind w:left="900" w:hanging="360"/>
      </w:pPr>
      <w:rPr>
        <w:rFonts w:hint="default"/>
      </w:rPr>
    </w:lvl>
    <w:lvl w:ilvl="1" w:tplc="04150019" w:tentative="1">
      <w:start w:val="1"/>
      <w:numFmt w:val="lowerLetter"/>
      <w:lvlText w:val="%2."/>
      <w:lvlJc w:val="left"/>
      <w:pPr>
        <w:tabs>
          <w:tab w:val="num" w:pos="1620"/>
        </w:tabs>
        <w:ind w:left="1620" w:hanging="360"/>
      </w:pPr>
    </w:lvl>
    <w:lvl w:ilvl="2" w:tplc="0415001B" w:tentative="1">
      <w:start w:val="1"/>
      <w:numFmt w:val="lowerRoman"/>
      <w:lvlText w:val="%3."/>
      <w:lvlJc w:val="right"/>
      <w:pPr>
        <w:tabs>
          <w:tab w:val="num" w:pos="2340"/>
        </w:tabs>
        <w:ind w:left="2340" w:hanging="180"/>
      </w:pPr>
    </w:lvl>
    <w:lvl w:ilvl="3" w:tplc="0415000F" w:tentative="1">
      <w:start w:val="1"/>
      <w:numFmt w:val="decimal"/>
      <w:lvlText w:val="%4."/>
      <w:lvlJc w:val="left"/>
      <w:pPr>
        <w:tabs>
          <w:tab w:val="num" w:pos="3060"/>
        </w:tabs>
        <w:ind w:left="3060" w:hanging="360"/>
      </w:pPr>
    </w:lvl>
    <w:lvl w:ilvl="4" w:tplc="04150019" w:tentative="1">
      <w:start w:val="1"/>
      <w:numFmt w:val="lowerLetter"/>
      <w:lvlText w:val="%5."/>
      <w:lvlJc w:val="left"/>
      <w:pPr>
        <w:tabs>
          <w:tab w:val="num" w:pos="3780"/>
        </w:tabs>
        <w:ind w:left="3780" w:hanging="360"/>
      </w:pPr>
    </w:lvl>
    <w:lvl w:ilvl="5" w:tplc="0415001B" w:tentative="1">
      <w:start w:val="1"/>
      <w:numFmt w:val="lowerRoman"/>
      <w:lvlText w:val="%6."/>
      <w:lvlJc w:val="right"/>
      <w:pPr>
        <w:tabs>
          <w:tab w:val="num" w:pos="4500"/>
        </w:tabs>
        <w:ind w:left="4500" w:hanging="180"/>
      </w:pPr>
    </w:lvl>
    <w:lvl w:ilvl="6" w:tplc="0415000F" w:tentative="1">
      <w:start w:val="1"/>
      <w:numFmt w:val="decimal"/>
      <w:lvlText w:val="%7."/>
      <w:lvlJc w:val="left"/>
      <w:pPr>
        <w:tabs>
          <w:tab w:val="num" w:pos="5220"/>
        </w:tabs>
        <w:ind w:left="5220" w:hanging="360"/>
      </w:pPr>
    </w:lvl>
    <w:lvl w:ilvl="7" w:tplc="04150019" w:tentative="1">
      <w:start w:val="1"/>
      <w:numFmt w:val="lowerLetter"/>
      <w:lvlText w:val="%8."/>
      <w:lvlJc w:val="left"/>
      <w:pPr>
        <w:tabs>
          <w:tab w:val="num" w:pos="5940"/>
        </w:tabs>
        <w:ind w:left="5940" w:hanging="360"/>
      </w:pPr>
    </w:lvl>
    <w:lvl w:ilvl="8" w:tplc="0415001B" w:tentative="1">
      <w:start w:val="1"/>
      <w:numFmt w:val="lowerRoman"/>
      <w:lvlText w:val="%9."/>
      <w:lvlJc w:val="right"/>
      <w:pPr>
        <w:tabs>
          <w:tab w:val="num" w:pos="6660"/>
        </w:tabs>
        <w:ind w:left="6660" w:hanging="180"/>
      </w:pPr>
    </w:lvl>
  </w:abstractNum>
  <w:abstractNum w:abstractNumId="19" w15:restartNumberingAfterBreak="0">
    <w:nsid w:val="0B737F14"/>
    <w:multiLevelType w:val="hybridMultilevel"/>
    <w:tmpl w:val="04FCA66A"/>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F793E0D"/>
    <w:multiLevelType w:val="hybridMultilevel"/>
    <w:tmpl w:val="6B2008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0DF5F3E"/>
    <w:multiLevelType w:val="hybridMultilevel"/>
    <w:tmpl w:val="1B2268FA"/>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5A6F61"/>
    <w:multiLevelType w:val="hybridMultilevel"/>
    <w:tmpl w:val="273ECDEC"/>
    <w:lvl w:ilvl="0" w:tplc="5164FB92">
      <w:start w:val="1"/>
      <w:numFmt w:val="bullet"/>
      <w:lvlText w:val=""/>
      <w:lvlJc w:val="left"/>
      <w:pPr>
        <w:tabs>
          <w:tab w:val="num" w:pos="720"/>
        </w:tabs>
        <w:ind w:left="720" w:hanging="360"/>
      </w:pPr>
      <w:rPr>
        <w:rFonts w:ascii="Symbol" w:hAnsi="Symbol" w:hint="default"/>
        <w:strike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C15298"/>
    <w:multiLevelType w:val="hybridMultilevel"/>
    <w:tmpl w:val="6BD2F376"/>
    <w:lvl w:ilvl="0" w:tplc="1096CA1E">
      <w:start w:val="1"/>
      <w:numFmt w:val="decimal"/>
      <w:lvlText w:val="%1."/>
      <w:lvlJc w:val="left"/>
      <w:pPr>
        <w:tabs>
          <w:tab w:val="num" w:pos="360"/>
        </w:tabs>
        <w:ind w:left="360" w:hanging="360"/>
      </w:pPr>
      <w:rPr>
        <w:rFonts w:hint="default"/>
      </w:rPr>
    </w:lvl>
    <w:lvl w:ilvl="1" w:tplc="0415000F">
      <w:start w:val="1"/>
      <w:numFmt w:val="decimal"/>
      <w:lvlText w:val="%2."/>
      <w:lvlJc w:val="left"/>
      <w:pPr>
        <w:tabs>
          <w:tab w:val="num" w:pos="1260"/>
        </w:tabs>
        <w:ind w:left="1260" w:hanging="360"/>
      </w:pPr>
      <w:rPr>
        <w:rFonts w:hint="default"/>
      </w:rPr>
    </w:lvl>
    <w:lvl w:ilvl="2" w:tplc="0415001B" w:tentative="1">
      <w:start w:val="1"/>
      <w:numFmt w:val="lowerRoman"/>
      <w:lvlText w:val="%3."/>
      <w:lvlJc w:val="right"/>
      <w:pPr>
        <w:tabs>
          <w:tab w:val="num" w:pos="1980"/>
        </w:tabs>
        <w:ind w:left="1980" w:hanging="180"/>
      </w:pPr>
    </w:lvl>
    <w:lvl w:ilvl="3" w:tplc="0415000F" w:tentative="1">
      <w:start w:val="1"/>
      <w:numFmt w:val="decimal"/>
      <w:lvlText w:val="%4."/>
      <w:lvlJc w:val="left"/>
      <w:pPr>
        <w:tabs>
          <w:tab w:val="num" w:pos="2700"/>
        </w:tabs>
        <w:ind w:left="2700" w:hanging="360"/>
      </w:pPr>
    </w:lvl>
    <w:lvl w:ilvl="4" w:tplc="04150019" w:tentative="1">
      <w:start w:val="1"/>
      <w:numFmt w:val="lowerLetter"/>
      <w:lvlText w:val="%5."/>
      <w:lvlJc w:val="left"/>
      <w:pPr>
        <w:tabs>
          <w:tab w:val="num" w:pos="3420"/>
        </w:tabs>
        <w:ind w:left="3420" w:hanging="360"/>
      </w:pPr>
    </w:lvl>
    <w:lvl w:ilvl="5" w:tplc="0415001B" w:tentative="1">
      <w:start w:val="1"/>
      <w:numFmt w:val="lowerRoman"/>
      <w:lvlText w:val="%6."/>
      <w:lvlJc w:val="right"/>
      <w:pPr>
        <w:tabs>
          <w:tab w:val="num" w:pos="4140"/>
        </w:tabs>
        <w:ind w:left="4140" w:hanging="180"/>
      </w:pPr>
    </w:lvl>
    <w:lvl w:ilvl="6" w:tplc="0415000F" w:tentative="1">
      <w:start w:val="1"/>
      <w:numFmt w:val="decimal"/>
      <w:lvlText w:val="%7."/>
      <w:lvlJc w:val="left"/>
      <w:pPr>
        <w:tabs>
          <w:tab w:val="num" w:pos="4860"/>
        </w:tabs>
        <w:ind w:left="4860" w:hanging="360"/>
      </w:pPr>
    </w:lvl>
    <w:lvl w:ilvl="7" w:tplc="04150019" w:tentative="1">
      <w:start w:val="1"/>
      <w:numFmt w:val="lowerLetter"/>
      <w:lvlText w:val="%8."/>
      <w:lvlJc w:val="left"/>
      <w:pPr>
        <w:tabs>
          <w:tab w:val="num" w:pos="5580"/>
        </w:tabs>
        <w:ind w:left="5580" w:hanging="360"/>
      </w:pPr>
    </w:lvl>
    <w:lvl w:ilvl="8" w:tplc="0415001B" w:tentative="1">
      <w:start w:val="1"/>
      <w:numFmt w:val="lowerRoman"/>
      <w:lvlText w:val="%9."/>
      <w:lvlJc w:val="right"/>
      <w:pPr>
        <w:tabs>
          <w:tab w:val="num" w:pos="6300"/>
        </w:tabs>
        <w:ind w:left="6300" w:hanging="180"/>
      </w:pPr>
    </w:lvl>
  </w:abstractNum>
  <w:abstractNum w:abstractNumId="24" w15:restartNumberingAfterBreak="0">
    <w:nsid w:val="17E42DE0"/>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1BAA11C9"/>
    <w:multiLevelType w:val="hybridMultilevel"/>
    <w:tmpl w:val="32F4405C"/>
    <w:lvl w:ilvl="0" w:tplc="6F741E5C">
      <w:start w:val="1"/>
      <w:numFmt w:val="bullet"/>
      <w:lvlText w:val=""/>
      <w:lvlJc w:val="left"/>
      <w:pPr>
        <w:tabs>
          <w:tab w:val="num" w:pos="720"/>
        </w:tabs>
        <w:ind w:left="720" w:hanging="360"/>
      </w:pPr>
      <w:rPr>
        <w:rFonts w:ascii="Symbol" w:hAnsi="Symbol" w:hint="default"/>
        <w:strike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553A48"/>
    <w:multiLevelType w:val="hybridMultilevel"/>
    <w:tmpl w:val="51CA083E"/>
    <w:lvl w:ilvl="0" w:tplc="6E34422E">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2456FF1"/>
    <w:multiLevelType w:val="hybridMultilevel"/>
    <w:tmpl w:val="79205AFE"/>
    <w:lvl w:ilvl="0" w:tplc="B7DCF4D6">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2B81B48"/>
    <w:multiLevelType w:val="hybridMultilevel"/>
    <w:tmpl w:val="FABC8A98"/>
    <w:lvl w:ilvl="0" w:tplc="29C6E738">
      <w:start w:val="1"/>
      <w:numFmt w:val="decimal"/>
      <w:lvlText w:val="%1."/>
      <w:lvlJc w:val="left"/>
      <w:pPr>
        <w:tabs>
          <w:tab w:val="num" w:pos="1080"/>
        </w:tabs>
        <w:ind w:left="1080" w:hanging="90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9" w15:restartNumberingAfterBreak="0">
    <w:nsid w:val="2536331D"/>
    <w:multiLevelType w:val="hybridMultilevel"/>
    <w:tmpl w:val="3000E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2C0623ED"/>
    <w:multiLevelType w:val="hybridMultilevel"/>
    <w:tmpl w:val="95BE043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31DF7D0D"/>
    <w:multiLevelType w:val="hybridMultilevel"/>
    <w:tmpl w:val="4E687E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34F717D2"/>
    <w:multiLevelType w:val="hybridMultilevel"/>
    <w:tmpl w:val="06B8238C"/>
    <w:lvl w:ilvl="0" w:tplc="6BECB59C">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3" w15:restartNumberingAfterBreak="0">
    <w:nsid w:val="35571763"/>
    <w:multiLevelType w:val="hybridMultilevel"/>
    <w:tmpl w:val="2ABE1B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364C34DC"/>
    <w:multiLevelType w:val="hybridMultilevel"/>
    <w:tmpl w:val="15CA59E6"/>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9E1651"/>
    <w:multiLevelType w:val="hybridMultilevel"/>
    <w:tmpl w:val="8AECE632"/>
    <w:lvl w:ilvl="0" w:tplc="03EE433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6" w15:restartNumberingAfterBreak="0">
    <w:nsid w:val="3C8D3BC7"/>
    <w:multiLevelType w:val="hybridMultilevel"/>
    <w:tmpl w:val="07F0D1BE"/>
    <w:lvl w:ilvl="0" w:tplc="1DD491B0">
      <w:start w:val="1"/>
      <w:numFmt w:val="bullet"/>
      <w:lvlText w:val=""/>
      <w:lvlJc w:val="left"/>
      <w:pPr>
        <w:tabs>
          <w:tab w:val="num" w:pos="2520"/>
        </w:tabs>
        <w:ind w:left="2520" w:hanging="360"/>
      </w:pPr>
      <w:rPr>
        <w:rFonts w:ascii="Symbol" w:hAnsi="Symbol"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D3B50A1"/>
    <w:multiLevelType w:val="hybridMultilevel"/>
    <w:tmpl w:val="E884C1E8"/>
    <w:lvl w:ilvl="0" w:tplc="10D04E74">
      <w:start w:val="1"/>
      <w:numFmt w:val="decimal"/>
      <w:lvlText w:val="%1."/>
      <w:lvlJc w:val="left"/>
      <w:pPr>
        <w:tabs>
          <w:tab w:val="num" w:pos="648"/>
        </w:tabs>
        <w:ind w:left="648" w:hanging="360"/>
      </w:pPr>
      <w:rPr>
        <w:rFonts w:hint="default"/>
      </w:rPr>
    </w:lvl>
    <w:lvl w:ilvl="1" w:tplc="04150019" w:tentative="1">
      <w:start w:val="1"/>
      <w:numFmt w:val="lowerLetter"/>
      <w:lvlText w:val="%2."/>
      <w:lvlJc w:val="left"/>
      <w:pPr>
        <w:tabs>
          <w:tab w:val="num" w:pos="1728"/>
        </w:tabs>
        <w:ind w:left="1728" w:hanging="360"/>
      </w:pPr>
    </w:lvl>
    <w:lvl w:ilvl="2" w:tplc="0415001B" w:tentative="1">
      <w:start w:val="1"/>
      <w:numFmt w:val="lowerRoman"/>
      <w:lvlText w:val="%3."/>
      <w:lvlJc w:val="right"/>
      <w:pPr>
        <w:tabs>
          <w:tab w:val="num" w:pos="2448"/>
        </w:tabs>
        <w:ind w:left="2448" w:hanging="180"/>
      </w:pPr>
    </w:lvl>
    <w:lvl w:ilvl="3" w:tplc="0415000F" w:tentative="1">
      <w:start w:val="1"/>
      <w:numFmt w:val="decimal"/>
      <w:lvlText w:val="%4."/>
      <w:lvlJc w:val="left"/>
      <w:pPr>
        <w:tabs>
          <w:tab w:val="num" w:pos="3168"/>
        </w:tabs>
        <w:ind w:left="3168" w:hanging="360"/>
      </w:pPr>
    </w:lvl>
    <w:lvl w:ilvl="4" w:tplc="04150019" w:tentative="1">
      <w:start w:val="1"/>
      <w:numFmt w:val="lowerLetter"/>
      <w:lvlText w:val="%5."/>
      <w:lvlJc w:val="left"/>
      <w:pPr>
        <w:tabs>
          <w:tab w:val="num" w:pos="3888"/>
        </w:tabs>
        <w:ind w:left="3888" w:hanging="360"/>
      </w:pPr>
    </w:lvl>
    <w:lvl w:ilvl="5" w:tplc="0415001B" w:tentative="1">
      <w:start w:val="1"/>
      <w:numFmt w:val="lowerRoman"/>
      <w:lvlText w:val="%6."/>
      <w:lvlJc w:val="right"/>
      <w:pPr>
        <w:tabs>
          <w:tab w:val="num" w:pos="4608"/>
        </w:tabs>
        <w:ind w:left="4608" w:hanging="180"/>
      </w:pPr>
    </w:lvl>
    <w:lvl w:ilvl="6" w:tplc="0415000F" w:tentative="1">
      <w:start w:val="1"/>
      <w:numFmt w:val="decimal"/>
      <w:lvlText w:val="%7."/>
      <w:lvlJc w:val="left"/>
      <w:pPr>
        <w:tabs>
          <w:tab w:val="num" w:pos="5328"/>
        </w:tabs>
        <w:ind w:left="5328" w:hanging="360"/>
      </w:pPr>
    </w:lvl>
    <w:lvl w:ilvl="7" w:tplc="04150019" w:tentative="1">
      <w:start w:val="1"/>
      <w:numFmt w:val="lowerLetter"/>
      <w:lvlText w:val="%8."/>
      <w:lvlJc w:val="left"/>
      <w:pPr>
        <w:tabs>
          <w:tab w:val="num" w:pos="6048"/>
        </w:tabs>
        <w:ind w:left="6048" w:hanging="360"/>
      </w:pPr>
    </w:lvl>
    <w:lvl w:ilvl="8" w:tplc="0415001B" w:tentative="1">
      <w:start w:val="1"/>
      <w:numFmt w:val="lowerRoman"/>
      <w:lvlText w:val="%9."/>
      <w:lvlJc w:val="right"/>
      <w:pPr>
        <w:tabs>
          <w:tab w:val="num" w:pos="6768"/>
        </w:tabs>
        <w:ind w:left="6768" w:hanging="180"/>
      </w:pPr>
    </w:lvl>
  </w:abstractNum>
  <w:abstractNum w:abstractNumId="38" w15:restartNumberingAfterBreak="0">
    <w:nsid w:val="3F2775ED"/>
    <w:multiLevelType w:val="hybridMultilevel"/>
    <w:tmpl w:val="B89A954E"/>
    <w:lvl w:ilvl="0" w:tplc="86587908">
      <w:start w:val="1"/>
      <w:numFmt w:val="decimal"/>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3F9C1676"/>
    <w:multiLevelType w:val="hybridMultilevel"/>
    <w:tmpl w:val="7A98B7B2"/>
    <w:lvl w:ilvl="0" w:tplc="04150001">
      <w:start w:val="1"/>
      <w:numFmt w:val="bullet"/>
      <w:lvlText w:val=""/>
      <w:lvlJc w:val="left"/>
      <w:pPr>
        <w:tabs>
          <w:tab w:val="num" w:pos="720"/>
        </w:tabs>
        <w:ind w:left="720" w:hanging="360"/>
      </w:pPr>
      <w:rPr>
        <w:rFonts w:ascii="Symbol" w:hAnsi="Symbol" w:hint="default"/>
      </w:rPr>
    </w:lvl>
    <w:lvl w:ilvl="1" w:tplc="FD542978">
      <w:start w:val="1"/>
      <w:numFmt w:val="bullet"/>
      <w:lvlText w:val=""/>
      <w:lvlJc w:val="left"/>
      <w:pPr>
        <w:tabs>
          <w:tab w:val="num" w:pos="1440"/>
        </w:tabs>
        <w:ind w:left="1440" w:hanging="360"/>
      </w:pPr>
      <w:rPr>
        <w:rFonts w:ascii="Symbol" w:hAnsi="Symbol" w:cs="Times New Roman" w:hint="default"/>
        <w:color w:val="auto"/>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F458C0"/>
    <w:multiLevelType w:val="hybridMultilevel"/>
    <w:tmpl w:val="30BC2080"/>
    <w:lvl w:ilvl="0" w:tplc="98800AE4">
      <w:start w:val="7"/>
      <w:numFmt w:val="decimal"/>
      <w:lvlText w:val="%1."/>
      <w:lvlJc w:val="left"/>
      <w:pPr>
        <w:tabs>
          <w:tab w:val="num" w:pos="900"/>
        </w:tabs>
        <w:ind w:left="90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1" w15:restartNumberingAfterBreak="0">
    <w:nsid w:val="47B2315C"/>
    <w:multiLevelType w:val="hybridMultilevel"/>
    <w:tmpl w:val="78CCCC08"/>
    <w:lvl w:ilvl="0" w:tplc="6D2CB940">
      <w:start w:val="1"/>
      <w:numFmt w:val="bullet"/>
      <w:lvlText w:val=""/>
      <w:lvlJc w:val="left"/>
      <w:pPr>
        <w:tabs>
          <w:tab w:val="num" w:pos="2520"/>
        </w:tabs>
        <w:ind w:left="2520" w:hanging="360"/>
      </w:pPr>
      <w:rPr>
        <w:rFonts w:ascii="Symbol" w:hAnsi="Symbol"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4A8764D"/>
    <w:multiLevelType w:val="hybridMultilevel"/>
    <w:tmpl w:val="92265402"/>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6636BA4"/>
    <w:multiLevelType w:val="singleLevel"/>
    <w:tmpl w:val="4718BF98"/>
    <w:lvl w:ilvl="0">
      <w:start w:val="1"/>
      <w:numFmt w:val="bullet"/>
      <w:lvlText w:val=""/>
      <w:lvlJc w:val="left"/>
      <w:pPr>
        <w:tabs>
          <w:tab w:val="num" w:pos="567"/>
        </w:tabs>
        <w:ind w:left="567" w:hanging="567"/>
      </w:pPr>
      <w:rPr>
        <w:rFonts w:ascii="Symbol" w:hAnsi="Symbol" w:hint="default"/>
      </w:rPr>
    </w:lvl>
  </w:abstractNum>
  <w:abstractNum w:abstractNumId="44" w15:restartNumberingAfterBreak="0">
    <w:nsid w:val="567C0FC8"/>
    <w:multiLevelType w:val="hybridMultilevel"/>
    <w:tmpl w:val="570E2522"/>
    <w:lvl w:ilvl="0" w:tplc="B3486DA2">
      <w:start w:val="1"/>
      <w:numFmt w:val="bullet"/>
      <w:lvlText w:val="-"/>
      <w:lvlJc w:val="left"/>
      <w:pPr>
        <w:tabs>
          <w:tab w:val="num" w:pos="567"/>
        </w:tabs>
        <w:ind w:left="567" w:hanging="567"/>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6DE5A40"/>
    <w:multiLevelType w:val="hybridMultilevel"/>
    <w:tmpl w:val="06927A1A"/>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AEA1D48"/>
    <w:multiLevelType w:val="hybridMultilevel"/>
    <w:tmpl w:val="C2CA6D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5BF468CC"/>
    <w:multiLevelType w:val="hybridMultilevel"/>
    <w:tmpl w:val="3A92636E"/>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D431CC9"/>
    <w:multiLevelType w:val="hybridMultilevel"/>
    <w:tmpl w:val="1B607618"/>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E95445F"/>
    <w:multiLevelType w:val="hybridMultilevel"/>
    <w:tmpl w:val="A3CC406A"/>
    <w:lvl w:ilvl="0" w:tplc="FFFFFFFF">
      <w:start w:val="1"/>
      <w:numFmt w:val="bullet"/>
      <w:lvlText w:val=""/>
      <w:lvlJc w:val="left"/>
      <w:pPr>
        <w:tabs>
          <w:tab w:val="num" w:pos="1080"/>
        </w:tabs>
        <w:ind w:left="1080" w:hanging="360"/>
      </w:pPr>
      <w:rPr>
        <w:rFonts w:ascii="Symbol" w:hAnsi="Symbol" w:hint="default"/>
      </w:rPr>
    </w:lvl>
    <w:lvl w:ilvl="1" w:tplc="FFFFFFFF">
      <w:start w:val="4"/>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5F9C1F4F"/>
    <w:multiLevelType w:val="hybridMultilevel"/>
    <w:tmpl w:val="08D2D77A"/>
    <w:lvl w:ilvl="0" w:tplc="156E7424">
      <w:start w:val="1"/>
      <w:numFmt w:val="bullet"/>
      <w:lvlText w:val=""/>
      <w:lvlJc w:val="left"/>
      <w:pPr>
        <w:tabs>
          <w:tab w:val="num" w:pos="720"/>
        </w:tabs>
        <w:ind w:left="720" w:hanging="360"/>
      </w:pPr>
      <w:rPr>
        <w:rFonts w:ascii="Symbol" w:hAnsi="Symbol" w:hint="default"/>
        <w:strike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01131B7"/>
    <w:multiLevelType w:val="hybridMultilevel"/>
    <w:tmpl w:val="0C603FFA"/>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04D35EA"/>
    <w:multiLevelType w:val="hybridMultilevel"/>
    <w:tmpl w:val="111A8756"/>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3685C4E"/>
    <w:multiLevelType w:val="hybridMultilevel"/>
    <w:tmpl w:val="CB4A7E06"/>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3C6B2C"/>
    <w:multiLevelType w:val="hybridMultilevel"/>
    <w:tmpl w:val="7EA8749E"/>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8EE3A28"/>
    <w:multiLevelType w:val="hybridMultilevel"/>
    <w:tmpl w:val="9B1A9FF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6D855DCC"/>
    <w:multiLevelType w:val="hybridMultilevel"/>
    <w:tmpl w:val="8E4A29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6DA405C1"/>
    <w:multiLevelType w:val="hybridMultilevel"/>
    <w:tmpl w:val="FCAAB2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714D6161"/>
    <w:multiLevelType w:val="hybridMultilevel"/>
    <w:tmpl w:val="2E4092AC"/>
    <w:lvl w:ilvl="0">
      <w:start w:val="1"/>
      <w:numFmt w:val="bullet"/>
      <w:lvlText w:val=""/>
      <w:lvlJc w:val="left"/>
      <w:pPr>
        <w:tabs>
          <w:tab w:val="num" w:pos="2520"/>
        </w:tabs>
        <w:ind w:left="2520" w:hanging="360"/>
      </w:pPr>
      <w:rPr>
        <w:rFonts w:ascii="Symbol" w:hAnsi="Symbol"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044145"/>
    <w:multiLevelType w:val="hybridMultilevel"/>
    <w:tmpl w:val="2BF6E720"/>
    <w:lvl w:ilvl="0" w:tplc="463E1FC6">
      <w:start w:val="1"/>
      <w:numFmt w:val="bullet"/>
      <w:lvlText w:val=""/>
      <w:lvlJc w:val="left"/>
      <w:pPr>
        <w:ind w:left="720" w:hanging="360"/>
      </w:pPr>
      <w:rPr>
        <w:rFonts w:ascii="Symbol" w:hAnsi="Symbol" w:hint="default"/>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72F31548"/>
    <w:multiLevelType w:val="hybridMultilevel"/>
    <w:tmpl w:val="B3C650AA"/>
    <w:lvl w:ilvl="0" w:tplc="04B8441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72FC7510"/>
    <w:multiLevelType w:val="hybridMultilevel"/>
    <w:tmpl w:val="D7127A32"/>
    <w:lvl w:ilvl="0" w:tplc="99D64FA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2" w15:restartNumberingAfterBreak="0">
    <w:nsid w:val="79712837"/>
    <w:multiLevelType w:val="hybridMultilevel"/>
    <w:tmpl w:val="DB0CF7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2160" w:hanging="360"/>
      </w:pPr>
      <w:rPr>
        <w:rFonts w:ascii="Symbol" w:hAnsi="Symbol"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15:restartNumberingAfterBreak="0">
    <w:nsid w:val="79835BDC"/>
    <w:multiLevelType w:val="hybridMultilevel"/>
    <w:tmpl w:val="BEDEE3C0"/>
    <w:lvl w:ilvl="0">
      <w:start w:val="8"/>
      <w:numFmt w:val="decimal"/>
      <w:lvlText w:val="%1."/>
      <w:lvlJc w:val="left"/>
      <w:pPr>
        <w:tabs>
          <w:tab w:val="num" w:pos="540"/>
        </w:tabs>
        <w:ind w:left="54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7B9D17F6"/>
    <w:multiLevelType w:val="hybridMultilevel"/>
    <w:tmpl w:val="A4D88CA6"/>
    <w:lvl w:ilvl="0" w:tplc="8F4AB4C8">
      <w:numFmt w:val="bullet"/>
      <w:lvlText w:val="-"/>
      <w:lvlJc w:val="left"/>
      <w:pPr>
        <w:tabs>
          <w:tab w:val="num" w:pos="567"/>
        </w:tabs>
        <w:ind w:left="567" w:hanging="567"/>
      </w:pPr>
      <w:rPr>
        <w:rFonts w:ascii="Times New Roman" w:eastAsia="Times New Roman" w:hAnsi="Times New Roman" w:cs="Times New Roman" w:hint="default"/>
      </w:rPr>
    </w:lvl>
    <w:lvl w:ilvl="1" w:tplc="88DAB130">
      <w:start w:val="1"/>
      <w:numFmt w:val="decimal"/>
      <w:lvlText w:val="%2."/>
      <w:lvlJc w:val="left"/>
      <w:pPr>
        <w:tabs>
          <w:tab w:val="num" w:pos="567"/>
        </w:tabs>
        <w:ind w:left="567" w:hanging="567"/>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65"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66" w15:restartNumberingAfterBreak="0">
    <w:nsid w:val="7D655757"/>
    <w:multiLevelType w:val="hybridMultilevel"/>
    <w:tmpl w:val="BB683908"/>
    <w:lvl w:ilvl="0" w:tplc="FFFFFFFF">
      <w:start w:val="1"/>
      <w:numFmt w:val="bullet"/>
      <w:lvlText w:val="-"/>
      <w:lvlJc w:val="left"/>
      <w:pPr>
        <w:tabs>
          <w:tab w:val="num" w:pos="2520"/>
        </w:tabs>
        <w:ind w:left="2520" w:hanging="360"/>
      </w:pPr>
      <w:rPr>
        <w:rFonts w:ascii="Times New Roman" w:hAnsi="Times New Roman" w:cs="Times New Roman" w:hint="default"/>
      </w:rPr>
    </w:lvl>
    <w:lvl w:ilvl="1" w:tplc="9BE88EDC">
      <w:start w:val="1"/>
      <w:numFmt w:val="bullet"/>
      <w:lvlText w:val="-"/>
      <w:lvlJc w:val="left"/>
      <w:pPr>
        <w:tabs>
          <w:tab w:val="num" w:pos="1440"/>
        </w:tabs>
        <w:ind w:left="1440" w:hanging="360"/>
      </w:pPr>
      <w:rPr>
        <w:rFonts w:ascii="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DC6561C"/>
    <w:multiLevelType w:val="multilevel"/>
    <w:tmpl w:val="72861C76"/>
    <w:lvl w:ilvl="0">
      <w:start w:val="6"/>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8" w15:restartNumberingAfterBreak="0">
    <w:nsid w:val="7DD82890"/>
    <w:multiLevelType w:val="hybridMultilevel"/>
    <w:tmpl w:val="8BD4CE0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8"/>
  </w:num>
  <w:num w:numId="3">
    <w:abstractNumId w:val="32"/>
  </w:num>
  <w:num w:numId="4">
    <w:abstractNumId w:val="40"/>
  </w:num>
  <w:num w:numId="5">
    <w:abstractNumId w:val="23"/>
  </w:num>
  <w:num w:numId="6">
    <w:abstractNumId w:val="18"/>
  </w:num>
  <w:num w:numId="7">
    <w:abstractNumId w:val="12"/>
  </w:num>
  <w:num w:numId="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39"/>
  </w:num>
  <w:num w:numId="10">
    <w:abstractNumId w:val="38"/>
  </w:num>
  <w:num w:numId="11">
    <w:abstractNumId w:val="63"/>
  </w:num>
  <w:num w:numId="12">
    <w:abstractNumId w:val="16"/>
  </w:num>
  <w:num w:numId="13">
    <w:abstractNumId w:val="17"/>
  </w:num>
  <w:num w:numId="14">
    <w:abstractNumId w:val="15"/>
  </w:num>
  <w:num w:numId="15">
    <w:abstractNumId w:val="27"/>
  </w:num>
  <w:num w:numId="16">
    <w:abstractNumId w:val="36"/>
  </w:num>
  <w:num w:numId="17">
    <w:abstractNumId w:val="58"/>
  </w:num>
  <w:num w:numId="18">
    <w:abstractNumId w:val="26"/>
  </w:num>
  <w:num w:numId="19">
    <w:abstractNumId w:val="41"/>
  </w:num>
  <w:num w:numId="20">
    <w:abstractNumId w:val="52"/>
  </w:num>
  <w:num w:numId="21">
    <w:abstractNumId w:val="48"/>
  </w:num>
  <w:num w:numId="22">
    <w:abstractNumId w:val="50"/>
  </w:num>
  <w:num w:numId="23">
    <w:abstractNumId w:val="44"/>
  </w:num>
  <w:num w:numId="24">
    <w:abstractNumId w:val="34"/>
  </w:num>
  <w:num w:numId="25">
    <w:abstractNumId w:val="21"/>
  </w:num>
  <w:num w:numId="26">
    <w:abstractNumId w:val="42"/>
  </w:num>
  <w:num w:numId="27">
    <w:abstractNumId w:val="25"/>
  </w:num>
  <w:num w:numId="28">
    <w:abstractNumId w:val="66"/>
  </w:num>
  <w:num w:numId="29">
    <w:abstractNumId w:val="45"/>
  </w:num>
  <w:num w:numId="30">
    <w:abstractNumId w:val="51"/>
  </w:num>
  <w:num w:numId="31">
    <w:abstractNumId w:val="54"/>
  </w:num>
  <w:num w:numId="32">
    <w:abstractNumId w:val="22"/>
  </w:num>
  <w:num w:numId="33">
    <w:abstractNumId w:val="53"/>
  </w:num>
  <w:num w:numId="34">
    <w:abstractNumId w:val="19"/>
  </w:num>
  <w:num w:numId="35">
    <w:abstractNumId w:val="47"/>
  </w:num>
  <w:num w:numId="36">
    <w:abstractNumId w:val="56"/>
  </w:num>
  <w:num w:numId="37">
    <w:abstractNumId w:val="14"/>
  </w:num>
  <w:num w:numId="38">
    <w:abstractNumId w:val="33"/>
  </w:num>
  <w:num w:numId="39">
    <w:abstractNumId w:val="24"/>
  </w:num>
  <w:num w:numId="40">
    <w:abstractNumId w:val="46"/>
  </w:num>
  <w:num w:numId="41">
    <w:abstractNumId w:val="68"/>
  </w:num>
  <w:num w:numId="42">
    <w:abstractNumId w:val="30"/>
  </w:num>
  <w:num w:numId="43">
    <w:abstractNumId w:val="55"/>
  </w:num>
  <w:num w:numId="44">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9"/>
  </w:num>
  <w:num w:numId="46">
    <w:abstractNumId w:val="67"/>
  </w:num>
  <w:num w:numId="47">
    <w:abstractNumId w:val="29"/>
  </w:num>
  <w:num w:numId="48">
    <w:abstractNumId w:val="57"/>
  </w:num>
  <w:num w:numId="49">
    <w:abstractNumId w:val="10"/>
    <w:lvlOverride w:ilvl="0">
      <w:lvl w:ilvl="0">
        <w:start w:val="1"/>
        <w:numFmt w:val="bullet"/>
        <w:lvlText w:val="-"/>
        <w:lvlJc w:val="left"/>
        <w:pPr>
          <w:ind w:left="360" w:hanging="360"/>
        </w:pPr>
      </w:lvl>
    </w:lvlOverride>
  </w:num>
  <w:num w:numId="50">
    <w:abstractNumId w:val="43"/>
  </w:num>
  <w:num w:numId="51">
    <w:abstractNumId w:val="37"/>
  </w:num>
  <w:num w:numId="52">
    <w:abstractNumId w:val="13"/>
  </w:num>
  <w:num w:numId="53">
    <w:abstractNumId w:val="31"/>
  </w:num>
  <w:num w:numId="54">
    <w:abstractNumId w:val="62"/>
  </w:num>
  <w:num w:numId="55">
    <w:abstractNumId w:val="59"/>
  </w:num>
  <w:num w:numId="56">
    <w:abstractNumId w:val="69"/>
  </w:num>
  <w:num w:numId="57">
    <w:abstractNumId w:val="20"/>
  </w:num>
  <w:num w:numId="58">
    <w:abstractNumId w:val="60"/>
  </w:num>
  <w:num w:numId="59">
    <w:abstractNumId w:val="65"/>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35"/>
  </w:num>
  <w:num w:numId="71">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2D3E1A"/>
    <w:rsid w:val="0000020A"/>
    <w:rsid w:val="000016F5"/>
    <w:rsid w:val="00001F65"/>
    <w:rsid w:val="00002738"/>
    <w:rsid w:val="00006755"/>
    <w:rsid w:val="00007130"/>
    <w:rsid w:val="000078B5"/>
    <w:rsid w:val="00007B20"/>
    <w:rsid w:val="000107F5"/>
    <w:rsid w:val="0001118F"/>
    <w:rsid w:val="000118CC"/>
    <w:rsid w:val="00013D4F"/>
    <w:rsid w:val="00014D19"/>
    <w:rsid w:val="0001598C"/>
    <w:rsid w:val="0001616F"/>
    <w:rsid w:val="0001666D"/>
    <w:rsid w:val="00020ABC"/>
    <w:rsid w:val="00021125"/>
    <w:rsid w:val="000218F8"/>
    <w:rsid w:val="00021924"/>
    <w:rsid w:val="00022EAD"/>
    <w:rsid w:val="00022F38"/>
    <w:rsid w:val="000237CF"/>
    <w:rsid w:val="0002470E"/>
    <w:rsid w:val="0002485A"/>
    <w:rsid w:val="000307A1"/>
    <w:rsid w:val="000309F4"/>
    <w:rsid w:val="00030DF3"/>
    <w:rsid w:val="00033899"/>
    <w:rsid w:val="0003789E"/>
    <w:rsid w:val="00037AE4"/>
    <w:rsid w:val="00040115"/>
    <w:rsid w:val="00040CB7"/>
    <w:rsid w:val="00042388"/>
    <w:rsid w:val="00043FD9"/>
    <w:rsid w:val="000455A0"/>
    <w:rsid w:val="00046709"/>
    <w:rsid w:val="00046BD1"/>
    <w:rsid w:val="0004736E"/>
    <w:rsid w:val="000507F6"/>
    <w:rsid w:val="00051D5F"/>
    <w:rsid w:val="00052963"/>
    <w:rsid w:val="000530BC"/>
    <w:rsid w:val="00055E20"/>
    <w:rsid w:val="00056916"/>
    <w:rsid w:val="000578C7"/>
    <w:rsid w:val="00060445"/>
    <w:rsid w:val="0006100F"/>
    <w:rsid w:val="00063854"/>
    <w:rsid w:val="00065516"/>
    <w:rsid w:val="00065995"/>
    <w:rsid w:val="00066088"/>
    <w:rsid w:val="00070C0F"/>
    <w:rsid w:val="000711BA"/>
    <w:rsid w:val="00071F7A"/>
    <w:rsid w:val="000720C1"/>
    <w:rsid w:val="00072513"/>
    <w:rsid w:val="00076904"/>
    <w:rsid w:val="0007757E"/>
    <w:rsid w:val="00082EF9"/>
    <w:rsid w:val="0008607D"/>
    <w:rsid w:val="00090174"/>
    <w:rsid w:val="0009268C"/>
    <w:rsid w:val="00096141"/>
    <w:rsid w:val="00096203"/>
    <w:rsid w:val="00096917"/>
    <w:rsid w:val="000A01A1"/>
    <w:rsid w:val="000A17A5"/>
    <w:rsid w:val="000A5999"/>
    <w:rsid w:val="000A739F"/>
    <w:rsid w:val="000B0BC9"/>
    <w:rsid w:val="000B1925"/>
    <w:rsid w:val="000B1ABB"/>
    <w:rsid w:val="000B1F62"/>
    <w:rsid w:val="000B49DE"/>
    <w:rsid w:val="000B7793"/>
    <w:rsid w:val="000C103B"/>
    <w:rsid w:val="000C14BA"/>
    <w:rsid w:val="000C3053"/>
    <w:rsid w:val="000C408C"/>
    <w:rsid w:val="000C49EA"/>
    <w:rsid w:val="000C528A"/>
    <w:rsid w:val="000C6B58"/>
    <w:rsid w:val="000C7703"/>
    <w:rsid w:val="000D0631"/>
    <w:rsid w:val="000D13E8"/>
    <w:rsid w:val="000D2739"/>
    <w:rsid w:val="000D5544"/>
    <w:rsid w:val="000D5AB0"/>
    <w:rsid w:val="000D5BED"/>
    <w:rsid w:val="000D5C68"/>
    <w:rsid w:val="000E039F"/>
    <w:rsid w:val="000E422D"/>
    <w:rsid w:val="000E5DC1"/>
    <w:rsid w:val="000E7125"/>
    <w:rsid w:val="000F0491"/>
    <w:rsid w:val="000F061E"/>
    <w:rsid w:val="000F11E9"/>
    <w:rsid w:val="000F36F7"/>
    <w:rsid w:val="000F716E"/>
    <w:rsid w:val="001007AD"/>
    <w:rsid w:val="00102319"/>
    <w:rsid w:val="0010489D"/>
    <w:rsid w:val="00104B51"/>
    <w:rsid w:val="00105AE1"/>
    <w:rsid w:val="001141A4"/>
    <w:rsid w:val="001147D0"/>
    <w:rsid w:val="001159E1"/>
    <w:rsid w:val="0012126B"/>
    <w:rsid w:val="00123CB1"/>
    <w:rsid w:val="00125970"/>
    <w:rsid w:val="00125FBD"/>
    <w:rsid w:val="00126929"/>
    <w:rsid w:val="00126E87"/>
    <w:rsid w:val="0012733C"/>
    <w:rsid w:val="00130C74"/>
    <w:rsid w:val="001314DA"/>
    <w:rsid w:val="0013254D"/>
    <w:rsid w:val="001348C8"/>
    <w:rsid w:val="001423D2"/>
    <w:rsid w:val="001444EF"/>
    <w:rsid w:val="00152EB8"/>
    <w:rsid w:val="00154A43"/>
    <w:rsid w:val="00156762"/>
    <w:rsid w:val="00157700"/>
    <w:rsid w:val="0015790F"/>
    <w:rsid w:val="00160047"/>
    <w:rsid w:val="001610AA"/>
    <w:rsid w:val="00162642"/>
    <w:rsid w:val="00163FC2"/>
    <w:rsid w:val="00174AD3"/>
    <w:rsid w:val="00177DDD"/>
    <w:rsid w:val="00177FCC"/>
    <w:rsid w:val="00180110"/>
    <w:rsid w:val="00180289"/>
    <w:rsid w:val="00181201"/>
    <w:rsid w:val="00183716"/>
    <w:rsid w:val="001844E7"/>
    <w:rsid w:val="00184A5E"/>
    <w:rsid w:val="0018588E"/>
    <w:rsid w:val="00185940"/>
    <w:rsid w:val="00187AEC"/>
    <w:rsid w:val="00187B1E"/>
    <w:rsid w:val="00190F41"/>
    <w:rsid w:val="00193869"/>
    <w:rsid w:val="00193BCD"/>
    <w:rsid w:val="00195445"/>
    <w:rsid w:val="00195636"/>
    <w:rsid w:val="0019580D"/>
    <w:rsid w:val="0019761C"/>
    <w:rsid w:val="001A0C0D"/>
    <w:rsid w:val="001A1339"/>
    <w:rsid w:val="001A2FA4"/>
    <w:rsid w:val="001A358A"/>
    <w:rsid w:val="001A370B"/>
    <w:rsid w:val="001A6C3F"/>
    <w:rsid w:val="001A7B19"/>
    <w:rsid w:val="001B1091"/>
    <w:rsid w:val="001B24E5"/>
    <w:rsid w:val="001B25DF"/>
    <w:rsid w:val="001B3572"/>
    <w:rsid w:val="001B3D91"/>
    <w:rsid w:val="001B4184"/>
    <w:rsid w:val="001B7AB0"/>
    <w:rsid w:val="001C0115"/>
    <w:rsid w:val="001C0482"/>
    <w:rsid w:val="001C1D53"/>
    <w:rsid w:val="001C3111"/>
    <w:rsid w:val="001C57AE"/>
    <w:rsid w:val="001C67D6"/>
    <w:rsid w:val="001D027E"/>
    <w:rsid w:val="001D1754"/>
    <w:rsid w:val="001D3A66"/>
    <w:rsid w:val="001D5188"/>
    <w:rsid w:val="001D5A31"/>
    <w:rsid w:val="001D63B1"/>
    <w:rsid w:val="001D6E51"/>
    <w:rsid w:val="001E0A55"/>
    <w:rsid w:val="001E0B30"/>
    <w:rsid w:val="001E2E71"/>
    <w:rsid w:val="001E4B2D"/>
    <w:rsid w:val="001F235C"/>
    <w:rsid w:val="001F2721"/>
    <w:rsid w:val="001F3074"/>
    <w:rsid w:val="001F5547"/>
    <w:rsid w:val="001F6904"/>
    <w:rsid w:val="001F7832"/>
    <w:rsid w:val="0020028C"/>
    <w:rsid w:val="00202C25"/>
    <w:rsid w:val="00204221"/>
    <w:rsid w:val="00206BBD"/>
    <w:rsid w:val="00210316"/>
    <w:rsid w:val="0021094B"/>
    <w:rsid w:val="00213276"/>
    <w:rsid w:val="00215817"/>
    <w:rsid w:val="00216AD5"/>
    <w:rsid w:val="00217BFB"/>
    <w:rsid w:val="002216FB"/>
    <w:rsid w:val="002225B1"/>
    <w:rsid w:val="00223CA7"/>
    <w:rsid w:val="002254E7"/>
    <w:rsid w:val="0022689F"/>
    <w:rsid w:val="00227217"/>
    <w:rsid w:val="00231350"/>
    <w:rsid w:val="00232E8C"/>
    <w:rsid w:val="00234524"/>
    <w:rsid w:val="00235D71"/>
    <w:rsid w:val="002371F8"/>
    <w:rsid w:val="002416C6"/>
    <w:rsid w:val="002419B5"/>
    <w:rsid w:val="00241C6B"/>
    <w:rsid w:val="0024397C"/>
    <w:rsid w:val="0024500F"/>
    <w:rsid w:val="0024691F"/>
    <w:rsid w:val="00247188"/>
    <w:rsid w:val="00247849"/>
    <w:rsid w:val="00247EE6"/>
    <w:rsid w:val="002502ED"/>
    <w:rsid w:val="00251DF8"/>
    <w:rsid w:val="00252870"/>
    <w:rsid w:val="00252E8F"/>
    <w:rsid w:val="00253306"/>
    <w:rsid w:val="00253C34"/>
    <w:rsid w:val="00254FF9"/>
    <w:rsid w:val="00260720"/>
    <w:rsid w:val="00260994"/>
    <w:rsid w:val="00260ACC"/>
    <w:rsid w:val="00262060"/>
    <w:rsid w:val="002626EF"/>
    <w:rsid w:val="002627F9"/>
    <w:rsid w:val="00262AD7"/>
    <w:rsid w:val="00262D0E"/>
    <w:rsid w:val="00262EF0"/>
    <w:rsid w:val="00263230"/>
    <w:rsid w:val="00266DBE"/>
    <w:rsid w:val="00270973"/>
    <w:rsid w:val="00272C7C"/>
    <w:rsid w:val="00272F92"/>
    <w:rsid w:val="00273426"/>
    <w:rsid w:val="0027360E"/>
    <w:rsid w:val="00273C03"/>
    <w:rsid w:val="00274A4F"/>
    <w:rsid w:val="002752F2"/>
    <w:rsid w:val="002762DA"/>
    <w:rsid w:val="00276EA9"/>
    <w:rsid w:val="002777E7"/>
    <w:rsid w:val="00280388"/>
    <w:rsid w:val="0028058E"/>
    <w:rsid w:val="00281AB9"/>
    <w:rsid w:val="002822E0"/>
    <w:rsid w:val="00284D59"/>
    <w:rsid w:val="0028667A"/>
    <w:rsid w:val="00293264"/>
    <w:rsid w:val="0029442B"/>
    <w:rsid w:val="00294562"/>
    <w:rsid w:val="002A2D30"/>
    <w:rsid w:val="002A40D4"/>
    <w:rsid w:val="002A5916"/>
    <w:rsid w:val="002A5FDD"/>
    <w:rsid w:val="002B0173"/>
    <w:rsid w:val="002B098F"/>
    <w:rsid w:val="002B187C"/>
    <w:rsid w:val="002B2F2B"/>
    <w:rsid w:val="002B6938"/>
    <w:rsid w:val="002B7B37"/>
    <w:rsid w:val="002C1163"/>
    <w:rsid w:val="002C3658"/>
    <w:rsid w:val="002C3ACF"/>
    <w:rsid w:val="002C4F1B"/>
    <w:rsid w:val="002C55F0"/>
    <w:rsid w:val="002C5A0F"/>
    <w:rsid w:val="002D1C07"/>
    <w:rsid w:val="002D1CF8"/>
    <w:rsid w:val="002D3521"/>
    <w:rsid w:val="002D37FC"/>
    <w:rsid w:val="002D3E1A"/>
    <w:rsid w:val="002D507E"/>
    <w:rsid w:val="002D5834"/>
    <w:rsid w:val="002D5E68"/>
    <w:rsid w:val="002D6BE9"/>
    <w:rsid w:val="002E0E84"/>
    <w:rsid w:val="002E367B"/>
    <w:rsid w:val="002E4BBA"/>
    <w:rsid w:val="002E54BC"/>
    <w:rsid w:val="002E5ECA"/>
    <w:rsid w:val="002F1F36"/>
    <w:rsid w:val="002F4B06"/>
    <w:rsid w:val="002F5620"/>
    <w:rsid w:val="0030023C"/>
    <w:rsid w:val="00301041"/>
    <w:rsid w:val="003056E1"/>
    <w:rsid w:val="00306DB9"/>
    <w:rsid w:val="00307CBD"/>
    <w:rsid w:val="003109BA"/>
    <w:rsid w:val="00314B38"/>
    <w:rsid w:val="00317DF5"/>
    <w:rsid w:val="003203A7"/>
    <w:rsid w:val="0032126B"/>
    <w:rsid w:val="00322A0A"/>
    <w:rsid w:val="00324BC1"/>
    <w:rsid w:val="003264E4"/>
    <w:rsid w:val="00326E2D"/>
    <w:rsid w:val="003270A3"/>
    <w:rsid w:val="003277B7"/>
    <w:rsid w:val="003306B0"/>
    <w:rsid w:val="003314C3"/>
    <w:rsid w:val="00332021"/>
    <w:rsid w:val="00333562"/>
    <w:rsid w:val="00336D83"/>
    <w:rsid w:val="0034228B"/>
    <w:rsid w:val="00344402"/>
    <w:rsid w:val="00345055"/>
    <w:rsid w:val="00345727"/>
    <w:rsid w:val="00345B7B"/>
    <w:rsid w:val="00345F12"/>
    <w:rsid w:val="003475EA"/>
    <w:rsid w:val="00350725"/>
    <w:rsid w:val="00352692"/>
    <w:rsid w:val="00352A05"/>
    <w:rsid w:val="00352EC5"/>
    <w:rsid w:val="00352FAF"/>
    <w:rsid w:val="00354F5F"/>
    <w:rsid w:val="0035615C"/>
    <w:rsid w:val="00356242"/>
    <w:rsid w:val="00356AAE"/>
    <w:rsid w:val="0035741C"/>
    <w:rsid w:val="00360869"/>
    <w:rsid w:val="0036188E"/>
    <w:rsid w:val="00363489"/>
    <w:rsid w:val="00365024"/>
    <w:rsid w:val="00365117"/>
    <w:rsid w:val="00365577"/>
    <w:rsid w:val="0037148B"/>
    <w:rsid w:val="00371E78"/>
    <w:rsid w:val="00374DEA"/>
    <w:rsid w:val="00375114"/>
    <w:rsid w:val="0037511C"/>
    <w:rsid w:val="003761E5"/>
    <w:rsid w:val="00380F86"/>
    <w:rsid w:val="00383B35"/>
    <w:rsid w:val="00390DD0"/>
    <w:rsid w:val="00393408"/>
    <w:rsid w:val="00394616"/>
    <w:rsid w:val="00397A74"/>
    <w:rsid w:val="003A20EE"/>
    <w:rsid w:val="003A4C06"/>
    <w:rsid w:val="003A5066"/>
    <w:rsid w:val="003A5303"/>
    <w:rsid w:val="003A5F67"/>
    <w:rsid w:val="003A67D2"/>
    <w:rsid w:val="003A7731"/>
    <w:rsid w:val="003B18A3"/>
    <w:rsid w:val="003B1900"/>
    <w:rsid w:val="003B269C"/>
    <w:rsid w:val="003B55EC"/>
    <w:rsid w:val="003B7268"/>
    <w:rsid w:val="003C19E9"/>
    <w:rsid w:val="003C1DDE"/>
    <w:rsid w:val="003C25C3"/>
    <w:rsid w:val="003C2CF0"/>
    <w:rsid w:val="003C2EE0"/>
    <w:rsid w:val="003C2F1A"/>
    <w:rsid w:val="003C3138"/>
    <w:rsid w:val="003C34C2"/>
    <w:rsid w:val="003C4A75"/>
    <w:rsid w:val="003C50CE"/>
    <w:rsid w:val="003C562D"/>
    <w:rsid w:val="003C69B2"/>
    <w:rsid w:val="003C709B"/>
    <w:rsid w:val="003C7885"/>
    <w:rsid w:val="003C7C02"/>
    <w:rsid w:val="003D10DA"/>
    <w:rsid w:val="003D2867"/>
    <w:rsid w:val="003D347F"/>
    <w:rsid w:val="003D4AB7"/>
    <w:rsid w:val="003D6B01"/>
    <w:rsid w:val="003E0C9B"/>
    <w:rsid w:val="003E1FD9"/>
    <w:rsid w:val="003E2F0A"/>
    <w:rsid w:val="003F0C97"/>
    <w:rsid w:val="003F216F"/>
    <w:rsid w:val="003F2865"/>
    <w:rsid w:val="003F4FF7"/>
    <w:rsid w:val="003F58FB"/>
    <w:rsid w:val="003F630A"/>
    <w:rsid w:val="003F7302"/>
    <w:rsid w:val="004045BC"/>
    <w:rsid w:val="00405028"/>
    <w:rsid w:val="004057F9"/>
    <w:rsid w:val="00407DAF"/>
    <w:rsid w:val="00407E09"/>
    <w:rsid w:val="004125BC"/>
    <w:rsid w:val="00413021"/>
    <w:rsid w:val="004136A6"/>
    <w:rsid w:val="00413F22"/>
    <w:rsid w:val="00420F2B"/>
    <w:rsid w:val="00421174"/>
    <w:rsid w:val="004217A0"/>
    <w:rsid w:val="00423DD6"/>
    <w:rsid w:val="0042510A"/>
    <w:rsid w:val="0042584E"/>
    <w:rsid w:val="0043086D"/>
    <w:rsid w:val="00430FDC"/>
    <w:rsid w:val="004321FA"/>
    <w:rsid w:val="004368F2"/>
    <w:rsid w:val="00437BDA"/>
    <w:rsid w:val="004405E1"/>
    <w:rsid w:val="00442B0C"/>
    <w:rsid w:val="00442E94"/>
    <w:rsid w:val="00444A0F"/>
    <w:rsid w:val="00450054"/>
    <w:rsid w:val="00451598"/>
    <w:rsid w:val="0045600D"/>
    <w:rsid w:val="00456CD8"/>
    <w:rsid w:val="0046178E"/>
    <w:rsid w:val="00464015"/>
    <w:rsid w:val="0046551F"/>
    <w:rsid w:val="00465D2C"/>
    <w:rsid w:val="00467027"/>
    <w:rsid w:val="00471718"/>
    <w:rsid w:val="00471D5E"/>
    <w:rsid w:val="00473275"/>
    <w:rsid w:val="004737C9"/>
    <w:rsid w:val="00475244"/>
    <w:rsid w:val="0047605B"/>
    <w:rsid w:val="0047675F"/>
    <w:rsid w:val="00484F92"/>
    <w:rsid w:val="00485788"/>
    <w:rsid w:val="00485E6F"/>
    <w:rsid w:val="00490DBE"/>
    <w:rsid w:val="00490E4D"/>
    <w:rsid w:val="00491019"/>
    <w:rsid w:val="00491E3F"/>
    <w:rsid w:val="00492888"/>
    <w:rsid w:val="00495755"/>
    <w:rsid w:val="0049772C"/>
    <w:rsid w:val="004A0B9E"/>
    <w:rsid w:val="004A3696"/>
    <w:rsid w:val="004A3824"/>
    <w:rsid w:val="004A638A"/>
    <w:rsid w:val="004A6766"/>
    <w:rsid w:val="004A767A"/>
    <w:rsid w:val="004B1A93"/>
    <w:rsid w:val="004B2738"/>
    <w:rsid w:val="004B640E"/>
    <w:rsid w:val="004C1911"/>
    <w:rsid w:val="004C4C12"/>
    <w:rsid w:val="004C5985"/>
    <w:rsid w:val="004C5B08"/>
    <w:rsid w:val="004C5FBA"/>
    <w:rsid w:val="004C64DB"/>
    <w:rsid w:val="004C7A44"/>
    <w:rsid w:val="004D1482"/>
    <w:rsid w:val="004D1B3F"/>
    <w:rsid w:val="004D1DB3"/>
    <w:rsid w:val="004D210B"/>
    <w:rsid w:val="004D228C"/>
    <w:rsid w:val="004D5B62"/>
    <w:rsid w:val="004E0507"/>
    <w:rsid w:val="004E1472"/>
    <w:rsid w:val="004E186B"/>
    <w:rsid w:val="004E28A0"/>
    <w:rsid w:val="004E2D12"/>
    <w:rsid w:val="004F613D"/>
    <w:rsid w:val="004F72AE"/>
    <w:rsid w:val="005017FE"/>
    <w:rsid w:val="00501A82"/>
    <w:rsid w:val="00502218"/>
    <w:rsid w:val="00503BFF"/>
    <w:rsid w:val="00506935"/>
    <w:rsid w:val="00506C18"/>
    <w:rsid w:val="00510588"/>
    <w:rsid w:val="00511E0A"/>
    <w:rsid w:val="00513A3D"/>
    <w:rsid w:val="005144A6"/>
    <w:rsid w:val="00516F91"/>
    <w:rsid w:val="00520F26"/>
    <w:rsid w:val="00520F7A"/>
    <w:rsid w:val="005226ED"/>
    <w:rsid w:val="00523210"/>
    <w:rsid w:val="00527D85"/>
    <w:rsid w:val="00530501"/>
    <w:rsid w:val="00533F51"/>
    <w:rsid w:val="005352F6"/>
    <w:rsid w:val="00535459"/>
    <w:rsid w:val="00535877"/>
    <w:rsid w:val="00536313"/>
    <w:rsid w:val="00542F0E"/>
    <w:rsid w:val="00542F4A"/>
    <w:rsid w:val="00543253"/>
    <w:rsid w:val="00543AD5"/>
    <w:rsid w:val="0054649E"/>
    <w:rsid w:val="005502E3"/>
    <w:rsid w:val="00551166"/>
    <w:rsid w:val="005515AC"/>
    <w:rsid w:val="005516F8"/>
    <w:rsid w:val="00555D17"/>
    <w:rsid w:val="0055707D"/>
    <w:rsid w:val="00557693"/>
    <w:rsid w:val="00557A3E"/>
    <w:rsid w:val="005612DD"/>
    <w:rsid w:val="00561CCD"/>
    <w:rsid w:val="0056472A"/>
    <w:rsid w:val="00564E63"/>
    <w:rsid w:val="00566D30"/>
    <w:rsid w:val="005673D5"/>
    <w:rsid w:val="00570454"/>
    <w:rsid w:val="00570C94"/>
    <w:rsid w:val="005718AD"/>
    <w:rsid w:val="00571DFA"/>
    <w:rsid w:val="005721D2"/>
    <w:rsid w:val="00573F40"/>
    <w:rsid w:val="00576C1D"/>
    <w:rsid w:val="00582F2F"/>
    <w:rsid w:val="005839C9"/>
    <w:rsid w:val="00583BB5"/>
    <w:rsid w:val="00583C90"/>
    <w:rsid w:val="0058477C"/>
    <w:rsid w:val="0058524D"/>
    <w:rsid w:val="00586E5C"/>
    <w:rsid w:val="0058775F"/>
    <w:rsid w:val="00587CC2"/>
    <w:rsid w:val="00587D38"/>
    <w:rsid w:val="0059255C"/>
    <w:rsid w:val="00592649"/>
    <w:rsid w:val="005952A9"/>
    <w:rsid w:val="0059558B"/>
    <w:rsid w:val="00595A6F"/>
    <w:rsid w:val="00596C7D"/>
    <w:rsid w:val="005A0096"/>
    <w:rsid w:val="005A1483"/>
    <w:rsid w:val="005A31C0"/>
    <w:rsid w:val="005A4164"/>
    <w:rsid w:val="005A4292"/>
    <w:rsid w:val="005B10A1"/>
    <w:rsid w:val="005B3B0C"/>
    <w:rsid w:val="005B3B97"/>
    <w:rsid w:val="005B6F04"/>
    <w:rsid w:val="005B7139"/>
    <w:rsid w:val="005B7B8A"/>
    <w:rsid w:val="005C3BF8"/>
    <w:rsid w:val="005C6388"/>
    <w:rsid w:val="005D15E0"/>
    <w:rsid w:val="005D1B3E"/>
    <w:rsid w:val="005D2768"/>
    <w:rsid w:val="005D27AA"/>
    <w:rsid w:val="005D2A10"/>
    <w:rsid w:val="005D4622"/>
    <w:rsid w:val="005D5CA1"/>
    <w:rsid w:val="005D6A09"/>
    <w:rsid w:val="005D6D3D"/>
    <w:rsid w:val="005D6D85"/>
    <w:rsid w:val="005D70FD"/>
    <w:rsid w:val="005E2EC5"/>
    <w:rsid w:val="005E3A9A"/>
    <w:rsid w:val="005E3B11"/>
    <w:rsid w:val="005E53F8"/>
    <w:rsid w:val="005E5634"/>
    <w:rsid w:val="005E573B"/>
    <w:rsid w:val="005E6940"/>
    <w:rsid w:val="005E6F34"/>
    <w:rsid w:val="005F1168"/>
    <w:rsid w:val="005F1D24"/>
    <w:rsid w:val="005F4283"/>
    <w:rsid w:val="0060054C"/>
    <w:rsid w:val="00602859"/>
    <w:rsid w:val="00605B65"/>
    <w:rsid w:val="0060602F"/>
    <w:rsid w:val="006067C2"/>
    <w:rsid w:val="00607DE6"/>
    <w:rsid w:val="00607E39"/>
    <w:rsid w:val="0061105A"/>
    <w:rsid w:val="0061350E"/>
    <w:rsid w:val="0061526C"/>
    <w:rsid w:val="006158B1"/>
    <w:rsid w:val="006174C8"/>
    <w:rsid w:val="00617F4B"/>
    <w:rsid w:val="006200FA"/>
    <w:rsid w:val="006208AB"/>
    <w:rsid w:val="00620BCB"/>
    <w:rsid w:val="006228D6"/>
    <w:rsid w:val="00622B2F"/>
    <w:rsid w:val="006247B1"/>
    <w:rsid w:val="00626B24"/>
    <w:rsid w:val="00627149"/>
    <w:rsid w:val="006312EA"/>
    <w:rsid w:val="006328CE"/>
    <w:rsid w:val="00633C7C"/>
    <w:rsid w:val="00634605"/>
    <w:rsid w:val="0063501D"/>
    <w:rsid w:val="006360BC"/>
    <w:rsid w:val="006372E7"/>
    <w:rsid w:val="00637D2F"/>
    <w:rsid w:val="0064159B"/>
    <w:rsid w:val="006427B8"/>
    <w:rsid w:val="00642ABC"/>
    <w:rsid w:val="00642AE7"/>
    <w:rsid w:val="0064332F"/>
    <w:rsid w:val="006457EB"/>
    <w:rsid w:val="00647449"/>
    <w:rsid w:val="00651756"/>
    <w:rsid w:val="0065487C"/>
    <w:rsid w:val="00655CF3"/>
    <w:rsid w:val="0065604B"/>
    <w:rsid w:val="006571F0"/>
    <w:rsid w:val="00660E00"/>
    <w:rsid w:val="00661593"/>
    <w:rsid w:val="006660FB"/>
    <w:rsid w:val="006720CC"/>
    <w:rsid w:val="00672CD0"/>
    <w:rsid w:val="00672E35"/>
    <w:rsid w:val="00674B6A"/>
    <w:rsid w:val="0067790C"/>
    <w:rsid w:val="00680B70"/>
    <w:rsid w:val="00681AAF"/>
    <w:rsid w:val="006825B6"/>
    <w:rsid w:val="00683171"/>
    <w:rsid w:val="006848EF"/>
    <w:rsid w:val="00685232"/>
    <w:rsid w:val="00685A4E"/>
    <w:rsid w:val="00685D6A"/>
    <w:rsid w:val="00694AEE"/>
    <w:rsid w:val="00695099"/>
    <w:rsid w:val="006A0515"/>
    <w:rsid w:val="006A05F6"/>
    <w:rsid w:val="006A188A"/>
    <w:rsid w:val="006A20BF"/>
    <w:rsid w:val="006A2682"/>
    <w:rsid w:val="006A2A20"/>
    <w:rsid w:val="006A4047"/>
    <w:rsid w:val="006B046F"/>
    <w:rsid w:val="006B0942"/>
    <w:rsid w:val="006B0E92"/>
    <w:rsid w:val="006B3F67"/>
    <w:rsid w:val="006B4F91"/>
    <w:rsid w:val="006B5AC0"/>
    <w:rsid w:val="006B7743"/>
    <w:rsid w:val="006C0287"/>
    <w:rsid w:val="006C2D02"/>
    <w:rsid w:val="006C51C3"/>
    <w:rsid w:val="006C5806"/>
    <w:rsid w:val="006C78C0"/>
    <w:rsid w:val="006D0A50"/>
    <w:rsid w:val="006D0AD0"/>
    <w:rsid w:val="006D2730"/>
    <w:rsid w:val="006D2DCA"/>
    <w:rsid w:val="006D3755"/>
    <w:rsid w:val="006D3C53"/>
    <w:rsid w:val="006D5A2B"/>
    <w:rsid w:val="006D63B0"/>
    <w:rsid w:val="006D79B0"/>
    <w:rsid w:val="006E282A"/>
    <w:rsid w:val="006E2E14"/>
    <w:rsid w:val="006F2FCB"/>
    <w:rsid w:val="006F40A9"/>
    <w:rsid w:val="006F4808"/>
    <w:rsid w:val="006F5038"/>
    <w:rsid w:val="006F6C4C"/>
    <w:rsid w:val="00700B23"/>
    <w:rsid w:val="00701864"/>
    <w:rsid w:val="00703128"/>
    <w:rsid w:val="0070396D"/>
    <w:rsid w:val="00704C20"/>
    <w:rsid w:val="007055A1"/>
    <w:rsid w:val="007071E0"/>
    <w:rsid w:val="00707933"/>
    <w:rsid w:val="00710C81"/>
    <w:rsid w:val="007119E2"/>
    <w:rsid w:val="00713E70"/>
    <w:rsid w:val="00716E19"/>
    <w:rsid w:val="00717D15"/>
    <w:rsid w:val="00720293"/>
    <w:rsid w:val="0072154B"/>
    <w:rsid w:val="007231DB"/>
    <w:rsid w:val="007240CB"/>
    <w:rsid w:val="007305E2"/>
    <w:rsid w:val="00731905"/>
    <w:rsid w:val="00731B3F"/>
    <w:rsid w:val="00732984"/>
    <w:rsid w:val="00737C1B"/>
    <w:rsid w:val="0074034F"/>
    <w:rsid w:val="007417FB"/>
    <w:rsid w:val="007423B2"/>
    <w:rsid w:val="00742EA5"/>
    <w:rsid w:val="007433C8"/>
    <w:rsid w:val="0074437D"/>
    <w:rsid w:val="00747663"/>
    <w:rsid w:val="007479AC"/>
    <w:rsid w:val="00747FF1"/>
    <w:rsid w:val="00751924"/>
    <w:rsid w:val="00752390"/>
    <w:rsid w:val="00752E10"/>
    <w:rsid w:val="00754C1F"/>
    <w:rsid w:val="00756315"/>
    <w:rsid w:val="007572B2"/>
    <w:rsid w:val="0076077E"/>
    <w:rsid w:val="00760E9C"/>
    <w:rsid w:val="00762B89"/>
    <w:rsid w:val="0076493E"/>
    <w:rsid w:val="007700FE"/>
    <w:rsid w:val="00770796"/>
    <w:rsid w:val="007733E5"/>
    <w:rsid w:val="00773488"/>
    <w:rsid w:val="00773B8F"/>
    <w:rsid w:val="00775ACB"/>
    <w:rsid w:val="00777C9A"/>
    <w:rsid w:val="00780326"/>
    <w:rsid w:val="00781362"/>
    <w:rsid w:val="007828BB"/>
    <w:rsid w:val="0078524D"/>
    <w:rsid w:val="00786EBD"/>
    <w:rsid w:val="0079001A"/>
    <w:rsid w:val="00790E9C"/>
    <w:rsid w:val="0079246D"/>
    <w:rsid w:val="007937D2"/>
    <w:rsid w:val="00793FF5"/>
    <w:rsid w:val="00794B70"/>
    <w:rsid w:val="00795B91"/>
    <w:rsid w:val="00796BCA"/>
    <w:rsid w:val="007A10F2"/>
    <w:rsid w:val="007A3211"/>
    <w:rsid w:val="007A3277"/>
    <w:rsid w:val="007A40BC"/>
    <w:rsid w:val="007A4238"/>
    <w:rsid w:val="007B064C"/>
    <w:rsid w:val="007B126B"/>
    <w:rsid w:val="007B3D85"/>
    <w:rsid w:val="007B4C64"/>
    <w:rsid w:val="007B51EC"/>
    <w:rsid w:val="007C0043"/>
    <w:rsid w:val="007C1738"/>
    <w:rsid w:val="007C257C"/>
    <w:rsid w:val="007C65DE"/>
    <w:rsid w:val="007D05D1"/>
    <w:rsid w:val="007D06FB"/>
    <w:rsid w:val="007D25B3"/>
    <w:rsid w:val="007D3B1C"/>
    <w:rsid w:val="007D3D08"/>
    <w:rsid w:val="007D4950"/>
    <w:rsid w:val="007D5166"/>
    <w:rsid w:val="007D54FB"/>
    <w:rsid w:val="007D6144"/>
    <w:rsid w:val="007D717A"/>
    <w:rsid w:val="007D73B7"/>
    <w:rsid w:val="007D79F4"/>
    <w:rsid w:val="007D7C96"/>
    <w:rsid w:val="007E30C0"/>
    <w:rsid w:val="007E3D67"/>
    <w:rsid w:val="007E6A15"/>
    <w:rsid w:val="007F2BDD"/>
    <w:rsid w:val="007F3E2C"/>
    <w:rsid w:val="007F5F31"/>
    <w:rsid w:val="007F7D5C"/>
    <w:rsid w:val="0080070F"/>
    <w:rsid w:val="00801819"/>
    <w:rsid w:val="0080337D"/>
    <w:rsid w:val="00804372"/>
    <w:rsid w:val="008062A8"/>
    <w:rsid w:val="00806AA8"/>
    <w:rsid w:val="00807A4D"/>
    <w:rsid w:val="00807B46"/>
    <w:rsid w:val="008111F8"/>
    <w:rsid w:val="00813E3D"/>
    <w:rsid w:val="008140F5"/>
    <w:rsid w:val="00817BDC"/>
    <w:rsid w:val="008209FE"/>
    <w:rsid w:val="008211AC"/>
    <w:rsid w:val="00822C4C"/>
    <w:rsid w:val="008256B6"/>
    <w:rsid w:val="00835108"/>
    <w:rsid w:val="00836A1D"/>
    <w:rsid w:val="00836E05"/>
    <w:rsid w:val="00836EE8"/>
    <w:rsid w:val="00837848"/>
    <w:rsid w:val="00837C11"/>
    <w:rsid w:val="00837ED3"/>
    <w:rsid w:val="0084050A"/>
    <w:rsid w:val="00840891"/>
    <w:rsid w:val="00841974"/>
    <w:rsid w:val="00841FF0"/>
    <w:rsid w:val="00843EED"/>
    <w:rsid w:val="00844C2F"/>
    <w:rsid w:val="00844FEC"/>
    <w:rsid w:val="00845BF0"/>
    <w:rsid w:val="0085086E"/>
    <w:rsid w:val="00851677"/>
    <w:rsid w:val="00851D2F"/>
    <w:rsid w:val="00852678"/>
    <w:rsid w:val="00852DB6"/>
    <w:rsid w:val="00853A7F"/>
    <w:rsid w:val="008568F4"/>
    <w:rsid w:val="00860224"/>
    <w:rsid w:val="0086119A"/>
    <w:rsid w:val="008615AD"/>
    <w:rsid w:val="008618A0"/>
    <w:rsid w:val="00862252"/>
    <w:rsid w:val="00862844"/>
    <w:rsid w:val="00863DE3"/>
    <w:rsid w:val="00863E62"/>
    <w:rsid w:val="0086461E"/>
    <w:rsid w:val="00865CB2"/>
    <w:rsid w:val="0086646A"/>
    <w:rsid w:val="008664FA"/>
    <w:rsid w:val="00866737"/>
    <w:rsid w:val="0086728C"/>
    <w:rsid w:val="00867E53"/>
    <w:rsid w:val="00872514"/>
    <w:rsid w:val="00874D37"/>
    <w:rsid w:val="0087692F"/>
    <w:rsid w:val="0087729B"/>
    <w:rsid w:val="0088065E"/>
    <w:rsid w:val="0088104A"/>
    <w:rsid w:val="008831F4"/>
    <w:rsid w:val="008841B5"/>
    <w:rsid w:val="0088456B"/>
    <w:rsid w:val="0088591F"/>
    <w:rsid w:val="0089072B"/>
    <w:rsid w:val="00890DD7"/>
    <w:rsid w:val="00891071"/>
    <w:rsid w:val="00891993"/>
    <w:rsid w:val="008953B9"/>
    <w:rsid w:val="00897A0F"/>
    <w:rsid w:val="008A4D24"/>
    <w:rsid w:val="008A52BB"/>
    <w:rsid w:val="008A6372"/>
    <w:rsid w:val="008A67AB"/>
    <w:rsid w:val="008A6E07"/>
    <w:rsid w:val="008A6EA3"/>
    <w:rsid w:val="008B0DDE"/>
    <w:rsid w:val="008B1654"/>
    <w:rsid w:val="008B74A3"/>
    <w:rsid w:val="008C0376"/>
    <w:rsid w:val="008C0D84"/>
    <w:rsid w:val="008C41E6"/>
    <w:rsid w:val="008C4BB0"/>
    <w:rsid w:val="008D422F"/>
    <w:rsid w:val="008D441E"/>
    <w:rsid w:val="008D5CAB"/>
    <w:rsid w:val="008D736B"/>
    <w:rsid w:val="008D7EB0"/>
    <w:rsid w:val="008E5586"/>
    <w:rsid w:val="008E6ADF"/>
    <w:rsid w:val="008F0EDB"/>
    <w:rsid w:val="008F2195"/>
    <w:rsid w:val="008F3913"/>
    <w:rsid w:val="008F42D2"/>
    <w:rsid w:val="008F5506"/>
    <w:rsid w:val="008F7C5B"/>
    <w:rsid w:val="0090033D"/>
    <w:rsid w:val="00900936"/>
    <w:rsid w:val="0090127F"/>
    <w:rsid w:val="00901663"/>
    <w:rsid w:val="0090275A"/>
    <w:rsid w:val="00903216"/>
    <w:rsid w:val="0090351F"/>
    <w:rsid w:val="00905294"/>
    <w:rsid w:val="009054B1"/>
    <w:rsid w:val="00906328"/>
    <w:rsid w:val="0091332B"/>
    <w:rsid w:val="00914985"/>
    <w:rsid w:val="00914B3E"/>
    <w:rsid w:val="00917238"/>
    <w:rsid w:val="00917E7D"/>
    <w:rsid w:val="00927140"/>
    <w:rsid w:val="00930B0D"/>
    <w:rsid w:val="00931569"/>
    <w:rsid w:val="00932874"/>
    <w:rsid w:val="009353E6"/>
    <w:rsid w:val="00937A68"/>
    <w:rsid w:val="00937ED5"/>
    <w:rsid w:val="00941026"/>
    <w:rsid w:val="00943AC1"/>
    <w:rsid w:val="009466B8"/>
    <w:rsid w:val="00946E78"/>
    <w:rsid w:val="00947E2D"/>
    <w:rsid w:val="00950F44"/>
    <w:rsid w:val="0095143F"/>
    <w:rsid w:val="00951F5F"/>
    <w:rsid w:val="00954343"/>
    <w:rsid w:val="009554EB"/>
    <w:rsid w:val="009555EA"/>
    <w:rsid w:val="009571E7"/>
    <w:rsid w:val="00960CC1"/>
    <w:rsid w:val="00961340"/>
    <w:rsid w:val="0096313E"/>
    <w:rsid w:val="00965079"/>
    <w:rsid w:val="0096541B"/>
    <w:rsid w:val="00971F74"/>
    <w:rsid w:val="00972185"/>
    <w:rsid w:val="00975F88"/>
    <w:rsid w:val="00976250"/>
    <w:rsid w:val="0099016C"/>
    <w:rsid w:val="009941D3"/>
    <w:rsid w:val="009943F9"/>
    <w:rsid w:val="00996058"/>
    <w:rsid w:val="009A0041"/>
    <w:rsid w:val="009A00D0"/>
    <w:rsid w:val="009A01E9"/>
    <w:rsid w:val="009A1AED"/>
    <w:rsid w:val="009A291C"/>
    <w:rsid w:val="009A3E17"/>
    <w:rsid w:val="009A44E6"/>
    <w:rsid w:val="009A5024"/>
    <w:rsid w:val="009A6492"/>
    <w:rsid w:val="009A6C23"/>
    <w:rsid w:val="009B0AED"/>
    <w:rsid w:val="009B0EDC"/>
    <w:rsid w:val="009B25FF"/>
    <w:rsid w:val="009B29F1"/>
    <w:rsid w:val="009B4A93"/>
    <w:rsid w:val="009B53D6"/>
    <w:rsid w:val="009B582A"/>
    <w:rsid w:val="009B793C"/>
    <w:rsid w:val="009C39B5"/>
    <w:rsid w:val="009C42AE"/>
    <w:rsid w:val="009C44F9"/>
    <w:rsid w:val="009C54F3"/>
    <w:rsid w:val="009D0922"/>
    <w:rsid w:val="009D0F13"/>
    <w:rsid w:val="009D298C"/>
    <w:rsid w:val="009D4544"/>
    <w:rsid w:val="009D678F"/>
    <w:rsid w:val="009E06FE"/>
    <w:rsid w:val="009E0FFC"/>
    <w:rsid w:val="009E1B8C"/>
    <w:rsid w:val="009E21BD"/>
    <w:rsid w:val="009E2D96"/>
    <w:rsid w:val="009E5EF6"/>
    <w:rsid w:val="009F121E"/>
    <w:rsid w:val="009F1700"/>
    <w:rsid w:val="009F18F4"/>
    <w:rsid w:val="009F479C"/>
    <w:rsid w:val="009F4F51"/>
    <w:rsid w:val="009F68BD"/>
    <w:rsid w:val="009F78DD"/>
    <w:rsid w:val="00A0264F"/>
    <w:rsid w:val="00A02686"/>
    <w:rsid w:val="00A02C4B"/>
    <w:rsid w:val="00A06FA2"/>
    <w:rsid w:val="00A1061F"/>
    <w:rsid w:val="00A11A5E"/>
    <w:rsid w:val="00A127AA"/>
    <w:rsid w:val="00A13159"/>
    <w:rsid w:val="00A13ACF"/>
    <w:rsid w:val="00A13DC1"/>
    <w:rsid w:val="00A15D4A"/>
    <w:rsid w:val="00A2181B"/>
    <w:rsid w:val="00A34468"/>
    <w:rsid w:val="00A34E6B"/>
    <w:rsid w:val="00A37406"/>
    <w:rsid w:val="00A37FA6"/>
    <w:rsid w:val="00A41295"/>
    <w:rsid w:val="00A42C88"/>
    <w:rsid w:val="00A44248"/>
    <w:rsid w:val="00A44CDD"/>
    <w:rsid w:val="00A45A4C"/>
    <w:rsid w:val="00A470AC"/>
    <w:rsid w:val="00A50023"/>
    <w:rsid w:val="00A5076C"/>
    <w:rsid w:val="00A523F4"/>
    <w:rsid w:val="00A53453"/>
    <w:rsid w:val="00A54564"/>
    <w:rsid w:val="00A56AC9"/>
    <w:rsid w:val="00A57F17"/>
    <w:rsid w:val="00A65886"/>
    <w:rsid w:val="00A668B1"/>
    <w:rsid w:val="00A67994"/>
    <w:rsid w:val="00A73744"/>
    <w:rsid w:val="00A77DD0"/>
    <w:rsid w:val="00A81014"/>
    <w:rsid w:val="00A81628"/>
    <w:rsid w:val="00A834E9"/>
    <w:rsid w:val="00A83689"/>
    <w:rsid w:val="00A83B09"/>
    <w:rsid w:val="00A83C05"/>
    <w:rsid w:val="00A858DF"/>
    <w:rsid w:val="00A878C9"/>
    <w:rsid w:val="00A929C0"/>
    <w:rsid w:val="00A951A7"/>
    <w:rsid w:val="00AA25A4"/>
    <w:rsid w:val="00AA2F37"/>
    <w:rsid w:val="00AA449D"/>
    <w:rsid w:val="00AA6CE9"/>
    <w:rsid w:val="00AA72E9"/>
    <w:rsid w:val="00AA7407"/>
    <w:rsid w:val="00AB0AB5"/>
    <w:rsid w:val="00AB0DE2"/>
    <w:rsid w:val="00AB2923"/>
    <w:rsid w:val="00AB3890"/>
    <w:rsid w:val="00AB5B3F"/>
    <w:rsid w:val="00AB7730"/>
    <w:rsid w:val="00AB79CE"/>
    <w:rsid w:val="00AC1A1A"/>
    <w:rsid w:val="00AC1BF8"/>
    <w:rsid w:val="00AC2D66"/>
    <w:rsid w:val="00AC31AB"/>
    <w:rsid w:val="00AC40B7"/>
    <w:rsid w:val="00AC55F5"/>
    <w:rsid w:val="00AC5E9D"/>
    <w:rsid w:val="00AC5FD6"/>
    <w:rsid w:val="00AC65FC"/>
    <w:rsid w:val="00AC6652"/>
    <w:rsid w:val="00AD0A52"/>
    <w:rsid w:val="00AD453B"/>
    <w:rsid w:val="00AD5549"/>
    <w:rsid w:val="00AD61FF"/>
    <w:rsid w:val="00AD7894"/>
    <w:rsid w:val="00AE03BC"/>
    <w:rsid w:val="00AE245F"/>
    <w:rsid w:val="00AE2CF0"/>
    <w:rsid w:val="00AE39DF"/>
    <w:rsid w:val="00AE4CCE"/>
    <w:rsid w:val="00AE4DF7"/>
    <w:rsid w:val="00AE5917"/>
    <w:rsid w:val="00AE5BF4"/>
    <w:rsid w:val="00AE6608"/>
    <w:rsid w:val="00AE7814"/>
    <w:rsid w:val="00AE7EB1"/>
    <w:rsid w:val="00AF0DBB"/>
    <w:rsid w:val="00AF1779"/>
    <w:rsid w:val="00AF3932"/>
    <w:rsid w:val="00AF5292"/>
    <w:rsid w:val="00AF672A"/>
    <w:rsid w:val="00B0058B"/>
    <w:rsid w:val="00B01905"/>
    <w:rsid w:val="00B01CD3"/>
    <w:rsid w:val="00B032D1"/>
    <w:rsid w:val="00B038A5"/>
    <w:rsid w:val="00B06E82"/>
    <w:rsid w:val="00B079A7"/>
    <w:rsid w:val="00B07AA7"/>
    <w:rsid w:val="00B106E5"/>
    <w:rsid w:val="00B120F0"/>
    <w:rsid w:val="00B132C6"/>
    <w:rsid w:val="00B132E2"/>
    <w:rsid w:val="00B13F60"/>
    <w:rsid w:val="00B1721D"/>
    <w:rsid w:val="00B2004A"/>
    <w:rsid w:val="00B20D8F"/>
    <w:rsid w:val="00B210CA"/>
    <w:rsid w:val="00B21271"/>
    <w:rsid w:val="00B21BA0"/>
    <w:rsid w:val="00B21C0F"/>
    <w:rsid w:val="00B23735"/>
    <w:rsid w:val="00B23D03"/>
    <w:rsid w:val="00B25413"/>
    <w:rsid w:val="00B25FDE"/>
    <w:rsid w:val="00B30F6B"/>
    <w:rsid w:val="00B345A4"/>
    <w:rsid w:val="00B34C49"/>
    <w:rsid w:val="00B36686"/>
    <w:rsid w:val="00B36AFC"/>
    <w:rsid w:val="00B36BA6"/>
    <w:rsid w:val="00B37004"/>
    <w:rsid w:val="00B41B61"/>
    <w:rsid w:val="00B439C6"/>
    <w:rsid w:val="00B43A19"/>
    <w:rsid w:val="00B45707"/>
    <w:rsid w:val="00B4581C"/>
    <w:rsid w:val="00B46EEC"/>
    <w:rsid w:val="00B510B9"/>
    <w:rsid w:val="00B51D63"/>
    <w:rsid w:val="00B555E7"/>
    <w:rsid w:val="00B55DCC"/>
    <w:rsid w:val="00B5624F"/>
    <w:rsid w:val="00B60066"/>
    <w:rsid w:val="00B6297F"/>
    <w:rsid w:val="00B63423"/>
    <w:rsid w:val="00B66F2C"/>
    <w:rsid w:val="00B67EA4"/>
    <w:rsid w:val="00B700DC"/>
    <w:rsid w:val="00B70ED8"/>
    <w:rsid w:val="00B714F4"/>
    <w:rsid w:val="00B71F8F"/>
    <w:rsid w:val="00B738D1"/>
    <w:rsid w:val="00B742AE"/>
    <w:rsid w:val="00B75DBE"/>
    <w:rsid w:val="00B803EE"/>
    <w:rsid w:val="00B808D0"/>
    <w:rsid w:val="00B80BEE"/>
    <w:rsid w:val="00B82EAE"/>
    <w:rsid w:val="00B85154"/>
    <w:rsid w:val="00B86290"/>
    <w:rsid w:val="00B8690D"/>
    <w:rsid w:val="00B86B03"/>
    <w:rsid w:val="00B906A3"/>
    <w:rsid w:val="00B933B5"/>
    <w:rsid w:val="00B94DE5"/>
    <w:rsid w:val="00B96236"/>
    <w:rsid w:val="00B962D6"/>
    <w:rsid w:val="00B96BE8"/>
    <w:rsid w:val="00B96E77"/>
    <w:rsid w:val="00BA1858"/>
    <w:rsid w:val="00BA194B"/>
    <w:rsid w:val="00BA5067"/>
    <w:rsid w:val="00BA5248"/>
    <w:rsid w:val="00BA5C05"/>
    <w:rsid w:val="00BA5CFE"/>
    <w:rsid w:val="00BB04EB"/>
    <w:rsid w:val="00BB0AE9"/>
    <w:rsid w:val="00BB1F21"/>
    <w:rsid w:val="00BB2C54"/>
    <w:rsid w:val="00BB6ACE"/>
    <w:rsid w:val="00BB6BCD"/>
    <w:rsid w:val="00BC39DD"/>
    <w:rsid w:val="00BC4336"/>
    <w:rsid w:val="00BC6DF8"/>
    <w:rsid w:val="00BD15DA"/>
    <w:rsid w:val="00BD36BE"/>
    <w:rsid w:val="00BD4DEC"/>
    <w:rsid w:val="00BD4FDF"/>
    <w:rsid w:val="00BD6D5E"/>
    <w:rsid w:val="00BD7796"/>
    <w:rsid w:val="00BE0E2F"/>
    <w:rsid w:val="00BF0C4F"/>
    <w:rsid w:val="00BF2D01"/>
    <w:rsid w:val="00BF3AEC"/>
    <w:rsid w:val="00BF4C0A"/>
    <w:rsid w:val="00BF5DC0"/>
    <w:rsid w:val="00BF6A8A"/>
    <w:rsid w:val="00C00065"/>
    <w:rsid w:val="00C0021D"/>
    <w:rsid w:val="00C01D96"/>
    <w:rsid w:val="00C0290C"/>
    <w:rsid w:val="00C02B31"/>
    <w:rsid w:val="00C04BAF"/>
    <w:rsid w:val="00C055AA"/>
    <w:rsid w:val="00C056FC"/>
    <w:rsid w:val="00C0597C"/>
    <w:rsid w:val="00C07B9F"/>
    <w:rsid w:val="00C130E0"/>
    <w:rsid w:val="00C1623D"/>
    <w:rsid w:val="00C22052"/>
    <w:rsid w:val="00C26157"/>
    <w:rsid w:val="00C319D8"/>
    <w:rsid w:val="00C32953"/>
    <w:rsid w:val="00C33365"/>
    <w:rsid w:val="00C33AD4"/>
    <w:rsid w:val="00C361E5"/>
    <w:rsid w:val="00C368B1"/>
    <w:rsid w:val="00C370AC"/>
    <w:rsid w:val="00C37451"/>
    <w:rsid w:val="00C3795E"/>
    <w:rsid w:val="00C37E76"/>
    <w:rsid w:val="00C40CA5"/>
    <w:rsid w:val="00C4213A"/>
    <w:rsid w:val="00C435C7"/>
    <w:rsid w:val="00C449BB"/>
    <w:rsid w:val="00C47D2D"/>
    <w:rsid w:val="00C50895"/>
    <w:rsid w:val="00C51B48"/>
    <w:rsid w:val="00C51BD8"/>
    <w:rsid w:val="00C52C23"/>
    <w:rsid w:val="00C5421E"/>
    <w:rsid w:val="00C54D5D"/>
    <w:rsid w:val="00C61360"/>
    <w:rsid w:val="00C6285D"/>
    <w:rsid w:val="00C62FAE"/>
    <w:rsid w:val="00C649D6"/>
    <w:rsid w:val="00C64AD1"/>
    <w:rsid w:val="00C64E92"/>
    <w:rsid w:val="00C65564"/>
    <w:rsid w:val="00C663D9"/>
    <w:rsid w:val="00C7312B"/>
    <w:rsid w:val="00C7361A"/>
    <w:rsid w:val="00C754C1"/>
    <w:rsid w:val="00C75DCB"/>
    <w:rsid w:val="00C764D7"/>
    <w:rsid w:val="00C76CBE"/>
    <w:rsid w:val="00C821C7"/>
    <w:rsid w:val="00C84612"/>
    <w:rsid w:val="00C84D9F"/>
    <w:rsid w:val="00C84E84"/>
    <w:rsid w:val="00C901D7"/>
    <w:rsid w:val="00C916D6"/>
    <w:rsid w:val="00C9491F"/>
    <w:rsid w:val="00C95262"/>
    <w:rsid w:val="00CA79F4"/>
    <w:rsid w:val="00CB0C6F"/>
    <w:rsid w:val="00CB3C5D"/>
    <w:rsid w:val="00CB751A"/>
    <w:rsid w:val="00CB7BC5"/>
    <w:rsid w:val="00CC2EB8"/>
    <w:rsid w:val="00CC5067"/>
    <w:rsid w:val="00CC6A09"/>
    <w:rsid w:val="00CD03F5"/>
    <w:rsid w:val="00CD0FA2"/>
    <w:rsid w:val="00CD2EEA"/>
    <w:rsid w:val="00CD3857"/>
    <w:rsid w:val="00CD425D"/>
    <w:rsid w:val="00CD597C"/>
    <w:rsid w:val="00CD5EE5"/>
    <w:rsid w:val="00CD6979"/>
    <w:rsid w:val="00CE1415"/>
    <w:rsid w:val="00CE1713"/>
    <w:rsid w:val="00CE28D9"/>
    <w:rsid w:val="00CE2ABB"/>
    <w:rsid w:val="00CE31F6"/>
    <w:rsid w:val="00CE603B"/>
    <w:rsid w:val="00CF0E33"/>
    <w:rsid w:val="00CF1C0F"/>
    <w:rsid w:val="00CF1F51"/>
    <w:rsid w:val="00CF3559"/>
    <w:rsid w:val="00CF50E0"/>
    <w:rsid w:val="00CF5D5E"/>
    <w:rsid w:val="00CF6CAB"/>
    <w:rsid w:val="00CF6F69"/>
    <w:rsid w:val="00CF7544"/>
    <w:rsid w:val="00CF7DEB"/>
    <w:rsid w:val="00CF7ECB"/>
    <w:rsid w:val="00D020D3"/>
    <w:rsid w:val="00D028CC"/>
    <w:rsid w:val="00D04A01"/>
    <w:rsid w:val="00D04FA1"/>
    <w:rsid w:val="00D05D70"/>
    <w:rsid w:val="00D117BE"/>
    <w:rsid w:val="00D11FAD"/>
    <w:rsid w:val="00D12EF7"/>
    <w:rsid w:val="00D13A66"/>
    <w:rsid w:val="00D1442E"/>
    <w:rsid w:val="00D2018C"/>
    <w:rsid w:val="00D20C01"/>
    <w:rsid w:val="00D211FA"/>
    <w:rsid w:val="00D26140"/>
    <w:rsid w:val="00D267B6"/>
    <w:rsid w:val="00D26BEB"/>
    <w:rsid w:val="00D275AA"/>
    <w:rsid w:val="00D31F53"/>
    <w:rsid w:val="00D35AD6"/>
    <w:rsid w:val="00D37E9E"/>
    <w:rsid w:val="00D42597"/>
    <w:rsid w:val="00D43DA3"/>
    <w:rsid w:val="00D46667"/>
    <w:rsid w:val="00D50D09"/>
    <w:rsid w:val="00D5109E"/>
    <w:rsid w:val="00D52626"/>
    <w:rsid w:val="00D53126"/>
    <w:rsid w:val="00D55047"/>
    <w:rsid w:val="00D56D5D"/>
    <w:rsid w:val="00D62BBD"/>
    <w:rsid w:val="00D6338A"/>
    <w:rsid w:val="00D63615"/>
    <w:rsid w:val="00D656BD"/>
    <w:rsid w:val="00D65C2F"/>
    <w:rsid w:val="00D65FED"/>
    <w:rsid w:val="00D67303"/>
    <w:rsid w:val="00D7009B"/>
    <w:rsid w:val="00D70511"/>
    <w:rsid w:val="00D707F3"/>
    <w:rsid w:val="00D72246"/>
    <w:rsid w:val="00D72992"/>
    <w:rsid w:val="00D72FC2"/>
    <w:rsid w:val="00D777EE"/>
    <w:rsid w:val="00D82DF5"/>
    <w:rsid w:val="00D83C34"/>
    <w:rsid w:val="00D83D78"/>
    <w:rsid w:val="00D848FB"/>
    <w:rsid w:val="00D85981"/>
    <w:rsid w:val="00D859B9"/>
    <w:rsid w:val="00D85BA4"/>
    <w:rsid w:val="00D874D6"/>
    <w:rsid w:val="00D92036"/>
    <w:rsid w:val="00D93489"/>
    <w:rsid w:val="00D94E43"/>
    <w:rsid w:val="00D960EA"/>
    <w:rsid w:val="00D96C46"/>
    <w:rsid w:val="00D97ACA"/>
    <w:rsid w:val="00DA547A"/>
    <w:rsid w:val="00DA6B80"/>
    <w:rsid w:val="00DB03B7"/>
    <w:rsid w:val="00DB1201"/>
    <w:rsid w:val="00DB21E6"/>
    <w:rsid w:val="00DB4236"/>
    <w:rsid w:val="00DB453E"/>
    <w:rsid w:val="00DB483D"/>
    <w:rsid w:val="00DC03CD"/>
    <w:rsid w:val="00DC0B3A"/>
    <w:rsid w:val="00DC0BD7"/>
    <w:rsid w:val="00DC1E57"/>
    <w:rsid w:val="00DC2DC3"/>
    <w:rsid w:val="00DC4903"/>
    <w:rsid w:val="00DD1854"/>
    <w:rsid w:val="00DD7A26"/>
    <w:rsid w:val="00DE1FBA"/>
    <w:rsid w:val="00DE283C"/>
    <w:rsid w:val="00DE5EF4"/>
    <w:rsid w:val="00DE60C6"/>
    <w:rsid w:val="00DE784A"/>
    <w:rsid w:val="00DE7B18"/>
    <w:rsid w:val="00DF0C7E"/>
    <w:rsid w:val="00DF113D"/>
    <w:rsid w:val="00DF39A6"/>
    <w:rsid w:val="00DF4036"/>
    <w:rsid w:val="00DF41E7"/>
    <w:rsid w:val="00DF6B61"/>
    <w:rsid w:val="00DF7258"/>
    <w:rsid w:val="00E02390"/>
    <w:rsid w:val="00E11E74"/>
    <w:rsid w:val="00E12CDB"/>
    <w:rsid w:val="00E13838"/>
    <w:rsid w:val="00E13DB8"/>
    <w:rsid w:val="00E15E03"/>
    <w:rsid w:val="00E20628"/>
    <w:rsid w:val="00E20B4D"/>
    <w:rsid w:val="00E22B55"/>
    <w:rsid w:val="00E2307A"/>
    <w:rsid w:val="00E2337A"/>
    <w:rsid w:val="00E267DC"/>
    <w:rsid w:val="00E3305D"/>
    <w:rsid w:val="00E3319D"/>
    <w:rsid w:val="00E35526"/>
    <w:rsid w:val="00E37E71"/>
    <w:rsid w:val="00E408F4"/>
    <w:rsid w:val="00E40CF2"/>
    <w:rsid w:val="00E4198E"/>
    <w:rsid w:val="00E41D8E"/>
    <w:rsid w:val="00E434D4"/>
    <w:rsid w:val="00E43506"/>
    <w:rsid w:val="00E43C31"/>
    <w:rsid w:val="00E47B4D"/>
    <w:rsid w:val="00E50BE3"/>
    <w:rsid w:val="00E52706"/>
    <w:rsid w:val="00E52D50"/>
    <w:rsid w:val="00E53416"/>
    <w:rsid w:val="00E55CD4"/>
    <w:rsid w:val="00E56C62"/>
    <w:rsid w:val="00E60BFE"/>
    <w:rsid w:val="00E61362"/>
    <w:rsid w:val="00E61D9C"/>
    <w:rsid w:val="00E64DC1"/>
    <w:rsid w:val="00E72715"/>
    <w:rsid w:val="00E72D66"/>
    <w:rsid w:val="00E73391"/>
    <w:rsid w:val="00E73708"/>
    <w:rsid w:val="00E73D46"/>
    <w:rsid w:val="00E75B49"/>
    <w:rsid w:val="00E7723E"/>
    <w:rsid w:val="00E77514"/>
    <w:rsid w:val="00E813C1"/>
    <w:rsid w:val="00E84B65"/>
    <w:rsid w:val="00E903F7"/>
    <w:rsid w:val="00E918D4"/>
    <w:rsid w:val="00E925FB"/>
    <w:rsid w:val="00E926FA"/>
    <w:rsid w:val="00E96C88"/>
    <w:rsid w:val="00E9703D"/>
    <w:rsid w:val="00E97490"/>
    <w:rsid w:val="00EA2D7E"/>
    <w:rsid w:val="00EA64B2"/>
    <w:rsid w:val="00EB034B"/>
    <w:rsid w:val="00EC044D"/>
    <w:rsid w:val="00EC0692"/>
    <w:rsid w:val="00EC0828"/>
    <w:rsid w:val="00EC0A2A"/>
    <w:rsid w:val="00EC24BF"/>
    <w:rsid w:val="00EC33FC"/>
    <w:rsid w:val="00EC5B39"/>
    <w:rsid w:val="00EC5C19"/>
    <w:rsid w:val="00EC66E0"/>
    <w:rsid w:val="00ED0100"/>
    <w:rsid w:val="00ED1282"/>
    <w:rsid w:val="00ED1805"/>
    <w:rsid w:val="00ED452E"/>
    <w:rsid w:val="00ED5DB0"/>
    <w:rsid w:val="00EE17C4"/>
    <w:rsid w:val="00EE347E"/>
    <w:rsid w:val="00EE3EE4"/>
    <w:rsid w:val="00EE453E"/>
    <w:rsid w:val="00EE4FF8"/>
    <w:rsid w:val="00EE5247"/>
    <w:rsid w:val="00EE69C4"/>
    <w:rsid w:val="00EF0766"/>
    <w:rsid w:val="00EF3545"/>
    <w:rsid w:val="00EF3FEE"/>
    <w:rsid w:val="00EF5A9E"/>
    <w:rsid w:val="00EF6018"/>
    <w:rsid w:val="00EF7B80"/>
    <w:rsid w:val="00F01A45"/>
    <w:rsid w:val="00F03315"/>
    <w:rsid w:val="00F0332C"/>
    <w:rsid w:val="00F03F7E"/>
    <w:rsid w:val="00F04D8B"/>
    <w:rsid w:val="00F051A8"/>
    <w:rsid w:val="00F05FF0"/>
    <w:rsid w:val="00F062A5"/>
    <w:rsid w:val="00F10629"/>
    <w:rsid w:val="00F10BCB"/>
    <w:rsid w:val="00F11851"/>
    <w:rsid w:val="00F1692E"/>
    <w:rsid w:val="00F17981"/>
    <w:rsid w:val="00F21309"/>
    <w:rsid w:val="00F22BBE"/>
    <w:rsid w:val="00F23339"/>
    <w:rsid w:val="00F23F6F"/>
    <w:rsid w:val="00F25724"/>
    <w:rsid w:val="00F258C1"/>
    <w:rsid w:val="00F25FF6"/>
    <w:rsid w:val="00F26A07"/>
    <w:rsid w:val="00F306CF"/>
    <w:rsid w:val="00F31FA5"/>
    <w:rsid w:val="00F320BE"/>
    <w:rsid w:val="00F37955"/>
    <w:rsid w:val="00F37EE9"/>
    <w:rsid w:val="00F408BC"/>
    <w:rsid w:val="00F40DC8"/>
    <w:rsid w:val="00F4223C"/>
    <w:rsid w:val="00F4274E"/>
    <w:rsid w:val="00F43A30"/>
    <w:rsid w:val="00F445C4"/>
    <w:rsid w:val="00F4609A"/>
    <w:rsid w:val="00F463B7"/>
    <w:rsid w:val="00F47701"/>
    <w:rsid w:val="00F50212"/>
    <w:rsid w:val="00F50C6E"/>
    <w:rsid w:val="00F512E0"/>
    <w:rsid w:val="00F521FF"/>
    <w:rsid w:val="00F52B74"/>
    <w:rsid w:val="00F53D3B"/>
    <w:rsid w:val="00F54F8E"/>
    <w:rsid w:val="00F5528C"/>
    <w:rsid w:val="00F56AA0"/>
    <w:rsid w:val="00F57DDC"/>
    <w:rsid w:val="00F64BCE"/>
    <w:rsid w:val="00F66C47"/>
    <w:rsid w:val="00F66EA8"/>
    <w:rsid w:val="00F708DC"/>
    <w:rsid w:val="00F710F6"/>
    <w:rsid w:val="00F7117E"/>
    <w:rsid w:val="00F72CED"/>
    <w:rsid w:val="00F72D11"/>
    <w:rsid w:val="00F7475E"/>
    <w:rsid w:val="00F75313"/>
    <w:rsid w:val="00F831F6"/>
    <w:rsid w:val="00F83457"/>
    <w:rsid w:val="00F934FC"/>
    <w:rsid w:val="00F93D6A"/>
    <w:rsid w:val="00F9767C"/>
    <w:rsid w:val="00FA076F"/>
    <w:rsid w:val="00FA335C"/>
    <w:rsid w:val="00FA76EA"/>
    <w:rsid w:val="00FB0711"/>
    <w:rsid w:val="00FB0BF3"/>
    <w:rsid w:val="00FB480B"/>
    <w:rsid w:val="00FB58C2"/>
    <w:rsid w:val="00FB5C26"/>
    <w:rsid w:val="00FB61B3"/>
    <w:rsid w:val="00FC11F7"/>
    <w:rsid w:val="00FC199A"/>
    <w:rsid w:val="00FC1C67"/>
    <w:rsid w:val="00FC2904"/>
    <w:rsid w:val="00FD057A"/>
    <w:rsid w:val="00FD0A8F"/>
    <w:rsid w:val="00FD2538"/>
    <w:rsid w:val="00FD32D4"/>
    <w:rsid w:val="00FD3D42"/>
    <w:rsid w:val="00FD3DED"/>
    <w:rsid w:val="00FE0164"/>
    <w:rsid w:val="00FE2948"/>
    <w:rsid w:val="00FE3410"/>
    <w:rsid w:val="00FE731D"/>
    <w:rsid w:val="00FF1175"/>
    <w:rsid w:val="00FF30C4"/>
    <w:rsid w:val="00FF3334"/>
    <w:rsid w:val="00FF54C8"/>
    <w:rsid w:val="00FF5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CFD0DD88-901A-4326-A47C-4D925F60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AB"/>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u w:val="single"/>
      <w:lang w:val="pl-PL"/>
    </w:rPr>
  </w:style>
  <w:style w:type="paragraph" w:styleId="Heading4">
    <w:name w:val="heading 4"/>
    <w:basedOn w:val="Normal"/>
    <w:next w:val="Normal"/>
    <w:qFormat/>
    <w:pPr>
      <w:keepNext/>
      <w:outlineLvl w:val="3"/>
    </w:pPr>
    <w:rPr>
      <w:u w:val="single"/>
      <w:lang w:val="pl-PL"/>
    </w:rPr>
  </w:style>
  <w:style w:type="paragraph" w:styleId="Heading5">
    <w:name w:val="heading 5"/>
    <w:basedOn w:val="Normal"/>
    <w:next w:val="Normal"/>
    <w:qFormat/>
    <w:pPr>
      <w:keepNext/>
      <w:widowControl w:val="0"/>
      <w:autoSpaceDE w:val="0"/>
      <w:autoSpaceDN w:val="0"/>
      <w:adjustRightInd w:val="0"/>
      <w:jc w:val="both"/>
      <w:outlineLvl w:val="4"/>
    </w:pPr>
    <w:rPr>
      <w:u w:val="single"/>
      <w:lang w:val="pl-PL"/>
    </w:rPr>
  </w:style>
  <w:style w:type="paragraph" w:styleId="Heading6">
    <w:name w:val="heading 6"/>
    <w:basedOn w:val="Normal"/>
    <w:next w:val="Normal"/>
    <w:qFormat/>
    <w:pPr>
      <w:keepNext/>
      <w:spacing w:line="360" w:lineRule="auto"/>
      <w:jc w:val="both"/>
      <w:outlineLvl w:val="5"/>
    </w:pPr>
    <w:rPr>
      <w:b/>
      <w:lang w:val="pl-PL"/>
    </w:rPr>
  </w:style>
  <w:style w:type="paragraph" w:styleId="Heading7">
    <w:name w:val="heading 7"/>
    <w:basedOn w:val="Normal"/>
    <w:next w:val="Normal"/>
    <w:link w:val="Heading7Char"/>
    <w:uiPriority w:val="9"/>
    <w:semiHidden/>
    <w:unhideWhenUsed/>
    <w:qFormat/>
    <w:rsid w:val="00BC39DD"/>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C39DD"/>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C39DD"/>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pPr>
      <w:ind w:left="360"/>
    </w:pPr>
    <w:rPr>
      <w:lang w:val="pl-PL"/>
    </w:rPr>
  </w:style>
  <w:style w:type="paragraph" w:styleId="BodyText">
    <w:name w:val="Body Text"/>
    <w:basedOn w:val="Normal"/>
    <w:link w:val="BodyTextChar"/>
    <w:pPr>
      <w:spacing w:line="360" w:lineRule="auto"/>
      <w:jc w:val="both"/>
    </w:pPr>
    <w:rPr>
      <w:lang w:val="x-none"/>
    </w:rPr>
  </w:style>
  <w:style w:type="paragraph" w:styleId="BodyTextIndent2">
    <w:name w:val="Body Text Indent 2"/>
    <w:basedOn w:val="Normal"/>
    <w:pPr>
      <w:spacing w:line="360" w:lineRule="auto"/>
      <w:ind w:left="74" w:hanging="74"/>
    </w:pPr>
  </w:style>
  <w:style w:type="paragraph" w:styleId="BodyText3">
    <w:name w:val="Body Text 3"/>
    <w:basedOn w:val="Normal"/>
    <w:pPr>
      <w:spacing w:before="465"/>
      <w:ind w:right="144"/>
    </w:pPr>
    <w:rPr>
      <w:snapToGrid w:val="0"/>
      <w:lang w:val="pl-PL" w:eastAsia="pl-PL"/>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customStyle="1" w:styleId="Tekstdymka1">
    <w:name w:val="Tekst dymka1"/>
    <w:basedOn w:val="Normal"/>
    <w:semiHidden/>
    <w:rPr>
      <w:rFonts w:ascii="Tahoma" w:hAnsi="Tahoma" w:cs="Tahoma"/>
      <w:sz w:val="16"/>
      <w:szCs w:val="16"/>
    </w:rPr>
  </w:style>
  <w:style w:type="paragraph" w:styleId="EndnoteText">
    <w:name w:val="endnote text"/>
    <w:basedOn w:val="Normal"/>
    <w:next w:val="Normal"/>
    <w:semiHidden/>
    <w:pPr>
      <w:tabs>
        <w:tab w:val="left" w:pos="567"/>
      </w:tabs>
    </w:pPr>
    <w:rPr>
      <w:sz w:val="22"/>
      <w:szCs w:val="20"/>
      <w:lang w:val="pl-PL"/>
    </w:rPr>
  </w:style>
  <w:style w:type="paragraph" w:customStyle="1" w:styleId="Sprechblasentext1">
    <w:name w:val="Sprechblasentext1"/>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rsid w:val="00793FF5"/>
    <w:rPr>
      <w:color w:val="0000FF"/>
      <w:u w:val="single"/>
    </w:rPr>
  </w:style>
  <w:style w:type="paragraph" w:styleId="DocumentMap">
    <w:name w:val="Document Map"/>
    <w:basedOn w:val="Normal"/>
    <w:semiHidden/>
    <w:rsid w:val="004D228C"/>
    <w:pPr>
      <w:shd w:val="clear" w:color="auto" w:fill="000080"/>
    </w:pPr>
    <w:rPr>
      <w:rFonts w:ascii="Tahoma" w:hAnsi="Tahoma" w:cs="Tahoma"/>
    </w:rPr>
  </w:style>
  <w:style w:type="paragraph" w:customStyle="1" w:styleId="listssp">
    <w:name w:val="list:ssp"/>
    <w:basedOn w:val="Normal"/>
    <w:rsid w:val="009054B1"/>
    <w:rPr>
      <w:szCs w:val="20"/>
      <w:lang w:val="en-GB"/>
    </w:rPr>
  </w:style>
  <w:style w:type="table" w:styleId="TableGrid">
    <w:name w:val="Table Grid"/>
    <w:basedOn w:val="TableNormal"/>
    <w:rsid w:val="000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A076F"/>
    <w:rPr>
      <w:color w:val="800080"/>
      <w:u w:val="single"/>
    </w:rPr>
  </w:style>
  <w:style w:type="paragraph" w:styleId="BodyText2">
    <w:name w:val="Body Text 2"/>
    <w:basedOn w:val="Normal"/>
    <w:rsid w:val="0021094B"/>
    <w:pPr>
      <w:spacing w:after="120" w:line="480" w:lineRule="auto"/>
    </w:pPr>
  </w:style>
  <w:style w:type="paragraph" w:styleId="FootnoteText">
    <w:name w:val="footnote text"/>
    <w:basedOn w:val="Normal"/>
    <w:link w:val="FootnoteTextChar"/>
    <w:rsid w:val="004D1B3F"/>
    <w:rPr>
      <w:sz w:val="20"/>
      <w:szCs w:val="20"/>
    </w:rPr>
  </w:style>
  <w:style w:type="character" w:styleId="FootnoteReference">
    <w:name w:val="footnote reference"/>
    <w:rsid w:val="004D1B3F"/>
    <w:rPr>
      <w:vertAlign w:val="superscript"/>
    </w:rPr>
  </w:style>
  <w:style w:type="character" w:styleId="LineNumber">
    <w:name w:val="line number"/>
    <w:basedOn w:val="DefaultParagraphFont"/>
    <w:uiPriority w:val="99"/>
    <w:semiHidden/>
    <w:unhideWhenUsed/>
    <w:rsid w:val="008F42D2"/>
  </w:style>
  <w:style w:type="paragraph" w:customStyle="1" w:styleId="Default">
    <w:name w:val="Default"/>
    <w:rsid w:val="00F10BCB"/>
    <w:pPr>
      <w:autoSpaceDE w:val="0"/>
      <w:autoSpaceDN w:val="0"/>
      <w:adjustRightInd w:val="0"/>
    </w:pPr>
    <w:rPr>
      <w:color w:val="000000"/>
      <w:sz w:val="24"/>
      <w:szCs w:val="24"/>
      <w:lang w:val="de-DE" w:eastAsia="de-DE"/>
    </w:rPr>
  </w:style>
  <w:style w:type="paragraph" w:customStyle="1" w:styleId="NoSpacing1">
    <w:name w:val="No Spacing1"/>
    <w:uiPriority w:val="1"/>
    <w:qFormat/>
    <w:rsid w:val="00F10BCB"/>
    <w:rPr>
      <w:sz w:val="24"/>
      <w:szCs w:val="24"/>
      <w:lang w:val="en-US" w:eastAsia="en-US"/>
    </w:rPr>
  </w:style>
  <w:style w:type="paragraph" w:styleId="PlainText">
    <w:name w:val="Plain Text"/>
    <w:basedOn w:val="Normal"/>
    <w:link w:val="PlainTextChar"/>
    <w:uiPriority w:val="99"/>
    <w:unhideWhenUsed/>
    <w:rsid w:val="00273426"/>
    <w:rPr>
      <w:rFonts w:ascii="Consolas" w:eastAsia="Calibri" w:hAnsi="Consolas"/>
      <w:sz w:val="21"/>
      <w:szCs w:val="21"/>
      <w:lang w:val="de-DE"/>
    </w:rPr>
  </w:style>
  <w:style w:type="character" w:customStyle="1" w:styleId="PlainTextChar">
    <w:name w:val="Plain Text Char"/>
    <w:link w:val="PlainText"/>
    <w:uiPriority w:val="99"/>
    <w:rsid w:val="00273426"/>
    <w:rPr>
      <w:rFonts w:ascii="Consolas" w:eastAsia="Calibri" w:hAnsi="Consolas"/>
      <w:sz w:val="21"/>
      <w:szCs w:val="21"/>
      <w:lang w:val="de-DE" w:eastAsia="en-US"/>
    </w:rPr>
  </w:style>
  <w:style w:type="paragraph" w:customStyle="1" w:styleId="ListParagraph1">
    <w:name w:val="List Paragraph1"/>
    <w:basedOn w:val="Normal"/>
    <w:uiPriority w:val="34"/>
    <w:qFormat/>
    <w:rsid w:val="000A17A5"/>
    <w:pPr>
      <w:ind w:left="708"/>
    </w:pPr>
  </w:style>
  <w:style w:type="paragraph" w:customStyle="1" w:styleId="TitleB">
    <w:name w:val="Title B"/>
    <w:basedOn w:val="Normal"/>
    <w:rsid w:val="000A17A5"/>
    <w:pPr>
      <w:outlineLvl w:val="0"/>
    </w:pPr>
    <w:rPr>
      <w:b/>
      <w:sz w:val="22"/>
      <w:szCs w:val="22"/>
      <w:lang w:val="pl-PL"/>
    </w:rPr>
  </w:style>
  <w:style w:type="character" w:customStyle="1" w:styleId="BodyTextChar">
    <w:name w:val="Body Text Char"/>
    <w:link w:val="BodyText"/>
    <w:rsid w:val="0046178E"/>
    <w:rPr>
      <w:sz w:val="24"/>
      <w:szCs w:val="24"/>
      <w:lang w:eastAsia="en-US"/>
    </w:rPr>
  </w:style>
  <w:style w:type="character" w:customStyle="1" w:styleId="hps">
    <w:name w:val="hps"/>
    <w:basedOn w:val="DefaultParagraphFont"/>
    <w:rsid w:val="00130C74"/>
  </w:style>
  <w:style w:type="character" w:customStyle="1" w:styleId="atn">
    <w:name w:val="atn"/>
    <w:basedOn w:val="DefaultParagraphFont"/>
    <w:rsid w:val="00130C74"/>
  </w:style>
  <w:style w:type="paragraph" w:customStyle="1" w:styleId="HeadNoNum1">
    <w:name w:val="HeadNoNum1"/>
    <w:next w:val="Normal"/>
    <w:rsid w:val="00314B38"/>
    <w:pPr>
      <w:suppressAutoHyphens/>
      <w:ind w:left="567" w:hanging="567"/>
    </w:pPr>
    <w:rPr>
      <w:b/>
      <w:noProof/>
      <w:sz w:val="22"/>
      <w:lang w:eastAsia="en-US"/>
    </w:rPr>
  </w:style>
  <w:style w:type="character" w:customStyle="1" w:styleId="span9">
    <w:name w:val="span9"/>
    <w:rsid w:val="00CE31F6"/>
  </w:style>
  <w:style w:type="paragraph" w:customStyle="1" w:styleId="QRD1">
    <w:name w:val="QRD1"/>
    <w:basedOn w:val="BodyText"/>
    <w:link w:val="QRD1Zchn"/>
    <w:qFormat/>
    <w:rsid w:val="00BF0C4F"/>
    <w:pPr>
      <w:spacing w:line="240" w:lineRule="auto"/>
      <w:jc w:val="center"/>
      <w:outlineLvl w:val="0"/>
    </w:pPr>
    <w:rPr>
      <w:b/>
      <w:sz w:val="22"/>
      <w:szCs w:val="22"/>
    </w:rPr>
  </w:style>
  <w:style w:type="paragraph" w:customStyle="1" w:styleId="QRD2">
    <w:name w:val="QRD2"/>
    <w:basedOn w:val="Normal"/>
    <w:link w:val="QRD2Zchn"/>
    <w:qFormat/>
    <w:rsid w:val="00B67EA4"/>
    <w:pPr>
      <w:ind w:left="567" w:hanging="567"/>
      <w:outlineLvl w:val="0"/>
    </w:pPr>
    <w:rPr>
      <w:b/>
      <w:sz w:val="22"/>
      <w:szCs w:val="22"/>
      <w:lang w:val="pl-PL"/>
    </w:rPr>
  </w:style>
  <w:style w:type="character" w:customStyle="1" w:styleId="QRD1Zchn">
    <w:name w:val="QRD1 Zchn"/>
    <w:link w:val="QRD1"/>
    <w:rsid w:val="00BF0C4F"/>
    <w:rPr>
      <w:b/>
      <w:sz w:val="22"/>
      <w:szCs w:val="22"/>
      <w:lang w:val="x-none" w:eastAsia="en-US" w:bidi="ar-SA"/>
    </w:rPr>
  </w:style>
  <w:style w:type="paragraph" w:customStyle="1" w:styleId="BodytextAgency">
    <w:name w:val="Body text (Agency)"/>
    <w:basedOn w:val="Normal"/>
    <w:link w:val="BodytextAgencyChar"/>
    <w:rsid w:val="001D3A66"/>
    <w:pPr>
      <w:spacing w:after="140" w:line="280" w:lineRule="atLeast"/>
    </w:pPr>
    <w:rPr>
      <w:rFonts w:ascii="Verdana" w:hAnsi="Verdana"/>
      <w:sz w:val="18"/>
      <w:szCs w:val="20"/>
      <w:lang w:val="pl-PL" w:eastAsia="pl-PL"/>
    </w:rPr>
  </w:style>
  <w:style w:type="character" w:customStyle="1" w:styleId="QRD2Zchn">
    <w:name w:val="QRD2 Zchn"/>
    <w:link w:val="QRD2"/>
    <w:rsid w:val="00B67EA4"/>
    <w:rPr>
      <w:b/>
      <w:sz w:val="22"/>
      <w:szCs w:val="22"/>
      <w:lang w:eastAsia="en-US" w:bidi="ar-SA"/>
    </w:rPr>
  </w:style>
  <w:style w:type="paragraph" w:customStyle="1" w:styleId="No-numheading1Agency">
    <w:name w:val="No-num heading 1 (Agency)"/>
    <w:basedOn w:val="Normal"/>
    <w:next w:val="BodytextAgency"/>
    <w:rsid w:val="001D3A66"/>
    <w:pPr>
      <w:keepNext/>
      <w:spacing w:before="280" w:after="220"/>
      <w:outlineLvl w:val="0"/>
    </w:pPr>
    <w:rPr>
      <w:rFonts w:ascii="Verdana" w:hAnsi="Verdana"/>
      <w:b/>
      <w:kern w:val="32"/>
      <w:sz w:val="27"/>
      <w:szCs w:val="20"/>
      <w:lang w:val="pl-PL" w:eastAsia="pl-PL"/>
    </w:rPr>
  </w:style>
  <w:style w:type="paragraph" w:customStyle="1" w:styleId="No-numheading2Agency">
    <w:name w:val="No-num heading 2 (Agency)"/>
    <w:basedOn w:val="Normal"/>
    <w:next w:val="BodytextAgency"/>
    <w:rsid w:val="001D3A66"/>
    <w:pPr>
      <w:keepNext/>
      <w:spacing w:before="280" w:after="220"/>
      <w:outlineLvl w:val="1"/>
    </w:pPr>
    <w:rPr>
      <w:rFonts w:ascii="Verdana" w:hAnsi="Verdana"/>
      <w:b/>
      <w:i/>
      <w:kern w:val="32"/>
      <w:sz w:val="22"/>
      <w:szCs w:val="20"/>
      <w:lang w:val="pl-PL" w:eastAsia="pl-PL"/>
    </w:rPr>
  </w:style>
  <w:style w:type="paragraph" w:customStyle="1" w:styleId="NormalAgency">
    <w:name w:val="Normal (Agency)"/>
    <w:link w:val="NormalAgencyChar"/>
    <w:rsid w:val="001D3A66"/>
    <w:rPr>
      <w:rFonts w:ascii="Verdana" w:hAnsi="Verdana"/>
      <w:sz w:val="18"/>
      <w:lang w:val="pl-PL" w:eastAsia="pl-PL"/>
    </w:rPr>
  </w:style>
  <w:style w:type="character" w:customStyle="1" w:styleId="NormalAgencyChar">
    <w:name w:val="Normal (Agency) Char"/>
    <w:link w:val="NormalAgency"/>
    <w:rsid w:val="001D3A66"/>
    <w:rPr>
      <w:rFonts w:ascii="Verdana" w:hAnsi="Verdana"/>
      <w:sz w:val="18"/>
      <w:lang w:val="pl-PL" w:eastAsia="pl-PL" w:bidi="ar-SA"/>
    </w:rPr>
  </w:style>
  <w:style w:type="character" w:customStyle="1" w:styleId="BodytextAgencyChar">
    <w:name w:val="Body text (Agency) Char"/>
    <w:link w:val="BodytextAgency"/>
    <w:rsid w:val="001D3A66"/>
    <w:rPr>
      <w:rFonts w:ascii="Verdana" w:hAnsi="Verdana"/>
      <w:sz w:val="18"/>
      <w:lang w:val="pl-PL" w:eastAsia="pl-PL"/>
    </w:rPr>
  </w:style>
  <w:style w:type="character" w:customStyle="1" w:styleId="FootnoteTextChar">
    <w:name w:val="Footnote Text Char"/>
    <w:link w:val="FootnoteText"/>
    <w:rsid w:val="001D3A66"/>
    <w:rPr>
      <w:lang w:val="en-US" w:eastAsia="en-US"/>
    </w:rPr>
  </w:style>
  <w:style w:type="paragraph" w:customStyle="1" w:styleId="news-date">
    <w:name w:val="news-date"/>
    <w:basedOn w:val="Normal"/>
    <w:rsid w:val="001D3A66"/>
    <w:pPr>
      <w:spacing w:before="100" w:beforeAutospacing="1" w:after="100" w:afterAutospacing="1"/>
    </w:pPr>
    <w:rPr>
      <w:szCs w:val="20"/>
      <w:lang w:val="pl-PL" w:eastAsia="pl-PL"/>
    </w:rPr>
  </w:style>
  <w:style w:type="paragraph" w:styleId="Revision">
    <w:name w:val="Revision"/>
    <w:hidden/>
    <w:uiPriority w:val="99"/>
    <w:semiHidden/>
    <w:rsid w:val="003761E5"/>
    <w:rPr>
      <w:sz w:val="24"/>
      <w:szCs w:val="24"/>
      <w:lang w:val="en-US" w:eastAsia="en-US"/>
    </w:rPr>
  </w:style>
  <w:style w:type="character" w:customStyle="1" w:styleId="CommentTextChar">
    <w:name w:val="Comment Text Char"/>
    <w:link w:val="CommentText"/>
    <w:semiHidden/>
    <w:rsid w:val="00DC0B3A"/>
    <w:rPr>
      <w:lang w:val="en-US" w:eastAsia="en-US"/>
    </w:rPr>
  </w:style>
  <w:style w:type="paragraph" w:styleId="TableofFigures">
    <w:name w:val="table of figures"/>
    <w:basedOn w:val="Normal"/>
    <w:next w:val="Normal"/>
    <w:uiPriority w:val="99"/>
    <w:semiHidden/>
    <w:unhideWhenUsed/>
    <w:rsid w:val="00BC39DD"/>
  </w:style>
  <w:style w:type="paragraph" w:styleId="Salutation">
    <w:name w:val="Salutation"/>
    <w:basedOn w:val="Normal"/>
    <w:next w:val="Normal"/>
    <w:link w:val="SalutationChar"/>
    <w:uiPriority w:val="99"/>
    <w:semiHidden/>
    <w:unhideWhenUsed/>
    <w:rsid w:val="00BC39DD"/>
  </w:style>
  <w:style w:type="character" w:customStyle="1" w:styleId="SalutationChar">
    <w:name w:val="Salutation Char"/>
    <w:link w:val="Salutation"/>
    <w:uiPriority w:val="99"/>
    <w:semiHidden/>
    <w:rsid w:val="00BC39DD"/>
    <w:rPr>
      <w:sz w:val="24"/>
      <w:szCs w:val="24"/>
      <w:lang w:val="en-US" w:eastAsia="en-US"/>
    </w:rPr>
  </w:style>
  <w:style w:type="paragraph" w:styleId="ListBullet">
    <w:name w:val="List Bullet"/>
    <w:basedOn w:val="Normal"/>
    <w:uiPriority w:val="99"/>
    <w:semiHidden/>
    <w:unhideWhenUsed/>
    <w:rsid w:val="00BC39DD"/>
    <w:pPr>
      <w:numPr>
        <w:numId w:val="60"/>
      </w:numPr>
      <w:contextualSpacing/>
    </w:pPr>
  </w:style>
  <w:style w:type="paragraph" w:styleId="ListBullet2">
    <w:name w:val="List Bullet 2"/>
    <w:basedOn w:val="Normal"/>
    <w:uiPriority w:val="99"/>
    <w:semiHidden/>
    <w:unhideWhenUsed/>
    <w:rsid w:val="00BC39DD"/>
    <w:pPr>
      <w:numPr>
        <w:numId w:val="61"/>
      </w:numPr>
      <w:contextualSpacing/>
    </w:pPr>
  </w:style>
  <w:style w:type="paragraph" w:styleId="ListBullet3">
    <w:name w:val="List Bullet 3"/>
    <w:basedOn w:val="Normal"/>
    <w:uiPriority w:val="99"/>
    <w:semiHidden/>
    <w:unhideWhenUsed/>
    <w:rsid w:val="00BC39DD"/>
    <w:pPr>
      <w:numPr>
        <w:numId w:val="62"/>
      </w:numPr>
      <w:contextualSpacing/>
    </w:pPr>
  </w:style>
  <w:style w:type="paragraph" w:styleId="ListBullet4">
    <w:name w:val="List Bullet 4"/>
    <w:basedOn w:val="Normal"/>
    <w:uiPriority w:val="99"/>
    <w:semiHidden/>
    <w:unhideWhenUsed/>
    <w:rsid w:val="00BC39DD"/>
    <w:pPr>
      <w:numPr>
        <w:numId w:val="63"/>
      </w:numPr>
      <w:contextualSpacing/>
    </w:pPr>
  </w:style>
  <w:style w:type="paragraph" w:styleId="ListBullet5">
    <w:name w:val="List Bullet 5"/>
    <w:basedOn w:val="Normal"/>
    <w:uiPriority w:val="99"/>
    <w:semiHidden/>
    <w:unhideWhenUsed/>
    <w:rsid w:val="00BC39DD"/>
    <w:pPr>
      <w:numPr>
        <w:numId w:val="64"/>
      </w:numPr>
      <w:contextualSpacing/>
    </w:pPr>
  </w:style>
  <w:style w:type="paragraph" w:styleId="Caption">
    <w:name w:val="caption"/>
    <w:basedOn w:val="Normal"/>
    <w:next w:val="Normal"/>
    <w:uiPriority w:val="35"/>
    <w:semiHidden/>
    <w:unhideWhenUsed/>
    <w:qFormat/>
    <w:rsid w:val="00BC39DD"/>
    <w:rPr>
      <w:b/>
      <w:bCs/>
      <w:sz w:val="20"/>
      <w:szCs w:val="20"/>
    </w:rPr>
  </w:style>
  <w:style w:type="paragraph" w:styleId="BlockText">
    <w:name w:val="Block Text"/>
    <w:basedOn w:val="Normal"/>
    <w:uiPriority w:val="99"/>
    <w:semiHidden/>
    <w:unhideWhenUsed/>
    <w:rsid w:val="00BC39DD"/>
    <w:pPr>
      <w:spacing w:after="120"/>
      <w:ind w:left="1440" w:right="1440"/>
    </w:pPr>
  </w:style>
  <w:style w:type="paragraph" w:styleId="Date">
    <w:name w:val="Date"/>
    <w:basedOn w:val="Normal"/>
    <w:next w:val="Normal"/>
    <w:link w:val="DateChar"/>
    <w:uiPriority w:val="99"/>
    <w:semiHidden/>
    <w:unhideWhenUsed/>
    <w:rsid w:val="00BC39DD"/>
  </w:style>
  <w:style w:type="character" w:customStyle="1" w:styleId="DateChar">
    <w:name w:val="Date Char"/>
    <w:link w:val="Date"/>
    <w:uiPriority w:val="99"/>
    <w:semiHidden/>
    <w:rsid w:val="00BC39DD"/>
    <w:rPr>
      <w:sz w:val="24"/>
      <w:szCs w:val="24"/>
      <w:lang w:val="en-US" w:eastAsia="en-US"/>
    </w:rPr>
  </w:style>
  <w:style w:type="paragraph" w:styleId="E-mailSignature">
    <w:name w:val="E-mail Signature"/>
    <w:basedOn w:val="Normal"/>
    <w:link w:val="E-mailSignatureChar"/>
    <w:uiPriority w:val="99"/>
    <w:semiHidden/>
    <w:unhideWhenUsed/>
    <w:rsid w:val="00BC39DD"/>
  </w:style>
  <w:style w:type="character" w:customStyle="1" w:styleId="E-mailSignatureChar">
    <w:name w:val="E-mail Signature Char"/>
    <w:link w:val="E-mailSignature"/>
    <w:uiPriority w:val="99"/>
    <w:semiHidden/>
    <w:rsid w:val="00BC39DD"/>
    <w:rPr>
      <w:sz w:val="24"/>
      <w:szCs w:val="24"/>
      <w:lang w:val="en-US" w:eastAsia="en-US"/>
    </w:rPr>
  </w:style>
  <w:style w:type="paragraph" w:styleId="NoteHeading">
    <w:name w:val="Note Heading"/>
    <w:basedOn w:val="Normal"/>
    <w:next w:val="Normal"/>
    <w:link w:val="NoteHeadingChar"/>
    <w:uiPriority w:val="99"/>
    <w:semiHidden/>
    <w:unhideWhenUsed/>
    <w:rsid w:val="00BC39DD"/>
  </w:style>
  <w:style w:type="character" w:customStyle="1" w:styleId="NoteHeadingChar">
    <w:name w:val="Note Heading Char"/>
    <w:link w:val="NoteHeading"/>
    <w:uiPriority w:val="99"/>
    <w:semiHidden/>
    <w:rsid w:val="00BC39DD"/>
    <w:rPr>
      <w:sz w:val="24"/>
      <w:szCs w:val="24"/>
      <w:lang w:val="en-US" w:eastAsia="en-US"/>
    </w:rPr>
  </w:style>
  <w:style w:type="paragraph" w:styleId="Closing">
    <w:name w:val="Closing"/>
    <w:basedOn w:val="Normal"/>
    <w:link w:val="ClosingChar"/>
    <w:uiPriority w:val="99"/>
    <w:semiHidden/>
    <w:unhideWhenUsed/>
    <w:rsid w:val="00BC39DD"/>
    <w:pPr>
      <w:ind w:left="4252"/>
    </w:pPr>
  </w:style>
  <w:style w:type="character" w:customStyle="1" w:styleId="ClosingChar">
    <w:name w:val="Closing Char"/>
    <w:link w:val="Closing"/>
    <w:uiPriority w:val="99"/>
    <w:semiHidden/>
    <w:rsid w:val="00BC39DD"/>
    <w:rPr>
      <w:sz w:val="24"/>
      <w:szCs w:val="24"/>
      <w:lang w:val="en-US" w:eastAsia="en-US"/>
    </w:rPr>
  </w:style>
  <w:style w:type="paragraph" w:styleId="HTMLAddress">
    <w:name w:val="HTML Address"/>
    <w:basedOn w:val="Normal"/>
    <w:link w:val="HTMLAddressChar"/>
    <w:uiPriority w:val="99"/>
    <w:semiHidden/>
    <w:unhideWhenUsed/>
    <w:rsid w:val="00BC39DD"/>
    <w:rPr>
      <w:i/>
      <w:iCs/>
    </w:rPr>
  </w:style>
  <w:style w:type="character" w:customStyle="1" w:styleId="HTMLAddressChar">
    <w:name w:val="HTML Address Char"/>
    <w:link w:val="HTMLAddress"/>
    <w:uiPriority w:val="99"/>
    <w:semiHidden/>
    <w:rsid w:val="00BC39DD"/>
    <w:rPr>
      <w:i/>
      <w:iCs/>
      <w:sz w:val="24"/>
      <w:szCs w:val="24"/>
      <w:lang w:val="en-US" w:eastAsia="en-US"/>
    </w:rPr>
  </w:style>
  <w:style w:type="paragraph" w:styleId="HTMLPreformatted">
    <w:name w:val="HTML Preformatted"/>
    <w:basedOn w:val="Normal"/>
    <w:link w:val="HTMLPreformattedChar"/>
    <w:uiPriority w:val="99"/>
    <w:semiHidden/>
    <w:unhideWhenUsed/>
    <w:rsid w:val="00BC39DD"/>
    <w:rPr>
      <w:rFonts w:ascii="Courier New" w:hAnsi="Courier New"/>
      <w:sz w:val="20"/>
      <w:szCs w:val="20"/>
    </w:rPr>
  </w:style>
  <w:style w:type="character" w:customStyle="1" w:styleId="HTMLPreformattedChar">
    <w:name w:val="HTML Preformatted Char"/>
    <w:link w:val="HTMLPreformatted"/>
    <w:uiPriority w:val="99"/>
    <w:semiHidden/>
    <w:rsid w:val="00BC39DD"/>
    <w:rPr>
      <w:rFonts w:ascii="Courier New" w:hAnsi="Courier New" w:cs="Courier New"/>
      <w:lang w:val="en-US" w:eastAsia="en-US"/>
    </w:rPr>
  </w:style>
  <w:style w:type="paragraph" w:styleId="Index1">
    <w:name w:val="index 1"/>
    <w:basedOn w:val="Normal"/>
    <w:next w:val="Normal"/>
    <w:autoRedefine/>
    <w:uiPriority w:val="99"/>
    <w:semiHidden/>
    <w:unhideWhenUsed/>
    <w:rsid w:val="00BC39DD"/>
    <w:pPr>
      <w:ind w:left="240" w:hanging="240"/>
    </w:pPr>
  </w:style>
  <w:style w:type="paragraph" w:styleId="Index2">
    <w:name w:val="index 2"/>
    <w:basedOn w:val="Normal"/>
    <w:next w:val="Normal"/>
    <w:autoRedefine/>
    <w:uiPriority w:val="99"/>
    <w:semiHidden/>
    <w:unhideWhenUsed/>
    <w:rsid w:val="00BC39DD"/>
    <w:pPr>
      <w:ind w:left="480" w:hanging="240"/>
    </w:pPr>
  </w:style>
  <w:style w:type="paragraph" w:styleId="Index3">
    <w:name w:val="index 3"/>
    <w:basedOn w:val="Normal"/>
    <w:next w:val="Normal"/>
    <w:autoRedefine/>
    <w:uiPriority w:val="99"/>
    <w:semiHidden/>
    <w:unhideWhenUsed/>
    <w:rsid w:val="00BC39DD"/>
    <w:pPr>
      <w:ind w:left="720" w:hanging="240"/>
    </w:pPr>
  </w:style>
  <w:style w:type="paragraph" w:styleId="Index4">
    <w:name w:val="index 4"/>
    <w:basedOn w:val="Normal"/>
    <w:next w:val="Normal"/>
    <w:autoRedefine/>
    <w:uiPriority w:val="99"/>
    <w:semiHidden/>
    <w:unhideWhenUsed/>
    <w:rsid w:val="00BC39DD"/>
    <w:pPr>
      <w:ind w:left="960" w:hanging="240"/>
    </w:pPr>
  </w:style>
  <w:style w:type="paragraph" w:styleId="Index5">
    <w:name w:val="index 5"/>
    <w:basedOn w:val="Normal"/>
    <w:next w:val="Normal"/>
    <w:autoRedefine/>
    <w:uiPriority w:val="99"/>
    <w:semiHidden/>
    <w:unhideWhenUsed/>
    <w:rsid w:val="00BC39DD"/>
    <w:pPr>
      <w:ind w:left="1200" w:hanging="240"/>
    </w:pPr>
  </w:style>
  <w:style w:type="paragraph" w:styleId="Index6">
    <w:name w:val="index 6"/>
    <w:basedOn w:val="Normal"/>
    <w:next w:val="Normal"/>
    <w:autoRedefine/>
    <w:uiPriority w:val="99"/>
    <w:semiHidden/>
    <w:unhideWhenUsed/>
    <w:rsid w:val="00BC39DD"/>
    <w:pPr>
      <w:ind w:left="1440" w:hanging="240"/>
    </w:pPr>
  </w:style>
  <w:style w:type="paragraph" w:styleId="Index7">
    <w:name w:val="index 7"/>
    <w:basedOn w:val="Normal"/>
    <w:next w:val="Normal"/>
    <w:autoRedefine/>
    <w:uiPriority w:val="99"/>
    <w:semiHidden/>
    <w:unhideWhenUsed/>
    <w:rsid w:val="00BC39DD"/>
    <w:pPr>
      <w:ind w:left="1680" w:hanging="240"/>
    </w:pPr>
  </w:style>
  <w:style w:type="paragraph" w:styleId="Index8">
    <w:name w:val="index 8"/>
    <w:basedOn w:val="Normal"/>
    <w:next w:val="Normal"/>
    <w:autoRedefine/>
    <w:uiPriority w:val="99"/>
    <w:semiHidden/>
    <w:unhideWhenUsed/>
    <w:rsid w:val="00BC39DD"/>
    <w:pPr>
      <w:ind w:left="1920" w:hanging="240"/>
    </w:pPr>
  </w:style>
  <w:style w:type="paragraph" w:styleId="Index9">
    <w:name w:val="index 9"/>
    <w:basedOn w:val="Normal"/>
    <w:next w:val="Normal"/>
    <w:autoRedefine/>
    <w:uiPriority w:val="99"/>
    <w:semiHidden/>
    <w:unhideWhenUsed/>
    <w:rsid w:val="00BC39DD"/>
    <w:pPr>
      <w:ind w:left="2160" w:hanging="240"/>
    </w:pPr>
  </w:style>
  <w:style w:type="paragraph" w:styleId="IndexHeading">
    <w:name w:val="index heading"/>
    <w:basedOn w:val="Normal"/>
    <w:next w:val="Index1"/>
    <w:uiPriority w:val="99"/>
    <w:semiHidden/>
    <w:unhideWhenUsed/>
    <w:rsid w:val="00BC39DD"/>
    <w:rPr>
      <w:rFonts w:ascii="Cambria" w:hAnsi="Cambria"/>
      <w:b/>
      <w:bCs/>
    </w:rPr>
  </w:style>
  <w:style w:type="paragraph" w:styleId="TOCHeading">
    <w:name w:val="TOC Heading"/>
    <w:basedOn w:val="Heading1"/>
    <w:next w:val="Normal"/>
    <w:uiPriority w:val="39"/>
    <w:semiHidden/>
    <w:unhideWhenUsed/>
    <w:qFormat/>
    <w:rsid w:val="00BC39DD"/>
    <w:pPr>
      <w:outlineLvl w:val="9"/>
    </w:pPr>
    <w:rPr>
      <w:rFonts w:ascii="Cambria" w:hAnsi="Cambria" w:cs="Times New Roman"/>
    </w:rPr>
  </w:style>
  <w:style w:type="paragraph" w:styleId="IntenseQuote">
    <w:name w:val="Intense Quote"/>
    <w:basedOn w:val="Normal"/>
    <w:next w:val="Normal"/>
    <w:link w:val="IntenseQuoteChar"/>
    <w:uiPriority w:val="30"/>
    <w:qFormat/>
    <w:rsid w:val="00BC39D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C39DD"/>
    <w:rPr>
      <w:b/>
      <w:bCs/>
      <w:i/>
      <w:iCs/>
      <w:color w:val="4F81BD"/>
      <w:sz w:val="24"/>
      <w:szCs w:val="24"/>
      <w:lang w:val="en-US" w:eastAsia="en-US"/>
    </w:rPr>
  </w:style>
  <w:style w:type="paragraph" w:styleId="NoSpacing">
    <w:name w:val="No Spacing"/>
    <w:uiPriority w:val="1"/>
    <w:qFormat/>
    <w:rsid w:val="00BC39DD"/>
    <w:rPr>
      <w:sz w:val="24"/>
      <w:szCs w:val="24"/>
      <w:lang w:val="en-US" w:eastAsia="en-US"/>
    </w:rPr>
  </w:style>
  <w:style w:type="paragraph" w:styleId="List">
    <w:name w:val="List"/>
    <w:basedOn w:val="Normal"/>
    <w:uiPriority w:val="99"/>
    <w:semiHidden/>
    <w:unhideWhenUsed/>
    <w:rsid w:val="00BC39DD"/>
    <w:pPr>
      <w:ind w:left="283" w:hanging="283"/>
      <w:contextualSpacing/>
    </w:pPr>
  </w:style>
  <w:style w:type="paragraph" w:styleId="List2">
    <w:name w:val="List 2"/>
    <w:basedOn w:val="Normal"/>
    <w:uiPriority w:val="99"/>
    <w:semiHidden/>
    <w:unhideWhenUsed/>
    <w:rsid w:val="00BC39DD"/>
    <w:pPr>
      <w:ind w:left="566" w:hanging="283"/>
      <w:contextualSpacing/>
    </w:pPr>
  </w:style>
  <w:style w:type="paragraph" w:styleId="List3">
    <w:name w:val="List 3"/>
    <w:basedOn w:val="Normal"/>
    <w:uiPriority w:val="99"/>
    <w:semiHidden/>
    <w:unhideWhenUsed/>
    <w:rsid w:val="00BC39DD"/>
    <w:pPr>
      <w:ind w:left="849" w:hanging="283"/>
      <w:contextualSpacing/>
    </w:pPr>
  </w:style>
  <w:style w:type="paragraph" w:styleId="List4">
    <w:name w:val="List 4"/>
    <w:basedOn w:val="Normal"/>
    <w:uiPriority w:val="99"/>
    <w:semiHidden/>
    <w:unhideWhenUsed/>
    <w:rsid w:val="00BC39DD"/>
    <w:pPr>
      <w:ind w:left="1132" w:hanging="283"/>
      <w:contextualSpacing/>
    </w:pPr>
  </w:style>
  <w:style w:type="paragraph" w:styleId="List5">
    <w:name w:val="List 5"/>
    <w:basedOn w:val="Normal"/>
    <w:uiPriority w:val="99"/>
    <w:semiHidden/>
    <w:unhideWhenUsed/>
    <w:rsid w:val="00BC39DD"/>
    <w:pPr>
      <w:ind w:left="1415" w:hanging="283"/>
      <w:contextualSpacing/>
    </w:pPr>
  </w:style>
  <w:style w:type="paragraph" w:styleId="ListParagraph">
    <w:name w:val="List Paragraph"/>
    <w:basedOn w:val="Normal"/>
    <w:uiPriority w:val="34"/>
    <w:qFormat/>
    <w:rsid w:val="00BC39DD"/>
    <w:pPr>
      <w:ind w:left="708"/>
    </w:pPr>
  </w:style>
  <w:style w:type="paragraph" w:styleId="ListContinue">
    <w:name w:val="List Continue"/>
    <w:basedOn w:val="Normal"/>
    <w:uiPriority w:val="99"/>
    <w:semiHidden/>
    <w:unhideWhenUsed/>
    <w:rsid w:val="00BC39DD"/>
    <w:pPr>
      <w:spacing w:after="120"/>
      <w:ind w:left="283"/>
      <w:contextualSpacing/>
    </w:pPr>
  </w:style>
  <w:style w:type="paragraph" w:styleId="ListContinue2">
    <w:name w:val="List Continue 2"/>
    <w:basedOn w:val="Normal"/>
    <w:uiPriority w:val="99"/>
    <w:semiHidden/>
    <w:unhideWhenUsed/>
    <w:rsid w:val="00BC39DD"/>
    <w:pPr>
      <w:spacing w:after="120"/>
      <w:ind w:left="566"/>
      <w:contextualSpacing/>
    </w:pPr>
  </w:style>
  <w:style w:type="paragraph" w:styleId="ListContinue3">
    <w:name w:val="List Continue 3"/>
    <w:basedOn w:val="Normal"/>
    <w:uiPriority w:val="99"/>
    <w:semiHidden/>
    <w:unhideWhenUsed/>
    <w:rsid w:val="00BC39DD"/>
    <w:pPr>
      <w:spacing w:after="120"/>
      <w:ind w:left="849"/>
      <w:contextualSpacing/>
    </w:pPr>
  </w:style>
  <w:style w:type="paragraph" w:styleId="ListContinue4">
    <w:name w:val="List Continue 4"/>
    <w:basedOn w:val="Normal"/>
    <w:uiPriority w:val="99"/>
    <w:semiHidden/>
    <w:unhideWhenUsed/>
    <w:rsid w:val="00BC39DD"/>
    <w:pPr>
      <w:spacing w:after="120"/>
      <w:ind w:left="1132"/>
      <w:contextualSpacing/>
    </w:pPr>
  </w:style>
  <w:style w:type="paragraph" w:styleId="ListContinue5">
    <w:name w:val="List Continue 5"/>
    <w:basedOn w:val="Normal"/>
    <w:uiPriority w:val="99"/>
    <w:semiHidden/>
    <w:unhideWhenUsed/>
    <w:rsid w:val="00BC39DD"/>
    <w:pPr>
      <w:spacing w:after="120"/>
      <w:ind w:left="1415"/>
      <w:contextualSpacing/>
    </w:pPr>
  </w:style>
  <w:style w:type="paragraph" w:styleId="ListNumber">
    <w:name w:val="List Number"/>
    <w:basedOn w:val="Normal"/>
    <w:uiPriority w:val="99"/>
    <w:semiHidden/>
    <w:unhideWhenUsed/>
    <w:rsid w:val="00BC39DD"/>
    <w:pPr>
      <w:numPr>
        <w:numId w:val="65"/>
      </w:numPr>
      <w:contextualSpacing/>
    </w:pPr>
  </w:style>
  <w:style w:type="paragraph" w:styleId="ListNumber2">
    <w:name w:val="List Number 2"/>
    <w:basedOn w:val="Normal"/>
    <w:uiPriority w:val="99"/>
    <w:semiHidden/>
    <w:unhideWhenUsed/>
    <w:rsid w:val="00BC39DD"/>
    <w:pPr>
      <w:numPr>
        <w:numId w:val="66"/>
      </w:numPr>
      <w:contextualSpacing/>
    </w:pPr>
  </w:style>
  <w:style w:type="paragraph" w:styleId="ListNumber3">
    <w:name w:val="List Number 3"/>
    <w:basedOn w:val="Normal"/>
    <w:uiPriority w:val="99"/>
    <w:semiHidden/>
    <w:unhideWhenUsed/>
    <w:rsid w:val="00BC39DD"/>
    <w:pPr>
      <w:numPr>
        <w:numId w:val="67"/>
      </w:numPr>
      <w:contextualSpacing/>
    </w:pPr>
  </w:style>
  <w:style w:type="paragraph" w:styleId="ListNumber4">
    <w:name w:val="List Number 4"/>
    <w:basedOn w:val="Normal"/>
    <w:uiPriority w:val="99"/>
    <w:semiHidden/>
    <w:unhideWhenUsed/>
    <w:rsid w:val="00BC39DD"/>
    <w:pPr>
      <w:numPr>
        <w:numId w:val="68"/>
      </w:numPr>
      <w:contextualSpacing/>
    </w:pPr>
  </w:style>
  <w:style w:type="paragraph" w:styleId="ListNumber5">
    <w:name w:val="List Number 5"/>
    <w:basedOn w:val="Normal"/>
    <w:uiPriority w:val="99"/>
    <w:semiHidden/>
    <w:unhideWhenUsed/>
    <w:rsid w:val="00BC39DD"/>
    <w:pPr>
      <w:numPr>
        <w:numId w:val="69"/>
      </w:numPr>
      <w:contextualSpacing/>
    </w:pPr>
  </w:style>
  <w:style w:type="paragraph" w:styleId="Bibliography">
    <w:name w:val="Bibliography"/>
    <w:basedOn w:val="Normal"/>
    <w:next w:val="Normal"/>
    <w:uiPriority w:val="37"/>
    <w:semiHidden/>
    <w:unhideWhenUsed/>
    <w:rsid w:val="00BC39DD"/>
  </w:style>
  <w:style w:type="paragraph" w:styleId="MacroText">
    <w:name w:val="macro"/>
    <w:link w:val="MacroTextChar"/>
    <w:uiPriority w:val="99"/>
    <w:semiHidden/>
    <w:unhideWhenUsed/>
    <w:rsid w:val="00BC39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BC39DD"/>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BC39D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uiPriority w:val="99"/>
    <w:semiHidden/>
    <w:rsid w:val="00BC39DD"/>
    <w:rPr>
      <w:rFonts w:ascii="Cambria" w:eastAsia="Times New Roman" w:hAnsi="Cambria" w:cs="Times New Roman"/>
      <w:sz w:val="24"/>
      <w:szCs w:val="24"/>
      <w:shd w:val="pct20" w:color="auto" w:fill="auto"/>
      <w:lang w:val="en-US" w:eastAsia="en-US"/>
    </w:rPr>
  </w:style>
  <w:style w:type="paragraph" w:styleId="TableofAuthorities">
    <w:name w:val="table of authorities"/>
    <w:basedOn w:val="Normal"/>
    <w:next w:val="Normal"/>
    <w:uiPriority w:val="99"/>
    <w:semiHidden/>
    <w:unhideWhenUsed/>
    <w:rsid w:val="00BC39DD"/>
    <w:pPr>
      <w:ind w:left="240" w:hanging="240"/>
    </w:pPr>
  </w:style>
  <w:style w:type="paragraph" w:styleId="TOAHeading">
    <w:name w:val="toa heading"/>
    <w:basedOn w:val="Normal"/>
    <w:next w:val="Normal"/>
    <w:uiPriority w:val="99"/>
    <w:semiHidden/>
    <w:unhideWhenUsed/>
    <w:rsid w:val="00BC39DD"/>
    <w:pPr>
      <w:spacing w:before="120"/>
    </w:pPr>
    <w:rPr>
      <w:rFonts w:ascii="Cambria" w:hAnsi="Cambria"/>
      <w:b/>
      <w:bCs/>
    </w:rPr>
  </w:style>
  <w:style w:type="paragraph" w:styleId="NormalWeb">
    <w:name w:val="Normal (Web)"/>
    <w:basedOn w:val="Normal"/>
    <w:uiPriority w:val="99"/>
    <w:semiHidden/>
    <w:unhideWhenUsed/>
    <w:rsid w:val="00BC39DD"/>
  </w:style>
  <w:style w:type="paragraph" w:styleId="NormalIndent">
    <w:name w:val="Normal Indent"/>
    <w:basedOn w:val="Normal"/>
    <w:uiPriority w:val="99"/>
    <w:semiHidden/>
    <w:unhideWhenUsed/>
    <w:rsid w:val="00BC39DD"/>
    <w:pPr>
      <w:ind w:left="708"/>
    </w:pPr>
  </w:style>
  <w:style w:type="paragraph" w:styleId="BodyTextIndent3">
    <w:name w:val="Body Text Indent 3"/>
    <w:basedOn w:val="Normal"/>
    <w:link w:val="BodyTextIndent3Char"/>
    <w:uiPriority w:val="99"/>
    <w:semiHidden/>
    <w:unhideWhenUsed/>
    <w:rsid w:val="00BC39DD"/>
    <w:pPr>
      <w:spacing w:after="120"/>
      <w:ind w:left="283"/>
    </w:pPr>
    <w:rPr>
      <w:sz w:val="16"/>
      <w:szCs w:val="16"/>
    </w:rPr>
  </w:style>
  <w:style w:type="character" w:customStyle="1" w:styleId="BodyTextIndent3Char">
    <w:name w:val="Body Text Indent 3 Char"/>
    <w:link w:val="BodyTextIndent3"/>
    <w:uiPriority w:val="99"/>
    <w:semiHidden/>
    <w:rsid w:val="00BC39DD"/>
    <w:rPr>
      <w:sz w:val="16"/>
      <w:szCs w:val="16"/>
      <w:lang w:val="en-US" w:eastAsia="en-US"/>
    </w:rPr>
  </w:style>
  <w:style w:type="paragraph" w:styleId="BodyTextFirstIndent">
    <w:name w:val="Body Text First Indent"/>
    <w:basedOn w:val="BodyText"/>
    <w:link w:val="BodyTextFirstIndentChar"/>
    <w:uiPriority w:val="99"/>
    <w:semiHidden/>
    <w:unhideWhenUsed/>
    <w:rsid w:val="00BC39DD"/>
    <w:pPr>
      <w:spacing w:after="120" w:line="240" w:lineRule="auto"/>
      <w:ind w:firstLine="210"/>
      <w:jc w:val="left"/>
    </w:pPr>
    <w:rPr>
      <w:lang w:val="en-US"/>
    </w:rPr>
  </w:style>
  <w:style w:type="character" w:customStyle="1" w:styleId="BodyTextFirstIndentChar">
    <w:name w:val="Body Text First Indent Char"/>
    <w:link w:val="BodyTextFirstIndent"/>
    <w:uiPriority w:val="99"/>
    <w:semiHidden/>
    <w:rsid w:val="00BC39DD"/>
    <w:rPr>
      <w:sz w:val="24"/>
      <w:szCs w:val="24"/>
      <w:lang w:val="en-US" w:eastAsia="en-US"/>
    </w:rPr>
  </w:style>
  <w:style w:type="paragraph" w:styleId="BodyTextFirstIndent2">
    <w:name w:val="Body Text First Indent 2"/>
    <w:basedOn w:val="BodyTextIndent"/>
    <w:link w:val="BodyTextFirstIndent2Char"/>
    <w:uiPriority w:val="99"/>
    <w:semiHidden/>
    <w:unhideWhenUsed/>
    <w:rsid w:val="00BC39DD"/>
    <w:pPr>
      <w:spacing w:after="120"/>
      <w:ind w:left="283" w:firstLine="210"/>
    </w:pPr>
    <w:rPr>
      <w:lang w:val="en-US"/>
    </w:rPr>
  </w:style>
  <w:style w:type="character" w:customStyle="1" w:styleId="BodyTextIndentChar">
    <w:name w:val="Body Text Indent Char"/>
    <w:link w:val="BodyTextIndent"/>
    <w:rsid w:val="00BC39DD"/>
    <w:rPr>
      <w:sz w:val="24"/>
      <w:szCs w:val="24"/>
      <w:lang w:val="pl-PL" w:eastAsia="en-US"/>
    </w:rPr>
  </w:style>
  <w:style w:type="character" w:customStyle="1" w:styleId="BodyTextFirstIndent2Char">
    <w:name w:val="Body Text First Indent 2 Char"/>
    <w:link w:val="BodyTextFirstIndent2"/>
    <w:uiPriority w:val="99"/>
    <w:semiHidden/>
    <w:rsid w:val="00BC39DD"/>
    <w:rPr>
      <w:sz w:val="24"/>
      <w:szCs w:val="24"/>
      <w:lang w:val="en-US" w:eastAsia="en-US"/>
    </w:rPr>
  </w:style>
  <w:style w:type="paragraph" w:styleId="Title">
    <w:name w:val="Title"/>
    <w:basedOn w:val="Normal"/>
    <w:next w:val="Normal"/>
    <w:link w:val="TitleChar"/>
    <w:uiPriority w:val="10"/>
    <w:qFormat/>
    <w:rsid w:val="00BC39D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BC39DD"/>
    <w:rPr>
      <w:rFonts w:ascii="Cambria" w:eastAsia="Times New Roman" w:hAnsi="Cambria" w:cs="Times New Roman"/>
      <w:b/>
      <w:bCs/>
      <w:kern w:val="28"/>
      <w:sz w:val="32"/>
      <w:szCs w:val="32"/>
      <w:lang w:val="en-US" w:eastAsia="en-US"/>
    </w:rPr>
  </w:style>
  <w:style w:type="character" w:customStyle="1" w:styleId="Heading7Char">
    <w:name w:val="Heading 7 Char"/>
    <w:link w:val="Heading7"/>
    <w:uiPriority w:val="9"/>
    <w:semiHidden/>
    <w:rsid w:val="00BC39DD"/>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BC39DD"/>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C39DD"/>
    <w:rPr>
      <w:rFonts w:ascii="Cambria" w:eastAsia="Times New Roman" w:hAnsi="Cambria" w:cs="Times New Roman"/>
      <w:sz w:val="22"/>
      <w:szCs w:val="22"/>
      <w:lang w:val="en-US" w:eastAsia="en-US"/>
    </w:rPr>
  </w:style>
  <w:style w:type="paragraph" w:styleId="EnvelopeReturn">
    <w:name w:val="envelope return"/>
    <w:basedOn w:val="Normal"/>
    <w:uiPriority w:val="99"/>
    <w:semiHidden/>
    <w:unhideWhenUsed/>
    <w:rsid w:val="00BC39DD"/>
    <w:rPr>
      <w:rFonts w:ascii="Cambria" w:hAnsi="Cambria"/>
      <w:sz w:val="20"/>
      <w:szCs w:val="20"/>
    </w:rPr>
  </w:style>
  <w:style w:type="paragraph" w:styleId="EnvelopeAddress">
    <w:name w:val="envelope address"/>
    <w:basedOn w:val="Normal"/>
    <w:uiPriority w:val="99"/>
    <w:semiHidden/>
    <w:unhideWhenUsed/>
    <w:rsid w:val="00BC39DD"/>
    <w:pPr>
      <w:framePr w:w="4320" w:h="2160" w:hRule="exact" w:hSpace="141" w:wrap="auto" w:hAnchor="page" w:xAlign="center" w:yAlign="bottom"/>
      <w:ind w:left="1"/>
    </w:pPr>
    <w:rPr>
      <w:rFonts w:ascii="Cambria" w:hAnsi="Cambria"/>
    </w:rPr>
  </w:style>
  <w:style w:type="paragraph" w:styleId="Signature">
    <w:name w:val="Signature"/>
    <w:basedOn w:val="Normal"/>
    <w:link w:val="SignatureChar"/>
    <w:uiPriority w:val="99"/>
    <w:semiHidden/>
    <w:unhideWhenUsed/>
    <w:rsid w:val="00BC39DD"/>
    <w:pPr>
      <w:ind w:left="4252"/>
    </w:pPr>
  </w:style>
  <w:style w:type="character" w:customStyle="1" w:styleId="SignatureChar">
    <w:name w:val="Signature Char"/>
    <w:link w:val="Signature"/>
    <w:uiPriority w:val="99"/>
    <w:semiHidden/>
    <w:rsid w:val="00BC39DD"/>
    <w:rPr>
      <w:sz w:val="24"/>
      <w:szCs w:val="24"/>
      <w:lang w:val="en-US" w:eastAsia="en-US"/>
    </w:rPr>
  </w:style>
  <w:style w:type="paragraph" w:styleId="Subtitle">
    <w:name w:val="Subtitle"/>
    <w:basedOn w:val="Normal"/>
    <w:next w:val="Normal"/>
    <w:link w:val="SubtitleChar"/>
    <w:uiPriority w:val="11"/>
    <w:qFormat/>
    <w:rsid w:val="00BC39DD"/>
    <w:pPr>
      <w:spacing w:after="60"/>
      <w:jc w:val="center"/>
      <w:outlineLvl w:val="1"/>
    </w:pPr>
    <w:rPr>
      <w:rFonts w:ascii="Cambria" w:hAnsi="Cambria"/>
    </w:rPr>
  </w:style>
  <w:style w:type="character" w:customStyle="1" w:styleId="SubtitleChar">
    <w:name w:val="Subtitle Char"/>
    <w:link w:val="Subtitle"/>
    <w:uiPriority w:val="11"/>
    <w:rsid w:val="00BC39DD"/>
    <w:rPr>
      <w:rFonts w:ascii="Cambria" w:eastAsia="Times New Roman" w:hAnsi="Cambria" w:cs="Times New Roman"/>
      <w:sz w:val="24"/>
      <w:szCs w:val="24"/>
      <w:lang w:val="en-US" w:eastAsia="en-US"/>
    </w:rPr>
  </w:style>
  <w:style w:type="paragraph" w:styleId="TOC1">
    <w:name w:val="toc 1"/>
    <w:basedOn w:val="Normal"/>
    <w:next w:val="Normal"/>
    <w:autoRedefine/>
    <w:uiPriority w:val="39"/>
    <w:semiHidden/>
    <w:unhideWhenUsed/>
    <w:rsid w:val="00BC39DD"/>
  </w:style>
  <w:style w:type="paragraph" w:styleId="TOC2">
    <w:name w:val="toc 2"/>
    <w:basedOn w:val="Normal"/>
    <w:next w:val="Normal"/>
    <w:autoRedefine/>
    <w:uiPriority w:val="39"/>
    <w:semiHidden/>
    <w:unhideWhenUsed/>
    <w:rsid w:val="00BC39DD"/>
    <w:pPr>
      <w:ind w:left="240"/>
    </w:pPr>
  </w:style>
  <w:style w:type="paragraph" w:styleId="TOC3">
    <w:name w:val="toc 3"/>
    <w:basedOn w:val="Normal"/>
    <w:next w:val="Normal"/>
    <w:autoRedefine/>
    <w:uiPriority w:val="39"/>
    <w:semiHidden/>
    <w:unhideWhenUsed/>
    <w:rsid w:val="00BC39DD"/>
    <w:pPr>
      <w:ind w:left="480"/>
    </w:pPr>
  </w:style>
  <w:style w:type="paragraph" w:styleId="TOC4">
    <w:name w:val="toc 4"/>
    <w:basedOn w:val="Normal"/>
    <w:next w:val="Normal"/>
    <w:autoRedefine/>
    <w:uiPriority w:val="39"/>
    <w:semiHidden/>
    <w:unhideWhenUsed/>
    <w:rsid w:val="00BC39DD"/>
    <w:pPr>
      <w:ind w:left="720"/>
    </w:pPr>
  </w:style>
  <w:style w:type="paragraph" w:styleId="TOC5">
    <w:name w:val="toc 5"/>
    <w:basedOn w:val="Normal"/>
    <w:next w:val="Normal"/>
    <w:autoRedefine/>
    <w:uiPriority w:val="39"/>
    <w:semiHidden/>
    <w:unhideWhenUsed/>
    <w:rsid w:val="00BC39DD"/>
    <w:pPr>
      <w:ind w:left="960"/>
    </w:pPr>
  </w:style>
  <w:style w:type="paragraph" w:styleId="TOC6">
    <w:name w:val="toc 6"/>
    <w:basedOn w:val="Normal"/>
    <w:next w:val="Normal"/>
    <w:autoRedefine/>
    <w:uiPriority w:val="39"/>
    <w:semiHidden/>
    <w:unhideWhenUsed/>
    <w:rsid w:val="00BC39DD"/>
    <w:pPr>
      <w:ind w:left="1200"/>
    </w:pPr>
  </w:style>
  <w:style w:type="paragraph" w:styleId="TOC7">
    <w:name w:val="toc 7"/>
    <w:basedOn w:val="Normal"/>
    <w:next w:val="Normal"/>
    <w:autoRedefine/>
    <w:uiPriority w:val="39"/>
    <w:semiHidden/>
    <w:unhideWhenUsed/>
    <w:rsid w:val="00BC39DD"/>
    <w:pPr>
      <w:ind w:left="1440"/>
    </w:pPr>
  </w:style>
  <w:style w:type="paragraph" w:styleId="TOC8">
    <w:name w:val="toc 8"/>
    <w:basedOn w:val="Normal"/>
    <w:next w:val="Normal"/>
    <w:autoRedefine/>
    <w:uiPriority w:val="39"/>
    <w:semiHidden/>
    <w:unhideWhenUsed/>
    <w:rsid w:val="00BC39DD"/>
    <w:pPr>
      <w:ind w:left="1680"/>
    </w:pPr>
  </w:style>
  <w:style w:type="paragraph" w:styleId="TOC9">
    <w:name w:val="toc 9"/>
    <w:basedOn w:val="Normal"/>
    <w:next w:val="Normal"/>
    <w:autoRedefine/>
    <w:uiPriority w:val="39"/>
    <w:semiHidden/>
    <w:unhideWhenUsed/>
    <w:rsid w:val="00BC39DD"/>
    <w:pPr>
      <w:ind w:left="1920"/>
    </w:pPr>
  </w:style>
  <w:style w:type="paragraph" w:styleId="Quote">
    <w:name w:val="Quote"/>
    <w:basedOn w:val="Normal"/>
    <w:next w:val="Normal"/>
    <w:link w:val="QuoteChar"/>
    <w:uiPriority w:val="29"/>
    <w:qFormat/>
    <w:rsid w:val="00BC39DD"/>
    <w:rPr>
      <w:i/>
      <w:iCs/>
      <w:color w:val="000000"/>
    </w:rPr>
  </w:style>
  <w:style w:type="character" w:customStyle="1" w:styleId="QuoteChar">
    <w:name w:val="Quote Char"/>
    <w:link w:val="Quote"/>
    <w:uiPriority w:val="29"/>
    <w:rsid w:val="00BC39DD"/>
    <w:rPr>
      <w:i/>
      <w:iCs/>
      <w:color w:val="000000"/>
      <w:sz w:val="24"/>
      <w:szCs w:val="24"/>
      <w:lang w:val="en-US" w:eastAsia="en-US"/>
    </w:rPr>
  </w:style>
  <w:style w:type="character" w:customStyle="1" w:styleId="FooterChar">
    <w:name w:val="Footer Char"/>
    <w:link w:val="Footer"/>
    <w:uiPriority w:val="99"/>
    <w:rsid w:val="00E40CF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8653">
      <w:bodyDiv w:val="1"/>
      <w:marLeft w:val="0"/>
      <w:marRight w:val="0"/>
      <w:marTop w:val="0"/>
      <w:marBottom w:val="0"/>
      <w:divBdr>
        <w:top w:val="none" w:sz="0" w:space="0" w:color="auto"/>
        <w:left w:val="none" w:sz="0" w:space="0" w:color="auto"/>
        <w:bottom w:val="none" w:sz="0" w:space="0" w:color="auto"/>
        <w:right w:val="none" w:sz="0" w:space="0" w:color="auto"/>
      </w:divBdr>
    </w:div>
    <w:div w:id="181016216">
      <w:bodyDiv w:val="1"/>
      <w:marLeft w:val="0"/>
      <w:marRight w:val="0"/>
      <w:marTop w:val="0"/>
      <w:marBottom w:val="0"/>
      <w:divBdr>
        <w:top w:val="none" w:sz="0" w:space="0" w:color="auto"/>
        <w:left w:val="none" w:sz="0" w:space="0" w:color="auto"/>
        <w:bottom w:val="none" w:sz="0" w:space="0" w:color="auto"/>
        <w:right w:val="none" w:sz="0" w:space="0" w:color="auto"/>
      </w:divBdr>
    </w:div>
    <w:div w:id="289825714">
      <w:bodyDiv w:val="1"/>
      <w:marLeft w:val="0"/>
      <w:marRight w:val="0"/>
      <w:marTop w:val="0"/>
      <w:marBottom w:val="0"/>
      <w:divBdr>
        <w:top w:val="none" w:sz="0" w:space="0" w:color="auto"/>
        <w:left w:val="none" w:sz="0" w:space="0" w:color="auto"/>
        <w:bottom w:val="none" w:sz="0" w:space="0" w:color="auto"/>
        <w:right w:val="none" w:sz="0" w:space="0" w:color="auto"/>
      </w:divBdr>
    </w:div>
    <w:div w:id="376205860">
      <w:bodyDiv w:val="1"/>
      <w:marLeft w:val="0"/>
      <w:marRight w:val="0"/>
      <w:marTop w:val="0"/>
      <w:marBottom w:val="0"/>
      <w:divBdr>
        <w:top w:val="none" w:sz="0" w:space="0" w:color="auto"/>
        <w:left w:val="none" w:sz="0" w:space="0" w:color="auto"/>
        <w:bottom w:val="none" w:sz="0" w:space="0" w:color="auto"/>
        <w:right w:val="none" w:sz="0" w:space="0" w:color="auto"/>
      </w:divBdr>
    </w:div>
    <w:div w:id="552280608">
      <w:bodyDiv w:val="1"/>
      <w:marLeft w:val="0"/>
      <w:marRight w:val="0"/>
      <w:marTop w:val="0"/>
      <w:marBottom w:val="0"/>
      <w:divBdr>
        <w:top w:val="none" w:sz="0" w:space="0" w:color="auto"/>
        <w:left w:val="none" w:sz="0" w:space="0" w:color="auto"/>
        <w:bottom w:val="none" w:sz="0" w:space="0" w:color="auto"/>
        <w:right w:val="none" w:sz="0" w:space="0" w:color="auto"/>
      </w:divBdr>
    </w:div>
    <w:div w:id="563298086">
      <w:bodyDiv w:val="1"/>
      <w:marLeft w:val="0"/>
      <w:marRight w:val="0"/>
      <w:marTop w:val="0"/>
      <w:marBottom w:val="0"/>
      <w:divBdr>
        <w:top w:val="none" w:sz="0" w:space="0" w:color="auto"/>
        <w:left w:val="none" w:sz="0" w:space="0" w:color="auto"/>
        <w:bottom w:val="none" w:sz="0" w:space="0" w:color="auto"/>
        <w:right w:val="none" w:sz="0" w:space="0" w:color="auto"/>
      </w:divBdr>
    </w:div>
    <w:div w:id="602107340">
      <w:bodyDiv w:val="1"/>
      <w:marLeft w:val="0"/>
      <w:marRight w:val="0"/>
      <w:marTop w:val="0"/>
      <w:marBottom w:val="0"/>
      <w:divBdr>
        <w:top w:val="none" w:sz="0" w:space="0" w:color="auto"/>
        <w:left w:val="none" w:sz="0" w:space="0" w:color="auto"/>
        <w:bottom w:val="none" w:sz="0" w:space="0" w:color="auto"/>
        <w:right w:val="none" w:sz="0" w:space="0" w:color="auto"/>
      </w:divBdr>
    </w:div>
    <w:div w:id="731542822">
      <w:bodyDiv w:val="1"/>
      <w:marLeft w:val="0"/>
      <w:marRight w:val="0"/>
      <w:marTop w:val="0"/>
      <w:marBottom w:val="0"/>
      <w:divBdr>
        <w:top w:val="none" w:sz="0" w:space="0" w:color="auto"/>
        <w:left w:val="none" w:sz="0" w:space="0" w:color="auto"/>
        <w:bottom w:val="none" w:sz="0" w:space="0" w:color="auto"/>
        <w:right w:val="none" w:sz="0" w:space="0" w:color="auto"/>
      </w:divBdr>
    </w:div>
    <w:div w:id="930434802">
      <w:bodyDiv w:val="1"/>
      <w:marLeft w:val="0"/>
      <w:marRight w:val="0"/>
      <w:marTop w:val="0"/>
      <w:marBottom w:val="0"/>
      <w:divBdr>
        <w:top w:val="none" w:sz="0" w:space="0" w:color="auto"/>
        <w:left w:val="none" w:sz="0" w:space="0" w:color="auto"/>
        <w:bottom w:val="none" w:sz="0" w:space="0" w:color="auto"/>
        <w:right w:val="none" w:sz="0" w:space="0" w:color="auto"/>
      </w:divBdr>
    </w:div>
    <w:div w:id="1030645503">
      <w:bodyDiv w:val="1"/>
      <w:marLeft w:val="0"/>
      <w:marRight w:val="0"/>
      <w:marTop w:val="0"/>
      <w:marBottom w:val="0"/>
      <w:divBdr>
        <w:top w:val="none" w:sz="0" w:space="0" w:color="auto"/>
        <w:left w:val="none" w:sz="0" w:space="0" w:color="auto"/>
        <w:bottom w:val="none" w:sz="0" w:space="0" w:color="auto"/>
        <w:right w:val="none" w:sz="0" w:space="0" w:color="auto"/>
      </w:divBdr>
    </w:div>
    <w:div w:id="1105229294">
      <w:bodyDiv w:val="1"/>
      <w:marLeft w:val="0"/>
      <w:marRight w:val="0"/>
      <w:marTop w:val="0"/>
      <w:marBottom w:val="0"/>
      <w:divBdr>
        <w:top w:val="none" w:sz="0" w:space="0" w:color="auto"/>
        <w:left w:val="none" w:sz="0" w:space="0" w:color="auto"/>
        <w:bottom w:val="none" w:sz="0" w:space="0" w:color="auto"/>
        <w:right w:val="none" w:sz="0" w:space="0" w:color="auto"/>
      </w:divBdr>
    </w:div>
    <w:div w:id="1109468856">
      <w:bodyDiv w:val="1"/>
      <w:marLeft w:val="0"/>
      <w:marRight w:val="0"/>
      <w:marTop w:val="0"/>
      <w:marBottom w:val="0"/>
      <w:divBdr>
        <w:top w:val="none" w:sz="0" w:space="0" w:color="auto"/>
        <w:left w:val="none" w:sz="0" w:space="0" w:color="auto"/>
        <w:bottom w:val="none" w:sz="0" w:space="0" w:color="auto"/>
        <w:right w:val="none" w:sz="0" w:space="0" w:color="auto"/>
      </w:divBdr>
    </w:div>
    <w:div w:id="1130173558">
      <w:bodyDiv w:val="1"/>
      <w:marLeft w:val="0"/>
      <w:marRight w:val="0"/>
      <w:marTop w:val="0"/>
      <w:marBottom w:val="0"/>
      <w:divBdr>
        <w:top w:val="none" w:sz="0" w:space="0" w:color="auto"/>
        <w:left w:val="none" w:sz="0" w:space="0" w:color="auto"/>
        <w:bottom w:val="none" w:sz="0" w:space="0" w:color="auto"/>
        <w:right w:val="none" w:sz="0" w:space="0" w:color="auto"/>
      </w:divBdr>
    </w:div>
    <w:div w:id="1331567375">
      <w:bodyDiv w:val="1"/>
      <w:marLeft w:val="0"/>
      <w:marRight w:val="0"/>
      <w:marTop w:val="0"/>
      <w:marBottom w:val="0"/>
      <w:divBdr>
        <w:top w:val="none" w:sz="0" w:space="0" w:color="auto"/>
        <w:left w:val="none" w:sz="0" w:space="0" w:color="auto"/>
        <w:bottom w:val="none" w:sz="0" w:space="0" w:color="auto"/>
        <w:right w:val="none" w:sz="0" w:space="0" w:color="auto"/>
      </w:divBdr>
    </w:div>
    <w:div w:id="1669140267">
      <w:bodyDiv w:val="1"/>
      <w:marLeft w:val="0"/>
      <w:marRight w:val="0"/>
      <w:marTop w:val="0"/>
      <w:marBottom w:val="0"/>
      <w:divBdr>
        <w:top w:val="none" w:sz="0" w:space="0" w:color="auto"/>
        <w:left w:val="none" w:sz="0" w:space="0" w:color="auto"/>
        <w:bottom w:val="none" w:sz="0" w:space="0" w:color="auto"/>
        <w:right w:val="none" w:sz="0" w:space="0" w:color="auto"/>
      </w:divBdr>
    </w:div>
    <w:div w:id="1700232693">
      <w:bodyDiv w:val="1"/>
      <w:marLeft w:val="0"/>
      <w:marRight w:val="0"/>
      <w:marTop w:val="0"/>
      <w:marBottom w:val="0"/>
      <w:divBdr>
        <w:top w:val="none" w:sz="0" w:space="0" w:color="auto"/>
        <w:left w:val="none" w:sz="0" w:space="0" w:color="auto"/>
        <w:bottom w:val="none" w:sz="0" w:space="0" w:color="auto"/>
        <w:right w:val="none" w:sz="0" w:space="0" w:color="auto"/>
      </w:divBdr>
    </w:div>
    <w:div w:id="1758163499">
      <w:bodyDiv w:val="1"/>
      <w:marLeft w:val="0"/>
      <w:marRight w:val="0"/>
      <w:marTop w:val="0"/>
      <w:marBottom w:val="0"/>
      <w:divBdr>
        <w:top w:val="none" w:sz="0" w:space="0" w:color="auto"/>
        <w:left w:val="none" w:sz="0" w:space="0" w:color="auto"/>
        <w:bottom w:val="none" w:sz="0" w:space="0" w:color="auto"/>
        <w:right w:val="none" w:sz="0" w:space="0" w:color="auto"/>
      </w:divBdr>
    </w:div>
    <w:div w:id="1761216209">
      <w:bodyDiv w:val="1"/>
      <w:marLeft w:val="0"/>
      <w:marRight w:val="0"/>
      <w:marTop w:val="0"/>
      <w:marBottom w:val="0"/>
      <w:divBdr>
        <w:top w:val="none" w:sz="0" w:space="0" w:color="auto"/>
        <w:left w:val="none" w:sz="0" w:space="0" w:color="auto"/>
        <w:bottom w:val="none" w:sz="0" w:space="0" w:color="auto"/>
        <w:right w:val="none" w:sz="0" w:space="0" w:color="auto"/>
      </w:divBdr>
    </w:div>
    <w:div w:id="19496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8B510-806B-458C-A137-36C88966E35B}">
  <ds:schemaRefs>
    <ds:schemaRef ds:uri="http://schemas.microsoft.com/sharepoint/v3/contenttype/forms"/>
  </ds:schemaRefs>
</ds:datastoreItem>
</file>

<file path=customXml/itemProps2.xml><?xml version="1.0" encoding="utf-8"?>
<ds:datastoreItem xmlns:ds="http://schemas.openxmlformats.org/officeDocument/2006/customXml" ds:itemID="{EE37198A-77E7-4EE3-BA37-5C281D85DC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51C66-AE5A-4080-AEDF-40491988D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B903D5-43CF-4621-86C8-2F99ECA1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32024</Words>
  <Characters>182538</Characters>
  <Application>Microsoft Office Word</Application>
  <DocSecurity>0</DocSecurity>
  <Lines>1521</Lines>
  <Paragraphs>428</Paragraphs>
  <ScaleCrop>false</ScaleCrop>
  <HeadingPairs>
    <vt:vector size="6" baseType="variant">
      <vt:variant>
        <vt:lpstr>Title</vt:lpstr>
      </vt:variant>
      <vt:variant>
        <vt:i4>1</vt:i4>
      </vt:variant>
      <vt:variant>
        <vt:lpstr>Titel</vt:lpstr>
      </vt:variant>
      <vt:variant>
        <vt:i4>1</vt:i4>
      </vt:variant>
      <vt:variant>
        <vt:lpstr>Tytuł</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Company>Boehringer Ingelheim</Company>
  <LinksUpToDate>false</LinksUpToDate>
  <CharactersWithSpaces>214134</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2014-06-18T08:20:00Z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EPAR-EMEA/127480/2005</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127480</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EPAR</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odule">
    <vt:lpwstr/>
  </property>
  <property fmtid="{D5CDD505-2E9C-101B-9397-08002B2CF9AE}" pid="25" name="DM_emea_procedure_ref">
    <vt:lpwstr>EMEA/H/C/000413/IB/0016</vt:lpwstr>
  </property>
  <property fmtid="{D5CDD505-2E9C-101B-9397-08002B2CF9AE}" pid="26" name="DM_emea_domain">
    <vt:lpwstr>H</vt:lpwstr>
  </property>
  <property fmtid="{D5CDD505-2E9C-101B-9397-08002B2CF9AE}" pid="27" name="DM_emea_procedure">
    <vt:lpwstr>C</vt:lpwstr>
  </property>
  <property fmtid="{D5CDD505-2E9C-101B-9397-08002B2CF9AE}" pid="28" name="DM_emea_procedure_type">
    <vt:lpwstr>IB</vt:lpwstr>
  </property>
  <property fmtid="{D5CDD505-2E9C-101B-9397-08002B2CF9AE}" pid="29" name="DM_emea_procedure_number">
    <vt:lpwstr>0016</vt:lpwstr>
  </property>
  <property fmtid="{D5CDD505-2E9C-101B-9397-08002B2CF9AE}" pid="30" name="DM_emea_product_number">
    <vt:lpwstr>000413</vt:lpwstr>
  </property>
  <property fmtid="{D5CDD505-2E9C-101B-9397-08002B2CF9AE}" pid="31" name="DM_emea_product_substance">
    <vt:lpwstr>MicardisPlus</vt:lpwstr>
  </property>
  <property fmtid="{D5CDD505-2E9C-101B-9397-08002B2CF9AE}" pid="32" name="DM_emea_par_dist">
    <vt:lpwstr/>
  </property>
  <property fmtid="{D5CDD505-2E9C-101B-9397-08002B2CF9AE}" pid="33" name="_NewReviewCycle">
    <vt:lpwstr/>
  </property>
  <property fmtid="{D5CDD505-2E9C-101B-9397-08002B2CF9AE}" pid="34" name="DM_Version">
    <vt:lpwstr>CURRENT,1.0</vt:lpwstr>
  </property>
  <property fmtid="{D5CDD505-2E9C-101B-9397-08002B2CF9AE}" pid="35" name="DM_Name">
    <vt:lpwstr>emea-combined-h413pl</vt:lpwstr>
  </property>
  <property fmtid="{D5CDD505-2E9C-101B-9397-08002B2CF9AE}" pid="36" name="DM_Creation_Date">
    <vt:lpwstr>04/07/2014 11:47:44</vt:lpwstr>
  </property>
  <property fmtid="{D5CDD505-2E9C-101B-9397-08002B2CF9AE}" pid="37" name="DM_Modify_Date">
    <vt:lpwstr>04/07/2014 11:47:44</vt:lpwstr>
  </property>
  <property fmtid="{D5CDD505-2E9C-101B-9397-08002B2CF9AE}" pid="38" name="DM_Creator_Name">
    <vt:lpwstr>Zbrzeska Ewa</vt:lpwstr>
  </property>
  <property fmtid="{D5CDD505-2E9C-101B-9397-08002B2CF9AE}" pid="39" name="DM_Modifier_Name">
    <vt:lpwstr>Zbrzeska Ewa</vt:lpwstr>
  </property>
  <property fmtid="{D5CDD505-2E9C-101B-9397-08002B2CF9AE}" pid="40" name="DM_Type">
    <vt:lpwstr>emea_document</vt:lpwstr>
  </property>
  <property fmtid="{D5CDD505-2E9C-101B-9397-08002B2CF9AE}" pid="41" name="DM_DocRefId">
    <vt:lpwstr>EMA/410417/2014</vt:lpwstr>
  </property>
  <property fmtid="{D5CDD505-2E9C-101B-9397-08002B2CF9AE}" pid="42" name="DM_Category">
    <vt:lpwstr>Product Information</vt:lpwstr>
  </property>
  <property fmtid="{D5CDD505-2E9C-101B-9397-08002B2CF9AE}" pid="43" name="DM_Path">
    <vt:lpwstr>/01. Evaluation of Medicines/Referrals/H - Article 31/RAS acting agents - 1370/07 Translations/07 Translations to EC/Boehringer Ingelheim/MicardisPlus/Word version</vt:lpwstr>
  </property>
  <property fmtid="{D5CDD505-2E9C-101B-9397-08002B2CF9AE}" pid="44" name="DM_emea_doc_ref_id">
    <vt:lpwstr>EMA/410417/2014</vt:lpwstr>
  </property>
  <property fmtid="{D5CDD505-2E9C-101B-9397-08002B2CF9AE}" pid="45" name="DM_Modifer_Name">
    <vt:lpwstr>Zbrzeska Ewa</vt:lpwstr>
  </property>
  <property fmtid="{D5CDD505-2E9C-101B-9397-08002B2CF9AE}" pid="46" name="DM_Modified_Date">
    <vt:lpwstr>04/07/2014 11:47:44</vt:lpwstr>
  </property>
  <property fmtid="{D5CDD505-2E9C-101B-9397-08002B2CF9AE}" pid="47" name="MSIP_Label_0eea11ca-d417-4147-80ed-01a58412c458_Enabled">
    <vt:lpwstr>true</vt:lpwstr>
  </property>
  <property fmtid="{D5CDD505-2E9C-101B-9397-08002B2CF9AE}" pid="48" name="MSIP_Label_0eea11ca-d417-4147-80ed-01a58412c458_SetDate">
    <vt:lpwstr>2021-06-03T23:49:14Z</vt:lpwstr>
  </property>
  <property fmtid="{D5CDD505-2E9C-101B-9397-08002B2CF9AE}" pid="49" name="MSIP_Label_0eea11ca-d417-4147-80ed-01a58412c458_Method">
    <vt:lpwstr>Standard</vt:lpwstr>
  </property>
  <property fmtid="{D5CDD505-2E9C-101B-9397-08002B2CF9AE}" pid="50" name="MSIP_Label_0eea11ca-d417-4147-80ed-01a58412c458_Name">
    <vt:lpwstr>0eea11ca-d417-4147-80ed-01a58412c458</vt:lpwstr>
  </property>
  <property fmtid="{D5CDD505-2E9C-101B-9397-08002B2CF9AE}" pid="51" name="MSIP_Label_0eea11ca-d417-4147-80ed-01a58412c458_SiteId">
    <vt:lpwstr>bc9dc15c-61bc-4f03-b60b-e5b6d8922839</vt:lpwstr>
  </property>
  <property fmtid="{D5CDD505-2E9C-101B-9397-08002B2CF9AE}" pid="52" name="MSIP_Label_0eea11ca-d417-4147-80ed-01a58412c458_ActionId">
    <vt:lpwstr>6a1a5bf6-7adc-4f9e-9af7-b6353b74c087</vt:lpwstr>
  </property>
  <property fmtid="{D5CDD505-2E9C-101B-9397-08002B2CF9AE}" pid="53" name="MSIP_Label_0eea11ca-d417-4147-80ed-01a58412c458_ContentBits">
    <vt:lpwstr>2</vt:lpwstr>
  </property>
</Properties>
</file>