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53152B" w:rsidRPr="00D252D3" w:rsidRDefault="0053152B" w:rsidP="000D7A2C">
      <w:pPr>
        <w:ind w:hanging="720"/>
        <w:jc w:val="center"/>
      </w:pPr>
      <w:bookmarkStart w:id="0" w:name="_Toc49833078"/>
      <w:bookmarkStart w:id="1" w:name="_Toc49833185"/>
      <w:bookmarkStart w:id="2" w:name="_GoBack"/>
      <w:bookmarkEnd w:id="2"/>
    </w:p>
    <w:p w:rsidR="0053152B" w:rsidRPr="00D252D3" w:rsidRDefault="0053152B" w:rsidP="000D7A2C">
      <w:pPr>
        <w:ind w:hanging="720"/>
        <w:jc w:val="center"/>
      </w:pPr>
    </w:p>
    <w:p w:rsidR="0053152B" w:rsidRPr="00D252D3" w:rsidRDefault="0053152B" w:rsidP="000D7A2C">
      <w:pPr>
        <w:ind w:hanging="720"/>
        <w:jc w:val="center"/>
      </w:pPr>
    </w:p>
    <w:p w:rsidR="0053152B" w:rsidRPr="00D252D3" w:rsidRDefault="0053152B" w:rsidP="000D7A2C">
      <w:pPr>
        <w:ind w:hanging="720"/>
        <w:jc w:val="center"/>
      </w:pPr>
    </w:p>
    <w:p w:rsidR="0053152B" w:rsidRPr="00D252D3" w:rsidRDefault="0053152B" w:rsidP="000D7A2C">
      <w:pPr>
        <w:ind w:hanging="720"/>
        <w:jc w:val="center"/>
      </w:pPr>
    </w:p>
    <w:p w:rsidR="0053152B" w:rsidRPr="00D252D3" w:rsidRDefault="0053152B" w:rsidP="000D7A2C">
      <w:pPr>
        <w:ind w:hanging="720"/>
        <w:jc w:val="center"/>
      </w:pPr>
    </w:p>
    <w:p w:rsidR="0053152B" w:rsidRPr="00D252D3" w:rsidRDefault="0053152B" w:rsidP="000D7A2C">
      <w:pPr>
        <w:ind w:hanging="720"/>
        <w:jc w:val="center"/>
      </w:pPr>
    </w:p>
    <w:p w:rsidR="0053152B" w:rsidRPr="00D252D3" w:rsidRDefault="0053152B" w:rsidP="000D7A2C">
      <w:pPr>
        <w:ind w:hanging="720"/>
        <w:jc w:val="center"/>
      </w:pPr>
    </w:p>
    <w:p w:rsidR="0053152B" w:rsidRPr="00D252D3" w:rsidRDefault="0053152B" w:rsidP="000D7A2C">
      <w:pPr>
        <w:ind w:hanging="720"/>
        <w:jc w:val="center"/>
      </w:pPr>
    </w:p>
    <w:p w:rsidR="0053152B" w:rsidRPr="00D252D3" w:rsidRDefault="0053152B" w:rsidP="000D7A2C">
      <w:pPr>
        <w:ind w:hanging="720"/>
        <w:jc w:val="center"/>
      </w:pPr>
    </w:p>
    <w:p w:rsidR="0053152B" w:rsidRPr="00D252D3" w:rsidRDefault="0053152B" w:rsidP="000D7A2C">
      <w:pPr>
        <w:ind w:hanging="720"/>
        <w:jc w:val="center"/>
      </w:pPr>
    </w:p>
    <w:p w:rsidR="0053152B" w:rsidRPr="00D252D3" w:rsidRDefault="0053152B" w:rsidP="000D7A2C">
      <w:pPr>
        <w:ind w:hanging="720"/>
        <w:jc w:val="center"/>
      </w:pPr>
    </w:p>
    <w:p w:rsidR="0053152B" w:rsidRPr="00D252D3" w:rsidRDefault="0053152B" w:rsidP="000D7A2C">
      <w:pPr>
        <w:ind w:hanging="720"/>
        <w:jc w:val="center"/>
      </w:pPr>
    </w:p>
    <w:p w:rsidR="0053152B" w:rsidRPr="00D252D3" w:rsidRDefault="0053152B" w:rsidP="000D7A2C">
      <w:pPr>
        <w:ind w:hanging="720"/>
        <w:jc w:val="center"/>
      </w:pPr>
    </w:p>
    <w:p w:rsidR="0053152B" w:rsidRPr="00D252D3" w:rsidRDefault="0053152B" w:rsidP="000D7A2C">
      <w:pPr>
        <w:ind w:hanging="720"/>
        <w:jc w:val="center"/>
      </w:pPr>
    </w:p>
    <w:p w:rsidR="0053152B" w:rsidRPr="00D252D3" w:rsidRDefault="0053152B" w:rsidP="000D7A2C">
      <w:pPr>
        <w:ind w:hanging="720"/>
        <w:jc w:val="center"/>
      </w:pPr>
    </w:p>
    <w:p w:rsidR="0053152B" w:rsidRPr="00D252D3" w:rsidRDefault="0053152B" w:rsidP="000D7A2C">
      <w:pPr>
        <w:ind w:hanging="720"/>
        <w:jc w:val="center"/>
      </w:pPr>
    </w:p>
    <w:p w:rsidR="0053152B" w:rsidRPr="00D252D3" w:rsidRDefault="0053152B" w:rsidP="000D7A2C">
      <w:pPr>
        <w:ind w:hanging="720"/>
        <w:jc w:val="center"/>
      </w:pPr>
    </w:p>
    <w:p w:rsidR="0053152B" w:rsidRPr="00D252D3" w:rsidRDefault="0053152B" w:rsidP="000D7A2C">
      <w:pPr>
        <w:ind w:hanging="720"/>
        <w:jc w:val="center"/>
      </w:pPr>
    </w:p>
    <w:p w:rsidR="0053152B" w:rsidRPr="00D252D3" w:rsidRDefault="0053152B" w:rsidP="000D7A2C">
      <w:pPr>
        <w:ind w:hanging="720"/>
        <w:jc w:val="center"/>
      </w:pPr>
    </w:p>
    <w:p w:rsidR="0053152B" w:rsidRPr="00D252D3" w:rsidRDefault="0053152B" w:rsidP="000D7A2C">
      <w:pPr>
        <w:ind w:hanging="720"/>
        <w:jc w:val="center"/>
      </w:pPr>
    </w:p>
    <w:p w:rsidR="0053152B" w:rsidRPr="00D252D3" w:rsidRDefault="0053152B" w:rsidP="000D7A2C">
      <w:pPr>
        <w:ind w:hanging="720"/>
        <w:jc w:val="center"/>
      </w:pPr>
    </w:p>
    <w:p w:rsidR="0053152B" w:rsidRPr="00D252D3" w:rsidRDefault="0053152B" w:rsidP="000D7A2C">
      <w:pPr>
        <w:ind w:hanging="720"/>
        <w:jc w:val="center"/>
      </w:pPr>
    </w:p>
    <w:p w:rsidR="0053152B" w:rsidRPr="00D252D3" w:rsidRDefault="0053152B">
      <w:pPr>
        <w:ind w:left="0" w:firstLine="0"/>
        <w:jc w:val="center"/>
        <w:rPr>
          <w:b/>
        </w:rPr>
      </w:pPr>
      <w:r w:rsidRPr="00D252D3">
        <w:rPr>
          <w:b/>
        </w:rPr>
        <w:t>PRÍLOHA I</w:t>
      </w:r>
      <w:bookmarkEnd w:id="0"/>
      <w:bookmarkEnd w:id="1"/>
    </w:p>
    <w:p w:rsidR="0053152B" w:rsidRPr="00D252D3" w:rsidRDefault="0053152B">
      <w:pPr>
        <w:jc w:val="center"/>
        <w:rPr>
          <w:b/>
        </w:rPr>
      </w:pPr>
    </w:p>
    <w:p w:rsidR="0053152B" w:rsidRPr="00D252D3" w:rsidRDefault="0053152B">
      <w:pPr>
        <w:pStyle w:val="QRD1"/>
      </w:pPr>
      <w:bookmarkStart w:id="3" w:name="_Toc49833079"/>
      <w:bookmarkStart w:id="4" w:name="_Toc49833186"/>
      <w:r w:rsidRPr="00D252D3">
        <w:t>SÚHRN CHARAKTERISTICKÝCH VLASTNOSTÍ LIEKU</w:t>
      </w:r>
      <w:bookmarkEnd w:id="3"/>
      <w:bookmarkEnd w:id="4"/>
    </w:p>
    <w:p w:rsidR="00F8534B" w:rsidRPr="00D252D3" w:rsidRDefault="00F8534B" w:rsidP="00F8534B">
      <w:pPr>
        <w:tabs>
          <w:tab w:val="left" w:pos="7755"/>
        </w:tabs>
        <w:rPr>
          <w:b/>
        </w:rPr>
      </w:pPr>
      <w:r w:rsidRPr="00D252D3">
        <w:rPr>
          <w:b/>
        </w:rPr>
        <w:tab/>
      </w:r>
      <w:r w:rsidRPr="00D252D3">
        <w:rPr>
          <w:b/>
        </w:rPr>
        <w:tab/>
      </w:r>
    </w:p>
    <w:p w:rsidR="0053152B" w:rsidRPr="00D252D3" w:rsidRDefault="0053152B">
      <w:r w:rsidRPr="00D252D3">
        <w:br w:type="page"/>
      </w:r>
      <w:r w:rsidRPr="00D252D3">
        <w:rPr>
          <w:b/>
        </w:rPr>
        <w:lastRenderedPageBreak/>
        <w:t>1.</w:t>
      </w:r>
      <w:r w:rsidRPr="00D252D3">
        <w:rPr>
          <w:b/>
        </w:rPr>
        <w:tab/>
        <w:t>NÁZOV LIEKU</w:t>
      </w:r>
    </w:p>
    <w:p w:rsidR="0053152B" w:rsidRPr="00D252D3" w:rsidRDefault="0053152B"/>
    <w:p w:rsidR="0053152B" w:rsidRPr="00D252D3" w:rsidRDefault="0053152B">
      <w:pPr>
        <w:rPr>
          <w:snapToGrid w:val="0"/>
          <w:lang w:eastAsia="cs-CZ"/>
        </w:rPr>
      </w:pPr>
      <w:r w:rsidRPr="00D252D3">
        <w:rPr>
          <w:snapToGrid w:val="0"/>
          <w:lang w:eastAsia="cs-CZ"/>
        </w:rPr>
        <w:t>MicardisPlus 40 mg/12,5 mg tablety</w:t>
      </w:r>
    </w:p>
    <w:p w:rsidR="0053152B" w:rsidRPr="00D252D3" w:rsidRDefault="0053152B">
      <w:pPr>
        <w:rPr>
          <w:snapToGrid w:val="0"/>
          <w:lang w:eastAsia="cs-CZ"/>
        </w:rPr>
      </w:pPr>
      <w:r w:rsidRPr="00D252D3">
        <w:rPr>
          <w:snapToGrid w:val="0"/>
          <w:lang w:eastAsia="cs-CZ"/>
        </w:rPr>
        <w:t>MicardisPlus 80 mg/12,5 mg tablety</w:t>
      </w:r>
    </w:p>
    <w:p w:rsidR="0053152B" w:rsidRPr="00D252D3" w:rsidRDefault="0053152B">
      <w:pPr>
        <w:ind w:left="0" w:firstLine="0"/>
      </w:pPr>
    </w:p>
    <w:p w:rsidR="0053152B" w:rsidRPr="00D252D3" w:rsidRDefault="0053152B"/>
    <w:p w:rsidR="0053152B" w:rsidRPr="00D252D3" w:rsidRDefault="0053152B">
      <w:r w:rsidRPr="00D252D3">
        <w:rPr>
          <w:b/>
        </w:rPr>
        <w:t>2.</w:t>
      </w:r>
      <w:r w:rsidRPr="00D252D3">
        <w:rPr>
          <w:b/>
        </w:rPr>
        <w:tab/>
        <w:t>KVALITATÍVNE A KVANTITATÍVNE ZLOŽENIE</w:t>
      </w:r>
    </w:p>
    <w:p w:rsidR="0053152B" w:rsidRPr="00D252D3" w:rsidRDefault="0053152B">
      <w:pPr>
        <w:rPr>
          <w:i/>
        </w:rPr>
      </w:pPr>
    </w:p>
    <w:p w:rsidR="0053152B" w:rsidRPr="00D252D3" w:rsidRDefault="0053152B">
      <w:pPr>
        <w:rPr>
          <w:snapToGrid w:val="0"/>
          <w:u w:val="single"/>
          <w:lang w:eastAsia="cs-CZ"/>
        </w:rPr>
      </w:pPr>
      <w:r w:rsidRPr="00D252D3">
        <w:rPr>
          <w:snapToGrid w:val="0"/>
          <w:u w:val="single"/>
          <w:lang w:eastAsia="cs-CZ"/>
        </w:rPr>
        <w:t>MicardisPlus 40 mg/12,5 mg tablety</w:t>
      </w:r>
    </w:p>
    <w:p w:rsidR="0053152B" w:rsidRPr="00D252D3" w:rsidRDefault="0053152B">
      <w:pPr>
        <w:rPr>
          <w:snapToGrid w:val="0"/>
          <w:lang w:eastAsia="cs-CZ"/>
        </w:rPr>
      </w:pPr>
      <w:r w:rsidRPr="00D252D3">
        <w:rPr>
          <w:snapToGrid w:val="0"/>
          <w:lang w:eastAsia="cs-CZ"/>
        </w:rPr>
        <w:t>Každá tableta obsahuje 40 mg telmisartanu a 12,5 mg hydrochlorotiazidu.</w:t>
      </w:r>
    </w:p>
    <w:p w:rsidR="0053152B" w:rsidRPr="00D252D3" w:rsidRDefault="0053152B">
      <w:pPr>
        <w:rPr>
          <w:snapToGrid w:val="0"/>
          <w:lang w:eastAsia="cs-CZ"/>
        </w:rPr>
      </w:pPr>
    </w:p>
    <w:p w:rsidR="0053152B" w:rsidRPr="00D252D3" w:rsidRDefault="0053152B">
      <w:pPr>
        <w:rPr>
          <w:snapToGrid w:val="0"/>
          <w:u w:val="single"/>
          <w:lang w:eastAsia="cs-CZ"/>
        </w:rPr>
      </w:pPr>
      <w:r w:rsidRPr="00D252D3">
        <w:rPr>
          <w:snapToGrid w:val="0"/>
          <w:u w:val="single"/>
          <w:lang w:eastAsia="cs-CZ"/>
        </w:rPr>
        <w:t>MicardisPlus 80 mg/12,5 mg tablety</w:t>
      </w:r>
    </w:p>
    <w:p w:rsidR="0053152B" w:rsidRPr="00D252D3" w:rsidRDefault="0053152B">
      <w:pPr>
        <w:rPr>
          <w:snapToGrid w:val="0"/>
          <w:lang w:eastAsia="cs-CZ"/>
        </w:rPr>
      </w:pPr>
      <w:r w:rsidRPr="00D252D3">
        <w:rPr>
          <w:snapToGrid w:val="0"/>
          <w:lang w:eastAsia="cs-CZ"/>
        </w:rPr>
        <w:t>Každá tableta obsahuje 80 mg telmisartanu a 12,5 mg hydrochlorotiazidu.</w:t>
      </w:r>
    </w:p>
    <w:p w:rsidR="0053152B" w:rsidRPr="00D252D3" w:rsidRDefault="0053152B">
      <w:pPr>
        <w:rPr>
          <w:snapToGrid w:val="0"/>
          <w:lang w:eastAsia="cs-CZ"/>
        </w:rPr>
      </w:pPr>
    </w:p>
    <w:p w:rsidR="0053152B" w:rsidRPr="00D252D3" w:rsidRDefault="0053152B">
      <w:pPr>
        <w:rPr>
          <w:snapToGrid w:val="0"/>
          <w:u w:val="single"/>
          <w:lang w:eastAsia="cs-CZ"/>
        </w:rPr>
      </w:pPr>
      <w:r w:rsidRPr="00D252D3">
        <w:rPr>
          <w:snapToGrid w:val="0"/>
          <w:u w:val="single"/>
          <w:lang w:eastAsia="cs-CZ"/>
        </w:rPr>
        <w:t>Pomocné látky so známym účinkom</w:t>
      </w:r>
    </w:p>
    <w:p w:rsidR="0053152B" w:rsidRPr="00D252D3" w:rsidRDefault="0053152B">
      <w:pPr>
        <w:rPr>
          <w:snapToGrid w:val="0"/>
          <w:lang w:eastAsia="cs-CZ"/>
        </w:rPr>
      </w:pPr>
      <w:r w:rsidRPr="00D252D3">
        <w:rPr>
          <w:snapToGrid w:val="0"/>
          <w:lang w:eastAsia="cs-CZ"/>
        </w:rPr>
        <w:t>Každá 40 mg/12,5 mg tableta obsahuje 112 mg monohydrátu laktózy a 169 mg sorbitolu (E420).</w:t>
      </w:r>
    </w:p>
    <w:p w:rsidR="0053152B" w:rsidRPr="00D252D3" w:rsidRDefault="0053152B">
      <w:pPr>
        <w:rPr>
          <w:snapToGrid w:val="0"/>
          <w:lang w:eastAsia="cs-CZ"/>
        </w:rPr>
      </w:pPr>
      <w:r w:rsidRPr="00D252D3">
        <w:rPr>
          <w:snapToGrid w:val="0"/>
          <w:lang w:eastAsia="cs-CZ"/>
        </w:rPr>
        <w:t>Každá 80 mg/12,5 mg tableta obsahuje 112 mg monohydrátu laktózy a 338 mg sorbitolu (E420).</w:t>
      </w:r>
    </w:p>
    <w:p w:rsidR="0053152B" w:rsidRPr="00D252D3" w:rsidRDefault="0053152B"/>
    <w:p w:rsidR="0053152B" w:rsidRPr="00D252D3" w:rsidRDefault="0053152B">
      <w:r w:rsidRPr="00D252D3">
        <w:t>Úplný zoznam pomocných látok, pozri časť 6.1.</w:t>
      </w:r>
    </w:p>
    <w:p w:rsidR="0053152B" w:rsidRPr="00D252D3" w:rsidRDefault="0053152B">
      <w:pPr>
        <w:ind w:left="0" w:firstLine="0"/>
      </w:pPr>
    </w:p>
    <w:p w:rsidR="0053152B" w:rsidRPr="00D252D3" w:rsidRDefault="0053152B"/>
    <w:p w:rsidR="0053152B" w:rsidRPr="00D252D3" w:rsidRDefault="0053152B">
      <w:pPr>
        <w:rPr>
          <w:caps/>
        </w:rPr>
      </w:pPr>
      <w:r w:rsidRPr="00D252D3">
        <w:rPr>
          <w:b/>
        </w:rPr>
        <w:t>3.</w:t>
      </w:r>
      <w:r w:rsidRPr="00D252D3">
        <w:rPr>
          <w:b/>
        </w:rPr>
        <w:tab/>
        <w:t>LIEKOVÁ FORMA</w:t>
      </w:r>
    </w:p>
    <w:p w:rsidR="0053152B" w:rsidRPr="00D252D3" w:rsidRDefault="0053152B"/>
    <w:p w:rsidR="0053152B" w:rsidRPr="00D252D3" w:rsidRDefault="0053152B">
      <w:r w:rsidRPr="00D252D3">
        <w:t>Tablety.</w:t>
      </w:r>
    </w:p>
    <w:p w:rsidR="0053152B" w:rsidRPr="00D252D3" w:rsidRDefault="0053152B">
      <w:pPr>
        <w:rPr>
          <w:snapToGrid w:val="0"/>
          <w:lang w:eastAsia="cs-CZ"/>
        </w:rPr>
      </w:pPr>
    </w:p>
    <w:p w:rsidR="0053152B" w:rsidRPr="00D252D3" w:rsidRDefault="0053152B">
      <w:pPr>
        <w:rPr>
          <w:snapToGrid w:val="0"/>
          <w:u w:val="single"/>
          <w:lang w:eastAsia="cs-CZ"/>
        </w:rPr>
      </w:pPr>
      <w:r w:rsidRPr="00D252D3">
        <w:rPr>
          <w:snapToGrid w:val="0"/>
          <w:u w:val="single"/>
          <w:lang w:eastAsia="cs-CZ"/>
        </w:rPr>
        <w:t>MicardisPlus 40 mg/12,5 mg tablety</w:t>
      </w:r>
    </w:p>
    <w:p w:rsidR="0053152B" w:rsidRPr="00D252D3" w:rsidRDefault="0053152B" w:rsidP="00EA1571">
      <w:pPr>
        <w:ind w:left="0" w:firstLine="0"/>
      </w:pPr>
      <w:r w:rsidRPr="00D252D3">
        <w:rPr>
          <w:snapToGrid w:val="0"/>
          <w:lang w:eastAsia="cs-CZ"/>
        </w:rPr>
        <w:t xml:space="preserve">Červeno-biele </w:t>
      </w:r>
      <w:r w:rsidR="00EA1571" w:rsidRPr="00D252D3">
        <w:rPr>
          <w:snapToGrid w:val="0"/>
          <w:lang w:eastAsia="cs-CZ"/>
        </w:rPr>
        <w:t>podlhovasté</w:t>
      </w:r>
      <w:r w:rsidRPr="00D252D3">
        <w:rPr>
          <w:snapToGrid w:val="0"/>
          <w:lang w:eastAsia="cs-CZ"/>
        </w:rPr>
        <w:t xml:space="preserve"> 5,2 mm dvojvrstvové tablety s vyrytým logom spoločnosti a číselným kódom</w:t>
      </w:r>
      <w:r w:rsidR="00EA1571" w:rsidRPr="00D252D3">
        <w:rPr>
          <w:snapToGrid w:val="0"/>
          <w:lang w:eastAsia="cs-CZ"/>
        </w:rPr>
        <w:t xml:space="preserve"> </w:t>
      </w:r>
      <w:r w:rsidRPr="00D252D3">
        <w:rPr>
          <w:snapToGrid w:val="0"/>
          <w:lang w:eastAsia="cs-CZ"/>
        </w:rPr>
        <w:t>’H4’.</w:t>
      </w:r>
    </w:p>
    <w:p w:rsidR="0053152B" w:rsidRPr="00D252D3" w:rsidRDefault="0053152B"/>
    <w:p w:rsidR="0053152B" w:rsidRPr="00D252D3" w:rsidRDefault="0053152B">
      <w:pPr>
        <w:rPr>
          <w:snapToGrid w:val="0"/>
          <w:u w:val="single"/>
          <w:lang w:eastAsia="cs-CZ"/>
        </w:rPr>
      </w:pPr>
      <w:r w:rsidRPr="00D252D3">
        <w:rPr>
          <w:snapToGrid w:val="0"/>
          <w:u w:val="single"/>
          <w:lang w:eastAsia="cs-CZ"/>
        </w:rPr>
        <w:t>MicardisPlus 80 mg/12,5 mg tablety</w:t>
      </w:r>
    </w:p>
    <w:p w:rsidR="0053152B" w:rsidRPr="00D252D3" w:rsidRDefault="0053152B">
      <w:pPr>
        <w:ind w:left="0" w:firstLine="0"/>
      </w:pPr>
      <w:r w:rsidRPr="00D252D3">
        <w:rPr>
          <w:snapToGrid w:val="0"/>
          <w:lang w:eastAsia="cs-CZ"/>
        </w:rPr>
        <w:t xml:space="preserve">Červeno-biele </w:t>
      </w:r>
      <w:r w:rsidR="00EA1571" w:rsidRPr="00D252D3">
        <w:t>podlhovasté</w:t>
      </w:r>
      <w:r w:rsidRPr="00D252D3">
        <w:rPr>
          <w:snapToGrid w:val="0"/>
          <w:lang w:eastAsia="cs-CZ"/>
        </w:rPr>
        <w:t xml:space="preserve"> 6,2 mm dvojvrstvové tablety s vyrytým logom spoločnosti a číselným kódom ’H8’.</w:t>
      </w:r>
    </w:p>
    <w:p w:rsidR="0053152B" w:rsidRPr="00D252D3" w:rsidRDefault="0053152B"/>
    <w:p w:rsidR="0053152B" w:rsidRPr="00D252D3" w:rsidRDefault="0053152B"/>
    <w:p w:rsidR="0053152B" w:rsidRPr="00D252D3" w:rsidRDefault="0053152B">
      <w:pPr>
        <w:rPr>
          <w:caps/>
        </w:rPr>
      </w:pPr>
      <w:r w:rsidRPr="00D252D3">
        <w:rPr>
          <w:b/>
          <w:caps/>
        </w:rPr>
        <w:t>4.</w:t>
      </w:r>
      <w:r w:rsidRPr="00D252D3">
        <w:rPr>
          <w:b/>
          <w:caps/>
        </w:rPr>
        <w:tab/>
        <w:t>KLINICKÉ ÚDAJE</w:t>
      </w:r>
    </w:p>
    <w:p w:rsidR="0053152B" w:rsidRPr="00D252D3" w:rsidRDefault="0053152B"/>
    <w:p w:rsidR="0053152B" w:rsidRPr="00D252D3" w:rsidRDefault="0053152B">
      <w:r w:rsidRPr="00D252D3">
        <w:rPr>
          <w:b/>
        </w:rPr>
        <w:t>4.1</w:t>
      </w:r>
      <w:r w:rsidRPr="00D252D3">
        <w:rPr>
          <w:b/>
        </w:rPr>
        <w:tab/>
        <w:t>Terapeutické indikácie</w:t>
      </w:r>
    </w:p>
    <w:p w:rsidR="0053152B" w:rsidRPr="00D252D3" w:rsidRDefault="0053152B"/>
    <w:p w:rsidR="0053152B" w:rsidRPr="00D252D3" w:rsidRDefault="0053152B">
      <w:pPr>
        <w:ind w:left="0" w:firstLine="0"/>
      </w:pPr>
      <w:r w:rsidRPr="00D252D3">
        <w:t>Liečba esenciálnej hypertenzie.</w:t>
      </w:r>
    </w:p>
    <w:p w:rsidR="0053152B" w:rsidRPr="00D252D3" w:rsidRDefault="0053152B">
      <w:pPr>
        <w:ind w:left="0" w:firstLine="0"/>
      </w:pPr>
    </w:p>
    <w:p w:rsidR="0053152B" w:rsidRPr="00D252D3" w:rsidRDefault="0053152B">
      <w:pPr>
        <w:ind w:left="0" w:firstLine="0"/>
      </w:pPr>
      <w:r w:rsidRPr="00D252D3">
        <w:rPr>
          <w:snapToGrid w:val="0"/>
          <w:lang w:eastAsia="cs-CZ"/>
        </w:rPr>
        <w:t>MicardisPlus</w:t>
      </w:r>
      <w:r w:rsidRPr="00D252D3">
        <w:t xml:space="preserve"> fixná kombinácia dávky (40 mg telmisartanu/12,5 mg hydrochlorotiazidu a 80 mg telmisartanu/12,5 mg hydrochlorotiazidu) je indikovaná dospelým, ktorých krvný tlak nie je adekvátne kontrolovaný samotným telmisartanom.</w:t>
      </w:r>
    </w:p>
    <w:p w:rsidR="0053152B" w:rsidRPr="00D252D3" w:rsidRDefault="0053152B"/>
    <w:p w:rsidR="0053152B" w:rsidRPr="00D252D3" w:rsidRDefault="0053152B" w:rsidP="0051567B">
      <w:pPr>
        <w:keepNext/>
      </w:pPr>
      <w:r w:rsidRPr="00D252D3">
        <w:rPr>
          <w:b/>
        </w:rPr>
        <w:t>4.2</w:t>
      </w:r>
      <w:r w:rsidRPr="00D252D3">
        <w:rPr>
          <w:b/>
        </w:rPr>
        <w:tab/>
        <w:t>Dávkovanie a spôsob podávania</w:t>
      </w:r>
    </w:p>
    <w:p w:rsidR="0053152B" w:rsidRPr="00D252D3" w:rsidRDefault="0053152B" w:rsidP="0051567B">
      <w:pPr>
        <w:keepNext/>
      </w:pPr>
    </w:p>
    <w:p w:rsidR="0053152B" w:rsidRPr="00D252D3" w:rsidRDefault="0053152B" w:rsidP="0051567B">
      <w:pPr>
        <w:keepNext/>
        <w:rPr>
          <w:u w:val="single"/>
        </w:rPr>
      </w:pPr>
      <w:r w:rsidRPr="00D252D3">
        <w:rPr>
          <w:u w:val="single"/>
        </w:rPr>
        <w:t>Dávkovanie</w:t>
      </w:r>
    </w:p>
    <w:p w:rsidR="0053152B" w:rsidRPr="00D252D3" w:rsidRDefault="0053152B" w:rsidP="0051567B">
      <w:pPr>
        <w:keepNext/>
        <w:rPr>
          <w:u w:val="single"/>
        </w:rPr>
      </w:pPr>
    </w:p>
    <w:p w:rsidR="0053152B" w:rsidRPr="00D252D3" w:rsidRDefault="0053152B">
      <w:pPr>
        <w:ind w:left="0" w:firstLine="0"/>
        <w:rPr>
          <w:snapToGrid w:val="0"/>
          <w:lang w:eastAsia="cs-CZ"/>
        </w:rPr>
      </w:pPr>
      <w:r w:rsidRPr="00D252D3">
        <w:rPr>
          <w:snapToGrid w:val="0"/>
          <w:lang w:eastAsia="cs-CZ"/>
        </w:rPr>
        <w:t>MicardisPlus sa má podávať pacientom, ktorých krvný tlak nie je náležite kontrolovaný samotným telmisartanom. Pred zmenou na fixnú kombináciu dávok sa odporúča individuálna titrácia dávky každej z dvoch zložiek. Keď je to klinicky vhodné, možno zvážiť priamy prechod z monoterapie na fixnú kombináciu.</w:t>
      </w:r>
    </w:p>
    <w:p w:rsidR="0053152B" w:rsidRPr="00D252D3" w:rsidRDefault="0053152B"/>
    <w:p w:rsidR="0053152B" w:rsidRPr="00D252D3" w:rsidRDefault="0053152B">
      <w:pPr>
        <w:numPr>
          <w:ilvl w:val="0"/>
          <w:numId w:val="2"/>
        </w:numPr>
        <w:tabs>
          <w:tab w:val="clear" w:pos="720"/>
          <w:tab w:val="num" w:pos="567"/>
        </w:tabs>
        <w:ind w:left="567" w:hanging="567"/>
        <w:rPr>
          <w:snapToGrid w:val="0"/>
          <w:lang w:eastAsia="cs-CZ"/>
        </w:rPr>
      </w:pPr>
      <w:r w:rsidRPr="00D252D3">
        <w:rPr>
          <w:snapToGrid w:val="0"/>
          <w:lang w:eastAsia="cs-CZ"/>
        </w:rPr>
        <w:t xml:space="preserve">MicardisPlus 40 mg/12,5 mg sa môže podávať jedenkrát denne pacientom, ktorých krvný tlak nie je </w:t>
      </w:r>
      <w:r w:rsidRPr="00D252D3">
        <w:rPr>
          <w:snapToGrid w:val="0"/>
          <w:szCs w:val="22"/>
          <w:lang w:eastAsia="cs-CZ"/>
        </w:rPr>
        <w:t>náležite</w:t>
      </w:r>
      <w:r w:rsidRPr="00D252D3">
        <w:rPr>
          <w:snapToGrid w:val="0"/>
          <w:lang w:eastAsia="cs-CZ"/>
        </w:rPr>
        <w:t xml:space="preserve"> kontrolovaný Micardisom 40 mg.</w:t>
      </w:r>
    </w:p>
    <w:p w:rsidR="0053152B" w:rsidRPr="00D252D3" w:rsidRDefault="0053152B">
      <w:pPr>
        <w:numPr>
          <w:ilvl w:val="0"/>
          <w:numId w:val="2"/>
        </w:numPr>
        <w:tabs>
          <w:tab w:val="clear" w:pos="720"/>
          <w:tab w:val="num" w:pos="567"/>
        </w:tabs>
        <w:ind w:left="567" w:hanging="567"/>
        <w:rPr>
          <w:snapToGrid w:val="0"/>
          <w:lang w:eastAsia="cs-CZ"/>
        </w:rPr>
      </w:pPr>
      <w:r w:rsidRPr="00D252D3">
        <w:rPr>
          <w:snapToGrid w:val="0"/>
          <w:lang w:eastAsia="cs-CZ"/>
        </w:rPr>
        <w:t xml:space="preserve">MicardisPlus 80 mg/12,5 mg sa môže podávať jedenkrát denne pacientom, ktorých krvný tlak nie je </w:t>
      </w:r>
      <w:r w:rsidRPr="00D252D3">
        <w:rPr>
          <w:snapToGrid w:val="0"/>
          <w:szCs w:val="22"/>
          <w:lang w:eastAsia="cs-CZ"/>
        </w:rPr>
        <w:t xml:space="preserve">náležite </w:t>
      </w:r>
      <w:r w:rsidRPr="00D252D3">
        <w:rPr>
          <w:snapToGrid w:val="0"/>
          <w:lang w:eastAsia="cs-CZ"/>
        </w:rPr>
        <w:t>kontrolovaný Micardisom 80 mg.</w:t>
      </w:r>
    </w:p>
    <w:p w:rsidR="0053152B" w:rsidRPr="00D252D3" w:rsidRDefault="0053152B"/>
    <w:p w:rsidR="0053152B" w:rsidRPr="00D252D3" w:rsidRDefault="0053152B" w:rsidP="0051567B">
      <w:pPr>
        <w:keepNext/>
        <w:rPr>
          <w:snapToGrid w:val="0"/>
          <w:lang w:eastAsia="cs-CZ"/>
        </w:rPr>
      </w:pPr>
      <w:r w:rsidRPr="00D252D3">
        <w:rPr>
          <w:snapToGrid w:val="0"/>
          <w:lang w:eastAsia="cs-CZ"/>
        </w:rPr>
        <w:t>Po</w:t>
      </w:r>
      <w:r w:rsidR="008D06F2" w:rsidRPr="00D252D3">
        <w:rPr>
          <w:snapToGrid w:val="0"/>
          <w:lang w:eastAsia="cs-CZ"/>
        </w:rPr>
        <w:t>rucha</w:t>
      </w:r>
      <w:r w:rsidRPr="00D252D3">
        <w:rPr>
          <w:snapToGrid w:val="0"/>
          <w:lang w:eastAsia="cs-CZ"/>
        </w:rPr>
        <w:t xml:space="preserve"> funkcie obličiek </w:t>
      </w:r>
    </w:p>
    <w:p w:rsidR="0053152B" w:rsidRPr="00D252D3" w:rsidRDefault="0053152B" w:rsidP="0051567B">
      <w:pPr>
        <w:keepNext/>
        <w:rPr>
          <w:snapToGrid w:val="0"/>
          <w:u w:val="single"/>
          <w:lang w:eastAsia="cs-CZ"/>
        </w:rPr>
      </w:pPr>
    </w:p>
    <w:p w:rsidR="0053152B" w:rsidRPr="00D252D3" w:rsidRDefault="0053152B">
      <w:pPr>
        <w:rPr>
          <w:snapToGrid w:val="0"/>
          <w:lang w:eastAsia="cs-CZ"/>
        </w:rPr>
      </w:pPr>
      <w:r w:rsidRPr="00D252D3">
        <w:rPr>
          <w:snapToGrid w:val="0"/>
          <w:lang w:eastAsia="cs-CZ"/>
        </w:rPr>
        <w:t>Odporúča sa pravidelné sledovanie funkcie obličiek (pozri časť 4.4)</w:t>
      </w:r>
    </w:p>
    <w:p w:rsidR="0053152B" w:rsidRPr="00D252D3" w:rsidRDefault="0053152B">
      <w:pPr>
        <w:ind w:left="0" w:firstLine="0"/>
        <w:rPr>
          <w:snapToGrid w:val="0"/>
          <w:u w:val="single"/>
          <w:lang w:eastAsia="cs-CZ"/>
        </w:rPr>
      </w:pPr>
    </w:p>
    <w:p w:rsidR="0053152B" w:rsidRPr="00D252D3" w:rsidRDefault="0053152B">
      <w:pPr>
        <w:keepNext/>
        <w:keepLines/>
        <w:ind w:left="0" w:firstLine="0"/>
        <w:rPr>
          <w:snapToGrid w:val="0"/>
          <w:lang w:eastAsia="cs-CZ"/>
        </w:rPr>
      </w:pPr>
      <w:r w:rsidRPr="00D252D3">
        <w:rPr>
          <w:snapToGrid w:val="0"/>
          <w:lang w:eastAsia="cs-CZ"/>
        </w:rPr>
        <w:t>Po</w:t>
      </w:r>
      <w:r w:rsidR="008D06F2" w:rsidRPr="00D252D3">
        <w:rPr>
          <w:snapToGrid w:val="0"/>
          <w:lang w:eastAsia="cs-CZ"/>
        </w:rPr>
        <w:t>rucha</w:t>
      </w:r>
      <w:r w:rsidRPr="00D252D3">
        <w:rPr>
          <w:snapToGrid w:val="0"/>
          <w:lang w:eastAsia="cs-CZ"/>
        </w:rPr>
        <w:t xml:space="preserve"> funkcie pečene</w:t>
      </w:r>
    </w:p>
    <w:p w:rsidR="0053152B" w:rsidRPr="00D252D3" w:rsidRDefault="0053152B">
      <w:pPr>
        <w:keepNext/>
        <w:keepLines/>
        <w:ind w:left="0" w:firstLine="0"/>
        <w:rPr>
          <w:snapToGrid w:val="0"/>
          <w:lang w:eastAsia="cs-CZ"/>
        </w:rPr>
      </w:pPr>
    </w:p>
    <w:p w:rsidR="0053152B" w:rsidRPr="00D252D3" w:rsidRDefault="0053152B">
      <w:pPr>
        <w:ind w:left="0" w:firstLine="0"/>
        <w:rPr>
          <w:snapToGrid w:val="0"/>
          <w:lang w:eastAsia="cs-CZ"/>
        </w:rPr>
      </w:pPr>
      <w:r w:rsidRPr="00D252D3">
        <w:rPr>
          <w:snapToGrid w:val="0"/>
          <w:lang w:eastAsia="cs-CZ"/>
        </w:rPr>
        <w:t>U pacientov s miern</w:t>
      </w:r>
      <w:r w:rsidR="009B3824" w:rsidRPr="00D252D3">
        <w:rPr>
          <w:snapToGrid w:val="0"/>
          <w:lang w:eastAsia="cs-CZ"/>
        </w:rPr>
        <w:t>ou</w:t>
      </w:r>
      <w:r w:rsidRPr="00D252D3">
        <w:rPr>
          <w:snapToGrid w:val="0"/>
          <w:lang w:eastAsia="cs-CZ"/>
        </w:rPr>
        <w:t xml:space="preserve"> až stredne ťažk</w:t>
      </w:r>
      <w:r w:rsidR="008D06F2" w:rsidRPr="00D252D3">
        <w:rPr>
          <w:snapToGrid w:val="0"/>
          <w:lang w:eastAsia="cs-CZ"/>
        </w:rPr>
        <w:t>ou</w:t>
      </w:r>
      <w:r w:rsidRPr="00D252D3">
        <w:rPr>
          <w:snapToGrid w:val="0"/>
          <w:lang w:eastAsia="cs-CZ"/>
        </w:rPr>
        <w:t xml:space="preserve"> po</w:t>
      </w:r>
      <w:r w:rsidR="008D06F2" w:rsidRPr="00D252D3">
        <w:rPr>
          <w:snapToGrid w:val="0"/>
          <w:lang w:eastAsia="cs-CZ"/>
        </w:rPr>
        <w:t>ruchou</w:t>
      </w:r>
      <w:r w:rsidRPr="00D252D3">
        <w:rPr>
          <w:snapToGrid w:val="0"/>
          <w:lang w:eastAsia="cs-CZ"/>
        </w:rPr>
        <w:t xml:space="preserve"> funkcie pečene sa nemá prekročiť dávkovanie MicardisPlusu 40 mg/12,5 mg raz denne. MicardisPlus nie je určený pacientom s ťažk</w:t>
      </w:r>
      <w:r w:rsidR="008D06F2" w:rsidRPr="00D252D3">
        <w:rPr>
          <w:snapToGrid w:val="0"/>
          <w:lang w:eastAsia="cs-CZ"/>
        </w:rPr>
        <w:t>ou</w:t>
      </w:r>
      <w:r w:rsidRPr="00D252D3">
        <w:rPr>
          <w:snapToGrid w:val="0"/>
          <w:lang w:eastAsia="cs-CZ"/>
        </w:rPr>
        <w:t xml:space="preserve"> po</w:t>
      </w:r>
      <w:r w:rsidR="008D06F2" w:rsidRPr="00D252D3">
        <w:rPr>
          <w:snapToGrid w:val="0"/>
          <w:lang w:eastAsia="cs-CZ"/>
        </w:rPr>
        <w:t>ruchou</w:t>
      </w:r>
      <w:r w:rsidRPr="00D252D3">
        <w:rPr>
          <w:snapToGrid w:val="0"/>
          <w:lang w:eastAsia="cs-CZ"/>
        </w:rPr>
        <w:t xml:space="preserve"> funkcie pečene. U pacientov s po</w:t>
      </w:r>
      <w:r w:rsidR="008D06F2" w:rsidRPr="00D252D3">
        <w:rPr>
          <w:snapToGrid w:val="0"/>
          <w:lang w:eastAsia="cs-CZ"/>
        </w:rPr>
        <w:t>ruchou</w:t>
      </w:r>
      <w:r w:rsidRPr="00D252D3">
        <w:rPr>
          <w:snapToGrid w:val="0"/>
          <w:lang w:eastAsia="cs-CZ"/>
        </w:rPr>
        <w:t xml:space="preserve"> funkci</w:t>
      </w:r>
      <w:r w:rsidR="00C20C63" w:rsidRPr="00D252D3">
        <w:rPr>
          <w:snapToGrid w:val="0"/>
          <w:lang w:eastAsia="cs-CZ"/>
        </w:rPr>
        <w:t>e</w:t>
      </w:r>
      <w:r w:rsidRPr="00D252D3">
        <w:rPr>
          <w:snapToGrid w:val="0"/>
          <w:lang w:eastAsia="cs-CZ"/>
        </w:rPr>
        <w:t xml:space="preserve"> pečene sa tiazidy majú podávať s opatrnosťou (pozri časť 4.4).</w:t>
      </w:r>
    </w:p>
    <w:p w:rsidR="0053152B" w:rsidRPr="00D252D3" w:rsidRDefault="0053152B">
      <w:pPr>
        <w:ind w:left="0" w:firstLine="0"/>
      </w:pPr>
    </w:p>
    <w:p w:rsidR="0053152B" w:rsidRPr="00D252D3" w:rsidRDefault="0053152B">
      <w:pPr>
        <w:rPr>
          <w:snapToGrid w:val="0"/>
          <w:lang w:eastAsia="cs-CZ"/>
        </w:rPr>
      </w:pPr>
      <w:r w:rsidRPr="00D252D3">
        <w:rPr>
          <w:snapToGrid w:val="0"/>
          <w:lang w:eastAsia="cs-CZ"/>
        </w:rPr>
        <w:t xml:space="preserve">Starší </w:t>
      </w:r>
      <w:r w:rsidR="00213CF0" w:rsidRPr="00D252D3">
        <w:rPr>
          <w:snapToGrid w:val="0"/>
          <w:lang w:eastAsia="cs-CZ"/>
        </w:rPr>
        <w:t>ľudia</w:t>
      </w:r>
    </w:p>
    <w:p w:rsidR="0053152B" w:rsidRPr="00D252D3" w:rsidRDefault="0053152B">
      <w:pPr>
        <w:rPr>
          <w:snapToGrid w:val="0"/>
          <w:lang w:eastAsia="cs-CZ"/>
        </w:rPr>
      </w:pPr>
    </w:p>
    <w:p w:rsidR="0053152B" w:rsidRPr="00D252D3" w:rsidRDefault="0053152B">
      <w:pPr>
        <w:rPr>
          <w:snapToGrid w:val="0"/>
          <w:lang w:eastAsia="cs-CZ"/>
        </w:rPr>
      </w:pPr>
      <w:r w:rsidRPr="00D252D3">
        <w:rPr>
          <w:snapToGrid w:val="0"/>
          <w:lang w:eastAsia="cs-CZ"/>
        </w:rPr>
        <w:t>Nie je potrebná úprava dávky.</w:t>
      </w:r>
    </w:p>
    <w:p w:rsidR="0053152B" w:rsidRPr="00D252D3" w:rsidRDefault="0053152B">
      <w:pPr>
        <w:ind w:left="0" w:firstLine="0"/>
        <w:rPr>
          <w:i/>
          <w:snapToGrid w:val="0"/>
          <w:lang w:eastAsia="cs-CZ"/>
        </w:rPr>
      </w:pPr>
    </w:p>
    <w:p w:rsidR="0053152B" w:rsidRPr="00D252D3" w:rsidRDefault="0053152B">
      <w:pPr>
        <w:ind w:left="0" w:firstLine="0"/>
        <w:rPr>
          <w:i/>
          <w:snapToGrid w:val="0"/>
          <w:lang w:eastAsia="cs-CZ"/>
        </w:rPr>
      </w:pPr>
      <w:r w:rsidRPr="00D252D3">
        <w:rPr>
          <w:i/>
          <w:snapToGrid w:val="0"/>
          <w:lang w:eastAsia="cs-CZ"/>
        </w:rPr>
        <w:t>Pediatrická populácia</w:t>
      </w:r>
    </w:p>
    <w:p w:rsidR="0053152B" w:rsidRPr="00D252D3" w:rsidRDefault="0053152B">
      <w:pPr>
        <w:ind w:left="0" w:firstLine="0"/>
      </w:pPr>
    </w:p>
    <w:p w:rsidR="0053152B" w:rsidRPr="00D252D3" w:rsidRDefault="0053152B">
      <w:pPr>
        <w:ind w:left="0" w:firstLine="0"/>
      </w:pPr>
      <w:r w:rsidRPr="00D252D3">
        <w:t>Bezpečnosť a účinnosť MicardisPlusu u detí a dospievajúcich mladších ako 18 rokov neboli stanovené. K dispozícii nie sú žiadne údaje.</w:t>
      </w:r>
    </w:p>
    <w:p w:rsidR="0053152B" w:rsidRPr="00D252D3" w:rsidRDefault="0053152B">
      <w:pPr>
        <w:ind w:left="0" w:firstLine="0"/>
      </w:pPr>
    </w:p>
    <w:p w:rsidR="0053152B" w:rsidRPr="00D252D3" w:rsidRDefault="0053152B">
      <w:pPr>
        <w:ind w:left="0" w:firstLine="0"/>
        <w:rPr>
          <w:u w:val="single"/>
        </w:rPr>
      </w:pPr>
      <w:r w:rsidRPr="00D252D3">
        <w:rPr>
          <w:u w:val="single"/>
        </w:rPr>
        <w:t>Spôsob podávania</w:t>
      </w:r>
    </w:p>
    <w:p w:rsidR="0053152B" w:rsidRPr="00D252D3" w:rsidRDefault="0053152B">
      <w:pPr>
        <w:ind w:left="0" w:firstLine="0"/>
      </w:pPr>
    </w:p>
    <w:p w:rsidR="0053152B" w:rsidRPr="00D252D3" w:rsidRDefault="0053152B">
      <w:pPr>
        <w:ind w:left="0" w:firstLine="0"/>
      </w:pPr>
      <w:r w:rsidRPr="00D252D3">
        <w:t>Tablety MicardisPlusu sa podávajú perorálne jedenkrát denne a majú sa užívať s tekutinou, s jedlom alebo bez jedla.</w:t>
      </w:r>
    </w:p>
    <w:p w:rsidR="0053152B" w:rsidRPr="00D252D3" w:rsidRDefault="0053152B">
      <w:pPr>
        <w:ind w:left="0" w:firstLine="0"/>
      </w:pPr>
    </w:p>
    <w:p w:rsidR="0053152B" w:rsidRPr="00D252D3" w:rsidRDefault="0053152B">
      <w:pPr>
        <w:ind w:left="0" w:firstLine="0"/>
        <w:rPr>
          <w:i/>
        </w:rPr>
      </w:pPr>
      <w:r w:rsidRPr="00D252D3">
        <w:rPr>
          <w:i/>
        </w:rPr>
        <w:t>Opatrenia pred zaobchádzaním alebo podaním lieku</w:t>
      </w:r>
    </w:p>
    <w:p w:rsidR="0053152B" w:rsidRPr="00D252D3" w:rsidRDefault="0053152B">
      <w:pPr>
        <w:ind w:left="0" w:firstLine="0"/>
      </w:pPr>
    </w:p>
    <w:p w:rsidR="0053152B" w:rsidRPr="00D252D3" w:rsidRDefault="0053152B">
      <w:pPr>
        <w:ind w:left="0" w:firstLine="0"/>
      </w:pPr>
      <w:r w:rsidRPr="00D252D3">
        <w:t>MicardisPlus sa má uchovávať v uzavretom blistri kôli hygroskopickým vlastnostiam tabliet. Tablety sa majú vyberať z blistra krátko pred podaním (pozri časť 6.6).</w:t>
      </w:r>
    </w:p>
    <w:p w:rsidR="0053152B" w:rsidRPr="00D252D3" w:rsidRDefault="0053152B">
      <w:pPr>
        <w:ind w:left="0" w:firstLine="0"/>
      </w:pPr>
    </w:p>
    <w:p w:rsidR="0053152B" w:rsidRPr="00D252D3" w:rsidRDefault="0053152B">
      <w:pPr>
        <w:rPr>
          <w:b/>
        </w:rPr>
      </w:pPr>
      <w:r w:rsidRPr="00D252D3">
        <w:rPr>
          <w:b/>
        </w:rPr>
        <w:t>4.3</w:t>
      </w:r>
      <w:r w:rsidRPr="00D252D3">
        <w:rPr>
          <w:b/>
        </w:rPr>
        <w:tab/>
        <w:t>Kontraindikácie</w:t>
      </w:r>
    </w:p>
    <w:p w:rsidR="0053152B" w:rsidRPr="00D252D3" w:rsidRDefault="0053152B"/>
    <w:p w:rsidR="0053152B" w:rsidRPr="00D252D3" w:rsidRDefault="0053152B">
      <w:pPr>
        <w:numPr>
          <w:ilvl w:val="0"/>
          <w:numId w:val="3"/>
        </w:numPr>
        <w:tabs>
          <w:tab w:val="clear" w:pos="720"/>
        </w:tabs>
        <w:ind w:left="540" w:hanging="540"/>
        <w:rPr>
          <w:snapToGrid w:val="0"/>
          <w:lang w:eastAsia="cs-CZ"/>
        </w:rPr>
      </w:pPr>
      <w:r w:rsidRPr="00D252D3">
        <w:rPr>
          <w:snapToGrid w:val="0"/>
          <w:lang w:eastAsia="cs-CZ"/>
        </w:rPr>
        <w:t>Precitlivenosť na liečiv</w:t>
      </w:r>
      <w:r w:rsidR="00676C2C" w:rsidRPr="00D252D3">
        <w:rPr>
          <w:snapToGrid w:val="0"/>
          <w:lang w:eastAsia="cs-CZ"/>
        </w:rPr>
        <w:t>á</w:t>
      </w:r>
      <w:r w:rsidRPr="00D252D3">
        <w:rPr>
          <w:snapToGrid w:val="0"/>
          <w:lang w:eastAsia="cs-CZ"/>
        </w:rPr>
        <w:t xml:space="preserve"> alebo na ktorúkoľvek z pomocných látok uvedených v časti 6.1.</w:t>
      </w:r>
    </w:p>
    <w:p w:rsidR="0053152B" w:rsidRPr="00D252D3" w:rsidRDefault="0053152B">
      <w:pPr>
        <w:numPr>
          <w:ilvl w:val="0"/>
          <w:numId w:val="3"/>
        </w:numPr>
        <w:tabs>
          <w:tab w:val="clear" w:pos="720"/>
        </w:tabs>
        <w:ind w:left="540" w:hanging="540"/>
        <w:rPr>
          <w:snapToGrid w:val="0"/>
          <w:lang w:eastAsia="cs-CZ"/>
        </w:rPr>
      </w:pPr>
      <w:r w:rsidRPr="00D252D3">
        <w:rPr>
          <w:snapToGrid w:val="0"/>
          <w:lang w:eastAsia="cs-CZ"/>
        </w:rPr>
        <w:t>Precitlivenosť na iné látky, odvodené od sulfónamidov (keďže hydrochlorotiazid je liečivo odvodené od sulfónamidov).</w:t>
      </w:r>
    </w:p>
    <w:p w:rsidR="0053152B" w:rsidRPr="00D252D3" w:rsidRDefault="0053152B">
      <w:pPr>
        <w:numPr>
          <w:ilvl w:val="0"/>
          <w:numId w:val="3"/>
        </w:numPr>
        <w:tabs>
          <w:tab w:val="clear" w:pos="720"/>
        </w:tabs>
        <w:ind w:left="540" w:hanging="540"/>
        <w:rPr>
          <w:snapToGrid w:val="0"/>
          <w:lang w:eastAsia="cs-CZ"/>
        </w:rPr>
      </w:pPr>
      <w:r w:rsidRPr="00D252D3">
        <w:rPr>
          <w:snapToGrid w:val="0"/>
          <w:lang w:eastAsia="cs-CZ"/>
        </w:rPr>
        <w:t>Druhý a tretí trimester gravidity (pozri časti 4.4 a 4.6).</w:t>
      </w:r>
    </w:p>
    <w:p w:rsidR="0053152B" w:rsidRPr="00D252D3" w:rsidRDefault="0053152B">
      <w:pPr>
        <w:numPr>
          <w:ilvl w:val="0"/>
          <w:numId w:val="3"/>
        </w:numPr>
        <w:tabs>
          <w:tab w:val="clear" w:pos="720"/>
        </w:tabs>
        <w:ind w:left="540" w:hanging="540"/>
        <w:rPr>
          <w:snapToGrid w:val="0"/>
          <w:lang w:eastAsia="cs-CZ"/>
        </w:rPr>
      </w:pPr>
      <w:r w:rsidRPr="00D252D3">
        <w:rPr>
          <w:snapToGrid w:val="0"/>
          <w:lang w:eastAsia="cs-CZ"/>
        </w:rPr>
        <w:t>Cholestáza a obštrukčné poruchy žlčových ciest.</w:t>
      </w:r>
    </w:p>
    <w:p w:rsidR="0053152B" w:rsidRPr="00D252D3" w:rsidRDefault="0053152B">
      <w:pPr>
        <w:numPr>
          <w:ilvl w:val="0"/>
          <w:numId w:val="3"/>
        </w:numPr>
        <w:tabs>
          <w:tab w:val="clear" w:pos="720"/>
        </w:tabs>
        <w:ind w:left="540" w:hanging="540"/>
        <w:rPr>
          <w:snapToGrid w:val="0"/>
          <w:lang w:eastAsia="cs-CZ"/>
        </w:rPr>
      </w:pPr>
      <w:r w:rsidRPr="00D252D3">
        <w:rPr>
          <w:snapToGrid w:val="0"/>
          <w:lang w:eastAsia="cs-CZ"/>
        </w:rPr>
        <w:t>Ťažk</w:t>
      </w:r>
      <w:r w:rsidR="00831BD7" w:rsidRPr="00D252D3">
        <w:rPr>
          <w:snapToGrid w:val="0"/>
          <w:lang w:eastAsia="cs-CZ"/>
        </w:rPr>
        <w:t>á</w:t>
      </w:r>
      <w:r w:rsidRPr="00D252D3">
        <w:rPr>
          <w:snapToGrid w:val="0"/>
          <w:lang w:eastAsia="cs-CZ"/>
        </w:rPr>
        <w:t xml:space="preserve"> po</w:t>
      </w:r>
      <w:r w:rsidR="00831BD7" w:rsidRPr="00D252D3">
        <w:rPr>
          <w:snapToGrid w:val="0"/>
          <w:lang w:eastAsia="cs-CZ"/>
        </w:rPr>
        <w:t>rucha</w:t>
      </w:r>
      <w:r w:rsidRPr="00D252D3">
        <w:rPr>
          <w:snapToGrid w:val="0"/>
          <w:lang w:eastAsia="cs-CZ"/>
        </w:rPr>
        <w:t xml:space="preserve"> funkcie pečene.</w:t>
      </w:r>
    </w:p>
    <w:p w:rsidR="0053152B" w:rsidRPr="00D252D3" w:rsidRDefault="0053152B">
      <w:pPr>
        <w:numPr>
          <w:ilvl w:val="0"/>
          <w:numId w:val="3"/>
        </w:numPr>
        <w:tabs>
          <w:tab w:val="clear" w:pos="720"/>
        </w:tabs>
        <w:ind w:left="540" w:hanging="540"/>
        <w:rPr>
          <w:snapToGrid w:val="0"/>
          <w:lang w:eastAsia="cs-CZ"/>
        </w:rPr>
      </w:pPr>
      <w:r w:rsidRPr="00D252D3">
        <w:rPr>
          <w:snapToGrid w:val="0"/>
          <w:lang w:eastAsia="cs-CZ"/>
        </w:rPr>
        <w:t>Ťažk</w:t>
      </w:r>
      <w:r w:rsidR="00831BD7" w:rsidRPr="00D252D3">
        <w:rPr>
          <w:snapToGrid w:val="0"/>
          <w:lang w:eastAsia="cs-CZ"/>
        </w:rPr>
        <w:t>á</w:t>
      </w:r>
      <w:r w:rsidRPr="00D252D3">
        <w:rPr>
          <w:snapToGrid w:val="0"/>
          <w:lang w:eastAsia="cs-CZ"/>
        </w:rPr>
        <w:t xml:space="preserve"> po</w:t>
      </w:r>
      <w:r w:rsidR="00831BD7" w:rsidRPr="00D252D3">
        <w:rPr>
          <w:snapToGrid w:val="0"/>
          <w:lang w:eastAsia="cs-CZ"/>
        </w:rPr>
        <w:t>rucha</w:t>
      </w:r>
      <w:r w:rsidRPr="00D252D3">
        <w:rPr>
          <w:snapToGrid w:val="0"/>
          <w:lang w:eastAsia="cs-CZ"/>
        </w:rPr>
        <w:t xml:space="preserve"> funkcie obličiek (klírens kreatinínu &lt; 30 ml/min).</w:t>
      </w:r>
    </w:p>
    <w:p w:rsidR="0053152B" w:rsidRPr="00D252D3" w:rsidRDefault="0053152B">
      <w:pPr>
        <w:numPr>
          <w:ilvl w:val="0"/>
          <w:numId w:val="3"/>
        </w:numPr>
        <w:tabs>
          <w:tab w:val="clear" w:pos="720"/>
        </w:tabs>
        <w:ind w:left="540" w:hanging="540"/>
        <w:rPr>
          <w:snapToGrid w:val="0"/>
          <w:lang w:eastAsia="cs-CZ"/>
        </w:rPr>
      </w:pPr>
      <w:r w:rsidRPr="00D252D3">
        <w:rPr>
          <w:snapToGrid w:val="0"/>
          <w:lang w:eastAsia="cs-CZ"/>
        </w:rPr>
        <w:t>Úporná hypokaliémia, hyperkalciémia.</w:t>
      </w:r>
    </w:p>
    <w:p w:rsidR="0053152B" w:rsidRPr="00D252D3" w:rsidRDefault="0053152B"/>
    <w:p w:rsidR="0053152B" w:rsidRPr="00D252D3" w:rsidRDefault="0053152B">
      <w:pPr>
        <w:rPr>
          <w:bCs/>
          <w:szCs w:val="22"/>
        </w:rPr>
      </w:pPr>
      <w:r w:rsidRPr="00D252D3">
        <w:rPr>
          <w:bCs/>
          <w:szCs w:val="22"/>
        </w:rPr>
        <w:t xml:space="preserve">Súbežné používanie </w:t>
      </w:r>
      <w:r w:rsidRPr="00D252D3">
        <w:t xml:space="preserve">MicardisPlusu </w:t>
      </w:r>
      <w:r w:rsidRPr="00D252D3">
        <w:rPr>
          <w:bCs/>
          <w:szCs w:val="22"/>
        </w:rPr>
        <w:t xml:space="preserve">s liekmi obsahujúcimi aliskiren je kontraindikované u pacientov </w:t>
      </w:r>
    </w:p>
    <w:p w:rsidR="0053152B" w:rsidRPr="00D252D3" w:rsidRDefault="0053152B">
      <w:pPr>
        <w:rPr>
          <w:bCs/>
          <w:szCs w:val="22"/>
        </w:rPr>
      </w:pPr>
      <w:r w:rsidRPr="00D252D3">
        <w:rPr>
          <w:bCs/>
          <w:szCs w:val="22"/>
        </w:rPr>
        <w:t>s diabetes mellitus alebo poruchou funkcie obličiek (GFR &lt; 60 ml/min/1,73 m</w:t>
      </w:r>
      <w:r w:rsidRPr="00D252D3">
        <w:rPr>
          <w:bCs/>
          <w:szCs w:val="22"/>
          <w:vertAlign w:val="superscript"/>
        </w:rPr>
        <w:t>2</w:t>
      </w:r>
      <w:r w:rsidRPr="00D252D3">
        <w:rPr>
          <w:bCs/>
          <w:szCs w:val="22"/>
        </w:rPr>
        <w:t>) (pozri časti 4.5 a 5.1).</w:t>
      </w:r>
    </w:p>
    <w:p w:rsidR="0053152B" w:rsidRPr="00D252D3" w:rsidRDefault="0053152B"/>
    <w:p w:rsidR="0053152B" w:rsidRPr="00D252D3" w:rsidRDefault="0053152B" w:rsidP="0051567B">
      <w:pPr>
        <w:keepNext/>
      </w:pPr>
      <w:r w:rsidRPr="00D252D3">
        <w:rPr>
          <w:b/>
        </w:rPr>
        <w:t>4.4</w:t>
      </w:r>
      <w:r w:rsidRPr="00D252D3">
        <w:rPr>
          <w:b/>
        </w:rPr>
        <w:tab/>
        <w:t>Osobitné upozornenia a opatrenia pri používaní</w:t>
      </w:r>
    </w:p>
    <w:p w:rsidR="0053152B" w:rsidRPr="00D252D3" w:rsidRDefault="0053152B" w:rsidP="0051567B">
      <w:pPr>
        <w:keepNext/>
      </w:pPr>
    </w:p>
    <w:p w:rsidR="0053152B" w:rsidRPr="00D252D3" w:rsidRDefault="0053152B" w:rsidP="0051567B">
      <w:pPr>
        <w:keepNext/>
        <w:ind w:left="0" w:firstLine="0"/>
        <w:rPr>
          <w:szCs w:val="22"/>
          <w:u w:val="single"/>
        </w:rPr>
      </w:pPr>
      <w:r w:rsidRPr="00D252D3">
        <w:rPr>
          <w:szCs w:val="22"/>
          <w:u w:val="single"/>
        </w:rPr>
        <w:t>Gravidita</w:t>
      </w:r>
    </w:p>
    <w:p w:rsidR="0053152B" w:rsidRPr="00D252D3" w:rsidRDefault="0053152B" w:rsidP="0051567B">
      <w:pPr>
        <w:keepNext/>
        <w:ind w:left="0" w:firstLine="0"/>
        <w:rPr>
          <w:szCs w:val="22"/>
          <w:u w:val="single"/>
        </w:rPr>
      </w:pPr>
      <w:r w:rsidRPr="00D252D3">
        <w:rPr>
          <w:szCs w:val="22"/>
        </w:rPr>
        <w:t xml:space="preserve"> </w:t>
      </w:r>
    </w:p>
    <w:p w:rsidR="0053152B" w:rsidRPr="00D252D3" w:rsidRDefault="0053152B">
      <w:pPr>
        <w:ind w:left="0" w:firstLine="0"/>
        <w:rPr>
          <w:szCs w:val="22"/>
        </w:rPr>
      </w:pPr>
      <w:r w:rsidRPr="00D252D3">
        <w:rPr>
          <w:szCs w:val="22"/>
        </w:rPr>
        <w:t>Antagonisty receptora angiotenzínu II sa nemajú začať podávať počas gravidity. Pokiaľ nie je pokračovanie liečby antagonistmi receptora angiotenzínu II považované za nevyhnutné, pacientky, ktoré plánujú graviditu sa majú prestaviť na alternatívnu antihypertenznú liečbu, ktorá má preukázaný bezpečnostný profil pri používaní v gravidite. Ak sa gravidita diagnostikuje, liečba antagonistmi receptora angiotenzínu II sa musí okamžite ukončiť a ak je vhodné, má sa začať alternatívna liečba (pozri časti 4.3 a 4.6).</w:t>
      </w:r>
    </w:p>
    <w:p w:rsidR="0053152B" w:rsidRPr="00D252D3" w:rsidRDefault="0053152B"/>
    <w:p w:rsidR="0053152B" w:rsidRPr="00D252D3" w:rsidRDefault="0053152B" w:rsidP="000D7961">
      <w:pPr>
        <w:keepNext/>
        <w:keepLines/>
        <w:ind w:left="0" w:firstLine="0"/>
        <w:rPr>
          <w:snapToGrid w:val="0"/>
          <w:u w:val="single"/>
          <w:lang w:eastAsia="cs-CZ"/>
        </w:rPr>
      </w:pPr>
      <w:r w:rsidRPr="00D252D3">
        <w:rPr>
          <w:snapToGrid w:val="0"/>
          <w:u w:val="single"/>
          <w:lang w:eastAsia="cs-CZ"/>
        </w:rPr>
        <w:t>Po</w:t>
      </w:r>
      <w:r w:rsidR="008D06F2" w:rsidRPr="00D252D3">
        <w:rPr>
          <w:snapToGrid w:val="0"/>
          <w:u w:val="single"/>
          <w:lang w:eastAsia="cs-CZ"/>
        </w:rPr>
        <w:t>rucha</w:t>
      </w:r>
      <w:r w:rsidRPr="00D252D3">
        <w:rPr>
          <w:snapToGrid w:val="0"/>
          <w:u w:val="single"/>
          <w:lang w:eastAsia="cs-CZ"/>
        </w:rPr>
        <w:t xml:space="preserve"> funkcie pečene</w:t>
      </w:r>
    </w:p>
    <w:p w:rsidR="0053152B" w:rsidRPr="00D252D3" w:rsidRDefault="0053152B" w:rsidP="000D7961">
      <w:pPr>
        <w:keepNext/>
        <w:keepLines/>
        <w:ind w:left="0" w:firstLine="0"/>
        <w:rPr>
          <w:snapToGrid w:val="0"/>
          <w:lang w:eastAsia="cs-CZ"/>
        </w:rPr>
      </w:pPr>
    </w:p>
    <w:p w:rsidR="0053152B" w:rsidRPr="00D252D3" w:rsidRDefault="0053152B">
      <w:pPr>
        <w:ind w:left="0" w:firstLine="0"/>
        <w:rPr>
          <w:snapToGrid w:val="0"/>
          <w:lang w:eastAsia="cs-CZ"/>
        </w:rPr>
      </w:pPr>
      <w:r w:rsidRPr="00D252D3">
        <w:rPr>
          <w:snapToGrid w:val="0"/>
          <w:lang w:eastAsia="cs-CZ"/>
        </w:rPr>
        <w:t>MicardisPlus sa nemá podávať pacientom s cholestázou, obštrukčnými žlčovými poruchami alebo ťažkou pečeňovou nedostatočnosťou (pozri časť 4.3), pretože telmisartan sa prevažne vylučuje žlčou. U týchto pacientov sa predpokladá znížený hepatálny klírens telmisartanu.</w:t>
      </w:r>
    </w:p>
    <w:p w:rsidR="0053152B" w:rsidRPr="00D252D3" w:rsidRDefault="0053152B">
      <w:pPr>
        <w:ind w:left="0" w:firstLine="0"/>
        <w:rPr>
          <w:snapToGrid w:val="0"/>
          <w:lang w:eastAsia="cs-CZ"/>
        </w:rPr>
      </w:pPr>
    </w:p>
    <w:p w:rsidR="0053152B" w:rsidRPr="00D252D3" w:rsidRDefault="0053152B">
      <w:pPr>
        <w:ind w:left="0" w:firstLine="0"/>
        <w:rPr>
          <w:snapToGrid w:val="0"/>
          <w:lang w:eastAsia="cs-CZ"/>
        </w:rPr>
      </w:pPr>
      <w:r w:rsidRPr="00D252D3">
        <w:rPr>
          <w:snapToGrid w:val="0"/>
          <w:lang w:eastAsia="cs-CZ"/>
        </w:rPr>
        <w:t>Okrem toho sa má MicardisPlus používať opatrne u pacientov s po</w:t>
      </w:r>
      <w:r w:rsidR="008D06F2" w:rsidRPr="00D252D3">
        <w:rPr>
          <w:snapToGrid w:val="0"/>
          <w:lang w:eastAsia="cs-CZ"/>
        </w:rPr>
        <w:t>ruchou</w:t>
      </w:r>
      <w:r w:rsidRPr="00D252D3">
        <w:rPr>
          <w:snapToGrid w:val="0"/>
          <w:lang w:eastAsia="cs-CZ"/>
        </w:rPr>
        <w:t xml:space="preserve"> funkcie pečene alebo progresívnym pečeňovým ochorením, pretože menšie zmeny rovnováhy tekutín a elektrolytov môžu vyvolať hepatálnu kómu. U pacientov s po</w:t>
      </w:r>
      <w:r w:rsidR="008D06F2" w:rsidRPr="00D252D3">
        <w:rPr>
          <w:snapToGrid w:val="0"/>
          <w:lang w:eastAsia="cs-CZ"/>
        </w:rPr>
        <w:t>ruchou</w:t>
      </w:r>
      <w:r w:rsidRPr="00D252D3">
        <w:rPr>
          <w:snapToGrid w:val="0"/>
          <w:lang w:eastAsia="cs-CZ"/>
        </w:rPr>
        <w:t xml:space="preserve"> funkcie pečene nie sú žiadne klinické skúsenosti s MicardisPlusom.</w:t>
      </w:r>
    </w:p>
    <w:p w:rsidR="0053152B" w:rsidRPr="00D252D3" w:rsidRDefault="0053152B">
      <w:pPr>
        <w:ind w:left="0" w:firstLine="0"/>
        <w:rPr>
          <w:snapToGrid w:val="0"/>
          <w:lang w:eastAsia="cs-CZ"/>
        </w:rPr>
      </w:pPr>
    </w:p>
    <w:p w:rsidR="0053152B" w:rsidRPr="00D252D3" w:rsidRDefault="0053152B">
      <w:pPr>
        <w:ind w:left="0" w:firstLine="0"/>
        <w:rPr>
          <w:snapToGrid w:val="0"/>
          <w:u w:val="single"/>
          <w:lang w:eastAsia="cs-CZ"/>
        </w:rPr>
      </w:pPr>
      <w:r w:rsidRPr="00D252D3">
        <w:rPr>
          <w:snapToGrid w:val="0"/>
          <w:u w:val="single"/>
          <w:lang w:eastAsia="cs-CZ"/>
        </w:rPr>
        <w:t>Renovaskulárna hypertenzia</w:t>
      </w:r>
    </w:p>
    <w:p w:rsidR="0053152B" w:rsidRPr="00D252D3" w:rsidRDefault="0053152B">
      <w:pPr>
        <w:ind w:left="0" w:firstLine="0"/>
        <w:rPr>
          <w:snapToGrid w:val="0"/>
          <w:lang w:eastAsia="cs-CZ"/>
        </w:rPr>
      </w:pPr>
      <w:r w:rsidRPr="00D252D3">
        <w:rPr>
          <w:snapToGrid w:val="0"/>
          <w:lang w:eastAsia="cs-CZ"/>
        </w:rPr>
        <w:t xml:space="preserve"> </w:t>
      </w:r>
    </w:p>
    <w:p w:rsidR="0053152B" w:rsidRPr="00D252D3" w:rsidRDefault="0053152B">
      <w:pPr>
        <w:ind w:left="0" w:firstLine="0"/>
        <w:rPr>
          <w:snapToGrid w:val="0"/>
          <w:lang w:eastAsia="cs-CZ"/>
        </w:rPr>
      </w:pPr>
      <w:r w:rsidRPr="00D252D3">
        <w:rPr>
          <w:snapToGrid w:val="0"/>
          <w:lang w:eastAsia="cs-CZ"/>
        </w:rPr>
        <w:t>U pacientov s bilaterálnou stenózou artérie renalis alebo stenózou artérie jednej funkčnej obličky, ktorí sa liečia liekmi</w:t>
      </w:r>
      <w:r w:rsidRPr="00D252D3">
        <w:rPr>
          <w:szCs w:val="22"/>
        </w:rPr>
        <w:t>, ktoré</w:t>
      </w:r>
      <w:r w:rsidRPr="00D252D3">
        <w:rPr>
          <w:snapToGrid w:val="0"/>
          <w:lang w:eastAsia="cs-CZ"/>
        </w:rPr>
        <w:t xml:space="preserve"> pôsobia na </w:t>
      </w:r>
      <w:r w:rsidR="00487158" w:rsidRPr="00D252D3">
        <w:rPr>
          <w:snapToGrid w:val="0"/>
          <w:lang w:eastAsia="cs-CZ"/>
        </w:rPr>
        <w:t xml:space="preserve">systém </w:t>
      </w:r>
      <w:r w:rsidRPr="00D252D3">
        <w:rPr>
          <w:snapToGrid w:val="0"/>
          <w:lang w:eastAsia="cs-CZ"/>
        </w:rPr>
        <w:t>renín-angiotenzín-aldosterón, je zvýšené riziko závažnej hypotenzie a renálnej insuficiencie.</w:t>
      </w:r>
    </w:p>
    <w:p w:rsidR="0053152B" w:rsidRPr="00D252D3" w:rsidRDefault="0053152B">
      <w:pPr>
        <w:ind w:left="0" w:firstLine="0"/>
        <w:rPr>
          <w:snapToGrid w:val="0"/>
          <w:lang w:eastAsia="cs-CZ"/>
        </w:rPr>
      </w:pPr>
    </w:p>
    <w:p w:rsidR="0053152B" w:rsidRPr="00D252D3" w:rsidRDefault="0053152B">
      <w:pPr>
        <w:ind w:left="0" w:firstLine="0"/>
        <w:rPr>
          <w:snapToGrid w:val="0"/>
          <w:u w:val="single"/>
          <w:lang w:eastAsia="cs-CZ"/>
        </w:rPr>
      </w:pPr>
      <w:r w:rsidRPr="00D252D3">
        <w:rPr>
          <w:snapToGrid w:val="0"/>
          <w:u w:val="single"/>
          <w:lang w:eastAsia="cs-CZ"/>
        </w:rPr>
        <w:t>Po</w:t>
      </w:r>
      <w:r w:rsidR="008D06F2" w:rsidRPr="00D252D3">
        <w:rPr>
          <w:snapToGrid w:val="0"/>
          <w:u w:val="single"/>
          <w:lang w:eastAsia="cs-CZ"/>
        </w:rPr>
        <w:t>rucha</w:t>
      </w:r>
      <w:r w:rsidRPr="00D252D3">
        <w:rPr>
          <w:snapToGrid w:val="0"/>
          <w:u w:val="single"/>
          <w:lang w:eastAsia="cs-CZ"/>
        </w:rPr>
        <w:t xml:space="preserve"> funkcie obličiek a transplantovaná oblička</w:t>
      </w:r>
    </w:p>
    <w:p w:rsidR="0053152B" w:rsidRPr="00D252D3" w:rsidRDefault="0053152B">
      <w:pPr>
        <w:ind w:left="0" w:firstLine="0"/>
        <w:rPr>
          <w:snapToGrid w:val="0"/>
          <w:u w:val="single"/>
          <w:lang w:eastAsia="cs-CZ"/>
        </w:rPr>
      </w:pPr>
    </w:p>
    <w:p w:rsidR="0053152B" w:rsidRPr="00D252D3" w:rsidRDefault="0053152B">
      <w:pPr>
        <w:ind w:left="0" w:firstLine="0"/>
        <w:rPr>
          <w:snapToGrid w:val="0"/>
          <w:lang w:eastAsia="cs-CZ"/>
        </w:rPr>
      </w:pPr>
      <w:r w:rsidRPr="00D252D3">
        <w:rPr>
          <w:snapToGrid w:val="0"/>
          <w:lang w:eastAsia="cs-CZ"/>
        </w:rPr>
        <w:t>MicardisPlus sa nesmie používať u pacientov s ťažk</w:t>
      </w:r>
      <w:r w:rsidR="008D06F2" w:rsidRPr="00D252D3">
        <w:rPr>
          <w:snapToGrid w:val="0"/>
          <w:lang w:eastAsia="cs-CZ"/>
        </w:rPr>
        <w:t>u</w:t>
      </w:r>
      <w:r w:rsidRPr="00D252D3">
        <w:rPr>
          <w:snapToGrid w:val="0"/>
          <w:lang w:eastAsia="cs-CZ"/>
        </w:rPr>
        <w:t xml:space="preserve"> po</w:t>
      </w:r>
      <w:r w:rsidR="008D06F2" w:rsidRPr="00D252D3">
        <w:rPr>
          <w:snapToGrid w:val="0"/>
          <w:lang w:eastAsia="cs-CZ"/>
        </w:rPr>
        <w:t>ruchou</w:t>
      </w:r>
      <w:r w:rsidRPr="00D252D3">
        <w:rPr>
          <w:snapToGrid w:val="0"/>
          <w:lang w:eastAsia="cs-CZ"/>
        </w:rPr>
        <w:t xml:space="preserve"> funkcie obličiek (klírens kreatinínu &lt;30 ml/min) (pozri časť 4.3). Nie sú žiadne skúsenosti s podávaním MicardisPlusu pacientom s nedávnou transplantáciou obličky. Skúsenosti s MicardisPlusom sú u pacientov s miern</w:t>
      </w:r>
      <w:r w:rsidR="008D06F2" w:rsidRPr="00D252D3">
        <w:rPr>
          <w:snapToGrid w:val="0"/>
          <w:lang w:eastAsia="cs-CZ"/>
        </w:rPr>
        <w:t>ou</w:t>
      </w:r>
      <w:r w:rsidRPr="00D252D3">
        <w:rPr>
          <w:snapToGrid w:val="0"/>
          <w:lang w:eastAsia="cs-CZ"/>
        </w:rPr>
        <w:t xml:space="preserve"> až stredne ťažk</w:t>
      </w:r>
      <w:r w:rsidR="008D06F2" w:rsidRPr="00D252D3">
        <w:rPr>
          <w:snapToGrid w:val="0"/>
          <w:lang w:eastAsia="cs-CZ"/>
        </w:rPr>
        <w:t>ou</w:t>
      </w:r>
      <w:r w:rsidRPr="00D252D3">
        <w:rPr>
          <w:snapToGrid w:val="0"/>
          <w:lang w:eastAsia="cs-CZ"/>
        </w:rPr>
        <w:t xml:space="preserve"> po</w:t>
      </w:r>
      <w:r w:rsidR="008D06F2" w:rsidRPr="00D252D3">
        <w:rPr>
          <w:snapToGrid w:val="0"/>
          <w:lang w:eastAsia="cs-CZ"/>
        </w:rPr>
        <w:t>ruchou</w:t>
      </w:r>
      <w:r w:rsidRPr="00D252D3">
        <w:rPr>
          <w:snapToGrid w:val="0"/>
          <w:lang w:eastAsia="cs-CZ"/>
        </w:rPr>
        <w:t xml:space="preserve"> funkcie obličiek malé, preto sa odporúča pravidelné sledovanie sérových hladín draslíka, kreatinínu a kyseliny močovej. U pacientov s po</w:t>
      </w:r>
      <w:r w:rsidR="008D06F2" w:rsidRPr="00D252D3">
        <w:rPr>
          <w:snapToGrid w:val="0"/>
          <w:lang w:eastAsia="cs-CZ"/>
        </w:rPr>
        <w:t>ruchou</w:t>
      </w:r>
      <w:r w:rsidRPr="00D252D3">
        <w:rPr>
          <w:snapToGrid w:val="0"/>
          <w:lang w:eastAsia="cs-CZ"/>
        </w:rPr>
        <w:t xml:space="preserve"> funkci</w:t>
      </w:r>
      <w:r w:rsidR="008D06F2" w:rsidRPr="00D252D3">
        <w:rPr>
          <w:snapToGrid w:val="0"/>
          <w:lang w:eastAsia="cs-CZ"/>
        </w:rPr>
        <w:t>e</w:t>
      </w:r>
      <w:r w:rsidRPr="00D252D3">
        <w:rPr>
          <w:snapToGrid w:val="0"/>
          <w:lang w:eastAsia="cs-CZ"/>
        </w:rPr>
        <w:t xml:space="preserve"> obličiek sa môže objaviť azotémia súvisiaca s tiazidovými diuretikami.</w:t>
      </w:r>
    </w:p>
    <w:p w:rsidR="0053152B" w:rsidRPr="00D252D3" w:rsidRDefault="0053152B">
      <w:pPr>
        <w:ind w:left="0" w:firstLine="0"/>
        <w:rPr>
          <w:snapToGrid w:val="0"/>
          <w:lang w:eastAsia="cs-CZ"/>
        </w:rPr>
      </w:pPr>
    </w:p>
    <w:p w:rsidR="0053152B" w:rsidRPr="00D252D3" w:rsidRDefault="0053152B">
      <w:pPr>
        <w:ind w:left="0" w:firstLine="0"/>
        <w:rPr>
          <w:snapToGrid w:val="0"/>
          <w:lang w:eastAsia="cs-CZ"/>
        </w:rPr>
      </w:pPr>
      <w:r w:rsidRPr="00D252D3">
        <w:rPr>
          <w:snapToGrid w:val="0"/>
          <w:u w:val="single"/>
          <w:lang w:eastAsia="cs-CZ"/>
        </w:rPr>
        <w:t>Intravaskulárna hypovolémia</w:t>
      </w:r>
      <w:r w:rsidRPr="00D252D3">
        <w:rPr>
          <w:snapToGrid w:val="0"/>
          <w:lang w:eastAsia="cs-CZ"/>
        </w:rPr>
        <w:t xml:space="preserve"> </w:t>
      </w:r>
    </w:p>
    <w:p w:rsidR="0053152B" w:rsidRPr="00D252D3" w:rsidRDefault="0053152B">
      <w:pPr>
        <w:ind w:left="0" w:firstLine="0"/>
        <w:rPr>
          <w:snapToGrid w:val="0"/>
          <w:lang w:eastAsia="cs-CZ"/>
        </w:rPr>
      </w:pPr>
    </w:p>
    <w:p w:rsidR="0053152B" w:rsidRPr="00D252D3" w:rsidRDefault="0053152B">
      <w:pPr>
        <w:ind w:left="0" w:firstLine="0"/>
        <w:rPr>
          <w:snapToGrid w:val="0"/>
          <w:lang w:eastAsia="cs-CZ"/>
        </w:rPr>
      </w:pPr>
      <w:r w:rsidRPr="00D252D3">
        <w:rPr>
          <w:snapToGrid w:val="0"/>
          <w:lang w:eastAsia="cs-CZ"/>
        </w:rPr>
        <w:t xml:space="preserve">U pacientov s depléciou objemu a/alebo sodíka následkom silnej diuretickej liečby, diétnym obmedzením soli, hnačkou alebo vracaním, sa najmä po prvej dávke môže vyskytnúť symptomatická hypotenzia. Takéto stavy sa pred podávaním MicardisPlusu majú upraviť. </w:t>
      </w:r>
    </w:p>
    <w:p w:rsidR="0053152B" w:rsidRPr="00D252D3" w:rsidRDefault="0053152B">
      <w:pPr>
        <w:ind w:left="0" w:firstLine="0"/>
        <w:rPr>
          <w:snapToGrid w:val="0"/>
          <w:lang w:eastAsia="cs-CZ"/>
        </w:rPr>
      </w:pPr>
    </w:p>
    <w:p w:rsidR="0053152B" w:rsidRPr="00D252D3" w:rsidRDefault="0053152B">
      <w:pPr>
        <w:ind w:left="0" w:firstLine="0"/>
        <w:rPr>
          <w:szCs w:val="22"/>
          <w:u w:val="single"/>
          <w:lang w:eastAsia="it-IT"/>
        </w:rPr>
      </w:pPr>
      <w:r w:rsidRPr="00D252D3">
        <w:rPr>
          <w:szCs w:val="22"/>
          <w:u w:val="single"/>
          <w:lang w:eastAsia="it-IT"/>
        </w:rPr>
        <w:t>Duálna inhibícia systému renín-angiotenzín-aldosterón (RAAS)</w:t>
      </w:r>
    </w:p>
    <w:p w:rsidR="0053152B" w:rsidRPr="00D252D3" w:rsidRDefault="0053152B">
      <w:pPr>
        <w:ind w:left="0" w:firstLine="0"/>
        <w:rPr>
          <w:szCs w:val="22"/>
          <w:lang w:eastAsia="it-IT"/>
        </w:rPr>
      </w:pPr>
    </w:p>
    <w:p w:rsidR="0053152B" w:rsidRPr="00D252D3" w:rsidRDefault="0053152B">
      <w:pPr>
        <w:ind w:left="0" w:firstLine="0"/>
        <w:rPr>
          <w:szCs w:val="22"/>
          <w:lang w:eastAsia="it-IT"/>
        </w:rPr>
      </w:pPr>
      <w:r w:rsidRPr="00D252D3">
        <w:rPr>
          <w:szCs w:val="22"/>
          <w:lang w:eastAsia="it-IT"/>
        </w:rPr>
        <w:t>Preukázalo sa, že súbežné použitie inhibítorov ACE, blokátorov receptorov angiotenzínu II alebo aliskirenu zvyšuje riziko hypotenzie, hyperkaliémie a zníženia funkcie obličiek (vrátane akútneho zlyhania obličiek). Duálna inhibícia RAAS kombinovaným použitím inhibítorov ACE, blokátorov receptorov angiotenzínu II alebo aliskirenu sa preto neodporúča (pozri časti 4.5 a 5.1).</w:t>
      </w:r>
    </w:p>
    <w:p w:rsidR="0053152B" w:rsidRPr="00D252D3" w:rsidRDefault="0053152B">
      <w:pPr>
        <w:ind w:left="0" w:firstLine="0"/>
        <w:rPr>
          <w:szCs w:val="22"/>
          <w:lang w:eastAsia="it-IT"/>
        </w:rPr>
      </w:pPr>
      <w:r w:rsidRPr="00D252D3">
        <w:rPr>
          <w:szCs w:val="22"/>
          <w:lang w:eastAsia="it-IT"/>
        </w:rPr>
        <w:t>Ak sa liečba duálnou inhibíciou považuje za absolútne nevyhnutnú, má sa podať iba pod dohľadom odborníka a u pacienta sa majú často a dôsledne kontrolovať funkcia obličiek, elektrolyty a krvný tlak.</w:t>
      </w:r>
    </w:p>
    <w:p w:rsidR="0053152B" w:rsidRPr="00D252D3" w:rsidRDefault="0053152B">
      <w:pPr>
        <w:ind w:left="0" w:firstLine="0"/>
        <w:rPr>
          <w:szCs w:val="22"/>
        </w:rPr>
      </w:pPr>
      <w:r w:rsidRPr="00D252D3">
        <w:rPr>
          <w:szCs w:val="22"/>
        </w:rPr>
        <w:t>Inhibítory ACE a blokátory receptorov angiotenzínu II sa nemajú súbežne používať u pacientov s diabetickou nefropatiou.</w:t>
      </w:r>
    </w:p>
    <w:p w:rsidR="0053152B" w:rsidRPr="00D252D3" w:rsidRDefault="0053152B">
      <w:pPr>
        <w:ind w:left="0" w:firstLine="0"/>
        <w:rPr>
          <w:snapToGrid w:val="0"/>
          <w:lang w:eastAsia="cs-CZ"/>
        </w:rPr>
      </w:pPr>
    </w:p>
    <w:p w:rsidR="0053152B" w:rsidRPr="00D252D3" w:rsidRDefault="0053152B">
      <w:pPr>
        <w:ind w:left="0" w:firstLine="0"/>
        <w:rPr>
          <w:snapToGrid w:val="0"/>
          <w:u w:val="single"/>
          <w:lang w:eastAsia="cs-CZ"/>
        </w:rPr>
      </w:pPr>
      <w:r w:rsidRPr="00D252D3">
        <w:rPr>
          <w:snapToGrid w:val="0"/>
          <w:u w:val="single"/>
          <w:lang w:eastAsia="cs-CZ"/>
        </w:rPr>
        <w:t xml:space="preserve">Ostatné stavy so stimuláciou </w:t>
      </w:r>
      <w:r w:rsidR="00487158" w:rsidRPr="00D252D3">
        <w:rPr>
          <w:snapToGrid w:val="0"/>
          <w:u w:val="single"/>
          <w:lang w:eastAsia="cs-CZ"/>
        </w:rPr>
        <w:t xml:space="preserve">systému </w:t>
      </w:r>
      <w:r w:rsidRPr="00D252D3">
        <w:rPr>
          <w:snapToGrid w:val="0"/>
          <w:u w:val="single"/>
          <w:lang w:eastAsia="cs-CZ"/>
        </w:rPr>
        <w:t>renín-angiotenzín-aldosterón</w:t>
      </w:r>
    </w:p>
    <w:p w:rsidR="0053152B" w:rsidRPr="00D252D3" w:rsidRDefault="0053152B">
      <w:pPr>
        <w:ind w:left="0" w:firstLine="0"/>
        <w:rPr>
          <w:snapToGrid w:val="0"/>
          <w:lang w:eastAsia="cs-CZ"/>
        </w:rPr>
      </w:pPr>
    </w:p>
    <w:p w:rsidR="0053152B" w:rsidRPr="00D252D3" w:rsidRDefault="0053152B">
      <w:pPr>
        <w:ind w:left="0" w:firstLine="0"/>
      </w:pPr>
      <w:r w:rsidRPr="00D252D3">
        <w:rPr>
          <w:snapToGrid w:val="0"/>
          <w:lang w:eastAsia="cs-CZ"/>
        </w:rPr>
        <w:t xml:space="preserve">U pacientov, ktorých vaskulárny tonus a funkcia obličiek závisí predovšetkým od aktivity </w:t>
      </w:r>
      <w:r w:rsidR="00487158" w:rsidRPr="00D252D3">
        <w:rPr>
          <w:snapToGrid w:val="0"/>
          <w:lang w:eastAsia="cs-CZ"/>
        </w:rPr>
        <w:t xml:space="preserve">systému </w:t>
      </w:r>
      <w:r w:rsidRPr="00D252D3">
        <w:rPr>
          <w:snapToGrid w:val="0"/>
          <w:lang w:eastAsia="cs-CZ"/>
        </w:rPr>
        <w:t>renín-angiotenzín-aldosterón (napr. pacienti s ťažkým kongestívnym srdcovým zlyhaním alebo základným ochorením obličiek vrátane stenózy renálnej artérie), s</w:t>
      </w:r>
      <w:r w:rsidRPr="00D252D3">
        <w:rPr>
          <w:szCs w:val="22"/>
        </w:rPr>
        <w:t>a pri liečbe liekmi, ktoré ovplyvňujú tento systém, spájala s akútnou hypotenziou, hyperazotémiou, oligúriou alebo zriedkavo s akútnym zlyhaním obličky (pozri časť 4.8).</w:t>
      </w:r>
    </w:p>
    <w:p w:rsidR="0053152B" w:rsidRPr="00D252D3" w:rsidRDefault="0053152B">
      <w:pPr>
        <w:ind w:left="0" w:firstLine="0"/>
      </w:pPr>
    </w:p>
    <w:p w:rsidR="0053152B" w:rsidRPr="00D252D3" w:rsidRDefault="0053152B" w:rsidP="0051567B">
      <w:pPr>
        <w:keepNext/>
        <w:ind w:left="0" w:firstLine="0"/>
        <w:rPr>
          <w:snapToGrid w:val="0"/>
          <w:lang w:eastAsia="cs-CZ"/>
        </w:rPr>
      </w:pPr>
      <w:r w:rsidRPr="00D252D3">
        <w:rPr>
          <w:snapToGrid w:val="0"/>
          <w:u w:val="single"/>
          <w:lang w:eastAsia="cs-CZ"/>
        </w:rPr>
        <w:t>Primárny aldosteronizmus</w:t>
      </w:r>
    </w:p>
    <w:p w:rsidR="0053152B" w:rsidRPr="00D252D3" w:rsidRDefault="0053152B" w:rsidP="0051567B">
      <w:pPr>
        <w:keepNext/>
        <w:ind w:left="0" w:firstLine="0"/>
        <w:rPr>
          <w:snapToGrid w:val="0"/>
          <w:lang w:eastAsia="cs-CZ"/>
        </w:rPr>
      </w:pPr>
    </w:p>
    <w:p w:rsidR="0053152B" w:rsidRPr="00D252D3" w:rsidRDefault="0053152B">
      <w:pPr>
        <w:ind w:left="0" w:firstLine="0"/>
        <w:rPr>
          <w:snapToGrid w:val="0"/>
          <w:lang w:eastAsia="cs-CZ"/>
        </w:rPr>
      </w:pPr>
      <w:r w:rsidRPr="00D252D3">
        <w:rPr>
          <w:snapToGrid w:val="0"/>
          <w:lang w:eastAsia="cs-CZ"/>
        </w:rPr>
        <w:t xml:space="preserve">Pacienti s primárnym aldosteronizmom spravidla nereagujú na antihypertenzíva </w:t>
      </w:r>
      <w:r w:rsidRPr="00D252D3">
        <w:rPr>
          <w:szCs w:val="22"/>
        </w:rPr>
        <w:t xml:space="preserve">pôsobiace prostredníctvom inhibície </w:t>
      </w:r>
      <w:r w:rsidRPr="00D252D3">
        <w:rPr>
          <w:snapToGrid w:val="0"/>
          <w:lang w:eastAsia="cs-CZ"/>
        </w:rPr>
        <w:t>renín-angiotenzínového systému.</w:t>
      </w:r>
      <w:r w:rsidRPr="00D252D3">
        <w:rPr>
          <w:szCs w:val="22"/>
        </w:rPr>
        <w:t xml:space="preserve"> Použitie</w:t>
      </w:r>
      <w:r w:rsidRPr="00D252D3">
        <w:rPr>
          <w:snapToGrid w:val="0"/>
          <w:lang w:eastAsia="cs-CZ"/>
        </w:rPr>
        <w:t xml:space="preserve"> MicardisPlusu sa preto neodporúča.</w:t>
      </w:r>
    </w:p>
    <w:p w:rsidR="0053152B" w:rsidRPr="00D252D3" w:rsidRDefault="0053152B">
      <w:pPr>
        <w:ind w:left="0" w:firstLine="0"/>
        <w:rPr>
          <w:snapToGrid w:val="0"/>
          <w:lang w:eastAsia="cs-CZ"/>
        </w:rPr>
      </w:pPr>
    </w:p>
    <w:p w:rsidR="0053152B" w:rsidRPr="00D252D3" w:rsidRDefault="0053152B" w:rsidP="0051567B">
      <w:pPr>
        <w:keepNext/>
        <w:ind w:left="0" w:firstLine="0"/>
        <w:rPr>
          <w:snapToGrid w:val="0"/>
          <w:lang w:eastAsia="cs-CZ"/>
        </w:rPr>
      </w:pPr>
      <w:r w:rsidRPr="00D252D3">
        <w:rPr>
          <w:snapToGrid w:val="0"/>
          <w:u w:val="single"/>
          <w:lang w:eastAsia="cs-CZ"/>
        </w:rPr>
        <w:t>Stenóza aorty a mitrálnej srdcovej chlopne, obštrukčná hypertrofická kardiomyopatia</w:t>
      </w:r>
    </w:p>
    <w:p w:rsidR="0053152B" w:rsidRPr="00D252D3" w:rsidRDefault="0053152B" w:rsidP="0051567B">
      <w:pPr>
        <w:keepNext/>
        <w:ind w:left="0" w:firstLine="0"/>
        <w:rPr>
          <w:snapToGrid w:val="0"/>
          <w:lang w:eastAsia="cs-CZ"/>
        </w:rPr>
      </w:pPr>
    </w:p>
    <w:p w:rsidR="0053152B" w:rsidRPr="00D252D3" w:rsidRDefault="0053152B">
      <w:pPr>
        <w:ind w:left="0" w:firstLine="0"/>
        <w:rPr>
          <w:snapToGrid w:val="0"/>
          <w:lang w:eastAsia="cs-CZ"/>
        </w:rPr>
      </w:pPr>
      <w:r w:rsidRPr="00D252D3">
        <w:rPr>
          <w:snapToGrid w:val="0"/>
          <w:lang w:eastAsia="cs-CZ"/>
        </w:rPr>
        <w:t>Tak ako pri iných vazodilatanciách, osobitná pozornosť je potrebná u pacientov trpiacich na aortálnu alebo mitrálnu stenózu alebo obštrukčnú hypertrofickú kardiomyopatiu.</w:t>
      </w:r>
    </w:p>
    <w:p w:rsidR="0053152B" w:rsidRPr="00D252D3" w:rsidRDefault="0053152B">
      <w:pPr>
        <w:ind w:left="0" w:firstLine="0"/>
        <w:rPr>
          <w:snapToGrid w:val="0"/>
          <w:lang w:eastAsia="cs-CZ"/>
        </w:rPr>
      </w:pPr>
    </w:p>
    <w:p w:rsidR="0053152B" w:rsidRPr="00D252D3" w:rsidRDefault="0053152B">
      <w:pPr>
        <w:keepNext/>
        <w:keepLines/>
        <w:ind w:left="0" w:firstLine="0"/>
        <w:rPr>
          <w:snapToGrid w:val="0"/>
          <w:lang w:eastAsia="cs-CZ"/>
        </w:rPr>
      </w:pPr>
      <w:r w:rsidRPr="00D252D3">
        <w:rPr>
          <w:snapToGrid w:val="0"/>
          <w:u w:val="single"/>
          <w:lang w:eastAsia="cs-CZ"/>
        </w:rPr>
        <w:t>Metabolické a endokrinné účinky</w:t>
      </w:r>
      <w:r w:rsidRPr="00D252D3">
        <w:rPr>
          <w:snapToGrid w:val="0"/>
          <w:lang w:eastAsia="cs-CZ"/>
        </w:rPr>
        <w:t xml:space="preserve"> </w:t>
      </w:r>
    </w:p>
    <w:p w:rsidR="0053152B" w:rsidRPr="00D252D3" w:rsidRDefault="0053152B">
      <w:pPr>
        <w:keepNext/>
        <w:keepLines/>
        <w:ind w:left="0" w:firstLine="0"/>
        <w:rPr>
          <w:snapToGrid w:val="0"/>
          <w:lang w:eastAsia="cs-CZ"/>
        </w:rPr>
      </w:pPr>
    </w:p>
    <w:p w:rsidR="0053152B" w:rsidRPr="00D252D3" w:rsidRDefault="0053152B">
      <w:pPr>
        <w:ind w:left="0" w:firstLine="0"/>
        <w:rPr>
          <w:snapToGrid w:val="0"/>
          <w:lang w:eastAsia="cs-CZ"/>
        </w:rPr>
      </w:pPr>
      <w:r w:rsidRPr="00D252D3">
        <w:rPr>
          <w:snapToGrid w:val="0"/>
          <w:lang w:eastAsia="cs-CZ"/>
        </w:rPr>
        <w:t>Liečba tiazidmi môže znížiť znášanlivosť glukózy, pričom sa u diabetických pacientov na inzulíne alebo antidiabetickej liečbe a liečbe telmisartanom môže objaviť hypoglykémia. Preto treba u týchto pacientov zvážiť sledovanie glukózy v krvi; môže byť potrebná úprava dávky inzulínu alebo antidiabetík, ak sú indikované. Počas terapie tiazidmi sa môže prejaviť latentný diabetes mellitus.</w:t>
      </w:r>
    </w:p>
    <w:p w:rsidR="0053152B" w:rsidRPr="00D252D3" w:rsidRDefault="0053152B">
      <w:pPr>
        <w:ind w:left="0" w:firstLine="0"/>
        <w:rPr>
          <w:snapToGrid w:val="0"/>
          <w:lang w:eastAsia="cs-CZ"/>
        </w:rPr>
      </w:pPr>
    </w:p>
    <w:p w:rsidR="0053152B" w:rsidRPr="00D252D3" w:rsidRDefault="0053152B">
      <w:pPr>
        <w:ind w:left="0" w:firstLine="0"/>
        <w:rPr>
          <w:snapToGrid w:val="0"/>
          <w:lang w:eastAsia="cs-CZ"/>
        </w:rPr>
      </w:pPr>
      <w:r w:rsidRPr="00D252D3">
        <w:rPr>
          <w:snapToGrid w:val="0"/>
          <w:lang w:eastAsia="cs-CZ"/>
        </w:rPr>
        <w:t>Zvýšenie hladín cholesterolu a triglyceridov sa spájalo s terapiou tiazidovými diuretikami; avšak pri dávke 12,5 mg obsiahnutej v MicardisPluse sa nehlásili žiadne alebo len minimálne účinky. U niektorých pacientov liečených tiazidmi sa môže objaviť hyperurikémia alebo vyvolať dna.</w:t>
      </w:r>
    </w:p>
    <w:p w:rsidR="0053152B" w:rsidRPr="00D252D3" w:rsidRDefault="0053152B">
      <w:pPr>
        <w:ind w:left="0" w:firstLine="0"/>
        <w:rPr>
          <w:snapToGrid w:val="0"/>
          <w:lang w:eastAsia="cs-CZ"/>
        </w:rPr>
      </w:pPr>
    </w:p>
    <w:p w:rsidR="0053152B" w:rsidRPr="00D252D3" w:rsidRDefault="0053152B">
      <w:pPr>
        <w:ind w:left="0" w:firstLine="0"/>
        <w:rPr>
          <w:snapToGrid w:val="0"/>
          <w:lang w:eastAsia="cs-CZ"/>
        </w:rPr>
      </w:pPr>
      <w:r w:rsidRPr="00D252D3">
        <w:rPr>
          <w:snapToGrid w:val="0"/>
          <w:u w:val="single"/>
          <w:lang w:eastAsia="cs-CZ"/>
        </w:rPr>
        <w:t>Elektrolytová nerovnováha</w:t>
      </w:r>
      <w:r w:rsidRPr="00D252D3">
        <w:rPr>
          <w:snapToGrid w:val="0"/>
          <w:lang w:eastAsia="cs-CZ"/>
        </w:rPr>
        <w:t xml:space="preserve"> </w:t>
      </w:r>
    </w:p>
    <w:p w:rsidR="0053152B" w:rsidRPr="00D252D3" w:rsidRDefault="0053152B">
      <w:pPr>
        <w:ind w:left="0" w:firstLine="0"/>
        <w:rPr>
          <w:snapToGrid w:val="0"/>
          <w:lang w:eastAsia="cs-CZ"/>
        </w:rPr>
      </w:pPr>
    </w:p>
    <w:p w:rsidR="0053152B" w:rsidRPr="00D252D3" w:rsidRDefault="0053152B">
      <w:pPr>
        <w:ind w:left="0" w:firstLine="0"/>
        <w:rPr>
          <w:snapToGrid w:val="0"/>
          <w:lang w:eastAsia="cs-CZ"/>
        </w:rPr>
      </w:pPr>
      <w:r w:rsidRPr="00D252D3">
        <w:rPr>
          <w:snapToGrid w:val="0"/>
          <w:lang w:eastAsia="cs-CZ"/>
        </w:rPr>
        <w:t>Tak ako u iných pacientov liečených diuretikami, má sa vo vhodných intervaloch uskutočniť pravidelné stanovenie sérových elektrolytov.</w:t>
      </w:r>
    </w:p>
    <w:p w:rsidR="0053152B" w:rsidRPr="00D252D3" w:rsidRDefault="0053152B">
      <w:pPr>
        <w:ind w:left="0" w:firstLine="0"/>
        <w:rPr>
          <w:snapToGrid w:val="0"/>
          <w:lang w:eastAsia="cs-CZ"/>
        </w:rPr>
      </w:pPr>
      <w:r w:rsidRPr="00D252D3">
        <w:rPr>
          <w:snapToGrid w:val="0"/>
          <w:lang w:eastAsia="cs-CZ"/>
        </w:rPr>
        <w:t>Tiazidy vrátane hydrochlorotiazidu môžu zapríčiniť nerovnováhu tekutín alebo elektrolytov (vrátane hypokaliémie, hyponatrémie a hypochloremickej alkalózy). Varovnými signálmi tejto nerovnováhy sú sucho v ústach, smäd, asténia, apatia, ospanlivosť, únava, bolesti svalov alebo kŕče, svalová únava, hypotenzia, oligúria, tachykardia a gastrointestinálne poruchy ako je nauzea alebo vracanie (pozri tiež časť 4.8).</w:t>
      </w:r>
    </w:p>
    <w:p w:rsidR="0053152B" w:rsidRPr="00D252D3" w:rsidRDefault="0053152B">
      <w:pPr>
        <w:ind w:left="0" w:firstLine="0"/>
        <w:rPr>
          <w:snapToGrid w:val="0"/>
          <w:lang w:eastAsia="cs-CZ"/>
        </w:rPr>
      </w:pPr>
    </w:p>
    <w:p w:rsidR="0053152B" w:rsidRPr="00D252D3" w:rsidRDefault="0053152B">
      <w:pPr>
        <w:tabs>
          <w:tab w:val="left" w:pos="540"/>
        </w:tabs>
        <w:ind w:left="0" w:firstLine="0"/>
        <w:rPr>
          <w:snapToGrid w:val="0"/>
          <w:lang w:eastAsia="cs-CZ"/>
        </w:rPr>
      </w:pPr>
      <w:r w:rsidRPr="00D252D3">
        <w:rPr>
          <w:snapToGrid w:val="0"/>
          <w:lang w:eastAsia="cs-CZ"/>
        </w:rPr>
        <w:t xml:space="preserve">- </w:t>
      </w:r>
      <w:r w:rsidRPr="00D252D3">
        <w:rPr>
          <w:snapToGrid w:val="0"/>
          <w:lang w:eastAsia="cs-CZ"/>
        </w:rPr>
        <w:tab/>
        <w:t>Hypokaliémia</w:t>
      </w:r>
    </w:p>
    <w:p w:rsidR="0053152B" w:rsidRPr="00D252D3" w:rsidRDefault="0053152B">
      <w:pPr>
        <w:ind w:left="0" w:firstLine="0"/>
        <w:rPr>
          <w:snapToGrid w:val="0"/>
          <w:lang w:eastAsia="cs-CZ"/>
        </w:rPr>
      </w:pPr>
      <w:r w:rsidRPr="00D252D3">
        <w:rPr>
          <w:snapToGrid w:val="0"/>
          <w:lang w:eastAsia="cs-CZ"/>
        </w:rPr>
        <w:t>Hoci sa pri používaní tiazidových diuretík môže vyvinúť hypokaliémia, sprievodná liečba telmisartanom môže znížiť diuretikami vyvolanú hypokaliémiu. Riziko hypokaliémie je vyššie u pacientov s cirhózou pečene, u pacientov s výraznou diurézou, u pacientov s nedostatočným perorálnym príjmom elektrolytov a u pacientov so súbežnou terapiou kortikosteroidmi alebo adrenokortikotropným hormónom (ACTH) (pozri časť 4.5).</w:t>
      </w:r>
    </w:p>
    <w:p w:rsidR="0053152B" w:rsidRPr="00D252D3" w:rsidRDefault="0053152B">
      <w:pPr>
        <w:ind w:left="0" w:firstLine="0"/>
        <w:rPr>
          <w:snapToGrid w:val="0"/>
          <w:lang w:eastAsia="cs-CZ"/>
        </w:rPr>
      </w:pPr>
    </w:p>
    <w:p w:rsidR="0053152B" w:rsidRPr="00D252D3" w:rsidRDefault="0053152B">
      <w:pPr>
        <w:tabs>
          <w:tab w:val="left" w:pos="540"/>
        </w:tabs>
        <w:ind w:left="0" w:firstLine="0"/>
        <w:rPr>
          <w:snapToGrid w:val="0"/>
          <w:lang w:eastAsia="cs-CZ"/>
        </w:rPr>
      </w:pPr>
      <w:r w:rsidRPr="00D252D3">
        <w:rPr>
          <w:snapToGrid w:val="0"/>
          <w:lang w:eastAsia="cs-CZ"/>
        </w:rPr>
        <w:t xml:space="preserve">- </w:t>
      </w:r>
      <w:r w:rsidRPr="00D252D3">
        <w:rPr>
          <w:snapToGrid w:val="0"/>
          <w:lang w:eastAsia="cs-CZ"/>
        </w:rPr>
        <w:tab/>
        <w:t>Hyperkaliémia</w:t>
      </w:r>
    </w:p>
    <w:p w:rsidR="0053152B" w:rsidRPr="00D252D3" w:rsidRDefault="0053152B">
      <w:pPr>
        <w:ind w:left="0" w:firstLine="0"/>
        <w:rPr>
          <w:snapToGrid w:val="0"/>
          <w:lang w:eastAsia="cs-CZ"/>
        </w:rPr>
      </w:pPr>
      <w:r w:rsidRPr="00D252D3">
        <w:rPr>
          <w:snapToGrid w:val="0"/>
          <w:lang w:eastAsia="cs-CZ"/>
        </w:rPr>
        <w:t>Na druhej strane, sa môže vyskytnúť hyperkaliémia z dôvodu antagonizmu receptorov angiotenzínu II (AT</w:t>
      </w:r>
      <w:r w:rsidRPr="00D252D3">
        <w:rPr>
          <w:snapToGrid w:val="0"/>
          <w:vertAlign w:val="subscript"/>
          <w:lang w:eastAsia="cs-CZ"/>
        </w:rPr>
        <w:t>1</w:t>
      </w:r>
      <w:r w:rsidRPr="00D252D3">
        <w:rPr>
          <w:snapToGrid w:val="0"/>
          <w:lang w:eastAsia="cs-CZ"/>
        </w:rPr>
        <w:t>) telmisartanom, zložkou MicardisPlusu.</w:t>
      </w:r>
    </w:p>
    <w:p w:rsidR="0053152B" w:rsidRPr="00D252D3" w:rsidRDefault="0053152B">
      <w:pPr>
        <w:ind w:left="0" w:firstLine="0"/>
        <w:rPr>
          <w:snapToGrid w:val="0"/>
          <w:lang w:eastAsia="cs-CZ"/>
        </w:rPr>
      </w:pPr>
      <w:r w:rsidRPr="00D252D3">
        <w:rPr>
          <w:snapToGrid w:val="0"/>
          <w:lang w:eastAsia="cs-CZ"/>
        </w:rPr>
        <w:t>Hoci pri MicardisPluse sa nezaznamenala klinicky významná hyperkaliémia, rizikové faktory vývinu hyperkaliémie zahrňujú obličkovú nedostatočnosť a/alebo zlyhanie srdca a diabetes mellitus. S MicardisPlusom sa draslík šetriace diuretiká, náhrady draslíka alebo náhrady soli s obsahom draslíka majú podávať opatrne (pozri časť 4.5).</w:t>
      </w:r>
    </w:p>
    <w:p w:rsidR="0053152B" w:rsidRPr="00D252D3" w:rsidRDefault="0053152B">
      <w:pPr>
        <w:ind w:left="0" w:firstLine="0"/>
        <w:rPr>
          <w:snapToGrid w:val="0"/>
          <w:lang w:eastAsia="cs-CZ"/>
        </w:rPr>
      </w:pPr>
    </w:p>
    <w:p w:rsidR="0053152B" w:rsidRPr="00D252D3" w:rsidRDefault="0053152B">
      <w:pPr>
        <w:tabs>
          <w:tab w:val="left" w:pos="540"/>
        </w:tabs>
        <w:ind w:left="0" w:firstLine="0"/>
        <w:rPr>
          <w:snapToGrid w:val="0"/>
          <w:lang w:eastAsia="cs-CZ"/>
        </w:rPr>
      </w:pPr>
      <w:r w:rsidRPr="00D252D3">
        <w:rPr>
          <w:snapToGrid w:val="0"/>
          <w:lang w:eastAsia="cs-CZ"/>
        </w:rPr>
        <w:t xml:space="preserve">- </w:t>
      </w:r>
      <w:r w:rsidRPr="00D252D3">
        <w:rPr>
          <w:snapToGrid w:val="0"/>
          <w:lang w:eastAsia="cs-CZ"/>
        </w:rPr>
        <w:tab/>
        <w:t>Hyponatrémia a hypochloremická alkalóza</w:t>
      </w:r>
    </w:p>
    <w:p w:rsidR="0053152B" w:rsidRPr="00D252D3" w:rsidRDefault="0053152B">
      <w:pPr>
        <w:ind w:left="0" w:firstLine="0"/>
        <w:rPr>
          <w:snapToGrid w:val="0"/>
          <w:lang w:eastAsia="cs-CZ"/>
        </w:rPr>
      </w:pPr>
      <w:r w:rsidRPr="00D252D3">
        <w:rPr>
          <w:snapToGrid w:val="0"/>
          <w:lang w:eastAsia="cs-CZ"/>
        </w:rPr>
        <w:t>Nie sú dôkazy o tom, že MicardisPlus znižuje alebo predchádza diuretikami vyvolanú hyponatrémiu. Nedostatok chloridov je spravidla mierny a zvyčajne nevyžaduje liečbu.</w:t>
      </w:r>
    </w:p>
    <w:p w:rsidR="0053152B" w:rsidRPr="00D252D3" w:rsidRDefault="0053152B">
      <w:pPr>
        <w:ind w:left="0" w:firstLine="0"/>
        <w:rPr>
          <w:snapToGrid w:val="0"/>
          <w:lang w:eastAsia="cs-CZ"/>
        </w:rPr>
      </w:pPr>
    </w:p>
    <w:p w:rsidR="0053152B" w:rsidRPr="00D252D3" w:rsidRDefault="0053152B">
      <w:pPr>
        <w:tabs>
          <w:tab w:val="left" w:pos="540"/>
        </w:tabs>
        <w:ind w:left="0" w:firstLine="0"/>
        <w:rPr>
          <w:snapToGrid w:val="0"/>
          <w:lang w:eastAsia="cs-CZ"/>
        </w:rPr>
      </w:pPr>
      <w:r w:rsidRPr="00D252D3">
        <w:rPr>
          <w:snapToGrid w:val="0"/>
          <w:lang w:eastAsia="cs-CZ"/>
        </w:rPr>
        <w:t xml:space="preserve">- </w:t>
      </w:r>
      <w:r w:rsidRPr="00D252D3">
        <w:rPr>
          <w:snapToGrid w:val="0"/>
          <w:lang w:eastAsia="cs-CZ"/>
        </w:rPr>
        <w:tab/>
        <w:t>Hyperkalciémia</w:t>
      </w:r>
    </w:p>
    <w:p w:rsidR="0053152B" w:rsidRPr="00D252D3" w:rsidRDefault="0053152B">
      <w:pPr>
        <w:ind w:left="0" w:firstLine="0"/>
        <w:rPr>
          <w:snapToGrid w:val="0"/>
          <w:lang w:eastAsia="cs-CZ"/>
        </w:rPr>
      </w:pPr>
      <w:r w:rsidRPr="00D252D3">
        <w:rPr>
          <w:snapToGrid w:val="0"/>
          <w:lang w:eastAsia="cs-CZ"/>
        </w:rPr>
        <w:t>Tiazidy môžu znížiť vylučovanie vápnika močom a zapríčiniť občasné a mierne zvýšenie sérového vápnika pri absencii známych porúch metabolizmu vápnika. Stanovená hyperkalciémia môže byť dôkazom skrytého hyperparatyroidizmu. Pred vykonaním testov funkcií prištítnych teliesok sa tiazidy majú vysadiť.</w:t>
      </w:r>
    </w:p>
    <w:p w:rsidR="0053152B" w:rsidRPr="00D252D3" w:rsidRDefault="0053152B">
      <w:pPr>
        <w:ind w:left="0" w:firstLine="0"/>
        <w:rPr>
          <w:snapToGrid w:val="0"/>
          <w:lang w:eastAsia="cs-CZ"/>
        </w:rPr>
      </w:pPr>
    </w:p>
    <w:p w:rsidR="0053152B" w:rsidRPr="00D252D3" w:rsidRDefault="0053152B" w:rsidP="0051567B">
      <w:pPr>
        <w:keepNext/>
        <w:tabs>
          <w:tab w:val="left" w:pos="540"/>
        </w:tabs>
        <w:ind w:left="0" w:firstLine="0"/>
        <w:rPr>
          <w:snapToGrid w:val="0"/>
          <w:lang w:eastAsia="cs-CZ"/>
        </w:rPr>
      </w:pPr>
      <w:r w:rsidRPr="00D252D3">
        <w:rPr>
          <w:snapToGrid w:val="0"/>
          <w:lang w:eastAsia="cs-CZ"/>
        </w:rPr>
        <w:t xml:space="preserve">- </w:t>
      </w:r>
      <w:r w:rsidRPr="00D252D3">
        <w:rPr>
          <w:snapToGrid w:val="0"/>
          <w:lang w:eastAsia="cs-CZ"/>
        </w:rPr>
        <w:tab/>
        <w:t>Hypomagneziémia</w:t>
      </w:r>
    </w:p>
    <w:p w:rsidR="0053152B" w:rsidRPr="00D252D3" w:rsidRDefault="0053152B">
      <w:pPr>
        <w:ind w:left="0" w:firstLine="0"/>
      </w:pPr>
      <w:r w:rsidRPr="00D252D3">
        <w:t>Ukázalo sa, že tiazidy zvyšujú vylučovanie horčíka v moči, čo môže zapríčiniť hypomagnezémiu (pozri časť 4.5).</w:t>
      </w:r>
    </w:p>
    <w:p w:rsidR="0053152B" w:rsidRPr="00D252D3" w:rsidRDefault="0053152B"/>
    <w:p w:rsidR="0053152B" w:rsidRPr="00D252D3" w:rsidRDefault="0053152B" w:rsidP="0051567B">
      <w:pPr>
        <w:keepNext/>
        <w:ind w:left="0" w:firstLine="0"/>
        <w:rPr>
          <w:snapToGrid w:val="0"/>
          <w:lang w:eastAsia="cs-CZ"/>
        </w:rPr>
      </w:pPr>
      <w:r w:rsidRPr="00D252D3">
        <w:rPr>
          <w:snapToGrid w:val="0"/>
          <w:u w:val="single"/>
          <w:lang w:eastAsia="cs-CZ"/>
        </w:rPr>
        <w:t>Sorbitol a monohydrát laktózy</w:t>
      </w:r>
      <w:r w:rsidRPr="00D252D3">
        <w:rPr>
          <w:snapToGrid w:val="0"/>
          <w:lang w:eastAsia="cs-CZ"/>
        </w:rPr>
        <w:t xml:space="preserve"> </w:t>
      </w:r>
    </w:p>
    <w:p w:rsidR="0053152B" w:rsidRPr="00D252D3" w:rsidRDefault="0053152B" w:rsidP="0051567B">
      <w:pPr>
        <w:keepNext/>
        <w:ind w:left="0" w:firstLine="0"/>
        <w:rPr>
          <w:snapToGrid w:val="0"/>
          <w:lang w:eastAsia="cs-CZ"/>
        </w:rPr>
      </w:pPr>
    </w:p>
    <w:p w:rsidR="0053152B" w:rsidRPr="00D252D3" w:rsidRDefault="0053152B">
      <w:pPr>
        <w:ind w:left="0" w:firstLine="0"/>
        <w:rPr>
          <w:snapToGrid w:val="0"/>
          <w:lang w:eastAsia="cs-CZ"/>
        </w:rPr>
      </w:pPr>
      <w:r w:rsidRPr="00D252D3">
        <w:rPr>
          <w:snapToGrid w:val="0"/>
          <w:lang w:eastAsia="cs-CZ"/>
        </w:rPr>
        <w:t xml:space="preserve">Tento liek obsahuje monohydrát laktózy a sorbitol. Pacienti so zriedkavými vrodenými problémami intolerancie fruktózy a/alebo so zriedkavými vrodenými problémami intolerancie galaktózy, s </w:t>
      </w:r>
      <w:r w:rsidR="00487158" w:rsidRPr="00D252D3">
        <w:rPr>
          <w:snapToGrid w:val="0"/>
          <w:lang w:eastAsia="cs-CZ"/>
        </w:rPr>
        <w:t>lapónskou</w:t>
      </w:r>
      <w:r w:rsidRPr="00D252D3">
        <w:rPr>
          <w:snapToGrid w:val="0"/>
          <w:lang w:eastAsia="cs-CZ"/>
        </w:rPr>
        <w:t xml:space="preserve"> deficienciou laktázy alebo s nedostatočným vstrebávaním glukózo-galaktózy nesmú užívať tento liek.</w:t>
      </w:r>
    </w:p>
    <w:p w:rsidR="0053152B" w:rsidRPr="00D252D3" w:rsidRDefault="0053152B">
      <w:pPr>
        <w:ind w:left="0" w:firstLine="0"/>
        <w:rPr>
          <w:snapToGrid w:val="0"/>
          <w:lang w:eastAsia="cs-CZ"/>
        </w:rPr>
      </w:pPr>
    </w:p>
    <w:p w:rsidR="0053152B" w:rsidRPr="00D252D3" w:rsidRDefault="0053152B">
      <w:pPr>
        <w:ind w:left="0" w:firstLine="0"/>
        <w:rPr>
          <w:snapToGrid w:val="0"/>
          <w:lang w:eastAsia="cs-CZ"/>
        </w:rPr>
      </w:pPr>
      <w:r w:rsidRPr="00D252D3">
        <w:rPr>
          <w:snapToGrid w:val="0"/>
          <w:u w:val="single"/>
          <w:lang w:eastAsia="cs-CZ"/>
        </w:rPr>
        <w:t>Etnické rozdiely</w:t>
      </w:r>
    </w:p>
    <w:p w:rsidR="0053152B" w:rsidRPr="00D252D3" w:rsidRDefault="0053152B">
      <w:pPr>
        <w:ind w:left="0" w:firstLine="0"/>
        <w:rPr>
          <w:snapToGrid w:val="0"/>
          <w:lang w:eastAsia="cs-CZ"/>
        </w:rPr>
      </w:pPr>
    </w:p>
    <w:p w:rsidR="0053152B" w:rsidRPr="00D252D3" w:rsidRDefault="0053152B">
      <w:pPr>
        <w:ind w:left="0" w:firstLine="0"/>
        <w:rPr>
          <w:snapToGrid w:val="0"/>
          <w:lang w:eastAsia="cs-CZ"/>
        </w:rPr>
      </w:pPr>
      <w:r w:rsidRPr="00D252D3">
        <w:rPr>
          <w:snapToGrid w:val="0"/>
          <w:lang w:eastAsia="cs-CZ"/>
        </w:rPr>
        <w:t>Tak ako pri iných antagonistoch receptora angiotenzínu II, telmisartan je zjavne menej účinný v znižovaní krvného tlaku u pacientov-černochov ako u nečernochov, pravdepodobne pre vyšší výskyt nízkorenínových stavov u čiernej populácie s hypertenziou.</w:t>
      </w:r>
    </w:p>
    <w:p w:rsidR="0053152B" w:rsidRPr="00D252D3" w:rsidRDefault="0053152B">
      <w:pPr>
        <w:ind w:left="0" w:firstLine="0"/>
        <w:rPr>
          <w:snapToGrid w:val="0"/>
          <w:lang w:eastAsia="cs-CZ"/>
        </w:rPr>
      </w:pPr>
    </w:p>
    <w:p w:rsidR="0053152B" w:rsidRPr="00D252D3" w:rsidRDefault="0053152B">
      <w:pPr>
        <w:ind w:left="0" w:firstLine="0"/>
        <w:rPr>
          <w:snapToGrid w:val="0"/>
          <w:lang w:eastAsia="cs-CZ"/>
        </w:rPr>
      </w:pPr>
      <w:r w:rsidRPr="00D252D3">
        <w:rPr>
          <w:snapToGrid w:val="0"/>
          <w:u w:val="single"/>
          <w:lang w:eastAsia="cs-CZ"/>
        </w:rPr>
        <w:t>Iné</w:t>
      </w:r>
    </w:p>
    <w:p w:rsidR="0053152B" w:rsidRPr="00D252D3" w:rsidRDefault="0053152B">
      <w:pPr>
        <w:ind w:left="0" w:firstLine="0"/>
        <w:rPr>
          <w:snapToGrid w:val="0"/>
          <w:lang w:eastAsia="cs-CZ"/>
        </w:rPr>
      </w:pPr>
    </w:p>
    <w:p w:rsidR="0053152B" w:rsidRPr="00D252D3" w:rsidRDefault="0053152B">
      <w:pPr>
        <w:ind w:left="0" w:firstLine="0"/>
        <w:rPr>
          <w:snapToGrid w:val="0"/>
          <w:lang w:eastAsia="cs-CZ"/>
        </w:rPr>
      </w:pPr>
      <w:r w:rsidRPr="00D252D3">
        <w:rPr>
          <w:snapToGrid w:val="0"/>
          <w:lang w:eastAsia="cs-CZ"/>
        </w:rPr>
        <w:t>Tak ako pri iných antihypertenzívach, nadmerná redukcia tlaku krvi u pacientov s ischemickou kardiopatiou alebo ischemickou kardiovaskulárnou chorobou môže viesť k infarktu myokardu alebo cievnej mozgovej príhode.</w:t>
      </w:r>
    </w:p>
    <w:p w:rsidR="0053152B" w:rsidRPr="00D252D3" w:rsidRDefault="0053152B">
      <w:pPr>
        <w:ind w:left="0" w:firstLine="0"/>
        <w:rPr>
          <w:snapToGrid w:val="0"/>
          <w:lang w:eastAsia="cs-CZ"/>
        </w:rPr>
      </w:pPr>
    </w:p>
    <w:p w:rsidR="0053152B" w:rsidRPr="00D252D3" w:rsidRDefault="0053152B">
      <w:pPr>
        <w:ind w:left="0" w:firstLine="0"/>
        <w:rPr>
          <w:snapToGrid w:val="0"/>
          <w:lang w:eastAsia="cs-CZ"/>
        </w:rPr>
      </w:pPr>
      <w:r w:rsidRPr="00D252D3">
        <w:rPr>
          <w:snapToGrid w:val="0"/>
          <w:u w:val="single"/>
          <w:lang w:eastAsia="cs-CZ"/>
        </w:rPr>
        <w:t>Všeobecné</w:t>
      </w:r>
    </w:p>
    <w:p w:rsidR="0053152B" w:rsidRPr="00D252D3" w:rsidRDefault="0053152B">
      <w:pPr>
        <w:ind w:left="0" w:firstLine="0"/>
        <w:rPr>
          <w:snapToGrid w:val="0"/>
          <w:lang w:eastAsia="cs-CZ"/>
        </w:rPr>
      </w:pPr>
    </w:p>
    <w:p w:rsidR="0053152B" w:rsidRPr="00D252D3" w:rsidRDefault="0053152B">
      <w:pPr>
        <w:ind w:left="0" w:firstLine="0"/>
        <w:rPr>
          <w:snapToGrid w:val="0"/>
          <w:lang w:eastAsia="cs-CZ"/>
        </w:rPr>
      </w:pPr>
      <w:r w:rsidRPr="00D252D3">
        <w:rPr>
          <w:snapToGrid w:val="0"/>
          <w:lang w:eastAsia="cs-CZ"/>
        </w:rPr>
        <w:t>Reakcie precitlivenosti na hydrochlorotiazid sa môžu vyskytnúť u pacientov s anamnézou alebo bez anamnézy alergie precitlivenosti alebo s bronchiálnou astmou, ale sú pravdepodobnejšie u pacientov s takouto anamnézou.</w:t>
      </w:r>
    </w:p>
    <w:p w:rsidR="0053152B" w:rsidRPr="00D252D3" w:rsidRDefault="0053152B">
      <w:pPr>
        <w:ind w:left="0" w:firstLine="0"/>
        <w:rPr>
          <w:snapToGrid w:val="0"/>
          <w:lang w:eastAsia="cs-CZ"/>
        </w:rPr>
      </w:pPr>
      <w:r w:rsidRPr="00D252D3">
        <w:rPr>
          <w:snapToGrid w:val="0"/>
          <w:lang w:eastAsia="cs-CZ"/>
        </w:rPr>
        <w:t>Pri použití tiazidových diuretík, vrátane hydrochlorotiazidu, sa hlásila exacerbácia alebo aktivácia systémového lupus erythematosus.</w:t>
      </w:r>
    </w:p>
    <w:p w:rsidR="0053152B" w:rsidRPr="00D252D3" w:rsidRDefault="0053152B">
      <w:pPr>
        <w:ind w:left="0" w:firstLine="0"/>
        <w:rPr>
          <w:szCs w:val="22"/>
        </w:rPr>
      </w:pPr>
      <w:r w:rsidRPr="00D252D3">
        <w:rPr>
          <w:szCs w:val="22"/>
        </w:rPr>
        <w:t xml:space="preserve">Pri </w:t>
      </w:r>
      <w:r w:rsidRPr="00D252D3">
        <w:rPr>
          <w:snapToGrid w:val="0"/>
          <w:lang w:eastAsia="cs-CZ"/>
        </w:rPr>
        <w:t xml:space="preserve">tiazidových diuretikách sa hlásili prípady fotosenzitívnych reakcií </w:t>
      </w:r>
      <w:r w:rsidRPr="00D252D3">
        <w:rPr>
          <w:szCs w:val="22"/>
        </w:rPr>
        <w:t xml:space="preserve">(pozri časť 4.8). Ak sa počas liečby vyskytne fotosenzitívna reakcia, odporúča sa liečbu ukončiť. Ak sa opätovné podávanie diuretík považuje za nevyhnutné, odporúča sa </w:t>
      </w:r>
      <w:r w:rsidRPr="00D252D3">
        <w:rPr>
          <w:szCs w:val="22"/>
          <w:lang w:eastAsia="en-GB"/>
        </w:rPr>
        <w:t>chrániť obnažené časti tela pred slnkom alebo umelým UVA žiarením</w:t>
      </w:r>
      <w:r w:rsidRPr="00D252D3">
        <w:rPr>
          <w:szCs w:val="22"/>
        </w:rPr>
        <w:t>.</w:t>
      </w:r>
    </w:p>
    <w:p w:rsidR="0053152B" w:rsidRPr="00D252D3" w:rsidRDefault="0053152B">
      <w:pPr>
        <w:ind w:left="0" w:firstLine="0"/>
      </w:pPr>
    </w:p>
    <w:p w:rsidR="0053152B" w:rsidRPr="00D252D3" w:rsidRDefault="002A5949">
      <w:pPr>
        <w:keepNext/>
        <w:rPr>
          <w:szCs w:val="22"/>
          <w:u w:val="single"/>
        </w:rPr>
      </w:pPr>
      <w:r w:rsidRPr="00D252D3">
        <w:rPr>
          <w:szCs w:val="22"/>
          <w:u w:val="single"/>
        </w:rPr>
        <w:t>Choroidálna efúzia, a</w:t>
      </w:r>
      <w:r w:rsidR="0053152B" w:rsidRPr="00D252D3">
        <w:rPr>
          <w:szCs w:val="22"/>
          <w:u w:val="single"/>
        </w:rPr>
        <w:t>kútna myopia a glaukóm s uzavretým uhlom</w:t>
      </w:r>
    </w:p>
    <w:p w:rsidR="0053152B" w:rsidRPr="00D252D3" w:rsidRDefault="0053152B">
      <w:pPr>
        <w:keepNext/>
        <w:rPr>
          <w:szCs w:val="22"/>
          <w:u w:val="single"/>
        </w:rPr>
      </w:pPr>
    </w:p>
    <w:p w:rsidR="0053152B" w:rsidRPr="00D252D3" w:rsidRDefault="0053152B" w:rsidP="002A5949">
      <w:pPr>
        <w:keepNext/>
        <w:ind w:left="0" w:firstLine="0"/>
        <w:rPr>
          <w:szCs w:val="22"/>
        </w:rPr>
      </w:pPr>
      <w:r w:rsidRPr="00D252D3">
        <w:rPr>
          <w:szCs w:val="22"/>
        </w:rPr>
        <w:t xml:space="preserve">Sulfonamid hydrochlorotiazid môže spôsobiť idiosynkratickú reakciu, následkom čoho je </w:t>
      </w:r>
      <w:r w:rsidR="002A5949" w:rsidRPr="00D252D3">
        <w:rPr>
          <w:szCs w:val="22"/>
        </w:rPr>
        <w:t xml:space="preserve">choroidálna efúzia s poruchou zorného poľa, </w:t>
      </w:r>
      <w:r w:rsidRPr="00D252D3">
        <w:rPr>
          <w:szCs w:val="22"/>
        </w:rPr>
        <w:t>akútna</w:t>
      </w:r>
      <w:r w:rsidR="008417F4">
        <w:rPr>
          <w:szCs w:val="22"/>
        </w:rPr>
        <w:t xml:space="preserve"> </w:t>
      </w:r>
      <w:r w:rsidRPr="00D252D3">
        <w:rPr>
          <w:szCs w:val="22"/>
        </w:rPr>
        <w:t>tranzitórna myopia a akútny glaukóm s uzavretým uhlom. Príznaky zahŕňajú akútny nástup zníženej</w:t>
      </w:r>
      <w:r w:rsidR="008417F4">
        <w:rPr>
          <w:szCs w:val="22"/>
        </w:rPr>
        <w:t xml:space="preserve"> </w:t>
      </w:r>
      <w:r w:rsidRPr="00D252D3">
        <w:rPr>
          <w:szCs w:val="22"/>
        </w:rPr>
        <w:t>zrakovej ostrosti alebo bolesť oka a bežne sa vyskytujú v priebehu niekoľkých hodín až týždňov od</w:t>
      </w:r>
      <w:r w:rsidR="008417F4">
        <w:rPr>
          <w:szCs w:val="22"/>
        </w:rPr>
        <w:t xml:space="preserve"> </w:t>
      </w:r>
      <w:r w:rsidRPr="00D252D3">
        <w:rPr>
          <w:szCs w:val="22"/>
        </w:rPr>
        <w:t>začatia liečby. Neliečený akútny glaukóm s uzavretým uhlom môže viesť až k trvalej strate zraku.</w:t>
      </w:r>
    </w:p>
    <w:p w:rsidR="0053152B" w:rsidRPr="00D252D3" w:rsidRDefault="0053152B" w:rsidP="002A5949">
      <w:pPr>
        <w:keepNext/>
        <w:ind w:left="0" w:firstLine="0"/>
        <w:rPr>
          <w:szCs w:val="22"/>
        </w:rPr>
      </w:pPr>
      <w:r w:rsidRPr="00D252D3">
        <w:rPr>
          <w:szCs w:val="22"/>
        </w:rPr>
        <w:t>Primárnou liečbou je prerušenie podávania hydrochlorotiazidu tak rýchlo, ako je to možné. V prípade,</w:t>
      </w:r>
    </w:p>
    <w:p w:rsidR="0053152B" w:rsidRPr="00D252D3" w:rsidRDefault="0053152B" w:rsidP="002A5949">
      <w:pPr>
        <w:keepNext/>
        <w:ind w:left="0" w:firstLine="0"/>
        <w:rPr>
          <w:szCs w:val="22"/>
        </w:rPr>
      </w:pPr>
      <w:r w:rsidRPr="00D252D3">
        <w:rPr>
          <w:szCs w:val="22"/>
        </w:rPr>
        <w:t>že vnútroočný tlak je aj naďalej nekontrolovaný, bude možno potrebné zvážiť okamžitý lekársky alebo</w:t>
      </w:r>
    </w:p>
    <w:p w:rsidR="0053152B" w:rsidRPr="00D252D3" w:rsidRDefault="0053152B" w:rsidP="006503A1">
      <w:pPr>
        <w:keepNext/>
        <w:ind w:left="0" w:firstLine="0"/>
        <w:rPr>
          <w:szCs w:val="22"/>
        </w:rPr>
      </w:pPr>
      <w:r w:rsidRPr="00D252D3">
        <w:rPr>
          <w:szCs w:val="22"/>
        </w:rPr>
        <w:t>chirurgický zásah. Rizikové faktory pre vývin akútneho glaukómu s uzavretým uhlom môžu</w:t>
      </w:r>
      <w:r w:rsidR="002A5949" w:rsidRPr="00D252D3">
        <w:rPr>
          <w:szCs w:val="22"/>
        </w:rPr>
        <w:t xml:space="preserve"> </w:t>
      </w:r>
    </w:p>
    <w:p w:rsidR="0053152B" w:rsidRPr="00D252D3" w:rsidRDefault="0053152B" w:rsidP="000F471A">
      <w:pPr>
        <w:keepNext/>
        <w:rPr>
          <w:szCs w:val="22"/>
        </w:rPr>
      </w:pPr>
      <w:r w:rsidRPr="00D252D3">
        <w:rPr>
          <w:szCs w:val="22"/>
        </w:rPr>
        <w:t>zahŕňať predchádzajúcu alergiu na sulfonamid alebo penicilín.</w:t>
      </w:r>
    </w:p>
    <w:p w:rsidR="000F471A" w:rsidRPr="00D252D3" w:rsidRDefault="000F471A" w:rsidP="000F471A">
      <w:pPr>
        <w:keepNext/>
        <w:rPr>
          <w:szCs w:val="22"/>
        </w:rPr>
      </w:pPr>
    </w:p>
    <w:p w:rsidR="000F471A" w:rsidRPr="00D252D3" w:rsidRDefault="000F471A" w:rsidP="000F471A">
      <w:pPr>
        <w:keepNext/>
        <w:rPr>
          <w:u w:val="single"/>
        </w:rPr>
      </w:pPr>
      <w:r w:rsidRPr="00D252D3">
        <w:rPr>
          <w:u w:val="single"/>
        </w:rPr>
        <w:t>Nemelanómová rakovina kože</w:t>
      </w:r>
    </w:p>
    <w:p w:rsidR="000F471A" w:rsidRPr="00D252D3" w:rsidRDefault="000F471A" w:rsidP="000F471A">
      <w:pPr>
        <w:keepNext/>
        <w:rPr>
          <w:u w:val="single"/>
        </w:rPr>
      </w:pPr>
    </w:p>
    <w:p w:rsidR="000F471A" w:rsidRPr="00D252D3" w:rsidRDefault="000F471A" w:rsidP="000F471A">
      <w:pPr>
        <w:keepNext/>
        <w:ind w:left="0" w:firstLine="0"/>
      </w:pPr>
      <w:r w:rsidRPr="00D252D3">
        <w:t>V dvoch epidemiologických štúdiách vychádzajúcich z dánskeho národného onkologického registra (Danish National Cancer Registry) sa pozorovalo zvýšené riziko nemelanómovej rakoviny kože (non-melanoma skin cancer, NMSC) [bazocelulárneho karcinómu (basal cell carcinoma, BCC) a skvamocelulárneho karcinómu (squamous cell carcinoma, SCC)] pri zvyšujúcej sa expozícii kumulatívnej dávke hydrochlorotiazidu (hydrochlorothiazide, HCTZ). Možným mechanizmom pre vznik NMSC môžu byť fotosenzibilizačné účinky HCTZ.</w:t>
      </w:r>
    </w:p>
    <w:p w:rsidR="000F471A" w:rsidRPr="00D252D3" w:rsidRDefault="000F471A" w:rsidP="000F471A">
      <w:pPr>
        <w:keepNext/>
      </w:pPr>
    </w:p>
    <w:p w:rsidR="0053152B" w:rsidRPr="00D252D3" w:rsidRDefault="000F471A" w:rsidP="000F471A">
      <w:pPr>
        <w:ind w:left="0" w:firstLine="0"/>
      </w:pPr>
      <w:r w:rsidRPr="00D252D3">
        <w:t>Pacientov užívajúcich HCTZ je potrebné informovať o riziku NMSC a odporučiť im, aby si pravidelne kontrolovali kožu kvôli možnému vzniku akýchkoľvek nových lézií a aby urýchlene nahlásili akékoľvek podozrivé kožné lézie. Pacientom je potrebné odporučiť možné preventívne opatrenia, ako je obmedzené vystavovanie sa slnečnému svetlu a UV lúčom a aby v prípade vystavenia sa slnečnému žiareniu používali primeranú ochranu s cieľom minimalizovať riziko kožnej rakoviny. Podozrivé kožné lézie je potrebné urýchlene vyšetriť, potenciálne aj histologickým vyšetrením biopsií. Použitie HCTZ bude možno potrebné prehodnotiť aj v prípade pacientov, u ktorých sa v minulosti vyskytla NMSC (pozri tiež časť</w:t>
      </w:r>
      <w:r w:rsidR="00F80009" w:rsidRPr="00D252D3">
        <w:t> </w:t>
      </w:r>
      <w:r w:rsidRPr="00D252D3">
        <w:t>4.8).</w:t>
      </w:r>
    </w:p>
    <w:p w:rsidR="000F471A" w:rsidRPr="00D252D3" w:rsidRDefault="000F471A" w:rsidP="000F471A">
      <w:pPr>
        <w:ind w:left="0" w:firstLine="0"/>
      </w:pPr>
    </w:p>
    <w:p w:rsidR="0053152B" w:rsidRPr="00D252D3" w:rsidRDefault="0053152B">
      <w:r w:rsidRPr="00D252D3">
        <w:rPr>
          <w:b/>
        </w:rPr>
        <w:t>4.5</w:t>
      </w:r>
      <w:r w:rsidRPr="00D252D3">
        <w:rPr>
          <w:b/>
        </w:rPr>
        <w:tab/>
        <w:t>Liekové a iné interakcie</w:t>
      </w:r>
    </w:p>
    <w:p w:rsidR="0053152B" w:rsidRPr="00D252D3" w:rsidRDefault="0053152B"/>
    <w:p w:rsidR="0053152B" w:rsidRPr="00D252D3" w:rsidRDefault="0053152B">
      <w:pPr>
        <w:ind w:left="0" w:firstLine="0"/>
        <w:rPr>
          <w:snapToGrid w:val="0"/>
          <w:lang w:eastAsia="cs-CZ"/>
        </w:rPr>
      </w:pPr>
      <w:r w:rsidRPr="00D252D3">
        <w:rPr>
          <w:snapToGrid w:val="0"/>
          <w:u w:val="single"/>
          <w:lang w:eastAsia="cs-CZ"/>
        </w:rPr>
        <w:t>Lítium</w:t>
      </w:r>
      <w:r w:rsidRPr="00D252D3">
        <w:rPr>
          <w:snapToGrid w:val="0"/>
          <w:lang w:eastAsia="cs-CZ"/>
        </w:rPr>
        <w:t xml:space="preserve"> </w:t>
      </w:r>
    </w:p>
    <w:p w:rsidR="0053152B" w:rsidRPr="00D252D3" w:rsidRDefault="0053152B">
      <w:pPr>
        <w:ind w:left="0" w:firstLine="0"/>
        <w:rPr>
          <w:snapToGrid w:val="0"/>
          <w:lang w:eastAsia="cs-CZ"/>
        </w:rPr>
      </w:pPr>
    </w:p>
    <w:p w:rsidR="0053152B" w:rsidRPr="00D252D3" w:rsidRDefault="0053152B">
      <w:pPr>
        <w:ind w:left="0" w:firstLine="0"/>
        <w:rPr>
          <w:snapToGrid w:val="0"/>
          <w:lang w:eastAsia="cs-CZ"/>
        </w:rPr>
      </w:pPr>
      <w:r w:rsidRPr="00D252D3">
        <w:rPr>
          <w:snapToGrid w:val="0"/>
          <w:lang w:eastAsia="cs-CZ"/>
        </w:rPr>
        <w:t>Pri súbežnom podávaní lítia s inhibítormi enzýmu konvertujúceho angiotenzín sa hlásili reverzibilné zvýšenia koncentrácií lítia v sére a toxicita . Zriedkavo sa hlásili prípady s antagonistmi receptora angiotenzínu II (vrátane MicardisPlusu). Súbežné podávanie lítia a MicardisPlusu sa neodporúča (pozri časť 4.4). Ak je táto kombinácia nevyhnutná, odporúča sa dôkladné sledovanie sérových hladín lítia počas súbežného používania.</w:t>
      </w:r>
    </w:p>
    <w:p w:rsidR="0053152B" w:rsidRPr="00D252D3" w:rsidRDefault="0053152B">
      <w:pPr>
        <w:ind w:left="0" w:firstLine="0"/>
        <w:rPr>
          <w:snapToGrid w:val="0"/>
          <w:lang w:eastAsia="cs-CZ"/>
        </w:rPr>
      </w:pPr>
    </w:p>
    <w:p w:rsidR="0053152B" w:rsidRPr="00D252D3" w:rsidRDefault="0053152B" w:rsidP="0051567B">
      <w:pPr>
        <w:keepNext/>
        <w:ind w:left="0" w:firstLine="0"/>
        <w:rPr>
          <w:snapToGrid w:val="0"/>
          <w:lang w:eastAsia="cs-CZ"/>
        </w:rPr>
      </w:pPr>
      <w:r w:rsidRPr="00D252D3">
        <w:rPr>
          <w:snapToGrid w:val="0"/>
          <w:u w:val="single"/>
          <w:lang w:eastAsia="cs-CZ"/>
        </w:rPr>
        <w:t>Lieky súvisiace so stratou draslíka a hypokaliémiou</w:t>
      </w:r>
      <w:r w:rsidRPr="00D252D3">
        <w:rPr>
          <w:snapToGrid w:val="0"/>
          <w:lang w:eastAsia="cs-CZ"/>
        </w:rPr>
        <w:t xml:space="preserve"> (napr. iné kaliuretické diuretiká, laxatíva, kortikosteroidy, ACTH, amfotericín, karbenoxolón, sodná soľ benzylpenicilínu, kyselina salicylová a jej deriváty) </w:t>
      </w:r>
    </w:p>
    <w:p w:rsidR="0053152B" w:rsidRPr="00D252D3" w:rsidRDefault="0053152B">
      <w:pPr>
        <w:ind w:left="0" w:firstLine="0"/>
        <w:rPr>
          <w:snapToGrid w:val="0"/>
          <w:lang w:eastAsia="cs-CZ"/>
        </w:rPr>
      </w:pPr>
    </w:p>
    <w:p w:rsidR="0053152B" w:rsidRPr="00D252D3" w:rsidRDefault="0053152B">
      <w:pPr>
        <w:ind w:left="0" w:firstLine="0"/>
        <w:rPr>
          <w:snapToGrid w:val="0"/>
          <w:lang w:eastAsia="cs-CZ"/>
        </w:rPr>
      </w:pPr>
      <w:r w:rsidRPr="00D252D3">
        <w:rPr>
          <w:snapToGrid w:val="0"/>
          <w:lang w:eastAsia="cs-CZ"/>
        </w:rPr>
        <w:t>Ak sú tieto látky predpísané v kombinácii hydrochlorotiazid-telmisartan, odporúča sa sledovať plazmatické hladiny draslíka. Tieto lieky môžu zvýšiť účinok hydrochlorotiazidu na sérový draslík (pozri časť 4.4).</w:t>
      </w:r>
    </w:p>
    <w:p w:rsidR="0053152B" w:rsidRPr="00D252D3" w:rsidRDefault="0053152B">
      <w:pPr>
        <w:ind w:left="0" w:firstLine="0"/>
        <w:rPr>
          <w:snapToGrid w:val="0"/>
          <w:lang w:eastAsia="cs-CZ"/>
        </w:rPr>
      </w:pPr>
    </w:p>
    <w:p w:rsidR="0053152B" w:rsidRPr="00D252D3" w:rsidRDefault="0053152B" w:rsidP="0051567B">
      <w:pPr>
        <w:keepNext/>
        <w:ind w:left="0" w:firstLine="0"/>
        <w:rPr>
          <w:snapToGrid w:val="0"/>
          <w:lang w:eastAsia="cs-CZ"/>
        </w:rPr>
      </w:pPr>
      <w:r w:rsidRPr="00D252D3">
        <w:rPr>
          <w:snapToGrid w:val="0"/>
          <w:u w:val="single"/>
          <w:lang w:eastAsia="cs-CZ"/>
        </w:rPr>
        <w:t>Lieky, ktoré môžu zvýšiť hladiny draslíka alebo vyvolať hyperkaliémiu</w:t>
      </w:r>
      <w:r w:rsidRPr="00D252D3">
        <w:rPr>
          <w:snapToGrid w:val="0"/>
          <w:lang w:eastAsia="cs-CZ"/>
        </w:rPr>
        <w:t xml:space="preserve"> (napr. </w:t>
      </w:r>
      <w:smartTag w:uri="urn:schemas-microsoft-com:office:smarttags" w:element="stockticker">
        <w:r w:rsidRPr="00D252D3">
          <w:rPr>
            <w:snapToGrid w:val="0"/>
            <w:lang w:eastAsia="cs-CZ"/>
          </w:rPr>
          <w:t>ACE</w:t>
        </w:r>
      </w:smartTag>
      <w:r w:rsidRPr="00D252D3">
        <w:rPr>
          <w:snapToGrid w:val="0"/>
          <w:lang w:eastAsia="cs-CZ"/>
        </w:rPr>
        <w:t xml:space="preserve"> inhibítory, draslík šetriace diuretiká, náhrady draslíka, náhrady soli obsahujúce draslík, cyklosporín alebo iné liečivá ako sodná soľ heparínu) </w:t>
      </w:r>
    </w:p>
    <w:p w:rsidR="0053152B" w:rsidRPr="00D252D3" w:rsidRDefault="0053152B">
      <w:pPr>
        <w:ind w:left="0" w:firstLine="0"/>
        <w:rPr>
          <w:snapToGrid w:val="0"/>
          <w:lang w:eastAsia="cs-CZ"/>
        </w:rPr>
      </w:pPr>
    </w:p>
    <w:p w:rsidR="0053152B" w:rsidRPr="00D252D3" w:rsidRDefault="0053152B">
      <w:pPr>
        <w:ind w:left="0" w:firstLine="0"/>
        <w:rPr>
          <w:snapToGrid w:val="0"/>
          <w:lang w:eastAsia="cs-CZ"/>
        </w:rPr>
      </w:pPr>
      <w:r w:rsidRPr="00D252D3">
        <w:rPr>
          <w:snapToGrid w:val="0"/>
          <w:lang w:eastAsia="cs-CZ"/>
        </w:rPr>
        <w:t>Ak sú tieto lieky predpísané s kombináciou hydrochlorotiazid-telmisartan, odporúča sa sledovať plazmatické hladiny draslíka. Na základe skúseností z použitia iných liekov, ktoré tlmia renín-angiotenzínový systém, súbežné použitie vyššie uvedených liekov môže viesť k zvýšeniu sérového draslíka a preto sa neodporúča (pozri časť 4.4).</w:t>
      </w:r>
    </w:p>
    <w:p w:rsidR="0053152B" w:rsidRPr="00D252D3" w:rsidRDefault="0053152B">
      <w:pPr>
        <w:ind w:left="0" w:firstLine="0"/>
        <w:rPr>
          <w:snapToGrid w:val="0"/>
          <w:lang w:eastAsia="cs-CZ"/>
        </w:rPr>
      </w:pPr>
    </w:p>
    <w:p w:rsidR="0053152B" w:rsidRPr="00D252D3" w:rsidRDefault="0053152B">
      <w:pPr>
        <w:ind w:left="0" w:firstLine="0"/>
        <w:rPr>
          <w:snapToGrid w:val="0"/>
          <w:lang w:eastAsia="cs-CZ"/>
        </w:rPr>
      </w:pPr>
      <w:r w:rsidRPr="00D252D3">
        <w:rPr>
          <w:snapToGrid w:val="0"/>
          <w:u w:val="single"/>
          <w:lang w:eastAsia="cs-CZ"/>
        </w:rPr>
        <w:t>Lieky, ovplyvnené poruchami sérového draslíka</w:t>
      </w:r>
      <w:r w:rsidRPr="00D252D3">
        <w:rPr>
          <w:snapToGrid w:val="0"/>
          <w:lang w:eastAsia="cs-CZ"/>
        </w:rPr>
        <w:t xml:space="preserve"> </w:t>
      </w:r>
    </w:p>
    <w:p w:rsidR="0053152B" w:rsidRPr="00D252D3" w:rsidRDefault="0053152B">
      <w:pPr>
        <w:ind w:left="0" w:firstLine="0"/>
        <w:rPr>
          <w:snapToGrid w:val="0"/>
          <w:lang w:eastAsia="cs-CZ"/>
        </w:rPr>
      </w:pPr>
    </w:p>
    <w:p w:rsidR="0053152B" w:rsidRPr="00D252D3" w:rsidRDefault="0053152B">
      <w:pPr>
        <w:ind w:left="0" w:firstLine="0"/>
        <w:rPr>
          <w:snapToGrid w:val="0"/>
          <w:lang w:eastAsia="cs-CZ"/>
        </w:rPr>
      </w:pPr>
      <w:r w:rsidRPr="00D252D3">
        <w:rPr>
          <w:snapToGrid w:val="0"/>
          <w:lang w:eastAsia="cs-CZ"/>
        </w:rPr>
        <w:t>Keď sa MicardisPlus podáva s liekmi, ktoré ovplyvňujú poruchy sérového draslíka (digitalisové glykozidy, antiarytmiká) a liekmi vyvolávajúcimi torsade de pointes (čo zahŕňajú niektoré antiarytmiká), odporúča sa pravidelné sledovanie sérového draslíka a EKG, hypokaliémia je predispozičný faktor na torsade de pointes.</w:t>
      </w:r>
    </w:p>
    <w:p w:rsidR="0053152B" w:rsidRPr="00D252D3" w:rsidRDefault="0053152B">
      <w:pPr>
        <w:numPr>
          <w:ilvl w:val="0"/>
          <w:numId w:val="4"/>
        </w:numPr>
        <w:ind w:left="540" w:hanging="540"/>
        <w:rPr>
          <w:snapToGrid w:val="0"/>
          <w:lang w:eastAsia="cs-CZ"/>
        </w:rPr>
      </w:pPr>
      <w:r w:rsidRPr="00D252D3">
        <w:rPr>
          <w:snapToGrid w:val="0"/>
          <w:lang w:eastAsia="cs-CZ"/>
        </w:rPr>
        <w:t>antiarytmiká triedy Ia (napr. chinidín, hydrochinidín, disopyramid)</w:t>
      </w:r>
    </w:p>
    <w:p w:rsidR="0053152B" w:rsidRPr="00D252D3" w:rsidRDefault="0053152B">
      <w:pPr>
        <w:numPr>
          <w:ilvl w:val="0"/>
          <w:numId w:val="4"/>
        </w:numPr>
        <w:ind w:left="540" w:hanging="540"/>
        <w:rPr>
          <w:snapToGrid w:val="0"/>
          <w:lang w:eastAsia="cs-CZ"/>
        </w:rPr>
      </w:pPr>
      <w:r w:rsidRPr="00D252D3">
        <w:rPr>
          <w:snapToGrid w:val="0"/>
          <w:lang w:eastAsia="cs-CZ"/>
        </w:rPr>
        <w:t xml:space="preserve">antiarytmiká triedy </w:t>
      </w:r>
      <w:smartTag w:uri="urn:schemas-microsoft-com:office:smarttags" w:element="stockticker">
        <w:r w:rsidRPr="00D252D3">
          <w:rPr>
            <w:snapToGrid w:val="0"/>
            <w:lang w:eastAsia="cs-CZ"/>
          </w:rPr>
          <w:t>III</w:t>
        </w:r>
      </w:smartTag>
      <w:r w:rsidRPr="00D252D3">
        <w:rPr>
          <w:snapToGrid w:val="0"/>
          <w:lang w:eastAsia="cs-CZ"/>
        </w:rPr>
        <w:t xml:space="preserve"> (napr. amiodar</w:t>
      </w:r>
      <w:r w:rsidR="00487158" w:rsidRPr="00D252D3">
        <w:rPr>
          <w:snapToGrid w:val="0"/>
          <w:lang w:eastAsia="cs-CZ"/>
        </w:rPr>
        <w:t>ó</w:t>
      </w:r>
      <w:r w:rsidRPr="00D252D3">
        <w:rPr>
          <w:snapToGrid w:val="0"/>
          <w:lang w:eastAsia="cs-CZ"/>
        </w:rPr>
        <w:t>n, sotalol, dofetilid, ibutilid)</w:t>
      </w:r>
    </w:p>
    <w:p w:rsidR="0053152B" w:rsidRPr="00D252D3" w:rsidRDefault="0053152B">
      <w:pPr>
        <w:numPr>
          <w:ilvl w:val="0"/>
          <w:numId w:val="4"/>
        </w:numPr>
        <w:ind w:left="540" w:hanging="540"/>
        <w:rPr>
          <w:snapToGrid w:val="0"/>
          <w:lang w:eastAsia="cs-CZ"/>
        </w:rPr>
      </w:pPr>
      <w:r w:rsidRPr="00D252D3">
        <w:rPr>
          <w:snapToGrid w:val="0"/>
          <w:lang w:eastAsia="cs-CZ"/>
        </w:rPr>
        <w:t>niektoré antipsychotiká (napr. tioridazín, chlorpromazín, levomepromazín, trifluoperazín, cyamemazín, sulpirid, sultoprid, amisulprid, tiaprid, pimozid haloperidol, droperidol)</w:t>
      </w:r>
    </w:p>
    <w:p w:rsidR="0053152B" w:rsidRPr="00D252D3" w:rsidRDefault="0053152B">
      <w:pPr>
        <w:numPr>
          <w:ilvl w:val="0"/>
          <w:numId w:val="4"/>
        </w:numPr>
        <w:ind w:left="540" w:hanging="540"/>
        <w:rPr>
          <w:snapToGrid w:val="0"/>
          <w:lang w:eastAsia="cs-CZ"/>
        </w:rPr>
      </w:pPr>
      <w:r w:rsidRPr="00D252D3">
        <w:rPr>
          <w:snapToGrid w:val="0"/>
          <w:lang w:eastAsia="cs-CZ"/>
        </w:rPr>
        <w:t>iné: (napr. bepridil, cisaprid, difemanil, erytromycín i.v., halofantrín, mizolastín, pentamidín, sparfloxacín, terfenadín, vinkamín i. v.).</w:t>
      </w:r>
    </w:p>
    <w:p w:rsidR="0053152B" w:rsidRPr="00D252D3" w:rsidRDefault="0053152B">
      <w:pPr>
        <w:ind w:left="0" w:firstLine="0"/>
        <w:rPr>
          <w:snapToGrid w:val="0"/>
          <w:lang w:eastAsia="cs-CZ"/>
        </w:rPr>
      </w:pPr>
    </w:p>
    <w:p w:rsidR="0053152B" w:rsidRPr="00D252D3" w:rsidRDefault="0053152B">
      <w:pPr>
        <w:ind w:left="0" w:firstLine="0"/>
        <w:rPr>
          <w:snapToGrid w:val="0"/>
          <w:lang w:eastAsia="cs-CZ"/>
        </w:rPr>
      </w:pPr>
      <w:r w:rsidRPr="00D252D3">
        <w:rPr>
          <w:snapToGrid w:val="0"/>
          <w:u w:val="single"/>
          <w:lang w:eastAsia="cs-CZ"/>
        </w:rPr>
        <w:t>Digitalisové glykozidy</w:t>
      </w:r>
      <w:r w:rsidRPr="00D252D3">
        <w:rPr>
          <w:snapToGrid w:val="0"/>
          <w:lang w:eastAsia="cs-CZ"/>
        </w:rPr>
        <w:t xml:space="preserve"> </w:t>
      </w:r>
    </w:p>
    <w:p w:rsidR="0053152B" w:rsidRPr="00D252D3" w:rsidRDefault="0053152B">
      <w:pPr>
        <w:ind w:left="0" w:firstLine="0"/>
        <w:rPr>
          <w:snapToGrid w:val="0"/>
          <w:lang w:eastAsia="cs-CZ"/>
        </w:rPr>
      </w:pPr>
    </w:p>
    <w:p w:rsidR="0053152B" w:rsidRPr="00D252D3" w:rsidRDefault="0053152B">
      <w:pPr>
        <w:ind w:left="0" w:firstLine="0"/>
        <w:rPr>
          <w:snapToGrid w:val="0"/>
          <w:lang w:eastAsia="cs-CZ"/>
        </w:rPr>
      </w:pPr>
      <w:r w:rsidRPr="00D252D3">
        <w:rPr>
          <w:snapToGrid w:val="0"/>
          <w:lang w:eastAsia="cs-CZ"/>
        </w:rPr>
        <w:t>Tiazidmi vyvolaná hypokaliémia alebo hypomagneziémia podporuje začiatok digitalisom vyvolanej arytmie (pozri časť 4.4).</w:t>
      </w:r>
    </w:p>
    <w:p w:rsidR="0053152B" w:rsidRPr="00D252D3" w:rsidRDefault="0053152B">
      <w:pPr>
        <w:ind w:left="0" w:firstLine="0"/>
        <w:rPr>
          <w:snapToGrid w:val="0"/>
          <w:lang w:eastAsia="cs-CZ"/>
        </w:rPr>
      </w:pPr>
    </w:p>
    <w:p w:rsidR="0053152B" w:rsidRPr="00D252D3" w:rsidRDefault="0053152B">
      <w:pPr>
        <w:rPr>
          <w:u w:val="single"/>
        </w:rPr>
      </w:pPr>
      <w:r w:rsidRPr="00D252D3">
        <w:rPr>
          <w:u w:val="single"/>
        </w:rPr>
        <w:t>Digoxín</w:t>
      </w:r>
    </w:p>
    <w:p w:rsidR="0053152B" w:rsidRPr="00D252D3" w:rsidRDefault="0053152B"/>
    <w:p w:rsidR="0053152B" w:rsidRPr="00D252D3" w:rsidRDefault="0053152B">
      <w:r w:rsidRPr="00D252D3">
        <w:t xml:space="preserve">Ak sa telmisartan súbežne podával s digoxínom, pozoroval sa medián zvýšenia maximálnej </w:t>
      </w:r>
    </w:p>
    <w:p w:rsidR="0053152B" w:rsidRPr="00D252D3" w:rsidRDefault="0053152B">
      <w:r w:rsidRPr="00D252D3">
        <w:t xml:space="preserve">plazmatickej koncentrácie (49 %) a minimálnej koncentrácie (20 %) digoxínu. Pri nasadzovaní, úprave </w:t>
      </w:r>
    </w:p>
    <w:p w:rsidR="0053152B" w:rsidRPr="00D252D3" w:rsidRDefault="0053152B">
      <w:r w:rsidRPr="00D252D3">
        <w:t xml:space="preserve">a vysadzovaní telmisartanu monitorujte hladiny digoxínu, aby sa udržali hladiny v terapeutickom </w:t>
      </w:r>
    </w:p>
    <w:p w:rsidR="0053152B" w:rsidRPr="00D252D3" w:rsidRDefault="0053152B">
      <w:r w:rsidRPr="00D252D3">
        <w:t>rozsahu.</w:t>
      </w:r>
    </w:p>
    <w:p w:rsidR="0053152B" w:rsidRPr="00D252D3" w:rsidRDefault="0053152B">
      <w:pPr>
        <w:ind w:left="0" w:firstLine="0"/>
        <w:rPr>
          <w:snapToGrid w:val="0"/>
          <w:u w:val="single"/>
          <w:lang w:eastAsia="cs-CZ"/>
        </w:rPr>
      </w:pPr>
    </w:p>
    <w:p w:rsidR="0053152B" w:rsidRPr="00D252D3" w:rsidRDefault="0053152B" w:rsidP="005163A1">
      <w:pPr>
        <w:keepNext/>
        <w:ind w:left="0" w:firstLine="0"/>
        <w:rPr>
          <w:snapToGrid w:val="0"/>
          <w:lang w:eastAsia="cs-CZ"/>
        </w:rPr>
      </w:pPr>
      <w:r w:rsidRPr="00D252D3">
        <w:rPr>
          <w:snapToGrid w:val="0"/>
          <w:u w:val="single"/>
          <w:lang w:eastAsia="cs-CZ"/>
        </w:rPr>
        <w:t>Iné antihypertenzíva</w:t>
      </w:r>
      <w:r w:rsidRPr="00D252D3">
        <w:rPr>
          <w:snapToGrid w:val="0"/>
          <w:lang w:eastAsia="cs-CZ"/>
        </w:rPr>
        <w:t xml:space="preserve"> </w:t>
      </w:r>
    </w:p>
    <w:p w:rsidR="0053152B" w:rsidRPr="00D252D3" w:rsidRDefault="0053152B" w:rsidP="005163A1">
      <w:pPr>
        <w:keepNext/>
        <w:ind w:left="0" w:firstLine="0"/>
        <w:rPr>
          <w:snapToGrid w:val="0"/>
          <w:lang w:eastAsia="cs-CZ"/>
        </w:rPr>
      </w:pPr>
    </w:p>
    <w:p w:rsidR="0053152B" w:rsidRPr="00D252D3" w:rsidRDefault="0053152B" w:rsidP="005163A1">
      <w:pPr>
        <w:keepNext/>
        <w:ind w:left="0" w:firstLine="0"/>
        <w:rPr>
          <w:snapToGrid w:val="0"/>
          <w:lang w:eastAsia="cs-CZ"/>
        </w:rPr>
      </w:pPr>
      <w:r w:rsidRPr="00D252D3">
        <w:rPr>
          <w:snapToGrid w:val="0"/>
          <w:lang w:eastAsia="cs-CZ"/>
        </w:rPr>
        <w:t>Telmisartan môže zvýšiť hypotenzný účinok iných antihypertenzív.</w:t>
      </w:r>
    </w:p>
    <w:p w:rsidR="0053152B" w:rsidRPr="00D252D3" w:rsidRDefault="0053152B">
      <w:pPr>
        <w:ind w:left="0" w:firstLine="0"/>
        <w:rPr>
          <w:snapToGrid w:val="0"/>
          <w:u w:val="single"/>
          <w:lang w:eastAsia="cs-CZ"/>
        </w:rPr>
      </w:pPr>
    </w:p>
    <w:p w:rsidR="0053152B" w:rsidRPr="00D252D3" w:rsidRDefault="0053152B">
      <w:pPr>
        <w:ind w:left="0" w:firstLine="0"/>
        <w:rPr>
          <w:szCs w:val="22"/>
          <w:lang w:eastAsia="de-DE"/>
        </w:rPr>
      </w:pPr>
      <w:r w:rsidRPr="00D252D3">
        <w:rPr>
          <w:szCs w:val="22"/>
          <w:lang w:eastAsia="it-IT"/>
        </w:rPr>
        <w:t>Údaje z klinických skúšaní ukázali, že duálna inhibícia systému renín-angiotenzín-aldosterón (RAAS) kombinovaným použitím inhibítorov ACE, blokátorov receptorov angiotenzínu II</w:t>
      </w:r>
      <w:r w:rsidRPr="00D252D3">
        <w:rPr>
          <w:bCs/>
          <w:szCs w:val="22"/>
        </w:rPr>
        <w:t xml:space="preserve"> </w:t>
      </w:r>
      <w:r w:rsidRPr="00D252D3">
        <w:rPr>
          <w:szCs w:val="22"/>
          <w:lang w:eastAsia="it-IT"/>
        </w:rPr>
        <w:t xml:space="preserve">alebo aliskirenu sa spája s vyššou frekvenciou nežiaducich udalostí, ako sú hypotenzia, hyperkaliémia a znížená funkcia obličiek </w:t>
      </w:r>
      <w:r w:rsidRPr="00D252D3">
        <w:rPr>
          <w:szCs w:val="22"/>
          <w:lang w:eastAsia="de-DE"/>
        </w:rPr>
        <w:t>(vrátane akútneho zlyhania obličiek), v porovnaní s použitím látky ovplyvňujúcej RAAS v monoterapii (pozri časti 4.3, 4.4 a 5.1).</w:t>
      </w:r>
    </w:p>
    <w:p w:rsidR="0053152B" w:rsidRPr="00D252D3" w:rsidRDefault="0053152B">
      <w:pPr>
        <w:ind w:left="0" w:firstLine="0"/>
        <w:rPr>
          <w:szCs w:val="22"/>
          <w:lang w:eastAsia="de-DE"/>
        </w:rPr>
      </w:pPr>
    </w:p>
    <w:p w:rsidR="0053152B" w:rsidRPr="00D252D3" w:rsidRDefault="0053152B">
      <w:pPr>
        <w:ind w:left="0" w:firstLine="0"/>
        <w:rPr>
          <w:snapToGrid w:val="0"/>
          <w:lang w:eastAsia="cs-CZ"/>
        </w:rPr>
      </w:pPr>
      <w:r w:rsidRPr="00D252D3">
        <w:rPr>
          <w:snapToGrid w:val="0"/>
          <w:u w:val="single"/>
          <w:lang w:eastAsia="cs-CZ"/>
        </w:rPr>
        <w:t>Antidiabetiká (perorálne látky a inzulín)</w:t>
      </w:r>
      <w:r w:rsidRPr="00D252D3">
        <w:rPr>
          <w:snapToGrid w:val="0"/>
          <w:lang w:eastAsia="cs-CZ"/>
        </w:rPr>
        <w:t xml:space="preserve"> </w:t>
      </w:r>
    </w:p>
    <w:p w:rsidR="0053152B" w:rsidRPr="00D252D3" w:rsidRDefault="0053152B">
      <w:pPr>
        <w:ind w:left="0" w:firstLine="0"/>
        <w:rPr>
          <w:snapToGrid w:val="0"/>
          <w:lang w:eastAsia="cs-CZ"/>
        </w:rPr>
      </w:pPr>
    </w:p>
    <w:p w:rsidR="0053152B" w:rsidRPr="00D252D3" w:rsidRDefault="0053152B">
      <w:pPr>
        <w:ind w:left="0" w:firstLine="0"/>
        <w:rPr>
          <w:snapToGrid w:val="0"/>
          <w:lang w:eastAsia="cs-CZ"/>
        </w:rPr>
      </w:pPr>
      <w:r w:rsidRPr="00D252D3">
        <w:rPr>
          <w:snapToGrid w:val="0"/>
          <w:lang w:eastAsia="cs-CZ"/>
        </w:rPr>
        <w:t>Môže byť potrebná úprava dávkovania antidiabetika (pozri časť 4.4).</w:t>
      </w:r>
    </w:p>
    <w:p w:rsidR="0053152B" w:rsidRPr="00D252D3" w:rsidRDefault="0053152B">
      <w:pPr>
        <w:ind w:left="0" w:firstLine="0"/>
        <w:rPr>
          <w:snapToGrid w:val="0"/>
          <w:lang w:eastAsia="cs-CZ"/>
        </w:rPr>
      </w:pPr>
    </w:p>
    <w:p w:rsidR="0053152B" w:rsidRPr="00D252D3" w:rsidRDefault="0053152B" w:rsidP="0051567B">
      <w:pPr>
        <w:keepNext/>
        <w:ind w:left="0" w:firstLine="0"/>
        <w:rPr>
          <w:snapToGrid w:val="0"/>
          <w:lang w:eastAsia="cs-CZ"/>
        </w:rPr>
      </w:pPr>
      <w:r w:rsidRPr="00D252D3">
        <w:rPr>
          <w:snapToGrid w:val="0"/>
          <w:u w:val="single"/>
          <w:lang w:eastAsia="cs-CZ"/>
        </w:rPr>
        <w:t>Metformín</w:t>
      </w:r>
    </w:p>
    <w:p w:rsidR="0053152B" w:rsidRPr="00D252D3" w:rsidRDefault="0053152B" w:rsidP="0051567B">
      <w:pPr>
        <w:keepNext/>
        <w:ind w:left="0" w:firstLine="0"/>
        <w:rPr>
          <w:snapToGrid w:val="0"/>
          <w:lang w:eastAsia="cs-CZ"/>
        </w:rPr>
      </w:pPr>
    </w:p>
    <w:p w:rsidR="0053152B" w:rsidRPr="00D252D3" w:rsidRDefault="0053152B">
      <w:pPr>
        <w:ind w:left="0" w:firstLine="0"/>
        <w:rPr>
          <w:snapToGrid w:val="0"/>
          <w:lang w:eastAsia="cs-CZ"/>
        </w:rPr>
      </w:pPr>
      <w:r w:rsidRPr="00D252D3">
        <w:rPr>
          <w:snapToGrid w:val="0"/>
          <w:lang w:eastAsia="cs-CZ"/>
        </w:rPr>
        <w:t>Metformín sa má používať s opatrnosťou: riziko laktátovej acidózy vyvolané možným funkčným zlyhaním obličiek má súvislosť s hydrocholorotiazidom.</w:t>
      </w:r>
    </w:p>
    <w:p w:rsidR="0053152B" w:rsidRPr="00D252D3" w:rsidRDefault="0053152B">
      <w:pPr>
        <w:ind w:left="0" w:firstLine="0"/>
        <w:rPr>
          <w:snapToGrid w:val="0"/>
          <w:lang w:eastAsia="cs-CZ"/>
        </w:rPr>
      </w:pPr>
    </w:p>
    <w:p w:rsidR="0053152B" w:rsidRPr="00D252D3" w:rsidRDefault="0053152B" w:rsidP="0051567B">
      <w:pPr>
        <w:keepNext/>
        <w:ind w:left="0" w:firstLine="0"/>
        <w:rPr>
          <w:snapToGrid w:val="0"/>
          <w:lang w:eastAsia="cs-CZ"/>
        </w:rPr>
      </w:pPr>
      <w:r w:rsidRPr="00D252D3">
        <w:rPr>
          <w:snapToGrid w:val="0"/>
          <w:u w:val="single"/>
          <w:lang w:eastAsia="cs-CZ"/>
        </w:rPr>
        <w:t>Cholestyramín a kolestipolové živice</w:t>
      </w:r>
    </w:p>
    <w:p w:rsidR="0053152B" w:rsidRPr="00D252D3" w:rsidRDefault="0053152B" w:rsidP="0051567B">
      <w:pPr>
        <w:keepNext/>
        <w:ind w:left="0" w:firstLine="0"/>
        <w:rPr>
          <w:snapToGrid w:val="0"/>
          <w:lang w:eastAsia="cs-CZ"/>
        </w:rPr>
      </w:pPr>
    </w:p>
    <w:p w:rsidR="0053152B" w:rsidRPr="00D252D3" w:rsidRDefault="0053152B">
      <w:pPr>
        <w:ind w:left="0" w:firstLine="0"/>
        <w:rPr>
          <w:snapToGrid w:val="0"/>
          <w:lang w:eastAsia="cs-CZ"/>
        </w:rPr>
      </w:pPr>
      <w:r w:rsidRPr="00D252D3">
        <w:rPr>
          <w:snapToGrid w:val="0"/>
          <w:lang w:eastAsia="cs-CZ"/>
        </w:rPr>
        <w:t>Absorpcia hydrochlorotiazidu je narušená prítomnosťou živíc na báze aniónových iónomeničov.</w:t>
      </w:r>
    </w:p>
    <w:p w:rsidR="0053152B" w:rsidRPr="00D252D3" w:rsidRDefault="0053152B">
      <w:pPr>
        <w:ind w:left="0" w:firstLine="0"/>
        <w:rPr>
          <w:snapToGrid w:val="0"/>
          <w:lang w:eastAsia="cs-CZ"/>
        </w:rPr>
      </w:pPr>
    </w:p>
    <w:p w:rsidR="0053152B" w:rsidRPr="00D252D3" w:rsidRDefault="0053152B">
      <w:pPr>
        <w:ind w:left="0" w:firstLine="0"/>
        <w:rPr>
          <w:snapToGrid w:val="0"/>
          <w:szCs w:val="22"/>
          <w:lang w:eastAsia="cs-CZ"/>
        </w:rPr>
      </w:pPr>
      <w:r w:rsidRPr="00D252D3">
        <w:rPr>
          <w:snapToGrid w:val="0"/>
          <w:szCs w:val="22"/>
          <w:u w:val="single"/>
          <w:lang w:eastAsia="cs-CZ"/>
        </w:rPr>
        <w:t>Nesteroidné protizápalové lieky</w:t>
      </w:r>
      <w:r w:rsidRPr="00D252D3">
        <w:rPr>
          <w:snapToGrid w:val="0"/>
          <w:szCs w:val="22"/>
          <w:lang w:eastAsia="cs-CZ"/>
        </w:rPr>
        <w:t xml:space="preserve"> </w:t>
      </w:r>
    </w:p>
    <w:p w:rsidR="0053152B" w:rsidRPr="00D252D3" w:rsidRDefault="0053152B">
      <w:pPr>
        <w:ind w:left="0" w:firstLine="0"/>
        <w:rPr>
          <w:snapToGrid w:val="0"/>
          <w:szCs w:val="22"/>
          <w:lang w:eastAsia="cs-CZ"/>
        </w:rPr>
      </w:pPr>
    </w:p>
    <w:p w:rsidR="0053152B" w:rsidRPr="00D252D3" w:rsidRDefault="0053152B">
      <w:pPr>
        <w:ind w:left="0" w:firstLine="0"/>
        <w:rPr>
          <w:szCs w:val="22"/>
        </w:rPr>
      </w:pPr>
      <w:r w:rsidRPr="00D252D3">
        <w:rPr>
          <w:szCs w:val="22"/>
        </w:rPr>
        <w:t xml:space="preserve">NSA (t.j. acetylsalicylová kyselina v protizápalových dávkovacích režimoch, </w:t>
      </w:r>
      <w:smartTag w:uri="urn:schemas-microsoft-com:office:smarttags" w:element="stockticker">
        <w:r w:rsidRPr="00D252D3">
          <w:rPr>
            <w:szCs w:val="22"/>
          </w:rPr>
          <w:t>COX</w:t>
        </w:r>
      </w:smartTag>
      <w:r w:rsidRPr="00D252D3">
        <w:rPr>
          <w:szCs w:val="22"/>
        </w:rPr>
        <w:t>-2 inhibítory a neselektívne NSA) môžu znížiť diuretické, natriuretické a antihypertenzné účinky tiazidových duretík a antihypertenzné účinky antagonistov receptora angiotenzínu II.</w:t>
      </w:r>
    </w:p>
    <w:p w:rsidR="0053152B" w:rsidRPr="00D252D3" w:rsidRDefault="0053152B">
      <w:pPr>
        <w:ind w:left="0" w:firstLine="0"/>
        <w:rPr>
          <w:szCs w:val="22"/>
        </w:rPr>
      </w:pPr>
      <w:r w:rsidRPr="00D252D3">
        <w:rPr>
          <w:szCs w:val="22"/>
        </w:rPr>
        <w:t>U niektorých pacientov so zníženou funkciou obličiek (napr. dehydratovaní pacienti alebo starší pacienti so zníženou funkciou obličiek) súčasné podávanie antagonistov receptora angiotenzínu II a účinných látok, ktoré inhibujú cyklooxygenázu môže viesť k ďalšiemu zhoršeniu funkcie obličiek, vrátane možného akútneho zlyhania obličiek, ktoré je zvyčajne reverzibilné. A preto, táto kombinácia</w:t>
      </w:r>
    </w:p>
    <w:p w:rsidR="0053152B" w:rsidRPr="00D252D3" w:rsidRDefault="0053152B">
      <w:pPr>
        <w:ind w:left="0" w:firstLine="0"/>
        <w:rPr>
          <w:szCs w:val="22"/>
        </w:rPr>
      </w:pPr>
      <w:r w:rsidRPr="00D252D3">
        <w:rPr>
          <w:szCs w:val="22"/>
        </w:rPr>
        <w:t>sa má podávať veľmi opatrne obzvlášť u starších pacientov. Pacienti majú byť dostatočne hydratovaní, má sa zvážiť monitorovanie obličkových funkcií po začiatku súbežnej liečby a pravidelne počas jej trvania.</w:t>
      </w:r>
    </w:p>
    <w:p w:rsidR="0053152B" w:rsidRPr="00D252D3" w:rsidRDefault="0053152B">
      <w:pPr>
        <w:ind w:left="0" w:firstLine="0"/>
        <w:rPr>
          <w:snapToGrid w:val="0"/>
          <w:lang w:eastAsia="cs-CZ"/>
        </w:rPr>
      </w:pPr>
    </w:p>
    <w:p w:rsidR="0053152B" w:rsidRPr="00D252D3" w:rsidRDefault="0053152B">
      <w:pPr>
        <w:ind w:left="0" w:firstLine="0"/>
        <w:rPr>
          <w:szCs w:val="22"/>
        </w:rPr>
      </w:pPr>
      <w:r w:rsidRPr="00D252D3">
        <w:rPr>
          <w:szCs w:val="22"/>
        </w:rPr>
        <w:t>V jednej štúdii viedlo súbežné podávanie telmisartanu a ramiprilu k 2,5-násobnému zvýšeniu AUC</w:t>
      </w:r>
      <w:r w:rsidRPr="00D252D3">
        <w:rPr>
          <w:szCs w:val="22"/>
          <w:vertAlign w:val="subscript"/>
        </w:rPr>
        <w:t>0-24</w:t>
      </w:r>
      <w:r w:rsidRPr="00D252D3">
        <w:rPr>
          <w:szCs w:val="22"/>
        </w:rPr>
        <w:t xml:space="preserve"> a C</w:t>
      </w:r>
      <w:r w:rsidRPr="00D252D3">
        <w:rPr>
          <w:szCs w:val="22"/>
          <w:vertAlign w:val="subscript"/>
        </w:rPr>
        <w:t>max</w:t>
      </w:r>
      <w:r w:rsidRPr="00D252D3">
        <w:rPr>
          <w:szCs w:val="22"/>
        </w:rPr>
        <w:t xml:space="preserve"> ramiprilu a ramiprilátu. Klinický význam tohto pozorovania nie je známy.</w:t>
      </w:r>
    </w:p>
    <w:p w:rsidR="0053152B" w:rsidRPr="00D252D3" w:rsidRDefault="0053152B">
      <w:pPr>
        <w:ind w:left="0" w:firstLine="0"/>
        <w:rPr>
          <w:snapToGrid w:val="0"/>
          <w:lang w:eastAsia="cs-CZ"/>
        </w:rPr>
      </w:pPr>
    </w:p>
    <w:p w:rsidR="0053152B" w:rsidRPr="00D252D3" w:rsidRDefault="0053152B">
      <w:pPr>
        <w:ind w:left="0" w:firstLine="0"/>
        <w:rPr>
          <w:snapToGrid w:val="0"/>
          <w:lang w:eastAsia="cs-CZ"/>
        </w:rPr>
      </w:pPr>
      <w:r w:rsidRPr="00D252D3">
        <w:rPr>
          <w:snapToGrid w:val="0"/>
          <w:u w:val="single"/>
          <w:lang w:eastAsia="cs-CZ"/>
        </w:rPr>
        <w:t>Pressorické amíny (napr. noradrenalín)</w:t>
      </w:r>
    </w:p>
    <w:p w:rsidR="0053152B" w:rsidRPr="00D252D3" w:rsidRDefault="0053152B">
      <w:pPr>
        <w:ind w:left="0" w:firstLine="0"/>
        <w:rPr>
          <w:snapToGrid w:val="0"/>
          <w:lang w:eastAsia="cs-CZ"/>
        </w:rPr>
      </w:pPr>
    </w:p>
    <w:p w:rsidR="0053152B" w:rsidRPr="00D252D3" w:rsidRDefault="0053152B">
      <w:pPr>
        <w:ind w:left="0" w:firstLine="0"/>
        <w:rPr>
          <w:snapToGrid w:val="0"/>
          <w:lang w:eastAsia="cs-CZ"/>
        </w:rPr>
      </w:pPr>
      <w:r w:rsidRPr="00D252D3">
        <w:rPr>
          <w:snapToGrid w:val="0"/>
          <w:lang w:eastAsia="cs-CZ"/>
        </w:rPr>
        <w:t>Účinok pressorických amínov môže byť znížený.</w:t>
      </w:r>
    </w:p>
    <w:p w:rsidR="0053152B" w:rsidRPr="00D252D3" w:rsidRDefault="0053152B">
      <w:pPr>
        <w:ind w:left="0" w:firstLine="0"/>
        <w:rPr>
          <w:snapToGrid w:val="0"/>
          <w:lang w:eastAsia="cs-CZ"/>
        </w:rPr>
      </w:pPr>
    </w:p>
    <w:p w:rsidR="0053152B" w:rsidRPr="00D252D3" w:rsidRDefault="0053152B">
      <w:pPr>
        <w:ind w:left="0" w:firstLine="0"/>
        <w:rPr>
          <w:snapToGrid w:val="0"/>
          <w:u w:val="single"/>
          <w:lang w:eastAsia="cs-CZ"/>
        </w:rPr>
      </w:pPr>
      <w:r w:rsidRPr="00D252D3">
        <w:rPr>
          <w:snapToGrid w:val="0"/>
          <w:u w:val="single"/>
          <w:lang w:eastAsia="cs-CZ"/>
        </w:rPr>
        <w:t>Nedepolarizujúce relaxanciá kostrového svalstva (napr. tubokurarín)</w:t>
      </w:r>
    </w:p>
    <w:p w:rsidR="0053152B" w:rsidRPr="00D252D3" w:rsidRDefault="0053152B">
      <w:pPr>
        <w:ind w:left="0" w:firstLine="0"/>
        <w:rPr>
          <w:snapToGrid w:val="0"/>
          <w:u w:val="single"/>
          <w:lang w:eastAsia="cs-CZ"/>
        </w:rPr>
      </w:pPr>
    </w:p>
    <w:p w:rsidR="0053152B" w:rsidRPr="00D252D3" w:rsidRDefault="0053152B">
      <w:pPr>
        <w:ind w:left="0" w:firstLine="0"/>
        <w:rPr>
          <w:snapToGrid w:val="0"/>
          <w:lang w:eastAsia="cs-CZ"/>
        </w:rPr>
      </w:pPr>
      <w:r w:rsidRPr="00D252D3">
        <w:rPr>
          <w:snapToGrid w:val="0"/>
          <w:lang w:eastAsia="cs-CZ"/>
        </w:rPr>
        <w:t>Účinok nedepolarizačných relaxancií kostrového svalstva môže byť hydrochlorotiazidom potenciovaný.</w:t>
      </w:r>
    </w:p>
    <w:p w:rsidR="0053152B" w:rsidRPr="00D252D3" w:rsidRDefault="0053152B">
      <w:pPr>
        <w:ind w:left="0" w:firstLine="0"/>
        <w:rPr>
          <w:snapToGrid w:val="0"/>
          <w:lang w:eastAsia="cs-CZ"/>
        </w:rPr>
      </w:pPr>
    </w:p>
    <w:p w:rsidR="0053152B" w:rsidRPr="00D252D3" w:rsidRDefault="0053152B">
      <w:pPr>
        <w:ind w:left="0" w:firstLine="0"/>
        <w:rPr>
          <w:snapToGrid w:val="0"/>
          <w:lang w:eastAsia="cs-CZ"/>
        </w:rPr>
      </w:pPr>
      <w:r w:rsidRPr="00D252D3">
        <w:rPr>
          <w:snapToGrid w:val="0"/>
          <w:u w:val="single"/>
          <w:lang w:eastAsia="cs-CZ"/>
        </w:rPr>
        <w:t>Lieky používané pri liečbe dny (napr. probenecid, sulfinpyraz</w:t>
      </w:r>
      <w:r w:rsidR="00487158" w:rsidRPr="00D252D3">
        <w:rPr>
          <w:snapToGrid w:val="0"/>
          <w:u w:val="single"/>
          <w:lang w:eastAsia="cs-CZ"/>
        </w:rPr>
        <w:t>ó</w:t>
      </w:r>
      <w:r w:rsidRPr="00D252D3">
        <w:rPr>
          <w:snapToGrid w:val="0"/>
          <w:u w:val="single"/>
          <w:lang w:eastAsia="cs-CZ"/>
        </w:rPr>
        <w:t>n a alopurinol)</w:t>
      </w:r>
      <w:r w:rsidRPr="00D252D3">
        <w:rPr>
          <w:snapToGrid w:val="0"/>
          <w:lang w:eastAsia="cs-CZ"/>
        </w:rPr>
        <w:t xml:space="preserve"> </w:t>
      </w:r>
    </w:p>
    <w:p w:rsidR="0053152B" w:rsidRPr="00D252D3" w:rsidRDefault="0053152B">
      <w:pPr>
        <w:ind w:left="0" w:firstLine="0"/>
        <w:rPr>
          <w:snapToGrid w:val="0"/>
          <w:lang w:eastAsia="cs-CZ"/>
        </w:rPr>
      </w:pPr>
    </w:p>
    <w:p w:rsidR="0053152B" w:rsidRPr="00D252D3" w:rsidRDefault="0053152B">
      <w:pPr>
        <w:ind w:left="0" w:firstLine="0"/>
        <w:rPr>
          <w:snapToGrid w:val="0"/>
          <w:lang w:eastAsia="cs-CZ"/>
        </w:rPr>
      </w:pPr>
      <w:r w:rsidRPr="00D252D3">
        <w:rPr>
          <w:snapToGrid w:val="0"/>
          <w:lang w:eastAsia="cs-CZ"/>
        </w:rPr>
        <w:t>Môže byť potrebná úprava dávkovania urikozurík, pretože hydrochlorotiazid môže zvyšovať hladinu sérovej kyseliny močovej. Môže byť potrebné zvýšenie dávkovania probenecidu alebo sulfínpyraz</w:t>
      </w:r>
      <w:r w:rsidR="00487158" w:rsidRPr="00D252D3">
        <w:rPr>
          <w:snapToGrid w:val="0"/>
          <w:lang w:eastAsia="cs-CZ"/>
        </w:rPr>
        <w:t>ó</w:t>
      </w:r>
      <w:r w:rsidRPr="00D252D3">
        <w:rPr>
          <w:snapToGrid w:val="0"/>
          <w:lang w:eastAsia="cs-CZ"/>
        </w:rPr>
        <w:t>nu. Súbežné podávanie tiazidu môže zvýšiť výskyt reakcií precitlivenosti na alopurinol.</w:t>
      </w:r>
    </w:p>
    <w:p w:rsidR="0053152B" w:rsidRPr="00D252D3" w:rsidRDefault="0053152B">
      <w:pPr>
        <w:ind w:left="0" w:firstLine="0"/>
        <w:rPr>
          <w:snapToGrid w:val="0"/>
          <w:lang w:eastAsia="cs-CZ"/>
        </w:rPr>
      </w:pPr>
    </w:p>
    <w:p w:rsidR="0053152B" w:rsidRPr="00D252D3" w:rsidRDefault="0053152B" w:rsidP="005163A1">
      <w:pPr>
        <w:keepNext/>
        <w:ind w:left="0" w:firstLine="0"/>
        <w:rPr>
          <w:snapToGrid w:val="0"/>
          <w:lang w:eastAsia="cs-CZ"/>
        </w:rPr>
      </w:pPr>
      <w:r w:rsidRPr="00D252D3">
        <w:rPr>
          <w:snapToGrid w:val="0"/>
          <w:u w:val="single"/>
          <w:lang w:eastAsia="cs-CZ"/>
        </w:rPr>
        <w:t>Soli vápnika</w:t>
      </w:r>
      <w:r w:rsidRPr="00D252D3">
        <w:rPr>
          <w:snapToGrid w:val="0"/>
          <w:lang w:eastAsia="cs-CZ"/>
        </w:rPr>
        <w:t xml:space="preserve"> </w:t>
      </w:r>
    </w:p>
    <w:p w:rsidR="0053152B" w:rsidRPr="00D252D3" w:rsidRDefault="0053152B" w:rsidP="005163A1">
      <w:pPr>
        <w:keepNext/>
        <w:ind w:left="0" w:firstLine="0"/>
        <w:rPr>
          <w:snapToGrid w:val="0"/>
          <w:lang w:eastAsia="cs-CZ"/>
        </w:rPr>
      </w:pPr>
    </w:p>
    <w:p w:rsidR="0053152B" w:rsidRPr="00D252D3" w:rsidRDefault="0053152B" w:rsidP="005163A1">
      <w:pPr>
        <w:keepNext/>
        <w:ind w:left="0" w:firstLine="0"/>
        <w:rPr>
          <w:snapToGrid w:val="0"/>
          <w:lang w:eastAsia="cs-CZ"/>
        </w:rPr>
      </w:pPr>
      <w:r w:rsidRPr="00D252D3">
        <w:rPr>
          <w:snapToGrid w:val="0"/>
          <w:lang w:eastAsia="cs-CZ"/>
        </w:rPr>
        <w:t>Tiazidové diuretiká môžu zvýšiť hladinu sérového vápnika z dôvodu zníženého vylučovania. Ak sa musia predpísať náhrady vápnika alebo lieky šetriace vápnik (napr. liečba vitamínom D), musia sa sledovať hladiny sérového vápnika a podľa toho upraviť dávkovanie vápnika.</w:t>
      </w:r>
    </w:p>
    <w:p w:rsidR="0053152B" w:rsidRPr="00D252D3" w:rsidRDefault="0053152B">
      <w:pPr>
        <w:ind w:left="0" w:firstLine="0"/>
        <w:rPr>
          <w:snapToGrid w:val="0"/>
          <w:lang w:eastAsia="cs-CZ"/>
        </w:rPr>
      </w:pPr>
    </w:p>
    <w:p w:rsidR="0053152B" w:rsidRPr="00D252D3" w:rsidRDefault="0053152B">
      <w:pPr>
        <w:ind w:left="0" w:firstLine="0"/>
        <w:rPr>
          <w:snapToGrid w:val="0"/>
          <w:lang w:eastAsia="cs-CZ"/>
        </w:rPr>
      </w:pPr>
      <w:r w:rsidRPr="00D252D3">
        <w:rPr>
          <w:snapToGrid w:val="0"/>
          <w:u w:val="single"/>
          <w:lang w:eastAsia="cs-CZ"/>
        </w:rPr>
        <w:t>Betablokátory a diazoxid</w:t>
      </w:r>
      <w:r w:rsidRPr="00D252D3">
        <w:rPr>
          <w:snapToGrid w:val="0"/>
          <w:lang w:eastAsia="cs-CZ"/>
        </w:rPr>
        <w:t xml:space="preserve"> </w:t>
      </w:r>
    </w:p>
    <w:p w:rsidR="0053152B" w:rsidRPr="00D252D3" w:rsidRDefault="0053152B">
      <w:pPr>
        <w:ind w:left="0" w:firstLine="0"/>
        <w:rPr>
          <w:snapToGrid w:val="0"/>
          <w:lang w:eastAsia="cs-CZ"/>
        </w:rPr>
      </w:pPr>
    </w:p>
    <w:p w:rsidR="0053152B" w:rsidRPr="00D252D3" w:rsidRDefault="0053152B">
      <w:pPr>
        <w:ind w:left="0" w:firstLine="0"/>
        <w:rPr>
          <w:snapToGrid w:val="0"/>
          <w:lang w:eastAsia="cs-CZ"/>
        </w:rPr>
      </w:pPr>
      <w:r w:rsidRPr="00D252D3">
        <w:rPr>
          <w:snapToGrid w:val="0"/>
          <w:lang w:eastAsia="cs-CZ"/>
        </w:rPr>
        <w:t>Hyperglykemický účinok betablokátorov a diazoxidu môže byť tiazidmi zvýšený.</w:t>
      </w:r>
    </w:p>
    <w:p w:rsidR="008B0467" w:rsidRPr="00D252D3" w:rsidRDefault="008B0467">
      <w:pPr>
        <w:ind w:left="0" w:firstLine="0"/>
        <w:rPr>
          <w:snapToGrid w:val="0"/>
          <w:u w:val="single"/>
          <w:lang w:eastAsia="cs-CZ"/>
        </w:rPr>
      </w:pPr>
    </w:p>
    <w:p w:rsidR="0053152B" w:rsidRPr="00D252D3" w:rsidRDefault="0053152B">
      <w:pPr>
        <w:ind w:left="0" w:firstLine="0"/>
        <w:rPr>
          <w:snapToGrid w:val="0"/>
          <w:lang w:eastAsia="cs-CZ"/>
        </w:rPr>
      </w:pPr>
      <w:r w:rsidRPr="00D252D3">
        <w:rPr>
          <w:snapToGrid w:val="0"/>
          <w:u w:val="single"/>
          <w:lang w:eastAsia="cs-CZ"/>
        </w:rPr>
        <w:t xml:space="preserve">Anticholínergné látky </w:t>
      </w:r>
      <w:r w:rsidRPr="00D252D3">
        <w:rPr>
          <w:snapToGrid w:val="0"/>
          <w:lang w:eastAsia="cs-CZ"/>
        </w:rPr>
        <w:t>(napr. atropín, biperidén): môžu zvýšiť biologickú dostupnosť diuretík tiazidového typu znížením gastrointestinálnej motility a rýchlosti vyprázdnenia žalúdka.</w:t>
      </w:r>
    </w:p>
    <w:p w:rsidR="0053152B" w:rsidRPr="00D252D3" w:rsidRDefault="0053152B">
      <w:pPr>
        <w:ind w:left="0" w:firstLine="0"/>
        <w:rPr>
          <w:snapToGrid w:val="0"/>
          <w:lang w:eastAsia="cs-CZ"/>
        </w:rPr>
      </w:pPr>
    </w:p>
    <w:p w:rsidR="0053152B" w:rsidRPr="00D252D3" w:rsidRDefault="0053152B">
      <w:pPr>
        <w:ind w:left="0" w:firstLine="0"/>
        <w:rPr>
          <w:snapToGrid w:val="0"/>
          <w:u w:val="single"/>
          <w:lang w:eastAsia="cs-CZ"/>
        </w:rPr>
      </w:pPr>
      <w:r w:rsidRPr="00D252D3">
        <w:rPr>
          <w:snapToGrid w:val="0"/>
          <w:u w:val="single"/>
          <w:lang w:eastAsia="cs-CZ"/>
        </w:rPr>
        <w:t xml:space="preserve">Amantadín </w:t>
      </w:r>
    </w:p>
    <w:p w:rsidR="0053152B" w:rsidRPr="00D252D3" w:rsidRDefault="0053152B">
      <w:pPr>
        <w:ind w:left="0" w:firstLine="0"/>
        <w:rPr>
          <w:snapToGrid w:val="0"/>
          <w:u w:val="single"/>
          <w:lang w:eastAsia="cs-CZ"/>
        </w:rPr>
      </w:pPr>
    </w:p>
    <w:p w:rsidR="0053152B" w:rsidRPr="00D252D3" w:rsidRDefault="0053152B">
      <w:pPr>
        <w:ind w:left="0" w:firstLine="0"/>
        <w:rPr>
          <w:snapToGrid w:val="0"/>
          <w:lang w:eastAsia="cs-CZ"/>
        </w:rPr>
      </w:pPr>
      <w:r w:rsidRPr="00D252D3">
        <w:rPr>
          <w:snapToGrid w:val="0"/>
          <w:lang w:eastAsia="cs-CZ"/>
        </w:rPr>
        <w:t>Tiazidy môžu zvýšiť riziko nežiaducich účinkov zapríčinených amantadínom.</w:t>
      </w:r>
    </w:p>
    <w:p w:rsidR="0053152B" w:rsidRPr="00D252D3" w:rsidRDefault="0053152B">
      <w:pPr>
        <w:ind w:left="0" w:firstLine="0"/>
        <w:rPr>
          <w:snapToGrid w:val="0"/>
          <w:lang w:eastAsia="cs-CZ"/>
        </w:rPr>
      </w:pPr>
    </w:p>
    <w:p w:rsidR="0053152B" w:rsidRPr="00D252D3" w:rsidRDefault="0053152B" w:rsidP="0051567B">
      <w:pPr>
        <w:keepNext/>
        <w:ind w:left="0" w:firstLine="0"/>
        <w:rPr>
          <w:snapToGrid w:val="0"/>
          <w:lang w:eastAsia="cs-CZ"/>
        </w:rPr>
      </w:pPr>
      <w:r w:rsidRPr="00D252D3">
        <w:rPr>
          <w:snapToGrid w:val="0"/>
          <w:u w:val="single"/>
          <w:lang w:eastAsia="cs-CZ"/>
        </w:rPr>
        <w:t>Cytotoxické látky</w:t>
      </w:r>
      <w:r w:rsidRPr="00D252D3">
        <w:rPr>
          <w:snapToGrid w:val="0"/>
          <w:lang w:eastAsia="cs-CZ"/>
        </w:rPr>
        <w:t xml:space="preserve"> (napr. cyklofosfamid, metotrexát)</w:t>
      </w:r>
    </w:p>
    <w:p w:rsidR="0053152B" w:rsidRPr="00D252D3" w:rsidRDefault="0053152B" w:rsidP="0051567B">
      <w:pPr>
        <w:keepNext/>
        <w:ind w:left="0" w:firstLine="0"/>
        <w:rPr>
          <w:snapToGrid w:val="0"/>
          <w:lang w:eastAsia="cs-CZ"/>
        </w:rPr>
      </w:pPr>
    </w:p>
    <w:p w:rsidR="0053152B" w:rsidRPr="00D252D3" w:rsidRDefault="0053152B">
      <w:pPr>
        <w:ind w:left="0" w:firstLine="0"/>
        <w:rPr>
          <w:snapToGrid w:val="0"/>
          <w:lang w:eastAsia="cs-CZ"/>
        </w:rPr>
      </w:pPr>
      <w:r w:rsidRPr="00D252D3">
        <w:rPr>
          <w:snapToGrid w:val="0"/>
          <w:lang w:eastAsia="cs-CZ"/>
        </w:rPr>
        <w:t>Tiazidy môžu znížiť renálne vylučovanie cytotoxických liekov a potenciovať ich myelosupresívne účinky.</w:t>
      </w:r>
    </w:p>
    <w:p w:rsidR="0053152B" w:rsidRPr="00D252D3" w:rsidRDefault="0053152B"/>
    <w:p w:rsidR="0053152B" w:rsidRPr="00D252D3" w:rsidRDefault="0053152B">
      <w:r w:rsidRPr="00D252D3">
        <w:t>Na základe ich farmakologických vlastností sa dá očakávať, že nasledovné lieky môžu zvyšovať</w:t>
      </w:r>
    </w:p>
    <w:p w:rsidR="0053152B" w:rsidRPr="00D252D3" w:rsidRDefault="0053152B">
      <w:r w:rsidRPr="00D252D3">
        <w:t>hypotenzné účinky všetkých antihypertenzív vrátane telmisartanu: baklofen, amiostín.</w:t>
      </w:r>
    </w:p>
    <w:p w:rsidR="0053152B" w:rsidRPr="00D252D3" w:rsidRDefault="0053152B">
      <w:r w:rsidRPr="00D252D3">
        <w:t>Navyše, ortostatická hypotenzia môže byť zhoršená alkoholom, barbiturátmi, narkotikami alebo</w:t>
      </w:r>
    </w:p>
    <w:p w:rsidR="0053152B" w:rsidRPr="00D252D3" w:rsidRDefault="0053152B">
      <w:r w:rsidRPr="00D252D3">
        <w:t>antidepresívami.</w:t>
      </w:r>
    </w:p>
    <w:p w:rsidR="0053152B" w:rsidRPr="00D252D3" w:rsidRDefault="0053152B"/>
    <w:p w:rsidR="0053152B" w:rsidRPr="00D252D3" w:rsidRDefault="0053152B">
      <w:pPr>
        <w:keepNext/>
        <w:keepLines/>
        <w:ind w:left="562" w:hanging="562"/>
      </w:pPr>
      <w:r w:rsidRPr="00D252D3">
        <w:rPr>
          <w:b/>
        </w:rPr>
        <w:t>4.6</w:t>
      </w:r>
      <w:r w:rsidRPr="00D252D3">
        <w:rPr>
          <w:b/>
        </w:rPr>
        <w:tab/>
        <w:t>Fertilita, gravidita a laktácia</w:t>
      </w:r>
    </w:p>
    <w:p w:rsidR="0053152B" w:rsidRPr="00D252D3" w:rsidRDefault="0053152B">
      <w:pPr>
        <w:keepNext/>
        <w:keepLines/>
        <w:ind w:left="562" w:hanging="562"/>
      </w:pPr>
    </w:p>
    <w:p w:rsidR="0053152B" w:rsidRPr="00D252D3" w:rsidRDefault="0053152B">
      <w:pPr>
        <w:keepNext/>
        <w:keepLines/>
        <w:ind w:left="562" w:hanging="562"/>
        <w:rPr>
          <w:u w:val="single"/>
        </w:rPr>
      </w:pPr>
      <w:r w:rsidRPr="00D252D3">
        <w:rPr>
          <w:u w:val="single"/>
        </w:rPr>
        <w:t>Gravidita</w:t>
      </w:r>
    </w:p>
    <w:p w:rsidR="0053152B" w:rsidRPr="00D252D3" w:rsidRDefault="0053152B">
      <w:pPr>
        <w:keepNext/>
        <w:keepLines/>
        <w:ind w:left="562" w:hanging="562"/>
        <w:rPr>
          <w:u w:val="single"/>
        </w:rPr>
      </w:pPr>
    </w:p>
    <w:p w:rsidR="0053152B" w:rsidRPr="00D252D3" w:rsidRDefault="0053152B">
      <w:pPr>
        <w:pStyle w:val="BodyText2"/>
        <w:pBdr>
          <w:top w:val="single" w:sz="4" w:space="1" w:color="auto"/>
          <w:left w:val="single" w:sz="4" w:space="6" w:color="auto"/>
          <w:bottom w:val="single" w:sz="4" w:space="1" w:color="auto"/>
          <w:right w:val="single" w:sz="4" w:space="4" w:color="auto"/>
        </w:pBdr>
        <w:spacing w:after="0" w:line="240" w:lineRule="auto"/>
        <w:ind w:left="0" w:firstLine="0"/>
        <w:rPr>
          <w:szCs w:val="22"/>
        </w:rPr>
      </w:pPr>
      <w:r w:rsidRPr="00D252D3">
        <w:rPr>
          <w:szCs w:val="22"/>
        </w:rPr>
        <w:t>Užívanie antagonistov receptora angiotenzínu II sa neodporúča počas prvého trimestra gravidity (pozri časť 4.4). Použitie antagonistov receptora angiotenzínu II je kontraindikované počas druhého a tretieho trimestra gravidity (pozri časti 4.3 a 4.4).</w:t>
      </w:r>
    </w:p>
    <w:p w:rsidR="0053152B" w:rsidRPr="00D252D3" w:rsidRDefault="0053152B"/>
    <w:p w:rsidR="0053152B" w:rsidRPr="00D252D3" w:rsidRDefault="0053152B">
      <w:pPr>
        <w:ind w:left="0" w:firstLine="0"/>
        <w:rPr>
          <w:szCs w:val="22"/>
        </w:rPr>
      </w:pPr>
      <w:r w:rsidRPr="00D252D3">
        <w:rPr>
          <w:szCs w:val="22"/>
        </w:rPr>
        <w:t xml:space="preserve">Nie sú k dispozícii dostatočné údaje o užívaní </w:t>
      </w:r>
      <w:r w:rsidRPr="00D252D3">
        <w:rPr>
          <w:snapToGrid w:val="0"/>
          <w:lang w:eastAsia="cs-CZ"/>
        </w:rPr>
        <w:t>MicardisPlusu</w:t>
      </w:r>
      <w:r w:rsidRPr="00D252D3">
        <w:rPr>
          <w:szCs w:val="22"/>
        </w:rPr>
        <w:t xml:space="preserve"> u gravidných žien. Štúdie na zvieratách preukázali reprodukčnú toxicitu (pozri časť 5.3).</w:t>
      </w:r>
    </w:p>
    <w:p w:rsidR="0053152B" w:rsidRPr="00D252D3" w:rsidRDefault="0053152B">
      <w:pPr>
        <w:ind w:left="0" w:firstLine="0"/>
        <w:rPr>
          <w:szCs w:val="22"/>
        </w:rPr>
      </w:pPr>
    </w:p>
    <w:p w:rsidR="0053152B" w:rsidRPr="00D252D3" w:rsidRDefault="0053152B">
      <w:pPr>
        <w:ind w:left="0" w:firstLine="0"/>
        <w:rPr>
          <w:szCs w:val="22"/>
        </w:rPr>
      </w:pPr>
      <w:r w:rsidRPr="00D252D3">
        <w:rPr>
          <w:szCs w:val="22"/>
        </w:rPr>
        <w:t xml:space="preserve">Epidemiologické dôkazy týkajúce sa rizika teratogenity po vystavení účinku </w:t>
      </w:r>
      <w:smartTag w:uri="urn:schemas-microsoft-com:office:smarttags" w:element="stockticker">
        <w:r w:rsidRPr="00D252D3">
          <w:rPr>
            <w:szCs w:val="22"/>
          </w:rPr>
          <w:t>ACE</w:t>
        </w:r>
      </w:smartTag>
      <w:r w:rsidRPr="00D252D3">
        <w:rPr>
          <w:szCs w:val="22"/>
        </w:rPr>
        <w:t xml:space="preserve"> inhibítorov počas prvého trimestra gravidity nie sú preukazné. Malé zvýšenie rizika však nemožno vylúčiť. </w:t>
      </w:r>
    </w:p>
    <w:p w:rsidR="0053152B" w:rsidRPr="00D252D3" w:rsidRDefault="0053152B">
      <w:pPr>
        <w:ind w:left="0" w:firstLine="0"/>
        <w:rPr>
          <w:szCs w:val="22"/>
        </w:rPr>
      </w:pPr>
      <w:r w:rsidRPr="00D252D3">
        <w:rPr>
          <w:szCs w:val="22"/>
        </w:rPr>
        <w:t>Pokiaľ neexistujú žiadne kontrolované epidemiologické údaje o riziku antagonistov receptora angiotenzínu II, pre túto triedu liečiv môžu existovať podobné riziká. Pokiaľ nie je pokračovanie liečby antagonistmi receptora angiotenzínu II považované za nevyhnutné, pacientky, ktoré plánujú graviditu sa majú prestaviť na alternatívnu antihypertenznú liečbu, ktorá má preukázaný bezpečnostný profil pri používaní v gravidite. Ak sa gravidita diagnostikuje, liečba antagonistmi receptora angiotenzínu II sa musí okamžite ukončiť a ak je vhodné, má sa začať alternatívna liečba.</w:t>
      </w:r>
    </w:p>
    <w:p w:rsidR="0053152B" w:rsidRPr="00D252D3" w:rsidRDefault="0053152B">
      <w:pPr>
        <w:autoSpaceDE w:val="0"/>
        <w:autoSpaceDN w:val="0"/>
        <w:adjustRightInd w:val="0"/>
        <w:ind w:left="0" w:firstLine="0"/>
        <w:rPr>
          <w:szCs w:val="22"/>
        </w:rPr>
      </w:pPr>
    </w:p>
    <w:p w:rsidR="0053152B" w:rsidRPr="00D252D3" w:rsidRDefault="0053152B">
      <w:pPr>
        <w:autoSpaceDE w:val="0"/>
        <w:autoSpaceDN w:val="0"/>
        <w:adjustRightInd w:val="0"/>
        <w:ind w:left="0" w:firstLine="0"/>
        <w:rPr>
          <w:szCs w:val="22"/>
        </w:rPr>
      </w:pPr>
      <w:r w:rsidRPr="00D252D3">
        <w:rPr>
          <w:szCs w:val="22"/>
        </w:rPr>
        <w:t>Expozícia liečbe antagonistmi receptora angiotenzínu II počas druhého a tretieho trimestra je známa tým, že indukuje fetotoxicitu u ľudí (znížená funkcia obličiek, oligohydramnión, retardácia osifikácie lebky) a neonatálnu toxicitu (renálne zlyhanie, hypotenzia, hyperkaliémia). (Pozri časť 5.3).</w:t>
      </w:r>
    </w:p>
    <w:p w:rsidR="0053152B" w:rsidRPr="00D252D3" w:rsidRDefault="0053152B">
      <w:pPr>
        <w:autoSpaceDE w:val="0"/>
        <w:autoSpaceDN w:val="0"/>
        <w:adjustRightInd w:val="0"/>
        <w:ind w:left="0" w:firstLine="0"/>
        <w:rPr>
          <w:szCs w:val="22"/>
        </w:rPr>
      </w:pPr>
      <w:r w:rsidRPr="00D252D3">
        <w:rPr>
          <w:szCs w:val="22"/>
        </w:rPr>
        <w:t>Ak došlo od druhého trimestra gravidity k vystaveniu účinkom antagonistov receptora angiotenzínu II, odporúča sa ultrazvukové vyšetrenie funkcie obličiek a lebky.</w:t>
      </w:r>
    </w:p>
    <w:p w:rsidR="0053152B" w:rsidRPr="00D252D3" w:rsidRDefault="0053152B">
      <w:pPr>
        <w:spacing w:line="260" w:lineRule="exact"/>
        <w:ind w:left="0" w:firstLine="0"/>
        <w:rPr>
          <w:szCs w:val="22"/>
          <w:highlight w:val="yellow"/>
        </w:rPr>
      </w:pPr>
      <w:r w:rsidRPr="00D252D3">
        <w:rPr>
          <w:szCs w:val="22"/>
        </w:rPr>
        <w:t>Novorodenci, ktorých matky užívali antagonisty receptora angiotenzínu II sa majú starostlivo sledovať z dôvodu hypotenzie (pozri časti 4.3 a 4.4).</w:t>
      </w:r>
    </w:p>
    <w:p w:rsidR="0053152B" w:rsidRPr="00D252D3" w:rsidRDefault="0053152B">
      <w:pPr>
        <w:pStyle w:val="PlainText"/>
        <w:rPr>
          <w:rFonts w:ascii="Times New Roman" w:hAnsi="Times New Roman"/>
          <w:sz w:val="22"/>
          <w:szCs w:val="22"/>
          <w:lang w:val="sk-SK"/>
        </w:rPr>
      </w:pPr>
    </w:p>
    <w:p w:rsidR="0053152B" w:rsidRPr="00D252D3" w:rsidRDefault="0053152B">
      <w:pPr>
        <w:pStyle w:val="PlainText"/>
        <w:rPr>
          <w:rFonts w:ascii="Times New Roman" w:hAnsi="Times New Roman"/>
          <w:sz w:val="22"/>
          <w:szCs w:val="22"/>
          <w:lang w:val="sk-SK"/>
        </w:rPr>
      </w:pPr>
      <w:r w:rsidRPr="00D252D3">
        <w:rPr>
          <w:rFonts w:ascii="Times New Roman" w:hAnsi="Times New Roman"/>
          <w:sz w:val="22"/>
          <w:szCs w:val="22"/>
          <w:lang w:val="sk-SK"/>
        </w:rPr>
        <w:t>S užívaním hydrochlorotiazidu počas tehotenstva sú len obmedzené skúsenosti, obzvlášť počas prvého trimestra. Štúdie na zvieratách sú nedostatočné. Hydrochlorotiazid prechádza placentou. Vychádzajúc z farmakologického mechanizmu účinku hydrochlorotiazidu môže jeho užívanie počas druhého a tretieho trimestra znížiť fetálnu a placentovú perfúziu a môže mať následky na plod a novorodenca ako je ikterus, porucha elektrolytickej rovnováhy a trombocytopénia.</w:t>
      </w:r>
    </w:p>
    <w:p w:rsidR="0053152B" w:rsidRPr="00D252D3" w:rsidRDefault="0053152B">
      <w:pPr>
        <w:pStyle w:val="PlainText"/>
        <w:rPr>
          <w:rFonts w:ascii="Times New Roman" w:hAnsi="Times New Roman"/>
          <w:sz w:val="22"/>
          <w:szCs w:val="22"/>
          <w:lang w:val="sk-SK"/>
        </w:rPr>
      </w:pPr>
      <w:r w:rsidRPr="00D252D3">
        <w:rPr>
          <w:rFonts w:ascii="Times New Roman" w:hAnsi="Times New Roman"/>
          <w:sz w:val="22"/>
          <w:szCs w:val="22"/>
          <w:lang w:val="sk-SK"/>
        </w:rPr>
        <w:t>Hydrochlorotiazid sa nemá používať pri gestačnom edéme, gestačnej hypertenzii alebo preeklampsii  kvôli riziku zníženeho objemu plazmy a hypoperfúzii placenty, bez pozitívneho účinku na priebeh ochorenia.</w:t>
      </w:r>
    </w:p>
    <w:p w:rsidR="0053152B" w:rsidRPr="00D252D3" w:rsidRDefault="0053152B">
      <w:pPr>
        <w:pStyle w:val="PlainText"/>
        <w:rPr>
          <w:rFonts w:ascii="Times New Roman" w:hAnsi="Times New Roman"/>
          <w:sz w:val="22"/>
          <w:szCs w:val="22"/>
          <w:lang w:val="sk-SK"/>
        </w:rPr>
      </w:pPr>
    </w:p>
    <w:p w:rsidR="0053152B" w:rsidRPr="00D252D3" w:rsidRDefault="0053152B">
      <w:pPr>
        <w:pStyle w:val="PlainText"/>
        <w:rPr>
          <w:rFonts w:ascii="Times New Roman" w:hAnsi="Times New Roman"/>
          <w:sz w:val="22"/>
          <w:szCs w:val="22"/>
          <w:lang w:val="sk-SK"/>
        </w:rPr>
      </w:pPr>
      <w:r w:rsidRPr="00D252D3">
        <w:rPr>
          <w:rFonts w:ascii="Times New Roman" w:hAnsi="Times New Roman"/>
          <w:sz w:val="22"/>
          <w:szCs w:val="22"/>
          <w:lang w:val="sk-SK"/>
        </w:rPr>
        <w:t>Hydrochlorotiazid sa nemá užívať pri esenciálnej hypertenzii u tehotných žien s výnimkou zriedkavých prípadov, kedy sa nedá použiť žiadna iná liečba.</w:t>
      </w:r>
    </w:p>
    <w:p w:rsidR="0053152B" w:rsidRPr="00D252D3" w:rsidRDefault="0053152B">
      <w:pPr>
        <w:ind w:left="0" w:firstLine="0"/>
        <w:rPr>
          <w:snapToGrid w:val="0"/>
          <w:lang w:eastAsia="cs-CZ"/>
        </w:rPr>
      </w:pPr>
    </w:p>
    <w:p w:rsidR="0053152B" w:rsidRPr="00D252D3" w:rsidRDefault="0053152B" w:rsidP="0051567B">
      <w:pPr>
        <w:keepNext/>
        <w:ind w:left="0" w:firstLine="0"/>
        <w:rPr>
          <w:snapToGrid w:val="0"/>
          <w:u w:val="single"/>
          <w:lang w:eastAsia="cs-CZ"/>
        </w:rPr>
      </w:pPr>
      <w:r w:rsidRPr="00D252D3">
        <w:rPr>
          <w:snapToGrid w:val="0"/>
          <w:u w:val="single"/>
          <w:lang w:eastAsia="cs-CZ"/>
        </w:rPr>
        <w:t>Dojčenie</w:t>
      </w:r>
    </w:p>
    <w:p w:rsidR="0053152B" w:rsidRPr="00D252D3" w:rsidRDefault="0053152B" w:rsidP="0051567B">
      <w:pPr>
        <w:keepNext/>
        <w:ind w:left="0" w:firstLine="0"/>
        <w:rPr>
          <w:snapToGrid w:val="0"/>
          <w:u w:val="single"/>
          <w:lang w:eastAsia="cs-CZ"/>
        </w:rPr>
      </w:pPr>
    </w:p>
    <w:p w:rsidR="0053152B" w:rsidRPr="00D252D3" w:rsidRDefault="0053152B">
      <w:pPr>
        <w:ind w:left="0" w:firstLine="0"/>
        <w:rPr>
          <w:szCs w:val="22"/>
        </w:rPr>
      </w:pPr>
      <w:r w:rsidRPr="00D252D3">
        <w:rPr>
          <w:szCs w:val="22"/>
        </w:rPr>
        <w:t xml:space="preserve">Keďže nie sú dostupné informácie o používaní MicardisPlusu počas </w:t>
      </w:r>
      <w:r w:rsidR="00487158" w:rsidRPr="00D252D3">
        <w:rPr>
          <w:szCs w:val="22"/>
        </w:rPr>
        <w:t>dojčenia</w:t>
      </w:r>
      <w:r w:rsidRPr="00D252D3">
        <w:rPr>
          <w:szCs w:val="22"/>
        </w:rPr>
        <w:t>, MicardisPlus sa neodporúča a má sa použiť alternatívna liečba s vhodnejším bezpečnostným profilom pre obdobie dojčenia, zvlášť pre dojčenie novorodencov a predčasne narodených dojčiat.</w:t>
      </w:r>
    </w:p>
    <w:p w:rsidR="0053152B" w:rsidRPr="00D252D3" w:rsidRDefault="0053152B">
      <w:pPr>
        <w:pStyle w:val="PlainText"/>
        <w:rPr>
          <w:rFonts w:ascii="Times New Roman" w:hAnsi="Times New Roman"/>
          <w:sz w:val="22"/>
          <w:szCs w:val="22"/>
          <w:lang w:val="sk-SK"/>
        </w:rPr>
      </w:pPr>
    </w:p>
    <w:p w:rsidR="0053152B" w:rsidRPr="00D252D3" w:rsidRDefault="0053152B">
      <w:pPr>
        <w:pStyle w:val="PlainText"/>
        <w:rPr>
          <w:rFonts w:ascii="Times New Roman" w:hAnsi="Times New Roman"/>
          <w:sz w:val="22"/>
          <w:szCs w:val="22"/>
          <w:lang w:val="sk-SK"/>
        </w:rPr>
      </w:pPr>
      <w:r w:rsidRPr="00D252D3">
        <w:rPr>
          <w:rFonts w:ascii="Times New Roman" w:hAnsi="Times New Roman"/>
          <w:sz w:val="22"/>
          <w:szCs w:val="22"/>
          <w:lang w:val="sk-SK"/>
        </w:rPr>
        <w:t>Hydrochlorotiazid sa v malých množstvách vylučuje do materského mlieka. Tiazidy, ktoré vo vysokých dávkach spôsobujú intenzívnu diurézu, môžu utlmiť tvorbu mlieka. Užívanie MicardisPlusu sa počas dojčenia neodporúča. Ak sa MicardisPlus užíva počas dojčenia, dávky majú byť čo najnižšie.</w:t>
      </w:r>
    </w:p>
    <w:p w:rsidR="0053152B" w:rsidRPr="00D252D3" w:rsidRDefault="0053152B">
      <w:pPr>
        <w:ind w:left="0" w:firstLine="0"/>
        <w:rPr>
          <w:snapToGrid w:val="0"/>
          <w:u w:val="single"/>
          <w:lang w:eastAsia="cs-CZ"/>
        </w:rPr>
      </w:pPr>
    </w:p>
    <w:p w:rsidR="0053152B" w:rsidRPr="00D252D3" w:rsidRDefault="0053152B" w:rsidP="0051567B">
      <w:pPr>
        <w:keepNext/>
        <w:ind w:left="0" w:firstLine="0"/>
        <w:rPr>
          <w:snapToGrid w:val="0"/>
          <w:u w:val="single"/>
          <w:lang w:eastAsia="cs-CZ"/>
        </w:rPr>
      </w:pPr>
      <w:r w:rsidRPr="00D252D3">
        <w:rPr>
          <w:snapToGrid w:val="0"/>
          <w:u w:val="single"/>
          <w:lang w:eastAsia="cs-CZ"/>
        </w:rPr>
        <w:t>Fertilita</w:t>
      </w:r>
    </w:p>
    <w:p w:rsidR="0053152B" w:rsidRPr="00D252D3" w:rsidRDefault="0053152B" w:rsidP="0051567B">
      <w:pPr>
        <w:keepNext/>
        <w:ind w:left="0" w:firstLine="0"/>
        <w:rPr>
          <w:snapToGrid w:val="0"/>
          <w:lang w:eastAsia="cs-CZ"/>
        </w:rPr>
      </w:pPr>
    </w:p>
    <w:p w:rsidR="0053152B" w:rsidRPr="00D252D3" w:rsidRDefault="0053152B">
      <w:pPr>
        <w:ind w:left="0" w:firstLine="0"/>
        <w:rPr>
          <w:snapToGrid w:val="0"/>
          <w:lang w:eastAsia="cs-CZ"/>
        </w:rPr>
      </w:pPr>
      <w:r w:rsidRPr="00D252D3">
        <w:rPr>
          <w:snapToGrid w:val="0"/>
          <w:lang w:eastAsia="cs-CZ"/>
        </w:rPr>
        <w:t>V predklinických štúdiách sa nepozorovali žiadne vplyvy telmisartanu a hydrochlorotiazidu na fertilitu samcov a samíc.</w:t>
      </w:r>
    </w:p>
    <w:p w:rsidR="0053152B" w:rsidRPr="00D252D3" w:rsidRDefault="0053152B"/>
    <w:p w:rsidR="0053152B" w:rsidRPr="00D252D3" w:rsidRDefault="0053152B">
      <w:pPr>
        <w:keepNext/>
        <w:keepLines/>
        <w:ind w:left="562" w:hanging="562"/>
      </w:pPr>
      <w:r w:rsidRPr="00D252D3">
        <w:rPr>
          <w:b/>
        </w:rPr>
        <w:t>4.7</w:t>
      </w:r>
      <w:r w:rsidRPr="00D252D3">
        <w:rPr>
          <w:b/>
        </w:rPr>
        <w:tab/>
        <w:t>Ovplyvnenie schopnosti viesť vozidlá a obsluhovať stroje</w:t>
      </w:r>
    </w:p>
    <w:p w:rsidR="0053152B" w:rsidRPr="00D252D3" w:rsidRDefault="0053152B">
      <w:pPr>
        <w:keepNext/>
        <w:keepLines/>
        <w:ind w:left="562" w:hanging="562"/>
      </w:pPr>
    </w:p>
    <w:p w:rsidR="0053152B" w:rsidRPr="00D252D3" w:rsidRDefault="0053152B">
      <w:pPr>
        <w:ind w:left="0" w:firstLine="0"/>
        <w:rPr>
          <w:snapToGrid w:val="0"/>
          <w:lang w:eastAsia="cs-CZ"/>
        </w:rPr>
      </w:pPr>
      <w:r w:rsidRPr="00D252D3">
        <w:rPr>
          <w:snapToGrid w:val="0"/>
          <w:lang w:eastAsia="cs-CZ"/>
        </w:rPr>
        <w:t>MicardisPlus môže mať vplyv na schopnosť viesť vozidlá a obsluhovať stroje. Pri užívaní MicardisPlusu sa občas môže vyskytnúť závrat alebo ospalosť.</w:t>
      </w:r>
    </w:p>
    <w:p w:rsidR="0053152B" w:rsidRPr="00D252D3" w:rsidRDefault="0053152B">
      <w:pPr>
        <w:ind w:left="0" w:firstLine="0"/>
        <w:rPr>
          <w:snapToGrid w:val="0"/>
          <w:lang w:eastAsia="cs-CZ"/>
        </w:rPr>
      </w:pPr>
    </w:p>
    <w:p w:rsidR="0053152B" w:rsidRPr="00D252D3" w:rsidRDefault="0053152B">
      <w:pPr>
        <w:numPr>
          <w:ilvl w:val="1"/>
          <w:numId w:val="1"/>
        </w:numPr>
        <w:rPr>
          <w:b/>
        </w:rPr>
      </w:pPr>
      <w:r w:rsidRPr="00D252D3">
        <w:rPr>
          <w:b/>
        </w:rPr>
        <w:t>Nežiaduce účinky</w:t>
      </w:r>
    </w:p>
    <w:p w:rsidR="0053152B" w:rsidRPr="00D252D3" w:rsidRDefault="0053152B"/>
    <w:p w:rsidR="0053152B" w:rsidRPr="00D252D3" w:rsidRDefault="0053152B">
      <w:pPr>
        <w:rPr>
          <w:u w:val="single"/>
        </w:rPr>
      </w:pPr>
      <w:r w:rsidRPr="00D252D3">
        <w:rPr>
          <w:u w:val="single"/>
        </w:rPr>
        <w:t>Súhrn profilu bezpečnosti</w:t>
      </w:r>
    </w:p>
    <w:p w:rsidR="0053152B" w:rsidRPr="00D252D3" w:rsidRDefault="0053152B"/>
    <w:p w:rsidR="0053152B" w:rsidRPr="00D252D3" w:rsidRDefault="0053152B">
      <w:r w:rsidRPr="00D252D3">
        <w:t>Najčastejšie hlásenou nežiaducou reakciou je závrat. Závažný angioedém sa môže vyskytnúť</w:t>
      </w:r>
    </w:p>
    <w:p w:rsidR="0053152B" w:rsidRPr="00D252D3" w:rsidRDefault="0053152B">
      <w:r w:rsidRPr="00D252D3">
        <w:t>zriedkavo (≥1/10 000 až &lt;1/1000).</w:t>
      </w:r>
    </w:p>
    <w:p w:rsidR="0053152B" w:rsidRPr="00D252D3" w:rsidRDefault="0053152B">
      <w:pPr>
        <w:ind w:left="0" w:firstLine="0"/>
        <w:rPr>
          <w:snapToGrid w:val="0"/>
          <w:u w:val="single"/>
          <w:lang w:eastAsia="cs-CZ"/>
        </w:rPr>
      </w:pPr>
    </w:p>
    <w:p w:rsidR="0053152B" w:rsidRPr="00D252D3" w:rsidRDefault="0053152B">
      <w:pPr>
        <w:ind w:left="0" w:firstLine="0"/>
        <w:rPr>
          <w:snapToGrid w:val="0"/>
          <w:lang w:eastAsia="cs-CZ"/>
        </w:rPr>
      </w:pPr>
      <w:r w:rsidRPr="00D252D3">
        <w:rPr>
          <w:snapToGrid w:val="0"/>
          <w:lang w:eastAsia="cs-CZ"/>
        </w:rPr>
        <w:t xml:space="preserve">Celkový výskyt nežiaducich reakcií zaznamenaný pri </w:t>
      </w:r>
      <w:r w:rsidRPr="00D252D3">
        <w:rPr>
          <w:snapToGrid w:val="0"/>
          <w:szCs w:val="22"/>
          <w:lang w:eastAsia="cs-CZ"/>
        </w:rPr>
        <w:t>MicardisPluse</w:t>
      </w:r>
      <w:r w:rsidRPr="00D252D3">
        <w:rPr>
          <w:snapToGrid w:val="0"/>
          <w:lang w:eastAsia="cs-CZ"/>
        </w:rPr>
        <w:t xml:space="preserve"> bol porovnateľný s účinkami zaznamenanými pri telmisartane samotnom v randomizovaných kontrolovaných skúškach zahrňujúcich 1 471 pacientov, ktorí užívali telmisartan plus hydrochlorotiazid (835) alebo telmisartan samotný (636). Neboli stanovené nežiaduce reakcie súvisiace s dávkou a nebola preukázaná súvislosť s pohlavím, vekom alebo rasou pacientov.</w:t>
      </w:r>
    </w:p>
    <w:p w:rsidR="0053152B" w:rsidRPr="00D252D3" w:rsidRDefault="0053152B">
      <w:pPr>
        <w:ind w:left="0" w:firstLine="0"/>
        <w:rPr>
          <w:snapToGrid w:val="0"/>
          <w:lang w:eastAsia="cs-CZ"/>
        </w:rPr>
      </w:pPr>
    </w:p>
    <w:p w:rsidR="0053152B" w:rsidRPr="00D252D3" w:rsidRDefault="0053152B">
      <w:pPr>
        <w:ind w:left="0" w:firstLine="0"/>
        <w:rPr>
          <w:snapToGrid w:val="0"/>
          <w:u w:val="single"/>
          <w:lang w:eastAsia="cs-CZ"/>
        </w:rPr>
      </w:pPr>
      <w:r w:rsidRPr="00D252D3">
        <w:rPr>
          <w:snapToGrid w:val="0"/>
          <w:u w:val="single"/>
          <w:lang w:eastAsia="cs-CZ"/>
        </w:rPr>
        <w:t>Tabuľkový zoznam nežiaducich reakcií</w:t>
      </w:r>
    </w:p>
    <w:p w:rsidR="0053152B" w:rsidRPr="00D252D3" w:rsidRDefault="0053152B">
      <w:pPr>
        <w:ind w:left="0" w:firstLine="0"/>
        <w:rPr>
          <w:i/>
          <w:snapToGrid w:val="0"/>
          <w:lang w:eastAsia="cs-CZ"/>
        </w:rPr>
      </w:pPr>
    </w:p>
    <w:p w:rsidR="0053152B" w:rsidRPr="00D252D3" w:rsidRDefault="0053152B">
      <w:pPr>
        <w:ind w:left="0" w:firstLine="0"/>
        <w:rPr>
          <w:snapToGrid w:val="0"/>
          <w:lang w:eastAsia="cs-CZ"/>
        </w:rPr>
      </w:pPr>
      <w:r w:rsidRPr="00D252D3">
        <w:rPr>
          <w:snapToGrid w:val="0"/>
          <w:lang w:eastAsia="cs-CZ"/>
        </w:rPr>
        <w:t xml:space="preserve">Nežiaduce reakcie zaznamenané vo všetkých klinických skúškach a vyskytujúce sa častejšie (p≤0,05) s telmisartanom plus hydrochlorotiazidom než s placebom sú ukázané nižšie podľa triedy orgánových systémov. Známe nežiaduce reakcie sa vyskytli s každou zložkou podávanou samostatne, ktoré sa v klinických skúškach neukázali, sa môžu vyskytnúť počas liečby </w:t>
      </w:r>
      <w:r w:rsidRPr="00D252D3">
        <w:rPr>
          <w:snapToGrid w:val="0"/>
          <w:szCs w:val="22"/>
          <w:lang w:eastAsia="cs-CZ"/>
        </w:rPr>
        <w:t>MicardisPlusom</w:t>
      </w:r>
      <w:r w:rsidRPr="00D252D3">
        <w:rPr>
          <w:snapToGrid w:val="0"/>
          <w:lang w:eastAsia="cs-CZ"/>
        </w:rPr>
        <w:t>.</w:t>
      </w:r>
    </w:p>
    <w:p w:rsidR="0053152B" w:rsidRPr="00D252D3" w:rsidRDefault="0053152B">
      <w:pPr>
        <w:ind w:left="0" w:firstLine="0"/>
        <w:rPr>
          <w:snapToGrid w:val="0"/>
          <w:lang w:eastAsia="cs-CZ"/>
        </w:rPr>
      </w:pPr>
    </w:p>
    <w:p w:rsidR="0053152B" w:rsidRPr="00D252D3" w:rsidRDefault="0053152B">
      <w:pPr>
        <w:ind w:left="0" w:firstLine="0"/>
        <w:rPr>
          <w:snapToGrid w:val="0"/>
          <w:lang w:eastAsia="cs-CZ"/>
        </w:rPr>
      </w:pPr>
      <w:r w:rsidRPr="00D252D3">
        <w:rPr>
          <w:snapToGrid w:val="0"/>
          <w:lang w:eastAsia="cs-CZ"/>
        </w:rPr>
        <w:t xml:space="preserve">Nežiaduce reakcie boli vyhodnotené podľa výskytu, použijúc nasledujúcu konvenciu: veľmi časté </w:t>
      </w:r>
    </w:p>
    <w:p w:rsidR="0053152B" w:rsidRPr="00D252D3" w:rsidRDefault="0053152B">
      <w:pPr>
        <w:ind w:left="0" w:firstLine="0"/>
        <w:rPr>
          <w:snapToGrid w:val="0"/>
          <w:lang w:eastAsia="cs-CZ"/>
        </w:rPr>
      </w:pPr>
      <w:r w:rsidRPr="00D252D3">
        <w:rPr>
          <w:snapToGrid w:val="0"/>
          <w:lang w:eastAsia="cs-CZ"/>
        </w:rPr>
        <w:t>(</w:t>
      </w:r>
      <w:r w:rsidRPr="00D252D3">
        <w:rPr>
          <w:snapToGrid w:val="0"/>
          <w:lang w:eastAsia="cs-CZ"/>
        </w:rPr>
        <w:sym w:font="Symbol" w:char="F0B3"/>
      </w:r>
      <w:r w:rsidRPr="00D252D3">
        <w:rPr>
          <w:snapToGrid w:val="0"/>
          <w:lang w:eastAsia="cs-CZ"/>
        </w:rPr>
        <w:t>1/10); časté (</w:t>
      </w:r>
      <w:r w:rsidRPr="00D252D3">
        <w:rPr>
          <w:snapToGrid w:val="0"/>
          <w:lang w:eastAsia="cs-CZ"/>
        </w:rPr>
        <w:sym w:font="Symbol" w:char="F0B3"/>
      </w:r>
      <w:r w:rsidRPr="00D252D3">
        <w:rPr>
          <w:snapToGrid w:val="0"/>
          <w:lang w:eastAsia="cs-CZ"/>
        </w:rPr>
        <w:t>1/100 až &lt;1/10); menej časté (</w:t>
      </w:r>
      <w:r w:rsidRPr="00D252D3">
        <w:rPr>
          <w:snapToGrid w:val="0"/>
          <w:lang w:eastAsia="cs-CZ"/>
        </w:rPr>
        <w:sym w:font="Symbol" w:char="F0B3"/>
      </w:r>
      <w:r w:rsidRPr="00D252D3">
        <w:rPr>
          <w:snapToGrid w:val="0"/>
          <w:lang w:eastAsia="cs-CZ"/>
        </w:rPr>
        <w:t>1/1 000 až &lt;1/100); zriedkavé (</w:t>
      </w:r>
      <w:r w:rsidRPr="00D252D3">
        <w:rPr>
          <w:snapToGrid w:val="0"/>
          <w:lang w:eastAsia="cs-CZ"/>
        </w:rPr>
        <w:sym w:font="Symbol" w:char="F0B3"/>
      </w:r>
      <w:r w:rsidRPr="00D252D3">
        <w:rPr>
          <w:snapToGrid w:val="0"/>
          <w:lang w:eastAsia="cs-CZ"/>
        </w:rPr>
        <w:t xml:space="preserve">1/10 000 až </w:t>
      </w:r>
    </w:p>
    <w:p w:rsidR="0053152B" w:rsidRPr="00D252D3" w:rsidRDefault="0053152B">
      <w:pPr>
        <w:ind w:left="0" w:firstLine="0"/>
        <w:rPr>
          <w:snapToGrid w:val="0"/>
          <w:lang w:eastAsia="cs-CZ"/>
        </w:rPr>
      </w:pPr>
      <w:r w:rsidRPr="00D252D3">
        <w:rPr>
          <w:snapToGrid w:val="0"/>
          <w:lang w:eastAsia="cs-CZ"/>
        </w:rPr>
        <w:t>&lt;1/1 000); veľmi zriedkavé (&lt;1/10 000), neznáme (z dostupných údajov).</w:t>
      </w:r>
    </w:p>
    <w:p w:rsidR="0053152B" w:rsidRPr="00D252D3" w:rsidRDefault="0053152B">
      <w:pPr>
        <w:ind w:left="0" w:firstLine="0"/>
        <w:rPr>
          <w:snapToGrid w:val="0"/>
          <w:lang w:eastAsia="cs-CZ"/>
        </w:rPr>
      </w:pPr>
    </w:p>
    <w:p w:rsidR="0053152B" w:rsidRPr="00D252D3" w:rsidRDefault="0053152B" w:rsidP="0051567B">
      <w:pPr>
        <w:keepNext/>
        <w:ind w:left="0" w:firstLine="0"/>
        <w:rPr>
          <w:snapToGrid w:val="0"/>
          <w:lang w:eastAsia="cs-CZ"/>
        </w:rPr>
      </w:pPr>
      <w:r w:rsidRPr="00D252D3">
        <w:rPr>
          <w:snapToGrid w:val="0"/>
          <w:lang w:eastAsia="cs-CZ"/>
        </w:rPr>
        <w:t>V rámci jednotlivých skupín frekvencií výskytu sú nežiaduce reakcie usporiadané v poradí klesajúcej závažnosti.</w:t>
      </w:r>
    </w:p>
    <w:p w:rsidR="0053152B" w:rsidRPr="00D252D3" w:rsidRDefault="0053152B" w:rsidP="0051567B">
      <w:pPr>
        <w:keepNext/>
        <w:ind w:left="0" w:firstLine="0"/>
        <w:rPr>
          <w:snapToGrid w:val="0"/>
          <w:lang w:eastAsia="cs-CZ"/>
        </w:rPr>
      </w:pPr>
    </w:p>
    <w:tbl>
      <w:tblPr>
        <w:tblW w:w="0" w:type="auto"/>
        <w:tblInd w:w="-38" w:type="dxa"/>
        <w:tblLayout w:type="fixed"/>
        <w:tblCellMar>
          <w:left w:w="70" w:type="dxa"/>
          <w:right w:w="70" w:type="dxa"/>
        </w:tblCellMar>
        <w:tblLook w:val="01E0" w:firstRow="1" w:lastRow="1" w:firstColumn="1" w:lastColumn="1" w:noHBand="0" w:noVBand="0"/>
      </w:tblPr>
      <w:tblGrid>
        <w:gridCol w:w="3708"/>
        <w:gridCol w:w="5400"/>
      </w:tblGrid>
      <w:tr w:rsidR="0053152B" w:rsidRPr="00D252D3">
        <w:tblPrEx>
          <w:tblCellMar>
            <w:top w:w="0" w:type="dxa"/>
            <w:bottom w:w="0" w:type="dxa"/>
          </w:tblCellMar>
        </w:tblPrEx>
        <w:trPr>
          <w:trHeight w:val="850"/>
        </w:trPr>
        <w:tc>
          <w:tcPr>
            <w:tcW w:w="3708" w:type="dxa"/>
          </w:tcPr>
          <w:p w:rsidR="0053152B" w:rsidRPr="00D252D3" w:rsidRDefault="0053152B">
            <w:r w:rsidRPr="00D252D3">
              <w:t>Infekcie a nákazy</w:t>
            </w:r>
          </w:p>
          <w:p w:rsidR="0053152B" w:rsidRPr="00D252D3" w:rsidRDefault="0053152B">
            <w:pPr>
              <w:ind w:firstLine="38"/>
            </w:pPr>
            <w:r w:rsidRPr="00D252D3">
              <w:t>Zriedkavé:</w:t>
            </w:r>
          </w:p>
          <w:p w:rsidR="0053152B" w:rsidRPr="00D252D3" w:rsidRDefault="0053152B"/>
          <w:p w:rsidR="0053152B" w:rsidRPr="00D252D3" w:rsidRDefault="0053152B">
            <w:r w:rsidRPr="00D252D3">
              <w:t>Poruchy imunitného systému:</w:t>
            </w:r>
          </w:p>
          <w:p w:rsidR="0053152B" w:rsidRPr="00D252D3" w:rsidRDefault="0053152B">
            <w:pPr>
              <w:ind w:firstLine="38"/>
            </w:pPr>
            <w:r w:rsidRPr="00D252D3">
              <w:t>Zriedkavé:</w:t>
            </w:r>
          </w:p>
        </w:tc>
        <w:tc>
          <w:tcPr>
            <w:tcW w:w="5400" w:type="dxa"/>
          </w:tcPr>
          <w:p w:rsidR="0053152B" w:rsidRPr="00D252D3" w:rsidRDefault="0053152B"/>
          <w:p w:rsidR="0053152B" w:rsidRPr="00D252D3" w:rsidRDefault="0053152B">
            <w:pPr>
              <w:rPr>
                <w:szCs w:val="22"/>
              </w:rPr>
            </w:pPr>
            <w:r w:rsidRPr="00D252D3">
              <w:t>Bronchitída,</w:t>
            </w:r>
            <w:r w:rsidRPr="00D252D3">
              <w:rPr>
                <w:szCs w:val="22"/>
              </w:rPr>
              <w:t xml:space="preserve"> faryngitída, sinusitída</w:t>
            </w:r>
          </w:p>
          <w:p w:rsidR="0053152B" w:rsidRPr="00D252D3" w:rsidRDefault="0053152B">
            <w:pPr>
              <w:rPr>
                <w:szCs w:val="22"/>
              </w:rPr>
            </w:pPr>
          </w:p>
          <w:p w:rsidR="0053152B" w:rsidRPr="00D252D3" w:rsidRDefault="0053152B">
            <w:pPr>
              <w:rPr>
                <w:szCs w:val="22"/>
              </w:rPr>
            </w:pPr>
          </w:p>
          <w:p w:rsidR="0053152B" w:rsidRPr="00D252D3" w:rsidRDefault="0053152B">
            <w:pPr>
              <w:rPr>
                <w:szCs w:val="22"/>
              </w:rPr>
            </w:pPr>
            <w:r w:rsidRPr="00D252D3">
              <w:rPr>
                <w:szCs w:val="22"/>
              </w:rPr>
              <w:t>Exacerbácia alebo aktivácia systémového lupus</w:t>
            </w:r>
          </w:p>
          <w:p w:rsidR="0053152B" w:rsidRPr="00D252D3" w:rsidRDefault="0053152B">
            <w:r w:rsidRPr="00D252D3">
              <w:rPr>
                <w:szCs w:val="22"/>
              </w:rPr>
              <w:t>erythematosus</w:t>
            </w:r>
            <w:r w:rsidRPr="00D252D3">
              <w:rPr>
                <w:szCs w:val="22"/>
                <w:vertAlign w:val="superscript"/>
              </w:rPr>
              <w:t>1</w:t>
            </w:r>
          </w:p>
          <w:p w:rsidR="0053152B" w:rsidRPr="00D252D3" w:rsidRDefault="0053152B"/>
        </w:tc>
      </w:tr>
      <w:tr w:rsidR="0053152B" w:rsidRPr="00D252D3">
        <w:tblPrEx>
          <w:tblCellMar>
            <w:top w:w="0" w:type="dxa"/>
            <w:bottom w:w="0" w:type="dxa"/>
          </w:tblCellMar>
        </w:tblPrEx>
        <w:trPr>
          <w:trHeight w:val="850"/>
        </w:trPr>
        <w:tc>
          <w:tcPr>
            <w:tcW w:w="3708" w:type="dxa"/>
          </w:tcPr>
          <w:p w:rsidR="0053152B" w:rsidRPr="00D252D3" w:rsidRDefault="0053152B">
            <w:pPr>
              <w:ind w:left="0" w:firstLine="0"/>
            </w:pPr>
            <w:r w:rsidRPr="00D252D3">
              <w:t>Poruchy metabolizmu a výživy</w:t>
            </w:r>
          </w:p>
          <w:p w:rsidR="0053152B" w:rsidRPr="00D252D3" w:rsidRDefault="0053152B">
            <w:pPr>
              <w:ind w:left="605" w:firstLine="0"/>
            </w:pPr>
            <w:r w:rsidRPr="00D252D3">
              <w:t>Menej časté:</w:t>
            </w:r>
          </w:p>
          <w:p w:rsidR="0053152B" w:rsidRPr="00D252D3" w:rsidRDefault="0053152B">
            <w:pPr>
              <w:ind w:left="605" w:firstLine="0"/>
            </w:pPr>
            <w:r w:rsidRPr="00D252D3">
              <w:rPr>
                <w:snapToGrid w:val="0"/>
                <w:lang w:eastAsia="cs-CZ"/>
              </w:rPr>
              <w:t>Zriedkavé</w:t>
            </w:r>
            <w:r w:rsidRPr="00D252D3">
              <w:t>:</w:t>
            </w:r>
          </w:p>
        </w:tc>
        <w:tc>
          <w:tcPr>
            <w:tcW w:w="5400" w:type="dxa"/>
          </w:tcPr>
          <w:p w:rsidR="0053152B" w:rsidRPr="00D252D3" w:rsidRDefault="0053152B"/>
          <w:p w:rsidR="0053152B" w:rsidRPr="00D252D3" w:rsidRDefault="0053152B">
            <w:r w:rsidRPr="00D252D3">
              <w:t>Hypokaliémia</w:t>
            </w:r>
          </w:p>
          <w:p w:rsidR="0053152B" w:rsidRPr="00D252D3" w:rsidRDefault="0053152B">
            <w:r w:rsidRPr="00D252D3">
              <w:t>Hyperurikémia, hyponatriémia</w:t>
            </w:r>
          </w:p>
        </w:tc>
      </w:tr>
      <w:tr w:rsidR="0053152B" w:rsidRPr="00D252D3">
        <w:tblPrEx>
          <w:tblCellMar>
            <w:top w:w="0" w:type="dxa"/>
            <w:bottom w:w="0" w:type="dxa"/>
          </w:tblCellMar>
        </w:tblPrEx>
        <w:trPr>
          <w:trHeight w:val="850"/>
        </w:trPr>
        <w:tc>
          <w:tcPr>
            <w:tcW w:w="3708" w:type="dxa"/>
          </w:tcPr>
          <w:p w:rsidR="0053152B" w:rsidRPr="00D252D3" w:rsidRDefault="0053152B">
            <w:pPr>
              <w:ind w:left="0" w:firstLine="0"/>
            </w:pPr>
            <w:r w:rsidRPr="00D252D3">
              <w:t>Psychické poruchy</w:t>
            </w:r>
          </w:p>
          <w:p w:rsidR="0053152B" w:rsidRPr="00D252D3" w:rsidRDefault="0053152B">
            <w:pPr>
              <w:ind w:left="605" w:firstLine="0"/>
            </w:pPr>
            <w:r w:rsidRPr="00D252D3">
              <w:t>Menej časté:</w:t>
            </w:r>
          </w:p>
          <w:p w:rsidR="0053152B" w:rsidRPr="00D252D3" w:rsidRDefault="0053152B">
            <w:pPr>
              <w:ind w:left="605" w:firstLine="0"/>
            </w:pPr>
            <w:r w:rsidRPr="00D252D3">
              <w:rPr>
                <w:snapToGrid w:val="0"/>
                <w:lang w:eastAsia="cs-CZ"/>
              </w:rPr>
              <w:t>Zriedkavé</w:t>
            </w:r>
            <w:r w:rsidRPr="00D252D3">
              <w:t>:</w:t>
            </w:r>
          </w:p>
        </w:tc>
        <w:tc>
          <w:tcPr>
            <w:tcW w:w="5400" w:type="dxa"/>
          </w:tcPr>
          <w:p w:rsidR="0053152B" w:rsidRPr="00D252D3" w:rsidRDefault="0053152B"/>
          <w:p w:rsidR="0053152B" w:rsidRPr="00D252D3" w:rsidRDefault="0053152B">
            <w:pPr>
              <w:rPr>
                <w:szCs w:val="22"/>
              </w:rPr>
            </w:pPr>
            <w:r w:rsidRPr="00D252D3">
              <w:rPr>
                <w:szCs w:val="22"/>
              </w:rPr>
              <w:t>Úzkosť</w:t>
            </w:r>
          </w:p>
          <w:p w:rsidR="0053152B" w:rsidRPr="00D252D3" w:rsidRDefault="0053152B">
            <w:r w:rsidRPr="00D252D3">
              <w:t>Depresia</w:t>
            </w:r>
          </w:p>
          <w:p w:rsidR="0053152B" w:rsidRPr="00D252D3" w:rsidRDefault="0053152B"/>
        </w:tc>
      </w:tr>
      <w:tr w:rsidR="0053152B" w:rsidRPr="00D252D3">
        <w:tblPrEx>
          <w:tblCellMar>
            <w:top w:w="0" w:type="dxa"/>
            <w:bottom w:w="0" w:type="dxa"/>
          </w:tblCellMar>
        </w:tblPrEx>
        <w:trPr>
          <w:trHeight w:val="850"/>
        </w:trPr>
        <w:tc>
          <w:tcPr>
            <w:tcW w:w="3708" w:type="dxa"/>
          </w:tcPr>
          <w:p w:rsidR="0053152B" w:rsidRPr="00D252D3" w:rsidRDefault="0053152B">
            <w:pPr>
              <w:ind w:left="0" w:firstLine="0"/>
            </w:pPr>
            <w:r w:rsidRPr="00D252D3">
              <w:t>Poruchy nervového systému</w:t>
            </w:r>
          </w:p>
          <w:p w:rsidR="0053152B" w:rsidRPr="00D252D3" w:rsidRDefault="0053152B">
            <w:pPr>
              <w:ind w:left="605" w:firstLine="0"/>
            </w:pPr>
            <w:r w:rsidRPr="00D252D3">
              <w:t>Časté:</w:t>
            </w:r>
          </w:p>
          <w:p w:rsidR="0053152B" w:rsidRPr="00D252D3" w:rsidRDefault="0053152B">
            <w:pPr>
              <w:ind w:left="605" w:firstLine="0"/>
            </w:pPr>
            <w:r w:rsidRPr="00D252D3">
              <w:t>Menej časté:</w:t>
            </w:r>
          </w:p>
          <w:p w:rsidR="0053152B" w:rsidRPr="00D252D3" w:rsidRDefault="0053152B">
            <w:pPr>
              <w:ind w:left="605" w:firstLine="0"/>
            </w:pPr>
            <w:r w:rsidRPr="00D252D3">
              <w:rPr>
                <w:snapToGrid w:val="0"/>
                <w:lang w:eastAsia="cs-CZ"/>
              </w:rPr>
              <w:t>Zriedkavé</w:t>
            </w:r>
            <w:r w:rsidRPr="00D252D3">
              <w:t>:</w:t>
            </w:r>
          </w:p>
        </w:tc>
        <w:tc>
          <w:tcPr>
            <w:tcW w:w="5400" w:type="dxa"/>
          </w:tcPr>
          <w:p w:rsidR="0053152B" w:rsidRPr="00D252D3" w:rsidRDefault="0053152B"/>
          <w:p w:rsidR="0053152B" w:rsidRPr="00D252D3" w:rsidRDefault="0053152B">
            <w:r w:rsidRPr="00D252D3">
              <w:t>Závrat</w:t>
            </w:r>
          </w:p>
          <w:p w:rsidR="0053152B" w:rsidRPr="00D252D3" w:rsidRDefault="0053152B">
            <w:r w:rsidRPr="00D252D3">
              <w:t>Synkopa, parestézia</w:t>
            </w:r>
          </w:p>
          <w:p w:rsidR="0053152B" w:rsidRPr="00D252D3" w:rsidRDefault="0053152B">
            <w:r w:rsidRPr="00D252D3">
              <w:t>Nespavosť, poruchy spánku</w:t>
            </w:r>
          </w:p>
          <w:p w:rsidR="0053152B" w:rsidRPr="00D252D3" w:rsidRDefault="0053152B"/>
        </w:tc>
      </w:tr>
      <w:tr w:rsidR="0053152B" w:rsidRPr="00D252D3">
        <w:tblPrEx>
          <w:tblCellMar>
            <w:top w:w="0" w:type="dxa"/>
            <w:bottom w:w="0" w:type="dxa"/>
          </w:tblCellMar>
        </w:tblPrEx>
        <w:trPr>
          <w:trHeight w:val="527"/>
        </w:trPr>
        <w:tc>
          <w:tcPr>
            <w:tcW w:w="3708" w:type="dxa"/>
          </w:tcPr>
          <w:p w:rsidR="0053152B" w:rsidRPr="00D252D3" w:rsidRDefault="0053152B" w:rsidP="0051567B">
            <w:pPr>
              <w:keepNext/>
              <w:ind w:left="0" w:firstLine="0"/>
              <w:rPr>
                <w:bCs/>
              </w:rPr>
            </w:pPr>
            <w:r w:rsidRPr="00D252D3">
              <w:rPr>
                <w:bCs/>
              </w:rPr>
              <w:t>Poruchy oka</w:t>
            </w:r>
          </w:p>
          <w:p w:rsidR="0053152B" w:rsidRPr="00D252D3" w:rsidRDefault="0053152B">
            <w:pPr>
              <w:ind w:left="605" w:firstLine="0"/>
            </w:pPr>
            <w:r w:rsidRPr="00D252D3">
              <w:rPr>
                <w:snapToGrid w:val="0"/>
                <w:lang w:eastAsia="cs-CZ"/>
              </w:rPr>
              <w:t>Zriedkavé</w:t>
            </w:r>
            <w:r w:rsidRPr="00D252D3">
              <w:t>:</w:t>
            </w:r>
          </w:p>
        </w:tc>
        <w:tc>
          <w:tcPr>
            <w:tcW w:w="5400" w:type="dxa"/>
          </w:tcPr>
          <w:p w:rsidR="0053152B" w:rsidRPr="00D252D3" w:rsidRDefault="0053152B"/>
          <w:p w:rsidR="0053152B" w:rsidRPr="00D252D3" w:rsidRDefault="0053152B">
            <w:r w:rsidRPr="00D252D3">
              <w:t>Porucha zraku, rozmazané videnie</w:t>
            </w:r>
          </w:p>
          <w:p w:rsidR="0053152B" w:rsidRPr="00D252D3" w:rsidRDefault="0053152B"/>
        </w:tc>
      </w:tr>
      <w:tr w:rsidR="0053152B" w:rsidRPr="00D252D3">
        <w:tblPrEx>
          <w:tblCellMar>
            <w:top w:w="0" w:type="dxa"/>
            <w:bottom w:w="0" w:type="dxa"/>
          </w:tblCellMar>
        </w:tblPrEx>
        <w:trPr>
          <w:trHeight w:val="850"/>
        </w:trPr>
        <w:tc>
          <w:tcPr>
            <w:tcW w:w="3708" w:type="dxa"/>
          </w:tcPr>
          <w:p w:rsidR="0053152B" w:rsidRPr="00D252D3" w:rsidRDefault="0053152B">
            <w:pPr>
              <w:ind w:left="0" w:firstLine="0"/>
            </w:pPr>
            <w:r w:rsidRPr="00D252D3">
              <w:rPr>
                <w:bCs/>
              </w:rPr>
              <w:t>Poruchy ucha a labyrintu</w:t>
            </w:r>
          </w:p>
          <w:p w:rsidR="0053152B" w:rsidRPr="00D252D3" w:rsidRDefault="0053152B">
            <w:pPr>
              <w:ind w:left="605" w:firstLine="0"/>
            </w:pPr>
            <w:r w:rsidRPr="00D252D3">
              <w:t>Menej časté:</w:t>
            </w:r>
          </w:p>
        </w:tc>
        <w:tc>
          <w:tcPr>
            <w:tcW w:w="5400" w:type="dxa"/>
          </w:tcPr>
          <w:p w:rsidR="0053152B" w:rsidRPr="00D252D3" w:rsidRDefault="0053152B"/>
          <w:p w:rsidR="0053152B" w:rsidRPr="00D252D3" w:rsidRDefault="0053152B">
            <w:r w:rsidRPr="00D252D3">
              <w:t>Vertigo</w:t>
            </w:r>
          </w:p>
          <w:p w:rsidR="0053152B" w:rsidRPr="00D252D3" w:rsidRDefault="0053152B"/>
        </w:tc>
      </w:tr>
      <w:tr w:rsidR="0053152B" w:rsidRPr="00D252D3">
        <w:tblPrEx>
          <w:tblCellMar>
            <w:top w:w="0" w:type="dxa"/>
            <w:bottom w:w="0" w:type="dxa"/>
          </w:tblCellMar>
        </w:tblPrEx>
        <w:trPr>
          <w:trHeight w:val="561"/>
        </w:trPr>
        <w:tc>
          <w:tcPr>
            <w:tcW w:w="3708" w:type="dxa"/>
          </w:tcPr>
          <w:p w:rsidR="0053152B" w:rsidRPr="00D252D3" w:rsidRDefault="0053152B">
            <w:pPr>
              <w:ind w:left="0" w:firstLine="0"/>
              <w:rPr>
                <w:bCs/>
              </w:rPr>
            </w:pPr>
            <w:r w:rsidRPr="00D252D3">
              <w:rPr>
                <w:bCs/>
              </w:rPr>
              <w:t>Poruchy srdca a srdcovej činnosti</w:t>
            </w:r>
          </w:p>
          <w:p w:rsidR="0053152B" w:rsidRPr="00D252D3" w:rsidRDefault="0053152B">
            <w:pPr>
              <w:ind w:left="605" w:firstLine="0"/>
            </w:pPr>
            <w:r w:rsidRPr="00D252D3">
              <w:rPr>
                <w:bCs/>
              </w:rPr>
              <w:t>Menej časté</w:t>
            </w:r>
            <w:r w:rsidRPr="00D252D3">
              <w:t>:</w:t>
            </w:r>
          </w:p>
        </w:tc>
        <w:tc>
          <w:tcPr>
            <w:tcW w:w="5400" w:type="dxa"/>
          </w:tcPr>
          <w:p w:rsidR="0053152B" w:rsidRPr="00D252D3" w:rsidRDefault="0053152B"/>
          <w:p w:rsidR="0053152B" w:rsidRPr="00D252D3" w:rsidRDefault="0053152B">
            <w:r w:rsidRPr="00D252D3">
              <w:t>Tachykardia, arytmie</w:t>
            </w:r>
          </w:p>
          <w:p w:rsidR="0053152B" w:rsidRPr="00D252D3" w:rsidRDefault="0053152B">
            <w:pPr>
              <w:rPr>
                <w:bCs/>
                <w:szCs w:val="22"/>
              </w:rPr>
            </w:pPr>
          </w:p>
        </w:tc>
      </w:tr>
      <w:tr w:rsidR="0053152B" w:rsidRPr="00D252D3">
        <w:tblPrEx>
          <w:tblCellMar>
            <w:top w:w="0" w:type="dxa"/>
            <w:bottom w:w="0" w:type="dxa"/>
          </w:tblCellMar>
        </w:tblPrEx>
        <w:trPr>
          <w:trHeight w:val="571"/>
        </w:trPr>
        <w:tc>
          <w:tcPr>
            <w:tcW w:w="3708" w:type="dxa"/>
          </w:tcPr>
          <w:p w:rsidR="0053152B" w:rsidRPr="00D252D3" w:rsidRDefault="0053152B">
            <w:pPr>
              <w:ind w:left="0" w:firstLine="0"/>
              <w:rPr>
                <w:bCs/>
              </w:rPr>
            </w:pPr>
            <w:r w:rsidRPr="00D252D3">
              <w:rPr>
                <w:bCs/>
              </w:rPr>
              <w:t>Poruchy ciev</w:t>
            </w:r>
          </w:p>
          <w:p w:rsidR="0053152B" w:rsidRPr="00D252D3" w:rsidRDefault="0053152B">
            <w:pPr>
              <w:ind w:left="605" w:firstLine="0"/>
            </w:pPr>
            <w:r w:rsidRPr="00D252D3">
              <w:rPr>
                <w:bCs/>
              </w:rPr>
              <w:t>Menej časté</w:t>
            </w:r>
            <w:r w:rsidRPr="00D252D3">
              <w:t>:</w:t>
            </w:r>
          </w:p>
        </w:tc>
        <w:tc>
          <w:tcPr>
            <w:tcW w:w="5400" w:type="dxa"/>
          </w:tcPr>
          <w:p w:rsidR="0053152B" w:rsidRPr="00D252D3" w:rsidRDefault="0053152B"/>
          <w:p w:rsidR="0053152B" w:rsidRPr="00D252D3" w:rsidRDefault="0053152B">
            <w:r w:rsidRPr="00D252D3">
              <w:t>Hypotenzia, ortostatická hypotenzia</w:t>
            </w:r>
          </w:p>
          <w:p w:rsidR="0053152B" w:rsidRPr="00D252D3" w:rsidRDefault="0053152B"/>
        </w:tc>
      </w:tr>
      <w:tr w:rsidR="0053152B" w:rsidRPr="00D252D3">
        <w:tblPrEx>
          <w:tblCellMar>
            <w:top w:w="0" w:type="dxa"/>
            <w:bottom w:w="0" w:type="dxa"/>
          </w:tblCellMar>
        </w:tblPrEx>
        <w:trPr>
          <w:trHeight w:val="571"/>
        </w:trPr>
        <w:tc>
          <w:tcPr>
            <w:tcW w:w="3708" w:type="dxa"/>
          </w:tcPr>
          <w:p w:rsidR="0053152B" w:rsidRPr="00D252D3" w:rsidRDefault="0053152B">
            <w:pPr>
              <w:ind w:left="0" w:firstLine="0"/>
              <w:rPr>
                <w:bCs/>
              </w:rPr>
            </w:pPr>
            <w:r w:rsidRPr="00D252D3">
              <w:rPr>
                <w:bCs/>
              </w:rPr>
              <w:t>Poruchy dýchacej sústavy, hrudníka a mediastína</w:t>
            </w:r>
          </w:p>
          <w:p w:rsidR="0053152B" w:rsidRPr="00D252D3" w:rsidRDefault="0053152B">
            <w:pPr>
              <w:ind w:left="605" w:firstLine="0"/>
            </w:pPr>
            <w:r w:rsidRPr="00D252D3">
              <w:t>Menej časté:</w:t>
            </w:r>
          </w:p>
          <w:p w:rsidR="0053152B" w:rsidRPr="00D252D3" w:rsidRDefault="0053152B">
            <w:pPr>
              <w:ind w:left="605" w:firstLine="0"/>
              <w:rPr>
                <w:bCs/>
              </w:rPr>
            </w:pPr>
            <w:r w:rsidRPr="00D252D3">
              <w:rPr>
                <w:bCs/>
                <w:snapToGrid w:val="0"/>
                <w:lang w:eastAsia="cs-CZ"/>
              </w:rPr>
              <w:t>Zriedkavé</w:t>
            </w:r>
            <w:r w:rsidRPr="00D252D3">
              <w:rPr>
                <w:bCs/>
              </w:rPr>
              <w:t>:</w:t>
            </w:r>
          </w:p>
        </w:tc>
        <w:tc>
          <w:tcPr>
            <w:tcW w:w="5400" w:type="dxa"/>
          </w:tcPr>
          <w:p w:rsidR="0053152B" w:rsidRPr="00D252D3" w:rsidRDefault="0053152B"/>
          <w:p w:rsidR="0053152B" w:rsidRPr="00D252D3" w:rsidRDefault="0053152B"/>
          <w:p w:rsidR="0053152B" w:rsidRPr="00D252D3" w:rsidRDefault="0053152B">
            <w:pPr>
              <w:rPr>
                <w:szCs w:val="22"/>
              </w:rPr>
            </w:pPr>
            <w:r w:rsidRPr="00D252D3">
              <w:rPr>
                <w:szCs w:val="22"/>
              </w:rPr>
              <w:t>Dyspnoe</w:t>
            </w:r>
          </w:p>
          <w:p w:rsidR="0053152B" w:rsidRPr="00D252D3" w:rsidRDefault="0053152B">
            <w:pPr>
              <w:rPr>
                <w:szCs w:val="22"/>
              </w:rPr>
            </w:pPr>
            <w:r w:rsidRPr="00D252D3">
              <w:rPr>
                <w:szCs w:val="22"/>
              </w:rPr>
              <w:t xml:space="preserve">Ťažkosti s dýchaním (vrátane pneumonitídy a </w:t>
            </w:r>
          </w:p>
          <w:p w:rsidR="0053152B" w:rsidRPr="00D252D3" w:rsidRDefault="0053152B">
            <w:pPr>
              <w:rPr>
                <w:szCs w:val="22"/>
              </w:rPr>
            </w:pPr>
            <w:r w:rsidRPr="00D252D3">
              <w:rPr>
                <w:szCs w:val="22"/>
              </w:rPr>
              <w:t>pľúcneho edému)</w:t>
            </w:r>
          </w:p>
          <w:p w:rsidR="0053152B" w:rsidRPr="00D252D3" w:rsidRDefault="0053152B"/>
        </w:tc>
      </w:tr>
      <w:tr w:rsidR="0053152B" w:rsidRPr="00D252D3">
        <w:tblPrEx>
          <w:tblCellMar>
            <w:top w:w="0" w:type="dxa"/>
            <w:bottom w:w="0" w:type="dxa"/>
          </w:tblCellMar>
        </w:tblPrEx>
        <w:trPr>
          <w:trHeight w:val="850"/>
        </w:trPr>
        <w:tc>
          <w:tcPr>
            <w:tcW w:w="3708" w:type="dxa"/>
          </w:tcPr>
          <w:p w:rsidR="0053152B" w:rsidRPr="00D252D3" w:rsidRDefault="0053152B">
            <w:pPr>
              <w:ind w:left="0" w:firstLine="0"/>
            </w:pPr>
            <w:r w:rsidRPr="00D252D3">
              <w:rPr>
                <w:bCs/>
              </w:rPr>
              <w:t>Poruchy gastrointestinálneho traktu</w:t>
            </w:r>
          </w:p>
          <w:p w:rsidR="0053152B" w:rsidRPr="00D252D3" w:rsidRDefault="0053152B">
            <w:pPr>
              <w:ind w:left="605" w:firstLine="0"/>
            </w:pPr>
            <w:r w:rsidRPr="00D252D3">
              <w:t>Menej časté:</w:t>
            </w:r>
          </w:p>
          <w:p w:rsidR="0053152B" w:rsidRPr="00D252D3" w:rsidRDefault="0053152B">
            <w:pPr>
              <w:ind w:left="605" w:firstLine="0"/>
              <w:rPr>
                <w:bCs/>
              </w:rPr>
            </w:pPr>
            <w:r w:rsidRPr="00D252D3">
              <w:rPr>
                <w:bCs/>
                <w:snapToGrid w:val="0"/>
                <w:lang w:eastAsia="cs-CZ"/>
              </w:rPr>
              <w:t>Zriedkavé</w:t>
            </w:r>
            <w:r w:rsidRPr="00D252D3">
              <w:rPr>
                <w:bCs/>
              </w:rPr>
              <w:t>:</w:t>
            </w:r>
          </w:p>
          <w:p w:rsidR="0053152B" w:rsidRPr="00D252D3" w:rsidRDefault="0053152B">
            <w:pPr>
              <w:ind w:left="0" w:firstLine="0"/>
              <w:rPr>
                <w:bCs/>
              </w:rPr>
            </w:pPr>
          </w:p>
        </w:tc>
        <w:tc>
          <w:tcPr>
            <w:tcW w:w="5400" w:type="dxa"/>
          </w:tcPr>
          <w:p w:rsidR="0053152B" w:rsidRPr="00D252D3" w:rsidRDefault="0053152B"/>
          <w:p w:rsidR="0053152B" w:rsidRPr="00D252D3" w:rsidRDefault="0053152B">
            <w:r w:rsidRPr="00D252D3">
              <w:t>Hnačka, sucho v ústach, plynatosť,</w:t>
            </w:r>
          </w:p>
          <w:p w:rsidR="0053152B" w:rsidRPr="00D252D3" w:rsidRDefault="0053152B">
            <w:r w:rsidRPr="00D252D3">
              <w:t>Bolesť brucha, zápcha, dyspepsia, vracanie, gastritída</w:t>
            </w:r>
          </w:p>
          <w:p w:rsidR="0053152B" w:rsidRPr="00D252D3" w:rsidRDefault="0053152B"/>
        </w:tc>
      </w:tr>
      <w:tr w:rsidR="0053152B" w:rsidRPr="00D252D3">
        <w:tblPrEx>
          <w:tblCellMar>
            <w:top w:w="0" w:type="dxa"/>
            <w:bottom w:w="0" w:type="dxa"/>
          </w:tblCellMar>
        </w:tblPrEx>
        <w:trPr>
          <w:trHeight w:val="850"/>
        </w:trPr>
        <w:tc>
          <w:tcPr>
            <w:tcW w:w="3708" w:type="dxa"/>
          </w:tcPr>
          <w:p w:rsidR="0053152B" w:rsidRPr="00D252D3" w:rsidRDefault="0053152B">
            <w:pPr>
              <w:ind w:left="0" w:firstLine="0"/>
              <w:rPr>
                <w:bCs/>
              </w:rPr>
            </w:pPr>
            <w:r w:rsidRPr="00D252D3">
              <w:rPr>
                <w:bCs/>
              </w:rPr>
              <w:t>Poruchy pečene a žlčových ciest</w:t>
            </w:r>
          </w:p>
          <w:p w:rsidR="0053152B" w:rsidRPr="00D252D3" w:rsidRDefault="0053152B">
            <w:pPr>
              <w:ind w:left="605" w:firstLine="0"/>
            </w:pPr>
            <w:r w:rsidRPr="00D252D3">
              <w:rPr>
                <w:bCs/>
                <w:snapToGrid w:val="0"/>
                <w:lang w:eastAsia="cs-CZ"/>
              </w:rPr>
              <w:t>Zriedkavé</w:t>
            </w:r>
            <w:r w:rsidRPr="00D252D3">
              <w:rPr>
                <w:bCs/>
              </w:rPr>
              <w:t>:</w:t>
            </w:r>
          </w:p>
        </w:tc>
        <w:tc>
          <w:tcPr>
            <w:tcW w:w="5400" w:type="dxa"/>
          </w:tcPr>
          <w:p w:rsidR="0053152B" w:rsidRPr="00D252D3" w:rsidRDefault="0053152B"/>
          <w:p w:rsidR="0053152B" w:rsidRPr="00D252D3" w:rsidRDefault="0053152B">
            <w:r w:rsidRPr="00D252D3">
              <w:t>Abnormálna funkcia pečene/ochorenie pečene</w:t>
            </w:r>
            <w:r w:rsidRPr="00D252D3">
              <w:rPr>
                <w:vertAlign w:val="superscript"/>
              </w:rPr>
              <w:t>2</w:t>
            </w:r>
          </w:p>
          <w:p w:rsidR="0053152B" w:rsidRPr="00D252D3" w:rsidRDefault="0053152B"/>
        </w:tc>
      </w:tr>
      <w:tr w:rsidR="0053152B" w:rsidRPr="00D252D3">
        <w:tblPrEx>
          <w:tblCellMar>
            <w:top w:w="0" w:type="dxa"/>
            <w:bottom w:w="0" w:type="dxa"/>
          </w:tblCellMar>
        </w:tblPrEx>
        <w:trPr>
          <w:trHeight w:val="850"/>
        </w:trPr>
        <w:tc>
          <w:tcPr>
            <w:tcW w:w="3708" w:type="dxa"/>
          </w:tcPr>
          <w:p w:rsidR="0053152B" w:rsidRPr="00D252D3" w:rsidRDefault="0053152B">
            <w:pPr>
              <w:ind w:left="0" w:firstLine="0"/>
            </w:pPr>
            <w:r w:rsidRPr="00D252D3">
              <w:t>Poruchy kože a podkožného tkaniva</w:t>
            </w:r>
          </w:p>
          <w:p w:rsidR="0053152B" w:rsidRPr="00D252D3" w:rsidRDefault="0053152B">
            <w:pPr>
              <w:ind w:left="605" w:firstLine="0"/>
            </w:pPr>
            <w:r w:rsidRPr="00D252D3">
              <w:rPr>
                <w:snapToGrid w:val="0"/>
                <w:lang w:eastAsia="cs-CZ"/>
              </w:rPr>
              <w:t>Zriedkavé</w:t>
            </w:r>
            <w:r w:rsidRPr="00D252D3">
              <w:t>:</w:t>
            </w:r>
          </w:p>
        </w:tc>
        <w:tc>
          <w:tcPr>
            <w:tcW w:w="5400" w:type="dxa"/>
          </w:tcPr>
          <w:p w:rsidR="0053152B" w:rsidRPr="00D252D3" w:rsidRDefault="0053152B">
            <w:pPr>
              <w:ind w:left="0" w:firstLine="0"/>
            </w:pPr>
          </w:p>
          <w:p w:rsidR="0053152B" w:rsidRPr="00D252D3" w:rsidRDefault="0053152B">
            <w:pPr>
              <w:ind w:left="0" w:firstLine="0"/>
            </w:pPr>
            <w:r w:rsidRPr="00D252D3">
              <w:rPr>
                <w:szCs w:val="22"/>
              </w:rPr>
              <w:t>Angioedém (aj so smrteľnými následkami), erytém, pruritus, vyrážka, nadmerné potenie, urtikária</w:t>
            </w:r>
          </w:p>
        </w:tc>
      </w:tr>
      <w:tr w:rsidR="0053152B" w:rsidRPr="00D252D3">
        <w:tblPrEx>
          <w:tblCellMar>
            <w:top w:w="0" w:type="dxa"/>
            <w:bottom w:w="0" w:type="dxa"/>
          </w:tblCellMar>
        </w:tblPrEx>
        <w:trPr>
          <w:trHeight w:val="283"/>
        </w:trPr>
        <w:tc>
          <w:tcPr>
            <w:tcW w:w="3708" w:type="dxa"/>
          </w:tcPr>
          <w:p w:rsidR="0053152B" w:rsidRPr="00D252D3" w:rsidRDefault="0053152B">
            <w:pPr>
              <w:ind w:left="0" w:firstLine="0"/>
              <w:rPr>
                <w:bCs/>
              </w:rPr>
            </w:pPr>
          </w:p>
        </w:tc>
        <w:tc>
          <w:tcPr>
            <w:tcW w:w="5400" w:type="dxa"/>
          </w:tcPr>
          <w:p w:rsidR="0053152B" w:rsidRPr="00D252D3" w:rsidRDefault="0053152B"/>
        </w:tc>
      </w:tr>
      <w:tr w:rsidR="0053152B" w:rsidRPr="00D252D3">
        <w:tblPrEx>
          <w:tblCellMar>
            <w:top w:w="0" w:type="dxa"/>
            <w:bottom w:w="0" w:type="dxa"/>
          </w:tblCellMar>
        </w:tblPrEx>
        <w:trPr>
          <w:trHeight w:val="283"/>
        </w:trPr>
        <w:tc>
          <w:tcPr>
            <w:tcW w:w="3708" w:type="dxa"/>
          </w:tcPr>
          <w:p w:rsidR="0053152B" w:rsidRPr="00D252D3" w:rsidRDefault="0053152B">
            <w:pPr>
              <w:ind w:left="0" w:firstLine="0"/>
            </w:pPr>
            <w:r w:rsidRPr="00D252D3">
              <w:rPr>
                <w:bCs/>
              </w:rPr>
              <w:t>Poruchy kostrovej a svalovej sústavy a spojivového tkaniva</w:t>
            </w:r>
          </w:p>
          <w:p w:rsidR="0053152B" w:rsidRPr="00D252D3" w:rsidRDefault="0053152B">
            <w:pPr>
              <w:ind w:left="605" w:firstLine="0"/>
            </w:pPr>
            <w:r w:rsidRPr="00D252D3">
              <w:t>Menej časté:</w:t>
            </w:r>
          </w:p>
          <w:p w:rsidR="0053152B" w:rsidRPr="00D252D3" w:rsidRDefault="0053152B">
            <w:pPr>
              <w:ind w:left="605" w:firstLine="0"/>
            </w:pPr>
            <w:r w:rsidRPr="00D252D3">
              <w:rPr>
                <w:snapToGrid w:val="0"/>
                <w:lang w:eastAsia="cs-CZ"/>
              </w:rPr>
              <w:t>Zriedkavé</w:t>
            </w:r>
            <w:r w:rsidRPr="00D252D3">
              <w:t>:</w:t>
            </w:r>
          </w:p>
        </w:tc>
        <w:tc>
          <w:tcPr>
            <w:tcW w:w="5400" w:type="dxa"/>
          </w:tcPr>
          <w:p w:rsidR="0053152B" w:rsidRPr="00D252D3" w:rsidRDefault="0053152B"/>
          <w:p w:rsidR="0053152B" w:rsidRPr="00D252D3" w:rsidRDefault="0053152B">
            <w:pPr>
              <w:rPr>
                <w:bCs/>
              </w:rPr>
            </w:pPr>
          </w:p>
          <w:p w:rsidR="0053152B" w:rsidRPr="00D252D3" w:rsidRDefault="0053152B">
            <w:r w:rsidRPr="00D252D3">
              <w:t>Bolesť chrbta, svalové kŕče, myalgia</w:t>
            </w:r>
          </w:p>
          <w:p w:rsidR="0053152B" w:rsidRPr="00D252D3" w:rsidRDefault="0053152B">
            <w:r w:rsidRPr="00D252D3">
              <w:t>Bolesť kĺbov, ochromenie svalov, bolesť v končatinách</w:t>
            </w:r>
          </w:p>
          <w:p w:rsidR="0053152B" w:rsidRPr="00D252D3" w:rsidRDefault="0053152B"/>
        </w:tc>
      </w:tr>
      <w:tr w:rsidR="0053152B" w:rsidRPr="00D252D3">
        <w:tblPrEx>
          <w:tblCellMar>
            <w:top w:w="0" w:type="dxa"/>
            <w:bottom w:w="0" w:type="dxa"/>
          </w:tblCellMar>
        </w:tblPrEx>
        <w:trPr>
          <w:trHeight w:val="786"/>
        </w:trPr>
        <w:tc>
          <w:tcPr>
            <w:tcW w:w="3708" w:type="dxa"/>
          </w:tcPr>
          <w:p w:rsidR="0053152B" w:rsidRPr="00D252D3" w:rsidRDefault="0053152B">
            <w:pPr>
              <w:ind w:left="0" w:firstLine="0"/>
            </w:pPr>
            <w:r w:rsidRPr="00D252D3">
              <w:t>Poruchy reprodukčného systému a prsníkov</w:t>
            </w:r>
          </w:p>
          <w:p w:rsidR="0053152B" w:rsidRPr="00D252D3" w:rsidRDefault="0053152B">
            <w:pPr>
              <w:ind w:left="605" w:firstLine="0"/>
            </w:pPr>
            <w:r w:rsidRPr="00D252D3">
              <w:t>Menej časté:</w:t>
            </w:r>
          </w:p>
        </w:tc>
        <w:tc>
          <w:tcPr>
            <w:tcW w:w="5400" w:type="dxa"/>
          </w:tcPr>
          <w:p w:rsidR="0053152B" w:rsidRPr="00D252D3" w:rsidRDefault="0053152B"/>
          <w:p w:rsidR="0053152B" w:rsidRPr="00D252D3" w:rsidRDefault="0053152B"/>
          <w:p w:rsidR="0053152B" w:rsidRPr="00D252D3" w:rsidRDefault="0053152B">
            <w:r w:rsidRPr="00D252D3">
              <w:t>Erektilná dysfunkcia</w:t>
            </w:r>
          </w:p>
          <w:p w:rsidR="0053152B" w:rsidRPr="00D252D3" w:rsidRDefault="0053152B"/>
        </w:tc>
      </w:tr>
      <w:tr w:rsidR="0053152B" w:rsidRPr="00D252D3">
        <w:tblPrEx>
          <w:tblCellMar>
            <w:top w:w="0" w:type="dxa"/>
            <w:bottom w:w="0" w:type="dxa"/>
          </w:tblCellMar>
        </w:tblPrEx>
        <w:trPr>
          <w:trHeight w:val="850"/>
        </w:trPr>
        <w:tc>
          <w:tcPr>
            <w:tcW w:w="3708" w:type="dxa"/>
          </w:tcPr>
          <w:p w:rsidR="0053152B" w:rsidRPr="00D252D3" w:rsidRDefault="0053152B">
            <w:pPr>
              <w:ind w:left="0" w:firstLine="0"/>
            </w:pPr>
            <w:r w:rsidRPr="00D252D3">
              <w:t>Celkové poruchy a reakcie v mieste podania</w:t>
            </w:r>
          </w:p>
          <w:p w:rsidR="0053152B" w:rsidRPr="00D252D3" w:rsidRDefault="0053152B">
            <w:pPr>
              <w:ind w:left="605" w:firstLine="0"/>
            </w:pPr>
            <w:r w:rsidRPr="00D252D3">
              <w:t>Menej časté:</w:t>
            </w:r>
          </w:p>
          <w:p w:rsidR="0053152B" w:rsidRPr="00D252D3" w:rsidRDefault="0053152B">
            <w:pPr>
              <w:ind w:left="605" w:firstLine="0"/>
            </w:pPr>
            <w:r w:rsidRPr="00D252D3">
              <w:rPr>
                <w:snapToGrid w:val="0"/>
                <w:lang w:eastAsia="cs-CZ"/>
              </w:rPr>
              <w:t>Zriedkavé</w:t>
            </w:r>
            <w:r w:rsidRPr="00D252D3">
              <w:t>:</w:t>
            </w:r>
          </w:p>
        </w:tc>
        <w:tc>
          <w:tcPr>
            <w:tcW w:w="5400" w:type="dxa"/>
          </w:tcPr>
          <w:p w:rsidR="0053152B" w:rsidRPr="00D252D3" w:rsidRDefault="0053152B"/>
          <w:p w:rsidR="0053152B" w:rsidRPr="00D252D3" w:rsidRDefault="0053152B"/>
          <w:p w:rsidR="0053152B" w:rsidRPr="00D252D3" w:rsidRDefault="0053152B">
            <w:r w:rsidRPr="00D252D3">
              <w:t>Bolesť v hrudníku</w:t>
            </w:r>
          </w:p>
          <w:p w:rsidR="0053152B" w:rsidRPr="00D252D3" w:rsidRDefault="0053152B">
            <w:r w:rsidRPr="00D252D3">
              <w:t>Ochorenie podobné chrípke, bolesť</w:t>
            </w:r>
          </w:p>
          <w:p w:rsidR="0053152B" w:rsidRPr="00D252D3" w:rsidRDefault="0053152B"/>
        </w:tc>
      </w:tr>
      <w:tr w:rsidR="0053152B" w:rsidRPr="00D252D3">
        <w:tblPrEx>
          <w:tblCellMar>
            <w:top w:w="0" w:type="dxa"/>
            <w:bottom w:w="0" w:type="dxa"/>
          </w:tblCellMar>
        </w:tblPrEx>
        <w:trPr>
          <w:trHeight w:val="850"/>
        </w:trPr>
        <w:tc>
          <w:tcPr>
            <w:tcW w:w="3708" w:type="dxa"/>
          </w:tcPr>
          <w:p w:rsidR="0053152B" w:rsidRPr="00D252D3" w:rsidRDefault="0053152B">
            <w:pPr>
              <w:ind w:left="0" w:firstLine="0"/>
            </w:pPr>
            <w:r w:rsidRPr="00D252D3">
              <w:rPr>
                <w:bCs/>
              </w:rPr>
              <w:t>Laboratórne a funkčné vyšetrenia</w:t>
            </w:r>
          </w:p>
          <w:p w:rsidR="0053152B" w:rsidRPr="00D252D3" w:rsidRDefault="0053152B">
            <w:pPr>
              <w:ind w:left="605" w:firstLine="0"/>
            </w:pPr>
            <w:r w:rsidRPr="00D252D3">
              <w:t>Menej časté:</w:t>
            </w:r>
          </w:p>
          <w:p w:rsidR="0053152B" w:rsidRPr="00D252D3" w:rsidRDefault="0053152B">
            <w:pPr>
              <w:ind w:left="605" w:firstLine="0"/>
              <w:rPr>
                <w:bCs/>
              </w:rPr>
            </w:pPr>
            <w:r w:rsidRPr="00D252D3">
              <w:rPr>
                <w:snapToGrid w:val="0"/>
                <w:lang w:eastAsia="cs-CZ"/>
              </w:rPr>
              <w:t>Zriedkavé</w:t>
            </w:r>
            <w:r w:rsidRPr="00D252D3">
              <w:t>:</w:t>
            </w:r>
          </w:p>
        </w:tc>
        <w:tc>
          <w:tcPr>
            <w:tcW w:w="5400" w:type="dxa"/>
          </w:tcPr>
          <w:p w:rsidR="0053152B" w:rsidRPr="00D252D3" w:rsidRDefault="0053152B">
            <w:pPr>
              <w:rPr>
                <w:szCs w:val="22"/>
              </w:rPr>
            </w:pPr>
          </w:p>
          <w:p w:rsidR="0053152B" w:rsidRPr="00D252D3" w:rsidRDefault="0053152B">
            <w:pPr>
              <w:rPr>
                <w:szCs w:val="22"/>
              </w:rPr>
            </w:pPr>
            <w:r w:rsidRPr="00D252D3">
              <w:rPr>
                <w:szCs w:val="22"/>
              </w:rPr>
              <w:t>Zvýšená kyselina močová v krvi</w:t>
            </w:r>
          </w:p>
          <w:p w:rsidR="0053152B" w:rsidRPr="00D252D3" w:rsidRDefault="0053152B">
            <w:pPr>
              <w:rPr>
                <w:szCs w:val="22"/>
              </w:rPr>
            </w:pPr>
            <w:r w:rsidRPr="00D252D3">
              <w:rPr>
                <w:szCs w:val="22"/>
              </w:rPr>
              <w:t xml:space="preserve">Zvýšený kreatinín v krvi, zvýšená kreatinínfosfokináza v </w:t>
            </w:r>
          </w:p>
          <w:p w:rsidR="0053152B" w:rsidRPr="00D252D3" w:rsidRDefault="0053152B">
            <w:pPr>
              <w:rPr>
                <w:b/>
              </w:rPr>
            </w:pPr>
            <w:r w:rsidRPr="00D252D3">
              <w:rPr>
                <w:szCs w:val="22"/>
              </w:rPr>
              <w:t>krvi</w:t>
            </w:r>
            <w:r w:rsidRPr="00D252D3">
              <w:t>, zvýšené pečeňové enzýmy</w:t>
            </w:r>
          </w:p>
        </w:tc>
      </w:tr>
    </w:tbl>
    <w:p w:rsidR="0053152B" w:rsidRPr="00D252D3" w:rsidRDefault="0053152B">
      <w:pPr>
        <w:ind w:left="0" w:firstLine="0"/>
        <w:rPr>
          <w:snapToGrid w:val="0"/>
          <w:lang w:eastAsia="cs-CZ"/>
        </w:rPr>
      </w:pPr>
    </w:p>
    <w:p w:rsidR="0053152B" w:rsidRPr="00D252D3" w:rsidRDefault="0053152B">
      <w:pPr>
        <w:ind w:left="0" w:firstLine="0"/>
        <w:rPr>
          <w:snapToGrid w:val="0"/>
          <w:lang w:eastAsia="cs-CZ"/>
        </w:rPr>
      </w:pPr>
      <w:r w:rsidRPr="00D252D3">
        <w:rPr>
          <w:snapToGrid w:val="0"/>
          <w:lang w:eastAsia="cs-CZ"/>
        </w:rPr>
        <w:t>1: Na základe skúseností po uvedení lieku na trh</w:t>
      </w:r>
    </w:p>
    <w:p w:rsidR="0053152B" w:rsidRPr="00D252D3" w:rsidRDefault="0053152B">
      <w:pPr>
        <w:ind w:left="0" w:firstLine="0"/>
        <w:rPr>
          <w:snapToGrid w:val="0"/>
          <w:lang w:eastAsia="cs-CZ"/>
        </w:rPr>
      </w:pPr>
      <w:r w:rsidRPr="00D252D3">
        <w:rPr>
          <w:snapToGrid w:val="0"/>
          <w:lang w:eastAsia="cs-CZ"/>
        </w:rPr>
        <w:t xml:space="preserve">2: Pre ďalší popis, prosím, pozri časť „ </w:t>
      </w:r>
      <w:r w:rsidRPr="00D252D3">
        <w:rPr>
          <w:iCs/>
        </w:rPr>
        <w:t>Popis vybraných nežiaducich reakcií“</w:t>
      </w:r>
    </w:p>
    <w:p w:rsidR="0053152B" w:rsidRPr="00D252D3" w:rsidRDefault="0053152B">
      <w:pPr>
        <w:ind w:left="0" w:firstLine="0"/>
        <w:rPr>
          <w:i/>
          <w:snapToGrid w:val="0"/>
          <w:lang w:eastAsia="cs-CZ"/>
        </w:rPr>
      </w:pPr>
    </w:p>
    <w:p w:rsidR="0053152B" w:rsidRPr="00D252D3" w:rsidRDefault="0053152B" w:rsidP="0051567B">
      <w:pPr>
        <w:keepNext/>
        <w:ind w:left="0" w:firstLine="0"/>
        <w:rPr>
          <w:i/>
          <w:snapToGrid w:val="0"/>
          <w:lang w:eastAsia="cs-CZ"/>
        </w:rPr>
      </w:pPr>
      <w:r w:rsidRPr="00D252D3">
        <w:rPr>
          <w:i/>
          <w:snapToGrid w:val="0"/>
          <w:lang w:eastAsia="cs-CZ"/>
        </w:rPr>
        <w:t>Ďalšie informácie o jednotlivých zložkách</w:t>
      </w:r>
    </w:p>
    <w:p w:rsidR="0053152B" w:rsidRPr="00D252D3" w:rsidRDefault="0053152B" w:rsidP="0051567B">
      <w:pPr>
        <w:keepNext/>
        <w:ind w:left="0" w:firstLine="0"/>
        <w:rPr>
          <w:i/>
          <w:snapToGrid w:val="0"/>
          <w:lang w:eastAsia="cs-CZ"/>
        </w:rPr>
      </w:pPr>
    </w:p>
    <w:p w:rsidR="0053152B" w:rsidRPr="00D252D3" w:rsidRDefault="0053152B">
      <w:pPr>
        <w:ind w:left="0" w:firstLine="0"/>
        <w:rPr>
          <w:snapToGrid w:val="0"/>
          <w:lang w:eastAsia="cs-CZ"/>
        </w:rPr>
      </w:pPr>
      <w:r w:rsidRPr="00D252D3">
        <w:rPr>
          <w:snapToGrid w:val="0"/>
          <w:lang w:eastAsia="cs-CZ"/>
        </w:rPr>
        <w:t xml:space="preserve">Nežiaduce reakcie prevažne zaznamenané pri jednotlivých zložkách môžu byť potenciálne nežiaduce reakcie </w:t>
      </w:r>
      <w:r w:rsidRPr="00D252D3">
        <w:rPr>
          <w:snapToGrid w:val="0"/>
          <w:szCs w:val="22"/>
          <w:lang w:eastAsia="cs-CZ"/>
        </w:rPr>
        <w:t>MicardisPlusu</w:t>
      </w:r>
      <w:r w:rsidRPr="00D252D3">
        <w:rPr>
          <w:snapToGrid w:val="0"/>
          <w:lang w:eastAsia="cs-CZ"/>
        </w:rPr>
        <w:t>, dokonca aj keď neboli pozorované v klinických skúškach s týmto prípravkom.</w:t>
      </w:r>
    </w:p>
    <w:p w:rsidR="0053152B" w:rsidRPr="00D252D3" w:rsidRDefault="0053152B">
      <w:pPr>
        <w:ind w:left="0" w:firstLine="0"/>
        <w:rPr>
          <w:b/>
          <w:u w:val="single"/>
        </w:rPr>
      </w:pPr>
    </w:p>
    <w:p w:rsidR="0053152B" w:rsidRPr="00D252D3" w:rsidRDefault="0053152B" w:rsidP="0051567B">
      <w:pPr>
        <w:keepNext/>
        <w:ind w:left="0" w:firstLine="0"/>
        <w:rPr>
          <w:bCs/>
          <w:u w:val="single"/>
        </w:rPr>
      </w:pPr>
      <w:r w:rsidRPr="00D252D3">
        <w:rPr>
          <w:bCs/>
          <w:u w:val="single"/>
        </w:rPr>
        <w:t>Telmisartan:</w:t>
      </w:r>
    </w:p>
    <w:p w:rsidR="0053152B" w:rsidRPr="00D252D3" w:rsidRDefault="0053152B">
      <w:pPr>
        <w:ind w:left="0" w:firstLine="0"/>
        <w:rPr>
          <w:snapToGrid w:val="0"/>
          <w:lang w:eastAsia="cs-CZ"/>
        </w:rPr>
      </w:pPr>
      <w:r w:rsidRPr="00D252D3">
        <w:rPr>
          <w:snapToGrid w:val="0"/>
          <w:lang w:eastAsia="cs-CZ"/>
        </w:rPr>
        <w:t>Nežiaduce reakcie sa prejavovali u pacientov užívajúcich placebo, ako aj telmisartan, s rovnakou frekvenciou.</w:t>
      </w:r>
    </w:p>
    <w:p w:rsidR="0053152B" w:rsidRPr="00D252D3" w:rsidRDefault="0053152B">
      <w:pPr>
        <w:ind w:left="0" w:firstLine="0"/>
        <w:rPr>
          <w:snapToGrid w:val="0"/>
          <w:lang w:eastAsia="cs-CZ"/>
        </w:rPr>
      </w:pPr>
    </w:p>
    <w:p w:rsidR="0053152B" w:rsidRPr="00D252D3" w:rsidRDefault="0053152B">
      <w:pPr>
        <w:ind w:left="0" w:firstLine="0"/>
        <w:rPr>
          <w:snapToGrid w:val="0"/>
          <w:lang w:eastAsia="cs-CZ"/>
        </w:rPr>
      </w:pPr>
      <w:r w:rsidRPr="00D252D3">
        <w:rPr>
          <w:snapToGrid w:val="0"/>
          <w:lang w:eastAsia="cs-CZ"/>
        </w:rPr>
        <w:t>Celkový výskyt nežiaducich reakcií hlásených pri telmisartane (41,4 %) bol zvyčajne porovnateľný s placebom (43,9 %) v placebom kontrolovaných klinických skúšaniach. Nasledovný zoznam nežiaducich reakcií bol vypracovaný zo všetkých klinických skúšaní s pacientmi s hypertenziou liečenými telmisartanom alebo s pacientmi 50-ročnými či staršími s vysokým rizikom kardiovaskulárnych príhod.</w:t>
      </w:r>
    </w:p>
    <w:p w:rsidR="0053152B" w:rsidRPr="00D252D3" w:rsidRDefault="0053152B">
      <w:pPr>
        <w:ind w:left="0" w:firstLine="0"/>
        <w:rPr>
          <w:snapToGrid w:val="0"/>
          <w:lang w:eastAsia="cs-CZ"/>
        </w:rPr>
      </w:pPr>
    </w:p>
    <w:tbl>
      <w:tblPr>
        <w:tblW w:w="0" w:type="auto"/>
        <w:tblInd w:w="-38" w:type="dxa"/>
        <w:tblLayout w:type="fixed"/>
        <w:tblCellMar>
          <w:left w:w="70" w:type="dxa"/>
          <w:right w:w="70" w:type="dxa"/>
        </w:tblCellMar>
        <w:tblLook w:val="01E0" w:firstRow="1" w:lastRow="1" w:firstColumn="1" w:lastColumn="1" w:noHBand="0" w:noVBand="0"/>
      </w:tblPr>
      <w:tblGrid>
        <w:gridCol w:w="3708"/>
        <w:gridCol w:w="5400"/>
      </w:tblGrid>
      <w:tr w:rsidR="0053152B" w:rsidRPr="00D252D3">
        <w:tblPrEx>
          <w:tblCellMar>
            <w:top w:w="0" w:type="dxa"/>
            <w:bottom w:w="0" w:type="dxa"/>
          </w:tblCellMar>
        </w:tblPrEx>
        <w:trPr>
          <w:trHeight w:val="862"/>
        </w:trPr>
        <w:tc>
          <w:tcPr>
            <w:tcW w:w="3708" w:type="dxa"/>
          </w:tcPr>
          <w:p w:rsidR="0053152B" w:rsidRPr="00D252D3" w:rsidRDefault="0053152B" w:rsidP="0051567B">
            <w:pPr>
              <w:keepNext/>
              <w:rPr>
                <w:szCs w:val="22"/>
              </w:rPr>
            </w:pPr>
            <w:r w:rsidRPr="00D252D3">
              <w:rPr>
                <w:szCs w:val="22"/>
              </w:rPr>
              <w:t>Infekcie a nákazy</w:t>
            </w:r>
          </w:p>
          <w:p w:rsidR="0053152B" w:rsidRPr="00D252D3" w:rsidRDefault="0053152B">
            <w:pPr>
              <w:ind w:firstLine="38"/>
              <w:rPr>
                <w:bCs/>
                <w:snapToGrid w:val="0"/>
                <w:szCs w:val="22"/>
                <w:lang w:eastAsia="cs-CZ"/>
              </w:rPr>
            </w:pPr>
            <w:r w:rsidRPr="00D252D3">
              <w:rPr>
                <w:bCs/>
                <w:snapToGrid w:val="0"/>
                <w:szCs w:val="22"/>
                <w:lang w:eastAsia="cs-CZ"/>
              </w:rPr>
              <w:t>Menej časté:</w:t>
            </w:r>
          </w:p>
          <w:p w:rsidR="0053152B" w:rsidRPr="00D252D3" w:rsidRDefault="0053152B">
            <w:pPr>
              <w:rPr>
                <w:bCs/>
                <w:snapToGrid w:val="0"/>
                <w:szCs w:val="22"/>
                <w:lang w:eastAsia="cs-CZ"/>
              </w:rPr>
            </w:pPr>
          </w:p>
          <w:p w:rsidR="0053152B" w:rsidRPr="00D252D3" w:rsidRDefault="0053152B">
            <w:pPr>
              <w:ind w:firstLine="38"/>
              <w:rPr>
                <w:szCs w:val="22"/>
              </w:rPr>
            </w:pPr>
            <w:r w:rsidRPr="00D252D3">
              <w:rPr>
                <w:bCs/>
                <w:snapToGrid w:val="0"/>
                <w:szCs w:val="22"/>
                <w:lang w:eastAsia="cs-CZ"/>
              </w:rPr>
              <w:t>Zriedkavé:</w:t>
            </w:r>
          </w:p>
        </w:tc>
        <w:tc>
          <w:tcPr>
            <w:tcW w:w="5400" w:type="dxa"/>
          </w:tcPr>
          <w:p w:rsidR="0053152B" w:rsidRPr="00D252D3" w:rsidRDefault="0053152B">
            <w:pPr>
              <w:ind w:left="16" w:firstLine="0"/>
              <w:rPr>
                <w:snapToGrid w:val="0"/>
                <w:lang w:eastAsia="cs-CZ"/>
              </w:rPr>
            </w:pPr>
          </w:p>
          <w:p w:rsidR="0053152B" w:rsidRPr="00D252D3" w:rsidRDefault="0053152B">
            <w:pPr>
              <w:ind w:left="16" w:firstLine="0"/>
              <w:rPr>
                <w:snapToGrid w:val="0"/>
                <w:lang w:eastAsia="cs-CZ"/>
              </w:rPr>
            </w:pPr>
            <w:r w:rsidRPr="00D252D3">
              <w:rPr>
                <w:snapToGrid w:val="0"/>
                <w:lang w:eastAsia="cs-CZ"/>
              </w:rPr>
              <w:t xml:space="preserve">Infekcia horných dýchacích ciest, </w:t>
            </w:r>
            <w:r w:rsidRPr="00D252D3">
              <w:rPr>
                <w:snapToGrid w:val="0"/>
                <w:szCs w:val="22"/>
                <w:lang w:eastAsia="cs-CZ"/>
              </w:rPr>
              <w:t>infekcia močových ciest</w:t>
            </w:r>
            <w:r w:rsidRPr="00D252D3">
              <w:rPr>
                <w:snapToGrid w:val="0"/>
                <w:lang w:eastAsia="cs-CZ"/>
              </w:rPr>
              <w:t xml:space="preserve"> vrátane cystitíd</w:t>
            </w:r>
          </w:p>
          <w:p w:rsidR="0053152B" w:rsidRPr="00D252D3" w:rsidRDefault="0053152B">
            <w:pPr>
              <w:ind w:left="16" w:firstLine="0"/>
              <w:rPr>
                <w:szCs w:val="22"/>
              </w:rPr>
            </w:pPr>
            <w:r w:rsidRPr="00D252D3">
              <w:rPr>
                <w:szCs w:val="22"/>
              </w:rPr>
              <w:t>Sepsa vrátane smrteľných následkov</w:t>
            </w:r>
            <w:r w:rsidRPr="00D252D3">
              <w:rPr>
                <w:szCs w:val="22"/>
                <w:vertAlign w:val="superscript"/>
              </w:rPr>
              <w:t>3</w:t>
            </w:r>
          </w:p>
          <w:p w:rsidR="0053152B" w:rsidRPr="00D252D3" w:rsidRDefault="0053152B">
            <w:pPr>
              <w:ind w:left="16" w:firstLine="0"/>
              <w:rPr>
                <w:szCs w:val="22"/>
              </w:rPr>
            </w:pPr>
          </w:p>
        </w:tc>
      </w:tr>
      <w:tr w:rsidR="0053152B" w:rsidRPr="00D252D3">
        <w:tblPrEx>
          <w:tblCellMar>
            <w:top w:w="0" w:type="dxa"/>
            <w:bottom w:w="0" w:type="dxa"/>
          </w:tblCellMar>
        </w:tblPrEx>
        <w:trPr>
          <w:trHeight w:val="850"/>
        </w:trPr>
        <w:tc>
          <w:tcPr>
            <w:tcW w:w="3708" w:type="dxa"/>
          </w:tcPr>
          <w:p w:rsidR="0053152B" w:rsidRPr="00D252D3" w:rsidRDefault="0053152B">
            <w:pPr>
              <w:ind w:left="0" w:firstLine="0"/>
              <w:rPr>
                <w:bCs/>
                <w:szCs w:val="22"/>
              </w:rPr>
            </w:pPr>
            <w:r w:rsidRPr="00D252D3">
              <w:t>Poruchy krvi a lymfatického systému</w:t>
            </w:r>
          </w:p>
          <w:p w:rsidR="0053152B" w:rsidRPr="00D252D3" w:rsidRDefault="0053152B">
            <w:pPr>
              <w:ind w:firstLine="38"/>
              <w:rPr>
                <w:snapToGrid w:val="0"/>
                <w:szCs w:val="22"/>
                <w:lang w:eastAsia="cs-CZ"/>
              </w:rPr>
            </w:pPr>
            <w:r w:rsidRPr="00D252D3">
              <w:rPr>
                <w:bCs/>
                <w:snapToGrid w:val="0"/>
                <w:szCs w:val="22"/>
                <w:lang w:eastAsia="cs-CZ"/>
              </w:rPr>
              <w:t>Menej časté</w:t>
            </w:r>
            <w:r w:rsidRPr="00D252D3">
              <w:rPr>
                <w:snapToGrid w:val="0"/>
                <w:szCs w:val="22"/>
                <w:lang w:eastAsia="cs-CZ"/>
              </w:rPr>
              <w:t>:</w:t>
            </w:r>
          </w:p>
          <w:p w:rsidR="0053152B" w:rsidRPr="00D252D3" w:rsidRDefault="0053152B">
            <w:pPr>
              <w:ind w:firstLine="38"/>
              <w:rPr>
                <w:bCs/>
                <w:snapToGrid w:val="0"/>
                <w:szCs w:val="22"/>
                <w:lang w:eastAsia="cs-CZ"/>
              </w:rPr>
            </w:pPr>
            <w:r w:rsidRPr="00D252D3">
              <w:rPr>
                <w:snapToGrid w:val="0"/>
                <w:szCs w:val="22"/>
                <w:lang w:eastAsia="cs-CZ"/>
              </w:rPr>
              <w:t>Zriedkavé</w:t>
            </w:r>
          </w:p>
        </w:tc>
        <w:tc>
          <w:tcPr>
            <w:tcW w:w="5400" w:type="dxa"/>
          </w:tcPr>
          <w:p w:rsidR="0053152B" w:rsidRPr="00D252D3" w:rsidRDefault="0053152B">
            <w:pPr>
              <w:rPr>
                <w:b/>
                <w:snapToGrid w:val="0"/>
                <w:szCs w:val="22"/>
                <w:lang w:eastAsia="cs-CZ"/>
              </w:rPr>
            </w:pPr>
          </w:p>
          <w:p w:rsidR="0053152B" w:rsidRPr="00D252D3" w:rsidRDefault="0053152B">
            <w:pPr>
              <w:rPr>
                <w:szCs w:val="22"/>
              </w:rPr>
            </w:pPr>
            <w:r w:rsidRPr="00D252D3">
              <w:rPr>
                <w:szCs w:val="22"/>
              </w:rPr>
              <w:t>Anémia</w:t>
            </w:r>
          </w:p>
          <w:p w:rsidR="0053152B" w:rsidRPr="00D252D3" w:rsidRDefault="0053152B">
            <w:pPr>
              <w:rPr>
                <w:szCs w:val="22"/>
              </w:rPr>
            </w:pPr>
            <w:r w:rsidRPr="00D252D3">
              <w:rPr>
                <w:szCs w:val="22"/>
              </w:rPr>
              <w:t>Eozinofília, trombocytopénia</w:t>
            </w:r>
          </w:p>
          <w:p w:rsidR="0053152B" w:rsidRPr="00D252D3" w:rsidRDefault="0053152B">
            <w:pPr>
              <w:rPr>
                <w:szCs w:val="22"/>
              </w:rPr>
            </w:pPr>
          </w:p>
        </w:tc>
      </w:tr>
      <w:tr w:rsidR="0053152B" w:rsidRPr="00D252D3">
        <w:tblPrEx>
          <w:tblCellMar>
            <w:top w:w="0" w:type="dxa"/>
            <w:bottom w:w="0" w:type="dxa"/>
          </w:tblCellMar>
        </w:tblPrEx>
        <w:trPr>
          <w:trHeight w:val="850"/>
        </w:trPr>
        <w:tc>
          <w:tcPr>
            <w:tcW w:w="3708" w:type="dxa"/>
          </w:tcPr>
          <w:p w:rsidR="0053152B" w:rsidRPr="00D252D3" w:rsidRDefault="0053152B">
            <w:r w:rsidRPr="00D252D3">
              <w:t>Poruchy imunitného systému</w:t>
            </w:r>
          </w:p>
          <w:p w:rsidR="0053152B" w:rsidRPr="00D252D3" w:rsidRDefault="0053152B">
            <w:pPr>
              <w:ind w:firstLine="38"/>
              <w:rPr>
                <w:bCs/>
                <w:szCs w:val="22"/>
              </w:rPr>
            </w:pPr>
            <w:r w:rsidRPr="00D252D3">
              <w:rPr>
                <w:bCs/>
                <w:snapToGrid w:val="0"/>
                <w:szCs w:val="22"/>
                <w:lang w:eastAsia="cs-CZ"/>
              </w:rPr>
              <w:t>Zriedkavé</w:t>
            </w:r>
            <w:r w:rsidRPr="00D252D3">
              <w:rPr>
                <w:snapToGrid w:val="0"/>
                <w:szCs w:val="22"/>
                <w:lang w:eastAsia="cs-CZ"/>
              </w:rPr>
              <w:t>:</w:t>
            </w:r>
          </w:p>
        </w:tc>
        <w:tc>
          <w:tcPr>
            <w:tcW w:w="5400" w:type="dxa"/>
          </w:tcPr>
          <w:p w:rsidR="0053152B" w:rsidRPr="00D252D3" w:rsidRDefault="0053152B">
            <w:pPr>
              <w:rPr>
                <w:b/>
                <w:snapToGrid w:val="0"/>
                <w:szCs w:val="22"/>
                <w:lang w:eastAsia="cs-CZ"/>
              </w:rPr>
            </w:pPr>
          </w:p>
          <w:p w:rsidR="0053152B" w:rsidRPr="00D252D3" w:rsidRDefault="0053152B">
            <w:pPr>
              <w:rPr>
                <w:snapToGrid w:val="0"/>
                <w:lang w:eastAsia="cs-CZ"/>
              </w:rPr>
            </w:pPr>
            <w:r w:rsidRPr="00D252D3">
              <w:rPr>
                <w:szCs w:val="22"/>
              </w:rPr>
              <w:t>Precitlivenosť, anafylaktické reakcie</w:t>
            </w:r>
          </w:p>
          <w:p w:rsidR="0053152B" w:rsidRPr="00D252D3" w:rsidRDefault="0053152B"/>
        </w:tc>
      </w:tr>
      <w:tr w:rsidR="0053152B" w:rsidRPr="00D252D3">
        <w:tblPrEx>
          <w:tblCellMar>
            <w:top w:w="0" w:type="dxa"/>
            <w:bottom w:w="0" w:type="dxa"/>
          </w:tblCellMar>
        </w:tblPrEx>
        <w:trPr>
          <w:trHeight w:val="850"/>
        </w:trPr>
        <w:tc>
          <w:tcPr>
            <w:tcW w:w="3708" w:type="dxa"/>
          </w:tcPr>
          <w:p w:rsidR="0053152B" w:rsidRPr="00D252D3" w:rsidRDefault="0053152B">
            <w:pPr>
              <w:rPr>
                <w:bCs/>
                <w:szCs w:val="22"/>
              </w:rPr>
            </w:pPr>
            <w:r w:rsidRPr="00D252D3">
              <w:t>Poruchy metabolizmu a výživy</w:t>
            </w:r>
          </w:p>
          <w:p w:rsidR="0053152B" w:rsidRPr="00D252D3" w:rsidRDefault="0053152B">
            <w:pPr>
              <w:ind w:firstLine="38"/>
              <w:rPr>
                <w:bCs/>
                <w:snapToGrid w:val="0"/>
                <w:szCs w:val="22"/>
                <w:lang w:eastAsia="cs-CZ"/>
              </w:rPr>
            </w:pPr>
            <w:r w:rsidRPr="00D252D3">
              <w:rPr>
                <w:bCs/>
                <w:snapToGrid w:val="0"/>
                <w:szCs w:val="22"/>
                <w:lang w:eastAsia="cs-CZ"/>
              </w:rPr>
              <w:t>Menej časté:</w:t>
            </w:r>
          </w:p>
          <w:p w:rsidR="0053152B" w:rsidRPr="00D252D3" w:rsidRDefault="0053152B">
            <w:pPr>
              <w:ind w:firstLine="38"/>
              <w:rPr>
                <w:bCs/>
                <w:szCs w:val="22"/>
              </w:rPr>
            </w:pPr>
            <w:r w:rsidRPr="00D252D3">
              <w:rPr>
                <w:bCs/>
                <w:snapToGrid w:val="0"/>
                <w:szCs w:val="22"/>
                <w:lang w:eastAsia="cs-CZ"/>
              </w:rPr>
              <w:t>Zriedkavé:</w:t>
            </w:r>
          </w:p>
        </w:tc>
        <w:tc>
          <w:tcPr>
            <w:tcW w:w="5400" w:type="dxa"/>
          </w:tcPr>
          <w:p w:rsidR="0053152B" w:rsidRPr="00D252D3" w:rsidRDefault="0053152B">
            <w:pPr>
              <w:rPr>
                <w:b/>
                <w:snapToGrid w:val="0"/>
                <w:szCs w:val="22"/>
                <w:lang w:eastAsia="cs-CZ"/>
              </w:rPr>
            </w:pPr>
          </w:p>
          <w:p w:rsidR="0053152B" w:rsidRPr="00D252D3" w:rsidRDefault="0053152B">
            <w:pPr>
              <w:rPr>
                <w:szCs w:val="22"/>
              </w:rPr>
            </w:pPr>
            <w:r w:rsidRPr="00D252D3">
              <w:rPr>
                <w:szCs w:val="22"/>
              </w:rPr>
              <w:t>Hyperkaliémia</w:t>
            </w:r>
          </w:p>
          <w:p w:rsidR="0053152B" w:rsidRPr="00D252D3" w:rsidRDefault="0053152B">
            <w:pPr>
              <w:rPr>
                <w:snapToGrid w:val="0"/>
                <w:szCs w:val="22"/>
                <w:lang w:eastAsia="cs-CZ"/>
              </w:rPr>
            </w:pPr>
            <w:r w:rsidRPr="00D252D3">
              <w:rPr>
                <w:szCs w:val="22"/>
              </w:rPr>
              <w:t>Hypoglykémia (u diabetických pacientov)</w:t>
            </w:r>
          </w:p>
          <w:p w:rsidR="0053152B" w:rsidRPr="00D252D3" w:rsidRDefault="0053152B">
            <w:pPr>
              <w:rPr>
                <w:szCs w:val="22"/>
              </w:rPr>
            </w:pPr>
          </w:p>
        </w:tc>
      </w:tr>
      <w:tr w:rsidR="0053152B" w:rsidRPr="00D252D3">
        <w:tblPrEx>
          <w:tblCellMar>
            <w:top w:w="0" w:type="dxa"/>
            <w:bottom w:w="0" w:type="dxa"/>
          </w:tblCellMar>
        </w:tblPrEx>
        <w:trPr>
          <w:trHeight w:val="850"/>
        </w:trPr>
        <w:tc>
          <w:tcPr>
            <w:tcW w:w="3708" w:type="dxa"/>
          </w:tcPr>
          <w:p w:rsidR="0053152B" w:rsidRPr="00D252D3" w:rsidRDefault="0053152B">
            <w:r w:rsidRPr="00D252D3">
              <w:t>Poruchy srdca a srdcovej činnosti</w:t>
            </w:r>
          </w:p>
          <w:p w:rsidR="0053152B" w:rsidRPr="00D252D3" w:rsidRDefault="0053152B">
            <w:pPr>
              <w:ind w:firstLine="38"/>
              <w:rPr>
                <w:bCs/>
                <w:snapToGrid w:val="0"/>
                <w:szCs w:val="22"/>
                <w:lang w:eastAsia="cs-CZ"/>
              </w:rPr>
            </w:pPr>
            <w:r w:rsidRPr="00D252D3">
              <w:rPr>
                <w:bCs/>
                <w:snapToGrid w:val="0"/>
                <w:szCs w:val="22"/>
                <w:lang w:eastAsia="cs-CZ"/>
              </w:rPr>
              <w:t>Menej časté:</w:t>
            </w:r>
          </w:p>
          <w:p w:rsidR="0053152B" w:rsidRPr="00D252D3" w:rsidRDefault="0053152B">
            <w:pPr>
              <w:ind w:firstLine="38"/>
              <w:rPr>
                <w:bCs/>
                <w:snapToGrid w:val="0"/>
                <w:szCs w:val="22"/>
                <w:lang w:eastAsia="cs-CZ"/>
              </w:rPr>
            </w:pPr>
          </w:p>
          <w:p w:rsidR="0053152B" w:rsidRPr="00D252D3" w:rsidRDefault="0053152B">
            <w:pPr>
              <w:rPr>
                <w:bCs/>
                <w:snapToGrid w:val="0"/>
                <w:szCs w:val="22"/>
                <w:lang w:eastAsia="cs-CZ"/>
              </w:rPr>
            </w:pPr>
            <w:r w:rsidRPr="00D252D3">
              <w:rPr>
                <w:bCs/>
                <w:snapToGrid w:val="0"/>
                <w:szCs w:val="22"/>
                <w:lang w:eastAsia="cs-CZ"/>
              </w:rPr>
              <w:t>Poruchy nervového systému</w:t>
            </w:r>
          </w:p>
          <w:p w:rsidR="0053152B" w:rsidRPr="00D252D3" w:rsidRDefault="0053152B">
            <w:pPr>
              <w:ind w:firstLine="38"/>
            </w:pPr>
            <w:r w:rsidRPr="00D252D3">
              <w:t>Zriedkavé:</w:t>
            </w:r>
          </w:p>
          <w:p w:rsidR="0053152B" w:rsidRPr="00D252D3" w:rsidRDefault="0053152B">
            <w:pPr>
              <w:ind w:left="0" w:firstLine="0"/>
            </w:pPr>
          </w:p>
          <w:p w:rsidR="0053152B" w:rsidRPr="00D252D3" w:rsidRDefault="0053152B">
            <w:r w:rsidRPr="00D252D3">
              <w:t>Poruchy dýchacej sústavy, hrudníka</w:t>
            </w:r>
          </w:p>
          <w:p w:rsidR="0053152B" w:rsidRPr="00D252D3" w:rsidRDefault="0053152B">
            <w:r w:rsidRPr="00D252D3">
              <w:t>a mediastína</w:t>
            </w:r>
          </w:p>
          <w:p w:rsidR="0053152B" w:rsidRPr="00D252D3" w:rsidRDefault="0053152B">
            <w:pPr>
              <w:ind w:firstLine="38"/>
            </w:pPr>
            <w:r w:rsidRPr="00D252D3">
              <w:t>Menej časté:</w:t>
            </w:r>
          </w:p>
          <w:p w:rsidR="0053152B" w:rsidRPr="00D252D3" w:rsidRDefault="0053152B">
            <w:pPr>
              <w:ind w:firstLine="38"/>
            </w:pPr>
            <w:r w:rsidRPr="00D252D3">
              <w:t>Veľmi zriedkavé:</w:t>
            </w:r>
          </w:p>
        </w:tc>
        <w:tc>
          <w:tcPr>
            <w:tcW w:w="5400" w:type="dxa"/>
          </w:tcPr>
          <w:p w:rsidR="0053152B" w:rsidRPr="00D252D3" w:rsidRDefault="0053152B">
            <w:pPr>
              <w:rPr>
                <w:b/>
                <w:snapToGrid w:val="0"/>
                <w:szCs w:val="22"/>
                <w:lang w:eastAsia="cs-CZ"/>
              </w:rPr>
            </w:pPr>
          </w:p>
          <w:p w:rsidR="0053152B" w:rsidRPr="00D252D3" w:rsidRDefault="0053152B">
            <w:pPr>
              <w:rPr>
                <w:szCs w:val="22"/>
              </w:rPr>
            </w:pPr>
            <w:r w:rsidRPr="00D252D3">
              <w:rPr>
                <w:szCs w:val="22"/>
              </w:rPr>
              <w:t>Bradykardia</w:t>
            </w:r>
          </w:p>
          <w:p w:rsidR="0053152B" w:rsidRPr="00D252D3" w:rsidRDefault="0053152B">
            <w:pPr>
              <w:rPr>
                <w:szCs w:val="22"/>
              </w:rPr>
            </w:pPr>
          </w:p>
          <w:p w:rsidR="0053152B" w:rsidRPr="00D252D3" w:rsidRDefault="0053152B">
            <w:pPr>
              <w:rPr>
                <w:szCs w:val="22"/>
              </w:rPr>
            </w:pPr>
          </w:p>
          <w:p w:rsidR="0053152B" w:rsidRPr="00D252D3" w:rsidRDefault="0053152B">
            <w:pPr>
              <w:rPr>
                <w:szCs w:val="22"/>
              </w:rPr>
            </w:pPr>
            <w:r w:rsidRPr="00D252D3">
              <w:rPr>
                <w:szCs w:val="22"/>
              </w:rPr>
              <w:t>Somnolencia</w:t>
            </w:r>
          </w:p>
          <w:p w:rsidR="0053152B" w:rsidRPr="00D252D3" w:rsidRDefault="0053152B">
            <w:pPr>
              <w:rPr>
                <w:szCs w:val="22"/>
              </w:rPr>
            </w:pPr>
          </w:p>
          <w:p w:rsidR="0053152B" w:rsidRPr="00D252D3" w:rsidRDefault="0053152B">
            <w:pPr>
              <w:rPr>
                <w:szCs w:val="22"/>
              </w:rPr>
            </w:pPr>
          </w:p>
          <w:p w:rsidR="0053152B" w:rsidRPr="00D252D3" w:rsidRDefault="0053152B">
            <w:pPr>
              <w:rPr>
                <w:szCs w:val="22"/>
              </w:rPr>
            </w:pPr>
          </w:p>
          <w:p w:rsidR="0053152B" w:rsidRPr="00D252D3" w:rsidRDefault="0053152B">
            <w:pPr>
              <w:rPr>
                <w:szCs w:val="22"/>
              </w:rPr>
            </w:pPr>
            <w:r w:rsidRPr="00D252D3">
              <w:rPr>
                <w:szCs w:val="22"/>
              </w:rPr>
              <w:t>Kašeľ</w:t>
            </w:r>
          </w:p>
          <w:p w:rsidR="0053152B" w:rsidRPr="00D252D3" w:rsidRDefault="0053152B">
            <w:pPr>
              <w:rPr>
                <w:szCs w:val="22"/>
                <w:vertAlign w:val="superscript"/>
              </w:rPr>
            </w:pPr>
            <w:r w:rsidRPr="00D252D3">
              <w:rPr>
                <w:szCs w:val="22"/>
              </w:rPr>
              <w:t>Intersticiálne ochorenie pľúc</w:t>
            </w:r>
            <w:r w:rsidRPr="00D252D3">
              <w:rPr>
                <w:szCs w:val="22"/>
                <w:vertAlign w:val="superscript"/>
              </w:rPr>
              <w:t>3</w:t>
            </w:r>
          </w:p>
          <w:p w:rsidR="0053152B" w:rsidRPr="00D252D3" w:rsidRDefault="0053152B">
            <w:pPr>
              <w:jc w:val="right"/>
              <w:rPr>
                <w:b/>
                <w:snapToGrid w:val="0"/>
                <w:szCs w:val="22"/>
                <w:lang w:eastAsia="cs-CZ"/>
              </w:rPr>
            </w:pPr>
          </w:p>
          <w:p w:rsidR="0053152B" w:rsidRPr="00D252D3" w:rsidRDefault="0053152B">
            <w:pPr>
              <w:ind w:left="0" w:firstLine="0"/>
              <w:rPr>
                <w:b/>
                <w:snapToGrid w:val="0"/>
                <w:szCs w:val="22"/>
                <w:lang w:eastAsia="cs-CZ"/>
              </w:rPr>
            </w:pPr>
          </w:p>
        </w:tc>
      </w:tr>
      <w:tr w:rsidR="0053152B" w:rsidRPr="00D252D3">
        <w:tblPrEx>
          <w:tblCellMar>
            <w:top w:w="0" w:type="dxa"/>
            <w:bottom w:w="0" w:type="dxa"/>
          </w:tblCellMar>
        </w:tblPrEx>
        <w:trPr>
          <w:trHeight w:val="850"/>
        </w:trPr>
        <w:tc>
          <w:tcPr>
            <w:tcW w:w="3708" w:type="dxa"/>
          </w:tcPr>
          <w:p w:rsidR="0053152B" w:rsidRPr="00D252D3" w:rsidRDefault="0053152B">
            <w:pPr>
              <w:ind w:left="0" w:firstLine="0"/>
              <w:jc w:val="both"/>
            </w:pPr>
            <w:r w:rsidRPr="00D252D3">
              <w:rPr>
                <w:bCs/>
              </w:rPr>
              <w:t>Poruchy gastrointestinálneho traktu</w:t>
            </w:r>
          </w:p>
          <w:p w:rsidR="0053152B" w:rsidRPr="00D252D3" w:rsidRDefault="0053152B">
            <w:pPr>
              <w:tabs>
                <w:tab w:val="left" w:pos="605"/>
                <w:tab w:val="left" w:pos="1043"/>
              </w:tabs>
              <w:ind w:left="0" w:firstLine="605"/>
              <w:rPr>
                <w:bCs/>
                <w:szCs w:val="22"/>
              </w:rPr>
            </w:pPr>
            <w:r w:rsidRPr="00D252D3">
              <w:rPr>
                <w:bCs/>
                <w:snapToGrid w:val="0"/>
                <w:lang w:eastAsia="cs-CZ"/>
              </w:rPr>
              <w:t>Zriedkavé</w:t>
            </w:r>
            <w:r w:rsidRPr="00D252D3">
              <w:rPr>
                <w:bCs/>
              </w:rPr>
              <w:t>:</w:t>
            </w:r>
          </w:p>
        </w:tc>
        <w:tc>
          <w:tcPr>
            <w:tcW w:w="5400" w:type="dxa"/>
          </w:tcPr>
          <w:p w:rsidR="0053152B" w:rsidRPr="00D252D3" w:rsidRDefault="0053152B"/>
          <w:p w:rsidR="0053152B" w:rsidRPr="00D252D3" w:rsidRDefault="0053152B">
            <w:pPr>
              <w:rPr>
                <w:snapToGrid w:val="0"/>
                <w:szCs w:val="22"/>
                <w:lang w:eastAsia="cs-CZ"/>
              </w:rPr>
            </w:pPr>
            <w:r w:rsidRPr="00D252D3">
              <w:t>Žalúdočné ťažkosti</w:t>
            </w:r>
          </w:p>
        </w:tc>
      </w:tr>
      <w:tr w:rsidR="0053152B" w:rsidRPr="00D252D3">
        <w:tblPrEx>
          <w:tblCellMar>
            <w:top w:w="0" w:type="dxa"/>
            <w:bottom w:w="0" w:type="dxa"/>
          </w:tblCellMar>
        </w:tblPrEx>
        <w:trPr>
          <w:trHeight w:val="850"/>
        </w:trPr>
        <w:tc>
          <w:tcPr>
            <w:tcW w:w="3708" w:type="dxa"/>
          </w:tcPr>
          <w:p w:rsidR="0053152B" w:rsidRPr="00D252D3" w:rsidRDefault="0053152B">
            <w:pPr>
              <w:ind w:left="0" w:firstLine="0"/>
              <w:rPr>
                <w:bCs/>
                <w:szCs w:val="22"/>
              </w:rPr>
            </w:pPr>
          </w:p>
          <w:p w:rsidR="0053152B" w:rsidRPr="00D252D3" w:rsidRDefault="0053152B">
            <w:pPr>
              <w:ind w:left="0" w:firstLine="0"/>
              <w:rPr>
                <w:bCs/>
                <w:szCs w:val="22"/>
              </w:rPr>
            </w:pPr>
            <w:r w:rsidRPr="00D252D3">
              <w:rPr>
                <w:bCs/>
                <w:szCs w:val="22"/>
              </w:rPr>
              <w:t>Poruchy kože a podkožného tkaniva</w:t>
            </w:r>
          </w:p>
          <w:p w:rsidR="0053152B" w:rsidRPr="00D252D3" w:rsidRDefault="0053152B">
            <w:pPr>
              <w:ind w:firstLine="38"/>
              <w:rPr>
                <w:snapToGrid w:val="0"/>
                <w:szCs w:val="22"/>
                <w:lang w:eastAsia="cs-CZ"/>
              </w:rPr>
            </w:pPr>
            <w:r w:rsidRPr="00D252D3">
              <w:rPr>
                <w:bCs/>
                <w:snapToGrid w:val="0"/>
                <w:szCs w:val="22"/>
                <w:lang w:eastAsia="cs-CZ"/>
              </w:rPr>
              <w:t>Zriedkavé:</w:t>
            </w:r>
          </w:p>
          <w:p w:rsidR="0053152B" w:rsidRPr="00D252D3" w:rsidRDefault="0053152B">
            <w:pPr>
              <w:pStyle w:val="EndnoteText"/>
              <w:tabs>
                <w:tab w:val="clear" w:pos="567"/>
              </w:tabs>
              <w:rPr>
                <w:szCs w:val="22"/>
                <w:lang w:val="sk-SK" w:eastAsia="sk-SK"/>
              </w:rPr>
            </w:pPr>
          </w:p>
        </w:tc>
        <w:tc>
          <w:tcPr>
            <w:tcW w:w="5400" w:type="dxa"/>
          </w:tcPr>
          <w:p w:rsidR="0053152B" w:rsidRPr="00D252D3" w:rsidRDefault="0053152B">
            <w:pPr>
              <w:rPr>
                <w:snapToGrid w:val="0"/>
                <w:szCs w:val="22"/>
                <w:lang w:eastAsia="cs-CZ"/>
              </w:rPr>
            </w:pPr>
          </w:p>
          <w:p w:rsidR="0053152B" w:rsidRPr="00D252D3" w:rsidRDefault="0053152B">
            <w:pPr>
              <w:rPr>
                <w:snapToGrid w:val="0"/>
                <w:szCs w:val="22"/>
                <w:lang w:eastAsia="cs-CZ"/>
              </w:rPr>
            </w:pPr>
          </w:p>
          <w:p w:rsidR="0053152B" w:rsidRPr="00D252D3" w:rsidRDefault="0053152B">
            <w:pPr>
              <w:rPr>
                <w:snapToGrid w:val="0"/>
                <w:szCs w:val="22"/>
                <w:lang w:eastAsia="cs-CZ"/>
              </w:rPr>
            </w:pPr>
            <w:r w:rsidRPr="00D252D3">
              <w:rPr>
                <w:snapToGrid w:val="0"/>
                <w:szCs w:val="22"/>
                <w:lang w:eastAsia="cs-CZ"/>
              </w:rPr>
              <w:t>Ekzém, lieková vyrážka</w:t>
            </w:r>
            <w:r w:rsidRPr="00D252D3">
              <w:rPr>
                <w:szCs w:val="22"/>
              </w:rPr>
              <w:t>, toxická kožná vyrážka</w:t>
            </w:r>
          </w:p>
          <w:p w:rsidR="0053152B" w:rsidRPr="00D252D3" w:rsidRDefault="0053152B">
            <w:pPr>
              <w:ind w:left="0" w:firstLine="0"/>
              <w:rPr>
                <w:szCs w:val="22"/>
              </w:rPr>
            </w:pPr>
          </w:p>
        </w:tc>
      </w:tr>
      <w:tr w:rsidR="0053152B" w:rsidRPr="00D252D3">
        <w:tblPrEx>
          <w:tblCellMar>
            <w:top w:w="0" w:type="dxa"/>
            <w:bottom w:w="0" w:type="dxa"/>
          </w:tblCellMar>
        </w:tblPrEx>
        <w:trPr>
          <w:trHeight w:val="850"/>
        </w:trPr>
        <w:tc>
          <w:tcPr>
            <w:tcW w:w="3708" w:type="dxa"/>
          </w:tcPr>
          <w:p w:rsidR="0053152B" w:rsidRPr="00D252D3" w:rsidRDefault="0053152B">
            <w:r w:rsidRPr="00D252D3">
              <w:t xml:space="preserve">Poruchy kostrovej a svalovej sústavy </w:t>
            </w:r>
          </w:p>
          <w:p w:rsidR="0053152B" w:rsidRPr="00D252D3" w:rsidRDefault="0053152B">
            <w:r w:rsidRPr="00D252D3">
              <w:t>a spojivového tkaniva</w:t>
            </w:r>
          </w:p>
          <w:p w:rsidR="0053152B" w:rsidRPr="00D252D3" w:rsidRDefault="0053152B">
            <w:pPr>
              <w:ind w:firstLine="38"/>
              <w:rPr>
                <w:snapToGrid w:val="0"/>
                <w:szCs w:val="22"/>
                <w:lang w:eastAsia="cs-CZ"/>
              </w:rPr>
            </w:pPr>
            <w:r w:rsidRPr="00D252D3">
              <w:rPr>
                <w:bCs/>
                <w:snapToGrid w:val="0"/>
                <w:szCs w:val="22"/>
                <w:lang w:eastAsia="cs-CZ"/>
              </w:rPr>
              <w:t>Zriedkavé:</w:t>
            </w:r>
          </w:p>
          <w:p w:rsidR="0053152B" w:rsidRPr="00D252D3" w:rsidRDefault="0053152B">
            <w:pPr>
              <w:rPr>
                <w:szCs w:val="22"/>
              </w:rPr>
            </w:pPr>
          </w:p>
        </w:tc>
        <w:tc>
          <w:tcPr>
            <w:tcW w:w="5400" w:type="dxa"/>
          </w:tcPr>
          <w:p w:rsidR="0053152B" w:rsidRPr="00D252D3" w:rsidRDefault="0053152B">
            <w:pPr>
              <w:rPr>
                <w:snapToGrid w:val="0"/>
                <w:szCs w:val="22"/>
                <w:lang w:eastAsia="cs-CZ"/>
              </w:rPr>
            </w:pPr>
          </w:p>
          <w:p w:rsidR="0053152B" w:rsidRPr="00D252D3" w:rsidRDefault="0053152B">
            <w:pPr>
              <w:rPr>
                <w:szCs w:val="22"/>
              </w:rPr>
            </w:pPr>
          </w:p>
          <w:p w:rsidR="0053152B" w:rsidRPr="00D252D3" w:rsidRDefault="0053152B">
            <w:pPr>
              <w:rPr>
                <w:szCs w:val="22"/>
              </w:rPr>
            </w:pPr>
            <w:r w:rsidRPr="00D252D3">
              <w:rPr>
                <w:szCs w:val="22"/>
              </w:rPr>
              <w:t>Artróza, bolesť šľachy</w:t>
            </w:r>
          </w:p>
        </w:tc>
      </w:tr>
      <w:tr w:rsidR="0053152B" w:rsidRPr="00D252D3">
        <w:tblPrEx>
          <w:tblCellMar>
            <w:top w:w="0" w:type="dxa"/>
            <w:bottom w:w="0" w:type="dxa"/>
          </w:tblCellMar>
        </w:tblPrEx>
        <w:trPr>
          <w:trHeight w:val="850"/>
        </w:trPr>
        <w:tc>
          <w:tcPr>
            <w:tcW w:w="3708" w:type="dxa"/>
          </w:tcPr>
          <w:p w:rsidR="0053152B" w:rsidRPr="00D252D3" w:rsidRDefault="0053152B">
            <w:r w:rsidRPr="00D252D3">
              <w:t>Poruchy obličiek a močových ciest</w:t>
            </w:r>
          </w:p>
          <w:p w:rsidR="0053152B" w:rsidRPr="00D252D3" w:rsidRDefault="0053152B">
            <w:pPr>
              <w:ind w:firstLine="38"/>
            </w:pPr>
            <w:r w:rsidRPr="00D252D3">
              <w:rPr>
                <w:bCs/>
                <w:snapToGrid w:val="0"/>
                <w:szCs w:val="22"/>
                <w:lang w:eastAsia="cs-CZ"/>
              </w:rPr>
              <w:t>Menej časté:</w:t>
            </w:r>
          </w:p>
        </w:tc>
        <w:tc>
          <w:tcPr>
            <w:tcW w:w="5400" w:type="dxa"/>
          </w:tcPr>
          <w:p w:rsidR="0053152B" w:rsidRPr="00D252D3" w:rsidRDefault="0053152B">
            <w:pPr>
              <w:rPr>
                <w:szCs w:val="22"/>
              </w:rPr>
            </w:pPr>
          </w:p>
          <w:p w:rsidR="0053152B" w:rsidRPr="00D252D3" w:rsidRDefault="0053152B">
            <w:pPr>
              <w:rPr>
                <w:szCs w:val="22"/>
              </w:rPr>
            </w:pPr>
            <w:r w:rsidRPr="00D252D3">
              <w:rPr>
                <w:szCs w:val="22"/>
              </w:rPr>
              <w:t>Poškodenie funkcie obličiek (vrátane akútneho zlyhania</w:t>
            </w:r>
          </w:p>
          <w:p w:rsidR="0053152B" w:rsidRPr="00D252D3" w:rsidRDefault="0053152B">
            <w:pPr>
              <w:rPr>
                <w:snapToGrid w:val="0"/>
                <w:szCs w:val="22"/>
                <w:lang w:eastAsia="cs-CZ"/>
              </w:rPr>
            </w:pPr>
            <w:r w:rsidRPr="00D252D3">
              <w:rPr>
                <w:szCs w:val="22"/>
              </w:rPr>
              <w:t>obličiek)</w:t>
            </w:r>
          </w:p>
        </w:tc>
      </w:tr>
      <w:tr w:rsidR="0053152B" w:rsidRPr="00D252D3">
        <w:tblPrEx>
          <w:tblCellMar>
            <w:top w:w="0" w:type="dxa"/>
            <w:bottom w:w="0" w:type="dxa"/>
          </w:tblCellMar>
        </w:tblPrEx>
        <w:trPr>
          <w:trHeight w:val="850"/>
        </w:trPr>
        <w:tc>
          <w:tcPr>
            <w:tcW w:w="3708" w:type="dxa"/>
          </w:tcPr>
          <w:p w:rsidR="0053152B" w:rsidRPr="00D252D3" w:rsidRDefault="0053152B" w:rsidP="0051567B">
            <w:pPr>
              <w:keepNext/>
              <w:rPr>
                <w:bCs/>
                <w:szCs w:val="22"/>
              </w:rPr>
            </w:pPr>
            <w:r w:rsidRPr="00D252D3">
              <w:rPr>
                <w:bCs/>
                <w:szCs w:val="22"/>
              </w:rPr>
              <w:t xml:space="preserve">Celkové poruchy a reakcie v mieste </w:t>
            </w:r>
          </w:p>
          <w:p w:rsidR="0053152B" w:rsidRPr="00D252D3" w:rsidRDefault="0053152B">
            <w:pPr>
              <w:rPr>
                <w:bCs/>
                <w:szCs w:val="22"/>
              </w:rPr>
            </w:pPr>
            <w:r w:rsidRPr="00D252D3">
              <w:rPr>
                <w:bCs/>
                <w:szCs w:val="22"/>
              </w:rPr>
              <w:t>podania</w:t>
            </w:r>
          </w:p>
          <w:p w:rsidR="0053152B" w:rsidRPr="00D252D3" w:rsidRDefault="0053152B">
            <w:pPr>
              <w:ind w:firstLine="38"/>
              <w:rPr>
                <w:snapToGrid w:val="0"/>
                <w:szCs w:val="22"/>
                <w:lang w:eastAsia="cs-CZ"/>
              </w:rPr>
            </w:pPr>
            <w:r w:rsidRPr="00D252D3">
              <w:rPr>
                <w:bCs/>
                <w:snapToGrid w:val="0"/>
                <w:szCs w:val="22"/>
                <w:lang w:eastAsia="cs-CZ"/>
              </w:rPr>
              <w:t>Menej časté:</w:t>
            </w:r>
          </w:p>
          <w:p w:rsidR="0053152B" w:rsidRPr="00D252D3" w:rsidRDefault="0053152B">
            <w:pPr>
              <w:rPr>
                <w:szCs w:val="22"/>
              </w:rPr>
            </w:pPr>
          </w:p>
        </w:tc>
        <w:tc>
          <w:tcPr>
            <w:tcW w:w="5400" w:type="dxa"/>
          </w:tcPr>
          <w:p w:rsidR="0053152B" w:rsidRPr="00D252D3" w:rsidRDefault="0053152B">
            <w:pPr>
              <w:rPr>
                <w:snapToGrid w:val="0"/>
                <w:szCs w:val="22"/>
                <w:lang w:eastAsia="cs-CZ"/>
              </w:rPr>
            </w:pPr>
          </w:p>
          <w:p w:rsidR="0053152B" w:rsidRPr="00D252D3" w:rsidRDefault="0053152B">
            <w:pPr>
              <w:rPr>
                <w:szCs w:val="22"/>
              </w:rPr>
            </w:pPr>
          </w:p>
          <w:p w:rsidR="0053152B" w:rsidRPr="00D252D3" w:rsidRDefault="0053152B">
            <w:pPr>
              <w:rPr>
                <w:szCs w:val="22"/>
              </w:rPr>
            </w:pPr>
            <w:r w:rsidRPr="00D252D3">
              <w:rPr>
                <w:szCs w:val="22"/>
              </w:rPr>
              <w:t>Asténia</w:t>
            </w:r>
          </w:p>
          <w:p w:rsidR="0053152B" w:rsidRPr="00D252D3" w:rsidRDefault="0053152B">
            <w:pPr>
              <w:rPr>
                <w:szCs w:val="22"/>
              </w:rPr>
            </w:pPr>
          </w:p>
        </w:tc>
      </w:tr>
      <w:tr w:rsidR="0053152B" w:rsidRPr="00D252D3">
        <w:tblPrEx>
          <w:tblCellMar>
            <w:top w:w="0" w:type="dxa"/>
            <w:bottom w:w="0" w:type="dxa"/>
          </w:tblCellMar>
        </w:tblPrEx>
        <w:trPr>
          <w:trHeight w:val="850"/>
        </w:trPr>
        <w:tc>
          <w:tcPr>
            <w:tcW w:w="3708" w:type="dxa"/>
          </w:tcPr>
          <w:p w:rsidR="0053152B" w:rsidRPr="00D252D3" w:rsidRDefault="0053152B">
            <w:pPr>
              <w:rPr>
                <w:bCs/>
                <w:snapToGrid w:val="0"/>
                <w:szCs w:val="22"/>
                <w:lang w:eastAsia="cs-CZ"/>
              </w:rPr>
            </w:pPr>
            <w:r w:rsidRPr="00D252D3">
              <w:t>Laboratórne a funkčné vyšetrenia</w:t>
            </w:r>
          </w:p>
          <w:p w:rsidR="0053152B" w:rsidRPr="00D252D3" w:rsidRDefault="0053152B">
            <w:pPr>
              <w:ind w:firstLine="38"/>
              <w:rPr>
                <w:bCs/>
                <w:snapToGrid w:val="0"/>
                <w:szCs w:val="22"/>
                <w:lang w:eastAsia="cs-CZ"/>
              </w:rPr>
            </w:pPr>
            <w:r w:rsidRPr="00D252D3">
              <w:rPr>
                <w:bCs/>
                <w:snapToGrid w:val="0"/>
                <w:szCs w:val="22"/>
                <w:lang w:eastAsia="cs-CZ"/>
              </w:rPr>
              <w:t>Zriedkavé</w:t>
            </w:r>
          </w:p>
          <w:p w:rsidR="0053152B" w:rsidRPr="00D252D3" w:rsidRDefault="0053152B">
            <w:pPr>
              <w:ind w:left="0" w:firstLine="0"/>
              <w:rPr>
                <w:szCs w:val="22"/>
              </w:rPr>
            </w:pPr>
          </w:p>
        </w:tc>
        <w:tc>
          <w:tcPr>
            <w:tcW w:w="5400" w:type="dxa"/>
          </w:tcPr>
          <w:p w:rsidR="0053152B" w:rsidRPr="00D252D3" w:rsidRDefault="0053152B">
            <w:pPr>
              <w:rPr>
                <w:snapToGrid w:val="0"/>
                <w:szCs w:val="22"/>
                <w:lang w:eastAsia="cs-CZ"/>
              </w:rPr>
            </w:pPr>
          </w:p>
          <w:p w:rsidR="0053152B" w:rsidRPr="00D252D3" w:rsidRDefault="0053152B">
            <w:pPr>
              <w:rPr>
                <w:snapToGrid w:val="0"/>
                <w:szCs w:val="22"/>
                <w:lang w:eastAsia="cs-CZ"/>
              </w:rPr>
            </w:pPr>
            <w:r w:rsidRPr="00D252D3">
              <w:rPr>
                <w:szCs w:val="22"/>
              </w:rPr>
              <w:t>Znížený hemoglobín</w:t>
            </w:r>
          </w:p>
        </w:tc>
      </w:tr>
    </w:tbl>
    <w:p w:rsidR="0053152B" w:rsidRPr="00D252D3" w:rsidRDefault="0053152B">
      <w:pPr>
        <w:ind w:left="0" w:firstLine="0"/>
        <w:jc w:val="both"/>
        <w:rPr>
          <w:szCs w:val="22"/>
        </w:rPr>
      </w:pPr>
      <w:r w:rsidRPr="00D252D3">
        <w:rPr>
          <w:szCs w:val="22"/>
        </w:rPr>
        <w:t xml:space="preserve">3: Pre ďalší popis, prosím, pozri časť </w:t>
      </w:r>
      <w:r w:rsidRPr="00D252D3">
        <w:rPr>
          <w:iCs/>
        </w:rPr>
        <w:t>„Popis vybraných nežiaducich reakcií“</w:t>
      </w:r>
    </w:p>
    <w:p w:rsidR="0053152B" w:rsidRPr="00D252D3" w:rsidRDefault="0053152B">
      <w:pPr>
        <w:ind w:left="0" w:firstLine="0"/>
        <w:rPr>
          <w:snapToGrid w:val="0"/>
          <w:lang w:eastAsia="cs-CZ"/>
        </w:rPr>
      </w:pPr>
    </w:p>
    <w:p w:rsidR="0053152B" w:rsidRPr="00D252D3" w:rsidRDefault="0053152B">
      <w:pPr>
        <w:ind w:left="0" w:firstLine="0"/>
        <w:rPr>
          <w:bCs/>
          <w:u w:val="single"/>
        </w:rPr>
      </w:pPr>
      <w:r w:rsidRPr="00D252D3">
        <w:rPr>
          <w:bCs/>
          <w:u w:val="single"/>
        </w:rPr>
        <w:t>Hydrochlorotiazid:</w:t>
      </w:r>
    </w:p>
    <w:p w:rsidR="0053152B" w:rsidRPr="00D252D3" w:rsidRDefault="0053152B">
      <w:pPr>
        <w:ind w:left="0" w:firstLine="0"/>
        <w:rPr>
          <w:snapToGrid w:val="0"/>
          <w:szCs w:val="22"/>
          <w:lang w:eastAsia="cs-CZ"/>
        </w:rPr>
      </w:pPr>
      <w:r w:rsidRPr="00D252D3">
        <w:rPr>
          <w:snapToGrid w:val="0"/>
          <w:szCs w:val="22"/>
          <w:lang w:eastAsia="cs-CZ"/>
        </w:rPr>
        <w:t>Hydrochlorotiazid môže vyvolať alebo exacerbovať hypovolémiu, ktorá by mohla viesť k elektrolytovej nerovnováhe (pozri časť 4.4).</w:t>
      </w:r>
    </w:p>
    <w:p w:rsidR="0053152B" w:rsidRPr="00D252D3" w:rsidRDefault="0053152B">
      <w:pPr>
        <w:ind w:left="0" w:firstLine="0"/>
        <w:rPr>
          <w:snapToGrid w:val="0"/>
          <w:lang w:eastAsia="cs-CZ"/>
        </w:rPr>
      </w:pPr>
    </w:p>
    <w:p w:rsidR="0053152B" w:rsidRPr="00D252D3" w:rsidRDefault="0053152B">
      <w:pPr>
        <w:ind w:left="0" w:firstLine="0"/>
        <w:rPr>
          <w:snapToGrid w:val="0"/>
          <w:lang w:eastAsia="cs-CZ"/>
        </w:rPr>
      </w:pPr>
      <w:r w:rsidRPr="00D252D3">
        <w:rPr>
          <w:snapToGrid w:val="0"/>
          <w:lang w:eastAsia="cs-CZ"/>
        </w:rPr>
        <w:t>Nežiaduce reakcie s neznámou frekvenciou hlásené pri používaní samotného hydrochlorotiazidu zahŕňajú:</w:t>
      </w:r>
    </w:p>
    <w:p w:rsidR="0053152B" w:rsidRPr="00D252D3" w:rsidRDefault="0053152B">
      <w:pPr>
        <w:ind w:left="0" w:firstLine="0"/>
        <w:rPr>
          <w:snapToGrid w:val="0"/>
          <w:lang w:eastAsia="cs-CZ"/>
        </w:rPr>
      </w:pPr>
    </w:p>
    <w:tbl>
      <w:tblPr>
        <w:tblW w:w="0" w:type="auto"/>
        <w:tblInd w:w="-38" w:type="dxa"/>
        <w:tblLayout w:type="fixed"/>
        <w:tblCellMar>
          <w:left w:w="70" w:type="dxa"/>
          <w:right w:w="70" w:type="dxa"/>
        </w:tblCellMar>
        <w:tblLook w:val="01E0" w:firstRow="1" w:lastRow="1" w:firstColumn="1" w:lastColumn="1" w:noHBand="0" w:noVBand="0"/>
      </w:tblPr>
      <w:tblGrid>
        <w:gridCol w:w="3482"/>
        <w:gridCol w:w="18"/>
        <w:gridCol w:w="5341"/>
      </w:tblGrid>
      <w:tr w:rsidR="0053152B" w:rsidRPr="00D252D3" w:rsidTr="00A2013F">
        <w:tblPrEx>
          <w:tblCellMar>
            <w:top w:w="0" w:type="dxa"/>
            <w:bottom w:w="0" w:type="dxa"/>
          </w:tblCellMar>
        </w:tblPrEx>
        <w:tc>
          <w:tcPr>
            <w:tcW w:w="3500" w:type="dxa"/>
            <w:gridSpan w:val="2"/>
          </w:tcPr>
          <w:p w:rsidR="0053152B" w:rsidRPr="00D252D3" w:rsidRDefault="0053152B">
            <w:pPr>
              <w:rPr>
                <w:snapToGrid w:val="0"/>
                <w:lang w:eastAsia="cs-CZ"/>
              </w:rPr>
            </w:pPr>
            <w:r w:rsidRPr="00D252D3">
              <w:rPr>
                <w:snapToGrid w:val="0"/>
                <w:lang w:eastAsia="cs-CZ"/>
              </w:rPr>
              <w:t>Infekcie a nákazy</w:t>
            </w:r>
          </w:p>
          <w:p w:rsidR="0053152B" w:rsidRPr="00D252D3" w:rsidRDefault="0053152B">
            <w:pPr>
              <w:ind w:firstLine="38"/>
              <w:rPr>
                <w:snapToGrid w:val="0"/>
                <w:lang w:eastAsia="cs-CZ"/>
              </w:rPr>
            </w:pPr>
            <w:r w:rsidRPr="00D252D3">
              <w:rPr>
                <w:bCs/>
                <w:snapToGrid w:val="0"/>
                <w:szCs w:val="22"/>
                <w:lang w:eastAsia="cs-CZ"/>
              </w:rPr>
              <w:t>Neznáme:</w:t>
            </w:r>
          </w:p>
          <w:p w:rsidR="0053152B" w:rsidRPr="00D252D3" w:rsidRDefault="0053152B">
            <w:pPr>
              <w:rPr>
                <w:snapToGrid w:val="0"/>
                <w:lang w:eastAsia="cs-CZ"/>
              </w:rPr>
            </w:pPr>
          </w:p>
        </w:tc>
        <w:tc>
          <w:tcPr>
            <w:tcW w:w="5341" w:type="dxa"/>
          </w:tcPr>
          <w:p w:rsidR="0053152B" w:rsidRPr="00D252D3" w:rsidRDefault="0053152B">
            <w:pPr>
              <w:rPr>
                <w:snapToGrid w:val="0"/>
                <w:lang w:eastAsia="cs-CZ"/>
              </w:rPr>
            </w:pPr>
          </w:p>
          <w:p w:rsidR="0053152B" w:rsidRPr="00D252D3" w:rsidRDefault="0053152B">
            <w:pPr>
              <w:rPr>
                <w:snapToGrid w:val="0"/>
                <w:lang w:eastAsia="cs-CZ"/>
              </w:rPr>
            </w:pPr>
            <w:r w:rsidRPr="00D252D3">
              <w:rPr>
                <w:snapToGrid w:val="0"/>
                <w:lang w:eastAsia="cs-CZ"/>
              </w:rPr>
              <w:t>Zápal slinnej žľazy</w:t>
            </w:r>
          </w:p>
          <w:p w:rsidR="0053152B" w:rsidRPr="00D252D3" w:rsidRDefault="0053152B">
            <w:pPr>
              <w:rPr>
                <w:snapToGrid w:val="0"/>
                <w:lang w:eastAsia="cs-CZ"/>
              </w:rPr>
            </w:pPr>
            <w:r w:rsidRPr="00D252D3">
              <w:rPr>
                <w:snapToGrid w:val="0"/>
                <w:lang w:eastAsia="cs-CZ"/>
              </w:rPr>
              <w:t xml:space="preserve"> </w:t>
            </w:r>
          </w:p>
        </w:tc>
      </w:tr>
      <w:tr w:rsidR="008E6CA5" w:rsidRPr="00D252D3" w:rsidTr="00A2013F">
        <w:tblPrEx>
          <w:tblCellMar>
            <w:top w:w="0" w:type="dxa"/>
            <w:bottom w:w="0" w:type="dxa"/>
          </w:tblCellMar>
        </w:tblPrEx>
        <w:trPr>
          <w:trHeight w:val="630"/>
        </w:trPr>
        <w:tc>
          <w:tcPr>
            <w:tcW w:w="3500" w:type="dxa"/>
            <w:gridSpan w:val="2"/>
          </w:tcPr>
          <w:p w:rsidR="008E6CA5" w:rsidRPr="00D252D3" w:rsidRDefault="008E6CA5" w:rsidP="008E6CA5">
            <w:pPr>
              <w:ind w:left="0" w:firstLine="0"/>
            </w:pPr>
            <w:r w:rsidRPr="00D252D3">
              <w:t>Benígne a malígne nádory, vrátane nešpecifikovaných novotvarov (cysty a polypy)</w:t>
            </w:r>
          </w:p>
          <w:p w:rsidR="008E6CA5" w:rsidRPr="00D252D3" w:rsidRDefault="008E6CA5" w:rsidP="008E6CA5">
            <w:pPr>
              <w:ind w:firstLine="38"/>
            </w:pPr>
            <w:r w:rsidRPr="00D252D3">
              <w:rPr>
                <w:snapToGrid w:val="0"/>
                <w:lang w:eastAsia="cs-CZ"/>
              </w:rPr>
              <w:t>Neznáme</w:t>
            </w:r>
            <w:r w:rsidRPr="00D252D3">
              <w:t>:</w:t>
            </w:r>
          </w:p>
          <w:p w:rsidR="00E02A8D" w:rsidRPr="00D252D3" w:rsidRDefault="00E02A8D" w:rsidP="008E6CA5">
            <w:pPr>
              <w:ind w:firstLine="38"/>
            </w:pPr>
          </w:p>
        </w:tc>
        <w:tc>
          <w:tcPr>
            <w:tcW w:w="5341" w:type="dxa"/>
            <w:shd w:val="clear" w:color="auto" w:fill="auto"/>
          </w:tcPr>
          <w:p w:rsidR="00E17A92" w:rsidRPr="00D252D3" w:rsidRDefault="00E17A92">
            <w:pPr>
              <w:ind w:left="0" w:firstLine="0"/>
            </w:pPr>
          </w:p>
          <w:p w:rsidR="00E17A92" w:rsidRPr="00D252D3" w:rsidRDefault="00E17A92">
            <w:pPr>
              <w:ind w:left="0" w:firstLine="0"/>
            </w:pPr>
          </w:p>
          <w:p w:rsidR="00E17A92" w:rsidRPr="00D252D3" w:rsidRDefault="00E17A92">
            <w:pPr>
              <w:ind w:left="0" w:firstLine="0"/>
            </w:pPr>
          </w:p>
          <w:p w:rsidR="008E6CA5" w:rsidRPr="00D252D3" w:rsidRDefault="008E6CA5">
            <w:pPr>
              <w:ind w:left="0" w:firstLine="0"/>
            </w:pPr>
            <w:r w:rsidRPr="00D252D3">
              <w:t>Nemelanómová rakovina kože (bazocelulárny karcinóm a skvamocelulárny karcinóm)</w:t>
            </w:r>
          </w:p>
          <w:p w:rsidR="00E17A92" w:rsidRPr="00D252D3" w:rsidRDefault="00E17A92">
            <w:pPr>
              <w:ind w:left="0" w:firstLine="0"/>
              <w:rPr>
                <w:snapToGrid w:val="0"/>
                <w:lang w:eastAsia="cs-CZ"/>
              </w:rPr>
            </w:pPr>
          </w:p>
        </w:tc>
      </w:tr>
      <w:tr w:rsidR="000D7961" w:rsidRPr="00D252D3" w:rsidTr="00A2013F">
        <w:tblPrEx>
          <w:tblCellMar>
            <w:top w:w="0" w:type="dxa"/>
            <w:bottom w:w="0" w:type="dxa"/>
          </w:tblCellMar>
        </w:tblPrEx>
        <w:trPr>
          <w:trHeight w:val="630"/>
        </w:trPr>
        <w:tc>
          <w:tcPr>
            <w:tcW w:w="3500" w:type="dxa"/>
            <w:gridSpan w:val="2"/>
          </w:tcPr>
          <w:p w:rsidR="000D7961" w:rsidRPr="00D252D3" w:rsidRDefault="000D7961">
            <w:r w:rsidRPr="00D252D3">
              <w:t>Poruchy krvi a lymfatického systému</w:t>
            </w:r>
          </w:p>
          <w:p w:rsidR="000D7961" w:rsidRPr="00D252D3" w:rsidRDefault="000D7961">
            <w:pPr>
              <w:ind w:firstLine="38"/>
              <w:rPr>
                <w:snapToGrid w:val="0"/>
                <w:lang w:eastAsia="cs-CZ"/>
              </w:rPr>
            </w:pPr>
            <w:r w:rsidRPr="00D252D3">
              <w:rPr>
                <w:snapToGrid w:val="0"/>
                <w:lang w:eastAsia="cs-CZ"/>
              </w:rPr>
              <w:t>Zriedkavé:</w:t>
            </w:r>
          </w:p>
        </w:tc>
        <w:tc>
          <w:tcPr>
            <w:tcW w:w="5341" w:type="dxa"/>
            <w:shd w:val="clear" w:color="auto" w:fill="auto"/>
          </w:tcPr>
          <w:p w:rsidR="000D7961" w:rsidRPr="00D252D3" w:rsidRDefault="000D7961">
            <w:pPr>
              <w:ind w:left="0" w:firstLine="0"/>
              <w:rPr>
                <w:snapToGrid w:val="0"/>
                <w:lang w:eastAsia="cs-CZ"/>
              </w:rPr>
            </w:pPr>
          </w:p>
          <w:p w:rsidR="000D7961" w:rsidRPr="00D252D3" w:rsidRDefault="000D7961">
            <w:pPr>
              <w:ind w:left="0" w:firstLine="0"/>
              <w:rPr>
                <w:snapToGrid w:val="0"/>
                <w:lang w:eastAsia="cs-CZ"/>
              </w:rPr>
            </w:pPr>
            <w:r w:rsidRPr="00D252D3">
              <w:rPr>
                <w:snapToGrid w:val="0"/>
                <w:lang w:eastAsia="cs-CZ"/>
              </w:rPr>
              <w:t>Trombocytopénia (niekedy s purpurou)</w:t>
            </w:r>
          </w:p>
        </w:tc>
      </w:tr>
      <w:tr w:rsidR="000D7961" w:rsidRPr="00D252D3" w:rsidTr="00A2013F">
        <w:tblPrEx>
          <w:tblCellMar>
            <w:top w:w="0" w:type="dxa"/>
            <w:bottom w:w="0" w:type="dxa"/>
          </w:tblCellMar>
        </w:tblPrEx>
        <w:trPr>
          <w:trHeight w:val="630"/>
        </w:trPr>
        <w:tc>
          <w:tcPr>
            <w:tcW w:w="3500" w:type="dxa"/>
            <w:gridSpan w:val="2"/>
          </w:tcPr>
          <w:p w:rsidR="000D7961" w:rsidRPr="00D252D3" w:rsidRDefault="000D7961" w:rsidP="000D7961">
            <w:pPr>
              <w:ind w:left="605" w:firstLine="0"/>
            </w:pPr>
            <w:r w:rsidRPr="00D252D3">
              <w:rPr>
                <w:bCs/>
                <w:snapToGrid w:val="0"/>
                <w:szCs w:val="22"/>
                <w:lang w:eastAsia="cs-CZ"/>
              </w:rPr>
              <w:t>Neznáme:</w:t>
            </w:r>
          </w:p>
        </w:tc>
        <w:tc>
          <w:tcPr>
            <w:tcW w:w="5341" w:type="dxa"/>
            <w:shd w:val="clear" w:color="auto" w:fill="auto"/>
          </w:tcPr>
          <w:p w:rsidR="000D7961" w:rsidRPr="00D252D3" w:rsidRDefault="000D7961" w:rsidP="000D7961">
            <w:pPr>
              <w:ind w:left="0" w:firstLine="0"/>
              <w:rPr>
                <w:szCs w:val="22"/>
              </w:rPr>
            </w:pPr>
            <w:r w:rsidRPr="00D252D3">
              <w:rPr>
                <w:szCs w:val="22"/>
              </w:rPr>
              <w:t>Aplastická anémia, hemolytická anémia, zlyhanie kostnej drene, leukopénia, neutropénia, agranulocytóza</w:t>
            </w:r>
          </w:p>
          <w:p w:rsidR="000D7961" w:rsidRPr="00D252D3" w:rsidRDefault="000D7961">
            <w:pPr>
              <w:ind w:left="0" w:firstLine="0"/>
              <w:rPr>
                <w:snapToGrid w:val="0"/>
                <w:lang w:eastAsia="cs-CZ"/>
              </w:rPr>
            </w:pPr>
          </w:p>
        </w:tc>
      </w:tr>
      <w:tr w:rsidR="0053152B" w:rsidRPr="00D252D3" w:rsidTr="00A2013F">
        <w:tblPrEx>
          <w:tblCellMar>
            <w:top w:w="0" w:type="dxa"/>
            <w:bottom w:w="0" w:type="dxa"/>
          </w:tblCellMar>
        </w:tblPrEx>
        <w:tc>
          <w:tcPr>
            <w:tcW w:w="3500" w:type="dxa"/>
            <w:gridSpan w:val="2"/>
          </w:tcPr>
          <w:p w:rsidR="0053152B" w:rsidRPr="00D252D3" w:rsidRDefault="0053152B">
            <w:r w:rsidRPr="00D252D3">
              <w:t>Poruchy imunitného systému</w:t>
            </w:r>
          </w:p>
          <w:p w:rsidR="0053152B" w:rsidRPr="00D252D3" w:rsidRDefault="0053152B">
            <w:pPr>
              <w:ind w:firstLine="38"/>
            </w:pPr>
            <w:r w:rsidRPr="00D252D3">
              <w:rPr>
                <w:snapToGrid w:val="0"/>
                <w:szCs w:val="22"/>
                <w:lang w:eastAsia="cs-CZ"/>
              </w:rPr>
              <w:t>Neznáme:</w:t>
            </w:r>
          </w:p>
        </w:tc>
        <w:tc>
          <w:tcPr>
            <w:tcW w:w="5341" w:type="dxa"/>
          </w:tcPr>
          <w:p w:rsidR="0053152B" w:rsidRPr="00D252D3" w:rsidRDefault="0053152B">
            <w:pPr>
              <w:ind w:left="0" w:firstLine="0"/>
              <w:rPr>
                <w:szCs w:val="22"/>
              </w:rPr>
            </w:pPr>
          </w:p>
          <w:p w:rsidR="0053152B" w:rsidRPr="00D252D3" w:rsidRDefault="0053152B">
            <w:pPr>
              <w:ind w:left="0" w:firstLine="0"/>
              <w:rPr>
                <w:szCs w:val="22"/>
              </w:rPr>
            </w:pPr>
            <w:r w:rsidRPr="00D252D3">
              <w:rPr>
                <w:szCs w:val="22"/>
              </w:rPr>
              <w:t>Anafylaktická reakcia, precitlivenosť</w:t>
            </w:r>
          </w:p>
          <w:p w:rsidR="0053152B" w:rsidRPr="00D252D3" w:rsidRDefault="0053152B">
            <w:pPr>
              <w:ind w:left="0" w:firstLine="0"/>
              <w:rPr>
                <w:snapToGrid w:val="0"/>
                <w:lang w:eastAsia="cs-CZ"/>
              </w:rPr>
            </w:pPr>
          </w:p>
        </w:tc>
      </w:tr>
      <w:tr w:rsidR="0053152B" w:rsidRPr="00D252D3" w:rsidTr="00A2013F">
        <w:tblPrEx>
          <w:tblCellMar>
            <w:top w:w="0" w:type="dxa"/>
            <w:bottom w:w="0" w:type="dxa"/>
          </w:tblCellMar>
        </w:tblPrEx>
        <w:tc>
          <w:tcPr>
            <w:tcW w:w="3500" w:type="dxa"/>
            <w:gridSpan w:val="2"/>
          </w:tcPr>
          <w:p w:rsidR="0053152B" w:rsidRPr="00D252D3" w:rsidRDefault="0053152B">
            <w:pPr>
              <w:rPr>
                <w:bCs/>
              </w:rPr>
            </w:pPr>
            <w:r w:rsidRPr="00D252D3">
              <w:rPr>
                <w:bCs/>
              </w:rPr>
              <w:t>Poruchy endokrinného systému</w:t>
            </w:r>
          </w:p>
          <w:p w:rsidR="0053152B" w:rsidRPr="00D252D3" w:rsidRDefault="0053152B">
            <w:pPr>
              <w:ind w:firstLine="38"/>
            </w:pPr>
            <w:r w:rsidRPr="00D252D3">
              <w:rPr>
                <w:snapToGrid w:val="0"/>
                <w:szCs w:val="22"/>
                <w:lang w:eastAsia="cs-CZ"/>
              </w:rPr>
              <w:t>Neznáme:</w:t>
            </w:r>
          </w:p>
        </w:tc>
        <w:tc>
          <w:tcPr>
            <w:tcW w:w="5341" w:type="dxa"/>
          </w:tcPr>
          <w:p w:rsidR="0053152B" w:rsidRPr="00D252D3" w:rsidRDefault="0053152B">
            <w:pPr>
              <w:ind w:left="0" w:firstLine="0"/>
              <w:rPr>
                <w:szCs w:val="22"/>
              </w:rPr>
            </w:pPr>
          </w:p>
          <w:p w:rsidR="0053152B" w:rsidRPr="00D252D3" w:rsidRDefault="0053152B">
            <w:pPr>
              <w:ind w:left="0" w:firstLine="0"/>
              <w:rPr>
                <w:szCs w:val="22"/>
              </w:rPr>
            </w:pPr>
            <w:r w:rsidRPr="00D252D3">
              <w:rPr>
                <w:szCs w:val="22"/>
              </w:rPr>
              <w:t>Diabetes mellitus nedostatočne kontrolovateľný</w:t>
            </w:r>
          </w:p>
          <w:p w:rsidR="0053152B" w:rsidRPr="00D252D3" w:rsidRDefault="0053152B">
            <w:pPr>
              <w:ind w:left="0" w:firstLine="0"/>
              <w:rPr>
                <w:szCs w:val="22"/>
              </w:rPr>
            </w:pPr>
          </w:p>
        </w:tc>
      </w:tr>
      <w:tr w:rsidR="000D7961" w:rsidRPr="00D252D3" w:rsidTr="00A2013F">
        <w:tblPrEx>
          <w:tblCellMar>
            <w:top w:w="0" w:type="dxa"/>
            <w:bottom w:w="0" w:type="dxa"/>
          </w:tblCellMar>
        </w:tblPrEx>
        <w:trPr>
          <w:trHeight w:val="255"/>
        </w:trPr>
        <w:tc>
          <w:tcPr>
            <w:tcW w:w="3482" w:type="dxa"/>
          </w:tcPr>
          <w:p w:rsidR="000D7961" w:rsidRPr="00D252D3" w:rsidRDefault="000D7961">
            <w:pPr>
              <w:rPr>
                <w:snapToGrid w:val="0"/>
                <w:szCs w:val="22"/>
                <w:lang w:eastAsia="cs-CZ"/>
              </w:rPr>
            </w:pPr>
            <w:r w:rsidRPr="00D252D3">
              <w:t>Poruchy metabolizmu a výživy</w:t>
            </w:r>
          </w:p>
        </w:tc>
        <w:tc>
          <w:tcPr>
            <w:tcW w:w="5359" w:type="dxa"/>
            <w:gridSpan w:val="2"/>
          </w:tcPr>
          <w:p w:rsidR="000D7961" w:rsidRPr="00D252D3" w:rsidRDefault="000D7961">
            <w:pPr>
              <w:ind w:left="0" w:firstLine="0"/>
              <w:rPr>
                <w:szCs w:val="22"/>
              </w:rPr>
            </w:pPr>
          </w:p>
        </w:tc>
      </w:tr>
      <w:tr w:rsidR="000D7961" w:rsidRPr="00D252D3" w:rsidTr="00A2013F">
        <w:tblPrEx>
          <w:tblCellMar>
            <w:top w:w="0" w:type="dxa"/>
            <w:bottom w:w="0" w:type="dxa"/>
          </w:tblCellMar>
        </w:tblPrEx>
        <w:trPr>
          <w:trHeight w:val="255"/>
        </w:trPr>
        <w:tc>
          <w:tcPr>
            <w:tcW w:w="3482" w:type="dxa"/>
          </w:tcPr>
          <w:p w:rsidR="000D7961" w:rsidRPr="00D252D3" w:rsidRDefault="00B137E8" w:rsidP="0021184D">
            <w:pPr>
              <w:ind w:firstLine="38"/>
            </w:pPr>
            <w:r w:rsidRPr="00D252D3">
              <w:t>Časté:</w:t>
            </w:r>
          </w:p>
        </w:tc>
        <w:tc>
          <w:tcPr>
            <w:tcW w:w="5359" w:type="dxa"/>
            <w:gridSpan w:val="2"/>
          </w:tcPr>
          <w:p w:rsidR="000D7961" w:rsidRPr="00D252D3" w:rsidRDefault="00B137E8">
            <w:r w:rsidRPr="00D252D3">
              <w:rPr>
                <w:szCs w:val="22"/>
              </w:rPr>
              <w:t>Hypomagneziémia</w:t>
            </w:r>
          </w:p>
        </w:tc>
      </w:tr>
      <w:tr w:rsidR="00B137E8" w:rsidRPr="00D252D3" w:rsidTr="00A2013F">
        <w:tblPrEx>
          <w:tblCellMar>
            <w:top w:w="0" w:type="dxa"/>
            <w:bottom w:w="0" w:type="dxa"/>
          </w:tblCellMar>
        </w:tblPrEx>
        <w:trPr>
          <w:trHeight w:val="255"/>
        </w:trPr>
        <w:tc>
          <w:tcPr>
            <w:tcW w:w="3482" w:type="dxa"/>
          </w:tcPr>
          <w:p w:rsidR="00B137E8" w:rsidRPr="00D252D3" w:rsidRDefault="00B137E8" w:rsidP="0021184D">
            <w:pPr>
              <w:ind w:firstLine="38"/>
            </w:pPr>
            <w:r w:rsidRPr="00D252D3">
              <w:t>Zriedkavé:</w:t>
            </w:r>
          </w:p>
        </w:tc>
        <w:tc>
          <w:tcPr>
            <w:tcW w:w="5359" w:type="dxa"/>
            <w:gridSpan w:val="2"/>
          </w:tcPr>
          <w:p w:rsidR="00B137E8" w:rsidRPr="00D252D3" w:rsidRDefault="008A2F72">
            <w:r w:rsidRPr="00D252D3">
              <w:rPr>
                <w:szCs w:val="22"/>
              </w:rPr>
              <w:t>Hyperkalciémia</w:t>
            </w:r>
          </w:p>
        </w:tc>
      </w:tr>
      <w:tr w:rsidR="000D7961" w:rsidRPr="00D252D3" w:rsidTr="00A2013F">
        <w:tblPrEx>
          <w:tblCellMar>
            <w:top w:w="0" w:type="dxa"/>
            <w:bottom w:w="0" w:type="dxa"/>
          </w:tblCellMar>
        </w:tblPrEx>
        <w:trPr>
          <w:trHeight w:val="255"/>
        </w:trPr>
        <w:tc>
          <w:tcPr>
            <w:tcW w:w="3482" w:type="dxa"/>
          </w:tcPr>
          <w:p w:rsidR="000D7961" w:rsidRPr="00D252D3" w:rsidRDefault="00B137E8" w:rsidP="0021184D">
            <w:pPr>
              <w:ind w:firstLine="38"/>
            </w:pPr>
            <w:r w:rsidRPr="00D252D3">
              <w:t>Veľmi zriedkavé:</w:t>
            </w:r>
          </w:p>
        </w:tc>
        <w:tc>
          <w:tcPr>
            <w:tcW w:w="5359" w:type="dxa"/>
            <w:gridSpan w:val="2"/>
          </w:tcPr>
          <w:p w:rsidR="000D7961" w:rsidRPr="00D252D3" w:rsidRDefault="008A2F72">
            <w:r w:rsidRPr="00D252D3">
              <w:rPr>
                <w:szCs w:val="22"/>
              </w:rPr>
              <w:t>Hypochloremická alkalóza</w:t>
            </w:r>
          </w:p>
        </w:tc>
      </w:tr>
      <w:tr w:rsidR="000D7961" w:rsidRPr="00D252D3" w:rsidTr="00A2013F">
        <w:tblPrEx>
          <w:tblCellMar>
            <w:top w:w="0" w:type="dxa"/>
            <w:bottom w:w="0" w:type="dxa"/>
          </w:tblCellMar>
        </w:tblPrEx>
        <w:trPr>
          <w:trHeight w:val="757"/>
        </w:trPr>
        <w:tc>
          <w:tcPr>
            <w:tcW w:w="3500" w:type="dxa"/>
            <w:gridSpan w:val="2"/>
          </w:tcPr>
          <w:p w:rsidR="000D7961" w:rsidRPr="00D252D3" w:rsidRDefault="000D7961" w:rsidP="000D7961">
            <w:pPr>
              <w:ind w:firstLine="38"/>
            </w:pPr>
            <w:r w:rsidRPr="00D252D3">
              <w:rPr>
                <w:snapToGrid w:val="0"/>
                <w:szCs w:val="22"/>
                <w:lang w:eastAsia="cs-CZ"/>
              </w:rPr>
              <w:t>Neznáme:</w:t>
            </w:r>
          </w:p>
        </w:tc>
        <w:tc>
          <w:tcPr>
            <w:tcW w:w="5341" w:type="dxa"/>
            <w:shd w:val="clear" w:color="auto" w:fill="auto"/>
          </w:tcPr>
          <w:p w:rsidR="000D7961" w:rsidRPr="00D252D3" w:rsidRDefault="000D7961" w:rsidP="000D7961">
            <w:pPr>
              <w:ind w:left="0" w:firstLine="0"/>
              <w:rPr>
                <w:szCs w:val="22"/>
              </w:rPr>
            </w:pPr>
            <w:r w:rsidRPr="00D252D3">
              <w:rPr>
                <w:szCs w:val="22"/>
              </w:rPr>
              <w:t>Anorexia, znížená chuť do jedla, nerovnováha elektrolytov, hypercholesterolémia, hyperglykémia, hypovolémia</w:t>
            </w:r>
          </w:p>
          <w:p w:rsidR="000D7961" w:rsidRPr="00D252D3" w:rsidRDefault="000D7961">
            <w:pPr>
              <w:ind w:left="0" w:firstLine="0"/>
              <w:rPr>
                <w:szCs w:val="22"/>
              </w:rPr>
            </w:pPr>
          </w:p>
        </w:tc>
      </w:tr>
      <w:tr w:rsidR="0053152B" w:rsidRPr="00D252D3" w:rsidTr="00A2013F">
        <w:tblPrEx>
          <w:tblCellMar>
            <w:top w:w="0" w:type="dxa"/>
            <w:bottom w:w="0" w:type="dxa"/>
          </w:tblCellMar>
        </w:tblPrEx>
        <w:tc>
          <w:tcPr>
            <w:tcW w:w="3500" w:type="dxa"/>
            <w:gridSpan w:val="2"/>
          </w:tcPr>
          <w:p w:rsidR="0053152B" w:rsidRPr="00D252D3" w:rsidRDefault="0021184D" w:rsidP="0021184D">
            <w:r w:rsidRPr="00D252D3">
              <w:t>Psychické poruchy</w:t>
            </w:r>
          </w:p>
          <w:p w:rsidR="000D7961" w:rsidRPr="00D252D3" w:rsidRDefault="0021184D">
            <w:pPr>
              <w:ind w:firstLine="38"/>
              <w:rPr>
                <w:bCs/>
              </w:rPr>
            </w:pPr>
            <w:r w:rsidRPr="00D252D3">
              <w:t>Neznáme:</w:t>
            </w:r>
          </w:p>
        </w:tc>
        <w:tc>
          <w:tcPr>
            <w:tcW w:w="5341" w:type="dxa"/>
          </w:tcPr>
          <w:p w:rsidR="0053152B" w:rsidRPr="00D252D3" w:rsidRDefault="0053152B">
            <w:pPr>
              <w:rPr>
                <w:szCs w:val="22"/>
              </w:rPr>
            </w:pPr>
          </w:p>
          <w:p w:rsidR="0053152B" w:rsidRPr="00D252D3" w:rsidRDefault="0053152B">
            <w:pPr>
              <w:rPr>
                <w:szCs w:val="22"/>
              </w:rPr>
            </w:pPr>
            <w:r w:rsidRPr="00D252D3">
              <w:rPr>
                <w:szCs w:val="22"/>
              </w:rPr>
              <w:t>Nepokoj</w:t>
            </w:r>
          </w:p>
          <w:p w:rsidR="0053152B" w:rsidRPr="00D252D3" w:rsidRDefault="0053152B">
            <w:pPr>
              <w:rPr>
                <w:szCs w:val="22"/>
              </w:rPr>
            </w:pPr>
          </w:p>
        </w:tc>
      </w:tr>
      <w:tr w:rsidR="008A2F72" w:rsidRPr="00D252D3" w:rsidTr="00A2013F">
        <w:tblPrEx>
          <w:tblCellMar>
            <w:top w:w="0" w:type="dxa"/>
            <w:bottom w:w="0" w:type="dxa"/>
          </w:tblCellMar>
        </w:tblPrEx>
        <w:trPr>
          <w:trHeight w:val="383"/>
        </w:trPr>
        <w:tc>
          <w:tcPr>
            <w:tcW w:w="3500" w:type="dxa"/>
            <w:gridSpan w:val="2"/>
          </w:tcPr>
          <w:p w:rsidR="008A2F72" w:rsidRPr="00D252D3" w:rsidRDefault="008A2F72">
            <w:pPr>
              <w:rPr>
                <w:snapToGrid w:val="0"/>
                <w:lang w:eastAsia="cs-CZ"/>
              </w:rPr>
            </w:pPr>
            <w:r w:rsidRPr="00D252D3">
              <w:rPr>
                <w:snapToGrid w:val="0"/>
                <w:lang w:eastAsia="cs-CZ"/>
              </w:rPr>
              <w:t>Poruchy nervového systému</w:t>
            </w:r>
          </w:p>
          <w:p w:rsidR="008A2F72" w:rsidRPr="00D252D3" w:rsidRDefault="008A2F72">
            <w:pPr>
              <w:ind w:firstLine="38"/>
              <w:rPr>
                <w:snapToGrid w:val="0"/>
                <w:lang w:eastAsia="cs-CZ"/>
              </w:rPr>
            </w:pPr>
            <w:r w:rsidRPr="00D252D3">
              <w:rPr>
                <w:snapToGrid w:val="0"/>
                <w:lang w:eastAsia="cs-CZ"/>
              </w:rPr>
              <w:t>Zriedkavé:</w:t>
            </w:r>
          </w:p>
        </w:tc>
        <w:tc>
          <w:tcPr>
            <w:tcW w:w="5341" w:type="dxa"/>
            <w:shd w:val="clear" w:color="auto" w:fill="auto"/>
          </w:tcPr>
          <w:p w:rsidR="008A2F72" w:rsidRPr="00D252D3" w:rsidRDefault="008A2F72">
            <w:pPr>
              <w:rPr>
                <w:snapToGrid w:val="0"/>
                <w:lang w:eastAsia="cs-CZ"/>
              </w:rPr>
            </w:pPr>
          </w:p>
          <w:p w:rsidR="008A2F72" w:rsidRPr="00D252D3" w:rsidRDefault="008A2F72" w:rsidP="0021184D">
            <w:pPr>
              <w:rPr>
                <w:snapToGrid w:val="0"/>
                <w:lang w:eastAsia="cs-CZ"/>
              </w:rPr>
            </w:pPr>
            <w:r w:rsidRPr="00D252D3">
              <w:rPr>
                <w:snapToGrid w:val="0"/>
                <w:lang w:eastAsia="cs-CZ"/>
              </w:rPr>
              <w:t>Bolesť hlavy</w:t>
            </w:r>
          </w:p>
        </w:tc>
      </w:tr>
      <w:tr w:rsidR="008A2F72" w:rsidRPr="00D252D3" w:rsidTr="00A2013F">
        <w:tblPrEx>
          <w:tblCellMar>
            <w:top w:w="0" w:type="dxa"/>
            <w:bottom w:w="0" w:type="dxa"/>
          </w:tblCellMar>
        </w:tblPrEx>
        <w:trPr>
          <w:trHeight w:val="382"/>
        </w:trPr>
        <w:tc>
          <w:tcPr>
            <w:tcW w:w="3500" w:type="dxa"/>
            <w:gridSpan w:val="2"/>
          </w:tcPr>
          <w:p w:rsidR="008A2F72" w:rsidRPr="00D252D3" w:rsidRDefault="008A2F72" w:rsidP="008A2F72">
            <w:pPr>
              <w:ind w:firstLine="38"/>
              <w:rPr>
                <w:snapToGrid w:val="0"/>
                <w:lang w:eastAsia="cs-CZ"/>
              </w:rPr>
            </w:pPr>
            <w:r w:rsidRPr="00D252D3">
              <w:rPr>
                <w:snapToGrid w:val="0"/>
                <w:szCs w:val="22"/>
                <w:lang w:eastAsia="cs-CZ"/>
              </w:rPr>
              <w:t>Neznáme:</w:t>
            </w:r>
          </w:p>
        </w:tc>
        <w:tc>
          <w:tcPr>
            <w:tcW w:w="5341" w:type="dxa"/>
            <w:shd w:val="clear" w:color="auto" w:fill="auto"/>
          </w:tcPr>
          <w:p w:rsidR="008A2F72" w:rsidRPr="00D252D3" w:rsidRDefault="008A2F72">
            <w:pPr>
              <w:rPr>
                <w:snapToGrid w:val="0"/>
                <w:lang w:eastAsia="cs-CZ"/>
              </w:rPr>
            </w:pPr>
            <w:r w:rsidRPr="00D252D3">
              <w:rPr>
                <w:szCs w:val="22"/>
              </w:rPr>
              <w:t>Točenie hlavy</w:t>
            </w:r>
          </w:p>
        </w:tc>
      </w:tr>
      <w:tr w:rsidR="0053152B" w:rsidRPr="00D252D3" w:rsidTr="00A2013F">
        <w:tblPrEx>
          <w:tblCellMar>
            <w:top w:w="0" w:type="dxa"/>
            <w:bottom w:w="0" w:type="dxa"/>
          </w:tblCellMar>
        </w:tblPrEx>
        <w:tc>
          <w:tcPr>
            <w:tcW w:w="3500" w:type="dxa"/>
            <w:gridSpan w:val="2"/>
          </w:tcPr>
          <w:p w:rsidR="0053152B" w:rsidRPr="00D252D3" w:rsidRDefault="0053152B">
            <w:r w:rsidRPr="00D252D3">
              <w:t>Poruchy oka</w:t>
            </w:r>
          </w:p>
          <w:p w:rsidR="0053152B" w:rsidRPr="00D252D3" w:rsidRDefault="0053152B">
            <w:pPr>
              <w:ind w:firstLine="38"/>
              <w:rPr>
                <w:snapToGrid w:val="0"/>
                <w:lang w:eastAsia="cs-CZ"/>
              </w:rPr>
            </w:pPr>
            <w:r w:rsidRPr="00D252D3">
              <w:rPr>
                <w:snapToGrid w:val="0"/>
                <w:szCs w:val="22"/>
                <w:lang w:eastAsia="cs-CZ"/>
              </w:rPr>
              <w:t>Neznáme:</w:t>
            </w:r>
          </w:p>
        </w:tc>
        <w:tc>
          <w:tcPr>
            <w:tcW w:w="5341" w:type="dxa"/>
          </w:tcPr>
          <w:p w:rsidR="0053152B" w:rsidRPr="00D252D3" w:rsidRDefault="0053152B">
            <w:pPr>
              <w:rPr>
                <w:snapToGrid w:val="0"/>
                <w:lang w:eastAsia="cs-CZ"/>
              </w:rPr>
            </w:pPr>
          </w:p>
          <w:p w:rsidR="0053152B" w:rsidRPr="00D252D3" w:rsidRDefault="0053152B">
            <w:pPr>
              <w:rPr>
                <w:snapToGrid w:val="0"/>
                <w:lang w:eastAsia="cs-CZ"/>
              </w:rPr>
            </w:pPr>
            <w:r w:rsidRPr="00D252D3">
              <w:rPr>
                <w:snapToGrid w:val="0"/>
                <w:lang w:eastAsia="cs-CZ"/>
              </w:rPr>
              <w:t>Xantopsia, akútna myopia, akútny glaukóm s uzavretým</w:t>
            </w:r>
          </w:p>
          <w:p w:rsidR="0053152B" w:rsidRPr="00D252D3" w:rsidRDefault="001C33AE">
            <w:pPr>
              <w:rPr>
                <w:snapToGrid w:val="0"/>
                <w:lang w:eastAsia="cs-CZ"/>
              </w:rPr>
            </w:pPr>
            <w:r>
              <w:rPr>
                <w:snapToGrid w:val="0"/>
                <w:lang w:eastAsia="cs-CZ"/>
              </w:rPr>
              <w:t>u</w:t>
            </w:r>
            <w:r w:rsidRPr="00D252D3">
              <w:rPr>
                <w:snapToGrid w:val="0"/>
                <w:lang w:eastAsia="cs-CZ"/>
              </w:rPr>
              <w:t>hlom</w:t>
            </w:r>
            <w:r w:rsidR="002A5949" w:rsidRPr="00D252D3">
              <w:rPr>
                <w:snapToGrid w:val="0"/>
                <w:lang w:eastAsia="cs-CZ"/>
              </w:rPr>
              <w:t>, choroidálna efúzia</w:t>
            </w:r>
          </w:p>
        </w:tc>
      </w:tr>
      <w:tr w:rsidR="0053152B" w:rsidRPr="00D252D3" w:rsidTr="00A2013F">
        <w:tblPrEx>
          <w:tblCellMar>
            <w:top w:w="0" w:type="dxa"/>
            <w:bottom w:w="0" w:type="dxa"/>
          </w:tblCellMar>
        </w:tblPrEx>
        <w:tc>
          <w:tcPr>
            <w:tcW w:w="3500" w:type="dxa"/>
            <w:gridSpan w:val="2"/>
          </w:tcPr>
          <w:p w:rsidR="0053152B" w:rsidRPr="00D252D3" w:rsidRDefault="0053152B"/>
        </w:tc>
        <w:tc>
          <w:tcPr>
            <w:tcW w:w="5341" w:type="dxa"/>
          </w:tcPr>
          <w:p w:rsidR="0053152B" w:rsidRPr="00D252D3" w:rsidRDefault="0053152B">
            <w:pPr>
              <w:rPr>
                <w:snapToGrid w:val="0"/>
                <w:lang w:eastAsia="cs-CZ"/>
              </w:rPr>
            </w:pPr>
          </w:p>
        </w:tc>
      </w:tr>
      <w:tr w:rsidR="0053152B" w:rsidRPr="00D252D3" w:rsidTr="00A2013F">
        <w:tblPrEx>
          <w:tblCellMar>
            <w:top w:w="0" w:type="dxa"/>
            <w:bottom w:w="0" w:type="dxa"/>
          </w:tblCellMar>
        </w:tblPrEx>
        <w:tc>
          <w:tcPr>
            <w:tcW w:w="3500" w:type="dxa"/>
            <w:gridSpan w:val="2"/>
          </w:tcPr>
          <w:p w:rsidR="0053152B" w:rsidRPr="00D252D3" w:rsidRDefault="0053152B">
            <w:r w:rsidRPr="00D252D3">
              <w:t>Poruchy ciev</w:t>
            </w:r>
          </w:p>
          <w:p w:rsidR="0053152B" w:rsidRPr="00D252D3" w:rsidRDefault="0053152B">
            <w:pPr>
              <w:ind w:firstLine="38"/>
              <w:rPr>
                <w:snapToGrid w:val="0"/>
                <w:szCs w:val="22"/>
                <w:lang w:eastAsia="cs-CZ"/>
              </w:rPr>
            </w:pPr>
            <w:r w:rsidRPr="00D252D3">
              <w:rPr>
                <w:snapToGrid w:val="0"/>
                <w:szCs w:val="22"/>
                <w:lang w:eastAsia="cs-CZ"/>
              </w:rPr>
              <w:t>Neznáme:</w:t>
            </w:r>
          </w:p>
        </w:tc>
        <w:tc>
          <w:tcPr>
            <w:tcW w:w="5341" w:type="dxa"/>
          </w:tcPr>
          <w:p w:rsidR="0053152B" w:rsidRPr="00D252D3" w:rsidRDefault="0053152B">
            <w:pPr>
              <w:rPr>
                <w:snapToGrid w:val="0"/>
                <w:lang w:eastAsia="cs-CZ"/>
              </w:rPr>
            </w:pPr>
          </w:p>
          <w:p w:rsidR="0053152B" w:rsidRPr="00D252D3" w:rsidRDefault="0053152B">
            <w:pPr>
              <w:rPr>
                <w:szCs w:val="22"/>
              </w:rPr>
            </w:pPr>
            <w:r w:rsidRPr="00D252D3">
              <w:rPr>
                <w:szCs w:val="22"/>
              </w:rPr>
              <w:t>Nekrotizujúca vaskulitída</w:t>
            </w:r>
          </w:p>
          <w:p w:rsidR="0053152B" w:rsidRPr="00D252D3" w:rsidRDefault="0053152B">
            <w:pPr>
              <w:rPr>
                <w:snapToGrid w:val="0"/>
                <w:lang w:eastAsia="cs-CZ"/>
              </w:rPr>
            </w:pPr>
          </w:p>
        </w:tc>
      </w:tr>
      <w:tr w:rsidR="008A2F72" w:rsidRPr="00D252D3" w:rsidTr="00A2013F">
        <w:tblPrEx>
          <w:tblCellMar>
            <w:top w:w="0" w:type="dxa"/>
            <w:bottom w:w="0" w:type="dxa"/>
          </w:tblCellMar>
        </w:tblPrEx>
        <w:trPr>
          <w:trHeight w:val="503"/>
        </w:trPr>
        <w:tc>
          <w:tcPr>
            <w:tcW w:w="3500" w:type="dxa"/>
            <w:gridSpan w:val="2"/>
          </w:tcPr>
          <w:p w:rsidR="008A2F72" w:rsidRPr="00D252D3" w:rsidRDefault="008A2F72">
            <w:pPr>
              <w:rPr>
                <w:snapToGrid w:val="0"/>
                <w:lang w:eastAsia="cs-CZ"/>
              </w:rPr>
            </w:pPr>
            <w:r w:rsidRPr="00D252D3">
              <w:t>Poruchy gastrointestinálneho traktu</w:t>
            </w:r>
          </w:p>
          <w:p w:rsidR="008A2F72" w:rsidRPr="00D252D3" w:rsidRDefault="008A2F72">
            <w:pPr>
              <w:ind w:firstLine="38"/>
              <w:rPr>
                <w:snapToGrid w:val="0"/>
                <w:lang w:eastAsia="cs-CZ"/>
              </w:rPr>
            </w:pPr>
            <w:r w:rsidRPr="00D252D3">
              <w:rPr>
                <w:snapToGrid w:val="0"/>
                <w:lang w:eastAsia="cs-CZ"/>
              </w:rPr>
              <w:t>Časté:</w:t>
            </w:r>
          </w:p>
        </w:tc>
        <w:tc>
          <w:tcPr>
            <w:tcW w:w="5341" w:type="dxa"/>
            <w:shd w:val="clear" w:color="auto" w:fill="auto"/>
          </w:tcPr>
          <w:p w:rsidR="008A2F72" w:rsidRPr="00D252D3" w:rsidRDefault="008A2F72">
            <w:pPr>
              <w:rPr>
                <w:snapToGrid w:val="0"/>
                <w:lang w:eastAsia="cs-CZ"/>
              </w:rPr>
            </w:pPr>
          </w:p>
          <w:p w:rsidR="008A2F72" w:rsidRPr="00D252D3" w:rsidRDefault="008A2F72">
            <w:pPr>
              <w:rPr>
                <w:snapToGrid w:val="0"/>
                <w:lang w:eastAsia="cs-CZ"/>
              </w:rPr>
            </w:pPr>
            <w:r w:rsidRPr="00D252D3">
              <w:rPr>
                <w:snapToGrid w:val="0"/>
                <w:lang w:eastAsia="cs-CZ"/>
              </w:rPr>
              <w:t>Nauzea</w:t>
            </w:r>
          </w:p>
          <w:p w:rsidR="008A2F72" w:rsidRPr="00D252D3" w:rsidRDefault="008A2F72">
            <w:pPr>
              <w:rPr>
                <w:snapToGrid w:val="0"/>
                <w:lang w:eastAsia="cs-CZ"/>
              </w:rPr>
            </w:pPr>
          </w:p>
        </w:tc>
      </w:tr>
      <w:tr w:rsidR="008A2F72" w:rsidRPr="00D252D3" w:rsidTr="00A2013F">
        <w:tblPrEx>
          <w:tblCellMar>
            <w:top w:w="0" w:type="dxa"/>
            <w:bottom w:w="0" w:type="dxa"/>
          </w:tblCellMar>
        </w:tblPrEx>
        <w:trPr>
          <w:trHeight w:val="502"/>
        </w:trPr>
        <w:tc>
          <w:tcPr>
            <w:tcW w:w="3500" w:type="dxa"/>
            <w:gridSpan w:val="2"/>
          </w:tcPr>
          <w:p w:rsidR="008A2F72" w:rsidRPr="00D252D3" w:rsidRDefault="008A2F72" w:rsidP="008A2F72">
            <w:pPr>
              <w:ind w:firstLine="38"/>
            </w:pPr>
            <w:r w:rsidRPr="00D252D3">
              <w:rPr>
                <w:snapToGrid w:val="0"/>
                <w:szCs w:val="22"/>
                <w:lang w:eastAsia="cs-CZ"/>
              </w:rPr>
              <w:t>Neznáme:</w:t>
            </w:r>
          </w:p>
        </w:tc>
        <w:tc>
          <w:tcPr>
            <w:tcW w:w="5341" w:type="dxa"/>
            <w:shd w:val="clear" w:color="auto" w:fill="auto"/>
          </w:tcPr>
          <w:p w:rsidR="008A2F72" w:rsidRPr="00D252D3" w:rsidRDefault="008A2F72" w:rsidP="008A2F72">
            <w:pPr>
              <w:rPr>
                <w:snapToGrid w:val="0"/>
                <w:lang w:eastAsia="cs-CZ"/>
              </w:rPr>
            </w:pPr>
            <w:r w:rsidRPr="00D252D3">
              <w:rPr>
                <w:snapToGrid w:val="0"/>
                <w:lang w:eastAsia="cs-CZ"/>
              </w:rPr>
              <w:t>Pankreatitída, žalúdočné ťažkosti</w:t>
            </w:r>
          </w:p>
          <w:p w:rsidR="008A2F72" w:rsidRPr="00D252D3" w:rsidRDefault="008A2F72">
            <w:pPr>
              <w:rPr>
                <w:snapToGrid w:val="0"/>
                <w:lang w:eastAsia="cs-CZ"/>
              </w:rPr>
            </w:pPr>
          </w:p>
        </w:tc>
      </w:tr>
      <w:tr w:rsidR="0053152B" w:rsidRPr="00D252D3" w:rsidTr="00A2013F">
        <w:tblPrEx>
          <w:tblCellMar>
            <w:top w:w="0" w:type="dxa"/>
            <w:bottom w:w="0" w:type="dxa"/>
          </w:tblCellMar>
        </w:tblPrEx>
        <w:tc>
          <w:tcPr>
            <w:tcW w:w="3500" w:type="dxa"/>
            <w:gridSpan w:val="2"/>
          </w:tcPr>
          <w:p w:rsidR="0053152B" w:rsidRPr="00D252D3" w:rsidRDefault="0053152B" w:rsidP="0051567B">
            <w:pPr>
              <w:keepNext/>
              <w:ind w:left="0" w:firstLine="0"/>
              <w:rPr>
                <w:snapToGrid w:val="0"/>
                <w:lang w:eastAsia="cs-CZ"/>
              </w:rPr>
            </w:pPr>
            <w:r w:rsidRPr="00D252D3">
              <w:rPr>
                <w:snapToGrid w:val="0"/>
                <w:lang w:eastAsia="cs-CZ"/>
              </w:rPr>
              <w:t>Poruchy pečene a žlčových ciest</w:t>
            </w:r>
          </w:p>
          <w:p w:rsidR="0053152B" w:rsidRPr="00D252D3" w:rsidRDefault="0053152B">
            <w:pPr>
              <w:ind w:firstLine="38"/>
              <w:rPr>
                <w:snapToGrid w:val="0"/>
                <w:lang w:eastAsia="cs-CZ"/>
              </w:rPr>
            </w:pPr>
            <w:r w:rsidRPr="00D252D3">
              <w:rPr>
                <w:snapToGrid w:val="0"/>
                <w:szCs w:val="22"/>
                <w:lang w:eastAsia="cs-CZ"/>
              </w:rPr>
              <w:t>Neznáme:</w:t>
            </w:r>
          </w:p>
        </w:tc>
        <w:tc>
          <w:tcPr>
            <w:tcW w:w="5341" w:type="dxa"/>
          </w:tcPr>
          <w:p w:rsidR="0053152B" w:rsidRPr="00D252D3" w:rsidRDefault="0053152B">
            <w:pPr>
              <w:rPr>
                <w:snapToGrid w:val="0"/>
                <w:lang w:eastAsia="cs-CZ"/>
              </w:rPr>
            </w:pPr>
          </w:p>
          <w:p w:rsidR="0053152B" w:rsidRPr="00D252D3" w:rsidRDefault="0053152B">
            <w:pPr>
              <w:rPr>
                <w:snapToGrid w:val="0"/>
                <w:lang w:eastAsia="cs-CZ"/>
              </w:rPr>
            </w:pPr>
            <w:r w:rsidRPr="00D252D3">
              <w:rPr>
                <w:snapToGrid w:val="0"/>
                <w:lang w:eastAsia="cs-CZ"/>
              </w:rPr>
              <w:t>Hepatocelulárna žltačka, cholestatická žltačka</w:t>
            </w:r>
          </w:p>
          <w:p w:rsidR="0053152B" w:rsidRPr="00D252D3" w:rsidRDefault="0053152B">
            <w:pPr>
              <w:rPr>
                <w:snapToGrid w:val="0"/>
                <w:lang w:eastAsia="cs-CZ"/>
              </w:rPr>
            </w:pPr>
          </w:p>
        </w:tc>
      </w:tr>
      <w:tr w:rsidR="0053152B" w:rsidRPr="00D252D3" w:rsidTr="00A2013F">
        <w:tblPrEx>
          <w:tblCellMar>
            <w:top w:w="0" w:type="dxa"/>
            <w:bottom w:w="0" w:type="dxa"/>
          </w:tblCellMar>
        </w:tblPrEx>
        <w:tc>
          <w:tcPr>
            <w:tcW w:w="3500" w:type="dxa"/>
            <w:gridSpan w:val="2"/>
          </w:tcPr>
          <w:p w:rsidR="0053152B" w:rsidRPr="00D252D3" w:rsidRDefault="0053152B">
            <w:pPr>
              <w:rPr>
                <w:snapToGrid w:val="0"/>
                <w:lang w:eastAsia="cs-CZ"/>
              </w:rPr>
            </w:pPr>
            <w:r w:rsidRPr="00D252D3">
              <w:rPr>
                <w:snapToGrid w:val="0"/>
                <w:lang w:eastAsia="cs-CZ"/>
              </w:rPr>
              <w:t>Poruchy kože a podkožného tkaniva</w:t>
            </w:r>
          </w:p>
          <w:p w:rsidR="0053152B" w:rsidRPr="00D252D3" w:rsidRDefault="0053152B">
            <w:pPr>
              <w:ind w:firstLine="38"/>
              <w:rPr>
                <w:snapToGrid w:val="0"/>
                <w:lang w:eastAsia="cs-CZ"/>
              </w:rPr>
            </w:pPr>
            <w:r w:rsidRPr="00D252D3">
              <w:rPr>
                <w:snapToGrid w:val="0"/>
                <w:szCs w:val="22"/>
                <w:lang w:eastAsia="cs-CZ"/>
              </w:rPr>
              <w:t>Neznáme:</w:t>
            </w:r>
          </w:p>
        </w:tc>
        <w:tc>
          <w:tcPr>
            <w:tcW w:w="5341" w:type="dxa"/>
          </w:tcPr>
          <w:p w:rsidR="0053152B" w:rsidRPr="00D252D3" w:rsidRDefault="0053152B">
            <w:pPr>
              <w:rPr>
                <w:snapToGrid w:val="0"/>
                <w:lang w:eastAsia="cs-CZ"/>
              </w:rPr>
            </w:pPr>
          </w:p>
          <w:p w:rsidR="0053152B" w:rsidRPr="00D252D3" w:rsidRDefault="0053152B">
            <w:pPr>
              <w:ind w:left="54" w:firstLine="0"/>
              <w:rPr>
                <w:snapToGrid w:val="0"/>
                <w:lang w:eastAsia="cs-CZ"/>
              </w:rPr>
            </w:pPr>
            <w:r w:rsidRPr="00D252D3">
              <w:rPr>
                <w:snapToGrid w:val="0"/>
                <w:lang w:eastAsia="cs-CZ"/>
              </w:rPr>
              <w:t>Syndróm podobný lupusu, fotosenzitívne reakcie, kožná vaskulitída, toxická epidermálna nekrolýza, multiformný erytém</w:t>
            </w:r>
          </w:p>
          <w:p w:rsidR="0053152B" w:rsidRPr="00D252D3" w:rsidRDefault="0053152B">
            <w:pPr>
              <w:rPr>
                <w:snapToGrid w:val="0"/>
                <w:lang w:eastAsia="cs-CZ"/>
              </w:rPr>
            </w:pPr>
          </w:p>
        </w:tc>
      </w:tr>
      <w:tr w:rsidR="0053152B" w:rsidRPr="00D252D3" w:rsidTr="00A2013F">
        <w:tblPrEx>
          <w:tblCellMar>
            <w:top w:w="0" w:type="dxa"/>
            <w:bottom w:w="0" w:type="dxa"/>
          </w:tblCellMar>
        </w:tblPrEx>
        <w:tc>
          <w:tcPr>
            <w:tcW w:w="3500" w:type="dxa"/>
            <w:gridSpan w:val="2"/>
          </w:tcPr>
          <w:p w:rsidR="0053152B" w:rsidRPr="00D252D3" w:rsidRDefault="0053152B">
            <w:r w:rsidRPr="00D252D3">
              <w:t xml:space="preserve">Poruchy kostrovej a svalovej sústavy </w:t>
            </w:r>
          </w:p>
          <w:p w:rsidR="0053152B" w:rsidRPr="00D252D3" w:rsidRDefault="0053152B">
            <w:pPr>
              <w:rPr>
                <w:snapToGrid w:val="0"/>
                <w:lang w:eastAsia="cs-CZ"/>
              </w:rPr>
            </w:pPr>
            <w:r w:rsidRPr="00D252D3">
              <w:t>a spojivového tkaniva</w:t>
            </w:r>
          </w:p>
          <w:p w:rsidR="0053152B" w:rsidRPr="00D252D3" w:rsidRDefault="0053152B">
            <w:pPr>
              <w:ind w:firstLine="38"/>
              <w:rPr>
                <w:snapToGrid w:val="0"/>
                <w:lang w:eastAsia="cs-CZ"/>
              </w:rPr>
            </w:pPr>
            <w:r w:rsidRPr="00D252D3">
              <w:rPr>
                <w:snapToGrid w:val="0"/>
                <w:szCs w:val="22"/>
                <w:lang w:eastAsia="cs-CZ"/>
              </w:rPr>
              <w:t>Neznáme:</w:t>
            </w:r>
          </w:p>
        </w:tc>
        <w:tc>
          <w:tcPr>
            <w:tcW w:w="5341" w:type="dxa"/>
          </w:tcPr>
          <w:p w:rsidR="0053152B" w:rsidRPr="00D252D3" w:rsidRDefault="0053152B">
            <w:pPr>
              <w:rPr>
                <w:snapToGrid w:val="0"/>
                <w:lang w:eastAsia="cs-CZ"/>
              </w:rPr>
            </w:pPr>
          </w:p>
          <w:p w:rsidR="0053152B" w:rsidRPr="00D252D3" w:rsidRDefault="0053152B">
            <w:pPr>
              <w:rPr>
                <w:snapToGrid w:val="0"/>
                <w:lang w:eastAsia="cs-CZ"/>
              </w:rPr>
            </w:pPr>
          </w:p>
          <w:p w:rsidR="0053152B" w:rsidRPr="00D252D3" w:rsidRDefault="0053152B">
            <w:pPr>
              <w:rPr>
                <w:snapToGrid w:val="0"/>
                <w:lang w:eastAsia="cs-CZ"/>
              </w:rPr>
            </w:pPr>
            <w:r w:rsidRPr="00D252D3">
              <w:rPr>
                <w:snapToGrid w:val="0"/>
                <w:lang w:eastAsia="cs-CZ"/>
              </w:rPr>
              <w:t>Slabosť</w:t>
            </w:r>
          </w:p>
          <w:p w:rsidR="0053152B" w:rsidRPr="00D252D3" w:rsidRDefault="0053152B">
            <w:pPr>
              <w:rPr>
                <w:snapToGrid w:val="0"/>
                <w:lang w:eastAsia="cs-CZ"/>
              </w:rPr>
            </w:pPr>
          </w:p>
        </w:tc>
      </w:tr>
      <w:tr w:rsidR="0053152B" w:rsidRPr="00D252D3" w:rsidTr="00A2013F">
        <w:tblPrEx>
          <w:tblCellMar>
            <w:top w:w="0" w:type="dxa"/>
            <w:bottom w:w="0" w:type="dxa"/>
          </w:tblCellMar>
        </w:tblPrEx>
        <w:tc>
          <w:tcPr>
            <w:tcW w:w="3500" w:type="dxa"/>
            <w:gridSpan w:val="2"/>
          </w:tcPr>
          <w:p w:rsidR="0053152B" w:rsidRPr="00D252D3" w:rsidRDefault="0053152B">
            <w:pPr>
              <w:rPr>
                <w:snapToGrid w:val="0"/>
                <w:lang w:eastAsia="cs-CZ"/>
              </w:rPr>
            </w:pPr>
            <w:r w:rsidRPr="00D252D3">
              <w:rPr>
                <w:snapToGrid w:val="0"/>
                <w:lang w:eastAsia="cs-CZ"/>
              </w:rPr>
              <w:t>Poruchy obličiek a močových ciest</w:t>
            </w:r>
          </w:p>
          <w:p w:rsidR="0053152B" w:rsidRPr="00D252D3" w:rsidRDefault="0053152B">
            <w:pPr>
              <w:ind w:firstLine="38"/>
              <w:rPr>
                <w:snapToGrid w:val="0"/>
                <w:lang w:eastAsia="cs-CZ"/>
              </w:rPr>
            </w:pPr>
            <w:r w:rsidRPr="00D252D3">
              <w:rPr>
                <w:snapToGrid w:val="0"/>
                <w:szCs w:val="22"/>
                <w:lang w:eastAsia="cs-CZ"/>
              </w:rPr>
              <w:t>Neznáme:</w:t>
            </w:r>
          </w:p>
        </w:tc>
        <w:tc>
          <w:tcPr>
            <w:tcW w:w="5341" w:type="dxa"/>
          </w:tcPr>
          <w:p w:rsidR="0053152B" w:rsidRPr="00D252D3" w:rsidRDefault="0053152B">
            <w:pPr>
              <w:rPr>
                <w:snapToGrid w:val="0"/>
                <w:lang w:eastAsia="cs-CZ"/>
              </w:rPr>
            </w:pPr>
          </w:p>
          <w:p w:rsidR="0053152B" w:rsidRPr="00D252D3" w:rsidRDefault="0053152B">
            <w:pPr>
              <w:ind w:left="0" w:firstLine="0"/>
              <w:rPr>
                <w:snapToGrid w:val="0"/>
                <w:lang w:eastAsia="cs-CZ"/>
              </w:rPr>
            </w:pPr>
            <w:r w:rsidRPr="00D252D3">
              <w:rPr>
                <w:snapToGrid w:val="0"/>
                <w:lang w:eastAsia="cs-CZ"/>
              </w:rPr>
              <w:t>Intersticiálna nefritída, dysfunkcia obličiek, glykozúria</w:t>
            </w:r>
          </w:p>
          <w:p w:rsidR="0053152B" w:rsidRPr="00D252D3" w:rsidRDefault="0053152B">
            <w:pPr>
              <w:rPr>
                <w:snapToGrid w:val="0"/>
                <w:lang w:eastAsia="cs-CZ"/>
              </w:rPr>
            </w:pPr>
          </w:p>
        </w:tc>
      </w:tr>
      <w:tr w:rsidR="0053152B" w:rsidRPr="00D252D3" w:rsidTr="00A2013F">
        <w:tblPrEx>
          <w:tblCellMar>
            <w:top w:w="0" w:type="dxa"/>
            <w:bottom w:w="0" w:type="dxa"/>
          </w:tblCellMar>
        </w:tblPrEx>
        <w:tc>
          <w:tcPr>
            <w:tcW w:w="3500" w:type="dxa"/>
            <w:gridSpan w:val="2"/>
          </w:tcPr>
          <w:p w:rsidR="0053152B" w:rsidRPr="00D252D3" w:rsidRDefault="0053152B">
            <w:pPr>
              <w:rPr>
                <w:snapToGrid w:val="0"/>
                <w:lang w:eastAsia="cs-CZ"/>
              </w:rPr>
            </w:pPr>
            <w:r w:rsidRPr="00D252D3">
              <w:rPr>
                <w:snapToGrid w:val="0"/>
                <w:lang w:eastAsia="cs-CZ"/>
              </w:rPr>
              <w:t xml:space="preserve">Celkové poruchy a reakcie v mieste </w:t>
            </w:r>
          </w:p>
          <w:p w:rsidR="0053152B" w:rsidRPr="00D252D3" w:rsidRDefault="0053152B">
            <w:pPr>
              <w:rPr>
                <w:snapToGrid w:val="0"/>
                <w:lang w:eastAsia="cs-CZ"/>
              </w:rPr>
            </w:pPr>
            <w:r w:rsidRPr="00D252D3">
              <w:rPr>
                <w:snapToGrid w:val="0"/>
                <w:lang w:eastAsia="cs-CZ"/>
              </w:rPr>
              <w:t>podania</w:t>
            </w:r>
          </w:p>
          <w:p w:rsidR="0053152B" w:rsidRPr="00D252D3" w:rsidRDefault="0053152B">
            <w:pPr>
              <w:ind w:firstLine="38"/>
              <w:rPr>
                <w:snapToGrid w:val="0"/>
                <w:lang w:eastAsia="cs-CZ"/>
              </w:rPr>
            </w:pPr>
            <w:r w:rsidRPr="00D252D3">
              <w:rPr>
                <w:snapToGrid w:val="0"/>
                <w:szCs w:val="22"/>
                <w:lang w:eastAsia="cs-CZ"/>
              </w:rPr>
              <w:t>Neznáme:</w:t>
            </w:r>
          </w:p>
        </w:tc>
        <w:tc>
          <w:tcPr>
            <w:tcW w:w="5341" w:type="dxa"/>
          </w:tcPr>
          <w:p w:rsidR="0053152B" w:rsidRPr="00D252D3" w:rsidRDefault="0053152B">
            <w:pPr>
              <w:rPr>
                <w:snapToGrid w:val="0"/>
                <w:lang w:eastAsia="cs-CZ"/>
              </w:rPr>
            </w:pPr>
          </w:p>
          <w:p w:rsidR="0053152B" w:rsidRPr="00D252D3" w:rsidRDefault="0053152B">
            <w:pPr>
              <w:rPr>
                <w:snapToGrid w:val="0"/>
                <w:lang w:eastAsia="cs-CZ"/>
              </w:rPr>
            </w:pPr>
          </w:p>
          <w:p w:rsidR="0053152B" w:rsidRPr="00D252D3" w:rsidRDefault="0053152B">
            <w:pPr>
              <w:rPr>
                <w:snapToGrid w:val="0"/>
                <w:lang w:eastAsia="cs-CZ"/>
              </w:rPr>
            </w:pPr>
            <w:r w:rsidRPr="00D252D3">
              <w:rPr>
                <w:snapToGrid w:val="0"/>
                <w:lang w:eastAsia="cs-CZ"/>
              </w:rPr>
              <w:t>Pyrexia</w:t>
            </w:r>
          </w:p>
          <w:p w:rsidR="0053152B" w:rsidRPr="00D252D3" w:rsidRDefault="0053152B">
            <w:pPr>
              <w:rPr>
                <w:snapToGrid w:val="0"/>
                <w:lang w:eastAsia="cs-CZ"/>
              </w:rPr>
            </w:pPr>
          </w:p>
        </w:tc>
      </w:tr>
      <w:tr w:rsidR="0053152B" w:rsidRPr="00D252D3" w:rsidTr="00A2013F">
        <w:tblPrEx>
          <w:tblCellMar>
            <w:top w:w="0" w:type="dxa"/>
            <w:bottom w:w="0" w:type="dxa"/>
          </w:tblCellMar>
        </w:tblPrEx>
        <w:tc>
          <w:tcPr>
            <w:tcW w:w="3500" w:type="dxa"/>
            <w:gridSpan w:val="2"/>
          </w:tcPr>
          <w:p w:rsidR="0053152B" w:rsidRPr="00D252D3" w:rsidRDefault="0053152B">
            <w:pPr>
              <w:ind w:left="0" w:firstLine="0"/>
            </w:pPr>
          </w:p>
          <w:p w:rsidR="0053152B" w:rsidRPr="00D252D3" w:rsidRDefault="0053152B">
            <w:r w:rsidRPr="00D252D3">
              <w:t>Laboratórne a funkčné vyšetrenia</w:t>
            </w:r>
          </w:p>
          <w:p w:rsidR="0053152B" w:rsidRPr="00D252D3" w:rsidRDefault="0053152B">
            <w:pPr>
              <w:ind w:firstLine="38"/>
              <w:rPr>
                <w:snapToGrid w:val="0"/>
                <w:lang w:eastAsia="cs-CZ"/>
              </w:rPr>
            </w:pPr>
            <w:r w:rsidRPr="00D252D3">
              <w:rPr>
                <w:snapToGrid w:val="0"/>
                <w:szCs w:val="22"/>
                <w:lang w:eastAsia="cs-CZ"/>
              </w:rPr>
              <w:t>Neznáme:</w:t>
            </w:r>
          </w:p>
        </w:tc>
        <w:tc>
          <w:tcPr>
            <w:tcW w:w="5341" w:type="dxa"/>
          </w:tcPr>
          <w:p w:rsidR="0053152B" w:rsidRPr="00D252D3" w:rsidRDefault="0053152B">
            <w:pPr>
              <w:rPr>
                <w:snapToGrid w:val="0"/>
                <w:lang w:eastAsia="cs-CZ"/>
              </w:rPr>
            </w:pPr>
          </w:p>
          <w:p w:rsidR="0053152B" w:rsidRPr="00D252D3" w:rsidRDefault="0053152B">
            <w:pPr>
              <w:rPr>
                <w:snapToGrid w:val="0"/>
                <w:lang w:eastAsia="cs-CZ"/>
              </w:rPr>
            </w:pPr>
          </w:p>
          <w:p w:rsidR="0053152B" w:rsidRPr="00D252D3" w:rsidRDefault="0053152B">
            <w:pPr>
              <w:rPr>
                <w:snapToGrid w:val="0"/>
                <w:lang w:eastAsia="cs-CZ"/>
              </w:rPr>
            </w:pPr>
            <w:r w:rsidRPr="00D252D3">
              <w:rPr>
                <w:snapToGrid w:val="0"/>
                <w:lang w:eastAsia="cs-CZ"/>
              </w:rPr>
              <w:t xml:space="preserve">Zvýšené triglyceridy </w:t>
            </w:r>
          </w:p>
          <w:p w:rsidR="0053152B" w:rsidRPr="00D252D3" w:rsidRDefault="0053152B">
            <w:pPr>
              <w:rPr>
                <w:snapToGrid w:val="0"/>
                <w:lang w:eastAsia="cs-CZ"/>
              </w:rPr>
            </w:pPr>
          </w:p>
        </w:tc>
      </w:tr>
    </w:tbl>
    <w:p w:rsidR="0053152B" w:rsidRPr="00D252D3" w:rsidRDefault="0053152B">
      <w:pPr>
        <w:ind w:left="0" w:firstLine="0"/>
        <w:rPr>
          <w:u w:val="single"/>
        </w:rPr>
      </w:pPr>
    </w:p>
    <w:p w:rsidR="0053152B" w:rsidRPr="00D252D3" w:rsidRDefault="0053152B" w:rsidP="000D7A2C">
      <w:pPr>
        <w:keepNext/>
        <w:keepLines/>
        <w:ind w:left="0" w:firstLine="0"/>
        <w:rPr>
          <w:u w:val="single"/>
        </w:rPr>
      </w:pPr>
      <w:r w:rsidRPr="00D252D3">
        <w:rPr>
          <w:u w:val="single"/>
        </w:rPr>
        <w:t>Popis vybraných nežiaducich reakcií</w:t>
      </w:r>
    </w:p>
    <w:p w:rsidR="0053152B" w:rsidRPr="00D252D3" w:rsidRDefault="0053152B" w:rsidP="000D7A2C">
      <w:pPr>
        <w:keepNext/>
        <w:keepLines/>
        <w:ind w:left="0" w:firstLine="0"/>
      </w:pPr>
    </w:p>
    <w:p w:rsidR="0053152B" w:rsidRPr="00D252D3" w:rsidRDefault="0053152B" w:rsidP="000D7A2C">
      <w:pPr>
        <w:keepNext/>
        <w:keepLines/>
        <w:ind w:left="0" w:firstLine="0"/>
        <w:rPr>
          <w:u w:val="single"/>
        </w:rPr>
      </w:pPr>
      <w:r w:rsidRPr="00D252D3">
        <w:rPr>
          <w:u w:val="single"/>
        </w:rPr>
        <w:t>Abnormálna funkcia pečene/porucha pečene</w:t>
      </w:r>
    </w:p>
    <w:p w:rsidR="0053152B" w:rsidRPr="00D252D3" w:rsidRDefault="0053152B">
      <w:pPr>
        <w:ind w:left="0" w:firstLine="0"/>
      </w:pPr>
      <w:r w:rsidRPr="00D252D3">
        <w:t>Mnohé prípady abnormálnej funkcie pečene/poruchy pečene na základe skúseností po uvedení lieku na trh sa vyskytli u japonských pacientov. Tieto nežiaduce reakcie sa pravdepodobnejšie vyskytnú u japonských pacientov.</w:t>
      </w:r>
    </w:p>
    <w:p w:rsidR="0053152B" w:rsidRPr="00D252D3" w:rsidRDefault="0053152B">
      <w:pPr>
        <w:ind w:left="0" w:firstLine="0"/>
      </w:pPr>
    </w:p>
    <w:p w:rsidR="0053152B" w:rsidRPr="00D252D3" w:rsidRDefault="0053152B" w:rsidP="005163A1">
      <w:pPr>
        <w:keepNext/>
        <w:ind w:left="0" w:firstLine="0"/>
        <w:rPr>
          <w:u w:val="single"/>
        </w:rPr>
      </w:pPr>
      <w:r w:rsidRPr="00D252D3">
        <w:rPr>
          <w:u w:val="single"/>
        </w:rPr>
        <w:t>Sepsa</w:t>
      </w:r>
    </w:p>
    <w:p w:rsidR="0053152B" w:rsidRPr="00D252D3" w:rsidRDefault="0053152B" w:rsidP="005163A1">
      <w:pPr>
        <w:keepNext/>
        <w:ind w:left="0" w:firstLine="0"/>
      </w:pPr>
      <w:r w:rsidRPr="00D252D3">
        <w:t>V klinickom skúšaní PRoFESS sa po telmisartane, v porovnaní s placebom, pozorovala zvýšená incidencia sepsy. Udalosť môže byť náhodným nálezom alebo môže súvisieť s mechanizmom, ktorý v súčasnosti nie je známy (pozri časť 5.1).</w:t>
      </w:r>
    </w:p>
    <w:p w:rsidR="0053152B" w:rsidRPr="00D252D3" w:rsidRDefault="0053152B">
      <w:pPr>
        <w:ind w:left="0" w:firstLine="0"/>
      </w:pPr>
    </w:p>
    <w:p w:rsidR="0053152B" w:rsidRPr="00D252D3" w:rsidRDefault="0053152B">
      <w:pPr>
        <w:ind w:left="0" w:firstLine="0"/>
        <w:rPr>
          <w:szCs w:val="22"/>
          <w:u w:val="single"/>
        </w:rPr>
      </w:pPr>
      <w:r w:rsidRPr="00D252D3">
        <w:rPr>
          <w:szCs w:val="22"/>
          <w:u w:val="single"/>
        </w:rPr>
        <w:t>Intersticiálne ochorenie pľúc</w:t>
      </w:r>
    </w:p>
    <w:p w:rsidR="0053152B" w:rsidRPr="00D252D3" w:rsidRDefault="0053152B">
      <w:pPr>
        <w:ind w:left="0" w:firstLine="0"/>
        <w:rPr>
          <w:szCs w:val="22"/>
        </w:rPr>
      </w:pPr>
      <w:r w:rsidRPr="00D252D3">
        <w:rPr>
          <w:szCs w:val="22"/>
        </w:rPr>
        <w:t xml:space="preserve">V časovej súvislosti s užívaním telmisartanu sa z údajov získaných po uvedení lieku na trh zaznamenali prípady intersticiálneho ochorenia pľúc. Avšak, kauzálny vzťah nebol stanovený. </w:t>
      </w:r>
    </w:p>
    <w:p w:rsidR="0053152B" w:rsidRPr="00D252D3" w:rsidRDefault="0053152B">
      <w:pPr>
        <w:ind w:left="0" w:firstLine="0"/>
      </w:pPr>
    </w:p>
    <w:p w:rsidR="00E23A46" w:rsidRPr="00D252D3" w:rsidRDefault="00E23A46" w:rsidP="00E23A46">
      <w:pPr>
        <w:keepNext/>
        <w:keepLines/>
        <w:rPr>
          <w:u w:val="single"/>
        </w:rPr>
      </w:pPr>
      <w:r w:rsidRPr="00D252D3">
        <w:rPr>
          <w:u w:val="single"/>
        </w:rPr>
        <w:t>Nemelanómová rakovina kože</w:t>
      </w:r>
    </w:p>
    <w:p w:rsidR="00E23A46" w:rsidRPr="00D252D3" w:rsidRDefault="00E23A46" w:rsidP="00E23A46">
      <w:pPr>
        <w:ind w:left="0" w:firstLine="0"/>
        <w:rPr>
          <w:szCs w:val="22"/>
        </w:rPr>
      </w:pPr>
      <w:r w:rsidRPr="00D252D3">
        <w:t>Na základe dostupných údajov z epidemiologických štúdií sa pozorovala súvislosť medzi HCTZ a NMSC v závislosti od kumulatívnej dávky (pozri tiež časti</w:t>
      </w:r>
      <w:r w:rsidR="00634187" w:rsidRPr="00D252D3">
        <w:t> </w:t>
      </w:r>
      <w:r w:rsidRPr="00D252D3">
        <w:t>4.4 a 5.1).</w:t>
      </w:r>
    </w:p>
    <w:p w:rsidR="00E23A46" w:rsidRPr="00D252D3" w:rsidRDefault="00E23A46">
      <w:pPr>
        <w:autoSpaceDE w:val="0"/>
        <w:autoSpaceDN w:val="0"/>
        <w:adjustRightInd w:val="0"/>
        <w:ind w:left="0" w:firstLine="0"/>
        <w:rPr>
          <w:szCs w:val="22"/>
          <w:u w:val="single"/>
        </w:rPr>
      </w:pPr>
    </w:p>
    <w:p w:rsidR="0053152B" w:rsidRPr="00D252D3" w:rsidRDefault="0053152B">
      <w:pPr>
        <w:autoSpaceDE w:val="0"/>
        <w:autoSpaceDN w:val="0"/>
        <w:adjustRightInd w:val="0"/>
        <w:ind w:left="0" w:firstLine="0"/>
        <w:rPr>
          <w:szCs w:val="22"/>
          <w:u w:val="single"/>
        </w:rPr>
      </w:pPr>
      <w:r w:rsidRPr="00D252D3">
        <w:rPr>
          <w:szCs w:val="22"/>
          <w:u w:val="single"/>
        </w:rPr>
        <w:t>Hlásenie podozrení na nežiaduce reakcie</w:t>
      </w:r>
    </w:p>
    <w:p w:rsidR="0053152B" w:rsidRPr="00D252D3" w:rsidRDefault="0053152B">
      <w:pPr>
        <w:autoSpaceDE w:val="0"/>
        <w:autoSpaceDN w:val="0"/>
        <w:adjustRightInd w:val="0"/>
        <w:ind w:left="0" w:firstLine="0"/>
        <w:rPr>
          <w:szCs w:val="22"/>
        </w:rPr>
      </w:pPr>
      <w:r w:rsidRPr="00D252D3">
        <w:rPr>
          <w:szCs w:val="22"/>
        </w:rPr>
        <w:t>Hlásenie podozrení na nežiaduce reakcie po registrácii lieku je dôležité. Umožňuje priebežné monitorovanie pomeru prínosu</w:t>
      </w:r>
      <w:r w:rsidRPr="00D252D3">
        <w:t xml:space="preserve"> a</w:t>
      </w:r>
      <w:r w:rsidRPr="00D252D3">
        <w:rPr>
          <w:szCs w:val="22"/>
        </w:rPr>
        <w:t xml:space="preserve"> rizika lieku. Od zdravotníckych pracovníkov sa vyžaduje, aby hlásili akékoľvek podozrenia na nežiaduce reakcie na </w:t>
      </w:r>
      <w:r w:rsidRPr="00D252D3">
        <w:rPr>
          <w:szCs w:val="22"/>
          <w:highlight w:val="lightGray"/>
        </w:rPr>
        <w:t>národné centrum hlásenia uvedené v</w:t>
      </w:r>
      <w:r w:rsidR="007609E6" w:rsidRPr="00D252D3">
        <w:rPr>
          <w:szCs w:val="22"/>
          <w:highlight w:val="lightGray"/>
        </w:rPr>
        <w:t> </w:t>
      </w:r>
      <w:hyperlink r:id="rId11" w:history="1">
        <w:r w:rsidRPr="00D252D3">
          <w:rPr>
            <w:rStyle w:val="Hyperlink"/>
            <w:szCs w:val="22"/>
            <w:highlight w:val="lightGray"/>
          </w:rPr>
          <w:t>P</w:t>
        </w:r>
        <w:r w:rsidRPr="00D252D3">
          <w:rPr>
            <w:rStyle w:val="Hyperlink"/>
            <w:highlight w:val="lightGray"/>
          </w:rPr>
          <w:t>ríloh</w:t>
        </w:r>
        <w:r w:rsidRPr="00D252D3">
          <w:rPr>
            <w:rStyle w:val="Hyperlink"/>
            <w:highlight w:val="lightGray"/>
          </w:rPr>
          <w:t>e</w:t>
        </w:r>
        <w:r w:rsidR="007609E6" w:rsidRPr="00D252D3">
          <w:rPr>
            <w:rStyle w:val="Hyperlink"/>
            <w:highlight w:val="lightGray"/>
          </w:rPr>
          <w:t> </w:t>
        </w:r>
        <w:r w:rsidRPr="00D252D3">
          <w:rPr>
            <w:rStyle w:val="Hyperlink"/>
            <w:szCs w:val="22"/>
            <w:highlight w:val="lightGray"/>
          </w:rPr>
          <w:t>V</w:t>
        </w:r>
      </w:hyperlink>
      <w:r w:rsidRPr="00D252D3">
        <w:rPr>
          <w:szCs w:val="22"/>
        </w:rPr>
        <w:t>.</w:t>
      </w:r>
    </w:p>
    <w:p w:rsidR="0053152B" w:rsidRPr="00D252D3" w:rsidRDefault="0053152B">
      <w:pPr>
        <w:ind w:left="0" w:firstLine="0"/>
      </w:pPr>
    </w:p>
    <w:p w:rsidR="0053152B" w:rsidRPr="00D252D3" w:rsidRDefault="0053152B">
      <w:r w:rsidRPr="00D252D3">
        <w:rPr>
          <w:b/>
        </w:rPr>
        <w:t>4.9</w:t>
      </w:r>
      <w:r w:rsidRPr="00D252D3">
        <w:rPr>
          <w:b/>
        </w:rPr>
        <w:tab/>
        <w:t>Predávkovanie</w:t>
      </w:r>
    </w:p>
    <w:p w:rsidR="0053152B" w:rsidRPr="00D252D3" w:rsidRDefault="0053152B"/>
    <w:p w:rsidR="0053152B" w:rsidRPr="00D252D3" w:rsidRDefault="0053152B">
      <w:pPr>
        <w:ind w:left="0" w:firstLine="0"/>
      </w:pPr>
      <w:r w:rsidRPr="00D252D3">
        <w:t>Sú dostupné obmedzené</w:t>
      </w:r>
      <w:r w:rsidR="009B3824" w:rsidRPr="00D252D3">
        <w:t xml:space="preserve"> </w:t>
      </w:r>
      <w:r w:rsidRPr="00D252D3">
        <w:t>informácie týkajúce sa predávkovania telmisartanom u ľudí. Telmisartan sa neodstraňuje hemodialýzou. Stupeň odstránenia hydrochlorotiazidu hemodialýzou sa nestanovil.</w:t>
      </w:r>
    </w:p>
    <w:p w:rsidR="0053152B" w:rsidRPr="00D252D3" w:rsidRDefault="0053152B"/>
    <w:p w:rsidR="0053152B" w:rsidRPr="00D252D3" w:rsidRDefault="0053152B" w:rsidP="0051567B">
      <w:pPr>
        <w:keepNext/>
        <w:ind w:left="0" w:firstLine="0"/>
      </w:pPr>
      <w:r w:rsidRPr="00D252D3">
        <w:rPr>
          <w:u w:val="single"/>
        </w:rPr>
        <w:t>Príznaky</w:t>
      </w:r>
      <w:r w:rsidRPr="00D252D3">
        <w:t xml:space="preserve"> </w:t>
      </w:r>
    </w:p>
    <w:p w:rsidR="0053152B" w:rsidRPr="00D252D3" w:rsidRDefault="0053152B">
      <w:pPr>
        <w:ind w:left="0" w:firstLine="0"/>
      </w:pPr>
      <w:r w:rsidRPr="00D252D3">
        <w:t>Najvýznamnejšími prejavmi predávkovania telmisartanom bola hypotenzia a tachykardia. Hlásila sa aj bradykardia, závrat, vracanie, zvýšenie kreatinínu v sére a akútne zlyhanie obličiek. Predávkovanie hydrochlorotiazidom je spojené s depléciou elektrolytov (hypokaliémia, hypochlorémia) a hypovolémia v dôsledku nadmernej diurézy. Najčastejšie znaky a príznaky predávkovania sú nauzea a ospanlivosť. Hypokaliémia môže mať za následok svalové kŕče a/alebo zvýraznenie arytmie spojenej so súbežným používaním digitalisových glykozidov alebo niektorých antiarytmík.</w:t>
      </w:r>
    </w:p>
    <w:p w:rsidR="0053152B" w:rsidRPr="00D252D3" w:rsidRDefault="0053152B"/>
    <w:p w:rsidR="0053152B" w:rsidRPr="00D252D3" w:rsidRDefault="0053152B" w:rsidP="0051567B">
      <w:pPr>
        <w:keepNext/>
        <w:ind w:left="0" w:firstLine="0"/>
        <w:jc w:val="both"/>
      </w:pPr>
      <w:r w:rsidRPr="00D252D3">
        <w:rPr>
          <w:u w:val="single"/>
        </w:rPr>
        <w:t>Liečba</w:t>
      </w:r>
      <w:r w:rsidRPr="00D252D3">
        <w:t xml:space="preserve"> </w:t>
      </w:r>
    </w:p>
    <w:p w:rsidR="0053152B" w:rsidRPr="00D252D3" w:rsidRDefault="0053152B">
      <w:pPr>
        <w:ind w:left="0" w:firstLine="0"/>
        <w:jc w:val="both"/>
        <w:rPr>
          <w:lang w:eastAsia="cs-CZ"/>
        </w:rPr>
      </w:pPr>
      <w:r w:rsidRPr="00D252D3">
        <w:t>Telmisartan sa neodstraňuje hemodialýzou. Pacient musí byť starostlivo monitorovaný a liečba má byť symptomatická a podporná. Liečba závisí od času užitia a závažnosti symptómov. Navrhované opatrenia zahŕňajú vyvolanie vracania a/alebo výplach žalúdka. Aktívne uhlie môže byť užitočné pri liečbe predávkovania. Majú sa často sledovať sérové elektrolyty a kreatinín. Ak sa objaví hypotenzia, pacient sa má položiť do polohy na chrbte a urýchlene podať náhrady soli a objemu.</w:t>
      </w:r>
    </w:p>
    <w:p w:rsidR="0053152B" w:rsidRPr="00D252D3" w:rsidRDefault="0053152B"/>
    <w:p w:rsidR="0053152B" w:rsidRPr="00D252D3" w:rsidRDefault="0053152B"/>
    <w:p w:rsidR="0053152B" w:rsidRPr="00D252D3" w:rsidRDefault="0053152B">
      <w:pPr>
        <w:keepNext/>
        <w:keepLines/>
        <w:ind w:left="562" w:hanging="562"/>
      </w:pPr>
      <w:r w:rsidRPr="00D252D3">
        <w:rPr>
          <w:b/>
        </w:rPr>
        <w:t>5.</w:t>
      </w:r>
      <w:r w:rsidRPr="00D252D3">
        <w:rPr>
          <w:b/>
        </w:rPr>
        <w:tab/>
        <w:t>FARMAKOLOGICKÉ VLASTNOSTI</w:t>
      </w:r>
    </w:p>
    <w:p w:rsidR="0053152B" w:rsidRPr="00D252D3" w:rsidRDefault="0053152B">
      <w:pPr>
        <w:keepNext/>
        <w:keepLines/>
        <w:ind w:left="562" w:hanging="562"/>
      </w:pPr>
    </w:p>
    <w:p w:rsidR="0053152B" w:rsidRPr="00D252D3" w:rsidRDefault="0053152B">
      <w:pPr>
        <w:keepNext/>
        <w:keepLines/>
        <w:ind w:left="562" w:hanging="562"/>
      </w:pPr>
      <w:r w:rsidRPr="00D252D3">
        <w:rPr>
          <w:b/>
        </w:rPr>
        <w:t>5.1</w:t>
      </w:r>
      <w:r w:rsidRPr="00D252D3">
        <w:rPr>
          <w:b/>
        </w:rPr>
        <w:tab/>
        <w:t>Farmakodynamické vlastnosti</w:t>
      </w:r>
    </w:p>
    <w:p w:rsidR="0053152B" w:rsidRPr="00D252D3" w:rsidRDefault="0053152B">
      <w:pPr>
        <w:keepNext/>
        <w:keepLines/>
        <w:ind w:left="562" w:hanging="562"/>
      </w:pPr>
    </w:p>
    <w:p w:rsidR="0053152B" w:rsidRPr="00D252D3" w:rsidRDefault="0053152B">
      <w:r w:rsidRPr="00D252D3">
        <w:t xml:space="preserve">Farmakoterapeutická skupina: </w:t>
      </w:r>
      <w:r w:rsidRPr="00D252D3">
        <w:rPr>
          <w:snapToGrid w:val="0"/>
          <w:lang w:eastAsia="cs-CZ"/>
        </w:rPr>
        <w:t xml:space="preserve">Antagonisty angiotenzínu II a diuretiká, </w:t>
      </w:r>
      <w:r w:rsidRPr="00D252D3">
        <w:t xml:space="preserve">ATC kód: </w:t>
      </w:r>
      <w:r w:rsidRPr="00D252D3">
        <w:rPr>
          <w:snapToGrid w:val="0"/>
          <w:lang w:eastAsia="cs-CZ"/>
        </w:rPr>
        <w:t>C09DA07</w:t>
      </w:r>
    </w:p>
    <w:p w:rsidR="0053152B" w:rsidRPr="00D252D3" w:rsidRDefault="0053152B"/>
    <w:p w:rsidR="0053152B" w:rsidRPr="00D252D3" w:rsidRDefault="0053152B">
      <w:pPr>
        <w:ind w:left="0" w:firstLine="0"/>
        <w:rPr>
          <w:snapToGrid w:val="0"/>
          <w:lang w:eastAsia="cs-CZ"/>
        </w:rPr>
      </w:pPr>
      <w:r w:rsidRPr="00D252D3">
        <w:rPr>
          <w:snapToGrid w:val="0"/>
          <w:lang w:eastAsia="cs-CZ"/>
        </w:rPr>
        <w:t>MicardisPlus je kombinácia antagonistu receptora angiotenzínu II telmisartanu a tiazidového diuretika hydrochlorotiazidu. Kombinácia týchto zložiek má aditívny antihypertenzný účinok, znižujúci tlak krvi vo vyššej miere ako každý komponent samostatne. MicardisPlus podávaný raz denne poskytuje účinné a pravidelné zníženie krvného tlaku v rozpätí terapeutickej dávky.</w:t>
      </w:r>
    </w:p>
    <w:p w:rsidR="0053152B" w:rsidRPr="00D252D3" w:rsidRDefault="0053152B">
      <w:pPr>
        <w:ind w:left="0" w:firstLine="0"/>
        <w:rPr>
          <w:snapToGrid w:val="0"/>
          <w:lang w:eastAsia="cs-CZ"/>
        </w:rPr>
      </w:pPr>
    </w:p>
    <w:p w:rsidR="0053152B" w:rsidRPr="00D252D3" w:rsidRDefault="0053152B" w:rsidP="000D7A2C">
      <w:pPr>
        <w:keepNext/>
        <w:keepLines/>
        <w:ind w:left="0" w:firstLine="0"/>
        <w:rPr>
          <w:snapToGrid w:val="0"/>
          <w:u w:val="single"/>
          <w:lang w:eastAsia="cs-CZ"/>
        </w:rPr>
      </w:pPr>
      <w:r w:rsidRPr="00D252D3">
        <w:rPr>
          <w:snapToGrid w:val="0"/>
          <w:u w:val="single"/>
          <w:lang w:eastAsia="cs-CZ"/>
        </w:rPr>
        <w:t>Mechanizmus účinku</w:t>
      </w:r>
    </w:p>
    <w:p w:rsidR="0053152B" w:rsidRPr="00D252D3" w:rsidRDefault="0053152B">
      <w:pPr>
        <w:ind w:left="0" w:firstLine="0"/>
        <w:rPr>
          <w:snapToGrid w:val="0"/>
          <w:lang w:eastAsia="cs-CZ"/>
        </w:rPr>
      </w:pPr>
      <w:r w:rsidRPr="00D252D3">
        <w:rPr>
          <w:snapToGrid w:val="0"/>
          <w:lang w:eastAsia="cs-CZ"/>
        </w:rPr>
        <w:t>Telmisartan je perorálne účinný a špecifický antagonista receptora angiotenzínu II subtypu 1 (AT</w:t>
      </w:r>
      <w:r w:rsidRPr="00D252D3">
        <w:rPr>
          <w:snapToGrid w:val="0"/>
          <w:position w:val="-6"/>
          <w:vertAlign w:val="subscript"/>
          <w:lang w:eastAsia="cs-CZ"/>
        </w:rPr>
        <w:t>1</w:t>
      </w:r>
      <w:r w:rsidRPr="00D252D3">
        <w:rPr>
          <w:snapToGrid w:val="0"/>
          <w:lang w:eastAsia="cs-CZ"/>
        </w:rPr>
        <w:t xml:space="preserve">). Telmisartan vytesňuje angiotenzín II s veľmi vysokou afinitou z </w:t>
      </w:r>
      <w:r w:rsidRPr="00D252D3">
        <w:rPr>
          <w:szCs w:val="22"/>
        </w:rPr>
        <w:t>jeho väzbového miesta</w:t>
      </w:r>
      <w:r w:rsidRPr="00D252D3">
        <w:rPr>
          <w:snapToGrid w:val="0"/>
          <w:lang w:eastAsia="cs-CZ"/>
        </w:rPr>
        <w:t xml:space="preserve"> na subtype receptora AT</w:t>
      </w:r>
      <w:r w:rsidRPr="00D252D3">
        <w:rPr>
          <w:snapToGrid w:val="0"/>
          <w:position w:val="-6"/>
          <w:vertAlign w:val="subscript"/>
          <w:lang w:eastAsia="cs-CZ"/>
        </w:rPr>
        <w:t>1</w:t>
      </w:r>
      <w:r w:rsidRPr="00D252D3">
        <w:rPr>
          <w:snapToGrid w:val="0"/>
          <w:lang w:eastAsia="cs-CZ"/>
        </w:rPr>
        <w:t>, ktorý je zodpovedný za známe pôsobenie angiotenzínu II. Telmisartan nevykazuje žiadnu čiastočnú agonistickú aktivitu na AT</w:t>
      </w:r>
      <w:r w:rsidRPr="00D252D3">
        <w:rPr>
          <w:snapToGrid w:val="0"/>
          <w:position w:val="-6"/>
          <w:vertAlign w:val="subscript"/>
          <w:lang w:eastAsia="cs-CZ"/>
        </w:rPr>
        <w:t xml:space="preserve">1 </w:t>
      </w:r>
      <w:r w:rsidRPr="00D252D3">
        <w:rPr>
          <w:snapToGrid w:val="0"/>
          <w:lang w:eastAsia="cs-CZ"/>
        </w:rPr>
        <w:t>receptor. Telmisartan sa selektívne viaže na AT</w:t>
      </w:r>
      <w:r w:rsidRPr="00D252D3">
        <w:rPr>
          <w:snapToGrid w:val="0"/>
          <w:position w:val="-6"/>
          <w:vertAlign w:val="subscript"/>
          <w:lang w:eastAsia="cs-CZ"/>
        </w:rPr>
        <w:t xml:space="preserve">1 </w:t>
      </w:r>
      <w:r w:rsidRPr="00D252D3">
        <w:rPr>
          <w:snapToGrid w:val="0"/>
          <w:lang w:eastAsia="cs-CZ"/>
        </w:rPr>
        <w:t xml:space="preserve">receptor. </w:t>
      </w:r>
      <w:r w:rsidRPr="00D252D3">
        <w:rPr>
          <w:szCs w:val="22"/>
        </w:rPr>
        <w:t xml:space="preserve">Táto väzba je dlhodobá. </w:t>
      </w:r>
      <w:r w:rsidRPr="00D252D3">
        <w:rPr>
          <w:snapToGrid w:val="0"/>
          <w:lang w:eastAsia="cs-CZ"/>
        </w:rPr>
        <w:t>Telmisartan nevykazuje afinitu k iným receptorom vrátane AT</w:t>
      </w:r>
      <w:r w:rsidRPr="00D252D3">
        <w:rPr>
          <w:snapToGrid w:val="0"/>
          <w:position w:val="-6"/>
          <w:vertAlign w:val="subscript"/>
          <w:lang w:eastAsia="cs-CZ"/>
        </w:rPr>
        <w:t>2</w:t>
      </w:r>
      <w:r w:rsidRPr="00D252D3">
        <w:rPr>
          <w:snapToGrid w:val="0"/>
          <w:position w:val="-6"/>
          <w:lang w:eastAsia="cs-CZ"/>
        </w:rPr>
        <w:t xml:space="preserve"> </w:t>
      </w:r>
      <w:r w:rsidRPr="00D252D3">
        <w:rPr>
          <w:snapToGrid w:val="0"/>
          <w:lang w:eastAsia="cs-CZ"/>
        </w:rPr>
        <w:t xml:space="preserve">a ďalším menej charakterizovaným AT receptorom. Funkčná úloha týchto receptorov nie je známa, ani účinok ich možnej nadmernej stimulácie angiotenzínom II, ktorého hladiny sa zvyšujú telmisartanom. </w:t>
      </w:r>
      <w:r w:rsidRPr="00D252D3">
        <w:rPr>
          <w:szCs w:val="22"/>
        </w:rPr>
        <w:t>Plazmatické hladiny aldosterónu sa</w:t>
      </w:r>
      <w:r w:rsidRPr="00D252D3">
        <w:rPr>
          <w:snapToGrid w:val="0"/>
          <w:lang w:eastAsia="cs-CZ"/>
        </w:rPr>
        <w:t xml:space="preserve"> telmisartanom znižujú. </w:t>
      </w:r>
      <w:r w:rsidRPr="00D252D3">
        <w:rPr>
          <w:szCs w:val="22"/>
        </w:rPr>
        <w:t>Telmisartan</w:t>
      </w:r>
      <w:r w:rsidRPr="00D252D3">
        <w:rPr>
          <w:snapToGrid w:val="0"/>
          <w:lang w:eastAsia="cs-CZ"/>
        </w:rPr>
        <w:t xml:space="preserve"> neinhibuje ľudský plazmatický renín ani neblokuje iónové kanály. </w:t>
      </w:r>
    </w:p>
    <w:p w:rsidR="0053152B" w:rsidRPr="00D252D3" w:rsidRDefault="0053152B">
      <w:pPr>
        <w:ind w:left="0" w:firstLine="0"/>
        <w:rPr>
          <w:snapToGrid w:val="0"/>
          <w:lang w:eastAsia="cs-CZ"/>
        </w:rPr>
      </w:pPr>
      <w:r w:rsidRPr="00D252D3">
        <w:rPr>
          <w:szCs w:val="22"/>
        </w:rPr>
        <w:t>Telmisartan</w:t>
      </w:r>
      <w:r w:rsidRPr="00D252D3">
        <w:rPr>
          <w:snapToGrid w:val="0"/>
          <w:lang w:eastAsia="cs-CZ"/>
        </w:rPr>
        <w:t xml:space="preserve"> neinhibuje enzým konvertujúci angiotenzín (kininázu II), enzým, ktorý tiež odbúrava bradykinín. Preto sa neočakáva potenciácia bradykinínom sprostredkovaných nežiaducich účinkov.</w:t>
      </w:r>
    </w:p>
    <w:p w:rsidR="0053152B" w:rsidRPr="00D252D3" w:rsidRDefault="0053152B">
      <w:pPr>
        <w:ind w:left="0" w:firstLine="0"/>
        <w:rPr>
          <w:snapToGrid w:val="0"/>
          <w:lang w:eastAsia="cs-CZ"/>
        </w:rPr>
      </w:pPr>
      <w:r w:rsidRPr="00D252D3">
        <w:rPr>
          <w:snapToGrid w:val="0"/>
          <w:lang w:eastAsia="cs-CZ"/>
        </w:rPr>
        <w:t xml:space="preserve">Dávka 80 miligramov telmisartanu podávaná zdravým dobrovoľníkom takmer úplne inhibuje zvýšenie tlaku krvi vyvolané angiotenzínom II. Inhibičný účinok sa </w:t>
      </w:r>
      <w:r w:rsidRPr="00D252D3">
        <w:rPr>
          <w:szCs w:val="22"/>
        </w:rPr>
        <w:t>zachová v priebehu</w:t>
      </w:r>
      <w:r w:rsidRPr="00D252D3">
        <w:rPr>
          <w:snapToGrid w:val="0"/>
          <w:lang w:eastAsia="cs-CZ"/>
        </w:rPr>
        <w:t xml:space="preserve"> 24 hodín a je merateľný do 48 hodín.</w:t>
      </w:r>
    </w:p>
    <w:p w:rsidR="0053152B" w:rsidRPr="00D252D3" w:rsidRDefault="0053152B">
      <w:pPr>
        <w:ind w:left="0" w:firstLine="0"/>
        <w:rPr>
          <w:snapToGrid w:val="0"/>
          <w:lang w:eastAsia="cs-CZ"/>
        </w:rPr>
      </w:pPr>
    </w:p>
    <w:p w:rsidR="0053152B" w:rsidRPr="00D252D3" w:rsidRDefault="0053152B">
      <w:pPr>
        <w:ind w:left="0" w:firstLine="0"/>
        <w:rPr>
          <w:snapToGrid w:val="0"/>
          <w:lang w:eastAsia="cs-CZ"/>
        </w:rPr>
      </w:pPr>
      <w:r w:rsidRPr="00D252D3">
        <w:rPr>
          <w:snapToGrid w:val="0"/>
          <w:lang w:eastAsia="cs-CZ"/>
        </w:rPr>
        <w:t xml:space="preserve">Hydrochlorotiazid je tiazidové diuretikum. Mechanizmus antihypertenzného účinku tiazidových diuretík ešte nie je celkom známy. Tiazidy pôsobia na renálne tubulárne mechanizmy elektrolytovej reabsorpcie, priamo zvyšujúc vylučovanie sodíka a chloridu v približne rovnakých množstvách. Diuretické pôsobenie hydrochlorotiazidu znižuje plazmatický objem, zvyšuje plazmatickú renínovú aktivitu, zvyšuje vylučovanie aldosterónu s následnou zvýšenou stratou draslíka a bikarbonátov močom a znižovaním sérového draslíka. Súbežné podávanie s telmisartanom vedie k zvráteniu straty draslíka spojenej s týmito diuretikami, a to pravdepodobne v dôsledku </w:t>
      </w:r>
      <w:r w:rsidR="009B3824" w:rsidRPr="00D252D3">
        <w:rPr>
          <w:snapToGrid w:val="0"/>
          <w:lang w:eastAsia="cs-CZ"/>
        </w:rPr>
        <w:t>inhibície systému</w:t>
      </w:r>
      <w:r w:rsidRPr="00D252D3">
        <w:rPr>
          <w:snapToGrid w:val="0"/>
          <w:lang w:eastAsia="cs-CZ"/>
        </w:rPr>
        <w:t xml:space="preserve"> renín-angiotenzín-aldosterón. Po podaní hydrochlortiazidu sa začiatok diurézy objaví do 2 hodín a vrchol dosahuje okolo 4 hodín, účinok trvá približne 6 – 12 hodín.</w:t>
      </w:r>
    </w:p>
    <w:p w:rsidR="0053152B" w:rsidRPr="00D252D3" w:rsidRDefault="0053152B">
      <w:pPr>
        <w:ind w:left="0" w:firstLine="0"/>
        <w:rPr>
          <w:snapToGrid w:val="0"/>
          <w:lang w:eastAsia="cs-CZ"/>
        </w:rPr>
      </w:pPr>
    </w:p>
    <w:p w:rsidR="0053152B" w:rsidRPr="00D252D3" w:rsidRDefault="0053152B" w:rsidP="0051567B">
      <w:pPr>
        <w:keepNext/>
        <w:ind w:left="0" w:firstLine="0"/>
        <w:rPr>
          <w:snapToGrid w:val="0"/>
          <w:u w:val="single"/>
          <w:lang w:eastAsia="cs-CZ"/>
        </w:rPr>
      </w:pPr>
      <w:r w:rsidRPr="00D252D3">
        <w:rPr>
          <w:snapToGrid w:val="0"/>
          <w:u w:val="single"/>
          <w:lang w:eastAsia="cs-CZ"/>
        </w:rPr>
        <w:t>Klinická účinnosť a bezpečnosť</w:t>
      </w:r>
    </w:p>
    <w:p w:rsidR="0053152B" w:rsidRPr="00D252D3" w:rsidRDefault="0053152B" w:rsidP="0051567B">
      <w:pPr>
        <w:keepNext/>
        <w:ind w:left="0" w:firstLine="0"/>
        <w:rPr>
          <w:snapToGrid w:val="0"/>
          <w:lang w:eastAsia="cs-CZ"/>
        </w:rPr>
      </w:pPr>
    </w:p>
    <w:p w:rsidR="0053152B" w:rsidRPr="00D252D3" w:rsidRDefault="0053152B" w:rsidP="0051567B">
      <w:pPr>
        <w:keepNext/>
        <w:ind w:left="0" w:firstLine="0"/>
        <w:rPr>
          <w:snapToGrid w:val="0"/>
          <w:lang w:eastAsia="cs-CZ"/>
        </w:rPr>
      </w:pPr>
      <w:r w:rsidRPr="00D252D3">
        <w:rPr>
          <w:snapToGrid w:val="0"/>
          <w:lang w:eastAsia="cs-CZ"/>
        </w:rPr>
        <w:t>Liečba esenciálnej hypertenzie</w:t>
      </w:r>
    </w:p>
    <w:p w:rsidR="0053152B" w:rsidRPr="00D252D3" w:rsidRDefault="0053152B">
      <w:pPr>
        <w:ind w:left="0" w:firstLine="0"/>
        <w:rPr>
          <w:snapToGrid w:val="0"/>
          <w:lang w:eastAsia="cs-CZ"/>
        </w:rPr>
      </w:pPr>
      <w:r w:rsidRPr="00D252D3">
        <w:rPr>
          <w:snapToGrid w:val="0"/>
          <w:lang w:eastAsia="cs-CZ"/>
        </w:rPr>
        <w:t>Po prvej dávke telmisartanu sa antihypertenzná aktivita postupne prejavuje v priebehu 3 hodín. Maximálna redukcia krvného tlaku sa zvyčajne dosahuje 4–8 týždňov od začiatku liečby a pretrváva počas dlhodobej liečby. Ako sa ukázalo pri ambulantných meraniach krvného tlaku, antihypertenzný účinok pretrváva konštantne počas 24 hodín po podaní dávky vrátane posledných 4 hodín pred ďalšou dávkou. Toto potvrdzujú merania na bode maximálneho účinku a bezprostredne pred nasledujúcou dávkou (pomer najnižšej a najvyššej koncentrácie je trvalo nad 80 % po dávkach 40 a 80 mg telmisartanu v placebom kontrolovaných klinických skúšaniach).</w:t>
      </w:r>
    </w:p>
    <w:p w:rsidR="0053152B" w:rsidRPr="00D252D3" w:rsidRDefault="0053152B">
      <w:pPr>
        <w:ind w:left="0" w:firstLine="0"/>
        <w:rPr>
          <w:snapToGrid w:val="0"/>
          <w:lang w:eastAsia="cs-CZ"/>
        </w:rPr>
      </w:pPr>
    </w:p>
    <w:p w:rsidR="0053152B" w:rsidRPr="00D252D3" w:rsidRDefault="0053152B">
      <w:pPr>
        <w:ind w:left="0" w:firstLine="0"/>
        <w:rPr>
          <w:snapToGrid w:val="0"/>
          <w:lang w:eastAsia="cs-CZ"/>
        </w:rPr>
      </w:pPr>
      <w:r w:rsidRPr="00D252D3">
        <w:rPr>
          <w:snapToGrid w:val="0"/>
          <w:lang w:eastAsia="cs-CZ"/>
        </w:rPr>
        <w:t>U pacientov s hypertenziou telmisartan znižuje tak systolický, ako aj diastolický krvný tlak bez ovplyvnenia tepovej frekvencie. Antihypertenzná účinnosť telmisartanu je porovnateľná s účinnosťou predstaviteľov iných tried antihypertenzív (čo sa dokázalo v klinických skúšaniach porovnávajúcich telmisartan s amlodipínom, atenololom, enalaprilom, hydrochlorotiazidom a lisinoprilom).</w:t>
      </w:r>
    </w:p>
    <w:p w:rsidR="0053152B" w:rsidRPr="00D252D3" w:rsidRDefault="0053152B">
      <w:pPr>
        <w:ind w:left="0" w:firstLine="0"/>
        <w:rPr>
          <w:snapToGrid w:val="0"/>
          <w:lang w:eastAsia="cs-CZ"/>
        </w:rPr>
      </w:pPr>
    </w:p>
    <w:p w:rsidR="0053152B" w:rsidRPr="00D252D3" w:rsidRDefault="0053152B">
      <w:pPr>
        <w:ind w:left="0" w:firstLine="0"/>
        <w:rPr>
          <w:snapToGrid w:val="0"/>
          <w:lang w:eastAsia="cs-CZ"/>
        </w:rPr>
      </w:pPr>
      <w:r w:rsidRPr="00D252D3">
        <w:rPr>
          <w:snapToGrid w:val="0"/>
          <w:lang w:eastAsia="cs-CZ"/>
        </w:rPr>
        <w:t>Po ukončení liečby telmisartanom sa krvný tlak postupne vracia na hodnoty pred liečbou v priebehu niekoľkých dní bez dôkazu rebound hypertenzie. Výskyt suchého kašľa bol u pacientov liečených telmisartanom signifikantne nižší ako u tých, ktorí užívali inhibítory enzýmu konvertujúceho angiotenzín v klinických skúškach priamo porovnávajúcich tieto dve antihypertenzné liečby.</w:t>
      </w:r>
    </w:p>
    <w:p w:rsidR="0053152B" w:rsidRPr="00D252D3" w:rsidRDefault="0053152B">
      <w:pPr>
        <w:tabs>
          <w:tab w:val="left" w:pos="12816"/>
        </w:tabs>
        <w:rPr>
          <w:szCs w:val="22"/>
        </w:rPr>
      </w:pPr>
    </w:p>
    <w:p w:rsidR="0053152B" w:rsidRPr="00D252D3" w:rsidRDefault="0053152B" w:rsidP="0051567B">
      <w:pPr>
        <w:keepNext/>
        <w:tabs>
          <w:tab w:val="left" w:pos="12816"/>
        </w:tabs>
        <w:rPr>
          <w:szCs w:val="22"/>
        </w:rPr>
      </w:pPr>
      <w:r w:rsidRPr="00D252D3">
        <w:rPr>
          <w:szCs w:val="22"/>
        </w:rPr>
        <w:t>Prevencia kardiovaskulárnych ochorení</w:t>
      </w:r>
    </w:p>
    <w:p w:rsidR="0053152B" w:rsidRPr="00D252D3" w:rsidRDefault="0053152B">
      <w:pPr>
        <w:tabs>
          <w:tab w:val="left" w:pos="12816"/>
        </w:tabs>
        <w:ind w:left="0" w:firstLine="0"/>
        <w:rPr>
          <w:szCs w:val="22"/>
        </w:rPr>
      </w:pPr>
      <w:r w:rsidRPr="00D252D3">
        <w:rPr>
          <w:szCs w:val="22"/>
        </w:rPr>
        <w:t>Štúdia ONTARGET (ONgoing Telmisartan Alone and in Combination with Ramipril Global Endpoint Trial) porovnávala účinky telmisartanu, ramiprilu a kombinácie telmisartanu a ramiprilu na kardiovaskulárne výsledky u 25620 pacientov vo veku 55 rokov alebo starších s predchádzajúcou ischemickou chorobou srdca, mozgovou príhodou, TIA, periférnym arteriálnym ochorením alebo diabetom mellitus 2. typu, ktoré boli sprevádzané preukázaným poškodením cieľového orgánu (napr. retinopatia, hypertrofia ľavej komory, makro - alebo mikroalbumínúria), čo je riziková populácia pre kardiovaskulárne udalosti.</w:t>
      </w:r>
    </w:p>
    <w:p w:rsidR="0053152B" w:rsidRPr="00D252D3" w:rsidRDefault="0053152B">
      <w:pPr>
        <w:tabs>
          <w:tab w:val="left" w:pos="12816"/>
        </w:tabs>
        <w:rPr>
          <w:szCs w:val="22"/>
        </w:rPr>
      </w:pPr>
    </w:p>
    <w:p w:rsidR="0053152B" w:rsidRPr="00D252D3" w:rsidRDefault="0053152B">
      <w:pPr>
        <w:tabs>
          <w:tab w:val="left" w:pos="12816"/>
        </w:tabs>
        <w:ind w:left="0" w:firstLine="0"/>
        <w:rPr>
          <w:szCs w:val="22"/>
        </w:rPr>
      </w:pPr>
      <w:r w:rsidRPr="00D252D3">
        <w:rPr>
          <w:szCs w:val="22"/>
        </w:rPr>
        <w:t>Pacienti boli randomizovaní do jednej z troch nasledujúcich terapeutických skupín: telmisartan 80 mg (n=8542), ramipril 10 mg (n= 8576) alebo kombinácia telmisartanu 80 mg plus ramipril 10 mg (n=8502) a boli následne sledovaní v trvaní priemerne 4,5 roka.</w:t>
      </w:r>
    </w:p>
    <w:p w:rsidR="0053152B" w:rsidRPr="00D252D3" w:rsidRDefault="0053152B">
      <w:pPr>
        <w:tabs>
          <w:tab w:val="left" w:pos="12816"/>
        </w:tabs>
        <w:ind w:left="0" w:firstLine="0"/>
        <w:rPr>
          <w:szCs w:val="22"/>
        </w:rPr>
      </w:pPr>
    </w:p>
    <w:p w:rsidR="0053152B" w:rsidRPr="00D252D3" w:rsidRDefault="0053152B">
      <w:pPr>
        <w:tabs>
          <w:tab w:val="left" w:pos="12816"/>
        </w:tabs>
        <w:ind w:left="0" w:firstLine="0"/>
        <w:rPr>
          <w:szCs w:val="22"/>
        </w:rPr>
      </w:pPr>
      <w:r w:rsidRPr="00D252D3">
        <w:rPr>
          <w:szCs w:val="22"/>
        </w:rPr>
        <w:t>Telmisartan preukázal podobné účinky ako ramipril v redukcii primárneho kompozitného koncového ukazovateľa: kardiovaskulárna smrť, nefatálny infarkt myokardu, nefatálna mozgová príhoda alebo hospitalizácia v dôsledku kongestívneho zlyhania srdca. Výskyt primárneho koncového ukazovateľa bol porovnateľný v skupine s telmisartanom (16,7%) a ramiprilom (16,5%). Miera rizika pre telmisartan v porovnaní s ramiprilom bola 1,01 (97,5 % CI 0,93 – 1,10, p (noninferiorita) = 0,0019 na hranici 1,13). Miera mortality zo všetkých príčin bola 11,6 % u pacientov liečených telmisartanom a 11,8 % u pacientov liečených ramiprilom.</w:t>
      </w:r>
    </w:p>
    <w:p w:rsidR="0053152B" w:rsidRPr="00D252D3" w:rsidRDefault="0053152B">
      <w:pPr>
        <w:tabs>
          <w:tab w:val="left" w:pos="12816"/>
        </w:tabs>
        <w:rPr>
          <w:szCs w:val="22"/>
        </w:rPr>
      </w:pPr>
    </w:p>
    <w:p w:rsidR="0053152B" w:rsidRPr="00D252D3" w:rsidRDefault="0053152B">
      <w:pPr>
        <w:tabs>
          <w:tab w:val="left" w:pos="12816"/>
        </w:tabs>
        <w:ind w:left="0" w:firstLine="0"/>
        <w:rPr>
          <w:szCs w:val="22"/>
        </w:rPr>
      </w:pPr>
      <w:r w:rsidRPr="00D252D3">
        <w:rPr>
          <w:szCs w:val="22"/>
        </w:rPr>
        <w:t>U telmisartanu sa zistila účinnosť porovnateľná s ramiprilom v predšpecifikovanom sekundárnom koncovom ukazovateli: kardiovaskulárna smrť, nefatálny infarkt myokardu a nefatálna mozgová príhoda bez následkov smrti [0,99 (97,5 % CI 0,90 – 1,08), p (noninferiorita) = 0,0004], čo je primárny koncový ukazovateľ v referenčnej štúdii HOPE (The Heart Outcomes Prevention Evaluation Study), ktorá skúmala účinky ramiprilu v porovnaní s placebom.</w:t>
      </w:r>
    </w:p>
    <w:p w:rsidR="0053152B" w:rsidRPr="00D252D3" w:rsidRDefault="0053152B">
      <w:pPr>
        <w:tabs>
          <w:tab w:val="left" w:pos="12816"/>
        </w:tabs>
        <w:rPr>
          <w:szCs w:val="22"/>
        </w:rPr>
      </w:pPr>
    </w:p>
    <w:p w:rsidR="0053152B" w:rsidRPr="00D252D3" w:rsidRDefault="0053152B">
      <w:pPr>
        <w:tabs>
          <w:tab w:val="left" w:pos="12816"/>
        </w:tabs>
        <w:ind w:left="0" w:firstLine="0"/>
        <w:rPr>
          <w:szCs w:val="22"/>
        </w:rPr>
      </w:pPr>
      <w:r w:rsidRPr="00D252D3">
        <w:rPr>
          <w:szCs w:val="22"/>
        </w:rPr>
        <w:t>Do štúdie TRANSCEND, ktorá mala inak podobné zaraďovacie kritériá ako štúdia ONRATGET, boli randomizovaní pacienti s neznášanlivosťou ACE inhibítorov do skupiny užívajúcej telmisartan 80 mg (n=2954) alebo placebo (n=2972), oba lieky sa podávali navyše k štandardnej starostlivosti. Priemerné trvanie následného sledovania bolo 4 roky a 8 mesiacov. Nezistil sa žiaden štatisticky signifikantný rozdiel vo výskyte primárneho kompozitného koncového ukazovateľa (kardiovaskulárna smrť, nefatálny infarkt myokardu, nefatálna mozgová príhoda alebo hospitalizácia v dôsledku kongestívneho zlyhania srdca) [15,7 % v skupine s telmisartanom a 17,0 % v skupine s placebom s mierou rizika 0,92 (95 % CI 0,81 – 1,05, p = 0,22)]. V predšpecifikovanom sekundárnom kompozitnom koncovom ukazovateli: kardiovaskulárna smrť, nefatálny infarkt myokardu a nefatálna mozgová príhoda sa dokázal prínos telmisartanu v porovnaní s placebom [0,87 (95 % CI 0,76 – 1,00, p = 0,048)]. Nepreukázal sa žiaden prínos pre kardiovaskulárnu mortalitu (miera rizika 1,03, 95 % CI 0,85 – 1,24).</w:t>
      </w:r>
    </w:p>
    <w:p w:rsidR="0053152B" w:rsidRPr="00D252D3" w:rsidRDefault="0053152B">
      <w:pPr>
        <w:tabs>
          <w:tab w:val="left" w:pos="12816"/>
        </w:tabs>
        <w:rPr>
          <w:szCs w:val="22"/>
        </w:rPr>
      </w:pPr>
    </w:p>
    <w:p w:rsidR="0053152B" w:rsidRPr="00D252D3" w:rsidRDefault="0053152B">
      <w:pPr>
        <w:tabs>
          <w:tab w:val="left" w:pos="12816"/>
        </w:tabs>
        <w:ind w:left="0" w:firstLine="0"/>
        <w:rPr>
          <w:szCs w:val="22"/>
        </w:rPr>
      </w:pPr>
      <w:r w:rsidRPr="00D252D3">
        <w:rPr>
          <w:szCs w:val="22"/>
        </w:rPr>
        <w:t>Kašeľ a angioedém sa hlásili menej často u pacientov liečených telmisartanom ako u pacientov liečených ramiprilom, pričom hypotenzia sa častejšie hlásila pri telmisartane.</w:t>
      </w:r>
    </w:p>
    <w:p w:rsidR="0053152B" w:rsidRPr="00D252D3" w:rsidRDefault="0053152B">
      <w:pPr>
        <w:tabs>
          <w:tab w:val="left" w:pos="12816"/>
        </w:tabs>
        <w:rPr>
          <w:szCs w:val="22"/>
        </w:rPr>
      </w:pPr>
    </w:p>
    <w:p w:rsidR="0053152B" w:rsidRPr="00D252D3" w:rsidRDefault="0053152B">
      <w:pPr>
        <w:tabs>
          <w:tab w:val="left" w:pos="12816"/>
        </w:tabs>
        <w:ind w:left="0" w:firstLine="0"/>
        <w:rPr>
          <w:szCs w:val="22"/>
        </w:rPr>
      </w:pPr>
      <w:r w:rsidRPr="00D252D3">
        <w:rPr>
          <w:szCs w:val="22"/>
        </w:rPr>
        <w:t xml:space="preserve">Kombinácia telmisartanu s ramiprilom nepriniesla žiaden ďalší prínos voči ramiprilu alebo telmisartanu samostatne. KV mortalita a mortalita zo všetkých príčin boli číselne vyššie pri kombinácii. Navyše bol výskyt hyperkaliémie, renálneho zlyhania, hypotenzie a synkopy významne vyšší v skupine užívajúcej kombináciu. Preto sa používanie kombinácie telmisartanu a ramiprilu v tejto populácii neodporúča. </w:t>
      </w:r>
    </w:p>
    <w:p w:rsidR="0053152B" w:rsidRPr="00D252D3" w:rsidRDefault="0053152B">
      <w:pPr>
        <w:ind w:left="0" w:firstLine="0"/>
        <w:rPr>
          <w:snapToGrid w:val="0"/>
          <w:lang w:eastAsia="cs-CZ"/>
        </w:rPr>
      </w:pPr>
    </w:p>
    <w:p w:rsidR="0053152B" w:rsidRPr="00D252D3" w:rsidRDefault="0053152B">
      <w:pPr>
        <w:ind w:left="0" w:firstLine="0"/>
        <w:rPr>
          <w:szCs w:val="22"/>
        </w:rPr>
      </w:pPr>
      <w:bookmarkStart w:id="5" w:name="OLE_LINK8"/>
      <w:r w:rsidRPr="00D252D3">
        <w:rPr>
          <w:szCs w:val="22"/>
        </w:rPr>
        <w:t>V klinickom skúšaní "Prevention Regimen For Effectively avoiding Second Strokes" (PRoFESS) s 50-ročnými a staršími pacientmi, ktorí mali nedávno mozgovú príhodu, bola po telmisartane v porovnaní s placebom zaznamenaná zvýšená incidencia sepsy 0,70 % voči 0,49 % [RR 1,43 (95 % interval spoľahlivosti 1,00–2,06)]; incidencia smrteľných prípadov sepsy bola zvýšená u pacientov užívajúcich telmisartan (0,33 %) voči pacientom užívajúcim placebo (0,16 %) [RR 2,07 (95 % interval spoľahlivosti 1,14–3,76)]. Pozorovaná zvýšená miera výskytu sepsy v súvislosti s používaním telmisartanu môže byť buď náhodným nálezom alebo môže súvisieť s mechanizmami, ktoré v súčasnosti nie sú známe.</w:t>
      </w:r>
    </w:p>
    <w:p w:rsidR="0053152B" w:rsidRPr="00D252D3" w:rsidRDefault="0053152B">
      <w:pPr>
        <w:ind w:left="0" w:firstLine="0"/>
        <w:rPr>
          <w:szCs w:val="22"/>
        </w:rPr>
      </w:pPr>
    </w:p>
    <w:p w:rsidR="0053152B" w:rsidRPr="00D252D3" w:rsidRDefault="0053152B">
      <w:pPr>
        <w:tabs>
          <w:tab w:val="left" w:pos="12816"/>
        </w:tabs>
        <w:ind w:left="0" w:firstLine="0"/>
        <w:rPr>
          <w:bCs/>
          <w:szCs w:val="22"/>
          <w:lang w:eastAsia="de-DE"/>
        </w:rPr>
      </w:pPr>
      <w:r w:rsidRPr="00D252D3">
        <w:rPr>
          <w:bCs/>
          <w:szCs w:val="22"/>
        </w:rPr>
        <w:t xml:space="preserve">Dve rozsiahle randomizované, kontrolované klinické skúšania </w:t>
      </w:r>
      <w:r w:rsidRPr="00D252D3">
        <w:rPr>
          <w:bCs/>
          <w:szCs w:val="22"/>
          <w:lang w:eastAsia="de-DE"/>
        </w:rPr>
        <w:t xml:space="preserve">(ONTARGET (ONgoing Telmisartan Alone and in </w:t>
      </w:r>
      <w:r w:rsidRPr="00D252D3">
        <w:rPr>
          <w:bCs/>
          <w:szCs w:val="22"/>
        </w:rPr>
        <w:t>c</w:t>
      </w:r>
      <w:r w:rsidRPr="00D252D3">
        <w:rPr>
          <w:bCs/>
          <w:szCs w:val="22"/>
          <w:lang w:eastAsia="de-DE"/>
        </w:rPr>
        <w:t>ombination with Ramipril Global Endpoint Trial) a VA NEPHRON</w:t>
      </w:r>
      <w:r w:rsidRPr="00D252D3">
        <w:rPr>
          <w:bCs/>
          <w:szCs w:val="22"/>
        </w:rPr>
        <w:t>-</w:t>
      </w:r>
      <w:r w:rsidRPr="00D252D3">
        <w:rPr>
          <w:bCs/>
          <w:szCs w:val="22"/>
          <w:lang w:eastAsia="de-DE"/>
        </w:rPr>
        <w:t>D (The Veterans Affairs Nephropathy in Diabetes)) skúmali použitie kombinácie inhibítora ACE a blokátora receptorov angiotenzínu II</w:t>
      </w:r>
      <w:r w:rsidRPr="00D252D3">
        <w:rPr>
          <w:bCs/>
          <w:szCs w:val="22"/>
        </w:rPr>
        <w:t xml:space="preserve">. </w:t>
      </w:r>
    </w:p>
    <w:p w:rsidR="0053152B" w:rsidRPr="00D252D3" w:rsidRDefault="0053152B">
      <w:pPr>
        <w:ind w:left="0" w:firstLine="0"/>
        <w:rPr>
          <w:bCs/>
          <w:szCs w:val="22"/>
        </w:rPr>
      </w:pPr>
      <w:r w:rsidRPr="00D252D3">
        <w:rPr>
          <w:bCs/>
          <w:szCs w:val="22"/>
          <w:lang w:eastAsia="de-DE"/>
        </w:rPr>
        <w:t>Skúšanie ONTARGET sa vykonalo u pacientov s kardiovaskulárnym alebo cerebrovaskulárnym ochorením v anamnéze, alebo u pacientov s diabetes mellitus 2. typu, u ktorých sa preukázalo poškodenie cieľových orgánov</w:t>
      </w:r>
      <w:r w:rsidRPr="00D252D3">
        <w:rPr>
          <w:bCs/>
          <w:szCs w:val="22"/>
        </w:rPr>
        <w:t xml:space="preserve">. Viac podrobných informácií, pozri vyššie v časti </w:t>
      </w:r>
      <w:r w:rsidRPr="00D252D3">
        <w:rPr>
          <w:szCs w:val="22"/>
        </w:rPr>
        <w:t>„Kardiovaskulárna prevencia“.</w:t>
      </w:r>
    </w:p>
    <w:p w:rsidR="0053152B" w:rsidRPr="00D252D3" w:rsidRDefault="0053152B">
      <w:pPr>
        <w:ind w:left="0" w:firstLine="0"/>
        <w:rPr>
          <w:bCs/>
          <w:szCs w:val="22"/>
          <w:lang w:eastAsia="de-DE"/>
        </w:rPr>
      </w:pPr>
      <w:r w:rsidRPr="00D252D3">
        <w:rPr>
          <w:bCs/>
          <w:szCs w:val="22"/>
        </w:rPr>
        <w:t>Skúšanie VA NEPHRON-</w:t>
      </w:r>
      <w:r w:rsidRPr="00D252D3">
        <w:rPr>
          <w:bCs/>
          <w:szCs w:val="22"/>
          <w:lang w:eastAsia="de-DE"/>
        </w:rPr>
        <w:t>D sa vykonalo u pacientov s diabetes mellitus 2. typu a diabetickou nefropatiou. Tieto skúšania neukázali významný priaznivý účinok na renálne a/alebo kardiovaskulárne ukazovatele a mortalitu, zatiaľ čo v porovnaní s monoterapiou sa pozorovalo zvýšené riziko hyperkaliémie, akútneho poškodenia obličiek a/alebo hypotenzie. Vzhľadom na podobné farmakodynamické vlastnosti sú tieto výsledky relevantné aj pre ostatné inhibítory ACE a blokátory receptorov angiotenzínu II.</w:t>
      </w:r>
    </w:p>
    <w:p w:rsidR="0053152B" w:rsidRPr="00D252D3" w:rsidRDefault="0053152B">
      <w:pPr>
        <w:ind w:left="0" w:firstLine="0"/>
        <w:rPr>
          <w:bCs/>
          <w:szCs w:val="22"/>
        </w:rPr>
      </w:pPr>
      <w:r w:rsidRPr="00D252D3">
        <w:rPr>
          <w:bCs/>
          <w:szCs w:val="22"/>
        </w:rPr>
        <w:t>Inhibítory ACE a blokátory receptorov angiotenzínu II</w:t>
      </w:r>
      <w:r w:rsidRPr="00D252D3">
        <w:rPr>
          <w:bCs/>
          <w:szCs w:val="22"/>
          <w:lang w:eastAsia="de-DE"/>
        </w:rPr>
        <w:t xml:space="preserve"> sa preto nemajú používať súbežne u pacientov s diabetickou nefropatiou</w:t>
      </w:r>
      <w:r w:rsidRPr="00D252D3">
        <w:rPr>
          <w:bCs/>
          <w:szCs w:val="22"/>
        </w:rPr>
        <w:t>.</w:t>
      </w:r>
    </w:p>
    <w:p w:rsidR="0053152B" w:rsidRPr="00D252D3" w:rsidRDefault="0053152B">
      <w:pPr>
        <w:ind w:left="0" w:firstLine="0"/>
        <w:rPr>
          <w:bCs/>
          <w:szCs w:val="22"/>
        </w:rPr>
      </w:pPr>
    </w:p>
    <w:p w:rsidR="0053152B" w:rsidRPr="00D252D3" w:rsidRDefault="0053152B">
      <w:pPr>
        <w:ind w:left="0" w:firstLine="0"/>
        <w:rPr>
          <w:bCs/>
          <w:szCs w:val="22"/>
          <w:lang w:eastAsia="de-DE"/>
        </w:rPr>
      </w:pPr>
      <w:r w:rsidRPr="00D252D3">
        <w:rPr>
          <w:bCs/>
          <w:szCs w:val="22"/>
          <w:lang w:eastAsia="de-DE"/>
        </w:rPr>
        <w:t>Skúšanie ALTITUDE (Aliskiren Trial in Type 2 Diabetes Using Cardiovascular and Renal Disease Endpoints) bolo navrhnuté na otestovanie prínosu pridania aliskirenu k štandardnej liečbe inhibítorom ACE alebo blokátorom receptorov angiotenzínu II u pacientov s diabetes mellitus 2. typu a chronickým ochorením obličiek, kardiovaskulárnym ochorením, alebo oboma ochoreniami. Skúšanie bolo predčasne ukončené pre zvýšené riziko nežiaducich udalostí. V skupine aliskirenu bolo numericky viac úmrtí z kardiovaskulárnej príčiny a cievnych mozgových príhod ako v skupine placeba a v skupine aliskirenu boli častejšie hlásené sledované nežiaduce udalosti a závažné nežiaduce udalosti (hyperkaliémia, hypotenzia a renálna dysfunkcia) ako v skupine placeba.</w:t>
      </w:r>
    </w:p>
    <w:p w:rsidR="0053152B" w:rsidRPr="00D252D3" w:rsidRDefault="0053152B">
      <w:pPr>
        <w:ind w:left="0" w:firstLine="0"/>
        <w:rPr>
          <w:szCs w:val="22"/>
        </w:rPr>
      </w:pPr>
    </w:p>
    <w:bookmarkEnd w:id="5"/>
    <w:p w:rsidR="0053152B" w:rsidRPr="00D252D3" w:rsidRDefault="0053152B">
      <w:pPr>
        <w:ind w:left="0" w:firstLine="0"/>
        <w:rPr>
          <w:snapToGrid w:val="0"/>
          <w:lang w:eastAsia="cs-CZ"/>
        </w:rPr>
      </w:pPr>
      <w:r w:rsidRPr="00D252D3">
        <w:rPr>
          <w:snapToGrid w:val="0"/>
          <w:lang w:eastAsia="cs-CZ"/>
        </w:rPr>
        <w:t>Epidemiologické štúdie ukázali, že dlhodobá liečba hydrochlorotiazidom znižuje riziko kardiovaskulárnej morbidity a mortality.</w:t>
      </w:r>
    </w:p>
    <w:p w:rsidR="0053152B" w:rsidRPr="00D252D3" w:rsidRDefault="0053152B">
      <w:pPr>
        <w:ind w:left="0" w:firstLine="0"/>
        <w:rPr>
          <w:snapToGrid w:val="0"/>
          <w:lang w:eastAsia="cs-CZ"/>
        </w:rPr>
      </w:pPr>
    </w:p>
    <w:p w:rsidR="0053152B" w:rsidRPr="00D252D3" w:rsidRDefault="0053152B">
      <w:pPr>
        <w:ind w:left="0" w:firstLine="0"/>
        <w:rPr>
          <w:snapToGrid w:val="0"/>
          <w:lang w:eastAsia="cs-CZ"/>
        </w:rPr>
      </w:pPr>
      <w:r w:rsidRPr="00D252D3">
        <w:rPr>
          <w:snapToGrid w:val="0"/>
          <w:lang w:eastAsia="cs-CZ"/>
        </w:rPr>
        <w:t>Účinky fixnej dávky kombinácie telmisartan/hydrochlorotiazid na mortalitu a kardiovaskulárnu morbiditu nie sú v súčasnosti známe.</w:t>
      </w:r>
    </w:p>
    <w:p w:rsidR="00660A35" w:rsidRPr="00D252D3" w:rsidRDefault="00660A35" w:rsidP="00660A35">
      <w:pPr>
        <w:rPr>
          <w:szCs w:val="22"/>
        </w:rPr>
      </w:pPr>
    </w:p>
    <w:p w:rsidR="00660A35" w:rsidRPr="00D252D3" w:rsidRDefault="00660A35" w:rsidP="00660A35">
      <w:r w:rsidRPr="00D252D3">
        <w:t>Nemelanómová rakovina kože</w:t>
      </w:r>
    </w:p>
    <w:p w:rsidR="00660A35" w:rsidRPr="00D252D3" w:rsidRDefault="00660A35" w:rsidP="00660A35">
      <w:pPr>
        <w:ind w:left="0" w:firstLine="0"/>
        <w:rPr>
          <w:szCs w:val="22"/>
        </w:rPr>
      </w:pPr>
      <w:r w:rsidRPr="00D252D3">
        <w:t>Na základe dostupných údajov z epidemiologických štúdií sa pozorovala súvislosť medzi HCTZ a NMSC v závislosti od kumulatívnej dávky. Jedna štúdia zahŕňala populáciu, v ktorej sa vyskytlo 71 533 prípadov BCC a 8 629 prípadov SCC, čo zodpovedalo 1 430 833 a 172 462 kontrolám populácie. Používanie vysokých dávok HCTZ (≥</w:t>
      </w:r>
      <w:r w:rsidR="00634187" w:rsidRPr="00D252D3">
        <w:t> </w:t>
      </w:r>
      <w:r w:rsidRPr="00D252D3">
        <w:t>50 000 mg kumulatívne) súviselo s upravenou OR 1,29</w:t>
      </w:r>
      <w:r w:rsidR="00634187" w:rsidRPr="00D252D3">
        <w:t> </w:t>
      </w:r>
      <w:r w:rsidRPr="00D252D3">
        <w:t>(95 % IS: 1,23</w:t>
      </w:r>
      <w:r w:rsidR="00150808" w:rsidRPr="00D252D3">
        <w:t> – </w:t>
      </w:r>
      <w:r w:rsidRPr="00D252D3">
        <w:t>1,35) pre BCC a 3,98 (95 % IS: 3,68</w:t>
      </w:r>
      <w:r w:rsidR="00150808" w:rsidRPr="00D252D3">
        <w:t> – </w:t>
      </w:r>
      <w:r w:rsidRPr="00D252D3">
        <w:t>4,31) pre SCC. V prípade BCC aj SCC sa pozoroval zjavný vzťah medzi odpoveďou a kumulatívnou dávkou. V ďalšej štúdii sa preukázala možná súvislosť medzi rakovinou pier (SCC) a vystavením HCTZ: 633 prípadov rakoviny pier zodpovedalo 63 067 kontrolám populácie s použitím stratégie vzorkovania riziko-súbor. Preukázal sa vzťah odpovede a kumulatívnej dávky s upravenou OR 2,1 (95 % IS: 1,7</w:t>
      </w:r>
      <w:r w:rsidR="00150808" w:rsidRPr="00D252D3">
        <w:t> – </w:t>
      </w:r>
      <w:r w:rsidRPr="00D252D3">
        <w:t>2,6), ktorá sa zvýšila na OR 3,9 (3,0</w:t>
      </w:r>
      <w:r w:rsidR="00150808" w:rsidRPr="00D252D3">
        <w:t> – </w:t>
      </w:r>
      <w:r w:rsidRPr="00D252D3">
        <w:t>4,9) pre používanie vysokých dávok (~</w:t>
      </w:r>
      <w:r w:rsidR="00634187" w:rsidRPr="00D252D3">
        <w:t> </w:t>
      </w:r>
      <w:r w:rsidRPr="00D252D3">
        <w:t>25 000 mg) a OR 7,7 (5,7</w:t>
      </w:r>
      <w:r w:rsidR="00150808" w:rsidRPr="00D252D3">
        <w:t> – </w:t>
      </w:r>
      <w:r w:rsidRPr="00D252D3">
        <w:t>10,5) pre najvyššiu kumulatívnu dávku (~</w:t>
      </w:r>
      <w:r w:rsidR="00634187" w:rsidRPr="00D252D3">
        <w:t> </w:t>
      </w:r>
      <w:r w:rsidRPr="00D252D3">
        <w:t>100 000 mg) (pozri aj časť</w:t>
      </w:r>
      <w:r w:rsidR="00634187" w:rsidRPr="00D252D3">
        <w:t> </w:t>
      </w:r>
      <w:r w:rsidRPr="00D252D3">
        <w:t>4.4).</w:t>
      </w:r>
    </w:p>
    <w:p w:rsidR="0053152B" w:rsidRPr="00D252D3" w:rsidRDefault="0053152B">
      <w:pPr>
        <w:ind w:left="0" w:firstLine="0"/>
        <w:rPr>
          <w:snapToGrid w:val="0"/>
          <w:lang w:eastAsia="cs-CZ"/>
        </w:rPr>
      </w:pPr>
    </w:p>
    <w:p w:rsidR="0053152B" w:rsidRPr="00D252D3" w:rsidRDefault="0053152B" w:rsidP="0051567B">
      <w:pPr>
        <w:keepNext/>
        <w:ind w:left="0" w:firstLine="0"/>
        <w:rPr>
          <w:u w:val="single"/>
        </w:rPr>
      </w:pPr>
      <w:r w:rsidRPr="00D252D3">
        <w:rPr>
          <w:u w:val="single"/>
        </w:rPr>
        <w:t>Pediatrická populácia</w:t>
      </w:r>
    </w:p>
    <w:p w:rsidR="0053152B" w:rsidRPr="00D252D3" w:rsidRDefault="0053152B">
      <w:pPr>
        <w:ind w:left="0" w:firstLine="0"/>
        <w:rPr>
          <w:snapToGrid w:val="0"/>
          <w:lang w:eastAsia="cs-CZ"/>
        </w:rPr>
      </w:pPr>
      <w:r w:rsidRPr="00D252D3">
        <w:t>Európska agentúra pre lieky udelila výnimku z povinnosti predložiť výsledky štúdií s MicardisPlusom vo všetkých podskupinách pediatrickej populácie pre hypertenziu (informácie o použití v ped</w:t>
      </w:r>
      <w:r w:rsidR="004E7AF9" w:rsidRPr="00D252D3">
        <w:t>iatrickej populácii, pozri časť </w:t>
      </w:r>
      <w:r w:rsidRPr="00D252D3">
        <w:t>4.2).</w:t>
      </w:r>
    </w:p>
    <w:p w:rsidR="0053152B" w:rsidRPr="00D252D3" w:rsidRDefault="0053152B">
      <w:pPr>
        <w:rPr>
          <w:b/>
        </w:rPr>
      </w:pPr>
    </w:p>
    <w:p w:rsidR="0053152B" w:rsidRPr="00D252D3" w:rsidRDefault="0053152B" w:rsidP="0051567B">
      <w:pPr>
        <w:keepNext/>
      </w:pPr>
      <w:r w:rsidRPr="00D252D3">
        <w:rPr>
          <w:b/>
        </w:rPr>
        <w:t>5.2</w:t>
      </w:r>
      <w:r w:rsidRPr="00D252D3">
        <w:rPr>
          <w:b/>
        </w:rPr>
        <w:tab/>
        <w:t>Farmakokinetické vlastnosti</w:t>
      </w:r>
    </w:p>
    <w:p w:rsidR="0053152B" w:rsidRPr="00D252D3" w:rsidRDefault="0053152B" w:rsidP="0051567B">
      <w:pPr>
        <w:keepNext/>
      </w:pPr>
    </w:p>
    <w:p w:rsidR="0053152B" w:rsidRPr="00D252D3" w:rsidRDefault="0053152B">
      <w:pPr>
        <w:ind w:left="0" w:firstLine="0"/>
        <w:rPr>
          <w:snapToGrid w:val="0"/>
          <w:lang w:eastAsia="cs-CZ"/>
        </w:rPr>
      </w:pPr>
      <w:r w:rsidRPr="00D252D3">
        <w:rPr>
          <w:snapToGrid w:val="0"/>
          <w:lang w:eastAsia="cs-CZ"/>
        </w:rPr>
        <w:t>U zdravých jedincov nemá súbežné podávanie hydrochlorotiazidu a telmisartanu vplyv na farmakokinetiku jednotlivých súčastí.</w:t>
      </w:r>
    </w:p>
    <w:p w:rsidR="0053152B" w:rsidRPr="00D252D3" w:rsidRDefault="0053152B">
      <w:pPr>
        <w:rPr>
          <w:snapToGrid w:val="0"/>
          <w:lang w:eastAsia="cs-CZ"/>
        </w:rPr>
      </w:pPr>
    </w:p>
    <w:p w:rsidR="0053152B" w:rsidRPr="00D252D3" w:rsidRDefault="0053152B" w:rsidP="0051567B">
      <w:pPr>
        <w:keepNext/>
        <w:ind w:left="0" w:firstLine="0"/>
        <w:rPr>
          <w:snapToGrid w:val="0"/>
          <w:lang w:eastAsia="cs-CZ"/>
        </w:rPr>
      </w:pPr>
      <w:r w:rsidRPr="00D252D3">
        <w:rPr>
          <w:snapToGrid w:val="0"/>
          <w:u w:val="single"/>
          <w:lang w:eastAsia="cs-CZ"/>
        </w:rPr>
        <w:t>Absorpcia</w:t>
      </w:r>
      <w:r w:rsidRPr="00D252D3">
        <w:rPr>
          <w:snapToGrid w:val="0"/>
          <w:lang w:eastAsia="cs-CZ"/>
        </w:rPr>
        <w:t xml:space="preserve"> </w:t>
      </w:r>
    </w:p>
    <w:p w:rsidR="0053152B" w:rsidRPr="00D252D3" w:rsidRDefault="0053152B">
      <w:pPr>
        <w:ind w:left="0" w:firstLine="0"/>
        <w:rPr>
          <w:snapToGrid w:val="0"/>
          <w:lang w:eastAsia="cs-CZ"/>
        </w:rPr>
      </w:pPr>
      <w:r w:rsidRPr="00D252D3">
        <w:rPr>
          <w:snapToGrid w:val="0"/>
          <w:lang w:eastAsia="cs-CZ"/>
        </w:rPr>
        <w:t xml:space="preserve">Telmisartan: Po perorálnom podaní sa maximálne koncentrácie telmisartanu dosahujú po 0,5-1,5 hodine po užití. Absolútna biologická dostupnosť telmisartanu  40 mg a 160 mg bola 42 % prípadne 58 %. Jedlo mierne znižuje biologickú dostupnosť telmisartanu redukciou plochy pod krivkou závislosti plazmatických koncentrácií od času (AUC) približne o 6 % pri dávke 40 mg tablety a približne o 19 % pri dávke 160 mg. </w:t>
      </w:r>
      <w:r w:rsidRPr="00D252D3">
        <w:rPr>
          <w:szCs w:val="22"/>
        </w:rPr>
        <w:t xml:space="preserve">Od 3 hodín po podaní telmisartanu nalačno alebo s jedlom sú plazmatické koncentrácie podobné. </w:t>
      </w:r>
      <w:r w:rsidRPr="00D252D3">
        <w:rPr>
          <w:snapToGrid w:val="0"/>
          <w:lang w:eastAsia="cs-CZ"/>
        </w:rPr>
        <w:t>Nepredpokladá sa, že by malé zníženie AUC zapríčiňovalo zníženie terapeutickej účinnosti. Pri opakovanom podávaní sa telmisartan výrazne nehromadí v plazme.</w:t>
      </w:r>
    </w:p>
    <w:p w:rsidR="0053152B" w:rsidRPr="00D252D3" w:rsidRDefault="0053152B">
      <w:pPr>
        <w:ind w:left="0" w:firstLine="0"/>
        <w:rPr>
          <w:snapToGrid w:val="0"/>
          <w:lang w:eastAsia="cs-CZ"/>
        </w:rPr>
      </w:pPr>
      <w:r w:rsidRPr="00D252D3">
        <w:rPr>
          <w:snapToGrid w:val="0"/>
          <w:lang w:eastAsia="cs-CZ"/>
        </w:rPr>
        <w:t>Hydrochlorotiazid: Po perorálnom podaní MicardisPlusu sa maximálne koncentrácie hydrochlorotiazidu dosahujú približne po 1,0–3,0 hodinách po podaní. Vychádzajúc z kumulatívnej renálnej exkrécie hydrochlorotiazidu bola absolútna biologická dostupnosť okolo 60 %.</w:t>
      </w:r>
    </w:p>
    <w:p w:rsidR="0053152B" w:rsidRPr="00D252D3" w:rsidRDefault="0053152B">
      <w:pPr>
        <w:ind w:left="0" w:firstLine="0"/>
        <w:rPr>
          <w:snapToGrid w:val="0"/>
          <w:lang w:eastAsia="cs-CZ"/>
        </w:rPr>
      </w:pPr>
    </w:p>
    <w:p w:rsidR="0053152B" w:rsidRPr="00D252D3" w:rsidRDefault="0053152B" w:rsidP="0051567B">
      <w:pPr>
        <w:keepNext/>
        <w:ind w:left="0" w:firstLine="0"/>
        <w:rPr>
          <w:snapToGrid w:val="0"/>
          <w:lang w:eastAsia="cs-CZ"/>
        </w:rPr>
      </w:pPr>
      <w:r w:rsidRPr="00D252D3">
        <w:rPr>
          <w:snapToGrid w:val="0"/>
          <w:u w:val="single"/>
          <w:lang w:eastAsia="cs-CZ"/>
        </w:rPr>
        <w:t>Distribúcia</w:t>
      </w:r>
    </w:p>
    <w:p w:rsidR="0053152B" w:rsidRPr="00D252D3" w:rsidRDefault="0053152B">
      <w:pPr>
        <w:ind w:left="0" w:firstLine="0"/>
        <w:rPr>
          <w:snapToGrid w:val="0"/>
          <w:lang w:eastAsia="cs-CZ"/>
        </w:rPr>
      </w:pPr>
      <w:r w:rsidRPr="00D252D3">
        <w:rPr>
          <w:snapToGrid w:val="0"/>
          <w:lang w:eastAsia="cs-CZ"/>
        </w:rPr>
        <w:t>Telmisartan sa pevne viaže na plazmatické proteíny (&gt;99,5 %), zväčša na albumíny a kyslý alfa-1 glykoproteín. Zjavný distribučný objem telmisartanu je približne 500 litrov, čo svedčí o aditívnej tkanivovej väzbe.</w:t>
      </w:r>
    </w:p>
    <w:p w:rsidR="0053152B" w:rsidRPr="00D252D3" w:rsidRDefault="0053152B">
      <w:pPr>
        <w:ind w:left="0" w:firstLine="0"/>
      </w:pPr>
      <w:r w:rsidRPr="00D252D3">
        <w:t>Hydrochlorotiazid sa v plazme viaže zo 68 % na proteín a jeho zjavný distribučný objem je 0,83</w:t>
      </w:r>
      <w:r w:rsidRPr="00D252D3">
        <w:noBreakHyphen/>
        <w:t>1,14 l/kg.</w:t>
      </w:r>
    </w:p>
    <w:p w:rsidR="0053152B" w:rsidRPr="00D252D3" w:rsidRDefault="0053152B"/>
    <w:p w:rsidR="0053152B" w:rsidRPr="00D252D3" w:rsidRDefault="0053152B">
      <w:pPr>
        <w:ind w:left="0" w:firstLine="0"/>
        <w:rPr>
          <w:snapToGrid w:val="0"/>
          <w:lang w:eastAsia="cs-CZ"/>
        </w:rPr>
      </w:pPr>
      <w:r w:rsidRPr="00D252D3">
        <w:rPr>
          <w:snapToGrid w:val="0"/>
          <w:u w:val="single"/>
          <w:lang w:eastAsia="cs-CZ"/>
        </w:rPr>
        <w:t>Biotransformácia</w:t>
      </w:r>
    </w:p>
    <w:p w:rsidR="0053152B" w:rsidRPr="00D252D3" w:rsidRDefault="0053152B">
      <w:pPr>
        <w:ind w:left="0" w:firstLine="0"/>
      </w:pPr>
      <w:r w:rsidRPr="00D252D3">
        <w:rPr>
          <w:snapToGrid w:val="0"/>
          <w:lang w:eastAsia="cs-CZ"/>
        </w:rPr>
        <w:t xml:space="preserve">Telmisartan sa metabolizuje konjugáciou na farmakologicky neúčinný acylglukuronid. Glukuronid materskej zlúčeniny je jediný metabolit, ktorý bol identifikovaný u ľudí. Po jednorázovej dávke </w:t>
      </w:r>
      <w:r w:rsidRPr="00D252D3">
        <w:rPr>
          <w:snapToGrid w:val="0"/>
          <w:vertAlign w:val="superscript"/>
          <w:lang w:eastAsia="cs-CZ"/>
        </w:rPr>
        <w:t>14</w:t>
      </w:r>
      <w:r w:rsidRPr="00D252D3">
        <w:rPr>
          <w:snapToGrid w:val="0"/>
          <w:lang w:eastAsia="cs-CZ"/>
        </w:rPr>
        <w:t xml:space="preserve">C značeného telmisartanu, glukorunid predstavuje asi 11 % meranej rádioaktivity v plazme. Izoenzýmy cytochrómu P450 nie sú zapojené do metabolizmu telmisartanu. </w:t>
      </w:r>
    </w:p>
    <w:p w:rsidR="0053152B" w:rsidRPr="00D252D3" w:rsidRDefault="0053152B">
      <w:pPr>
        <w:ind w:left="0" w:firstLine="0"/>
      </w:pPr>
      <w:r w:rsidRPr="00D252D3">
        <w:t>Hydrochlorotiazid sa u ľudí nemetabolizuje.</w:t>
      </w:r>
    </w:p>
    <w:p w:rsidR="0053152B" w:rsidRPr="00D252D3" w:rsidRDefault="0053152B">
      <w:pPr>
        <w:ind w:left="0" w:firstLine="0"/>
      </w:pPr>
    </w:p>
    <w:p w:rsidR="0053152B" w:rsidRPr="00D252D3" w:rsidRDefault="0053152B" w:rsidP="000D7A2C">
      <w:pPr>
        <w:keepNext/>
        <w:keepLines/>
        <w:ind w:left="0" w:firstLine="0"/>
        <w:rPr>
          <w:u w:val="single"/>
        </w:rPr>
      </w:pPr>
      <w:r w:rsidRPr="00D252D3">
        <w:rPr>
          <w:u w:val="single"/>
        </w:rPr>
        <w:t>Eliminácia</w:t>
      </w:r>
    </w:p>
    <w:p w:rsidR="0053152B" w:rsidRPr="00D252D3" w:rsidRDefault="0053152B">
      <w:pPr>
        <w:ind w:left="0" w:firstLine="0"/>
        <w:rPr>
          <w:snapToGrid w:val="0"/>
          <w:lang w:eastAsia="cs-CZ"/>
        </w:rPr>
      </w:pPr>
      <w:r w:rsidRPr="00D252D3">
        <w:t>Telmisartan:</w:t>
      </w:r>
      <w:r w:rsidRPr="00D252D3">
        <w:rPr>
          <w:snapToGrid w:val="0"/>
          <w:lang w:eastAsia="cs-CZ"/>
        </w:rPr>
        <w:t xml:space="preserve"> Po intravenóznom alebo perorálnom podaní </w:t>
      </w:r>
      <w:r w:rsidRPr="00D252D3">
        <w:rPr>
          <w:snapToGrid w:val="0"/>
          <w:vertAlign w:val="superscript"/>
          <w:lang w:eastAsia="cs-CZ"/>
        </w:rPr>
        <w:t>14</w:t>
      </w:r>
      <w:r w:rsidRPr="00D252D3">
        <w:rPr>
          <w:snapToGrid w:val="0"/>
          <w:lang w:eastAsia="cs-CZ"/>
        </w:rPr>
        <w:t>C-značeného telmisartanu sa väčšina podanej dávky (&gt;97 %) vylúčila stolicou ako biliárna exkrécia. V moči sa zistilo len nepatrné množstvo. Celkový plazmatický klírens telmisartanu po perorálnom podaní je &gt;1 500 ml/min. Terminálny polčas vylučovania bol &gt;20 hodín.</w:t>
      </w:r>
    </w:p>
    <w:p w:rsidR="0053152B" w:rsidRPr="00D252D3" w:rsidRDefault="0053152B">
      <w:pPr>
        <w:ind w:left="0" w:firstLine="0"/>
      </w:pPr>
      <w:r w:rsidRPr="00D252D3">
        <w:t>Hydrochlorotiazid sa vylučuje takmer výhradne v moči ako nezmenená látka. Okolo 60 % perorálne podanej dávky sa vylučuje v priebehu 48 hodín. Renálny klírens je okolo 250–300 ml/min. Terminálny polčas vylučovania hydrochlorotiazidu je 10–15 hodín.</w:t>
      </w:r>
    </w:p>
    <w:p w:rsidR="0053152B" w:rsidRPr="00D252D3" w:rsidRDefault="0053152B"/>
    <w:p w:rsidR="0053152B" w:rsidRPr="00D252D3" w:rsidRDefault="0053152B">
      <w:pPr>
        <w:rPr>
          <w:u w:val="single"/>
        </w:rPr>
      </w:pPr>
      <w:r w:rsidRPr="00D252D3">
        <w:rPr>
          <w:u w:val="single"/>
        </w:rPr>
        <w:t>Linearita/nelinearita</w:t>
      </w:r>
    </w:p>
    <w:p w:rsidR="0053152B" w:rsidRPr="00D252D3" w:rsidRDefault="0053152B">
      <w:pPr>
        <w:ind w:left="0" w:firstLine="0"/>
      </w:pPr>
      <w:r w:rsidRPr="00D252D3">
        <w:t>Telmisartan: Farmakokinetika perorálne podaného telmisartanu je nelineárna po dávkach 20 </w:t>
      </w:r>
      <w:r w:rsidRPr="00D252D3">
        <w:noBreakHyphen/>
        <w:t> 160 mg s väčším než proporčným zvýšením plazm</w:t>
      </w:r>
      <w:r w:rsidR="009B3824" w:rsidRPr="00D252D3">
        <w:t>atických</w:t>
      </w:r>
      <w:r w:rsidRPr="00D252D3">
        <w:t xml:space="preserve"> koncentrácií </w:t>
      </w:r>
      <w:r w:rsidRPr="00D252D3">
        <w:rPr>
          <w:szCs w:val="22"/>
        </w:rPr>
        <w:t>(C</w:t>
      </w:r>
      <w:r w:rsidRPr="00D252D3">
        <w:rPr>
          <w:szCs w:val="22"/>
          <w:vertAlign w:val="subscript"/>
        </w:rPr>
        <w:t>max</w:t>
      </w:r>
      <w:r w:rsidRPr="00D252D3">
        <w:rPr>
          <w:szCs w:val="22"/>
        </w:rPr>
        <w:t xml:space="preserve"> a AUC) </w:t>
      </w:r>
      <w:r w:rsidRPr="00D252D3">
        <w:t>so zvyšujúcimi sa dávkami.</w:t>
      </w:r>
    </w:p>
    <w:p w:rsidR="0053152B" w:rsidRPr="00D252D3" w:rsidRDefault="0053152B">
      <w:pPr>
        <w:ind w:left="0" w:firstLine="0"/>
      </w:pPr>
      <w:r w:rsidRPr="00D252D3">
        <w:t>Hydrochlorotiazid vykazuje lineárnu farmakokinetiku.</w:t>
      </w:r>
    </w:p>
    <w:p w:rsidR="0053152B" w:rsidRPr="00D252D3" w:rsidRDefault="0053152B">
      <w:pPr>
        <w:ind w:left="0" w:firstLine="0"/>
        <w:rPr>
          <w:b/>
          <w:snapToGrid w:val="0"/>
          <w:lang w:eastAsia="cs-CZ"/>
        </w:rPr>
      </w:pPr>
    </w:p>
    <w:p w:rsidR="0053152B" w:rsidRPr="00D252D3" w:rsidRDefault="0053152B">
      <w:pPr>
        <w:ind w:left="0" w:firstLine="0"/>
        <w:rPr>
          <w:snapToGrid w:val="0"/>
          <w:u w:val="single"/>
          <w:lang w:eastAsia="cs-CZ"/>
        </w:rPr>
      </w:pPr>
      <w:r w:rsidRPr="00D252D3">
        <w:rPr>
          <w:snapToGrid w:val="0"/>
          <w:u w:val="single"/>
          <w:lang w:eastAsia="cs-CZ"/>
        </w:rPr>
        <w:t xml:space="preserve">Starší </w:t>
      </w:r>
      <w:r w:rsidR="009B3824" w:rsidRPr="00D252D3">
        <w:rPr>
          <w:snapToGrid w:val="0"/>
          <w:u w:val="single"/>
          <w:lang w:eastAsia="cs-CZ"/>
        </w:rPr>
        <w:t>ľudia</w:t>
      </w:r>
    </w:p>
    <w:p w:rsidR="0053152B" w:rsidRPr="00D252D3" w:rsidRDefault="0053152B">
      <w:pPr>
        <w:ind w:left="0" w:firstLine="0"/>
        <w:rPr>
          <w:snapToGrid w:val="0"/>
          <w:lang w:eastAsia="cs-CZ"/>
        </w:rPr>
      </w:pPr>
      <w:r w:rsidRPr="00D252D3">
        <w:rPr>
          <w:snapToGrid w:val="0"/>
          <w:lang w:eastAsia="cs-CZ"/>
        </w:rPr>
        <w:t>U osôb mladších ako 65 rokov a starších osôb sa farmakokinetika telmisartanu nelíši.</w:t>
      </w:r>
    </w:p>
    <w:p w:rsidR="0053152B" w:rsidRPr="00D252D3" w:rsidRDefault="0053152B">
      <w:pPr>
        <w:ind w:left="0" w:firstLine="0"/>
        <w:rPr>
          <w:snapToGrid w:val="0"/>
          <w:lang w:eastAsia="cs-CZ"/>
        </w:rPr>
      </w:pPr>
    </w:p>
    <w:p w:rsidR="0053152B" w:rsidRPr="00D252D3" w:rsidRDefault="0053152B">
      <w:pPr>
        <w:ind w:left="0" w:firstLine="0"/>
        <w:rPr>
          <w:snapToGrid w:val="0"/>
          <w:lang w:eastAsia="cs-CZ"/>
        </w:rPr>
      </w:pPr>
      <w:r w:rsidRPr="00D252D3">
        <w:rPr>
          <w:snapToGrid w:val="0"/>
          <w:u w:val="single"/>
          <w:lang w:eastAsia="cs-CZ"/>
        </w:rPr>
        <w:t>Pohlavie</w:t>
      </w:r>
    </w:p>
    <w:p w:rsidR="0053152B" w:rsidRPr="00D252D3" w:rsidRDefault="0053152B">
      <w:pPr>
        <w:ind w:left="0" w:firstLine="0"/>
        <w:rPr>
          <w:snapToGrid w:val="0"/>
          <w:lang w:eastAsia="cs-CZ"/>
        </w:rPr>
      </w:pPr>
      <w:r w:rsidRPr="00D252D3">
        <w:rPr>
          <w:snapToGrid w:val="0"/>
          <w:lang w:eastAsia="cs-CZ"/>
        </w:rPr>
        <w:t>Plazmatické koncentrácie telmisartanu sú všeobecne 2-3-krát vyššie u žien ako u mužov. V klinických skúšaniach sa však u žien nepozorovali významne väčšie reakcie na krvný tlak alebo výskyt ortostatickej hypotenzie. Nie je potrebná úprava dávkovania. U žien bola vyššia náchylnosť k vyšším plazmatickým koncentráciám hydrochlorotiazidu ako u mužov. Nepovažuje sa to za klinicky významné.</w:t>
      </w:r>
    </w:p>
    <w:p w:rsidR="0053152B" w:rsidRPr="00D252D3" w:rsidRDefault="0053152B">
      <w:pPr>
        <w:ind w:left="0" w:firstLine="0"/>
        <w:rPr>
          <w:snapToGrid w:val="0"/>
          <w:u w:val="single"/>
          <w:lang w:eastAsia="cs-CZ"/>
        </w:rPr>
      </w:pPr>
    </w:p>
    <w:p w:rsidR="0053152B" w:rsidRPr="00D252D3" w:rsidRDefault="0053152B" w:rsidP="0051567B">
      <w:pPr>
        <w:keepNext/>
        <w:ind w:left="0" w:firstLine="0"/>
        <w:rPr>
          <w:snapToGrid w:val="0"/>
          <w:lang w:eastAsia="cs-CZ"/>
        </w:rPr>
      </w:pPr>
      <w:r w:rsidRPr="00D252D3">
        <w:rPr>
          <w:snapToGrid w:val="0"/>
          <w:u w:val="single"/>
          <w:lang w:eastAsia="cs-CZ"/>
        </w:rPr>
        <w:t>Po</w:t>
      </w:r>
      <w:r w:rsidR="00831BD7" w:rsidRPr="00D252D3">
        <w:rPr>
          <w:snapToGrid w:val="0"/>
          <w:u w:val="single"/>
          <w:lang w:eastAsia="cs-CZ"/>
        </w:rPr>
        <w:t>rucha</w:t>
      </w:r>
      <w:r w:rsidRPr="00D252D3">
        <w:rPr>
          <w:snapToGrid w:val="0"/>
          <w:u w:val="single"/>
          <w:lang w:eastAsia="cs-CZ"/>
        </w:rPr>
        <w:t xml:space="preserve"> funkcie obličiek</w:t>
      </w:r>
    </w:p>
    <w:p w:rsidR="0053152B" w:rsidRPr="00D252D3" w:rsidRDefault="0053152B">
      <w:pPr>
        <w:ind w:left="0" w:firstLine="0"/>
        <w:rPr>
          <w:snapToGrid w:val="0"/>
          <w:lang w:eastAsia="cs-CZ"/>
        </w:rPr>
      </w:pPr>
      <w:r w:rsidRPr="00D252D3">
        <w:rPr>
          <w:snapToGrid w:val="0"/>
          <w:lang w:eastAsia="cs-CZ"/>
        </w:rPr>
        <w:t>Vylučovanie obličkami neprispieva ku klírensu telmisartanu. Na základe niekoľkých málo skúseností u pacientov s miern</w:t>
      </w:r>
      <w:r w:rsidR="009B3824" w:rsidRPr="00D252D3">
        <w:rPr>
          <w:snapToGrid w:val="0"/>
          <w:lang w:eastAsia="cs-CZ"/>
        </w:rPr>
        <w:t>ou</w:t>
      </w:r>
      <w:r w:rsidRPr="00D252D3">
        <w:rPr>
          <w:snapToGrid w:val="0"/>
          <w:lang w:eastAsia="cs-CZ"/>
        </w:rPr>
        <w:t xml:space="preserve"> až stredne ťažk</w:t>
      </w:r>
      <w:r w:rsidR="00831BD7" w:rsidRPr="00D252D3">
        <w:rPr>
          <w:snapToGrid w:val="0"/>
          <w:lang w:eastAsia="cs-CZ"/>
        </w:rPr>
        <w:t>ou</w:t>
      </w:r>
      <w:r w:rsidRPr="00D252D3">
        <w:rPr>
          <w:snapToGrid w:val="0"/>
          <w:lang w:eastAsia="cs-CZ"/>
        </w:rPr>
        <w:t xml:space="preserve"> po</w:t>
      </w:r>
      <w:r w:rsidR="00831BD7" w:rsidRPr="00D252D3">
        <w:rPr>
          <w:snapToGrid w:val="0"/>
          <w:lang w:eastAsia="cs-CZ"/>
        </w:rPr>
        <w:t>ruchou</w:t>
      </w:r>
      <w:r w:rsidRPr="00D252D3">
        <w:rPr>
          <w:snapToGrid w:val="0"/>
          <w:lang w:eastAsia="cs-CZ"/>
        </w:rPr>
        <w:t xml:space="preserve"> funkcie obličiek (klírens kreratinínu 30–60 ml/min., v priemere okolo 50 ml/min.) nie je u pacientov so zníženou funkciou obličiek potrebná úprava dávkovania. Telmisartan sa neodstraňuje z krvi hemodialýzou. U pacientov s po</w:t>
      </w:r>
      <w:r w:rsidR="00831BD7" w:rsidRPr="00D252D3">
        <w:rPr>
          <w:snapToGrid w:val="0"/>
          <w:lang w:eastAsia="cs-CZ"/>
        </w:rPr>
        <w:t>ruchou</w:t>
      </w:r>
      <w:r w:rsidRPr="00D252D3">
        <w:rPr>
          <w:snapToGrid w:val="0"/>
          <w:lang w:eastAsia="cs-CZ"/>
        </w:rPr>
        <w:t xml:space="preserve"> funkci</w:t>
      </w:r>
      <w:r w:rsidR="00831BD7" w:rsidRPr="00D252D3">
        <w:rPr>
          <w:snapToGrid w:val="0"/>
          <w:lang w:eastAsia="cs-CZ"/>
        </w:rPr>
        <w:t>e</w:t>
      </w:r>
      <w:r w:rsidRPr="00D252D3">
        <w:rPr>
          <w:snapToGrid w:val="0"/>
          <w:lang w:eastAsia="cs-CZ"/>
        </w:rPr>
        <w:t xml:space="preserve"> obličiek je znížený pomer vylučovania hydrochlorotiazidu. V typickej štúdii s pacientmi s priemerným klírensom kreatinínu 90 ml/min. bol polčas vylučovania hydrochlorotiazidu zvýšený. U funkčne anefrických pacientov je polčas vylučovania asi 34 hodín.</w:t>
      </w:r>
    </w:p>
    <w:p w:rsidR="0053152B" w:rsidRPr="00D252D3" w:rsidRDefault="0053152B">
      <w:pPr>
        <w:ind w:left="0" w:firstLine="0"/>
        <w:rPr>
          <w:snapToGrid w:val="0"/>
          <w:lang w:eastAsia="cs-CZ"/>
        </w:rPr>
      </w:pPr>
    </w:p>
    <w:p w:rsidR="0053152B" w:rsidRPr="00D252D3" w:rsidRDefault="0053152B" w:rsidP="0051567B">
      <w:pPr>
        <w:keepNext/>
        <w:ind w:left="0" w:firstLine="0"/>
        <w:rPr>
          <w:snapToGrid w:val="0"/>
          <w:lang w:eastAsia="cs-CZ"/>
        </w:rPr>
      </w:pPr>
      <w:r w:rsidRPr="00D252D3">
        <w:rPr>
          <w:snapToGrid w:val="0"/>
          <w:u w:val="single"/>
          <w:lang w:eastAsia="cs-CZ"/>
        </w:rPr>
        <w:t>Po</w:t>
      </w:r>
      <w:r w:rsidR="00831BD7" w:rsidRPr="00D252D3">
        <w:rPr>
          <w:snapToGrid w:val="0"/>
          <w:u w:val="single"/>
          <w:lang w:eastAsia="cs-CZ"/>
        </w:rPr>
        <w:t>rucha</w:t>
      </w:r>
      <w:r w:rsidRPr="00D252D3">
        <w:rPr>
          <w:snapToGrid w:val="0"/>
          <w:u w:val="single"/>
          <w:lang w:eastAsia="cs-CZ"/>
        </w:rPr>
        <w:t xml:space="preserve"> funkcie pečene</w:t>
      </w:r>
    </w:p>
    <w:p w:rsidR="0053152B" w:rsidRPr="00D252D3" w:rsidRDefault="0053152B">
      <w:pPr>
        <w:ind w:left="0" w:firstLine="0"/>
        <w:rPr>
          <w:snapToGrid w:val="0"/>
          <w:lang w:eastAsia="cs-CZ"/>
        </w:rPr>
      </w:pPr>
      <w:r w:rsidRPr="00D252D3">
        <w:rPr>
          <w:snapToGrid w:val="0"/>
          <w:lang w:eastAsia="cs-CZ"/>
        </w:rPr>
        <w:t>Farmakokinetické štúdie u pacientov s po</w:t>
      </w:r>
      <w:r w:rsidR="00831BD7" w:rsidRPr="00D252D3">
        <w:rPr>
          <w:snapToGrid w:val="0"/>
          <w:lang w:eastAsia="cs-CZ"/>
        </w:rPr>
        <w:t>ruchou</w:t>
      </w:r>
      <w:r w:rsidRPr="00D252D3">
        <w:rPr>
          <w:snapToGrid w:val="0"/>
          <w:lang w:eastAsia="cs-CZ"/>
        </w:rPr>
        <w:t xml:space="preserve"> funkcie pečene ukázali zvýšenú absolútnu biologickú dostupnosť až do takmer 100 %. Polčas vylučovania sa u pacientov s po</w:t>
      </w:r>
      <w:r w:rsidR="00831BD7" w:rsidRPr="00D252D3">
        <w:rPr>
          <w:snapToGrid w:val="0"/>
          <w:lang w:eastAsia="cs-CZ"/>
        </w:rPr>
        <w:t>ruchou</w:t>
      </w:r>
      <w:r w:rsidRPr="00D252D3">
        <w:rPr>
          <w:snapToGrid w:val="0"/>
          <w:lang w:eastAsia="cs-CZ"/>
        </w:rPr>
        <w:t xml:space="preserve"> funkcie pečene nemení.</w:t>
      </w:r>
    </w:p>
    <w:p w:rsidR="0053152B" w:rsidRPr="00D252D3" w:rsidRDefault="0053152B">
      <w:pPr>
        <w:ind w:left="0" w:firstLine="0"/>
      </w:pPr>
    </w:p>
    <w:p w:rsidR="0053152B" w:rsidRPr="00D252D3" w:rsidRDefault="0053152B">
      <w:r w:rsidRPr="00D252D3">
        <w:rPr>
          <w:b/>
        </w:rPr>
        <w:t>5.3</w:t>
      </w:r>
      <w:r w:rsidRPr="00D252D3">
        <w:rPr>
          <w:b/>
        </w:rPr>
        <w:tab/>
        <w:t>Predklinické údaje o bezpečnosti</w:t>
      </w:r>
    </w:p>
    <w:p w:rsidR="0053152B" w:rsidRPr="00D252D3" w:rsidRDefault="0053152B">
      <w:pPr>
        <w:ind w:left="0" w:firstLine="0"/>
      </w:pPr>
    </w:p>
    <w:p w:rsidR="0053152B" w:rsidRPr="00D252D3" w:rsidRDefault="0053152B">
      <w:pPr>
        <w:ind w:left="0" w:firstLine="0"/>
        <w:rPr>
          <w:snapToGrid w:val="0"/>
          <w:lang w:eastAsia="cs-CZ"/>
        </w:rPr>
      </w:pPr>
      <w:r w:rsidRPr="00D252D3">
        <w:rPr>
          <w:snapToGrid w:val="0"/>
          <w:lang w:eastAsia="cs-CZ"/>
        </w:rPr>
        <w:t>V predklinických štúdiách bezpečnosti zameraných na súbežné podávanie telmisartanu a hydrochlorotiazidu normotenzným potkanom a psom dávky porovnateľné s klinickými terapeutickými dávkami nevyvolávali ďalšie nálezy ako pri podávaní jednotlivých zložiek samostatne. Pozorované toxikologické nálezy pravdepodobne nemajú význam pri terapeutickom použití u ľudí.</w:t>
      </w:r>
    </w:p>
    <w:p w:rsidR="0053152B" w:rsidRPr="00D252D3" w:rsidRDefault="0053152B">
      <w:pPr>
        <w:ind w:left="0" w:firstLine="0"/>
        <w:rPr>
          <w:snapToGrid w:val="0"/>
          <w:lang w:eastAsia="cs-CZ"/>
        </w:rPr>
      </w:pPr>
    </w:p>
    <w:p w:rsidR="0053152B" w:rsidRPr="00D252D3" w:rsidRDefault="0053152B">
      <w:pPr>
        <w:ind w:left="0" w:firstLine="0"/>
        <w:rPr>
          <w:snapToGrid w:val="0"/>
          <w:lang w:eastAsia="cs-CZ"/>
        </w:rPr>
      </w:pPr>
      <w:r w:rsidRPr="00D252D3">
        <w:rPr>
          <w:snapToGrid w:val="0"/>
          <w:lang w:eastAsia="cs-CZ"/>
        </w:rPr>
        <w:t>Toxikologické nálezy takisto dobre známe z predklinických štúdií s inhibítormi angiotenzín konvertujúceho enzýmu a antagonistmi receptora angiotenzínu II boli: zníženie parametrov červených krviniek (erytrocyty, hemoglobín, hematokrit), zmeny v renálnej hemodynamike (zvýšený dusík močoviny v krvi a kreatinín), zvýšená plazmatická renínová aktivita, hypertrofia/hyperplázia juxtaglomerulárnych buniek a poškodenie žalúdočnej sliznice. Léziám na žalúdku možno predísť/zmierniť ich perorálnou suplementáciou soli a skupinovým chovom zvierat. U psov sa pozorovala dilatácia a atrofia obličkových kanálikov. Tieto nálezy sa považujú za následok farmakologickej aktivity telmisartanu.</w:t>
      </w:r>
    </w:p>
    <w:p w:rsidR="0053152B" w:rsidRPr="00D252D3" w:rsidRDefault="0053152B">
      <w:pPr>
        <w:ind w:left="0" w:firstLine="0"/>
        <w:rPr>
          <w:snapToGrid w:val="0"/>
          <w:lang w:eastAsia="cs-CZ"/>
        </w:rPr>
      </w:pPr>
    </w:p>
    <w:p w:rsidR="0053152B" w:rsidRPr="00D252D3" w:rsidRDefault="0053152B">
      <w:pPr>
        <w:ind w:left="0" w:firstLine="0"/>
        <w:rPr>
          <w:snapToGrid w:val="0"/>
          <w:lang w:eastAsia="cs-CZ"/>
        </w:rPr>
      </w:pPr>
      <w:r w:rsidRPr="00D252D3">
        <w:rPr>
          <w:snapToGrid w:val="0"/>
          <w:lang w:eastAsia="cs-CZ"/>
        </w:rPr>
        <w:t>Nepozoroval sa priamy dôkaz teratogénneho účinku, ale pozorovalo sa, že hladiny toxickej dávky telmisartanu majú mierny vplyv na postnatálny vývoj plodu ako je nižšia telesná hmotnosť a oneskorené otvorenie očí.</w:t>
      </w:r>
    </w:p>
    <w:p w:rsidR="0053152B" w:rsidRPr="00D252D3" w:rsidRDefault="0053152B">
      <w:pPr>
        <w:ind w:left="0" w:firstLine="0"/>
        <w:rPr>
          <w:snapToGrid w:val="0"/>
          <w:lang w:eastAsia="cs-CZ"/>
        </w:rPr>
      </w:pPr>
      <w:r w:rsidRPr="00D252D3">
        <w:rPr>
          <w:snapToGrid w:val="0"/>
          <w:lang w:eastAsia="cs-CZ"/>
        </w:rPr>
        <w:t>U potkanov a myší sa po podávaní telmisartanu nepotvrdili známky mutagenity a relevantnej klastogénnej aktivity v štúdiách</w:t>
      </w:r>
      <w:r w:rsidRPr="00D252D3">
        <w:rPr>
          <w:i/>
          <w:snapToGrid w:val="0"/>
          <w:lang w:eastAsia="cs-CZ"/>
        </w:rPr>
        <w:t> in vitro</w:t>
      </w:r>
      <w:r w:rsidRPr="00D252D3">
        <w:rPr>
          <w:snapToGrid w:val="0"/>
          <w:lang w:eastAsia="cs-CZ"/>
        </w:rPr>
        <w:t xml:space="preserve"> a tiež známky karcinogenity. Štúdie s hydrochlorotiazidom ukázali nejednoznačný dôkaz genotoxického alebo karcinogénneho účinku na niektorých pokusných modeloch. Avšak značné skúsenosti s hydrochlorotiazidom u ľudí neukázali súvislosť medzi jeho použitím a zvýšením neoplaziem.</w:t>
      </w:r>
    </w:p>
    <w:p w:rsidR="0053152B" w:rsidRPr="00D252D3" w:rsidRDefault="0053152B">
      <w:pPr>
        <w:ind w:left="0" w:firstLine="0"/>
        <w:rPr>
          <w:snapToGrid w:val="0"/>
          <w:lang w:eastAsia="cs-CZ"/>
        </w:rPr>
      </w:pPr>
      <w:r w:rsidRPr="00D252D3">
        <w:rPr>
          <w:snapToGrid w:val="0"/>
          <w:lang w:eastAsia="cs-CZ"/>
        </w:rPr>
        <w:t>Pre možné toxické pôsobenie kombinácie telmisartan/hydrochlorotiazid na plod pozri časť 4.6.</w:t>
      </w:r>
    </w:p>
    <w:p w:rsidR="0053152B" w:rsidRPr="00D252D3" w:rsidRDefault="0053152B"/>
    <w:p w:rsidR="0053152B" w:rsidRPr="00D252D3" w:rsidRDefault="0053152B"/>
    <w:p w:rsidR="0053152B" w:rsidRPr="00D252D3" w:rsidRDefault="0053152B">
      <w:pPr>
        <w:rPr>
          <w:b/>
        </w:rPr>
      </w:pPr>
      <w:r w:rsidRPr="00D252D3">
        <w:rPr>
          <w:b/>
        </w:rPr>
        <w:t>6.</w:t>
      </w:r>
      <w:r w:rsidRPr="00D252D3">
        <w:rPr>
          <w:b/>
        </w:rPr>
        <w:tab/>
        <w:t>FARMACEUTICKÉ INFORMÁCIE</w:t>
      </w:r>
    </w:p>
    <w:p w:rsidR="0053152B" w:rsidRPr="00D252D3" w:rsidRDefault="0053152B"/>
    <w:p w:rsidR="0053152B" w:rsidRPr="00D252D3" w:rsidRDefault="0053152B">
      <w:r w:rsidRPr="00D252D3">
        <w:rPr>
          <w:b/>
        </w:rPr>
        <w:t>6.1</w:t>
      </w:r>
      <w:r w:rsidRPr="00D252D3">
        <w:rPr>
          <w:b/>
        </w:rPr>
        <w:tab/>
        <w:t>Zoznam pomocných látok</w:t>
      </w:r>
    </w:p>
    <w:p w:rsidR="0053152B" w:rsidRPr="00D252D3" w:rsidRDefault="0053152B"/>
    <w:p w:rsidR="0053152B" w:rsidRPr="00D252D3" w:rsidRDefault="0053152B">
      <w:pPr>
        <w:ind w:left="0" w:firstLine="0"/>
      </w:pPr>
      <w:r w:rsidRPr="00D252D3">
        <w:t>Monohydrát laktózy</w:t>
      </w:r>
    </w:p>
    <w:p w:rsidR="0053152B" w:rsidRPr="00D252D3" w:rsidRDefault="0053152B">
      <w:pPr>
        <w:ind w:left="0" w:firstLine="0"/>
      </w:pPr>
      <w:r w:rsidRPr="00D252D3">
        <w:t>Magnéziumstearát</w:t>
      </w:r>
    </w:p>
    <w:p w:rsidR="0053152B" w:rsidRPr="00D252D3" w:rsidRDefault="0053152B">
      <w:pPr>
        <w:ind w:left="0" w:firstLine="0"/>
      </w:pPr>
      <w:r w:rsidRPr="00D252D3">
        <w:t>Kukuričný škrob</w:t>
      </w:r>
    </w:p>
    <w:p w:rsidR="0053152B" w:rsidRPr="00D252D3" w:rsidRDefault="0053152B">
      <w:pPr>
        <w:ind w:left="0" w:firstLine="0"/>
      </w:pPr>
      <w:r w:rsidRPr="00D252D3">
        <w:t>Meglumín</w:t>
      </w:r>
    </w:p>
    <w:p w:rsidR="0053152B" w:rsidRPr="00D252D3" w:rsidRDefault="0053152B">
      <w:pPr>
        <w:ind w:left="0" w:firstLine="0"/>
        <w:rPr>
          <w:snapToGrid w:val="0"/>
          <w:lang w:eastAsia="cs-CZ"/>
        </w:rPr>
      </w:pPr>
      <w:r w:rsidRPr="00D252D3">
        <w:rPr>
          <w:snapToGrid w:val="0"/>
          <w:lang w:eastAsia="cs-CZ"/>
        </w:rPr>
        <w:t>Mikrokryštalická celulóza</w:t>
      </w:r>
    </w:p>
    <w:p w:rsidR="0053152B" w:rsidRPr="00D252D3" w:rsidRDefault="0053152B">
      <w:pPr>
        <w:ind w:left="0" w:firstLine="0"/>
        <w:rPr>
          <w:snapToGrid w:val="0"/>
          <w:lang w:eastAsia="cs-CZ"/>
        </w:rPr>
      </w:pPr>
      <w:r w:rsidRPr="00D252D3">
        <w:rPr>
          <w:snapToGrid w:val="0"/>
          <w:lang w:eastAsia="cs-CZ"/>
        </w:rPr>
        <w:t>Povidón (K25)</w:t>
      </w:r>
    </w:p>
    <w:p w:rsidR="0053152B" w:rsidRPr="00D252D3" w:rsidRDefault="0053152B">
      <w:pPr>
        <w:ind w:left="0" w:firstLine="0"/>
      </w:pPr>
      <w:r w:rsidRPr="00D252D3">
        <w:rPr>
          <w:snapToGrid w:val="0"/>
          <w:lang w:eastAsia="cs-CZ"/>
        </w:rPr>
        <w:t>Červený oxid železitý (E172)</w:t>
      </w:r>
    </w:p>
    <w:p w:rsidR="0053152B" w:rsidRPr="00D252D3" w:rsidRDefault="0053152B">
      <w:pPr>
        <w:ind w:left="0" w:firstLine="0"/>
        <w:rPr>
          <w:snapToGrid w:val="0"/>
          <w:lang w:eastAsia="cs-CZ"/>
        </w:rPr>
      </w:pPr>
      <w:r w:rsidRPr="00D252D3">
        <w:rPr>
          <w:snapToGrid w:val="0"/>
          <w:lang w:eastAsia="cs-CZ"/>
        </w:rPr>
        <w:t>Hydroxid sodný</w:t>
      </w:r>
    </w:p>
    <w:p w:rsidR="0053152B" w:rsidRPr="00D252D3" w:rsidRDefault="0053152B">
      <w:pPr>
        <w:ind w:left="0" w:firstLine="0"/>
        <w:rPr>
          <w:snapToGrid w:val="0"/>
          <w:lang w:eastAsia="cs-CZ"/>
        </w:rPr>
      </w:pPr>
      <w:r w:rsidRPr="00D252D3">
        <w:rPr>
          <w:snapToGrid w:val="0"/>
          <w:lang w:eastAsia="cs-CZ"/>
        </w:rPr>
        <w:t>Sodná soľ karboxymetylškrobu (typ A)</w:t>
      </w:r>
    </w:p>
    <w:p w:rsidR="0053152B" w:rsidRPr="00D252D3" w:rsidRDefault="0053152B">
      <w:pPr>
        <w:ind w:left="0" w:firstLine="0"/>
        <w:rPr>
          <w:snapToGrid w:val="0"/>
          <w:lang w:eastAsia="cs-CZ"/>
        </w:rPr>
      </w:pPr>
      <w:r w:rsidRPr="00D252D3">
        <w:rPr>
          <w:snapToGrid w:val="0"/>
          <w:lang w:eastAsia="cs-CZ"/>
        </w:rPr>
        <w:t>Sorbitol (E420)</w:t>
      </w:r>
    </w:p>
    <w:p w:rsidR="0053152B" w:rsidRPr="00D252D3" w:rsidRDefault="0053152B"/>
    <w:p w:rsidR="0053152B" w:rsidRPr="00D252D3" w:rsidRDefault="0053152B">
      <w:r w:rsidRPr="00D252D3">
        <w:rPr>
          <w:b/>
        </w:rPr>
        <w:t>6.2</w:t>
      </w:r>
      <w:r w:rsidRPr="00D252D3">
        <w:rPr>
          <w:b/>
        </w:rPr>
        <w:tab/>
        <w:t>Inkompatibility</w:t>
      </w:r>
    </w:p>
    <w:p w:rsidR="0053152B" w:rsidRPr="00D252D3" w:rsidRDefault="0053152B"/>
    <w:p w:rsidR="0053152B" w:rsidRPr="00D252D3" w:rsidRDefault="0053152B">
      <w:r w:rsidRPr="00D252D3">
        <w:t>Neaplikovateľné.</w:t>
      </w:r>
    </w:p>
    <w:p w:rsidR="0053152B" w:rsidRPr="00D252D3" w:rsidRDefault="0053152B"/>
    <w:p w:rsidR="0053152B" w:rsidRPr="00D252D3" w:rsidRDefault="0053152B" w:rsidP="0051567B">
      <w:pPr>
        <w:keepNext/>
      </w:pPr>
      <w:r w:rsidRPr="00D252D3">
        <w:rPr>
          <w:b/>
        </w:rPr>
        <w:t>6.3</w:t>
      </w:r>
      <w:r w:rsidRPr="00D252D3">
        <w:rPr>
          <w:b/>
        </w:rPr>
        <w:tab/>
        <w:t>Čas použiteľnosti</w:t>
      </w:r>
    </w:p>
    <w:p w:rsidR="0053152B" w:rsidRPr="00D252D3" w:rsidRDefault="0053152B" w:rsidP="0051567B">
      <w:pPr>
        <w:keepNext/>
      </w:pPr>
    </w:p>
    <w:p w:rsidR="0053152B" w:rsidRPr="00D252D3" w:rsidRDefault="0053152B">
      <w:pPr>
        <w:ind w:left="540" w:hanging="540"/>
      </w:pPr>
      <w:r w:rsidRPr="00D252D3">
        <w:t>3 roky</w:t>
      </w:r>
    </w:p>
    <w:p w:rsidR="0053152B" w:rsidRPr="00D252D3" w:rsidRDefault="0053152B"/>
    <w:p w:rsidR="0053152B" w:rsidRPr="00D252D3" w:rsidRDefault="0053152B" w:rsidP="0051567B">
      <w:pPr>
        <w:keepNext/>
      </w:pPr>
      <w:r w:rsidRPr="00D252D3">
        <w:rPr>
          <w:b/>
        </w:rPr>
        <w:t>6.4</w:t>
      </w:r>
      <w:r w:rsidRPr="00D252D3">
        <w:rPr>
          <w:b/>
        </w:rPr>
        <w:tab/>
        <w:t>Špeciálne upozornenia na uchovávanie</w:t>
      </w:r>
    </w:p>
    <w:p w:rsidR="0053152B" w:rsidRPr="00D252D3" w:rsidRDefault="0053152B" w:rsidP="0051567B">
      <w:pPr>
        <w:keepNext/>
      </w:pPr>
    </w:p>
    <w:p w:rsidR="00F15ADA" w:rsidRPr="00D252D3" w:rsidRDefault="0053152B">
      <w:pPr>
        <w:ind w:left="0" w:firstLine="0"/>
        <w:rPr>
          <w:snapToGrid w:val="0"/>
          <w:lang w:eastAsia="cs-CZ"/>
        </w:rPr>
      </w:pPr>
      <w:r w:rsidRPr="00D252D3">
        <w:rPr>
          <w:snapToGrid w:val="0"/>
          <w:lang w:eastAsia="cs-CZ"/>
        </w:rPr>
        <w:t>Tento liek nevyžaduje žiadne zvláštne teplotné podmienky na uchovávanie. Uchovávajte v pôvodnom obale na ochranu pred vlhkosťou.</w:t>
      </w:r>
    </w:p>
    <w:p w:rsidR="00F15ADA" w:rsidRPr="00D252D3" w:rsidRDefault="00F15ADA">
      <w:pPr>
        <w:ind w:left="0" w:firstLine="0"/>
      </w:pPr>
    </w:p>
    <w:p w:rsidR="0053152B" w:rsidRPr="00D252D3" w:rsidRDefault="0053152B">
      <w:r w:rsidRPr="00D252D3">
        <w:rPr>
          <w:b/>
        </w:rPr>
        <w:t>6.5</w:t>
      </w:r>
      <w:r w:rsidRPr="00D252D3">
        <w:rPr>
          <w:b/>
        </w:rPr>
        <w:tab/>
        <w:t xml:space="preserve">Druh obalu a obsah balenia </w:t>
      </w:r>
    </w:p>
    <w:p w:rsidR="0053152B" w:rsidRPr="00D252D3" w:rsidRDefault="0053152B"/>
    <w:p w:rsidR="0053152B" w:rsidRPr="00D252D3" w:rsidRDefault="0053152B">
      <w:pPr>
        <w:ind w:left="0" w:firstLine="0"/>
      </w:pPr>
      <w:r w:rsidRPr="00D252D3">
        <w:t xml:space="preserve">Hliníkovo/hliníkové blistre (PA/Al/PVC/Al alebo PA/PA/Al/PVC/Al). Jeden blister obsahuje 7 alebo 10 tabliet. </w:t>
      </w:r>
    </w:p>
    <w:p w:rsidR="0053152B" w:rsidRPr="00D252D3" w:rsidRDefault="0053152B">
      <w:pPr>
        <w:ind w:left="0" w:firstLine="0"/>
      </w:pPr>
    </w:p>
    <w:p w:rsidR="0053152B" w:rsidRPr="00D252D3" w:rsidRDefault="0053152B">
      <w:pPr>
        <w:ind w:left="0" w:firstLine="0"/>
      </w:pPr>
      <w:r w:rsidRPr="00D252D3">
        <w:t xml:space="preserve">Veľkosti balenia: </w:t>
      </w:r>
    </w:p>
    <w:p w:rsidR="0053152B" w:rsidRPr="00D252D3" w:rsidRDefault="0053152B">
      <w:pPr>
        <w:numPr>
          <w:ilvl w:val="0"/>
          <w:numId w:val="22"/>
        </w:numPr>
      </w:pPr>
      <w:r w:rsidRPr="00D252D3">
        <w:t xml:space="preserve">blister so 14, 28, 56, 84 alebo 98 tabletami alebo </w:t>
      </w:r>
    </w:p>
    <w:p w:rsidR="0053152B" w:rsidRPr="00D252D3" w:rsidRDefault="0053152B">
      <w:pPr>
        <w:numPr>
          <w:ilvl w:val="0"/>
          <w:numId w:val="22"/>
        </w:numPr>
      </w:pPr>
      <w:r w:rsidRPr="00D252D3">
        <w:t>perforovaný blister s jednotlivými dávkami 28 x 1, 30 x 1 alebo 90 x 1 tableta.</w:t>
      </w:r>
    </w:p>
    <w:p w:rsidR="0053152B" w:rsidRPr="00D252D3" w:rsidRDefault="0053152B">
      <w:pPr>
        <w:ind w:left="0" w:firstLine="0"/>
      </w:pPr>
    </w:p>
    <w:p w:rsidR="0053152B" w:rsidRPr="00D252D3" w:rsidRDefault="0053152B">
      <w:pPr>
        <w:ind w:left="0" w:firstLine="0"/>
      </w:pPr>
      <w:r w:rsidRPr="00D252D3">
        <w:t>Na trh nemusia byť uvedené všetky veľkosti balenia.</w:t>
      </w:r>
    </w:p>
    <w:p w:rsidR="0053152B" w:rsidRPr="00D252D3" w:rsidRDefault="0053152B">
      <w:pPr>
        <w:ind w:left="0" w:firstLine="0"/>
      </w:pPr>
    </w:p>
    <w:p w:rsidR="0053152B" w:rsidRPr="00D252D3" w:rsidRDefault="0053152B">
      <w:pPr>
        <w:numPr>
          <w:ilvl w:val="1"/>
          <w:numId w:val="17"/>
        </w:numPr>
        <w:rPr>
          <w:b/>
          <w:bCs/>
        </w:rPr>
      </w:pPr>
      <w:r w:rsidRPr="00D252D3">
        <w:rPr>
          <w:b/>
          <w:bCs/>
        </w:rPr>
        <w:t>Špeciálne opatrenia na likvidáciu a iné zaobchádzanie s liekom</w:t>
      </w:r>
    </w:p>
    <w:p w:rsidR="0053152B" w:rsidRPr="00D252D3" w:rsidRDefault="0053152B">
      <w:pPr>
        <w:ind w:left="0" w:firstLine="0"/>
        <w:rPr>
          <w:b/>
          <w:szCs w:val="22"/>
        </w:rPr>
      </w:pPr>
    </w:p>
    <w:p w:rsidR="0053152B" w:rsidRPr="00D252D3" w:rsidRDefault="0053152B">
      <w:pPr>
        <w:rPr>
          <w:szCs w:val="22"/>
        </w:rPr>
      </w:pPr>
      <w:r w:rsidRPr="00D252D3">
        <w:rPr>
          <w:szCs w:val="22"/>
        </w:rPr>
        <w:t>MicardisPlus sa má uchovávať v uzavretom blistri kvôli hygroskopickým vlastnostiam tabliet. Tablety</w:t>
      </w:r>
    </w:p>
    <w:p w:rsidR="0053152B" w:rsidRPr="00D252D3" w:rsidRDefault="0053152B">
      <w:pPr>
        <w:rPr>
          <w:szCs w:val="22"/>
        </w:rPr>
      </w:pPr>
      <w:r w:rsidRPr="00D252D3">
        <w:rPr>
          <w:szCs w:val="22"/>
        </w:rPr>
        <w:t>sa majú vyberať z blistra krátko pred podaním.</w:t>
      </w:r>
    </w:p>
    <w:p w:rsidR="0053152B" w:rsidRPr="00D252D3" w:rsidRDefault="0053152B">
      <w:pPr>
        <w:ind w:left="0" w:firstLine="0"/>
        <w:rPr>
          <w:color w:val="FF0000"/>
        </w:rPr>
      </w:pPr>
      <w:r w:rsidRPr="00D252D3">
        <w:rPr>
          <w:snapToGrid w:val="0"/>
          <w:lang w:eastAsia="cs-CZ"/>
        </w:rPr>
        <w:t>Občas sa pozorovalo oddelenie vonkajšej vrstvy blistra od vnútornej vrstvy medzi jamkami blistra. Ak sa to stane, nie sú potrebné žiadne opatrenia</w:t>
      </w:r>
      <w:r w:rsidRPr="00D252D3">
        <w:rPr>
          <w:snapToGrid w:val="0"/>
          <w:color w:val="FF0000"/>
          <w:lang w:eastAsia="cs-CZ"/>
        </w:rPr>
        <w:t>.</w:t>
      </w:r>
    </w:p>
    <w:p w:rsidR="0053152B" w:rsidRPr="00D252D3" w:rsidRDefault="0053152B">
      <w:pPr>
        <w:ind w:left="0" w:firstLine="0"/>
        <w:rPr>
          <w:snapToGrid w:val="0"/>
          <w:lang w:eastAsia="cs-CZ"/>
        </w:rPr>
      </w:pPr>
    </w:p>
    <w:p w:rsidR="0053152B" w:rsidRPr="00D252D3" w:rsidRDefault="0053152B">
      <w:pPr>
        <w:ind w:left="0" w:firstLine="0"/>
        <w:rPr>
          <w:snapToGrid w:val="0"/>
          <w:lang w:eastAsia="cs-CZ"/>
        </w:rPr>
      </w:pPr>
      <w:r w:rsidRPr="00D252D3">
        <w:rPr>
          <w:snapToGrid w:val="0"/>
          <w:lang w:eastAsia="cs-CZ"/>
        </w:rPr>
        <w:t>Všetok nepoužitý liek alebo odpad vzniknutý z lieku sa má zlikvidovať v súlade s národnými požiadavkami.</w:t>
      </w:r>
    </w:p>
    <w:p w:rsidR="0053152B" w:rsidRPr="00D252D3" w:rsidRDefault="0053152B">
      <w:pPr>
        <w:ind w:left="0" w:firstLine="0"/>
        <w:rPr>
          <w:snapToGrid w:val="0"/>
          <w:lang w:eastAsia="cs-CZ"/>
        </w:rPr>
      </w:pPr>
    </w:p>
    <w:p w:rsidR="0053152B" w:rsidRPr="00D252D3" w:rsidRDefault="0053152B">
      <w:pPr>
        <w:rPr>
          <w:b/>
        </w:rPr>
      </w:pPr>
    </w:p>
    <w:p w:rsidR="0053152B" w:rsidRPr="00D252D3" w:rsidRDefault="0053152B">
      <w:pPr>
        <w:keepNext/>
        <w:ind w:left="562" w:hanging="562"/>
      </w:pPr>
      <w:r w:rsidRPr="00D252D3">
        <w:rPr>
          <w:b/>
        </w:rPr>
        <w:t>7.</w:t>
      </w:r>
      <w:r w:rsidRPr="00D252D3">
        <w:rPr>
          <w:b/>
        </w:rPr>
        <w:tab/>
        <w:t>DRŽITEĽ ROZHODNUTIA O REGISTRÁCII</w:t>
      </w:r>
    </w:p>
    <w:p w:rsidR="0053152B" w:rsidRPr="00D252D3" w:rsidRDefault="0053152B">
      <w:pPr>
        <w:keepNext/>
        <w:ind w:left="562" w:hanging="562"/>
      </w:pPr>
    </w:p>
    <w:p w:rsidR="0053152B" w:rsidRPr="00D252D3" w:rsidRDefault="0053152B">
      <w:pPr>
        <w:keepNext/>
        <w:ind w:left="562" w:hanging="562"/>
      </w:pPr>
      <w:r w:rsidRPr="00D252D3">
        <w:t>Boehringer Ingelheim International GmbH</w:t>
      </w:r>
    </w:p>
    <w:p w:rsidR="0053152B" w:rsidRPr="00D252D3" w:rsidRDefault="0053152B">
      <w:pPr>
        <w:keepNext/>
        <w:ind w:left="562" w:hanging="562"/>
      </w:pPr>
      <w:r w:rsidRPr="00D252D3">
        <w:t>Binger str. 173</w:t>
      </w:r>
    </w:p>
    <w:p w:rsidR="0053152B" w:rsidRPr="00D252D3" w:rsidRDefault="0053152B">
      <w:pPr>
        <w:keepNext/>
        <w:ind w:left="562" w:hanging="562"/>
      </w:pPr>
      <w:r w:rsidRPr="00D252D3">
        <w:t>D-55216 Ingelheim nad Rýnom</w:t>
      </w:r>
    </w:p>
    <w:p w:rsidR="0053152B" w:rsidRPr="00D252D3" w:rsidRDefault="0053152B">
      <w:r w:rsidRPr="00D252D3">
        <w:t>Nemecko</w:t>
      </w:r>
    </w:p>
    <w:p w:rsidR="0053152B" w:rsidRPr="00D252D3" w:rsidRDefault="0053152B"/>
    <w:p w:rsidR="0053152B" w:rsidRPr="00D252D3" w:rsidRDefault="0053152B"/>
    <w:p w:rsidR="0053152B" w:rsidRPr="00D252D3" w:rsidRDefault="0053152B">
      <w:pPr>
        <w:rPr>
          <w:b/>
        </w:rPr>
      </w:pPr>
      <w:r w:rsidRPr="00D252D3">
        <w:rPr>
          <w:b/>
        </w:rPr>
        <w:t>8.</w:t>
      </w:r>
      <w:r w:rsidRPr="00D252D3">
        <w:rPr>
          <w:b/>
        </w:rPr>
        <w:tab/>
        <w:t>REGISTRAČNÉ ČÍSLA</w:t>
      </w:r>
    </w:p>
    <w:p w:rsidR="0053152B" w:rsidRPr="00D252D3" w:rsidRDefault="0053152B"/>
    <w:p w:rsidR="0053152B" w:rsidRPr="00D252D3" w:rsidRDefault="0053152B">
      <w:pPr>
        <w:rPr>
          <w:szCs w:val="22"/>
          <w:u w:val="single"/>
        </w:rPr>
      </w:pPr>
      <w:r w:rsidRPr="00D252D3">
        <w:rPr>
          <w:szCs w:val="22"/>
          <w:u w:val="single"/>
        </w:rPr>
        <w:t>MicardisPlus 40 mg/12,5 mg tablety</w:t>
      </w:r>
    </w:p>
    <w:p w:rsidR="0053152B" w:rsidRPr="00D252D3" w:rsidRDefault="0053152B">
      <w:r w:rsidRPr="00D252D3">
        <w:t xml:space="preserve">EU/1/02/213/001-005, </w:t>
      </w:r>
      <w:r w:rsidRPr="00D252D3">
        <w:rPr>
          <w:szCs w:val="22"/>
        </w:rPr>
        <w:t>011, 013-014</w:t>
      </w:r>
    </w:p>
    <w:p w:rsidR="0053152B" w:rsidRPr="00D252D3" w:rsidRDefault="0053152B"/>
    <w:p w:rsidR="0053152B" w:rsidRPr="00D252D3" w:rsidRDefault="0053152B">
      <w:pPr>
        <w:rPr>
          <w:szCs w:val="22"/>
          <w:u w:val="single"/>
        </w:rPr>
      </w:pPr>
      <w:r w:rsidRPr="00D252D3">
        <w:rPr>
          <w:szCs w:val="22"/>
          <w:u w:val="single"/>
        </w:rPr>
        <w:t>MicardisPlus 80 mg/12,5 mg tablety</w:t>
      </w:r>
    </w:p>
    <w:p w:rsidR="0053152B" w:rsidRPr="00D252D3" w:rsidRDefault="0053152B">
      <w:r w:rsidRPr="00D252D3">
        <w:t xml:space="preserve">EU/1/02/213/006-010, </w:t>
      </w:r>
      <w:r w:rsidRPr="00D252D3">
        <w:rPr>
          <w:szCs w:val="22"/>
        </w:rPr>
        <w:t>012, 015-016</w:t>
      </w:r>
    </w:p>
    <w:p w:rsidR="0053152B" w:rsidRPr="00D252D3" w:rsidRDefault="0053152B"/>
    <w:p w:rsidR="0053152B" w:rsidRPr="00D252D3" w:rsidRDefault="0053152B"/>
    <w:p w:rsidR="0053152B" w:rsidRPr="00D252D3" w:rsidRDefault="0053152B">
      <w:r w:rsidRPr="00D252D3">
        <w:rPr>
          <w:b/>
        </w:rPr>
        <w:t>9.</w:t>
      </w:r>
      <w:r w:rsidRPr="00D252D3">
        <w:rPr>
          <w:b/>
        </w:rPr>
        <w:tab/>
        <w:t>DÁTUM PRVEJ REGISTRÁCIE/PREDĹŽENIA REGISTRÁCIE</w:t>
      </w:r>
    </w:p>
    <w:p w:rsidR="0053152B" w:rsidRPr="00D252D3" w:rsidRDefault="0053152B"/>
    <w:p w:rsidR="0053152B" w:rsidRPr="00D252D3" w:rsidRDefault="0053152B" w:rsidP="00435347">
      <w:bookmarkStart w:id="6" w:name="OLE_LINK1"/>
      <w:r w:rsidRPr="00D252D3">
        <w:rPr>
          <w:szCs w:val="22"/>
        </w:rPr>
        <w:t xml:space="preserve">Dátum prvej registrácie: </w:t>
      </w:r>
      <w:r w:rsidRPr="00D252D3">
        <w:t xml:space="preserve">19. </w:t>
      </w:r>
      <w:r w:rsidR="00435347" w:rsidRPr="00D252D3">
        <w:t>apríla</w:t>
      </w:r>
      <w:r w:rsidRPr="00D252D3">
        <w:t xml:space="preserve"> 2002</w:t>
      </w:r>
    </w:p>
    <w:p w:rsidR="0053152B" w:rsidRPr="00D252D3" w:rsidRDefault="0053152B" w:rsidP="00435347">
      <w:r w:rsidRPr="00D252D3">
        <w:rPr>
          <w:szCs w:val="22"/>
        </w:rPr>
        <w:t xml:space="preserve">Dátum posledného predĺženia registrácie: </w:t>
      </w:r>
      <w:bookmarkEnd w:id="6"/>
      <w:r w:rsidR="00EC7271" w:rsidRPr="00D252D3">
        <w:t>23</w:t>
      </w:r>
      <w:r w:rsidRPr="00D252D3">
        <w:t xml:space="preserve">. </w:t>
      </w:r>
      <w:r w:rsidR="00435347" w:rsidRPr="00D252D3">
        <w:t>apríla</w:t>
      </w:r>
      <w:r w:rsidRPr="00D252D3">
        <w:t xml:space="preserve"> 2007</w:t>
      </w:r>
    </w:p>
    <w:p w:rsidR="0053152B" w:rsidRPr="00D252D3" w:rsidRDefault="0053152B"/>
    <w:p w:rsidR="0053152B" w:rsidRPr="00D252D3" w:rsidRDefault="0053152B"/>
    <w:p w:rsidR="0053152B" w:rsidRPr="00D252D3" w:rsidRDefault="0053152B">
      <w:pPr>
        <w:keepNext/>
        <w:keepLines/>
        <w:ind w:left="562" w:hanging="562"/>
        <w:rPr>
          <w:b/>
        </w:rPr>
      </w:pPr>
      <w:r w:rsidRPr="00D252D3">
        <w:rPr>
          <w:b/>
        </w:rPr>
        <w:t>10.</w:t>
      </w:r>
      <w:r w:rsidRPr="00D252D3">
        <w:rPr>
          <w:b/>
        </w:rPr>
        <w:tab/>
        <w:t>DÁTUM REVÍZIE TEXTU</w:t>
      </w:r>
    </w:p>
    <w:p w:rsidR="0053152B" w:rsidRPr="00D252D3" w:rsidRDefault="0053152B">
      <w:pPr>
        <w:keepNext/>
        <w:keepLines/>
        <w:tabs>
          <w:tab w:val="left" w:pos="-1440"/>
          <w:tab w:val="left" w:pos="-720"/>
        </w:tabs>
        <w:ind w:left="562" w:hanging="562"/>
      </w:pPr>
    </w:p>
    <w:p w:rsidR="0053152B" w:rsidRPr="00D252D3" w:rsidRDefault="0053152B">
      <w:pPr>
        <w:ind w:left="0" w:firstLine="0"/>
      </w:pPr>
      <w:r w:rsidRPr="00D252D3">
        <w:t xml:space="preserve">Podrobné informácie o tomto lieku sú dostupné na internetovej stránke Európskej agentúry pre lieky </w:t>
      </w:r>
      <w:hyperlink r:id="rId12" w:history="1">
        <w:r w:rsidRPr="00D252D3">
          <w:rPr>
            <w:rStyle w:val="Hyperlink"/>
            <w:szCs w:val="22"/>
          </w:rPr>
          <w:t>http://ww</w:t>
        </w:r>
        <w:r w:rsidRPr="00D252D3">
          <w:rPr>
            <w:rStyle w:val="Hyperlink"/>
            <w:szCs w:val="22"/>
          </w:rPr>
          <w:t>w</w:t>
        </w:r>
        <w:r w:rsidRPr="00D252D3">
          <w:rPr>
            <w:rStyle w:val="Hyperlink"/>
            <w:szCs w:val="22"/>
          </w:rPr>
          <w:t>.ema.euro</w:t>
        </w:r>
        <w:r w:rsidRPr="00D252D3">
          <w:rPr>
            <w:rStyle w:val="Hyperlink"/>
            <w:szCs w:val="22"/>
          </w:rPr>
          <w:t>p</w:t>
        </w:r>
        <w:r w:rsidRPr="00D252D3">
          <w:rPr>
            <w:rStyle w:val="Hyperlink"/>
            <w:szCs w:val="22"/>
          </w:rPr>
          <w:t>a.eu</w:t>
        </w:r>
      </w:hyperlink>
      <w:r w:rsidRPr="00D252D3">
        <w:rPr>
          <w:szCs w:val="22"/>
        </w:rPr>
        <w:t>.</w:t>
      </w:r>
    </w:p>
    <w:p w:rsidR="0053152B" w:rsidRPr="00D252D3" w:rsidRDefault="0053152B">
      <w:r w:rsidRPr="00D252D3">
        <w:rPr>
          <w:b/>
        </w:rPr>
        <w:br w:type="page"/>
        <w:t>1.</w:t>
      </w:r>
      <w:r w:rsidRPr="00D252D3">
        <w:rPr>
          <w:b/>
        </w:rPr>
        <w:tab/>
        <w:t>NÁZOV LIEKU</w:t>
      </w:r>
    </w:p>
    <w:p w:rsidR="0053152B" w:rsidRPr="00D252D3" w:rsidRDefault="0053152B"/>
    <w:p w:rsidR="0053152B" w:rsidRPr="00D252D3" w:rsidRDefault="0053152B">
      <w:pPr>
        <w:rPr>
          <w:snapToGrid w:val="0"/>
          <w:lang w:eastAsia="cs-CZ"/>
        </w:rPr>
      </w:pPr>
      <w:r w:rsidRPr="00D252D3">
        <w:rPr>
          <w:snapToGrid w:val="0"/>
          <w:szCs w:val="22"/>
          <w:lang w:eastAsia="cs-CZ"/>
        </w:rPr>
        <w:t>MicardisPlus</w:t>
      </w:r>
      <w:r w:rsidRPr="00D252D3">
        <w:rPr>
          <w:snapToGrid w:val="0"/>
          <w:lang w:eastAsia="cs-CZ"/>
        </w:rPr>
        <w:t xml:space="preserve"> 80 mg/25 mg tablety</w:t>
      </w:r>
    </w:p>
    <w:p w:rsidR="0053152B" w:rsidRPr="00D252D3" w:rsidRDefault="0053152B">
      <w:pPr>
        <w:ind w:left="0" w:firstLine="0"/>
      </w:pPr>
    </w:p>
    <w:p w:rsidR="0053152B" w:rsidRPr="00D252D3" w:rsidRDefault="0053152B"/>
    <w:p w:rsidR="0053152B" w:rsidRPr="00D252D3" w:rsidRDefault="0053152B">
      <w:r w:rsidRPr="00D252D3">
        <w:rPr>
          <w:b/>
        </w:rPr>
        <w:t>2.</w:t>
      </w:r>
      <w:r w:rsidRPr="00D252D3">
        <w:rPr>
          <w:b/>
        </w:rPr>
        <w:tab/>
        <w:t>KVALITATÍVNE A KVANTITATÍVNE ZLOŽENIE</w:t>
      </w:r>
    </w:p>
    <w:p w:rsidR="0053152B" w:rsidRPr="00D252D3" w:rsidRDefault="0053152B">
      <w:pPr>
        <w:rPr>
          <w:i/>
        </w:rPr>
      </w:pPr>
    </w:p>
    <w:p w:rsidR="0053152B" w:rsidRPr="00D252D3" w:rsidRDefault="0053152B">
      <w:pPr>
        <w:rPr>
          <w:snapToGrid w:val="0"/>
          <w:lang w:eastAsia="cs-CZ"/>
        </w:rPr>
      </w:pPr>
      <w:r w:rsidRPr="00D252D3">
        <w:rPr>
          <w:snapToGrid w:val="0"/>
          <w:lang w:eastAsia="cs-CZ"/>
        </w:rPr>
        <w:t>Každá tableta obsahuje 80 mg telmisartanu a 25 mg hydrochlorotiazidu.</w:t>
      </w:r>
    </w:p>
    <w:p w:rsidR="0053152B" w:rsidRPr="00D252D3" w:rsidRDefault="0053152B">
      <w:pPr>
        <w:rPr>
          <w:snapToGrid w:val="0"/>
          <w:lang w:eastAsia="cs-CZ"/>
        </w:rPr>
      </w:pPr>
    </w:p>
    <w:p w:rsidR="0053152B" w:rsidRPr="00D252D3" w:rsidRDefault="0053152B">
      <w:pPr>
        <w:rPr>
          <w:snapToGrid w:val="0"/>
          <w:u w:val="single"/>
          <w:lang w:eastAsia="cs-CZ"/>
        </w:rPr>
      </w:pPr>
      <w:r w:rsidRPr="00D252D3">
        <w:rPr>
          <w:snapToGrid w:val="0"/>
          <w:u w:val="single"/>
          <w:lang w:eastAsia="cs-CZ"/>
        </w:rPr>
        <w:t>Pomocné látky so známym účinkom</w:t>
      </w:r>
    </w:p>
    <w:p w:rsidR="0053152B" w:rsidRPr="00D252D3" w:rsidRDefault="0053152B">
      <w:pPr>
        <w:rPr>
          <w:snapToGrid w:val="0"/>
          <w:lang w:eastAsia="cs-CZ"/>
        </w:rPr>
      </w:pPr>
      <w:r w:rsidRPr="00D252D3">
        <w:rPr>
          <w:snapToGrid w:val="0"/>
          <w:lang w:eastAsia="cs-CZ"/>
        </w:rPr>
        <w:t>Každá tableta obsahuje 99 mg monohydrátu laktózy a 338 mg sorbitolu (E420).</w:t>
      </w:r>
    </w:p>
    <w:p w:rsidR="0053152B" w:rsidRPr="00D252D3" w:rsidRDefault="0053152B"/>
    <w:p w:rsidR="0053152B" w:rsidRPr="00D252D3" w:rsidRDefault="0053152B">
      <w:r w:rsidRPr="00D252D3">
        <w:t>Úplný zoznam pomocných látok, pozri časť</w:t>
      </w:r>
      <w:r w:rsidR="004E7AF9" w:rsidRPr="00D252D3">
        <w:t> </w:t>
      </w:r>
      <w:r w:rsidRPr="00D252D3">
        <w:t>6.1.</w:t>
      </w:r>
    </w:p>
    <w:p w:rsidR="0053152B" w:rsidRPr="00D252D3" w:rsidRDefault="0053152B"/>
    <w:p w:rsidR="0053152B" w:rsidRPr="00D252D3" w:rsidRDefault="0053152B">
      <w:pPr>
        <w:ind w:left="0" w:firstLine="0"/>
      </w:pPr>
    </w:p>
    <w:p w:rsidR="0053152B" w:rsidRPr="00D252D3" w:rsidRDefault="0053152B">
      <w:pPr>
        <w:rPr>
          <w:caps/>
        </w:rPr>
      </w:pPr>
      <w:r w:rsidRPr="00D252D3">
        <w:rPr>
          <w:b/>
        </w:rPr>
        <w:t>3.</w:t>
      </w:r>
      <w:r w:rsidRPr="00D252D3">
        <w:rPr>
          <w:b/>
        </w:rPr>
        <w:tab/>
        <w:t>LIEKOVÁ FORMA</w:t>
      </w:r>
    </w:p>
    <w:p w:rsidR="0053152B" w:rsidRPr="00D252D3" w:rsidRDefault="0053152B"/>
    <w:p w:rsidR="0053152B" w:rsidRPr="00D252D3" w:rsidRDefault="0053152B">
      <w:r w:rsidRPr="00D252D3">
        <w:t>Tablety.</w:t>
      </w:r>
    </w:p>
    <w:p w:rsidR="0053152B" w:rsidRPr="00D252D3" w:rsidRDefault="0053152B" w:rsidP="00EA1571">
      <w:pPr>
        <w:ind w:left="0" w:firstLine="0"/>
      </w:pPr>
      <w:r w:rsidRPr="00D252D3">
        <w:rPr>
          <w:snapToGrid w:val="0"/>
          <w:lang w:eastAsia="cs-CZ"/>
        </w:rPr>
        <w:t xml:space="preserve">Žlto-biele </w:t>
      </w:r>
      <w:r w:rsidR="00EA1571" w:rsidRPr="00D252D3">
        <w:t>podlhovasté</w:t>
      </w:r>
      <w:r w:rsidRPr="00D252D3">
        <w:rPr>
          <w:snapToGrid w:val="0"/>
          <w:lang w:eastAsia="cs-CZ"/>
        </w:rPr>
        <w:t xml:space="preserve"> 6,2 mm dvojvrstvové tablety s vyrytým logom spoločnosti a číselným kódom ’H9’.</w:t>
      </w:r>
    </w:p>
    <w:p w:rsidR="0053152B" w:rsidRPr="00D252D3" w:rsidRDefault="0053152B"/>
    <w:p w:rsidR="0053152B" w:rsidRPr="00D252D3" w:rsidRDefault="0053152B"/>
    <w:p w:rsidR="0053152B" w:rsidRPr="00D252D3" w:rsidRDefault="0053152B">
      <w:pPr>
        <w:rPr>
          <w:caps/>
        </w:rPr>
      </w:pPr>
      <w:r w:rsidRPr="00D252D3">
        <w:rPr>
          <w:b/>
          <w:caps/>
        </w:rPr>
        <w:t>4.</w:t>
      </w:r>
      <w:r w:rsidRPr="00D252D3">
        <w:rPr>
          <w:b/>
          <w:caps/>
        </w:rPr>
        <w:tab/>
        <w:t>KLINICKÉ ÚDAJE</w:t>
      </w:r>
    </w:p>
    <w:p w:rsidR="0053152B" w:rsidRPr="00D252D3" w:rsidRDefault="0053152B">
      <w:pPr>
        <w:ind w:left="0" w:firstLine="0"/>
      </w:pPr>
    </w:p>
    <w:p w:rsidR="0053152B" w:rsidRPr="00D252D3" w:rsidRDefault="0053152B">
      <w:r w:rsidRPr="00D252D3">
        <w:rPr>
          <w:b/>
        </w:rPr>
        <w:t>4.1</w:t>
      </w:r>
      <w:r w:rsidRPr="00D252D3">
        <w:rPr>
          <w:b/>
        </w:rPr>
        <w:tab/>
        <w:t>Terapeutické indikácie</w:t>
      </w:r>
    </w:p>
    <w:p w:rsidR="0053152B" w:rsidRPr="00D252D3" w:rsidRDefault="0053152B"/>
    <w:p w:rsidR="0053152B" w:rsidRPr="00D252D3" w:rsidRDefault="0053152B">
      <w:pPr>
        <w:ind w:left="0" w:firstLine="0"/>
      </w:pPr>
      <w:r w:rsidRPr="00D252D3">
        <w:t>Liečba esenciálnej hypertenzie.</w:t>
      </w:r>
    </w:p>
    <w:p w:rsidR="0053152B" w:rsidRPr="00D252D3" w:rsidRDefault="0053152B">
      <w:pPr>
        <w:ind w:left="0" w:firstLine="0"/>
      </w:pPr>
    </w:p>
    <w:p w:rsidR="0053152B" w:rsidRPr="00D252D3" w:rsidRDefault="0053152B">
      <w:pPr>
        <w:ind w:left="0" w:firstLine="0"/>
      </w:pPr>
      <w:r w:rsidRPr="00D252D3">
        <w:rPr>
          <w:snapToGrid w:val="0"/>
          <w:lang w:eastAsia="cs-CZ"/>
        </w:rPr>
        <w:t>MicardisPlus</w:t>
      </w:r>
      <w:r w:rsidRPr="00D252D3">
        <w:t xml:space="preserve"> fixná kombinácia dávky (80 mg telmisartanu/25 mg hydrochlorotiazidu) je indikovaná dospelým, ktorých krvný tlak nie je adekvátne kontrolovaný MicardisPlusom 80/12,5 (80 mg telmisartanu/12,5 mg hydrochlorotiazidu) alebo pacientom, ktorí boli predtým stabilizovaní na telmisartane a hydrochlorotiazide podávaných osobitne.</w:t>
      </w:r>
    </w:p>
    <w:p w:rsidR="0053152B" w:rsidRPr="00D252D3" w:rsidRDefault="0053152B"/>
    <w:p w:rsidR="0053152B" w:rsidRPr="00D252D3" w:rsidRDefault="0053152B">
      <w:r w:rsidRPr="00D252D3">
        <w:rPr>
          <w:b/>
        </w:rPr>
        <w:t>4.2</w:t>
      </w:r>
      <w:r w:rsidRPr="00D252D3">
        <w:rPr>
          <w:b/>
        </w:rPr>
        <w:tab/>
        <w:t>Dávkovanie a spôsob podávania</w:t>
      </w:r>
    </w:p>
    <w:p w:rsidR="0053152B" w:rsidRPr="00D252D3" w:rsidRDefault="0053152B"/>
    <w:p w:rsidR="0053152B" w:rsidRPr="00D252D3" w:rsidRDefault="0053152B">
      <w:pPr>
        <w:rPr>
          <w:u w:val="single"/>
        </w:rPr>
      </w:pPr>
      <w:r w:rsidRPr="00D252D3">
        <w:rPr>
          <w:u w:val="single"/>
        </w:rPr>
        <w:t>Dávkovanie</w:t>
      </w:r>
    </w:p>
    <w:p w:rsidR="0053152B" w:rsidRPr="00D252D3" w:rsidRDefault="0053152B">
      <w:pPr>
        <w:rPr>
          <w:u w:val="single"/>
        </w:rPr>
      </w:pPr>
    </w:p>
    <w:p w:rsidR="0053152B" w:rsidRPr="00D252D3" w:rsidRDefault="0053152B">
      <w:pPr>
        <w:ind w:left="0" w:firstLine="0"/>
        <w:rPr>
          <w:snapToGrid w:val="0"/>
          <w:lang w:eastAsia="cs-CZ"/>
        </w:rPr>
      </w:pPr>
      <w:r w:rsidRPr="00D252D3">
        <w:rPr>
          <w:snapToGrid w:val="0"/>
          <w:lang w:eastAsia="cs-CZ"/>
        </w:rPr>
        <w:t>MicardisPlus sa má podávať pacientom, ktorých krvný tlak nie je náležite kontrolovaný samotným telmisartanom. Pred zmenou na fixnú kombináciu dávok sa odporúča individuálna titrácia dávky každej z dvoch zložiek. Keď je to klinicky vhodné, možno zvážiť priamy prechod z monoterapie na fixnú kombináciu.</w:t>
      </w:r>
    </w:p>
    <w:p w:rsidR="0053152B" w:rsidRPr="00D252D3" w:rsidRDefault="0053152B"/>
    <w:p w:rsidR="0053152B" w:rsidRPr="00D252D3" w:rsidRDefault="0053152B">
      <w:pPr>
        <w:numPr>
          <w:ilvl w:val="0"/>
          <w:numId w:val="15"/>
        </w:numPr>
        <w:tabs>
          <w:tab w:val="clear" w:pos="720"/>
          <w:tab w:val="num" w:pos="567"/>
        </w:tabs>
        <w:ind w:left="567" w:hanging="567"/>
        <w:rPr>
          <w:snapToGrid w:val="0"/>
          <w:lang w:eastAsia="cs-CZ"/>
        </w:rPr>
      </w:pPr>
      <w:r w:rsidRPr="00D252D3">
        <w:rPr>
          <w:snapToGrid w:val="0"/>
          <w:lang w:eastAsia="cs-CZ"/>
        </w:rPr>
        <w:t xml:space="preserve">MicardisPlus 80 mg/25 mg sa môže podávať jedenkrát denne pacientom, ktorých krvný tlak nie je </w:t>
      </w:r>
      <w:r w:rsidRPr="00D252D3">
        <w:rPr>
          <w:snapToGrid w:val="0"/>
          <w:szCs w:val="22"/>
          <w:lang w:eastAsia="cs-CZ"/>
        </w:rPr>
        <w:t xml:space="preserve">náležite </w:t>
      </w:r>
      <w:r w:rsidRPr="00D252D3">
        <w:rPr>
          <w:snapToGrid w:val="0"/>
          <w:lang w:eastAsia="cs-CZ"/>
        </w:rPr>
        <w:t>kontrolovaný MicardisPlusom 80 mg/12,5 mg alebo u pacientov, ktorí boli predtým stabilizovaní na telmisartane a hydrochlorotiazide podávaných osobitne.</w:t>
      </w:r>
    </w:p>
    <w:p w:rsidR="0053152B" w:rsidRPr="00D252D3" w:rsidRDefault="0053152B"/>
    <w:p w:rsidR="0053152B" w:rsidRPr="00D252D3" w:rsidRDefault="0053152B">
      <w:r w:rsidRPr="00D252D3">
        <w:t>MicardisPlus je dostupný tiež v dávkach o sile 40 mg/12,5 mg a 80 mg/12,5 mg.</w:t>
      </w:r>
    </w:p>
    <w:p w:rsidR="0053152B" w:rsidRPr="00D252D3" w:rsidRDefault="0053152B"/>
    <w:p w:rsidR="0053152B" w:rsidRPr="00D252D3" w:rsidRDefault="0053152B">
      <w:pPr>
        <w:rPr>
          <w:snapToGrid w:val="0"/>
          <w:lang w:eastAsia="cs-CZ"/>
        </w:rPr>
      </w:pPr>
      <w:r w:rsidRPr="00D252D3">
        <w:rPr>
          <w:snapToGrid w:val="0"/>
          <w:lang w:eastAsia="cs-CZ"/>
        </w:rPr>
        <w:t>Po</w:t>
      </w:r>
      <w:r w:rsidR="00C20C63" w:rsidRPr="00D252D3">
        <w:rPr>
          <w:snapToGrid w:val="0"/>
          <w:lang w:eastAsia="cs-CZ"/>
        </w:rPr>
        <w:t>rucha</w:t>
      </w:r>
      <w:r w:rsidRPr="00D252D3">
        <w:rPr>
          <w:snapToGrid w:val="0"/>
          <w:lang w:eastAsia="cs-CZ"/>
        </w:rPr>
        <w:t xml:space="preserve"> funkcie obličiek</w:t>
      </w:r>
    </w:p>
    <w:p w:rsidR="0053152B" w:rsidRPr="00D252D3" w:rsidRDefault="0053152B">
      <w:pPr>
        <w:rPr>
          <w:snapToGrid w:val="0"/>
          <w:lang w:eastAsia="cs-CZ"/>
        </w:rPr>
      </w:pPr>
    </w:p>
    <w:p w:rsidR="0053152B" w:rsidRPr="00D252D3" w:rsidRDefault="0053152B">
      <w:pPr>
        <w:rPr>
          <w:snapToGrid w:val="0"/>
          <w:lang w:eastAsia="cs-CZ"/>
        </w:rPr>
      </w:pPr>
      <w:r w:rsidRPr="00D252D3">
        <w:rPr>
          <w:snapToGrid w:val="0"/>
          <w:lang w:eastAsia="cs-CZ"/>
        </w:rPr>
        <w:t>Odporúča sa pravidelné sledovanie funkcie obličiek (pozri časť 4.4)</w:t>
      </w:r>
    </w:p>
    <w:p w:rsidR="0053152B" w:rsidRPr="00D252D3" w:rsidRDefault="0053152B">
      <w:pPr>
        <w:ind w:left="0" w:firstLine="0"/>
        <w:rPr>
          <w:snapToGrid w:val="0"/>
          <w:u w:val="single"/>
          <w:lang w:eastAsia="cs-CZ"/>
        </w:rPr>
      </w:pPr>
    </w:p>
    <w:p w:rsidR="0053152B" w:rsidRPr="00D252D3" w:rsidRDefault="0053152B" w:rsidP="0051567B">
      <w:pPr>
        <w:keepNext/>
        <w:keepLines/>
        <w:ind w:left="0" w:firstLine="0"/>
        <w:rPr>
          <w:snapToGrid w:val="0"/>
          <w:lang w:eastAsia="cs-CZ"/>
        </w:rPr>
      </w:pPr>
      <w:r w:rsidRPr="00D252D3">
        <w:rPr>
          <w:snapToGrid w:val="0"/>
          <w:lang w:eastAsia="cs-CZ"/>
        </w:rPr>
        <w:t>Po</w:t>
      </w:r>
      <w:r w:rsidR="00C20C63" w:rsidRPr="00D252D3">
        <w:rPr>
          <w:snapToGrid w:val="0"/>
          <w:lang w:eastAsia="cs-CZ"/>
        </w:rPr>
        <w:t>rucha</w:t>
      </w:r>
      <w:r w:rsidRPr="00D252D3">
        <w:rPr>
          <w:snapToGrid w:val="0"/>
          <w:lang w:eastAsia="cs-CZ"/>
        </w:rPr>
        <w:t xml:space="preserve"> funkcie pečene</w:t>
      </w:r>
    </w:p>
    <w:p w:rsidR="0053152B" w:rsidRPr="00D252D3" w:rsidRDefault="0053152B" w:rsidP="0051567B">
      <w:pPr>
        <w:keepNext/>
        <w:ind w:left="0" w:firstLine="0"/>
        <w:rPr>
          <w:snapToGrid w:val="0"/>
          <w:lang w:eastAsia="cs-CZ"/>
        </w:rPr>
      </w:pPr>
    </w:p>
    <w:p w:rsidR="0053152B" w:rsidRPr="00D252D3" w:rsidRDefault="0053152B">
      <w:pPr>
        <w:ind w:left="0" w:firstLine="0"/>
        <w:rPr>
          <w:snapToGrid w:val="0"/>
          <w:lang w:eastAsia="cs-CZ"/>
        </w:rPr>
      </w:pPr>
      <w:r w:rsidRPr="00D252D3">
        <w:rPr>
          <w:snapToGrid w:val="0"/>
          <w:lang w:eastAsia="cs-CZ"/>
        </w:rPr>
        <w:t>U pacientov s miern</w:t>
      </w:r>
      <w:r w:rsidR="00C20C63" w:rsidRPr="00D252D3">
        <w:rPr>
          <w:snapToGrid w:val="0"/>
          <w:lang w:eastAsia="cs-CZ"/>
        </w:rPr>
        <w:t>ou</w:t>
      </w:r>
      <w:r w:rsidRPr="00D252D3">
        <w:rPr>
          <w:snapToGrid w:val="0"/>
          <w:lang w:eastAsia="cs-CZ"/>
        </w:rPr>
        <w:t xml:space="preserve"> až stredne ťažk</w:t>
      </w:r>
      <w:r w:rsidR="00C20C63" w:rsidRPr="00D252D3">
        <w:rPr>
          <w:snapToGrid w:val="0"/>
          <w:lang w:eastAsia="cs-CZ"/>
        </w:rPr>
        <w:t>ou</w:t>
      </w:r>
      <w:r w:rsidRPr="00D252D3">
        <w:rPr>
          <w:snapToGrid w:val="0"/>
          <w:lang w:eastAsia="cs-CZ"/>
        </w:rPr>
        <w:t xml:space="preserve"> po</w:t>
      </w:r>
      <w:r w:rsidR="00C20C63" w:rsidRPr="00D252D3">
        <w:rPr>
          <w:snapToGrid w:val="0"/>
          <w:lang w:eastAsia="cs-CZ"/>
        </w:rPr>
        <w:t>ruchou</w:t>
      </w:r>
      <w:r w:rsidRPr="00D252D3">
        <w:rPr>
          <w:snapToGrid w:val="0"/>
          <w:lang w:eastAsia="cs-CZ"/>
        </w:rPr>
        <w:t xml:space="preserve"> funkcie pečene sa nemá prekročiť dávkovanie MicardisPlusu 40 mg/12,5 mg raz denne. MicardisPlus nie je určený pacientom s ťažk</w:t>
      </w:r>
      <w:r w:rsidR="00C20C63" w:rsidRPr="00D252D3">
        <w:rPr>
          <w:snapToGrid w:val="0"/>
          <w:lang w:eastAsia="cs-CZ"/>
        </w:rPr>
        <w:t>ou</w:t>
      </w:r>
      <w:r w:rsidRPr="00D252D3">
        <w:rPr>
          <w:snapToGrid w:val="0"/>
          <w:lang w:eastAsia="cs-CZ"/>
        </w:rPr>
        <w:t xml:space="preserve"> po</w:t>
      </w:r>
      <w:r w:rsidR="00C20C63" w:rsidRPr="00D252D3">
        <w:rPr>
          <w:snapToGrid w:val="0"/>
          <w:lang w:eastAsia="cs-CZ"/>
        </w:rPr>
        <w:t>ruchou</w:t>
      </w:r>
      <w:r w:rsidRPr="00D252D3">
        <w:rPr>
          <w:snapToGrid w:val="0"/>
          <w:lang w:eastAsia="cs-CZ"/>
        </w:rPr>
        <w:t xml:space="preserve"> funkcie pečene. U pacientov s po</w:t>
      </w:r>
      <w:r w:rsidR="00C20C63" w:rsidRPr="00D252D3">
        <w:rPr>
          <w:snapToGrid w:val="0"/>
          <w:lang w:eastAsia="cs-CZ"/>
        </w:rPr>
        <w:t>ruchou</w:t>
      </w:r>
      <w:r w:rsidRPr="00D252D3">
        <w:rPr>
          <w:snapToGrid w:val="0"/>
          <w:lang w:eastAsia="cs-CZ"/>
        </w:rPr>
        <w:t xml:space="preserve"> funkci</w:t>
      </w:r>
      <w:r w:rsidR="00C20C63" w:rsidRPr="00D252D3">
        <w:rPr>
          <w:snapToGrid w:val="0"/>
          <w:lang w:eastAsia="cs-CZ"/>
        </w:rPr>
        <w:t>e</w:t>
      </w:r>
      <w:r w:rsidRPr="00D252D3">
        <w:rPr>
          <w:snapToGrid w:val="0"/>
          <w:lang w:eastAsia="cs-CZ"/>
        </w:rPr>
        <w:t xml:space="preserve"> pečene sa tiazidy majú podávať s opatrnosťou (pozri časť 4.4).</w:t>
      </w:r>
    </w:p>
    <w:p w:rsidR="0053152B" w:rsidRPr="00D252D3" w:rsidRDefault="0053152B"/>
    <w:p w:rsidR="0053152B" w:rsidRPr="00D252D3" w:rsidRDefault="0053152B" w:rsidP="0051567B">
      <w:pPr>
        <w:keepNext/>
        <w:rPr>
          <w:snapToGrid w:val="0"/>
          <w:lang w:eastAsia="cs-CZ"/>
        </w:rPr>
      </w:pPr>
      <w:r w:rsidRPr="00D252D3">
        <w:rPr>
          <w:snapToGrid w:val="0"/>
          <w:lang w:eastAsia="cs-CZ"/>
        </w:rPr>
        <w:t xml:space="preserve">Starší </w:t>
      </w:r>
      <w:r w:rsidR="00213CF0" w:rsidRPr="00D252D3">
        <w:rPr>
          <w:snapToGrid w:val="0"/>
          <w:lang w:eastAsia="cs-CZ"/>
        </w:rPr>
        <w:t>ľudia</w:t>
      </w:r>
    </w:p>
    <w:p w:rsidR="0053152B" w:rsidRPr="00D252D3" w:rsidRDefault="0053152B" w:rsidP="0051567B">
      <w:pPr>
        <w:keepNext/>
        <w:rPr>
          <w:snapToGrid w:val="0"/>
          <w:lang w:eastAsia="cs-CZ"/>
        </w:rPr>
      </w:pPr>
    </w:p>
    <w:p w:rsidR="0053152B" w:rsidRPr="00D252D3" w:rsidRDefault="0053152B">
      <w:pPr>
        <w:rPr>
          <w:snapToGrid w:val="0"/>
          <w:lang w:eastAsia="cs-CZ"/>
        </w:rPr>
      </w:pPr>
      <w:r w:rsidRPr="00D252D3">
        <w:rPr>
          <w:snapToGrid w:val="0"/>
          <w:lang w:eastAsia="cs-CZ"/>
        </w:rPr>
        <w:t>Nie je potrebná úprava dávky.</w:t>
      </w:r>
    </w:p>
    <w:p w:rsidR="0053152B" w:rsidRPr="00D252D3" w:rsidRDefault="0053152B">
      <w:pPr>
        <w:ind w:left="0" w:firstLine="0"/>
        <w:rPr>
          <w:i/>
          <w:snapToGrid w:val="0"/>
          <w:lang w:eastAsia="cs-CZ"/>
        </w:rPr>
      </w:pPr>
    </w:p>
    <w:p w:rsidR="0053152B" w:rsidRPr="00D252D3" w:rsidRDefault="0053152B">
      <w:pPr>
        <w:ind w:left="0" w:firstLine="0"/>
        <w:rPr>
          <w:u w:val="single"/>
        </w:rPr>
      </w:pPr>
      <w:r w:rsidRPr="00D252D3">
        <w:rPr>
          <w:i/>
          <w:snapToGrid w:val="0"/>
          <w:lang w:eastAsia="cs-CZ"/>
        </w:rPr>
        <w:t>Pediatrická populácia</w:t>
      </w:r>
    </w:p>
    <w:p w:rsidR="0053152B" w:rsidRPr="00D252D3" w:rsidRDefault="0053152B">
      <w:pPr>
        <w:ind w:left="0" w:firstLine="0"/>
      </w:pPr>
    </w:p>
    <w:p w:rsidR="0053152B" w:rsidRPr="00D252D3" w:rsidRDefault="0053152B">
      <w:pPr>
        <w:ind w:left="0" w:firstLine="0"/>
      </w:pPr>
      <w:r w:rsidRPr="00D252D3">
        <w:t>Bezpečnosť a účinnosť MicardisPlusu u detí a dospievajúcich mladších ako 18 rokov neboli stanovené. K dispozícii nie sú žiadne údaje.</w:t>
      </w:r>
    </w:p>
    <w:p w:rsidR="0053152B" w:rsidRPr="00D252D3" w:rsidRDefault="0053152B">
      <w:pPr>
        <w:ind w:left="0" w:firstLine="0"/>
      </w:pPr>
    </w:p>
    <w:p w:rsidR="0053152B" w:rsidRPr="00D252D3" w:rsidRDefault="0053152B">
      <w:pPr>
        <w:ind w:left="0" w:firstLine="0"/>
        <w:rPr>
          <w:u w:val="single"/>
        </w:rPr>
      </w:pPr>
      <w:r w:rsidRPr="00D252D3">
        <w:rPr>
          <w:u w:val="single"/>
        </w:rPr>
        <w:t>Spôsob podávania</w:t>
      </w:r>
    </w:p>
    <w:p w:rsidR="0053152B" w:rsidRPr="00D252D3" w:rsidRDefault="0053152B">
      <w:pPr>
        <w:ind w:left="0" w:firstLine="0"/>
      </w:pPr>
    </w:p>
    <w:p w:rsidR="0053152B" w:rsidRPr="00D252D3" w:rsidRDefault="0053152B">
      <w:pPr>
        <w:ind w:left="0" w:firstLine="0"/>
      </w:pPr>
      <w:r w:rsidRPr="00D252D3">
        <w:t>Tablety MicardisPlusu sa podávajú perorálne jedenkrát denne a majú sa užívať s tekutinou, s jedlom alebo bez jedla.</w:t>
      </w:r>
    </w:p>
    <w:p w:rsidR="0053152B" w:rsidRPr="00D252D3" w:rsidRDefault="0053152B">
      <w:pPr>
        <w:ind w:left="0" w:firstLine="0"/>
      </w:pPr>
    </w:p>
    <w:p w:rsidR="0053152B" w:rsidRPr="00D252D3" w:rsidRDefault="0053152B">
      <w:pPr>
        <w:ind w:left="0" w:firstLine="0"/>
        <w:rPr>
          <w:i/>
        </w:rPr>
      </w:pPr>
      <w:r w:rsidRPr="00D252D3">
        <w:rPr>
          <w:i/>
        </w:rPr>
        <w:t>Opatrenia pred zaobchádzaním alebo podaním lieku</w:t>
      </w:r>
    </w:p>
    <w:p w:rsidR="0053152B" w:rsidRPr="00D252D3" w:rsidRDefault="0053152B">
      <w:pPr>
        <w:ind w:left="0" w:firstLine="0"/>
      </w:pPr>
    </w:p>
    <w:p w:rsidR="0053152B" w:rsidRPr="00D252D3" w:rsidRDefault="0053152B">
      <w:pPr>
        <w:ind w:left="0" w:firstLine="0"/>
      </w:pPr>
      <w:r w:rsidRPr="00D252D3">
        <w:t>MicardisPlus sa má uchovávať v uzavretom blistri kôli hygroskopickým vlastnostiam tabliet. Tablety sa majú vyberať z blistra krátko pred podaním (pozri časť 6.6).</w:t>
      </w:r>
    </w:p>
    <w:p w:rsidR="0053152B" w:rsidRPr="00D252D3" w:rsidRDefault="0053152B">
      <w:pPr>
        <w:ind w:left="0" w:firstLine="0"/>
      </w:pPr>
    </w:p>
    <w:p w:rsidR="0053152B" w:rsidRPr="00D252D3" w:rsidRDefault="0053152B">
      <w:pPr>
        <w:keepNext/>
        <w:keepLines/>
      </w:pPr>
      <w:r w:rsidRPr="00D252D3">
        <w:rPr>
          <w:b/>
        </w:rPr>
        <w:t>4.3</w:t>
      </w:r>
      <w:r w:rsidRPr="00D252D3">
        <w:rPr>
          <w:b/>
        </w:rPr>
        <w:tab/>
        <w:t xml:space="preserve">Kontraindikácie </w:t>
      </w:r>
    </w:p>
    <w:p w:rsidR="0053152B" w:rsidRPr="00D252D3" w:rsidRDefault="0053152B"/>
    <w:p w:rsidR="0053152B" w:rsidRPr="00D252D3" w:rsidRDefault="0053152B">
      <w:pPr>
        <w:numPr>
          <w:ilvl w:val="0"/>
          <w:numId w:val="3"/>
        </w:numPr>
        <w:tabs>
          <w:tab w:val="clear" w:pos="720"/>
        </w:tabs>
        <w:ind w:left="540" w:hanging="540"/>
        <w:rPr>
          <w:snapToGrid w:val="0"/>
          <w:lang w:eastAsia="cs-CZ"/>
        </w:rPr>
      </w:pPr>
      <w:r w:rsidRPr="00D252D3">
        <w:rPr>
          <w:snapToGrid w:val="0"/>
          <w:lang w:eastAsia="cs-CZ"/>
        </w:rPr>
        <w:t>Precitlivenosť na liečiv</w:t>
      </w:r>
      <w:r w:rsidR="00D127E7" w:rsidRPr="00D252D3">
        <w:rPr>
          <w:snapToGrid w:val="0"/>
          <w:lang w:eastAsia="cs-CZ"/>
        </w:rPr>
        <w:t>á</w:t>
      </w:r>
      <w:r w:rsidRPr="00D252D3">
        <w:rPr>
          <w:snapToGrid w:val="0"/>
          <w:lang w:eastAsia="cs-CZ"/>
        </w:rPr>
        <w:t xml:space="preserve"> alebo na ktorúkoľvek z pomocných látok uvedených v časti 6.1.</w:t>
      </w:r>
    </w:p>
    <w:p w:rsidR="0053152B" w:rsidRPr="00D252D3" w:rsidRDefault="0053152B">
      <w:pPr>
        <w:numPr>
          <w:ilvl w:val="0"/>
          <w:numId w:val="3"/>
        </w:numPr>
        <w:tabs>
          <w:tab w:val="clear" w:pos="720"/>
        </w:tabs>
        <w:ind w:left="540" w:hanging="540"/>
        <w:rPr>
          <w:snapToGrid w:val="0"/>
          <w:lang w:eastAsia="cs-CZ"/>
        </w:rPr>
      </w:pPr>
      <w:r w:rsidRPr="00D252D3">
        <w:rPr>
          <w:snapToGrid w:val="0"/>
          <w:lang w:eastAsia="cs-CZ"/>
        </w:rPr>
        <w:t>Precitlivenosť na iné látky, odvodené od sulfónamidov (keďže hydrochlorotiazid je liečivo odvodené od sulfónamidov).</w:t>
      </w:r>
    </w:p>
    <w:p w:rsidR="0053152B" w:rsidRPr="00D252D3" w:rsidRDefault="0053152B">
      <w:pPr>
        <w:numPr>
          <w:ilvl w:val="0"/>
          <w:numId w:val="3"/>
        </w:numPr>
        <w:tabs>
          <w:tab w:val="clear" w:pos="720"/>
        </w:tabs>
        <w:ind w:left="540" w:hanging="540"/>
        <w:rPr>
          <w:snapToGrid w:val="0"/>
          <w:lang w:eastAsia="cs-CZ"/>
        </w:rPr>
      </w:pPr>
      <w:r w:rsidRPr="00D252D3">
        <w:rPr>
          <w:snapToGrid w:val="0"/>
          <w:lang w:eastAsia="cs-CZ"/>
        </w:rPr>
        <w:t>Druhý a tretí trimester gravidity (pozri časti 4.4 a 4.6).</w:t>
      </w:r>
    </w:p>
    <w:p w:rsidR="0053152B" w:rsidRPr="00D252D3" w:rsidRDefault="0053152B">
      <w:pPr>
        <w:numPr>
          <w:ilvl w:val="0"/>
          <w:numId w:val="3"/>
        </w:numPr>
        <w:tabs>
          <w:tab w:val="clear" w:pos="720"/>
        </w:tabs>
        <w:ind w:left="540" w:hanging="540"/>
        <w:rPr>
          <w:snapToGrid w:val="0"/>
          <w:lang w:eastAsia="cs-CZ"/>
        </w:rPr>
      </w:pPr>
      <w:r w:rsidRPr="00D252D3">
        <w:rPr>
          <w:snapToGrid w:val="0"/>
          <w:lang w:eastAsia="cs-CZ"/>
        </w:rPr>
        <w:t>Cholestáza a obštrukčné poruchy žlčových ciest.</w:t>
      </w:r>
    </w:p>
    <w:p w:rsidR="0053152B" w:rsidRPr="00D252D3" w:rsidRDefault="0053152B">
      <w:pPr>
        <w:numPr>
          <w:ilvl w:val="0"/>
          <w:numId w:val="3"/>
        </w:numPr>
        <w:tabs>
          <w:tab w:val="clear" w:pos="720"/>
        </w:tabs>
        <w:ind w:left="540" w:hanging="540"/>
        <w:rPr>
          <w:snapToGrid w:val="0"/>
          <w:lang w:eastAsia="cs-CZ"/>
        </w:rPr>
      </w:pPr>
      <w:r w:rsidRPr="00D252D3">
        <w:rPr>
          <w:snapToGrid w:val="0"/>
          <w:lang w:eastAsia="cs-CZ"/>
        </w:rPr>
        <w:t>Ťažk</w:t>
      </w:r>
      <w:r w:rsidR="00831BD7" w:rsidRPr="00D252D3">
        <w:rPr>
          <w:snapToGrid w:val="0"/>
          <w:lang w:eastAsia="cs-CZ"/>
        </w:rPr>
        <w:t>á</w:t>
      </w:r>
      <w:r w:rsidRPr="00D252D3">
        <w:rPr>
          <w:snapToGrid w:val="0"/>
          <w:lang w:eastAsia="cs-CZ"/>
        </w:rPr>
        <w:t xml:space="preserve"> po</w:t>
      </w:r>
      <w:r w:rsidR="00831BD7" w:rsidRPr="00D252D3">
        <w:rPr>
          <w:snapToGrid w:val="0"/>
          <w:lang w:eastAsia="cs-CZ"/>
        </w:rPr>
        <w:t>rucha</w:t>
      </w:r>
      <w:r w:rsidRPr="00D252D3">
        <w:rPr>
          <w:snapToGrid w:val="0"/>
          <w:lang w:eastAsia="cs-CZ"/>
        </w:rPr>
        <w:t xml:space="preserve"> funkcie pečene.</w:t>
      </w:r>
    </w:p>
    <w:p w:rsidR="0053152B" w:rsidRPr="00D252D3" w:rsidRDefault="0053152B">
      <w:pPr>
        <w:numPr>
          <w:ilvl w:val="0"/>
          <w:numId w:val="3"/>
        </w:numPr>
        <w:tabs>
          <w:tab w:val="clear" w:pos="720"/>
        </w:tabs>
        <w:ind w:left="540" w:hanging="540"/>
        <w:rPr>
          <w:snapToGrid w:val="0"/>
          <w:lang w:eastAsia="cs-CZ"/>
        </w:rPr>
      </w:pPr>
      <w:r w:rsidRPr="00D252D3">
        <w:rPr>
          <w:snapToGrid w:val="0"/>
          <w:lang w:eastAsia="cs-CZ"/>
        </w:rPr>
        <w:t>Ťažk</w:t>
      </w:r>
      <w:r w:rsidR="00831BD7" w:rsidRPr="00D252D3">
        <w:rPr>
          <w:snapToGrid w:val="0"/>
          <w:lang w:eastAsia="cs-CZ"/>
        </w:rPr>
        <w:t>á</w:t>
      </w:r>
      <w:r w:rsidRPr="00D252D3">
        <w:rPr>
          <w:snapToGrid w:val="0"/>
          <w:lang w:eastAsia="cs-CZ"/>
        </w:rPr>
        <w:t xml:space="preserve"> po</w:t>
      </w:r>
      <w:r w:rsidR="00831BD7" w:rsidRPr="00D252D3">
        <w:rPr>
          <w:snapToGrid w:val="0"/>
          <w:lang w:eastAsia="cs-CZ"/>
        </w:rPr>
        <w:t>rucha</w:t>
      </w:r>
      <w:r w:rsidRPr="00D252D3">
        <w:rPr>
          <w:snapToGrid w:val="0"/>
          <w:lang w:eastAsia="cs-CZ"/>
        </w:rPr>
        <w:t xml:space="preserve"> funkcie obličiek (klírens kreatinínu &lt;30 ml/min).</w:t>
      </w:r>
    </w:p>
    <w:p w:rsidR="0053152B" w:rsidRPr="00D252D3" w:rsidRDefault="0053152B">
      <w:pPr>
        <w:numPr>
          <w:ilvl w:val="0"/>
          <w:numId w:val="3"/>
        </w:numPr>
        <w:tabs>
          <w:tab w:val="clear" w:pos="720"/>
        </w:tabs>
        <w:ind w:left="540" w:hanging="540"/>
        <w:rPr>
          <w:snapToGrid w:val="0"/>
          <w:lang w:eastAsia="cs-CZ"/>
        </w:rPr>
      </w:pPr>
      <w:r w:rsidRPr="00D252D3">
        <w:rPr>
          <w:snapToGrid w:val="0"/>
          <w:lang w:eastAsia="cs-CZ"/>
        </w:rPr>
        <w:t>Úporná hypokaliémia, hyperkalciémia.</w:t>
      </w:r>
    </w:p>
    <w:p w:rsidR="0053152B" w:rsidRPr="00D252D3" w:rsidRDefault="0053152B"/>
    <w:p w:rsidR="0053152B" w:rsidRPr="00D252D3" w:rsidRDefault="0053152B">
      <w:pPr>
        <w:rPr>
          <w:bCs/>
          <w:szCs w:val="22"/>
        </w:rPr>
      </w:pPr>
      <w:r w:rsidRPr="00D252D3">
        <w:rPr>
          <w:bCs/>
          <w:szCs w:val="22"/>
        </w:rPr>
        <w:t xml:space="preserve">Súbežné používanie </w:t>
      </w:r>
      <w:r w:rsidRPr="00D252D3">
        <w:t xml:space="preserve">MicardisPlusu </w:t>
      </w:r>
      <w:r w:rsidRPr="00D252D3">
        <w:rPr>
          <w:bCs/>
          <w:szCs w:val="22"/>
        </w:rPr>
        <w:t xml:space="preserve">s liekmi obsahujúcimi aliskiren je kontraindikované u pacientov </w:t>
      </w:r>
    </w:p>
    <w:p w:rsidR="0053152B" w:rsidRPr="00D252D3" w:rsidRDefault="0053152B">
      <w:pPr>
        <w:rPr>
          <w:bCs/>
          <w:szCs w:val="22"/>
        </w:rPr>
      </w:pPr>
      <w:r w:rsidRPr="00D252D3">
        <w:rPr>
          <w:bCs/>
          <w:szCs w:val="22"/>
        </w:rPr>
        <w:t>s diabetes mellitus alebo poruchou funkcie obličiek (GFR &lt; 60 ml/min/1,73 m</w:t>
      </w:r>
      <w:r w:rsidRPr="00D252D3">
        <w:rPr>
          <w:bCs/>
          <w:szCs w:val="22"/>
          <w:vertAlign w:val="superscript"/>
        </w:rPr>
        <w:t>2</w:t>
      </w:r>
      <w:r w:rsidRPr="00D252D3">
        <w:rPr>
          <w:bCs/>
          <w:szCs w:val="22"/>
        </w:rPr>
        <w:t>) (pozri časti 4.5 a 5.1).</w:t>
      </w:r>
    </w:p>
    <w:p w:rsidR="0053152B" w:rsidRPr="00D252D3" w:rsidRDefault="0053152B">
      <w:pPr>
        <w:rPr>
          <w:b/>
        </w:rPr>
      </w:pPr>
    </w:p>
    <w:p w:rsidR="0053152B" w:rsidRPr="00D252D3" w:rsidRDefault="0053152B">
      <w:r w:rsidRPr="00D252D3">
        <w:rPr>
          <w:b/>
        </w:rPr>
        <w:t>4.4</w:t>
      </w:r>
      <w:r w:rsidRPr="00D252D3">
        <w:rPr>
          <w:b/>
        </w:rPr>
        <w:tab/>
        <w:t>Osobitné upozornenia a opatrenia pri používaní</w:t>
      </w:r>
    </w:p>
    <w:p w:rsidR="0053152B" w:rsidRPr="00D252D3" w:rsidRDefault="0053152B"/>
    <w:p w:rsidR="0053152B" w:rsidRPr="00D252D3" w:rsidRDefault="0053152B">
      <w:pPr>
        <w:ind w:left="0" w:firstLine="0"/>
        <w:rPr>
          <w:szCs w:val="22"/>
        </w:rPr>
      </w:pPr>
      <w:r w:rsidRPr="00D252D3">
        <w:rPr>
          <w:szCs w:val="22"/>
          <w:u w:val="single"/>
        </w:rPr>
        <w:t>Gravidita</w:t>
      </w:r>
      <w:r w:rsidRPr="00D252D3">
        <w:rPr>
          <w:szCs w:val="22"/>
        </w:rPr>
        <w:t xml:space="preserve"> </w:t>
      </w:r>
    </w:p>
    <w:p w:rsidR="0053152B" w:rsidRPr="00D252D3" w:rsidRDefault="0053152B">
      <w:pPr>
        <w:ind w:left="0" w:firstLine="0"/>
        <w:rPr>
          <w:szCs w:val="22"/>
        </w:rPr>
      </w:pPr>
    </w:p>
    <w:p w:rsidR="0053152B" w:rsidRPr="00D252D3" w:rsidRDefault="0053152B">
      <w:pPr>
        <w:ind w:left="0" w:firstLine="0"/>
        <w:rPr>
          <w:szCs w:val="22"/>
        </w:rPr>
      </w:pPr>
      <w:r w:rsidRPr="00D252D3">
        <w:rPr>
          <w:szCs w:val="22"/>
        </w:rPr>
        <w:t>Antagonisty receptora angiotenzínu II sa nemajú začať podávať počas gravidity. Pokiaľ nie je pokračovanie liečby antagonistmi receptora angiotenzínu II považované za nevyhnutné, pacientky, ktoré plánujú graviditu sa majú prestaviť na alternatívnu antihypertenznú liečbu, ktorá má preukázaný bezpečnostný profil pri používaní v gravidite. Ak sa gravidita diagnostikuje, liečba antagonistmi receptora angiotenzínu II sa musí okamžite ukončiť a ak je vhodné, má sa začať alternatívna liečba (pozri časti 4.3 a 4.6).</w:t>
      </w:r>
    </w:p>
    <w:p w:rsidR="0053152B" w:rsidRPr="00D252D3" w:rsidRDefault="0053152B"/>
    <w:p w:rsidR="0053152B" w:rsidRPr="00D252D3" w:rsidRDefault="0053152B" w:rsidP="0051567B">
      <w:pPr>
        <w:keepNext/>
        <w:ind w:left="0" w:firstLine="0"/>
        <w:rPr>
          <w:snapToGrid w:val="0"/>
          <w:lang w:eastAsia="cs-CZ"/>
        </w:rPr>
      </w:pPr>
      <w:r w:rsidRPr="00D252D3">
        <w:rPr>
          <w:snapToGrid w:val="0"/>
          <w:u w:val="single"/>
          <w:lang w:eastAsia="cs-CZ"/>
        </w:rPr>
        <w:t>Po</w:t>
      </w:r>
      <w:r w:rsidR="00C20C63" w:rsidRPr="00D252D3">
        <w:rPr>
          <w:snapToGrid w:val="0"/>
          <w:u w:val="single"/>
          <w:lang w:eastAsia="cs-CZ"/>
        </w:rPr>
        <w:t>rucha</w:t>
      </w:r>
      <w:r w:rsidRPr="00D252D3">
        <w:rPr>
          <w:snapToGrid w:val="0"/>
          <w:u w:val="single"/>
          <w:lang w:eastAsia="cs-CZ"/>
        </w:rPr>
        <w:t xml:space="preserve"> funkcie pečene</w:t>
      </w:r>
    </w:p>
    <w:p w:rsidR="0053152B" w:rsidRPr="00D252D3" w:rsidRDefault="0053152B" w:rsidP="0051567B">
      <w:pPr>
        <w:keepNext/>
        <w:ind w:left="0" w:firstLine="0"/>
        <w:rPr>
          <w:snapToGrid w:val="0"/>
          <w:lang w:eastAsia="cs-CZ"/>
        </w:rPr>
      </w:pPr>
    </w:p>
    <w:p w:rsidR="0053152B" w:rsidRPr="00D252D3" w:rsidRDefault="0053152B">
      <w:pPr>
        <w:ind w:left="0" w:firstLine="0"/>
        <w:rPr>
          <w:snapToGrid w:val="0"/>
          <w:lang w:eastAsia="cs-CZ"/>
        </w:rPr>
      </w:pPr>
      <w:r w:rsidRPr="00D252D3">
        <w:rPr>
          <w:snapToGrid w:val="0"/>
          <w:lang w:eastAsia="cs-CZ"/>
        </w:rPr>
        <w:t>MicardisPlus sa nemá podávať pacientom s cholestázou, obštrukčnými žlčovými poruchami alebo ťažkou pečeňovou nedostatočnosťou (pozri časť 4.3), pretože telmisartan sa prevažne vylučuje žlčou. U týchto pacientov sa predpokladá znížený hepatálny klírens telmisartanu.</w:t>
      </w:r>
    </w:p>
    <w:p w:rsidR="0053152B" w:rsidRPr="00D252D3" w:rsidRDefault="0053152B">
      <w:pPr>
        <w:ind w:left="0" w:firstLine="0"/>
        <w:rPr>
          <w:snapToGrid w:val="0"/>
          <w:lang w:eastAsia="cs-CZ"/>
        </w:rPr>
      </w:pPr>
    </w:p>
    <w:p w:rsidR="0053152B" w:rsidRPr="00D252D3" w:rsidRDefault="0053152B">
      <w:pPr>
        <w:ind w:left="0" w:firstLine="0"/>
        <w:rPr>
          <w:snapToGrid w:val="0"/>
          <w:lang w:eastAsia="cs-CZ"/>
        </w:rPr>
      </w:pPr>
      <w:r w:rsidRPr="00D252D3">
        <w:rPr>
          <w:snapToGrid w:val="0"/>
          <w:lang w:eastAsia="cs-CZ"/>
        </w:rPr>
        <w:t>Okrem toho sa má MicardisPlus používať opatrne u pacientov s po</w:t>
      </w:r>
      <w:r w:rsidR="00C20C63" w:rsidRPr="00D252D3">
        <w:rPr>
          <w:snapToGrid w:val="0"/>
          <w:lang w:eastAsia="cs-CZ"/>
        </w:rPr>
        <w:t>ruchou</w:t>
      </w:r>
      <w:r w:rsidRPr="00D252D3">
        <w:rPr>
          <w:snapToGrid w:val="0"/>
          <w:lang w:eastAsia="cs-CZ"/>
        </w:rPr>
        <w:t xml:space="preserve"> funkcie pečene alebo progresívnym pečeňovým ochorením, pretože menšie zmeny rovnováhy tekutín a elektrolytov môžu vyvolať hepatálnu kómu. U pacientov s po</w:t>
      </w:r>
      <w:r w:rsidR="00C20C63" w:rsidRPr="00D252D3">
        <w:rPr>
          <w:snapToGrid w:val="0"/>
          <w:lang w:eastAsia="cs-CZ"/>
        </w:rPr>
        <w:t>ruchou</w:t>
      </w:r>
      <w:r w:rsidRPr="00D252D3">
        <w:rPr>
          <w:snapToGrid w:val="0"/>
          <w:lang w:eastAsia="cs-CZ"/>
        </w:rPr>
        <w:t xml:space="preserve"> funkcie pečene nie sú žiadne klinické skúsenosti s MicardisPlusom.</w:t>
      </w:r>
    </w:p>
    <w:p w:rsidR="0053152B" w:rsidRPr="00D252D3" w:rsidRDefault="0053152B">
      <w:pPr>
        <w:ind w:left="0" w:firstLine="0"/>
        <w:rPr>
          <w:snapToGrid w:val="0"/>
          <w:lang w:eastAsia="cs-CZ"/>
        </w:rPr>
      </w:pPr>
    </w:p>
    <w:p w:rsidR="0053152B" w:rsidRPr="00D252D3" w:rsidRDefault="0053152B" w:rsidP="0051567B">
      <w:pPr>
        <w:keepNext/>
        <w:ind w:left="0" w:firstLine="0"/>
        <w:rPr>
          <w:snapToGrid w:val="0"/>
          <w:lang w:eastAsia="cs-CZ"/>
        </w:rPr>
      </w:pPr>
      <w:r w:rsidRPr="00D252D3">
        <w:rPr>
          <w:snapToGrid w:val="0"/>
          <w:u w:val="single"/>
          <w:lang w:eastAsia="cs-CZ"/>
        </w:rPr>
        <w:t>Renovaskulárna hypertenzia</w:t>
      </w:r>
    </w:p>
    <w:p w:rsidR="0053152B" w:rsidRPr="00D252D3" w:rsidRDefault="0053152B" w:rsidP="0051567B">
      <w:pPr>
        <w:keepNext/>
        <w:ind w:left="0" w:firstLine="0"/>
        <w:rPr>
          <w:snapToGrid w:val="0"/>
          <w:lang w:eastAsia="cs-CZ"/>
        </w:rPr>
      </w:pPr>
    </w:p>
    <w:p w:rsidR="0053152B" w:rsidRPr="00D252D3" w:rsidRDefault="0053152B">
      <w:pPr>
        <w:ind w:left="0" w:firstLine="0"/>
        <w:rPr>
          <w:snapToGrid w:val="0"/>
          <w:lang w:eastAsia="cs-CZ"/>
        </w:rPr>
      </w:pPr>
      <w:r w:rsidRPr="00D252D3">
        <w:rPr>
          <w:snapToGrid w:val="0"/>
          <w:lang w:eastAsia="cs-CZ"/>
        </w:rPr>
        <w:t>U pacientov s bilaterálnou stenózou artérie renalis alebo stenózou artérie jednej funkčnej obličky, ktorí sa liečia liekmi</w:t>
      </w:r>
      <w:r w:rsidRPr="00D252D3">
        <w:rPr>
          <w:szCs w:val="22"/>
        </w:rPr>
        <w:t>, ktoré</w:t>
      </w:r>
      <w:r w:rsidRPr="00D252D3">
        <w:rPr>
          <w:snapToGrid w:val="0"/>
          <w:lang w:eastAsia="cs-CZ"/>
        </w:rPr>
        <w:t xml:space="preserve"> pôsobia na </w:t>
      </w:r>
      <w:r w:rsidR="00684CA2" w:rsidRPr="00D252D3">
        <w:rPr>
          <w:snapToGrid w:val="0"/>
          <w:lang w:eastAsia="cs-CZ"/>
        </w:rPr>
        <w:t xml:space="preserve">systém </w:t>
      </w:r>
      <w:r w:rsidRPr="00D252D3">
        <w:rPr>
          <w:snapToGrid w:val="0"/>
          <w:lang w:eastAsia="cs-CZ"/>
        </w:rPr>
        <w:t>renín-angiotenzín-aldosterón, je zvýšené riziko závažnej hypotenzie a renálnej insuficiencie.</w:t>
      </w:r>
    </w:p>
    <w:p w:rsidR="0053152B" w:rsidRPr="00D252D3" w:rsidRDefault="0053152B">
      <w:pPr>
        <w:ind w:left="0" w:firstLine="0"/>
        <w:rPr>
          <w:snapToGrid w:val="0"/>
          <w:lang w:eastAsia="cs-CZ"/>
        </w:rPr>
      </w:pPr>
    </w:p>
    <w:p w:rsidR="0053152B" w:rsidRPr="00D252D3" w:rsidRDefault="0053152B">
      <w:pPr>
        <w:ind w:left="0" w:firstLine="0"/>
        <w:rPr>
          <w:snapToGrid w:val="0"/>
          <w:lang w:eastAsia="cs-CZ"/>
        </w:rPr>
      </w:pPr>
      <w:r w:rsidRPr="00D252D3">
        <w:rPr>
          <w:snapToGrid w:val="0"/>
          <w:u w:val="single"/>
          <w:lang w:eastAsia="cs-CZ"/>
        </w:rPr>
        <w:t>Po</w:t>
      </w:r>
      <w:r w:rsidR="00545D46" w:rsidRPr="00D252D3">
        <w:rPr>
          <w:snapToGrid w:val="0"/>
          <w:u w:val="single"/>
          <w:lang w:eastAsia="cs-CZ"/>
        </w:rPr>
        <w:t>rucha</w:t>
      </w:r>
      <w:r w:rsidRPr="00D252D3">
        <w:rPr>
          <w:snapToGrid w:val="0"/>
          <w:u w:val="single"/>
          <w:lang w:eastAsia="cs-CZ"/>
        </w:rPr>
        <w:t xml:space="preserve"> funkcie obličiek a transplantovaná oblička</w:t>
      </w:r>
    </w:p>
    <w:p w:rsidR="0053152B" w:rsidRPr="00D252D3" w:rsidRDefault="0053152B">
      <w:pPr>
        <w:ind w:left="0" w:firstLine="0"/>
        <w:rPr>
          <w:snapToGrid w:val="0"/>
          <w:lang w:eastAsia="cs-CZ"/>
        </w:rPr>
      </w:pPr>
    </w:p>
    <w:p w:rsidR="0053152B" w:rsidRPr="00D252D3" w:rsidRDefault="0053152B">
      <w:pPr>
        <w:ind w:left="0" w:firstLine="0"/>
        <w:rPr>
          <w:snapToGrid w:val="0"/>
          <w:lang w:eastAsia="cs-CZ"/>
        </w:rPr>
      </w:pPr>
      <w:r w:rsidRPr="00D252D3">
        <w:rPr>
          <w:snapToGrid w:val="0"/>
          <w:lang w:eastAsia="cs-CZ"/>
        </w:rPr>
        <w:t>MicardisPlus sa nesmie používať u pacientov s ťažk</w:t>
      </w:r>
      <w:r w:rsidR="00545D46" w:rsidRPr="00D252D3">
        <w:rPr>
          <w:snapToGrid w:val="0"/>
          <w:lang w:eastAsia="cs-CZ"/>
        </w:rPr>
        <w:t>ou</w:t>
      </w:r>
      <w:r w:rsidRPr="00D252D3">
        <w:rPr>
          <w:snapToGrid w:val="0"/>
          <w:lang w:eastAsia="cs-CZ"/>
        </w:rPr>
        <w:t xml:space="preserve"> po</w:t>
      </w:r>
      <w:r w:rsidR="00545D46" w:rsidRPr="00D252D3">
        <w:rPr>
          <w:snapToGrid w:val="0"/>
          <w:lang w:eastAsia="cs-CZ"/>
        </w:rPr>
        <w:t>ruchou</w:t>
      </w:r>
      <w:r w:rsidRPr="00D252D3">
        <w:rPr>
          <w:snapToGrid w:val="0"/>
          <w:lang w:eastAsia="cs-CZ"/>
        </w:rPr>
        <w:t xml:space="preserve"> funkcie obličiek (klírens kreatinínu &lt;30 ml/min) (pozri časť 4.3). Nie sú žiadne skúsenosti s podávaním MicardisPlusu pacientom s nedávnou transplantáciou obličky. Skúsenosti s MicardisPlusom sú u pacientov s miern</w:t>
      </w:r>
      <w:r w:rsidR="00545D46" w:rsidRPr="00D252D3">
        <w:rPr>
          <w:snapToGrid w:val="0"/>
          <w:lang w:eastAsia="cs-CZ"/>
        </w:rPr>
        <w:t>ou</w:t>
      </w:r>
      <w:r w:rsidRPr="00D252D3">
        <w:rPr>
          <w:snapToGrid w:val="0"/>
          <w:lang w:eastAsia="cs-CZ"/>
        </w:rPr>
        <w:t xml:space="preserve"> až stredne ťažk</w:t>
      </w:r>
      <w:r w:rsidR="00545D46" w:rsidRPr="00D252D3">
        <w:rPr>
          <w:snapToGrid w:val="0"/>
          <w:lang w:eastAsia="cs-CZ"/>
        </w:rPr>
        <w:t>ou</w:t>
      </w:r>
      <w:r w:rsidRPr="00D252D3">
        <w:rPr>
          <w:snapToGrid w:val="0"/>
          <w:lang w:eastAsia="cs-CZ"/>
        </w:rPr>
        <w:t xml:space="preserve"> po</w:t>
      </w:r>
      <w:r w:rsidR="00545D46" w:rsidRPr="00D252D3">
        <w:rPr>
          <w:snapToGrid w:val="0"/>
          <w:lang w:eastAsia="cs-CZ"/>
        </w:rPr>
        <w:t>ruchou</w:t>
      </w:r>
      <w:r w:rsidRPr="00D252D3">
        <w:rPr>
          <w:snapToGrid w:val="0"/>
          <w:lang w:eastAsia="cs-CZ"/>
        </w:rPr>
        <w:t xml:space="preserve"> funkcie obličiek malé, preto sa odporúča pravidelné sledovanie sérových hladín draslíka, kreatinínu a kyseliny močovej. U pacientov s po</w:t>
      </w:r>
      <w:r w:rsidR="00545D46" w:rsidRPr="00D252D3">
        <w:rPr>
          <w:snapToGrid w:val="0"/>
          <w:lang w:eastAsia="cs-CZ"/>
        </w:rPr>
        <w:t>ruchou</w:t>
      </w:r>
      <w:r w:rsidRPr="00D252D3">
        <w:rPr>
          <w:snapToGrid w:val="0"/>
          <w:lang w:eastAsia="cs-CZ"/>
        </w:rPr>
        <w:t xml:space="preserve"> funkci</w:t>
      </w:r>
      <w:r w:rsidR="00545D46" w:rsidRPr="00D252D3">
        <w:rPr>
          <w:snapToGrid w:val="0"/>
          <w:lang w:eastAsia="cs-CZ"/>
        </w:rPr>
        <w:t>e</w:t>
      </w:r>
      <w:r w:rsidRPr="00D252D3">
        <w:rPr>
          <w:snapToGrid w:val="0"/>
          <w:lang w:eastAsia="cs-CZ"/>
        </w:rPr>
        <w:t xml:space="preserve"> obličiek sa môže objaviť azotémia súvisiaca s tiazidovými diuretikami.</w:t>
      </w:r>
    </w:p>
    <w:p w:rsidR="0053152B" w:rsidRPr="00D252D3" w:rsidRDefault="0053152B">
      <w:pPr>
        <w:ind w:left="0" w:firstLine="0"/>
        <w:rPr>
          <w:snapToGrid w:val="0"/>
          <w:lang w:eastAsia="cs-CZ"/>
        </w:rPr>
      </w:pPr>
    </w:p>
    <w:p w:rsidR="0053152B" w:rsidRPr="00D252D3" w:rsidRDefault="0053152B">
      <w:pPr>
        <w:ind w:left="0" w:firstLine="0"/>
        <w:rPr>
          <w:snapToGrid w:val="0"/>
          <w:lang w:eastAsia="cs-CZ"/>
        </w:rPr>
      </w:pPr>
      <w:r w:rsidRPr="00D252D3">
        <w:rPr>
          <w:snapToGrid w:val="0"/>
          <w:u w:val="single"/>
          <w:lang w:eastAsia="cs-CZ"/>
        </w:rPr>
        <w:t>Intravaskulárna hypovolémia</w:t>
      </w:r>
    </w:p>
    <w:p w:rsidR="0053152B" w:rsidRPr="00D252D3" w:rsidRDefault="0053152B">
      <w:pPr>
        <w:ind w:left="0" w:firstLine="0"/>
        <w:rPr>
          <w:snapToGrid w:val="0"/>
          <w:lang w:eastAsia="cs-CZ"/>
        </w:rPr>
      </w:pPr>
    </w:p>
    <w:p w:rsidR="0053152B" w:rsidRPr="00D252D3" w:rsidRDefault="0053152B">
      <w:pPr>
        <w:ind w:left="0" w:firstLine="0"/>
        <w:rPr>
          <w:snapToGrid w:val="0"/>
          <w:lang w:eastAsia="cs-CZ"/>
        </w:rPr>
      </w:pPr>
      <w:r w:rsidRPr="00D252D3">
        <w:rPr>
          <w:snapToGrid w:val="0"/>
          <w:lang w:eastAsia="cs-CZ"/>
        </w:rPr>
        <w:t xml:space="preserve">U pacientov s depléciou objemu a/alebo sodíka následkom silnej diuretickej liečby, diétnym obmedzením soli, hnačkou alebo vracaním, sa najmä po prvej dávke môže vyskytnúť symptomatická hypotenzia. Takéto stavy sa pred podávaním MicardisPlusu majú upraviť. </w:t>
      </w:r>
    </w:p>
    <w:p w:rsidR="0053152B" w:rsidRPr="00D252D3" w:rsidRDefault="0053152B">
      <w:pPr>
        <w:ind w:left="0" w:firstLine="0"/>
        <w:rPr>
          <w:snapToGrid w:val="0"/>
          <w:lang w:eastAsia="cs-CZ"/>
        </w:rPr>
      </w:pPr>
    </w:p>
    <w:p w:rsidR="0053152B" w:rsidRPr="00D252D3" w:rsidRDefault="0053152B">
      <w:pPr>
        <w:ind w:left="0" w:firstLine="0"/>
        <w:rPr>
          <w:szCs w:val="22"/>
          <w:u w:val="single"/>
          <w:lang w:eastAsia="it-IT"/>
        </w:rPr>
      </w:pPr>
      <w:r w:rsidRPr="00D252D3">
        <w:rPr>
          <w:szCs w:val="22"/>
          <w:u w:val="single"/>
          <w:lang w:eastAsia="it-IT"/>
        </w:rPr>
        <w:t>Duálna inhibícia systému renín-angiotenzín-aldosterón (RAAS)</w:t>
      </w:r>
    </w:p>
    <w:p w:rsidR="0053152B" w:rsidRPr="00D252D3" w:rsidRDefault="0053152B">
      <w:pPr>
        <w:ind w:left="0" w:firstLine="0"/>
        <w:rPr>
          <w:szCs w:val="22"/>
          <w:lang w:eastAsia="it-IT"/>
        </w:rPr>
      </w:pPr>
    </w:p>
    <w:p w:rsidR="0053152B" w:rsidRPr="00D252D3" w:rsidRDefault="0053152B">
      <w:pPr>
        <w:ind w:left="0" w:firstLine="0"/>
        <w:rPr>
          <w:szCs w:val="22"/>
          <w:lang w:eastAsia="it-IT"/>
        </w:rPr>
      </w:pPr>
      <w:r w:rsidRPr="00D252D3">
        <w:rPr>
          <w:szCs w:val="22"/>
          <w:lang w:eastAsia="it-IT"/>
        </w:rPr>
        <w:t>Preukázalo sa, že súbežné použitie inhibítorov ACE, blokátorov receptorov angiotenzínu II alebo aliskirenu zvyšuje riziko hypotenzie, hyperkaliémie a zníženia funkcie obličiek (vrátane akútneho zlyhania obličiek). Duálna inhibícia RAAS kombinovaným použitím inhibítorov ACE, blokátorov receptorov angiotenzínu II alebo aliskirenu sa preto neodporúča (pozri časti 4.5 a 5.1).</w:t>
      </w:r>
    </w:p>
    <w:p w:rsidR="0053152B" w:rsidRPr="00D252D3" w:rsidRDefault="0053152B">
      <w:pPr>
        <w:ind w:left="0" w:firstLine="0"/>
        <w:rPr>
          <w:szCs w:val="22"/>
          <w:lang w:eastAsia="it-IT"/>
        </w:rPr>
      </w:pPr>
      <w:r w:rsidRPr="00D252D3">
        <w:rPr>
          <w:szCs w:val="22"/>
          <w:lang w:eastAsia="it-IT"/>
        </w:rPr>
        <w:t>Ak sa liečba duálnou inhibíciou považuje za absolútne nevyhnutnú, má sa podať iba pod dohľadom odborníka a u pacienta sa majú často a dôsledne kontrolovať funkcia obličiek, elektrolyty a krvný tlak.</w:t>
      </w:r>
    </w:p>
    <w:p w:rsidR="0053152B" w:rsidRPr="00D252D3" w:rsidRDefault="0053152B">
      <w:pPr>
        <w:ind w:left="0" w:firstLine="0"/>
        <w:rPr>
          <w:szCs w:val="22"/>
          <w:lang w:eastAsia="zh-CN"/>
        </w:rPr>
      </w:pPr>
      <w:r w:rsidRPr="00D252D3">
        <w:rPr>
          <w:szCs w:val="22"/>
        </w:rPr>
        <w:t>Inhibítory ACE a blokátory receptorov angiotenzínu II sa nemajú súbežne používať u pacientov s diabetickou nefropatiou.</w:t>
      </w:r>
    </w:p>
    <w:p w:rsidR="0053152B" w:rsidRPr="00D252D3" w:rsidRDefault="0053152B">
      <w:pPr>
        <w:ind w:left="0" w:firstLine="0"/>
        <w:rPr>
          <w:snapToGrid w:val="0"/>
          <w:lang w:eastAsia="cs-CZ"/>
        </w:rPr>
      </w:pPr>
    </w:p>
    <w:p w:rsidR="0053152B" w:rsidRPr="00D252D3" w:rsidRDefault="0053152B">
      <w:pPr>
        <w:ind w:left="0" w:firstLine="0"/>
        <w:rPr>
          <w:snapToGrid w:val="0"/>
          <w:lang w:eastAsia="cs-CZ"/>
        </w:rPr>
      </w:pPr>
      <w:r w:rsidRPr="00D252D3">
        <w:rPr>
          <w:snapToGrid w:val="0"/>
          <w:u w:val="single"/>
          <w:lang w:eastAsia="cs-CZ"/>
        </w:rPr>
        <w:t xml:space="preserve">Ostatné stavy so stimuláciou </w:t>
      </w:r>
      <w:r w:rsidR="00213CF0" w:rsidRPr="00D252D3">
        <w:rPr>
          <w:snapToGrid w:val="0"/>
          <w:u w:val="single"/>
          <w:lang w:eastAsia="cs-CZ"/>
        </w:rPr>
        <w:t xml:space="preserve">systému </w:t>
      </w:r>
      <w:r w:rsidRPr="00D252D3">
        <w:rPr>
          <w:snapToGrid w:val="0"/>
          <w:u w:val="single"/>
          <w:lang w:eastAsia="cs-CZ"/>
        </w:rPr>
        <w:t>renín-angiotenzín-aldosterón</w:t>
      </w:r>
    </w:p>
    <w:p w:rsidR="0053152B" w:rsidRPr="00D252D3" w:rsidRDefault="0053152B">
      <w:pPr>
        <w:ind w:left="0" w:firstLine="0"/>
        <w:rPr>
          <w:snapToGrid w:val="0"/>
          <w:lang w:eastAsia="cs-CZ"/>
        </w:rPr>
      </w:pPr>
    </w:p>
    <w:p w:rsidR="0053152B" w:rsidRPr="00D252D3" w:rsidRDefault="0053152B">
      <w:pPr>
        <w:ind w:left="0" w:firstLine="0"/>
      </w:pPr>
      <w:r w:rsidRPr="00D252D3">
        <w:rPr>
          <w:snapToGrid w:val="0"/>
          <w:lang w:eastAsia="cs-CZ"/>
        </w:rPr>
        <w:t>U pacientov, ktorých vaskulárny tonus a funkcia obličiek závisí predovšetkým od aktivity</w:t>
      </w:r>
      <w:r w:rsidR="00213CF0" w:rsidRPr="00D252D3">
        <w:rPr>
          <w:snapToGrid w:val="0"/>
          <w:lang w:eastAsia="cs-CZ"/>
        </w:rPr>
        <w:t xml:space="preserve"> systému </w:t>
      </w:r>
      <w:r w:rsidRPr="00D252D3">
        <w:rPr>
          <w:snapToGrid w:val="0"/>
          <w:lang w:eastAsia="cs-CZ"/>
        </w:rPr>
        <w:t xml:space="preserve"> renín-angiotenzín-aldosterón (napr. pacienti s ťažkým kongestívnym srdcovým zlyhaním alebo základným ochorením obličiek vrátane stenózy renálnej artérie), s</w:t>
      </w:r>
      <w:r w:rsidRPr="00D252D3">
        <w:rPr>
          <w:szCs w:val="22"/>
        </w:rPr>
        <w:t>a pri liečbe liekmi, ktoré ovplyvňujú tento systém, spájala s akútnou hypotenziou, hyperazotémiou, oligúriou alebo zriedkavo s akútnym zlyhaním obličky (pozri časť 4.8).</w:t>
      </w:r>
    </w:p>
    <w:p w:rsidR="0053152B" w:rsidRPr="00D252D3" w:rsidRDefault="0053152B">
      <w:pPr>
        <w:ind w:left="0" w:firstLine="0"/>
        <w:rPr>
          <w:snapToGrid w:val="0"/>
          <w:lang w:eastAsia="cs-CZ"/>
        </w:rPr>
      </w:pPr>
      <w:r w:rsidRPr="00D252D3">
        <w:rPr>
          <w:snapToGrid w:val="0"/>
          <w:lang w:eastAsia="cs-CZ"/>
        </w:rPr>
        <w:t xml:space="preserve"> </w:t>
      </w:r>
    </w:p>
    <w:p w:rsidR="0053152B" w:rsidRPr="00D252D3" w:rsidRDefault="0053152B">
      <w:pPr>
        <w:ind w:left="0" w:firstLine="0"/>
        <w:rPr>
          <w:snapToGrid w:val="0"/>
          <w:lang w:eastAsia="cs-CZ"/>
        </w:rPr>
      </w:pPr>
      <w:r w:rsidRPr="00D252D3">
        <w:rPr>
          <w:snapToGrid w:val="0"/>
          <w:u w:val="single"/>
          <w:lang w:eastAsia="cs-CZ"/>
        </w:rPr>
        <w:t>Primárny aldosteronizmus</w:t>
      </w:r>
    </w:p>
    <w:p w:rsidR="0053152B" w:rsidRPr="00D252D3" w:rsidRDefault="0053152B">
      <w:pPr>
        <w:ind w:left="0" w:firstLine="0"/>
        <w:rPr>
          <w:snapToGrid w:val="0"/>
          <w:lang w:eastAsia="cs-CZ"/>
        </w:rPr>
      </w:pPr>
    </w:p>
    <w:p w:rsidR="0053152B" w:rsidRPr="00D252D3" w:rsidRDefault="0053152B">
      <w:pPr>
        <w:ind w:left="0" w:firstLine="0"/>
        <w:rPr>
          <w:snapToGrid w:val="0"/>
          <w:lang w:eastAsia="cs-CZ"/>
        </w:rPr>
      </w:pPr>
      <w:r w:rsidRPr="00D252D3">
        <w:rPr>
          <w:snapToGrid w:val="0"/>
          <w:lang w:eastAsia="cs-CZ"/>
        </w:rPr>
        <w:t xml:space="preserve">Pacienti s primárnym aldosteronizmom spravidla nereagujú na antihypertenzíva </w:t>
      </w:r>
      <w:r w:rsidRPr="00D252D3">
        <w:rPr>
          <w:szCs w:val="22"/>
        </w:rPr>
        <w:t xml:space="preserve">pôsobiace prostredníctvom inhibície </w:t>
      </w:r>
      <w:r w:rsidRPr="00D252D3">
        <w:rPr>
          <w:snapToGrid w:val="0"/>
          <w:lang w:eastAsia="cs-CZ"/>
        </w:rPr>
        <w:t>renín-angiotenzínového systému.</w:t>
      </w:r>
      <w:r w:rsidRPr="00D252D3">
        <w:rPr>
          <w:szCs w:val="22"/>
        </w:rPr>
        <w:t xml:space="preserve"> Použitie</w:t>
      </w:r>
      <w:r w:rsidRPr="00D252D3">
        <w:rPr>
          <w:snapToGrid w:val="0"/>
          <w:lang w:eastAsia="cs-CZ"/>
        </w:rPr>
        <w:t xml:space="preserve"> MicardisPlusu sa preto neodporúča.</w:t>
      </w:r>
    </w:p>
    <w:p w:rsidR="0053152B" w:rsidRPr="00D252D3" w:rsidRDefault="0053152B">
      <w:pPr>
        <w:ind w:left="0" w:firstLine="0"/>
        <w:rPr>
          <w:snapToGrid w:val="0"/>
          <w:lang w:eastAsia="cs-CZ"/>
        </w:rPr>
      </w:pPr>
    </w:p>
    <w:p w:rsidR="0053152B" w:rsidRPr="00D252D3" w:rsidRDefault="0053152B">
      <w:pPr>
        <w:ind w:left="0" w:firstLine="0"/>
        <w:rPr>
          <w:snapToGrid w:val="0"/>
          <w:lang w:eastAsia="cs-CZ"/>
        </w:rPr>
      </w:pPr>
      <w:r w:rsidRPr="00D252D3">
        <w:rPr>
          <w:snapToGrid w:val="0"/>
          <w:u w:val="single"/>
          <w:lang w:eastAsia="cs-CZ"/>
        </w:rPr>
        <w:t>Stenóza aorty a mitrálnej srdcovej chlopne, obštrukčná hypertrofická kardiomyopatia</w:t>
      </w:r>
    </w:p>
    <w:p w:rsidR="0053152B" w:rsidRPr="00D252D3" w:rsidRDefault="0053152B">
      <w:pPr>
        <w:ind w:left="0" w:firstLine="0"/>
        <w:rPr>
          <w:snapToGrid w:val="0"/>
          <w:lang w:eastAsia="cs-CZ"/>
        </w:rPr>
      </w:pPr>
    </w:p>
    <w:p w:rsidR="0053152B" w:rsidRPr="00D252D3" w:rsidRDefault="0053152B">
      <w:pPr>
        <w:ind w:left="0" w:firstLine="0"/>
        <w:rPr>
          <w:snapToGrid w:val="0"/>
          <w:lang w:eastAsia="cs-CZ"/>
        </w:rPr>
      </w:pPr>
      <w:r w:rsidRPr="00D252D3">
        <w:rPr>
          <w:snapToGrid w:val="0"/>
          <w:lang w:eastAsia="cs-CZ"/>
        </w:rPr>
        <w:t>Tak ako pri iných vazodilatanciách, osobitná pozornosť je potrebná u pacientov trpiacich na aortálnu alebo mitrálnu stenózu alebo obštrukčnú hypertrofickú kardiomyopatiu.</w:t>
      </w:r>
    </w:p>
    <w:p w:rsidR="0053152B" w:rsidRPr="00D252D3" w:rsidRDefault="0053152B">
      <w:pPr>
        <w:ind w:left="0" w:firstLine="0"/>
        <w:rPr>
          <w:snapToGrid w:val="0"/>
          <w:lang w:eastAsia="cs-CZ"/>
        </w:rPr>
      </w:pPr>
    </w:p>
    <w:p w:rsidR="0053152B" w:rsidRPr="00D252D3" w:rsidRDefault="0053152B" w:rsidP="0051567B">
      <w:pPr>
        <w:keepNext/>
        <w:ind w:left="0" w:firstLine="0"/>
        <w:rPr>
          <w:snapToGrid w:val="0"/>
          <w:lang w:eastAsia="cs-CZ"/>
        </w:rPr>
      </w:pPr>
      <w:r w:rsidRPr="00D252D3">
        <w:rPr>
          <w:snapToGrid w:val="0"/>
          <w:u w:val="single"/>
          <w:lang w:eastAsia="cs-CZ"/>
        </w:rPr>
        <w:t>Metabolické a endokrinné účinky</w:t>
      </w:r>
    </w:p>
    <w:p w:rsidR="0053152B" w:rsidRPr="00D252D3" w:rsidRDefault="0053152B" w:rsidP="0051567B">
      <w:pPr>
        <w:keepNext/>
        <w:ind w:left="0" w:firstLine="0"/>
        <w:rPr>
          <w:snapToGrid w:val="0"/>
          <w:lang w:eastAsia="cs-CZ"/>
        </w:rPr>
      </w:pPr>
    </w:p>
    <w:p w:rsidR="0053152B" w:rsidRPr="00D252D3" w:rsidRDefault="0053152B">
      <w:pPr>
        <w:ind w:left="0" w:firstLine="0"/>
        <w:rPr>
          <w:snapToGrid w:val="0"/>
          <w:lang w:eastAsia="cs-CZ"/>
        </w:rPr>
      </w:pPr>
      <w:r w:rsidRPr="00D252D3">
        <w:rPr>
          <w:snapToGrid w:val="0"/>
          <w:lang w:eastAsia="cs-CZ"/>
        </w:rPr>
        <w:t>Liečba tiazidmi môže znížiť znášanlivosť glukózy, pričom sa u diabetických pacientov na inzulíne alebo antidiabetickej liečbe a liečbe telmisartanom môže objaviť hypoglykémia. Preto treba u týchto pacientov zvážiť sledovanie glukózy v krvi; môže byť potrebná úprava dávky inzulínu alebo antidiabetík, ak sú indikované. Počas terapie tiazidmi sa môže prejaviť latentný diabetes mellitus.</w:t>
      </w:r>
    </w:p>
    <w:p w:rsidR="0053152B" w:rsidRPr="00D252D3" w:rsidRDefault="0053152B">
      <w:pPr>
        <w:ind w:left="0" w:firstLine="0"/>
        <w:rPr>
          <w:snapToGrid w:val="0"/>
          <w:lang w:eastAsia="cs-CZ"/>
        </w:rPr>
      </w:pPr>
    </w:p>
    <w:p w:rsidR="0053152B" w:rsidRPr="00D252D3" w:rsidRDefault="0053152B">
      <w:pPr>
        <w:ind w:left="0" w:firstLine="0"/>
        <w:rPr>
          <w:snapToGrid w:val="0"/>
          <w:lang w:eastAsia="cs-CZ"/>
        </w:rPr>
      </w:pPr>
      <w:r w:rsidRPr="00D252D3">
        <w:rPr>
          <w:snapToGrid w:val="0"/>
          <w:lang w:eastAsia="cs-CZ"/>
        </w:rPr>
        <w:t>Zvýšenie hladín cholesterolu a triglyceridov sa spájalo s terapiou tiazidovými diuretikami; avšak pri dávke 12,5 mg obsiahnutej v MicardisPluse sa nehlásili žiadne alebo len minimálne účinky. U niektorých pacientov liečených tiazidmi sa môže objaviť hyperurikémia alebo vyvolať dna.</w:t>
      </w:r>
    </w:p>
    <w:p w:rsidR="0053152B" w:rsidRPr="00D252D3" w:rsidRDefault="0053152B">
      <w:pPr>
        <w:ind w:left="0" w:firstLine="0"/>
        <w:rPr>
          <w:snapToGrid w:val="0"/>
          <w:lang w:eastAsia="cs-CZ"/>
        </w:rPr>
      </w:pPr>
    </w:p>
    <w:p w:rsidR="0053152B" w:rsidRPr="00D252D3" w:rsidRDefault="0053152B" w:rsidP="0051567B">
      <w:pPr>
        <w:keepNext/>
        <w:ind w:left="0" w:firstLine="0"/>
        <w:rPr>
          <w:snapToGrid w:val="0"/>
          <w:lang w:eastAsia="cs-CZ"/>
        </w:rPr>
      </w:pPr>
      <w:r w:rsidRPr="00D252D3">
        <w:rPr>
          <w:snapToGrid w:val="0"/>
          <w:u w:val="single"/>
          <w:lang w:eastAsia="cs-CZ"/>
        </w:rPr>
        <w:t>Elektrolytová nerovnováha</w:t>
      </w:r>
    </w:p>
    <w:p w:rsidR="0053152B" w:rsidRPr="00D252D3" w:rsidRDefault="0053152B" w:rsidP="0051567B">
      <w:pPr>
        <w:keepNext/>
        <w:ind w:left="0" w:firstLine="0"/>
        <w:rPr>
          <w:snapToGrid w:val="0"/>
          <w:lang w:eastAsia="cs-CZ"/>
        </w:rPr>
      </w:pPr>
    </w:p>
    <w:p w:rsidR="0053152B" w:rsidRPr="00D252D3" w:rsidRDefault="0053152B">
      <w:pPr>
        <w:ind w:left="0" w:firstLine="0"/>
        <w:rPr>
          <w:snapToGrid w:val="0"/>
          <w:lang w:eastAsia="cs-CZ"/>
        </w:rPr>
      </w:pPr>
      <w:r w:rsidRPr="00D252D3">
        <w:rPr>
          <w:snapToGrid w:val="0"/>
          <w:lang w:eastAsia="cs-CZ"/>
        </w:rPr>
        <w:t>Tak ako u iných pacientov liečených diuretikami, má sa vo vhodných intervaloch uskutočniť pravidelné stanovenie sérových elektrolytov.</w:t>
      </w:r>
    </w:p>
    <w:p w:rsidR="0053152B" w:rsidRPr="00D252D3" w:rsidRDefault="0053152B">
      <w:pPr>
        <w:ind w:left="0" w:firstLine="0"/>
        <w:rPr>
          <w:snapToGrid w:val="0"/>
          <w:lang w:eastAsia="cs-CZ"/>
        </w:rPr>
      </w:pPr>
      <w:r w:rsidRPr="00D252D3">
        <w:rPr>
          <w:snapToGrid w:val="0"/>
          <w:lang w:eastAsia="cs-CZ"/>
        </w:rPr>
        <w:t>Tiazidy vrátane hydrochlorotiazidu môžu zapríčiniť nerovnováhu tekutín alebo elektrolytov (vrátane hypokaliémie, hyponatrémie a hypochloremickej alkalózy). Varovnými signálmi tejto nerovnováhy sú sucho v ústach, smäd, asténia, apatia, ospanlivosť, únava, bolesti svalov alebo kŕče, svalová únava, hypotenzia, oligúria, tachykardia a gastrointestinálne poruchy ako je nauzea alebo vracanie (pozri tiež časť 4.8).</w:t>
      </w:r>
    </w:p>
    <w:p w:rsidR="0053152B" w:rsidRPr="00D252D3" w:rsidRDefault="0053152B">
      <w:pPr>
        <w:ind w:left="0" w:firstLine="0"/>
        <w:rPr>
          <w:snapToGrid w:val="0"/>
          <w:lang w:eastAsia="cs-CZ"/>
        </w:rPr>
      </w:pPr>
    </w:p>
    <w:p w:rsidR="0053152B" w:rsidRPr="00D252D3" w:rsidRDefault="0053152B">
      <w:pPr>
        <w:tabs>
          <w:tab w:val="left" w:pos="540"/>
        </w:tabs>
        <w:ind w:left="0" w:firstLine="0"/>
        <w:rPr>
          <w:snapToGrid w:val="0"/>
          <w:lang w:eastAsia="cs-CZ"/>
        </w:rPr>
      </w:pPr>
      <w:r w:rsidRPr="00D252D3">
        <w:rPr>
          <w:snapToGrid w:val="0"/>
          <w:lang w:eastAsia="cs-CZ"/>
        </w:rPr>
        <w:t xml:space="preserve">- </w:t>
      </w:r>
      <w:r w:rsidRPr="00D252D3">
        <w:rPr>
          <w:snapToGrid w:val="0"/>
          <w:lang w:eastAsia="cs-CZ"/>
        </w:rPr>
        <w:tab/>
        <w:t>Hypokaliémia</w:t>
      </w:r>
    </w:p>
    <w:p w:rsidR="0053152B" w:rsidRPr="00D252D3" w:rsidRDefault="0053152B">
      <w:pPr>
        <w:ind w:left="0" w:firstLine="0"/>
        <w:rPr>
          <w:snapToGrid w:val="0"/>
          <w:lang w:eastAsia="cs-CZ"/>
        </w:rPr>
      </w:pPr>
      <w:r w:rsidRPr="00D252D3">
        <w:rPr>
          <w:snapToGrid w:val="0"/>
          <w:lang w:eastAsia="cs-CZ"/>
        </w:rPr>
        <w:t>Hoci sa pri používaní tiazidových diuretík môže vyvinúť hypokaliémia, sprievodná liečba telmisartanom môže znížiť diuretikami vyvolanú hypokaliémiu. Riziko hypokaliémie je vyššie u pacientov s cirhózou pečene, u pacientov s výraznou diurézou, u pacientov s nedostatočným perorálnym príjmom elektrolytov a u pacientov so súbežnou terapiou kortikosteroidmi alebo adrenokortikotropným hormónom (ACTH) (pozri časť 4.5).</w:t>
      </w:r>
    </w:p>
    <w:p w:rsidR="0053152B" w:rsidRPr="00D252D3" w:rsidRDefault="0053152B">
      <w:pPr>
        <w:ind w:left="0" w:firstLine="0"/>
        <w:rPr>
          <w:snapToGrid w:val="0"/>
          <w:lang w:eastAsia="cs-CZ"/>
        </w:rPr>
      </w:pPr>
    </w:p>
    <w:p w:rsidR="0053152B" w:rsidRPr="00D252D3" w:rsidRDefault="0053152B">
      <w:pPr>
        <w:tabs>
          <w:tab w:val="left" w:pos="540"/>
        </w:tabs>
        <w:ind w:left="0" w:firstLine="0"/>
        <w:rPr>
          <w:snapToGrid w:val="0"/>
          <w:lang w:eastAsia="cs-CZ"/>
        </w:rPr>
      </w:pPr>
      <w:r w:rsidRPr="00D252D3">
        <w:rPr>
          <w:snapToGrid w:val="0"/>
          <w:lang w:eastAsia="cs-CZ"/>
        </w:rPr>
        <w:t xml:space="preserve">- </w:t>
      </w:r>
      <w:r w:rsidRPr="00D252D3">
        <w:rPr>
          <w:snapToGrid w:val="0"/>
          <w:lang w:eastAsia="cs-CZ"/>
        </w:rPr>
        <w:tab/>
        <w:t>Hyperkaliémia</w:t>
      </w:r>
    </w:p>
    <w:p w:rsidR="0053152B" w:rsidRPr="00D252D3" w:rsidRDefault="0053152B">
      <w:pPr>
        <w:ind w:left="0" w:firstLine="0"/>
        <w:rPr>
          <w:snapToGrid w:val="0"/>
          <w:lang w:eastAsia="cs-CZ"/>
        </w:rPr>
      </w:pPr>
      <w:r w:rsidRPr="00D252D3">
        <w:rPr>
          <w:snapToGrid w:val="0"/>
          <w:lang w:eastAsia="cs-CZ"/>
        </w:rPr>
        <w:t>Na druhej strane, sa môže vyskytnúť hyperkaliémia z dôvodu antagonizmu receptorov angiotenzínu II (AT</w:t>
      </w:r>
      <w:r w:rsidRPr="00D252D3">
        <w:rPr>
          <w:snapToGrid w:val="0"/>
          <w:vertAlign w:val="subscript"/>
          <w:lang w:eastAsia="cs-CZ"/>
        </w:rPr>
        <w:t>1</w:t>
      </w:r>
      <w:r w:rsidRPr="00D252D3">
        <w:rPr>
          <w:snapToGrid w:val="0"/>
          <w:lang w:eastAsia="cs-CZ"/>
        </w:rPr>
        <w:t>) telmisartanom, zložkou MicardisPlusu.</w:t>
      </w:r>
    </w:p>
    <w:p w:rsidR="0053152B" w:rsidRPr="00D252D3" w:rsidRDefault="0053152B">
      <w:pPr>
        <w:ind w:left="0" w:firstLine="0"/>
        <w:rPr>
          <w:snapToGrid w:val="0"/>
          <w:lang w:eastAsia="cs-CZ"/>
        </w:rPr>
      </w:pPr>
      <w:r w:rsidRPr="00D252D3">
        <w:rPr>
          <w:snapToGrid w:val="0"/>
          <w:lang w:eastAsia="cs-CZ"/>
        </w:rPr>
        <w:t>Hoci pri MicardisPluse sa nezaznamenala klinicky významná hyperkaliémia, rizikové faktory vývinu hyperkaliémie zahrňujú obličkovú nedostatočnosť a/alebo zlyhanie srdca a diabetes mellitus. S MicardisPlusom sa draslík šetriace diuretiká, náhrady draslíka alebo náhrady soli s obsahom draslíka majú podávať opatrne (pozri časť 4.5).</w:t>
      </w:r>
    </w:p>
    <w:p w:rsidR="0053152B" w:rsidRPr="00D252D3" w:rsidRDefault="0053152B">
      <w:pPr>
        <w:ind w:left="0" w:firstLine="0"/>
        <w:rPr>
          <w:snapToGrid w:val="0"/>
          <w:lang w:eastAsia="cs-CZ"/>
        </w:rPr>
      </w:pPr>
    </w:p>
    <w:p w:rsidR="0053152B" w:rsidRPr="00D252D3" w:rsidRDefault="0053152B">
      <w:pPr>
        <w:tabs>
          <w:tab w:val="left" w:pos="540"/>
        </w:tabs>
        <w:ind w:left="0" w:firstLine="0"/>
        <w:rPr>
          <w:snapToGrid w:val="0"/>
          <w:lang w:eastAsia="cs-CZ"/>
        </w:rPr>
      </w:pPr>
      <w:r w:rsidRPr="00D252D3">
        <w:rPr>
          <w:snapToGrid w:val="0"/>
          <w:lang w:eastAsia="cs-CZ"/>
        </w:rPr>
        <w:t xml:space="preserve">- </w:t>
      </w:r>
      <w:r w:rsidRPr="00D252D3">
        <w:rPr>
          <w:snapToGrid w:val="0"/>
          <w:lang w:eastAsia="cs-CZ"/>
        </w:rPr>
        <w:tab/>
        <w:t>Hyponatrémia a hypochloremická alkalóza</w:t>
      </w:r>
    </w:p>
    <w:p w:rsidR="0053152B" w:rsidRPr="00D252D3" w:rsidRDefault="0053152B">
      <w:pPr>
        <w:ind w:left="0" w:firstLine="0"/>
        <w:rPr>
          <w:snapToGrid w:val="0"/>
          <w:lang w:eastAsia="cs-CZ"/>
        </w:rPr>
      </w:pPr>
      <w:r w:rsidRPr="00D252D3">
        <w:rPr>
          <w:snapToGrid w:val="0"/>
          <w:lang w:eastAsia="cs-CZ"/>
        </w:rPr>
        <w:t>Nie sú dôkazy o tom, že MicardisPlus znižuje alebo predchádza diuretikami vyvolanú hyponatrémiu. Nedostatok chloridov je spravidla mierny a zvyčajne nevyžaduje liečbu.</w:t>
      </w:r>
    </w:p>
    <w:p w:rsidR="0053152B" w:rsidRPr="00D252D3" w:rsidRDefault="0053152B">
      <w:pPr>
        <w:ind w:left="0" w:firstLine="0"/>
        <w:rPr>
          <w:snapToGrid w:val="0"/>
          <w:lang w:eastAsia="cs-CZ"/>
        </w:rPr>
      </w:pPr>
    </w:p>
    <w:p w:rsidR="0053152B" w:rsidRPr="00D252D3" w:rsidRDefault="0053152B">
      <w:pPr>
        <w:tabs>
          <w:tab w:val="left" w:pos="540"/>
        </w:tabs>
        <w:ind w:left="0" w:firstLine="0"/>
        <w:rPr>
          <w:snapToGrid w:val="0"/>
          <w:lang w:eastAsia="cs-CZ"/>
        </w:rPr>
      </w:pPr>
      <w:r w:rsidRPr="00D252D3">
        <w:rPr>
          <w:snapToGrid w:val="0"/>
          <w:lang w:eastAsia="cs-CZ"/>
        </w:rPr>
        <w:t xml:space="preserve">- </w:t>
      </w:r>
      <w:r w:rsidRPr="00D252D3">
        <w:rPr>
          <w:snapToGrid w:val="0"/>
          <w:lang w:eastAsia="cs-CZ"/>
        </w:rPr>
        <w:tab/>
        <w:t>Hyperkalciémia</w:t>
      </w:r>
    </w:p>
    <w:p w:rsidR="0053152B" w:rsidRPr="00D252D3" w:rsidRDefault="0053152B">
      <w:pPr>
        <w:ind w:left="0" w:firstLine="0"/>
        <w:rPr>
          <w:snapToGrid w:val="0"/>
          <w:lang w:eastAsia="cs-CZ"/>
        </w:rPr>
      </w:pPr>
      <w:r w:rsidRPr="00D252D3">
        <w:rPr>
          <w:snapToGrid w:val="0"/>
          <w:lang w:eastAsia="cs-CZ"/>
        </w:rPr>
        <w:t>Tiazidy môžu znížiť vylučovanie vápnika močom a zapríčiniť občasné a mierne zvýšenie sérového vápnika pri absencii známych porúch metabolizmu vápnika. Stanovená hyperkalciémia môže byť dôkazom skrytého hyperparatyroidizmu. Pred vykonaním testov funkcií prištítnych teliesok sa tiazidy majú vysadiť.</w:t>
      </w:r>
    </w:p>
    <w:p w:rsidR="0053152B" w:rsidRPr="00D252D3" w:rsidRDefault="0053152B">
      <w:pPr>
        <w:ind w:left="0" w:firstLine="0"/>
        <w:rPr>
          <w:snapToGrid w:val="0"/>
          <w:lang w:eastAsia="cs-CZ"/>
        </w:rPr>
      </w:pPr>
    </w:p>
    <w:p w:rsidR="0053152B" w:rsidRPr="00D252D3" w:rsidRDefault="0053152B">
      <w:pPr>
        <w:tabs>
          <w:tab w:val="left" w:pos="540"/>
        </w:tabs>
        <w:ind w:left="0" w:firstLine="0"/>
        <w:rPr>
          <w:snapToGrid w:val="0"/>
          <w:lang w:eastAsia="cs-CZ"/>
        </w:rPr>
      </w:pPr>
      <w:r w:rsidRPr="00D252D3">
        <w:rPr>
          <w:snapToGrid w:val="0"/>
          <w:lang w:eastAsia="cs-CZ"/>
        </w:rPr>
        <w:t xml:space="preserve">- </w:t>
      </w:r>
      <w:r w:rsidRPr="00D252D3">
        <w:rPr>
          <w:snapToGrid w:val="0"/>
          <w:lang w:eastAsia="cs-CZ"/>
        </w:rPr>
        <w:tab/>
        <w:t>Hypomagneziémia</w:t>
      </w:r>
    </w:p>
    <w:p w:rsidR="0053152B" w:rsidRPr="00D252D3" w:rsidRDefault="0053152B">
      <w:pPr>
        <w:ind w:left="0" w:firstLine="0"/>
      </w:pPr>
      <w:r w:rsidRPr="00D252D3">
        <w:t>Ukázalo sa, že tiazidy zvyšujú vylučovanie horčíka v moči, čo môže zapríčiniť hypomagnezémiu (pozri časť 4.5).</w:t>
      </w:r>
    </w:p>
    <w:p w:rsidR="0053152B" w:rsidRPr="00D252D3" w:rsidRDefault="0053152B"/>
    <w:p w:rsidR="0053152B" w:rsidRPr="00D252D3" w:rsidRDefault="0053152B">
      <w:pPr>
        <w:ind w:left="0" w:firstLine="0"/>
        <w:rPr>
          <w:snapToGrid w:val="0"/>
          <w:lang w:eastAsia="cs-CZ"/>
        </w:rPr>
      </w:pPr>
      <w:r w:rsidRPr="00D252D3">
        <w:rPr>
          <w:snapToGrid w:val="0"/>
          <w:u w:val="single"/>
          <w:lang w:eastAsia="cs-CZ"/>
        </w:rPr>
        <w:t>Sorbitol a monohydrát laktózy</w:t>
      </w:r>
    </w:p>
    <w:p w:rsidR="0053152B" w:rsidRPr="00D252D3" w:rsidRDefault="0053152B">
      <w:pPr>
        <w:ind w:left="0" w:firstLine="0"/>
        <w:rPr>
          <w:snapToGrid w:val="0"/>
          <w:lang w:eastAsia="cs-CZ"/>
        </w:rPr>
      </w:pPr>
    </w:p>
    <w:p w:rsidR="0053152B" w:rsidRPr="00D252D3" w:rsidRDefault="0053152B">
      <w:pPr>
        <w:ind w:left="0" w:firstLine="0"/>
        <w:rPr>
          <w:snapToGrid w:val="0"/>
          <w:lang w:eastAsia="cs-CZ"/>
        </w:rPr>
      </w:pPr>
      <w:r w:rsidRPr="00D252D3">
        <w:rPr>
          <w:snapToGrid w:val="0"/>
          <w:lang w:eastAsia="cs-CZ"/>
        </w:rPr>
        <w:t xml:space="preserve">Tento liek obsahuje monohydrát laktózy a sorbitol. Pacienti so zriedkavými vrodenými problémami intolerancie fruktózy a/alebo so zriedkavými vrodenými problémami intolerancie galaktózy, s </w:t>
      </w:r>
      <w:r w:rsidR="00213CF0" w:rsidRPr="00D252D3">
        <w:rPr>
          <w:snapToGrid w:val="0"/>
          <w:lang w:eastAsia="cs-CZ"/>
        </w:rPr>
        <w:t>lapónskou</w:t>
      </w:r>
      <w:r w:rsidRPr="00D252D3">
        <w:rPr>
          <w:snapToGrid w:val="0"/>
          <w:lang w:eastAsia="cs-CZ"/>
        </w:rPr>
        <w:t xml:space="preserve"> deficienciou laktázy alebo s nedostatočným vstrebávaním glukózo-galaktózy nesmú užívať tento liek.</w:t>
      </w:r>
    </w:p>
    <w:p w:rsidR="0053152B" w:rsidRPr="00D252D3" w:rsidRDefault="0053152B">
      <w:pPr>
        <w:ind w:left="0" w:firstLine="0"/>
        <w:rPr>
          <w:snapToGrid w:val="0"/>
          <w:lang w:eastAsia="cs-CZ"/>
        </w:rPr>
      </w:pPr>
    </w:p>
    <w:p w:rsidR="0053152B" w:rsidRPr="00D252D3" w:rsidRDefault="0053152B" w:rsidP="0051567B">
      <w:pPr>
        <w:keepNext/>
        <w:ind w:left="0" w:firstLine="0"/>
        <w:rPr>
          <w:snapToGrid w:val="0"/>
          <w:lang w:eastAsia="cs-CZ"/>
        </w:rPr>
      </w:pPr>
      <w:r w:rsidRPr="00D252D3">
        <w:rPr>
          <w:snapToGrid w:val="0"/>
          <w:u w:val="single"/>
          <w:lang w:eastAsia="cs-CZ"/>
        </w:rPr>
        <w:t>Etnické rozdiely</w:t>
      </w:r>
    </w:p>
    <w:p w:rsidR="0053152B" w:rsidRPr="00D252D3" w:rsidRDefault="0053152B" w:rsidP="0051567B">
      <w:pPr>
        <w:keepNext/>
        <w:ind w:left="0" w:firstLine="0"/>
        <w:rPr>
          <w:snapToGrid w:val="0"/>
          <w:lang w:eastAsia="cs-CZ"/>
        </w:rPr>
      </w:pPr>
    </w:p>
    <w:p w:rsidR="0053152B" w:rsidRPr="00D252D3" w:rsidRDefault="0053152B">
      <w:pPr>
        <w:ind w:left="0" w:firstLine="0"/>
        <w:rPr>
          <w:snapToGrid w:val="0"/>
          <w:lang w:eastAsia="cs-CZ"/>
        </w:rPr>
      </w:pPr>
      <w:r w:rsidRPr="00D252D3">
        <w:rPr>
          <w:snapToGrid w:val="0"/>
          <w:lang w:eastAsia="cs-CZ"/>
        </w:rPr>
        <w:t>Tak ako pri iných antagonistoch receptora angiotenzínu II, telmisartan je zjavne menej účinný v znižovaní krvného tlaku u pacientov-černochov ako u nečernochov, pravdepodobne pre vyšší výskyt nízkorenínových stavov u čiernej populácie s hypertenziou.</w:t>
      </w:r>
    </w:p>
    <w:p w:rsidR="0053152B" w:rsidRPr="00D252D3" w:rsidRDefault="0053152B">
      <w:pPr>
        <w:ind w:left="0" w:firstLine="0"/>
        <w:rPr>
          <w:snapToGrid w:val="0"/>
          <w:lang w:eastAsia="cs-CZ"/>
        </w:rPr>
      </w:pPr>
    </w:p>
    <w:p w:rsidR="0053152B" w:rsidRPr="00D252D3" w:rsidRDefault="0053152B" w:rsidP="0051567B">
      <w:pPr>
        <w:keepNext/>
        <w:ind w:left="0" w:firstLine="0"/>
        <w:rPr>
          <w:snapToGrid w:val="0"/>
          <w:lang w:eastAsia="cs-CZ"/>
        </w:rPr>
      </w:pPr>
      <w:r w:rsidRPr="00D252D3">
        <w:rPr>
          <w:snapToGrid w:val="0"/>
          <w:u w:val="single"/>
          <w:lang w:eastAsia="cs-CZ"/>
        </w:rPr>
        <w:t>Iné</w:t>
      </w:r>
    </w:p>
    <w:p w:rsidR="0053152B" w:rsidRPr="00D252D3" w:rsidRDefault="0053152B" w:rsidP="0051567B">
      <w:pPr>
        <w:keepNext/>
        <w:ind w:left="0" w:firstLine="0"/>
        <w:rPr>
          <w:snapToGrid w:val="0"/>
          <w:lang w:eastAsia="cs-CZ"/>
        </w:rPr>
      </w:pPr>
    </w:p>
    <w:p w:rsidR="0053152B" w:rsidRPr="00D252D3" w:rsidRDefault="0053152B">
      <w:pPr>
        <w:ind w:left="0" w:firstLine="0"/>
        <w:rPr>
          <w:snapToGrid w:val="0"/>
          <w:lang w:eastAsia="cs-CZ"/>
        </w:rPr>
      </w:pPr>
      <w:r w:rsidRPr="00D252D3">
        <w:rPr>
          <w:snapToGrid w:val="0"/>
          <w:lang w:eastAsia="cs-CZ"/>
        </w:rPr>
        <w:t>Tak ako pri iných antihypertenzívach, nadmerná redukcia tlaku krvi u pacientov s ischemickou kardiopatiou alebo ischemickou kardiovaskulárnou chorobou môže viesť k infarktu myokardu alebo cievnej mozgovej príhode.</w:t>
      </w:r>
    </w:p>
    <w:p w:rsidR="0053152B" w:rsidRPr="00D252D3" w:rsidRDefault="0053152B">
      <w:pPr>
        <w:ind w:left="0" w:firstLine="0"/>
        <w:rPr>
          <w:snapToGrid w:val="0"/>
          <w:lang w:eastAsia="cs-CZ"/>
        </w:rPr>
      </w:pPr>
    </w:p>
    <w:p w:rsidR="0053152B" w:rsidRPr="00D252D3" w:rsidRDefault="0053152B">
      <w:pPr>
        <w:ind w:left="0" w:firstLine="0"/>
        <w:rPr>
          <w:snapToGrid w:val="0"/>
          <w:lang w:eastAsia="cs-CZ"/>
        </w:rPr>
      </w:pPr>
      <w:r w:rsidRPr="00D252D3">
        <w:rPr>
          <w:snapToGrid w:val="0"/>
          <w:u w:val="single"/>
          <w:lang w:eastAsia="cs-CZ"/>
        </w:rPr>
        <w:t>Všeobecné</w:t>
      </w:r>
    </w:p>
    <w:p w:rsidR="0053152B" w:rsidRPr="00D252D3" w:rsidRDefault="0053152B">
      <w:pPr>
        <w:ind w:left="0" w:firstLine="0"/>
        <w:rPr>
          <w:snapToGrid w:val="0"/>
          <w:lang w:eastAsia="cs-CZ"/>
        </w:rPr>
      </w:pPr>
    </w:p>
    <w:p w:rsidR="0053152B" w:rsidRPr="00D252D3" w:rsidRDefault="0053152B">
      <w:pPr>
        <w:ind w:left="0" w:firstLine="0"/>
        <w:rPr>
          <w:snapToGrid w:val="0"/>
          <w:lang w:eastAsia="cs-CZ"/>
        </w:rPr>
      </w:pPr>
      <w:r w:rsidRPr="00D252D3">
        <w:rPr>
          <w:snapToGrid w:val="0"/>
          <w:lang w:eastAsia="cs-CZ"/>
        </w:rPr>
        <w:t>Reakcie precitlivenosti na hydrochlorotiazid sa môžu vyskytnúť u pacientov s anamnézou alebo bez anamnézy alergie precitlivenosti alebo s bronchiálnou astmou, ale sú pravdepodobnejšie u pacientov s takouto anamnézou.</w:t>
      </w:r>
    </w:p>
    <w:p w:rsidR="0053152B" w:rsidRPr="00D252D3" w:rsidRDefault="0053152B">
      <w:pPr>
        <w:ind w:left="0" w:firstLine="0"/>
        <w:rPr>
          <w:snapToGrid w:val="0"/>
          <w:lang w:eastAsia="cs-CZ"/>
        </w:rPr>
      </w:pPr>
      <w:r w:rsidRPr="00D252D3">
        <w:rPr>
          <w:snapToGrid w:val="0"/>
          <w:lang w:eastAsia="cs-CZ"/>
        </w:rPr>
        <w:t>Pri použití tiazidových diuretík, vrátane hydrochlorotiazidu, sa hlásila exacerbácia alebo aktivácia systémového lupus erythematosus.</w:t>
      </w:r>
    </w:p>
    <w:p w:rsidR="0053152B" w:rsidRPr="00D252D3" w:rsidRDefault="0053152B">
      <w:pPr>
        <w:ind w:left="0" w:firstLine="0"/>
        <w:rPr>
          <w:szCs w:val="22"/>
        </w:rPr>
      </w:pPr>
      <w:r w:rsidRPr="00D252D3">
        <w:rPr>
          <w:szCs w:val="22"/>
        </w:rPr>
        <w:t xml:space="preserve">Pri </w:t>
      </w:r>
      <w:r w:rsidRPr="00D252D3">
        <w:rPr>
          <w:snapToGrid w:val="0"/>
          <w:lang w:eastAsia="cs-CZ"/>
        </w:rPr>
        <w:t xml:space="preserve">tiazidových diuretikách sa hlásili prípady fotosenzitívnych reakcií </w:t>
      </w:r>
      <w:r w:rsidRPr="00D252D3">
        <w:rPr>
          <w:szCs w:val="22"/>
        </w:rPr>
        <w:t xml:space="preserve">(pozri časť 4.8). Ak sa počas liečby vyskytne fotosenzitívna reakcia, odporúča sa liečbu ukončiť. Ak sa opätovné podávanie diuretík považuje za nevyhnutné, odporúča sa </w:t>
      </w:r>
      <w:r w:rsidRPr="00D252D3">
        <w:rPr>
          <w:szCs w:val="22"/>
          <w:lang w:eastAsia="en-GB"/>
        </w:rPr>
        <w:t>chrániť obnažené časti tela pred slnkom alebo umelým UVA žiarením</w:t>
      </w:r>
      <w:r w:rsidRPr="00D252D3">
        <w:rPr>
          <w:szCs w:val="22"/>
        </w:rPr>
        <w:t>.</w:t>
      </w:r>
    </w:p>
    <w:p w:rsidR="0053152B" w:rsidRPr="00D252D3" w:rsidRDefault="0053152B">
      <w:pPr>
        <w:ind w:left="0" w:firstLine="0"/>
      </w:pPr>
    </w:p>
    <w:p w:rsidR="0053152B" w:rsidRPr="00D252D3" w:rsidRDefault="002A5949">
      <w:pPr>
        <w:keepNext/>
        <w:rPr>
          <w:szCs w:val="22"/>
          <w:u w:val="single"/>
        </w:rPr>
      </w:pPr>
      <w:r w:rsidRPr="00D252D3">
        <w:rPr>
          <w:szCs w:val="22"/>
          <w:u w:val="single"/>
        </w:rPr>
        <w:t>Choroidálna efúzia, a</w:t>
      </w:r>
      <w:r w:rsidR="0053152B" w:rsidRPr="00D252D3">
        <w:rPr>
          <w:szCs w:val="22"/>
          <w:u w:val="single"/>
        </w:rPr>
        <w:t>kútna myopia a glaukóm s uzavretým uhlom</w:t>
      </w:r>
    </w:p>
    <w:p w:rsidR="0053152B" w:rsidRPr="00D252D3" w:rsidRDefault="0053152B">
      <w:pPr>
        <w:keepNext/>
        <w:rPr>
          <w:szCs w:val="22"/>
          <w:u w:val="single"/>
        </w:rPr>
      </w:pPr>
    </w:p>
    <w:p w:rsidR="0053152B" w:rsidRPr="00D252D3" w:rsidRDefault="0053152B" w:rsidP="002A5949">
      <w:pPr>
        <w:keepNext/>
        <w:ind w:left="0" w:firstLine="0"/>
        <w:rPr>
          <w:szCs w:val="22"/>
        </w:rPr>
      </w:pPr>
      <w:r w:rsidRPr="00D252D3">
        <w:rPr>
          <w:szCs w:val="22"/>
        </w:rPr>
        <w:t xml:space="preserve">Sulfonamid hydrochlorotiazid môže spôsobiť idiosynkratickú reakciu, následkom čoho je </w:t>
      </w:r>
      <w:r w:rsidR="002A5949" w:rsidRPr="00D252D3">
        <w:rPr>
          <w:szCs w:val="22"/>
        </w:rPr>
        <w:t xml:space="preserve">choroidálna efúzia s poruchou zorného poľa, </w:t>
      </w:r>
      <w:r w:rsidRPr="00D252D3">
        <w:rPr>
          <w:szCs w:val="22"/>
        </w:rPr>
        <w:t>akútna</w:t>
      </w:r>
      <w:r w:rsidR="008417F4">
        <w:rPr>
          <w:szCs w:val="22"/>
        </w:rPr>
        <w:t xml:space="preserve"> </w:t>
      </w:r>
      <w:r w:rsidRPr="00D252D3">
        <w:rPr>
          <w:szCs w:val="22"/>
        </w:rPr>
        <w:t>tranzitórna myopia a akútny glaukóm s uzavretým uhlom. Príznaky zahŕňajú akútny nástup zníženej</w:t>
      </w:r>
      <w:r w:rsidR="008417F4">
        <w:rPr>
          <w:szCs w:val="22"/>
        </w:rPr>
        <w:t xml:space="preserve"> </w:t>
      </w:r>
      <w:r w:rsidRPr="00D252D3">
        <w:rPr>
          <w:szCs w:val="22"/>
        </w:rPr>
        <w:t>zrakovej ostrosti alebo bolesť oka a bežne sa vyskytujú v priebehu niekoľkých hodín až týždňov od</w:t>
      </w:r>
      <w:r w:rsidR="008417F4">
        <w:rPr>
          <w:szCs w:val="22"/>
        </w:rPr>
        <w:t xml:space="preserve"> </w:t>
      </w:r>
      <w:r w:rsidRPr="00D252D3">
        <w:rPr>
          <w:szCs w:val="22"/>
        </w:rPr>
        <w:t>začatia liečby. Neliečený akútny glaukóm s uzavretým uhlom môže viesť až k trvalej strate zraku.</w:t>
      </w:r>
    </w:p>
    <w:p w:rsidR="0053152B" w:rsidRPr="00D252D3" w:rsidRDefault="0053152B" w:rsidP="002A5949">
      <w:pPr>
        <w:keepNext/>
        <w:ind w:left="0" w:firstLine="0"/>
        <w:rPr>
          <w:szCs w:val="22"/>
        </w:rPr>
      </w:pPr>
      <w:r w:rsidRPr="00D252D3">
        <w:rPr>
          <w:szCs w:val="22"/>
        </w:rPr>
        <w:t>Primárnou liečbou je prerušenie podávania hydrochlorotiazidu tak rýchlo, ako je to možné. V prípade,</w:t>
      </w:r>
    </w:p>
    <w:p w:rsidR="0053152B" w:rsidRPr="00D252D3" w:rsidRDefault="0053152B" w:rsidP="002A5949">
      <w:pPr>
        <w:keepNext/>
        <w:ind w:left="0" w:firstLine="0"/>
        <w:rPr>
          <w:szCs w:val="22"/>
        </w:rPr>
      </w:pPr>
      <w:r w:rsidRPr="00D252D3">
        <w:rPr>
          <w:szCs w:val="22"/>
        </w:rPr>
        <w:t>že vnútroočný tlak je aj naďalej nekontrolovaný, bude možno potrebné zvážiť okamžitý lekársky alebo</w:t>
      </w:r>
    </w:p>
    <w:p w:rsidR="0053152B" w:rsidRPr="00D252D3" w:rsidRDefault="0053152B" w:rsidP="002A5949">
      <w:pPr>
        <w:keepNext/>
        <w:ind w:left="0" w:firstLine="0"/>
        <w:rPr>
          <w:szCs w:val="22"/>
        </w:rPr>
      </w:pPr>
      <w:r w:rsidRPr="00D252D3">
        <w:rPr>
          <w:szCs w:val="22"/>
        </w:rPr>
        <w:t>chirurgický zásah. Rizikové faktory pre vývin akútneho glaukómu s uzavretým uhlom môžu</w:t>
      </w:r>
      <w:r w:rsidR="002A5949" w:rsidRPr="00D252D3">
        <w:rPr>
          <w:szCs w:val="22"/>
        </w:rPr>
        <w:t xml:space="preserve"> </w:t>
      </w:r>
    </w:p>
    <w:p w:rsidR="0053152B" w:rsidRPr="00D252D3" w:rsidRDefault="0053152B" w:rsidP="002A5949">
      <w:pPr>
        <w:keepNext/>
        <w:ind w:left="0" w:firstLine="0"/>
        <w:rPr>
          <w:szCs w:val="22"/>
        </w:rPr>
      </w:pPr>
      <w:r w:rsidRPr="00D252D3">
        <w:rPr>
          <w:szCs w:val="22"/>
        </w:rPr>
        <w:t>zahŕňať predchádzajúcu alergiu na sulfonamid alebo penicilín.</w:t>
      </w:r>
    </w:p>
    <w:p w:rsidR="00956A6F" w:rsidRPr="00D252D3" w:rsidRDefault="00956A6F" w:rsidP="00956A6F">
      <w:pPr>
        <w:keepNext/>
        <w:rPr>
          <w:szCs w:val="22"/>
        </w:rPr>
      </w:pPr>
    </w:p>
    <w:p w:rsidR="00956A6F" w:rsidRPr="00D252D3" w:rsidRDefault="00956A6F" w:rsidP="00956A6F">
      <w:pPr>
        <w:keepNext/>
        <w:rPr>
          <w:u w:val="single"/>
        </w:rPr>
      </w:pPr>
      <w:r w:rsidRPr="00D252D3">
        <w:rPr>
          <w:u w:val="single"/>
        </w:rPr>
        <w:t>Nemelanómová rakovina kože</w:t>
      </w:r>
    </w:p>
    <w:p w:rsidR="00956A6F" w:rsidRPr="00D252D3" w:rsidRDefault="00956A6F" w:rsidP="00956A6F">
      <w:pPr>
        <w:keepNext/>
        <w:rPr>
          <w:u w:val="single"/>
        </w:rPr>
      </w:pPr>
    </w:p>
    <w:p w:rsidR="00956A6F" w:rsidRPr="00D252D3" w:rsidRDefault="00956A6F" w:rsidP="00956A6F">
      <w:pPr>
        <w:keepNext/>
        <w:ind w:left="0" w:firstLine="0"/>
      </w:pPr>
      <w:r w:rsidRPr="00D252D3">
        <w:t>V dvoch epidemiologických štúdiách vychádzajúcich z dánskeho národného onkologického registra (Danish National Cancer Registry) sa pozorovalo zvýšené riziko nemelanómovej rakoviny kože (non-melanoma skin cancer, NMSC) [bazocelulárneho karcinómu (basal cell carcinoma, BCC) a skvamocelulárneho karcinómu (squamous cell carcinoma, SCC)] pri zvyšujúcej sa expozícii kumulatívnej dávke hydrochlorotiazidu (hydrochlorothiazide, HCTZ). Možným mechanizmom pre vznik NMSC môžu byť fotosenzibilizačné účinky HCTZ.</w:t>
      </w:r>
    </w:p>
    <w:p w:rsidR="00956A6F" w:rsidRPr="00D252D3" w:rsidRDefault="00956A6F" w:rsidP="00956A6F">
      <w:pPr>
        <w:keepNext/>
      </w:pPr>
    </w:p>
    <w:p w:rsidR="0053152B" w:rsidRPr="00D252D3" w:rsidRDefault="00956A6F" w:rsidP="00956A6F">
      <w:pPr>
        <w:ind w:left="0" w:firstLine="0"/>
      </w:pPr>
      <w:r w:rsidRPr="00D252D3">
        <w:t>Pacientov užívajúcich HCTZ je potrebné informovať o riziku NMSC a odporučiť im, aby si pravidelne kontrolovali kožu kvôli možnému vzniku akýchkoľvek nových lézií a aby urýchlene nahlásili akékoľvek podozrivé kožné lézie. Pacientom je potrebné odporučiť možné preventívne opatrenia, ako je obmedzené vystavovanie sa slnečnému svetlu a UV lúčom a aby v prípade vystavenia sa slnečnému žiareniu používali primeranú ochranu s cieľom minimalizovať riziko kožnej rakoviny. Podozrivé kožné lézie je potrebné urýchlene vyšetriť, potenciálne aj histologickým vyšetrením biopsií. Použitie HCTZ bude možno potrebné prehodnotiť aj v prípade pacientov, u ktorých sa v minulosti vyskytla NMSC (pozri tiež časť</w:t>
      </w:r>
      <w:r w:rsidR="00F80009" w:rsidRPr="00D252D3">
        <w:t> </w:t>
      </w:r>
      <w:r w:rsidRPr="00D252D3">
        <w:t>4.8).</w:t>
      </w:r>
    </w:p>
    <w:p w:rsidR="00956A6F" w:rsidRPr="00D252D3" w:rsidRDefault="00956A6F">
      <w:pPr>
        <w:rPr>
          <w:b/>
        </w:rPr>
      </w:pPr>
    </w:p>
    <w:p w:rsidR="0053152B" w:rsidRPr="00D252D3" w:rsidRDefault="0053152B" w:rsidP="00D252D3">
      <w:pPr>
        <w:keepNext/>
      </w:pPr>
      <w:r w:rsidRPr="00D252D3">
        <w:rPr>
          <w:b/>
        </w:rPr>
        <w:t>4.5</w:t>
      </w:r>
      <w:r w:rsidRPr="00D252D3">
        <w:rPr>
          <w:b/>
        </w:rPr>
        <w:tab/>
        <w:t>Liekové a iné interakcie</w:t>
      </w:r>
    </w:p>
    <w:p w:rsidR="0053152B" w:rsidRPr="00D252D3" w:rsidRDefault="0053152B" w:rsidP="00D252D3">
      <w:pPr>
        <w:keepNext/>
      </w:pPr>
    </w:p>
    <w:p w:rsidR="0053152B" w:rsidRPr="00D252D3" w:rsidRDefault="0053152B" w:rsidP="00D252D3">
      <w:pPr>
        <w:keepNext/>
        <w:ind w:left="0" w:firstLine="0"/>
        <w:rPr>
          <w:snapToGrid w:val="0"/>
          <w:lang w:eastAsia="cs-CZ"/>
        </w:rPr>
      </w:pPr>
      <w:r w:rsidRPr="00D252D3">
        <w:rPr>
          <w:snapToGrid w:val="0"/>
          <w:u w:val="single"/>
          <w:lang w:eastAsia="cs-CZ"/>
        </w:rPr>
        <w:t>Lítium</w:t>
      </w:r>
    </w:p>
    <w:p w:rsidR="0053152B" w:rsidRPr="00D252D3" w:rsidRDefault="0053152B" w:rsidP="00D252D3">
      <w:pPr>
        <w:keepNext/>
        <w:ind w:left="0" w:firstLine="0"/>
        <w:rPr>
          <w:snapToGrid w:val="0"/>
          <w:lang w:eastAsia="cs-CZ"/>
        </w:rPr>
      </w:pPr>
    </w:p>
    <w:p w:rsidR="0053152B" w:rsidRPr="00D252D3" w:rsidRDefault="0053152B" w:rsidP="00D252D3">
      <w:pPr>
        <w:keepNext/>
        <w:ind w:left="0" w:firstLine="0"/>
        <w:rPr>
          <w:snapToGrid w:val="0"/>
          <w:lang w:eastAsia="cs-CZ"/>
        </w:rPr>
      </w:pPr>
      <w:r w:rsidRPr="00D252D3">
        <w:rPr>
          <w:snapToGrid w:val="0"/>
          <w:lang w:eastAsia="cs-CZ"/>
        </w:rPr>
        <w:t>Pri súbežnom podávaní lítia s inhibítormi enzýmu konvertujúceho angiotenzín sa hlásili reverzibilné zvýšenia koncentrácií lítia v sére a toxicita. Zriedkavo sa hlásili prípady s antagonistmi receptora angiotenzínu II (vrátane MicardisPlusu). Súbežné podávanie lítia a MicardisPlusu sa neodporúča (pozri časť 4.4). Ak je táto kombinácia nevyhnutná, odporúča sa dôkladné sledovanie sérových hladín lítia počas súbežného používania.</w:t>
      </w:r>
    </w:p>
    <w:p w:rsidR="0053152B" w:rsidRPr="00D252D3" w:rsidRDefault="0053152B">
      <w:pPr>
        <w:ind w:left="0" w:firstLine="0"/>
        <w:rPr>
          <w:snapToGrid w:val="0"/>
          <w:lang w:eastAsia="cs-CZ"/>
        </w:rPr>
      </w:pPr>
    </w:p>
    <w:p w:rsidR="0053152B" w:rsidRPr="00D252D3" w:rsidRDefault="0053152B">
      <w:pPr>
        <w:ind w:left="0" w:firstLine="0"/>
        <w:rPr>
          <w:snapToGrid w:val="0"/>
          <w:lang w:eastAsia="cs-CZ"/>
        </w:rPr>
      </w:pPr>
      <w:r w:rsidRPr="00D252D3">
        <w:rPr>
          <w:snapToGrid w:val="0"/>
          <w:u w:val="single"/>
          <w:lang w:eastAsia="cs-CZ"/>
        </w:rPr>
        <w:t>Lieky súvisiace so stratou draslíka a hypokaliémiou</w:t>
      </w:r>
      <w:r w:rsidRPr="00D252D3">
        <w:rPr>
          <w:snapToGrid w:val="0"/>
          <w:lang w:eastAsia="cs-CZ"/>
        </w:rPr>
        <w:t xml:space="preserve"> (napr. iné kaliuretické diuretiká, laxatíva, kortikosteroidy, ACTH, amfotericín, karbenoxolón, sodná soľ benzylpenicilínu, kyselina salicylová a jej deriváty)</w:t>
      </w:r>
    </w:p>
    <w:p w:rsidR="0053152B" w:rsidRPr="00D252D3" w:rsidRDefault="0053152B">
      <w:pPr>
        <w:ind w:left="0" w:firstLine="0"/>
        <w:rPr>
          <w:snapToGrid w:val="0"/>
          <w:lang w:eastAsia="cs-CZ"/>
        </w:rPr>
      </w:pPr>
    </w:p>
    <w:p w:rsidR="0053152B" w:rsidRPr="00D252D3" w:rsidRDefault="0053152B">
      <w:pPr>
        <w:ind w:left="0" w:firstLine="0"/>
        <w:rPr>
          <w:snapToGrid w:val="0"/>
          <w:lang w:eastAsia="cs-CZ"/>
        </w:rPr>
      </w:pPr>
      <w:r w:rsidRPr="00D252D3">
        <w:rPr>
          <w:snapToGrid w:val="0"/>
          <w:lang w:eastAsia="cs-CZ"/>
        </w:rPr>
        <w:t>Ak sú tieto látky predpísané s kombináciou hydrochlorotiazid-telmisartan, odporúča sa sledovať plazmatické hladiny draslíka. Tieto lieky môžu zvýšiť účinok hydrochlorotiazidu na sérový draslík (pozri časť 4.4).</w:t>
      </w:r>
    </w:p>
    <w:p w:rsidR="0053152B" w:rsidRPr="00D252D3" w:rsidRDefault="0053152B">
      <w:pPr>
        <w:ind w:left="0" w:firstLine="0"/>
        <w:rPr>
          <w:snapToGrid w:val="0"/>
          <w:lang w:eastAsia="cs-CZ"/>
        </w:rPr>
      </w:pPr>
    </w:p>
    <w:p w:rsidR="0053152B" w:rsidRPr="00D252D3" w:rsidRDefault="0053152B" w:rsidP="0051567B">
      <w:pPr>
        <w:keepNext/>
        <w:ind w:left="0" w:firstLine="0"/>
        <w:rPr>
          <w:snapToGrid w:val="0"/>
          <w:lang w:eastAsia="cs-CZ"/>
        </w:rPr>
      </w:pPr>
      <w:r w:rsidRPr="00D252D3">
        <w:rPr>
          <w:snapToGrid w:val="0"/>
          <w:u w:val="single"/>
          <w:lang w:eastAsia="cs-CZ"/>
        </w:rPr>
        <w:t>Lieky, ktoré môžu zvýšiť hladiny draslíka alebo vyvolať hyperkaliémiu</w:t>
      </w:r>
      <w:r w:rsidRPr="00D252D3">
        <w:rPr>
          <w:snapToGrid w:val="0"/>
          <w:lang w:eastAsia="cs-CZ"/>
        </w:rPr>
        <w:t xml:space="preserve"> (napr. </w:t>
      </w:r>
      <w:smartTag w:uri="urn:schemas-microsoft-com:office:smarttags" w:element="stockticker">
        <w:r w:rsidRPr="00D252D3">
          <w:rPr>
            <w:snapToGrid w:val="0"/>
            <w:lang w:eastAsia="cs-CZ"/>
          </w:rPr>
          <w:t>ACE</w:t>
        </w:r>
      </w:smartTag>
      <w:r w:rsidRPr="00D252D3">
        <w:rPr>
          <w:snapToGrid w:val="0"/>
          <w:lang w:eastAsia="cs-CZ"/>
        </w:rPr>
        <w:t xml:space="preserve"> inhibítory, draslík šetriace diuretiká, náhrady draslíka, náhrady soli obsahujúce draslík, cyklosporín alebo iné liečivá ako sodná soľ heparínu)</w:t>
      </w:r>
    </w:p>
    <w:p w:rsidR="0053152B" w:rsidRPr="00D252D3" w:rsidRDefault="0053152B">
      <w:pPr>
        <w:ind w:left="0" w:firstLine="0"/>
        <w:rPr>
          <w:snapToGrid w:val="0"/>
          <w:lang w:eastAsia="cs-CZ"/>
        </w:rPr>
      </w:pPr>
    </w:p>
    <w:p w:rsidR="0053152B" w:rsidRPr="00D252D3" w:rsidRDefault="0053152B">
      <w:pPr>
        <w:ind w:left="0" w:firstLine="0"/>
        <w:rPr>
          <w:snapToGrid w:val="0"/>
          <w:lang w:eastAsia="cs-CZ"/>
        </w:rPr>
      </w:pPr>
      <w:r w:rsidRPr="00D252D3">
        <w:rPr>
          <w:snapToGrid w:val="0"/>
          <w:lang w:eastAsia="cs-CZ"/>
        </w:rPr>
        <w:t>Ak sú tieto lieky predpísané s kombináciou hydrochlorotiazid-telmisartan, odporúča sa sledovať plazmatické hladiny draslíka. Na základe skúseností z použitia iných liekov, ktoré tlmia renín-angiotenzínový systém, súbežné použitie vyššie uvedených liekov môže viesť k zvýšeniu sérového draslíka a preto sa neodporúča (pozri časť 4.4).</w:t>
      </w:r>
    </w:p>
    <w:p w:rsidR="00F15ADA" w:rsidRPr="00D252D3" w:rsidRDefault="00F15ADA">
      <w:pPr>
        <w:ind w:left="0" w:firstLine="0"/>
        <w:rPr>
          <w:snapToGrid w:val="0"/>
          <w:lang w:eastAsia="cs-CZ"/>
        </w:rPr>
      </w:pPr>
    </w:p>
    <w:p w:rsidR="0053152B" w:rsidRPr="00D252D3" w:rsidRDefault="0053152B" w:rsidP="0051567B">
      <w:pPr>
        <w:keepNext/>
        <w:ind w:left="0" w:firstLine="0"/>
        <w:rPr>
          <w:snapToGrid w:val="0"/>
          <w:lang w:eastAsia="cs-CZ"/>
        </w:rPr>
      </w:pPr>
      <w:r w:rsidRPr="00D252D3">
        <w:rPr>
          <w:snapToGrid w:val="0"/>
          <w:u w:val="single"/>
          <w:lang w:eastAsia="cs-CZ"/>
        </w:rPr>
        <w:t>Lieky, ovplyvnené poruchami sérového draslíka</w:t>
      </w:r>
    </w:p>
    <w:p w:rsidR="0053152B" w:rsidRPr="00D252D3" w:rsidRDefault="0053152B" w:rsidP="0051567B">
      <w:pPr>
        <w:keepNext/>
        <w:ind w:left="0" w:firstLine="0"/>
        <w:rPr>
          <w:snapToGrid w:val="0"/>
          <w:lang w:eastAsia="cs-CZ"/>
        </w:rPr>
      </w:pPr>
    </w:p>
    <w:p w:rsidR="0053152B" w:rsidRPr="00D252D3" w:rsidRDefault="0053152B">
      <w:pPr>
        <w:ind w:left="0" w:firstLine="0"/>
        <w:rPr>
          <w:snapToGrid w:val="0"/>
          <w:lang w:eastAsia="cs-CZ"/>
        </w:rPr>
      </w:pPr>
      <w:r w:rsidRPr="00D252D3">
        <w:rPr>
          <w:snapToGrid w:val="0"/>
          <w:lang w:eastAsia="cs-CZ"/>
        </w:rPr>
        <w:t>Keď sa MicardisPlus podáva s liekmi, ktoré ovplyvňujú poruchy sérového draslíka (digitalisové glykozidy, antiarytmiká) a liekmi vyvolávajúcimi torsade de pointes (čo zahŕňajú niektoré antiarytmiká), odporúča sa pravidelné sledovanie sérového draslíka a EKG, hypokaliémia je predispozičný faktor na torsade de pointes.</w:t>
      </w:r>
    </w:p>
    <w:p w:rsidR="0053152B" w:rsidRPr="00D252D3" w:rsidRDefault="0053152B">
      <w:pPr>
        <w:numPr>
          <w:ilvl w:val="0"/>
          <w:numId w:val="4"/>
        </w:numPr>
        <w:ind w:left="540" w:hanging="540"/>
        <w:rPr>
          <w:snapToGrid w:val="0"/>
          <w:lang w:eastAsia="cs-CZ"/>
        </w:rPr>
      </w:pPr>
      <w:r w:rsidRPr="00D252D3">
        <w:rPr>
          <w:snapToGrid w:val="0"/>
          <w:lang w:eastAsia="cs-CZ"/>
        </w:rPr>
        <w:t>antiarytmiká triedy Ia (napr. chinidín, hydrochinidín, disopyramid)</w:t>
      </w:r>
    </w:p>
    <w:p w:rsidR="0053152B" w:rsidRPr="00D252D3" w:rsidRDefault="0053152B">
      <w:pPr>
        <w:numPr>
          <w:ilvl w:val="0"/>
          <w:numId w:val="4"/>
        </w:numPr>
        <w:ind w:left="540" w:hanging="540"/>
        <w:rPr>
          <w:snapToGrid w:val="0"/>
          <w:lang w:eastAsia="cs-CZ"/>
        </w:rPr>
      </w:pPr>
      <w:r w:rsidRPr="00D252D3">
        <w:rPr>
          <w:snapToGrid w:val="0"/>
          <w:lang w:eastAsia="cs-CZ"/>
        </w:rPr>
        <w:t xml:space="preserve">antiarytmiká triedy </w:t>
      </w:r>
      <w:smartTag w:uri="urn:schemas-microsoft-com:office:smarttags" w:element="stockticker">
        <w:r w:rsidRPr="00D252D3">
          <w:rPr>
            <w:snapToGrid w:val="0"/>
            <w:lang w:eastAsia="cs-CZ"/>
          </w:rPr>
          <w:t>III</w:t>
        </w:r>
      </w:smartTag>
      <w:r w:rsidRPr="00D252D3">
        <w:rPr>
          <w:snapToGrid w:val="0"/>
          <w:lang w:eastAsia="cs-CZ"/>
        </w:rPr>
        <w:t xml:space="preserve"> (napr. amiodar</w:t>
      </w:r>
      <w:r w:rsidR="00213CF0" w:rsidRPr="00D252D3">
        <w:rPr>
          <w:snapToGrid w:val="0"/>
          <w:lang w:eastAsia="cs-CZ"/>
        </w:rPr>
        <w:t>ó</w:t>
      </w:r>
      <w:r w:rsidRPr="00D252D3">
        <w:rPr>
          <w:snapToGrid w:val="0"/>
          <w:lang w:eastAsia="cs-CZ"/>
        </w:rPr>
        <w:t>n, sotalol, dofetilid, ibutilid)</w:t>
      </w:r>
    </w:p>
    <w:p w:rsidR="0053152B" w:rsidRPr="00D252D3" w:rsidRDefault="0053152B">
      <w:pPr>
        <w:numPr>
          <w:ilvl w:val="0"/>
          <w:numId w:val="4"/>
        </w:numPr>
        <w:ind w:left="540" w:hanging="540"/>
        <w:rPr>
          <w:snapToGrid w:val="0"/>
          <w:lang w:eastAsia="cs-CZ"/>
        </w:rPr>
      </w:pPr>
      <w:r w:rsidRPr="00D252D3">
        <w:rPr>
          <w:snapToGrid w:val="0"/>
          <w:lang w:eastAsia="cs-CZ"/>
        </w:rPr>
        <w:t>niektoré antipsychotiká (napr. tioridazín, chlorpromazín, levomepromazín, trifluoperazín, cyamemazín, sulpirid, sultoprid, amisulprid, tiaprid, pimozid haloperidol, droperidol)</w:t>
      </w:r>
    </w:p>
    <w:p w:rsidR="0053152B" w:rsidRPr="00D252D3" w:rsidRDefault="0053152B">
      <w:pPr>
        <w:numPr>
          <w:ilvl w:val="0"/>
          <w:numId w:val="4"/>
        </w:numPr>
        <w:ind w:left="540" w:hanging="540"/>
        <w:rPr>
          <w:snapToGrid w:val="0"/>
          <w:lang w:eastAsia="cs-CZ"/>
        </w:rPr>
      </w:pPr>
      <w:r w:rsidRPr="00D252D3">
        <w:rPr>
          <w:snapToGrid w:val="0"/>
          <w:lang w:eastAsia="cs-CZ"/>
        </w:rPr>
        <w:t>iné (napr. bepridil, cisaprid, difemanil, erytromycín i.v., halofantrín, mizolastín, pentamidín, sparfloxacín, terfenadín, vinkamín i.v.).</w:t>
      </w:r>
    </w:p>
    <w:p w:rsidR="0053152B" w:rsidRPr="00D252D3" w:rsidRDefault="0053152B">
      <w:pPr>
        <w:ind w:left="0" w:firstLine="0"/>
        <w:rPr>
          <w:snapToGrid w:val="0"/>
          <w:u w:val="single"/>
          <w:lang w:eastAsia="cs-CZ"/>
        </w:rPr>
      </w:pPr>
    </w:p>
    <w:p w:rsidR="0053152B" w:rsidRPr="00D252D3" w:rsidRDefault="0053152B">
      <w:pPr>
        <w:ind w:left="0" w:firstLine="0"/>
        <w:rPr>
          <w:snapToGrid w:val="0"/>
          <w:lang w:eastAsia="cs-CZ"/>
        </w:rPr>
      </w:pPr>
      <w:r w:rsidRPr="00D252D3">
        <w:rPr>
          <w:snapToGrid w:val="0"/>
          <w:u w:val="single"/>
          <w:lang w:eastAsia="cs-CZ"/>
        </w:rPr>
        <w:t>Digitalisové glykozidy</w:t>
      </w:r>
    </w:p>
    <w:p w:rsidR="0053152B" w:rsidRPr="00D252D3" w:rsidRDefault="0053152B">
      <w:pPr>
        <w:ind w:left="0" w:firstLine="0"/>
        <w:rPr>
          <w:snapToGrid w:val="0"/>
          <w:lang w:eastAsia="cs-CZ"/>
        </w:rPr>
      </w:pPr>
    </w:p>
    <w:p w:rsidR="0053152B" w:rsidRPr="00D252D3" w:rsidRDefault="0053152B">
      <w:pPr>
        <w:ind w:left="0" w:firstLine="0"/>
        <w:rPr>
          <w:snapToGrid w:val="0"/>
          <w:lang w:eastAsia="cs-CZ"/>
        </w:rPr>
      </w:pPr>
      <w:r w:rsidRPr="00D252D3">
        <w:rPr>
          <w:snapToGrid w:val="0"/>
          <w:lang w:eastAsia="cs-CZ"/>
        </w:rPr>
        <w:t>Tiazidmi vyvolaná hypokaliémia alebo hypomagneziémia podporuje začiatok digitalisom vyvolanej arytmie (pozri časť 4.4).</w:t>
      </w:r>
    </w:p>
    <w:p w:rsidR="0053152B" w:rsidRPr="00D252D3" w:rsidRDefault="0053152B">
      <w:pPr>
        <w:ind w:left="0" w:firstLine="0"/>
        <w:rPr>
          <w:snapToGrid w:val="0"/>
          <w:lang w:eastAsia="cs-CZ"/>
        </w:rPr>
      </w:pPr>
    </w:p>
    <w:p w:rsidR="0053152B" w:rsidRPr="00D252D3" w:rsidRDefault="0053152B">
      <w:pPr>
        <w:rPr>
          <w:u w:val="single"/>
        </w:rPr>
      </w:pPr>
      <w:r w:rsidRPr="00D252D3">
        <w:rPr>
          <w:u w:val="single"/>
        </w:rPr>
        <w:t>Digoxín</w:t>
      </w:r>
    </w:p>
    <w:p w:rsidR="0053152B" w:rsidRPr="00D252D3" w:rsidRDefault="0053152B">
      <w:pPr>
        <w:rPr>
          <w:u w:val="single"/>
        </w:rPr>
      </w:pPr>
    </w:p>
    <w:p w:rsidR="0053152B" w:rsidRPr="00D252D3" w:rsidRDefault="0053152B">
      <w:r w:rsidRPr="00D252D3">
        <w:t xml:space="preserve">Ak sa telmisartan súbežne podával s digoxínom, pozoroval sa medián zvýšenia maximálnej </w:t>
      </w:r>
    </w:p>
    <w:p w:rsidR="0053152B" w:rsidRPr="00D252D3" w:rsidRDefault="0053152B">
      <w:r w:rsidRPr="00D252D3">
        <w:t xml:space="preserve">plazmatickej koncentrácie (49 %) a minimálnej koncentrácie (20 %) digoxínu. Pri nasadzovaní, úprave </w:t>
      </w:r>
    </w:p>
    <w:p w:rsidR="0053152B" w:rsidRPr="00D252D3" w:rsidRDefault="0053152B">
      <w:r w:rsidRPr="00D252D3">
        <w:t xml:space="preserve">a vysadzovaní telmisartanu monitorujte hladiny digoxínu, aby sa udržali hladiny v terapeutickom </w:t>
      </w:r>
    </w:p>
    <w:p w:rsidR="0053152B" w:rsidRPr="00D252D3" w:rsidRDefault="0053152B">
      <w:r w:rsidRPr="00D252D3">
        <w:t>rozsahu.</w:t>
      </w:r>
    </w:p>
    <w:p w:rsidR="0053152B" w:rsidRPr="00D252D3" w:rsidRDefault="0053152B">
      <w:pPr>
        <w:ind w:left="0" w:firstLine="0"/>
        <w:rPr>
          <w:snapToGrid w:val="0"/>
          <w:u w:val="single"/>
          <w:lang w:eastAsia="cs-CZ"/>
        </w:rPr>
      </w:pPr>
    </w:p>
    <w:p w:rsidR="0053152B" w:rsidRPr="00D252D3" w:rsidRDefault="0053152B">
      <w:pPr>
        <w:ind w:left="0" w:firstLine="0"/>
        <w:rPr>
          <w:snapToGrid w:val="0"/>
          <w:lang w:eastAsia="cs-CZ"/>
        </w:rPr>
      </w:pPr>
      <w:r w:rsidRPr="00D252D3">
        <w:rPr>
          <w:snapToGrid w:val="0"/>
          <w:u w:val="single"/>
          <w:lang w:eastAsia="cs-CZ"/>
        </w:rPr>
        <w:t>Iné antihypertenzíva</w:t>
      </w:r>
    </w:p>
    <w:p w:rsidR="0053152B" w:rsidRPr="00D252D3" w:rsidRDefault="0053152B">
      <w:pPr>
        <w:ind w:left="0" w:firstLine="0"/>
        <w:rPr>
          <w:snapToGrid w:val="0"/>
          <w:lang w:eastAsia="cs-CZ"/>
        </w:rPr>
      </w:pPr>
    </w:p>
    <w:p w:rsidR="0053152B" w:rsidRPr="00D252D3" w:rsidRDefault="0053152B">
      <w:pPr>
        <w:ind w:left="0" w:firstLine="0"/>
        <w:rPr>
          <w:snapToGrid w:val="0"/>
          <w:lang w:eastAsia="cs-CZ"/>
        </w:rPr>
      </w:pPr>
      <w:r w:rsidRPr="00D252D3">
        <w:rPr>
          <w:snapToGrid w:val="0"/>
          <w:lang w:eastAsia="cs-CZ"/>
        </w:rPr>
        <w:t>Telmisartan môže zvýšiť hypotenzný účinok iných antihypertenzív.</w:t>
      </w:r>
    </w:p>
    <w:p w:rsidR="0053152B" w:rsidRPr="00D252D3" w:rsidRDefault="0053152B">
      <w:pPr>
        <w:ind w:left="0" w:firstLine="0"/>
        <w:rPr>
          <w:snapToGrid w:val="0"/>
          <w:u w:val="single"/>
          <w:lang w:eastAsia="cs-CZ"/>
        </w:rPr>
      </w:pPr>
    </w:p>
    <w:p w:rsidR="0053152B" w:rsidRPr="00D252D3" w:rsidRDefault="0053152B">
      <w:pPr>
        <w:ind w:left="0" w:firstLine="0"/>
        <w:rPr>
          <w:szCs w:val="22"/>
          <w:lang w:eastAsia="de-DE"/>
        </w:rPr>
      </w:pPr>
      <w:r w:rsidRPr="00D252D3">
        <w:rPr>
          <w:szCs w:val="22"/>
          <w:lang w:eastAsia="it-IT"/>
        </w:rPr>
        <w:t>Údaje z klinických skúšaní ukázali, že duálna inhibícia systému renín-angiotenzín-aldosterón (RAAS) kombinovaným použitím inhibítorov ACE, blokátorov receptorov angiotenzínu II</w:t>
      </w:r>
      <w:r w:rsidRPr="00D252D3">
        <w:rPr>
          <w:bCs/>
          <w:szCs w:val="22"/>
        </w:rPr>
        <w:t xml:space="preserve"> </w:t>
      </w:r>
      <w:r w:rsidRPr="00D252D3">
        <w:rPr>
          <w:szCs w:val="22"/>
          <w:lang w:eastAsia="it-IT"/>
        </w:rPr>
        <w:t xml:space="preserve">alebo aliskirenu sa spája s vyššou frekvenciou nežiaducich udalostí, ako sú hypotenzia, hyperkaliémia a znížená funkcia obličiek </w:t>
      </w:r>
      <w:r w:rsidRPr="00D252D3">
        <w:rPr>
          <w:szCs w:val="22"/>
          <w:lang w:eastAsia="de-DE"/>
        </w:rPr>
        <w:t>(vrátane akútneho zlyhania obličiek), v porovnaní s použitím látky ovplyvňujúcej RAAS v monoterapii (pozri časti 4.3, 4.4 a 5.1).</w:t>
      </w:r>
    </w:p>
    <w:p w:rsidR="0053152B" w:rsidRPr="00D252D3" w:rsidRDefault="0053152B">
      <w:pPr>
        <w:ind w:left="0" w:firstLine="0"/>
        <w:rPr>
          <w:szCs w:val="22"/>
          <w:lang w:eastAsia="de-DE"/>
        </w:rPr>
      </w:pPr>
    </w:p>
    <w:p w:rsidR="0053152B" w:rsidRPr="00D252D3" w:rsidRDefault="0053152B">
      <w:pPr>
        <w:ind w:left="0" w:firstLine="0"/>
        <w:rPr>
          <w:snapToGrid w:val="0"/>
          <w:lang w:eastAsia="cs-CZ"/>
        </w:rPr>
      </w:pPr>
      <w:r w:rsidRPr="00D252D3">
        <w:rPr>
          <w:snapToGrid w:val="0"/>
          <w:u w:val="single"/>
          <w:lang w:eastAsia="cs-CZ"/>
        </w:rPr>
        <w:t>Antidiabetiká (perorálne látky a inzulín)</w:t>
      </w:r>
    </w:p>
    <w:p w:rsidR="0053152B" w:rsidRPr="00D252D3" w:rsidRDefault="0053152B">
      <w:pPr>
        <w:ind w:left="0" w:firstLine="0"/>
        <w:rPr>
          <w:snapToGrid w:val="0"/>
          <w:lang w:eastAsia="cs-CZ"/>
        </w:rPr>
      </w:pPr>
    </w:p>
    <w:p w:rsidR="0053152B" w:rsidRPr="00D252D3" w:rsidRDefault="0053152B">
      <w:pPr>
        <w:ind w:left="0" w:firstLine="0"/>
        <w:rPr>
          <w:snapToGrid w:val="0"/>
          <w:lang w:eastAsia="cs-CZ"/>
        </w:rPr>
      </w:pPr>
      <w:r w:rsidRPr="00D252D3">
        <w:rPr>
          <w:snapToGrid w:val="0"/>
          <w:lang w:eastAsia="cs-CZ"/>
        </w:rPr>
        <w:t>Môže byť potrebná úprava dávkovania antidiabetika (pozri časť 4.4).</w:t>
      </w:r>
    </w:p>
    <w:p w:rsidR="0053152B" w:rsidRPr="00D252D3" w:rsidRDefault="0053152B">
      <w:pPr>
        <w:ind w:left="0" w:firstLine="0"/>
        <w:rPr>
          <w:snapToGrid w:val="0"/>
          <w:lang w:eastAsia="cs-CZ"/>
        </w:rPr>
      </w:pPr>
    </w:p>
    <w:p w:rsidR="0053152B" w:rsidRPr="00D252D3" w:rsidRDefault="0053152B">
      <w:pPr>
        <w:ind w:left="0" w:firstLine="0"/>
        <w:rPr>
          <w:snapToGrid w:val="0"/>
          <w:lang w:eastAsia="cs-CZ"/>
        </w:rPr>
      </w:pPr>
      <w:r w:rsidRPr="00D252D3">
        <w:rPr>
          <w:snapToGrid w:val="0"/>
          <w:u w:val="single"/>
          <w:lang w:eastAsia="cs-CZ"/>
        </w:rPr>
        <w:t>Metformín</w:t>
      </w:r>
    </w:p>
    <w:p w:rsidR="0053152B" w:rsidRPr="00D252D3" w:rsidRDefault="0053152B">
      <w:pPr>
        <w:ind w:left="0" w:firstLine="0"/>
        <w:rPr>
          <w:snapToGrid w:val="0"/>
          <w:lang w:eastAsia="cs-CZ"/>
        </w:rPr>
      </w:pPr>
    </w:p>
    <w:p w:rsidR="0053152B" w:rsidRPr="00D252D3" w:rsidRDefault="0053152B">
      <w:pPr>
        <w:ind w:left="0" w:firstLine="0"/>
        <w:rPr>
          <w:snapToGrid w:val="0"/>
          <w:lang w:eastAsia="cs-CZ"/>
        </w:rPr>
      </w:pPr>
      <w:r w:rsidRPr="00D252D3">
        <w:rPr>
          <w:snapToGrid w:val="0"/>
          <w:lang w:eastAsia="cs-CZ"/>
        </w:rPr>
        <w:t>Metformín sa má používať s opatrnosťou: riziko laktátovej acidózy vyvolané možným funkčným zlyhaním obličiek má súvislosť s hydrocholorotiazidom.</w:t>
      </w:r>
    </w:p>
    <w:p w:rsidR="0053152B" w:rsidRPr="00D252D3" w:rsidRDefault="0053152B">
      <w:pPr>
        <w:ind w:left="0" w:firstLine="0"/>
        <w:rPr>
          <w:snapToGrid w:val="0"/>
          <w:lang w:eastAsia="cs-CZ"/>
        </w:rPr>
      </w:pPr>
    </w:p>
    <w:p w:rsidR="0053152B" w:rsidRPr="00D252D3" w:rsidRDefault="0053152B">
      <w:pPr>
        <w:ind w:left="0" w:firstLine="0"/>
        <w:rPr>
          <w:snapToGrid w:val="0"/>
          <w:lang w:eastAsia="cs-CZ"/>
        </w:rPr>
      </w:pPr>
      <w:r w:rsidRPr="00D252D3">
        <w:rPr>
          <w:snapToGrid w:val="0"/>
          <w:u w:val="single"/>
          <w:lang w:eastAsia="cs-CZ"/>
        </w:rPr>
        <w:t>Cholestyramín a kolestipolové živice</w:t>
      </w:r>
    </w:p>
    <w:p w:rsidR="0053152B" w:rsidRPr="00D252D3" w:rsidRDefault="0053152B">
      <w:pPr>
        <w:ind w:left="0" w:firstLine="0"/>
        <w:rPr>
          <w:snapToGrid w:val="0"/>
          <w:lang w:eastAsia="cs-CZ"/>
        </w:rPr>
      </w:pPr>
    </w:p>
    <w:p w:rsidR="0053152B" w:rsidRPr="00D252D3" w:rsidRDefault="0053152B">
      <w:pPr>
        <w:ind w:left="0" w:firstLine="0"/>
        <w:rPr>
          <w:snapToGrid w:val="0"/>
          <w:lang w:eastAsia="cs-CZ"/>
        </w:rPr>
      </w:pPr>
      <w:r w:rsidRPr="00D252D3">
        <w:rPr>
          <w:snapToGrid w:val="0"/>
          <w:lang w:eastAsia="cs-CZ"/>
        </w:rPr>
        <w:t>Absorpcia hydrochlorotiazidu je narušená prítomnosťou živíc na báze aniónových iónomeničov.</w:t>
      </w:r>
    </w:p>
    <w:p w:rsidR="0053152B" w:rsidRPr="00D252D3" w:rsidRDefault="0053152B">
      <w:pPr>
        <w:ind w:left="0" w:firstLine="0"/>
        <w:rPr>
          <w:snapToGrid w:val="0"/>
          <w:lang w:eastAsia="cs-CZ"/>
        </w:rPr>
      </w:pPr>
    </w:p>
    <w:p w:rsidR="0053152B" w:rsidRPr="00D252D3" w:rsidRDefault="0053152B" w:rsidP="0051567B">
      <w:pPr>
        <w:keepNext/>
        <w:ind w:left="0" w:firstLine="0"/>
        <w:rPr>
          <w:snapToGrid w:val="0"/>
          <w:szCs w:val="22"/>
          <w:lang w:eastAsia="cs-CZ"/>
        </w:rPr>
      </w:pPr>
      <w:r w:rsidRPr="00D252D3">
        <w:rPr>
          <w:snapToGrid w:val="0"/>
          <w:szCs w:val="22"/>
          <w:u w:val="single"/>
          <w:lang w:eastAsia="cs-CZ"/>
        </w:rPr>
        <w:t>Nesteroidné protizápalové lieky</w:t>
      </w:r>
    </w:p>
    <w:p w:rsidR="0053152B" w:rsidRPr="00D252D3" w:rsidRDefault="0053152B" w:rsidP="0051567B">
      <w:pPr>
        <w:keepNext/>
        <w:ind w:left="0" w:firstLine="0"/>
        <w:rPr>
          <w:snapToGrid w:val="0"/>
          <w:szCs w:val="22"/>
          <w:lang w:eastAsia="cs-CZ"/>
        </w:rPr>
      </w:pPr>
    </w:p>
    <w:p w:rsidR="0053152B" w:rsidRPr="00D252D3" w:rsidRDefault="0053152B">
      <w:pPr>
        <w:ind w:left="0" w:firstLine="0"/>
        <w:rPr>
          <w:szCs w:val="22"/>
        </w:rPr>
      </w:pPr>
      <w:r w:rsidRPr="00D252D3">
        <w:rPr>
          <w:szCs w:val="22"/>
        </w:rPr>
        <w:t xml:space="preserve">NSA (t.j. acetylsalicylová kyselina v protizápalových dávkovacích režimoch, </w:t>
      </w:r>
      <w:smartTag w:uri="urn:schemas-microsoft-com:office:smarttags" w:element="stockticker">
        <w:r w:rsidRPr="00D252D3">
          <w:rPr>
            <w:szCs w:val="22"/>
          </w:rPr>
          <w:t>COX</w:t>
        </w:r>
      </w:smartTag>
      <w:r w:rsidRPr="00D252D3">
        <w:rPr>
          <w:szCs w:val="22"/>
        </w:rPr>
        <w:t>-2 inhibítory a neselektívne NSA) môžu znížiť diuretické, natriuretické a antihypertenzné účinky tiazidových duretík a antihypertenzné účinky antagonistov receptora angiotenzínu II..</w:t>
      </w:r>
    </w:p>
    <w:p w:rsidR="0053152B" w:rsidRPr="00D252D3" w:rsidRDefault="0053152B">
      <w:pPr>
        <w:ind w:left="0" w:firstLine="0"/>
        <w:rPr>
          <w:szCs w:val="22"/>
        </w:rPr>
      </w:pPr>
      <w:r w:rsidRPr="00D252D3">
        <w:rPr>
          <w:szCs w:val="22"/>
        </w:rPr>
        <w:t>U niektorých pacientov so zníženou funkciou obličiek (napr. dehydratovaný pacienti alebo starší pacienti so zníženou funkciou obličiek) súčasné podávanie antagonistov receptora angiotenzínu II a účinných látok, ktoré inhibujú cyklooxygenázu môže viesť k ďalšiemu zhoršeniu funkcie obličiek, vrátane možného akútneho zlyhania obličiek, ktoré je zvyčajne reverzibilné. A preto, táto kombinácia sa má podávať veľmi opatrne obzvlášť u starších pacientov. Pacienti majú byť dostatočne hydratovaní, má sa zvážiť monitorovanie obličkových funkcií po začiatku súbežnej liečby a pravidelne počas jej trvania.</w:t>
      </w:r>
    </w:p>
    <w:p w:rsidR="0053152B" w:rsidRPr="00D252D3" w:rsidRDefault="0053152B">
      <w:pPr>
        <w:ind w:left="0" w:firstLine="0"/>
        <w:rPr>
          <w:snapToGrid w:val="0"/>
          <w:lang w:eastAsia="cs-CZ"/>
        </w:rPr>
      </w:pPr>
    </w:p>
    <w:p w:rsidR="0053152B" w:rsidRPr="00D252D3" w:rsidRDefault="0053152B">
      <w:pPr>
        <w:ind w:left="0" w:firstLine="0"/>
        <w:rPr>
          <w:szCs w:val="22"/>
        </w:rPr>
      </w:pPr>
      <w:r w:rsidRPr="00D252D3">
        <w:rPr>
          <w:szCs w:val="22"/>
        </w:rPr>
        <w:t>V jednej štúdii viedlo súbežné podávanie telmisartanu a ramiprilu k 2,5-násobnému zvýšeniu AUC</w:t>
      </w:r>
      <w:r w:rsidRPr="00D252D3">
        <w:rPr>
          <w:szCs w:val="22"/>
          <w:vertAlign w:val="subscript"/>
        </w:rPr>
        <w:t>0-24</w:t>
      </w:r>
      <w:r w:rsidRPr="00D252D3">
        <w:rPr>
          <w:szCs w:val="22"/>
        </w:rPr>
        <w:t xml:space="preserve"> a C</w:t>
      </w:r>
      <w:r w:rsidRPr="00D252D3">
        <w:rPr>
          <w:szCs w:val="22"/>
          <w:vertAlign w:val="subscript"/>
        </w:rPr>
        <w:t>max</w:t>
      </w:r>
      <w:r w:rsidRPr="00D252D3">
        <w:rPr>
          <w:szCs w:val="22"/>
        </w:rPr>
        <w:t xml:space="preserve"> ramiprilu a ramiprilátu. Klinický význam tohto pozorovania nie je známy.</w:t>
      </w:r>
    </w:p>
    <w:p w:rsidR="0053152B" w:rsidRPr="00D252D3" w:rsidRDefault="0053152B">
      <w:pPr>
        <w:ind w:left="0" w:firstLine="0"/>
        <w:rPr>
          <w:snapToGrid w:val="0"/>
          <w:lang w:eastAsia="cs-CZ"/>
        </w:rPr>
      </w:pPr>
    </w:p>
    <w:p w:rsidR="0053152B" w:rsidRPr="00D252D3" w:rsidRDefault="0053152B" w:rsidP="0051567B">
      <w:pPr>
        <w:keepNext/>
        <w:ind w:left="0" w:firstLine="0"/>
        <w:rPr>
          <w:snapToGrid w:val="0"/>
          <w:lang w:eastAsia="cs-CZ"/>
        </w:rPr>
      </w:pPr>
      <w:r w:rsidRPr="00D252D3">
        <w:rPr>
          <w:snapToGrid w:val="0"/>
          <w:u w:val="single"/>
          <w:lang w:eastAsia="cs-CZ"/>
        </w:rPr>
        <w:t>Pressorické amíny (napr. norandrenalín)</w:t>
      </w:r>
    </w:p>
    <w:p w:rsidR="0053152B" w:rsidRPr="00D252D3" w:rsidRDefault="0053152B" w:rsidP="0051567B">
      <w:pPr>
        <w:keepNext/>
        <w:ind w:left="0" w:firstLine="0"/>
        <w:rPr>
          <w:snapToGrid w:val="0"/>
          <w:lang w:eastAsia="cs-CZ"/>
        </w:rPr>
      </w:pPr>
    </w:p>
    <w:p w:rsidR="0053152B" w:rsidRPr="00D252D3" w:rsidRDefault="0053152B">
      <w:pPr>
        <w:ind w:left="0" w:firstLine="0"/>
        <w:rPr>
          <w:snapToGrid w:val="0"/>
          <w:lang w:eastAsia="cs-CZ"/>
        </w:rPr>
      </w:pPr>
      <w:r w:rsidRPr="00D252D3">
        <w:rPr>
          <w:snapToGrid w:val="0"/>
          <w:lang w:eastAsia="cs-CZ"/>
        </w:rPr>
        <w:t>Účinok pressorických amínov môže byť znížený.</w:t>
      </w:r>
    </w:p>
    <w:p w:rsidR="0053152B" w:rsidRPr="00D252D3" w:rsidRDefault="0053152B">
      <w:pPr>
        <w:ind w:left="0" w:firstLine="0"/>
        <w:rPr>
          <w:snapToGrid w:val="0"/>
          <w:lang w:eastAsia="cs-CZ"/>
        </w:rPr>
      </w:pPr>
    </w:p>
    <w:p w:rsidR="0053152B" w:rsidRPr="00D252D3" w:rsidRDefault="0053152B">
      <w:pPr>
        <w:ind w:left="0" w:firstLine="0"/>
        <w:rPr>
          <w:snapToGrid w:val="0"/>
          <w:u w:val="single"/>
          <w:lang w:eastAsia="cs-CZ"/>
        </w:rPr>
      </w:pPr>
      <w:r w:rsidRPr="00D252D3">
        <w:rPr>
          <w:snapToGrid w:val="0"/>
          <w:u w:val="single"/>
          <w:lang w:eastAsia="cs-CZ"/>
        </w:rPr>
        <w:t>Nedepolarizujúce relaxanciá kostrového svalstva (napr. tubokurarín)</w:t>
      </w:r>
    </w:p>
    <w:p w:rsidR="0053152B" w:rsidRPr="00D252D3" w:rsidRDefault="0053152B">
      <w:pPr>
        <w:ind w:left="0" w:firstLine="0"/>
        <w:rPr>
          <w:snapToGrid w:val="0"/>
          <w:u w:val="single"/>
          <w:lang w:eastAsia="cs-CZ"/>
        </w:rPr>
      </w:pPr>
    </w:p>
    <w:p w:rsidR="0053152B" w:rsidRPr="00D252D3" w:rsidRDefault="0053152B">
      <w:pPr>
        <w:ind w:left="0" w:firstLine="0"/>
        <w:rPr>
          <w:snapToGrid w:val="0"/>
          <w:lang w:eastAsia="cs-CZ"/>
        </w:rPr>
      </w:pPr>
      <w:r w:rsidRPr="00D252D3">
        <w:rPr>
          <w:snapToGrid w:val="0"/>
          <w:lang w:eastAsia="cs-CZ"/>
        </w:rPr>
        <w:t>Účinok nedepolarizačných relaxancií kostrového svalstva môže byť hydrochlorotiazidom potenciovaný.</w:t>
      </w:r>
    </w:p>
    <w:p w:rsidR="0053152B" w:rsidRPr="00D252D3" w:rsidRDefault="0053152B">
      <w:pPr>
        <w:ind w:left="0" w:firstLine="0"/>
        <w:rPr>
          <w:snapToGrid w:val="0"/>
          <w:lang w:eastAsia="cs-CZ"/>
        </w:rPr>
      </w:pPr>
    </w:p>
    <w:p w:rsidR="0053152B" w:rsidRPr="00D252D3" w:rsidRDefault="0053152B">
      <w:pPr>
        <w:ind w:left="0" w:firstLine="0"/>
        <w:rPr>
          <w:snapToGrid w:val="0"/>
          <w:lang w:eastAsia="cs-CZ"/>
        </w:rPr>
      </w:pPr>
      <w:r w:rsidRPr="00D252D3">
        <w:rPr>
          <w:snapToGrid w:val="0"/>
          <w:u w:val="single"/>
          <w:lang w:eastAsia="cs-CZ"/>
        </w:rPr>
        <w:t>Lieky používané pri liečbe dny (napr. probenecid, sulfinpyraz</w:t>
      </w:r>
      <w:r w:rsidR="00213CF0" w:rsidRPr="00D252D3">
        <w:rPr>
          <w:snapToGrid w:val="0"/>
          <w:u w:val="single"/>
          <w:lang w:eastAsia="cs-CZ"/>
        </w:rPr>
        <w:t>ó</w:t>
      </w:r>
      <w:r w:rsidRPr="00D252D3">
        <w:rPr>
          <w:snapToGrid w:val="0"/>
          <w:u w:val="single"/>
          <w:lang w:eastAsia="cs-CZ"/>
        </w:rPr>
        <w:t>n a alopurinol)</w:t>
      </w:r>
    </w:p>
    <w:p w:rsidR="0053152B" w:rsidRPr="00D252D3" w:rsidRDefault="0053152B">
      <w:pPr>
        <w:ind w:left="0" w:firstLine="0"/>
        <w:rPr>
          <w:snapToGrid w:val="0"/>
          <w:lang w:eastAsia="cs-CZ"/>
        </w:rPr>
      </w:pPr>
    </w:p>
    <w:p w:rsidR="0053152B" w:rsidRPr="00D252D3" w:rsidRDefault="0053152B">
      <w:pPr>
        <w:ind w:left="0" w:firstLine="0"/>
        <w:rPr>
          <w:snapToGrid w:val="0"/>
          <w:lang w:eastAsia="cs-CZ"/>
        </w:rPr>
      </w:pPr>
      <w:r w:rsidRPr="00D252D3">
        <w:rPr>
          <w:snapToGrid w:val="0"/>
          <w:lang w:eastAsia="cs-CZ"/>
        </w:rPr>
        <w:t>Môže byť potrebná úprava dávkovania urikozurík, pretože hydrochlorotiazid môže zvyšovať hladinu sérovej kyseliny močovej. Môže byť potrebné zvýšenie dávkovania probenecidu alebo sulfínpyraz</w:t>
      </w:r>
      <w:r w:rsidR="00213CF0" w:rsidRPr="00D252D3">
        <w:rPr>
          <w:snapToGrid w:val="0"/>
          <w:lang w:eastAsia="cs-CZ"/>
        </w:rPr>
        <w:t>ó</w:t>
      </w:r>
      <w:r w:rsidRPr="00D252D3">
        <w:rPr>
          <w:snapToGrid w:val="0"/>
          <w:lang w:eastAsia="cs-CZ"/>
        </w:rPr>
        <w:t>nu. Súbežné podávanie tiazidu môže zvýšiť výskyt reakcií precitlivenosti na alopurinol.</w:t>
      </w:r>
    </w:p>
    <w:p w:rsidR="0053152B" w:rsidRPr="00D252D3" w:rsidRDefault="0053152B">
      <w:pPr>
        <w:ind w:left="0" w:firstLine="0"/>
        <w:rPr>
          <w:snapToGrid w:val="0"/>
          <w:lang w:eastAsia="cs-CZ"/>
        </w:rPr>
      </w:pPr>
    </w:p>
    <w:p w:rsidR="0053152B" w:rsidRPr="00D252D3" w:rsidRDefault="0053152B">
      <w:pPr>
        <w:ind w:left="0" w:firstLine="0"/>
        <w:rPr>
          <w:snapToGrid w:val="0"/>
          <w:lang w:eastAsia="cs-CZ"/>
        </w:rPr>
      </w:pPr>
      <w:r w:rsidRPr="00D252D3">
        <w:rPr>
          <w:snapToGrid w:val="0"/>
          <w:u w:val="single"/>
          <w:lang w:eastAsia="cs-CZ"/>
        </w:rPr>
        <w:t>Soli vápnika</w:t>
      </w:r>
    </w:p>
    <w:p w:rsidR="0053152B" w:rsidRPr="00D252D3" w:rsidRDefault="0053152B">
      <w:pPr>
        <w:ind w:left="0" w:firstLine="0"/>
        <w:rPr>
          <w:snapToGrid w:val="0"/>
          <w:lang w:eastAsia="cs-CZ"/>
        </w:rPr>
      </w:pPr>
    </w:p>
    <w:p w:rsidR="0053152B" w:rsidRPr="00D252D3" w:rsidRDefault="0053152B">
      <w:pPr>
        <w:ind w:left="0" w:firstLine="0"/>
        <w:rPr>
          <w:snapToGrid w:val="0"/>
          <w:lang w:eastAsia="cs-CZ"/>
        </w:rPr>
      </w:pPr>
      <w:r w:rsidRPr="00D252D3">
        <w:rPr>
          <w:snapToGrid w:val="0"/>
          <w:lang w:eastAsia="cs-CZ"/>
        </w:rPr>
        <w:t>Tiazidové diuretiká môžu zvýšiť hladinu sérového vápnika z dôvodu zníženého vylučovania. Ak sa musia predpísať náhrady vápnika alebo lieky šetriace vápnik (napr. liečba vitamínom D), musia sa sledovať hladiny sérového vápnika a podľa toho upraviť dávkovanie vápnika.</w:t>
      </w:r>
    </w:p>
    <w:p w:rsidR="0053152B" w:rsidRPr="00D252D3" w:rsidRDefault="0053152B">
      <w:pPr>
        <w:ind w:left="0" w:firstLine="0"/>
        <w:rPr>
          <w:snapToGrid w:val="0"/>
          <w:lang w:eastAsia="cs-CZ"/>
        </w:rPr>
      </w:pPr>
    </w:p>
    <w:p w:rsidR="00393F63" w:rsidRPr="00D252D3" w:rsidRDefault="00393F63">
      <w:pPr>
        <w:ind w:left="0" w:firstLine="0"/>
        <w:rPr>
          <w:snapToGrid w:val="0"/>
          <w:lang w:eastAsia="cs-CZ"/>
        </w:rPr>
      </w:pPr>
    </w:p>
    <w:p w:rsidR="0053152B" w:rsidRPr="00D252D3" w:rsidRDefault="0053152B">
      <w:pPr>
        <w:ind w:left="0" w:firstLine="0"/>
        <w:rPr>
          <w:snapToGrid w:val="0"/>
          <w:lang w:eastAsia="cs-CZ"/>
        </w:rPr>
      </w:pPr>
      <w:r w:rsidRPr="00D252D3">
        <w:rPr>
          <w:snapToGrid w:val="0"/>
          <w:u w:val="single"/>
          <w:lang w:eastAsia="cs-CZ"/>
        </w:rPr>
        <w:t>Betablokátory a diazoxid</w:t>
      </w:r>
    </w:p>
    <w:p w:rsidR="0053152B" w:rsidRPr="00D252D3" w:rsidRDefault="0053152B">
      <w:pPr>
        <w:ind w:left="0" w:firstLine="0"/>
        <w:rPr>
          <w:snapToGrid w:val="0"/>
          <w:lang w:eastAsia="cs-CZ"/>
        </w:rPr>
      </w:pPr>
    </w:p>
    <w:p w:rsidR="0053152B" w:rsidRPr="00D252D3" w:rsidRDefault="0053152B">
      <w:pPr>
        <w:ind w:left="0" w:firstLine="0"/>
        <w:rPr>
          <w:snapToGrid w:val="0"/>
          <w:lang w:eastAsia="cs-CZ"/>
        </w:rPr>
      </w:pPr>
      <w:r w:rsidRPr="00D252D3">
        <w:rPr>
          <w:snapToGrid w:val="0"/>
          <w:lang w:eastAsia="cs-CZ"/>
        </w:rPr>
        <w:t>Hyperglykemický účinok betablokátorov a diazoxidu môže byť tiazidmi zvýšený.</w:t>
      </w:r>
    </w:p>
    <w:p w:rsidR="0053152B" w:rsidRPr="00D252D3" w:rsidRDefault="0053152B">
      <w:pPr>
        <w:ind w:left="0" w:firstLine="0"/>
        <w:rPr>
          <w:snapToGrid w:val="0"/>
          <w:lang w:eastAsia="cs-CZ"/>
        </w:rPr>
      </w:pPr>
    </w:p>
    <w:p w:rsidR="0053152B" w:rsidRPr="00D252D3" w:rsidRDefault="0053152B">
      <w:pPr>
        <w:ind w:left="0" w:firstLine="0"/>
        <w:rPr>
          <w:snapToGrid w:val="0"/>
          <w:lang w:eastAsia="cs-CZ"/>
        </w:rPr>
      </w:pPr>
      <w:r w:rsidRPr="00D252D3">
        <w:rPr>
          <w:snapToGrid w:val="0"/>
          <w:u w:val="single"/>
          <w:lang w:eastAsia="cs-CZ"/>
        </w:rPr>
        <w:t xml:space="preserve">Anticholínergné látky </w:t>
      </w:r>
      <w:r w:rsidRPr="00D252D3">
        <w:rPr>
          <w:snapToGrid w:val="0"/>
          <w:lang w:eastAsia="cs-CZ"/>
        </w:rPr>
        <w:t>(napr. atropín, biperidén): môžu zvýšiť biologickú dostupnosť diuretík tiazidového typu znížením gastrointestinálnej motility a rýchlosti vyprázdnenia žalúdka.</w:t>
      </w:r>
    </w:p>
    <w:p w:rsidR="0053152B" w:rsidRPr="00D252D3" w:rsidRDefault="0053152B">
      <w:pPr>
        <w:ind w:left="0" w:firstLine="0"/>
        <w:rPr>
          <w:snapToGrid w:val="0"/>
          <w:lang w:eastAsia="cs-CZ"/>
        </w:rPr>
      </w:pPr>
    </w:p>
    <w:p w:rsidR="0053152B" w:rsidRPr="00D252D3" w:rsidRDefault="0053152B">
      <w:pPr>
        <w:ind w:left="0" w:firstLine="0"/>
        <w:rPr>
          <w:snapToGrid w:val="0"/>
          <w:u w:val="single"/>
          <w:lang w:eastAsia="cs-CZ"/>
        </w:rPr>
      </w:pPr>
      <w:r w:rsidRPr="00D252D3">
        <w:rPr>
          <w:snapToGrid w:val="0"/>
          <w:u w:val="single"/>
          <w:lang w:eastAsia="cs-CZ"/>
        </w:rPr>
        <w:t>Amantadín</w:t>
      </w:r>
    </w:p>
    <w:p w:rsidR="0053152B" w:rsidRPr="00D252D3" w:rsidRDefault="0053152B">
      <w:pPr>
        <w:ind w:left="0" w:firstLine="0"/>
        <w:rPr>
          <w:snapToGrid w:val="0"/>
          <w:u w:val="single"/>
          <w:lang w:eastAsia="cs-CZ"/>
        </w:rPr>
      </w:pPr>
    </w:p>
    <w:p w:rsidR="0053152B" w:rsidRPr="00D252D3" w:rsidRDefault="0053152B">
      <w:pPr>
        <w:ind w:left="0" w:firstLine="0"/>
        <w:rPr>
          <w:snapToGrid w:val="0"/>
          <w:lang w:eastAsia="cs-CZ"/>
        </w:rPr>
      </w:pPr>
      <w:r w:rsidRPr="00D252D3">
        <w:rPr>
          <w:snapToGrid w:val="0"/>
          <w:lang w:eastAsia="cs-CZ"/>
        </w:rPr>
        <w:t>Tiazidy môžu zvýšiť riziko nežiaducich účinkov zapríčinených amantadínom.</w:t>
      </w:r>
    </w:p>
    <w:p w:rsidR="0053152B" w:rsidRPr="00D252D3" w:rsidRDefault="0053152B">
      <w:pPr>
        <w:ind w:left="0" w:firstLine="0"/>
        <w:rPr>
          <w:snapToGrid w:val="0"/>
          <w:lang w:eastAsia="cs-CZ"/>
        </w:rPr>
      </w:pPr>
    </w:p>
    <w:p w:rsidR="0053152B" w:rsidRPr="00D252D3" w:rsidRDefault="0053152B">
      <w:pPr>
        <w:ind w:left="0" w:firstLine="0"/>
        <w:rPr>
          <w:snapToGrid w:val="0"/>
          <w:lang w:eastAsia="cs-CZ"/>
        </w:rPr>
      </w:pPr>
      <w:r w:rsidRPr="00D252D3">
        <w:rPr>
          <w:snapToGrid w:val="0"/>
          <w:u w:val="single"/>
          <w:lang w:eastAsia="cs-CZ"/>
        </w:rPr>
        <w:t>Cytotoxické látky</w:t>
      </w:r>
      <w:r w:rsidRPr="00D252D3">
        <w:rPr>
          <w:snapToGrid w:val="0"/>
          <w:lang w:eastAsia="cs-CZ"/>
        </w:rPr>
        <w:t xml:space="preserve"> (napr. cyklofosfamid, metotrexát)</w:t>
      </w:r>
    </w:p>
    <w:p w:rsidR="0053152B" w:rsidRPr="00D252D3" w:rsidRDefault="0053152B">
      <w:pPr>
        <w:ind w:left="0" w:firstLine="0"/>
        <w:rPr>
          <w:snapToGrid w:val="0"/>
          <w:lang w:eastAsia="cs-CZ"/>
        </w:rPr>
      </w:pPr>
    </w:p>
    <w:p w:rsidR="0053152B" w:rsidRPr="00D252D3" w:rsidRDefault="0053152B">
      <w:pPr>
        <w:ind w:left="0" w:firstLine="0"/>
        <w:rPr>
          <w:snapToGrid w:val="0"/>
          <w:lang w:eastAsia="cs-CZ"/>
        </w:rPr>
      </w:pPr>
      <w:r w:rsidRPr="00D252D3">
        <w:rPr>
          <w:snapToGrid w:val="0"/>
          <w:lang w:eastAsia="cs-CZ"/>
        </w:rPr>
        <w:t>Tiazidy môžu znížiť renálne vylučovanie cytotoxických liekov a potenciovať ich myelosupresívne účinky.</w:t>
      </w:r>
    </w:p>
    <w:p w:rsidR="0053152B" w:rsidRPr="00D252D3" w:rsidRDefault="0053152B"/>
    <w:p w:rsidR="0053152B" w:rsidRPr="00D252D3" w:rsidRDefault="0053152B">
      <w:pPr>
        <w:ind w:left="0" w:firstLine="0"/>
      </w:pPr>
      <w:r w:rsidRPr="00D252D3">
        <w:t>Na základe ich farmakologických vlastností sa dá očakávať, že nasledovné lieky môžu zvyšovať hypotenzné účinky všetkých antihypertenzív vrátane telmisartanu: baklofen, amiostín.</w:t>
      </w:r>
    </w:p>
    <w:p w:rsidR="0053152B" w:rsidRPr="00D252D3" w:rsidRDefault="0053152B">
      <w:pPr>
        <w:ind w:left="0" w:firstLine="0"/>
      </w:pPr>
      <w:r w:rsidRPr="00D252D3">
        <w:t>Navyše, ortostatická hypotenzia môže byť zhoršená alkoholom, barbiturátmi, narkotikami alebo antidepresívami.</w:t>
      </w:r>
    </w:p>
    <w:p w:rsidR="0053152B" w:rsidRPr="00D252D3" w:rsidRDefault="0053152B"/>
    <w:p w:rsidR="0053152B" w:rsidRPr="00D252D3" w:rsidRDefault="0053152B">
      <w:pPr>
        <w:keepNext/>
        <w:keepLines/>
        <w:ind w:left="562" w:hanging="562"/>
      </w:pPr>
      <w:r w:rsidRPr="00D252D3">
        <w:rPr>
          <w:b/>
        </w:rPr>
        <w:t>4.6</w:t>
      </w:r>
      <w:r w:rsidRPr="00D252D3">
        <w:rPr>
          <w:b/>
        </w:rPr>
        <w:tab/>
        <w:t>Fertilita, gravidita a laktácia</w:t>
      </w:r>
    </w:p>
    <w:p w:rsidR="0053152B" w:rsidRPr="00D252D3" w:rsidRDefault="0053152B">
      <w:pPr>
        <w:keepNext/>
        <w:keepLines/>
        <w:ind w:left="562" w:hanging="562"/>
      </w:pPr>
    </w:p>
    <w:p w:rsidR="0053152B" w:rsidRPr="00D252D3" w:rsidRDefault="0053152B">
      <w:pPr>
        <w:keepNext/>
        <w:keepLines/>
        <w:ind w:left="562" w:hanging="562"/>
        <w:rPr>
          <w:u w:val="single"/>
        </w:rPr>
      </w:pPr>
      <w:r w:rsidRPr="00D252D3">
        <w:rPr>
          <w:u w:val="single"/>
        </w:rPr>
        <w:t>Gravidita</w:t>
      </w:r>
    </w:p>
    <w:p w:rsidR="0053152B" w:rsidRPr="00D252D3" w:rsidRDefault="0053152B">
      <w:pPr>
        <w:keepNext/>
        <w:keepLines/>
        <w:ind w:left="562" w:hanging="562"/>
        <w:rPr>
          <w:u w:val="single"/>
        </w:rPr>
      </w:pPr>
    </w:p>
    <w:p w:rsidR="0053152B" w:rsidRPr="00D252D3" w:rsidRDefault="0053152B">
      <w:pPr>
        <w:pStyle w:val="BodyText2"/>
        <w:pBdr>
          <w:top w:val="single" w:sz="4" w:space="1" w:color="auto"/>
          <w:left w:val="single" w:sz="4" w:space="6" w:color="auto"/>
          <w:bottom w:val="single" w:sz="4" w:space="1" w:color="auto"/>
          <w:right w:val="single" w:sz="4" w:space="4" w:color="auto"/>
        </w:pBdr>
        <w:spacing w:after="0" w:line="240" w:lineRule="auto"/>
        <w:ind w:left="0" w:firstLine="0"/>
        <w:rPr>
          <w:szCs w:val="22"/>
        </w:rPr>
      </w:pPr>
      <w:r w:rsidRPr="00D252D3">
        <w:rPr>
          <w:szCs w:val="22"/>
        </w:rPr>
        <w:t>Užívanie antagonistov receptora angiotenzínu II sa neodporúča počas prvého trimestra gravidity (pozri časť 4.4). Použitie antagonistov receptora angiotenzínu II je kontraindikované počas druhého a tretieho trimestra gravidity (pozri časti 4.3 a 4.4).</w:t>
      </w:r>
    </w:p>
    <w:p w:rsidR="0053152B" w:rsidRPr="00D252D3" w:rsidRDefault="0053152B"/>
    <w:p w:rsidR="0053152B" w:rsidRPr="00D252D3" w:rsidRDefault="0053152B">
      <w:pPr>
        <w:ind w:left="0" w:firstLine="0"/>
        <w:rPr>
          <w:szCs w:val="22"/>
        </w:rPr>
      </w:pPr>
      <w:r w:rsidRPr="00D252D3">
        <w:rPr>
          <w:szCs w:val="22"/>
        </w:rPr>
        <w:t xml:space="preserve">Nie sú k dispozícii dostatočné údaje o užívaní </w:t>
      </w:r>
      <w:r w:rsidRPr="00D252D3">
        <w:rPr>
          <w:snapToGrid w:val="0"/>
          <w:lang w:eastAsia="cs-CZ"/>
        </w:rPr>
        <w:t>MicardisPlusu</w:t>
      </w:r>
      <w:r w:rsidRPr="00D252D3">
        <w:rPr>
          <w:szCs w:val="22"/>
        </w:rPr>
        <w:t xml:space="preserve"> u gravidných žien. Štúdie na zvieratách preukázali reprodukčnú toxicitu (pozri časť 5.3).</w:t>
      </w:r>
    </w:p>
    <w:p w:rsidR="0053152B" w:rsidRPr="00D252D3" w:rsidRDefault="0053152B">
      <w:pPr>
        <w:ind w:left="0" w:firstLine="0"/>
        <w:rPr>
          <w:szCs w:val="22"/>
        </w:rPr>
      </w:pPr>
    </w:p>
    <w:p w:rsidR="0053152B" w:rsidRPr="00D252D3" w:rsidRDefault="0053152B">
      <w:pPr>
        <w:ind w:left="0" w:firstLine="0"/>
        <w:rPr>
          <w:szCs w:val="22"/>
        </w:rPr>
      </w:pPr>
      <w:r w:rsidRPr="00D252D3">
        <w:rPr>
          <w:szCs w:val="22"/>
        </w:rPr>
        <w:t xml:space="preserve">Epidemiologické dôkazy týkajúce sa rizika teratogenity po vystavení účinku </w:t>
      </w:r>
      <w:smartTag w:uri="urn:schemas-microsoft-com:office:smarttags" w:element="stockticker">
        <w:r w:rsidRPr="00D252D3">
          <w:rPr>
            <w:szCs w:val="22"/>
          </w:rPr>
          <w:t>ACE</w:t>
        </w:r>
      </w:smartTag>
      <w:r w:rsidRPr="00D252D3">
        <w:rPr>
          <w:szCs w:val="22"/>
        </w:rPr>
        <w:t xml:space="preserve"> inhibítorov počas prvého trimestra gravidity nie sú preukazné. Malé zvýšenie rizika však nemožno vylúčiť. </w:t>
      </w:r>
    </w:p>
    <w:p w:rsidR="0053152B" w:rsidRPr="00D252D3" w:rsidRDefault="0053152B">
      <w:pPr>
        <w:ind w:left="0" w:firstLine="0"/>
        <w:rPr>
          <w:szCs w:val="22"/>
        </w:rPr>
      </w:pPr>
      <w:r w:rsidRPr="00D252D3">
        <w:rPr>
          <w:szCs w:val="22"/>
        </w:rPr>
        <w:t>Pokiaľ neexistujú žiadne kontrolované epidemiologické údaje o riziku antagonistov receptora angiotenzínu II, pre túto triedu liečiv môžu existovať podobné riziká. Pokiaľ nie je pokračovanie liečby antagonistmi receptora angiotenzínu II považované za nevyhnutné, pacientky, ktoré plánujú graviditu sa majú prestaviť na alternatívnu antihypertenznú liečbu, ktorá má preukázaný bezpečnostný profil pri používaní v gravidite. Ak sa gravidita diagnostikuje, liečba antagonistmi receptora angiotenzínu II sa musí okamžite ukončiť a ak je vhodné, má sa začať alternatívna liečba.</w:t>
      </w:r>
    </w:p>
    <w:p w:rsidR="0053152B" w:rsidRPr="00D252D3" w:rsidRDefault="0053152B">
      <w:pPr>
        <w:autoSpaceDE w:val="0"/>
        <w:autoSpaceDN w:val="0"/>
        <w:adjustRightInd w:val="0"/>
        <w:ind w:left="0" w:firstLine="0"/>
        <w:rPr>
          <w:szCs w:val="22"/>
        </w:rPr>
      </w:pPr>
    </w:p>
    <w:p w:rsidR="0053152B" w:rsidRPr="00D252D3" w:rsidRDefault="0053152B">
      <w:pPr>
        <w:autoSpaceDE w:val="0"/>
        <w:autoSpaceDN w:val="0"/>
        <w:adjustRightInd w:val="0"/>
        <w:ind w:left="0" w:firstLine="0"/>
        <w:rPr>
          <w:szCs w:val="22"/>
        </w:rPr>
      </w:pPr>
      <w:r w:rsidRPr="00D252D3">
        <w:rPr>
          <w:szCs w:val="22"/>
        </w:rPr>
        <w:t>Expozícia liečbe antagonistmi receptora angiotenzínu II počas druhého a tretieho trimestra je známa tým, že indukuje fetotoxicitu u ľudí (znížená funkcia obličiek, oligohydramnión, retardácia osifikácie lebky) a neonatálnu toxicitu (renálne zlyhanie, hypotenzia, hyperkaliémia). (Pozri časť 5.3).</w:t>
      </w:r>
    </w:p>
    <w:p w:rsidR="0053152B" w:rsidRPr="00D252D3" w:rsidRDefault="0053152B">
      <w:pPr>
        <w:autoSpaceDE w:val="0"/>
        <w:autoSpaceDN w:val="0"/>
        <w:adjustRightInd w:val="0"/>
        <w:ind w:left="0" w:firstLine="0"/>
        <w:rPr>
          <w:szCs w:val="22"/>
        </w:rPr>
      </w:pPr>
      <w:r w:rsidRPr="00D252D3">
        <w:rPr>
          <w:szCs w:val="22"/>
        </w:rPr>
        <w:t>Ak došlo od druhého trimestra gravidity k vystaveniu účinkom antagonistov receptora angiotenzínu II, odporúča sa ultrazvukové vyšetrenie funkcie obličiek a lebky.</w:t>
      </w:r>
    </w:p>
    <w:p w:rsidR="0053152B" w:rsidRPr="00D252D3" w:rsidRDefault="0053152B">
      <w:pPr>
        <w:spacing w:line="260" w:lineRule="exact"/>
        <w:ind w:left="0" w:firstLine="0"/>
        <w:rPr>
          <w:szCs w:val="22"/>
          <w:highlight w:val="yellow"/>
        </w:rPr>
      </w:pPr>
      <w:r w:rsidRPr="00D252D3">
        <w:rPr>
          <w:szCs w:val="22"/>
        </w:rPr>
        <w:t>Novorodenci, ktorých matky užívali antagonisty receptora angiotenzínu II sa majú starostlivo sledovať z dôvodu hypotenzie (pozri časti 4.3 a 4.4).</w:t>
      </w:r>
    </w:p>
    <w:p w:rsidR="0053152B" w:rsidRPr="00D252D3" w:rsidRDefault="0053152B">
      <w:pPr>
        <w:ind w:left="0" w:firstLine="0"/>
        <w:rPr>
          <w:snapToGrid w:val="0"/>
          <w:u w:val="single"/>
          <w:lang w:eastAsia="cs-CZ"/>
        </w:rPr>
      </w:pPr>
    </w:p>
    <w:p w:rsidR="0053152B" w:rsidRPr="00D252D3" w:rsidRDefault="0053152B">
      <w:pPr>
        <w:pStyle w:val="PlainText"/>
        <w:rPr>
          <w:rFonts w:ascii="Times New Roman" w:hAnsi="Times New Roman"/>
          <w:sz w:val="22"/>
          <w:szCs w:val="22"/>
          <w:lang w:val="sk-SK"/>
        </w:rPr>
      </w:pPr>
      <w:r w:rsidRPr="00D252D3">
        <w:rPr>
          <w:rFonts w:ascii="Times New Roman" w:hAnsi="Times New Roman"/>
          <w:sz w:val="22"/>
          <w:szCs w:val="22"/>
          <w:lang w:val="sk-SK"/>
        </w:rPr>
        <w:t>S užívaním hydrochlorotiazidu počas tehotenstva sú len obmedzené skúsenosti, obzvlášť počas prvého trimestra. Štúdie na zvieratách sú nedostatočné. Hydrochlorotiazid prechádza placentou. Vychádzajúc z farmakologického mechanizmu účinku hydrochlorotiazidu môže jeho užívanie počas druhého a tretieho trimestra znížiť fetálnu a placentovú perfúziu a môže mať následky na plod a novorodenca ako je ikterus, porucha elektrolytickej rovnováhy a trombocytopénia.</w:t>
      </w:r>
    </w:p>
    <w:p w:rsidR="00630270" w:rsidRPr="00D252D3" w:rsidRDefault="00630270">
      <w:pPr>
        <w:pStyle w:val="PlainText"/>
        <w:rPr>
          <w:rFonts w:ascii="Times New Roman" w:hAnsi="Times New Roman"/>
          <w:sz w:val="22"/>
          <w:szCs w:val="22"/>
          <w:lang w:val="sk-SK"/>
        </w:rPr>
      </w:pPr>
    </w:p>
    <w:p w:rsidR="0053152B" w:rsidRPr="00D252D3" w:rsidRDefault="0053152B">
      <w:pPr>
        <w:pStyle w:val="PlainText"/>
        <w:rPr>
          <w:rFonts w:ascii="Times New Roman" w:hAnsi="Times New Roman"/>
          <w:sz w:val="22"/>
          <w:szCs w:val="22"/>
          <w:lang w:val="sk-SK"/>
        </w:rPr>
      </w:pPr>
      <w:r w:rsidRPr="00D252D3">
        <w:rPr>
          <w:rFonts w:ascii="Times New Roman" w:hAnsi="Times New Roman"/>
          <w:sz w:val="22"/>
          <w:szCs w:val="22"/>
          <w:lang w:val="sk-SK"/>
        </w:rPr>
        <w:t xml:space="preserve">Hydrochlorotiazid sa nemá používať pri gestačnom edéme, gestačnej hypertenzii alebo preeklampsii  kvôli riziku zníženeho objemu plazmy a hypoperfúzii placenty, bez pozitívneho účinku na priebeh ochorenia. </w:t>
      </w:r>
    </w:p>
    <w:p w:rsidR="0053152B" w:rsidRPr="00D252D3" w:rsidRDefault="0053152B">
      <w:pPr>
        <w:pStyle w:val="PlainText"/>
        <w:rPr>
          <w:rFonts w:ascii="Times New Roman" w:hAnsi="Times New Roman"/>
          <w:sz w:val="22"/>
          <w:szCs w:val="22"/>
          <w:lang w:val="sk-SK"/>
        </w:rPr>
      </w:pPr>
    </w:p>
    <w:p w:rsidR="0053152B" w:rsidRPr="00D252D3" w:rsidRDefault="0053152B">
      <w:pPr>
        <w:pStyle w:val="PlainText"/>
        <w:rPr>
          <w:rFonts w:ascii="Times New Roman" w:hAnsi="Times New Roman"/>
          <w:sz w:val="22"/>
          <w:szCs w:val="22"/>
          <w:lang w:val="sk-SK"/>
        </w:rPr>
      </w:pPr>
      <w:r w:rsidRPr="00D252D3">
        <w:rPr>
          <w:rFonts w:ascii="Times New Roman" w:hAnsi="Times New Roman"/>
          <w:sz w:val="22"/>
          <w:szCs w:val="22"/>
          <w:lang w:val="sk-SK"/>
        </w:rPr>
        <w:t xml:space="preserve">Hydrochlorotiazid sa nemá užívať pri esenciálnej hypertenzii u tehotných žien s výnimkou zriedkavých prípadov, kedy sa nedá použiť žiadna iná liečba.  </w:t>
      </w:r>
    </w:p>
    <w:p w:rsidR="0053152B" w:rsidRPr="00D252D3" w:rsidRDefault="0053152B">
      <w:pPr>
        <w:ind w:left="0" w:firstLine="0"/>
        <w:rPr>
          <w:snapToGrid w:val="0"/>
          <w:lang w:eastAsia="cs-CZ"/>
        </w:rPr>
      </w:pPr>
    </w:p>
    <w:p w:rsidR="0053152B" w:rsidRPr="00D252D3" w:rsidRDefault="0053152B">
      <w:pPr>
        <w:ind w:left="0" w:firstLine="0"/>
        <w:rPr>
          <w:snapToGrid w:val="0"/>
          <w:u w:val="single"/>
          <w:lang w:eastAsia="cs-CZ"/>
        </w:rPr>
      </w:pPr>
      <w:r w:rsidRPr="00D252D3">
        <w:rPr>
          <w:snapToGrid w:val="0"/>
          <w:u w:val="single"/>
          <w:lang w:eastAsia="cs-CZ"/>
        </w:rPr>
        <w:t>Dojčenie</w:t>
      </w:r>
    </w:p>
    <w:p w:rsidR="0053152B" w:rsidRPr="00D252D3" w:rsidRDefault="0053152B">
      <w:pPr>
        <w:ind w:left="0" w:firstLine="0"/>
        <w:rPr>
          <w:snapToGrid w:val="0"/>
          <w:u w:val="single"/>
          <w:lang w:eastAsia="cs-CZ"/>
        </w:rPr>
      </w:pPr>
    </w:p>
    <w:p w:rsidR="0053152B" w:rsidRPr="00D252D3" w:rsidRDefault="0053152B">
      <w:pPr>
        <w:ind w:left="0" w:firstLine="0"/>
        <w:rPr>
          <w:szCs w:val="22"/>
        </w:rPr>
      </w:pPr>
      <w:r w:rsidRPr="00D252D3">
        <w:rPr>
          <w:szCs w:val="22"/>
        </w:rPr>
        <w:t xml:space="preserve">Keďže nie sú dostupné informácie o používaní MicardisPlusu počas </w:t>
      </w:r>
      <w:r w:rsidR="00213CF0" w:rsidRPr="00D252D3">
        <w:rPr>
          <w:szCs w:val="22"/>
        </w:rPr>
        <w:t>dojčenia</w:t>
      </w:r>
      <w:r w:rsidRPr="00D252D3">
        <w:rPr>
          <w:szCs w:val="22"/>
        </w:rPr>
        <w:t xml:space="preserve">, MicardisPlus sa neodporúča a má sa použiť alternatívna liečba s vhodnejším bezpečnostným profilom pre obdobie dojčenia, zvlášť pre dojčenie novorodencov a predčasne narodených dojčiat. </w:t>
      </w:r>
    </w:p>
    <w:p w:rsidR="0053152B" w:rsidRPr="00D252D3" w:rsidRDefault="0053152B">
      <w:pPr>
        <w:pStyle w:val="PlainText"/>
        <w:rPr>
          <w:rFonts w:ascii="Times New Roman" w:hAnsi="Times New Roman"/>
          <w:sz w:val="22"/>
          <w:szCs w:val="22"/>
          <w:lang w:val="sk-SK"/>
        </w:rPr>
      </w:pPr>
    </w:p>
    <w:p w:rsidR="0053152B" w:rsidRPr="00D252D3" w:rsidRDefault="0053152B">
      <w:pPr>
        <w:pStyle w:val="PlainText"/>
        <w:rPr>
          <w:rFonts w:ascii="Times New Roman" w:hAnsi="Times New Roman"/>
          <w:sz w:val="22"/>
          <w:szCs w:val="22"/>
          <w:lang w:val="sk-SK"/>
        </w:rPr>
      </w:pPr>
      <w:r w:rsidRPr="00D252D3">
        <w:rPr>
          <w:rFonts w:ascii="Times New Roman" w:hAnsi="Times New Roman"/>
          <w:sz w:val="22"/>
          <w:szCs w:val="22"/>
          <w:lang w:val="sk-SK"/>
        </w:rPr>
        <w:t xml:space="preserve">Hydrochlorotiazid sa v malých množstvách vylučuje do materského mlieka. Tiazidy, ktoré vo vysokých dávkach spôsobujú intenzívnu diurézu, môžu utlmiť tvorbu mlieka. Užívanie MicardisPlusu sa počas dojčenia neodporúča. Ak sa MicardisPlus užíva počas dojčenia, dávky majú byť čo najnižšie. </w:t>
      </w:r>
    </w:p>
    <w:p w:rsidR="0053152B" w:rsidRPr="00D252D3" w:rsidRDefault="0053152B">
      <w:pPr>
        <w:ind w:left="0" w:firstLine="0"/>
        <w:rPr>
          <w:snapToGrid w:val="0"/>
          <w:u w:val="single"/>
          <w:lang w:eastAsia="cs-CZ"/>
        </w:rPr>
      </w:pPr>
    </w:p>
    <w:p w:rsidR="0053152B" w:rsidRPr="00D252D3" w:rsidRDefault="0053152B">
      <w:pPr>
        <w:ind w:left="0" w:firstLine="0"/>
        <w:rPr>
          <w:snapToGrid w:val="0"/>
          <w:u w:val="single"/>
          <w:lang w:eastAsia="cs-CZ"/>
        </w:rPr>
      </w:pPr>
      <w:r w:rsidRPr="00D252D3">
        <w:rPr>
          <w:snapToGrid w:val="0"/>
          <w:u w:val="single"/>
          <w:lang w:eastAsia="cs-CZ"/>
        </w:rPr>
        <w:t>Fertilita</w:t>
      </w:r>
    </w:p>
    <w:p w:rsidR="0053152B" w:rsidRPr="00D252D3" w:rsidRDefault="0053152B">
      <w:pPr>
        <w:ind w:left="0" w:firstLine="0"/>
        <w:rPr>
          <w:snapToGrid w:val="0"/>
          <w:lang w:eastAsia="cs-CZ"/>
        </w:rPr>
      </w:pPr>
    </w:p>
    <w:p w:rsidR="0053152B" w:rsidRPr="00D252D3" w:rsidRDefault="0053152B">
      <w:pPr>
        <w:ind w:left="0" w:firstLine="0"/>
        <w:rPr>
          <w:snapToGrid w:val="0"/>
          <w:lang w:eastAsia="cs-CZ"/>
        </w:rPr>
      </w:pPr>
      <w:r w:rsidRPr="00D252D3">
        <w:rPr>
          <w:snapToGrid w:val="0"/>
          <w:lang w:eastAsia="cs-CZ"/>
        </w:rPr>
        <w:t>V predklinických štúdiách sa nepozorovali žiadne vplyvy telmisartanu a hydrochlorotiazidu na fertilitu samcov a samíc.</w:t>
      </w:r>
    </w:p>
    <w:p w:rsidR="0053152B" w:rsidRPr="00D252D3" w:rsidRDefault="0053152B">
      <w:pPr>
        <w:ind w:left="0" w:firstLine="0"/>
      </w:pPr>
    </w:p>
    <w:p w:rsidR="0053152B" w:rsidRPr="00D252D3" w:rsidRDefault="0053152B">
      <w:pPr>
        <w:keepNext/>
        <w:keepLines/>
        <w:ind w:left="562" w:hanging="562"/>
      </w:pPr>
      <w:r w:rsidRPr="00D252D3">
        <w:rPr>
          <w:b/>
        </w:rPr>
        <w:t>4.7</w:t>
      </w:r>
      <w:r w:rsidRPr="00D252D3">
        <w:rPr>
          <w:b/>
        </w:rPr>
        <w:tab/>
        <w:t>Ovplyvnenie schopnosti viesť vozidlá a obsluhovať stroje</w:t>
      </w:r>
    </w:p>
    <w:p w:rsidR="0053152B" w:rsidRPr="00D252D3" w:rsidRDefault="0053152B">
      <w:pPr>
        <w:keepNext/>
        <w:keepLines/>
        <w:ind w:left="562" w:hanging="562"/>
      </w:pPr>
    </w:p>
    <w:p w:rsidR="0053152B" w:rsidRPr="00D252D3" w:rsidRDefault="0053152B">
      <w:pPr>
        <w:ind w:left="0" w:firstLine="0"/>
        <w:rPr>
          <w:snapToGrid w:val="0"/>
          <w:lang w:eastAsia="cs-CZ"/>
        </w:rPr>
      </w:pPr>
      <w:r w:rsidRPr="00D252D3">
        <w:rPr>
          <w:snapToGrid w:val="0"/>
          <w:lang w:eastAsia="cs-CZ"/>
        </w:rPr>
        <w:t>MicardisPlus môže mať vplyv na schopnosť viesť vozidlá a obsluhovať stroje. Pri užívaní MicardisPlusu sa občas môže vyskytnúť závrat alebo ospalosť.</w:t>
      </w:r>
    </w:p>
    <w:p w:rsidR="0053152B" w:rsidRPr="00D252D3" w:rsidRDefault="0053152B">
      <w:pPr>
        <w:ind w:left="0" w:firstLine="0"/>
      </w:pPr>
    </w:p>
    <w:p w:rsidR="0053152B" w:rsidRPr="00D252D3" w:rsidRDefault="0053152B" w:rsidP="00AB164B">
      <w:pPr>
        <w:keepNext/>
        <w:numPr>
          <w:ilvl w:val="1"/>
          <w:numId w:val="1"/>
        </w:numPr>
        <w:rPr>
          <w:b/>
        </w:rPr>
      </w:pPr>
      <w:r w:rsidRPr="00D252D3">
        <w:rPr>
          <w:b/>
        </w:rPr>
        <w:t>Nežiaduce účinky</w:t>
      </w:r>
    </w:p>
    <w:p w:rsidR="0053152B" w:rsidRPr="00D252D3" w:rsidRDefault="0053152B" w:rsidP="00AB164B">
      <w:pPr>
        <w:keepNext/>
      </w:pPr>
    </w:p>
    <w:p w:rsidR="0053152B" w:rsidRPr="00D252D3" w:rsidRDefault="0053152B" w:rsidP="00AB164B">
      <w:pPr>
        <w:keepNext/>
        <w:rPr>
          <w:u w:val="single"/>
        </w:rPr>
      </w:pPr>
      <w:r w:rsidRPr="00D252D3">
        <w:rPr>
          <w:u w:val="single"/>
        </w:rPr>
        <w:t>Súhrn profilu bezpečnosti</w:t>
      </w:r>
    </w:p>
    <w:p w:rsidR="0053152B" w:rsidRPr="00D252D3" w:rsidRDefault="0053152B" w:rsidP="00AB164B">
      <w:pPr>
        <w:keepNext/>
      </w:pPr>
    </w:p>
    <w:p w:rsidR="0053152B" w:rsidRPr="00D252D3" w:rsidRDefault="0053152B">
      <w:r w:rsidRPr="00D252D3">
        <w:t>Najčastejšie hlásenou nežiaducou reakciou je závrat. Závažný angioedém sa môže vyskytnúť</w:t>
      </w:r>
    </w:p>
    <w:p w:rsidR="00630270" w:rsidRPr="00D252D3" w:rsidRDefault="0053152B">
      <w:pPr>
        <w:ind w:left="0" w:firstLine="0"/>
        <w:rPr>
          <w:snapToGrid w:val="0"/>
          <w:u w:val="single"/>
          <w:lang w:eastAsia="cs-CZ"/>
        </w:rPr>
      </w:pPr>
      <w:r w:rsidRPr="00D252D3">
        <w:t>zriedkavo (≥1/10 000 až &lt;1/1000).</w:t>
      </w:r>
    </w:p>
    <w:p w:rsidR="00630270" w:rsidRPr="00D252D3" w:rsidRDefault="00630270">
      <w:pPr>
        <w:ind w:left="0" w:firstLine="0"/>
        <w:rPr>
          <w:snapToGrid w:val="0"/>
          <w:u w:val="single"/>
          <w:lang w:eastAsia="cs-CZ"/>
        </w:rPr>
      </w:pPr>
    </w:p>
    <w:p w:rsidR="0053152B" w:rsidRPr="00D252D3" w:rsidRDefault="0053152B">
      <w:pPr>
        <w:ind w:left="0" w:firstLine="0"/>
        <w:rPr>
          <w:snapToGrid w:val="0"/>
          <w:lang w:eastAsia="cs-CZ"/>
        </w:rPr>
      </w:pPr>
      <w:r w:rsidRPr="00D252D3">
        <w:rPr>
          <w:snapToGrid w:val="0"/>
          <w:lang w:eastAsia="cs-CZ"/>
        </w:rPr>
        <w:t xml:space="preserve">Celkový výskyt nežiaducich reakcií zaznamenaný pri </w:t>
      </w:r>
      <w:r w:rsidRPr="00D252D3">
        <w:rPr>
          <w:snapToGrid w:val="0"/>
          <w:szCs w:val="22"/>
          <w:lang w:eastAsia="cs-CZ"/>
        </w:rPr>
        <w:t>MicardisPluse</w:t>
      </w:r>
      <w:r w:rsidRPr="00D252D3">
        <w:rPr>
          <w:snapToGrid w:val="0"/>
          <w:lang w:eastAsia="cs-CZ"/>
        </w:rPr>
        <w:t xml:space="preserve"> 80 mg/25 mg bol porovnateľný s účinkami zaznamenanými pri </w:t>
      </w:r>
      <w:r w:rsidRPr="00D252D3">
        <w:rPr>
          <w:snapToGrid w:val="0"/>
          <w:szCs w:val="22"/>
          <w:lang w:eastAsia="cs-CZ"/>
        </w:rPr>
        <w:t>MicardisPluse</w:t>
      </w:r>
      <w:r w:rsidRPr="00D252D3">
        <w:rPr>
          <w:snapToGrid w:val="0"/>
          <w:lang w:eastAsia="cs-CZ"/>
        </w:rPr>
        <w:t xml:space="preserve"> 80 mg/12,5 mg. Neboli stanovené nežiaduce reakcie súvisiace s dávkou a nebola preukázaná súvislosť s pohlavím, vekom alebo rasou pacientov.</w:t>
      </w:r>
    </w:p>
    <w:p w:rsidR="0053152B" w:rsidRPr="00D252D3" w:rsidRDefault="0053152B">
      <w:pPr>
        <w:ind w:left="0" w:firstLine="0"/>
        <w:rPr>
          <w:snapToGrid w:val="0"/>
          <w:lang w:eastAsia="cs-CZ"/>
        </w:rPr>
      </w:pPr>
    </w:p>
    <w:p w:rsidR="0053152B" w:rsidRPr="00D252D3" w:rsidRDefault="0053152B" w:rsidP="00AB164B">
      <w:pPr>
        <w:keepNext/>
        <w:ind w:left="0" w:firstLine="0"/>
        <w:rPr>
          <w:snapToGrid w:val="0"/>
          <w:u w:val="single"/>
          <w:lang w:eastAsia="cs-CZ"/>
        </w:rPr>
      </w:pPr>
      <w:r w:rsidRPr="00D252D3">
        <w:rPr>
          <w:snapToGrid w:val="0"/>
          <w:u w:val="single"/>
          <w:lang w:eastAsia="cs-CZ"/>
        </w:rPr>
        <w:t>Tabuľkový zoznam nežiaducich reakcií</w:t>
      </w:r>
    </w:p>
    <w:p w:rsidR="0053152B" w:rsidRPr="00D252D3" w:rsidRDefault="0053152B" w:rsidP="00AB164B">
      <w:pPr>
        <w:keepNext/>
        <w:ind w:left="0" w:firstLine="0"/>
        <w:rPr>
          <w:snapToGrid w:val="0"/>
          <w:lang w:eastAsia="cs-CZ"/>
        </w:rPr>
      </w:pPr>
    </w:p>
    <w:p w:rsidR="0053152B" w:rsidRPr="00D252D3" w:rsidRDefault="0053152B">
      <w:pPr>
        <w:ind w:left="0" w:firstLine="0"/>
        <w:rPr>
          <w:snapToGrid w:val="0"/>
          <w:lang w:eastAsia="cs-CZ"/>
        </w:rPr>
      </w:pPr>
      <w:r w:rsidRPr="00D252D3">
        <w:rPr>
          <w:snapToGrid w:val="0"/>
          <w:lang w:eastAsia="cs-CZ"/>
        </w:rPr>
        <w:t xml:space="preserve">Nežiaduce reakcie zaznamenané vo všetkých klinických skúškach a vyskytujúce sa častejšie (p≤0,05) s telmisartanom plus hydrochlorotiazidom než s placebom sú ukázané nižšie podľa triedy orgánových systémov. Známe nežiaduce reakcie sa vyskytli s každou zložkou podávanou samostatne, ktoré sa v klinických skúškach neukázali, sa môžu vyskytnúť počas liečby </w:t>
      </w:r>
      <w:r w:rsidRPr="00D252D3">
        <w:rPr>
          <w:snapToGrid w:val="0"/>
          <w:szCs w:val="22"/>
          <w:lang w:eastAsia="cs-CZ"/>
        </w:rPr>
        <w:t>MicardisPlusom</w:t>
      </w:r>
      <w:r w:rsidRPr="00D252D3">
        <w:rPr>
          <w:snapToGrid w:val="0"/>
          <w:lang w:eastAsia="cs-CZ"/>
        </w:rPr>
        <w:t>.</w:t>
      </w:r>
    </w:p>
    <w:p w:rsidR="0053152B" w:rsidRPr="00D252D3" w:rsidRDefault="0053152B">
      <w:pPr>
        <w:ind w:left="0" w:firstLine="0"/>
        <w:rPr>
          <w:snapToGrid w:val="0"/>
          <w:lang w:eastAsia="cs-CZ"/>
        </w:rPr>
      </w:pPr>
    </w:p>
    <w:p w:rsidR="0053152B" w:rsidRPr="00D252D3" w:rsidRDefault="0053152B">
      <w:pPr>
        <w:ind w:left="0" w:firstLine="0"/>
        <w:rPr>
          <w:snapToGrid w:val="0"/>
          <w:lang w:eastAsia="cs-CZ"/>
        </w:rPr>
      </w:pPr>
      <w:r w:rsidRPr="00D252D3">
        <w:rPr>
          <w:snapToGrid w:val="0"/>
          <w:lang w:eastAsia="cs-CZ"/>
        </w:rPr>
        <w:t xml:space="preserve">Nežiaduce reakcie boli vyhodnotené podľa výskytu, použijúc nasledujúcu konvenciu: veľmi časté </w:t>
      </w:r>
    </w:p>
    <w:p w:rsidR="0053152B" w:rsidRPr="00D252D3" w:rsidRDefault="0053152B">
      <w:pPr>
        <w:ind w:left="0" w:firstLine="0"/>
        <w:rPr>
          <w:snapToGrid w:val="0"/>
          <w:lang w:eastAsia="cs-CZ"/>
        </w:rPr>
      </w:pPr>
      <w:r w:rsidRPr="00D252D3">
        <w:rPr>
          <w:snapToGrid w:val="0"/>
          <w:lang w:eastAsia="cs-CZ"/>
        </w:rPr>
        <w:t>(</w:t>
      </w:r>
      <w:r w:rsidRPr="00D252D3">
        <w:rPr>
          <w:snapToGrid w:val="0"/>
          <w:lang w:eastAsia="cs-CZ"/>
        </w:rPr>
        <w:sym w:font="Symbol" w:char="F0B3"/>
      </w:r>
      <w:r w:rsidRPr="00D252D3">
        <w:rPr>
          <w:snapToGrid w:val="0"/>
          <w:lang w:eastAsia="cs-CZ"/>
        </w:rPr>
        <w:t>1/10); časté (</w:t>
      </w:r>
      <w:r w:rsidRPr="00D252D3">
        <w:rPr>
          <w:snapToGrid w:val="0"/>
          <w:lang w:eastAsia="cs-CZ"/>
        </w:rPr>
        <w:sym w:font="Symbol" w:char="F0B3"/>
      </w:r>
      <w:r w:rsidRPr="00D252D3">
        <w:rPr>
          <w:snapToGrid w:val="0"/>
          <w:lang w:eastAsia="cs-CZ"/>
        </w:rPr>
        <w:t>1/100 až &lt;1/10); menej časté (</w:t>
      </w:r>
      <w:r w:rsidRPr="00D252D3">
        <w:rPr>
          <w:snapToGrid w:val="0"/>
          <w:lang w:eastAsia="cs-CZ"/>
        </w:rPr>
        <w:sym w:font="Symbol" w:char="F0B3"/>
      </w:r>
      <w:r w:rsidRPr="00D252D3">
        <w:rPr>
          <w:snapToGrid w:val="0"/>
          <w:lang w:eastAsia="cs-CZ"/>
        </w:rPr>
        <w:t>1/1 000 až &lt;1/100); zriedkavé (</w:t>
      </w:r>
      <w:r w:rsidRPr="00D252D3">
        <w:rPr>
          <w:snapToGrid w:val="0"/>
          <w:lang w:eastAsia="cs-CZ"/>
        </w:rPr>
        <w:sym w:font="Symbol" w:char="F0B3"/>
      </w:r>
      <w:r w:rsidRPr="00D252D3">
        <w:rPr>
          <w:snapToGrid w:val="0"/>
          <w:lang w:eastAsia="cs-CZ"/>
        </w:rPr>
        <w:t xml:space="preserve">1/10 000 až </w:t>
      </w:r>
    </w:p>
    <w:p w:rsidR="0053152B" w:rsidRPr="00D252D3" w:rsidRDefault="0053152B">
      <w:pPr>
        <w:ind w:left="0" w:firstLine="0"/>
        <w:rPr>
          <w:snapToGrid w:val="0"/>
          <w:lang w:eastAsia="cs-CZ"/>
        </w:rPr>
      </w:pPr>
      <w:r w:rsidRPr="00D252D3">
        <w:rPr>
          <w:snapToGrid w:val="0"/>
          <w:lang w:eastAsia="cs-CZ"/>
        </w:rPr>
        <w:t>&lt;1/1 000); veľmi zriedkavé (&lt;1/10 000), neznáme (z dostupných údajov).</w:t>
      </w:r>
    </w:p>
    <w:p w:rsidR="0053152B" w:rsidRPr="00D252D3" w:rsidRDefault="0053152B">
      <w:pPr>
        <w:ind w:left="0" w:firstLine="0"/>
        <w:rPr>
          <w:snapToGrid w:val="0"/>
          <w:lang w:eastAsia="cs-CZ"/>
        </w:rPr>
      </w:pPr>
    </w:p>
    <w:p w:rsidR="0053152B" w:rsidRPr="00D252D3" w:rsidRDefault="0053152B" w:rsidP="00AB164B">
      <w:pPr>
        <w:keepNext/>
        <w:ind w:left="0" w:firstLine="0"/>
        <w:rPr>
          <w:snapToGrid w:val="0"/>
          <w:lang w:eastAsia="cs-CZ"/>
        </w:rPr>
      </w:pPr>
      <w:r w:rsidRPr="00D252D3">
        <w:rPr>
          <w:snapToGrid w:val="0"/>
          <w:lang w:eastAsia="cs-CZ"/>
        </w:rPr>
        <w:t>V rámci jednotlivých skupín frekvencií výskytu sú nežiaduce reakcie usporiadané v poradí klesajúcej závažnosti.</w:t>
      </w:r>
    </w:p>
    <w:p w:rsidR="0053152B" w:rsidRPr="00D252D3" w:rsidRDefault="0053152B" w:rsidP="00AB164B">
      <w:pPr>
        <w:keepNext/>
        <w:ind w:left="0" w:firstLine="0"/>
        <w:rPr>
          <w:snapToGrid w:val="0"/>
          <w:lang w:eastAsia="cs-CZ"/>
        </w:rPr>
      </w:pPr>
    </w:p>
    <w:tbl>
      <w:tblPr>
        <w:tblW w:w="0" w:type="auto"/>
        <w:tblInd w:w="-38" w:type="dxa"/>
        <w:tblLayout w:type="fixed"/>
        <w:tblCellMar>
          <w:left w:w="70" w:type="dxa"/>
          <w:right w:w="70" w:type="dxa"/>
        </w:tblCellMar>
        <w:tblLook w:val="01E0" w:firstRow="1" w:lastRow="1" w:firstColumn="1" w:lastColumn="1" w:noHBand="0" w:noVBand="0"/>
      </w:tblPr>
      <w:tblGrid>
        <w:gridCol w:w="3708"/>
        <w:gridCol w:w="5400"/>
      </w:tblGrid>
      <w:tr w:rsidR="0053152B" w:rsidRPr="00D252D3">
        <w:tblPrEx>
          <w:tblCellMar>
            <w:top w:w="0" w:type="dxa"/>
            <w:bottom w:w="0" w:type="dxa"/>
          </w:tblCellMar>
        </w:tblPrEx>
        <w:trPr>
          <w:trHeight w:val="850"/>
        </w:trPr>
        <w:tc>
          <w:tcPr>
            <w:tcW w:w="3708" w:type="dxa"/>
          </w:tcPr>
          <w:p w:rsidR="0053152B" w:rsidRPr="00D252D3" w:rsidRDefault="0053152B" w:rsidP="00AB164B">
            <w:pPr>
              <w:keepNext/>
            </w:pPr>
            <w:r w:rsidRPr="00D252D3">
              <w:t>Infekcie a nákazy</w:t>
            </w:r>
          </w:p>
          <w:p w:rsidR="0053152B" w:rsidRPr="00D252D3" w:rsidRDefault="0053152B">
            <w:pPr>
              <w:ind w:firstLine="38"/>
            </w:pPr>
            <w:r w:rsidRPr="00D252D3">
              <w:t>Zriedkavé:</w:t>
            </w:r>
          </w:p>
          <w:p w:rsidR="0053152B" w:rsidRPr="00D252D3" w:rsidRDefault="0053152B"/>
          <w:p w:rsidR="0053152B" w:rsidRPr="00D252D3" w:rsidRDefault="0053152B">
            <w:r w:rsidRPr="00D252D3">
              <w:t>Poruchy imunitného sysyému:</w:t>
            </w:r>
          </w:p>
          <w:p w:rsidR="0053152B" w:rsidRPr="00D252D3" w:rsidRDefault="0053152B">
            <w:pPr>
              <w:ind w:firstLine="38"/>
            </w:pPr>
            <w:r w:rsidRPr="00D252D3">
              <w:t>Zriedkavé:</w:t>
            </w:r>
          </w:p>
        </w:tc>
        <w:tc>
          <w:tcPr>
            <w:tcW w:w="5400" w:type="dxa"/>
          </w:tcPr>
          <w:p w:rsidR="0053152B" w:rsidRPr="00D252D3" w:rsidRDefault="0053152B"/>
          <w:p w:rsidR="0053152B" w:rsidRPr="00D252D3" w:rsidRDefault="0053152B">
            <w:pPr>
              <w:rPr>
                <w:szCs w:val="22"/>
              </w:rPr>
            </w:pPr>
            <w:r w:rsidRPr="00D252D3">
              <w:t>Bronchitída,</w:t>
            </w:r>
            <w:r w:rsidRPr="00D252D3">
              <w:rPr>
                <w:szCs w:val="22"/>
              </w:rPr>
              <w:t xml:space="preserve"> faryngitída, sinusitída</w:t>
            </w:r>
          </w:p>
          <w:p w:rsidR="0053152B" w:rsidRPr="00D252D3" w:rsidRDefault="0053152B">
            <w:pPr>
              <w:rPr>
                <w:szCs w:val="22"/>
              </w:rPr>
            </w:pPr>
          </w:p>
          <w:p w:rsidR="0053152B" w:rsidRPr="00D252D3" w:rsidRDefault="0053152B">
            <w:pPr>
              <w:rPr>
                <w:szCs w:val="22"/>
              </w:rPr>
            </w:pPr>
          </w:p>
          <w:p w:rsidR="0053152B" w:rsidRPr="00D252D3" w:rsidRDefault="0053152B">
            <w:pPr>
              <w:rPr>
                <w:szCs w:val="22"/>
              </w:rPr>
            </w:pPr>
            <w:r w:rsidRPr="00D252D3">
              <w:rPr>
                <w:szCs w:val="22"/>
              </w:rPr>
              <w:t>Exacerbácia alebo aktivácia systémového lupus</w:t>
            </w:r>
          </w:p>
          <w:p w:rsidR="0053152B" w:rsidRPr="00D252D3" w:rsidRDefault="0053152B">
            <w:pPr>
              <w:rPr>
                <w:szCs w:val="22"/>
                <w:vertAlign w:val="superscript"/>
              </w:rPr>
            </w:pPr>
            <w:r w:rsidRPr="00D252D3">
              <w:rPr>
                <w:szCs w:val="22"/>
              </w:rPr>
              <w:t>erythematosus</w:t>
            </w:r>
            <w:r w:rsidRPr="00D252D3">
              <w:rPr>
                <w:szCs w:val="22"/>
                <w:vertAlign w:val="superscript"/>
              </w:rPr>
              <w:t>1</w:t>
            </w:r>
          </w:p>
          <w:p w:rsidR="0053152B" w:rsidRPr="00D252D3" w:rsidRDefault="0053152B"/>
        </w:tc>
      </w:tr>
      <w:tr w:rsidR="0053152B" w:rsidRPr="00D252D3">
        <w:tblPrEx>
          <w:tblCellMar>
            <w:top w:w="0" w:type="dxa"/>
            <w:bottom w:w="0" w:type="dxa"/>
          </w:tblCellMar>
        </w:tblPrEx>
        <w:trPr>
          <w:trHeight w:val="850"/>
        </w:trPr>
        <w:tc>
          <w:tcPr>
            <w:tcW w:w="3708" w:type="dxa"/>
          </w:tcPr>
          <w:p w:rsidR="0053152B" w:rsidRPr="00D252D3" w:rsidRDefault="0053152B">
            <w:pPr>
              <w:ind w:left="0" w:firstLine="0"/>
            </w:pPr>
            <w:r w:rsidRPr="00D252D3">
              <w:t>Poruchy metabolizmu a výživy</w:t>
            </w:r>
          </w:p>
          <w:p w:rsidR="0053152B" w:rsidRPr="00D252D3" w:rsidRDefault="0053152B">
            <w:pPr>
              <w:ind w:left="605" w:firstLine="0"/>
            </w:pPr>
            <w:r w:rsidRPr="00D252D3">
              <w:t>Menej časté:</w:t>
            </w:r>
          </w:p>
          <w:p w:rsidR="0053152B" w:rsidRPr="00D252D3" w:rsidRDefault="0053152B">
            <w:pPr>
              <w:ind w:left="605" w:firstLine="0"/>
            </w:pPr>
            <w:r w:rsidRPr="00D252D3">
              <w:rPr>
                <w:snapToGrid w:val="0"/>
                <w:lang w:eastAsia="cs-CZ"/>
              </w:rPr>
              <w:t>Zriedkavé</w:t>
            </w:r>
            <w:r w:rsidRPr="00D252D3">
              <w:t>:</w:t>
            </w:r>
          </w:p>
        </w:tc>
        <w:tc>
          <w:tcPr>
            <w:tcW w:w="5400" w:type="dxa"/>
          </w:tcPr>
          <w:p w:rsidR="0053152B" w:rsidRPr="00D252D3" w:rsidRDefault="0053152B"/>
          <w:p w:rsidR="0053152B" w:rsidRPr="00D252D3" w:rsidRDefault="0053152B">
            <w:r w:rsidRPr="00D252D3">
              <w:t>Hypokaliémia</w:t>
            </w:r>
          </w:p>
          <w:p w:rsidR="0053152B" w:rsidRPr="00D252D3" w:rsidRDefault="0053152B">
            <w:r w:rsidRPr="00D252D3">
              <w:t>Hyperurikémia, hyponatriémia</w:t>
            </w:r>
          </w:p>
        </w:tc>
      </w:tr>
      <w:tr w:rsidR="0053152B" w:rsidRPr="00D252D3">
        <w:tblPrEx>
          <w:tblCellMar>
            <w:top w:w="0" w:type="dxa"/>
            <w:bottom w:w="0" w:type="dxa"/>
          </w:tblCellMar>
        </w:tblPrEx>
        <w:trPr>
          <w:trHeight w:val="850"/>
        </w:trPr>
        <w:tc>
          <w:tcPr>
            <w:tcW w:w="3708" w:type="dxa"/>
          </w:tcPr>
          <w:p w:rsidR="0053152B" w:rsidRPr="00D252D3" w:rsidRDefault="0053152B">
            <w:pPr>
              <w:ind w:left="0" w:firstLine="0"/>
            </w:pPr>
            <w:r w:rsidRPr="00D252D3">
              <w:t>Psychické poruchy</w:t>
            </w:r>
          </w:p>
          <w:p w:rsidR="0053152B" w:rsidRPr="00D252D3" w:rsidRDefault="0053152B">
            <w:pPr>
              <w:ind w:left="605" w:firstLine="0"/>
            </w:pPr>
            <w:r w:rsidRPr="00D252D3">
              <w:t>Menej časté:</w:t>
            </w:r>
          </w:p>
          <w:p w:rsidR="0053152B" w:rsidRPr="00D252D3" w:rsidRDefault="0053152B">
            <w:pPr>
              <w:ind w:left="605" w:firstLine="0"/>
            </w:pPr>
            <w:r w:rsidRPr="00D252D3">
              <w:rPr>
                <w:snapToGrid w:val="0"/>
                <w:lang w:eastAsia="cs-CZ"/>
              </w:rPr>
              <w:t>Zriedkavé</w:t>
            </w:r>
            <w:r w:rsidRPr="00D252D3">
              <w:t>:</w:t>
            </w:r>
          </w:p>
        </w:tc>
        <w:tc>
          <w:tcPr>
            <w:tcW w:w="5400" w:type="dxa"/>
          </w:tcPr>
          <w:p w:rsidR="0053152B" w:rsidRPr="00D252D3" w:rsidRDefault="0053152B"/>
          <w:p w:rsidR="0053152B" w:rsidRPr="00D252D3" w:rsidRDefault="0053152B">
            <w:pPr>
              <w:rPr>
                <w:szCs w:val="22"/>
              </w:rPr>
            </w:pPr>
            <w:r w:rsidRPr="00D252D3">
              <w:rPr>
                <w:szCs w:val="22"/>
              </w:rPr>
              <w:t>Úzkosť</w:t>
            </w:r>
          </w:p>
          <w:p w:rsidR="0053152B" w:rsidRPr="00D252D3" w:rsidRDefault="0053152B">
            <w:r w:rsidRPr="00D252D3">
              <w:t>Depresia</w:t>
            </w:r>
          </w:p>
          <w:p w:rsidR="0053152B" w:rsidRPr="00D252D3" w:rsidRDefault="0053152B"/>
        </w:tc>
      </w:tr>
      <w:tr w:rsidR="0053152B" w:rsidRPr="00D252D3">
        <w:tblPrEx>
          <w:tblCellMar>
            <w:top w:w="0" w:type="dxa"/>
            <w:bottom w:w="0" w:type="dxa"/>
          </w:tblCellMar>
        </w:tblPrEx>
        <w:trPr>
          <w:trHeight w:val="850"/>
        </w:trPr>
        <w:tc>
          <w:tcPr>
            <w:tcW w:w="3708" w:type="dxa"/>
          </w:tcPr>
          <w:p w:rsidR="0053152B" w:rsidRPr="00D252D3" w:rsidRDefault="0053152B">
            <w:pPr>
              <w:ind w:left="0" w:firstLine="0"/>
            </w:pPr>
            <w:r w:rsidRPr="00D252D3">
              <w:t>Poruchy nervového systému</w:t>
            </w:r>
          </w:p>
          <w:p w:rsidR="0053152B" w:rsidRPr="00D252D3" w:rsidRDefault="0053152B">
            <w:pPr>
              <w:ind w:left="605" w:firstLine="0"/>
            </w:pPr>
            <w:r w:rsidRPr="00D252D3">
              <w:t>Časté:</w:t>
            </w:r>
          </w:p>
          <w:p w:rsidR="0053152B" w:rsidRPr="00D252D3" w:rsidRDefault="0053152B">
            <w:pPr>
              <w:ind w:left="605" w:firstLine="0"/>
            </w:pPr>
            <w:r w:rsidRPr="00D252D3">
              <w:t>Menej časté:</w:t>
            </w:r>
          </w:p>
          <w:p w:rsidR="0053152B" w:rsidRPr="00D252D3" w:rsidRDefault="0053152B">
            <w:pPr>
              <w:ind w:left="605" w:firstLine="0"/>
            </w:pPr>
            <w:r w:rsidRPr="00D252D3">
              <w:rPr>
                <w:snapToGrid w:val="0"/>
                <w:lang w:eastAsia="cs-CZ"/>
              </w:rPr>
              <w:t>Zriedkavé</w:t>
            </w:r>
            <w:r w:rsidRPr="00D252D3">
              <w:t>:</w:t>
            </w:r>
          </w:p>
        </w:tc>
        <w:tc>
          <w:tcPr>
            <w:tcW w:w="5400" w:type="dxa"/>
          </w:tcPr>
          <w:p w:rsidR="0053152B" w:rsidRPr="00D252D3" w:rsidRDefault="0053152B"/>
          <w:p w:rsidR="0053152B" w:rsidRPr="00D252D3" w:rsidRDefault="0053152B">
            <w:r w:rsidRPr="00D252D3">
              <w:t>Závrat</w:t>
            </w:r>
          </w:p>
          <w:p w:rsidR="0053152B" w:rsidRPr="00D252D3" w:rsidRDefault="0053152B">
            <w:r w:rsidRPr="00D252D3">
              <w:t>Synkopa, parestézia</w:t>
            </w:r>
          </w:p>
          <w:p w:rsidR="0053152B" w:rsidRPr="00D252D3" w:rsidRDefault="0053152B">
            <w:r w:rsidRPr="00D252D3">
              <w:t>Nespavosť, poruchy spánku</w:t>
            </w:r>
          </w:p>
          <w:p w:rsidR="0053152B" w:rsidRPr="00D252D3" w:rsidRDefault="0053152B"/>
        </w:tc>
      </w:tr>
      <w:tr w:rsidR="0053152B" w:rsidRPr="00D252D3">
        <w:tblPrEx>
          <w:tblCellMar>
            <w:top w:w="0" w:type="dxa"/>
            <w:bottom w:w="0" w:type="dxa"/>
          </w:tblCellMar>
        </w:tblPrEx>
        <w:trPr>
          <w:trHeight w:val="527"/>
        </w:trPr>
        <w:tc>
          <w:tcPr>
            <w:tcW w:w="3708" w:type="dxa"/>
          </w:tcPr>
          <w:p w:rsidR="0053152B" w:rsidRPr="00D252D3" w:rsidRDefault="0053152B">
            <w:pPr>
              <w:ind w:left="0" w:firstLine="0"/>
              <w:rPr>
                <w:bCs/>
              </w:rPr>
            </w:pPr>
            <w:r w:rsidRPr="00D252D3">
              <w:rPr>
                <w:bCs/>
              </w:rPr>
              <w:t>Poruchy oka</w:t>
            </w:r>
          </w:p>
          <w:p w:rsidR="0053152B" w:rsidRPr="00D252D3" w:rsidRDefault="0053152B">
            <w:pPr>
              <w:ind w:left="605" w:firstLine="0"/>
            </w:pPr>
            <w:r w:rsidRPr="00D252D3">
              <w:rPr>
                <w:snapToGrid w:val="0"/>
                <w:lang w:eastAsia="cs-CZ"/>
              </w:rPr>
              <w:t>Zriedkavé</w:t>
            </w:r>
            <w:r w:rsidRPr="00D252D3">
              <w:t>:</w:t>
            </w:r>
          </w:p>
        </w:tc>
        <w:tc>
          <w:tcPr>
            <w:tcW w:w="5400" w:type="dxa"/>
          </w:tcPr>
          <w:p w:rsidR="0053152B" w:rsidRPr="00D252D3" w:rsidRDefault="0053152B"/>
          <w:p w:rsidR="0053152B" w:rsidRPr="00D252D3" w:rsidRDefault="0053152B">
            <w:r w:rsidRPr="00D252D3">
              <w:t>Porucha zraku, rozmazané videnie</w:t>
            </w:r>
          </w:p>
          <w:p w:rsidR="0053152B" w:rsidRPr="00D252D3" w:rsidRDefault="0053152B"/>
        </w:tc>
      </w:tr>
      <w:tr w:rsidR="0053152B" w:rsidRPr="00D252D3">
        <w:tblPrEx>
          <w:tblCellMar>
            <w:top w:w="0" w:type="dxa"/>
            <w:bottom w:w="0" w:type="dxa"/>
          </w:tblCellMar>
        </w:tblPrEx>
        <w:trPr>
          <w:trHeight w:val="850"/>
        </w:trPr>
        <w:tc>
          <w:tcPr>
            <w:tcW w:w="3708" w:type="dxa"/>
          </w:tcPr>
          <w:p w:rsidR="0053152B" w:rsidRPr="00D252D3" w:rsidRDefault="0053152B">
            <w:pPr>
              <w:ind w:left="0" w:firstLine="0"/>
            </w:pPr>
            <w:r w:rsidRPr="00D252D3">
              <w:rPr>
                <w:bCs/>
              </w:rPr>
              <w:t>Poruchy ucha a labyrintu</w:t>
            </w:r>
          </w:p>
          <w:p w:rsidR="0053152B" w:rsidRPr="00D252D3" w:rsidRDefault="0053152B">
            <w:pPr>
              <w:ind w:left="605" w:firstLine="0"/>
            </w:pPr>
            <w:r w:rsidRPr="00D252D3">
              <w:t>Menej časté:</w:t>
            </w:r>
          </w:p>
        </w:tc>
        <w:tc>
          <w:tcPr>
            <w:tcW w:w="5400" w:type="dxa"/>
          </w:tcPr>
          <w:p w:rsidR="0053152B" w:rsidRPr="00D252D3" w:rsidRDefault="0053152B"/>
          <w:p w:rsidR="0053152B" w:rsidRPr="00D252D3" w:rsidRDefault="0053152B">
            <w:r w:rsidRPr="00D252D3">
              <w:t>Vertigo</w:t>
            </w:r>
          </w:p>
          <w:p w:rsidR="0053152B" w:rsidRPr="00D252D3" w:rsidRDefault="0053152B"/>
        </w:tc>
      </w:tr>
      <w:tr w:rsidR="0053152B" w:rsidRPr="00D252D3">
        <w:tblPrEx>
          <w:tblCellMar>
            <w:top w:w="0" w:type="dxa"/>
            <w:bottom w:w="0" w:type="dxa"/>
          </w:tblCellMar>
        </w:tblPrEx>
        <w:trPr>
          <w:trHeight w:val="561"/>
        </w:trPr>
        <w:tc>
          <w:tcPr>
            <w:tcW w:w="3708" w:type="dxa"/>
          </w:tcPr>
          <w:p w:rsidR="0053152B" w:rsidRPr="00D252D3" w:rsidRDefault="0053152B">
            <w:pPr>
              <w:ind w:left="0" w:firstLine="0"/>
              <w:rPr>
                <w:bCs/>
              </w:rPr>
            </w:pPr>
            <w:r w:rsidRPr="00D252D3">
              <w:rPr>
                <w:bCs/>
              </w:rPr>
              <w:t>Poruchy srdca a srdcovej činnosti</w:t>
            </w:r>
          </w:p>
          <w:p w:rsidR="0053152B" w:rsidRPr="00D252D3" w:rsidRDefault="0053152B">
            <w:pPr>
              <w:ind w:left="605" w:firstLine="0"/>
            </w:pPr>
            <w:r w:rsidRPr="00D252D3">
              <w:rPr>
                <w:bCs/>
              </w:rPr>
              <w:t>Menej časté</w:t>
            </w:r>
            <w:r w:rsidRPr="00D252D3">
              <w:t>:</w:t>
            </w:r>
          </w:p>
        </w:tc>
        <w:tc>
          <w:tcPr>
            <w:tcW w:w="5400" w:type="dxa"/>
          </w:tcPr>
          <w:p w:rsidR="0053152B" w:rsidRPr="00D252D3" w:rsidRDefault="0053152B"/>
          <w:p w:rsidR="0053152B" w:rsidRPr="00D252D3" w:rsidRDefault="0053152B">
            <w:r w:rsidRPr="00D252D3">
              <w:t>Tachykardia, arytmie</w:t>
            </w:r>
          </w:p>
          <w:p w:rsidR="0053152B" w:rsidRPr="00D252D3" w:rsidRDefault="0053152B">
            <w:pPr>
              <w:rPr>
                <w:bCs/>
                <w:szCs w:val="22"/>
              </w:rPr>
            </w:pPr>
          </w:p>
        </w:tc>
      </w:tr>
      <w:tr w:rsidR="0053152B" w:rsidRPr="00D252D3">
        <w:tblPrEx>
          <w:tblCellMar>
            <w:top w:w="0" w:type="dxa"/>
            <w:bottom w:w="0" w:type="dxa"/>
          </w:tblCellMar>
        </w:tblPrEx>
        <w:trPr>
          <w:trHeight w:val="571"/>
        </w:trPr>
        <w:tc>
          <w:tcPr>
            <w:tcW w:w="3708" w:type="dxa"/>
          </w:tcPr>
          <w:p w:rsidR="0053152B" w:rsidRPr="00D252D3" w:rsidRDefault="0053152B">
            <w:pPr>
              <w:ind w:left="0" w:firstLine="0"/>
              <w:rPr>
                <w:bCs/>
              </w:rPr>
            </w:pPr>
            <w:r w:rsidRPr="00D252D3">
              <w:rPr>
                <w:bCs/>
              </w:rPr>
              <w:t>Poruchy ciev</w:t>
            </w:r>
          </w:p>
          <w:p w:rsidR="0053152B" w:rsidRPr="00D252D3" w:rsidRDefault="0053152B">
            <w:pPr>
              <w:ind w:left="605" w:firstLine="0"/>
            </w:pPr>
            <w:r w:rsidRPr="00D252D3">
              <w:rPr>
                <w:bCs/>
              </w:rPr>
              <w:t>Menej časté</w:t>
            </w:r>
            <w:r w:rsidRPr="00D252D3">
              <w:t>:</w:t>
            </w:r>
          </w:p>
        </w:tc>
        <w:tc>
          <w:tcPr>
            <w:tcW w:w="5400" w:type="dxa"/>
          </w:tcPr>
          <w:p w:rsidR="0053152B" w:rsidRPr="00D252D3" w:rsidRDefault="0053152B"/>
          <w:p w:rsidR="0053152B" w:rsidRPr="00D252D3" w:rsidRDefault="0053152B">
            <w:r w:rsidRPr="00D252D3">
              <w:t>Hypotenzia, ortostatická hypotenzia</w:t>
            </w:r>
          </w:p>
          <w:p w:rsidR="0053152B" w:rsidRPr="00D252D3" w:rsidRDefault="0053152B"/>
        </w:tc>
      </w:tr>
      <w:tr w:rsidR="0053152B" w:rsidRPr="00D252D3">
        <w:tblPrEx>
          <w:tblCellMar>
            <w:top w:w="0" w:type="dxa"/>
            <w:bottom w:w="0" w:type="dxa"/>
          </w:tblCellMar>
        </w:tblPrEx>
        <w:trPr>
          <w:trHeight w:val="571"/>
        </w:trPr>
        <w:tc>
          <w:tcPr>
            <w:tcW w:w="3708" w:type="dxa"/>
          </w:tcPr>
          <w:p w:rsidR="0053152B" w:rsidRPr="00D252D3" w:rsidRDefault="0053152B" w:rsidP="00AB164B">
            <w:pPr>
              <w:keepNext/>
              <w:ind w:left="0" w:firstLine="0"/>
              <w:rPr>
                <w:bCs/>
              </w:rPr>
            </w:pPr>
            <w:r w:rsidRPr="00D252D3">
              <w:rPr>
                <w:bCs/>
              </w:rPr>
              <w:t>Poruchy dýchacej sústavy, hrudníka a mediastína</w:t>
            </w:r>
          </w:p>
          <w:p w:rsidR="0053152B" w:rsidRPr="00D252D3" w:rsidRDefault="0053152B">
            <w:pPr>
              <w:ind w:left="605" w:firstLine="0"/>
            </w:pPr>
            <w:r w:rsidRPr="00D252D3">
              <w:t>Menej časté:</w:t>
            </w:r>
          </w:p>
          <w:p w:rsidR="0053152B" w:rsidRPr="00D252D3" w:rsidRDefault="0053152B">
            <w:pPr>
              <w:ind w:left="605" w:firstLine="0"/>
              <w:rPr>
                <w:bCs/>
              </w:rPr>
            </w:pPr>
            <w:r w:rsidRPr="00D252D3">
              <w:rPr>
                <w:bCs/>
                <w:snapToGrid w:val="0"/>
                <w:lang w:eastAsia="cs-CZ"/>
              </w:rPr>
              <w:t>Zriedkavé</w:t>
            </w:r>
            <w:r w:rsidRPr="00D252D3">
              <w:rPr>
                <w:bCs/>
              </w:rPr>
              <w:t>:</w:t>
            </w:r>
          </w:p>
        </w:tc>
        <w:tc>
          <w:tcPr>
            <w:tcW w:w="5400" w:type="dxa"/>
          </w:tcPr>
          <w:p w:rsidR="0053152B" w:rsidRPr="00D252D3" w:rsidRDefault="0053152B"/>
          <w:p w:rsidR="0053152B" w:rsidRPr="00D252D3" w:rsidRDefault="0053152B"/>
          <w:p w:rsidR="0053152B" w:rsidRPr="00D252D3" w:rsidRDefault="0053152B">
            <w:pPr>
              <w:rPr>
                <w:szCs w:val="22"/>
              </w:rPr>
            </w:pPr>
            <w:r w:rsidRPr="00D252D3">
              <w:rPr>
                <w:szCs w:val="22"/>
              </w:rPr>
              <w:t>Dyspnoe</w:t>
            </w:r>
          </w:p>
          <w:p w:rsidR="0053152B" w:rsidRPr="00D252D3" w:rsidRDefault="0053152B">
            <w:pPr>
              <w:rPr>
                <w:szCs w:val="22"/>
              </w:rPr>
            </w:pPr>
            <w:r w:rsidRPr="00D252D3">
              <w:rPr>
                <w:szCs w:val="22"/>
              </w:rPr>
              <w:t xml:space="preserve">Ťažkosti s dýchaním (vrátane pneumonitídy a </w:t>
            </w:r>
          </w:p>
          <w:p w:rsidR="0053152B" w:rsidRPr="00D252D3" w:rsidRDefault="0053152B">
            <w:pPr>
              <w:rPr>
                <w:szCs w:val="22"/>
              </w:rPr>
            </w:pPr>
            <w:r w:rsidRPr="00D252D3">
              <w:rPr>
                <w:szCs w:val="22"/>
              </w:rPr>
              <w:t>pľúcneho edému)</w:t>
            </w:r>
          </w:p>
          <w:p w:rsidR="0053152B" w:rsidRPr="00D252D3" w:rsidRDefault="0053152B"/>
        </w:tc>
      </w:tr>
      <w:tr w:rsidR="0053152B" w:rsidRPr="00D252D3">
        <w:tblPrEx>
          <w:tblCellMar>
            <w:top w:w="0" w:type="dxa"/>
            <w:bottom w:w="0" w:type="dxa"/>
          </w:tblCellMar>
        </w:tblPrEx>
        <w:trPr>
          <w:trHeight w:val="850"/>
        </w:trPr>
        <w:tc>
          <w:tcPr>
            <w:tcW w:w="3708" w:type="dxa"/>
          </w:tcPr>
          <w:p w:rsidR="0053152B" w:rsidRPr="00D252D3" w:rsidRDefault="0053152B">
            <w:pPr>
              <w:ind w:left="0" w:firstLine="0"/>
            </w:pPr>
            <w:r w:rsidRPr="00D252D3">
              <w:rPr>
                <w:bCs/>
              </w:rPr>
              <w:t>Poruchy gastrointestinálneho traktu</w:t>
            </w:r>
          </w:p>
          <w:p w:rsidR="0053152B" w:rsidRPr="00D252D3" w:rsidRDefault="0053152B">
            <w:pPr>
              <w:ind w:left="605" w:firstLine="0"/>
            </w:pPr>
            <w:r w:rsidRPr="00D252D3">
              <w:t>Menej časté:</w:t>
            </w:r>
          </w:p>
          <w:p w:rsidR="0053152B" w:rsidRPr="00D252D3" w:rsidRDefault="0053152B">
            <w:pPr>
              <w:ind w:left="605" w:firstLine="0"/>
              <w:rPr>
                <w:bCs/>
              </w:rPr>
            </w:pPr>
            <w:r w:rsidRPr="00D252D3">
              <w:rPr>
                <w:bCs/>
                <w:snapToGrid w:val="0"/>
                <w:lang w:eastAsia="cs-CZ"/>
              </w:rPr>
              <w:t>Zriedkavé</w:t>
            </w:r>
            <w:r w:rsidRPr="00D252D3">
              <w:rPr>
                <w:bCs/>
              </w:rPr>
              <w:t>:</w:t>
            </w:r>
          </w:p>
          <w:p w:rsidR="0053152B" w:rsidRPr="00D252D3" w:rsidRDefault="0053152B">
            <w:pPr>
              <w:ind w:left="0" w:firstLine="0"/>
              <w:rPr>
                <w:bCs/>
              </w:rPr>
            </w:pPr>
          </w:p>
        </w:tc>
        <w:tc>
          <w:tcPr>
            <w:tcW w:w="5400" w:type="dxa"/>
          </w:tcPr>
          <w:p w:rsidR="0053152B" w:rsidRPr="00D252D3" w:rsidRDefault="0053152B"/>
          <w:p w:rsidR="0053152B" w:rsidRPr="00D252D3" w:rsidRDefault="0053152B">
            <w:r w:rsidRPr="00D252D3">
              <w:t>Hnačka, sucho v ústach, plynatosť</w:t>
            </w:r>
          </w:p>
          <w:p w:rsidR="0053152B" w:rsidRPr="00D252D3" w:rsidRDefault="0053152B">
            <w:r w:rsidRPr="00D252D3">
              <w:t>Bolesť brucha, zápcha, dyspepsia, vracanie, gastritída</w:t>
            </w:r>
          </w:p>
          <w:p w:rsidR="0053152B" w:rsidRPr="00D252D3" w:rsidRDefault="0053152B"/>
        </w:tc>
      </w:tr>
      <w:tr w:rsidR="0053152B" w:rsidRPr="00D252D3">
        <w:tblPrEx>
          <w:tblCellMar>
            <w:top w:w="0" w:type="dxa"/>
            <w:bottom w:w="0" w:type="dxa"/>
          </w:tblCellMar>
        </w:tblPrEx>
        <w:trPr>
          <w:trHeight w:val="850"/>
        </w:trPr>
        <w:tc>
          <w:tcPr>
            <w:tcW w:w="3708" w:type="dxa"/>
          </w:tcPr>
          <w:p w:rsidR="0053152B" w:rsidRPr="00D252D3" w:rsidRDefault="0053152B">
            <w:pPr>
              <w:ind w:left="0" w:firstLine="0"/>
              <w:rPr>
                <w:bCs/>
              </w:rPr>
            </w:pPr>
            <w:r w:rsidRPr="00D252D3">
              <w:rPr>
                <w:bCs/>
              </w:rPr>
              <w:t>Poruchy pečene a žlčových ciest</w:t>
            </w:r>
          </w:p>
          <w:p w:rsidR="0053152B" w:rsidRPr="00D252D3" w:rsidRDefault="0053152B">
            <w:pPr>
              <w:ind w:left="605" w:firstLine="0"/>
            </w:pPr>
            <w:r w:rsidRPr="00D252D3">
              <w:rPr>
                <w:bCs/>
                <w:snapToGrid w:val="0"/>
                <w:lang w:eastAsia="cs-CZ"/>
              </w:rPr>
              <w:t>Zriedkavé</w:t>
            </w:r>
            <w:r w:rsidRPr="00D252D3">
              <w:rPr>
                <w:bCs/>
              </w:rPr>
              <w:t>:</w:t>
            </w:r>
          </w:p>
        </w:tc>
        <w:tc>
          <w:tcPr>
            <w:tcW w:w="5400" w:type="dxa"/>
          </w:tcPr>
          <w:p w:rsidR="0053152B" w:rsidRPr="00D252D3" w:rsidRDefault="0053152B"/>
          <w:p w:rsidR="0053152B" w:rsidRPr="00D252D3" w:rsidRDefault="0053152B">
            <w:r w:rsidRPr="00D252D3">
              <w:t>Abnormálna funkcia pečene/ochorenie pečene</w:t>
            </w:r>
            <w:r w:rsidRPr="00D252D3">
              <w:rPr>
                <w:vertAlign w:val="superscript"/>
              </w:rPr>
              <w:t>2</w:t>
            </w:r>
          </w:p>
          <w:p w:rsidR="0053152B" w:rsidRPr="00D252D3" w:rsidRDefault="0053152B"/>
        </w:tc>
      </w:tr>
      <w:tr w:rsidR="0053152B" w:rsidRPr="00D252D3">
        <w:tblPrEx>
          <w:tblCellMar>
            <w:top w:w="0" w:type="dxa"/>
            <w:bottom w:w="0" w:type="dxa"/>
          </w:tblCellMar>
        </w:tblPrEx>
        <w:trPr>
          <w:trHeight w:val="850"/>
        </w:trPr>
        <w:tc>
          <w:tcPr>
            <w:tcW w:w="3708" w:type="dxa"/>
          </w:tcPr>
          <w:p w:rsidR="0053152B" w:rsidRPr="00D252D3" w:rsidRDefault="0053152B">
            <w:pPr>
              <w:ind w:left="0" w:firstLine="0"/>
            </w:pPr>
            <w:r w:rsidRPr="00D252D3">
              <w:t>Poruchy kože a podkožného tkaniva</w:t>
            </w:r>
          </w:p>
          <w:p w:rsidR="0053152B" w:rsidRPr="00D252D3" w:rsidRDefault="0053152B">
            <w:pPr>
              <w:ind w:left="605" w:firstLine="0"/>
            </w:pPr>
            <w:r w:rsidRPr="00D252D3">
              <w:rPr>
                <w:snapToGrid w:val="0"/>
                <w:lang w:eastAsia="cs-CZ"/>
              </w:rPr>
              <w:t>Zriedkavé</w:t>
            </w:r>
            <w:r w:rsidRPr="00D252D3">
              <w:t>:</w:t>
            </w:r>
          </w:p>
        </w:tc>
        <w:tc>
          <w:tcPr>
            <w:tcW w:w="5400" w:type="dxa"/>
          </w:tcPr>
          <w:p w:rsidR="0053152B" w:rsidRPr="00D252D3" w:rsidRDefault="0053152B">
            <w:pPr>
              <w:ind w:left="0" w:firstLine="0"/>
            </w:pPr>
          </w:p>
          <w:p w:rsidR="0053152B" w:rsidRPr="00D252D3" w:rsidRDefault="0053152B">
            <w:pPr>
              <w:ind w:left="0" w:firstLine="0"/>
            </w:pPr>
            <w:r w:rsidRPr="00D252D3">
              <w:rPr>
                <w:szCs w:val="22"/>
              </w:rPr>
              <w:t>Angioedém (aj so smrteľnými následkami), erytém, pruritus, vyrážka, nadmerné potenie, urtikária</w:t>
            </w:r>
          </w:p>
        </w:tc>
      </w:tr>
      <w:tr w:rsidR="0053152B" w:rsidRPr="00D252D3">
        <w:tblPrEx>
          <w:tblCellMar>
            <w:top w:w="0" w:type="dxa"/>
            <w:bottom w:w="0" w:type="dxa"/>
          </w:tblCellMar>
        </w:tblPrEx>
        <w:trPr>
          <w:trHeight w:val="283"/>
        </w:trPr>
        <w:tc>
          <w:tcPr>
            <w:tcW w:w="3708" w:type="dxa"/>
          </w:tcPr>
          <w:p w:rsidR="0053152B" w:rsidRPr="00D252D3" w:rsidRDefault="0053152B">
            <w:pPr>
              <w:ind w:left="0" w:firstLine="0"/>
              <w:rPr>
                <w:bCs/>
              </w:rPr>
            </w:pPr>
          </w:p>
        </w:tc>
        <w:tc>
          <w:tcPr>
            <w:tcW w:w="5400" w:type="dxa"/>
          </w:tcPr>
          <w:p w:rsidR="0053152B" w:rsidRPr="00D252D3" w:rsidRDefault="0053152B"/>
        </w:tc>
      </w:tr>
      <w:tr w:rsidR="0053152B" w:rsidRPr="00D252D3">
        <w:tblPrEx>
          <w:tblCellMar>
            <w:top w:w="0" w:type="dxa"/>
            <w:bottom w:w="0" w:type="dxa"/>
          </w:tblCellMar>
        </w:tblPrEx>
        <w:trPr>
          <w:trHeight w:val="283"/>
        </w:trPr>
        <w:tc>
          <w:tcPr>
            <w:tcW w:w="3708" w:type="dxa"/>
          </w:tcPr>
          <w:p w:rsidR="0053152B" w:rsidRPr="00D252D3" w:rsidRDefault="0053152B">
            <w:pPr>
              <w:ind w:left="0" w:firstLine="0"/>
            </w:pPr>
            <w:r w:rsidRPr="00D252D3">
              <w:rPr>
                <w:bCs/>
              </w:rPr>
              <w:t>Poruchy kostrovej a svalovej sústavy a spojivového tkaniva</w:t>
            </w:r>
          </w:p>
          <w:p w:rsidR="0053152B" w:rsidRPr="00D252D3" w:rsidRDefault="0053152B">
            <w:pPr>
              <w:ind w:left="605" w:firstLine="0"/>
            </w:pPr>
            <w:r w:rsidRPr="00D252D3">
              <w:t>Menej časté:</w:t>
            </w:r>
          </w:p>
          <w:p w:rsidR="0053152B" w:rsidRPr="00D252D3" w:rsidRDefault="0053152B">
            <w:pPr>
              <w:ind w:left="605" w:firstLine="0"/>
            </w:pPr>
            <w:r w:rsidRPr="00D252D3">
              <w:rPr>
                <w:snapToGrid w:val="0"/>
                <w:lang w:eastAsia="cs-CZ"/>
              </w:rPr>
              <w:t>Zriedkavé</w:t>
            </w:r>
            <w:r w:rsidRPr="00D252D3">
              <w:t>:</w:t>
            </w:r>
          </w:p>
        </w:tc>
        <w:tc>
          <w:tcPr>
            <w:tcW w:w="5400" w:type="dxa"/>
          </w:tcPr>
          <w:p w:rsidR="0053152B" w:rsidRPr="00D252D3" w:rsidRDefault="0053152B"/>
          <w:p w:rsidR="0053152B" w:rsidRPr="00D252D3" w:rsidRDefault="0053152B">
            <w:pPr>
              <w:rPr>
                <w:bCs/>
              </w:rPr>
            </w:pPr>
          </w:p>
          <w:p w:rsidR="0053152B" w:rsidRPr="00D252D3" w:rsidRDefault="0053152B">
            <w:r w:rsidRPr="00D252D3">
              <w:t>Bolesť chrbta, svalové kŕče, myalgia</w:t>
            </w:r>
          </w:p>
          <w:p w:rsidR="0053152B" w:rsidRPr="00D252D3" w:rsidRDefault="0053152B">
            <w:r w:rsidRPr="00D252D3">
              <w:t>Bolesť kĺbov, ochromenie svalov, bolesť v končatinách</w:t>
            </w:r>
          </w:p>
          <w:p w:rsidR="0053152B" w:rsidRPr="00D252D3" w:rsidRDefault="0053152B"/>
        </w:tc>
      </w:tr>
      <w:tr w:rsidR="0053152B" w:rsidRPr="00D252D3">
        <w:tblPrEx>
          <w:tblCellMar>
            <w:top w:w="0" w:type="dxa"/>
            <w:bottom w:w="0" w:type="dxa"/>
          </w:tblCellMar>
        </w:tblPrEx>
        <w:trPr>
          <w:trHeight w:val="786"/>
        </w:trPr>
        <w:tc>
          <w:tcPr>
            <w:tcW w:w="3708" w:type="dxa"/>
          </w:tcPr>
          <w:p w:rsidR="0053152B" w:rsidRPr="00D252D3" w:rsidRDefault="0053152B">
            <w:pPr>
              <w:ind w:left="0" w:firstLine="0"/>
            </w:pPr>
            <w:r w:rsidRPr="00D252D3">
              <w:t>Poruchy reprodukčného systému a prsníkov</w:t>
            </w:r>
          </w:p>
          <w:p w:rsidR="0053152B" w:rsidRPr="00D252D3" w:rsidRDefault="0053152B">
            <w:pPr>
              <w:ind w:left="605" w:firstLine="0"/>
            </w:pPr>
            <w:r w:rsidRPr="00D252D3">
              <w:t>Menej časté:</w:t>
            </w:r>
          </w:p>
        </w:tc>
        <w:tc>
          <w:tcPr>
            <w:tcW w:w="5400" w:type="dxa"/>
          </w:tcPr>
          <w:p w:rsidR="0053152B" w:rsidRPr="00D252D3" w:rsidRDefault="0053152B"/>
          <w:p w:rsidR="0053152B" w:rsidRPr="00D252D3" w:rsidRDefault="0053152B"/>
          <w:p w:rsidR="0053152B" w:rsidRPr="00D252D3" w:rsidRDefault="0053152B">
            <w:r w:rsidRPr="00D252D3">
              <w:t>Erektilná dysfunkcia</w:t>
            </w:r>
          </w:p>
          <w:p w:rsidR="0053152B" w:rsidRPr="00D252D3" w:rsidRDefault="0053152B"/>
        </w:tc>
      </w:tr>
      <w:tr w:rsidR="0053152B" w:rsidRPr="00D252D3">
        <w:tblPrEx>
          <w:tblCellMar>
            <w:top w:w="0" w:type="dxa"/>
            <w:bottom w:w="0" w:type="dxa"/>
          </w:tblCellMar>
        </w:tblPrEx>
        <w:trPr>
          <w:trHeight w:val="850"/>
        </w:trPr>
        <w:tc>
          <w:tcPr>
            <w:tcW w:w="3708" w:type="dxa"/>
          </w:tcPr>
          <w:p w:rsidR="0053152B" w:rsidRPr="00D252D3" w:rsidRDefault="0053152B">
            <w:pPr>
              <w:ind w:left="0" w:firstLine="0"/>
            </w:pPr>
            <w:r w:rsidRPr="00D252D3">
              <w:t>Celkové poruchy a reakcie v mieste podania</w:t>
            </w:r>
          </w:p>
          <w:p w:rsidR="0053152B" w:rsidRPr="00D252D3" w:rsidRDefault="0053152B">
            <w:pPr>
              <w:ind w:left="605" w:firstLine="0"/>
            </w:pPr>
            <w:r w:rsidRPr="00D252D3">
              <w:t>Menej časté:</w:t>
            </w:r>
          </w:p>
          <w:p w:rsidR="0053152B" w:rsidRPr="00D252D3" w:rsidRDefault="0053152B">
            <w:pPr>
              <w:ind w:left="605" w:firstLine="0"/>
            </w:pPr>
            <w:r w:rsidRPr="00D252D3">
              <w:rPr>
                <w:snapToGrid w:val="0"/>
                <w:lang w:eastAsia="cs-CZ"/>
              </w:rPr>
              <w:t>Zriedkavé</w:t>
            </w:r>
            <w:r w:rsidRPr="00D252D3">
              <w:t>:</w:t>
            </w:r>
          </w:p>
        </w:tc>
        <w:tc>
          <w:tcPr>
            <w:tcW w:w="5400" w:type="dxa"/>
          </w:tcPr>
          <w:p w:rsidR="0053152B" w:rsidRPr="00D252D3" w:rsidRDefault="0053152B"/>
          <w:p w:rsidR="0053152B" w:rsidRPr="00D252D3" w:rsidRDefault="0053152B"/>
          <w:p w:rsidR="0053152B" w:rsidRPr="00D252D3" w:rsidRDefault="0053152B">
            <w:r w:rsidRPr="00D252D3">
              <w:t>Bolesť v hrudníku</w:t>
            </w:r>
          </w:p>
          <w:p w:rsidR="0053152B" w:rsidRPr="00D252D3" w:rsidRDefault="0053152B">
            <w:r w:rsidRPr="00D252D3">
              <w:t>Ochorenie podobné chrípke, bolesť</w:t>
            </w:r>
          </w:p>
          <w:p w:rsidR="0053152B" w:rsidRPr="00D252D3" w:rsidRDefault="0053152B"/>
        </w:tc>
      </w:tr>
      <w:tr w:rsidR="0053152B" w:rsidRPr="00D252D3">
        <w:tblPrEx>
          <w:tblCellMar>
            <w:top w:w="0" w:type="dxa"/>
            <w:bottom w:w="0" w:type="dxa"/>
          </w:tblCellMar>
        </w:tblPrEx>
        <w:trPr>
          <w:trHeight w:val="850"/>
        </w:trPr>
        <w:tc>
          <w:tcPr>
            <w:tcW w:w="3708" w:type="dxa"/>
          </w:tcPr>
          <w:p w:rsidR="0053152B" w:rsidRPr="00D252D3" w:rsidRDefault="0053152B">
            <w:pPr>
              <w:ind w:left="0" w:firstLine="0"/>
            </w:pPr>
            <w:r w:rsidRPr="00D252D3">
              <w:rPr>
                <w:bCs/>
              </w:rPr>
              <w:t>Laboratórne a funkčné vyšetrenia</w:t>
            </w:r>
          </w:p>
          <w:p w:rsidR="0053152B" w:rsidRPr="00D252D3" w:rsidRDefault="0053152B">
            <w:pPr>
              <w:ind w:left="605" w:firstLine="0"/>
            </w:pPr>
            <w:r w:rsidRPr="00D252D3">
              <w:t>Menej časté:</w:t>
            </w:r>
          </w:p>
          <w:p w:rsidR="0053152B" w:rsidRPr="00D252D3" w:rsidRDefault="0053152B">
            <w:pPr>
              <w:ind w:left="605" w:firstLine="0"/>
              <w:rPr>
                <w:bCs/>
              </w:rPr>
            </w:pPr>
            <w:r w:rsidRPr="00D252D3">
              <w:rPr>
                <w:snapToGrid w:val="0"/>
                <w:lang w:eastAsia="cs-CZ"/>
              </w:rPr>
              <w:t>Zriedkavé</w:t>
            </w:r>
            <w:r w:rsidRPr="00D252D3">
              <w:t>:</w:t>
            </w:r>
          </w:p>
        </w:tc>
        <w:tc>
          <w:tcPr>
            <w:tcW w:w="5400" w:type="dxa"/>
          </w:tcPr>
          <w:p w:rsidR="0053152B" w:rsidRPr="00D252D3" w:rsidRDefault="0053152B">
            <w:pPr>
              <w:rPr>
                <w:szCs w:val="22"/>
              </w:rPr>
            </w:pPr>
          </w:p>
          <w:p w:rsidR="0053152B" w:rsidRPr="00D252D3" w:rsidRDefault="0053152B">
            <w:pPr>
              <w:rPr>
                <w:szCs w:val="22"/>
              </w:rPr>
            </w:pPr>
            <w:r w:rsidRPr="00D252D3">
              <w:rPr>
                <w:szCs w:val="22"/>
              </w:rPr>
              <w:t>Zvýšená kyselina močová v krvi</w:t>
            </w:r>
          </w:p>
          <w:p w:rsidR="0053152B" w:rsidRPr="00D252D3" w:rsidRDefault="0053152B">
            <w:pPr>
              <w:rPr>
                <w:szCs w:val="22"/>
              </w:rPr>
            </w:pPr>
            <w:r w:rsidRPr="00D252D3">
              <w:rPr>
                <w:szCs w:val="22"/>
              </w:rPr>
              <w:t xml:space="preserve">Zvýšený kreatinín v krvi, zvýšená kreatinínfosfokináza v </w:t>
            </w:r>
          </w:p>
          <w:p w:rsidR="0053152B" w:rsidRPr="00D252D3" w:rsidRDefault="0053152B">
            <w:pPr>
              <w:rPr>
                <w:b/>
              </w:rPr>
            </w:pPr>
            <w:r w:rsidRPr="00D252D3">
              <w:rPr>
                <w:szCs w:val="22"/>
              </w:rPr>
              <w:t>krvi</w:t>
            </w:r>
            <w:r w:rsidRPr="00D252D3">
              <w:t>, zvýšené pečeňové enzýmy</w:t>
            </w:r>
          </w:p>
        </w:tc>
      </w:tr>
    </w:tbl>
    <w:p w:rsidR="0053152B" w:rsidRPr="00D252D3" w:rsidRDefault="0053152B">
      <w:pPr>
        <w:ind w:left="0" w:firstLine="0"/>
        <w:rPr>
          <w:snapToGrid w:val="0"/>
          <w:lang w:eastAsia="cs-CZ"/>
        </w:rPr>
      </w:pPr>
    </w:p>
    <w:p w:rsidR="0053152B" w:rsidRPr="00D252D3" w:rsidRDefault="0053152B">
      <w:pPr>
        <w:ind w:left="0" w:firstLine="0"/>
        <w:rPr>
          <w:snapToGrid w:val="0"/>
          <w:lang w:eastAsia="cs-CZ"/>
        </w:rPr>
      </w:pPr>
      <w:r w:rsidRPr="00D252D3">
        <w:rPr>
          <w:snapToGrid w:val="0"/>
          <w:lang w:eastAsia="cs-CZ"/>
        </w:rPr>
        <w:t>1: Na základe skúseností po uvedení lieku na trh</w:t>
      </w:r>
    </w:p>
    <w:p w:rsidR="0053152B" w:rsidRPr="00D252D3" w:rsidRDefault="0053152B">
      <w:pPr>
        <w:ind w:left="0" w:firstLine="0"/>
        <w:rPr>
          <w:i/>
        </w:rPr>
      </w:pPr>
      <w:r w:rsidRPr="00D252D3">
        <w:rPr>
          <w:snapToGrid w:val="0"/>
          <w:lang w:eastAsia="cs-CZ"/>
        </w:rPr>
        <w:t>2: Pre ďalší popis, prosím, pozri časť „</w:t>
      </w:r>
      <w:r w:rsidRPr="00D252D3">
        <w:t>Popis vybraných nežiaducich reakcií“</w:t>
      </w:r>
    </w:p>
    <w:p w:rsidR="0053152B" w:rsidRPr="00D252D3" w:rsidRDefault="0053152B">
      <w:pPr>
        <w:ind w:left="0" w:firstLine="0"/>
        <w:rPr>
          <w:i/>
          <w:snapToGrid w:val="0"/>
          <w:lang w:eastAsia="cs-CZ"/>
        </w:rPr>
      </w:pPr>
    </w:p>
    <w:p w:rsidR="0036549F" w:rsidRPr="00D252D3" w:rsidRDefault="0036549F">
      <w:pPr>
        <w:ind w:left="0" w:firstLine="0"/>
        <w:rPr>
          <w:i/>
          <w:snapToGrid w:val="0"/>
          <w:lang w:eastAsia="cs-CZ"/>
        </w:rPr>
      </w:pPr>
    </w:p>
    <w:p w:rsidR="0053152B" w:rsidRPr="00D252D3" w:rsidRDefault="0053152B">
      <w:pPr>
        <w:ind w:left="0" w:firstLine="0"/>
        <w:rPr>
          <w:i/>
          <w:snapToGrid w:val="0"/>
          <w:lang w:eastAsia="cs-CZ"/>
        </w:rPr>
      </w:pPr>
      <w:r w:rsidRPr="00D252D3">
        <w:rPr>
          <w:i/>
          <w:snapToGrid w:val="0"/>
          <w:lang w:eastAsia="cs-CZ"/>
        </w:rPr>
        <w:t>Ďalšie informácie o jednotlivých zložkách</w:t>
      </w:r>
    </w:p>
    <w:p w:rsidR="0053152B" w:rsidRPr="00D252D3" w:rsidRDefault="0053152B">
      <w:pPr>
        <w:ind w:left="0" w:firstLine="0"/>
        <w:rPr>
          <w:i/>
          <w:snapToGrid w:val="0"/>
          <w:lang w:eastAsia="cs-CZ"/>
        </w:rPr>
      </w:pPr>
    </w:p>
    <w:p w:rsidR="0053152B" w:rsidRPr="00D252D3" w:rsidRDefault="0053152B">
      <w:pPr>
        <w:ind w:left="0" w:firstLine="0"/>
        <w:rPr>
          <w:snapToGrid w:val="0"/>
          <w:lang w:eastAsia="cs-CZ"/>
        </w:rPr>
      </w:pPr>
      <w:r w:rsidRPr="00D252D3">
        <w:rPr>
          <w:snapToGrid w:val="0"/>
          <w:lang w:eastAsia="cs-CZ"/>
        </w:rPr>
        <w:t xml:space="preserve">Nežiaduce reakcie prevažne zaznamenané pri jednotlivých zložkách môžu byť potenciálne nežiaduce reakcie </w:t>
      </w:r>
      <w:r w:rsidRPr="00D252D3">
        <w:rPr>
          <w:snapToGrid w:val="0"/>
          <w:szCs w:val="22"/>
          <w:lang w:eastAsia="cs-CZ"/>
        </w:rPr>
        <w:t>MicardisPlusu</w:t>
      </w:r>
      <w:r w:rsidRPr="00D252D3">
        <w:rPr>
          <w:snapToGrid w:val="0"/>
          <w:lang w:eastAsia="cs-CZ"/>
        </w:rPr>
        <w:t>, dokonca aj keď neboli pozorované v klinických skúškach s týmto prípravkom.</w:t>
      </w:r>
    </w:p>
    <w:p w:rsidR="0053152B" w:rsidRPr="00D252D3" w:rsidRDefault="0053152B">
      <w:pPr>
        <w:ind w:left="0" w:firstLine="0"/>
        <w:rPr>
          <w:b/>
          <w:u w:val="single"/>
        </w:rPr>
      </w:pPr>
    </w:p>
    <w:p w:rsidR="0053152B" w:rsidRPr="00D252D3" w:rsidRDefault="0053152B" w:rsidP="00AB164B">
      <w:pPr>
        <w:keepNext/>
        <w:ind w:left="0" w:firstLine="0"/>
        <w:rPr>
          <w:bCs/>
          <w:u w:val="single"/>
        </w:rPr>
      </w:pPr>
      <w:r w:rsidRPr="00D252D3">
        <w:rPr>
          <w:bCs/>
          <w:u w:val="single"/>
        </w:rPr>
        <w:t>Telmisartan:</w:t>
      </w:r>
    </w:p>
    <w:p w:rsidR="0053152B" w:rsidRPr="00D252D3" w:rsidRDefault="0053152B">
      <w:pPr>
        <w:ind w:left="0" w:firstLine="0"/>
        <w:rPr>
          <w:snapToGrid w:val="0"/>
          <w:lang w:eastAsia="cs-CZ"/>
        </w:rPr>
      </w:pPr>
      <w:r w:rsidRPr="00D252D3">
        <w:rPr>
          <w:snapToGrid w:val="0"/>
          <w:lang w:eastAsia="cs-CZ"/>
        </w:rPr>
        <w:t>Nežiaduce reakcie sa prejavovali u pacientov užívajúcich placebo, ako aj telmisartan, s rovnakou frekvenciou.</w:t>
      </w:r>
    </w:p>
    <w:p w:rsidR="0053152B" w:rsidRPr="00D252D3" w:rsidRDefault="0053152B">
      <w:pPr>
        <w:ind w:left="0" w:firstLine="0"/>
        <w:rPr>
          <w:snapToGrid w:val="0"/>
          <w:lang w:eastAsia="cs-CZ"/>
        </w:rPr>
      </w:pPr>
    </w:p>
    <w:p w:rsidR="0053152B" w:rsidRPr="00D252D3" w:rsidRDefault="0053152B">
      <w:pPr>
        <w:ind w:left="0" w:firstLine="0"/>
        <w:rPr>
          <w:snapToGrid w:val="0"/>
          <w:lang w:eastAsia="cs-CZ"/>
        </w:rPr>
      </w:pPr>
      <w:r w:rsidRPr="00D252D3">
        <w:rPr>
          <w:snapToGrid w:val="0"/>
          <w:lang w:eastAsia="cs-CZ"/>
        </w:rPr>
        <w:t>Celkový výskyt nežiaducich reakcií hlásených pri telmisartane (41,4 %) bol zvyčajne porovnateľný s placebom (43,9 %) v placebom kontrolovaných klinických skúšaniach. Nasledovný zoznam nežiaducich reakcií bol vypracovaný zo všetkých klinických skúšaní s pacientmi s hypertenziou liečenými telmisartanom alebo s pacientmi 50-ročnými či staršími s vysokým rizikom kardiovaskulárnych príhod.</w:t>
      </w:r>
    </w:p>
    <w:p w:rsidR="0053152B" w:rsidRPr="00D252D3" w:rsidRDefault="0053152B">
      <w:pPr>
        <w:ind w:left="0" w:firstLine="0"/>
        <w:rPr>
          <w:snapToGrid w:val="0"/>
          <w:lang w:eastAsia="cs-CZ"/>
        </w:rPr>
      </w:pPr>
    </w:p>
    <w:tbl>
      <w:tblPr>
        <w:tblW w:w="0" w:type="auto"/>
        <w:tblInd w:w="-38" w:type="dxa"/>
        <w:tblLayout w:type="fixed"/>
        <w:tblCellMar>
          <w:left w:w="70" w:type="dxa"/>
          <w:right w:w="70" w:type="dxa"/>
        </w:tblCellMar>
        <w:tblLook w:val="01E0" w:firstRow="1" w:lastRow="1" w:firstColumn="1" w:lastColumn="1" w:noHBand="0" w:noVBand="0"/>
      </w:tblPr>
      <w:tblGrid>
        <w:gridCol w:w="3708"/>
        <w:gridCol w:w="5400"/>
      </w:tblGrid>
      <w:tr w:rsidR="0053152B" w:rsidRPr="00D252D3">
        <w:tblPrEx>
          <w:tblCellMar>
            <w:top w:w="0" w:type="dxa"/>
            <w:bottom w:w="0" w:type="dxa"/>
          </w:tblCellMar>
        </w:tblPrEx>
        <w:trPr>
          <w:trHeight w:val="862"/>
        </w:trPr>
        <w:tc>
          <w:tcPr>
            <w:tcW w:w="3708" w:type="dxa"/>
          </w:tcPr>
          <w:p w:rsidR="0053152B" w:rsidRPr="00D252D3" w:rsidRDefault="0053152B" w:rsidP="00AB164B">
            <w:pPr>
              <w:keepNext/>
              <w:rPr>
                <w:szCs w:val="22"/>
              </w:rPr>
            </w:pPr>
            <w:r w:rsidRPr="00D252D3">
              <w:rPr>
                <w:szCs w:val="22"/>
              </w:rPr>
              <w:t>Infekcie a nákazy</w:t>
            </w:r>
          </w:p>
          <w:p w:rsidR="0053152B" w:rsidRPr="00D252D3" w:rsidRDefault="0053152B">
            <w:pPr>
              <w:ind w:firstLine="38"/>
              <w:rPr>
                <w:bCs/>
                <w:snapToGrid w:val="0"/>
                <w:szCs w:val="22"/>
                <w:lang w:eastAsia="cs-CZ"/>
              </w:rPr>
            </w:pPr>
            <w:r w:rsidRPr="00D252D3">
              <w:rPr>
                <w:bCs/>
                <w:snapToGrid w:val="0"/>
                <w:szCs w:val="22"/>
                <w:lang w:eastAsia="cs-CZ"/>
              </w:rPr>
              <w:t>Menej časté:</w:t>
            </w:r>
          </w:p>
          <w:p w:rsidR="0053152B" w:rsidRPr="00D252D3" w:rsidRDefault="0053152B">
            <w:pPr>
              <w:rPr>
                <w:bCs/>
                <w:snapToGrid w:val="0"/>
                <w:szCs w:val="22"/>
                <w:lang w:eastAsia="cs-CZ"/>
              </w:rPr>
            </w:pPr>
          </w:p>
          <w:p w:rsidR="0053152B" w:rsidRPr="00D252D3" w:rsidRDefault="0053152B">
            <w:pPr>
              <w:ind w:firstLine="38"/>
              <w:rPr>
                <w:szCs w:val="22"/>
              </w:rPr>
            </w:pPr>
            <w:r w:rsidRPr="00D252D3">
              <w:rPr>
                <w:bCs/>
                <w:snapToGrid w:val="0"/>
                <w:szCs w:val="22"/>
                <w:lang w:eastAsia="cs-CZ"/>
              </w:rPr>
              <w:t>Zriedkavé:</w:t>
            </w:r>
          </w:p>
        </w:tc>
        <w:tc>
          <w:tcPr>
            <w:tcW w:w="5400" w:type="dxa"/>
          </w:tcPr>
          <w:p w:rsidR="0053152B" w:rsidRPr="00D252D3" w:rsidRDefault="0053152B">
            <w:pPr>
              <w:ind w:left="16" w:firstLine="0"/>
              <w:rPr>
                <w:snapToGrid w:val="0"/>
                <w:lang w:eastAsia="cs-CZ"/>
              </w:rPr>
            </w:pPr>
          </w:p>
          <w:p w:rsidR="0053152B" w:rsidRPr="00D252D3" w:rsidRDefault="0053152B">
            <w:pPr>
              <w:ind w:left="16" w:firstLine="0"/>
              <w:rPr>
                <w:snapToGrid w:val="0"/>
                <w:lang w:eastAsia="cs-CZ"/>
              </w:rPr>
            </w:pPr>
            <w:r w:rsidRPr="00D252D3">
              <w:rPr>
                <w:snapToGrid w:val="0"/>
                <w:lang w:eastAsia="cs-CZ"/>
              </w:rPr>
              <w:t xml:space="preserve">Infekcia horných dýchacích ciest, </w:t>
            </w:r>
            <w:r w:rsidRPr="00D252D3">
              <w:rPr>
                <w:snapToGrid w:val="0"/>
                <w:szCs w:val="22"/>
                <w:lang w:eastAsia="cs-CZ"/>
              </w:rPr>
              <w:t>infekcia močových ciest</w:t>
            </w:r>
            <w:r w:rsidRPr="00D252D3">
              <w:rPr>
                <w:snapToGrid w:val="0"/>
                <w:lang w:eastAsia="cs-CZ"/>
              </w:rPr>
              <w:t xml:space="preserve"> vrátane cystitíd</w:t>
            </w:r>
          </w:p>
          <w:p w:rsidR="0053152B" w:rsidRPr="00D252D3" w:rsidRDefault="0053152B">
            <w:pPr>
              <w:ind w:left="16" w:firstLine="0"/>
              <w:rPr>
                <w:szCs w:val="22"/>
              </w:rPr>
            </w:pPr>
            <w:r w:rsidRPr="00D252D3">
              <w:rPr>
                <w:szCs w:val="22"/>
              </w:rPr>
              <w:t>Sepsa vrátane smrteľných následkov</w:t>
            </w:r>
            <w:r w:rsidRPr="00D252D3">
              <w:rPr>
                <w:szCs w:val="22"/>
                <w:vertAlign w:val="superscript"/>
              </w:rPr>
              <w:t>3</w:t>
            </w:r>
          </w:p>
          <w:p w:rsidR="0053152B" w:rsidRPr="00D252D3" w:rsidRDefault="0053152B">
            <w:pPr>
              <w:ind w:left="0" w:firstLine="0"/>
              <w:rPr>
                <w:szCs w:val="22"/>
              </w:rPr>
            </w:pPr>
          </w:p>
          <w:p w:rsidR="0053152B" w:rsidRPr="00D252D3" w:rsidRDefault="0053152B">
            <w:pPr>
              <w:ind w:left="16" w:firstLine="0"/>
              <w:rPr>
                <w:szCs w:val="22"/>
              </w:rPr>
            </w:pPr>
          </w:p>
        </w:tc>
      </w:tr>
      <w:tr w:rsidR="0053152B" w:rsidRPr="00D252D3">
        <w:tblPrEx>
          <w:tblCellMar>
            <w:top w:w="0" w:type="dxa"/>
            <w:bottom w:w="0" w:type="dxa"/>
          </w:tblCellMar>
        </w:tblPrEx>
        <w:trPr>
          <w:trHeight w:val="850"/>
        </w:trPr>
        <w:tc>
          <w:tcPr>
            <w:tcW w:w="3708" w:type="dxa"/>
          </w:tcPr>
          <w:p w:rsidR="0053152B" w:rsidRPr="00D252D3" w:rsidRDefault="0053152B">
            <w:pPr>
              <w:ind w:left="0" w:firstLine="0"/>
              <w:rPr>
                <w:bCs/>
                <w:szCs w:val="22"/>
              </w:rPr>
            </w:pPr>
            <w:r w:rsidRPr="00D252D3">
              <w:t>Poruchy krvi a lymfatického systému</w:t>
            </w:r>
          </w:p>
          <w:p w:rsidR="0053152B" w:rsidRPr="00D252D3" w:rsidRDefault="0053152B">
            <w:pPr>
              <w:ind w:firstLine="38"/>
              <w:rPr>
                <w:snapToGrid w:val="0"/>
                <w:szCs w:val="22"/>
                <w:lang w:eastAsia="cs-CZ"/>
              </w:rPr>
            </w:pPr>
            <w:r w:rsidRPr="00D252D3">
              <w:rPr>
                <w:bCs/>
                <w:snapToGrid w:val="0"/>
                <w:szCs w:val="22"/>
                <w:lang w:eastAsia="cs-CZ"/>
              </w:rPr>
              <w:t>Menej časté</w:t>
            </w:r>
            <w:r w:rsidRPr="00D252D3">
              <w:rPr>
                <w:snapToGrid w:val="0"/>
                <w:szCs w:val="22"/>
                <w:lang w:eastAsia="cs-CZ"/>
              </w:rPr>
              <w:t>:</w:t>
            </w:r>
          </w:p>
          <w:p w:rsidR="0053152B" w:rsidRPr="00D252D3" w:rsidRDefault="0053152B">
            <w:pPr>
              <w:ind w:firstLine="38"/>
              <w:rPr>
                <w:bCs/>
                <w:snapToGrid w:val="0"/>
                <w:szCs w:val="22"/>
                <w:lang w:eastAsia="cs-CZ"/>
              </w:rPr>
            </w:pPr>
            <w:r w:rsidRPr="00D252D3">
              <w:rPr>
                <w:snapToGrid w:val="0"/>
                <w:szCs w:val="22"/>
                <w:lang w:eastAsia="cs-CZ"/>
              </w:rPr>
              <w:t>Zriedkavé</w:t>
            </w:r>
          </w:p>
        </w:tc>
        <w:tc>
          <w:tcPr>
            <w:tcW w:w="5400" w:type="dxa"/>
          </w:tcPr>
          <w:p w:rsidR="0053152B" w:rsidRPr="00D252D3" w:rsidRDefault="0053152B">
            <w:pPr>
              <w:rPr>
                <w:b/>
                <w:snapToGrid w:val="0"/>
                <w:szCs w:val="22"/>
                <w:lang w:eastAsia="cs-CZ"/>
              </w:rPr>
            </w:pPr>
          </w:p>
          <w:p w:rsidR="0053152B" w:rsidRPr="00D252D3" w:rsidRDefault="0053152B">
            <w:pPr>
              <w:rPr>
                <w:szCs w:val="22"/>
              </w:rPr>
            </w:pPr>
            <w:r w:rsidRPr="00D252D3">
              <w:rPr>
                <w:szCs w:val="22"/>
              </w:rPr>
              <w:t>Anémia</w:t>
            </w:r>
          </w:p>
          <w:p w:rsidR="0053152B" w:rsidRPr="00D252D3" w:rsidRDefault="0053152B">
            <w:pPr>
              <w:rPr>
                <w:szCs w:val="22"/>
              </w:rPr>
            </w:pPr>
            <w:r w:rsidRPr="00D252D3">
              <w:rPr>
                <w:szCs w:val="22"/>
              </w:rPr>
              <w:t>Eozinofília, trombocytopénia</w:t>
            </w:r>
          </w:p>
          <w:p w:rsidR="0053152B" w:rsidRPr="00D252D3" w:rsidRDefault="0053152B">
            <w:pPr>
              <w:rPr>
                <w:szCs w:val="22"/>
              </w:rPr>
            </w:pPr>
          </w:p>
        </w:tc>
      </w:tr>
      <w:tr w:rsidR="0053152B" w:rsidRPr="00D252D3">
        <w:tblPrEx>
          <w:tblCellMar>
            <w:top w:w="0" w:type="dxa"/>
            <w:bottom w:w="0" w:type="dxa"/>
          </w:tblCellMar>
        </w:tblPrEx>
        <w:trPr>
          <w:trHeight w:val="850"/>
        </w:trPr>
        <w:tc>
          <w:tcPr>
            <w:tcW w:w="3708" w:type="dxa"/>
          </w:tcPr>
          <w:p w:rsidR="0053152B" w:rsidRPr="00D252D3" w:rsidRDefault="0053152B">
            <w:r w:rsidRPr="00D252D3">
              <w:t>Poruchy imunitného systému</w:t>
            </w:r>
          </w:p>
          <w:p w:rsidR="0053152B" w:rsidRPr="00D252D3" w:rsidRDefault="0053152B">
            <w:pPr>
              <w:ind w:firstLine="38"/>
              <w:rPr>
                <w:bCs/>
                <w:szCs w:val="22"/>
              </w:rPr>
            </w:pPr>
            <w:r w:rsidRPr="00D252D3">
              <w:rPr>
                <w:bCs/>
                <w:snapToGrid w:val="0"/>
                <w:szCs w:val="22"/>
                <w:lang w:eastAsia="cs-CZ"/>
              </w:rPr>
              <w:t>Zriedkavé</w:t>
            </w:r>
            <w:r w:rsidRPr="00D252D3">
              <w:rPr>
                <w:snapToGrid w:val="0"/>
                <w:szCs w:val="22"/>
                <w:lang w:eastAsia="cs-CZ"/>
              </w:rPr>
              <w:t>:</w:t>
            </w:r>
          </w:p>
        </w:tc>
        <w:tc>
          <w:tcPr>
            <w:tcW w:w="5400" w:type="dxa"/>
          </w:tcPr>
          <w:p w:rsidR="0053152B" w:rsidRPr="00D252D3" w:rsidRDefault="0053152B">
            <w:pPr>
              <w:rPr>
                <w:b/>
                <w:snapToGrid w:val="0"/>
                <w:szCs w:val="22"/>
                <w:lang w:eastAsia="cs-CZ"/>
              </w:rPr>
            </w:pPr>
          </w:p>
          <w:p w:rsidR="0053152B" w:rsidRPr="00D252D3" w:rsidRDefault="0053152B">
            <w:pPr>
              <w:rPr>
                <w:snapToGrid w:val="0"/>
                <w:lang w:eastAsia="cs-CZ"/>
              </w:rPr>
            </w:pPr>
            <w:r w:rsidRPr="00D252D3">
              <w:rPr>
                <w:szCs w:val="22"/>
              </w:rPr>
              <w:t>Precitlivenosť, anafylaktické reakcie</w:t>
            </w:r>
          </w:p>
          <w:p w:rsidR="0053152B" w:rsidRPr="00D252D3" w:rsidRDefault="0053152B"/>
        </w:tc>
      </w:tr>
      <w:tr w:rsidR="0053152B" w:rsidRPr="00D252D3">
        <w:tblPrEx>
          <w:tblCellMar>
            <w:top w:w="0" w:type="dxa"/>
            <w:bottom w:w="0" w:type="dxa"/>
          </w:tblCellMar>
        </w:tblPrEx>
        <w:trPr>
          <w:trHeight w:val="850"/>
        </w:trPr>
        <w:tc>
          <w:tcPr>
            <w:tcW w:w="3708" w:type="dxa"/>
          </w:tcPr>
          <w:p w:rsidR="0053152B" w:rsidRPr="00D252D3" w:rsidRDefault="0053152B">
            <w:pPr>
              <w:rPr>
                <w:bCs/>
                <w:szCs w:val="22"/>
              </w:rPr>
            </w:pPr>
            <w:r w:rsidRPr="00D252D3">
              <w:t>Poruchy metabolizmu a výživy</w:t>
            </w:r>
          </w:p>
          <w:p w:rsidR="0053152B" w:rsidRPr="00D252D3" w:rsidRDefault="0053152B">
            <w:pPr>
              <w:ind w:firstLine="38"/>
              <w:rPr>
                <w:bCs/>
                <w:snapToGrid w:val="0"/>
                <w:szCs w:val="22"/>
                <w:lang w:eastAsia="cs-CZ"/>
              </w:rPr>
            </w:pPr>
            <w:r w:rsidRPr="00D252D3">
              <w:rPr>
                <w:bCs/>
                <w:snapToGrid w:val="0"/>
                <w:szCs w:val="22"/>
                <w:lang w:eastAsia="cs-CZ"/>
              </w:rPr>
              <w:t>Menej časté:</w:t>
            </w:r>
          </w:p>
          <w:p w:rsidR="0053152B" w:rsidRPr="00D252D3" w:rsidRDefault="0053152B">
            <w:pPr>
              <w:ind w:firstLine="38"/>
              <w:rPr>
                <w:bCs/>
                <w:szCs w:val="22"/>
              </w:rPr>
            </w:pPr>
            <w:r w:rsidRPr="00D252D3">
              <w:rPr>
                <w:bCs/>
                <w:snapToGrid w:val="0"/>
                <w:szCs w:val="22"/>
                <w:lang w:eastAsia="cs-CZ"/>
              </w:rPr>
              <w:t>Zriedkavé:</w:t>
            </w:r>
          </w:p>
        </w:tc>
        <w:tc>
          <w:tcPr>
            <w:tcW w:w="5400" w:type="dxa"/>
          </w:tcPr>
          <w:p w:rsidR="0053152B" w:rsidRPr="00D252D3" w:rsidRDefault="0053152B">
            <w:pPr>
              <w:rPr>
                <w:b/>
                <w:snapToGrid w:val="0"/>
                <w:szCs w:val="22"/>
                <w:lang w:eastAsia="cs-CZ"/>
              </w:rPr>
            </w:pPr>
          </w:p>
          <w:p w:rsidR="0053152B" w:rsidRPr="00D252D3" w:rsidRDefault="0053152B">
            <w:pPr>
              <w:rPr>
                <w:szCs w:val="22"/>
              </w:rPr>
            </w:pPr>
            <w:r w:rsidRPr="00D252D3">
              <w:rPr>
                <w:szCs w:val="22"/>
              </w:rPr>
              <w:t>Hyperkaliémia</w:t>
            </w:r>
          </w:p>
          <w:p w:rsidR="0053152B" w:rsidRPr="00D252D3" w:rsidRDefault="0053152B">
            <w:pPr>
              <w:rPr>
                <w:snapToGrid w:val="0"/>
                <w:szCs w:val="22"/>
                <w:lang w:eastAsia="cs-CZ"/>
              </w:rPr>
            </w:pPr>
            <w:r w:rsidRPr="00D252D3">
              <w:rPr>
                <w:szCs w:val="22"/>
              </w:rPr>
              <w:t>Hypoglykémia (u diabetických pacientov)</w:t>
            </w:r>
          </w:p>
          <w:p w:rsidR="0053152B" w:rsidRPr="00D252D3" w:rsidRDefault="0053152B">
            <w:pPr>
              <w:rPr>
                <w:szCs w:val="22"/>
              </w:rPr>
            </w:pPr>
          </w:p>
        </w:tc>
      </w:tr>
      <w:tr w:rsidR="0053152B" w:rsidRPr="00D252D3">
        <w:tblPrEx>
          <w:tblCellMar>
            <w:top w:w="0" w:type="dxa"/>
            <w:bottom w:w="0" w:type="dxa"/>
          </w:tblCellMar>
        </w:tblPrEx>
        <w:trPr>
          <w:trHeight w:val="850"/>
        </w:trPr>
        <w:tc>
          <w:tcPr>
            <w:tcW w:w="3708" w:type="dxa"/>
          </w:tcPr>
          <w:p w:rsidR="0053152B" w:rsidRPr="00D252D3" w:rsidRDefault="0053152B">
            <w:r w:rsidRPr="00D252D3">
              <w:t>Poruchy srdca a srdcovej činnosti</w:t>
            </w:r>
          </w:p>
          <w:p w:rsidR="0053152B" w:rsidRPr="00D252D3" w:rsidRDefault="0053152B">
            <w:pPr>
              <w:ind w:firstLine="38"/>
              <w:rPr>
                <w:bCs/>
                <w:snapToGrid w:val="0"/>
                <w:szCs w:val="22"/>
                <w:lang w:eastAsia="cs-CZ"/>
              </w:rPr>
            </w:pPr>
            <w:r w:rsidRPr="00D252D3">
              <w:rPr>
                <w:bCs/>
                <w:snapToGrid w:val="0"/>
                <w:szCs w:val="22"/>
                <w:lang w:eastAsia="cs-CZ"/>
              </w:rPr>
              <w:t>Menej časté:</w:t>
            </w:r>
          </w:p>
          <w:p w:rsidR="0053152B" w:rsidRPr="00D252D3" w:rsidRDefault="0053152B">
            <w:pPr>
              <w:ind w:firstLine="38"/>
              <w:rPr>
                <w:bCs/>
                <w:snapToGrid w:val="0"/>
                <w:szCs w:val="22"/>
                <w:lang w:eastAsia="cs-CZ"/>
              </w:rPr>
            </w:pPr>
          </w:p>
          <w:p w:rsidR="0053152B" w:rsidRPr="00D252D3" w:rsidRDefault="0053152B">
            <w:pPr>
              <w:rPr>
                <w:bCs/>
                <w:snapToGrid w:val="0"/>
                <w:szCs w:val="22"/>
                <w:lang w:eastAsia="cs-CZ"/>
              </w:rPr>
            </w:pPr>
            <w:r w:rsidRPr="00D252D3">
              <w:rPr>
                <w:bCs/>
                <w:snapToGrid w:val="0"/>
                <w:szCs w:val="22"/>
                <w:lang w:eastAsia="cs-CZ"/>
              </w:rPr>
              <w:t>Poruchy nervového systému</w:t>
            </w:r>
          </w:p>
          <w:p w:rsidR="0053152B" w:rsidRPr="00D252D3" w:rsidRDefault="0053152B">
            <w:pPr>
              <w:ind w:firstLine="38"/>
              <w:rPr>
                <w:bCs/>
                <w:snapToGrid w:val="0"/>
                <w:szCs w:val="22"/>
                <w:lang w:eastAsia="cs-CZ"/>
              </w:rPr>
            </w:pPr>
            <w:r w:rsidRPr="00D252D3">
              <w:rPr>
                <w:bCs/>
                <w:snapToGrid w:val="0"/>
                <w:szCs w:val="22"/>
                <w:lang w:eastAsia="cs-CZ"/>
              </w:rPr>
              <w:t>Zriedkavé:</w:t>
            </w:r>
          </w:p>
          <w:p w:rsidR="0053152B" w:rsidRPr="00D252D3" w:rsidRDefault="0053152B">
            <w:pPr>
              <w:ind w:firstLine="38"/>
              <w:rPr>
                <w:bCs/>
                <w:snapToGrid w:val="0"/>
                <w:szCs w:val="22"/>
                <w:lang w:eastAsia="cs-CZ"/>
              </w:rPr>
            </w:pPr>
          </w:p>
          <w:p w:rsidR="0053152B" w:rsidRPr="00D252D3" w:rsidRDefault="0053152B" w:rsidP="00D252D3">
            <w:pPr>
              <w:keepNext/>
              <w:keepLines/>
              <w:rPr>
                <w:bCs/>
                <w:snapToGrid w:val="0"/>
                <w:szCs w:val="22"/>
                <w:lang w:eastAsia="cs-CZ"/>
              </w:rPr>
            </w:pPr>
            <w:r w:rsidRPr="00D252D3">
              <w:rPr>
                <w:bCs/>
                <w:snapToGrid w:val="0"/>
                <w:szCs w:val="22"/>
                <w:lang w:eastAsia="cs-CZ"/>
              </w:rPr>
              <w:t>Poruchy dýchacej sústavy, hrudníka</w:t>
            </w:r>
          </w:p>
          <w:p w:rsidR="0053152B" w:rsidRPr="00D252D3" w:rsidRDefault="0053152B" w:rsidP="00D252D3">
            <w:pPr>
              <w:keepNext/>
              <w:keepLines/>
              <w:rPr>
                <w:bCs/>
                <w:snapToGrid w:val="0"/>
                <w:szCs w:val="22"/>
                <w:lang w:eastAsia="cs-CZ"/>
              </w:rPr>
            </w:pPr>
            <w:r w:rsidRPr="00D252D3">
              <w:rPr>
                <w:bCs/>
                <w:snapToGrid w:val="0"/>
                <w:szCs w:val="22"/>
                <w:lang w:eastAsia="cs-CZ"/>
              </w:rPr>
              <w:t>a mediastína</w:t>
            </w:r>
          </w:p>
          <w:p w:rsidR="0053152B" w:rsidRPr="00D252D3" w:rsidRDefault="0053152B">
            <w:pPr>
              <w:ind w:firstLine="38"/>
              <w:rPr>
                <w:bCs/>
                <w:snapToGrid w:val="0"/>
                <w:szCs w:val="22"/>
                <w:lang w:eastAsia="cs-CZ"/>
              </w:rPr>
            </w:pPr>
            <w:r w:rsidRPr="00D252D3">
              <w:rPr>
                <w:bCs/>
                <w:snapToGrid w:val="0"/>
                <w:szCs w:val="22"/>
                <w:lang w:eastAsia="cs-CZ"/>
              </w:rPr>
              <w:t>Menej časté:</w:t>
            </w:r>
          </w:p>
          <w:p w:rsidR="0053152B" w:rsidRPr="00D252D3" w:rsidRDefault="0053152B">
            <w:pPr>
              <w:ind w:firstLine="38"/>
              <w:rPr>
                <w:bCs/>
                <w:snapToGrid w:val="0"/>
                <w:szCs w:val="22"/>
                <w:lang w:eastAsia="cs-CZ"/>
              </w:rPr>
            </w:pPr>
            <w:r w:rsidRPr="00D252D3">
              <w:rPr>
                <w:bCs/>
                <w:snapToGrid w:val="0"/>
                <w:szCs w:val="22"/>
                <w:lang w:eastAsia="cs-CZ"/>
              </w:rPr>
              <w:t>Veľmi zriedkavé:</w:t>
            </w:r>
          </w:p>
          <w:p w:rsidR="0053152B" w:rsidRPr="00D252D3" w:rsidRDefault="0053152B">
            <w:pPr>
              <w:ind w:firstLine="38"/>
            </w:pPr>
          </w:p>
        </w:tc>
        <w:tc>
          <w:tcPr>
            <w:tcW w:w="5400" w:type="dxa"/>
          </w:tcPr>
          <w:p w:rsidR="0053152B" w:rsidRPr="00D252D3" w:rsidRDefault="0053152B">
            <w:pPr>
              <w:rPr>
                <w:b/>
                <w:snapToGrid w:val="0"/>
                <w:szCs w:val="22"/>
                <w:lang w:eastAsia="cs-CZ"/>
              </w:rPr>
            </w:pPr>
          </w:p>
          <w:p w:rsidR="0053152B" w:rsidRPr="00D252D3" w:rsidRDefault="0053152B">
            <w:pPr>
              <w:rPr>
                <w:szCs w:val="22"/>
              </w:rPr>
            </w:pPr>
            <w:r w:rsidRPr="00D252D3">
              <w:rPr>
                <w:szCs w:val="22"/>
              </w:rPr>
              <w:t>Bradykardia</w:t>
            </w:r>
          </w:p>
          <w:p w:rsidR="0053152B" w:rsidRPr="00D252D3" w:rsidRDefault="0053152B">
            <w:pPr>
              <w:rPr>
                <w:szCs w:val="22"/>
              </w:rPr>
            </w:pPr>
          </w:p>
          <w:p w:rsidR="0053152B" w:rsidRPr="00D252D3" w:rsidRDefault="0053152B">
            <w:pPr>
              <w:rPr>
                <w:szCs w:val="22"/>
              </w:rPr>
            </w:pPr>
          </w:p>
          <w:p w:rsidR="0053152B" w:rsidRPr="00D252D3" w:rsidRDefault="0053152B">
            <w:pPr>
              <w:rPr>
                <w:szCs w:val="22"/>
              </w:rPr>
            </w:pPr>
            <w:r w:rsidRPr="00D252D3">
              <w:rPr>
                <w:szCs w:val="22"/>
              </w:rPr>
              <w:t>Somnolencia</w:t>
            </w:r>
          </w:p>
          <w:p w:rsidR="0053152B" w:rsidRPr="00D252D3" w:rsidRDefault="0053152B">
            <w:pPr>
              <w:rPr>
                <w:szCs w:val="22"/>
              </w:rPr>
            </w:pPr>
          </w:p>
          <w:p w:rsidR="0053152B" w:rsidRPr="00D252D3" w:rsidRDefault="0053152B">
            <w:pPr>
              <w:rPr>
                <w:szCs w:val="22"/>
              </w:rPr>
            </w:pPr>
          </w:p>
          <w:p w:rsidR="0053152B" w:rsidRPr="00D252D3" w:rsidRDefault="0053152B">
            <w:pPr>
              <w:rPr>
                <w:szCs w:val="22"/>
              </w:rPr>
            </w:pPr>
          </w:p>
          <w:p w:rsidR="0053152B" w:rsidRPr="00D252D3" w:rsidRDefault="0053152B">
            <w:pPr>
              <w:rPr>
                <w:szCs w:val="22"/>
              </w:rPr>
            </w:pPr>
            <w:r w:rsidRPr="00D252D3">
              <w:rPr>
                <w:szCs w:val="22"/>
              </w:rPr>
              <w:t>Kašeľ</w:t>
            </w:r>
          </w:p>
          <w:p w:rsidR="0053152B" w:rsidRPr="00D252D3" w:rsidRDefault="0053152B">
            <w:pPr>
              <w:rPr>
                <w:szCs w:val="22"/>
                <w:vertAlign w:val="superscript"/>
              </w:rPr>
            </w:pPr>
            <w:r w:rsidRPr="00D252D3">
              <w:rPr>
                <w:szCs w:val="22"/>
              </w:rPr>
              <w:t>Intersticiálne ochorenie pľúc</w:t>
            </w:r>
            <w:r w:rsidRPr="00D252D3">
              <w:rPr>
                <w:szCs w:val="22"/>
                <w:vertAlign w:val="superscript"/>
              </w:rPr>
              <w:t>3</w:t>
            </w:r>
          </w:p>
          <w:p w:rsidR="0053152B" w:rsidRPr="00D252D3" w:rsidRDefault="0053152B">
            <w:pPr>
              <w:rPr>
                <w:b/>
                <w:snapToGrid w:val="0"/>
                <w:szCs w:val="22"/>
                <w:lang w:eastAsia="cs-CZ"/>
              </w:rPr>
            </w:pPr>
          </w:p>
        </w:tc>
      </w:tr>
      <w:tr w:rsidR="0053152B" w:rsidRPr="00D252D3">
        <w:tblPrEx>
          <w:tblCellMar>
            <w:top w:w="0" w:type="dxa"/>
            <w:bottom w:w="0" w:type="dxa"/>
          </w:tblCellMar>
        </w:tblPrEx>
        <w:trPr>
          <w:trHeight w:val="425"/>
        </w:trPr>
        <w:tc>
          <w:tcPr>
            <w:tcW w:w="3708" w:type="dxa"/>
          </w:tcPr>
          <w:p w:rsidR="0053152B" w:rsidRPr="00D252D3" w:rsidRDefault="0053152B">
            <w:pPr>
              <w:rPr>
                <w:bCs/>
                <w:szCs w:val="22"/>
              </w:rPr>
            </w:pPr>
            <w:r w:rsidRPr="00D252D3">
              <w:t xml:space="preserve">Poruchy gastrointestinálneho traktu </w:t>
            </w:r>
          </w:p>
          <w:p w:rsidR="0053152B" w:rsidRPr="00D252D3" w:rsidRDefault="0053152B">
            <w:pPr>
              <w:tabs>
                <w:tab w:val="left" w:pos="568"/>
              </w:tabs>
              <w:ind w:left="605" w:firstLine="0"/>
              <w:rPr>
                <w:szCs w:val="22"/>
              </w:rPr>
            </w:pPr>
            <w:r w:rsidRPr="00D252D3">
              <w:rPr>
                <w:bCs/>
                <w:snapToGrid w:val="0"/>
                <w:szCs w:val="22"/>
                <w:lang w:eastAsia="cs-CZ"/>
              </w:rPr>
              <w:t>Zriedkavé:</w:t>
            </w:r>
          </w:p>
        </w:tc>
        <w:tc>
          <w:tcPr>
            <w:tcW w:w="5400" w:type="dxa"/>
          </w:tcPr>
          <w:p w:rsidR="0053152B" w:rsidRPr="00D252D3" w:rsidRDefault="0053152B">
            <w:pPr>
              <w:rPr>
                <w:snapToGrid w:val="0"/>
                <w:lang w:eastAsia="cs-CZ"/>
              </w:rPr>
            </w:pPr>
          </w:p>
          <w:p w:rsidR="0053152B" w:rsidRPr="00D252D3" w:rsidRDefault="0053152B">
            <w:pPr>
              <w:rPr>
                <w:snapToGrid w:val="0"/>
                <w:lang w:eastAsia="cs-CZ"/>
              </w:rPr>
            </w:pPr>
            <w:r w:rsidRPr="00D252D3">
              <w:rPr>
                <w:snapToGrid w:val="0"/>
                <w:lang w:eastAsia="cs-CZ"/>
              </w:rPr>
              <w:t>Žalúdočné ťažkosti</w:t>
            </w:r>
          </w:p>
          <w:p w:rsidR="0053152B" w:rsidRPr="00D252D3" w:rsidRDefault="0053152B">
            <w:pPr>
              <w:rPr>
                <w:szCs w:val="22"/>
              </w:rPr>
            </w:pPr>
          </w:p>
        </w:tc>
      </w:tr>
      <w:tr w:rsidR="0053152B" w:rsidRPr="00D252D3">
        <w:tblPrEx>
          <w:tblCellMar>
            <w:top w:w="0" w:type="dxa"/>
            <w:bottom w:w="0" w:type="dxa"/>
          </w:tblCellMar>
        </w:tblPrEx>
        <w:trPr>
          <w:trHeight w:val="850"/>
        </w:trPr>
        <w:tc>
          <w:tcPr>
            <w:tcW w:w="3708" w:type="dxa"/>
          </w:tcPr>
          <w:p w:rsidR="0053152B" w:rsidRPr="00D252D3" w:rsidRDefault="0053152B">
            <w:pPr>
              <w:ind w:left="0" w:firstLine="0"/>
              <w:rPr>
                <w:bCs/>
                <w:szCs w:val="22"/>
              </w:rPr>
            </w:pPr>
          </w:p>
          <w:p w:rsidR="0053152B" w:rsidRPr="00D252D3" w:rsidRDefault="0053152B">
            <w:pPr>
              <w:ind w:left="0" w:firstLine="0"/>
              <w:rPr>
                <w:bCs/>
                <w:szCs w:val="22"/>
              </w:rPr>
            </w:pPr>
            <w:r w:rsidRPr="00D252D3">
              <w:rPr>
                <w:bCs/>
                <w:szCs w:val="22"/>
              </w:rPr>
              <w:t>Poruchy kože a podkožného tkaniva</w:t>
            </w:r>
          </w:p>
          <w:p w:rsidR="0053152B" w:rsidRPr="00D252D3" w:rsidRDefault="0053152B">
            <w:pPr>
              <w:ind w:firstLine="38"/>
              <w:rPr>
                <w:snapToGrid w:val="0"/>
                <w:szCs w:val="22"/>
                <w:lang w:eastAsia="cs-CZ"/>
              </w:rPr>
            </w:pPr>
            <w:r w:rsidRPr="00D252D3">
              <w:rPr>
                <w:bCs/>
                <w:snapToGrid w:val="0"/>
                <w:szCs w:val="22"/>
                <w:lang w:eastAsia="cs-CZ"/>
              </w:rPr>
              <w:t>Zriedkavé:</w:t>
            </w:r>
          </w:p>
          <w:p w:rsidR="0053152B" w:rsidRPr="00D252D3" w:rsidRDefault="0053152B">
            <w:pPr>
              <w:pStyle w:val="EndnoteText"/>
              <w:tabs>
                <w:tab w:val="clear" w:pos="567"/>
              </w:tabs>
              <w:rPr>
                <w:szCs w:val="22"/>
                <w:lang w:val="sk-SK" w:eastAsia="sk-SK"/>
              </w:rPr>
            </w:pPr>
          </w:p>
        </w:tc>
        <w:tc>
          <w:tcPr>
            <w:tcW w:w="5400" w:type="dxa"/>
          </w:tcPr>
          <w:p w:rsidR="0053152B" w:rsidRPr="00D252D3" w:rsidRDefault="0053152B">
            <w:pPr>
              <w:rPr>
                <w:snapToGrid w:val="0"/>
                <w:szCs w:val="22"/>
                <w:lang w:eastAsia="cs-CZ"/>
              </w:rPr>
            </w:pPr>
          </w:p>
          <w:p w:rsidR="0053152B" w:rsidRPr="00D252D3" w:rsidRDefault="0053152B">
            <w:pPr>
              <w:rPr>
                <w:snapToGrid w:val="0"/>
                <w:szCs w:val="22"/>
                <w:lang w:eastAsia="cs-CZ"/>
              </w:rPr>
            </w:pPr>
          </w:p>
          <w:p w:rsidR="0053152B" w:rsidRPr="00D252D3" w:rsidRDefault="0053152B">
            <w:pPr>
              <w:rPr>
                <w:snapToGrid w:val="0"/>
                <w:szCs w:val="22"/>
                <w:lang w:eastAsia="cs-CZ"/>
              </w:rPr>
            </w:pPr>
            <w:r w:rsidRPr="00D252D3">
              <w:rPr>
                <w:snapToGrid w:val="0"/>
                <w:szCs w:val="22"/>
                <w:lang w:eastAsia="cs-CZ"/>
              </w:rPr>
              <w:t>Ekzém, lieková vyrážka</w:t>
            </w:r>
            <w:r w:rsidRPr="00D252D3">
              <w:rPr>
                <w:szCs w:val="22"/>
              </w:rPr>
              <w:t>, toxická kožná vyrážka</w:t>
            </w:r>
          </w:p>
          <w:p w:rsidR="0053152B" w:rsidRPr="00D252D3" w:rsidRDefault="0053152B">
            <w:pPr>
              <w:ind w:left="0" w:firstLine="0"/>
              <w:rPr>
                <w:szCs w:val="22"/>
              </w:rPr>
            </w:pPr>
          </w:p>
        </w:tc>
      </w:tr>
      <w:tr w:rsidR="0053152B" w:rsidRPr="00D252D3">
        <w:tblPrEx>
          <w:tblCellMar>
            <w:top w:w="0" w:type="dxa"/>
            <w:bottom w:w="0" w:type="dxa"/>
          </w:tblCellMar>
        </w:tblPrEx>
        <w:trPr>
          <w:trHeight w:val="850"/>
        </w:trPr>
        <w:tc>
          <w:tcPr>
            <w:tcW w:w="3708" w:type="dxa"/>
          </w:tcPr>
          <w:p w:rsidR="0053152B" w:rsidRPr="00D252D3" w:rsidRDefault="0053152B">
            <w:r w:rsidRPr="00D252D3">
              <w:t xml:space="preserve">Poruchy kostrovej a svalovej sústavy </w:t>
            </w:r>
          </w:p>
          <w:p w:rsidR="0053152B" w:rsidRPr="00D252D3" w:rsidRDefault="0053152B">
            <w:r w:rsidRPr="00D252D3">
              <w:t>a spojivového tkaniva</w:t>
            </w:r>
          </w:p>
          <w:p w:rsidR="0053152B" w:rsidRPr="00D252D3" w:rsidRDefault="0053152B">
            <w:pPr>
              <w:ind w:firstLine="38"/>
              <w:rPr>
                <w:snapToGrid w:val="0"/>
                <w:szCs w:val="22"/>
                <w:lang w:eastAsia="cs-CZ"/>
              </w:rPr>
            </w:pPr>
            <w:r w:rsidRPr="00D252D3">
              <w:rPr>
                <w:bCs/>
                <w:snapToGrid w:val="0"/>
                <w:szCs w:val="22"/>
                <w:lang w:eastAsia="cs-CZ"/>
              </w:rPr>
              <w:t>Zriedkavé:</w:t>
            </w:r>
          </w:p>
          <w:p w:rsidR="0053152B" w:rsidRPr="00D252D3" w:rsidRDefault="0053152B">
            <w:pPr>
              <w:rPr>
                <w:szCs w:val="22"/>
              </w:rPr>
            </w:pPr>
          </w:p>
        </w:tc>
        <w:tc>
          <w:tcPr>
            <w:tcW w:w="5400" w:type="dxa"/>
          </w:tcPr>
          <w:p w:rsidR="0053152B" w:rsidRPr="00D252D3" w:rsidRDefault="0053152B">
            <w:pPr>
              <w:rPr>
                <w:snapToGrid w:val="0"/>
                <w:szCs w:val="22"/>
                <w:lang w:eastAsia="cs-CZ"/>
              </w:rPr>
            </w:pPr>
          </w:p>
          <w:p w:rsidR="0053152B" w:rsidRPr="00D252D3" w:rsidRDefault="0053152B">
            <w:pPr>
              <w:rPr>
                <w:szCs w:val="22"/>
              </w:rPr>
            </w:pPr>
          </w:p>
          <w:p w:rsidR="0053152B" w:rsidRPr="00D252D3" w:rsidRDefault="0053152B">
            <w:pPr>
              <w:rPr>
                <w:szCs w:val="22"/>
              </w:rPr>
            </w:pPr>
            <w:r w:rsidRPr="00D252D3">
              <w:rPr>
                <w:szCs w:val="22"/>
              </w:rPr>
              <w:t>Artróza, bolesť šľachy</w:t>
            </w:r>
          </w:p>
        </w:tc>
      </w:tr>
      <w:tr w:rsidR="0053152B" w:rsidRPr="00D252D3">
        <w:tblPrEx>
          <w:tblCellMar>
            <w:top w:w="0" w:type="dxa"/>
            <w:bottom w:w="0" w:type="dxa"/>
          </w:tblCellMar>
        </w:tblPrEx>
        <w:trPr>
          <w:trHeight w:val="850"/>
        </w:trPr>
        <w:tc>
          <w:tcPr>
            <w:tcW w:w="3708" w:type="dxa"/>
          </w:tcPr>
          <w:p w:rsidR="0053152B" w:rsidRPr="00D252D3" w:rsidRDefault="0053152B">
            <w:r w:rsidRPr="00D252D3">
              <w:t>Poruchy obličiek a močových ciest</w:t>
            </w:r>
          </w:p>
          <w:p w:rsidR="0053152B" w:rsidRPr="00D252D3" w:rsidRDefault="0053152B">
            <w:pPr>
              <w:ind w:firstLine="38"/>
            </w:pPr>
            <w:r w:rsidRPr="00D252D3">
              <w:rPr>
                <w:bCs/>
                <w:snapToGrid w:val="0"/>
                <w:szCs w:val="22"/>
                <w:lang w:eastAsia="cs-CZ"/>
              </w:rPr>
              <w:t>Menej časté:</w:t>
            </w:r>
          </w:p>
        </w:tc>
        <w:tc>
          <w:tcPr>
            <w:tcW w:w="5400" w:type="dxa"/>
          </w:tcPr>
          <w:p w:rsidR="0053152B" w:rsidRPr="00D252D3" w:rsidRDefault="0053152B">
            <w:pPr>
              <w:rPr>
                <w:szCs w:val="22"/>
              </w:rPr>
            </w:pPr>
          </w:p>
          <w:p w:rsidR="0053152B" w:rsidRPr="00D252D3" w:rsidRDefault="0053152B">
            <w:pPr>
              <w:rPr>
                <w:szCs w:val="22"/>
              </w:rPr>
            </w:pPr>
            <w:r w:rsidRPr="00D252D3">
              <w:rPr>
                <w:szCs w:val="22"/>
              </w:rPr>
              <w:t>Poškodenie funkcie obličiek (vrátane akútneho zlyhania</w:t>
            </w:r>
          </w:p>
          <w:p w:rsidR="0053152B" w:rsidRPr="00D252D3" w:rsidRDefault="0053152B">
            <w:pPr>
              <w:rPr>
                <w:snapToGrid w:val="0"/>
                <w:szCs w:val="22"/>
                <w:lang w:eastAsia="cs-CZ"/>
              </w:rPr>
            </w:pPr>
            <w:r w:rsidRPr="00D252D3">
              <w:rPr>
                <w:szCs w:val="22"/>
              </w:rPr>
              <w:t>obličiek)</w:t>
            </w:r>
          </w:p>
        </w:tc>
      </w:tr>
      <w:tr w:rsidR="0053152B" w:rsidRPr="00D252D3">
        <w:tblPrEx>
          <w:tblCellMar>
            <w:top w:w="0" w:type="dxa"/>
            <w:bottom w:w="0" w:type="dxa"/>
          </w:tblCellMar>
        </w:tblPrEx>
        <w:trPr>
          <w:trHeight w:val="850"/>
        </w:trPr>
        <w:tc>
          <w:tcPr>
            <w:tcW w:w="3708" w:type="dxa"/>
          </w:tcPr>
          <w:p w:rsidR="0053152B" w:rsidRPr="00D252D3" w:rsidRDefault="0053152B">
            <w:pPr>
              <w:rPr>
                <w:bCs/>
                <w:szCs w:val="22"/>
              </w:rPr>
            </w:pPr>
            <w:r w:rsidRPr="00D252D3">
              <w:rPr>
                <w:bCs/>
                <w:szCs w:val="22"/>
              </w:rPr>
              <w:t xml:space="preserve">Celkové poruchy a reakcie v mieste </w:t>
            </w:r>
          </w:p>
          <w:p w:rsidR="0053152B" w:rsidRPr="00D252D3" w:rsidRDefault="0053152B">
            <w:pPr>
              <w:rPr>
                <w:bCs/>
                <w:szCs w:val="22"/>
              </w:rPr>
            </w:pPr>
            <w:r w:rsidRPr="00D252D3">
              <w:rPr>
                <w:bCs/>
                <w:szCs w:val="22"/>
              </w:rPr>
              <w:t>podania</w:t>
            </w:r>
          </w:p>
          <w:p w:rsidR="0053152B" w:rsidRPr="00D252D3" w:rsidRDefault="0053152B">
            <w:pPr>
              <w:ind w:firstLine="38"/>
              <w:rPr>
                <w:snapToGrid w:val="0"/>
                <w:szCs w:val="22"/>
                <w:lang w:eastAsia="cs-CZ"/>
              </w:rPr>
            </w:pPr>
            <w:r w:rsidRPr="00D252D3">
              <w:rPr>
                <w:bCs/>
                <w:snapToGrid w:val="0"/>
                <w:szCs w:val="22"/>
                <w:lang w:eastAsia="cs-CZ"/>
              </w:rPr>
              <w:t>Menej časté:</w:t>
            </w:r>
          </w:p>
          <w:p w:rsidR="0053152B" w:rsidRPr="00D252D3" w:rsidRDefault="0053152B">
            <w:pPr>
              <w:rPr>
                <w:szCs w:val="22"/>
              </w:rPr>
            </w:pPr>
          </w:p>
        </w:tc>
        <w:tc>
          <w:tcPr>
            <w:tcW w:w="5400" w:type="dxa"/>
          </w:tcPr>
          <w:p w:rsidR="0053152B" w:rsidRPr="00D252D3" w:rsidRDefault="0053152B">
            <w:pPr>
              <w:rPr>
                <w:snapToGrid w:val="0"/>
                <w:szCs w:val="22"/>
                <w:lang w:eastAsia="cs-CZ"/>
              </w:rPr>
            </w:pPr>
          </w:p>
          <w:p w:rsidR="0053152B" w:rsidRPr="00D252D3" w:rsidRDefault="0053152B">
            <w:pPr>
              <w:rPr>
                <w:szCs w:val="22"/>
              </w:rPr>
            </w:pPr>
          </w:p>
          <w:p w:rsidR="0053152B" w:rsidRPr="00D252D3" w:rsidRDefault="0053152B">
            <w:pPr>
              <w:rPr>
                <w:szCs w:val="22"/>
              </w:rPr>
            </w:pPr>
            <w:r w:rsidRPr="00D252D3">
              <w:rPr>
                <w:szCs w:val="22"/>
              </w:rPr>
              <w:t>Asténia</w:t>
            </w:r>
          </w:p>
          <w:p w:rsidR="0053152B" w:rsidRPr="00D252D3" w:rsidRDefault="0053152B">
            <w:pPr>
              <w:rPr>
                <w:szCs w:val="22"/>
              </w:rPr>
            </w:pPr>
          </w:p>
        </w:tc>
      </w:tr>
      <w:tr w:rsidR="0053152B" w:rsidRPr="00D252D3">
        <w:tblPrEx>
          <w:tblCellMar>
            <w:top w:w="0" w:type="dxa"/>
            <w:bottom w:w="0" w:type="dxa"/>
          </w:tblCellMar>
        </w:tblPrEx>
        <w:trPr>
          <w:trHeight w:val="850"/>
        </w:trPr>
        <w:tc>
          <w:tcPr>
            <w:tcW w:w="3708" w:type="dxa"/>
          </w:tcPr>
          <w:p w:rsidR="0053152B" w:rsidRPr="00D252D3" w:rsidRDefault="0053152B">
            <w:pPr>
              <w:rPr>
                <w:bCs/>
                <w:snapToGrid w:val="0"/>
                <w:szCs w:val="22"/>
                <w:lang w:eastAsia="cs-CZ"/>
              </w:rPr>
            </w:pPr>
            <w:r w:rsidRPr="00D252D3">
              <w:t>Laboratórne a funkčné vyšetrenia</w:t>
            </w:r>
          </w:p>
          <w:p w:rsidR="0053152B" w:rsidRPr="00D252D3" w:rsidRDefault="0053152B">
            <w:pPr>
              <w:ind w:firstLine="38"/>
              <w:rPr>
                <w:szCs w:val="22"/>
              </w:rPr>
            </w:pPr>
            <w:r w:rsidRPr="00D252D3">
              <w:rPr>
                <w:bCs/>
                <w:snapToGrid w:val="0"/>
                <w:szCs w:val="22"/>
                <w:lang w:eastAsia="cs-CZ"/>
              </w:rPr>
              <w:t>Zriedkavé</w:t>
            </w:r>
          </w:p>
        </w:tc>
        <w:tc>
          <w:tcPr>
            <w:tcW w:w="5400" w:type="dxa"/>
          </w:tcPr>
          <w:p w:rsidR="0053152B" w:rsidRPr="00D252D3" w:rsidRDefault="0053152B">
            <w:pPr>
              <w:rPr>
                <w:snapToGrid w:val="0"/>
                <w:szCs w:val="22"/>
                <w:lang w:eastAsia="cs-CZ"/>
              </w:rPr>
            </w:pPr>
          </w:p>
          <w:p w:rsidR="0053152B" w:rsidRPr="00D252D3" w:rsidRDefault="0053152B">
            <w:pPr>
              <w:rPr>
                <w:szCs w:val="22"/>
              </w:rPr>
            </w:pPr>
            <w:r w:rsidRPr="00D252D3">
              <w:rPr>
                <w:szCs w:val="22"/>
              </w:rPr>
              <w:t>Znížený hemoglobín</w:t>
            </w:r>
          </w:p>
          <w:p w:rsidR="0053152B" w:rsidRPr="00D252D3" w:rsidRDefault="0053152B">
            <w:pPr>
              <w:rPr>
                <w:snapToGrid w:val="0"/>
                <w:szCs w:val="22"/>
                <w:lang w:eastAsia="cs-CZ"/>
              </w:rPr>
            </w:pPr>
          </w:p>
        </w:tc>
      </w:tr>
    </w:tbl>
    <w:p w:rsidR="0053152B" w:rsidRPr="00D252D3" w:rsidRDefault="0053152B">
      <w:pPr>
        <w:ind w:left="0" w:firstLine="0"/>
        <w:rPr>
          <w:i/>
        </w:rPr>
      </w:pPr>
      <w:r w:rsidRPr="00D252D3">
        <w:rPr>
          <w:szCs w:val="22"/>
        </w:rPr>
        <w:t xml:space="preserve">3: Pre ďalší popis, prosím, pozri časť </w:t>
      </w:r>
      <w:r w:rsidRPr="00D252D3">
        <w:rPr>
          <w:iCs/>
        </w:rPr>
        <w:t>„Popis vybraných nežiaducich reakcií“</w:t>
      </w:r>
    </w:p>
    <w:p w:rsidR="0053152B" w:rsidRPr="00D252D3" w:rsidRDefault="0053152B">
      <w:pPr>
        <w:ind w:left="0" w:firstLine="0"/>
        <w:rPr>
          <w:snapToGrid w:val="0"/>
          <w:lang w:eastAsia="cs-CZ"/>
        </w:rPr>
      </w:pPr>
    </w:p>
    <w:p w:rsidR="0053152B" w:rsidRPr="00D252D3" w:rsidRDefault="0053152B">
      <w:pPr>
        <w:keepNext/>
        <w:keepLines/>
        <w:ind w:left="0" w:firstLine="0"/>
        <w:rPr>
          <w:bCs/>
          <w:u w:val="single"/>
        </w:rPr>
      </w:pPr>
      <w:r w:rsidRPr="00D252D3">
        <w:rPr>
          <w:bCs/>
          <w:u w:val="single"/>
        </w:rPr>
        <w:t>Hydrochlorotiazid:</w:t>
      </w:r>
    </w:p>
    <w:p w:rsidR="0053152B" w:rsidRPr="00D252D3" w:rsidRDefault="0053152B">
      <w:pPr>
        <w:ind w:left="0" w:firstLine="0"/>
        <w:rPr>
          <w:snapToGrid w:val="0"/>
          <w:szCs w:val="22"/>
          <w:lang w:eastAsia="cs-CZ"/>
        </w:rPr>
      </w:pPr>
      <w:r w:rsidRPr="00D252D3">
        <w:rPr>
          <w:snapToGrid w:val="0"/>
          <w:szCs w:val="22"/>
          <w:lang w:eastAsia="cs-CZ"/>
        </w:rPr>
        <w:t>Hydrochlorotiazid môže vyvolať alebo exacerbovať hypovolémiu, ktorá by mohla viesť k elektrolytovej nerovnováhe (pozri časť 4.4).</w:t>
      </w:r>
    </w:p>
    <w:p w:rsidR="0053152B" w:rsidRPr="00D252D3" w:rsidRDefault="0053152B">
      <w:pPr>
        <w:ind w:left="0" w:firstLine="0"/>
        <w:rPr>
          <w:snapToGrid w:val="0"/>
          <w:lang w:eastAsia="cs-CZ"/>
        </w:rPr>
      </w:pPr>
    </w:p>
    <w:p w:rsidR="0053152B" w:rsidRPr="00D252D3" w:rsidRDefault="0053152B" w:rsidP="00AB164B">
      <w:pPr>
        <w:keepNext/>
        <w:ind w:left="0" w:firstLine="0"/>
        <w:rPr>
          <w:snapToGrid w:val="0"/>
          <w:lang w:eastAsia="cs-CZ"/>
        </w:rPr>
      </w:pPr>
      <w:r w:rsidRPr="00D252D3">
        <w:rPr>
          <w:snapToGrid w:val="0"/>
          <w:lang w:eastAsia="cs-CZ"/>
        </w:rPr>
        <w:t>Nežiaduce reakcie s neznámou frekvenciou hlásené pri používaní samotného hydrochlorotiazidu zahŕňajú:</w:t>
      </w:r>
    </w:p>
    <w:p w:rsidR="0053152B" w:rsidRPr="00D252D3" w:rsidRDefault="0053152B" w:rsidP="00AB164B">
      <w:pPr>
        <w:keepNext/>
        <w:ind w:left="0" w:firstLine="0"/>
        <w:rPr>
          <w:snapToGrid w:val="0"/>
          <w:lang w:eastAsia="cs-CZ"/>
        </w:rPr>
      </w:pPr>
    </w:p>
    <w:tbl>
      <w:tblPr>
        <w:tblW w:w="0" w:type="auto"/>
        <w:tblInd w:w="-38" w:type="dxa"/>
        <w:tblLayout w:type="fixed"/>
        <w:tblCellMar>
          <w:left w:w="70" w:type="dxa"/>
          <w:right w:w="70" w:type="dxa"/>
        </w:tblCellMar>
        <w:tblLook w:val="01E0" w:firstRow="1" w:lastRow="1" w:firstColumn="1" w:lastColumn="1" w:noHBand="0" w:noVBand="0"/>
      </w:tblPr>
      <w:tblGrid>
        <w:gridCol w:w="3528"/>
        <w:gridCol w:w="5400"/>
      </w:tblGrid>
      <w:tr w:rsidR="0053152B" w:rsidRPr="00D252D3" w:rsidTr="00A2013F">
        <w:tblPrEx>
          <w:tblCellMar>
            <w:top w:w="0" w:type="dxa"/>
            <w:bottom w:w="0" w:type="dxa"/>
          </w:tblCellMar>
        </w:tblPrEx>
        <w:tc>
          <w:tcPr>
            <w:tcW w:w="3528" w:type="dxa"/>
          </w:tcPr>
          <w:p w:rsidR="0053152B" w:rsidRPr="00D252D3" w:rsidRDefault="0053152B" w:rsidP="0021184D">
            <w:pPr>
              <w:keepNext/>
              <w:rPr>
                <w:snapToGrid w:val="0"/>
                <w:lang w:eastAsia="cs-CZ"/>
              </w:rPr>
            </w:pPr>
            <w:r w:rsidRPr="00D252D3">
              <w:rPr>
                <w:snapToGrid w:val="0"/>
                <w:lang w:eastAsia="cs-CZ"/>
              </w:rPr>
              <w:t>Infekcie a nákazy</w:t>
            </w:r>
          </w:p>
          <w:p w:rsidR="0053152B" w:rsidRPr="00D252D3" w:rsidRDefault="0053152B" w:rsidP="0021184D">
            <w:pPr>
              <w:keepNext/>
              <w:ind w:firstLine="38"/>
              <w:rPr>
                <w:snapToGrid w:val="0"/>
                <w:lang w:eastAsia="cs-CZ"/>
              </w:rPr>
            </w:pPr>
            <w:r w:rsidRPr="00D252D3">
              <w:rPr>
                <w:bCs/>
                <w:snapToGrid w:val="0"/>
                <w:szCs w:val="22"/>
                <w:lang w:eastAsia="cs-CZ"/>
              </w:rPr>
              <w:t>Neznáme:</w:t>
            </w:r>
          </w:p>
          <w:p w:rsidR="0053152B" w:rsidRPr="00D252D3" w:rsidRDefault="0053152B" w:rsidP="0021184D">
            <w:pPr>
              <w:keepNext/>
              <w:rPr>
                <w:snapToGrid w:val="0"/>
                <w:lang w:eastAsia="cs-CZ"/>
              </w:rPr>
            </w:pPr>
          </w:p>
        </w:tc>
        <w:tc>
          <w:tcPr>
            <w:tcW w:w="5400" w:type="dxa"/>
          </w:tcPr>
          <w:p w:rsidR="0053152B" w:rsidRPr="00D252D3" w:rsidRDefault="0053152B" w:rsidP="0021184D">
            <w:pPr>
              <w:keepNext/>
              <w:rPr>
                <w:snapToGrid w:val="0"/>
                <w:lang w:eastAsia="cs-CZ"/>
              </w:rPr>
            </w:pPr>
          </w:p>
          <w:p w:rsidR="0053152B" w:rsidRPr="00D252D3" w:rsidRDefault="0053152B" w:rsidP="0021184D">
            <w:pPr>
              <w:keepNext/>
              <w:rPr>
                <w:snapToGrid w:val="0"/>
                <w:lang w:eastAsia="cs-CZ"/>
              </w:rPr>
            </w:pPr>
            <w:r w:rsidRPr="00D252D3">
              <w:rPr>
                <w:snapToGrid w:val="0"/>
                <w:lang w:eastAsia="cs-CZ"/>
              </w:rPr>
              <w:t>Zápal slinnej žľazy</w:t>
            </w:r>
          </w:p>
          <w:p w:rsidR="0053152B" w:rsidRPr="00D252D3" w:rsidRDefault="0053152B" w:rsidP="0021184D">
            <w:pPr>
              <w:keepNext/>
              <w:rPr>
                <w:snapToGrid w:val="0"/>
                <w:lang w:eastAsia="cs-CZ"/>
              </w:rPr>
            </w:pPr>
            <w:r w:rsidRPr="00D252D3">
              <w:rPr>
                <w:snapToGrid w:val="0"/>
                <w:lang w:eastAsia="cs-CZ"/>
              </w:rPr>
              <w:t xml:space="preserve"> </w:t>
            </w:r>
          </w:p>
        </w:tc>
      </w:tr>
      <w:tr w:rsidR="00A2013F" w:rsidRPr="00D252D3" w:rsidTr="00A2013F">
        <w:tblPrEx>
          <w:tblCellMar>
            <w:top w:w="0" w:type="dxa"/>
            <w:bottom w:w="0" w:type="dxa"/>
          </w:tblCellMar>
        </w:tblPrEx>
        <w:trPr>
          <w:trHeight w:val="630"/>
        </w:trPr>
        <w:tc>
          <w:tcPr>
            <w:tcW w:w="3528" w:type="dxa"/>
          </w:tcPr>
          <w:p w:rsidR="00A2013F" w:rsidRPr="00D252D3" w:rsidRDefault="00A2013F" w:rsidP="002E1039">
            <w:pPr>
              <w:ind w:left="0" w:firstLine="0"/>
            </w:pPr>
            <w:r w:rsidRPr="00D252D3">
              <w:t>Benígne a malígne nádory, vrátane nešpecifikovaných novotvarov (cysty a polypy)</w:t>
            </w:r>
          </w:p>
          <w:p w:rsidR="00A2013F" w:rsidRPr="00D252D3" w:rsidRDefault="00A2013F" w:rsidP="002E1039">
            <w:pPr>
              <w:ind w:firstLine="38"/>
            </w:pPr>
            <w:r w:rsidRPr="00D252D3">
              <w:rPr>
                <w:snapToGrid w:val="0"/>
                <w:lang w:eastAsia="cs-CZ"/>
              </w:rPr>
              <w:t>Neznáme</w:t>
            </w:r>
            <w:r w:rsidRPr="00D252D3">
              <w:t>:</w:t>
            </w:r>
          </w:p>
          <w:p w:rsidR="00A2013F" w:rsidRPr="00D252D3" w:rsidRDefault="00A2013F"/>
        </w:tc>
        <w:tc>
          <w:tcPr>
            <w:tcW w:w="5400" w:type="dxa"/>
            <w:shd w:val="clear" w:color="auto" w:fill="auto"/>
          </w:tcPr>
          <w:p w:rsidR="00A2013F" w:rsidRPr="00D252D3" w:rsidRDefault="00A2013F" w:rsidP="002E1039">
            <w:pPr>
              <w:ind w:left="0" w:firstLine="0"/>
            </w:pPr>
          </w:p>
          <w:p w:rsidR="00A2013F" w:rsidRPr="00D252D3" w:rsidRDefault="00A2013F" w:rsidP="002E1039">
            <w:pPr>
              <w:ind w:left="0" w:firstLine="0"/>
            </w:pPr>
          </w:p>
          <w:p w:rsidR="00A2013F" w:rsidRPr="00D252D3" w:rsidRDefault="00A2013F" w:rsidP="002E1039">
            <w:pPr>
              <w:ind w:left="0" w:firstLine="0"/>
            </w:pPr>
          </w:p>
          <w:p w:rsidR="00A2013F" w:rsidRPr="00D252D3" w:rsidRDefault="00A2013F" w:rsidP="002E1039">
            <w:pPr>
              <w:ind w:left="0" w:firstLine="0"/>
            </w:pPr>
            <w:r w:rsidRPr="00D252D3">
              <w:t>Nemelanómová rakovina kože (bazocelulárny karcinóm a skvamocelulárny karcinóm)</w:t>
            </w:r>
          </w:p>
          <w:p w:rsidR="00A2013F" w:rsidRPr="00D252D3" w:rsidRDefault="00A2013F">
            <w:pPr>
              <w:ind w:left="0" w:firstLine="0"/>
              <w:rPr>
                <w:snapToGrid w:val="0"/>
                <w:lang w:eastAsia="cs-CZ"/>
              </w:rPr>
            </w:pPr>
          </w:p>
        </w:tc>
      </w:tr>
      <w:tr w:rsidR="008A2F72" w:rsidRPr="00D252D3" w:rsidTr="00A2013F">
        <w:tblPrEx>
          <w:tblCellMar>
            <w:top w:w="0" w:type="dxa"/>
            <w:bottom w:w="0" w:type="dxa"/>
          </w:tblCellMar>
        </w:tblPrEx>
        <w:trPr>
          <w:trHeight w:val="630"/>
        </w:trPr>
        <w:tc>
          <w:tcPr>
            <w:tcW w:w="3528" w:type="dxa"/>
          </w:tcPr>
          <w:p w:rsidR="008A2F72" w:rsidRPr="00D252D3" w:rsidRDefault="008A2F72">
            <w:r w:rsidRPr="00D252D3">
              <w:t>Poruchy krvi a lymfatického systému</w:t>
            </w:r>
          </w:p>
          <w:p w:rsidR="008A2F72" w:rsidRPr="00D252D3" w:rsidRDefault="00720825">
            <w:pPr>
              <w:ind w:firstLine="38"/>
              <w:rPr>
                <w:snapToGrid w:val="0"/>
                <w:lang w:eastAsia="cs-CZ"/>
              </w:rPr>
            </w:pPr>
            <w:r w:rsidRPr="00D252D3">
              <w:rPr>
                <w:snapToGrid w:val="0"/>
                <w:lang w:eastAsia="cs-CZ"/>
              </w:rPr>
              <w:t>Zriedkavé</w:t>
            </w:r>
          </w:p>
        </w:tc>
        <w:tc>
          <w:tcPr>
            <w:tcW w:w="5400" w:type="dxa"/>
            <w:shd w:val="clear" w:color="auto" w:fill="auto"/>
          </w:tcPr>
          <w:p w:rsidR="0016525B" w:rsidRPr="00D252D3" w:rsidRDefault="0016525B">
            <w:pPr>
              <w:ind w:left="0" w:firstLine="0"/>
              <w:rPr>
                <w:snapToGrid w:val="0"/>
                <w:lang w:eastAsia="cs-CZ"/>
              </w:rPr>
            </w:pPr>
          </w:p>
          <w:p w:rsidR="008A2F72" w:rsidRPr="00D252D3" w:rsidRDefault="00720825">
            <w:pPr>
              <w:ind w:left="0" w:firstLine="0"/>
              <w:rPr>
                <w:snapToGrid w:val="0"/>
                <w:lang w:eastAsia="cs-CZ"/>
              </w:rPr>
            </w:pPr>
            <w:r w:rsidRPr="00D252D3">
              <w:rPr>
                <w:snapToGrid w:val="0"/>
                <w:lang w:eastAsia="cs-CZ"/>
              </w:rPr>
              <w:t>Trombocytopénia (niekedy s purpurou)</w:t>
            </w:r>
          </w:p>
          <w:p w:rsidR="008A2F72" w:rsidRPr="00D252D3" w:rsidRDefault="008A2F72">
            <w:pPr>
              <w:ind w:left="0" w:firstLine="0"/>
              <w:rPr>
                <w:snapToGrid w:val="0"/>
                <w:lang w:eastAsia="cs-CZ"/>
              </w:rPr>
            </w:pPr>
          </w:p>
        </w:tc>
      </w:tr>
      <w:tr w:rsidR="008A2F72" w:rsidRPr="00D252D3" w:rsidTr="00A2013F">
        <w:tblPrEx>
          <w:tblCellMar>
            <w:top w:w="0" w:type="dxa"/>
            <w:bottom w:w="0" w:type="dxa"/>
          </w:tblCellMar>
        </w:tblPrEx>
        <w:trPr>
          <w:trHeight w:val="630"/>
        </w:trPr>
        <w:tc>
          <w:tcPr>
            <w:tcW w:w="3528" w:type="dxa"/>
          </w:tcPr>
          <w:p w:rsidR="008A2F72" w:rsidRPr="00D252D3" w:rsidRDefault="008A2F72" w:rsidP="008A2F72">
            <w:pPr>
              <w:ind w:firstLine="38"/>
            </w:pPr>
            <w:r w:rsidRPr="00D252D3">
              <w:rPr>
                <w:bCs/>
                <w:snapToGrid w:val="0"/>
                <w:szCs w:val="22"/>
                <w:lang w:eastAsia="cs-CZ"/>
              </w:rPr>
              <w:t>Neznáme:</w:t>
            </w:r>
          </w:p>
        </w:tc>
        <w:tc>
          <w:tcPr>
            <w:tcW w:w="5400" w:type="dxa"/>
            <w:shd w:val="clear" w:color="auto" w:fill="auto"/>
          </w:tcPr>
          <w:p w:rsidR="008A2F72" w:rsidRPr="00D252D3" w:rsidRDefault="008A2F72" w:rsidP="008A2F72">
            <w:pPr>
              <w:ind w:left="0" w:firstLine="0"/>
              <w:rPr>
                <w:szCs w:val="22"/>
              </w:rPr>
            </w:pPr>
            <w:r w:rsidRPr="00D252D3">
              <w:rPr>
                <w:szCs w:val="22"/>
              </w:rPr>
              <w:t>Aplastická anémia, hemolytická anémia, zlyhanie kostnej drene, leukopénia, neutropénia, agranulocytóza)</w:t>
            </w:r>
          </w:p>
          <w:p w:rsidR="008A2F72" w:rsidRPr="00D252D3" w:rsidRDefault="008A2F72">
            <w:pPr>
              <w:ind w:left="0" w:firstLine="0"/>
              <w:rPr>
                <w:snapToGrid w:val="0"/>
                <w:lang w:eastAsia="cs-CZ"/>
              </w:rPr>
            </w:pPr>
          </w:p>
        </w:tc>
      </w:tr>
      <w:tr w:rsidR="0053152B" w:rsidRPr="00D252D3" w:rsidTr="00A2013F">
        <w:tblPrEx>
          <w:tblCellMar>
            <w:top w:w="0" w:type="dxa"/>
            <w:bottom w:w="0" w:type="dxa"/>
          </w:tblCellMar>
        </w:tblPrEx>
        <w:tc>
          <w:tcPr>
            <w:tcW w:w="3528" w:type="dxa"/>
          </w:tcPr>
          <w:p w:rsidR="0053152B" w:rsidRPr="00D252D3" w:rsidRDefault="0053152B">
            <w:r w:rsidRPr="00D252D3">
              <w:t>Poruchy imunitného systému</w:t>
            </w:r>
          </w:p>
          <w:p w:rsidR="0053152B" w:rsidRPr="00D252D3" w:rsidRDefault="0053152B">
            <w:pPr>
              <w:ind w:firstLine="38"/>
            </w:pPr>
            <w:r w:rsidRPr="00D252D3">
              <w:rPr>
                <w:snapToGrid w:val="0"/>
                <w:szCs w:val="22"/>
                <w:lang w:eastAsia="cs-CZ"/>
              </w:rPr>
              <w:t>Neznáme:</w:t>
            </w:r>
          </w:p>
        </w:tc>
        <w:tc>
          <w:tcPr>
            <w:tcW w:w="5400" w:type="dxa"/>
          </w:tcPr>
          <w:p w:rsidR="0053152B" w:rsidRPr="00D252D3" w:rsidRDefault="0053152B">
            <w:pPr>
              <w:ind w:left="0" w:firstLine="0"/>
              <w:rPr>
                <w:szCs w:val="22"/>
              </w:rPr>
            </w:pPr>
          </w:p>
          <w:p w:rsidR="0053152B" w:rsidRPr="00D252D3" w:rsidRDefault="0053152B">
            <w:pPr>
              <w:ind w:left="0" w:firstLine="0"/>
              <w:rPr>
                <w:szCs w:val="22"/>
              </w:rPr>
            </w:pPr>
            <w:r w:rsidRPr="00D252D3">
              <w:rPr>
                <w:szCs w:val="22"/>
              </w:rPr>
              <w:t>Anafylaktická reakcia, precitlivenosť</w:t>
            </w:r>
          </w:p>
          <w:p w:rsidR="0053152B" w:rsidRPr="00D252D3" w:rsidRDefault="0053152B">
            <w:pPr>
              <w:ind w:left="0" w:firstLine="0"/>
              <w:rPr>
                <w:snapToGrid w:val="0"/>
                <w:lang w:eastAsia="cs-CZ"/>
              </w:rPr>
            </w:pPr>
          </w:p>
        </w:tc>
      </w:tr>
      <w:tr w:rsidR="0053152B" w:rsidRPr="00D252D3" w:rsidTr="00A2013F">
        <w:tblPrEx>
          <w:tblCellMar>
            <w:top w:w="0" w:type="dxa"/>
            <w:bottom w:w="0" w:type="dxa"/>
          </w:tblCellMar>
        </w:tblPrEx>
        <w:tc>
          <w:tcPr>
            <w:tcW w:w="3528" w:type="dxa"/>
          </w:tcPr>
          <w:p w:rsidR="0053152B" w:rsidRPr="00D252D3" w:rsidRDefault="0053152B">
            <w:pPr>
              <w:rPr>
                <w:bCs/>
              </w:rPr>
            </w:pPr>
            <w:r w:rsidRPr="00D252D3">
              <w:rPr>
                <w:bCs/>
              </w:rPr>
              <w:t>Poruchy endokrinného systému</w:t>
            </w:r>
          </w:p>
          <w:p w:rsidR="0053152B" w:rsidRPr="00D252D3" w:rsidRDefault="0053152B">
            <w:pPr>
              <w:ind w:firstLine="38"/>
            </w:pPr>
            <w:r w:rsidRPr="00D252D3">
              <w:rPr>
                <w:snapToGrid w:val="0"/>
                <w:szCs w:val="22"/>
                <w:lang w:eastAsia="cs-CZ"/>
              </w:rPr>
              <w:t>Neznáme:</w:t>
            </w:r>
          </w:p>
        </w:tc>
        <w:tc>
          <w:tcPr>
            <w:tcW w:w="5400" w:type="dxa"/>
          </w:tcPr>
          <w:p w:rsidR="0053152B" w:rsidRPr="00D252D3" w:rsidRDefault="0053152B">
            <w:pPr>
              <w:ind w:left="0" w:firstLine="0"/>
              <w:rPr>
                <w:szCs w:val="22"/>
              </w:rPr>
            </w:pPr>
          </w:p>
          <w:p w:rsidR="0053152B" w:rsidRPr="00D252D3" w:rsidRDefault="0053152B">
            <w:pPr>
              <w:ind w:left="0" w:firstLine="0"/>
              <w:rPr>
                <w:szCs w:val="22"/>
              </w:rPr>
            </w:pPr>
            <w:r w:rsidRPr="00D252D3">
              <w:rPr>
                <w:szCs w:val="22"/>
              </w:rPr>
              <w:t>Diabetes mellitus nedostatočne kontrolovateľný</w:t>
            </w:r>
          </w:p>
          <w:p w:rsidR="0053152B" w:rsidRPr="00D252D3" w:rsidRDefault="0053152B">
            <w:pPr>
              <w:ind w:left="0" w:firstLine="0"/>
              <w:rPr>
                <w:szCs w:val="22"/>
              </w:rPr>
            </w:pPr>
          </w:p>
        </w:tc>
      </w:tr>
      <w:tr w:rsidR="00720825" w:rsidRPr="00D252D3" w:rsidTr="00A2013F">
        <w:tblPrEx>
          <w:tblCellMar>
            <w:top w:w="0" w:type="dxa"/>
            <w:bottom w:w="0" w:type="dxa"/>
          </w:tblCellMar>
        </w:tblPrEx>
        <w:trPr>
          <w:trHeight w:val="255"/>
        </w:trPr>
        <w:tc>
          <w:tcPr>
            <w:tcW w:w="3528" w:type="dxa"/>
          </w:tcPr>
          <w:p w:rsidR="00393F63" w:rsidRPr="00D252D3" w:rsidRDefault="00393F63"/>
          <w:p w:rsidR="00720825" w:rsidRPr="00D252D3" w:rsidRDefault="00720825">
            <w:pPr>
              <w:rPr>
                <w:snapToGrid w:val="0"/>
                <w:szCs w:val="22"/>
                <w:lang w:eastAsia="cs-CZ"/>
              </w:rPr>
            </w:pPr>
            <w:r w:rsidRPr="00D252D3">
              <w:t>Poruchy metabolizmu a výživy</w:t>
            </w:r>
          </w:p>
          <w:p w:rsidR="00720825" w:rsidRPr="00D252D3" w:rsidRDefault="00720825">
            <w:pPr>
              <w:ind w:firstLine="38"/>
              <w:rPr>
                <w:bCs/>
                <w:snapToGrid w:val="0"/>
                <w:szCs w:val="22"/>
                <w:lang w:eastAsia="cs-CZ"/>
              </w:rPr>
            </w:pPr>
            <w:r w:rsidRPr="00D252D3">
              <w:rPr>
                <w:bCs/>
                <w:snapToGrid w:val="0"/>
                <w:szCs w:val="22"/>
                <w:lang w:eastAsia="cs-CZ"/>
              </w:rPr>
              <w:t>Časté:</w:t>
            </w:r>
          </w:p>
        </w:tc>
        <w:tc>
          <w:tcPr>
            <w:tcW w:w="5400" w:type="dxa"/>
            <w:shd w:val="clear" w:color="auto" w:fill="auto"/>
          </w:tcPr>
          <w:p w:rsidR="00720825" w:rsidRPr="00D252D3" w:rsidRDefault="00720825">
            <w:pPr>
              <w:ind w:left="0" w:firstLine="0"/>
              <w:rPr>
                <w:szCs w:val="22"/>
              </w:rPr>
            </w:pPr>
          </w:p>
          <w:p w:rsidR="00720825" w:rsidRPr="00D252D3" w:rsidRDefault="00720825">
            <w:pPr>
              <w:ind w:left="0" w:firstLine="0"/>
              <w:rPr>
                <w:szCs w:val="22"/>
              </w:rPr>
            </w:pPr>
            <w:r w:rsidRPr="00D252D3">
              <w:rPr>
                <w:szCs w:val="22"/>
              </w:rPr>
              <w:t>Hypomagneziémia</w:t>
            </w:r>
          </w:p>
        </w:tc>
      </w:tr>
      <w:tr w:rsidR="00720825" w:rsidRPr="00D252D3" w:rsidTr="00A2013F">
        <w:tblPrEx>
          <w:tblCellMar>
            <w:top w:w="0" w:type="dxa"/>
            <w:bottom w:w="0" w:type="dxa"/>
          </w:tblCellMar>
        </w:tblPrEx>
        <w:trPr>
          <w:trHeight w:val="255"/>
        </w:trPr>
        <w:tc>
          <w:tcPr>
            <w:tcW w:w="3528" w:type="dxa"/>
          </w:tcPr>
          <w:p w:rsidR="00720825" w:rsidRPr="00D252D3" w:rsidRDefault="00720825" w:rsidP="00720825">
            <w:pPr>
              <w:ind w:firstLine="38"/>
            </w:pPr>
            <w:r w:rsidRPr="00D252D3">
              <w:t>Zriedkavé:</w:t>
            </w:r>
          </w:p>
        </w:tc>
        <w:tc>
          <w:tcPr>
            <w:tcW w:w="5400" w:type="dxa"/>
            <w:shd w:val="clear" w:color="auto" w:fill="auto"/>
          </w:tcPr>
          <w:p w:rsidR="00720825" w:rsidRPr="00D252D3" w:rsidRDefault="00720825">
            <w:pPr>
              <w:ind w:left="0" w:firstLine="0"/>
              <w:rPr>
                <w:szCs w:val="22"/>
              </w:rPr>
            </w:pPr>
            <w:r w:rsidRPr="00D252D3">
              <w:rPr>
                <w:szCs w:val="22"/>
              </w:rPr>
              <w:t>Hyperkalciémia</w:t>
            </w:r>
          </w:p>
        </w:tc>
      </w:tr>
      <w:tr w:rsidR="00720825" w:rsidRPr="00D252D3" w:rsidTr="00A2013F">
        <w:tblPrEx>
          <w:tblCellMar>
            <w:top w:w="0" w:type="dxa"/>
            <w:bottom w:w="0" w:type="dxa"/>
          </w:tblCellMar>
        </w:tblPrEx>
        <w:trPr>
          <w:trHeight w:val="255"/>
        </w:trPr>
        <w:tc>
          <w:tcPr>
            <w:tcW w:w="3528" w:type="dxa"/>
          </w:tcPr>
          <w:p w:rsidR="00720825" w:rsidRPr="00D252D3" w:rsidRDefault="00720825" w:rsidP="00720825">
            <w:pPr>
              <w:ind w:firstLine="38"/>
            </w:pPr>
            <w:r w:rsidRPr="00D252D3">
              <w:t>Veľmi zriedkavé:</w:t>
            </w:r>
          </w:p>
        </w:tc>
        <w:tc>
          <w:tcPr>
            <w:tcW w:w="5400" w:type="dxa"/>
            <w:shd w:val="clear" w:color="auto" w:fill="auto"/>
          </w:tcPr>
          <w:p w:rsidR="00720825" w:rsidRPr="00D252D3" w:rsidRDefault="00720825">
            <w:pPr>
              <w:ind w:left="0" w:firstLine="0"/>
              <w:rPr>
                <w:szCs w:val="22"/>
              </w:rPr>
            </w:pPr>
            <w:r w:rsidRPr="00D252D3">
              <w:rPr>
                <w:szCs w:val="22"/>
              </w:rPr>
              <w:t>Hypochloremická alkalóza</w:t>
            </w:r>
          </w:p>
        </w:tc>
      </w:tr>
      <w:tr w:rsidR="008A2F72" w:rsidRPr="00D252D3" w:rsidTr="00A2013F">
        <w:tblPrEx>
          <w:tblCellMar>
            <w:top w:w="0" w:type="dxa"/>
            <w:bottom w:w="0" w:type="dxa"/>
          </w:tblCellMar>
        </w:tblPrEx>
        <w:trPr>
          <w:trHeight w:val="757"/>
        </w:trPr>
        <w:tc>
          <w:tcPr>
            <w:tcW w:w="3528" w:type="dxa"/>
          </w:tcPr>
          <w:p w:rsidR="008A2F72" w:rsidRPr="00D252D3" w:rsidRDefault="00720825" w:rsidP="00720825">
            <w:pPr>
              <w:ind w:firstLine="38"/>
            </w:pPr>
            <w:r w:rsidRPr="00D252D3">
              <w:rPr>
                <w:snapToGrid w:val="0"/>
                <w:szCs w:val="22"/>
                <w:lang w:eastAsia="cs-CZ"/>
              </w:rPr>
              <w:t>Neznáme:</w:t>
            </w:r>
          </w:p>
        </w:tc>
        <w:tc>
          <w:tcPr>
            <w:tcW w:w="5400" w:type="dxa"/>
            <w:shd w:val="clear" w:color="auto" w:fill="auto"/>
          </w:tcPr>
          <w:p w:rsidR="00720825" w:rsidRPr="00D252D3" w:rsidRDefault="00720825" w:rsidP="00720825">
            <w:pPr>
              <w:ind w:left="0" w:firstLine="0"/>
              <w:rPr>
                <w:szCs w:val="22"/>
              </w:rPr>
            </w:pPr>
            <w:r w:rsidRPr="00D252D3">
              <w:rPr>
                <w:szCs w:val="22"/>
              </w:rPr>
              <w:t>Anorexia, znížená chuť do jedla, nerovnováha elektrolytov, hypercholesterolémia, hyperglykémia, hypovolémia</w:t>
            </w:r>
          </w:p>
          <w:p w:rsidR="008A2F72" w:rsidRPr="00D252D3" w:rsidRDefault="008A2F72">
            <w:pPr>
              <w:ind w:left="0" w:firstLine="0"/>
              <w:rPr>
                <w:szCs w:val="22"/>
              </w:rPr>
            </w:pPr>
          </w:p>
        </w:tc>
      </w:tr>
      <w:tr w:rsidR="0053152B" w:rsidRPr="00D252D3" w:rsidTr="00A2013F">
        <w:tblPrEx>
          <w:tblCellMar>
            <w:top w:w="0" w:type="dxa"/>
            <w:bottom w:w="0" w:type="dxa"/>
          </w:tblCellMar>
        </w:tblPrEx>
        <w:tc>
          <w:tcPr>
            <w:tcW w:w="3528" w:type="dxa"/>
          </w:tcPr>
          <w:p w:rsidR="0053152B" w:rsidRPr="00D252D3" w:rsidRDefault="0053152B">
            <w:r w:rsidRPr="00D252D3">
              <w:t>Psychické poruchy</w:t>
            </w:r>
          </w:p>
          <w:p w:rsidR="0053152B" w:rsidRPr="00D252D3" w:rsidRDefault="0053152B">
            <w:pPr>
              <w:ind w:firstLine="38"/>
              <w:rPr>
                <w:bCs/>
              </w:rPr>
            </w:pPr>
            <w:r w:rsidRPr="00D252D3">
              <w:rPr>
                <w:snapToGrid w:val="0"/>
                <w:szCs w:val="22"/>
                <w:lang w:eastAsia="cs-CZ"/>
              </w:rPr>
              <w:t>Neznáme:</w:t>
            </w:r>
          </w:p>
        </w:tc>
        <w:tc>
          <w:tcPr>
            <w:tcW w:w="5400" w:type="dxa"/>
          </w:tcPr>
          <w:p w:rsidR="0053152B" w:rsidRPr="00D252D3" w:rsidRDefault="0053152B">
            <w:pPr>
              <w:rPr>
                <w:szCs w:val="22"/>
              </w:rPr>
            </w:pPr>
          </w:p>
          <w:p w:rsidR="0053152B" w:rsidRPr="00D252D3" w:rsidRDefault="0053152B">
            <w:pPr>
              <w:rPr>
                <w:szCs w:val="22"/>
              </w:rPr>
            </w:pPr>
            <w:r w:rsidRPr="00D252D3">
              <w:rPr>
                <w:szCs w:val="22"/>
              </w:rPr>
              <w:t>Nepokoj</w:t>
            </w:r>
          </w:p>
          <w:p w:rsidR="0053152B" w:rsidRPr="00D252D3" w:rsidRDefault="0053152B">
            <w:pPr>
              <w:rPr>
                <w:szCs w:val="22"/>
              </w:rPr>
            </w:pPr>
          </w:p>
        </w:tc>
      </w:tr>
      <w:tr w:rsidR="00720825" w:rsidRPr="00D252D3" w:rsidTr="00A2013F">
        <w:tblPrEx>
          <w:tblCellMar>
            <w:top w:w="0" w:type="dxa"/>
            <w:bottom w:w="0" w:type="dxa"/>
          </w:tblCellMar>
        </w:tblPrEx>
        <w:trPr>
          <w:trHeight w:val="383"/>
        </w:trPr>
        <w:tc>
          <w:tcPr>
            <w:tcW w:w="3528" w:type="dxa"/>
          </w:tcPr>
          <w:p w:rsidR="00720825" w:rsidRPr="00D252D3" w:rsidRDefault="00720825">
            <w:pPr>
              <w:rPr>
                <w:snapToGrid w:val="0"/>
                <w:lang w:eastAsia="cs-CZ"/>
              </w:rPr>
            </w:pPr>
            <w:r w:rsidRPr="00D252D3">
              <w:rPr>
                <w:snapToGrid w:val="0"/>
                <w:lang w:eastAsia="cs-CZ"/>
              </w:rPr>
              <w:t>Poruchy nervového systému</w:t>
            </w:r>
          </w:p>
          <w:p w:rsidR="00720825" w:rsidRPr="00D252D3" w:rsidRDefault="00720825">
            <w:pPr>
              <w:ind w:firstLine="38"/>
              <w:rPr>
                <w:snapToGrid w:val="0"/>
                <w:lang w:eastAsia="cs-CZ"/>
              </w:rPr>
            </w:pPr>
            <w:r w:rsidRPr="00D252D3">
              <w:rPr>
                <w:snapToGrid w:val="0"/>
                <w:lang w:eastAsia="cs-CZ"/>
              </w:rPr>
              <w:t>Zriedkavé:</w:t>
            </w:r>
          </w:p>
        </w:tc>
        <w:tc>
          <w:tcPr>
            <w:tcW w:w="5400" w:type="dxa"/>
            <w:shd w:val="clear" w:color="auto" w:fill="auto"/>
          </w:tcPr>
          <w:p w:rsidR="00720825" w:rsidRPr="00D252D3" w:rsidRDefault="00720825">
            <w:pPr>
              <w:rPr>
                <w:snapToGrid w:val="0"/>
                <w:lang w:eastAsia="cs-CZ"/>
              </w:rPr>
            </w:pPr>
          </w:p>
          <w:p w:rsidR="00720825" w:rsidRPr="00D252D3" w:rsidRDefault="00720825">
            <w:pPr>
              <w:rPr>
                <w:snapToGrid w:val="0"/>
                <w:lang w:eastAsia="cs-CZ"/>
              </w:rPr>
            </w:pPr>
            <w:r w:rsidRPr="00D252D3">
              <w:rPr>
                <w:snapToGrid w:val="0"/>
                <w:lang w:eastAsia="cs-CZ"/>
              </w:rPr>
              <w:t>Bolesť hlavy</w:t>
            </w:r>
          </w:p>
        </w:tc>
      </w:tr>
      <w:tr w:rsidR="00720825" w:rsidRPr="00D252D3" w:rsidTr="00A2013F">
        <w:tblPrEx>
          <w:tblCellMar>
            <w:top w:w="0" w:type="dxa"/>
            <w:bottom w:w="0" w:type="dxa"/>
          </w:tblCellMar>
        </w:tblPrEx>
        <w:trPr>
          <w:trHeight w:val="382"/>
        </w:trPr>
        <w:tc>
          <w:tcPr>
            <w:tcW w:w="3528" w:type="dxa"/>
          </w:tcPr>
          <w:p w:rsidR="00720825" w:rsidRPr="00D252D3" w:rsidRDefault="00720825" w:rsidP="000D7A2C">
            <w:pPr>
              <w:ind w:firstLine="38"/>
              <w:rPr>
                <w:snapToGrid w:val="0"/>
                <w:lang w:eastAsia="cs-CZ"/>
              </w:rPr>
            </w:pPr>
            <w:r w:rsidRPr="00D252D3">
              <w:rPr>
                <w:snapToGrid w:val="0"/>
                <w:szCs w:val="22"/>
                <w:lang w:eastAsia="cs-CZ"/>
              </w:rPr>
              <w:t>Neznáme:</w:t>
            </w:r>
          </w:p>
        </w:tc>
        <w:tc>
          <w:tcPr>
            <w:tcW w:w="5400" w:type="dxa"/>
            <w:shd w:val="clear" w:color="auto" w:fill="auto"/>
          </w:tcPr>
          <w:p w:rsidR="00720825" w:rsidRPr="00D252D3" w:rsidRDefault="00720825" w:rsidP="00720825">
            <w:pPr>
              <w:rPr>
                <w:snapToGrid w:val="0"/>
                <w:lang w:eastAsia="cs-CZ"/>
              </w:rPr>
            </w:pPr>
            <w:r w:rsidRPr="00D252D3">
              <w:rPr>
                <w:szCs w:val="22"/>
              </w:rPr>
              <w:t>Točenie hlavy</w:t>
            </w:r>
          </w:p>
          <w:p w:rsidR="00720825" w:rsidRPr="00D252D3" w:rsidRDefault="00720825">
            <w:pPr>
              <w:rPr>
                <w:snapToGrid w:val="0"/>
                <w:lang w:eastAsia="cs-CZ"/>
              </w:rPr>
            </w:pPr>
          </w:p>
        </w:tc>
      </w:tr>
      <w:tr w:rsidR="0053152B" w:rsidRPr="00D252D3" w:rsidTr="00A2013F">
        <w:tblPrEx>
          <w:tblCellMar>
            <w:top w:w="0" w:type="dxa"/>
            <w:bottom w:w="0" w:type="dxa"/>
          </w:tblCellMar>
        </w:tblPrEx>
        <w:tc>
          <w:tcPr>
            <w:tcW w:w="3528" w:type="dxa"/>
          </w:tcPr>
          <w:p w:rsidR="0053152B" w:rsidRPr="00D252D3" w:rsidRDefault="0053152B">
            <w:r w:rsidRPr="00D252D3">
              <w:t>Poruchy oka</w:t>
            </w:r>
          </w:p>
          <w:p w:rsidR="0053152B" w:rsidRPr="00D252D3" w:rsidRDefault="0053152B">
            <w:pPr>
              <w:ind w:firstLine="38"/>
              <w:rPr>
                <w:snapToGrid w:val="0"/>
                <w:lang w:eastAsia="cs-CZ"/>
              </w:rPr>
            </w:pPr>
            <w:r w:rsidRPr="00D252D3">
              <w:rPr>
                <w:snapToGrid w:val="0"/>
                <w:szCs w:val="22"/>
                <w:lang w:eastAsia="cs-CZ"/>
              </w:rPr>
              <w:t>Neznáme:</w:t>
            </w:r>
          </w:p>
        </w:tc>
        <w:tc>
          <w:tcPr>
            <w:tcW w:w="5400" w:type="dxa"/>
          </w:tcPr>
          <w:p w:rsidR="0053152B" w:rsidRPr="00D252D3" w:rsidRDefault="0053152B">
            <w:pPr>
              <w:rPr>
                <w:snapToGrid w:val="0"/>
                <w:lang w:eastAsia="cs-CZ"/>
              </w:rPr>
            </w:pPr>
          </w:p>
          <w:p w:rsidR="0053152B" w:rsidRPr="00D252D3" w:rsidRDefault="0053152B">
            <w:pPr>
              <w:rPr>
                <w:snapToGrid w:val="0"/>
                <w:lang w:eastAsia="cs-CZ"/>
              </w:rPr>
            </w:pPr>
            <w:r w:rsidRPr="00D252D3">
              <w:rPr>
                <w:snapToGrid w:val="0"/>
                <w:lang w:eastAsia="cs-CZ"/>
              </w:rPr>
              <w:t xml:space="preserve">Xantopsia, akútna myopia, akútny glaukóm s uzavretým </w:t>
            </w:r>
          </w:p>
          <w:p w:rsidR="0053152B" w:rsidRPr="00D252D3" w:rsidRDefault="0053152B">
            <w:pPr>
              <w:rPr>
                <w:snapToGrid w:val="0"/>
                <w:lang w:eastAsia="cs-CZ"/>
              </w:rPr>
            </w:pPr>
            <w:r w:rsidRPr="00D252D3">
              <w:rPr>
                <w:snapToGrid w:val="0"/>
                <w:lang w:eastAsia="cs-CZ"/>
              </w:rPr>
              <w:t>uhlom</w:t>
            </w:r>
            <w:r w:rsidR="002A5949" w:rsidRPr="00D252D3">
              <w:rPr>
                <w:snapToGrid w:val="0"/>
                <w:lang w:eastAsia="cs-CZ"/>
              </w:rPr>
              <w:t>, choroidálna efúzia</w:t>
            </w:r>
          </w:p>
        </w:tc>
      </w:tr>
      <w:tr w:rsidR="0053152B" w:rsidRPr="00D252D3" w:rsidTr="00A2013F">
        <w:tblPrEx>
          <w:tblCellMar>
            <w:top w:w="0" w:type="dxa"/>
            <w:bottom w:w="0" w:type="dxa"/>
          </w:tblCellMar>
        </w:tblPrEx>
        <w:tc>
          <w:tcPr>
            <w:tcW w:w="3528" w:type="dxa"/>
          </w:tcPr>
          <w:p w:rsidR="0053152B" w:rsidRPr="00D252D3" w:rsidRDefault="0053152B">
            <w:r w:rsidRPr="00D252D3">
              <w:t>Poruchy ciev</w:t>
            </w:r>
          </w:p>
          <w:p w:rsidR="0053152B" w:rsidRPr="00D252D3" w:rsidRDefault="0053152B">
            <w:pPr>
              <w:ind w:firstLine="38"/>
              <w:rPr>
                <w:snapToGrid w:val="0"/>
                <w:szCs w:val="22"/>
                <w:lang w:eastAsia="cs-CZ"/>
              </w:rPr>
            </w:pPr>
            <w:r w:rsidRPr="00D252D3">
              <w:rPr>
                <w:snapToGrid w:val="0"/>
                <w:szCs w:val="22"/>
                <w:lang w:eastAsia="cs-CZ"/>
              </w:rPr>
              <w:t>Neznáme:</w:t>
            </w:r>
          </w:p>
        </w:tc>
        <w:tc>
          <w:tcPr>
            <w:tcW w:w="5400" w:type="dxa"/>
          </w:tcPr>
          <w:p w:rsidR="0053152B" w:rsidRPr="00D252D3" w:rsidRDefault="0053152B">
            <w:pPr>
              <w:rPr>
                <w:snapToGrid w:val="0"/>
                <w:lang w:eastAsia="cs-CZ"/>
              </w:rPr>
            </w:pPr>
          </w:p>
          <w:p w:rsidR="0053152B" w:rsidRPr="00D252D3" w:rsidRDefault="0053152B">
            <w:pPr>
              <w:rPr>
                <w:szCs w:val="22"/>
              </w:rPr>
            </w:pPr>
            <w:r w:rsidRPr="00D252D3">
              <w:rPr>
                <w:szCs w:val="22"/>
              </w:rPr>
              <w:t>Nekrotizujúca vaskulitída</w:t>
            </w:r>
          </w:p>
          <w:p w:rsidR="0053152B" w:rsidRPr="00D252D3" w:rsidRDefault="0053152B">
            <w:pPr>
              <w:rPr>
                <w:snapToGrid w:val="0"/>
                <w:lang w:eastAsia="cs-CZ"/>
              </w:rPr>
            </w:pPr>
          </w:p>
        </w:tc>
      </w:tr>
      <w:tr w:rsidR="00720825" w:rsidRPr="00D252D3" w:rsidTr="00A2013F">
        <w:tblPrEx>
          <w:tblCellMar>
            <w:top w:w="0" w:type="dxa"/>
            <w:bottom w:w="0" w:type="dxa"/>
          </w:tblCellMar>
        </w:tblPrEx>
        <w:trPr>
          <w:trHeight w:val="503"/>
        </w:trPr>
        <w:tc>
          <w:tcPr>
            <w:tcW w:w="3528" w:type="dxa"/>
          </w:tcPr>
          <w:p w:rsidR="00720825" w:rsidRPr="00D252D3" w:rsidRDefault="00720825">
            <w:pPr>
              <w:rPr>
                <w:snapToGrid w:val="0"/>
                <w:lang w:eastAsia="cs-CZ"/>
              </w:rPr>
            </w:pPr>
            <w:r w:rsidRPr="00D252D3">
              <w:t>Poruchy gastrointestinálneho traktu</w:t>
            </w:r>
          </w:p>
          <w:p w:rsidR="00720825" w:rsidRPr="00D252D3" w:rsidRDefault="00720825">
            <w:pPr>
              <w:ind w:firstLine="38"/>
              <w:rPr>
                <w:snapToGrid w:val="0"/>
                <w:lang w:eastAsia="cs-CZ"/>
              </w:rPr>
            </w:pPr>
            <w:r w:rsidRPr="00D252D3">
              <w:rPr>
                <w:snapToGrid w:val="0"/>
                <w:lang w:eastAsia="cs-CZ"/>
              </w:rPr>
              <w:t>Časté:</w:t>
            </w:r>
          </w:p>
        </w:tc>
        <w:tc>
          <w:tcPr>
            <w:tcW w:w="5400" w:type="dxa"/>
            <w:shd w:val="clear" w:color="auto" w:fill="auto"/>
          </w:tcPr>
          <w:p w:rsidR="00720825" w:rsidRPr="00D252D3" w:rsidRDefault="00720825">
            <w:pPr>
              <w:rPr>
                <w:snapToGrid w:val="0"/>
                <w:lang w:eastAsia="cs-CZ"/>
              </w:rPr>
            </w:pPr>
          </w:p>
          <w:p w:rsidR="00720825" w:rsidRPr="00D252D3" w:rsidRDefault="00720825">
            <w:pPr>
              <w:rPr>
                <w:snapToGrid w:val="0"/>
                <w:lang w:eastAsia="cs-CZ"/>
              </w:rPr>
            </w:pPr>
            <w:r w:rsidRPr="00D252D3">
              <w:rPr>
                <w:snapToGrid w:val="0"/>
                <w:lang w:eastAsia="cs-CZ"/>
              </w:rPr>
              <w:t>Nauzea</w:t>
            </w:r>
          </w:p>
          <w:p w:rsidR="00720825" w:rsidRPr="00D252D3" w:rsidRDefault="00720825">
            <w:pPr>
              <w:rPr>
                <w:snapToGrid w:val="0"/>
                <w:lang w:eastAsia="cs-CZ"/>
              </w:rPr>
            </w:pPr>
          </w:p>
        </w:tc>
      </w:tr>
      <w:tr w:rsidR="00720825" w:rsidRPr="00D252D3" w:rsidTr="00A2013F">
        <w:tblPrEx>
          <w:tblCellMar>
            <w:top w:w="0" w:type="dxa"/>
            <w:bottom w:w="0" w:type="dxa"/>
          </w:tblCellMar>
        </w:tblPrEx>
        <w:trPr>
          <w:trHeight w:val="502"/>
        </w:trPr>
        <w:tc>
          <w:tcPr>
            <w:tcW w:w="3528" w:type="dxa"/>
          </w:tcPr>
          <w:p w:rsidR="00720825" w:rsidRPr="00D252D3" w:rsidRDefault="00720825" w:rsidP="00720825">
            <w:pPr>
              <w:ind w:firstLine="38"/>
            </w:pPr>
            <w:r w:rsidRPr="00D252D3">
              <w:rPr>
                <w:snapToGrid w:val="0"/>
                <w:szCs w:val="22"/>
                <w:lang w:eastAsia="cs-CZ"/>
              </w:rPr>
              <w:t>Neznáme:</w:t>
            </w:r>
          </w:p>
        </w:tc>
        <w:tc>
          <w:tcPr>
            <w:tcW w:w="5400" w:type="dxa"/>
            <w:shd w:val="clear" w:color="auto" w:fill="auto"/>
          </w:tcPr>
          <w:p w:rsidR="00720825" w:rsidRPr="00D252D3" w:rsidRDefault="00720825">
            <w:pPr>
              <w:rPr>
                <w:snapToGrid w:val="0"/>
                <w:lang w:eastAsia="cs-CZ"/>
              </w:rPr>
            </w:pPr>
            <w:r w:rsidRPr="00D252D3">
              <w:rPr>
                <w:snapToGrid w:val="0"/>
                <w:lang w:eastAsia="cs-CZ"/>
              </w:rPr>
              <w:t>Pankreatitída, žalúdočné ťažkosti</w:t>
            </w:r>
          </w:p>
        </w:tc>
      </w:tr>
      <w:tr w:rsidR="0053152B" w:rsidRPr="00D252D3" w:rsidTr="00A2013F">
        <w:tblPrEx>
          <w:tblCellMar>
            <w:top w:w="0" w:type="dxa"/>
            <w:bottom w:w="0" w:type="dxa"/>
          </w:tblCellMar>
        </w:tblPrEx>
        <w:tc>
          <w:tcPr>
            <w:tcW w:w="3528" w:type="dxa"/>
          </w:tcPr>
          <w:p w:rsidR="0053152B" w:rsidRPr="00D252D3" w:rsidRDefault="0053152B">
            <w:pPr>
              <w:ind w:left="0" w:firstLine="0"/>
              <w:rPr>
                <w:snapToGrid w:val="0"/>
                <w:lang w:eastAsia="cs-CZ"/>
              </w:rPr>
            </w:pPr>
            <w:r w:rsidRPr="00D252D3">
              <w:rPr>
                <w:snapToGrid w:val="0"/>
                <w:lang w:eastAsia="cs-CZ"/>
              </w:rPr>
              <w:t>Poruchy pečene a žlčových ciest</w:t>
            </w:r>
          </w:p>
          <w:p w:rsidR="0053152B" w:rsidRPr="00D252D3" w:rsidRDefault="0053152B">
            <w:pPr>
              <w:ind w:firstLine="38"/>
              <w:rPr>
                <w:snapToGrid w:val="0"/>
                <w:lang w:eastAsia="cs-CZ"/>
              </w:rPr>
            </w:pPr>
            <w:r w:rsidRPr="00D252D3">
              <w:rPr>
                <w:snapToGrid w:val="0"/>
                <w:szCs w:val="22"/>
                <w:lang w:eastAsia="cs-CZ"/>
              </w:rPr>
              <w:t>Neznáme:</w:t>
            </w:r>
          </w:p>
        </w:tc>
        <w:tc>
          <w:tcPr>
            <w:tcW w:w="5400" w:type="dxa"/>
          </w:tcPr>
          <w:p w:rsidR="0053152B" w:rsidRPr="00D252D3" w:rsidRDefault="0053152B">
            <w:pPr>
              <w:rPr>
                <w:snapToGrid w:val="0"/>
                <w:lang w:eastAsia="cs-CZ"/>
              </w:rPr>
            </w:pPr>
          </w:p>
          <w:p w:rsidR="0053152B" w:rsidRPr="00D252D3" w:rsidRDefault="0053152B">
            <w:pPr>
              <w:rPr>
                <w:snapToGrid w:val="0"/>
                <w:lang w:eastAsia="cs-CZ"/>
              </w:rPr>
            </w:pPr>
            <w:r w:rsidRPr="00D252D3">
              <w:rPr>
                <w:snapToGrid w:val="0"/>
                <w:lang w:eastAsia="cs-CZ"/>
              </w:rPr>
              <w:t>Hepatocelulárna žltačka, cholestatická žltačka</w:t>
            </w:r>
          </w:p>
          <w:p w:rsidR="0053152B" w:rsidRPr="00D252D3" w:rsidRDefault="0053152B">
            <w:pPr>
              <w:rPr>
                <w:snapToGrid w:val="0"/>
                <w:lang w:eastAsia="cs-CZ"/>
              </w:rPr>
            </w:pPr>
          </w:p>
        </w:tc>
      </w:tr>
      <w:tr w:rsidR="0053152B" w:rsidRPr="00D252D3" w:rsidTr="00A2013F">
        <w:tblPrEx>
          <w:tblCellMar>
            <w:top w:w="0" w:type="dxa"/>
            <w:bottom w:w="0" w:type="dxa"/>
          </w:tblCellMar>
        </w:tblPrEx>
        <w:tc>
          <w:tcPr>
            <w:tcW w:w="3528" w:type="dxa"/>
          </w:tcPr>
          <w:p w:rsidR="0053152B" w:rsidRPr="00D252D3" w:rsidRDefault="0053152B">
            <w:pPr>
              <w:rPr>
                <w:snapToGrid w:val="0"/>
                <w:lang w:eastAsia="cs-CZ"/>
              </w:rPr>
            </w:pPr>
            <w:r w:rsidRPr="00D252D3">
              <w:rPr>
                <w:snapToGrid w:val="0"/>
                <w:lang w:eastAsia="cs-CZ"/>
              </w:rPr>
              <w:t>Poruchy kože a podkožného tkaniva</w:t>
            </w:r>
          </w:p>
          <w:p w:rsidR="0053152B" w:rsidRPr="00D252D3" w:rsidRDefault="0053152B">
            <w:pPr>
              <w:ind w:firstLine="38"/>
              <w:rPr>
                <w:snapToGrid w:val="0"/>
                <w:lang w:eastAsia="cs-CZ"/>
              </w:rPr>
            </w:pPr>
            <w:r w:rsidRPr="00D252D3">
              <w:rPr>
                <w:snapToGrid w:val="0"/>
                <w:szCs w:val="22"/>
                <w:lang w:eastAsia="cs-CZ"/>
              </w:rPr>
              <w:t>Neznáme:</w:t>
            </w:r>
          </w:p>
        </w:tc>
        <w:tc>
          <w:tcPr>
            <w:tcW w:w="5400" w:type="dxa"/>
          </w:tcPr>
          <w:p w:rsidR="0053152B" w:rsidRPr="00D252D3" w:rsidRDefault="0053152B">
            <w:pPr>
              <w:rPr>
                <w:snapToGrid w:val="0"/>
                <w:lang w:eastAsia="cs-CZ"/>
              </w:rPr>
            </w:pPr>
          </w:p>
          <w:p w:rsidR="0053152B" w:rsidRPr="00D252D3" w:rsidRDefault="0053152B">
            <w:pPr>
              <w:ind w:left="54" w:firstLine="0"/>
              <w:rPr>
                <w:snapToGrid w:val="0"/>
                <w:lang w:eastAsia="cs-CZ"/>
              </w:rPr>
            </w:pPr>
            <w:r w:rsidRPr="00D252D3">
              <w:rPr>
                <w:snapToGrid w:val="0"/>
                <w:lang w:eastAsia="cs-CZ"/>
              </w:rPr>
              <w:t>Syndróm podobný lupusu, fotosenzitívne reakcie, kožná vaskulitída, toxická epidermálna nekrolýza, multiformný erytém</w:t>
            </w:r>
          </w:p>
          <w:p w:rsidR="0053152B" w:rsidRPr="00D252D3" w:rsidRDefault="0053152B">
            <w:pPr>
              <w:rPr>
                <w:snapToGrid w:val="0"/>
                <w:lang w:eastAsia="cs-CZ"/>
              </w:rPr>
            </w:pPr>
          </w:p>
        </w:tc>
      </w:tr>
      <w:tr w:rsidR="0053152B" w:rsidRPr="00D252D3" w:rsidTr="00A2013F">
        <w:tblPrEx>
          <w:tblCellMar>
            <w:top w:w="0" w:type="dxa"/>
            <w:bottom w:w="0" w:type="dxa"/>
          </w:tblCellMar>
        </w:tblPrEx>
        <w:tc>
          <w:tcPr>
            <w:tcW w:w="3528" w:type="dxa"/>
          </w:tcPr>
          <w:p w:rsidR="0053152B" w:rsidRPr="00D252D3" w:rsidRDefault="0053152B">
            <w:r w:rsidRPr="00D252D3">
              <w:t xml:space="preserve">Poruchy kostrovej a svalovej sústavy </w:t>
            </w:r>
          </w:p>
          <w:p w:rsidR="0053152B" w:rsidRPr="00D252D3" w:rsidRDefault="0053152B">
            <w:pPr>
              <w:rPr>
                <w:snapToGrid w:val="0"/>
                <w:lang w:eastAsia="cs-CZ"/>
              </w:rPr>
            </w:pPr>
            <w:r w:rsidRPr="00D252D3">
              <w:t>a spojivového tkaniva</w:t>
            </w:r>
          </w:p>
          <w:p w:rsidR="0053152B" w:rsidRPr="00D252D3" w:rsidRDefault="0053152B">
            <w:pPr>
              <w:ind w:firstLine="38"/>
              <w:rPr>
                <w:snapToGrid w:val="0"/>
                <w:szCs w:val="22"/>
                <w:lang w:eastAsia="cs-CZ"/>
              </w:rPr>
            </w:pPr>
            <w:r w:rsidRPr="00D252D3">
              <w:rPr>
                <w:snapToGrid w:val="0"/>
                <w:szCs w:val="22"/>
                <w:lang w:eastAsia="cs-CZ"/>
              </w:rPr>
              <w:t>Neznáme:</w:t>
            </w:r>
          </w:p>
          <w:p w:rsidR="0053152B" w:rsidRPr="00D252D3" w:rsidRDefault="0053152B">
            <w:pPr>
              <w:ind w:firstLine="38"/>
              <w:rPr>
                <w:snapToGrid w:val="0"/>
                <w:lang w:eastAsia="cs-CZ"/>
              </w:rPr>
            </w:pPr>
          </w:p>
        </w:tc>
        <w:tc>
          <w:tcPr>
            <w:tcW w:w="5400" w:type="dxa"/>
          </w:tcPr>
          <w:p w:rsidR="0053152B" w:rsidRPr="00D252D3" w:rsidRDefault="0053152B">
            <w:pPr>
              <w:rPr>
                <w:snapToGrid w:val="0"/>
                <w:lang w:eastAsia="cs-CZ"/>
              </w:rPr>
            </w:pPr>
          </w:p>
          <w:p w:rsidR="0053152B" w:rsidRPr="00D252D3" w:rsidRDefault="0053152B">
            <w:pPr>
              <w:ind w:left="0" w:firstLine="0"/>
              <w:rPr>
                <w:snapToGrid w:val="0"/>
                <w:lang w:eastAsia="cs-CZ"/>
              </w:rPr>
            </w:pPr>
          </w:p>
          <w:p w:rsidR="0053152B" w:rsidRPr="00D252D3" w:rsidRDefault="0053152B">
            <w:pPr>
              <w:rPr>
                <w:snapToGrid w:val="0"/>
                <w:lang w:eastAsia="cs-CZ"/>
              </w:rPr>
            </w:pPr>
            <w:r w:rsidRPr="00D252D3">
              <w:rPr>
                <w:snapToGrid w:val="0"/>
                <w:lang w:eastAsia="cs-CZ"/>
              </w:rPr>
              <w:t>Slabosť</w:t>
            </w:r>
          </w:p>
          <w:p w:rsidR="0053152B" w:rsidRPr="00D252D3" w:rsidRDefault="0053152B">
            <w:pPr>
              <w:rPr>
                <w:snapToGrid w:val="0"/>
                <w:lang w:eastAsia="cs-CZ"/>
              </w:rPr>
            </w:pPr>
          </w:p>
        </w:tc>
      </w:tr>
      <w:tr w:rsidR="0053152B" w:rsidRPr="00D252D3" w:rsidTr="00A2013F">
        <w:tblPrEx>
          <w:tblCellMar>
            <w:top w:w="0" w:type="dxa"/>
            <w:bottom w:w="0" w:type="dxa"/>
          </w:tblCellMar>
        </w:tblPrEx>
        <w:tc>
          <w:tcPr>
            <w:tcW w:w="3528" w:type="dxa"/>
          </w:tcPr>
          <w:p w:rsidR="0053152B" w:rsidRPr="00D252D3" w:rsidRDefault="0053152B" w:rsidP="00AB164B">
            <w:pPr>
              <w:keepNext/>
              <w:rPr>
                <w:snapToGrid w:val="0"/>
                <w:lang w:eastAsia="cs-CZ"/>
              </w:rPr>
            </w:pPr>
            <w:r w:rsidRPr="00D252D3">
              <w:rPr>
                <w:snapToGrid w:val="0"/>
                <w:lang w:eastAsia="cs-CZ"/>
              </w:rPr>
              <w:t>Poruchy obličiek a močových ciest</w:t>
            </w:r>
          </w:p>
          <w:p w:rsidR="0053152B" w:rsidRPr="00D252D3" w:rsidRDefault="0053152B">
            <w:pPr>
              <w:ind w:firstLine="38"/>
              <w:rPr>
                <w:snapToGrid w:val="0"/>
                <w:lang w:eastAsia="cs-CZ"/>
              </w:rPr>
            </w:pPr>
            <w:r w:rsidRPr="00D252D3">
              <w:rPr>
                <w:snapToGrid w:val="0"/>
                <w:szCs w:val="22"/>
                <w:lang w:eastAsia="cs-CZ"/>
              </w:rPr>
              <w:t>Neznáme:</w:t>
            </w:r>
          </w:p>
        </w:tc>
        <w:tc>
          <w:tcPr>
            <w:tcW w:w="5400" w:type="dxa"/>
          </w:tcPr>
          <w:p w:rsidR="0053152B" w:rsidRPr="00D252D3" w:rsidRDefault="0053152B">
            <w:pPr>
              <w:rPr>
                <w:snapToGrid w:val="0"/>
                <w:lang w:eastAsia="cs-CZ"/>
              </w:rPr>
            </w:pPr>
          </w:p>
          <w:p w:rsidR="0053152B" w:rsidRPr="00D252D3" w:rsidRDefault="0053152B">
            <w:pPr>
              <w:ind w:left="0" w:firstLine="0"/>
              <w:rPr>
                <w:snapToGrid w:val="0"/>
                <w:lang w:eastAsia="cs-CZ"/>
              </w:rPr>
            </w:pPr>
            <w:r w:rsidRPr="00D252D3">
              <w:rPr>
                <w:snapToGrid w:val="0"/>
                <w:lang w:eastAsia="cs-CZ"/>
              </w:rPr>
              <w:t>Intersticiálna nefritída, dysfunkcia obličiek, glykozúria</w:t>
            </w:r>
          </w:p>
          <w:p w:rsidR="0053152B" w:rsidRPr="00D252D3" w:rsidRDefault="0053152B">
            <w:pPr>
              <w:rPr>
                <w:snapToGrid w:val="0"/>
                <w:lang w:eastAsia="cs-CZ"/>
              </w:rPr>
            </w:pPr>
          </w:p>
        </w:tc>
      </w:tr>
      <w:tr w:rsidR="0053152B" w:rsidRPr="00D252D3" w:rsidTr="00A2013F">
        <w:tblPrEx>
          <w:tblCellMar>
            <w:top w:w="0" w:type="dxa"/>
            <w:bottom w:w="0" w:type="dxa"/>
          </w:tblCellMar>
        </w:tblPrEx>
        <w:tc>
          <w:tcPr>
            <w:tcW w:w="3528" w:type="dxa"/>
          </w:tcPr>
          <w:p w:rsidR="0053152B" w:rsidRPr="00D252D3" w:rsidRDefault="0053152B">
            <w:pPr>
              <w:keepNext/>
              <w:keepLines/>
              <w:ind w:left="562"/>
              <w:rPr>
                <w:snapToGrid w:val="0"/>
                <w:lang w:eastAsia="cs-CZ"/>
              </w:rPr>
            </w:pPr>
            <w:r w:rsidRPr="00D252D3">
              <w:rPr>
                <w:snapToGrid w:val="0"/>
                <w:lang w:eastAsia="cs-CZ"/>
              </w:rPr>
              <w:t xml:space="preserve">Celkové poruchy a reakcie v mieste </w:t>
            </w:r>
          </w:p>
          <w:p w:rsidR="0053152B" w:rsidRPr="00D252D3" w:rsidRDefault="0053152B">
            <w:pPr>
              <w:keepNext/>
              <w:keepLines/>
              <w:ind w:left="562"/>
              <w:rPr>
                <w:snapToGrid w:val="0"/>
                <w:lang w:eastAsia="cs-CZ"/>
              </w:rPr>
            </w:pPr>
            <w:r w:rsidRPr="00D252D3">
              <w:rPr>
                <w:snapToGrid w:val="0"/>
                <w:lang w:eastAsia="cs-CZ"/>
              </w:rPr>
              <w:t>podania</w:t>
            </w:r>
          </w:p>
          <w:p w:rsidR="0053152B" w:rsidRPr="00D252D3" w:rsidRDefault="0053152B">
            <w:pPr>
              <w:keepNext/>
              <w:keepLines/>
              <w:ind w:left="562" w:firstLine="38"/>
              <w:rPr>
                <w:snapToGrid w:val="0"/>
                <w:lang w:eastAsia="cs-CZ"/>
              </w:rPr>
            </w:pPr>
            <w:r w:rsidRPr="00D252D3">
              <w:rPr>
                <w:snapToGrid w:val="0"/>
                <w:szCs w:val="22"/>
                <w:lang w:eastAsia="cs-CZ"/>
              </w:rPr>
              <w:t>Neznáme:</w:t>
            </w:r>
          </w:p>
        </w:tc>
        <w:tc>
          <w:tcPr>
            <w:tcW w:w="5400" w:type="dxa"/>
          </w:tcPr>
          <w:p w:rsidR="0053152B" w:rsidRPr="00D252D3" w:rsidRDefault="0053152B">
            <w:pPr>
              <w:keepNext/>
              <w:keepLines/>
              <w:ind w:left="562"/>
              <w:rPr>
                <w:snapToGrid w:val="0"/>
                <w:lang w:eastAsia="cs-CZ"/>
              </w:rPr>
            </w:pPr>
          </w:p>
          <w:p w:rsidR="0053152B" w:rsidRPr="00D252D3" w:rsidRDefault="0053152B">
            <w:pPr>
              <w:keepNext/>
              <w:keepLines/>
              <w:ind w:left="562"/>
              <w:rPr>
                <w:snapToGrid w:val="0"/>
                <w:lang w:eastAsia="cs-CZ"/>
              </w:rPr>
            </w:pPr>
          </w:p>
          <w:p w:rsidR="0053152B" w:rsidRPr="00D252D3" w:rsidRDefault="0053152B">
            <w:pPr>
              <w:keepNext/>
              <w:keepLines/>
              <w:ind w:left="562"/>
              <w:rPr>
                <w:snapToGrid w:val="0"/>
                <w:lang w:eastAsia="cs-CZ"/>
              </w:rPr>
            </w:pPr>
            <w:r w:rsidRPr="00D252D3">
              <w:rPr>
                <w:snapToGrid w:val="0"/>
                <w:lang w:eastAsia="cs-CZ"/>
              </w:rPr>
              <w:t>Pyrexia</w:t>
            </w:r>
          </w:p>
          <w:p w:rsidR="0053152B" w:rsidRPr="00D252D3" w:rsidRDefault="0053152B">
            <w:pPr>
              <w:keepNext/>
              <w:keepLines/>
              <w:ind w:left="562"/>
              <w:rPr>
                <w:snapToGrid w:val="0"/>
                <w:lang w:eastAsia="cs-CZ"/>
              </w:rPr>
            </w:pPr>
          </w:p>
        </w:tc>
      </w:tr>
      <w:tr w:rsidR="0053152B" w:rsidRPr="00D252D3" w:rsidTr="00A2013F">
        <w:tblPrEx>
          <w:tblCellMar>
            <w:top w:w="0" w:type="dxa"/>
            <w:bottom w:w="0" w:type="dxa"/>
          </w:tblCellMar>
        </w:tblPrEx>
        <w:tc>
          <w:tcPr>
            <w:tcW w:w="3528" w:type="dxa"/>
          </w:tcPr>
          <w:p w:rsidR="0053152B" w:rsidRPr="00D252D3" w:rsidRDefault="0053152B">
            <w:r w:rsidRPr="00D252D3">
              <w:t>Laboratórne a funkčné vyšetrenia</w:t>
            </w:r>
          </w:p>
          <w:p w:rsidR="0053152B" w:rsidRPr="00D252D3" w:rsidRDefault="0053152B">
            <w:pPr>
              <w:ind w:firstLine="38"/>
              <w:rPr>
                <w:snapToGrid w:val="0"/>
                <w:lang w:eastAsia="cs-CZ"/>
              </w:rPr>
            </w:pPr>
            <w:r w:rsidRPr="00D252D3">
              <w:rPr>
                <w:snapToGrid w:val="0"/>
                <w:szCs w:val="22"/>
                <w:lang w:eastAsia="cs-CZ"/>
              </w:rPr>
              <w:t>Neznáme:</w:t>
            </w:r>
          </w:p>
        </w:tc>
        <w:tc>
          <w:tcPr>
            <w:tcW w:w="5400" w:type="dxa"/>
          </w:tcPr>
          <w:p w:rsidR="0053152B" w:rsidRPr="00D252D3" w:rsidRDefault="0053152B">
            <w:pPr>
              <w:rPr>
                <w:snapToGrid w:val="0"/>
                <w:lang w:eastAsia="cs-CZ"/>
              </w:rPr>
            </w:pPr>
          </w:p>
          <w:p w:rsidR="0053152B" w:rsidRPr="00D252D3" w:rsidRDefault="0053152B">
            <w:pPr>
              <w:rPr>
                <w:snapToGrid w:val="0"/>
                <w:lang w:eastAsia="cs-CZ"/>
              </w:rPr>
            </w:pPr>
            <w:r w:rsidRPr="00D252D3">
              <w:rPr>
                <w:snapToGrid w:val="0"/>
                <w:lang w:eastAsia="cs-CZ"/>
              </w:rPr>
              <w:t xml:space="preserve">Zvýšené triglyceridy </w:t>
            </w:r>
          </w:p>
          <w:p w:rsidR="0053152B" w:rsidRPr="00D252D3" w:rsidRDefault="0053152B">
            <w:pPr>
              <w:rPr>
                <w:snapToGrid w:val="0"/>
                <w:lang w:eastAsia="cs-CZ"/>
              </w:rPr>
            </w:pPr>
          </w:p>
        </w:tc>
      </w:tr>
    </w:tbl>
    <w:p w:rsidR="0053152B" w:rsidRPr="00D252D3" w:rsidRDefault="0053152B">
      <w:pPr>
        <w:ind w:left="0" w:firstLine="0"/>
        <w:rPr>
          <w:u w:val="single"/>
        </w:rPr>
      </w:pPr>
    </w:p>
    <w:p w:rsidR="0053152B" w:rsidRPr="00D252D3" w:rsidRDefault="0053152B" w:rsidP="000D7A2C">
      <w:pPr>
        <w:keepNext/>
        <w:keepLines/>
        <w:ind w:left="0" w:firstLine="0"/>
        <w:rPr>
          <w:u w:val="single"/>
        </w:rPr>
      </w:pPr>
      <w:r w:rsidRPr="00D252D3">
        <w:rPr>
          <w:u w:val="single"/>
        </w:rPr>
        <w:t>Popis vybraných nežiaducich reakcií</w:t>
      </w:r>
    </w:p>
    <w:p w:rsidR="0053152B" w:rsidRPr="00D252D3" w:rsidRDefault="0053152B" w:rsidP="000D7A2C">
      <w:pPr>
        <w:keepNext/>
        <w:keepLines/>
        <w:ind w:left="0" w:firstLine="0"/>
      </w:pPr>
    </w:p>
    <w:p w:rsidR="0053152B" w:rsidRPr="00D252D3" w:rsidRDefault="0053152B" w:rsidP="000D7A2C">
      <w:pPr>
        <w:keepNext/>
        <w:keepLines/>
        <w:ind w:left="0" w:firstLine="0"/>
        <w:rPr>
          <w:u w:val="single"/>
        </w:rPr>
      </w:pPr>
      <w:r w:rsidRPr="00D252D3">
        <w:rPr>
          <w:u w:val="single"/>
        </w:rPr>
        <w:t>Abnormálna funkcia pečene/porucha pečene</w:t>
      </w:r>
    </w:p>
    <w:p w:rsidR="0053152B" w:rsidRPr="00D252D3" w:rsidRDefault="0053152B">
      <w:pPr>
        <w:ind w:left="0" w:firstLine="0"/>
      </w:pPr>
      <w:r w:rsidRPr="00D252D3">
        <w:t>Mnohé prípady abnormálnej funkcie pečene/poruchy pečene na základe skúseností po uvedení lieku na trh sa vyskytli u japonských pacientov. Tieto nežiaduce reakcie sa pravdepodobnejšie vyskytnú u japonských pacientov.</w:t>
      </w:r>
    </w:p>
    <w:p w:rsidR="0053152B" w:rsidRPr="00D252D3" w:rsidRDefault="0053152B">
      <w:pPr>
        <w:ind w:left="0" w:firstLine="0"/>
      </w:pPr>
    </w:p>
    <w:p w:rsidR="00393F63" w:rsidRPr="00D252D3" w:rsidRDefault="00393F63">
      <w:pPr>
        <w:ind w:left="0" w:firstLine="0"/>
      </w:pPr>
    </w:p>
    <w:p w:rsidR="00393F63" w:rsidRPr="00D252D3" w:rsidRDefault="00393F63">
      <w:pPr>
        <w:ind w:left="0" w:firstLine="0"/>
      </w:pPr>
    </w:p>
    <w:p w:rsidR="0053152B" w:rsidRPr="00D252D3" w:rsidRDefault="0053152B">
      <w:pPr>
        <w:ind w:left="0" w:firstLine="0"/>
        <w:rPr>
          <w:u w:val="single"/>
        </w:rPr>
      </w:pPr>
      <w:r w:rsidRPr="00D252D3">
        <w:rPr>
          <w:u w:val="single"/>
        </w:rPr>
        <w:t>Sepsa</w:t>
      </w:r>
    </w:p>
    <w:p w:rsidR="0053152B" w:rsidRPr="00D252D3" w:rsidRDefault="0053152B">
      <w:pPr>
        <w:ind w:left="0" w:firstLine="0"/>
      </w:pPr>
      <w:r w:rsidRPr="00D252D3">
        <w:t>V klinickom skúšaní PRoFESS sa po telmisartane, v porovnaní s placebom, pozorovala zvýšená incidencia sepsy. Udalosť môže byť náhodným nálezom alebo môže súvisieť s mechanizmom, ktorý v súčasnosti nie je známy (pozri časť 5.1).</w:t>
      </w:r>
    </w:p>
    <w:p w:rsidR="0053152B" w:rsidRPr="00D252D3" w:rsidRDefault="0053152B">
      <w:pPr>
        <w:ind w:left="0" w:firstLine="0"/>
      </w:pPr>
    </w:p>
    <w:p w:rsidR="0053152B" w:rsidRPr="00D252D3" w:rsidRDefault="0053152B">
      <w:pPr>
        <w:ind w:left="0" w:firstLine="0"/>
        <w:rPr>
          <w:szCs w:val="22"/>
          <w:u w:val="single"/>
        </w:rPr>
      </w:pPr>
      <w:r w:rsidRPr="00D252D3">
        <w:rPr>
          <w:szCs w:val="22"/>
          <w:u w:val="single"/>
        </w:rPr>
        <w:t>Intersticiálne ochorenie pľúc</w:t>
      </w:r>
    </w:p>
    <w:p w:rsidR="0053152B" w:rsidRPr="00D252D3" w:rsidRDefault="0053152B">
      <w:pPr>
        <w:ind w:left="0" w:firstLine="0"/>
        <w:rPr>
          <w:szCs w:val="22"/>
        </w:rPr>
      </w:pPr>
      <w:r w:rsidRPr="00D252D3">
        <w:rPr>
          <w:szCs w:val="22"/>
        </w:rPr>
        <w:t xml:space="preserve">V časovej súvislosti s užívaním telmisartanu sa z údajov získaných po uvedení lieku na trh zaznamenali prípady intersticiálneho ochorenia pľúc. Avšak, kauzálny vzťah nebol stanovený. </w:t>
      </w:r>
    </w:p>
    <w:p w:rsidR="00660A35" w:rsidRPr="00D252D3" w:rsidRDefault="00660A35" w:rsidP="00660A35">
      <w:pPr>
        <w:rPr>
          <w:szCs w:val="22"/>
        </w:rPr>
      </w:pPr>
    </w:p>
    <w:p w:rsidR="00660A35" w:rsidRPr="00D252D3" w:rsidRDefault="00660A35" w:rsidP="00660A35">
      <w:pPr>
        <w:keepNext/>
        <w:keepLines/>
        <w:rPr>
          <w:u w:val="single"/>
        </w:rPr>
      </w:pPr>
      <w:r w:rsidRPr="00D252D3">
        <w:rPr>
          <w:u w:val="single"/>
        </w:rPr>
        <w:t>Nemelanómová rakovina kože</w:t>
      </w:r>
    </w:p>
    <w:p w:rsidR="00660A35" w:rsidRPr="00D252D3" w:rsidRDefault="00660A35" w:rsidP="00660A35">
      <w:pPr>
        <w:ind w:left="0" w:firstLine="0"/>
        <w:rPr>
          <w:szCs w:val="22"/>
        </w:rPr>
      </w:pPr>
      <w:r w:rsidRPr="00D252D3">
        <w:t>Na základe dostupných údajov z epidemiologických štúdií sa pozorovala súvislosť medzi HCTZ a NMSC v závislosti od kumulatívnej dávky (pozri tiež časti</w:t>
      </w:r>
      <w:r w:rsidR="00634187" w:rsidRPr="00D252D3">
        <w:t> </w:t>
      </w:r>
      <w:r w:rsidRPr="00D252D3">
        <w:t>4.4 a 5.1).</w:t>
      </w:r>
    </w:p>
    <w:p w:rsidR="0053152B" w:rsidRPr="00D252D3" w:rsidRDefault="0053152B">
      <w:pPr>
        <w:ind w:left="0" w:firstLine="0"/>
      </w:pPr>
    </w:p>
    <w:p w:rsidR="0053152B" w:rsidRPr="00D252D3" w:rsidRDefault="0053152B">
      <w:pPr>
        <w:autoSpaceDE w:val="0"/>
        <w:autoSpaceDN w:val="0"/>
        <w:adjustRightInd w:val="0"/>
        <w:ind w:left="0" w:firstLine="0"/>
        <w:rPr>
          <w:szCs w:val="22"/>
          <w:u w:val="single"/>
        </w:rPr>
      </w:pPr>
      <w:r w:rsidRPr="00D252D3">
        <w:rPr>
          <w:szCs w:val="22"/>
          <w:u w:val="single"/>
        </w:rPr>
        <w:t>Hlásenie podozrení na nežiaduce reakcie</w:t>
      </w:r>
    </w:p>
    <w:p w:rsidR="0053152B" w:rsidRPr="00D252D3" w:rsidRDefault="0053152B">
      <w:pPr>
        <w:autoSpaceDE w:val="0"/>
        <w:autoSpaceDN w:val="0"/>
        <w:adjustRightInd w:val="0"/>
        <w:ind w:left="0" w:firstLine="0"/>
        <w:rPr>
          <w:szCs w:val="22"/>
        </w:rPr>
      </w:pPr>
      <w:r w:rsidRPr="00D252D3">
        <w:rPr>
          <w:szCs w:val="22"/>
        </w:rPr>
        <w:t>Hlásenie podozrení na nežiaduce reakcie po registrácii lieku je dôležité. Umožňuje priebežné monitorovanie pomeru prínosu</w:t>
      </w:r>
      <w:r w:rsidRPr="00D252D3">
        <w:t xml:space="preserve"> a</w:t>
      </w:r>
      <w:r w:rsidRPr="00D252D3">
        <w:rPr>
          <w:szCs w:val="22"/>
        </w:rPr>
        <w:t xml:space="preserve"> rizika lieku. Od zdravotníckych pracovníkov sa vyžaduje, aby hlásili akékoľvek podozrenia na nežiaduce reakcie na </w:t>
      </w:r>
      <w:r w:rsidRPr="00D252D3">
        <w:rPr>
          <w:szCs w:val="22"/>
          <w:highlight w:val="lightGray"/>
        </w:rPr>
        <w:t>národné centrum hlásenia uvedené v</w:t>
      </w:r>
      <w:r w:rsidR="007609E6" w:rsidRPr="00D252D3">
        <w:rPr>
          <w:szCs w:val="22"/>
          <w:highlight w:val="lightGray"/>
        </w:rPr>
        <w:t> </w:t>
      </w:r>
      <w:hyperlink r:id="rId13" w:history="1">
        <w:r w:rsidRPr="00D252D3">
          <w:rPr>
            <w:rStyle w:val="Hyperlink"/>
            <w:szCs w:val="22"/>
            <w:highlight w:val="lightGray"/>
          </w:rPr>
          <w:t>P</w:t>
        </w:r>
        <w:r w:rsidRPr="00D252D3">
          <w:rPr>
            <w:rStyle w:val="Hyperlink"/>
            <w:highlight w:val="lightGray"/>
          </w:rPr>
          <w:t>ríl</w:t>
        </w:r>
        <w:r w:rsidRPr="00D252D3">
          <w:rPr>
            <w:rStyle w:val="Hyperlink"/>
            <w:highlight w:val="lightGray"/>
          </w:rPr>
          <w:t>o</w:t>
        </w:r>
        <w:r w:rsidRPr="00D252D3">
          <w:rPr>
            <w:rStyle w:val="Hyperlink"/>
            <w:highlight w:val="lightGray"/>
          </w:rPr>
          <w:t>he</w:t>
        </w:r>
        <w:r w:rsidR="007609E6" w:rsidRPr="00D252D3">
          <w:rPr>
            <w:rStyle w:val="Hyperlink"/>
            <w:highlight w:val="lightGray"/>
          </w:rPr>
          <w:t> </w:t>
        </w:r>
        <w:r w:rsidRPr="00D252D3">
          <w:rPr>
            <w:rStyle w:val="Hyperlink"/>
            <w:szCs w:val="22"/>
            <w:highlight w:val="lightGray"/>
          </w:rPr>
          <w:t>V</w:t>
        </w:r>
      </w:hyperlink>
      <w:r w:rsidRPr="00D252D3">
        <w:rPr>
          <w:szCs w:val="22"/>
        </w:rPr>
        <w:t>.</w:t>
      </w:r>
    </w:p>
    <w:p w:rsidR="0053152B" w:rsidRPr="00D252D3" w:rsidRDefault="0053152B">
      <w:pPr>
        <w:ind w:left="0" w:firstLine="0"/>
      </w:pPr>
    </w:p>
    <w:p w:rsidR="0053152B" w:rsidRPr="00D252D3" w:rsidRDefault="0053152B">
      <w:pPr>
        <w:numPr>
          <w:ilvl w:val="1"/>
          <w:numId w:val="21"/>
        </w:numPr>
        <w:rPr>
          <w:b/>
        </w:rPr>
      </w:pPr>
      <w:r w:rsidRPr="00D252D3">
        <w:rPr>
          <w:b/>
        </w:rPr>
        <w:t>Predávkovanie</w:t>
      </w:r>
    </w:p>
    <w:p w:rsidR="0053152B" w:rsidRPr="00D252D3" w:rsidRDefault="0053152B">
      <w:pPr>
        <w:ind w:left="0" w:firstLine="0"/>
      </w:pPr>
    </w:p>
    <w:p w:rsidR="0053152B" w:rsidRPr="00D252D3" w:rsidRDefault="0053152B">
      <w:pPr>
        <w:ind w:left="0" w:firstLine="0"/>
      </w:pPr>
      <w:r w:rsidRPr="00D252D3">
        <w:t>Sú dostupné obmedzené informácie týkajúce sa predávkovania telmisartanom u ľudí. Telmisartan sa neodstraňuje hemodialýzou. Stupeň odstránenia hydrochlorotiazidu hemodialýzou sa nestanovil.</w:t>
      </w:r>
    </w:p>
    <w:p w:rsidR="0053152B" w:rsidRPr="00D252D3" w:rsidRDefault="0053152B">
      <w:pPr>
        <w:ind w:left="0" w:firstLine="0"/>
      </w:pPr>
    </w:p>
    <w:p w:rsidR="0053152B" w:rsidRPr="00D252D3" w:rsidRDefault="0053152B">
      <w:pPr>
        <w:ind w:left="0" w:firstLine="0"/>
      </w:pPr>
      <w:r w:rsidRPr="00D252D3">
        <w:rPr>
          <w:u w:val="single"/>
        </w:rPr>
        <w:t>Príznaky</w:t>
      </w:r>
    </w:p>
    <w:p w:rsidR="0053152B" w:rsidRPr="00D252D3" w:rsidRDefault="0053152B">
      <w:pPr>
        <w:ind w:left="0" w:firstLine="0"/>
      </w:pPr>
      <w:r w:rsidRPr="00D252D3">
        <w:t>Najvýznamnejšími prejavmi predávkovania telmisartanom bola hypotenzia a tachykardia. Hlásila sa aj bradykardia, závrat, vracanie, zvýšenie kreatinínu v sére a akútne zlyhanie obličiek. Predávkovanie hydrochlorotiazidom je spojené s depléciou elektrolytov (hypokaliémia, hypochlorémia) a hypovolémia v dôsledku nadmernej diurézy. Najčastejšie znaky a príznaky predávkovania sú nauzea a ospanlivosť. Hypokaliémia môže mať za následok svalové kŕče a/alebo zvýraznenie arytmie spojenej so súbežným používaním digitalisových glykozidov alebo niektorých antiarytmík.</w:t>
      </w:r>
    </w:p>
    <w:p w:rsidR="0053152B" w:rsidRPr="00D252D3" w:rsidRDefault="0053152B"/>
    <w:p w:rsidR="0053152B" w:rsidRPr="00D252D3" w:rsidRDefault="0053152B">
      <w:pPr>
        <w:ind w:left="0" w:firstLine="0"/>
      </w:pPr>
      <w:r w:rsidRPr="00D252D3">
        <w:rPr>
          <w:u w:val="single"/>
        </w:rPr>
        <w:t>Liečba</w:t>
      </w:r>
    </w:p>
    <w:p w:rsidR="0053152B" w:rsidRPr="00D252D3" w:rsidRDefault="0053152B">
      <w:pPr>
        <w:ind w:left="0" w:firstLine="0"/>
        <w:rPr>
          <w:lang w:eastAsia="cs-CZ"/>
        </w:rPr>
      </w:pPr>
      <w:r w:rsidRPr="00D252D3">
        <w:t>Telmisartan sa neodstraňuje hemodialýzou. Pacient musí byť starostlivo monitorovaný a liečba má byť symptomatická a podporná. Liečba závisí od času užitia a závažnosti symptómov. Navrhované opatrenia zahŕňajú vyvolanie vracania a/alebo výplach žalúdka. Aktívne uhlie môže byť užitočné pri liečbe predávkovania. Majú sa často sledovať sérové elektrolyty a kreatinín. Ak sa objaví hypotenzia, pacient sa má položiť do polohy na chrbte a urýchlene podať náhrady soli a objemu.</w:t>
      </w:r>
    </w:p>
    <w:p w:rsidR="0053152B" w:rsidRPr="00D252D3" w:rsidRDefault="0053152B"/>
    <w:p w:rsidR="0053152B" w:rsidRPr="00D252D3" w:rsidRDefault="0053152B">
      <w:pPr>
        <w:ind w:left="0" w:firstLine="0"/>
      </w:pPr>
    </w:p>
    <w:p w:rsidR="0053152B" w:rsidRPr="00D252D3" w:rsidRDefault="0053152B" w:rsidP="00AB164B">
      <w:pPr>
        <w:keepNext/>
      </w:pPr>
      <w:r w:rsidRPr="00D252D3">
        <w:rPr>
          <w:b/>
        </w:rPr>
        <w:t>5.</w:t>
      </w:r>
      <w:r w:rsidRPr="00D252D3">
        <w:rPr>
          <w:b/>
        </w:rPr>
        <w:tab/>
        <w:t>FARMAKOLOGICKÉ VLASTNOSTI</w:t>
      </w:r>
    </w:p>
    <w:p w:rsidR="0053152B" w:rsidRPr="00D252D3" w:rsidRDefault="0053152B" w:rsidP="00AB164B">
      <w:pPr>
        <w:keepNext/>
      </w:pPr>
    </w:p>
    <w:p w:rsidR="0053152B" w:rsidRPr="00D252D3" w:rsidRDefault="0053152B" w:rsidP="00AB164B">
      <w:pPr>
        <w:keepNext/>
      </w:pPr>
      <w:r w:rsidRPr="00D252D3">
        <w:rPr>
          <w:b/>
        </w:rPr>
        <w:t>5.1</w:t>
      </w:r>
      <w:r w:rsidRPr="00D252D3">
        <w:rPr>
          <w:b/>
        </w:rPr>
        <w:tab/>
        <w:t>Farmakodynamické vlastnosti</w:t>
      </w:r>
    </w:p>
    <w:p w:rsidR="0053152B" w:rsidRPr="00D252D3" w:rsidRDefault="0053152B" w:rsidP="00AB164B">
      <w:pPr>
        <w:keepNext/>
      </w:pPr>
    </w:p>
    <w:p w:rsidR="0053152B" w:rsidRPr="00D252D3" w:rsidRDefault="0053152B">
      <w:r w:rsidRPr="00D252D3">
        <w:t xml:space="preserve">Farmakoterapeutická skupina: </w:t>
      </w:r>
      <w:r w:rsidRPr="00D252D3">
        <w:rPr>
          <w:snapToGrid w:val="0"/>
          <w:lang w:eastAsia="cs-CZ"/>
        </w:rPr>
        <w:t xml:space="preserve">Antagonisty angiotenzínu II a diuretiká, </w:t>
      </w:r>
      <w:r w:rsidRPr="00D252D3">
        <w:t xml:space="preserve">ATC kód: </w:t>
      </w:r>
      <w:r w:rsidRPr="00D252D3">
        <w:rPr>
          <w:snapToGrid w:val="0"/>
          <w:lang w:eastAsia="cs-CZ"/>
        </w:rPr>
        <w:t>C09DA07</w:t>
      </w:r>
    </w:p>
    <w:p w:rsidR="0053152B" w:rsidRPr="00D252D3" w:rsidRDefault="0053152B"/>
    <w:p w:rsidR="0053152B" w:rsidRPr="00D252D3" w:rsidRDefault="0053152B">
      <w:pPr>
        <w:ind w:left="0" w:firstLine="0"/>
        <w:rPr>
          <w:snapToGrid w:val="0"/>
          <w:lang w:eastAsia="cs-CZ"/>
        </w:rPr>
      </w:pPr>
      <w:r w:rsidRPr="00D252D3">
        <w:rPr>
          <w:snapToGrid w:val="0"/>
          <w:lang w:eastAsia="cs-CZ"/>
        </w:rPr>
        <w:t>MicardisPlus je kombinácia antagonistu receptora angiotenzínu II telmisartanu a tiazidového diuretika hydrochlorotiazidu. Kombinácia týchto zložiek má aditívny antihypertenzný účinok, znižujúci tlak krvi vo vyššej miere ako každý komponent samostatne. MicardisPlus podávaný raz denne poskytuje účinné a pravidelné zníženie krvného tlaku v rozpätí terapeutickej dávky.</w:t>
      </w:r>
    </w:p>
    <w:p w:rsidR="0053152B" w:rsidRPr="00D252D3" w:rsidRDefault="0053152B">
      <w:pPr>
        <w:ind w:left="0" w:firstLine="0"/>
        <w:rPr>
          <w:snapToGrid w:val="0"/>
          <w:lang w:eastAsia="cs-CZ"/>
        </w:rPr>
      </w:pPr>
    </w:p>
    <w:p w:rsidR="0053152B" w:rsidRPr="00D252D3" w:rsidRDefault="0053152B" w:rsidP="000D7A2C">
      <w:pPr>
        <w:keepNext/>
        <w:keepLines/>
        <w:ind w:left="0" w:firstLine="0"/>
        <w:rPr>
          <w:snapToGrid w:val="0"/>
          <w:u w:val="single"/>
          <w:lang w:eastAsia="cs-CZ"/>
        </w:rPr>
      </w:pPr>
      <w:r w:rsidRPr="00D252D3">
        <w:rPr>
          <w:snapToGrid w:val="0"/>
          <w:u w:val="single"/>
          <w:lang w:eastAsia="cs-CZ"/>
        </w:rPr>
        <w:t>Mechanizmus účinku</w:t>
      </w:r>
    </w:p>
    <w:p w:rsidR="0053152B" w:rsidRPr="00D252D3" w:rsidRDefault="0053152B">
      <w:pPr>
        <w:ind w:left="0" w:firstLine="0"/>
        <w:rPr>
          <w:snapToGrid w:val="0"/>
          <w:lang w:eastAsia="cs-CZ"/>
        </w:rPr>
      </w:pPr>
      <w:r w:rsidRPr="00D252D3">
        <w:rPr>
          <w:snapToGrid w:val="0"/>
          <w:lang w:eastAsia="cs-CZ"/>
        </w:rPr>
        <w:t>Telmisartan je perorálne účinný a špecifický antagonista receptora angiotenzínu II subtypu 1 (AT</w:t>
      </w:r>
      <w:r w:rsidRPr="00D252D3">
        <w:rPr>
          <w:snapToGrid w:val="0"/>
          <w:position w:val="-6"/>
          <w:vertAlign w:val="subscript"/>
          <w:lang w:eastAsia="cs-CZ"/>
        </w:rPr>
        <w:t>1</w:t>
      </w:r>
      <w:r w:rsidRPr="00D252D3">
        <w:rPr>
          <w:snapToGrid w:val="0"/>
          <w:lang w:eastAsia="cs-CZ"/>
        </w:rPr>
        <w:t>). Telmisartan vytesňuje angiotenzín II s veľmi vysokou afinitou z </w:t>
      </w:r>
      <w:r w:rsidRPr="00D252D3">
        <w:rPr>
          <w:szCs w:val="22"/>
        </w:rPr>
        <w:t>jeho väzbového miesta</w:t>
      </w:r>
      <w:r w:rsidRPr="00D252D3">
        <w:rPr>
          <w:snapToGrid w:val="0"/>
          <w:lang w:eastAsia="cs-CZ"/>
        </w:rPr>
        <w:t xml:space="preserve"> na subtype receptora AT</w:t>
      </w:r>
      <w:r w:rsidRPr="00D252D3">
        <w:rPr>
          <w:snapToGrid w:val="0"/>
          <w:position w:val="-6"/>
          <w:vertAlign w:val="subscript"/>
          <w:lang w:eastAsia="cs-CZ"/>
        </w:rPr>
        <w:t>1</w:t>
      </w:r>
      <w:r w:rsidRPr="00D252D3">
        <w:rPr>
          <w:snapToGrid w:val="0"/>
          <w:lang w:eastAsia="cs-CZ"/>
        </w:rPr>
        <w:t>, ktorý je zodpovedný za známe pôsobenie angiotenzínu II. Telmisartan nevykazuje žiadnu čiastočnú agonistickú aktivitu na AT</w:t>
      </w:r>
      <w:r w:rsidRPr="00D252D3">
        <w:rPr>
          <w:snapToGrid w:val="0"/>
          <w:position w:val="-6"/>
          <w:vertAlign w:val="subscript"/>
          <w:lang w:eastAsia="cs-CZ"/>
        </w:rPr>
        <w:t xml:space="preserve">1 </w:t>
      </w:r>
      <w:r w:rsidRPr="00D252D3">
        <w:rPr>
          <w:snapToGrid w:val="0"/>
          <w:lang w:eastAsia="cs-CZ"/>
        </w:rPr>
        <w:t>receptor. Telmisartan sa selektívne viaže na AT</w:t>
      </w:r>
      <w:r w:rsidRPr="00D252D3">
        <w:rPr>
          <w:snapToGrid w:val="0"/>
          <w:position w:val="-6"/>
          <w:vertAlign w:val="subscript"/>
          <w:lang w:eastAsia="cs-CZ"/>
        </w:rPr>
        <w:t xml:space="preserve">1 </w:t>
      </w:r>
      <w:r w:rsidRPr="00D252D3">
        <w:rPr>
          <w:snapToGrid w:val="0"/>
          <w:lang w:eastAsia="cs-CZ"/>
        </w:rPr>
        <w:t xml:space="preserve">receptor. </w:t>
      </w:r>
      <w:r w:rsidRPr="00D252D3">
        <w:rPr>
          <w:szCs w:val="22"/>
        </w:rPr>
        <w:t xml:space="preserve">Táto väzba je dlhodobá. </w:t>
      </w:r>
      <w:r w:rsidRPr="00D252D3">
        <w:rPr>
          <w:snapToGrid w:val="0"/>
          <w:lang w:eastAsia="cs-CZ"/>
        </w:rPr>
        <w:t>Telmisartan nevykazuje afinitu k iným receptorom vrátane AT</w:t>
      </w:r>
      <w:r w:rsidRPr="00D252D3">
        <w:rPr>
          <w:snapToGrid w:val="0"/>
          <w:position w:val="-6"/>
          <w:vertAlign w:val="subscript"/>
          <w:lang w:eastAsia="cs-CZ"/>
        </w:rPr>
        <w:t>2</w:t>
      </w:r>
      <w:r w:rsidRPr="00D252D3">
        <w:rPr>
          <w:snapToGrid w:val="0"/>
          <w:position w:val="-6"/>
          <w:lang w:eastAsia="cs-CZ"/>
        </w:rPr>
        <w:t xml:space="preserve"> </w:t>
      </w:r>
      <w:r w:rsidRPr="00D252D3">
        <w:rPr>
          <w:snapToGrid w:val="0"/>
          <w:lang w:eastAsia="cs-CZ"/>
        </w:rPr>
        <w:t xml:space="preserve">a ďalším menej charakterizovaným AT receptorom. Funkčná úloha týchto receptorov nie je známa, ani účinok ich možnej nadmernej stimulácie angiotenzínom II, ktorého hladiny sa zvyšujú telmisartanom. </w:t>
      </w:r>
      <w:r w:rsidRPr="00D252D3">
        <w:rPr>
          <w:szCs w:val="22"/>
        </w:rPr>
        <w:t>Plazmatické hladiny aldosterónu sa</w:t>
      </w:r>
      <w:r w:rsidRPr="00D252D3">
        <w:rPr>
          <w:snapToGrid w:val="0"/>
          <w:lang w:eastAsia="cs-CZ"/>
        </w:rPr>
        <w:t xml:space="preserve"> telmisartanom znižujú. </w:t>
      </w:r>
      <w:r w:rsidRPr="00D252D3">
        <w:rPr>
          <w:szCs w:val="22"/>
        </w:rPr>
        <w:t>Telmisartan</w:t>
      </w:r>
      <w:r w:rsidRPr="00D252D3">
        <w:rPr>
          <w:snapToGrid w:val="0"/>
          <w:lang w:eastAsia="cs-CZ"/>
        </w:rPr>
        <w:t xml:space="preserve"> neinhibuje ľudský plazmatický renín ani neblokuje iónové kanály. </w:t>
      </w:r>
      <w:r w:rsidRPr="00D252D3">
        <w:rPr>
          <w:szCs w:val="22"/>
        </w:rPr>
        <w:t>Telmisartan</w:t>
      </w:r>
      <w:r w:rsidRPr="00D252D3">
        <w:rPr>
          <w:snapToGrid w:val="0"/>
          <w:lang w:eastAsia="cs-CZ"/>
        </w:rPr>
        <w:t xml:space="preserve"> neinhibuje enzým konvertujúci angiotenzín (kininázu II), enzým, ktorý tiež odbúrava bradykinín. Preto sa neočakáva potenciácia bradykinínom sprostredkovaných nežiaducich účinkov.</w:t>
      </w:r>
    </w:p>
    <w:p w:rsidR="0053152B" w:rsidRPr="00D252D3" w:rsidRDefault="0053152B">
      <w:pPr>
        <w:ind w:left="0" w:firstLine="0"/>
        <w:rPr>
          <w:snapToGrid w:val="0"/>
          <w:lang w:eastAsia="cs-CZ"/>
        </w:rPr>
      </w:pPr>
      <w:r w:rsidRPr="00D252D3">
        <w:rPr>
          <w:snapToGrid w:val="0"/>
          <w:lang w:eastAsia="cs-CZ"/>
        </w:rPr>
        <w:t xml:space="preserve">Dávka 80 miligramov telmisartanu podávaná zdravým dobrovoľníkom takmer úplne inhibuje zvýšenie tlaku krvi vyvolané angiotenzínom II. Inhibičný účinok sa </w:t>
      </w:r>
      <w:r w:rsidRPr="00D252D3">
        <w:rPr>
          <w:szCs w:val="22"/>
        </w:rPr>
        <w:t>zachová v priebehu</w:t>
      </w:r>
      <w:r w:rsidRPr="00D252D3">
        <w:rPr>
          <w:snapToGrid w:val="0"/>
          <w:lang w:eastAsia="cs-CZ"/>
        </w:rPr>
        <w:t xml:space="preserve"> 24 hodín a je merateľný do 48 hodín.</w:t>
      </w:r>
    </w:p>
    <w:p w:rsidR="0053152B" w:rsidRPr="00D252D3" w:rsidRDefault="0053152B">
      <w:pPr>
        <w:ind w:left="0" w:firstLine="0"/>
        <w:rPr>
          <w:snapToGrid w:val="0"/>
          <w:lang w:eastAsia="cs-CZ"/>
        </w:rPr>
      </w:pPr>
    </w:p>
    <w:p w:rsidR="0053152B" w:rsidRPr="00D252D3" w:rsidRDefault="0053152B">
      <w:pPr>
        <w:ind w:left="0" w:firstLine="0"/>
        <w:rPr>
          <w:snapToGrid w:val="0"/>
          <w:lang w:eastAsia="cs-CZ"/>
        </w:rPr>
      </w:pPr>
      <w:r w:rsidRPr="00D252D3">
        <w:rPr>
          <w:snapToGrid w:val="0"/>
          <w:lang w:eastAsia="cs-CZ"/>
        </w:rPr>
        <w:t xml:space="preserve">Hydrochlorotiazid je tiazidové diuretikum. Mechanizmus antihypertenzného účinku tiazidových diuretík ešte nie je celkom známy. Tiazidy pôsobia na renálne tubulárne mechanizmy elektrolytovej reabsorpcie, priamo zvyšujúc vylučovanie sodíka a chloridu v približne rovnakých množstvách. Diuretické pôsobenie hydrochlorotiazidu znižuje plazmatický objem, zvyšuje plazmatickú renínovú aktivitu, zvyšuje vylučovanie aldosterónu s následnou zvýšenou stratou draslíka a bikarbonátov močom a znižovaním sérového draslíka. Súbežné podávanie s telmisartanom vedie k zvráteniu straty draslíka spojenej s týmito diuretikami, a to pravdepodobne v dôsledku </w:t>
      </w:r>
      <w:r w:rsidR="00213CF0" w:rsidRPr="00D252D3">
        <w:rPr>
          <w:snapToGrid w:val="0"/>
          <w:lang w:eastAsia="cs-CZ"/>
        </w:rPr>
        <w:t>inhibície systému</w:t>
      </w:r>
      <w:r w:rsidRPr="00D252D3">
        <w:rPr>
          <w:snapToGrid w:val="0"/>
          <w:lang w:eastAsia="cs-CZ"/>
        </w:rPr>
        <w:t xml:space="preserve"> renín-angiotenzín-aldosterón. Po podaní hydrochlortiazidu sa začiatok diurézy objaví do 2 hodín a vrchol dosahuje okolo 4 hodín, účinok trvá približne 6 – 12 hodín.</w:t>
      </w:r>
    </w:p>
    <w:p w:rsidR="0053152B" w:rsidRPr="00D252D3" w:rsidRDefault="0053152B">
      <w:pPr>
        <w:ind w:left="0" w:firstLine="0"/>
        <w:rPr>
          <w:snapToGrid w:val="0"/>
          <w:lang w:eastAsia="cs-CZ"/>
        </w:rPr>
      </w:pPr>
    </w:p>
    <w:p w:rsidR="0053152B" w:rsidRPr="00D252D3" w:rsidRDefault="0053152B" w:rsidP="00AB164B">
      <w:pPr>
        <w:keepNext/>
        <w:ind w:left="0" w:firstLine="0"/>
        <w:rPr>
          <w:snapToGrid w:val="0"/>
          <w:u w:val="single"/>
          <w:lang w:eastAsia="cs-CZ"/>
        </w:rPr>
      </w:pPr>
      <w:r w:rsidRPr="00D252D3">
        <w:rPr>
          <w:snapToGrid w:val="0"/>
          <w:u w:val="single"/>
          <w:lang w:eastAsia="cs-CZ"/>
        </w:rPr>
        <w:t>Klinická účinnosť a bezpečnosť</w:t>
      </w:r>
    </w:p>
    <w:p w:rsidR="0053152B" w:rsidRPr="00D252D3" w:rsidRDefault="0053152B" w:rsidP="00AB164B">
      <w:pPr>
        <w:keepNext/>
        <w:ind w:left="0" w:firstLine="0"/>
        <w:rPr>
          <w:snapToGrid w:val="0"/>
          <w:lang w:eastAsia="cs-CZ"/>
        </w:rPr>
      </w:pPr>
    </w:p>
    <w:p w:rsidR="0053152B" w:rsidRPr="00D252D3" w:rsidRDefault="0053152B" w:rsidP="00AB164B">
      <w:pPr>
        <w:keepNext/>
        <w:ind w:left="0" w:firstLine="0"/>
        <w:rPr>
          <w:snapToGrid w:val="0"/>
          <w:lang w:eastAsia="cs-CZ"/>
        </w:rPr>
      </w:pPr>
      <w:r w:rsidRPr="00D252D3">
        <w:rPr>
          <w:snapToGrid w:val="0"/>
          <w:lang w:eastAsia="cs-CZ"/>
        </w:rPr>
        <w:t>Liečba esenciálnej hypertenzie</w:t>
      </w:r>
    </w:p>
    <w:p w:rsidR="0053152B" w:rsidRPr="00D252D3" w:rsidRDefault="0053152B">
      <w:pPr>
        <w:ind w:left="0" w:firstLine="0"/>
        <w:rPr>
          <w:snapToGrid w:val="0"/>
          <w:lang w:eastAsia="cs-CZ"/>
        </w:rPr>
      </w:pPr>
      <w:r w:rsidRPr="00D252D3">
        <w:rPr>
          <w:snapToGrid w:val="0"/>
          <w:lang w:eastAsia="cs-CZ"/>
        </w:rPr>
        <w:t>Po prvej dávke telmisartanu sa antihypertenzná aktivita postupne prejavuje v priebehu 3 hodín. Maximálna redukcia krvného tlaku sa zvyčajne dosahuje 4–8 týždňov od začiatku liečby a pretrváva počas dlhodobej liečby. Ako sa ukázalo pri ambulantných meraniach krvného tlaku, antihypertenzný účinok pretrváva konštantne počas 24 hodín po podaní dávky vrátane posledných 4 hodín pred ďalšou dávkou. Toto potvrdzujú merania na bode maximálneho účinku a bezprostredne pred nasledujúcou dávkou (pomer najnižšej a najvyššej koncentrácie je trvalo nad 80 % po dávkach 40 a 80 mg telmisartanu v placebom kontrolovaných klinických skúšaniach).</w:t>
      </w:r>
    </w:p>
    <w:p w:rsidR="0053152B" w:rsidRPr="00D252D3" w:rsidRDefault="0053152B">
      <w:pPr>
        <w:ind w:left="0" w:firstLine="0"/>
        <w:rPr>
          <w:snapToGrid w:val="0"/>
          <w:lang w:eastAsia="cs-CZ"/>
        </w:rPr>
      </w:pPr>
    </w:p>
    <w:p w:rsidR="0053152B" w:rsidRPr="00D252D3" w:rsidRDefault="0053152B">
      <w:pPr>
        <w:ind w:left="0" w:firstLine="0"/>
        <w:rPr>
          <w:snapToGrid w:val="0"/>
          <w:lang w:eastAsia="cs-CZ"/>
        </w:rPr>
      </w:pPr>
      <w:r w:rsidRPr="00D252D3">
        <w:rPr>
          <w:snapToGrid w:val="0"/>
          <w:lang w:eastAsia="cs-CZ"/>
        </w:rPr>
        <w:t>U pacientov s hypertenziou telmisartan znižuje tak systolický, ako aj diastolický krvný tlak bez ovplyvnenia tepovej frekvencie. Antihypertenzná účinnosť telmisartanu je porovnateľná s účinnosťou predstaviteľov iných tried antihypertenzív (čo sa dokázalo v klinických skúšaniach porovnávajúcich telmisartan s amlodipínom, atenololom, enalaprilom, hydrochlorotiazidom a lisinoprilom).</w:t>
      </w:r>
    </w:p>
    <w:p w:rsidR="0053152B" w:rsidRPr="00D252D3" w:rsidRDefault="0053152B">
      <w:pPr>
        <w:ind w:left="0" w:firstLine="0"/>
        <w:rPr>
          <w:snapToGrid w:val="0"/>
          <w:lang w:eastAsia="cs-CZ"/>
        </w:rPr>
      </w:pPr>
    </w:p>
    <w:p w:rsidR="0053152B" w:rsidRPr="00D252D3" w:rsidRDefault="0053152B">
      <w:pPr>
        <w:ind w:left="0" w:firstLine="0"/>
        <w:rPr>
          <w:snapToGrid w:val="0"/>
          <w:lang w:eastAsia="cs-CZ"/>
        </w:rPr>
      </w:pPr>
      <w:r w:rsidRPr="00D252D3">
        <w:rPr>
          <w:snapToGrid w:val="0"/>
          <w:lang w:eastAsia="cs-CZ"/>
        </w:rPr>
        <w:t xml:space="preserve">V dvojito slepej kontrolovanej klinickej štúdii (účinnosť vyhodnotená u n=687 pacientov), u pacientov nereagujúcich na kombináciu 80 mg/12,5 mg, bolo preukázané (rozdiely v upravených stredných odchylkách od základnej hodnoty), že účinok bol postupne znižujúci na krvný tlak pri kombinácii 80 mg/25 mg v porovnaní s následnou liečbou pri kombinácii 80 mg/ 12,5 mg o 2,7/1,6 mm Hg </w:t>
      </w:r>
      <w:smartTag w:uri="urn:schemas-microsoft-com:office:smarttags" w:element="stockticker">
        <w:r w:rsidRPr="00D252D3">
          <w:rPr>
            <w:snapToGrid w:val="0"/>
            <w:lang w:eastAsia="cs-CZ"/>
          </w:rPr>
          <w:t>SKT</w:t>
        </w:r>
      </w:smartTag>
      <w:r w:rsidRPr="00D252D3">
        <w:rPr>
          <w:snapToGrid w:val="0"/>
          <w:lang w:eastAsia="cs-CZ"/>
        </w:rPr>
        <w:t>/DKT). V nadväzujúcej štúdii pri kombinácii 80 mg/25 mg sa krvný tlak ešte znížil (čo viedlo k celkovej redukcii o 11,5/9,9 mm Hg (</w:t>
      </w:r>
      <w:smartTag w:uri="urn:schemas-microsoft-com:office:smarttags" w:element="stockticker">
        <w:r w:rsidRPr="00D252D3">
          <w:rPr>
            <w:snapToGrid w:val="0"/>
            <w:lang w:eastAsia="cs-CZ"/>
          </w:rPr>
          <w:t>SKT</w:t>
        </w:r>
      </w:smartTag>
      <w:r w:rsidRPr="00D252D3">
        <w:rPr>
          <w:snapToGrid w:val="0"/>
          <w:lang w:eastAsia="cs-CZ"/>
        </w:rPr>
        <w:t>/DKT).</w:t>
      </w:r>
    </w:p>
    <w:p w:rsidR="0053152B" w:rsidRPr="00D252D3" w:rsidRDefault="0053152B">
      <w:pPr>
        <w:ind w:left="0" w:firstLine="0"/>
        <w:rPr>
          <w:snapToGrid w:val="0"/>
          <w:lang w:eastAsia="cs-CZ"/>
        </w:rPr>
      </w:pPr>
    </w:p>
    <w:p w:rsidR="0053152B" w:rsidRPr="00D252D3" w:rsidRDefault="0053152B">
      <w:pPr>
        <w:ind w:left="0" w:firstLine="0"/>
        <w:rPr>
          <w:snapToGrid w:val="0"/>
          <w:lang w:eastAsia="cs-CZ"/>
        </w:rPr>
      </w:pPr>
      <w:r w:rsidRPr="00D252D3">
        <w:rPr>
          <w:snapToGrid w:val="0"/>
          <w:lang w:eastAsia="cs-CZ"/>
        </w:rPr>
        <w:t>V spoločnej analýze dvoch podobných 8-týždňových dvojito slepých, placebom kontrolovaných klinických štúdiách oproti 160 mg/25 mg valsartanu/hydrochlorotiazidu (účinnosť vyhodnotená u n=2121 pacientov) bol preukázaný (rozdiely v upravených stredných odchylkách od základnej hodnoty) signifikantne väčší účinok na zníženie krvného tlaku o 2,2 /1,2 mm Hg (</w:t>
      </w:r>
      <w:smartTag w:uri="urn:schemas-microsoft-com:office:smarttags" w:element="stockticker">
        <w:r w:rsidRPr="00D252D3">
          <w:rPr>
            <w:snapToGrid w:val="0"/>
            <w:lang w:eastAsia="cs-CZ"/>
          </w:rPr>
          <w:t>SKT</w:t>
        </w:r>
      </w:smartTag>
      <w:r w:rsidRPr="00D252D3">
        <w:rPr>
          <w:snapToGrid w:val="0"/>
          <w:lang w:eastAsia="cs-CZ"/>
        </w:rPr>
        <w:t>/DKT) v prospech kombinácie 80 mg/25 mg telmisartanu/hydrochlorotiazidu.</w:t>
      </w:r>
    </w:p>
    <w:p w:rsidR="0053152B" w:rsidRPr="00D252D3" w:rsidRDefault="0053152B">
      <w:pPr>
        <w:ind w:left="0" w:firstLine="0"/>
        <w:rPr>
          <w:snapToGrid w:val="0"/>
          <w:lang w:eastAsia="cs-CZ"/>
        </w:rPr>
      </w:pPr>
    </w:p>
    <w:p w:rsidR="0053152B" w:rsidRPr="00D252D3" w:rsidRDefault="0053152B">
      <w:pPr>
        <w:ind w:left="0" w:firstLine="0"/>
        <w:rPr>
          <w:snapToGrid w:val="0"/>
          <w:lang w:eastAsia="cs-CZ"/>
        </w:rPr>
      </w:pPr>
      <w:r w:rsidRPr="00D252D3">
        <w:rPr>
          <w:snapToGrid w:val="0"/>
          <w:lang w:eastAsia="cs-CZ"/>
        </w:rPr>
        <w:t>Po ukončení liečby telmisartanom sa krvný tlak postupne vracia na hodnoty pred liečbou v priebehu niekoľkých dní bez dôkazu rebound hypertenzie. Výskyt suchého kašľa bol u pacientov liečených telmisartanom signifikantne nižší ako u tých, ktorí užívali inhibítory enzýmu konvertujúceho angiotenzín v klinických skúškach priamo porovnávajúcich tieto dve antihypertenzné liečby.</w:t>
      </w:r>
    </w:p>
    <w:p w:rsidR="0053152B" w:rsidRPr="00D252D3" w:rsidRDefault="0053152B">
      <w:pPr>
        <w:ind w:left="0" w:firstLine="0"/>
        <w:rPr>
          <w:szCs w:val="22"/>
        </w:rPr>
      </w:pPr>
    </w:p>
    <w:p w:rsidR="0053152B" w:rsidRPr="00D252D3" w:rsidRDefault="0053152B">
      <w:pPr>
        <w:tabs>
          <w:tab w:val="left" w:pos="12816"/>
        </w:tabs>
        <w:rPr>
          <w:szCs w:val="22"/>
        </w:rPr>
      </w:pPr>
      <w:r w:rsidRPr="00D252D3">
        <w:rPr>
          <w:szCs w:val="22"/>
        </w:rPr>
        <w:t>Prevencia kardiovaskulárnych ochorení</w:t>
      </w:r>
    </w:p>
    <w:p w:rsidR="0053152B" w:rsidRPr="00D252D3" w:rsidRDefault="0053152B">
      <w:pPr>
        <w:tabs>
          <w:tab w:val="left" w:pos="12816"/>
        </w:tabs>
        <w:ind w:left="0" w:firstLine="0"/>
        <w:rPr>
          <w:szCs w:val="22"/>
        </w:rPr>
      </w:pPr>
      <w:r w:rsidRPr="00D252D3">
        <w:rPr>
          <w:szCs w:val="22"/>
        </w:rPr>
        <w:t>Štúdia ONTARGET (ONgoing Telmisartan Alone and in Combination with Ramipril Global Endpoint Trial) porovnávala účinky telmisartanu, ramiprilu a kombinácie telmisartanu a ramiprilu na kardiovaskulárne výsledky u 25620 pacientov vo veku 55 rokov alebo starších s predchádzajúcou ischemickou chorobou srdca, mozgovou príhodou, TIA, periférnym arteriálnym ochorením alebo diabetom mellitus 2. typu, ktoré boli sprevádzané preukázaným poškodením cieľového orgánu (napr. retinopatia, hypertrofia ľavej komory, makro - alebo mikroalbumínúria), čo je riziková populácia pre kardiovaskulárne udalosti.</w:t>
      </w:r>
    </w:p>
    <w:p w:rsidR="0053152B" w:rsidRPr="00D252D3" w:rsidRDefault="0053152B">
      <w:pPr>
        <w:tabs>
          <w:tab w:val="left" w:pos="12816"/>
        </w:tabs>
        <w:rPr>
          <w:szCs w:val="22"/>
        </w:rPr>
      </w:pPr>
    </w:p>
    <w:p w:rsidR="0053152B" w:rsidRPr="00D252D3" w:rsidRDefault="0053152B">
      <w:pPr>
        <w:tabs>
          <w:tab w:val="left" w:pos="12816"/>
        </w:tabs>
        <w:ind w:left="0" w:firstLine="0"/>
        <w:rPr>
          <w:szCs w:val="22"/>
        </w:rPr>
      </w:pPr>
      <w:r w:rsidRPr="00D252D3">
        <w:rPr>
          <w:szCs w:val="22"/>
        </w:rPr>
        <w:t>Pacienti boli randomizovaní do jednej z troch nasledujúcich terapeutických skupín: telmisartan 80 mg (n=8542), ramipril 10 mg (n= 8576) alebo kombinácia telmisartanu 80 mg plus ramipril 10 mg (n=8502) a boli následne sledovaní v trvaní priemerne 4,5 roka.</w:t>
      </w:r>
    </w:p>
    <w:p w:rsidR="0053152B" w:rsidRPr="00D252D3" w:rsidRDefault="0053152B">
      <w:pPr>
        <w:tabs>
          <w:tab w:val="left" w:pos="12816"/>
        </w:tabs>
        <w:rPr>
          <w:szCs w:val="22"/>
        </w:rPr>
      </w:pPr>
    </w:p>
    <w:p w:rsidR="0053152B" w:rsidRPr="00D252D3" w:rsidRDefault="0053152B">
      <w:pPr>
        <w:tabs>
          <w:tab w:val="left" w:pos="12816"/>
        </w:tabs>
        <w:ind w:left="0" w:firstLine="0"/>
        <w:rPr>
          <w:szCs w:val="22"/>
        </w:rPr>
      </w:pPr>
      <w:r w:rsidRPr="00D252D3">
        <w:rPr>
          <w:szCs w:val="22"/>
        </w:rPr>
        <w:t>Telmisartan preukázal podobné účinky ako ramipril v redukcii primárneho kompozitného koncového ukazovateľa: kardiovaskulárna smrť, nefatálny infarkt myokardu, nefatálna mozgová príhoda alebo hospitalizácia v dôsledku kongestívneho zlyhania srdca. Výskyt primárneho koncového ukazovateľa bol porovnateľný v skupine s telmisartanom (16,7%) a ramiprilom (16,5%). Miera rizika pre telmisartan v porovnaní s ramiprilom bola 1,01 (97,5 % CI 0,93 – 1,10, p (noninferiorita) = 0,0019 na hranici 1,13). Miera mortality zo všetkých príčin bola 11,6 % u pacientov liečených telmisartanom a 11,8 % u pacientov liečených ramiprilom.</w:t>
      </w:r>
    </w:p>
    <w:p w:rsidR="0053152B" w:rsidRPr="00D252D3" w:rsidRDefault="0053152B">
      <w:pPr>
        <w:tabs>
          <w:tab w:val="left" w:pos="12816"/>
        </w:tabs>
        <w:rPr>
          <w:szCs w:val="22"/>
        </w:rPr>
      </w:pPr>
    </w:p>
    <w:p w:rsidR="0053152B" w:rsidRPr="00D252D3" w:rsidRDefault="0053152B">
      <w:pPr>
        <w:tabs>
          <w:tab w:val="left" w:pos="12816"/>
        </w:tabs>
        <w:ind w:left="0" w:firstLine="0"/>
        <w:rPr>
          <w:szCs w:val="22"/>
        </w:rPr>
      </w:pPr>
      <w:r w:rsidRPr="00D252D3">
        <w:rPr>
          <w:szCs w:val="22"/>
        </w:rPr>
        <w:t>U telmisartanu sa zistila účinnosť porovnateľná s ramiprilom v predšpecifikovanom sekundárnom koncovom ukazovateli: kardiovaskulárna smrť, nefatálny infarkt myokardu a nefatálna mozgová príhoda bez následkov smrti [0,99 (97,5 % CI 0,90 – 1,08), p (noninferiorita) = 0,0004], čo je primárny koncový ukazovateľ v referenčnej štúdii HOPE (The Heart Outcomes Prevention Evaluation Study), ktorá skúmala účinky ramiprilu v porovnaní s placebom.</w:t>
      </w:r>
    </w:p>
    <w:p w:rsidR="0053152B" w:rsidRPr="00D252D3" w:rsidRDefault="0053152B">
      <w:pPr>
        <w:tabs>
          <w:tab w:val="left" w:pos="12816"/>
        </w:tabs>
        <w:rPr>
          <w:szCs w:val="22"/>
        </w:rPr>
      </w:pPr>
    </w:p>
    <w:p w:rsidR="0053152B" w:rsidRPr="00D252D3" w:rsidRDefault="0053152B">
      <w:pPr>
        <w:tabs>
          <w:tab w:val="left" w:pos="12816"/>
        </w:tabs>
        <w:ind w:left="0" w:firstLine="0"/>
        <w:rPr>
          <w:szCs w:val="22"/>
        </w:rPr>
      </w:pPr>
      <w:r w:rsidRPr="00D252D3">
        <w:rPr>
          <w:szCs w:val="22"/>
        </w:rPr>
        <w:t>Do štúdie TRANSCEND, ktorá mala inak podobné zaraďovacie kritériá ako štúdia ONRATGET, boli randomizovaní pacienti s neznášanlivosťou ACE inhibítorov do skupiny užívajúcej telmisartan 80 mg (n=2954) alebo placebo (n=2972), oba lieky sa podávali navyše k štandardnej starostlivosti. Priemerné trvanie následného sledovania bolo 4 roky a 8 mesiacov. Nezistil sa žiaden štatisticky signifikantný rozdiel vo výskyte primárneho kompozitného koncového ukazovateľa (kardiovaskulárna smrť, nefatálny infarkt myokardu, nefatálna mozgová príhoda alebo hospitalizácia v dôsledku kongestívneho zlyhania srdca) [15,7 % v skupine s telmisartanom a 17,0 % v skupine s placebom s mierou rizika 0,92 (95 % CI 0,81 – 1,05, p = 0,22)]. V predšpecifikovanom sekundárnom kompozitnom koncovom ukazovateli: kardiovaskulárna smrť, nefatálny infarkt myokardu a nefatálna mozgová príhoda sa dokázal prínos telmisartanu v porovnaní s placebom [0,87 (95 % CI 0,76 – 1,00, p = 0,048)]. Nepreukázal sa žiaden prínos pre kardiovaskulárnu mortalitu (miera rizika 1,03, 95 % CI 0,85 – 1,24).</w:t>
      </w:r>
    </w:p>
    <w:p w:rsidR="0053152B" w:rsidRPr="00D252D3" w:rsidRDefault="0053152B">
      <w:pPr>
        <w:tabs>
          <w:tab w:val="left" w:pos="12816"/>
        </w:tabs>
        <w:ind w:left="0" w:firstLine="0"/>
        <w:rPr>
          <w:szCs w:val="22"/>
        </w:rPr>
      </w:pPr>
    </w:p>
    <w:p w:rsidR="0053152B" w:rsidRPr="00D252D3" w:rsidRDefault="0053152B">
      <w:pPr>
        <w:tabs>
          <w:tab w:val="left" w:pos="12816"/>
        </w:tabs>
        <w:ind w:left="0" w:firstLine="0"/>
        <w:rPr>
          <w:szCs w:val="22"/>
        </w:rPr>
      </w:pPr>
      <w:r w:rsidRPr="00D252D3">
        <w:rPr>
          <w:szCs w:val="22"/>
        </w:rPr>
        <w:t>Kašeľ a angioedém sa hlásili menej často u pacientov liečených telmisartanom ako u pacientov liečených ramiprilom, pričom hypotenzia sa častejšie hlásila pri telmisartane.</w:t>
      </w:r>
    </w:p>
    <w:p w:rsidR="0053152B" w:rsidRPr="00D252D3" w:rsidRDefault="0053152B">
      <w:pPr>
        <w:tabs>
          <w:tab w:val="left" w:pos="12816"/>
        </w:tabs>
        <w:rPr>
          <w:szCs w:val="22"/>
        </w:rPr>
      </w:pPr>
    </w:p>
    <w:p w:rsidR="0053152B" w:rsidRPr="00D252D3" w:rsidRDefault="0053152B">
      <w:pPr>
        <w:tabs>
          <w:tab w:val="left" w:pos="12816"/>
        </w:tabs>
        <w:ind w:left="0" w:firstLine="0"/>
        <w:rPr>
          <w:szCs w:val="22"/>
        </w:rPr>
      </w:pPr>
      <w:r w:rsidRPr="00D252D3">
        <w:rPr>
          <w:szCs w:val="22"/>
        </w:rPr>
        <w:t>Kombinácia telmisartanu s ramiprilom nepriniesla žiaden ďalší prínos voči ramiprilu alebo telmisartanu samostatne. KV mortalita a mortalita zo všetkých príčin boli číselne vyššie pri kombinácii. Navyše bol výskyt hyperkaliémie, renálneho zlyhania, hypotenzie a synkopy významne vyšší v skupine užívajúcej kombináciu. Preto sa používanie kombinácie telmisartanu a ramiprilu v tejto populácii neodporúča.</w:t>
      </w:r>
    </w:p>
    <w:p w:rsidR="0053152B" w:rsidRPr="00D252D3" w:rsidRDefault="0053152B">
      <w:pPr>
        <w:ind w:left="0" w:firstLine="0"/>
        <w:rPr>
          <w:szCs w:val="22"/>
        </w:rPr>
      </w:pPr>
    </w:p>
    <w:p w:rsidR="0053152B" w:rsidRPr="00D252D3" w:rsidRDefault="0053152B">
      <w:pPr>
        <w:ind w:left="0" w:firstLine="0"/>
        <w:rPr>
          <w:snapToGrid w:val="0"/>
          <w:lang w:eastAsia="cs-CZ"/>
        </w:rPr>
      </w:pPr>
      <w:r w:rsidRPr="00D252D3">
        <w:rPr>
          <w:szCs w:val="22"/>
        </w:rPr>
        <w:t>V klinickom skúšaní "Prevention Regimen For Effectively avoiding Second Strokes" (PRoFESS) s 50-ročnými a staršími pacientmi, ktorí mali nedávno mozgovú príhodu, bola po telmisartane v porovnaní s placebom zaznamenaná zvýšená incidencia sepsy 0,70 % voči 0,49 % [RR 1,43 (95 % interval spoľahlivosti 1,00–2,06)]; incidencia smrteľných prípadov sepsy bola zvýšená u pacientov užívajúcich telmisartan (0,33 %) voči pacientom užívajúcim placebo (0,16 %) [RR 2,07 (95 % interval spoľahlivosti 1,14–3,76)]. Pozorovaná zvýšená miera výskytu sepsy v súvislosti s používaním telmisartanu môže byť buď náhodným nálezom alebo môže súvisieť s mechanizmami, ktoré v súčasnosti nie sú známe.</w:t>
      </w:r>
    </w:p>
    <w:p w:rsidR="0053152B" w:rsidRPr="00D252D3" w:rsidRDefault="0053152B">
      <w:pPr>
        <w:ind w:left="0" w:firstLine="0"/>
        <w:rPr>
          <w:snapToGrid w:val="0"/>
          <w:lang w:eastAsia="cs-CZ"/>
        </w:rPr>
      </w:pPr>
    </w:p>
    <w:p w:rsidR="0053152B" w:rsidRPr="00D252D3" w:rsidRDefault="0053152B">
      <w:pPr>
        <w:tabs>
          <w:tab w:val="left" w:pos="12816"/>
        </w:tabs>
        <w:ind w:left="0" w:firstLine="0"/>
        <w:rPr>
          <w:bCs/>
          <w:szCs w:val="22"/>
          <w:lang w:eastAsia="de-DE"/>
        </w:rPr>
      </w:pPr>
      <w:r w:rsidRPr="00D252D3">
        <w:rPr>
          <w:bCs/>
          <w:szCs w:val="22"/>
        </w:rPr>
        <w:t xml:space="preserve">Dve rozsiahle randomizované, kontrolované klinické skúšania </w:t>
      </w:r>
      <w:r w:rsidRPr="00D252D3">
        <w:rPr>
          <w:bCs/>
          <w:szCs w:val="22"/>
          <w:lang w:eastAsia="de-DE"/>
        </w:rPr>
        <w:t xml:space="preserve">(ONTARGET (ONgoing Telmisartan Alone and in </w:t>
      </w:r>
      <w:r w:rsidRPr="00D252D3">
        <w:rPr>
          <w:bCs/>
          <w:szCs w:val="22"/>
        </w:rPr>
        <w:t>c</w:t>
      </w:r>
      <w:r w:rsidRPr="00D252D3">
        <w:rPr>
          <w:bCs/>
          <w:szCs w:val="22"/>
          <w:lang w:eastAsia="de-DE"/>
        </w:rPr>
        <w:t>ombination with Ramipril Global Endpoint Trial) a VA NEPHRON</w:t>
      </w:r>
      <w:r w:rsidRPr="00D252D3">
        <w:rPr>
          <w:bCs/>
          <w:szCs w:val="22"/>
        </w:rPr>
        <w:t>-</w:t>
      </w:r>
      <w:r w:rsidRPr="00D252D3">
        <w:rPr>
          <w:bCs/>
          <w:szCs w:val="22"/>
          <w:lang w:eastAsia="de-DE"/>
        </w:rPr>
        <w:t>D (The Veterans Affairs Nephropathy in Diabetes)) skúmali použitie kombinácie inhibítora ACE a blokátora receptorov angiotenzínu II</w:t>
      </w:r>
      <w:r w:rsidRPr="00D252D3">
        <w:rPr>
          <w:bCs/>
          <w:szCs w:val="22"/>
        </w:rPr>
        <w:t xml:space="preserve">. </w:t>
      </w:r>
    </w:p>
    <w:p w:rsidR="0053152B" w:rsidRPr="00D252D3" w:rsidRDefault="0053152B">
      <w:pPr>
        <w:ind w:left="0" w:firstLine="0"/>
        <w:rPr>
          <w:bCs/>
          <w:szCs w:val="22"/>
        </w:rPr>
      </w:pPr>
      <w:r w:rsidRPr="00D252D3">
        <w:rPr>
          <w:bCs/>
          <w:szCs w:val="22"/>
          <w:lang w:eastAsia="de-DE"/>
        </w:rPr>
        <w:t>Skúšanie ONTARGET sa vykonalo u pacientov s kardiovaskulárnym alebo cerebrovaskulárnym ochorením v anamnéze, alebo u pacientov s diabetes mellitus 2. typu, u ktorých sa preukázalo poškodenie cieľových orgánov</w:t>
      </w:r>
      <w:r w:rsidRPr="00D252D3">
        <w:rPr>
          <w:bCs/>
          <w:szCs w:val="22"/>
        </w:rPr>
        <w:t xml:space="preserve">. Viac podrobných informácií, pozri vyššie v časti </w:t>
      </w:r>
      <w:r w:rsidRPr="00D252D3">
        <w:rPr>
          <w:szCs w:val="22"/>
        </w:rPr>
        <w:t>„Kardiovaskulárna prevencia“.</w:t>
      </w:r>
    </w:p>
    <w:p w:rsidR="0053152B" w:rsidRPr="00D252D3" w:rsidRDefault="0053152B">
      <w:pPr>
        <w:ind w:left="0" w:firstLine="0"/>
        <w:rPr>
          <w:bCs/>
          <w:szCs w:val="22"/>
          <w:lang w:eastAsia="de-DE"/>
        </w:rPr>
      </w:pPr>
      <w:r w:rsidRPr="00D252D3">
        <w:rPr>
          <w:bCs/>
          <w:szCs w:val="22"/>
        </w:rPr>
        <w:t>Skúšanie VA NEPHRON-</w:t>
      </w:r>
      <w:r w:rsidRPr="00D252D3">
        <w:rPr>
          <w:bCs/>
          <w:szCs w:val="22"/>
          <w:lang w:eastAsia="de-DE"/>
        </w:rPr>
        <w:t>D sa vykonalo u pacientov s diabetes mellitus 2. typu a diabetickou nefropatiou. Tieto skúšania neukázali významný priaznivý účinok na renálne a/alebo kardiovaskulárne ukazovatele a mortalitu, zatiaľ čo v porovnaní s monoterapiou sa pozorovalo zvýšené riziko hyperkaliémie, akútneho poškodenia obličiek a/alebo hypotenzie. Vzhľadom na podobné farmakodynamické vlastnosti sú tieto výsledky relevantné aj pre ostatné inhibítory ACE a blokátory receptorov angiotenzínu II.</w:t>
      </w:r>
    </w:p>
    <w:p w:rsidR="0053152B" w:rsidRPr="00D252D3" w:rsidRDefault="0053152B">
      <w:pPr>
        <w:ind w:left="0" w:firstLine="0"/>
        <w:rPr>
          <w:bCs/>
          <w:szCs w:val="22"/>
        </w:rPr>
      </w:pPr>
      <w:r w:rsidRPr="00D252D3">
        <w:rPr>
          <w:bCs/>
          <w:szCs w:val="22"/>
        </w:rPr>
        <w:t>Inhibítory ACE a blokátory receptorov angiotenzínu II</w:t>
      </w:r>
      <w:r w:rsidRPr="00D252D3">
        <w:rPr>
          <w:bCs/>
          <w:szCs w:val="22"/>
          <w:lang w:eastAsia="de-DE"/>
        </w:rPr>
        <w:t xml:space="preserve"> sa preto nemajú používať súbežne u pacientov s diabetickou nefropatiou</w:t>
      </w:r>
      <w:r w:rsidRPr="00D252D3">
        <w:rPr>
          <w:bCs/>
          <w:szCs w:val="22"/>
        </w:rPr>
        <w:t>.</w:t>
      </w:r>
    </w:p>
    <w:p w:rsidR="0053152B" w:rsidRPr="00D252D3" w:rsidRDefault="0053152B">
      <w:pPr>
        <w:ind w:left="0" w:firstLine="0"/>
        <w:rPr>
          <w:bCs/>
          <w:szCs w:val="22"/>
        </w:rPr>
      </w:pPr>
    </w:p>
    <w:p w:rsidR="0053152B" w:rsidRPr="00D252D3" w:rsidRDefault="0053152B">
      <w:pPr>
        <w:ind w:left="0" w:firstLine="0"/>
        <w:rPr>
          <w:bCs/>
          <w:szCs w:val="22"/>
          <w:lang w:eastAsia="de-DE"/>
        </w:rPr>
      </w:pPr>
      <w:r w:rsidRPr="00D252D3">
        <w:rPr>
          <w:bCs/>
          <w:szCs w:val="22"/>
          <w:lang w:eastAsia="de-DE"/>
        </w:rPr>
        <w:t>Skúšanie ALTITUDE (Aliskiren Trial in Type 2 Diabetes Using Cardiovascular and Renal Disease Endpoints) bolo navrhnuté na otestovanie prínosu pridania aliskirenu k štandardnej liečbe inhibítorom ACE alebo blokátorom receptorov angiotenzínu II u pacientov s diabetes mellitus 2. typu a chronickým ochorením obličiek, kardiovaskulárnym ochorením, alebo oboma ochoreniami. Skúšanie bolo predčasne ukončené pre zvýšené riziko nežiaducich udalostí. V skupine aliskirenu bolo numericky viac úmrtí z kardiovaskulárnej príčiny a cievnych mozgových príhod ako v skupine placeba a v skupine aliskirenu boli častejšie hlásené sledované nežiaduce udalosti a závažné nežiaduce udalosti (hyperkaliémia, hypotenzia a renálna dysfunkcia) ako v skupine placeba.</w:t>
      </w:r>
    </w:p>
    <w:p w:rsidR="0053152B" w:rsidRPr="00D252D3" w:rsidRDefault="0053152B">
      <w:pPr>
        <w:ind w:left="0" w:firstLine="0"/>
        <w:rPr>
          <w:snapToGrid w:val="0"/>
          <w:lang w:eastAsia="cs-CZ"/>
        </w:rPr>
      </w:pPr>
    </w:p>
    <w:p w:rsidR="0053152B" w:rsidRPr="00D252D3" w:rsidRDefault="0053152B">
      <w:pPr>
        <w:ind w:left="0" w:firstLine="0"/>
        <w:rPr>
          <w:snapToGrid w:val="0"/>
          <w:lang w:eastAsia="cs-CZ"/>
        </w:rPr>
      </w:pPr>
      <w:r w:rsidRPr="00D252D3">
        <w:rPr>
          <w:snapToGrid w:val="0"/>
          <w:lang w:eastAsia="cs-CZ"/>
        </w:rPr>
        <w:t>Epidemiologické štúdie ukázali, že dlhodobá liečba hydrochlorotiazidom znižuje riziko kardiovaskulárnej morbidity a mortality.</w:t>
      </w:r>
    </w:p>
    <w:p w:rsidR="0053152B" w:rsidRPr="00D252D3" w:rsidRDefault="0053152B">
      <w:pPr>
        <w:ind w:left="0" w:firstLine="0"/>
        <w:rPr>
          <w:snapToGrid w:val="0"/>
          <w:lang w:eastAsia="cs-CZ"/>
        </w:rPr>
      </w:pPr>
    </w:p>
    <w:p w:rsidR="0053152B" w:rsidRPr="00D252D3" w:rsidRDefault="0053152B">
      <w:pPr>
        <w:ind w:left="0" w:firstLine="0"/>
        <w:rPr>
          <w:snapToGrid w:val="0"/>
          <w:lang w:eastAsia="cs-CZ"/>
        </w:rPr>
      </w:pPr>
      <w:r w:rsidRPr="00D252D3">
        <w:rPr>
          <w:snapToGrid w:val="0"/>
          <w:lang w:eastAsia="cs-CZ"/>
        </w:rPr>
        <w:t>Účinky fixnej dávky kombinácie telmisartan/hydrochlorotiazid na mortalitu a kardiovaskulárnu morbiditu nie sú v súčasnosti známe.</w:t>
      </w:r>
    </w:p>
    <w:p w:rsidR="0053152B" w:rsidRPr="00D252D3" w:rsidRDefault="0053152B"/>
    <w:p w:rsidR="0051796F" w:rsidRPr="00D252D3" w:rsidRDefault="0051796F" w:rsidP="0051796F">
      <w:r w:rsidRPr="00D252D3">
        <w:t>Nemelanómová rakovina kože</w:t>
      </w:r>
    </w:p>
    <w:p w:rsidR="0051796F" w:rsidRPr="00D252D3" w:rsidRDefault="0051796F" w:rsidP="0051796F">
      <w:pPr>
        <w:ind w:left="0" w:firstLine="0"/>
        <w:rPr>
          <w:szCs w:val="22"/>
        </w:rPr>
      </w:pPr>
      <w:r w:rsidRPr="00D252D3">
        <w:t>Na základe dostupných údajov z epidemiologických štúdií sa pozorovala súvislosť medzi HCTZ a NMSC v závislosti od kumulatívnej dávky. Jedna štúdia zahŕňala populáciu, v ktorej sa vyskytlo 71 533 prípadov BCC a 8 629 prípadov SCC, čo zodpovedalo 1 430 833 a 172 462 kontrolám populácie. Používanie vysokých dávok HCTZ (≥</w:t>
      </w:r>
      <w:r w:rsidR="00634187" w:rsidRPr="00D252D3">
        <w:t> </w:t>
      </w:r>
      <w:r w:rsidRPr="00D252D3">
        <w:t>50 000 mg kumulatívne) súviselo s upravenou OR 1,29 (95 % IS: 1,23 – 1,35) pre BCC a 3,98 (95 % IS: 3,68 – 4,31) pre SCC. V prípade BCC aj SCC sa pozoroval zjavný vzťah medzi odpoveďou a kumulatívnou dávkou. V ďalšej štúdii sa preukázala možná súvislosť medzi rakovinou pier (SCC) a vystavením HCTZ: 633 prípadov rakoviny pier zodpovedalo 63 067 kontrolám populácie s použitím stratégie vzorkovania riziko-súbor. Preukázal sa vzťah odpovede a kumulatívnej dávky s upravenou OR 2,1 (95 % IS: 1,7 – 2,6), ktorá sa zvýšila na OR 3,9 (3,0 – 4,9) pre používanie vysokých dávok (~</w:t>
      </w:r>
      <w:r w:rsidR="00634187" w:rsidRPr="00D252D3">
        <w:t> </w:t>
      </w:r>
      <w:r w:rsidRPr="00D252D3">
        <w:t>25 000 mg) a OR 7,7 (5,7 – 10,5) pre najvyššiu kumulatívnu dávku (~</w:t>
      </w:r>
      <w:r w:rsidR="00634187" w:rsidRPr="00D252D3">
        <w:t> </w:t>
      </w:r>
      <w:r w:rsidR="003D43FE" w:rsidRPr="00D252D3">
        <w:t>100 000 mg) (pozri aj časť </w:t>
      </w:r>
      <w:r w:rsidRPr="00D252D3">
        <w:t>4.4).</w:t>
      </w:r>
    </w:p>
    <w:p w:rsidR="0051796F" w:rsidRPr="00D252D3" w:rsidRDefault="0051796F">
      <w:pPr>
        <w:ind w:left="0" w:firstLine="0"/>
        <w:rPr>
          <w:u w:val="single"/>
        </w:rPr>
      </w:pPr>
    </w:p>
    <w:p w:rsidR="0053152B" w:rsidRPr="00D252D3" w:rsidRDefault="0053152B">
      <w:pPr>
        <w:ind w:left="0" w:firstLine="0"/>
        <w:rPr>
          <w:u w:val="single"/>
        </w:rPr>
      </w:pPr>
      <w:r w:rsidRPr="00D252D3">
        <w:rPr>
          <w:u w:val="single"/>
        </w:rPr>
        <w:t>Pediatrická populácia</w:t>
      </w:r>
    </w:p>
    <w:p w:rsidR="0053152B" w:rsidRPr="00D252D3" w:rsidRDefault="0053152B">
      <w:pPr>
        <w:ind w:left="0" w:firstLine="0"/>
      </w:pPr>
      <w:r w:rsidRPr="00D252D3">
        <w:t>Európska agentúra pre lieky udelila výnimku z povinnosti predložiť výsledky štúdií s MicardisPlusom vo všetkých podskupinách pediatrickej populácie pre hypertenziu (informácie o použití v pediatrickej populácii, pozri časť 4.2).</w:t>
      </w:r>
    </w:p>
    <w:p w:rsidR="0053152B" w:rsidRPr="00D252D3" w:rsidRDefault="0053152B">
      <w:pPr>
        <w:ind w:left="0" w:firstLine="0"/>
        <w:rPr>
          <w:snapToGrid w:val="0"/>
          <w:lang w:eastAsia="cs-CZ"/>
        </w:rPr>
      </w:pPr>
    </w:p>
    <w:p w:rsidR="0053152B" w:rsidRPr="00D252D3" w:rsidRDefault="0053152B" w:rsidP="00AB164B">
      <w:pPr>
        <w:keepNext/>
      </w:pPr>
      <w:r w:rsidRPr="00D252D3">
        <w:rPr>
          <w:b/>
        </w:rPr>
        <w:t>5.2</w:t>
      </w:r>
      <w:r w:rsidRPr="00D252D3">
        <w:rPr>
          <w:b/>
        </w:rPr>
        <w:tab/>
        <w:t>Farmakokinetické vlastnosti</w:t>
      </w:r>
    </w:p>
    <w:p w:rsidR="0053152B" w:rsidRPr="00D252D3" w:rsidRDefault="0053152B" w:rsidP="00AB164B">
      <w:pPr>
        <w:keepNext/>
      </w:pPr>
    </w:p>
    <w:p w:rsidR="0053152B" w:rsidRPr="00D252D3" w:rsidRDefault="0053152B">
      <w:pPr>
        <w:ind w:left="0" w:firstLine="0"/>
        <w:rPr>
          <w:snapToGrid w:val="0"/>
          <w:lang w:eastAsia="cs-CZ"/>
        </w:rPr>
      </w:pPr>
      <w:r w:rsidRPr="00D252D3">
        <w:rPr>
          <w:snapToGrid w:val="0"/>
          <w:lang w:eastAsia="cs-CZ"/>
        </w:rPr>
        <w:t>U zdravých jedincov nemá súbežné podávanie hydrochlorotiazidu a telmisartanu vplyv na farmakokinetiku jednotlivých súčastí.</w:t>
      </w:r>
    </w:p>
    <w:p w:rsidR="0053152B" w:rsidRPr="00D252D3" w:rsidRDefault="0053152B">
      <w:pPr>
        <w:rPr>
          <w:snapToGrid w:val="0"/>
          <w:lang w:eastAsia="cs-CZ"/>
        </w:rPr>
      </w:pPr>
    </w:p>
    <w:p w:rsidR="0053152B" w:rsidRPr="00D252D3" w:rsidRDefault="0053152B" w:rsidP="00AB164B">
      <w:pPr>
        <w:keepNext/>
        <w:ind w:left="0" w:firstLine="0"/>
        <w:rPr>
          <w:snapToGrid w:val="0"/>
          <w:lang w:eastAsia="cs-CZ"/>
        </w:rPr>
      </w:pPr>
      <w:r w:rsidRPr="00D252D3">
        <w:rPr>
          <w:snapToGrid w:val="0"/>
          <w:u w:val="single"/>
          <w:lang w:eastAsia="cs-CZ"/>
        </w:rPr>
        <w:t>Absorpcia</w:t>
      </w:r>
    </w:p>
    <w:p w:rsidR="0053152B" w:rsidRPr="00D252D3" w:rsidRDefault="0053152B">
      <w:pPr>
        <w:ind w:left="0" w:firstLine="0"/>
        <w:rPr>
          <w:snapToGrid w:val="0"/>
          <w:lang w:eastAsia="cs-CZ"/>
        </w:rPr>
      </w:pPr>
      <w:r w:rsidRPr="00D252D3">
        <w:rPr>
          <w:snapToGrid w:val="0"/>
          <w:lang w:eastAsia="cs-CZ"/>
        </w:rPr>
        <w:t xml:space="preserve">Telmisartan: Po perorálnom podaní sa maximálne koncentrácie telmisartanu dosahujú po 0,5-1,5 hodine po užití. Absolútna biologická dostupnosť telmisartanu 40 mg a 160 mg bola 42 % prípadne 58 %. Jedlo mierne znižuje biologickú dostupnosť telmisartanu redukciou plochy pod krivkou závislosti plazmatických koncentrácií od času (AUC) približne o 6 % pri dávke 40 mg tablety a približne o 19 % pri dávke 160 mg. </w:t>
      </w:r>
      <w:r w:rsidRPr="00D252D3">
        <w:rPr>
          <w:szCs w:val="22"/>
        </w:rPr>
        <w:t xml:space="preserve">Od 3 hodín po podaní telmisartanu nalačno alebo s jedlom sú plazmatické koncentrácie podobné. </w:t>
      </w:r>
      <w:r w:rsidRPr="00D252D3">
        <w:rPr>
          <w:snapToGrid w:val="0"/>
          <w:lang w:eastAsia="cs-CZ"/>
        </w:rPr>
        <w:t>Nepredpokladá sa, že by malé zníženie AUC zapríčiňovalo zníženie terapeutickej účinnosti. Pri opakovanom podávaní sa telmisartan výrazne nehromadí v plazme.</w:t>
      </w:r>
    </w:p>
    <w:p w:rsidR="0053152B" w:rsidRPr="00D252D3" w:rsidRDefault="0053152B">
      <w:pPr>
        <w:ind w:left="0" w:firstLine="0"/>
        <w:rPr>
          <w:snapToGrid w:val="0"/>
          <w:lang w:eastAsia="cs-CZ"/>
        </w:rPr>
      </w:pPr>
      <w:r w:rsidRPr="00D252D3">
        <w:rPr>
          <w:snapToGrid w:val="0"/>
          <w:lang w:eastAsia="cs-CZ"/>
        </w:rPr>
        <w:t>Hydrochlorotiazid: Po perorálnom podaní MicardisPlusu sa maximálne koncentrácie hydrochlorotiazidu dosahujú približne po 1,0–3,0 hodinách po podaní. Vychádzajúc z kumulatívnej renálnej exkrécie hydrochlorotiazidu bola absolútna biologická dostupnosť okolo 60 %.</w:t>
      </w:r>
    </w:p>
    <w:p w:rsidR="0053152B" w:rsidRPr="00D252D3" w:rsidRDefault="0053152B">
      <w:pPr>
        <w:ind w:left="0" w:firstLine="0"/>
        <w:rPr>
          <w:snapToGrid w:val="0"/>
          <w:lang w:eastAsia="cs-CZ"/>
        </w:rPr>
      </w:pPr>
    </w:p>
    <w:p w:rsidR="0053152B" w:rsidRPr="00D252D3" w:rsidRDefault="0053152B">
      <w:pPr>
        <w:ind w:left="0" w:firstLine="0"/>
        <w:rPr>
          <w:snapToGrid w:val="0"/>
          <w:lang w:eastAsia="cs-CZ"/>
        </w:rPr>
      </w:pPr>
      <w:r w:rsidRPr="00D252D3">
        <w:rPr>
          <w:snapToGrid w:val="0"/>
          <w:u w:val="single"/>
          <w:lang w:eastAsia="cs-CZ"/>
        </w:rPr>
        <w:t>Distribúcia</w:t>
      </w:r>
    </w:p>
    <w:p w:rsidR="0053152B" w:rsidRPr="00D252D3" w:rsidRDefault="0053152B">
      <w:pPr>
        <w:ind w:left="0" w:firstLine="0"/>
        <w:rPr>
          <w:snapToGrid w:val="0"/>
          <w:lang w:eastAsia="cs-CZ"/>
        </w:rPr>
      </w:pPr>
      <w:r w:rsidRPr="00D252D3">
        <w:rPr>
          <w:snapToGrid w:val="0"/>
          <w:lang w:eastAsia="cs-CZ"/>
        </w:rPr>
        <w:t>Telmisartan sa pevne viaže na plazmatické proteíny (&gt;99,5 %), zväčša na albumíny a kyslý alfa-1 glykoproteín. Zjavný distribučný objem telmisartanu je približne 500 litrov, čo svedčí o aditívnej tkanivovej väzbe.</w:t>
      </w:r>
    </w:p>
    <w:p w:rsidR="0053152B" w:rsidRPr="00D252D3" w:rsidRDefault="0053152B">
      <w:pPr>
        <w:ind w:left="0" w:firstLine="0"/>
      </w:pPr>
      <w:r w:rsidRPr="00D252D3">
        <w:t>Hydrochlorotiazid sa v plazme viaže zo 68 % na proteín a jeho zjavný distribučný objem je 0,83-1,14 l/kg.</w:t>
      </w:r>
    </w:p>
    <w:p w:rsidR="0036549F" w:rsidRPr="00D252D3" w:rsidRDefault="0036549F"/>
    <w:p w:rsidR="0053152B" w:rsidRPr="00D252D3" w:rsidRDefault="0053152B">
      <w:pPr>
        <w:ind w:left="0" w:firstLine="0"/>
        <w:rPr>
          <w:snapToGrid w:val="0"/>
          <w:lang w:eastAsia="cs-CZ"/>
        </w:rPr>
      </w:pPr>
      <w:r w:rsidRPr="00D252D3">
        <w:rPr>
          <w:snapToGrid w:val="0"/>
          <w:u w:val="single"/>
          <w:lang w:eastAsia="cs-CZ"/>
        </w:rPr>
        <w:t>Biotransformácia</w:t>
      </w:r>
    </w:p>
    <w:p w:rsidR="0053152B" w:rsidRPr="00D252D3" w:rsidRDefault="0053152B">
      <w:pPr>
        <w:ind w:left="0" w:firstLine="0"/>
        <w:rPr>
          <w:snapToGrid w:val="0"/>
          <w:lang w:eastAsia="cs-CZ"/>
        </w:rPr>
      </w:pPr>
      <w:r w:rsidRPr="00D252D3">
        <w:rPr>
          <w:snapToGrid w:val="0"/>
          <w:lang w:eastAsia="cs-CZ"/>
        </w:rPr>
        <w:t xml:space="preserve">Telmisartan sa metabolizuje konjugáciou na farmakologicky neúčinný acylglukuronid. Glukuronid materskej zlúčeniny je jediný metabolit, ktorý bol identifikovaný u ľudí. Po jednorázovej dávke </w:t>
      </w:r>
      <w:r w:rsidRPr="00D252D3">
        <w:rPr>
          <w:snapToGrid w:val="0"/>
          <w:vertAlign w:val="superscript"/>
          <w:lang w:eastAsia="cs-CZ"/>
        </w:rPr>
        <w:t>14</w:t>
      </w:r>
      <w:r w:rsidRPr="00D252D3">
        <w:rPr>
          <w:snapToGrid w:val="0"/>
          <w:lang w:eastAsia="cs-CZ"/>
        </w:rPr>
        <w:t xml:space="preserve">C značeného telmisartanu, glukorunid predstavuje asi 11 % meranej rádioaktivity v plazme. Izoenzýmy cytochrómu P450 nie sú zapojené do metabolizmu telmisartanu. </w:t>
      </w:r>
    </w:p>
    <w:p w:rsidR="0053152B" w:rsidRPr="00D252D3" w:rsidRDefault="0053152B">
      <w:pPr>
        <w:ind w:left="0" w:firstLine="0"/>
      </w:pPr>
      <w:r w:rsidRPr="00D252D3">
        <w:t>Hydrochlorotiazid sa u ľudí nemetabolizuje.</w:t>
      </w:r>
    </w:p>
    <w:p w:rsidR="0053152B" w:rsidRPr="00D252D3" w:rsidRDefault="0053152B">
      <w:pPr>
        <w:ind w:left="0" w:firstLine="0"/>
      </w:pPr>
    </w:p>
    <w:p w:rsidR="0053152B" w:rsidRPr="00D252D3" w:rsidRDefault="0053152B">
      <w:pPr>
        <w:ind w:left="0" w:firstLine="0"/>
        <w:rPr>
          <w:u w:val="single"/>
        </w:rPr>
      </w:pPr>
      <w:r w:rsidRPr="00D252D3">
        <w:rPr>
          <w:u w:val="single"/>
        </w:rPr>
        <w:t>Eliminácia</w:t>
      </w:r>
    </w:p>
    <w:p w:rsidR="0053152B" w:rsidRPr="00D252D3" w:rsidRDefault="0053152B">
      <w:pPr>
        <w:ind w:left="0" w:firstLine="0"/>
        <w:rPr>
          <w:snapToGrid w:val="0"/>
          <w:lang w:eastAsia="cs-CZ"/>
        </w:rPr>
      </w:pPr>
      <w:r w:rsidRPr="00D252D3">
        <w:t>Telmisartan:</w:t>
      </w:r>
      <w:r w:rsidRPr="00D252D3">
        <w:rPr>
          <w:snapToGrid w:val="0"/>
          <w:lang w:eastAsia="cs-CZ"/>
        </w:rPr>
        <w:t xml:space="preserve"> Po intravenóznom alebo perorálnom podaní </w:t>
      </w:r>
      <w:r w:rsidRPr="00D252D3">
        <w:rPr>
          <w:snapToGrid w:val="0"/>
          <w:vertAlign w:val="superscript"/>
          <w:lang w:eastAsia="cs-CZ"/>
        </w:rPr>
        <w:t>14</w:t>
      </w:r>
      <w:r w:rsidRPr="00D252D3">
        <w:rPr>
          <w:snapToGrid w:val="0"/>
          <w:lang w:eastAsia="cs-CZ"/>
        </w:rPr>
        <w:t>C-značeného telmisartanu sa väčšina podanej dávky (&gt;97 %) vylúčila stolicou ako biliárna exkrécia. V moči sa zistilo len nepatrné množstvo. Celkový plazmatický klírens telmisartanu po perorálnom podaní je &gt;1 500 ml/min. Terminálny polčas vylučovania bol &gt;20 hodín.</w:t>
      </w:r>
    </w:p>
    <w:p w:rsidR="0053152B" w:rsidRPr="00D252D3" w:rsidRDefault="0053152B">
      <w:pPr>
        <w:ind w:left="0" w:firstLine="0"/>
      </w:pPr>
      <w:r w:rsidRPr="00D252D3">
        <w:t>Hydrochlorotiazid sa vylučuje takmer výhradne v moči ako nezmenená látka. Okolo 60 % perorálne podanej dávky sa vylučuje v priebehu 48 hodín. Renálny klírens je okolo 250–300 ml/min. Terminálny polčas vylučovania hydrochlorotiazidu je 10–15 hodín.</w:t>
      </w:r>
    </w:p>
    <w:p w:rsidR="0053152B" w:rsidRPr="00D252D3" w:rsidRDefault="0053152B"/>
    <w:p w:rsidR="0053152B" w:rsidRPr="00D252D3" w:rsidRDefault="0053152B">
      <w:pPr>
        <w:rPr>
          <w:u w:val="single"/>
        </w:rPr>
      </w:pPr>
      <w:r w:rsidRPr="00D252D3">
        <w:rPr>
          <w:u w:val="single"/>
        </w:rPr>
        <w:t>Linearita/nelinearita</w:t>
      </w:r>
    </w:p>
    <w:p w:rsidR="0053152B" w:rsidRPr="00D252D3" w:rsidRDefault="0053152B">
      <w:pPr>
        <w:ind w:left="0" w:firstLine="0"/>
      </w:pPr>
      <w:r w:rsidRPr="00D252D3">
        <w:t>Telmisartan: Farmakokinetika perorálne podaného telmisartanu je nelineárna po dávkach 20 </w:t>
      </w:r>
      <w:r w:rsidRPr="00D252D3">
        <w:noBreakHyphen/>
        <w:t> 160 mg s väčším než proporčným zvýšením plazm</w:t>
      </w:r>
      <w:r w:rsidR="00EC59CD" w:rsidRPr="00D252D3">
        <w:t>atických</w:t>
      </w:r>
      <w:r w:rsidRPr="00D252D3">
        <w:t xml:space="preserve"> koncentrácií </w:t>
      </w:r>
      <w:r w:rsidRPr="00D252D3">
        <w:rPr>
          <w:szCs w:val="22"/>
        </w:rPr>
        <w:t>(C</w:t>
      </w:r>
      <w:r w:rsidRPr="00D252D3">
        <w:rPr>
          <w:szCs w:val="22"/>
          <w:vertAlign w:val="subscript"/>
        </w:rPr>
        <w:t>max</w:t>
      </w:r>
      <w:r w:rsidRPr="00D252D3">
        <w:rPr>
          <w:szCs w:val="22"/>
        </w:rPr>
        <w:t xml:space="preserve"> a AUC) </w:t>
      </w:r>
      <w:r w:rsidRPr="00D252D3">
        <w:t>so zvyšujúcimi sa dávkami.</w:t>
      </w:r>
    </w:p>
    <w:p w:rsidR="0053152B" w:rsidRPr="00D252D3" w:rsidRDefault="0053152B">
      <w:r w:rsidRPr="00D252D3">
        <w:t>Hydrochlorotiazid vykazuje lineárnu farmakokinetiku.</w:t>
      </w:r>
    </w:p>
    <w:p w:rsidR="0053152B" w:rsidRPr="00D252D3" w:rsidRDefault="0053152B">
      <w:pPr>
        <w:keepNext/>
        <w:keepLines/>
        <w:ind w:left="0" w:firstLine="0"/>
        <w:rPr>
          <w:b/>
          <w:snapToGrid w:val="0"/>
          <w:lang w:eastAsia="cs-CZ"/>
        </w:rPr>
      </w:pPr>
    </w:p>
    <w:p w:rsidR="0053152B" w:rsidRPr="00D252D3" w:rsidRDefault="0053152B">
      <w:pPr>
        <w:keepNext/>
        <w:keepLines/>
        <w:ind w:left="0" w:firstLine="0"/>
        <w:rPr>
          <w:snapToGrid w:val="0"/>
          <w:lang w:eastAsia="cs-CZ"/>
        </w:rPr>
      </w:pPr>
      <w:r w:rsidRPr="00D252D3">
        <w:rPr>
          <w:snapToGrid w:val="0"/>
          <w:u w:val="single"/>
          <w:lang w:eastAsia="cs-CZ"/>
        </w:rPr>
        <w:t xml:space="preserve">Starší </w:t>
      </w:r>
      <w:r w:rsidR="00EC59CD" w:rsidRPr="00D252D3">
        <w:rPr>
          <w:snapToGrid w:val="0"/>
          <w:u w:val="single"/>
          <w:lang w:eastAsia="cs-CZ"/>
        </w:rPr>
        <w:t>ľudia</w:t>
      </w:r>
    </w:p>
    <w:p w:rsidR="0053152B" w:rsidRPr="00D252D3" w:rsidRDefault="0053152B">
      <w:pPr>
        <w:ind w:left="0" w:firstLine="0"/>
        <w:rPr>
          <w:snapToGrid w:val="0"/>
          <w:lang w:eastAsia="cs-CZ"/>
        </w:rPr>
      </w:pPr>
      <w:r w:rsidRPr="00D252D3">
        <w:rPr>
          <w:snapToGrid w:val="0"/>
          <w:lang w:eastAsia="cs-CZ"/>
        </w:rPr>
        <w:t>U osôb mladších ako 65 rokov a starších osôb sa farmakokinetika telmisartanu nelíši.</w:t>
      </w:r>
    </w:p>
    <w:p w:rsidR="0053152B" w:rsidRPr="00D252D3" w:rsidRDefault="0053152B">
      <w:pPr>
        <w:ind w:left="0" w:firstLine="0"/>
        <w:rPr>
          <w:snapToGrid w:val="0"/>
          <w:lang w:eastAsia="cs-CZ"/>
        </w:rPr>
      </w:pPr>
    </w:p>
    <w:p w:rsidR="0053152B" w:rsidRPr="00D252D3" w:rsidRDefault="0053152B">
      <w:pPr>
        <w:ind w:left="0" w:firstLine="0"/>
        <w:rPr>
          <w:snapToGrid w:val="0"/>
          <w:lang w:eastAsia="cs-CZ"/>
        </w:rPr>
      </w:pPr>
      <w:r w:rsidRPr="00D252D3">
        <w:rPr>
          <w:snapToGrid w:val="0"/>
          <w:u w:val="single"/>
          <w:lang w:eastAsia="cs-CZ"/>
        </w:rPr>
        <w:t>Pohlavie</w:t>
      </w:r>
    </w:p>
    <w:p w:rsidR="0053152B" w:rsidRPr="00D252D3" w:rsidRDefault="0053152B">
      <w:pPr>
        <w:ind w:left="0" w:firstLine="0"/>
        <w:rPr>
          <w:snapToGrid w:val="0"/>
          <w:lang w:eastAsia="cs-CZ"/>
        </w:rPr>
      </w:pPr>
      <w:r w:rsidRPr="00D252D3">
        <w:rPr>
          <w:snapToGrid w:val="0"/>
          <w:lang w:eastAsia="cs-CZ"/>
        </w:rPr>
        <w:t>Plazmatické koncentrácie telmisartanu sú všeobecne 2-3-krát vyššie u žien ako u mužov. V klinických skúšaniach sa však u žien nepozorovali významne väčšie reakcie na krvný tlak alebo výskyt ortostatickej hypotenzie. Nie je potrebná úprava dávkovania. U žien bola vyššia náchylnosť k vyšším plazmatickým koncentráciám hydrochlorotiazidu ako u mužov. Nepovažuje sa to za klinicky významné.</w:t>
      </w:r>
    </w:p>
    <w:p w:rsidR="0053152B" w:rsidRPr="00D252D3" w:rsidRDefault="0053152B">
      <w:pPr>
        <w:ind w:left="0" w:firstLine="0"/>
        <w:rPr>
          <w:snapToGrid w:val="0"/>
          <w:u w:val="single"/>
          <w:lang w:eastAsia="cs-CZ"/>
        </w:rPr>
      </w:pPr>
    </w:p>
    <w:p w:rsidR="0053152B" w:rsidRPr="00D252D3" w:rsidRDefault="0053152B" w:rsidP="00AB164B">
      <w:pPr>
        <w:keepNext/>
        <w:ind w:left="0" w:firstLine="0"/>
        <w:rPr>
          <w:snapToGrid w:val="0"/>
          <w:lang w:eastAsia="cs-CZ"/>
        </w:rPr>
      </w:pPr>
      <w:r w:rsidRPr="00D252D3">
        <w:rPr>
          <w:snapToGrid w:val="0"/>
          <w:u w:val="single"/>
          <w:lang w:eastAsia="cs-CZ"/>
        </w:rPr>
        <w:t>Po</w:t>
      </w:r>
      <w:r w:rsidR="00831BD7" w:rsidRPr="00D252D3">
        <w:rPr>
          <w:snapToGrid w:val="0"/>
          <w:u w:val="single"/>
          <w:lang w:eastAsia="cs-CZ"/>
        </w:rPr>
        <w:t>rucha</w:t>
      </w:r>
      <w:r w:rsidRPr="00D252D3">
        <w:rPr>
          <w:snapToGrid w:val="0"/>
          <w:u w:val="single"/>
          <w:lang w:eastAsia="cs-CZ"/>
        </w:rPr>
        <w:t xml:space="preserve"> funkcie obličiek</w:t>
      </w:r>
    </w:p>
    <w:p w:rsidR="0053152B" w:rsidRPr="00D252D3" w:rsidRDefault="0053152B">
      <w:pPr>
        <w:ind w:left="0" w:firstLine="0"/>
        <w:rPr>
          <w:snapToGrid w:val="0"/>
          <w:lang w:eastAsia="cs-CZ"/>
        </w:rPr>
      </w:pPr>
      <w:r w:rsidRPr="00D252D3">
        <w:rPr>
          <w:snapToGrid w:val="0"/>
          <w:lang w:eastAsia="cs-CZ"/>
        </w:rPr>
        <w:t>Vylučovanie obličkami neprispieva ku klírensu telmisartanu. Na základe niekoľkých málo skúseností u pacientov s miern</w:t>
      </w:r>
      <w:r w:rsidR="00831BD7" w:rsidRPr="00D252D3">
        <w:rPr>
          <w:snapToGrid w:val="0"/>
          <w:lang w:eastAsia="cs-CZ"/>
        </w:rPr>
        <w:t>ou</w:t>
      </w:r>
      <w:r w:rsidRPr="00D252D3">
        <w:rPr>
          <w:snapToGrid w:val="0"/>
          <w:lang w:eastAsia="cs-CZ"/>
        </w:rPr>
        <w:t xml:space="preserve"> až stredne ťažk</w:t>
      </w:r>
      <w:r w:rsidR="00831BD7" w:rsidRPr="00D252D3">
        <w:rPr>
          <w:snapToGrid w:val="0"/>
          <w:lang w:eastAsia="cs-CZ"/>
        </w:rPr>
        <w:t>ou</w:t>
      </w:r>
      <w:r w:rsidRPr="00D252D3">
        <w:rPr>
          <w:snapToGrid w:val="0"/>
          <w:lang w:eastAsia="cs-CZ"/>
        </w:rPr>
        <w:t xml:space="preserve"> po</w:t>
      </w:r>
      <w:r w:rsidR="00831BD7" w:rsidRPr="00D252D3">
        <w:rPr>
          <w:snapToGrid w:val="0"/>
          <w:lang w:eastAsia="cs-CZ"/>
        </w:rPr>
        <w:t>ruchou</w:t>
      </w:r>
      <w:r w:rsidRPr="00D252D3">
        <w:rPr>
          <w:snapToGrid w:val="0"/>
          <w:lang w:eastAsia="cs-CZ"/>
        </w:rPr>
        <w:t xml:space="preserve"> funkcie obličiek (klírens kreratinínu 30–60 ml/min., v priemere okolo 50 ml/min.) nie je u pacientov so zníženou funkciou obličiek potrebná úprava dávkovania. Telmisartan sa neodstraňuje z krvi hemodialýzou. U pacientov s po</w:t>
      </w:r>
      <w:r w:rsidR="00831BD7" w:rsidRPr="00D252D3">
        <w:rPr>
          <w:snapToGrid w:val="0"/>
          <w:lang w:eastAsia="cs-CZ"/>
        </w:rPr>
        <w:t>ruchou</w:t>
      </w:r>
      <w:r w:rsidRPr="00D252D3">
        <w:rPr>
          <w:snapToGrid w:val="0"/>
          <w:lang w:eastAsia="cs-CZ"/>
        </w:rPr>
        <w:t xml:space="preserve"> funkci</w:t>
      </w:r>
      <w:r w:rsidR="00831BD7" w:rsidRPr="00D252D3">
        <w:rPr>
          <w:snapToGrid w:val="0"/>
          <w:lang w:eastAsia="cs-CZ"/>
        </w:rPr>
        <w:t>e</w:t>
      </w:r>
      <w:r w:rsidRPr="00D252D3">
        <w:rPr>
          <w:snapToGrid w:val="0"/>
          <w:lang w:eastAsia="cs-CZ"/>
        </w:rPr>
        <w:t xml:space="preserve"> obličiek je znížený pomer vylučovania hydrochlorotiazidu. V typickej štúdii s pacientmi s priemerným klírensom kreatinínu 90 ml/min. bol polčas vylučovania hydrochlorotiazidu zvýšený. U funkčne anefrických pacientov je polčas vylučovania asi 34 hodín.</w:t>
      </w:r>
    </w:p>
    <w:p w:rsidR="0053152B" w:rsidRPr="00D252D3" w:rsidRDefault="0053152B">
      <w:pPr>
        <w:ind w:left="0" w:firstLine="0"/>
        <w:rPr>
          <w:snapToGrid w:val="0"/>
          <w:lang w:eastAsia="cs-CZ"/>
        </w:rPr>
      </w:pPr>
    </w:p>
    <w:p w:rsidR="0053152B" w:rsidRPr="00D252D3" w:rsidRDefault="0053152B" w:rsidP="00AB164B">
      <w:pPr>
        <w:keepNext/>
        <w:ind w:left="0" w:firstLine="0"/>
        <w:rPr>
          <w:snapToGrid w:val="0"/>
          <w:lang w:eastAsia="cs-CZ"/>
        </w:rPr>
      </w:pPr>
      <w:r w:rsidRPr="00D252D3">
        <w:rPr>
          <w:snapToGrid w:val="0"/>
          <w:u w:val="single"/>
          <w:lang w:eastAsia="cs-CZ"/>
        </w:rPr>
        <w:t>Po</w:t>
      </w:r>
      <w:r w:rsidR="00831BD7" w:rsidRPr="00D252D3">
        <w:rPr>
          <w:snapToGrid w:val="0"/>
          <w:u w:val="single"/>
          <w:lang w:eastAsia="cs-CZ"/>
        </w:rPr>
        <w:t>rucha</w:t>
      </w:r>
      <w:r w:rsidRPr="00D252D3">
        <w:rPr>
          <w:snapToGrid w:val="0"/>
          <w:u w:val="single"/>
          <w:lang w:eastAsia="cs-CZ"/>
        </w:rPr>
        <w:t xml:space="preserve"> funkcie pečene</w:t>
      </w:r>
    </w:p>
    <w:p w:rsidR="0053152B" w:rsidRPr="00D252D3" w:rsidRDefault="0053152B">
      <w:pPr>
        <w:ind w:left="0" w:firstLine="0"/>
        <w:rPr>
          <w:snapToGrid w:val="0"/>
          <w:lang w:eastAsia="cs-CZ"/>
        </w:rPr>
      </w:pPr>
      <w:r w:rsidRPr="00D252D3">
        <w:rPr>
          <w:snapToGrid w:val="0"/>
          <w:lang w:eastAsia="cs-CZ"/>
        </w:rPr>
        <w:t>Farmakokinetické štúdie u pacientov s po</w:t>
      </w:r>
      <w:r w:rsidR="00831BD7" w:rsidRPr="00D252D3">
        <w:rPr>
          <w:snapToGrid w:val="0"/>
          <w:lang w:eastAsia="cs-CZ"/>
        </w:rPr>
        <w:t>ruchou</w:t>
      </w:r>
      <w:r w:rsidRPr="00D252D3">
        <w:rPr>
          <w:snapToGrid w:val="0"/>
          <w:lang w:eastAsia="cs-CZ"/>
        </w:rPr>
        <w:t xml:space="preserve"> funkcie pečene ukázali zvýšenú absolútnu biologickú dostupnosť až do takmer 100 %. Polčas vylučovania sa u pacientov s po</w:t>
      </w:r>
      <w:r w:rsidR="00831BD7" w:rsidRPr="00D252D3">
        <w:rPr>
          <w:snapToGrid w:val="0"/>
          <w:lang w:eastAsia="cs-CZ"/>
        </w:rPr>
        <w:t>ruchou</w:t>
      </w:r>
      <w:r w:rsidRPr="00D252D3">
        <w:rPr>
          <w:snapToGrid w:val="0"/>
          <w:lang w:eastAsia="cs-CZ"/>
        </w:rPr>
        <w:t xml:space="preserve"> funkcie pečene nemení.</w:t>
      </w:r>
    </w:p>
    <w:p w:rsidR="0053152B" w:rsidRPr="00D252D3" w:rsidRDefault="0053152B">
      <w:pPr>
        <w:ind w:left="0" w:firstLine="0"/>
      </w:pPr>
    </w:p>
    <w:p w:rsidR="0053152B" w:rsidRPr="00D252D3" w:rsidRDefault="0053152B" w:rsidP="00AB164B">
      <w:pPr>
        <w:keepNext/>
      </w:pPr>
      <w:r w:rsidRPr="00D252D3">
        <w:rPr>
          <w:b/>
        </w:rPr>
        <w:t>5.3</w:t>
      </w:r>
      <w:r w:rsidRPr="00D252D3">
        <w:rPr>
          <w:b/>
        </w:rPr>
        <w:tab/>
        <w:t>Predklinické údaje o bezpečnosti</w:t>
      </w:r>
    </w:p>
    <w:p w:rsidR="0053152B" w:rsidRPr="00D252D3" w:rsidRDefault="0053152B" w:rsidP="00AB164B">
      <w:pPr>
        <w:keepNext/>
        <w:ind w:left="0" w:firstLine="0"/>
      </w:pPr>
    </w:p>
    <w:p w:rsidR="0053152B" w:rsidRPr="00D252D3" w:rsidRDefault="0053152B">
      <w:pPr>
        <w:ind w:left="0" w:firstLine="0"/>
        <w:rPr>
          <w:snapToGrid w:val="0"/>
          <w:lang w:eastAsia="cs-CZ"/>
        </w:rPr>
      </w:pPr>
      <w:r w:rsidRPr="00D252D3">
        <w:rPr>
          <w:snapToGrid w:val="0"/>
          <w:lang w:eastAsia="cs-CZ"/>
        </w:rPr>
        <w:t>Neboli robené žiadne dodatočné predklinické štúdie fixnej kombinácie dávky lieku 80 mg/25 mg.</w:t>
      </w:r>
    </w:p>
    <w:p w:rsidR="0053152B" w:rsidRPr="00D252D3" w:rsidRDefault="0053152B">
      <w:pPr>
        <w:ind w:left="0" w:firstLine="0"/>
        <w:rPr>
          <w:snapToGrid w:val="0"/>
          <w:lang w:eastAsia="cs-CZ"/>
        </w:rPr>
      </w:pPr>
      <w:r w:rsidRPr="00D252D3">
        <w:rPr>
          <w:snapToGrid w:val="0"/>
          <w:lang w:eastAsia="cs-CZ"/>
        </w:rPr>
        <w:t>V predchádzajúcich predklinických štúdiách bezpečnosti zameraných na súbežné podávanie telmisartanu a hydrochlorotiazidu normotenzným potkanom a psom, v dávke porovnateľnej s klinickými terapeutickými dávkami, nevyvolávali ďalšie nálezy ako pri podávaní jednotlivých zložiek samostatne. Pozorované toxikologické nálezy pravdepodobne nemajú význam pri terapeutickom použití u ľudí.</w:t>
      </w:r>
    </w:p>
    <w:p w:rsidR="0053152B" w:rsidRPr="00D252D3" w:rsidRDefault="0053152B">
      <w:pPr>
        <w:ind w:left="0" w:firstLine="0"/>
        <w:rPr>
          <w:snapToGrid w:val="0"/>
          <w:lang w:eastAsia="cs-CZ"/>
        </w:rPr>
      </w:pPr>
    </w:p>
    <w:p w:rsidR="0053152B" w:rsidRPr="00D252D3" w:rsidRDefault="0053152B">
      <w:pPr>
        <w:ind w:left="0" w:firstLine="0"/>
        <w:rPr>
          <w:snapToGrid w:val="0"/>
          <w:lang w:eastAsia="cs-CZ"/>
        </w:rPr>
      </w:pPr>
      <w:r w:rsidRPr="00D252D3">
        <w:rPr>
          <w:snapToGrid w:val="0"/>
          <w:lang w:eastAsia="cs-CZ"/>
        </w:rPr>
        <w:t>Toxikologické nálezy takisto dobre známe z predklinických štúdií s inhibítormi angiotenzín konvertujúceho enzýmu a antagonistmi receptora angiotenzínu II boli: zníženie parametrov červených krviniek (erytrocyty, hemoglobín, hematokrit), zmeny v renálnej hemodynamike (zvýšený dusík močoviny v krvi a kreatinín), zvýšená plazmatická renínová aktivita, hypertrofia/hyperplázia juxtaglomerulárnych buniek a poškodenie žalúdočnej sliznice. Léziám na žalúdku možno predísť/zmierniť ich perorálnou suplementáciou soli a skupinovým chovom zvierat. U psov sa pozorovala dilatácia a atrofia obličkových kanálikov. Tieto nálezy sa považujú za následok </w:t>
      </w:r>
    </w:p>
    <w:p w:rsidR="0053152B" w:rsidRPr="00D252D3" w:rsidRDefault="0053152B">
      <w:pPr>
        <w:ind w:left="0" w:firstLine="0"/>
        <w:rPr>
          <w:snapToGrid w:val="0"/>
          <w:lang w:eastAsia="cs-CZ"/>
        </w:rPr>
      </w:pPr>
      <w:r w:rsidRPr="00D252D3">
        <w:rPr>
          <w:snapToGrid w:val="0"/>
          <w:lang w:eastAsia="cs-CZ"/>
        </w:rPr>
        <w:t>farmakologickej aktivity telmisartanu.</w:t>
      </w:r>
    </w:p>
    <w:p w:rsidR="0053152B" w:rsidRPr="00D252D3" w:rsidRDefault="0053152B">
      <w:pPr>
        <w:ind w:left="0" w:firstLine="0"/>
        <w:rPr>
          <w:snapToGrid w:val="0"/>
          <w:lang w:eastAsia="cs-CZ"/>
        </w:rPr>
      </w:pPr>
    </w:p>
    <w:p w:rsidR="0053152B" w:rsidRPr="00D252D3" w:rsidRDefault="0053152B">
      <w:pPr>
        <w:ind w:left="0" w:firstLine="0"/>
        <w:rPr>
          <w:snapToGrid w:val="0"/>
          <w:lang w:eastAsia="cs-CZ"/>
        </w:rPr>
      </w:pPr>
      <w:r w:rsidRPr="00D252D3">
        <w:rPr>
          <w:snapToGrid w:val="0"/>
          <w:lang w:eastAsia="cs-CZ"/>
        </w:rPr>
        <w:t>Nepozoroval sa priamy dôkaz teratogénneho účinku, ale pozorovalo sa, že hladiny toxickej dávky telmisartanu majú mierny vplyv na postnatálny vývoj plodu ako je nižšia telesná hmotnosť a oneskorené otvorenie očí.</w:t>
      </w:r>
    </w:p>
    <w:p w:rsidR="0053152B" w:rsidRPr="00D252D3" w:rsidRDefault="0053152B">
      <w:pPr>
        <w:ind w:left="0" w:firstLine="0"/>
        <w:rPr>
          <w:snapToGrid w:val="0"/>
          <w:lang w:eastAsia="cs-CZ"/>
        </w:rPr>
      </w:pPr>
      <w:r w:rsidRPr="00D252D3">
        <w:rPr>
          <w:snapToGrid w:val="0"/>
          <w:lang w:eastAsia="cs-CZ"/>
        </w:rPr>
        <w:t>U potkanov a myší sa po podávaní telmisartanu nepotvrdili známky mutagenity a relevantná klastogénnej aktivity v štúdiách</w:t>
      </w:r>
      <w:r w:rsidRPr="00D252D3">
        <w:rPr>
          <w:i/>
          <w:snapToGrid w:val="0"/>
          <w:lang w:eastAsia="cs-CZ"/>
        </w:rPr>
        <w:t> in vitro</w:t>
      </w:r>
      <w:r w:rsidRPr="00D252D3">
        <w:rPr>
          <w:snapToGrid w:val="0"/>
          <w:lang w:eastAsia="cs-CZ"/>
        </w:rPr>
        <w:t xml:space="preserve"> a tiež známky karcinogenity. Štúdie s hydrochlorotiazidom ukázali nejednoznačný dôkaz genotoxického alebo karcinogénneho účinku na niektorých pokusných modeloch. Avšak značné skúsenosti s hydrochlorotiazidom u ľudí neukázali súvislosť medzi jeho použitím a zvýšením neoplaziem.</w:t>
      </w:r>
    </w:p>
    <w:p w:rsidR="0053152B" w:rsidRPr="00D252D3" w:rsidRDefault="0053152B">
      <w:pPr>
        <w:ind w:left="0" w:firstLine="0"/>
        <w:rPr>
          <w:snapToGrid w:val="0"/>
          <w:lang w:eastAsia="cs-CZ"/>
        </w:rPr>
      </w:pPr>
      <w:r w:rsidRPr="00D252D3">
        <w:rPr>
          <w:snapToGrid w:val="0"/>
          <w:lang w:eastAsia="cs-CZ"/>
        </w:rPr>
        <w:t>Pre možné toxické pôsobenie kombinácie telmisartan/hydrochlorotiazid na plod pozri časť 4.6.</w:t>
      </w:r>
    </w:p>
    <w:p w:rsidR="0053152B" w:rsidRPr="00D252D3" w:rsidRDefault="0053152B">
      <w:pPr>
        <w:ind w:left="0" w:firstLine="0"/>
      </w:pPr>
    </w:p>
    <w:p w:rsidR="0053152B" w:rsidRPr="00D252D3" w:rsidRDefault="0053152B">
      <w:pPr>
        <w:ind w:left="0" w:firstLine="0"/>
      </w:pPr>
    </w:p>
    <w:p w:rsidR="0053152B" w:rsidRPr="00D252D3" w:rsidRDefault="0053152B">
      <w:pPr>
        <w:keepNext/>
        <w:keepLines/>
        <w:ind w:left="562" w:hanging="562"/>
        <w:rPr>
          <w:b/>
        </w:rPr>
      </w:pPr>
      <w:r w:rsidRPr="00D252D3">
        <w:rPr>
          <w:b/>
        </w:rPr>
        <w:t>6.</w:t>
      </w:r>
      <w:r w:rsidRPr="00D252D3">
        <w:rPr>
          <w:b/>
        </w:rPr>
        <w:tab/>
        <w:t>FARMACEUTICKÉ INFORMÁCIE</w:t>
      </w:r>
    </w:p>
    <w:p w:rsidR="0053152B" w:rsidRPr="00D252D3" w:rsidRDefault="0053152B">
      <w:pPr>
        <w:keepNext/>
        <w:keepLines/>
        <w:ind w:left="562" w:hanging="562"/>
      </w:pPr>
    </w:p>
    <w:p w:rsidR="0053152B" w:rsidRPr="00D252D3" w:rsidRDefault="0053152B">
      <w:pPr>
        <w:keepNext/>
        <w:keepLines/>
        <w:ind w:left="562" w:hanging="562"/>
      </w:pPr>
      <w:r w:rsidRPr="00D252D3">
        <w:rPr>
          <w:b/>
        </w:rPr>
        <w:t>6.1</w:t>
      </w:r>
      <w:r w:rsidRPr="00D252D3">
        <w:rPr>
          <w:b/>
        </w:rPr>
        <w:tab/>
        <w:t>Zoznam pomocných látok</w:t>
      </w:r>
    </w:p>
    <w:p w:rsidR="0053152B" w:rsidRPr="00D252D3" w:rsidRDefault="0053152B">
      <w:pPr>
        <w:keepNext/>
        <w:keepLines/>
        <w:ind w:left="562" w:hanging="562"/>
      </w:pPr>
    </w:p>
    <w:p w:rsidR="0053152B" w:rsidRPr="00D252D3" w:rsidRDefault="0053152B">
      <w:pPr>
        <w:ind w:left="0" w:firstLine="0"/>
      </w:pPr>
      <w:r w:rsidRPr="00D252D3">
        <w:t>Monohydrát laktózy</w:t>
      </w:r>
    </w:p>
    <w:p w:rsidR="0053152B" w:rsidRPr="00D252D3" w:rsidRDefault="0053152B">
      <w:pPr>
        <w:ind w:left="0" w:firstLine="0"/>
      </w:pPr>
      <w:r w:rsidRPr="00D252D3">
        <w:t>Magnéziumstearát</w:t>
      </w:r>
    </w:p>
    <w:p w:rsidR="0053152B" w:rsidRPr="00D252D3" w:rsidRDefault="0053152B">
      <w:pPr>
        <w:ind w:left="0" w:firstLine="0"/>
      </w:pPr>
      <w:r w:rsidRPr="00D252D3">
        <w:t>Kukuričný škrob</w:t>
      </w:r>
    </w:p>
    <w:p w:rsidR="0053152B" w:rsidRPr="00D252D3" w:rsidRDefault="0053152B">
      <w:pPr>
        <w:ind w:left="0" w:firstLine="0"/>
      </w:pPr>
      <w:r w:rsidRPr="00D252D3">
        <w:t>Meglumín</w:t>
      </w:r>
    </w:p>
    <w:p w:rsidR="0053152B" w:rsidRPr="00D252D3" w:rsidRDefault="0053152B">
      <w:pPr>
        <w:ind w:left="0" w:firstLine="0"/>
        <w:rPr>
          <w:snapToGrid w:val="0"/>
          <w:lang w:eastAsia="cs-CZ"/>
        </w:rPr>
      </w:pPr>
      <w:r w:rsidRPr="00D252D3">
        <w:rPr>
          <w:snapToGrid w:val="0"/>
          <w:lang w:eastAsia="cs-CZ"/>
        </w:rPr>
        <w:t>Mikrokryštalická celulóza</w:t>
      </w:r>
    </w:p>
    <w:p w:rsidR="0053152B" w:rsidRPr="00D252D3" w:rsidRDefault="0053152B">
      <w:pPr>
        <w:ind w:left="0" w:firstLine="0"/>
        <w:rPr>
          <w:snapToGrid w:val="0"/>
          <w:lang w:eastAsia="cs-CZ"/>
        </w:rPr>
      </w:pPr>
      <w:r w:rsidRPr="00D252D3">
        <w:rPr>
          <w:snapToGrid w:val="0"/>
          <w:lang w:eastAsia="cs-CZ"/>
        </w:rPr>
        <w:t>Povidón (K25)</w:t>
      </w:r>
    </w:p>
    <w:p w:rsidR="0053152B" w:rsidRPr="00D252D3" w:rsidRDefault="0053152B">
      <w:pPr>
        <w:ind w:left="0" w:firstLine="0"/>
      </w:pPr>
      <w:r w:rsidRPr="00D252D3">
        <w:rPr>
          <w:snapToGrid w:val="0"/>
          <w:lang w:eastAsia="cs-CZ"/>
        </w:rPr>
        <w:t>Žltý oxid železitý (E172)</w:t>
      </w:r>
    </w:p>
    <w:p w:rsidR="0053152B" w:rsidRPr="00D252D3" w:rsidRDefault="0053152B">
      <w:pPr>
        <w:ind w:left="0" w:firstLine="0"/>
        <w:rPr>
          <w:snapToGrid w:val="0"/>
          <w:lang w:eastAsia="cs-CZ"/>
        </w:rPr>
      </w:pPr>
      <w:r w:rsidRPr="00D252D3">
        <w:rPr>
          <w:snapToGrid w:val="0"/>
          <w:lang w:eastAsia="cs-CZ"/>
        </w:rPr>
        <w:t>Hydroxid sodný</w:t>
      </w:r>
    </w:p>
    <w:p w:rsidR="0053152B" w:rsidRPr="00D252D3" w:rsidRDefault="0053152B">
      <w:pPr>
        <w:ind w:left="0" w:firstLine="0"/>
        <w:rPr>
          <w:snapToGrid w:val="0"/>
          <w:lang w:eastAsia="cs-CZ"/>
        </w:rPr>
      </w:pPr>
      <w:r w:rsidRPr="00D252D3">
        <w:rPr>
          <w:snapToGrid w:val="0"/>
          <w:lang w:eastAsia="cs-CZ"/>
        </w:rPr>
        <w:t>Sodná soľ karboxymetylškrobu (typ A)</w:t>
      </w:r>
    </w:p>
    <w:p w:rsidR="0053152B" w:rsidRPr="00D252D3" w:rsidRDefault="0053152B">
      <w:pPr>
        <w:ind w:left="0" w:firstLine="0"/>
        <w:rPr>
          <w:snapToGrid w:val="0"/>
          <w:lang w:eastAsia="cs-CZ"/>
        </w:rPr>
      </w:pPr>
      <w:r w:rsidRPr="00D252D3">
        <w:rPr>
          <w:snapToGrid w:val="0"/>
          <w:lang w:eastAsia="cs-CZ"/>
        </w:rPr>
        <w:t>Sorbitol (E420)</w:t>
      </w:r>
    </w:p>
    <w:p w:rsidR="0053152B" w:rsidRPr="00D252D3" w:rsidRDefault="0053152B"/>
    <w:p w:rsidR="0053152B" w:rsidRPr="00D252D3" w:rsidRDefault="0053152B" w:rsidP="00AB164B">
      <w:pPr>
        <w:keepNext/>
      </w:pPr>
      <w:r w:rsidRPr="00D252D3">
        <w:rPr>
          <w:b/>
        </w:rPr>
        <w:t>6.2</w:t>
      </w:r>
      <w:r w:rsidRPr="00D252D3">
        <w:rPr>
          <w:b/>
        </w:rPr>
        <w:tab/>
        <w:t>Inkompatibility</w:t>
      </w:r>
    </w:p>
    <w:p w:rsidR="0053152B" w:rsidRPr="00D252D3" w:rsidRDefault="0053152B" w:rsidP="00AB164B">
      <w:pPr>
        <w:keepNext/>
      </w:pPr>
    </w:p>
    <w:p w:rsidR="0053152B" w:rsidRPr="00D252D3" w:rsidRDefault="0053152B">
      <w:r w:rsidRPr="00D252D3">
        <w:t>Neaplikovateľné.</w:t>
      </w:r>
    </w:p>
    <w:p w:rsidR="0053152B" w:rsidRPr="00D252D3" w:rsidRDefault="0053152B">
      <w:pPr>
        <w:ind w:left="0" w:firstLine="0"/>
        <w:rPr>
          <w:b/>
        </w:rPr>
      </w:pPr>
    </w:p>
    <w:p w:rsidR="0053152B" w:rsidRPr="00D252D3" w:rsidRDefault="0053152B" w:rsidP="00AB164B">
      <w:pPr>
        <w:keepNext/>
      </w:pPr>
      <w:r w:rsidRPr="00D252D3">
        <w:rPr>
          <w:b/>
        </w:rPr>
        <w:t>6.3</w:t>
      </w:r>
      <w:r w:rsidRPr="00D252D3">
        <w:rPr>
          <w:b/>
        </w:rPr>
        <w:tab/>
        <w:t>Čas použiteľnosti</w:t>
      </w:r>
    </w:p>
    <w:p w:rsidR="0053152B" w:rsidRPr="00D252D3" w:rsidRDefault="0053152B" w:rsidP="00AB164B">
      <w:pPr>
        <w:keepNext/>
      </w:pPr>
    </w:p>
    <w:p w:rsidR="0053152B" w:rsidRPr="00D252D3" w:rsidRDefault="0053152B">
      <w:pPr>
        <w:ind w:left="540" w:hanging="540"/>
      </w:pPr>
      <w:r w:rsidRPr="00D252D3">
        <w:t>3</w:t>
      </w:r>
      <w:r w:rsidR="00BD2C73" w:rsidRPr="00D252D3">
        <w:t> </w:t>
      </w:r>
      <w:r w:rsidRPr="00D252D3">
        <w:t>roky</w:t>
      </w:r>
    </w:p>
    <w:p w:rsidR="0053152B" w:rsidRPr="00D252D3" w:rsidRDefault="0053152B"/>
    <w:p w:rsidR="0053152B" w:rsidRPr="00D252D3" w:rsidRDefault="0053152B">
      <w:r w:rsidRPr="00D252D3">
        <w:rPr>
          <w:b/>
        </w:rPr>
        <w:t>6.4</w:t>
      </w:r>
      <w:r w:rsidRPr="00D252D3">
        <w:rPr>
          <w:b/>
        </w:rPr>
        <w:tab/>
        <w:t>Špeciálne upozornenia na uchovávanie</w:t>
      </w:r>
    </w:p>
    <w:p w:rsidR="0053152B" w:rsidRPr="00D252D3" w:rsidRDefault="0053152B"/>
    <w:p w:rsidR="0053152B" w:rsidRPr="00D252D3" w:rsidRDefault="0053152B">
      <w:pPr>
        <w:ind w:left="0" w:firstLine="0"/>
        <w:rPr>
          <w:snapToGrid w:val="0"/>
          <w:lang w:eastAsia="cs-CZ"/>
        </w:rPr>
      </w:pPr>
      <w:r w:rsidRPr="00D252D3">
        <w:rPr>
          <w:snapToGrid w:val="0"/>
          <w:lang w:eastAsia="cs-CZ"/>
        </w:rPr>
        <w:t>Tento liek nevyžaduje žiadne zvláštne teplotné podmienky na uchovávanie. Uchovávajte v pôvodnom obale na ochranu pred vlhkosťou.</w:t>
      </w:r>
    </w:p>
    <w:p w:rsidR="0053152B" w:rsidRPr="00D252D3" w:rsidRDefault="0053152B">
      <w:pPr>
        <w:ind w:left="0" w:firstLine="0"/>
      </w:pPr>
    </w:p>
    <w:p w:rsidR="0053152B" w:rsidRPr="00D252D3" w:rsidRDefault="0053152B">
      <w:pPr>
        <w:keepNext/>
        <w:ind w:left="0" w:firstLine="0"/>
      </w:pPr>
      <w:r w:rsidRPr="00D252D3">
        <w:rPr>
          <w:b/>
        </w:rPr>
        <w:t>6.5</w:t>
      </w:r>
      <w:r w:rsidRPr="00D252D3">
        <w:rPr>
          <w:b/>
        </w:rPr>
        <w:tab/>
        <w:t>Druh obalu a obsah balenia</w:t>
      </w:r>
    </w:p>
    <w:p w:rsidR="0053152B" w:rsidRPr="00D252D3" w:rsidRDefault="0053152B">
      <w:pPr>
        <w:keepNext/>
      </w:pPr>
    </w:p>
    <w:p w:rsidR="0053152B" w:rsidRPr="00D252D3" w:rsidRDefault="0053152B">
      <w:pPr>
        <w:keepNext/>
        <w:ind w:left="0" w:firstLine="0"/>
      </w:pPr>
      <w:r w:rsidRPr="00D252D3">
        <w:t xml:space="preserve">Hliníkovo/hliníkové blistre (PA/Al/PVC/Al alebo PA/PA/Al/PVC/Al). Jeden blister obsahuje 7 alebo 10 tabliet. </w:t>
      </w:r>
    </w:p>
    <w:p w:rsidR="0053152B" w:rsidRPr="00D252D3" w:rsidRDefault="0053152B">
      <w:pPr>
        <w:ind w:left="0" w:firstLine="0"/>
      </w:pPr>
    </w:p>
    <w:p w:rsidR="0053152B" w:rsidRPr="00D252D3" w:rsidRDefault="0053152B">
      <w:pPr>
        <w:ind w:left="0" w:firstLine="0"/>
      </w:pPr>
      <w:r w:rsidRPr="00D252D3">
        <w:t xml:space="preserve">Veľkosti balenia: </w:t>
      </w:r>
    </w:p>
    <w:p w:rsidR="0053152B" w:rsidRPr="00D252D3" w:rsidRDefault="0053152B">
      <w:pPr>
        <w:numPr>
          <w:ilvl w:val="0"/>
          <w:numId w:val="22"/>
        </w:numPr>
      </w:pPr>
      <w:r w:rsidRPr="00D252D3">
        <w:t xml:space="preserve">blister so 14, 28, 56 alebo 98 tabletami alebo </w:t>
      </w:r>
    </w:p>
    <w:p w:rsidR="0053152B" w:rsidRPr="00D252D3" w:rsidRDefault="0053152B">
      <w:pPr>
        <w:numPr>
          <w:ilvl w:val="0"/>
          <w:numId w:val="22"/>
        </w:numPr>
      </w:pPr>
      <w:r w:rsidRPr="00D252D3">
        <w:t>perforovaný blister s jednotlivými dávkami 28 x 1, 30 x 1 alebo 90 x 1 tableta.</w:t>
      </w:r>
    </w:p>
    <w:p w:rsidR="0053152B" w:rsidRPr="00D252D3" w:rsidRDefault="0053152B">
      <w:pPr>
        <w:ind w:left="0" w:firstLine="0"/>
      </w:pPr>
    </w:p>
    <w:p w:rsidR="0053152B" w:rsidRPr="00D252D3" w:rsidRDefault="0053152B">
      <w:pPr>
        <w:ind w:left="0" w:firstLine="0"/>
      </w:pPr>
      <w:r w:rsidRPr="00D252D3">
        <w:t>Na trh nemusia byť uvedené všetky veľkosti balenia.</w:t>
      </w:r>
    </w:p>
    <w:p w:rsidR="0053152B" w:rsidRPr="00D252D3" w:rsidRDefault="0053152B">
      <w:pPr>
        <w:ind w:left="0" w:firstLine="0"/>
      </w:pPr>
    </w:p>
    <w:p w:rsidR="0053152B" w:rsidRPr="00D252D3" w:rsidRDefault="0053152B">
      <w:pPr>
        <w:rPr>
          <w:b/>
          <w:szCs w:val="22"/>
        </w:rPr>
      </w:pPr>
      <w:r w:rsidRPr="00D252D3">
        <w:rPr>
          <w:b/>
          <w:szCs w:val="22"/>
        </w:rPr>
        <w:t>6.6</w:t>
      </w:r>
      <w:r w:rsidRPr="00D252D3">
        <w:rPr>
          <w:b/>
          <w:szCs w:val="22"/>
        </w:rPr>
        <w:tab/>
      </w:r>
      <w:r w:rsidRPr="00D252D3">
        <w:rPr>
          <w:b/>
          <w:bCs/>
        </w:rPr>
        <w:t>Špeciálne opatrenia na likvidáciu a iné zaobchádzanie s liekom</w:t>
      </w:r>
    </w:p>
    <w:p w:rsidR="0053152B" w:rsidRPr="00D252D3" w:rsidRDefault="0053152B"/>
    <w:p w:rsidR="0053152B" w:rsidRPr="00D252D3" w:rsidRDefault="0053152B">
      <w:pPr>
        <w:rPr>
          <w:szCs w:val="22"/>
        </w:rPr>
      </w:pPr>
      <w:r w:rsidRPr="00D252D3">
        <w:rPr>
          <w:szCs w:val="22"/>
        </w:rPr>
        <w:t>MicardisPlus sa má uchovávať v uzavretom blistri kvôli hygroskopickým vlastnostiam tabliet. Tablety</w:t>
      </w:r>
    </w:p>
    <w:p w:rsidR="0053152B" w:rsidRPr="00D252D3" w:rsidRDefault="0053152B">
      <w:pPr>
        <w:rPr>
          <w:szCs w:val="22"/>
        </w:rPr>
      </w:pPr>
      <w:r w:rsidRPr="00D252D3">
        <w:rPr>
          <w:szCs w:val="22"/>
        </w:rPr>
        <w:t>Sa majú vyberať z blistra krátko pred podaním.</w:t>
      </w:r>
    </w:p>
    <w:p w:rsidR="0053152B" w:rsidRPr="00D252D3" w:rsidRDefault="0053152B">
      <w:pPr>
        <w:ind w:left="0" w:firstLine="0"/>
      </w:pPr>
      <w:r w:rsidRPr="00D252D3">
        <w:rPr>
          <w:snapToGrid w:val="0"/>
          <w:lang w:eastAsia="cs-CZ"/>
        </w:rPr>
        <w:t>Občas sa pozorovalo oddelenie vonkajšej vrstvy blistra od vnútornej vrstvy medzi jamkami blistra. Ak sa to stane, nie sú potrebné žiadne opatrenia.</w:t>
      </w:r>
    </w:p>
    <w:p w:rsidR="0053152B" w:rsidRPr="00D252D3" w:rsidRDefault="0053152B">
      <w:pPr>
        <w:ind w:left="0" w:firstLine="0"/>
        <w:rPr>
          <w:snapToGrid w:val="0"/>
          <w:lang w:eastAsia="cs-CZ"/>
        </w:rPr>
      </w:pPr>
    </w:p>
    <w:p w:rsidR="0053152B" w:rsidRPr="00D252D3" w:rsidRDefault="0053152B">
      <w:pPr>
        <w:ind w:left="0" w:firstLine="0"/>
        <w:rPr>
          <w:snapToGrid w:val="0"/>
          <w:lang w:eastAsia="cs-CZ"/>
        </w:rPr>
      </w:pPr>
      <w:r w:rsidRPr="00D252D3">
        <w:rPr>
          <w:snapToGrid w:val="0"/>
          <w:lang w:eastAsia="cs-CZ"/>
        </w:rPr>
        <w:t>Všetok nepoužitý liek alebo odpad vzniknutý z lieku sa má zlikvidovať v súlade s národnými požiadavkami.</w:t>
      </w:r>
    </w:p>
    <w:p w:rsidR="0053152B" w:rsidRPr="00D252D3" w:rsidRDefault="0053152B">
      <w:pPr>
        <w:ind w:left="0" w:firstLine="0"/>
        <w:rPr>
          <w:b/>
        </w:rPr>
      </w:pPr>
    </w:p>
    <w:p w:rsidR="0053152B" w:rsidRPr="00D252D3" w:rsidRDefault="0053152B">
      <w:pPr>
        <w:ind w:left="0" w:firstLine="0"/>
        <w:rPr>
          <w:b/>
        </w:rPr>
      </w:pPr>
    </w:p>
    <w:p w:rsidR="0053152B" w:rsidRPr="00D252D3" w:rsidRDefault="0053152B">
      <w:r w:rsidRPr="00D252D3">
        <w:rPr>
          <w:b/>
        </w:rPr>
        <w:t>7.</w:t>
      </w:r>
      <w:r w:rsidRPr="00D252D3">
        <w:rPr>
          <w:b/>
        </w:rPr>
        <w:tab/>
        <w:t>DRŽITEĽ ROZHODNUTIA O REGISTRÁCII</w:t>
      </w:r>
    </w:p>
    <w:p w:rsidR="0053152B" w:rsidRPr="00D252D3" w:rsidRDefault="0053152B"/>
    <w:p w:rsidR="0053152B" w:rsidRPr="00D252D3" w:rsidRDefault="0053152B">
      <w:r w:rsidRPr="00D252D3">
        <w:t>Boehringer Ingelheim International GmbH</w:t>
      </w:r>
    </w:p>
    <w:p w:rsidR="0053152B" w:rsidRPr="00D252D3" w:rsidRDefault="0053152B">
      <w:r w:rsidRPr="00D252D3">
        <w:t>Binger str. 173</w:t>
      </w:r>
    </w:p>
    <w:p w:rsidR="0053152B" w:rsidRPr="00D252D3" w:rsidRDefault="0053152B">
      <w:r w:rsidRPr="00D252D3">
        <w:t>D-55216 Ingelheim nad Rýnom</w:t>
      </w:r>
    </w:p>
    <w:p w:rsidR="0053152B" w:rsidRPr="00D252D3" w:rsidRDefault="0053152B">
      <w:r w:rsidRPr="00D252D3">
        <w:t>Nemecko</w:t>
      </w:r>
    </w:p>
    <w:p w:rsidR="0053152B" w:rsidRPr="00D252D3" w:rsidRDefault="0053152B"/>
    <w:p w:rsidR="0053152B" w:rsidRPr="00D252D3" w:rsidRDefault="0053152B"/>
    <w:p w:rsidR="0053152B" w:rsidRPr="00D252D3" w:rsidRDefault="0053152B">
      <w:pPr>
        <w:keepNext/>
        <w:keepLines/>
        <w:ind w:left="562" w:hanging="562"/>
        <w:rPr>
          <w:b/>
        </w:rPr>
      </w:pPr>
      <w:r w:rsidRPr="00D252D3">
        <w:rPr>
          <w:b/>
        </w:rPr>
        <w:t>8.</w:t>
      </w:r>
      <w:r w:rsidRPr="00D252D3">
        <w:rPr>
          <w:b/>
        </w:rPr>
        <w:tab/>
        <w:t>REGISTRAČNÉ ČÍSLO</w:t>
      </w:r>
    </w:p>
    <w:p w:rsidR="0053152B" w:rsidRPr="00D252D3" w:rsidRDefault="0053152B">
      <w:pPr>
        <w:keepNext/>
        <w:keepLines/>
        <w:ind w:left="562" w:hanging="562"/>
      </w:pPr>
    </w:p>
    <w:p w:rsidR="0053152B" w:rsidRPr="00D252D3" w:rsidRDefault="0053152B">
      <w:r w:rsidRPr="00D252D3">
        <w:t>EU/1/02/213/017-023</w:t>
      </w:r>
    </w:p>
    <w:p w:rsidR="0053152B" w:rsidRPr="00D252D3" w:rsidRDefault="0053152B"/>
    <w:p w:rsidR="0053152B" w:rsidRPr="00D252D3" w:rsidRDefault="0053152B"/>
    <w:p w:rsidR="0053152B" w:rsidRPr="00D252D3" w:rsidRDefault="0053152B">
      <w:r w:rsidRPr="00D252D3">
        <w:rPr>
          <w:b/>
        </w:rPr>
        <w:t>9.</w:t>
      </w:r>
      <w:r w:rsidRPr="00D252D3">
        <w:rPr>
          <w:b/>
        </w:rPr>
        <w:tab/>
        <w:t>DÁTUM PRVEJ REGISTRÁCIE/PREDĹŽENIA REGISTRÁCIE</w:t>
      </w:r>
    </w:p>
    <w:p w:rsidR="0053152B" w:rsidRPr="00D252D3" w:rsidRDefault="0053152B"/>
    <w:p w:rsidR="0053152B" w:rsidRPr="00D252D3" w:rsidRDefault="0053152B">
      <w:r w:rsidRPr="00D252D3">
        <w:rPr>
          <w:szCs w:val="22"/>
        </w:rPr>
        <w:t xml:space="preserve">Dátum prvej registrácie: </w:t>
      </w:r>
      <w:r w:rsidRPr="00D252D3">
        <w:t xml:space="preserve">19. </w:t>
      </w:r>
      <w:r w:rsidR="00435347" w:rsidRPr="00D252D3">
        <w:t>a</w:t>
      </w:r>
      <w:r w:rsidRPr="00D252D3">
        <w:t>príl</w:t>
      </w:r>
      <w:r w:rsidR="00435347" w:rsidRPr="00D252D3">
        <w:t>a</w:t>
      </w:r>
      <w:r w:rsidRPr="00D252D3">
        <w:t xml:space="preserve"> 2002</w:t>
      </w:r>
    </w:p>
    <w:p w:rsidR="0053152B" w:rsidRPr="00D252D3" w:rsidRDefault="0053152B">
      <w:r w:rsidRPr="00D252D3">
        <w:rPr>
          <w:szCs w:val="22"/>
        </w:rPr>
        <w:t xml:space="preserve">Dátum posledného predĺženia registrácie: </w:t>
      </w:r>
      <w:r w:rsidR="00EC7271" w:rsidRPr="00D252D3">
        <w:t>23</w:t>
      </w:r>
      <w:r w:rsidRPr="00D252D3">
        <w:t xml:space="preserve">. </w:t>
      </w:r>
      <w:r w:rsidR="00435347" w:rsidRPr="00D252D3">
        <w:t>a</w:t>
      </w:r>
      <w:r w:rsidRPr="00D252D3">
        <w:t>príl</w:t>
      </w:r>
      <w:r w:rsidR="00435347" w:rsidRPr="00D252D3">
        <w:t>a</w:t>
      </w:r>
      <w:r w:rsidRPr="00D252D3">
        <w:t xml:space="preserve"> 2007</w:t>
      </w:r>
    </w:p>
    <w:p w:rsidR="0053152B" w:rsidRPr="00D252D3" w:rsidRDefault="0053152B">
      <w:pPr>
        <w:ind w:left="0" w:firstLine="0"/>
      </w:pPr>
    </w:p>
    <w:p w:rsidR="0053152B" w:rsidRPr="00D252D3" w:rsidRDefault="0053152B">
      <w:pPr>
        <w:ind w:left="0" w:firstLine="0"/>
      </w:pPr>
    </w:p>
    <w:p w:rsidR="0053152B" w:rsidRPr="00D252D3" w:rsidRDefault="0053152B">
      <w:pPr>
        <w:rPr>
          <w:b/>
        </w:rPr>
      </w:pPr>
      <w:r w:rsidRPr="00D252D3">
        <w:rPr>
          <w:b/>
        </w:rPr>
        <w:t>10.</w:t>
      </w:r>
      <w:r w:rsidRPr="00D252D3">
        <w:rPr>
          <w:b/>
        </w:rPr>
        <w:tab/>
        <w:t>DÁTUM REVÍZIE TEXTU</w:t>
      </w:r>
    </w:p>
    <w:p w:rsidR="0053152B" w:rsidRPr="00D252D3" w:rsidRDefault="0053152B"/>
    <w:p w:rsidR="0053152B" w:rsidRPr="00D252D3" w:rsidRDefault="0053152B"/>
    <w:p w:rsidR="0053152B" w:rsidRPr="00D252D3" w:rsidRDefault="0053152B">
      <w:pPr>
        <w:ind w:left="0" w:firstLine="0"/>
      </w:pPr>
      <w:r w:rsidRPr="00D252D3">
        <w:t xml:space="preserve">Podrobné informácie o tomto lieku sú dostupné na internetovej stránke Európskej agentúry pre lieky </w:t>
      </w:r>
      <w:r w:rsidRPr="00D252D3">
        <w:rPr>
          <w:szCs w:val="22"/>
        </w:rPr>
        <w:t xml:space="preserve"> </w:t>
      </w:r>
      <w:hyperlink r:id="rId14" w:history="1">
        <w:r w:rsidRPr="00D252D3">
          <w:rPr>
            <w:rStyle w:val="Hyperlink"/>
            <w:szCs w:val="22"/>
          </w:rPr>
          <w:t>http://www.em</w:t>
        </w:r>
        <w:r w:rsidRPr="00D252D3">
          <w:rPr>
            <w:rStyle w:val="Hyperlink"/>
            <w:szCs w:val="22"/>
          </w:rPr>
          <w:t>a</w:t>
        </w:r>
        <w:r w:rsidRPr="00D252D3">
          <w:rPr>
            <w:rStyle w:val="Hyperlink"/>
            <w:szCs w:val="22"/>
          </w:rPr>
          <w:t>.</w:t>
        </w:r>
        <w:r w:rsidRPr="00D252D3">
          <w:rPr>
            <w:rStyle w:val="Hyperlink"/>
            <w:szCs w:val="22"/>
          </w:rPr>
          <w:t>europa.eu</w:t>
        </w:r>
      </w:hyperlink>
      <w:r w:rsidRPr="00D252D3">
        <w:rPr>
          <w:szCs w:val="22"/>
        </w:rPr>
        <w:t>.</w:t>
      </w:r>
    </w:p>
    <w:p w:rsidR="0053152B" w:rsidRPr="00D252D3" w:rsidRDefault="0053152B" w:rsidP="000D7A2C">
      <w:pPr>
        <w:jc w:val="center"/>
      </w:pPr>
      <w:r w:rsidRPr="00D252D3">
        <w:br w:type="page"/>
      </w:r>
    </w:p>
    <w:p w:rsidR="0053152B" w:rsidRPr="00D252D3" w:rsidRDefault="0053152B" w:rsidP="000D7A2C">
      <w:pPr>
        <w:jc w:val="center"/>
      </w:pPr>
    </w:p>
    <w:p w:rsidR="0053152B" w:rsidRPr="00D252D3" w:rsidRDefault="0053152B" w:rsidP="000D7A2C">
      <w:pPr>
        <w:jc w:val="center"/>
      </w:pPr>
    </w:p>
    <w:p w:rsidR="0053152B" w:rsidRPr="00D252D3" w:rsidRDefault="0053152B" w:rsidP="000D7A2C">
      <w:pPr>
        <w:jc w:val="center"/>
      </w:pPr>
    </w:p>
    <w:p w:rsidR="0053152B" w:rsidRPr="00D252D3" w:rsidRDefault="0053152B" w:rsidP="000D7A2C">
      <w:pPr>
        <w:jc w:val="center"/>
      </w:pPr>
    </w:p>
    <w:p w:rsidR="0053152B" w:rsidRPr="00D252D3" w:rsidRDefault="0053152B" w:rsidP="000D7A2C">
      <w:pPr>
        <w:jc w:val="center"/>
      </w:pPr>
    </w:p>
    <w:p w:rsidR="0053152B" w:rsidRPr="00D252D3" w:rsidRDefault="0053152B" w:rsidP="000D7A2C">
      <w:pPr>
        <w:jc w:val="center"/>
      </w:pPr>
    </w:p>
    <w:p w:rsidR="0053152B" w:rsidRPr="00D252D3" w:rsidRDefault="0053152B" w:rsidP="000D7A2C">
      <w:pPr>
        <w:jc w:val="center"/>
      </w:pPr>
    </w:p>
    <w:p w:rsidR="0053152B" w:rsidRPr="00D252D3" w:rsidRDefault="0053152B" w:rsidP="000D7A2C">
      <w:pPr>
        <w:jc w:val="center"/>
      </w:pPr>
    </w:p>
    <w:p w:rsidR="0053152B" w:rsidRPr="00D252D3" w:rsidRDefault="0053152B" w:rsidP="000D7A2C">
      <w:pPr>
        <w:jc w:val="center"/>
      </w:pPr>
    </w:p>
    <w:p w:rsidR="0053152B" w:rsidRPr="00D252D3" w:rsidRDefault="0053152B" w:rsidP="000D7A2C">
      <w:pPr>
        <w:jc w:val="center"/>
      </w:pPr>
    </w:p>
    <w:p w:rsidR="0053152B" w:rsidRPr="00D252D3" w:rsidRDefault="0053152B" w:rsidP="000D7A2C">
      <w:pPr>
        <w:jc w:val="center"/>
      </w:pPr>
    </w:p>
    <w:p w:rsidR="0053152B" w:rsidRPr="00D252D3" w:rsidRDefault="0053152B" w:rsidP="000D7A2C">
      <w:pPr>
        <w:jc w:val="center"/>
      </w:pPr>
    </w:p>
    <w:p w:rsidR="0053152B" w:rsidRPr="00D252D3" w:rsidRDefault="0053152B" w:rsidP="000D7A2C">
      <w:pPr>
        <w:jc w:val="center"/>
      </w:pPr>
    </w:p>
    <w:p w:rsidR="0053152B" w:rsidRPr="00D252D3" w:rsidRDefault="0053152B" w:rsidP="000D7A2C">
      <w:pPr>
        <w:jc w:val="center"/>
      </w:pPr>
    </w:p>
    <w:p w:rsidR="0053152B" w:rsidRPr="00D252D3" w:rsidRDefault="0053152B" w:rsidP="000D7A2C">
      <w:pPr>
        <w:jc w:val="center"/>
      </w:pPr>
    </w:p>
    <w:p w:rsidR="0053152B" w:rsidRPr="00D252D3" w:rsidRDefault="0053152B" w:rsidP="000D7A2C">
      <w:pPr>
        <w:jc w:val="center"/>
      </w:pPr>
    </w:p>
    <w:p w:rsidR="0053152B" w:rsidRPr="00D252D3" w:rsidRDefault="0053152B" w:rsidP="000D7A2C">
      <w:pPr>
        <w:jc w:val="center"/>
      </w:pPr>
    </w:p>
    <w:p w:rsidR="0053152B" w:rsidRPr="00D252D3" w:rsidRDefault="0053152B" w:rsidP="000D7A2C">
      <w:pPr>
        <w:jc w:val="center"/>
      </w:pPr>
    </w:p>
    <w:p w:rsidR="0053152B" w:rsidRPr="00D252D3" w:rsidRDefault="0053152B" w:rsidP="000D7A2C">
      <w:pPr>
        <w:jc w:val="center"/>
      </w:pPr>
    </w:p>
    <w:p w:rsidR="0053152B" w:rsidRPr="00D252D3" w:rsidRDefault="0053152B" w:rsidP="000D7A2C">
      <w:pPr>
        <w:jc w:val="center"/>
      </w:pPr>
    </w:p>
    <w:p w:rsidR="0053152B" w:rsidRPr="00D252D3" w:rsidRDefault="0053152B" w:rsidP="000D7A2C">
      <w:pPr>
        <w:jc w:val="center"/>
      </w:pPr>
    </w:p>
    <w:p w:rsidR="0053152B" w:rsidRPr="00D252D3" w:rsidRDefault="0053152B" w:rsidP="000D7A2C">
      <w:pPr>
        <w:ind w:left="0" w:firstLine="0"/>
        <w:jc w:val="center"/>
      </w:pPr>
    </w:p>
    <w:p w:rsidR="0053152B" w:rsidRPr="00D252D3" w:rsidRDefault="0053152B">
      <w:pPr>
        <w:ind w:left="0" w:firstLine="0"/>
        <w:jc w:val="center"/>
        <w:rPr>
          <w:b/>
        </w:rPr>
      </w:pPr>
      <w:r w:rsidRPr="00D252D3">
        <w:rPr>
          <w:b/>
        </w:rPr>
        <w:t>PRÍLOHA II</w:t>
      </w:r>
    </w:p>
    <w:p w:rsidR="0053152B" w:rsidRPr="00D252D3" w:rsidRDefault="0053152B">
      <w:pPr>
        <w:rPr>
          <w:b/>
          <w:u w:val="single"/>
        </w:rPr>
      </w:pPr>
    </w:p>
    <w:p w:rsidR="0053152B" w:rsidRPr="00D252D3" w:rsidRDefault="0053152B" w:rsidP="00572D16">
      <w:pPr>
        <w:ind w:left="2127" w:hanging="709"/>
        <w:rPr>
          <w:b/>
        </w:rPr>
      </w:pPr>
      <w:r w:rsidRPr="00D252D3">
        <w:rPr>
          <w:b/>
        </w:rPr>
        <w:t>A.</w:t>
      </w:r>
      <w:r w:rsidRPr="00D252D3">
        <w:rPr>
          <w:b/>
        </w:rPr>
        <w:tab/>
        <w:t xml:space="preserve">VÝROBCA (VÝROBCOVIA) ZODPOVEDNÝ (ZODPOVEDNÍ) ZA </w:t>
      </w:r>
      <w:r w:rsidR="00572D16" w:rsidRPr="00D252D3">
        <w:rPr>
          <w:b/>
        </w:rPr>
        <w:tab/>
      </w:r>
      <w:r w:rsidRPr="00D252D3">
        <w:rPr>
          <w:b/>
        </w:rPr>
        <w:t>UVOĽNENIE ŠARŽE</w:t>
      </w:r>
    </w:p>
    <w:p w:rsidR="0053152B" w:rsidRPr="00D252D3" w:rsidRDefault="0053152B">
      <w:pPr>
        <w:ind w:left="1800" w:firstLine="360"/>
        <w:rPr>
          <w:b/>
        </w:rPr>
      </w:pPr>
    </w:p>
    <w:p w:rsidR="0053152B" w:rsidRPr="00D252D3" w:rsidRDefault="0053152B">
      <w:pPr>
        <w:ind w:left="2127" w:hanging="709"/>
        <w:rPr>
          <w:b/>
        </w:rPr>
      </w:pPr>
      <w:r w:rsidRPr="00D252D3">
        <w:rPr>
          <w:b/>
        </w:rPr>
        <w:t>B.</w:t>
      </w:r>
      <w:r w:rsidRPr="00D252D3">
        <w:rPr>
          <w:b/>
        </w:rPr>
        <w:tab/>
        <w:t>PODMIENKY ALEBO OBMEDZENIA TÝKAJÚCE SA VÝDAJA A POUŽITIA</w:t>
      </w:r>
    </w:p>
    <w:p w:rsidR="0053152B" w:rsidRPr="00D252D3" w:rsidRDefault="0053152B">
      <w:pPr>
        <w:ind w:left="1287" w:firstLine="153"/>
        <w:rPr>
          <w:b/>
        </w:rPr>
      </w:pPr>
    </w:p>
    <w:p w:rsidR="0053152B" w:rsidRPr="00D252D3" w:rsidRDefault="0053152B">
      <w:pPr>
        <w:ind w:left="1287" w:firstLine="153"/>
        <w:rPr>
          <w:b/>
        </w:rPr>
      </w:pPr>
      <w:r w:rsidRPr="00D252D3">
        <w:rPr>
          <w:b/>
        </w:rPr>
        <w:t>C.</w:t>
      </w:r>
      <w:r w:rsidRPr="00D252D3">
        <w:rPr>
          <w:b/>
        </w:rPr>
        <w:tab/>
        <w:t>ĎALŠIE PODMIENKY A POŽIADAVKY REGISTRÁCIE</w:t>
      </w:r>
    </w:p>
    <w:p w:rsidR="0053152B" w:rsidRPr="00D252D3" w:rsidRDefault="0053152B"/>
    <w:p w:rsidR="0053152B" w:rsidRDefault="0053152B" w:rsidP="001B7FA3">
      <w:pPr>
        <w:suppressLineNumbers/>
        <w:tabs>
          <w:tab w:val="left" w:pos="1276"/>
        </w:tabs>
        <w:ind w:left="2153" w:right="1416" w:hanging="735"/>
        <w:rPr>
          <w:b/>
          <w:caps/>
        </w:rPr>
      </w:pPr>
      <w:r w:rsidRPr="00D252D3">
        <w:rPr>
          <w:b/>
        </w:rPr>
        <w:t>D.</w:t>
      </w:r>
      <w:r w:rsidRPr="00D252D3">
        <w:rPr>
          <w:b/>
        </w:rPr>
        <w:tab/>
      </w:r>
      <w:r w:rsidRPr="00D252D3">
        <w:rPr>
          <w:b/>
          <w:caps/>
        </w:rPr>
        <w:t>PODMIENKY ALEBO OBMEDZENIA tÝkajúce sa BEZPEČNÉho A ÚČINNÉho POUŽÍVANIA LIEKU</w:t>
      </w:r>
    </w:p>
    <w:p w:rsidR="001B7FA3" w:rsidRDefault="001B7FA3">
      <w:pPr>
        <w:suppressLineNumbers/>
        <w:tabs>
          <w:tab w:val="left" w:pos="1276"/>
          <w:tab w:val="left" w:pos="1843"/>
        </w:tabs>
        <w:ind w:left="2153" w:right="1416" w:hanging="735"/>
        <w:rPr>
          <w:b/>
          <w:caps/>
        </w:rPr>
      </w:pPr>
    </w:p>
    <w:p w:rsidR="0053152B" w:rsidRPr="00D252D3" w:rsidRDefault="001B7FA3">
      <w:pPr>
        <w:pStyle w:val="QRD2"/>
      </w:pPr>
      <w:r>
        <w:br w:type="page"/>
      </w:r>
      <w:r w:rsidR="0053152B" w:rsidRPr="00D252D3">
        <w:t>A.</w:t>
      </w:r>
      <w:r w:rsidR="0053152B" w:rsidRPr="00D252D3">
        <w:tab/>
        <w:t>VÝROBCA (VÝROBCOVIA) ZODPOVEDNÝ (ZODPOVEDNÍ) ZA UVOĽNENIE ŠARŽE</w:t>
      </w:r>
    </w:p>
    <w:p w:rsidR="0053152B" w:rsidRPr="00D252D3" w:rsidRDefault="0053152B"/>
    <w:p w:rsidR="0053152B" w:rsidRPr="00D252D3" w:rsidRDefault="0053152B">
      <w:pPr>
        <w:rPr>
          <w:u w:val="single"/>
        </w:rPr>
      </w:pPr>
      <w:r w:rsidRPr="00D252D3">
        <w:rPr>
          <w:u w:val="single"/>
        </w:rPr>
        <w:t>Názov a adresa výrobcu (výrobcov) zodpovedného (zodpovedných) za uvoľnenie šarže</w:t>
      </w:r>
    </w:p>
    <w:p w:rsidR="0053152B" w:rsidRPr="00D252D3" w:rsidRDefault="0053152B"/>
    <w:p w:rsidR="0053152B" w:rsidRPr="00D252D3" w:rsidRDefault="0053152B">
      <w:r w:rsidRPr="00D252D3">
        <w:t>Boehringer Ingelheim Pharma GmbH &amp; Co. KG</w:t>
      </w:r>
    </w:p>
    <w:p w:rsidR="0053152B" w:rsidRPr="00D252D3" w:rsidRDefault="0053152B">
      <w:r w:rsidRPr="00D252D3">
        <w:t>D-55216 Ingelheim nad Rýnom</w:t>
      </w:r>
    </w:p>
    <w:p w:rsidR="0053152B" w:rsidRPr="00D252D3" w:rsidRDefault="0053152B">
      <w:r w:rsidRPr="00D252D3">
        <w:t>Nemecko</w:t>
      </w:r>
    </w:p>
    <w:p w:rsidR="0053152B" w:rsidRPr="00D252D3" w:rsidRDefault="0053152B"/>
    <w:p w:rsidR="0053152B" w:rsidRPr="00D252D3" w:rsidRDefault="0053152B">
      <w:pPr>
        <w:pStyle w:val="Default"/>
        <w:rPr>
          <w:sz w:val="22"/>
          <w:szCs w:val="22"/>
          <w:lang w:val="sk-SK"/>
        </w:rPr>
      </w:pPr>
      <w:r w:rsidRPr="00D252D3">
        <w:rPr>
          <w:sz w:val="22"/>
          <w:szCs w:val="22"/>
          <w:lang w:val="sk-SK"/>
        </w:rPr>
        <w:t>Boehringer Ingelheim Ellas A.E.</w:t>
      </w:r>
    </w:p>
    <w:p w:rsidR="0053152B" w:rsidRPr="00D252D3" w:rsidRDefault="0053152B">
      <w:pPr>
        <w:pStyle w:val="Default"/>
        <w:rPr>
          <w:sz w:val="22"/>
          <w:szCs w:val="22"/>
          <w:lang w:val="sk-SK"/>
        </w:rPr>
      </w:pPr>
      <w:r w:rsidRPr="00D252D3">
        <w:rPr>
          <w:sz w:val="22"/>
          <w:szCs w:val="22"/>
          <w:lang w:val="sk-SK"/>
        </w:rPr>
        <w:t xml:space="preserve">5th km Paiania – Markopoulo </w:t>
      </w:r>
    </w:p>
    <w:p w:rsidR="0053152B" w:rsidRPr="00D252D3" w:rsidRDefault="0053152B">
      <w:pPr>
        <w:pStyle w:val="Default"/>
        <w:rPr>
          <w:sz w:val="22"/>
          <w:szCs w:val="22"/>
          <w:lang w:val="sk-SK"/>
        </w:rPr>
      </w:pPr>
      <w:r w:rsidRPr="00D252D3">
        <w:rPr>
          <w:sz w:val="22"/>
          <w:szCs w:val="22"/>
          <w:lang w:val="sk-SK"/>
        </w:rPr>
        <w:t>Koropi Attiki, 19400</w:t>
      </w:r>
    </w:p>
    <w:p w:rsidR="0053152B" w:rsidRPr="00D252D3" w:rsidRDefault="0053152B">
      <w:pPr>
        <w:ind w:left="0" w:firstLine="0"/>
      </w:pPr>
      <w:r w:rsidRPr="00D252D3">
        <w:rPr>
          <w:szCs w:val="22"/>
        </w:rPr>
        <w:t>Grécko</w:t>
      </w:r>
    </w:p>
    <w:p w:rsidR="00D33854" w:rsidRPr="00D252D3" w:rsidRDefault="00D33854" w:rsidP="00D33854">
      <w:pPr>
        <w:ind w:left="0" w:firstLine="0"/>
      </w:pPr>
    </w:p>
    <w:p w:rsidR="00D33854" w:rsidRPr="00D252D3" w:rsidRDefault="00D33854" w:rsidP="00D33854">
      <w:pPr>
        <w:ind w:left="0" w:firstLine="0"/>
      </w:pPr>
      <w:r w:rsidRPr="00D252D3">
        <w:t>Rottendorf Pharma GmbH</w:t>
      </w:r>
    </w:p>
    <w:p w:rsidR="00D33854" w:rsidRPr="00D252D3" w:rsidRDefault="00D33854" w:rsidP="00D33854">
      <w:pPr>
        <w:ind w:left="0" w:firstLine="0"/>
      </w:pPr>
      <w:r w:rsidRPr="00D252D3">
        <w:t>Ostenfelder Straße 51 - 61</w:t>
      </w:r>
    </w:p>
    <w:p w:rsidR="00D33854" w:rsidRPr="00D252D3" w:rsidRDefault="00D33854" w:rsidP="00D33854">
      <w:pPr>
        <w:ind w:left="0" w:firstLine="0"/>
      </w:pPr>
      <w:r w:rsidRPr="00D252D3">
        <w:t>D-59320 Ennigerloh</w:t>
      </w:r>
    </w:p>
    <w:p w:rsidR="0053152B" w:rsidRPr="00D252D3" w:rsidRDefault="00D33854" w:rsidP="00D33854">
      <w:pPr>
        <w:ind w:left="0" w:firstLine="0"/>
      </w:pPr>
      <w:r w:rsidRPr="00D252D3">
        <w:t>Nemecko</w:t>
      </w:r>
    </w:p>
    <w:p w:rsidR="00D33854" w:rsidRPr="00D252D3" w:rsidRDefault="00D33854" w:rsidP="00D33854">
      <w:pPr>
        <w:ind w:left="0" w:firstLine="0"/>
      </w:pPr>
    </w:p>
    <w:p w:rsidR="0053152B" w:rsidRPr="00D252D3" w:rsidRDefault="0053152B">
      <w:pPr>
        <w:numPr>
          <w:ilvl w:val="12"/>
          <w:numId w:val="0"/>
        </w:numPr>
        <w:ind w:right="-2"/>
      </w:pPr>
      <w:r w:rsidRPr="00D252D3">
        <w:t>Tlačená písomná informácia pre používateľa lieku musí obsahovať názov a adresu výrobcu zodpovedného za uvoľnenie príslušnej šarže.</w:t>
      </w:r>
    </w:p>
    <w:p w:rsidR="0053152B" w:rsidRPr="00D252D3" w:rsidRDefault="0053152B">
      <w:pPr>
        <w:ind w:left="0" w:firstLine="0"/>
      </w:pPr>
    </w:p>
    <w:p w:rsidR="0053152B" w:rsidRPr="00D252D3" w:rsidRDefault="0053152B">
      <w:pPr>
        <w:ind w:left="0" w:firstLine="0"/>
      </w:pPr>
    </w:p>
    <w:p w:rsidR="0053152B" w:rsidRPr="00D252D3" w:rsidRDefault="0053152B">
      <w:pPr>
        <w:pStyle w:val="QRD2"/>
      </w:pPr>
      <w:r w:rsidRPr="00D252D3">
        <w:t>B.</w:t>
      </w:r>
      <w:r w:rsidRPr="00D252D3">
        <w:tab/>
        <w:t>PODMIENKY ALEBO OBMEDZENIA TÝKAJÚCE SA VÝDAJA A POUŽITIA</w:t>
      </w:r>
    </w:p>
    <w:p w:rsidR="0053152B" w:rsidRPr="00D252D3" w:rsidRDefault="0053152B">
      <w:pPr>
        <w:ind w:left="0" w:firstLine="0"/>
      </w:pPr>
    </w:p>
    <w:p w:rsidR="0053152B" w:rsidRPr="00D252D3" w:rsidRDefault="0053152B">
      <w:pPr>
        <w:ind w:left="75" w:firstLine="0"/>
      </w:pPr>
      <w:r w:rsidRPr="00D252D3">
        <w:t>Výdaj lieku je viazaný na lekársky predpis.</w:t>
      </w:r>
    </w:p>
    <w:p w:rsidR="0053152B" w:rsidRPr="00D252D3" w:rsidRDefault="0053152B">
      <w:pPr>
        <w:ind w:left="0" w:firstLine="0"/>
      </w:pPr>
    </w:p>
    <w:p w:rsidR="0053152B" w:rsidRPr="00D252D3" w:rsidRDefault="0053152B">
      <w:pPr>
        <w:ind w:left="0" w:firstLine="0"/>
      </w:pPr>
    </w:p>
    <w:p w:rsidR="0053152B" w:rsidRPr="00D252D3" w:rsidRDefault="0053152B">
      <w:pPr>
        <w:pStyle w:val="QRD2"/>
      </w:pPr>
      <w:r w:rsidRPr="00D252D3">
        <w:t>C.</w:t>
      </w:r>
      <w:r w:rsidRPr="00D252D3">
        <w:tab/>
        <w:t>ĎALŠIE PODMIENKY A POŽIADAVKY REGISTRÁCIE</w:t>
      </w:r>
    </w:p>
    <w:p w:rsidR="0053152B" w:rsidRPr="00D252D3" w:rsidRDefault="0053152B">
      <w:pPr>
        <w:ind w:left="0" w:firstLine="0"/>
      </w:pPr>
    </w:p>
    <w:p w:rsidR="0053152B" w:rsidRPr="00D252D3" w:rsidRDefault="0053152B">
      <w:pPr>
        <w:numPr>
          <w:ilvl w:val="0"/>
          <w:numId w:val="26"/>
        </w:numPr>
        <w:suppressLineNumbers/>
        <w:tabs>
          <w:tab w:val="left" w:pos="0"/>
        </w:tabs>
        <w:ind w:left="567" w:right="567" w:hanging="567"/>
      </w:pPr>
      <w:r w:rsidRPr="00D252D3">
        <w:rPr>
          <w:b/>
        </w:rPr>
        <w:t>Periodicky aktualizované správy o bezpečnosti</w:t>
      </w:r>
    </w:p>
    <w:p w:rsidR="0053152B" w:rsidRPr="00D252D3" w:rsidRDefault="0053152B">
      <w:pPr>
        <w:suppressLineNumbers/>
        <w:tabs>
          <w:tab w:val="left" w:pos="0"/>
        </w:tabs>
        <w:ind w:right="567"/>
        <w:rPr>
          <w:rFonts w:ascii="Verdana" w:hAnsi="Verdana"/>
        </w:rPr>
      </w:pPr>
    </w:p>
    <w:p w:rsidR="0053152B" w:rsidRPr="00D252D3" w:rsidRDefault="0053152B">
      <w:pPr>
        <w:suppressLineNumbers/>
        <w:tabs>
          <w:tab w:val="left" w:pos="0"/>
        </w:tabs>
        <w:ind w:left="0" w:right="567" w:firstLine="0"/>
        <w:rPr>
          <w:i/>
        </w:rPr>
      </w:pPr>
      <w:r w:rsidRPr="00D252D3">
        <w:t>Požiadavky na predloženie periodicky aktualizovaných správ o bezpečnosti tohto lieku sú stanovené v zozname referenčných dátumov Únie (zoznam EURD) v súlade s článkom 107c ods. 7 smernice 2001/83/ES a všetkých následných aktualizácií uverejnených na európskom internetovom portáli pre lieky.</w:t>
      </w:r>
    </w:p>
    <w:p w:rsidR="0053152B" w:rsidRPr="00D252D3" w:rsidRDefault="0053152B">
      <w:pPr>
        <w:suppressLineNumbers/>
        <w:ind w:right="-1"/>
      </w:pPr>
    </w:p>
    <w:p w:rsidR="0053152B" w:rsidRPr="00D252D3" w:rsidRDefault="0053152B">
      <w:pPr>
        <w:suppressLineNumbers/>
        <w:ind w:right="-1"/>
      </w:pPr>
    </w:p>
    <w:p w:rsidR="0053152B" w:rsidRPr="00D252D3" w:rsidRDefault="0053152B">
      <w:pPr>
        <w:pStyle w:val="QRD2"/>
      </w:pPr>
      <w:r w:rsidRPr="00D252D3">
        <w:t>D.</w:t>
      </w:r>
      <w:r w:rsidRPr="00D252D3">
        <w:tab/>
        <w:t>PODMIENKY ALEBO OBMEDZENIA TÝKAJÚCE SA BEZPEČNÉHO A ÚČINNÉHO POUŽÍVANIA LIEKU</w:t>
      </w:r>
    </w:p>
    <w:p w:rsidR="0053152B" w:rsidRPr="00D252D3" w:rsidRDefault="0053152B">
      <w:pPr>
        <w:keepNext/>
        <w:suppressLineNumbers/>
        <w:ind w:right="-1"/>
      </w:pPr>
    </w:p>
    <w:p w:rsidR="0053152B" w:rsidRPr="00D252D3" w:rsidRDefault="0053152B">
      <w:pPr>
        <w:numPr>
          <w:ilvl w:val="0"/>
          <w:numId w:val="24"/>
        </w:numPr>
        <w:suppressLineNumbers/>
        <w:tabs>
          <w:tab w:val="left" w:pos="567"/>
        </w:tabs>
        <w:snapToGrid w:val="0"/>
        <w:ind w:right="-1" w:hanging="720"/>
        <w:rPr>
          <w:b/>
        </w:rPr>
      </w:pPr>
      <w:r w:rsidRPr="00D252D3">
        <w:rPr>
          <w:b/>
        </w:rPr>
        <w:t>Plán riadenia rizík (RMP)</w:t>
      </w:r>
    </w:p>
    <w:p w:rsidR="0053152B" w:rsidRPr="00D252D3" w:rsidRDefault="0053152B">
      <w:pPr>
        <w:suppressLineNumbers/>
        <w:ind w:left="720" w:right="-1"/>
      </w:pPr>
    </w:p>
    <w:p w:rsidR="0053152B" w:rsidRPr="00D252D3" w:rsidRDefault="0053152B">
      <w:pPr>
        <w:suppressLineNumbers/>
        <w:tabs>
          <w:tab w:val="left" w:pos="0"/>
        </w:tabs>
        <w:ind w:left="0" w:right="567" w:firstLine="0"/>
      </w:pPr>
      <w:r w:rsidRPr="00D252D3">
        <w:t>Držiteľ rozhodnutia o registrácii vykoná požadované činnosti a zásahy v rámci dohľadu nad liekmi, ktoré sú podrobne opísané v odsúhlasenom RMP predloženom v module 1.8.2 registračnej dokumentácie a vo všetkých ďalších odsúhlasených aktualizáciách RMP.</w:t>
      </w:r>
    </w:p>
    <w:p w:rsidR="0053152B" w:rsidRPr="00D252D3" w:rsidRDefault="0053152B">
      <w:pPr>
        <w:suppressLineNumbers/>
      </w:pPr>
    </w:p>
    <w:p w:rsidR="0053152B" w:rsidRPr="00D252D3" w:rsidRDefault="0053152B">
      <w:pPr>
        <w:suppressLineNumbers/>
        <w:ind w:right="-1"/>
        <w:rPr>
          <w:i/>
        </w:rPr>
      </w:pPr>
      <w:r w:rsidRPr="00D252D3">
        <w:t>Aktualizovaný RMP sa predkladá každé tri roky.</w:t>
      </w:r>
    </w:p>
    <w:p w:rsidR="0053152B" w:rsidRPr="00D252D3" w:rsidRDefault="0053152B">
      <w:pPr>
        <w:suppressLineNumbers/>
        <w:ind w:right="-1"/>
      </w:pPr>
    </w:p>
    <w:p w:rsidR="0053152B" w:rsidRPr="00D252D3" w:rsidRDefault="0053152B">
      <w:pPr>
        <w:suppressLineNumbers/>
        <w:ind w:right="-1"/>
        <w:rPr>
          <w:i/>
        </w:rPr>
      </w:pPr>
      <w:r w:rsidRPr="00D252D3">
        <w:t>Aktualizovaný RMP je tiež potrebné predložiť:</w:t>
      </w:r>
    </w:p>
    <w:p w:rsidR="0053152B" w:rsidRPr="00D252D3" w:rsidRDefault="0053152B">
      <w:pPr>
        <w:numPr>
          <w:ilvl w:val="0"/>
          <w:numId w:val="25"/>
        </w:numPr>
        <w:suppressLineNumbers/>
        <w:tabs>
          <w:tab w:val="left" w:pos="567"/>
        </w:tabs>
        <w:snapToGrid w:val="0"/>
        <w:spacing w:line="260" w:lineRule="exact"/>
        <w:ind w:right="-1"/>
        <w:rPr>
          <w:i/>
        </w:rPr>
      </w:pPr>
      <w:r w:rsidRPr="00D252D3">
        <w:t>na žiadosť Európskej agentúry pre lieky,</w:t>
      </w:r>
    </w:p>
    <w:p w:rsidR="0053152B" w:rsidRPr="00D252D3" w:rsidRDefault="0053152B">
      <w:pPr>
        <w:numPr>
          <w:ilvl w:val="0"/>
          <w:numId w:val="25"/>
        </w:numPr>
        <w:suppressLineNumbers/>
        <w:tabs>
          <w:tab w:val="clear" w:pos="720"/>
          <w:tab w:val="num" w:pos="567"/>
        </w:tabs>
        <w:snapToGrid w:val="0"/>
        <w:spacing w:line="260" w:lineRule="exact"/>
        <w:ind w:left="567" w:right="-1" w:hanging="207"/>
        <w:rPr>
          <w:i/>
        </w:rPr>
      </w:pPr>
      <w:r w:rsidRPr="00D252D3">
        <w:t>vždy v prípade zmeny systému riadenia rizík, predovšetkým v dôsledku získania</w:t>
      </w:r>
      <w:r w:rsidRPr="00D252D3">
        <w:rPr>
          <w:i/>
        </w:rPr>
        <w:t xml:space="preserve"> </w:t>
      </w:r>
      <w:r w:rsidRPr="00D252D3">
        <w:t>nových informácií, ktoré môžu viesť k výraznej zmene pomeru prínosu a rizika, alebo v dôsledku dosiahnutia dôležitého medzníka (v rámci dohľadu nad liekmi alebo minimalizácie rizika).</w:t>
      </w:r>
    </w:p>
    <w:p w:rsidR="0053152B" w:rsidRPr="00D252D3" w:rsidRDefault="0053152B">
      <w:pPr>
        <w:jc w:val="center"/>
        <w:rPr>
          <w:b/>
          <w:szCs w:val="22"/>
        </w:rPr>
      </w:pPr>
      <w:bookmarkStart w:id="7" w:name="_Toc49833142"/>
      <w:bookmarkStart w:id="8" w:name="_Toc49833249"/>
    </w:p>
    <w:p w:rsidR="0053152B" w:rsidRPr="00D252D3" w:rsidRDefault="0053152B">
      <w:pPr>
        <w:jc w:val="center"/>
        <w:rPr>
          <w:szCs w:val="22"/>
        </w:rPr>
      </w:pPr>
      <w:r w:rsidRPr="00D252D3">
        <w:rPr>
          <w:b/>
          <w:szCs w:val="22"/>
        </w:rPr>
        <w:br w:type="page"/>
      </w:r>
    </w:p>
    <w:p w:rsidR="0053152B" w:rsidRPr="00D252D3" w:rsidRDefault="0053152B">
      <w:pPr>
        <w:jc w:val="center"/>
        <w:rPr>
          <w:szCs w:val="22"/>
        </w:rPr>
      </w:pPr>
    </w:p>
    <w:p w:rsidR="0053152B" w:rsidRPr="00D252D3" w:rsidRDefault="0053152B">
      <w:pPr>
        <w:jc w:val="center"/>
        <w:rPr>
          <w:szCs w:val="22"/>
        </w:rPr>
      </w:pPr>
    </w:p>
    <w:p w:rsidR="0053152B" w:rsidRPr="00D252D3" w:rsidRDefault="0053152B">
      <w:pPr>
        <w:jc w:val="center"/>
        <w:rPr>
          <w:szCs w:val="22"/>
        </w:rPr>
      </w:pPr>
    </w:p>
    <w:p w:rsidR="0053152B" w:rsidRPr="00D252D3" w:rsidRDefault="0053152B">
      <w:pPr>
        <w:jc w:val="center"/>
        <w:rPr>
          <w:szCs w:val="22"/>
        </w:rPr>
      </w:pPr>
    </w:p>
    <w:p w:rsidR="0053152B" w:rsidRPr="00D252D3" w:rsidRDefault="0053152B">
      <w:pPr>
        <w:jc w:val="center"/>
        <w:rPr>
          <w:szCs w:val="22"/>
        </w:rPr>
      </w:pPr>
    </w:p>
    <w:p w:rsidR="0053152B" w:rsidRPr="00D252D3" w:rsidRDefault="0053152B">
      <w:pPr>
        <w:jc w:val="center"/>
        <w:rPr>
          <w:szCs w:val="22"/>
        </w:rPr>
      </w:pPr>
    </w:p>
    <w:p w:rsidR="0053152B" w:rsidRPr="00D252D3" w:rsidRDefault="0053152B">
      <w:pPr>
        <w:jc w:val="center"/>
        <w:rPr>
          <w:szCs w:val="22"/>
        </w:rPr>
      </w:pPr>
    </w:p>
    <w:p w:rsidR="0053152B" w:rsidRPr="00D252D3" w:rsidRDefault="0053152B">
      <w:pPr>
        <w:jc w:val="center"/>
        <w:rPr>
          <w:szCs w:val="22"/>
        </w:rPr>
      </w:pPr>
    </w:p>
    <w:p w:rsidR="0053152B" w:rsidRPr="00D252D3" w:rsidRDefault="0053152B">
      <w:pPr>
        <w:jc w:val="center"/>
        <w:rPr>
          <w:szCs w:val="22"/>
        </w:rPr>
      </w:pPr>
    </w:p>
    <w:p w:rsidR="0053152B" w:rsidRPr="00D252D3" w:rsidRDefault="0053152B">
      <w:pPr>
        <w:jc w:val="center"/>
        <w:rPr>
          <w:szCs w:val="22"/>
        </w:rPr>
      </w:pPr>
    </w:p>
    <w:p w:rsidR="0053152B" w:rsidRPr="00D252D3" w:rsidRDefault="0053152B">
      <w:pPr>
        <w:jc w:val="center"/>
        <w:rPr>
          <w:szCs w:val="22"/>
        </w:rPr>
      </w:pPr>
    </w:p>
    <w:p w:rsidR="0053152B" w:rsidRPr="00D252D3" w:rsidRDefault="0053152B">
      <w:pPr>
        <w:jc w:val="center"/>
        <w:rPr>
          <w:szCs w:val="22"/>
        </w:rPr>
      </w:pPr>
    </w:p>
    <w:p w:rsidR="0053152B" w:rsidRPr="00D252D3" w:rsidRDefault="0053152B">
      <w:pPr>
        <w:jc w:val="center"/>
        <w:rPr>
          <w:szCs w:val="22"/>
        </w:rPr>
      </w:pPr>
    </w:p>
    <w:p w:rsidR="0053152B" w:rsidRPr="00D252D3" w:rsidRDefault="0053152B">
      <w:pPr>
        <w:jc w:val="center"/>
        <w:rPr>
          <w:szCs w:val="22"/>
        </w:rPr>
      </w:pPr>
    </w:p>
    <w:p w:rsidR="0053152B" w:rsidRPr="00D252D3" w:rsidRDefault="0053152B">
      <w:pPr>
        <w:jc w:val="center"/>
        <w:rPr>
          <w:szCs w:val="22"/>
        </w:rPr>
      </w:pPr>
    </w:p>
    <w:p w:rsidR="0053152B" w:rsidRPr="00D252D3" w:rsidRDefault="0053152B">
      <w:pPr>
        <w:jc w:val="center"/>
        <w:rPr>
          <w:szCs w:val="22"/>
        </w:rPr>
      </w:pPr>
    </w:p>
    <w:p w:rsidR="0053152B" w:rsidRPr="00D252D3" w:rsidRDefault="0053152B">
      <w:pPr>
        <w:jc w:val="center"/>
        <w:rPr>
          <w:szCs w:val="22"/>
        </w:rPr>
      </w:pPr>
    </w:p>
    <w:p w:rsidR="0053152B" w:rsidRPr="00D252D3" w:rsidRDefault="0053152B">
      <w:pPr>
        <w:jc w:val="center"/>
        <w:rPr>
          <w:szCs w:val="22"/>
        </w:rPr>
      </w:pPr>
    </w:p>
    <w:p w:rsidR="0053152B" w:rsidRPr="00D252D3" w:rsidRDefault="0053152B">
      <w:pPr>
        <w:jc w:val="center"/>
        <w:rPr>
          <w:szCs w:val="22"/>
        </w:rPr>
      </w:pPr>
    </w:p>
    <w:p w:rsidR="0053152B" w:rsidRPr="00D252D3" w:rsidRDefault="0053152B">
      <w:pPr>
        <w:jc w:val="center"/>
        <w:rPr>
          <w:szCs w:val="22"/>
        </w:rPr>
      </w:pPr>
    </w:p>
    <w:p w:rsidR="0053152B" w:rsidRPr="00D252D3" w:rsidRDefault="0053152B">
      <w:pPr>
        <w:jc w:val="center"/>
        <w:rPr>
          <w:szCs w:val="22"/>
        </w:rPr>
      </w:pPr>
    </w:p>
    <w:p w:rsidR="0053152B" w:rsidRPr="00D252D3" w:rsidRDefault="0053152B">
      <w:pPr>
        <w:jc w:val="center"/>
        <w:rPr>
          <w:szCs w:val="22"/>
        </w:rPr>
      </w:pPr>
    </w:p>
    <w:p w:rsidR="0053152B" w:rsidRPr="00D252D3" w:rsidRDefault="0053152B">
      <w:pPr>
        <w:jc w:val="center"/>
        <w:rPr>
          <w:b/>
          <w:szCs w:val="22"/>
        </w:rPr>
      </w:pPr>
      <w:r w:rsidRPr="00D252D3">
        <w:rPr>
          <w:b/>
          <w:szCs w:val="22"/>
        </w:rPr>
        <w:t>PRÍLOHA III</w:t>
      </w:r>
      <w:bookmarkEnd w:id="7"/>
      <w:bookmarkEnd w:id="8"/>
    </w:p>
    <w:p w:rsidR="0053152B" w:rsidRPr="00D252D3" w:rsidRDefault="0053152B">
      <w:pPr>
        <w:jc w:val="center"/>
        <w:rPr>
          <w:b/>
          <w:szCs w:val="22"/>
        </w:rPr>
      </w:pPr>
    </w:p>
    <w:p w:rsidR="0053152B" w:rsidRPr="00D252D3" w:rsidRDefault="0053152B">
      <w:pPr>
        <w:ind w:left="0" w:firstLine="0"/>
        <w:jc w:val="center"/>
        <w:rPr>
          <w:b/>
          <w:bCs/>
        </w:rPr>
      </w:pPr>
      <w:r w:rsidRPr="00D252D3">
        <w:rPr>
          <w:b/>
          <w:bCs/>
        </w:rPr>
        <w:t xml:space="preserve">OZNAČENIE OBALU A PÍSOMNÁ INFORMÁCIA </w:t>
      </w:r>
      <w:smartTag w:uri="urn:schemas-microsoft-com:office:smarttags" w:element="stockticker">
        <w:r w:rsidRPr="00D252D3">
          <w:rPr>
            <w:b/>
            <w:bCs/>
          </w:rPr>
          <w:t>PRE</w:t>
        </w:r>
      </w:smartTag>
      <w:r w:rsidRPr="00D252D3">
        <w:rPr>
          <w:b/>
          <w:bCs/>
        </w:rPr>
        <w:t xml:space="preserve"> POUŽÍVATEĽA</w:t>
      </w:r>
    </w:p>
    <w:p w:rsidR="0053152B" w:rsidRDefault="0053152B">
      <w:pPr>
        <w:ind w:left="0" w:firstLine="0"/>
        <w:rPr>
          <w:szCs w:val="22"/>
        </w:rPr>
      </w:pPr>
    </w:p>
    <w:p w:rsidR="0053152B" w:rsidRPr="00D252D3" w:rsidRDefault="001B7FA3" w:rsidP="00A544B0">
      <w:pPr>
        <w:jc w:val="center"/>
        <w:rPr>
          <w:szCs w:val="22"/>
        </w:rPr>
      </w:pPr>
      <w:r>
        <w:rPr>
          <w:szCs w:val="22"/>
        </w:rPr>
        <w:br w:type="page"/>
      </w:r>
    </w:p>
    <w:p w:rsidR="0053152B" w:rsidRPr="00D252D3" w:rsidRDefault="0053152B" w:rsidP="00A544B0">
      <w:pPr>
        <w:jc w:val="center"/>
        <w:rPr>
          <w:szCs w:val="22"/>
        </w:rPr>
      </w:pPr>
    </w:p>
    <w:p w:rsidR="0053152B" w:rsidRPr="00D252D3" w:rsidRDefault="0053152B" w:rsidP="00A544B0">
      <w:pPr>
        <w:jc w:val="center"/>
        <w:rPr>
          <w:szCs w:val="22"/>
        </w:rPr>
      </w:pPr>
    </w:p>
    <w:p w:rsidR="0053152B" w:rsidRPr="00D252D3" w:rsidRDefault="0053152B" w:rsidP="00A544B0">
      <w:pPr>
        <w:jc w:val="center"/>
        <w:rPr>
          <w:szCs w:val="22"/>
        </w:rPr>
      </w:pPr>
    </w:p>
    <w:p w:rsidR="0053152B" w:rsidRPr="00D252D3" w:rsidRDefault="0053152B" w:rsidP="00A544B0">
      <w:pPr>
        <w:jc w:val="center"/>
        <w:rPr>
          <w:szCs w:val="22"/>
        </w:rPr>
      </w:pPr>
    </w:p>
    <w:p w:rsidR="0053152B" w:rsidRPr="00D252D3" w:rsidRDefault="0053152B" w:rsidP="00A544B0">
      <w:pPr>
        <w:jc w:val="center"/>
        <w:rPr>
          <w:szCs w:val="22"/>
        </w:rPr>
      </w:pPr>
    </w:p>
    <w:p w:rsidR="0053152B" w:rsidRPr="00D252D3" w:rsidRDefault="0053152B" w:rsidP="00A544B0">
      <w:pPr>
        <w:jc w:val="center"/>
        <w:rPr>
          <w:szCs w:val="22"/>
        </w:rPr>
      </w:pPr>
    </w:p>
    <w:p w:rsidR="0053152B" w:rsidRPr="00D252D3" w:rsidRDefault="0053152B" w:rsidP="00A544B0">
      <w:pPr>
        <w:jc w:val="center"/>
        <w:rPr>
          <w:szCs w:val="22"/>
        </w:rPr>
      </w:pPr>
    </w:p>
    <w:p w:rsidR="0053152B" w:rsidRPr="00D252D3" w:rsidRDefault="0053152B" w:rsidP="00A544B0">
      <w:pPr>
        <w:jc w:val="center"/>
        <w:rPr>
          <w:szCs w:val="22"/>
        </w:rPr>
      </w:pPr>
    </w:p>
    <w:p w:rsidR="0053152B" w:rsidRPr="00D252D3" w:rsidRDefault="0053152B" w:rsidP="00A544B0">
      <w:pPr>
        <w:jc w:val="center"/>
        <w:rPr>
          <w:szCs w:val="22"/>
        </w:rPr>
      </w:pPr>
    </w:p>
    <w:p w:rsidR="0053152B" w:rsidRPr="00D252D3" w:rsidRDefault="0053152B" w:rsidP="00A544B0">
      <w:pPr>
        <w:jc w:val="center"/>
        <w:rPr>
          <w:szCs w:val="22"/>
        </w:rPr>
      </w:pPr>
    </w:p>
    <w:p w:rsidR="0053152B" w:rsidRPr="00D252D3" w:rsidRDefault="0053152B" w:rsidP="00A544B0">
      <w:pPr>
        <w:jc w:val="center"/>
        <w:rPr>
          <w:szCs w:val="22"/>
        </w:rPr>
      </w:pPr>
    </w:p>
    <w:p w:rsidR="0053152B" w:rsidRPr="00D252D3" w:rsidRDefault="0053152B" w:rsidP="00A544B0">
      <w:pPr>
        <w:jc w:val="center"/>
        <w:rPr>
          <w:szCs w:val="22"/>
        </w:rPr>
      </w:pPr>
    </w:p>
    <w:p w:rsidR="0053152B" w:rsidRPr="00D252D3" w:rsidRDefault="0053152B" w:rsidP="00A544B0">
      <w:pPr>
        <w:jc w:val="center"/>
        <w:rPr>
          <w:szCs w:val="22"/>
        </w:rPr>
      </w:pPr>
    </w:p>
    <w:p w:rsidR="0053152B" w:rsidRPr="00D252D3" w:rsidRDefault="0053152B" w:rsidP="00A544B0">
      <w:pPr>
        <w:jc w:val="center"/>
        <w:rPr>
          <w:szCs w:val="22"/>
        </w:rPr>
      </w:pPr>
    </w:p>
    <w:p w:rsidR="0053152B" w:rsidRPr="00D252D3" w:rsidRDefault="0053152B" w:rsidP="00A544B0">
      <w:pPr>
        <w:jc w:val="center"/>
        <w:rPr>
          <w:szCs w:val="22"/>
        </w:rPr>
      </w:pPr>
    </w:p>
    <w:p w:rsidR="0053152B" w:rsidRPr="00D252D3" w:rsidRDefault="0053152B" w:rsidP="00A544B0">
      <w:pPr>
        <w:jc w:val="center"/>
        <w:rPr>
          <w:szCs w:val="22"/>
        </w:rPr>
      </w:pPr>
    </w:p>
    <w:p w:rsidR="0053152B" w:rsidRPr="00D252D3" w:rsidRDefault="0053152B" w:rsidP="00A544B0">
      <w:pPr>
        <w:jc w:val="center"/>
        <w:rPr>
          <w:szCs w:val="22"/>
        </w:rPr>
      </w:pPr>
    </w:p>
    <w:p w:rsidR="0053152B" w:rsidRPr="00D252D3" w:rsidRDefault="0053152B" w:rsidP="00A544B0">
      <w:pPr>
        <w:jc w:val="center"/>
        <w:rPr>
          <w:szCs w:val="22"/>
        </w:rPr>
      </w:pPr>
    </w:p>
    <w:p w:rsidR="0053152B" w:rsidRPr="00D252D3" w:rsidRDefault="0053152B" w:rsidP="00A544B0">
      <w:pPr>
        <w:jc w:val="center"/>
        <w:rPr>
          <w:szCs w:val="22"/>
        </w:rPr>
      </w:pPr>
    </w:p>
    <w:p w:rsidR="0053152B" w:rsidRPr="00D252D3" w:rsidRDefault="0053152B" w:rsidP="00A544B0">
      <w:pPr>
        <w:jc w:val="center"/>
        <w:rPr>
          <w:szCs w:val="22"/>
        </w:rPr>
      </w:pPr>
    </w:p>
    <w:p w:rsidR="0053152B" w:rsidRPr="00D252D3" w:rsidRDefault="0053152B" w:rsidP="00A544B0">
      <w:pPr>
        <w:jc w:val="center"/>
        <w:rPr>
          <w:b/>
          <w:szCs w:val="22"/>
        </w:rPr>
      </w:pPr>
      <w:bookmarkStart w:id="9" w:name="_Toc49833143"/>
      <w:bookmarkStart w:id="10" w:name="_Toc49833250"/>
    </w:p>
    <w:p w:rsidR="0053152B" w:rsidRPr="00D252D3" w:rsidRDefault="0053152B" w:rsidP="00A544B0">
      <w:pPr>
        <w:jc w:val="center"/>
        <w:rPr>
          <w:b/>
          <w:szCs w:val="22"/>
        </w:rPr>
      </w:pPr>
    </w:p>
    <w:p w:rsidR="0053152B" w:rsidRPr="00D252D3" w:rsidRDefault="0053152B">
      <w:pPr>
        <w:pStyle w:val="QRD1"/>
      </w:pPr>
      <w:r w:rsidRPr="00D252D3">
        <w:t>A. OZNAČENIE OBALU</w:t>
      </w:r>
      <w:bookmarkEnd w:id="9"/>
      <w:bookmarkEnd w:id="10"/>
    </w:p>
    <w:p w:rsidR="0053152B" w:rsidRPr="00D252D3" w:rsidRDefault="0053152B">
      <w:r w:rsidRPr="00D252D3">
        <w:rPr>
          <w:szCs w:val="22"/>
        </w:rPr>
        <w:br w:type="page"/>
      </w:r>
      <w:bookmarkStart w:id="11" w:name="_Toc49833164"/>
      <w:bookmarkStart w:id="12" w:name="_Toc4983327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152B" w:rsidRPr="00D252D3" w:rsidTr="000D7A2C">
        <w:tblPrEx>
          <w:tblCellMar>
            <w:top w:w="0" w:type="dxa"/>
            <w:bottom w:w="0" w:type="dxa"/>
          </w:tblCellMar>
        </w:tblPrEx>
        <w:trPr>
          <w:trHeight w:val="788"/>
        </w:trPr>
        <w:tc>
          <w:tcPr>
            <w:tcW w:w="9287" w:type="dxa"/>
            <w:tcBorders>
              <w:bottom w:val="single" w:sz="4" w:space="0" w:color="auto"/>
            </w:tcBorders>
          </w:tcPr>
          <w:p w:rsidR="0053152B" w:rsidRPr="00D252D3" w:rsidRDefault="0053152B">
            <w:pPr>
              <w:ind w:left="0" w:firstLine="0"/>
              <w:rPr>
                <w:b/>
                <w:strike/>
              </w:rPr>
            </w:pPr>
            <w:r w:rsidRPr="00D252D3">
              <w:rPr>
                <w:b/>
              </w:rPr>
              <w:t xml:space="preserve">ÚDAJE, KTORÉ MAJÚ BYŤ UVEDENÉ </w:t>
            </w:r>
            <w:smartTag w:uri="urn:schemas-microsoft-com:office:smarttags" w:element="stockticker">
              <w:r w:rsidRPr="00D252D3">
                <w:rPr>
                  <w:b/>
                </w:rPr>
                <w:t>NA</w:t>
              </w:r>
            </w:smartTag>
            <w:r w:rsidRPr="00D252D3">
              <w:rPr>
                <w:b/>
              </w:rPr>
              <w:t xml:space="preserve"> VONKAJŠOM OBALE</w:t>
            </w:r>
          </w:p>
          <w:p w:rsidR="0053152B" w:rsidRPr="00D252D3" w:rsidRDefault="0053152B">
            <w:pPr>
              <w:rPr>
                <w:b/>
              </w:rPr>
            </w:pPr>
          </w:p>
          <w:p w:rsidR="0053152B" w:rsidRPr="00D252D3" w:rsidRDefault="0053152B">
            <w:pPr>
              <w:rPr>
                <w:b/>
              </w:rPr>
            </w:pPr>
            <w:r w:rsidRPr="00D252D3">
              <w:rPr>
                <w:b/>
              </w:rPr>
              <w:t>Škatuľka</w:t>
            </w:r>
          </w:p>
        </w:tc>
      </w:tr>
    </w:tbl>
    <w:p w:rsidR="0053152B" w:rsidRPr="00D252D3" w:rsidRDefault="0053152B"/>
    <w:p w:rsidR="0053152B" w:rsidRPr="00D252D3" w:rsidRDefault="0053152B"/>
    <w:tbl>
      <w:tblPr>
        <w:tblW w:w="9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152B" w:rsidRPr="00D252D3">
        <w:tblPrEx>
          <w:tblCellMar>
            <w:top w:w="0" w:type="dxa"/>
            <w:bottom w:w="0" w:type="dxa"/>
          </w:tblCellMar>
        </w:tblPrEx>
        <w:tc>
          <w:tcPr>
            <w:tcW w:w="9287" w:type="dxa"/>
          </w:tcPr>
          <w:p w:rsidR="0053152B" w:rsidRPr="00D252D3" w:rsidRDefault="0053152B">
            <w:pPr>
              <w:tabs>
                <w:tab w:val="left" w:pos="142"/>
              </w:tabs>
              <w:rPr>
                <w:b/>
              </w:rPr>
            </w:pPr>
            <w:r w:rsidRPr="00D252D3">
              <w:rPr>
                <w:b/>
              </w:rPr>
              <w:t>1.</w:t>
            </w:r>
            <w:r w:rsidRPr="00D252D3">
              <w:rPr>
                <w:b/>
              </w:rPr>
              <w:tab/>
              <w:t>NÁZOV LIEKU</w:t>
            </w:r>
          </w:p>
        </w:tc>
      </w:tr>
    </w:tbl>
    <w:p w:rsidR="0053152B" w:rsidRPr="00D252D3" w:rsidRDefault="0053152B"/>
    <w:p w:rsidR="0053152B" w:rsidRPr="00D252D3" w:rsidRDefault="0053152B">
      <w:r w:rsidRPr="00D252D3">
        <w:t>MicardisPlus 40 mg/12,5 mg tablety</w:t>
      </w:r>
    </w:p>
    <w:p w:rsidR="0053152B" w:rsidRPr="00D252D3" w:rsidRDefault="0053152B">
      <w:r w:rsidRPr="00D252D3">
        <w:t>telmisartan/hydrochlorotiazid</w:t>
      </w:r>
    </w:p>
    <w:p w:rsidR="0053152B" w:rsidRPr="00D252D3" w:rsidRDefault="0053152B"/>
    <w:p w:rsidR="0053152B" w:rsidRPr="00D252D3" w:rsidRDefault="0053152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152B" w:rsidRPr="00D252D3">
        <w:tblPrEx>
          <w:tblCellMar>
            <w:top w:w="0" w:type="dxa"/>
            <w:bottom w:w="0" w:type="dxa"/>
          </w:tblCellMar>
        </w:tblPrEx>
        <w:tc>
          <w:tcPr>
            <w:tcW w:w="9287" w:type="dxa"/>
          </w:tcPr>
          <w:p w:rsidR="0053152B" w:rsidRPr="00D252D3" w:rsidRDefault="0053152B">
            <w:pPr>
              <w:tabs>
                <w:tab w:val="left" w:pos="142"/>
              </w:tabs>
              <w:rPr>
                <w:b/>
              </w:rPr>
            </w:pPr>
            <w:r w:rsidRPr="00D252D3">
              <w:rPr>
                <w:b/>
              </w:rPr>
              <w:t>2.</w:t>
            </w:r>
            <w:r w:rsidRPr="00D252D3">
              <w:rPr>
                <w:b/>
              </w:rPr>
              <w:tab/>
              <w:t>LIEČIVO (LIEČIVÁ)</w:t>
            </w:r>
          </w:p>
        </w:tc>
      </w:tr>
    </w:tbl>
    <w:p w:rsidR="0053152B" w:rsidRPr="00D252D3" w:rsidRDefault="0053152B"/>
    <w:p w:rsidR="0053152B" w:rsidRPr="00D252D3" w:rsidRDefault="0053152B">
      <w:r w:rsidRPr="00D252D3">
        <w:t>Každá tableta obsahuje 40 mg telmisartanu a 12,5 mg hydrochlorotiazidu.</w:t>
      </w:r>
    </w:p>
    <w:p w:rsidR="0053152B" w:rsidRPr="00D252D3" w:rsidRDefault="0053152B"/>
    <w:p w:rsidR="0053152B" w:rsidRPr="00D252D3" w:rsidRDefault="0053152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152B" w:rsidRPr="00D252D3">
        <w:tblPrEx>
          <w:tblCellMar>
            <w:top w:w="0" w:type="dxa"/>
            <w:bottom w:w="0" w:type="dxa"/>
          </w:tblCellMar>
        </w:tblPrEx>
        <w:tc>
          <w:tcPr>
            <w:tcW w:w="9287" w:type="dxa"/>
          </w:tcPr>
          <w:p w:rsidR="0053152B" w:rsidRPr="00D252D3" w:rsidRDefault="0053152B">
            <w:pPr>
              <w:tabs>
                <w:tab w:val="left" w:pos="142"/>
              </w:tabs>
              <w:rPr>
                <w:b/>
              </w:rPr>
            </w:pPr>
            <w:r w:rsidRPr="00D252D3">
              <w:rPr>
                <w:b/>
              </w:rPr>
              <w:t>3.</w:t>
            </w:r>
            <w:r w:rsidRPr="00D252D3">
              <w:rPr>
                <w:b/>
              </w:rPr>
              <w:tab/>
              <w:t>ZOZNAM POMOCNÝCH LÁTOK</w:t>
            </w:r>
          </w:p>
        </w:tc>
      </w:tr>
    </w:tbl>
    <w:p w:rsidR="0053152B" w:rsidRPr="00D252D3" w:rsidRDefault="0053152B"/>
    <w:p w:rsidR="0053152B" w:rsidRPr="00D252D3" w:rsidRDefault="0053152B">
      <w:r w:rsidRPr="00D252D3">
        <w:t>Obsahuje monohydrát laktózy a sorbitol (E420).</w:t>
      </w:r>
    </w:p>
    <w:p w:rsidR="0053152B" w:rsidRPr="00D252D3" w:rsidRDefault="0053152B">
      <w:pPr>
        <w:rPr>
          <w:szCs w:val="22"/>
        </w:rPr>
      </w:pPr>
      <w:r w:rsidRPr="00D252D3">
        <w:rPr>
          <w:szCs w:val="22"/>
        </w:rPr>
        <w:t>Pre ďalšie informácie si prečítajte písomnú informáciu pre používateľa.</w:t>
      </w:r>
    </w:p>
    <w:p w:rsidR="0053152B" w:rsidRPr="00D252D3" w:rsidRDefault="0053152B"/>
    <w:p w:rsidR="0053152B" w:rsidRPr="00D252D3" w:rsidRDefault="0053152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152B" w:rsidRPr="00D252D3">
        <w:tblPrEx>
          <w:tblCellMar>
            <w:top w:w="0" w:type="dxa"/>
            <w:bottom w:w="0" w:type="dxa"/>
          </w:tblCellMar>
        </w:tblPrEx>
        <w:tc>
          <w:tcPr>
            <w:tcW w:w="9287" w:type="dxa"/>
          </w:tcPr>
          <w:p w:rsidR="0053152B" w:rsidRPr="00D252D3" w:rsidRDefault="0053152B">
            <w:pPr>
              <w:tabs>
                <w:tab w:val="left" w:pos="142"/>
              </w:tabs>
              <w:rPr>
                <w:b/>
              </w:rPr>
            </w:pPr>
            <w:r w:rsidRPr="00D252D3">
              <w:rPr>
                <w:b/>
              </w:rPr>
              <w:t>4.</w:t>
            </w:r>
            <w:r w:rsidRPr="00D252D3">
              <w:rPr>
                <w:b/>
              </w:rPr>
              <w:tab/>
              <w:t>LIEKOVÁ FORMA A OBSAH</w:t>
            </w:r>
          </w:p>
        </w:tc>
      </w:tr>
    </w:tbl>
    <w:p w:rsidR="0053152B" w:rsidRPr="00D252D3" w:rsidRDefault="0053152B"/>
    <w:p w:rsidR="0053152B" w:rsidRPr="00D252D3" w:rsidRDefault="0053152B">
      <w:r w:rsidRPr="00D252D3">
        <w:t>14 tabliet</w:t>
      </w:r>
    </w:p>
    <w:p w:rsidR="0053152B" w:rsidRPr="00D252D3" w:rsidRDefault="0053152B">
      <w:r w:rsidRPr="00D252D3">
        <w:rPr>
          <w:shd w:val="clear" w:color="auto" w:fill="C0C0C0"/>
        </w:rPr>
        <w:t>28 tabliet</w:t>
      </w:r>
    </w:p>
    <w:p w:rsidR="0053152B" w:rsidRPr="00D252D3" w:rsidRDefault="0053152B">
      <w:r w:rsidRPr="00D252D3">
        <w:rPr>
          <w:shd w:val="clear" w:color="auto" w:fill="C0C0C0"/>
        </w:rPr>
        <w:t>30 x 1 tableta</w:t>
      </w:r>
    </w:p>
    <w:p w:rsidR="0053152B" w:rsidRPr="00D252D3" w:rsidRDefault="0053152B">
      <w:r w:rsidRPr="00D252D3">
        <w:rPr>
          <w:shd w:val="clear" w:color="auto" w:fill="C0C0C0"/>
        </w:rPr>
        <w:t>56 tabliet</w:t>
      </w:r>
    </w:p>
    <w:p w:rsidR="0053152B" w:rsidRPr="00D252D3" w:rsidRDefault="0053152B">
      <w:r w:rsidRPr="00D252D3">
        <w:rPr>
          <w:shd w:val="clear" w:color="auto" w:fill="C0C0C0"/>
        </w:rPr>
        <w:t>84 tabliet</w:t>
      </w:r>
    </w:p>
    <w:p w:rsidR="0053152B" w:rsidRPr="00D252D3" w:rsidRDefault="0053152B">
      <w:r w:rsidRPr="00D252D3">
        <w:rPr>
          <w:shd w:val="clear" w:color="auto" w:fill="C0C0C0"/>
        </w:rPr>
        <w:t>90 x 1 tableta</w:t>
      </w:r>
    </w:p>
    <w:p w:rsidR="0053152B" w:rsidRPr="00D252D3" w:rsidRDefault="0053152B">
      <w:r w:rsidRPr="00D252D3">
        <w:rPr>
          <w:shd w:val="clear" w:color="auto" w:fill="C0C0C0"/>
        </w:rPr>
        <w:t>98 tabliet</w:t>
      </w:r>
    </w:p>
    <w:p w:rsidR="0053152B" w:rsidRPr="00D252D3" w:rsidRDefault="0053152B">
      <w:r w:rsidRPr="00D252D3">
        <w:rPr>
          <w:shd w:val="clear" w:color="auto" w:fill="C0C0C0"/>
        </w:rPr>
        <w:t>28 x 1 tableta</w:t>
      </w:r>
    </w:p>
    <w:p w:rsidR="0053152B" w:rsidRPr="00D252D3" w:rsidRDefault="0053152B"/>
    <w:p w:rsidR="0053152B" w:rsidRPr="00D252D3" w:rsidRDefault="0053152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152B" w:rsidRPr="00D252D3">
        <w:tblPrEx>
          <w:tblCellMar>
            <w:top w:w="0" w:type="dxa"/>
            <w:bottom w:w="0" w:type="dxa"/>
          </w:tblCellMar>
        </w:tblPrEx>
        <w:tc>
          <w:tcPr>
            <w:tcW w:w="9287" w:type="dxa"/>
          </w:tcPr>
          <w:p w:rsidR="0053152B" w:rsidRPr="00D252D3" w:rsidRDefault="0053152B">
            <w:pPr>
              <w:tabs>
                <w:tab w:val="left" w:pos="142"/>
              </w:tabs>
              <w:rPr>
                <w:b/>
              </w:rPr>
            </w:pPr>
            <w:r w:rsidRPr="00D252D3">
              <w:rPr>
                <w:b/>
              </w:rPr>
              <w:t>5.</w:t>
            </w:r>
            <w:r w:rsidRPr="00D252D3">
              <w:rPr>
                <w:b/>
              </w:rPr>
              <w:tab/>
              <w:t>SPÔSOB A CESTA</w:t>
            </w:r>
            <w:r w:rsidRPr="00D252D3">
              <w:rPr>
                <w:b/>
                <w:bCs/>
              </w:rPr>
              <w:t xml:space="preserve"> (CESTY) </w:t>
            </w:r>
            <w:r w:rsidRPr="00D252D3">
              <w:rPr>
                <w:b/>
              </w:rPr>
              <w:t>PODÁVANIA</w:t>
            </w:r>
          </w:p>
        </w:tc>
      </w:tr>
    </w:tbl>
    <w:p w:rsidR="0053152B" w:rsidRPr="00D252D3" w:rsidRDefault="0053152B"/>
    <w:p w:rsidR="0053152B" w:rsidRPr="00D252D3" w:rsidRDefault="0053152B">
      <w:r w:rsidRPr="00D252D3">
        <w:t>Na perorálne použitie</w:t>
      </w:r>
    </w:p>
    <w:p w:rsidR="0053152B" w:rsidRPr="00D252D3" w:rsidRDefault="0053152B">
      <w:r w:rsidRPr="00D252D3">
        <w:t>Pred použitím si prečítajte písomnú informáciu pre používateľa.</w:t>
      </w:r>
    </w:p>
    <w:p w:rsidR="0053152B" w:rsidRPr="00D252D3" w:rsidRDefault="0053152B"/>
    <w:p w:rsidR="0053152B" w:rsidRPr="00D252D3" w:rsidRDefault="0053152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152B" w:rsidRPr="00D252D3">
        <w:tblPrEx>
          <w:tblCellMar>
            <w:top w:w="0" w:type="dxa"/>
            <w:bottom w:w="0" w:type="dxa"/>
          </w:tblCellMar>
        </w:tblPrEx>
        <w:tc>
          <w:tcPr>
            <w:tcW w:w="9287" w:type="dxa"/>
          </w:tcPr>
          <w:p w:rsidR="0053152B" w:rsidRPr="00D252D3" w:rsidRDefault="0053152B">
            <w:pPr>
              <w:tabs>
                <w:tab w:val="left" w:pos="142"/>
              </w:tabs>
              <w:rPr>
                <w:b/>
              </w:rPr>
            </w:pPr>
            <w:r w:rsidRPr="00D252D3">
              <w:rPr>
                <w:b/>
              </w:rPr>
              <w:t>6.</w:t>
            </w:r>
            <w:r w:rsidRPr="00D252D3">
              <w:rPr>
                <w:b/>
              </w:rPr>
              <w:tab/>
              <w:t>ŠPECIÁLNE UPOZORNENIE, ŽE LIEK SA MUSÍ UCHOVÁVAŤ MIMO DOHĽADU A DOSAHU DETÍ</w:t>
            </w:r>
          </w:p>
        </w:tc>
      </w:tr>
    </w:tbl>
    <w:p w:rsidR="0053152B" w:rsidRPr="00D252D3" w:rsidRDefault="0053152B"/>
    <w:p w:rsidR="0053152B" w:rsidRPr="00D252D3" w:rsidRDefault="0053152B">
      <w:bookmarkStart w:id="13" w:name="_Toc49833144"/>
      <w:bookmarkStart w:id="14" w:name="_Toc49833251"/>
      <w:r w:rsidRPr="00D252D3">
        <w:t>Uchovávajte mimo dohľadu a dosahu detí.</w:t>
      </w:r>
      <w:bookmarkEnd w:id="13"/>
      <w:bookmarkEnd w:id="14"/>
    </w:p>
    <w:p w:rsidR="0053152B" w:rsidRPr="00D252D3" w:rsidRDefault="0053152B"/>
    <w:p w:rsidR="0053152B" w:rsidRPr="00D252D3" w:rsidRDefault="0053152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152B" w:rsidRPr="00D252D3">
        <w:tblPrEx>
          <w:tblCellMar>
            <w:top w:w="0" w:type="dxa"/>
            <w:bottom w:w="0" w:type="dxa"/>
          </w:tblCellMar>
        </w:tblPrEx>
        <w:tc>
          <w:tcPr>
            <w:tcW w:w="9287" w:type="dxa"/>
          </w:tcPr>
          <w:p w:rsidR="0053152B" w:rsidRPr="00D252D3" w:rsidRDefault="0053152B">
            <w:pPr>
              <w:tabs>
                <w:tab w:val="left" w:pos="142"/>
              </w:tabs>
              <w:rPr>
                <w:b/>
              </w:rPr>
            </w:pPr>
            <w:r w:rsidRPr="00D252D3">
              <w:rPr>
                <w:b/>
              </w:rPr>
              <w:t>7.</w:t>
            </w:r>
            <w:r w:rsidRPr="00D252D3">
              <w:rPr>
                <w:b/>
              </w:rPr>
              <w:tab/>
              <w:t>INÉ ŠPECIÁLNE UPOZORNENIE (UPOZORNENIA), AK JE TO POTREBNÉ</w:t>
            </w:r>
          </w:p>
        </w:tc>
      </w:tr>
    </w:tbl>
    <w:p w:rsidR="0053152B" w:rsidRPr="00D252D3" w:rsidRDefault="0053152B"/>
    <w:p w:rsidR="0053152B" w:rsidRPr="00D252D3" w:rsidRDefault="0053152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152B" w:rsidRPr="00D252D3">
        <w:tblPrEx>
          <w:tblCellMar>
            <w:top w:w="0" w:type="dxa"/>
            <w:bottom w:w="0" w:type="dxa"/>
          </w:tblCellMar>
        </w:tblPrEx>
        <w:tc>
          <w:tcPr>
            <w:tcW w:w="9287" w:type="dxa"/>
          </w:tcPr>
          <w:p w:rsidR="0053152B" w:rsidRPr="00D252D3" w:rsidRDefault="0053152B" w:rsidP="00AB164B">
            <w:pPr>
              <w:keepNext/>
              <w:tabs>
                <w:tab w:val="left" w:pos="142"/>
              </w:tabs>
              <w:rPr>
                <w:b/>
              </w:rPr>
            </w:pPr>
            <w:r w:rsidRPr="00D252D3">
              <w:rPr>
                <w:b/>
              </w:rPr>
              <w:t>8.</w:t>
            </w:r>
            <w:r w:rsidRPr="00D252D3">
              <w:rPr>
                <w:b/>
              </w:rPr>
              <w:tab/>
              <w:t>DÁTUM EXSPIRÁCIE</w:t>
            </w:r>
          </w:p>
        </w:tc>
      </w:tr>
    </w:tbl>
    <w:p w:rsidR="0053152B" w:rsidRPr="00D252D3" w:rsidRDefault="0053152B" w:rsidP="00AB164B">
      <w:pPr>
        <w:keepNext/>
      </w:pPr>
    </w:p>
    <w:p w:rsidR="0053152B" w:rsidRPr="00D252D3" w:rsidRDefault="0053152B">
      <w:bookmarkStart w:id="15" w:name="_Toc49833145"/>
      <w:bookmarkStart w:id="16" w:name="_Toc49833252"/>
      <w:r w:rsidRPr="00D252D3">
        <w:t>EXP</w:t>
      </w:r>
      <w:bookmarkEnd w:id="15"/>
      <w:bookmarkEnd w:id="16"/>
    </w:p>
    <w:p w:rsidR="0053152B" w:rsidRPr="00D252D3" w:rsidRDefault="0053152B">
      <w:pPr>
        <w:ind w:left="0" w:firstLine="0"/>
      </w:pPr>
    </w:p>
    <w:p w:rsidR="0053152B" w:rsidRPr="00D252D3" w:rsidRDefault="0053152B">
      <w:pPr>
        <w:ind w:left="0" w:firstLine="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152B" w:rsidRPr="00D252D3">
        <w:tblPrEx>
          <w:tblCellMar>
            <w:top w:w="0" w:type="dxa"/>
            <w:bottom w:w="0" w:type="dxa"/>
          </w:tblCellMar>
        </w:tblPrEx>
        <w:tc>
          <w:tcPr>
            <w:tcW w:w="9287" w:type="dxa"/>
          </w:tcPr>
          <w:p w:rsidR="0053152B" w:rsidRPr="00D252D3" w:rsidRDefault="0053152B" w:rsidP="00AB164B">
            <w:pPr>
              <w:keepNext/>
              <w:tabs>
                <w:tab w:val="left" w:pos="142"/>
              </w:tabs>
            </w:pPr>
            <w:r w:rsidRPr="00D252D3">
              <w:rPr>
                <w:b/>
              </w:rPr>
              <w:t>9.</w:t>
            </w:r>
            <w:r w:rsidRPr="00D252D3">
              <w:rPr>
                <w:b/>
              </w:rPr>
              <w:tab/>
              <w:t xml:space="preserve">ŠPECIÁLNE PODMIENKY </w:t>
            </w:r>
            <w:smartTag w:uri="urn:schemas-microsoft-com:office:smarttags" w:element="stockticker">
              <w:r w:rsidRPr="00D252D3">
                <w:rPr>
                  <w:b/>
                </w:rPr>
                <w:t>NA</w:t>
              </w:r>
            </w:smartTag>
            <w:r w:rsidRPr="00D252D3">
              <w:rPr>
                <w:b/>
              </w:rPr>
              <w:t xml:space="preserve"> UCHOVÁVANIE</w:t>
            </w:r>
          </w:p>
        </w:tc>
      </w:tr>
    </w:tbl>
    <w:p w:rsidR="0053152B" w:rsidRPr="00D252D3" w:rsidRDefault="0053152B" w:rsidP="00AB164B">
      <w:pPr>
        <w:keepNext/>
      </w:pPr>
    </w:p>
    <w:p w:rsidR="0053152B" w:rsidRPr="00D252D3" w:rsidRDefault="0053152B">
      <w:pPr>
        <w:rPr>
          <w:b/>
        </w:rPr>
      </w:pPr>
      <w:r w:rsidRPr="00D252D3">
        <w:rPr>
          <w:b/>
          <w:snapToGrid w:val="0"/>
          <w:lang w:eastAsia="cs-CZ"/>
        </w:rPr>
        <w:t>Tento liek nevyžaduje žiadne zvláštne teplotné podmienky na uchovávanie.</w:t>
      </w:r>
    </w:p>
    <w:p w:rsidR="0053152B" w:rsidRPr="00D252D3" w:rsidRDefault="0053152B">
      <w:pPr>
        <w:rPr>
          <w:b/>
        </w:rPr>
      </w:pPr>
      <w:r w:rsidRPr="00D252D3">
        <w:rPr>
          <w:b/>
        </w:rPr>
        <w:t>Uchovávajte v pôvodnom balení, na ochranu pred vlhkosťou.</w:t>
      </w:r>
    </w:p>
    <w:p w:rsidR="0053152B" w:rsidRPr="00D252D3" w:rsidRDefault="0053152B"/>
    <w:p w:rsidR="0053152B" w:rsidRPr="00D252D3" w:rsidRDefault="0053152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152B" w:rsidRPr="00D252D3">
        <w:tblPrEx>
          <w:tblCellMar>
            <w:top w:w="0" w:type="dxa"/>
            <w:bottom w:w="0" w:type="dxa"/>
          </w:tblCellMar>
        </w:tblPrEx>
        <w:tc>
          <w:tcPr>
            <w:tcW w:w="9287" w:type="dxa"/>
          </w:tcPr>
          <w:p w:rsidR="0053152B" w:rsidRPr="00D252D3" w:rsidRDefault="0053152B">
            <w:pPr>
              <w:tabs>
                <w:tab w:val="left" w:pos="142"/>
              </w:tabs>
              <w:rPr>
                <w:b/>
              </w:rPr>
            </w:pPr>
            <w:r w:rsidRPr="00D252D3">
              <w:rPr>
                <w:b/>
              </w:rPr>
              <w:t>10.</w:t>
            </w:r>
            <w:r w:rsidRPr="00D252D3">
              <w:rPr>
                <w:b/>
              </w:rPr>
              <w:tab/>
              <w:t xml:space="preserve">ŠPECIÁLNE UPOZORNENIA </w:t>
            </w:r>
            <w:smartTag w:uri="urn:schemas-microsoft-com:office:smarttags" w:element="stockticker">
              <w:r w:rsidRPr="00D252D3">
                <w:rPr>
                  <w:b/>
                </w:rPr>
                <w:t>NA</w:t>
              </w:r>
            </w:smartTag>
            <w:r w:rsidRPr="00D252D3">
              <w:rPr>
                <w:b/>
              </w:rPr>
              <w:t xml:space="preserve"> LIKVIDÁCIU NEPOUŽITÝCH LIEKOV ALEBO ODPADOV Z NICH VZNIKNUTÝCH, AK JE TO VHODNÉ</w:t>
            </w:r>
          </w:p>
        </w:tc>
      </w:tr>
    </w:tbl>
    <w:p w:rsidR="0053152B" w:rsidRPr="00D252D3" w:rsidRDefault="0053152B"/>
    <w:p w:rsidR="0053152B" w:rsidRPr="00D252D3" w:rsidRDefault="0053152B">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152B" w:rsidRPr="00D252D3">
        <w:tblPrEx>
          <w:tblCellMar>
            <w:top w:w="0" w:type="dxa"/>
            <w:bottom w:w="0" w:type="dxa"/>
          </w:tblCellMar>
        </w:tblPrEx>
        <w:tc>
          <w:tcPr>
            <w:tcW w:w="9287" w:type="dxa"/>
          </w:tcPr>
          <w:p w:rsidR="0053152B" w:rsidRPr="00D252D3" w:rsidRDefault="0053152B">
            <w:pPr>
              <w:tabs>
                <w:tab w:val="left" w:pos="142"/>
              </w:tabs>
              <w:rPr>
                <w:b/>
                <w:szCs w:val="22"/>
              </w:rPr>
            </w:pPr>
            <w:r w:rsidRPr="00D252D3">
              <w:rPr>
                <w:b/>
                <w:szCs w:val="22"/>
              </w:rPr>
              <w:t>11.</w:t>
            </w:r>
            <w:r w:rsidRPr="00D252D3">
              <w:rPr>
                <w:b/>
                <w:szCs w:val="22"/>
              </w:rPr>
              <w:tab/>
              <w:t>NÁZOV A ADRESA DRŽITEĽA ROZHODNUTIA O REGISTRÁCII</w:t>
            </w:r>
          </w:p>
        </w:tc>
      </w:tr>
    </w:tbl>
    <w:p w:rsidR="0053152B" w:rsidRPr="00D252D3" w:rsidRDefault="0053152B">
      <w:pPr>
        <w:rPr>
          <w:szCs w:val="22"/>
        </w:rPr>
      </w:pPr>
    </w:p>
    <w:p w:rsidR="0053152B" w:rsidRPr="00D252D3" w:rsidRDefault="0053152B">
      <w:pPr>
        <w:rPr>
          <w:szCs w:val="22"/>
        </w:rPr>
      </w:pPr>
      <w:r w:rsidRPr="00D252D3">
        <w:rPr>
          <w:szCs w:val="22"/>
        </w:rPr>
        <w:t>Boehringer Ingelheim International GmbH</w:t>
      </w:r>
    </w:p>
    <w:p w:rsidR="0053152B" w:rsidRPr="00D252D3" w:rsidRDefault="0053152B">
      <w:pPr>
        <w:rPr>
          <w:szCs w:val="22"/>
        </w:rPr>
      </w:pPr>
      <w:r w:rsidRPr="00D252D3">
        <w:rPr>
          <w:szCs w:val="22"/>
        </w:rPr>
        <w:t xml:space="preserve">Binger Str. 173 </w:t>
      </w:r>
    </w:p>
    <w:p w:rsidR="0053152B" w:rsidRPr="00D252D3" w:rsidRDefault="0053152B">
      <w:pPr>
        <w:rPr>
          <w:szCs w:val="22"/>
        </w:rPr>
      </w:pPr>
      <w:r w:rsidRPr="00D252D3">
        <w:rPr>
          <w:szCs w:val="22"/>
        </w:rPr>
        <w:t>D-55216 Ingelheim nad Rýnom</w:t>
      </w:r>
    </w:p>
    <w:p w:rsidR="0053152B" w:rsidRPr="00D252D3" w:rsidRDefault="0053152B">
      <w:pPr>
        <w:rPr>
          <w:szCs w:val="22"/>
        </w:rPr>
      </w:pPr>
      <w:r w:rsidRPr="00D252D3">
        <w:rPr>
          <w:szCs w:val="22"/>
        </w:rPr>
        <w:t>Nemecko</w:t>
      </w:r>
    </w:p>
    <w:p w:rsidR="0053152B" w:rsidRPr="00D252D3" w:rsidRDefault="0053152B">
      <w:pPr>
        <w:rPr>
          <w:szCs w:val="22"/>
        </w:rPr>
      </w:pPr>
    </w:p>
    <w:p w:rsidR="0053152B" w:rsidRPr="00D252D3" w:rsidRDefault="0053152B">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152B" w:rsidRPr="00D252D3">
        <w:tblPrEx>
          <w:tblCellMar>
            <w:top w:w="0" w:type="dxa"/>
            <w:bottom w:w="0" w:type="dxa"/>
          </w:tblCellMar>
        </w:tblPrEx>
        <w:tc>
          <w:tcPr>
            <w:tcW w:w="9287" w:type="dxa"/>
          </w:tcPr>
          <w:p w:rsidR="0053152B" w:rsidRPr="00D252D3" w:rsidRDefault="0053152B">
            <w:pPr>
              <w:tabs>
                <w:tab w:val="left" w:pos="142"/>
              </w:tabs>
              <w:rPr>
                <w:b/>
                <w:szCs w:val="22"/>
              </w:rPr>
            </w:pPr>
            <w:r w:rsidRPr="00D252D3">
              <w:rPr>
                <w:b/>
                <w:szCs w:val="22"/>
              </w:rPr>
              <w:t>12.</w:t>
            </w:r>
            <w:r w:rsidRPr="00D252D3">
              <w:rPr>
                <w:b/>
                <w:szCs w:val="22"/>
              </w:rPr>
              <w:tab/>
              <w:t>REGISTRAČNÉ ČÍSLA</w:t>
            </w:r>
          </w:p>
        </w:tc>
      </w:tr>
    </w:tbl>
    <w:p w:rsidR="0053152B" w:rsidRPr="00D252D3" w:rsidRDefault="0053152B">
      <w:pPr>
        <w:rPr>
          <w:szCs w:val="22"/>
        </w:rPr>
      </w:pPr>
    </w:p>
    <w:p w:rsidR="0053152B" w:rsidRPr="00D252D3" w:rsidRDefault="0053152B">
      <w:pPr>
        <w:rPr>
          <w:szCs w:val="22"/>
        </w:rPr>
      </w:pPr>
      <w:r w:rsidRPr="00D252D3">
        <w:rPr>
          <w:szCs w:val="22"/>
        </w:rPr>
        <w:t>EU/1/02/213/001</w:t>
      </w:r>
      <w:r w:rsidRPr="00D252D3">
        <w:rPr>
          <w:szCs w:val="22"/>
        </w:rPr>
        <w:tab/>
        <w:t>14 tabliet</w:t>
      </w:r>
    </w:p>
    <w:p w:rsidR="0053152B" w:rsidRPr="00D252D3" w:rsidRDefault="0053152B">
      <w:pPr>
        <w:rPr>
          <w:szCs w:val="22"/>
        </w:rPr>
      </w:pPr>
      <w:r w:rsidRPr="00D252D3">
        <w:rPr>
          <w:szCs w:val="22"/>
          <w:shd w:val="clear" w:color="auto" w:fill="C0C0C0"/>
        </w:rPr>
        <w:t>EU/1/02/213/002</w:t>
      </w:r>
      <w:r w:rsidRPr="00D252D3">
        <w:rPr>
          <w:szCs w:val="22"/>
          <w:shd w:val="clear" w:color="auto" w:fill="C0C0C0"/>
        </w:rPr>
        <w:tab/>
        <w:t>28 tabliet</w:t>
      </w:r>
    </w:p>
    <w:p w:rsidR="0053152B" w:rsidRPr="00D252D3" w:rsidRDefault="0053152B">
      <w:pPr>
        <w:rPr>
          <w:szCs w:val="22"/>
        </w:rPr>
      </w:pPr>
      <w:r w:rsidRPr="00D252D3">
        <w:rPr>
          <w:szCs w:val="22"/>
          <w:shd w:val="clear" w:color="auto" w:fill="C0C0C0"/>
        </w:rPr>
        <w:t>EU/1/02/213/003</w:t>
      </w:r>
      <w:r w:rsidRPr="00D252D3">
        <w:rPr>
          <w:szCs w:val="22"/>
          <w:shd w:val="clear" w:color="auto" w:fill="C0C0C0"/>
        </w:rPr>
        <w:tab/>
        <w:t>28 x 1 tableta</w:t>
      </w:r>
      <w:r w:rsidRPr="00D252D3">
        <w:rPr>
          <w:shd w:val="clear" w:color="auto" w:fill="C0C0C0"/>
        </w:rPr>
        <w:t xml:space="preserve"> </w:t>
      </w:r>
    </w:p>
    <w:p w:rsidR="0053152B" w:rsidRPr="00D252D3" w:rsidRDefault="0053152B">
      <w:pPr>
        <w:rPr>
          <w:szCs w:val="22"/>
        </w:rPr>
      </w:pPr>
      <w:r w:rsidRPr="00D252D3">
        <w:rPr>
          <w:szCs w:val="22"/>
          <w:shd w:val="clear" w:color="auto" w:fill="C0C0C0"/>
        </w:rPr>
        <w:t>EU/1/02/213/013</w:t>
      </w:r>
      <w:r w:rsidRPr="00D252D3">
        <w:rPr>
          <w:szCs w:val="22"/>
          <w:shd w:val="clear" w:color="auto" w:fill="C0C0C0"/>
        </w:rPr>
        <w:tab/>
        <w:t>30 x 1 tableta</w:t>
      </w:r>
    </w:p>
    <w:p w:rsidR="0053152B" w:rsidRPr="00D252D3" w:rsidRDefault="0053152B">
      <w:pPr>
        <w:rPr>
          <w:szCs w:val="22"/>
        </w:rPr>
      </w:pPr>
      <w:r w:rsidRPr="00D252D3">
        <w:rPr>
          <w:szCs w:val="22"/>
          <w:shd w:val="clear" w:color="auto" w:fill="C0C0C0"/>
        </w:rPr>
        <w:t>EU/1/02/213/004</w:t>
      </w:r>
      <w:r w:rsidRPr="00D252D3">
        <w:rPr>
          <w:szCs w:val="22"/>
          <w:shd w:val="clear" w:color="auto" w:fill="C0C0C0"/>
        </w:rPr>
        <w:tab/>
        <w:t>56 tabliet</w:t>
      </w:r>
    </w:p>
    <w:p w:rsidR="0053152B" w:rsidRPr="00D252D3" w:rsidRDefault="0053152B">
      <w:pPr>
        <w:rPr>
          <w:szCs w:val="22"/>
        </w:rPr>
      </w:pPr>
      <w:r w:rsidRPr="00D252D3">
        <w:rPr>
          <w:szCs w:val="22"/>
          <w:shd w:val="clear" w:color="auto" w:fill="C0C0C0"/>
        </w:rPr>
        <w:t>EU/1/02/213/011</w:t>
      </w:r>
      <w:r w:rsidRPr="00D252D3">
        <w:rPr>
          <w:szCs w:val="22"/>
          <w:shd w:val="clear" w:color="auto" w:fill="C0C0C0"/>
        </w:rPr>
        <w:tab/>
        <w:t>84 tabliet</w:t>
      </w:r>
    </w:p>
    <w:p w:rsidR="0053152B" w:rsidRPr="00D252D3" w:rsidRDefault="0053152B">
      <w:pPr>
        <w:rPr>
          <w:szCs w:val="22"/>
        </w:rPr>
      </w:pPr>
      <w:r w:rsidRPr="00D252D3">
        <w:rPr>
          <w:szCs w:val="22"/>
          <w:shd w:val="clear" w:color="auto" w:fill="C0C0C0"/>
        </w:rPr>
        <w:t>EU/1/02/213/014</w:t>
      </w:r>
      <w:r w:rsidRPr="00D252D3">
        <w:rPr>
          <w:szCs w:val="22"/>
          <w:shd w:val="clear" w:color="auto" w:fill="C0C0C0"/>
        </w:rPr>
        <w:tab/>
        <w:t>90 x 1 tableta</w:t>
      </w:r>
    </w:p>
    <w:p w:rsidR="0053152B" w:rsidRPr="00D252D3" w:rsidRDefault="0053152B">
      <w:pPr>
        <w:rPr>
          <w:szCs w:val="22"/>
        </w:rPr>
      </w:pPr>
      <w:r w:rsidRPr="00D252D3">
        <w:rPr>
          <w:szCs w:val="22"/>
          <w:shd w:val="clear" w:color="auto" w:fill="C0C0C0"/>
        </w:rPr>
        <w:t>EU/1/02/213/005</w:t>
      </w:r>
      <w:r w:rsidRPr="00D252D3">
        <w:rPr>
          <w:szCs w:val="22"/>
          <w:shd w:val="clear" w:color="auto" w:fill="C0C0C0"/>
        </w:rPr>
        <w:tab/>
        <w:t>98 tabliet</w:t>
      </w:r>
    </w:p>
    <w:p w:rsidR="0053152B" w:rsidRPr="00D252D3" w:rsidRDefault="0053152B"/>
    <w:p w:rsidR="0053152B" w:rsidRPr="00D252D3" w:rsidRDefault="0053152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152B" w:rsidRPr="00D252D3">
        <w:tblPrEx>
          <w:tblCellMar>
            <w:top w:w="0" w:type="dxa"/>
            <w:bottom w:w="0" w:type="dxa"/>
          </w:tblCellMar>
        </w:tblPrEx>
        <w:tc>
          <w:tcPr>
            <w:tcW w:w="9287" w:type="dxa"/>
          </w:tcPr>
          <w:p w:rsidR="0053152B" w:rsidRPr="00D252D3" w:rsidRDefault="0053152B">
            <w:pPr>
              <w:tabs>
                <w:tab w:val="left" w:pos="142"/>
              </w:tabs>
              <w:rPr>
                <w:b/>
              </w:rPr>
            </w:pPr>
            <w:r w:rsidRPr="00D252D3">
              <w:rPr>
                <w:b/>
              </w:rPr>
              <w:t>13.</w:t>
            </w:r>
            <w:r w:rsidRPr="00D252D3">
              <w:rPr>
                <w:b/>
              </w:rPr>
              <w:tab/>
              <w:t>ČÍSLO VÝROBNEJ ŠARŽE</w:t>
            </w:r>
          </w:p>
        </w:tc>
      </w:tr>
    </w:tbl>
    <w:p w:rsidR="0053152B" w:rsidRPr="00D252D3" w:rsidRDefault="0053152B"/>
    <w:p w:rsidR="0053152B" w:rsidRPr="00D252D3" w:rsidRDefault="00E32A5E">
      <w:r w:rsidRPr="00D252D3">
        <w:t>Lot</w:t>
      </w:r>
    </w:p>
    <w:p w:rsidR="0053152B" w:rsidRPr="00D252D3" w:rsidRDefault="0053152B"/>
    <w:p w:rsidR="0053152B" w:rsidRPr="00D252D3" w:rsidRDefault="0053152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152B" w:rsidRPr="00D252D3">
        <w:tblPrEx>
          <w:tblCellMar>
            <w:top w:w="0" w:type="dxa"/>
            <w:bottom w:w="0" w:type="dxa"/>
          </w:tblCellMar>
        </w:tblPrEx>
        <w:tc>
          <w:tcPr>
            <w:tcW w:w="9287" w:type="dxa"/>
          </w:tcPr>
          <w:p w:rsidR="0053152B" w:rsidRPr="00D252D3" w:rsidRDefault="0053152B">
            <w:pPr>
              <w:tabs>
                <w:tab w:val="left" w:pos="142"/>
              </w:tabs>
              <w:rPr>
                <w:b/>
              </w:rPr>
            </w:pPr>
            <w:r w:rsidRPr="00D252D3">
              <w:rPr>
                <w:b/>
              </w:rPr>
              <w:t>14.</w:t>
            </w:r>
            <w:r w:rsidRPr="00D252D3">
              <w:rPr>
                <w:b/>
              </w:rPr>
              <w:tab/>
              <w:t>ZATRIEDENIE LIEKU PODĽA SPÔSOBU VÝDAJA</w:t>
            </w:r>
          </w:p>
        </w:tc>
      </w:tr>
    </w:tbl>
    <w:p w:rsidR="0053152B" w:rsidRPr="00D252D3" w:rsidRDefault="0053152B"/>
    <w:p w:rsidR="0053152B" w:rsidRPr="00D252D3" w:rsidRDefault="0053152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152B" w:rsidRPr="00D252D3">
        <w:tblPrEx>
          <w:tblCellMar>
            <w:top w:w="0" w:type="dxa"/>
            <w:bottom w:w="0" w:type="dxa"/>
          </w:tblCellMar>
        </w:tblPrEx>
        <w:tc>
          <w:tcPr>
            <w:tcW w:w="9287" w:type="dxa"/>
          </w:tcPr>
          <w:p w:rsidR="0053152B" w:rsidRPr="00D252D3" w:rsidRDefault="0053152B">
            <w:pPr>
              <w:tabs>
                <w:tab w:val="left" w:pos="142"/>
              </w:tabs>
              <w:rPr>
                <w:b/>
              </w:rPr>
            </w:pPr>
            <w:r w:rsidRPr="00D252D3">
              <w:rPr>
                <w:b/>
              </w:rPr>
              <w:t>15.</w:t>
            </w:r>
            <w:r w:rsidRPr="00D252D3">
              <w:rPr>
                <w:b/>
              </w:rPr>
              <w:tab/>
              <w:t xml:space="preserve">POKYNY </w:t>
            </w:r>
            <w:smartTag w:uri="urn:schemas-microsoft-com:office:smarttags" w:element="stockticker">
              <w:r w:rsidRPr="00D252D3">
                <w:rPr>
                  <w:b/>
                </w:rPr>
                <w:t>NA</w:t>
              </w:r>
            </w:smartTag>
            <w:r w:rsidRPr="00D252D3">
              <w:rPr>
                <w:b/>
              </w:rPr>
              <w:t xml:space="preserve"> POUŽITIE</w:t>
            </w:r>
          </w:p>
        </w:tc>
      </w:tr>
    </w:tbl>
    <w:p w:rsidR="0053152B" w:rsidRPr="00D252D3" w:rsidRDefault="0053152B"/>
    <w:p w:rsidR="0053152B" w:rsidRPr="00D252D3" w:rsidRDefault="0053152B">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152B" w:rsidRPr="00D252D3" w:rsidTr="000D7A2C">
        <w:tblPrEx>
          <w:tblCellMar>
            <w:top w:w="0" w:type="dxa"/>
            <w:bottom w:w="0" w:type="dxa"/>
          </w:tblCellMar>
        </w:tblPrEx>
        <w:trPr>
          <w:trHeight w:val="73"/>
        </w:trPr>
        <w:tc>
          <w:tcPr>
            <w:tcW w:w="9287" w:type="dxa"/>
          </w:tcPr>
          <w:p w:rsidR="0053152B" w:rsidRPr="00D252D3" w:rsidRDefault="0053152B">
            <w:pPr>
              <w:tabs>
                <w:tab w:val="left" w:pos="142"/>
              </w:tabs>
              <w:rPr>
                <w:b/>
                <w:szCs w:val="22"/>
              </w:rPr>
            </w:pPr>
            <w:r w:rsidRPr="00D252D3">
              <w:rPr>
                <w:b/>
                <w:szCs w:val="22"/>
              </w:rPr>
              <w:t>16.</w:t>
            </w:r>
            <w:r w:rsidRPr="00D252D3">
              <w:rPr>
                <w:b/>
                <w:szCs w:val="22"/>
              </w:rPr>
              <w:tab/>
              <w:t>INFORMÁCIE V BRAILLOVOM PÍSME</w:t>
            </w:r>
          </w:p>
        </w:tc>
      </w:tr>
    </w:tbl>
    <w:p w:rsidR="0053152B" w:rsidRPr="00D252D3" w:rsidRDefault="0053152B">
      <w:pPr>
        <w:rPr>
          <w:bCs/>
          <w:szCs w:val="22"/>
        </w:rPr>
      </w:pPr>
    </w:p>
    <w:p w:rsidR="0053152B" w:rsidRPr="00D252D3" w:rsidRDefault="0053152B">
      <w:pPr>
        <w:rPr>
          <w:bCs/>
          <w:szCs w:val="22"/>
        </w:rPr>
      </w:pPr>
      <w:r w:rsidRPr="00D252D3">
        <w:rPr>
          <w:bCs/>
          <w:szCs w:val="22"/>
        </w:rPr>
        <w:t>MicardisPlus 40 mg/12,5 mg</w:t>
      </w:r>
    </w:p>
    <w:p w:rsidR="0053152B" w:rsidRPr="00D252D3" w:rsidRDefault="0053152B">
      <w:pPr>
        <w:rPr>
          <w:bCs/>
          <w:szCs w:val="22"/>
        </w:rPr>
      </w:pPr>
    </w:p>
    <w:p w:rsidR="0053152B" w:rsidRPr="00D252D3" w:rsidRDefault="0053152B">
      <w:pPr>
        <w:rPr>
          <w:bCs/>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152B" w:rsidRPr="00D252D3">
        <w:tblPrEx>
          <w:tblCellMar>
            <w:top w:w="0" w:type="dxa"/>
            <w:bottom w:w="0" w:type="dxa"/>
          </w:tblCellMar>
        </w:tblPrEx>
        <w:tc>
          <w:tcPr>
            <w:tcW w:w="9287" w:type="dxa"/>
          </w:tcPr>
          <w:p w:rsidR="0053152B" w:rsidRPr="00D252D3" w:rsidRDefault="0053152B">
            <w:pPr>
              <w:tabs>
                <w:tab w:val="left" w:pos="142"/>
              </w:tabs>
              <w:rPr>
                <w:b/>
                <w:szCs w:val="22"/>
              </w:rPr>
            </w:pPr>
            <w:r w:rsidRPr="00D252D3">
              <w:rPr>
                <w:b/>
                <w:szCs w:val="22"/>
              </w:rPr>
              <w:t>17.</w:t>
            </w:r>
            <w:r w:rsidRPr="00D252D3">
              <w:rPr>
                <w:b/>
                <w:szCs w:val="22"/>
              </w:rPr>
              <w:tab/>
            </w:r>
            <w:r w:rsidRPr="00D252D3">
              <w:rPr>
                <w:b/>
              </w:rPr>
              <w:t>ŠPECIFICKÝ IDENTIFIKÁTOR – DVOJROZMERNÝ ČIAROVÝ KÓD</w:t>
            </w:r>
          </w:p>
        </w:tc>
      </w:tr>
    </w:tbl>
    <w:p w:rsidR="0053152B" w:rsidRPr="00D252D3" w:rsidRDefault="0053152B">
      <w:pPr>
        <w:rPr>
          <w:bCs/>
          <w:szCs w:val="22"/>
        </w:rPr>
      </w:pPr>
    </w:p>
    <w:p w:rsidR="0053152B" w:rsidRPr="00D252D3" w:rsidRDefault="0053152B">
      <w:pPr>
        <w:rPr>
          <w:bCs/>
          <w:szCs w:val="22"/>
        </w:rPr>
      </w:pPr>
      <w:r w:rsidRPr="00D252D3">
        <w:rPr>
          <w:highlight w:val="lightGray"/>
        </w:rPr>
        <w:t>Dvojrozmerný čiarový kód so špecifickým identifikátorom.</w:t>
      </w:r>
    </w:p>
    <w:p w:rsidR="0053152B" w:rsidRPr="00D252D3" w:rsidRDefault="0053152B">
      <w:pPr>
        <w:rPr>
          <w:bCs/>
          <w:szCs w:val="22"/>
        </w:rPr>
      </w:pPr>
    </w:p>
    <w:p w:rsidR="0053152B" w:rsidRPr="00D252D3" w:rsidRDefault="0053152B">
      <w:pPr>
        <w:rPr>
          <w:bCs/>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152B" w:rsidRPr="00D252D3">
        <w:tblPrEx>
          <w:tblCellMar>
            <w:top w:w="0" w:type="dxa"/>
            <w:bottom w:w="0" w:type="dxa"/>
          </w:tblCellMar>
        </w:tblPrEx>
        <w:tc>
          <w:tcPr>
            <w:tcW w:w="9287" w:type="dxa"/>
          </w:tcPr>
          <w:p w:rsidR="0053152B" w:rsidRPr="00D252D3" w:rsidRDefault="0053152B">
            <w:pPr>
              <w:tabs>
                <w:tab w:val="left" w:pos="142"/>
              </w:tabs>
              <w:rPr>
                <w:b/>
                <w:szCs w:val="22"/>
              </w:rPr>
            </w:pPr>
            <w:r w:rsidRPr="00D252D3">
              <w:rPr>
                <w:b/>
                <w:szCs w:val="22"/>
              </w:rPr>
              <w:t>18.</w:t>
            </w:r>
            <w:r w:rsidRPr="00D252D3">
              <w:rPr>
                <w:b/>
                <w:szCs w:val="22"/>
              </w:rPr>
              <w:tab/>
            </w:r>
            <w:r w:rsidRPr="00D252D3">
              <w:rPr>
                <w:b/>
              </w:rPr>
              <w:t>ŠPECIFICKÝ IDENTIFIKÁTOR  – ÚDAJE ČITATEĽNÉ ĽUDSKÝM OKOM</w:t>
            </w:r>
          </w:p>
        </w:tc>
      </w:tr>
    </w:tbl>
    <w:p w:rsidR="0053152B" w:rsidRPr="00D252D3" w:rsidRDefault="0053152B">
      <w:pPr>
        <w:rPr>
          <w:bCs/>
          <w:szCs w:val="22"/>
        </w:rPr>
      </w:pPr>
    </w:p>
    <w:p w:rsidR="0053152B" w:rsidRPr="00D252D3" w:rsidRDefault="0053152B">
      <w:pPr>
        <w:rPr>
          <w:szCs w:val="22"/>
        </w:rPr>
      </w:pPr>
      <w:r w:rsidRPr="00D252D3">
        <w:t>PC: {číslo} [kód lieku]</w:t>
      </w:r>
    </w:p>
    <w:p w:rsidR="0053152B" w:rsidRPr="00D252D3" w:rsidRDefault="0053152B">
      <w:pPr>
        <w:rPr>
          <w:szCs w:val="22"/>
        </w:rPr>
      </w:pPr>
      <w:r w:rsidRPr="00D252D3">
        <w:t>SN: {číslo} [sériové číslo]</w:t>
      </w:r>
    </w:p>
    <w:p w:rsidR="0053152B" w:rsidRPr="00D252D3" w:rsidRDefault="0053152B">
      <w:pPr>
        <w:rPr>
          <w:bCs/>
          <w:szCs w:val="22"/>
        </w:rPr>
      </w:pPr>
      <w:r w:rsidRPr="00D252D3">
        <w:t>NN: {číslo} [národné číslo úhrady alebo iné národné číslo identifikujúce liek]</w:t>
      </w:r>
    </w:p>
    <w:p w:rsidR="0053152B" w:rsidRPr="00D252D3" w:rsidRDefault="0053152B">
      <w:r w:rsidRPr="00D252D3">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152B" w:rsidRPr="00D252D3">
        <w:tblPrEx>
          <w:tblCellMar>
            <w:top w:w="0" w:type="dxa"/>
            <w:bottom w:w="0" w:type="dxa"/>
          </w:tblCellMar>
        </w:tblPrEx>
        <w:tc>
          <w:tcPr>
            <w:tcW w:w="9287" w:type="dxa"/>
          </w:tcPr>
          <w:p w:rsidR="0053152B" w:rsidRPr="00D252D3" w:rsidRDefault="0053152B">
            <w:pPr>
              <w:ind w:left="0" w:firstLine="0"/>
              <w:rPr>
                <w:b/>
              </w:rPr>
            </w:pPr>
            <w:r w:rsidRPr="00D252D3">
              <w:rPr>
                <w:b/>
              </w:rPr>
              <w:t xml:space="preserve">MINIMÁLNE ÚDAJE, KTORÉ MAJÚ BYŤ UVEDENÉ </w:t>
            </w:r>
            <w:smartTag w:uri="urn:schemas-microsoft-com:office:smarttags" w:element="stockticker">
              <w:r w:rsidRPr="00D252D3">
                <w:rPr>
                  <w:b/>
                </w:rPr>
                <w:t>NA</w:t>
              </w:r>
            </w:smartTag>
            <w:r w:rsidRPr="00D252D3">
              <w:rPr>
                <w:b/>
              </w:rPr>
              <w:t xml:space="preserve"> BLISTROCH ALEBO STRIPOCH</w:t>
            </w:r>
          </w:p>
          <w:p w:rsidR="0053152B" w:rsidRPr="00D252D3" w:rsidRDefault="0053152B">
            <w:pPr>
              <w:rPr>
                <w:b/>
              </w:rPr>
            </w:pPr>
          </w:p>
          <w:p w:rsidR="0053152B" w:rsidRPr="00D252D3" w:rsidRDefault="0053152B">
            <w:pPr>
              <w:rPr>
                <w:b/>
              </w:rPr>
            </w:pPr>
            <w:r w:rsidRPr="00D252D3">
              <w:rPr>
                <w:b/>
              </w:rPr>
              <w:t>Blister so 7 tabletami</w:t>
            </w:r>
          </w:p>
        </w:tc>
      </w:tr>
    </w:tbl>
    <w:p w:rsidR="0053152B" w:rsidRPr="00D252D3" w:rsidRDefault="0053152B"/>
    <w:p w:rsidR="0053152B" w:rsidRPr="00D252D3" w:rsidRDefault="0053152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152B" w:rsidRPr="00D252D3">
        <w:tblPrEx>
          <w:tblCellMar>
            <w:top w:w="0" w:type="dxa"/>
            <w:bottom w:w="0" w:type="dxa"/>
          </w:tblCellMar>
        </w:tblPrEx>
        <w:tc>
          <w:tcPr>
            <w:tcW w:w="9287" w:type="dxa"/>
          </w:tcPr>
          <w:p w:rsidR="0053152B" w:rsidRPr="00D252D3" w:rsidRDefault="0053152B">
            <w:pPr>
              <w:tabs>
                <w:tab w:val="left" w:pos="142"/>
              </w:tabs>
              <w:rPr>
                <w:b/>
              </w:rPr>
            </w:pPr>
            <w:r w:rsidRPr="00D252D3">
              <w:rPr>
                <w:b/>
              </w:rPr>
              <w:t>1.</w:t>
            </w:r>
            <w:r w:rsidRPr="00D252D3">
              <w:rPr>
                <w:b/>
              </w:rPr>
              <w:tab/>
              <w:t>NÁZOV LIEKU</w:t>
            </w:r>
          </w:p>
        </w:tc>
      </w:tr>
    </w:tbl>
    <w:p w:rsidR="0053152B" w:rsidRPr="00D252D3" w:rsidRDefault="0053152B"/>
    <w:p w:rsidR="0053152B" w:rsidRPr="00D252D3" w:rsidRDefault="0053152B">
      <w:r w:rsidRPr="00D252D3">
        <w:t>MicardisPlus 40 mg/12,5 mg tablety</w:t>
      </w:r>
    </w:p>
    <w:p w:rsidR="0053152B" w:rsidRPr="00D252D3" w:rsidRDefault="0053152B">
      <w:r w:rsidRPr="00D252D3">
        <w:t>telmisartan/hydrochlorotiazid</w:t>
      </w:r>
    </w:p>
    <w:p w:rsidR="0053152B" w:rsidRPr="00D252D3" w:rsidRDefault="0053152B"/>
    <w:p w:rsidR="0053152B" w:rsidRPr="00D252D3" w:rsidRDefault="0053152B"/>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287"/>
      </w:tblGrid>
      <w:tr w:rsidR="0053152B" w:rsidRPr="00D252D3">
        <w:tblPrEx>
          <w:tblCellMar>
            <w:top w:w="0" w:type="dxa"/>
            <w:bottom w:w="0" w:type="dxa"/>
          </w:tblCellMar>
        </w:tblPrEx>
        <w:tc>
          <w:tcPr>
            <w:tcW w:w="9287" w:type="dxa"/>
          </w:tcPr>
          <w:p w:rsidR="0053152B" w:rsidRPr="00D252D3" w:rsidRDefault="0053152B">
            <w:pPr>
              <w:tabs>
                <w:tab w:val="left" w:pos="142"/>
              </w:tabs>
              <w:rPr>
                <w:b/>
              </w:rPr>
            </w:pPr>
            <w:r w:rsidRPr="00D252D3">
              <w:rPr>
                <w:b/>
              </w:rPr>
              <w:t>2.</w:t>
            </w:r>
            <w:r w:rsidRPr="00D252D3">
              <w:rPr>
                <w:b/>
              </w:rPr>
              <w:tab/>
              <w:t>NÁZOV DRŽITEĽA ROZHODNUTIA O REGISTRÁCII</w:t>
            </w:r>
          </w:p>
        </w:tc>
      </w:tr>
    </w:tbl>
    <w:p w:rsidR="0053152B" w:rsidRPr="00D252D3" w:rsidRDefault="0053152B"/>
    <w:p w:rsidR="0053152B" w:rsidRPr="00D252D3" w:rsidRDefault="0053152B">
      <w:r w:rsidRPr="00D252D3">
        <w:t>Boehringer Ingelheim (</w:t>
      </w:r>
      <w:r w:rsidRPr="00D252D3">
        <w:rPr>
          <w:highlight w:val="lightGray"/>
        </w:rPr>
        <w:t>Logo</w:t>
      </w:r>
      <w:r w:rsidRPr="00D252D3">
        <w:t>)</w:t>
      </w:r>
    </w:p>
    <w:p w:rsidR="0053152B" w:rsidRPr="00D252D3" w:rsidRDefault="0053152B"/>
    <w:p w:rsidR="0053152B" w:rsidRPr="00D252D3" w:rsidRDefault="0053152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152B" w:rsidRPr="00D252D3">
        <w:tblPrEx>
          <w:tblCellMar>
            <w:top w:w="0" w:type="dxa"/>
            <w:bottom w:w="0" w:type="dxa"/>
          </w:tblCellMar>
        </w:tblPrEx>
        <w:tc>
          <w:tcPr>
            <w:tcW w:w="9287" w:type="dxa"/>
          </w:tcPr>
          <w:p w:rsidR="0053152B" w:rsidRPr="00D252D3" w:rsidRDefault="0053152B">
            <w:pPr>
              <w:tabs>
                <w:tab w:val="left" w:pos="142"/>
              </w:tabs>
              <w:rPr>
                <w:b/>
              </w:rPr>
            </w:pPr>
            <w:r w:rsidRPr="00D252D3">
              <w:rPr>
                <w:b/>
              </w:rPr>
              <w:t>3.</w:t>
            </w:r>
            <w:r w:rsidRPr="00D252D3">
              <w:rPr>
                <w:b/>
              </w:rPr>
              <w:tab/>
              <w:t>DÁTUM EXSPIRÁCIE</w:t>
            </w:r>
          </w:p>
        </w:tc>
      </w:tr>
    </w:tbl>
    <w:p w:rsidR="0053152B" w:rsidRPr="00D252D3" w:rsidRDefault="0053152B"/>
    <w:p w:rsidR="0053152B" w:rsidRPr="00D252D3" w:rsidRDefault="0053152B">
      <w:r w:rsidRPr="00D252D3">
        <w:t>EXP:</w:t>
      </w:r>
    </w:p>
    <w:p w:rsidR="0053152B" w:rsidRPr="00D252D3" w:rsidRDefault="0053152B"/>
    <w:p w:rsidR="0053152B" w:rsidRPr="00D252D3" w:rsidRDefault="0053152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152B" w:rsidRPr="00D252D3">
        <w:tblPrEx>
          <w:tblCellMar>
            <w:top w:w="0" w:type="dxa"/>
            <w:bottom w:w="0" w:type="dxa"/>
          </w:tblCellMar>
        </w:tblPrEx>
        <w:tc>
          <w:tcPr>
            <w:tcW w:w="9287" w:type="dxa"/>
          </w:tcPr>
          <w:p w:rsidR="0053152B" w:rsidRPr="00D252D3" w:rsidRDefault="0053152B">
            <w:pPr>
              <w:tabs>
                <w:tab w:val="left" w:pos="142"/>
              </w:tabs>
              <w:rPr>
                <w:b/>
              </w:rPr>
            </w:pPr>
            <w:r w:rsidRPr="00D252D3">
              <w:rPr>
                <w:b/>
              </w:rPr>
              <w:t>4.</w:t>
            </w:r>
            <w:r w:rsidRPr="00D252D3">
              <w:rPr>
                <w:b/>
              </w:rPr>
              <w:tab/>
              <w:t>ČÍSLO VÝROBNEJ ŠARŽE</w:t>
            </w:r>
          </w:p>
        </w:tc>
      </w:tr>
    </w:tbl>
    <w:p w:rsidR="0053152B" w:rsidRPr="00D252D3" w:rsidRDefault="0053152B"/>
    <w:p w:rsidR="0053152B" w:rsidRPr="00D252D3" w:rsidRDefault="0053152B">
      <w:pPr>
        <w:ind w:left="0" w:firstLine="0"/>
        <w:rPr>
          <w:szCs w:val="22"/>
        </w:rPr>
      </w:pPr>
      <w:r w:rsidRPr="00D252D3">
        <w:rPr>
          <w:szCs w:val="22"/>
        </w:rPr>
        <w:t>Lot</w:t>
      </w:r>
    </w:p>
    <w:p w:rsidR="0053152B" w:rsidRPr="00D252D3" w:rsidRDefault="0053152B">
      <w:pPr>
        <w:ind w:left="0" w:firstLine="0"/>
      </w:pPr>
    </w:p>
    <w:p w:rsidR="0053152B" w:rsidRPr="00D252D3" w:rsidRDefault="0053152B">
      <w:pPr>
        <w:ind w:left="0" w:firstLine="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152B" w:rsidRPr="00D252D3">
        <w:tblPrEx>
          <w:tblCellMar>
            <w:top w:w="0" w:type="dxa"/>
            <w:bottom w:w="0" w:type="dxa"/>
          </w:tblCellMar>
        </w:tblPrEx>
        <w:tc>
          <w:tcPr>
            <w:tcW w:w="9287" w:type="dxa"/>
          </w:tcPr>
          <w:p w:rsidR="0053152B" w:rsidRPr="00D252D3" w:rsidRDefault="0053152B">
            <w:pPr>
              <w:tabs>
                <w:tab w:val="left" w:pos="142"/>
              </w:tabs>
              <w:rPr>
                <w:b/>
                <w:szCs w:val="22"/>
              </w:rPr>
            </w:pPr>
            <w:r w:rsidRPr="00D252D3">
              <w:rPr>
                <w:b/>
                <w:szCs w:val="22"/>
              </w:rPr>
              <w:t>5.</w:t>
            </w:r>
            <w:r w:rsidRPr="00D252D3">
              <w:rPr>
                <w:b/>
                <w:szCs w:val="22"/>
              </w:rPr>
              <w:tab/>
              <w:t>INÉ</w:t>
            </w:r>
          </w:p>
        </w:tc>
      </w:tr>
    </w:tbl>
    <w:p w:rsidR="0053152B" w:rsidRPr="00D252D3" w:rsidRDefault="0053152B">
      <w:pPr>
        <w:ind w:left="0" w:firstLine="0"/>
      </w:pPr>
    </w:p>
    <w:p w:rsidR="0053152B" w:rsidRPr="00D252D3" w:rsidRDefault="0053152B">
      <w:pPr>
        <w:ind w:left="0" w:firstLine="0"/>
      </w:pPr>
      <w:r w:rsidRPr="00D252D3">
        <w:t>PO</w:t>
      </w:r>
    </w:p>
    <w:p w:rsidR="0053152B" w:rsidRPr="00D252D3" w:rsidRDefault="0053152B">
      <w:pPr>
        <w:ind w:left="0" w:firstLine="0"/>
      </w:pPr>
      <w:r w:rsidRPr="00D252D3">
        <w:t>UT</w:t>
      </w:r>
    </w:p>
    <w:p w:rsidR="0053152B" w:rsidRPr="00D252D3" w:rsidRDefault="0053152B">
      <w:pPr>
        <w:ind w:left="0" w:firstLine="0"/>
      </w:pPr>
      <w:r w:rsidRPr="00D252D3">
        <w:t>ST</w:t>
      </w:r>
    </w:p>
    <w:p w:rsidR="0053152B" w:rsidRPr="00D252D3" w:rsidRDefault="0053152B">
      <w:pPr>
        <w:ind w:left="0" w:firstLine="0"/>
      </w:pPr>
      <w:r w:rsidRPr="00D252D3">
        <w:t>ŠT</w:t>
      </w:r>
    </w:p>
    <w:p w:rsidR="0053152B" w:rsidRPr="00D252D3" w:rsidRDefault="0053152B">
      <w:pPr>
        <w:ind w:left="0" w:firstLine="0"/>
      </w:pPr>
      <w:r w:rsidRPr="00D252D3">
        <w:t>PIA</w:t>
      </w:r>
    </w:p>
    <w:p w:rsidR="0053152B" w:rsidRPr="00D252D3" w:rsidRDefault="0053152B">
      <w:pPr>
        <w:ind w:left="0" w:firstLine="0"/>
      </w:pPr>
      <w:r w:rsidRPr="00D252D3">
        <w:t>SO</w:t>
      </w:r>
    </w:p>
    <w:p w:rsidR="0053152B" w:rsidRPr="00D252D3" w:rsidRDefault="0053152B">
      <w:pPr>
        <w:ind w:left="0" w:firstLine="0"/>
      </w:pPr>
      <w:r w:rsidRPr="00D252D3">
        <w:t>NE</w:t>
      </w:r>
    </w:p>
    <w:p w:rsidR="0053152B" w:rsidRPr="00D252D3" w:rsidRDefault="0053152B">
      <w:pPr>
        <w:rPr>
          <w:b/>
        </w:rPr>
      </w:pPr>
      <w:r w:rsidRPr="00D252D3">
        <w:rPr>
          <w:b/>
          <w:u w:val="single"/>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152B" w:rsidRPr="00D252D3">
        <w:tblPrEx>
          <w:tblCellMar>
            <w:top w:w="0" w:type="dxa"/>
            <w:bottom w:w="0" w:type="dxa"/>
          </w:tblCellMar>
        </w:tblPrEx>
        <w:tc>
          <w:tcPr>
            <w:tcW w:w="9287" w:type="dxa"/>
          </w:tcPr>
          <w:p w:rsidR="0053152B" w:rsidRPr="00D252D3" w:rsidRDefault="0053152B">
            <w:pPr>
              <w:ind w:left="0" w:firstLine="0"/>
              <w:rPr>
                <w:b/>
              </w:rPr>
            </w:pPr>
            <w:r w:rsidRPr="00D252D3">
              <w:rPr>
                <w:b/>
              </w:rPr>
              <w:t xml:space="preserve">MINIMÁLNE ÚDAJE, KTORÉ MAJÚ BYŤ UVEDENÉ </w:t>
            </w:r>
            <w:smartTag w:uri="urn:schemas-microsoft-com:office:smarttags" w:element="stockticker">
              <w:r w:rsidRPr="00D252D3">
                <w:rPr>
                  <w:b/>
                </w:rPr>
                <w:t>NA</w:t>
              </w:r>
            </w:smartTag>
            <w:r w:rsidRPr="00D252D3">
              <w:rPr>
                <w:b/>
              </w:rPr>
              <w:t xml:space="preserve"> BLISTROCH ALEBO STRIPOCH</w:t>
            </w:r>
          </w:p>
          <w:p w:rsidR="0053152B" w:rsidRPr="00D252D3" w:rsidRDefault="0053152B">
            <w:pPr>
              <w:rPr>
                <w:b/>
              </w:rPr>
            </w:pPr>
          </w:p>
          <w:p w:rsidR="0053152B" w:rsidRPr="00D252D3" w:rsidRDefault="0053152B">
            <w:pPr>
              <w:rPr>
                <w:b/>
              </w:rPr>
            </w:pPr>
            <w:r w:rsidRPr="00D252D3">
              <w:rPr>
                <w:b/>
              </w:rPr>
              <w:t>Blister</w:t>
            </w:r>
            <w:r w:rsidRPr="00D252D3">
              <w:t xml:space="preserve"> </w:t>
            </w:r>
            <w:r w:rsidRPr="00D252D3">
              <w:rPr>
                <w:b/>
              </w:rPr>
              <w:t>so 7 alebo 10 jednotlivými dávkami alebo iný ako 7 početný blister</w:t>
            </w:r>
          </w:p>
        </w:tc>
      </w:tr>
    </w:tbl>
    <w:p w:rsidR="0053152B" w:rsidRPr="00D252D3" w:rsidRDefault="0053152B"/>
    <w:p w:rsidR="0053152B" w:rsidRPr="00D252D3" w:rsidRDefault="0053152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152B" w:rsidRPr="00D252D3">
        <w:tblPrEx>
          <w:tblCellMar>
            <w:top w:w="0" w:type="dxa"/>
            <w:bottom w:w="0" w:type="dxa"/>
          </w:tblCellMar>
        </w:tblPrEx>
        <w:tc>
          <w:tcPr>
            <w:tcW w:w="9287" w:type="dxa"/>
          </w:tcPr>
          <w:p w:rsidR="0053152B" w:rsidRPr="00D252D3" w:rsidRDefault="0053152B">
            <w:pPr>
              <w:tabs>
                <w:tab w:val="left" w:pos="142"/>
              </w:tabs>
              <w:rPr>
                <w:b/>
              </w:rPr>
            </w:pPr>
            <w:r w:rsidRPr="00D252D3">
              <w:rPr>
                <w:b/>
              </w:rPr>
              <w:t>1.</w:t>
            </w:r>
            <w:r w:rsidRPr="00D252D3">
              <w:rPr>
                <w:b/>
              </w:rPr>
              <w:tab/>
              <w:t>NÁZOV LIEKU</w:t>
            </w:r>
          </w:p>
        </w:tc>
      </w:tr>
    </w:tbl>
    <w:p w:rsidR="0053152B" w:rsidRPr="00D252D3" w:rsidRDefault="0053152B"/>
    <w:p w:rsidR="0053152B" w:rsidRPr="00D252D3" w:rsidRDefault="0053152B">
      <w:r w:rsidRPr="00D252D3">
        <w:t>MicardisPlus 40 mg/12,5 mg tablety</w:t>
      </w:r>
    </w:p>
    <w:p w:rsidR="0053152B" w:rsidRPr="00D252D3" w:rsidRDefault="0053152B">
      <w:r w:rsidRPr="00D252D3">
        <w:t>telmisartan/hydrochlorotiazid</w:t>
      </w:r>
    </w:p>
    <w:p w:rsidR="0053152B" w:rsidRPr="00D252D3" w:rsidRDefault="0053152B"/>
    <w:p w:rsidR="0053152B" w:rsidRPr="00D252D3" w:rsidRDefault="0053152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152B" w:rsidRPr="00D252D3">
        <w:tblPrEx>
          <w:tblCellMar>
            <w:top w:w="0" w:type="dxa"/>
            <w:bottom w:w="0" w:type="dxa"/>
          </w:tblCellMar>
        </w:tblPrEx>
        <w:tc>
          <w:tcPr>
            <w:tcW w:w="9287" w:type="dxa"/>
          </w:tcPr>
          <w:p w:rsidR="0053152B" w:rsidRPr="00D252D3" w:rsidRDefault="0053152B">
            <w:pPr>
              <w:tabs>
                <w:tab w:val="left" w:pos="142"/>
              </w:tabs>
              <w:rPr>
                <w:b/>
              </w:rPr>
            </w:pPr>
            <w:r w:rsidRPr="00D252D3">
              <w:rPr>
                <w:b/>
              </w:rPr>
              <w:t>2.</w:t>
            </w:r>
            <w:r w:rsidRPr="00D252D3">
              <w:rPr>
                <w:b/>
              </w:rPr>
              <w:tab/>
              <w:t>NÁZOV DRŽITEĽA ROZHODNUTIA O REGISTRÁCII</w:t>
            </w:r>
          </w:p>
        </w:tc>
      </w:tr>
    </w:tbl>
    <w:p w:rsidR="0053152B" w:rsidRPr="00D252D3" w:rsidRDefault="0053152B"/>
    <w:p w:rsidR="0053152B" w:rsidRPr="00D252D3" w:rsidRDefault="0053152B">
      <w:r w:rsidRPr="00D252D3">
        <w:t>Boehringer Ingelheim (</w:t>
      </w:r>
      <w:r w:rsidRPr="00D252D3">
        <w:rPr>
          <w:highlight w:val="lightGray"/>
        </w:rPr>
        <w:t>Logo</w:t>
      </w:r>
      <w:r w:rsidRPr="00D252D3">
        <w:t>)</w:t>
      </w:r>
    </w:p>
    <w:p w:rsidR="0053152B" w:rsidRPr="00D252D3" w:rsidRDefault="0053152B"/>
    <w:p w:rsidR="0053152B" w:rsidRPr="00D252D3" w:rsidRDefault="0053152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152B" w:rsidRPr="00D252D3">
        <w:tblPrEx>
          <w:tblCellMar>
            <w:top w:w="0" w:type="dxa"/>
            <w:bottom w:w="0" w:type="dxa"/>
          </w:tblCellMar>
        </w:tblPrEx>
        <w:tc>
          <w:tcPr>
            <w:tcW w:w="9287" w:type="dxa"/>
          </w:tcPr>
          <w:p w:rsidR="0053152B" w:rsidRPr="00D252D3" w:rsidRDefault="0053152B">
            <w:pPr>
              <w:tabs>
                <w:tab w:val="left" w:pos="142"/>
              </w:tabs>
              <w:rPr>
                <w:b/>
              </w:rPr>
            </w:pPr>
            <w:r w:rsidRPr="00D252D3">
              <w:rPr>
                <w:b/>
              </w:rPr>
              <w:t>3.</w:t>
            </w:r>
            <w:r w:rsidRPr="00D252D3">
              <w:rPr>
                <w:b/>
              </w:rPr>
              <w:tab/>
              <w:t>DÁTUM EXSPIRÁCIE</w:t>
            </w:r>
          </w:p>
        </w:tc>
      </w:tr>
    </w:tbl>
    <w:p w:rsidR="0053152B" w:rsidRPr="00D252D3" w:rsidRDefault="0053152B"/>
    <w:p w:rsidR="0053152B" w:rsidRPr="00D252D3" w:rsidRDefault="0053152B">
      <w:r w:rsidRPr="00D252D3">
        <w:t>EXP:</w:t>
      </w:r>
    </w:p>
    <w:p w:rsidR="0053152B" w:rsidRPr="00D252D3" w:rsidRDefault="0053152B"/>
    <w:p w:rsidR="0053152B" w:rsidRPr="00D252D3" w:rsidRDefault="0053152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152B" w:rsidRPr="00D252D3">
        <w:tblPrEx>
          <w:tblCellMar>
            <w:top w:w="0" w:type="dxa"/>
            <w:bottom w:w="0" w:type="dxa"/>
          </w:tblCellMar>
        </w:tblPrEx>
        <w:tc>
          <w:tcPr>
            <w:tcW w:w="9287" w:type="dxa"/>
          </w:tcPr>
          <w:p w:rsidR="0053152B" w:rsidRPr="00D252D3" w:rsidRDefault="0053152B">
            <w:pPr>
              <w:tabs>
                <w:tab w:val="left" w:pos="142"/>
              </w:tabs>
              <w:rPr>
                <w:b/>
              </w:rPr>
            </w:pPr>
            <w:r w:rsidRPr="00D252D3">
              <w:rPr>
                <w:b/>
              </w:rPr>
              <w:t>4.</w:t>
            </w:r>
            <w:r w:rsidRPr="00D252D3">
              <w:rPr>
                <w:b/>
              </w:rPr>
              <w:tab/>
              <w:t>ČÍSLO VÝROBNEJ ŠARŽE</w:t>
            </w:r>
          </w:p>
        </w:tc>
      </w:tr>
    </w:tbl>
    <w:p w:rsidR="0053152B" w:rsidRPr="00D252D3" w:rsidRDefault="0053152B"/>
    <w:p w:rsidR="0053152B" w:rsidRPr="00D252D3" w:rsidRDefault="0053152B">
      <w:pPr>
        <w:ind w:left="0" w:firstLine="0"/>
        <w:rPr>
          <w:szCs w:val="22"/>
        </w:rPr>
      </w:pPr>
      <w:r w:rsidRPr="00D252D3">
        <w:rPr>
          <w:szCs w:val="22"/>
        </w:rPr>
        <w:t>Lot</w:t>
      </w:r>
    </w:p>
    <w:p w:rsidR="0053152B" w:rsidRPr="00D252D3" w:rsidRDefault="0053152B">
      <w:pPr>
        <w:ind w:left="0" w:firstLine="0"/>
      </w:pPr>
    </w:p>
    <w:p w:rsidR="0053152B" w:rsidRPr="00D252D3" w:rsidRDefault="0053152B">
      <w:pPr>
        <w:ind w:left="0" w:firstLine="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152B" w:rsidRPr="00D252D3">
        <w:tblPrEx>
          <w:tblCellMar>
            <w:top w:w="0" w:type="dxa"/>
            <w:bottom w:w="0" w:type="dxa"/>
          </w:tblCellMar>
        </w:tblPrEx>
        <w:tc>
          <w:tcPr>
            <w:tcW w:w="9287" w:type="dxa"/>
          </w:tcPr>
          <w:p w:rsidR="0053152B" w:rsidRPr="00D252D3" w:rsidRDefault="0053152B">
            <w:pPr>
              <w:tabs>
                <w:tab w:val="left" w:pos="142"/>
              </w:tabs>
              <w:rPr>
                <w:b/>
                <w:szCs w:val="22"/>
              </w:rPr>
            </w:pPr>
            <w:r w:rsidRPr="00D252D3">
              <w:rPr>
                <w:b/>
                <w:szCs w:val="22"/>
              </w:rPr>
              <w:t>5.</w:t>
            </w:r>
            <w:r w:rsidRPr="00D252D3">
              <w:rPr>
                <w:b/>
                <w:szCs w:val="22"/>
              </w:rPr>
              <w:tab/>
              <w:t>INÉ</w:t>
            </w:r>
          </w:p>
        </w:tc>
      </w:tr>
    </w:tbl>
    <w:p w:rsidR="0053152B" w:rsidRPr="00D252D3" w:rsidRDefault="0053152B">
      <w:pPr>
        <w:ind w:left="0" w:firstLine="0"/>
      </w:pPr>
    </w:p>
    <w:p w:rsidR="0053152B" w:rsidRPr="00D252D3" w:rsidRDefault="0053152B">
      <w:r w:rsidRPr="00D252D3">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152B" w:rsidRPr="00D252D3" w:rsidTr="000D7A2C">
        <w:tblPrEx>
          <w:tblCellMar>
            <w:top w:w="0" w:type="dxa"/>
            <w:bottom w:w="0" w:type="dxa"/>
          </w:tblCellMar>
        </w:tblPrEx>
        <w:trPr>
          <w:trHeight w:val="788"/>
        </w:trPr>
        <w:tc>
          <w:tcPr>
            <w:tcW w:w="9287" w:type="dxa"/>
            <w:tcBorders>
              <w:bottom w:val="single" w:sz="4" w:space="0" w:color="auto"/>
            </w:tcBorders>
          </w:tcPr>
          <w:p w:rsidR="0053152B" w:rsidRPr="00D252D3" w:rsidRDefault="0053152B">
            <w:pPr>
              <w:ind w:left="0" w:firstLine="0"/>
              <w:rPr>
                <w:b/>
                <w:strike/>
              </w:rPr>
            </w:pPr>
            <w:r w:rsidRPr="00D252D3">
              <w:rPr>
                <w:b/>
              </w:rPr>
              <w:t xml:space="preserve">ÚDAJE, KTORÉ MAJÚ BYŤ UVEDENÉ </w:t>
            </w:r>
            <w:smartTag w:uri="urn:schemas-microsoft-com:office:smarttags" w:element="stockticker">
              <w:r w:rsidRPr="00D252D3">
                <w:rPr>
                  <w:b/>
                </w:rPr>
                <w:t>NA</w:t>
              </w:r>
            </w:smartTag>
            <w:r w:rsidRPr="00D252D3">
              <w:rPr>
                <w:b/>
              </w:rPr>
              <w:t xml:space="preserve"> VONKAJŠOM OBALE </w:t>
            </w:r>
          </w:p>
          <w:p w:rsidR="0053152B" w:rsidRPr="00D252D3" w:rsidRDefault="0053152B">
            <w:pPr>
              <w:rPr>
                <w:b/>
              </w:rPr>
            </w:pPr>
          </w:p>
          <w:p w:rsidR="0053152B" w:rsidRPr="00D252D3" w:rsidRDefault="0053152B">
            <w:pPr>
              <w:ind w:left="0" w:firstLine="0"/>
            </w:pPr>
            <w:r w:rsidRPr="00D252D3">
              <w:rPr>
                <w:b/>
              </w:rPr>
              <w:t>Škatuľka</w:t>
            </w:r>
          </w:p>
        </w:tc>
      </w:tr>
    </w:tbl>
    <w:p w:rsidR="0053152B" w:rsidRPr="00D252D3" w:rsidRDefault="0053152B"/>
    <w:p w:rsidR="0053152B" w:rsidRPr="00D252D3" w:rsidRDefault="0053152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152B" w:rsidRPr="00D252D3">
        <w:tblPrEx>
          <w:tblCellMar>
            <w:top w:w="0" w:type="dxa"/>
            <w:bottom w:w="0" w:type="dxa"/>
          </w:tblCellMar>
        </w:tblPrEx>
        <w:tc>
          <w:tcPr>
            <w:tcW w:w="9287" w:type="dxa"/>
          </w:tcPr>
          <w:p w:rsidR="0053152B" w:rsidRPr="00D252D3" w:rsidRDefault="0053152B">
            <w:pPr>
              <w:tabs>
                <w:tab w:val="left" w:pos="142"/>
              </w:tabs>
              <w:rPr>
                <w:b/>
              </w:rPr>
            </w:pPr>
            <w:r w:rsidRPr="00D252D3">
              <w:rPr>
                <w:b/>
              </w:rPr>
              <w:t>1.</w:t>
            </w:r>
            <w:r w:rsidRPr="00D252D3">
              <w:rPr>
                <w:b/>
              </w:rPr>
              <w:tab/>
              <w:t>NÁZOV LIEKU</w:t>
            </w:r>
          </w:p>
        </w:tc>
      </w:tr>
    </w:tbl>
    <w:p w:rsidR="0053152B" w:rsidRPr="00D252D3" w:rsidRDefault="0053152B"/>
    <w:p w:rsidR="0053152B" w:rsidRPr="00D252D3" w:rsidRDefault="0053152B">
      <w:r w:rsidRPr="00D252D3">
        <w:t>MicardisPlus 80 mg/12,5 mg tablety</w:t>
      </w:r>
    </w:p>
    <w:p w:rsidR="0053152B" w:rsidRPr="00D252D3" w:rsidRDefault="0053152B">
      <w:r w:rsidRPr="00D252D3">
        <w:t>telmisartan/hydrochlorotiazid</w:t>
      </w:r>
    </w:p>
    <w:p w:rsidR="0053152B" w:rsidRPr="00D252D3" w:rsidRDefault="0053152B"/>
    <w:p w:rsidR="0053152B" w:rsidRPr="00D252D3" w:rsidRDefault="0053152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152B" w:rsidRPr="00D252D3">
        <w:tblPrEx>
          <w:tblCellMar>
            <w:top w:w="0" w:type="dxa"/>
            <w:bottom w:w="0" w:type="dxa"/>
          </w:tblCellMar>
        </w:tblPrEx>
        <w:tc>
          <w:tcPr>
            <w:tcW w:w="9287" w:type="dxa"/>
          </w:tcPr>
          <w:p w:rsidR="0053152B" w:rsidRPr="00D252D3" w:rsidRDefault="0053152B">
            <w:pPr>
              <w:tabs>
                <w:tab w:val="left" w:pos="142"/>
              </w:tabs>
              <w:rPr>
                <w:b/>
              </w:rPr>
            </w:pPr>
            <w:r w:rsidRPr="00D252D3">
              <w:rPr>
                <w:b/>
              </w:rPr>
              <w:t>2.</w:t>
            </w:r>
            <w:r w:rsidRPr="00D252D3">
              <w:rPr>
                <w:b/>
              </w:rPr>
              <w:tab/>
              <w:t>LIEČIVO (LIEČIVÁ)</w:t>
            </w:r>
          </w:p>
        </w:tc>
      </w:tr>
    </w:tbl>
    <w:p w:rsidR="0053152B" w:rsidRPr="00D252D3" w:rsidRDefault="0053152B"/>
    <w:p w:rsidR="0053152B" w:rsidRPr="00D252D3" w:rsidRDefault="0053152B">
      <w:r w:rsidRPr="00D252D3">
        <w:t>Každá tableta obsahuje 80 mg telmisartanu a 12,5 mg hydrochlorotiazidu.</w:t>
      </w:r>
    </w:p>
    <w:p w:rsidR="0053152B" w:rsidRPr="00D252D3" w:rsidRDefault="0053152B"/>
    <w:p w:rsidR="0053152B" w:rsidRPr="00D252D3" w:rsidRDefault="0053152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152B" w:rsidRPr="00D252D3">
        <w:tblPrEx>
          <w:tblCellMar>
            <w:top w:w="0" w:type="dxa"/>
            <w:bottom w:w="0" w:type="dxa"/>
          </w:tblCellMar>
        </w:tblPrEx>
        <w:tc>
          <w:tcPr>
            <w:tcW w:w="9287" w:type="dxa"/>
          </w:tcPr>
          <w:p w:rsidR="0053152B" w:rsidRPr="00D252D3" w:rsidRDefault="0053152B">
            <w:pPr>
              <w:tabs>
                <w:tab w:val="left" w:pos="142"/>
              </w:tabs>
              <w:rPr>
                <w:b/>
              </w:rPr>
            </w:pPr>
            <w:r w:rsidRPr="00D252D3">
              <w:rPr>
                <w:b/>
              </w:rPr>
              <w:t>3.</w:t>
            </w:r>
            <w:r w:rsidRPr="00D252D3">
              <w:rPr>
                <w:b/>
              </w:rPr>
              <w:tab/>
              <w:t>ZOZNAM POMOCNÝCH LÁTOK</w:t>
            </w:r>
          </w:p>
        </w:tc>
      </w:tr>
    </w:tbl>
    <w:p w:rsidR="0053152B" w:rsidRPr="00D252D3" w:rsidRDefault="0053152B"/>
    <w:p w:rsidR="0053152B" w:rsidRPr="00D252D3" w:rsidRDefault="0053152B">
      <w:r w:rsidRPr="00D252D3">
        <w:t>Obsahuje monohydrát laktózy a sorbitol (E420).</w:t>
      </w:r>
    </w:p>
    <w:p w:rsidR="0053152B" w:rsidRPr="00D252D3" w:rsidRDefault="0053152B">
      <w:pPr>
        <w:rPr>
          <w:szCs w:val="22"/>
        </w:rPr>
      </w:pPr>
      <w:r w:rsidRPr="00D252D3">
        <w:rPr>
          <w:szCs w:val="22"/>
        </w:rPr>
        <w:t>Pre ďalšie informácie si prečítajte písomnú informáciu pre používateľa.</w:t>
      </w:r>
    </w:p>
    <w:p w:rsidR="0053152B" w:rsidRPr="00D252D3" w:rsidRDefault="0053152B"/>
    <w:p w:rsidR="0053152B" w:rsidRPr="00D252D3" w:rsidRDefault="0053152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152B" w:rsidRPr="00D252D3">
        <w:tblPrEx>
          <w:tblCellMar>
            <w:top w:w="0" w:type="dxa"/>
            <w:bottom w:w="0" w:type="dxa"/>
          </w:tblCellMar>
        </w:tblPrEx>
        <w:tc>
          <w:tcPr>
            <w:tcW w:w="9287" w:type="dxa"/>
          </w:tcPr>
          <w:p w:rsidR="0053152B" w:rsidRPr="00D252D3" w:rsidRDefault="0053152B">
            <w:pPr>
              <w:tabs>
                <w:tab w:val="left" w:pos="142"/>
              </w:tabs>
              <w:rPr>
                <w:b/>
              </w:rPr>
            </w:pPr>
            <w:r w:rsidRPr="00D252D3">
              <w:rPr>
                <w:b/>
              </w:rPr>
              <w:t>4.</w:t>
            </w:r>
            <w:r w:rsidRPr="00D252D3">
              <w:rPr>
                <w:b/>
              </w:rPr>
              <w:tab/>
              <w:t>LIEKOVÁ FORMA A OBSAH</w:t>
            </w:r>
          </w:p>
        </w:tc>
      </w:tr>
    </w:tbl>
    <w:p w:rsidR="0053152B" w:rsidRPr="00D252D3" w:rsidRDefault="0053152B"/>
    <w:p w:rsidR="0053152B" w:rsidRPr="00D252D3" w:rsidRDefault="0053152B">
      <w:r w:rsidRPr="00D252D3">
        <w:t>14 tabliet</w:t>
      </w:r>
    </w:p>
    <w:p w:rsidR="0053152B" w:rsidRPr="00D252D3" w:rsidRDefault="0053152B">
      <w:r w:rsidRPr="00D252D3">
        <w:rPr>
          <w:shd w:val="clear" w:color="auto" w:fill="C0C0C0"/>
        </w:rPr>
        <w:t>28 tabliet</w:t>
      </w:r>
    </w:p>
    <w:p w:rsidR="0053152B" w:rsidRPr="00D252D3" w:rsidRDefault="0053152B">
      <w:r w:rsidRPr="00D252D3">
        <w:rPr>
          <w:shd w:val="clear" w:color="auto" w:fill="C0C0C0"/>
        </w:rPr>
        <w:t>30 x 1 tableta</w:t>
      </w:r>
    </w:p>
    <w:p w:rsidR="0053152B" w:rsidRPr="00D252D3" w:rsidRDefault="0053152B">
      <w:r w:rsidRPr="00D252D3">
        <w:rPr>
          <w:shd w:val="clear" w:color="auto" w:fill="C0C0C0"/>
        </w:rPr>
        <w:t>56 tabliet</w:t>
      </w:r>
    </w:p>
    <w:p w:rsidR="0053152B" w:rsidRPr="00D252D3" w:rsidRDefault="0053152B">
      <w:r w:rsidRPr="00D252D3">
        <w:rPr>
          <w:shd w:val="clear" w:color="auto" w:fill="C0C0C0"/>
        </w:rPr>
        <w:t>84 tabliet</w:t>
      </w:r>
    </w:p>
    <w:p w:rsidR="0053152B" w:rsidRPr="00D252D3" w:rsidRDefault="0053152B">
      <w:r w:rsidRPr="00D252D3">
        <w:rPr>
          <w:shd w:val="clear" w:color="auto" w:fill="C0C0C0"/>
        </w:rPr>
        <w:t>90 x 1 tableta</w:t>
      </w:r>
    </w:p>
    <w:p w:rsidR="0053152B" w:rsidRPr="00D252D3" w:rsidRDefault="0053152B">
      <w:r w:rsidRPr="00D252D3">
        <w:rPr>
          <w:shd w:val="clear" w:color="auto" w:fill="C0C0C0"/>
        </w:rPr>
        <w:t>98 tabliet</w:t>
      </w:r>
    </w:p>
    <w:p w:rsidR="0053152B" w:rsidRPr="00D252D3" w:rsidRDefault="0053152B">
      <w:r w:rsidRPr="00D252D3">
        <w:rPr>
          <w:shd w:val="clear" w:color="auto" w:fill="C0C0C0"/>
        </w:rPr>
        <w:t>28 x 1 tableta</w:t>
      </w:r>
    </w:p>
    <w:p w:rsidR="0053152B" w:rsidRPr="00D252D3" w:rsidRDefault="0053152B"/>
    <w:p w:rsidR="0053152B" w:rsidRPr="00D252D3" w:rsidRDefault="0053152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152B" w:rsidRPr="00D252D3">
        <w:tblPrEx>
          <w:tblCellMar>
            <w:top w:w="0" w:type="dxa"/>
            <w:bottom w:w="0" w:type="dxa"/>
          </w:tblCellMar>
        </w:tblPrEx>
        <w:tc>
          <w:tcPr>
            <w:tcW w:w="9287" w:type="dxa"/>
          </w:tcPr>
          <w:p w:rsidR="0053152B" w:rsidRPr="00D252D3" w:rsidRDefault="0053152B">
            <w:pPr>
              <w:tabs>
                <w:tab w:val="left" w:pos="142"/>
              </w:tabs>
              <w:rPr>
                <w:b/>
              </w:rPr>
            </w:pPr>
            <w:r w:rsidRPr="00D252D3">
              <w:rPr>
                <w:b/>
              </w:rPr>
              <w:t>5.</w:t>
            </w:r>
            <w:r w:rsidRPr="00D252D3">
              <w:rPr>
                <w:b/>
              </w:rPr>
              <w:tab/>
              <w:t>SPÔSOB A CESTA</w:t>
            </w:r>
            <w:r w:rsidRPr="00D252D3">
              <w:rPr>
                <w:b/>
                <w:bCs/>
              </w:rPr>
              <w:t xml:space="preserve"> </w:t>
            </w:r>
            <w:r w:rsidRPr="00D252D3">
              <w:rPr>
                <w:b/>
              </w:rPr>
              <w:t>(CESTY) PODÁVANIA</w:t>
            </w:r>
          </w:p>
        </w:tc>
      </w:tr>
    </w:tbl>
    <w:p w:rsidR="0053152B" w:rsidRPr="00D252D3" w:rsidRDefault="0053152B"/>
    <w:p w:rsidR="0053152B" w:rsidRPr="00D252D3" w:rsidRDefault="0053152B">
      <w:r w:rsidRPr="00D252D3">
        <w:t>Na perorálne použitie</w:t>
      </w:r>
    </w:p>
    <w:p w:rsidR="0053152B" w:rsidRPr="00D252D3" w:rsidRDefault="0053152B">
      <w:r w:rsidRPr="00D252D3">
        <w:t>Pred použitím si prečítajte písomnú informáciu pre používateľa.</w:t>
      </w:r>
    </w:p>
    <w:p w:rsidR="0053152B" w:rsidRPr="00D252D3" w:rsidRDefault="0053152B"/>
    <w:p w:rsidR="0053152B" w:rsidRPr="00D252D3" w:rsidRDefault="0053152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152B" w:rsidRPr="00D252D3">
        <w:tblPrEx>
          <w:tblCellMar>
            <w:top w:w="0" w:type="dxa"/>
            <w:bottom w:w="0" w:type="dxa"/>
          </w:tblCellMar>
        </w:tblPrEx>
        <w:tc>
          <w:tcPr>
            <w:tcW w:w="9287" w:type="dxa"/>
          </w:tcPr>
          <w:p w:rsidR="0053152B" w:rsidRPr="00D252D3" w:rsidRDefault="0053152B">
            <w:pPr>
              <w:tabs>
                <w:tab w:val="left" w:pos="142"/>
              </w:tabs>
              <w:rPr>
                <w:b/>
              </w:rPr>
            </w:pPr>
            <w:r w:rsidRPr="00D252D3">
              <w:rPr>
                <w:b/>
              </w:rPr>
              <w:t>6.</w:t>
            </w:r>
            <w:r w:rsidRPr="00D252D3">
              <w:rPr>
                <w:b/>
              </w:rPr>
              <w:tab/>
              <w:t>ŠPECIÁLNE UPOZORNENIE, ŽE LIEK SA MUSÍ UCHOVÁVAŤ MIMO DOHĽADU A DOSAHU DETÍ</w:t>
            </w:r>
          </w:p>
        </w:tc>
      </w:tr>
    </w:tbl>
    <w:p w:rsidR="0053152B" w:rsidRPr="00D252D3" w:rsidRDefault="0053152B"/>
    <w:p w:rsidR="0053152B" w:rsidRPr="00D252D3" w:rsidRDefault="0053152B">
      <w:r w:rsidRPr="00D252D3">
        <w:t>Uchovávajte mimo dohľadu a dosahu detí.</w:t>
      </w:r>
    </w:p>
    <w:p w:rsidR="0053152B" w:rsidRPr="00D252D3" w:rsidRDefault="0053152B"/>
    <w:p w:rsidR="0053152B" w:rsidRPr="00D252D3" w:rsidRDefault="0053152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152B" w:rsidRPr="00D252D3">
        <w:tblPrEx>
          <w:tblCellMar>
            <w:top w:w="0" w:type="dxa"/>
            <w:bottom w:w="0" w:type="dxa"/>
          </w:tblCellMar>
        </w:tblPrEx>
        <w:tc>
          <w:tcPr>
            <w:tcW w:w="9287" w:type="dxa"/>
          </w:tcPr>
          <w:p w:rsidR="0053152B" w:rsidRPr="00D252D3" w:rsidRDefault="0053152B">
            <w:pPr>
              <w:tabs>
                <w:tab w:val="left" w:pos="142"/>
              </w:tabs>
              <w:rPr>
                <w:b/>
              </w:rPr>
            </w:pPr>
            <w:r w:rsidRPr="00D252D3">
              <w:rPr>
                <w:b/>
              </w:rPr>
              <w:t>7.</w:t>
            </w:r>
            <w:r w:rsidRPr="00D252D3">
              <w:rPr>
                <w:b/>
              </w:rPr>
              <w:tab/>
              <w:t>INÉ ŠPECIÁLNE UPOZORNENIE (UPOZORNENIA), AK JE TO POTREBNÉ</w:t>
            </w:r>
          </w:p>
        </w:tc>
      </w:tr>
    </w:tbl>
    <w:p w:rsidR="0053152B" w:rsidRPr="00D252D3" w:rsidRDefault="0053152B"/>
    <w:p w:rsidR="0053152B" w:rsidRPr="00D252D3" w:rsidRDefault="0053152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152B" w:rsidRPr="00D252D3">
        <w:tblPrEx>
          <w:tblCellMar>
            <w:top w:w="0" w:type="dxa"/>
            <w:bottom w:w="0" w:type="dxa"/>
          </w:tblCellMar>
        </w:tblPrEx>
        <w:tc>
          <w:tcPr>
            <w:tcW w:w="9287" w:type="dxa"/>
          </w:tcPr>
          <w:p w:rsidR="0053152B" w:rsidRPr="00D252D3" w:rsidRDefault="0053152B" w:rsidP="00AB164B">
            <w:pPr>
              <w:keepNext/>
              <w:tabs>
                <w:tab w:val="left" w:pos="142"/>
              </w:tabs>
              <w:rPr>
                <w:b/>
              </w:rPr>
            </w:pPr>
            <w:r w:rsidRPr="00D252D3">
              <w:rPr>
                <w:b/>
              </w:rPr>
              <w:t>8.</w:t>
            </w:r>
            <w:r w:rsidRPr="00D252D3">
              <w:rPr>
                <w:b/>
              </w:rPr>
              <w:tab/>
              <w:t>DÁTUM EXSPIRÁCIE</w:t>
            </w:r>
          </w:p>
        </w:tc>
      </w:tr>
    </w:tbl>
    <w:p w:rsidR="0053152B" w:rsidRPr="00D252D3" w:rsidRDefault="0053152B" w:rsidP="00AB164B">
      <w:pPr>
        <w:keepNext/>
      </w:pPr>
    </w:p>
    <w:p w:rsidR="0053152B" w:rsidRPr="00D252D3" w:rsidRDefault="0053152B">
      <w:r w:rsidRPr="00D252D3">
        <w:t>EXP</w:t>
      </w:r>
    </w:p>
    <w:p w:rsidR="0053152B" w:rsidRPr="00D252D3" w:rsidRDefault="0053152B">
      <w:pPr>
        <w:ind w:left="0" w:firstLine="0"/>
      </w:pPr>
    </w:p>
    <w:p w:rsidR="0053152B" w:rsidRPr="00D252D3" w:rsidRDefault="0053152B">
      <w:pPr>
        <w:ind w:left="0" w:firstLine="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152B" w:rsidRPr="00D252D3">
        <w:tblPrEx>
          <w:tblCellMar>
            <w:top w:w="0" w:type="dxa"/>
            <w:bottom w:w="0" w:type="dxa"/>
          </w:tblCellMar>
        </w:tblPrEx>
        <w:tc>
          <w:tcPr>
            <w:tcW w:w="9287" w:type="dxa"/>
          </w:tcPr>
          <w:p w:rsidR="0053152B" w:rsidRPr="00D252D3" w:rsidRDefault="0053152B" w:rsidP="00AB164B">
            <w:pPr>
              <w:keepNext/>
              <w:tabs>
                <w:tab w:val="left" w:pos="142"/>
              </w:tabs>
            </w:pPr>
            <w:r w:rsidRPr="00D252D3">
              <w:rPr>
                <w:b/>
              </w:rPr>
              <w:t>9.</w:t>
            </w:r>
            <w:r w:rsidRPr="00D252D3">
              <w:rPr>
                <w:b/>
              </w:rPr>
              <w:tab/>
              <w:t xml:space="preserve">ŠPECIÁLNE PODMIENKY </w:t>
            </w:r>
            <w:smartTag w:uri="urn:schemas-microsoft-com:office:smarttags" w:element="stockticker">
              <w:r w:rsidRPr="00D252D3">
                <w:rPr>
                  <w:b/>
                </w:rPr>
                <w:t>NA</w:t>
              </w:r>
            </w:smartTag>
            <w:r w:rsidRPr="00D252D3">
              <w:rPr>
                <w:b/>
              </w:rPr>
              <w:t xml:space="preserve"> UCHOVÁVANIE</w:t>
            </w:r>
          </w:p>
        </w:tc>
      </w:tr>
    </w:tbl>
    <w:p w:rsidR="0053152B" w:rsidRPr="00D252D3" w:rsidRDefault="0053152B" w:rsidP="00AB164B">
      <w:pPr>
        <w:keepNext/>
      </w:pPr>
    </w:p>
    <w:p w:rsidR="0053152B" w:rsidRPr="00D252D3" w:rsidRDefault="0053152B">
      <w:pPr>
        <w:rPr>
          <w:b/>
        </w:rPr>
      </w:pPr>
      <w:r w:rsidRPr="00D252D3">
        <w:rPr>
          <w:b/>
          <w:snapToGrid w:val="0"/>
          <w:lang w:eastAsia="cs-CZ"/>
        </w:rPr>
        <w:t>Tento liek nevyžaduje žiadne zvláštne teplotné podmienky na uchovávanie.</w:t>
      </w:r>
    </w:p>
    <w:p w:rsidR="0053152B" w:rsidRPr="00D252D3" w:rsidRDefault="0053152B">
      <w:pPr>
        <w:rPr>
          <w:b/>
        </w:rPr>
      </w:pPr>
      <w:r w:rsidRPr="00D252D3">
        <w:rPr>
          <w:b/>
        </w:rPr>
        <w:t>Uchovávajte v pôvodnom balení, na ochranu pred vlhkosťou.</w:t>
      </w:r>
    </w:p>
    <w:p w:rsidR="0053152B" w:rsidRPr="00D252D3" w:rsidRDefault="0053152B"/>
    <w:p w:rsidR="0053152B" w:rsidRPr="00D252D3" w:rsidRDefault="0053152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152B" w:rsidRPr="00D252D3">
        <w:tblPrEx>
          <w:tblCellMar>
            <w:top w:w="0" w:type="dxa"/>
            <w:bottom w:w="0" w:type="dxa"/>
          </w:tblCellMar>
        </w:tblPrEx>
        <w:tc>
          <w:tcPr>
            <w:tcW w:w="9287" w:type="dxa"/>
          </w:tcPr>
          <w:p w:rsidR="0053152B" w:rsidRPr="00D252D3" w:rsidRDefault="0053152B">
            <w:pPr>
              <w:tabs>
                <w:tab w:val="left" w:pos="142"/>
              </w:tabs>
              <w:rPr>
                <w:b/>
              </w:rPr>
            </w:pPr>
            <w:r w:rsidRPr="00D252D3">
              <w:rPr>
                <w:b/>
              </w:rPr>
              <w:t>10.</w:t>
            </w:r>
            <w:r w:rsidRPr="00D252D3">
              <w:rPr>
                <w:b/>
              </w:rPr>
              <w:tab/>
              <w:t xml:space="preserve">ŠPECIÁLNE UPOZORNENIA </w:t>
            </w:r>
            <w:smartTag w:uri="urn:schemas-microsoft-com:office:smarttags" w:element="stockticker">
              <w:r w:rsidRPr="00D252D3">
                <w:rPr>
                  <w:b/>
                </w:rPr>
                <w:t>NA</w:t>
              </w:r>
            </w:smartTag>
            <w:r w:rsidRPr="00D252D3">
              <w:rPr>
                <w:b/>
              </w:rPr>
              <w:t xml:space="preserve"> LIKVIDÁCIU NEPOUŽITÝCH LIEKOV ALEBO ODPADOV Z NICH VZNIKNUTÝCH, AK JE TO VHODNÉ</w:t>
            </w:r>
          </w:p>
        </w:tc>
      </w:tr>
    </w:tbl>
    <w:p w:rsidR="0053152B" w:rsidRPr="00D252D3" w:rsidRDefault="0053152B"/>
    <w:p w:rsidR="0053152B" w:rsidRPr="00D252D3" w:rsidRDefault="0053152B">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152B" w:rsidRPr="00D252D3">
        <w:tblPrEx>
          <w:tblCellMar>
            <w:top w:w="0" w:type="dxa"/>
            <w:bottom w:w="0" w:type="dxa"/>
          </w:tblCellMar>
        </w:tblPrEx>
        <w:tc>
          <w:tcPr>
            <w:tcW w:w="9287" w:type="dxa"/>
          </w:tcPr>
          <w:p w:rsidR="0053152B" w:rsidRPr="00D252D3" w:rsidRDefault="0053152B">
            <w:pPr>
              <w:tabs>
                <w:tab w:val="left" w:pos="142"/>
              </w:tabs>
              <w:rPr>
                <w:b/>
                <w:szCs w:val="22"/>
              </w:rPr>
            </w:pPr>
            <w:r w:rsidRPr="00D252D3">
              <w:rPr>
                <w:b/>
                <w:szCs w:val="22"/>
              </w:rPr>
              <w:t>11.</w:t>
            </w:r>
            <w:r w:rsidRPr="00D252D3">
              <w:rPr>
                <w:b/>
                <w:szCs w:val="22"/>
              </w:rPr>
              <w:tab/>
              <w:t>NÁZOV A ADRESA DRŽITEĽA ROZHODNUTIA O REGISTRÁCII</w:t>
            </w:r>
          </w:p>
        </w:tc>
      </w:tr>
    </w:tbl>
    <w:p w:rsidR="0053152B" w:rsidRPr="00D252D3" w:rsidRDefault="0053152B">
      <w:pPr>
        <w:rPr>
          <w:szCs w:val="22"/>
        </w:rPr>
      </w:pPr>
    </w:p>
    <w:p w:rsidR="0053152B" w:rsidRPr="00D252D3" w:rsidRDefault="0053152B">
      <w:pPr>
        <w:rPr>
          <w:szCs w:val="22"/>
        </w:rPr>
      </w:pPr>
      <w:r w:rsidRPr="00D252D3">
        <w:rPr>
          <w:szCs w:val="22"/>
        </w:rPr>
        <w:t>Boehringer Ingelheim International GmbH</w:t>
      </w:r>
    </w:p>
    <w:p w:rsidR="0053152B" w:rsidRPr="00D252D3" w:rsidRDefault="0053152B">
      <w:pPr>
        <w:rPr>
          <w:szCs w:val="22"/>
        </w:rPr>
      </w:pPr>
      <w:r w:rsidRPr="00D252D3">
        <w:rPr>
          <w:szCs w:val="22"/>
        </w:rPr>
        <w:t>Binger Str. 173</w:t>
      </w:r>
    </w:p>
    <w:p w:rsidR="0053152B" w:rsidRPr="00D252D3" w:rsidRDefault="0053152B">
      <w:pPr>
        <w:rPr>
          <w:szCs w:val="22"/>
        </w:rPr>
      </w:pPr>
      <w:r w:rsidRPr="00D252D3">
        <w:rPr>
          <w:szCs w:val="22"/>
        </w:rPr>
        <w:t>D-55216 Ingelheim nad Rýnom</w:t>
      </w:r>
    </w:p>
    <w:p w:rsidR="0053152B" w:rsidRPr="00D252D3" w:rsidRDefault="0053152B">
      <w:pPr>
        <w:rPr>
          <w:szCs w:val="22"/>
        </w:rPr>
      </w:pPr>
      <w:r w:rsidRPr="00D252D3">
        <w:rPr>
          <w:szCs w:val="22"/>
        </w:rPr>
        <w:t>Nemecko</w:t>
      </w:r>
    </w:p>
    <w:p w:rsidR="0053152B" w:rsidRPr="00D252D3" w:rsidRDefault="0053152B">
      <w:pPr>
        <w:rPr>
          <w:szCs w:val="22"/>
        </w:rPr>
      </w:pPr>
    </w:p>
    <w:p w:rsidR="0053152B" w:rsidRPr="00D252D3" w:rsidRDefault="0053152B">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152B" w:rsidRPr="00D252D3">
        <w:tblPrEx>
          <w:tblCellMar>
            <w:top w:w="0" w:type="dxa"/>
            <w:bottom w:w="0" w:type="dxa"/>
          </w:tblCellMar>
        </w:tblPrEx>
        <w:tc>
          <w:tcPr>
            <w:tcW w:w="9287" w:type="dxa"/>
          </w:tcPr>
          <w:p w:rsidR="0053152B" w:rsidRPr="00D252D3" w:rsidRDefault="0053152B">
            <w:pPr>
              <w:tabs>
                <w:tab w:val="left" w:pos="142"/>
              </w:tabs>
              <w:rPr>
                <w:b/>
                <w:szCs w:val="22"/>
              </w:rPr>
            </w:pPr>
            <w:r w:rsidRPr="00D252D3">
              <w:rPr>
                <w:b/>
                <w:szCs w:val="22"/>
              </w:rPr>
              <w:t>12.</w:t>
            </w:r>
            <w:r w:rsidRPr="00D252D3">
              <w:rPr>
                <w:b/>
                <w:szCs w:val="22"/>
              </w:rPr>
              <w:tab/>
              <w:t>REGISTRAČNÉ ČÍSLA</w:t>
            </w:r>
          </w:p>
        </w:tc>
      </w:tr>
    </w:tbl>
    <w:p w:rsidR="0053152B" w:rsidRPr="00D252D3" w:rsidRDefault="0053152B">
      <w:pPr>
        <w:rPr>
          <w:szCs w:val="22"/>
        </w:rPr>
      </w:pPr>
    </w:p>
    <w:p w:rsidR="0053152B" w:rsidRPr="00D252D3" w:rsidRDefault="0053152B">
      <w:pPr>
        <w:rPr>
          <w:szCs w:val="22"/>
        </w:rPr>
      </w:pPr>
      <w:r w:rsidRPr="00D252D3">
        <w:rPr>
          <w:szCs w:val="22"/>
        </w:rPr>
        <w:t>EU/1/02/213/006</w:t>
      </w:r>
      <w:r w:rsidRPr="00D252D3">
        <w:rPr>
          <w:szCs w:val="22"/>
        </w:rPr>
        <w:tab/>
        <w:t>14 tabliet</w:t>
      </w:r>
    </w:p>
    <w:p w:rsidR="0053152B" w:rsidRPr="00D252D3" w:rsidRDefault="0053152B">
      <w:pPr>
        <w:rPr>
          <w:szCs w:val="22"/>
        </w:rPr>
      </w:pPr>
      <w:r w:rsidRPr="00D252D3">
        <w:rPr>
          <w:szCs w:val="22"/>
          <w:shd w:val="clear" w:color="auto" w:fill="C0C0C0"/>
        </w:rPr>
        <w:t>EU/1/02/213/007</w:t>
      </w:r>
      <w:r w:rsidRPr="00D252D3">
        <w:rPr>
          <w:szCs w:val="22"/>
          <w:shd w:val="clear" w:color="auto" w:fill="C0C0C0"/>
        </w:rPr>
        <w:tab/>
        <w:t>28 tabliet</w:t>
      </w:r>
    </w:p>
    <w:p w:rsidR="0053152B" w:rsidRPr="00D252D3" w:rsidRDefault="0053152B">
      <w:pPr>
        <w:rPr>
          <w:szCs w:val="22"/>
        </w:rPr>
      </w:pPr>
      <w:r w:rsidRPr="00D252D3">
        <w:rPr>
          <w:szCs w:val="22"/>
          <w:shd w:val="clear" w:color="auto" w:fill="C0C0C0"/>
        </w:rPr>
        <w:t>EU/1/02/213/008</w:t>
      </w:r>
      <w:r w:rsidRPr="00D252D3">
        <w:rPr>
          <w:szCs w:val="22"/>
          <w:shd w:val="clear" w:color="auto" w:fill="C0C0C0"/>
        </w:rPr>
        <w:tab/>
        <w:t xml:space="preserve">28 x 1 tableta </w:t>
      </w:r>
    </w:p>
    <w:p w:rsidR="0053152B" w:rsidRPr="00D252D3" w:rsidRDefault="0053152B">
      <w:pPr>
        <w:rPr>
          <w:szCs w:val="22"/>
        </w:rPr>
      </w:pPr>
      <w:r w:rsidRPr="00D252D3">
        <w:rPr>
          <w:szCs w:val="22"/>
          <w:shd w:val="clear" w:color="auto" w:fill="C0C0C0"/>
        </w:rPr>
        <w:t>EU/1/02/213/015</w:t>
      </w:r>
      <w:r w:rsidRPr="00D252D3">
        <w:rPr>
          <w:szCs w:val="22"/>
          <w:shd w:val="clear" w:color="auto" w:fill="C0C0C0"/>
        </w:rPr>
        <w:tab/>
        <w:t>30 x 1 tableta</w:t>
      </w:r>
    </w:p>
    <w:p w:rsidR="0053152B" w:rsidRPr="00D252D3" w:rsidRDefault="0053152B">
      <w:pPr>
        <w:rPr>
          <w:szCs w:val="22"/>
        </w:rPr>
      </w:pPr>
      <w:r w:rsidRPr="00D252D3">
        <w:rPr>
          <w:szCs w:val="22"/>
          <w:shd w:val="clear" w:color="auto" w:fill="C0C0C0"/>
        </w:rPr>
        <w:t>EU/1/02/213/009</w:t>
      </w:r>
      <w:r w:rsidRPr="00D252D3">
        <w:rPr>
          <w:szCs w:val="22"/>
          <w:shd w:val="clear" w:color="auto" w:fill="C0C0C0"/>
        </w:rPr>
        <w:tab/>
        <w:t>56 tabliet</w:t>
      </w:r>
    </w:p>
    <w:p w:rsidR="0053152B" w:rsidRPr="00D252D3" w:rsidRDefault="0053152B">
      <w:pPr>
        <w:rPr>
          <w:szCs w:val="22"/>
        </w:rPr>
      </w:pPr>
      <w:r w:rsidRPr="00D252D3">
        <w:rPr>
          <w:szCs w:val="22"/>
          <w:shd w:val="clear" w:color="auto" w:fill="C0C0C0"/>
        </w:rPr>
        <w:t>EU/1/02/213/012</w:t>
      </w:r>
      <w:r w:rsidRPr="00D252D3">
        <w:rPr>
          <w:szCs w:val="22"/>
          <w:shd w:val="clear" w:color="auto" w:fill="C0C0C0"/>
        </w:rPr>
        <w:tab/>
        <w:t>84 tabliet</w:t>
      </w:r>
    </w:p>
    <w:p w:rsidR="0053152B" w:rsidRPr="00D252D3" w:rsidRDefault="0053152B">
      <w:pPr>
        <w:rPr>
          <w:szCs w:val="22"/>
        </w:rPr>
      </w:pPr>
      <w:r w:rsidRPr="00D252D3">
        <w:rPr>
          <w:szCs w:val="22"/>
          <w:shd w:val="clear" w:color="auto" w:fill="C0C0C0"/>
        </w:rPr>
        <w:t>EU/1/02/213/016</w:t>
      </w:r>
      <w:r w:rsidRPr="00D252D3">
        <w:rPr>
          <w:szCs w:val="22"/>
          <w:shd w:val="clear" w:color="auto" w:fill="C0C0C0"/>
        </w:rPr>
        <w:tab/>
        <w:t>90 x 1 tableta</w:t>
      </w:r>
    </w:p>
    <w:p w:rsidR="0053152B" w:rsidRPr="00D252D3" w:rsidRDefault="0053152B">
      <w:pPr>
        <w:rPr>
          <w:szCs w:val="22"/>
        </w:rPr>
      </w:pPr>
      <w:r w:rsidRPr="00D252D3">
        <w:rPr>
          <w:szCs w:val="22"/>
          <w:shd w:val="clear" w:color="auto" w:fill="C0C0C0"/>
        </w:rPr>
        <w:t>EU/1/02/213/010</w:t>
      </w:r>
      <w:r w:rsidRPr="00D252D3">
        <w:rPr>
          <w:szCs w:val="22"/>
          <w:shd w:val="clear" w:color="auto" w:fill="C0C0C0"/>
        </w:rPr>
        <w:tab/>
        <w:t>98 tabliet</w:t>
      </w:r>
    </w:p>
    <w:p w:rsidR="0053152B" w:rsidRPr="00D252D3" w:rsidRDefault="0053152B"/>
    <w:p w:rsidR="0053152B" w:rsidRPr="00D252D3" w:rsidRDefault="0053152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152B" w:rsidRPr="00D252D3">
        <w:tblPrEx>
          <w:tblCellMar>
            <w:top w:w="0" w:type="dxa"/>
            <w:bottom w:w="0" w:type="dxa"/>
          </w:tblCellMar>
        </w:tblPrEx>
        <w:tc>
          <w:tcPr>
            <w:tcW w:w="9287" w:type="dxa"/>
          </w:tcPr>
          <w:p w:rsidR="0053152B" w:rsidRPr="00D252D3" w:rsidRDefault="0053152B">
            <w:pPr>
              <w:tabs>
                <w:tab w:val="left" w:pos="142"/>
              </w:tabs>
              <w:rPr>
                <w:b/>
              </w:rPr>
            </w:pPr>
            <w:r w:rsidRPr="00D252D3">
              <w:rPr>
                <w:b/>
              </w:rPr>
              <w:t>13.</w:t>
            </w:r>
            <w:r w:rsidRPr="00D252D3">
              <w:rPr>
                <w:b/>
              </w:rPr>
              <w:tab/>
              <w:t>ČÍSLO VÝROBNEJ ŠARŽE</w:t>
            </w:r>
          </w:p>
        </w:tc>
      </w:tr>
    </w:tbl>
    <w:p w:rsidR="0053152B" w:rsidRPr="00D252D3" w:rsidRDefault="0053152B"/>
    <w:p w:rsidR="0053152B" w:rsidRPr="00D252D3" w:rsidRDefault="00E32A5E">
      <w:r w:rsidRPr="00D252D3">
        <w:t>Lot</w:t>
      </w:r>
    </w:p>
    <w:p w:rsidR="0053152B" w:rsidRPr="00D252D3" w:rsidRDefault="0053152B"/>
    <w:p w:rsidR="0053152B" w:rsidRPr="00D252D3" w:rsidRDefault="0053152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152B" w:rsidRPr="00D252D3">
        <w:tblPrEx>
          <w:tblCellMar>
            <w:top w:w="0" w:type="dxa"/>
            <w:bottom w:w="0" w:type="dxa"/>
          </w:tblCellMar>
        </w:tblPrEx>
        <w:tc>
          <w:tcPr>
            <w:tcW w:w="9287" w:type="dxa"/>
          </w:tcPr>
          <w:p w:rsidR="0053152B" w:rsidRPr="00D252D3" w:rsidRDefault="0053152B">
            <w:pPr>
              <w:tabs>
                <w:tab w:val="left" w:pos="142"/>
              </w:tabs>
              <w:rPr>
                <w:b/>
              </w:rPr>
            </w:pPr>
            <w:r w:rsidRPr="00D252D3">
              <w:rPr>
                <w:b/>
              </w:rPr>
              <w:t>14.</w:t>
            </w:r>
            <w:r w:rsidRPr="00D252D3">
              <w:rPr>
                <w:b/>
              </w:rPr>
              <w:tab/>
              <w:t>ZATRIEDENIE LIEKU PODĽA SPÔSOBU VÝDAJA</w:t>
            </w:r>
          </w:p>
        </w:tc>
      </w:tr>
    </w:tbl>
    <w:p w:rsidR="0053152B" w:rsidRPr="00D252D3" w:rsidRDefault="0053152B"/>
    <w:p w:rsidR="0053152B" w:rsidRPr="00D252D3" w:rsidRDefault="0053152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152B" w:rsidRPr="00D252D3">
        <w:tblPrEx>
          <w:tblCellMar>
            <w:top w:w="0" w:type="dxa"/>
            <w:bottom w:w="0" w:type="dxa"/>
          </w:tblCellMar>
        </w:tblPrEx>
        <w:tc>
          <w:tcPr>
            <w:tcW w:w="9287" w:type="dxa"/>
          </w:tcPr>
          <w:p w:rsidR="0053152B" w:rsidRPr="00D252D3" w:rsidRDefault="0053152B">
            <w:pPr>
              <w:tabs>
                <w:tab w:val="left" w:pos="142"/>
              </w:tabs>
              <w:rPr>
                <w:b/>
              </w:rPr>
            </w:pPr>
            <w:r w:rsidRPr="00D252D3">
              <w:rPr>
                <w:b/>
              </w:rPr>
              <w:t>15.</w:t>
            </w:r>
            <w:r w:rsidRPr="00D252D3">
              <w:rPr>
                <w:b/>
              </w:rPr>
              <w:tab/>
              <w:t xml:space="preserve">POKYNY </w:t>
            </w:r>
            <w:smartTag w:uri="urn:schemas-microsoft-com:office:smarttags" w:element="stockticker">
              <w:r w:rsidRPr="00D252D3">
                <w:rPr>
                  <w:b/>
                </w:rPr>
                <w:t>NA</w:t>
              </w:r>
            </w:smartTag>
            <w:r w:rsidRPr="00D252D3">
              <w:rPr>
                <w:b/>
              </w:rPr>
              <w:t xml:space="preserve"> POUŽITIE</w:t>
            </w:r>
          </w:p>
        </w:tc>
      </w:tr>
    </w:tbl>
    <w:p w:rsidR="0053152B" w:rsidRPr="00D252D3" w:rsidRDefault="0053152B"/>
    <w:p w:rsidR="0053152B" w:rsidRPr="00D252D3" w:rsidRDefault="0053152B"/>
    <w:tbl>
      <w:tblPr>
        <w:tblW w:w="9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152B" w:rsidRPr="00D252D3">
        <w:tblPrEx>
          <w:tblCellMar>
            <w:top w:w="0" w:type="dxa"/>
            <w:bottom w:w="0" w:type="dxa"/>
          </w:tblCellMar>
        </w:tblPrEx>
        <w:tc>
          <w:tcPr>
            <w:tcW w:w="9287" w:type="dxa"/>
          </w:tcPr>
          <w:p w:rsidR="0053152B" w:rsidRPr="00D252D3" w:rsidRDefault="0053152B">
            <w:pPr>
              <w:tabs>
                <w:tab w:val="left" w:pos="142"/>
              </w:tabs>
              <w:rPr>
                <w:b/>
                <w:szCs w:val="22"/>
              </w:rPr>
            </w:pPr>
            <w:r w:rsidRPr="00D252D3">
              <w:rPr>
                <w:b/>
                <w:szCs w:val="22"/>
              </w:rPr>
              <w:t>16.</w:t>
            </w:r>
            <w:r w:rsidRPr="00D252D3">
              <w:rPr>
                <w:b/>
                <w:szCs w:val="22"/>
              </w:rPr>
              <w:tab/>
              <w:t>INFORMÁCIE V BRAILLOVOM PÍSME</w:t>
            </w:r>
          </w:p>
        </w:tc>
      </w:tr>
    </w:tbl>
    <w:p w:rsidR="0053152B" w:rsidRPr="00D252D3" w:rsidRDefault="0053152B">
      <w:pPr>
        <w:rPr>
          <w:bCs/>
          <w:szCs w:val="22"/>
        </w:rPr>
      </w:pPr>
    </w:p>
    <w:p w:rsidR="0053152B" w:rsidRPr="00D252D3" w:rsidRDefault="0053152B">
      <w:pPr>
        <w:rPr>
          <w:bCs/>
          <w:szCs w:val="22"/>
        </w:rPr>
      </w:pPr>
      <w:r w:rsidRPr="00D252D3">
        <w:rPr>
          <w:bCs/>
          <w:szCs w:val="22"/>
        </w:rPr>
        <w:t>MicardisPlus 80 mg/12,5 mg</w:t>
      </w:r>
    </w:p>
    <w:p w:rsidR="0053152B" w:rsidRPr="00D252D3" w:rsidRDefault="0053152B">
      <w:pPr>
        <w:rPr>
          <w:bCs/>
          <w:szCs w:val="22"/>
        </w:rPr>
      </w:pPr>
    </w:p>
    <w:p w:rsidR="0053152B" w:rsidRPr="00D252D3" w:rsidRDefault="0053152B">
      <w:pPr>
        <w:rPr>
          <w:bCs/>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152B" w:rsidRPr="00D252D3">
        <w:tblPrEx>
          <w:tblCellMar>
            <w:top w:w="0" w:type="dxa"/>
            <w:bottom w:w="0" w:type="dxa"/>
          </w:tblCellMar>
        </w:tblPrEx>
        <w:tc>
          <w:tcPr>
            <w:tcW w:w="9287" w:type="dxa"/>
          </w:tcPr>
          <w:p w:rsidR="0053152B" w:rsidRPr="00D252D3" w:rsidRDefault="0053152B" w:rsidP="00AB164B">
            <w:pPr>
              <w:keepNext/>
              <w:tabs>
                <w:tab w:val="left" w:pos="142"/>
              </w:tabs>
              <w:rPr>
                <w:b/>
                <w:szCs w:val="22"/>
              </w:rPr>
            </w:pPr>
            <w:r w:rsidRPr="00D252D3">
              <w:rPr>
                <w:b/>
                <w:szCs w:val="22"/>
              </w:rPr>
              <w:t>17.</w:t>
            </w:r>
            <w:r w:rsidRPr="00D252D3">
              <w:rPr>
                <w:b/>
                <w:szCs w:val="22"/>
              </w:rPr>
              <w:tab/>
            </w:r>
            <w:r w:rsidRPr="00D252D3">
              <w:rPr>
                <w:b/>
              </w:rPr>
              <w:t>ŠPECIFICKÝ IDENTIFIKÁTOR – DVOJROZMERNÝ ČIAROVÝ KÓD</w:t>
            </w:r>
          </w:p>
        </w:tc>
      </w:tr>
    </w:tbl>
    <w:p w:rsidR="0053152B" w:rsidRPr="00D252D3" w:rsidRDefault="0053152B" w:rsidP="00AB164B">
      <w:pPr>
        <w:keepNext/>
        <w:rPr>
          <w:bCs/>
          <w:szCs w:val="22"/>
        </w:rPr>
      </w:pPr>
    </w:p>
    <w:p w:rsidR="0053152B" w:rsidRPr="00D252D3" w:rsidRDefault="0053152B">
      <w:pPr>
        <w:rPr>
          <w:bCs/>
          <w:szCs w:val="22"/>
        </w:rPr>
      </w:pPr>
      <w:r w:rsidRPr="00D252D3">
        <w:rPr>
          <w:highlight w:val="lightGray"/>
        </w:rPr>
        <w:t>Dvojrozmerný čiarový kód so špecifickým identifikátorom.</w:t>
      </w:r>
    </w:p>
    <w:p w:rsidR="0053152B" w:rsidRPr="00D252D3" w:rsidRDefault="0053152B">
      <w:pPr>
        <w:rPr>
          <w:bCs/>
          <w:szCs w:val="22"/>
        </w:rPr>
      </w:pPr>
    </w:p>
    <w:p w:rsidR="0053152B" w:rsidRPr="00D252D3" w:rsidRDefault="0053152B">
      <w:pPr>
        <w:rPr>
          <w:bCs/>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152B" w:rsidRPr="00D252D3">
        <w:tblPrEx>
          <w:tblCellMar>
            <w:top w:w="0" w:type="dxa"/>
            <w:bottom w:w="0" w:type="dxa"/>
          </w:tblCellMar>
        </w:tblPrEx>
        <w:tc>
          <w:tcPr>
            <w:tcW w:w="9287" w:type="dxa"/>
          </w:tcPr>
          <w:p w:rsidR="0053152B" w:rsidRPr="00D252D3" w:rsidRDefault="0053152B" w:rsidP="00AB164B">
            <w:pPr>
              <w:keepNext/>
              <w:tabs>
                <w:tab w:val="left" w:pos="142"/>
              </w:tabs>
              <w:rPr>
                <w:b/>
                <w:szCs w:val="22"/>
              </w:rPr>
            </w:pPr>
            <w:r w:rsidRPr="00D252D3">
              <w:rPr>
                <w:b/>
                <w:szCs w:val="22"/>
              </w:rPr>
              <w:t>18.</w:t>
            </w:r>
            <w:r w:rsidRPr="00D252D3">
              <w:rPr>
                <w:b/>
                <w:szCs w:val="22"/>
              </w:rPr>
              <w:tab/>
            </w:r>
            <w:r w:rsidRPr="00D252D3">
              <w:rPr>
                <w:b/>
              </w:rPr>
              <w:t>ŠPECIFICKÝ IDENTIFIKÁTOR  – ÚDAJE ČITATEĽNÉ ĽUDSKÝM OKOM</w:t>
            </w:r>
          </w:p>
        </w:tc>
      </w:tr>
    </w:tbl>
    <w:p w:rsidR="0053152B" w:rsidRPr="00D252D3" w:rsidRDefault="0053152B" w:rsidP="00AB164B">
      <w:pPr>
        <w:keepNext/>
        <w:rPr>
          <w:bCs/>
          <w:szCs w:val="22"/>
        </w:rPr>
      </w:pPr>
    </w:p>
    <w:p w:rsidR="0053152B" w:rsidRPr="00D252D3" w:rsidRDefault="0053152B" w:rsidP="00AB164B">
      <w:pPr>
        <w:keepNext/>
        <w:rPr>
          <w:szCs w:val="22"/>
        </w:rPr>
      </w:pPr>
      <w:r w:rsidRPr="00D252D3">
        <w:t>PC: {číslo} [kód lieku]</w:t>
      </w:r>
    </w:p>
    <w:p w:rsidR="0053152B" w:rsidRPr="00D252D3" w:rsidRDefault="0053152B" w:rsidP="00AB164B">
      <w:pPr>
        <w:keepNext/>
        <w:rPr>
          <w:szCs w:val="22"/>
        </w:rPr>
      </w:pPr>
      <w:r w:rsidRPr="00D252D3">
        <w:t>SN: {číslo} [sériové číslo]</w:t>
      </w:r>
    </w:p>
    <w:p w:rsidR="0053152B" w:rsidRPr="00D252D3" w:rsidRDefault="0053152B">
      <w:r w:rsidRPr="00D252D3">
        <w:t>NN: {číslo} [národné číslo úhrady alebo iné národné číslo identifikujúce liek]</w:t>
      </w:r>
      <w:r w:rsidRPr="00D252D3">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152B" w:rsidRPr="00D252D3">
        <w:tblPrEx>
          <w:tblCellMar>
            <w:top w:w="0" w:type="dxa"/>
            <w:bottom w:w="0" w:type="dxa"/>
          </w:tblCellMar>
        </w:tblPrEx>
        <w:tc>
          <w:tcPr>
            <w:tcW w:w="9287" w:type="dxa"/>
          </w:tcPr>
          <w:p w:rsidR="0053152B" w:rsidRPr="00D252D3" w:rsidRDefault="0053152B">
            <w:pPr>
              <w:ind w:left="0" w:firstLine="0"/>
              <w:rPr>
                <w:b/>
              </w:rPr>
            </w:pPr>
            <w:r w:rsidRPr="00D252D3">
              <w:rPr>
                <w:b/>
              </w:rPr>
              <w:t xml:space="preserve">MINIMÁLNE ÚDAJE, KTORÉ MAJÚ BYŤ UVEDENÉ </w:t>
            </w:r>
            <w:smartTag w:uri="urn:schemas-microsoft-com:office:smarttags" w:element="stockticker">
              <w:r w:rsidRPr="00D252D3">
                <w:rPr>
                  <w:b/>
                </w:rPr>
                <w:t>NA</w:t>
              </w:r>
            </w:smartTag>
            <w:r w:rsidRPr="00D252D3">
              <w:rPr>
                <w:b/>
              </w:rPr>
              <w:t xml:space="preserve"> BLISTROCH ALEBO STRIPOCH</w:t>
            </w:r>
          </w:p>
          <w:p w:rsidR="0053152B" w:rsidRPr="00D252D3" w:rsidRDefault="0053152B">
            <w:pPr>
              <w:rPr>
                <w:b/>
              </w:rPr>
            </w:pPr>
          </w:p>
          <w:p w:rsidR="0053152B" w:rsidRPr="00D252D3" w:rsidRDefault="0053152B">
            <w:pPr>
              <w:rPr>
                <w:b/>
              </w:rPr>
            </w:pPr>
            <w:r w:rsidRPr="00D252D3">
              <w:rPr>
                <w:b/>
              </w:rPr>
              <w:t>Blister so 7 tabletami</w:t>
            </w:r>
          </w:p>
        </w:tc>
      </w:tr>
    </w:tbl>
    <w:p w:rsidR="0053152B" w:rsidRPr="00D252D3" w:rsidRDefault="0053152B"/>
    <w:p w:rsidR="0053152B" w:rsidRPr="00D252D3" w:rsidRDefault="0053152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152B" w:rsidRPr="00D252D3">
        <w:tblPrEx>
          <w:tblCellMar>
            <w:top w:w="0" w:type="dxa"/>
            <w:bottom w:w="0" w:type="dxa"/>
          </w:tblCellMar>
        </w:tblPrEx>
        <w:tc>
          <w:tcPr>
            <w:tcW w:w="9287" w:type="dxa"/>
          </w:tcPr>
          <w:p w:rsidR="0053152B" w:rsidRPr="00D252D3" w:rsidRDefault="0053152B">
            <w:pPr>
              <w:tabs>
                <w:tab w:val="left" w:pos="142"/>
              </w:tabs>
              <w:rPr>
                <w:b/>
              </w:rPr>
            </w:pPr>
            <w:r w:rsidRPr="00D252D3">
              <w:rPr>
                <w:b/>
              </w:rPr>
              <w:t>1.</w:t>
            </w:r>
            <w:r w:rsidRPr="00D252D3">
              <w:rPr>
                <w:b/>
              </w:rPr>
              <w:tab/>
              <w:t>NÁZOV LIEKU</w:t>
            </w:r>
          </w:p>
        </w:tc>
      </w:tr>
    </w:tbl>
    <w:p w:rsidR="0053152B" w:rsidRPr="00D252D3" w:rsidRDefault="0053152B"/>
    <w:p w:rsidR="0053152B" w:rsidRPr="00D252D3" w:rsidRDefault="0053152B">
      <w:r w:rsidRPr="00D252D3">
        <w:t>MicardisPlus 80 mg/12,5 mg tablety</w:t>
      </w:r>
    </w:p>
    <w:p w:rsidR="0053152B" w:rsidRPr="00D252D3" w:rsidRDefault="0053152B">
      <w:r w:rsidRPr="00D252D3">
        <w:t>telmisartan/hydrochlorotiazid</w:t>
      </w:r>
    </w:p>
    <w:p w:rsidR="0053152B" w:rsidRPr="00D252D3" w:rsidRDefault="0053152B"/>
    <w:p w:rsidR="0053152B" w:rsidRPr="00D252D3" w:rsidRDefault="0053152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152B" w:rsidRPr="00D252D3">
        <w:tblPrEx>
          <w:tblCellMar>
            <w:top w:w="0" w:type="dxa"/>
            <w:bottom w:w="0" w:type="dxa"/>
          </w:tblCellMar>
        </w:tblPrEx>
        <w:tc>
          <w:tcPr>
            <w:tcW w:w="9287" w:type="dxa"/>
          </w:tcPr>
          <w:p w:rsidR="0053152B" w:rsidRPr="00D252D3" w:rsidRDefault="0053152B">
            <w:pPr>
              <w:tabs>
                <w:tab w:val="left" w:pos="142"/>
              </w:tabs>
              <w:rPr>
                <w:b/>
              </w:rPr>
            </w:pPr>
            <w:r w:rsidRPr="00D252D3">
              <w:rPr>
                <w:b/>
              </w:rPr>
              <w:t>2.</w:t>
            </w:r>
            <w:r w:rsidRPr="00D252D3">
              <w:rPr>
                <w:b/>
              </w:rPr>
              <w:tab/>
              <w:t>NÁZOV DRŽITEĽA ROZHODNUTIA O REGISTRÁCII</w:t>
            </w:r>
          </w:p>
        </w:tc>
      </w:tr>
    </w:tbl>
    <w:p w:rsidR="0053152B" w:rsidRPr="00D252D3" w:rsidRDefault="0053152B"/>
    <w:p w:rsidR="0053152B" w:rsidRPr="00D252D3" w:rsidRDefault="0053152B">
      <w:r w:rsidRPr="00D252D3">
        <w:t>Boehringer Ingelheim (</w:t>
      </w:r>
      <w:r w:rsidRPr="00D252D3">
        <w:rPr>
          <w:highlight w:val="lightGray"/>
        </w:rPr>
        <w:t>Logo</w:t>
      </w:r>
      <w:r w:rsidRPr="00D252D3">
        <w:t>)</w:t>
      </w:r>
    </w:p>
    <w:p w:rsidR="0053152B" w:rsidRPr="00D252D3" w:rsidRDefault="0053152B"/>
    <w:p w:rsidR="0053152B" w:rsidRPr="00D252D3" w:rsidRDefault="0053152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152B" w:rsidRPr="00D252D3">
        <w:tblPrEx>
          <w:tblCellMar>
            <w:top w:w="0" w:type="dxa"/>
            <w:bottom w:w="0" w:type="dxa"/>
          </w:tblCellMar>
        </w:tblPrEx>
        <w:tc>
          <w:tcPr>
            <w:tcW w:w="9287" w:type="dxa"/>
          </w:tcPr>
          <w:p w:rsidR="0053152B" w:rsidRPr="00D252D3" w:rsidRDefault="0053152B">
            <w:pPr>
              <w:tabs>
                <w:tab w:val="left" w:pos="142"/>
              </w:tabs>
              <w:rPr>
                <w:b/>
              </w:rPr>
            </w:pPr>
            <w:r w:rsidRPr="00D252D3">
              <w:rPr>
                <w:b/>
              </w:rPr>
              <w:t>3.</w:t>
            </w:r>
            <w:r w:rsidRPr="00D252D3">
              <w:rPr>
                <w:b/>
              </w:rPr>
              <w:tab/>
              <w:t>DÁTUM EXSPIRÁCIE</w:t>
            </w:r>
          </w:p>
        </w:tc>
      </w:tr>
    </w:tbl>
    <w:p w:rsidR="0053152B" w:rsidRPr="00D252D3" w:rsidRDefault="0053152B"/>
    <w:p w:rsidR="0053152B" w:rsidRPr="00D252D3" w:rsidRDefault="0053152B">
      <w:r w:rsidRPr="00D252D3">
        <w:t>EXP:</w:t>
      </w:r>
    </w:p>
    <w:p w:rsidR="0053152B" w:rsidRPr="00D252D3" w:rsidRDefault="0053152B"/>
    <w:p w:rsidR="0053152B" w:rsidRPr="00D252D3" w:rsidRDefault="0053152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152B" w:rsidRPr="00D252D3">
        <w:tblPrEx>
          <w:tblCellMar>
            <w:top w:w="0" w:type="dxa"/>
            <w:bottom w:w="0" w:type="dxa"/>
          </w:tblCellMar>
        </w:tblPrEx>
        <w:tc>
          <w:tcPr>
            <w:tcW w:w="9287" w:type="dxa"/>
          </w:tcPr>
          <w:p w:rsidR="0053152B" w:rsidRPr="00D252D3" w:rsidRDefault="0053152B">
            <w:pPr>
              <w:tabs>
                <w:tab w:val="left" w:pos="142"/>
              </w:tabs>
              <w:rPr>
                <w:b/>
              </w:rPr>
            </w:pPr>
            <w:r w:rsidRPr="00D252D3">
              <w:rPr>
                <w:b/>
              </w:rPr>
              <w:t>4.</w:t>
            </w:r>
            <w:r w:rsidRPr="00D252D3">
              <w:rPr>
                <w:b/>
              </w:rPr>
              <w:tab/>
              <w:t>ČÍSLO VÝROBNEJ ŠARŽE</w:t>
            </w:r>
          </w:p>
        </w:tc>
      </w:tr>
    </w:tbl>
    <w:p w:rsidR="0053152B" w:rsidRPr="00D252D3" w:rsidRDefault="0053152B"/>
    <w:p w:rsidR="0053152B" w:rsidRPr="00D252D3" w:rsidRDefault="0053152B">
      <w:r w:rsidRPr="00D252D3">
        <w:t>Lot:</w:t>
      </w:r>
    </w:p>
    <w:p w:rsidR="0053152B" w:rsidRPr="00D252D3" w:rsidRDefault="0053152B">
      <w:pPr>
        <w:ind w:left="0" w:firstLine="0"/>
      </w:pPr>
    </w:p>
    <w:p w:rsidR="0053152B" w:rsidRPr="00D252D3" w:rsidRDefault="0053152B">
      <w:pPr>
        <w:ind w:left="0" w:firstLine="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152B" w:rsidRPr="00D252D3">
        <w:tblPrEx>
          <w:tblCellMar>
            <w:top w:w="0" w:type="dxa"/>
            <w:bottom w:w="0" w:type="dxa"/>
          </w:tblCellMar>
        </w:tblPrEx>
        <w:tc>
          <w:tcPr>
            <w:tcW w:w="9287" w:type="dxa"/>
          </w:tcPr>
          <w:p w:rsidR="0053152B" w:rsidRPr="00D252D3" w:rsidRDefault="0053152B">
            <w:pPr>
              <w:tabs>
                <w:tab w:val="left" w:pos="142"/>
              </w:tabs>
              <w:rPr>
                <w:b/>
                <w:szCs w:val="22"/>
              </w:rPr>
            </w:pPr>
            <w:r w:rsidRPr="00D252D3">
              <w:rPr>
                <w:b/>
                <w:szCs w:val="22"/>
              </w:rPr>
              <w:t>5.</w:t>
            </w:r>
            <w:r w:rsidRPr="00D252D3">
              <w:rPr>
                <w:b/>
                <w:szCs w:val="22"/>
              </w:rPr>
              <w:tab/>
              <w:t>INÉ</w:t>
            </w:r>
          </w:p>
        </w:tc>
      </w:tr>
    </w:tbl>
    <w:p w:rsidR="0053152B" w:rsidRPr="00D252D3" w:rsidRDefault="0053152B">
      <w:pPr>
        <w:rPr>
          <w:szCs w:val="22"/>
        </w:rPr>
      </w:pPr>
    </w:p>
    <w:p w:rsidR="0053152B" w:rsidRPr="00D252D3" w:rsidRDefault="0053152B">
      <w:pPr>
        <w:ind w:left="0" w:firstLine="0"/>
      </w:pPr>
      <w:r w:rsidRPr="00D252D3">
        <w:t>PO</w:t>
      </w:r>
    </w:p>
    <w:p w:rsidR="0053152B" w:rsidRPr="00D252D3" w:rsidRDefault="0053152B">
      <w:pPr>
        <w:ind w:left="0" w:firstLine="0"/>
      </w:pPr>
      <w:r w:rsidRPr="00D252D3">
        <w:t>UT</w:t>
      </w:r>
    </w:p>
    <w:p w:rsidR="0053152B" w:rsidRPr="00D252D3" w:rsidRDefault="0053152B">
      <w:pPr>
        <w:ind w:left="0" w:firstLine="0"/>
      </w:pPr>
      <w:r w:rsidRPr="00D252D3">
        <w:t>ST</w:t>
      </w:r>
    </w:p>
    <w:p w:rsidR="0053152B" w:rsidRPr="00D252D3" w:rsidRDefault="0053152B">
      <w:pPr>
        <w:ind w:left="0" w:firstLine="0"/>
      </w:pPr>
      <w:r w:rsidRPr="00D252D3">
        <w:t>ŠT</w:t>
      </w:r>
    </w:p>
    <w:p w:rsidR="0053152B" w:rsidRPr="00D252D3" w:rsidRDefault="0053152B">
      <w:pPr>
        <w:ind w:left="0" w:firstLine="0"/>
      </w:pPr>
      <w:r w:rsidRPr="00D252D3">
        <w:t>PIA</w:t>
      </w:r>
    </w:p>
    <w:p w:rsidR="0053152B" w:rsidRPr="00D252D3" w:rsidRDefault="0053152B">
      <w:pPr>
        <w:ind w:left="0" w:firstLine="0"/>
      </w:pPr>
      <w:r w:rsidRPr="00D252D3">
        <w:t>SO</w:t>
      </w:r>
    </w:p>
    <w:p w:rsidR="0053152B" w:rsidRPr="00D252D3" w:rsidRDefault="0053152B">
      <w:pPr>
        <w:ind w:left="0" w:firstLine="0"/>
      </w:pPr>
      <w:r w:rsidRPr="00D252D3">
        <w:t>NE</w:t>
      </w:r>
    </w:p>
    <w:p w:rsidR="0053152B" w:rsidRPr="00D252D3" w:rsidRDefault="0053152B">
      <w:pPr>
        <w:ind w:left="0" w:firstLine="0"/>
        <w:rPr>
          <w:b/>
        </w:rPr>
      </w:pPr>
      <w:r w:rsidRPr="00D252D3">
        <w:rPr>
          <w:b/>
          <w:u w:val="single"/>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152B" w:rsidRPr="00D252D3">
        <w:tblPrEx>
          <w:tblCellMar>
            <w:top w:w="0" w:type="dxa"/>
            <w:bottom w:w="0" w:type="dxa"/>
          </w:tblCellMar>
        </w:tblPrEx>
        <w:tc>
          <w:tcPr>
            <w:tcW w:w="9287" w:type="dxa"/>
          </w:tcPr>
          <w:p w:rsidR="0053152B" w:rsidRPr="00D252D3" w:rsidRDefault="0053152B">
            <w:pPr>
              <w:ind w:left="0" w:firstLine="0"/>
              <w:rPr>
                <w:b/>
              </w:rPr>
            </w:pPr>
            <w:r w:rsidRPr="00D252D3">
              <w:rPr>
                <w:b/>
              </w:rPr>
              <w:t xml:space="preserve">MINIMÁLNE ÚDAJE, KTORÉ MAJÚ BYŤ UVEDENÉ </w:t>
            </w:r>
            <w:smartTag w:uri="urn:schemas-microsoft-com:office:smarttags" w:element="stockticker">
              <w:r w:rsidRPr="00D252D3">
                <w:rPr>
                  <w:b/>
                </w:rPr>
                <w:t>NA</w:t>
              </w:r>
            </w:smartTag>
            <w:r w:rsidRPr="00D252D3">
              <w:rPr>
                <w:b/>
              </w:rPr>
              <w:t xml:space="preserve"> BLISTROCH ALEBO STRIPOCH</w:t>
            </w:r>
          </w:p>
          <w:p w:rsidR="0053152B" w:rsidRPr="00D252D3" w:rsidRDefault="0053152B">
            <w:pPr>
              <w:rPr>
                <w:b/>
              </w:rPr>
            </w:pPr>
          </w:p>
          <w:p w:rsidR="0053152B" w:rsidRPr="00D252D3" w:rsidRDefault="0053152B">
            <w:pPr>
              <w:rPr>
                <w:b/>
              </w:rPr>
            </w:pPr>
            <w:r w:rsidRPr="00D252D3">
              <w:rPr>
                <w:b/>
              </w:rPr>
              <w:t>Blister so 7 alebo 10 jednotlivými dávkami alebo iný ako 7 početný blister</w:t>
            </w:r>
          </w:p>
        </w:tc>
      </w:tr>
    </w:tbl>
    <w:p w:rsidR="0053152B" w:rsidRPr="00D252D3" w:rsidRDefault="0053152B"/>
    <w:p w:rsidR="0053152B" w:rsidRPr="00D252D3" w:rsidRDefault="0053152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152B" w:rsidRPr="00D252D3">
        <w:tblPrEx>
          <w:tblCellMar>
            <w:top w:w="0" w:type="dxa"/>
            <w:bottom w:w="0" w:type="dxa"/>
          </w:tblCellMar>
        </w:tblPrEx>
        <w:tc>
          <w:tcPr>
            <w:tcW w:w="9287" w:type="dxa"/>
          </w:tcPr>
          <w:p w:rsidR="0053152B" w:rsidRPr="00D252D3" w:rsidRDefault="0053152B">
            <w:pPr>
              <w:tabs>
                <w:tab w:val="left" w:pos="142"/>
              </w:tabs>
              <w:rPr>
                <w:b/>
              </w:rPr>
            </w:pPr>
            <w:r w:rsidRPr="00D252D3">
              <w:rPr>
                <w:b/>
              </w:rPr>
              <w:t>1.</w:t>
            </w:r>
            <w:r w:rsidRPr="00D252D3">
              <w:rPr>
                <w:b/>
              </w:rPr>
              <w:tab/>
              <w:t>NÁZOV LIEKU</w:t>
            </w:r>
          </w:p>
        </w:tc>
      </w:tr>
    </w:tbl>
    <w:p w:rsidR="0053152B" w:rsidRPr="00D252D3" w:rsidRDefault="0053152B"/>
    <w:p w:rsidR="0053152B" w:rsidRPr="00D252D3" w:rsidRDefault="0053152B">
      <w:r w:rsidRPr="00D252D3">
        <w:t>MicardisPlus 80 mg/12,5 mg tablety</w:t>
      </w:r>
    </w:p>
    <w:p w:rsidR="0053152B" w:rsidRPr="00D252D3" w:rsidRDefault="0053152B">
      <w:r w:rsidRPr="00D252D3">
        <w:t>telmisartan/hydrochlorotiazid</w:t>
      </w:r>
    </w:p>
    <w:p w:rsidR="0053152B" w:rsidRPr="00D252D3" w:rsidRDefault="0053152B"/>
    <w:p w:rsidR="0053152B" w:rsidRPr="00D252D3" w:rsidRDefault="0053152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152B" w:rsidRPr="00D252D3">
        <w:tblPrEx>
          <w:tblCellMar>
            <w:top w:w="0" w:type="dxa"/>
            <w:bottom w:w="0" w:type="dxa"/>
          </w:tblCellMar>
        </w:tblPrEx>
        <w:tc>
          <w:tcPr>
            <w:tcW w:w="9287" w:type="dxa"/>
          </w:tcPr>
          <w:p w:rsidR="0053152B" w:rsidRPr="00D252D3" w:rsidRDefault="0053152B">
            <w:pPr>
              <w:tabs>
                <w:tab w:val="left" w:pos="142"/>
              </w:tabs>
              <w:rPr>
                <w:b/>
              </w:rPr>
            </w:pPr>
            <w:r w:rsidRPr="00D252D3">
              <w:rPr>
                <w:b/>
              </w:rPr>
              <w:t>2.</w:t>
            </w:r>
            <w:r w:rsidRPr="00D252D3">
              <w:rPr>
                <w:b/>
              </w:rPr>
              <w:tab/>
              <w:t>NÁZOV DRŽITEĽA ROZHODNUTIA O REGISTRÁCII</w:t>
            </w:r>
          </w:p>
        </w:tc>
      </w:tr>
    </w:tbl>
    <w:p w:rsidR="0053152B" w:rsidRPr="00D252D3" w:rsidRDefault="0053152B"/>
    <w:p w:rsidR="0053152B" w:rsidRPr="00D252D3" w:rsidRDefault="0053152B">
      <w:r w:rsidRPr="00D252D3">
        <w:t>Boehringer Ingelheim (</w:t>
      </w:r>
      <w:r w:rsidRPr="00D252D3">
        <w:rPr>
          <w:highlight w:val="lightGray"/>
        </w:rPr>
        <w:t>Logo</w:t>
      </w:r>
      <w:r w:rsidRPr="00D252D3">
        <w:t>)</w:t>
      </w:r>
    </w:p>
    <w:p w:rsidR="0053152B" w:rsidRPr="00D252D3" w:rsidRDefault="0053152B"/>
    <w:p w:rsidR="0053152B" w:rsidRPr="00D252D3" w:rsidRDefault="0053152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152B" w:rsidRPr="00D252D3">
        <w:tblPrEx>
          <w:tblCellMar>
            <w:top w:w="0" w:type="dxa"/>
            <w:bottom w:w="0" w:type="dxa"/>
          </w:tblCellMar>
        </w:tblPrEx>
        <w:tc>
          <w:tcPr>
            <w:tcW w:w="9287" w:type="dxa"/>
          </w:tcPr>
          <w:p w:rsidR="0053152B" w:rsidRPr="00D252D3" w:rsidRDefault="0053152B">
            <w:pPr>
              <w:tabs>
                <w:tab w:val="left" w:pos="142"/>
              </w:tabs>
              <w:rPr>
                <w:b/>
              </w:rPr>
            </w:pPr>
            <w:r w:rsidRPr="00D252D3">
              <w:rPr>
                <w:b/>
              </w:rPr>
              <w:t>3.</w:t>
            </w:r>
            <w:r w:rsidRPr="00D252D3">
              <w:rPr>
                <w:b/>
              </w:rPr>
              <w:tab/>
              <w:t>DÁTUM EXSPIRÁCIE</w:t>
            </w:r>
          </w:p>
        </w:tc>
      </w:tr>
    </w:tbl>
    <w:p w:rsidR="0053152B" w:rsidRPr="00D252D3" w:rsidRDefault="0053152B"/>
    <w:p w:rsidR="0053152B" w:rsidRPr="00D252D3" w:rsidRDefault="0053152B">
      <w:r w:rsidRPr="00D252D3">
        <w:t>EXP:</w:t>
      </w:r>
    </w:p>
    <w:p w:rsidR="0053152B" w:rsidRPr="00D252D3" w:rsidRDefault="0053152B"/>
    <w:p w:rsidR="0053152B" w:rsidRPr="00D252D3" w:rsidRDefault="0053152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152B" w:rsidRPr="00D252D3">
        <w:tblPrEx>
          <w:tblCellMar>
            <w:top w:w="0" w:type="dxa"/>
            <w:bottom w:w="0" w:type="dxa"/>
          </w:tblCellMar>
        </w:tblPrEx>
        <w:tc>
          <w:tcPr>
            <w:tcW w:w="9287" w:type="dxa"/>
          </w:tcPr>
          <w:p w:rsidR="0053152B" w:rsidRPr="00D252D3" w:rsidRDefault="0053152B">
            <w:pPr>
              <w:tabs>
                <w:tab w:val="left" w:pos="142"/>
              </w:tabs>
              <w:rPr>
                <w:b/>
              </w:rPr>
            </w:pPr>
            <w:r w:rsidRPr="00D252D3">
              <w:rPr>
                <w:b/>
              </w:rPr>
              <w:t>4.</w:t>
            </w:r>
            <w:r w:rsidRPr="00D252D3">
              <w:rPr>
                <w:b/>
              </w:rPr>
              <w:tab/>
              <w:t>ČÍSLO VÝROBNEJ ŠARŽE</w:t>
            </w:r>
          </w:p>
        </w:tc>
      </w:tr>
    </w:tbl>
    <w:p w:rsidR="0053152B" w:rsidRPr="00D252D3" w:rsidRDefault="0053152B"/>
    <w:p w:rsidR="0053152B" w:rsidRPr="00D252D3" w:rsidRDefault="0053152B">
      <w:r w:rsidRPr="00D252D3">
        <w:t xml:space="preserve">Lot: </w:t>
      </w:r>
    </w:p>
    <w:p w:rsidR="0053152B" w:rsidRPr="00D252D3" w:rsidRDefault="0053152B">
      <w:pPr>
        <w:ind w:left="0" w:firstLine="0"/>
      </w:pPr>
    </w:p>
    <w:p w:rsidR="0053152B" w:rsidRPr="00D252D3" w:rsidRDefault="0053152B">
      <w:pPr>
        <w:ind w:left="0" w:firstLine="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152B" w:rsidRPr="00D252D3">
        <w:tblPrEx>
          <w:tblCellMar>
            <w:top w:w="0" w:type="dxa"/>
            <w:bottom w:w="0" w:type="dxa"/>
          </w:tblCellMar>
        </w:tblPrEx>
        <w:tc>
          <w:tcPr>
            <w:tcW w:w="9287" w:type="dxa"/>
          </w:tcPr>
          <w:p w:rsidR="0053152B" w:rsidRPr="00D252D3" w:rsidRDefault="0053152B">
            <w:pPr>
              <w:tabs>
                <w:tab w:val="left" w:pos="142"/>
              </w:tabs>
              <w:rPr>
                <w:b/>
                <w:szCs w:val="22"/>
              </w:rPr>
            </w:pPr>
            <w:r w:rsidRPr="00D252D3">
              <w:rPr>
                <w:b/>
                <w:szCs w:val="22"/>
              </w:rPr>
              <w:t>5.</w:t>
            </w:r>
            <w:r w:rsidRPr="00D252D3">
              <w:rPr>
                <w:b/>
                <w:szCs w:val="22"/>
              </w:rPr>
              <w:tab/>
              <w:t>INÉ</w:t>
            </w:r>
          </w:p>
        </w:tc>
      </w:tr>
    </w:tbl>
    <w:p w:rsidR="0053152B" w:rsidRPr="00D252D3" w:rsidRDefault="0053152B">
      <w:pPr>
        <w:ind w:left="0" w:firstLine="0"/>
      </w:pPr>
    </w:p>
    <w:p w:rsidR="00AB164B" w:rsidRPr="00D252D3" w:rsidRDefault="00AB164B">
      <w:pPr>
        <w:jc w:val="center"/>
        <w:rPr>
          <w:b/>
        </w:rPr>
      </w:pPr>
      <w:r w:rsidRPr="00D252D3">
        <w:rPr>
          <w:b/>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152B" w:rsidRPr="00D252D3" w:rsidTr="000D7A2C">
        <w:tblPrEx>
          <w:tblCellMar>
            <w:top w:w="0" w:type="dxa"/>
            <w:bottom w:w="0" w:type="dxa"/>
          </w:tblCellMar>
        </w:tblPrEx>
        <w:trPr>
          <w:trHeight w:val="788"/>
        </w:trPr>
        <w:tc>
          <w:tcPr>
            <w:tcW w:w="9287" w:type="dxa"/>
            <w:tcBorders>
              <w:bottom w:val="single" w:sz="4" w:space="0" w:color="auto"/>
            </w:tcBorders>
          </w:tcPr>
          <w:p w:rsidR="0053152B" w:rsidRPr="00D252D3" w:rsidRDefault="0053152B">
            <w:pPr>
              <w:ind w:left="0" w:firstLine="0"/>
              <w:rPr>
                <w:b/>
                <w:strike/>
              </w:rPr>
            </w:pPr>
            <w:r w:rsidRPr="00D252D3">
              <w:rPr>
                <w:b/>
              </w:rPr>
              <w:t xml:space="preserve">ÚDAJE, KTORÉ MAJÚ BYŤ UVEDENÉ </w:t>
            </w:r>
            <w:smartTag w:uri="urn:schemas-microsoft-com:office:smarttags" w:element="stockticker">
              <w:r w:rsidRPr="00D252D3">
                <w:rPr>
                  <w:b/>
                </w:rPr>
                <w:t>NA</w:t>
              </w:r>
            </w:smartTag>
            <w:r w:rsidRPr="00D252D3">
              <w:rPr>
                <w:b/>
              </w:rPr>
              <w:t xml:space="preserve"> VONKAJŠOM OBALE </w:t>
            </w:r>
          </w:p>
          <w:p w:rsidR="0053152B" w:rsidRPr="00D252D3" w:rsidRDefault="0053152B">
            <w:pPr>
              <w:rPr>
                <w:b/>
              </w:rPr>
            </w:pPr>
          </w:p>
          <w:p w:rsidR="0053152B" w:rsidRPr="00D252D3" w:rsidRDefault="0053152B">
            <w:pPr>
              <w:rPr>
                <w:b/>
              </w:rPr>
            </w:pPr>
            <w:r w:rsidRPr="00D252D3">
              <w:rPr>
                <w:b/>
              </w:rPr>
              <w:t>Škatuľka</w:t>
            </w:r>
          </w:p>
        </w:tc>
      </w:tr>
    </w:tbl>
    <w:p w:rsidR="0053152B" w:rsidRPr="00D252D3" w:rsidRDefault="0053152B"/>
    <w:p w:rsidR="0053152B" w:rsidRPr="00D252D3" w:rsidRDefault="0053152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152B" w:rsidRPr="00D252D3">
        <w:tblPrEx>
          <w:tblCellMar>
            <w:top w:w="0" w:type="dxa"/>
            <w:bottom w:w="0" w:type="dxa"/>
          </w:tblCellMar>
        </w:tblPrEx>
        <w:tc>
          <w:tcPr>
            <w:tcW w:w="9287" w:type="dxa"/>
          </w:tcPr>
          <w:p w:rsidR="0053152B" w:rsidRPr="00D252D3" w:rsidRDefault="0053152B">
            <w:pPr>
              <w:tabs>
                <w:tab w:val="left" w:pos="142"/>
              </w:tabs>
              <w:rPr>
                <w:b/>
              </w:rPr>
            </w:pPr>
            <w:r w:rsidRPr="00D252D3">
              <w:rPr>
                <w:b/>
              </w:rPr>
              <w:t>1.</w:t>
            </w:r>
            <w:r w:rsidRPr="00D252D3">
              <w:rPr>
                <w:b/>
              </w:rPr>
              <w:tab/>
              <w:t>NÁZOV LIEKU</w:t>
            </w:r>
          </w:p>
        </w:tc>
      </w:tr>
    </w:tbl>
    <w:p w:rsidR="0053152B" w:rsidRPr="00D252D3" w:rsidRDefault="0053152B"/>
    <w:p w:rsidR="0053152B" w:rsidRPr="00D252D3" w:rsidRDefault="0053152B">
      <w:r w:rsidRPr="00D252D3">
        <w:t>MicardisPlus 80 mg/25 mg tablety</w:t>
      </w:r>
    </w:p>
    <w:p w:rsidR="0053152B" w:rsidRPr="00D252D3" w:rsidRDefault="0053152B">
      <w:r w:rsidRPr="00D252D3">
        <w:t>telmisartan/hydrochlorotiazid</w:t>
      </w:r>
    </w:p>
    <w:p w:rsidR="0053152B" w:rsidRPr="00D252D3" w:rsidRDefault="0053152B"/>
    <w:p w:rsidR="0053152B" w:rsidRPr="00D252D3" w:rsidRDefault="0053152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152B" w:rsidRPr="00D252D3">
        <w:tblPrEx>
          <w:tblCellMar>
            <w:top w:w="0" w:type="dxa"/>
            <w:bottom w:w="0" w:type="dxa"/>
          </w:tblCellMar>
        </w:tblPrEx>
        <w:tc>
          <w:tcPr>
            <w:tcW w:w="9287" w:type="dxa"/>
          </w:tcPr>
          <w:p w:rsidR="0053152B" w:rsidRPr="00D252D3" w:rsidRDefault="0053152B">
            <w:pPr>
              <w:tabs>
                <w:tab w:val="left" w:pos="142"/>
              </w:tabs>
              <w:rPr>
                <w:b/>
              </w:rPr>
            </w:pPr>
            <w:r w:rsidRPr="00D252D3">
              <w:rPr>
                <w:b/>
              </w:rPr>
              <w:t>2.</w:t>
            </w:r>
            <w:r w:rsidRPr="00D252D3">
              <w:rPr>
                <w:b/>
              </w:rPr>
              <w:tab/>
              <w:t>LIEČIVO (LIEČIVÁ)</w:t>
            </w:r>
          </w:p>
        </w:tc>
      </w:tr>
    </w:tbl>
    <w:p w:rsidR="0053152B" w:rsidRPr="00D252D3" w:rsidRDefault="0053152B"/>
    <w:p w:rsidR="0053152B" w:rsidRPr="00D252D3" w:rsidRDefault="0053152B">
      <w:r w:rsidRPr="00D252D3">
        <w:t>Každá tableta obsahuje 80 mg telmisartanu a 25 mg hydrochlorotiazidu.</w:t>
      </w:r>
    </w:p>
    <w:p w:rsidR="0053152B" w:rsidRPr="00D252D3" w:rsidRDefault="0053152B"/>
    <w:p w:rsidR="0053152B" w:rsidRPr="00D252D3" w:rsidRDefault="0053152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152B" w:rsidRPr="00D252D3">
        <w:tblPrEx>
          <w:tblCellMar>
            <w:top w:w="0" w:type="dxa"/>
            <w:bottom w:w="0" w:type="dxa"/>
          </w:tblCellMar>
        </w:tblPrEx>
        <w:tc>
          <w:tcPr>
            <w:tcW w:w="9287" w:type="dxa"/>
          </w:tcPr>
          <w:p w:rsidR="0053152B" w:rsidRPr="00D252D3" w:rsidRDefault="0053152B">
            <w:pPr>
              <w:tabs>
                <w:tab w:val="left" w:pos="142"/>
              </w:tabs>
              <w:rPr>
                <w:b/>
              </w:rPr>
            </w:pPr>
            <w:r w:rsidRPr="00D252D3">
              <w:rPr>
                <w:b/>
              </w:rPr>
              <w:t>3.</w:t>
            </w:r>
            <w:r w:rsidRPr="00D252D3">
              <w:rPr>
                <w:b/>
              </w:rPr>
              <w:tab/>
              <w:t>ZOZNAM POMOCNÝCH LÁTOK</w:t>
            </w:r>
          </w:p>
        </w:tc>
      </w:tr>
    </w:tbl>
    <w:p w:rsidR="0053152B" w:rsidRPr="00D252D3" w:rsidRDefault="0053152B"/>
    <w:p w:rsidR="0053152B" w:rsidRPr="00D252D3" w:rsidRDefault="0053152B">
      <w:r w:rsidRPr="00D252D3">
        <w:t>Obsahuje monohydrát laktózy a sorbitol (E420).</w:t>
      </w:r>
    </w:p>
    <w:p w:rsidR="0053152B" w:rsidRPr="00D252D3" w:rsidRDefault="0053152B">
      <w:pPr>
        <w:rPr>
          <w:szCs w:val="22"/>
        </w:rPr>
      </w:pPr>
      <w:r w:rsidRPr="00D252D3">
        <w:rPr>
          <w:szCs w:val="22"/>
        </w:rPr>
        <w:t>Pre ďalšie informácie si prečítajte písomnú informáciu pre používateľa.</w:t>
      </w:r>
    </w:p>
    <w:p w:rsidR="0053152B" w:rsidRPr="00D252D3" w:rsidRDefault="0053152B"/>
    <w:p w:rsidR="0053152B" w:rsidRPr="00D252D3" w:rsidRDefault="0053152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152B" w:rsidRPr="00D252D3">
        <w:tblPrEx>
          <w:tblCellMar>
            <w:top w:w="0" w:type="dxa"/>
            <w:bottom w:w="0" w:type="dxa"/>
          </w:tblCellMar>
        </w:tblPrEx>
        <w:tc>
          <w:tcPr>
            <w:tcW w:w="9287" w:type="dxa"/>
          </w:tcPr>
          <w:p w:rsidR="0053152B" w:rsidRPr="00D252D3" w:rsidRDefault="0053152B">
            <w:pPr>
              <w:tabs>
                <w:tab w:val="left" w:pos="142"/>
              </w:tabs>
              <w:rPr>
                <w:b/>
              </w:rPr>
            </w:pPr>
            <w:r w:rsidRPr="00D252D3">
              <w:rPr>
                <w:b/>
              </w:rPr>
              <w:t>4.</w:t>
            </w:r>
            <w:r w:rsidRPr="00D252D3">
              <w:rPr>
                <w:b/>
              </w:rPr>
              <w:tab/>
              <w:t>LIEKOVÁ FORMA A OBSAH</w:t>
            </w:r>
          </w:p>
        </w:tc>
      </w:tr>
    </w:tbl>
    <w:p w:rsidR="0053152B" w:rsidRPr="00D252D3" w:rsidRDefault="0053152B"/>
    <w:p w:rsidR="0053152B" w:rsidRPr="00D252D3" w:rsidRDefault="0053152B">
      <w:r w:rsidRPr="00D252D3">
        <w:t>14 tabliet</w:t>
      </w:r>
    </w:p>
    <w:p w:rsidR="0053152B" w:rsidRPr="00D252D3" w:rsidRDefault="0053152B">
      <w:r w:rsidRPr="00D252D3">
        <w:rPr>
          <w:shd w:val="clear" w:color="auto" w:fill="C0C0C0"/>
        </w:rPr>
        <w:t>28 tabliet</w:t>
      </w:r>
    </w:p>
    <w:p w:rsidR="0053152B" w:rsidRPr="00D252D3" w:rsidRDefault="0053152B">
      <w:r w:rsidRPr="00D252D3">
        <w:rPr>
          <w:shd w:val="clear" w:color="auto" w:fill="C0C0C0"/>
        </w:rPr>
        <w:t>30 x 1 tableta</w:t>
      </w:r>
    </w:p>
    <w:p w:rsidR="0053152B" w:rsidRPr="00D252D3" w:rsidRDefault="0053152B">
      <w:r w:rsidRPr="00D252D3">
        <w:rPr>
          <w:shd w:val="clear" w:color="auto" w:fill="C0C0C0"/>
        </w:rPr>
        <w:t>56 tabliet</w:t>
      </w:r>
    </w:p>
    <w:p w:rsidR="0053152B" w:rsidRPr="00D252D3" w:rsidRDefault="0053152B">
      <w:pPr>
        <w:rPr>
          <w:shd w:val="clear" w:color="auto" w:fill="C0C0C0"/>
        </w:rPr>
      </w:pPr>
      <w:r w:rsidRPr="00D252D3">
        <w:rPr>
          <w:shd w:val="clear" w:color="auto" w:fill="C0C0C0"/>
        </w:rPr>
        <w:t>90 x 1 tableta</w:t>
      </w:r>
    </w:p>
    <w:p w:rsidR="0053152B" w:rsidRPr="00D252D3" w:rsidRDefault="0053152B">
      <w:r w:rsidRPr="00D252D3">
        <w:rPr>
          <w:shd w:val="clear" w:color="auto" w:fill="C0C0C0"/>
        </w:rPr>
        <w:t>98 tabliet</w:t>
      </w:r>
    </w:p>
    <w:p w:rsidR="0053152B" w:rsidRPr="00D252D3" w:rsidRDefault="0053152B">
      <w:r w:rsidRPr="00D252D3">
        <w:rPr>
          <w:shd w:val="clear" w:color="auto" w:fill="C0C0C0"/>
        </w:rPr>
        <w:t>28 x 1 tableta</w:t>
      </w:r>
    </w:p>
    <w:p w:rsidR="0053152B" w:rsidRPr="00D252D3" w:rsidRDefault="0053152B"/>
    <w:p w:rsidR="0053152B" w:rsidRPr="00D252D3" w:rsidRDefault="0053152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152B" w:rsidRPr="00D252D3">
        <w:tblPrEx>
          <w:tblCellMar>
            <w:top w:w="0" w:type="dxa"/>
            <w:bottom w:w="0" w:type="dxa"/>
          </w:tblCellMar>
        </w:tblPrEx>
        <w:tc>
          <w:tcPr>
            <w:tcW w:w="9287" w:type="dxa"/>
          </w:tcPr>
          <w:p w:rsidR="0053152B" w:rsidRPr="00D252D3" w:rsidRDefault="0053152B">
            <w:pPr>
              <w:tabs>
                <w:tab w:val="left" w:pos="142"/>
              </w:tabs>
              <w:rPr>
                <w:b/>
              </w:rPr>
            </w:pPr>
            <w:r w:rsidRPr="00D252D3">
              <w:rPr>
                <w:b/>
              </w:rPr>
              <w:t>5.</w:t>
            </w:r>
            <w:r w:rsidRPr="00D252D3">
              <w:rPr>
                <w:b/>
              </w:rPr>
              <w:tab/>
              <w:t>SPÔSOB A CESTA</w:t>
            </w:r>
            <w:r w:rsidRPr="00D252D3">
              <w:rPr>
                <w:b/>
                <w:bCs/>
              </w:rPr>
              <w:t xml:space="preserve"> </w:t>
            </w:r>
            <w:r w:rsidRPr="00D252D3">
              <w:rPr>
                <w:b/>
              </w:rPr>
              <w:t>(CESTY) PODÁVANIA</w:t>
            </w:r>
          </w:p>
        </w:tc>
      </w:tr>
    </w:tbl>
    <w:p w:rsidR="0053152B" w:rsidRPr="00D252D3" w:rsidRDefault="0053152B"/>
    <w:p w:rsidR="0053152B" w:rsidRPr="00D252D3" w:rsidRDefault="0053152B">
      <w:r w:rsidRPr="00D252D3">
        <w:t>Na perorálne použitie</w:t>
      </w:r>
    </w:p>
    <w:p w:rsidR="0053152B" w:rsidRPr="00D252D3" w:rsidRDefault="0053152B">
      <w:r w:rsidRPr="00D252D3">
        <w:t>Pred použitím si prečítajte písomnú informáciu pre používateľa.</w:t>
      </w:r>
    </w:p>
    <w:p w:rsidR="0053152B" w:rsidRPr="00D252D3" w:rsidRDefault="0053152B"/>
    <w:p w:rsidR="0053152B" w:rsidRPr="00D252D3" w:rsidRDefault="0053152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152B" w:rsidRPr="00D252D3">
        <w:tblPrEx>
          <w:tblCellMar>
            <w:top w:w="0" w:type="dxa"/>
            <w:bottom w:w="0" w:type="dxa"/>
          </w:tblCellMar>
        </w:tblPrEx>
        <w:tc>
          <w:tcPr>
            <w:tcW w:w="9287" w:type="dxa"/>
          </w:tcPr>
          <w:p w:rsidR="0053152B" w:rsidRPr="00D252D3" w:rsidRDefault="0053152B">
            <w:pPr>
              <w:tabs>
                <w:tab w:val="left" w:pos="142"/>
              </w:tabs>
              <w:rPr>
                <w:b/>
              </w:rPr>
            </w:pPr>
            <w:r w:rsidRPr="00D252D3">
              <w:rPr>
                <w:b/>
              </w:rPr>
              <w:t>6.</w:t>
            </w:r>
            <w:r w:rsidRPr="00D252D3">
              <w:rPr>
                <w:b/>
              </w:rPr>
              <w:tab/>
              <w:t>ŠPECIÁLNE UPOZORNENIE, ŽE LIEK SA MUSÍ UCHOVÁVAŤ MIMO DOHĽADU A DOSAHU DETÍ</w:t>
            </w:r>
          </w:p>
        </w:tc>
      </w:tr>
    </w:tbl>
    <w:p w:rsidR="0053152B" w:rsidRPr="00D252D3" w:rsidRDefault="0053152B"/>
    <w:p w:rsidR="0053152B" w:rsidRPr="00D252D3" w:rsidRDefault="0053152B">
      <w:r w:rsidRPr="00D252D3">
        <w:t>Uchovávajte mimo dohľadu a dosahu detí.</w:t>
      </w:r>
    </w:p>
    <w:p w:rsidR="0053152B" w:rsidRPr="00D252D3" w:rsidRDefault="0053152B"/>
    <w:p w:rsidR="0053152B" w:rsidRPr="00D252D3" w:rsidRDefault="0053152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152B" w:rsidRPr="00D252D3">
        <w:tblPrEx>
          <w:tblCellMar>
            <w:top w:w="0" w:type="dxa"/>
            <w:bottom w:w="0" w:type="dxa"/>
          </w:tblCellMar>
        </w:tblPrEx>
        <w:tc>
          <w:tcPr>
            <w:tcW w:w="9287" w:type="dxa"/>
          </w:tcPr>
          <w:p w:rsidR="0053152B" w:rsidRPr="00D252D3" w:rsidRDefault="0053152B">
            <w:pPr>
              <w:tabs>
                <w:tab w:val="left" w:pos="142"/>
              </w:tabs>
              <w:rPr>
                <w:b/>
              </w:rPr>
            </w:pPr>
            <w:r w:rsidRPr="00D252D3">
              <w:rPr>
                <w:b/>
              </w:rPr>
              <w:t>7.</w:t>
            </w:r>
            <w:r w:rsidRPr="00D252D3">
              <w:rPr>
                <w:b/>
              </w:rPr>
              <w:tab/>
              <w:t>INÉ ŠPECIÁLNE UPOZORNENIE (UPOZORNENIA), AK JE TO POTREBNÉ</w:t>
            </w:r>
          </w:p>
        </w:tc>
      </w:tr>
    </w:tbl>
    <w:p w:rsidR="0053152B" w:rsidRPr="00D252D3" w:rsidRDefault="0053152B"/>
    <w:p w:rsidR="0053152B" w:rsidRPr="00D252D3" w:rsidRDefault="0053152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152B" w:rsidRPr="00D252D3">
        <w:tblPrEx>
          <w:tblCellMar>
            <w:top w:w="0" w:type="dxa"/>
            <w:bottom w:w="0" w:type="dxa"/>
          </w:tblCellMar>
        </w:tblPrEx>
        <w:tc>
          <w:tcPr>
            <w:tcW w:w="9287" w:type="dxa"/>
          </w:tcPr>
          <w:p w:rsidR="0053152B" w:rsidRPr="00D252D3" w:rsidRDefault="0053152B" w:rsidP="00AB164B">
            <w:pPr>
              <w:keepNext/>
              <w:tabs>
                <w:tab w:val="left" w:pos="142"/>
              </w:tabs>
              <w:rPr>
                <w:b/>
              </w:rPr>
            </w:pPr>
            <w:r w:rsidRPr="00D252D3">
              <w:rPr>
                <w:b/>
              </w:rPr>
              <w:t>8.</w:t>
            </w:r>
            <w:r w:rsidRPr="00D252D3">
              <w:rPr>
                <w:b/>
              </w:rPr>
              <w:tab/>
              <w:t>DÁTUM EXSPIRÁCIE</w:t>
            </w:r>
          </w:p>
        </w:tc>
      </w:tr>
    </w:tbl>
    <w:p w:rsidR="0053152B" w:rsidRPr="00D252D3" w:rsidRDefault="0053152B" w:rsidP="00AB164B">
      <w:pPr>
        <w:keepNext/>
      </w:pPr>
    </w:p>
    <w:p w:rsidR="0053152B" w:rsidRPr="00D252D3" w:rsidRDefault="0053152B">
      <w:r w:rsidRPr="00D252D3">
        <w:t>EXP:</w:t>
      </w:r>
    </w:p>
    <w:p w:rsidR="0053152B" w:rsidRPr="00D252D3" w:rsidRDefault="0053152B">
      <w:pPr>
        <w:ind w:left="0" w:firstLine="0"/>
      </w:pPr>
    </w:p>
    <w:p w:rsidR="0053152B" w:rsidRPr="00D252D3" w:rsidRDefault="0053152B">
      <w:pPr>
        <w:ind w:left="0" w:firstLine="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152B" w:rsidRPr="00D252D3">
        <w:tblPrEx>
          <w:tblCellMar>
            <w:top w:w="0" w:type="dxa"/>
            <w:bottom w:w="0" w:type="dxa"/>
          </w:tblCellMar>
        </w:tblPrEx>
        <w:tc>
          <w:tcPr>
            <w:tcW w:w="9287" w:type="dxa"/>
          </w:tcPr>
          <w:p w:rsidR="0053152B" w:rsidRPr="00D252D3" w:rsidRDefault="0053152B" w:rsidP="00E0451D">
            <w:pPr>
              <w:keepNext/>
              <w:tabs>
                <w:tab w:val="left" w:pos="142"/>
              </w:tabs>
              <w:ind w:left="562" w:hanging="562"/>
            </w:pPr>
            <w:r w:rsidRPr="00D252D3">
              <w:rPr>
                <w:b/>
              </w:rPr>
              <w:t>9.</w:t>
            </w:r>
            <w:r w:rsidRPr="00D252D3">
              <w:rPr>
                <w:b/>
              </w:rPr>
              <w:tab/>
            </w:r>
            <w:r w:rsidR="00E0451D" w:rsidRPr="00D252D3">
              <w:rPr>
                <w:b/>
              </w:rPr>
              <w:t>ŠPECIÁLNE PODMIENKY NA UCHOVÁVANIE</w:t>
            </w:r>
          </w:p>
        </w:tc>
      </w:tr>
    </w:tbl>
    <w:p w:rsidR="0053152B" w:rsidRPr="00D252D3" w:rsidRDefault="0053152B">
      <w:pPr>
        <w:keepNext/>
        <w:ind w:left="562" w:hanging="562"/>
      </w:pPr>
    </w:p>
    <w:p w:rsidR="0053152B" w:rsidRPr="00D252D3" w:rsidRDefault="0053152B">
      <w:pPr>
        <w:keepNext/>
        <w:ind w:left="562" w:hanging="562"/>
        <w:rPr>
          <w:b/>
        </w:rPr>
      </w:pPr>
      <w:r w:rsidRPr="00D252D3">
        <w:rPr>
          <w:b/>
          <w:snapToGrid w:val="0"/>
          <w:lang w:eastAsia="cs-CZ"/>
        </w:rPr>
        <w:t>Tento liek nevyžaduje žiadne zvláštne teplotné podmienky na uchovávanie.</w:t>
      </w:r>
    </w:p>
    <w:p w:rsidR="0053152B" w:rsidRPr="00D252D3" w:rsidRDefault="0053152B">
      <w:pPr>
        <w:rPr>
          <w:b/>
        </w:rPr>
      </w:pPr>
      <w:r w:rsidRPr="00D252D3">
        <w:rPr>
          <w:b/>
        </w:rPr>
        <w:t>Uchovávajte v pôvodnom balení na ochranu pred vlhkosťou.</w:t>
      </w:r>
    </w:p>
    <w:p w:rsidR="0053152B" w:rsidRPr="00D252D3" w:rsidRDefault="0053152B"/>
    <w:p w:rsidR="0053152B" w:rsidRPr="00D252D3" w:rsidRDefault="0053152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152B" w:rsidRPr="00D252D3">
        <w:tblPrEx>
          <w:tblCellMar>
            <w:top w:w="0" w:type="dxa"/>
            <w:bottom w:w="0" w:type="dxa"/>
          </w:tblCellMar>
        </w:tblPrEx>
        <w:tc>
          <w:tcPr>
            <w:tcW w:w="9287" w:type="dxa"/>
          </w:tcPr>
          <w:p w:rsidR="0053152B" w:rsidRPr="00D252D3" w:rsidRDefault="0053152B">
            <w:pPr>
              <w:tabs>
                <w:tab w:val="left" w:pos="142"/>
              </w:tabs>
              <w:rPr>
                <w:b/>
              </w:rPr>
            </w:pPr>
            <w:r w:rsidRPr="00D252D3">
              <w:rPr>
                <w:b/>
              </w:rPr>
              <w:t>10.</w:t>
            </w:r>
            <w:r w:rsidRPr="00D252D3">
              <w:rPr>
                <w:b/>
              </w:rPr>
              <w:tab/>
              <w:t xml:space="preserve">ŠPECIÁLNE UPOZORNENIA </w:t>
            </w:r>
            <w:smartTag w:uri="urn:schemas-microsoft-com:office:smarttags" w:element="stockticker">
              <w:r w:rsidRPr="00D252D3">
                <w:rPr>
                  <w:b/>
                </w:rPr>
                <w:t>NA</w:t>
              </w:r>
            </w:smartTag>
            <w:r w:rsidRPr="00D252D3">
              <w:rPr>
                <w:b/>
              </w:rPr>
              <w:t xml:space="preserve"> LIKVIDÁCIU NEPOUŽITÝCH LIEKOV ALEBO ODPADOV Z NICH VZNIKNUTÝCH, AK JE TO VHODNÉ</w:t>
            </w:r>
          </w:p>
        </w:tc>
      </w:tr>
    </w:tbl>
    <w:p w:rsidR="0053152B" w:rsidRPr="00D252D3" w:rsidRDefault="0053152B"/>
    <w:p w:rsidR="0053152B" w:rsidRPr="00D252D3" w:rsidRDefault="0053152B">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152B" w:rsidRPr="00D252D3">
        <w:tblPrEx>
          <w:tblCellMar>
            <w:top w:w="0" w:type="dxa"/>
            <w:bottom w:w="0" w:type="dxa"/>
          </w:tblCellMar>
        </w:tblPrEx>
        <w:tc>
          <w:tcPr>
            <w:tcW w:w="9287" w:type="dxa"/>
          </w:tcPr>
          <w:p w:rsidR="0053152B" w:rsidRPr="00D252D3" w:rsidRDefault="0053152B">
            <w:pPr>
              <w:tabs>
                <w:tab w:val="left" w:pos="142"/>
              </w:tabs>
              <w:rPr>
                <w:b/>
                <w:szCs w:val="22"/>
              </w:rPr>
            </w:pPr>
            <w:r w:rsidRPr="00D252D3">
              <w:rPr>
                <w:b/>
                <w:szCs w:val="22"/>
              </w:rPr>
              <w:t>11.</w:t>
            </w:r>
            <w:r w:rsidRPr="00D252D3">
              <w:rPr>
                <w:b/>
                <w:szCs w:val="22"/>
              </w:rPr>
              <w:tab/>
              <w:t>NÁZOV A ADRESA DRŽITEĽA ROZHODNUTIA O REGISTRÁCII</w:t>
            </w:r>
          </w:p>
        </w:tc>
      </w:tr>
    </w:tbl>
    <w:p w:rsidR="0053152B" w:rsidRPr="00D252D3" w:rsidRDefault="0053152B">
      <w:pPr>
        <w:rPr>
          <w:szCs w:val="22"/>
        </w:rPr>
      </w:pPr>
    </w:p>
    <w:p w:rsidR="0053152B" w:rsidRPr="00D252D3" w:rsidRDefault="0053152B">
      <w:pPr>
        <w:rPr>
          <w:szCs w:val="22"/>
        </w:rPr>
      </w:pPr>
      <w:r w:rsidRPr="00D252D3">
        <w:rPr>
          <w:szCs w:val="22"/>
        </w:rPr>
        <w:t>Boehringer Ingelheim International GmbH</w:t>
      </w:r>
    </w:p>
    <w:p w:rsidR="0053152B" w:rsidRPr="00D252D3" w:rsidRDefault="0053152B">
      <w:pPr>
        <w:rPr>
          <w:szCs w:val="22"/>
        </w:rPr>
      </w:pPr>
      <w:r w:rsidRPr="00D252D3">
        <w:rPr>
          <w:szCs w:val="22"/>
        </w:rPr>
        <w:t>Binger Str. 173</w:t>
      </w:r>
    </w:p>
    <w:p w:rsidR="0053152B" w:rsidRPr="00D252D3" w:rsidRDefault="0053152B">
      <w:pPr>
        <w:rPr>
          <w:szCs w:val="22"/>
        </w:rPr>
      </w:pPr>
      <w:r w:rsidRPr="00D252D3">
        <w:rPr>
          <w:szCs w:val="22"/>
        </w:rPr>
        <w:t>D-55216 Ingelheim nad Rýnom</w:t>
      </w:r>
    </w:p>
    <w:p w:rsidR="0053152B" w:rsidRPr="00D252D3" w:rsidRDefault="0053152B">
      <w:pPr>
        <w:rPr>
          <w:szCs w:val="22"/>
        </w:rPr>
      </w:pPr>
      <w:r w:rsidRPr="00D252D3">
        <w:rPr>
          <w:szCs w:val="22"/>
        </w:rPr>
        <w:t>Nemecko</w:t>
      </w:r>
    </w:p>
    <w:p w:rsidR="0053152B" w:rsidRPr="00D252D3" w:rsidRDefault="0053152B">
      <w:pPr>
        <w:rPr>
          <w:szCs w:val="22"/>
        </w:rPr>
      </w:pPr>
    </w:p>
    <w:p w:rsidR="0053152B" w:rsidRPr="00D252D3" w:rsidRDefault="0053152B">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152B" w:rsidRPr="00D252D3">
        <w:tblPrEx>
          <w:tblCellMar>
            <w:top w:w="0" w:type="dxa"/>
            <w:bottom w:w="0" w:type="dxa"/>
          </w:tblCellMar>
        </w:tblPrEx>
        <w:tc>
          <w:tcPr>
            <w:tcW w:w="9287" w:type="dxa"/>
          </w:tcPr>
          <w:p w:rsidR="0053152B" w:rsidRPr="00D252D3" w:rsidRDefault="0053152B">
            <w:pPr>
              <w:tabs>
                <w:tab w:val="left" w:pos="142"/>
              </w:tabs>
              <w:rPr>
                <w:b/>
                <w:szCs w:val="22"/>
              </w:rPr>
            </w:pPr>
            <w:r w:rsidRPr="00D252D3">
              <w:rPr>
                <w:b/>
                <w:szCs w:val="22"/>
              </w:rPr>
              <w:t>12.</w:t>
            </w:r>
            <w:r w:rsidRPr="00D252D3">
              <w:rPr>
                <w:b/>
                <w:szCs w:val="22"/>
              </w:rPr>
              <w:tab/>
              <w:t>REGISTRAČNÉ ČÍSLA</w:t>
            </w:r>
          </w:p>
        </w:tc>
      </w:tr>
    </w:tbl>
    <w:p w:rsidR="0053152B" w:rsidRPr="00D252D3" w:rsidRDefault="0053152B">
      <w:pPr>
        <w:rPr>
          <w:szCs w:val="22"/>
        </w:rPr>
      </w:pPr>
    </w:p>
    <w:p w:rsidR="0053152B" w:rsidRPr="00D252D3" w:rsidRDefault="0053152B">
      <w:pPr>
        <w:rPr>
          <w:szCs w:val="22"/>
        </w:rPr>
      </w:pPr>
      <w:r w:rsidRPr="00D252D3">
        <w:rPr>
          <w:szCs w:val="22"/>
        </w:rPr>
        <w:t>EU/1/02/213/017</w:t>
      </w:r>
      <w:r w:rsidRPr="00D252D3">
        <w:rPr>
          <w:szCs w:val="22"/>
        </w:rPr>
        <w:tab/>
        <w:t>14 tabliet</w:t>
      </w:r>
    </w:p>
    <w:p w:rsidR="0053152B" w:rsidRPr="00D252D3" w:rsidRDefault="0053152B">
      <w:pPr>
        <w:rPr>
          <w:szCs w:val="22"/>
        </w:rPr>
      </w:pPr>
      <w:r w:rsidRPr="00D252D3">
        <w:rPr>
          <w:szCs w:val="22"/>
          <w:shd w:val="clear" w:color="auto" w:fill="C0C0C0"/>
        </w:rPr>
        <w:t>EU/1/02/213/018</w:t>
      </w:r>
      <w:r w:rsidRPr="00D252D3">
        <w:rPr>
          <w:szCs w:val="22"/>
          <w:shd w:val="clear" w:color="auto" w:fill="C0C0C0"/>
        </w:rPr>
        <w:tab/>
        <w:t>28 tabliet</w:t>
      </w:r>
    </w:p>
    <w:p w:rsidR="0053152B" w:rsidRPr="00D252D3" w:rsidRDefault="0053152B">
      <w:pPr>
        <w:rPr>
          <w:szCs w:val="22"/>
        </w:rPr>
      </w:pPr>
      <w:r w:rsidRPr="00D252D3">
        <w:rPr>
          <w:szCs w:val="22"/>
          <w:shd w:val="clear" w:color="auto" w:fill="C0C0C0"/>
        </w:rPr>
        <w:t>EU/1/02/213/019</w:t>
      </w:r>
      <w:r w:rsidRPr="00D252D3">
        <w:rPr>
          <w:szCs w:val="22"/>
          <w:shd w:val="clear" w:color="auto" w:fill="C0C0C0"/>
        </w:rPr>
        <w:tab/>
        <w:t>28 x 1 tableta</w:t>
      </w:r>
      <w:r w:rsidRPr="00D252D3">
        <w:rPr>
          <w:shd w:val="clear" w:color="auto" w:fill="C0C0C0"/>
        </w:rPr>
        <w:t xml:space="preserve"> </w:t>
      </w:r>
    </w:p>
    <w:p w:rsidR="0053152B" w:rsidRPr="00D252D3" w:rsidRDefault="0053152B">
      <w:pPr>
        <w:rPr>
          <w:szCs w:val="22"/>
        </w:rPr>
      </w:pPr>
      <w:r w:rsidRPr="00D252D3">
        <w:rPr>
          <w:szCs w:val="22"/>
          <w:shd w:val="clear" w:color="auto" w:fill="C0C0C0"/>
        </w:rPr>
        <w:t>EU/1/02/213/020</w:t>
      </w:r>
      <w:r w:rsidRPr="00D252D3">
        <w:rPr>
          <w:szCs w:val="22"/>
          <w:shd w:val="clear" w:color="auto" w:fill="C0C0C0"/>
        </w:rPr>
        <w:tab/>
        <w:t>30 x 1 tableta</w:t>
      </w:r>
    </w:p>
    <w:p w:rsidR="0053152B" w:rsidRPr="00D252D3" w:rsidRDefault="0053152B">
      <w:pPr>
        <w:rPr>
          <w:szCs w:val="22"/>
        </w:rPr>
      </w:pPr>
      <w:r w:rsidRPr="00D252D3">
        <w:rPr>
          <w:szCs w:val="22"/>
          <w:shd w:val="clear" w:color="auto" w:fill="C0C0C0"/>
        </w:rPr>
        <w:t>EU/1/02/213/021</w:t>
      </w:r>
      <w:r w:rsidRPr="00D252D3">
        <w:rPr>
          <w:szCs w:val="22"/>
          <w:shd w:val="clear" w:color="auto" w:fill="C0C0C0"/>
        </w:rPr>
        <w:tab/>
        <w:t>56 tabliet</w:t>
      </w:r>
    </w:p>
    <w:p w:rsidR="0053152B" w:rsidRPr="00D252D3" w:rsidRDefault="0053152B">
      <w:pPr>
        <w:rPr>
          <w:szCs w:val="22"/>
        </w:rPr>
      </w:pPr>
      <w:r w:rsidRPr="00D252D3">
        <w:rPr>
          <w:szCs w:val="22"/>
          <w:shd w:val="clear" w:color="auto" w:fill="C0C0C0"/>
        </w:rPr>
        <w:t>EU/1/02/213/022</w:t>
      </w:r>
      <w:r w:rsidRPr="00D252D3">
        <w:rPr>
          <w:szCs w:val="22"/>
          <w:shd w:val="clear" w:color="auto" w:fill="C0C0C0"/>
        </w:rPr>
        <w:tab/>
        <w:t>90 x 1 tableta</w:t>
      </w:r>
    </w:p>
    <w:p w:rsidR="0053152B" w:rsidRPr="00D252D3" w:rsidRDefault="0053152B">
      <w:pPr>
        <w:rPr>
          <w:szCs w:val="22"/>
        </w:rPr>
      </w:pPr>
      <w:r w:rsidRPr="00D252D3">
        <w:rPr>
          <w:szCs w:val="22"/>
          <w:shd w:val="clear" w:color="auto" w:fill="C0C0C0"/>
        </w:rPr>
        <w:t>EU/1/02/213/023</w:t>
      </w:r>
      <w:r w:rsidRPr="00D252D3">
        <w:rPr>
          <w:szCs w:val="22"/>
          <w:shd w:val="clear" w:color="auto" w:fill="C0C0C0"/>
        </w:rPr>
        <w:tab/>
        <w:t>98 tabliet</w:t>
      </w:r>
    </w:p>
    <w:p w:rsidR="0053152B" w:rsidRPr="00D252D3" w:rsidRDefault="0053152B">
      <w:pPr>
        <w:rPr>
          <w:szCs w:val="22"/>
        </w:rPr>
      </w:pPr>
    </w:p>
    <w:p w:rsidR="0053152B" w:rsidRPr="00D252D3" w:rsidRDefault="0053152B"/>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287"/>
      </w:tblGrid>
      <w:tr w:rsidR="0053152B" w:rsidRPr="00D252D3" w:rsidTr="000D7A2C">
        <w:tblPrEx>
          <w:tblCellMar>
            <w:top w:w="0" w:type="dxa"/>
            <w:bottom w:w="0" w:type="dxa"/>
          </w:tblCellMar>
        </w:tblPrEx>
        <w:tc>
          <w:tcPr>
            <w:tcW w:w="9287" w:type="dxa"/>
          </w:tcPr>
          <w:p w:rsidR="0053152B" w:rsidRPr="00D252D3" w:rsidRDefault="0053152B">
            <w:pPr>
              <w:tabs>
                <w:tab w:val="left" w:pos="142"/>
              </w:tabs>
              <w:rPr>
                <w:b/>
              </w:rPr>
            </w:pPr>
            <w:r w:rsidRPr="00D252D3">
              <w:rPr>
                <w:b/>
              </w:rPr>
              <w:t>13.</w:t>
            </w:r>
            <w:r w:rsidRPr="00D252D3">
              <w:rPr>
                <w:b/>
              </w:rPr>
              <w:tab/>
              <w:t>ČÍSLO VÝROBNEJ ŠARŽE</w:t>
            </w:r>
          </w:p>
        </w:tc>
      </w:tr>
    </w:tbl>
    <w:p w:rsidR="0053152B" w:rsidRPr="00D252D3" w:rsidRDefault="0053152B"/>
    <w:p w:rsidR="0053152B" w:rsidRPr="00D252D3" w:rsidRDefault="00E32A5E">
      <w:r w:rsidRPr="00D252D3">
        <w:t>Lot</w:t>
      </w:r>
    </w:p>
    <w:p w:rsidR="0053152B" w:rsidRPr="00D252D3" w:rsidRDefault="0053152B"/>
    <w:p w:rsidR="0053152B" w:rsidRPr="00D252D3" w:rsidRDefault="0053152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152B" w:rsidRPr="00D252D3">
        <w:tblPrEx>
          <w:tblCellMar>
            <w:top w:w="0" w:type="dxa"/>
            <w:bottom w:w="0" w:type="dxa"/>
          </w:tblCellMar>
        </w:tblPrEx>
        <w:tc>
          <w:tcPr>
            <w:tcW w:w="9287" w:type="dxa"/>
          </w:tcPr>
          <w:p w:rsidR="0053152B" w:rsidRPr="00D252D3" w:rsidRDefault="0053152B">
            <w:pPr>
              <w:tabs>
                <w:tab w:val="left" w:pos="142"/>
              </w:tabs>
              <w:rPr>
                <w:b/>
              </w:rPr>
            </w:pPr>
            <w:r w:rsidRPr="00D252D3">
              <w:rPr>
                <w:b/>
              </w:rPr>
              <w:t>14.</w:t>
            </w:r>
            <w:r w:rsidRPr="00D252D3">
              <w:rPr>
                <w:b/>
              </w:rPr>
              <w:tab/>
              <w:t>ZATRIEDENIE LIEKU PODĽA SPÔSOBU VÝDAJA</w:t>
            </w:r>
          </w:p>
        </w:tc>
      </w:tr>
    </w:tbl>
    <w:p w:rsidR="0053152B" w:rsidRPr="00D252D3" w:rsidRDefault="0053152B"/>
    <w:p w:rsidR="0053152B" w:rsidRPr="00D252D3" w:rsidRDefault="0053152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152B" w:rsidRPr="00D252D3">
        <w:tblPrEx>
          <w:tblCellMar>
            <w:top w:w="0" w:type="dxa"/>
            <w:bottom w:w="0" w:type="dxa"/>
          </w:tblCellMar>
        </w:tblPrEx>
        <w:tc>
          <w:tcPr>
            <w:tcW w:w="9287" w:type="dxa"/>
          </w:tcPr>
          <w:p w:rsidR="0053152B" w:rsidRPr="00D252D3" w:rsidRDefault="0053152B">
            <w:pPr>
              <w:tabs>
                <w:tab w:val="left" w:pos="142"/>
              </w:tabs>
              <w:rPr>
                <w:b/>
              </w:rPr>
            </w:pPr>
            <w:r w:rsidRPr="00D252D3">
              <w:rPr>
                <w:b/>
              </w:rPr>
              <w:t>15.</w:t>
            </w:r>
            <w:r w:rsidRPr="00D252D3">
              <w:rPr>
                <w:b/>
              </w:rPr>
              <w:tab/>
              <w:t xml:space="preserve">POKYNY </w:t>
            </w:r>
            <w:smartTag w:uri="urn:schemas-microsoft-com:office:smarttags" w:element="stockticker">
              <w:r w:rsidRPr="00D252D3">
                <w:rPr>
                  <w:b/>
                </w:rPr>
                <w:t>NA</w:t>
              </w:r>
            </w:smartTag>
            <w:r w:rsidRPr="00D252D3">
              <w:rPr>
                <w:b/>
              </w:rPr>
              <w:t xml:space="preserve"> POUŽITIE</w:t>
            </w:r>
          </w:p>
        </w:tc>
      </w:tr>
    </w:tbl>
    <w:p w:rsidR="0053152B" w:rsidRPr="00D252D3" w:rsidRDefault="0053152B"/>
    <w:p w:rsidR="0053152B" w:rsidRPr="00D252D3" w:rsidRDefault="0053152B"/>
    <w:tbl>
      <w:tblPr>
        <w:tblW w:w="9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152B" w:rsidRPr="00D252D3">
        <w:tblPrEx>
          <w:tblCellMar>
            <w:top w:w="0" w:type="dxa"/>
            <w:bottom w:w="0" w:type="dxa"/>
          </w:tblCellMar>
        </w:tblPrEx>
        <w:tc>
          <w:tcPr>
            <w:tcW w:w="9287" w:type="dxa"/>
          </w:tcPr>
          <w:p w:rsidR="0053152B" w:rsidRPr="00D252D3" w:rsidRDefault="0053152B">
            <w:pPr>
              <w:tabs>
                <w:tab w:val="left" w:pos="142"/>
              </w:tabs>
              <w:rPr>
                <w:b/>
                <w:szCs w:val="22"/>
              </w:rPr>
            </w:pPr>
            <w:r w:rsidRPr="00D252D3">
              <w:rPr>
                <w:b/>
                <w:szCs w:val="22"/>
              </w:rPr>
              <w:t>16.</w:t>
            </w:r>
            <w:r w:rsidRPr="00D252D3">
              <w:rPr>
                <w:b/>
                <w:szCs w:val="22"/>
              </w:rPr>
              <w:tab/>
              <w:t>INFORMÁCIE V BRAILLOVOM PÍSME</w:t>
            </w:r>
          </w:p>
        </w:tc>
      </w:tr>
    </w:tbl>
    <w:p w:rsidR="0053152B" w:rsidRPr="00D252D3" w:rsidRDefault="0053152B">
      <w:pPr>
        <w:rPr>
          <w:bCs/>
          <w:szCs w:val="22"/>
        </w:rPr>
      </w:pPr>
    </w:p>
    <w:p w:rsidR="0053152B" w:rsidRPr="00D252D3" w:rsidRDefault="0053152B">
      <w:pPr>
        <w:rPr>
          <w:bCs/>
          <w:szCs w:val="22"/>
        </w:rPr>
      </w:pPr>
      <w:r w:rsidRPr="00D252D3">
        <w:rPr>
          <w:bCs/>
          <w:szCs w:val="22"/>
        </w:rPr>
        <w:t xml:space="preserve">MicardisPlus 80 mg/25 mg </w:t>
      </w:r>
    </w:p>
    <w:p w:rsidR="0053152B" w:rsidRPr="00D252D3" w:rsidRDefault="0053152B">
      <w:pPr>
        <w:rPr>
          <w:bCs/>
          <w:szCs w:val="22"/>
        </w:rPr>
      </w:pPr>
    </w:p>
    <w:p w:rsidR="0053152B" w:rsidRPr="00D252D3" w:rsidRDefault="0053152B">
      <w:pPr>
        <w:rPr>
          <w:bCs/>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152B" w:rsidRPr="00D252D3">
        <w:tblPrEx>
          <w:tblCellMar>
            <w:top w:w="0" w:type="dxa"/>
            <w:bottom w:w="0" w:type="dxa"/>
          </w:tblCellMar>
        </w:tblPrEx>
        <w:tc>
          <w:tcPr>
            <w:tcW w:w="9287" w:type="dxa"/>
          </w:tcPr>
          <w:p w:rsidR="0053152B" w:rsidRPr="00D252D3" w:rsidRDefault="0053152B" w:rsidP="00AB164B">
            <w:pPr>
              <w:keepNext/>
              <w:tabs>
                <w:tab w:val="left" w:pos="142"/>
              </w:tabs>
              <w:rPr>
                <w:b/>
                <w:szCs w:val="22"/>
              </w:rPr>
            </w:pPr>
            <w:r w:rsidRPr="00D252D3">
              <w:rPr>
                <w:b/>
                <w:szCs w:val="22"/>
              </w:rPr>
              <w:t>17.</w:t>
            </w:r>
            <w:r w:rsidRPr="00D252D3">
              <w:rPr>
                <w:b/>
                <w:szCs w:val="22"/>
              </w:rPr>
              <w:tab/>
            </w:r>
            <w:r w:rsidRPr="00D252D3">
              <w:rPr>
                <w:b/>
              </w:rPr>
              <w:t>ŠPECIFICKÝ IDENTIFIKÁTOR – DVOJROZMERNÝ ČIAROVÝ KÓD</w:t>
            </w:r>
          </w:p>
        </w:tc>
      </w:tr>
    </w:tbl>
    <w:p w:rsidR="0053152B" w:rsidRPr="00D252D3" w:rsidRDefault="0053152B" w:rsidP="00AB164B">
      <w:pPr>
        <w:keepNext/>
        <w:rPr>
          <w:bCs/>
          <w:szCs w:val="22"/>
        </w:rPr>
      </w:pPr>
    </w:p>
    <w:p w:rsidR="0053152B" w:rsidRPr="00D252D3" w:rsidRDefault="0053152B">
      <w:pPr>
        <w:rPr>
          <w:bCs/>
          <w:szCs w:val="22"/>
        </w:rPr>
      </w:pPr>
      <w:r w:rsidRPr="00D252D3">
        <w:rPr>
          <w:highlight w:val="lightGray"/>
        </w:rPr>
        <w:t>Dvojrozmerný čiarový kód so špecifickým identifikátorom.</w:t>
      </w:r>
    </w:p>
    <w:p w:rsidR="0053152B" w:rsidRPr="00D252D3" w:rsidRDefault="0053152B">
      <w:pPr>
        <w:rPr>
          <w:bCs/>
          <w:szCs w:val="22"/>
        </w:rPr>
      </w:pPr>
    </w:p>
    <w:p w:rsidR="0053152B" w:rsidRPr="00D252D3" w:rsidRDefault="0053152B">
      <w:pPr>
        <w:rPr>
          <w:bCs/>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152B" w:rsidRPr="00D252D3">
        <w:tblPrEx>
          <w:tblCellMar>
            <w:top w:w="0" w:type="dxa"/>
            <w:bottom w:w="0" w:type="dxa"/>
          </w:tblCellMar>
        </w:tblPrEx>
        <w:tc>
          <w:tcPr>
            <w:tcW w:w="9287" w:type="dxa"/>
          </w:tcPr>
          <w:p w:rsidR="0053152B" w:rsidRPr="00D252D3" w:rsidRDefault="0053152B" w:rsidP="00AB164B">
            <w:pPr>
              <w:keepNext/>
              <w:tabs>
                <w:tab w:val="left" w:pos="142"/>
              </w:tabs>
              <w:rPr>
                <w:b/>
                <w:szCs w:val="22"/>
              </w:rPr>
            </w:pPr>
            <w:r w:rsidRPr="00D252D3">
              <w:rPr>
                <w:b/>
                <w:szCs w:val="22"/>
              </w:rPr>
              <w:t>18.</w:t>
            </w:r>
            <w:r w:rsidRPr="00D252D3">
              <w:rPr>
                <w:b/>
                <w:szCs w:val="22"/>
              </w:rPr>
              <w:tab/>
            </w:r>
            <w:r w:rsidRPr="00D252D3">
              <w:rPr>
                <w:b/>
              </w:rPr>
              <w:t>ŠPECIFICKÝ IDENTIFIKÁTOR  – ÚDAJE ČITATEĽNÉ ĽUDSKÝM OKOM</w:t>
            </w:r>
          </w:p>
        </w:tc>
      </w:tr>
    </w:tbl>
    <w:p w:rsidR="0053152B" w:rsidRPr="00D252D3" w:rsidRDefault="0053152B" w:rsidP="00AB164B">
      <w:pPr>
        <w:keepNext/>
        <w:rPr>
          <w:bCs/>
          <w:szCs w:val="22"/>
        </w:rPr>
      </w:pPr>
    </w:p>
    <w:p w:rsidR="0053152B" w:rsidRPr="00D252D3" w:rsidRDefault="0053152B" w:rsidP="00AB164B">
      <w:pPr>
        <w:keepNext/>
        <w:rPr>
          <w:szCs w:val="22"/>
        </w:rPr>
      </w:pPr>
      <w:r w:rsidRPr="00D252D3">
        <w:t>PC: {číslo} [kód lieku]</w:t>
      </w:r>
    </w:p>
    <w:p w:rsidR="0053152B" w:rsidRPr="00D252D3" w:rsidRDefault="0053152B" w:rsidP="00AB164B">
      <w:pPr>
        <w:keepNext/>
        <w:rPr>
          <w:szCs w:val="22"/>
        </w:rPr>
      </w:pPr>
      <w:r w:rsidRPr="00D252D3">
        <w:t>SN: {číslo} [sériové číslo]</w:t>
      </w:r>
    </w:p>
    <w:p w:rsidR="0053152B" w:rsidRPr="00D252D3" w:rsidRDefault="0053152B">
      <w:r w:rsidRPr="00D252D3">
        <w:t>NN: {číslo} [národné číslo úhrady alebo iné národné číslo identifikujúce liek]</w:t>
      </w:r>
      <w:r w:rsidRPr="00D252D3">
        <w:br w:type="page"/>
      </w:r>
    </w:p>
    <w:tbl>
      <w:tblPr>
        <w:tblW w:w="9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152B" w:rsidRPr="00D252D3">
        <w:tblPrEx>
          <w:tblCellMar>
            <w:top w:w="0" w:type="dxa"/>
            <w:bottom w:w="0" w:type="dxa"/>
          </w:tblCellMar>
        </w:tblPrEx>
        <w:tc>
          <w:tcPr>
            <w:tcW w:w="9287" w:type="dxa"/>
          </w:tcPr>
          <w:p w:rsidR="0053152B" w:rsidRPr="00D252D3" w:rsidRDefault="0053152B">
            <w:pPr>
              <w:ind w:left="0" w:firstLine="0"/>
              <w:rPr>
                <w:b/>
              </w:rPr>
            </w:pPr>
            <w:r w:rsidRPr="00D252D3">
              <w:rPr>
                <w:b/>
              </w:rPr>
              <w:t xml:space="preserve">MINIMÁLNE ÚDAJE, KTORÉ MAJÚ BYŤ UVEDENÉ </w:t>
            </w:r>
            <w:smartTag w:uri="urn:schemas-microsoft-com:office:smarttags" w:element="stockticker">
              <w:r w:rsidRPr="00D252D3">
                <w:rPr>
                  <w:b/>
                </w:rPr>
                <w:t>NA</w:t>
              </w:r>
            </w:smartTag>
            <w:r w:rsidRPr="00D252D3">
              <w:rPr>
                <w:b/>
              </w:rPr>
              <w:t xml:space="preserve"> BLISTROCH ALEBO STRIPOCH</w:t>
            </w:r>
          </w:p>
          <w:p w:rsidR="0053152B" w:rsidRPr="00D252D3" w:rsidRDefault="0053152B">
            <w:pPr>
              <w:rPr>
                <w:b/>
              </w:rPr>
            </w:pPr>
          </w:p>
          <w:p w:rsidR="0053152B" w:rsidRPr="00D252D3" w:rsidRDefault="0053152B">
            <w:pPr>
              <w:rPr>
                <w:b/>
              </w:rPr>
            </w:pPr>
            <w:r w:rsidRPr="00D252D3">
              <w:rPr>
                <w:b/>
              </w:rPr>
              <w:t>Blister so 7 tabletami</w:t>
            </w:r>
          </w:p>
        </w:tc>
      </w:tr>
    </w:tbl>
    <w:p w:rsidR="0053152B" w:rsidRPr="00D252D3" w:rsidRDefault="0053152B"/>
    <w:p w:rsidR="0053152B" w:rsidRPr="00D252D3" w:rsidRDefault="0053152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152B" w:rsidRPr="00D252D3">
        <w:tblPrEx>
          <w:tblCellMar>
            <w:top w:w="0" w:type="dxa"/>
            <w:bottom w:w="0" w:type="dxa"/>
          </w:tblCellMar>
        </w:tblPrEx>
        <w:tc>
          <w:tcPr>
            <w:tcW w:w="9287" w:type="dxa"/>
          </w:tcPr>
          <w:p w:rsidR="0053152B" w:rsidRPr="00D252D3" w:rsidRDefault="0053152B">
            <w:pPr>
              <w:tabs>
                <w:tab w:val="left" w:pos="142"/>
              </w:tabs>
              <w:rPr>
                <w:b/>
              </w:rPr>
            </w:pPr>
            <w:r w:rsidRPr="00D252D3">
              <w:rPr>
                <w:b/>
              </w:rPr>
              <w:t>1.</w:t>
            </w:r>
            <w:r w:rsidRPr="00D252D3">
              <w:rPr>
                <w:b/>
              </w:rPr>
              <w:tab/>
              <w:t>NÁZOV LIEKU</w:t>
            </w:r>
          </w:p>
        </w:tc>
      </w:tr>
    </w:tbl>
    <w:p w:rsidR="0053152B" w:rsidRPr="00D252D3" w:rsidRDefault="0053152B"/>
    <w:p w:rsidR="0053152B" w:rsidRPr="00D252D3" w:rsidRDefault="0053152B">
      <w:r w:rsidRPr="00D252D3">
        <w:t>MicardisPlus 80 mg/25 mg tablety</w:t>
      </w:r>
    </w:p>
    <w:p w:rsidR="0053152B" w:rsidRPr="00D252D3" w:rsidRDefault="0053152B">
      <w:r w:rsidRPr="00D252D3">
        <w:t>telmisartan/hydrochlorotiazid</w:t>
      </w:r>
    </w:p>
    <w:p w:rsidR="0053152B" w:rsidRPr="00D252D3" w:rsidRDefault="0053152B"/>
    <w:p w:rsidR="0053152B" w:rsidRPr="00D252D3" w:rsidRDefault="0053152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152B" w:rsidRPr="00D252D3">
        <w:tblPrEx>
          <w:tblCellMar>
            <w:top w:w="0" w:type="dxa"/>
            <w:bottom w:w="0" w:type="dxa"/>
          </w:tblCellMar>
        </w:tblPrEx>
        <w:tc>
          <w:tcPr>
            <w:tcW w:w="9287" w:type="dxa"/>
          </w:tcPr>
          <w:p w:rsidR="0053152B" w:rsidRPr="00D252D3" w:rsidRDefault="0053152B">
            <w:pPr>
              <w:tabs>
                <w:tab w:val="left" w:pos="142"/>
              </w:tabs>
              <w:rPr>
                <w:b/>
              </w:rPr>
            </w:pPr>
            <w:r w:rsidRPr="00D252D3">
              <w:rPr>
                <w:b/>
              </w:rPr>
              <w:t>2.</w:t>
            </w:r>
            <w:r w:rsidRPr="00D252D3">
              <w:rPr>
                <w:b/>
              </w:rPr>
              <w:tab/>
              <w:t>NÁZOV DRŽITEĽA ROZHODNUTIA O REGISTRÁCII</w:t>
            </w:r>
          </w:p>
        </w:tc>
      </w:tr>
    </w:tbl>
    <w:p w:rsidR="0053152B" w:rsidRPr="00D252D3" w:rsidRDefault="0053152B"/>
    <w:p w:rsidR="0053152B" w:rsidRPr="00D252D3" w:rsidRDefault="0053152B">
      <w:r w:rsidRPr="00D252D3">
        <w:t>Boehringer Ingelheim (</w:t>
      </w:r>
      <w:r w:rsidRPr="00D252D3">
        <w:rPr>
          <w:highlight w:val="lightGray"/>
        </w:rPr>
        <w:t>Logo</w:t>
      </w:r>
      <w:r w:rsidRPr="00D252D3">
        <w:t>)</w:t>
      </w:r>
    </w:p>
    <w:p w:rsidR="0053152B" w:rsidRPr="00D252D3" w:rsidRDefault="0053152B"/>
    <w:p w:rsidR="0053152B" w:rsidRPr="00D252D3" w:rsidRDefault="0053152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152B" w:rsidRPr="00D252D3">
        <w:tblPrEx>
          <w:tblCellMar>
            <w:top w:w="0" w:type="dxa"/>
            <w:bottom w:w="0" w:type="dxa"/>
          </w:tblCellMar>
        </w:tblPrEx>
        <w:tc>
          <w:tcPr>
            <w:tcW w:w="9287" w:type="dxa"/>
          </w:tcPr>
          <w:p w:rsidR="0053152B" w:rsidRPr="00D252D3" w:rsidRDefault="0053152B">
            <w:pPr>
              <w:tabs>
                <w:tab w:val="left" w:pos="142"/>
              </w:tabs>
              <w:rPr>
                <w:b/>
              </w:rPr>
            </w:pPr>
            <w:r w:rsidRPr="00D252D3">
              <w:rPr>
                <w:b/>
              </w:rPr>
              <w:t>3.</w:t>
            </w:r>
            <w:r w:rsidRPr="00D252D3">
              <w:rPr>
                <w:b/>
              </w:rPr>
              <w:tab/>
              <w:t>DÁTUM EXSPIRÁCIE</w:t>
            </w:r>
          </w:p>
        </w:tc>
      </w:tr>
    </w:tbl>
    <w:p w:rsidR="0053152B" w:rsidRPr="00D252D3" w:rsidRDefault="0053152B"/>
    <w:p w:rsidR="0053152B" w:rsidRPr="00D252D3" w:rsidRDefault="0053152B">
      <w:r w:rsidRPr="00D252D3">
        <w:t>EXP:</w:t>
      </w:r>
    </w:p>
    <w:p w:rsidR="0053152B" w:rsidRPr="00D252D3" w:rsidRDefault="0053152B"/>
    <w:p w:rsidR="0053152B" w:rsidRPr="00D252D3" w:rsidRDefault="0053152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152B" w:rsidRPr="00D252D3">
        <w:tblPrEx>
          <w:tblCellMar>
            <w:top w:w="0" w:type="dxa"/>
            <w:bottom w:w="0" w:type="dxa"/>
          </w:tblCellMar>
        </w:tblPrEx>
        <w:tc>
          <w:tcPr>
            <w:tcW w:w="9287" w:type="dxa"/>
          </w:tcPr>
          <w:p w:rsidR="0053152B" w:rsidRPr="00D252D3" w:rsidRDefault="0053152B">
            <w:pPr>
              <w:tabs>
                <w:tab w:val="left" w:pos="142"/>
              </w:tabs>
              <w:rPr>
                <w:b/>
              </w:rPr>
            </w:pPr>
            <w:r w:rsidRPr="00D252D3">
              <w:rPr>
                <w:b/>
              </w:rPr>
              <w:t>4.</w:t>
            </w:r>
            <w:r w:rsidRPr="00D252D3">
              <w:rPr>
                <w:b/>
              </w:rPr>
              <w:tab/>
              <w:t>ČÍSLO VÝROBNEJ ŠARŽE</w:t>
            </w:r>
          </w:p>
        </w:tc>
      </w:tr>
    </w:tbl>
    <w:p w:rsidR="0053152B" w:rsidRPr="00D252D3" w:rsidRDefault="0053152B"/>
    <w:p w:rsidR="0053152B" w:rsidRPr="00D252D3" w:rsidRDefault="0053152B">
      <w:r w:rsidRPr="00D252D3">
        <w:t>Lot:</w:t>
      </w:r>
    </w:p>
    <w:p w:rsidR="0053152B" w:rsidRPr="00D252D3" w:rsidRDefault="0053152B">
      <w:pPr>
        <w:ind w:left="0" w:firstLine="0"/>
      </w:pPr>
    </w:p>
    <w:p w:rsidR="0053152B" w:rsidRPr="00D252D3" w:rsidRDefault="0053152B">
      <w:pPr>
        <w:ind w:left="0" w:firstLine="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152B" w:rsidRPr="00D252D3">
        <w:tblPrEx>
          <w:tblCellMar>
            <w:top w:w="0" w:type="dxa"/>
            <w:bottom w:w="0" w:type="dxa"/>
          </w:tblCellMar>
        </w:tblPrEx>
        <w:tc>
          <w:tcPr>
            <w:tcW w:w="9287" w:type="dxa"/>
          </w:tcPr>
          <w:p w:rsidR="0053152B" w:rsidRPr="00D252D3" w:rsidRDefault="0053152B">
            <w:pPr>
              <w:tabs>
                <w:tab w:val="left" w:pos="142"/>
              </w:tabs>
              <w:rPr>
                <w:b/>
                <w:szCs w:val="22"/>
              </w:rPr>
            </w:pPr>
            <w:r w:rsidRPr="00D252D3">
              <w:rPr>
                <w:b/>
                <w:szCs w:val="22"/>
              </w:rPr>
              <w:t>5.</w:t>
            </w:r>
            <w:r w:rsidRPr="00D252D3">
              <w:rPr>
                <w:b/>
                <w:szCs w:val="22"/>
              </w:rPr>
              <w:tab/>
              <w:t>INÉ</w:t>
            </w:r>
          </w:p>
        </w:tc>
      </w:tr>
    </w:tbl>
    <w:p w:rsidR="0053152B" w:rsidRPr="00D252D3" w:rsidRDefault="0053152B">
      <w:pPr>
        <w:ind w:left="0" w:firstLine="0"/>
      </w:pPr>
    </w:p>
    <w:p w:rsidR="0053152B" w:rsidRPr="00D252D3" w:rsidRDefault="0053152B">
      <w:pPr>
        <w:ind w:left="0" w:firstLine="0"/>
      </w:pPr>
      <w:r w:rsidRPr="00D252D3">
        <w:t>PO</w:t>
      </w:r>
    </w:p>
    <w:p w:rsidR="0053152B" w:rsidRPr="00D252D3" w:rsidRDefault="0053152B">
      <w:pPr>
        <w:ind w:left="0" w:firstLine="0"/>
      </w:pPr>
      <w:r w:rsidRPr="00D252D3">
        <w:t>UT</w:t>
      </w:r>
    </w:p>
    <w:p w:rsidR="0053152B" w:rsidRPr="00D252D3" w:rsidRDefault="0053152B">
      <w:pPr>
        <w:ind w:left="0" w:firstLine="0"/>
      </w:pPr>
      <w:r w:rsidRPr="00D252D3">
        <w:t>ST</w:t>
      </w:r>
    </w:p>
    <w:p w:rsidR="0053152B" w:rsidRPr="00D252D3" w:rsidRDefault="0053152B">
      <w:pPr>
        <w:ind w:left="0" w:firstLine="0"/>
      </w:pPr>
      <w:r w:rsidRPr="00D252D3">
        <w:t>ŠT</w:t>
      </w:r>
    </w:p>
    <w:p w:rsidR="0053152B" w:rsidRPr="00D252D3" w:rsidRDefault="0053152B">
      <w:pPr>
        <w:ind w:left="0" w:firstLine="0"/>
      </w:pPr>
      <w:r w:rsidRPr="00D252D3">
        <w:t>PIA</w:t>
      </w:r>
    </w:p>
    <w:p w:rsidR="0053152B" w:rsidRPr="00D252D3" w:rsidRDefault="0053152B">
      <w:pPr>
        <w:ind w:left="0" w:firstLine="0"/>
      </w:pPr>
      <w:r w:rsidRPr="00D252D3">
        <w:t>SO</w:t>
      </w:r>
    </w:p>
    <w:p w:rsidR="0053152B" w:rsidRPr="00D252D3" w:rsidRDefault="0053152B">
      <w:pPr>
        <w:ind w:left="0" w:firstLine="0"/>
      </w:pPr>
      <w:r w:rsidRPr="00D252D3">
        <w:t>NE</w:t>
      </w:r>
    </w:p>
    <w:p w:rsidR="0053152B" w:rsidRPr="00D252D3" w:rsidRDefault="0053152B">
      <w:pPr>
        <w:rPr>
          <w:b/>
        </w:rPr>
      </w:pPr>
      <w:r w:rsidRPr="00D252D3">
        <w:rPr>
          <w:b/>
          <w:u w:val="single"/>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152B" w:rsidRPr="00D252D3">
        <w:tblPrEx>
          <w:tblCellMar>
            <w:top w:w="0" w:type="dxa"/>
            <w:bottom w:w="0" w:type="dxa"/>
          </w:tblCellMar>
        </w:tblPrEx>
        <w:tc>
          <w:tcPr>
            <w:tcW w:w="9287" w:type="dxa"/>
          </w:tcPr>
          <w:p w:rsidR="0053152B" w:rsidRPr="00D252D3" w:rsidRDefault="0053152B">
            <w:pPr>
              <w:ind w:left="0" w:firstLine="0"/>
              <w:rPr>
                <w:b/>
              </w:rPr>
            </w:pPr>
            <w:r w:rsidRPr="00D252D3">
              <w:rPr>
                <w:b/>
              </w:rPr>
              <w:t xml:space="preserve">MINIMÁLNE ÚDAJE, KTORÉ MAJÚ BYŤ UVEDENÉ </w:t>
            </w:r>
            <w:smartTag w:uri="urn:schemas-microsoft-com:office:smarttags" w:element="stockticker">
              <w:r w:rsidRPr="00D252D3">
                <w:rPr>
                  <w:b/>
                </w:rPr>
                <w:t>NA</w:t>
              </w:r>
            </w:smartTag>
            <w:r w:rsidRPr="00D252D3">
              <w:rPr>
                <w:b/>
              </w:rPr>
              <w:t xml:space="preserve"> BLISTROCH ALEBO STRIPOCH</w:t>
            </w:r>
          </w:p>
          <w:p w:rsidR="0053152B" w:rsidRPr="00D252D3" w:rsidRDefault="0053152B">
            <w:pPr>
              <w:rPr>
                <w:b/>
              </w:rPr>
            </w:pPr>
          </w:p>
          <w:p w:rsidR="0053152B" w:rsidRPr="00D252D3" w:rsidRDefault="0053152B">
            <w:pPr>
              <w:rPr>
                <w:b/>
              </w:rPr>
            </w:pPr>
            <w:r w:rsidRPr="00D252D3">
              <w:rPr>
                <w:b/>
              </w:rPr>
              <w:t>Blister</w:t>
            </w:r>
            <w:r w:rsidRPr="00D252D3">
              <w:t xml:space="preserve"> s jednotlivými dávkami</w:t>
            </w:r>
            <w:r w:rsidRPr="00D252D3">
              <w:rPr>
                <w:b/>
              </w:rPr>
              <w:t xml:space="preserve"> 7 alebo 10- alebo iný ako 7 početný blister</w:t>
            </w:r>
          </w:p>
        </w:tc>
      </w:tr>
    </w:tbl>
    <w:p w:rsidR="0053152B" w:rsidRPr="00D252D3" w:rsidRDefault="0053152B"/>
    <w:p w:rsidR="0053152B" w:rsidRPr="00D252D3" w:rsidRDefault="0053152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152B" w:rsidRPr="00D252D3">
        <w:tblPrEx>
          <w:tblCellMar>
            <w:top w:w="0" w:type="dxa"/>
            <w:bottom w:w="0" w:type="dxa"/>
          </w:tblCellMar>
        </w:tblPrEx>
        <w:tc>
          <w:tcPr>
            <w:tcW w:w="9287" w:type="dxa"/>
          </w:tcPr>
          <w:p w:rsidR="0053152B" w:rsidRPr="00D252D3" w:rsidRDefault="0053152B">
            <w:pPr>
              <w:tabs>
                <w:tab w:val="left" w:pos="142"/>
              </w:tabs>
              <w:rPr>
                <w:b/>
              </w:rPr>
            </w:pPr>
            <w:r w:rsidRPr="00D252D3">
              <w:rPr>
                <w:b/>
              </w:rPr>
              <w:t>1.</w:t>
            </w:r>
            <w:r w:rsidRPr="00D252D3">
              <w:rPr>
                <w:b/>
              </w:rPr>
              <w:tab/>
              <w:t>NÁZOV LIEKU</w:t>
            </w:r>
          </w:p>
        </w:tc>
      </w:tr>
    </w:tbl>
    <w:p w:rsidR="0053152B" w:rsidRPr="00D252D3" w:rsidRDefault="0053152B"/>
    <w:p w:rsidR="0053152B" w:rsidRPr="00D252D3" w:rsidRDefault="0053152B">
      <w:r w:rsidRPr="00D252D3">
        <w:t>MicardisPlus 80 mg/25 mg tablety</w:t>
      </w:r>
    </w:p>
    <w:p w:rsidR="0053152B" w:rsidRPr="00D252D3" w:rsidRDefault="0053152B">
      <w:r w:rsidRPr="00D252D3">
        <w:t>telmisartan/hydrochlorotiazid</w:t>
      </w:r>
    </w:p>
    <w:p w:rsidR="0053152B" w:rsidRPr="00D252D3" w:rsidRDefault="0053152B"/>
    <w:p w:rsidR="0053152B" w:rsidRPr="00D252D3" w:rsidRDefault="0053152B"/>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287"/>
      </w:tblGrid>
      <w:tr w:rsidR="0053152B" w:rsidRPr="00D252D3">
        <w:tblPrEx>
          <w:tblCellMar>
            <w:top w:w="0" w:type="dxa"/>
            <w:bottom w:w="0" w:type="dxa"/>
          </w:tblCellMar>
        </w:tblPrEx>
        <w:tc>
          <w:tcPr>
            <w:tcW w:w="9287" w:type="dxa"/>
          </w:tcPr>
          <w:p w:rsidR="0053152B" w:rsidRPr="00D252D3" w:rsidRDefault="0053152B">
            <w:pPr>
              <w:tabs>
                <w:tab w:val="left" w:pos="142"/>
              </w:tabs>
              <w:rPr>
                <w:b/>
              </w:rPr>
            </w:pPr>
            <w:r w:rsidRPr="00D252D3">
              <w:rPr>
                <w:b/>
              </w:rPr>
              <w:t>2.</w:t>
            </w:r>
            <w:r w:rsidRPr="00D252D3">
              <w:rPr>
                <w:b/>
              </w:rPr>
              <w:tab/>
              <w:t>NÁZOV DRŽITEĽA ROZHODNUTIA O REGISTRÁCII</w:t>
            </w:r>
          </w:p>
        </w:tc>
      </w:tr>
    </w:tbl>
    <w:p w:rsidR="0053152B" w:rsidRPr="00D252D3" w:rsidRDefault="0053152B"/>
    <w:p w:rsidR="0053152B" w:rsidRPr="00D252D3" w:rsidRDefault="0053152B">
      <w:r w:rsidRPr="00D252D3">
        <w:t>Boehringer Ingelheim (</w:t>
      </w:r>
      <w:r w:rsidRPr="00D252D3">
        <w:rPr>
          <w:highlight w:val="lightGray"/>
        </w:rPr>
        <w:t>Logo</w:t>
      </w:r>
      <w:r w:rsidRPr="00D252D3">
        <w:t>)</w:t>
      </w:r>
    </w:p>
    <w:p w:rsidR="0053152B" w:rsidRPr="00D252D3" w:rsidRDefault="0053152B"/>
    <w:p w:rsidR="0053152B" w:rsidRPr="00D252D3" w:rsidRDefault="0053152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152B" w:rsidRPr="00D252D3">
        <w:tblPrEx>
          <w:tblCellMar>
            <w:top w:w="0" w:type="dxa"/>
            <w:bottom w:w="0" w:type="dxa"/>
          </w:tblCellMar>
        </w:tblPrEx>
        <w:tc>
          <w:tcPr>
            <w:tcW w:w="9287" w:type="dxa"/>
          </w:tcPr>
          <w:p w:rsidR="0053152B" w:rsidRPr="00D252D3" w:rsidRDefault="0053152B">
            <w:pPr>
              <w:tabs>
                <w:tab w:val="left" w:pos="142"/>
              </w:tabs>
              <w:rPr>
                <w:b/>
              </w:rPr>
            </w:pPr>
            <w:r w:rsidRPr="00D252D3">
              <w:rPr>
                <w:b/>
              </w:rPr>
              <w:t>3.</w:t>
            </w:r>
            <w:r w:rsidRPr="00D252D3">
              <w:rPr>
                <w:b/>
              </w:rPr>
              <w:tab/>
              <w:t>DÁTUM EXSPIRÁCIE</w:t>
            </w:r>
          </w:p>
        </w:tc>
      </w:tr>
    </w:tbl>
    <w:p w:rsidR="0053152B" w:rsidRPr="00D252D3" w:rsidRDefault="0053152B"/>
    <w:p w:rsidR="0053152B" w:rsidRPr="00D252D3" w:rsidRDefault="0053152B">
      <w:r w:rsidRPr="00D252D3">
        <w:t>EXP:</w:t>
      </w:r>
    </w:p>
    <w:p w:rsidR="0053152B" w:rsidRPr="00D252D3" w:rsidRDefault="0053152B"/>
    <w:p w:rsidR="0053152B" w:rsidRPr="00D252D3" w:rsidRDefault="0053152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152B" w:rsidRPr="00D252D3">
        <w:tblPrEx>
          <w:tblCellMar>
            <w:top w:w="0" w:type="dxa"/>
            <w:bottom w:w="0" w:type="dxa"/>
          </w:tblCellMar>
        </w:tblPrEx>
        <w:tc>
          <w:tcPr>
            <w:tcW w:w="9287" w:type="dxa"/>
          </w:tcPr>
          <w:p w:rsidR="0053152B" w:rsidRPr="00D252D3" w:rsidRDefault="0053152B">
            <w:pPr>
              <w:tabs>
                <w:tab w:val="left" w:pos="142"/>
              </w:tabs>
              <w:rPr>
                <w:b/>
              </w:rPr>
            </w:pPr>
            <w:r w:rsidRPr="00D252D3">
              <w:rPr>
                <w:b/>
              </w:rPr>
              <w:t>4.</w:t>
            </w:r>
            <w:r w:rsidRPr="00D252D3">
              <w:rPr>
                <w:b/>
              </w:rPr>
              <w:tab/>
              <w:t>ČÍSLO VÝROBNEJ ŠARŽE</w:t>
            </w:r>
          </w:p>
        </w:tc>
      </w:tr>
    </w:tbl>
    <w:p w:rsidR="0053152B" w:rsidRPr="00D252D3" w:rsidRDefault="0053152B"/>
    <w:p w:rsidR="0053152B" w:rsidRPr="00D252D3" w:rsidRDefault="0053152B">
      <w:r w:rsidRPr="00D252D3">
        <w:t>Lot:</w:t>
      </w:r>
    </w:p>
    <w:p w:rsidR="0053152B" w:rsidRPr="00D252D3" w:rsidRDefault="0053152B">
      <w:pPr>
        <w:ind w:left="0" w:firstLine="0"/>
      </w:pPr>
    </w:p>
    <w:p w:rsidR="0053152B" w:rsidRPr="00D252D3" w:rsidRDefault="0053152B">
      <w:pPr>
        <w:ind w:left="0" w:firstLine="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152B" w:rsidRPr="00D252D3">
        <w:tblPrEx>
          <w:tblCellMar>
            <w:top w:w="0" w:type="dxa"/>
            <w:bottom w:w="0" w:type="dxa"/>
          </w:tblCellMar>
        </w:tblPrEx>
        <w:tc>
          <w:tcPr>
            <w:tcW w:w="9287" w:type="dxa"/>
          </w:tcPr>
          <w:p w:rsidR="0053152B" w:rsidRPr="00D252D3" w:rsidRDefault="0053152B">
            <w:pPr>
              <w:tabs>
                <w:tab w:val="left" w:pos="142"/>
              </w:tabs>
              <w:rPr>
                <w:b/>
                <w:szCs w:val="22"/>
              </w:rPr>
            </w:pPr>
            <w:r w:rsidRPr="00D252D3">
              <w:rPr>
                <w:b/>
                <w:szCs w:val="22"/>
              </w:rPr>
              <w:t>5.</w:t>
            </w:r>
            <w:r w:rsidRPr="00D252D3">
              <w:rPr>
                <w:b/>
                <w:szCs w:val="22"/>
              </w:rPr>
              <w:tab/>
              <w:t>INÉ</w:t>
            </w:r>
          </w:p>
        </w:tc>
      </w:tr>
    </w:tbl>
    <w:p w:rsidR="0053152B" w:rsidRPr="00D252D3" w:rsidRDefault="0053152B">
      <w:pPr>
        <w:rPr>
          <w:szCs w:val="22"/>
        </w:rPr>
      </w:pPr>
    </w:p>
    <w:p w:rsidR="0053152B" w:rsidRPr="00D252D3" w:rsidRDefault="0053152B"/>
    <w:p w:rsidR="0053152B" w:rsidRPr="00D252D3" w:rsidRDefault="00AB164B">
      <w:pPr>
        <w:jc w:val="center"/>
        <w:rPr>
          <w:b/>
        </w:rPr>
      </w:pPr>
      <w:r w:rsidRPr="00D252D3">
        <w:rPr>
          <w:b/>
        </w:rPr>
        <w:br w:type="page"/>
      </w:r>
    </w:p>
    <w:p w:rsidR="0053152B" w:rsidRPr="00D252D3" w:rsidRDefault="0053152B">
      <w:pPr>
        <w:jc w:val="center"/>
        <w:rPr>
          <w:b/>
        </w:rPr>
      </w:pPr>
    </w:p>
    <w:p w:rsidR="0053152B" w:rsidRPr="00D252D3" w:rsidRDefault="0053152B">
      <w:pPr>
        <w:jc w:val="center"/>
        <w:rPr>
          <w:b/>
        </w:rPr>
      </w:pPr>
    </w:p>
    <w:p w:rsidR="0053152B" w:rsidRPr="00D252D3" w:rsidRDefault="0053152B">
      <w:pPr>
        <w:jc w:val="center"/>
        <w:rPr>
          <w:b/>
        </w:rPr>
      </w:pPr>
    </w:p>
    <w:p w:rsidR="0053152B" w:rsidRPr="00D252D3" w:rsidRDefault="0053152B">
      <w:pPr>
        <w:jc w:val="center"/>
        <w:rPr>
          <w:b/>
        </w:rPr>
      </w:pPr>
    </w:p>
    <w:p w:rsidR="0053152B" w:rsidRPr="00D252D3" w:rsidRDefault="0053152B">
      <w:pPr>
        <w:jc w:val="center"/>
        <w:rPr>
          <w:b/>
        </w:rPr>
      </w:pPr>
    </w:p>
    <w:p w:rsidR="0053152B" w:rsidRPr="00D252D3" w:rsidRDefault="0053152B">
      <w:pPr>
        <w:jc w:val="center"/>
        <w:rPr>
          <w:b/>
        </w:rPr>
      </w:pPr>
    </w:p>
    <w:p w:rsidR="0053152B" w:rsidRPr="00D252D3" w:rsidRDefault="0053152B">
      <w:pPr>
        <w:jc w:val="center"/>
        <w:rPr>
          <w:b/>
        </w:rPr>
      </w:pPr>
    </w:p>
    <w:p w:rsidR="0053152B" w:rsidRPr="00D252D3" w:rsidRDefault="0053152B">
      <w:pPr>
        <w:jc w:val="center"/>
        <w:rPr>
          <w:b/>
        </w:rPr>
      </w:pPr>
    </w:p>
    <w:p w:rsidR="0053152B" w:rsidRPr="00D252D3" w:rsidRDefault="0053152B">
      <w:pPr>
        <w:jc w:val="center"/>
        <w:rPr>
          <w:b/>
        </w:rPr>
      </w:pPr>
    </w:p>
    <w:p w:rsidR="0053152B" w:rsidRPr="00D252D3" w:rsidRDefault="0053152B">
      <w:pPr>
        <w:jc w:val="center"/>
        <w:rPr>
          <w:b/>
        </w:rPr>
      </w:pPr>
    </w:p>
    <w:p w:rsidR="0053152B" w:rsidRPr="00D252D3" w:rsidRDefault="0053152B">
      <w:pPr>
        <w:jc w:val="center"/>
        <w:rPr>
          <w:b/>
        </w:rPr>
      </w:pPr>
    </w:p>
    <w:p w:rsidR="0053152B" w:rsidRPr="00D252D3" w:rsidRDefault="0053152B">
      <w:pPr>
        <w:jc w:val="center"/>
        <w:rPr>
          <w:b/>
        </w:rPr>
      </w:pPr>
    </w:p>
    <w:p w:rsidR="0053152B" w:rsidRPr="00D252D3" w:rsidRDefault="0053152B">
      <w:pPr>
        <w:jc w:val="center"/>
        <w:rPr>
          <w:b/>
        </w:rPr>
      </w:pPr>
    </w:p>
    <w:p w:rsidR="0053152B" w:rsidRPr="00D252D3" w:rsidRDefault="0053152B">
      <w:pPr>
        <w:jc w:val="center"/>
        <w:rPr>
          <w:b/>
        </w:rPr>
      </w:pPr>
    </w:p>
    <w:p w:rsidR="0053152B" w:rsidRPr="00D252D3" w:rsidRDefault="0053152B">
      <w:pPr>
        <w:jc w:val="center"/>
        <w:rPr>
          <w:b/>
        </w:rPr>
      </w:pPr>
    </w:p>
    <w:p w:rsidR="0053152B" w:rsidRPr="00D252D3" w:rsidRDefault="0053152B">
      <w:pPr>
        <w:jc w:val="center"/>
        <w:rPr>
          <w:b/>
        </w:rPr>
      </w:pPr>
    </w:p>
    <w:p w:rsidR="0053152B" w:rsidRPr="00D252D3" w:rsidRDefault="0053152B">
      <w:pPr>
        <w:jc w:val="center"/>
        <w:rPr>
          <w:b/>
        </w:rPr>
      </w:pPr>
    </w:p>
    <w:p w:rsidR="0053152B" w:rsidRPr="00D252D3" w:rsidRDefault="0053152B">
      <w:pPr>
        <w:jc w:val="center"/>
        <w:rPr>
          <w:b/>
        </w:rPr>
      </w:pPr>
    </w:p>
    <w:p w:rsidR="0053152B" w:rsidRPr="00D252D3" w:rsidRDefault="0053152B">
      <w:pPr>
        <w:jc w:val="center"/>
        <w:rPr>
          <w:b/>
        </w:rPr>
      </w:pPr>
    </w:p>
    <w:p w:rsidR="0053152B" w:rsidRPr="00D252D3" w:rsidRDefault="0053152B">
      <w:pPr>
        <w:jc w:val="center"/>
        <w:rPr>
          <w:b/>
        </w:rPr>
      </w:pPr>
    </w:p>
    <w:p w:rsidR="0053152B" w:rsidRPr="00D252D3" w:rsidRDefault="0053152B">
      <w:pPr>
        <w:jc w:val="center"/>
        <w:rPr>
          <w:b/>
        </w:rPr>
      </w:pPr>
    </w:p>
    <w:p w:rsidR="0053152B" w:rsidRPr="00D252D3" w:rsidRDefault="0053152B">
      <w:pPr>
        <w:jc w:val="center"/>
        <w:rPr>
          <w:b/>
        </w:rPr>
      </w:pPr>
    </w:p>
    <w:p w:rsidR="0053152B" w:rsidRPr="00D252D3" w:rsidRDefault="0053152B">
      <w:pPr>
        <w:pStyle w:val="QRD1"/>
      </w:pPr>
      <w:r w:rsidRPr="00D252D3">
        <w:t xml:space="preserve">B. PÍSOMNÁ INFORMÁCIA </w:t>
      </w:r>
      <w:smartTag w:uri="urn:schemas-microsoft-com:office:smarttags" w:element="stockticker">
        <w:r w:rsidRPr="00D252D3">
          <w:t>PRE</w:t>
        </w:r>
      </w:smartTag>
      <w:r w:rsidRPr="00D252D3">
        <w:t xml:space="preserve"> POUŽÍVATEĽ</w:t>
      </w:r>
      <w:bookmarkEnd w:id="11"/>
      <w:bookmarkEnd w:id="12"/>
      <w:r w:rsidRPr="00D252D3">
        <w:t>A</w:t>
      </w:r>
    </w:p>
    <w:p w:rsidR="0053152B" w:rsidRPr="00D252D3" w:rsidRDefault="0053152B">
      <w:pPr>
        <w:ind w:left="0" w:firstLine="0"/>
        <w:jc w:val="center"/>
        <w:rPr>
          <w:b/>
        </w:rPr>
      </w:pPr>
      <w:r w:rsidRPr="00D252D3">
        <w:br w:type="page"/>
      </w:r>
      <w:bookmarkStart w:id="17" w:name="_Toc49833165"/>
      <w:bookmarkStart w:id="18" w:name="_Toc49833272"/>
      <w:r w:rsidRPr="00D252D3">
        <w:rPr>
          <w:b/>
        </w:rPr>
        <w:t xml:space="preserve">Písomná informácia pre </w:t>
      </w:r>
      <w:bookmarkEnd w:id="17"/>
      <w:bookmarkEnd w:id="18"/>
      <w:r w:rsidRPr="00D252D3">
        <w:rPr>
          <w:b/>
        </w:rPr>
        <w:t>používateľa</w:t>
      </w:r>
    </w:p>
    <w:p w:rsidR="0053152B" w:rsidRPr="00D252D3" w:rsidRDefault="0053152B">
      <w:pPr>
        <w:ind w:left="2694" w:firstLine="0"/>
      </w:pPr>
    </w:p>
    <w:p w:rsidR="0053152B" w:rsidRPr="00D252D3" w:rsidRDefault="0053152B">
      <w:pPr>
        <w:ind w:left="0" w:firstLine="0"/>
        <w:jc w:val="center"/>
        <w:rPr>
          <w:b/>
        </w:rPr>
      </w:pPr>
      <w:r w:rsidRPr="00D252D3">
        <w:rPr>
          <w:b/>
        </w:rPr>
        <w:t>MicardisPlus 40 mg/12,5 mg tablety</w:t>
      </w:r>
    </w:p>
    <w:p w:rsidR="0053152B" w:rsidRPr="00D252D3" w:rsidRDefault="0053152B">
      <w:pPr>
        <w:jc w:val="center"/>
      </w:pPr>
      <w:r w:rsidRPr="00D252D3">
        <w:t>telmisartan/hydrochlorotiazid</w:t>
      </w:r>
    </w:p>
    <w:p w:rsidR="0053152B" w:rsidRPr="00D252D3" w:rsidRDefault="0053152B">
      <w:pPr>
        <w:jc w:val="center"/>
      </w:pPr>
    </w:p>
    <w:p w:rsidR="0053152B" w:rsidRPr="00D252D3" w:rsidRDefault="0053152B">
      <w:pPr>
        <w:ind w:left="0" w:right="-2"/>
      </w:pPr>
    </w:p>
    <w:p w:rsidR="0053152B" w:rsidRPr="00D252D3" w:rsidRDefault="0053152B">
      <w:r w:rsidRPr="00D252D3">
        <w:rPr>
          <w:b/>
        </w:rPr>
        <w:t>Pozorne si prečítajte celú písomnú informáciu predtým, ako začnete užívať tento liek, pretože obsahuje pre vás dôležité informácie.</w:t>
      </w:r>
    </w:p>
    <w:p w:rsidR="0053152B" w:rsidRPr="00D252D3" w:rsidRDefault="0053152B">
      <w:r w:rsidRPr="00D252D3">
        <w:t>-</w:t>
      </w:r>
      <w:r w:rsidRPr="00D252D3">
        <w:tab/>
        <w:t>Túto písomnú informáciu si uschovajte. Možno bude potrebné, aby ste si ju znovu prečítali.</w:t>
      </w:r>
    </w:p>
    <w:p w:rsidR="0053152B" w:rsidRPr="00D252D3" w:rsidRDefault="0053152B">
      <w:pPr>
        <w:tabs>
          <w:tab w:val="left" w:pos="567"/>
        </w:tabs>
        <w:ind w:left="0" w:firstLine="0"/>
      </w:pPr>
      <w:r w:rsidRPr="00D252D3">
        <w:t>-</w:t>
      </w:r>
      <w:r w:rsidRPr="00D252D3">
        <w:tab/>
        <w:t>Ak máte akékoľvek ďalšie otázky, obráťte sa na svojho lekára alebo lekárnika.</w:t>
      </w:r>
    </w:p>
    <w:p w:rsidR="0053152B" w:rsidRPr="00D252D3" w:rsidRDefault="0053152B">
      <w:r w:rsidRPr="00D252D3">
        <w:t>-</w:t>
      </w:r>
      <w:r w:rsidRPr="00D252D3">
        <w:tab/>
        <w:t>Tento liek bol predpísaný iba vám. Nedávajte ho nikomu inému. Môže mu uškodiť, dokonca aj vtedy, ak má rovnaké prejavy ochorenia ako vy.</w:t>
      </w:r>
    </w:p>
    <w:p w:rsidR="0053152B" w:rsidRPr="00D252D3" w:rsidRDefault="0053152B">
      <w:r w:rsidRPr="00D252D3">
        <w:t>-</w:t>
      </w:r>
      <w:r w:rsidRPr="00D252D3">
        <w:tab/>
        <w:t>Ak sa u vás vyskytne akýkoľvek vedľajší účinok, obráťte sa na svojho lekára alebo lekárnika. To sa týka aj akýchkoľvek vedľajších účinkov, ktoré nie sú uvedené v tejto písomnej informácii. Pozri časť 4.</w:t>
      </w:r>
    </w:p>
    <w:p w:rsidR="0053152B" w:rsidRPr="00D252D3" w:rsidRDefault="0053152B">
      <w:pPr>
        <w:numPr>
          <w:ilvl w:val="12"/>
          <w:numId w:val="0"/>
        </w:numPr>
        <w:ind w:right="-2"/>
        <w:jc w:val="right"/>
      </w:pPr>
    </w:p>
    <w:p w:rsidR="0053152B" w:rsidRPr="00D252D3" w:rsidRDefault="0053152B">
      <w:pPr>
        <w:numPr>
          <w:ilvl w:val="12"/>
          <w:numId w:val="0"/>
        </w:numPr>
      </w:pPr>
      <w:bookmarkStart w:id="19" w:name="_Toc49833273"/>
      <w:bookmarkStart w:id="20" w:name="_Toc49833166"/>
      <w:r w:rsidRPr="00D252D3">
        <w:rPr>
          <w:b/>
        </w:rPr>
        <w:t>V tejto písomnej informácii sa dozviete</w:t>
      </w:r>
      <w:r w:rsidRPr="00D252D3">
        <w:t>:</w:t>
      </w:r>
      <w:bookmarkEnd w:id="19"/>
      <w:bookmarkEnd w:id="20"/>
    </w:p>
    <w:p w:rsidR="0053152B" w:rsidRPr="00D252D3" w:rsidRDefault="0053152B" w:rsidP="00F15ADA">
      <w:pPr>
        <w:numPr>
          <w:ilvl w:val="0"/>
          <w:numId w:val="5"/>
        </w:numPr>
        <w:tabs>
          <w:tab w:val="clear" w:pos="1080"/>
          <w:tab w:val="num" w:pos="567"/>
        </w:tabs>
        <w:ind w:left="540" w:hanging="540"/>
        <w:jc w:val="both"/>
      </w:pPr>
      <w:r w:rsidRPr="00D252D3">
        <w:t>Čo je MicardisPlus a na čo sa používa</w:t>
      </w:r>
    </w:p>
    <w:p w:rsidR="0053152B" w:rsidRPr="00D252D3" w:rsidRDefault="0053152B" w:rsidP="00F15ADA">
      <w:pPr>
        <w:numPr>
          <w:ilvl w:val="0"/>
          <w:numId w:val="5"/>
        </w:numPr>
        <w:tabs>
          <w:tab w:val="clear" w:pos="1080"/>
          <w:tab w:val="num" w:pos="567"/>
        </w:tabs>
        <w:ind w:left="540" w:hanging="540"/>
        <w:jc w:val="both"/>
      </w:pPr>
      <w:r w:rsidRPr="00D252D3">
        <w:t>Čo potrebujete vedieť predtým, ako užijete MicardisPlus</w:t>
      </w:r>
    </w:p>
    <w:p w:rsidR="0053152B" w:rsidRPr="00D252D3" w:rsidRDefault="0053152B" w:rsidP="00F15ADA">
      <w:pPr>
        <w:numPr>
          <w:ilvl w:val="0"/>
          <w:numId w:val="5"/>
        </w:numPr>
        <w:tabs>
          <w:tab w:val="clear" w:pos="1080"/>
          <w:tab w:val="num" w:pos="567"/>
        </w:tabs>
        <w:ind w:left="540" w:hanging="540"/>
        <w:jc w:val="both"/>
      </w:pPr>
      <w:r w:rsidRPr="00D252D3">
        <w:t>Ako užívať MicardisPlus</w:t>
      </w:r>
    </w:p>
    <w:p w:rsidR="0053152B" w:rsidRPr="00D252D3" w:rsidRDefault="0053152B" w:rsidP="00F15ADA">
      <w:pPr>
        <w:numPr>
          <w:ilvl w:val="0"/>
          <w:numId w:val="5"/>
        </w:numPr>
        <w:tabs>
          <w:tab w:val="clear" w:pos="1080"/>
          <w:tab w:val="num" w:pos="567"/>
        </w:tabs>
        <w:ind w:left="540" w:hanging="540"/>
        <w:jc w:val="both"/>
      </w:pPr>
      <w:r w:rsidRPr="00D252D3">
        <w:t>Možné vedľajšie účinky</w:t>
      </w:r>
    </w:p>
    <w:p w:rsidR="0053152B" w:rsidRPr="00D252D3" w:rsidRDefault="0053152B" w:rsidP="00F15ADA">
      <w:pPr>
        <w:numPr>
          <w:ilvl w:val="0"/>
          <w:numId w:val="5"/>
        </w:numPr>
        <w:tabs>
          <w:tab w:val="clear" w:pos="1080"/>
          <w:tab w:val="num" w:pos="567"/>
        </w:tabs>
        <w:ind w:left="540" w:hanging="540"/>
        <w:jc w:val="both"/>
      </w:pPr>
      <w:r w:rsidRPr="00D252D3">
        <w:t>Ako uchovávať MicardisPlus</w:t>
      </w:r>
    </w:p>
    <w:p w:rsidR="0053152B" w:rsidRPr="00D252D3" w:rsidRDefault="0053152B" w:rsidP="00F15ADA">
      <w:pPr>
        <w:numPr>
          <w:ilvl w:val="0"/>
          <w:numId w:val="5"/>
        </w:numPr>
        <w:tabs>
          <w:tab w:val="clear" w:pos="1080"/>
          <w:tab w:val="num" w:pos="567"/>
        </w:tabs>
        <w:ind w:left="540" w:hanging="540"/>
        <w:jc w:val="both"/>
      </w:pPr>
      <w:r w:rsidRPr="00D252D3">
        <w:t>Obsah balenia a ďalšie informácie</w:t>
      </w:r>
    </w:p>
    <w:p w:rsidR="0053152B" w:rsidRPr="00D252D3" w:rsidRDefault="0053152B">
      <w:pPr>
        <w:ind w:left="0" w:right="-2" w:firstLine="0"/>
      </w:pPr>
    </w:p>
    <w:p w:rsidR="0053152B" w:rsidRPr="00D252D3" w:rsidRDefault="0053152B">
      <w:pPr>
        <w:numPr>
          <w:ilvl w:val="12"/>
          <w:numId w:val="0"/>
        </w:numPr>
        <w:ind w:right="-2"/>
      </w:pPr>
    </w:p>
    <w:p w:rsidR="0053152B" w:rsidRPr="00D252D3" w:rsidRDefault="0053152B">
      <w:pPr>
        <w:numPr>
          <w:ilvl w:val="12"/>
          <w:numId w:val="0"/>
        </w:numPr>
        <w:ind w:left="567" w:right="-2" w:hanging="567"/>
      </w:pPr>
      <w:bookmarkStart w:id="21" w:name="_Toc49833274"/>
      <w:bookmarkStart w:id="22" w:name="_Toc49833167"/>
      <w:r w:rsidRPr="00D252D3">
        <w:rPr>
          <w:b/>
        </w:rPr>
        <w:t>1.</w:t>
      </w:r>
      <w:r w:rsidRPr="00D252D3">
        <w:rPr>
          <w:b/>
        </w:rPr>
        <w:tab/>
        <w:t>Čo je MicardisPlus a na čo sa používa</w:t>
      </w:r>
      <w:bookmarkEnd w:id="21"/>
      <w:bookmarkEnd w:id="22"/>
    </w:p>
    <w:p w:rsidR="0053152B" w:rsidRPr="00D252D3" w:rsidRDefault="0053152B">
      <w:pPr>
        <w:numPr>
          <w:ilvl w:val="12"/>
          <w:numId w:val="0"/>
        </w:numPr>
        <w:ind w:right="-2"/>
      </w:pPr>
    </w:p>
    <w:p w:rsidR="0053152B" w:rsidRPr="00D252D3" w:rsidRDefault="0053152B">
      <w:pPr>
        <w:ind w:left="0" w:firstLine="0"/>
        <w:rPr>
          <w:snapToGrid w:val="0"/>
          <w:lang w:eastAsia="cs-CZ"/>
        </w:rPr>
      </w:pPr>
      <w:r w:rsidRPr="00D252D3">
        <w:rPr>
          <w:snapToGrid w:val="0"/>
          <w:lang w:eastAsia="cs-CZ"/>
        </w:rPr>
        <w:t>MicardisPlus je kombinácia dvoch liečiv telmisartanu a hydrochlorotiazidu v jednej tablete. Obe tieto liečivá pomáhajú kontrolovať vysoký krvný tlak.</w:t>
      </w:r>
    </w:p>
    <w:p w:rsidR="0053152B" w:rsidRPr="00D252D3" w:rsidRDefault="0053152B">
      <w:pPr>
        <w:ind w:left="0" w:firstLine="0"/>
        <w:rPr>
          <w:snapToGrid w:val="0"/>
          <w:lang w:eastAsia="cs-CZ"/>
        </w:rPr>
      </w:pPr>
    </w:p>
    <w:p w:rsidR="0053152B" w:rsidRPr="00D252D3" w:rsidRDefault="0053152B">
      <w:pPr>
        <w:numPr>
          <w:ilvl w:val="0"/>
          <w:numId w:val="22"/>
        </w:numPr>
        <w:ind w:hanging="720"/>
        <w:rPr>
          <w:snapToGrid w:val="0"/>
          <w:lang w:eastAsia="cs-CZ"/>
        </w:rPr>
      </w:pPr>
      <w:r w:rsidRPr="00D252D3">
        <w:rPr>
          <w:snapToGrid w:val="0"/>
          <w:lang w:eastAsia="cs-CZ"/>
        </w:rPr>
        <w:t>Telmisartan patrí do skupiny liekov nazývaných antagonisty receptora angiotenzínu II. Angiotenzín II je látka, ktorá sa vytvára vo vašom tele a zapríčiňuje zúženie vašich krvných ciev, preto sa tlak krvi zvyšuje. Telmisartan blokuje účinok angiotenzínu II, takže cievy sa uvoľnia a tlak krvi je nižší.</w:t>
      </w:r>
    </w:p>
    <w:p w:rsidR="0053152B" w:rsidRPr="00D252D3" w:rsidRDefault="0053152B">
      <w:pPr>
        <w:ind w:left="0" w:firstLine="0"/>
        <w:rPr>
          <w:snapToGrid w:val="0"/>
          <w:lang w:eastAsia="cs-CZ"/>
        </w:rPr>
      </w:pPr>
    </w:p>
    <w:p w:rsidR="0053152B" w:rsidRPr="00D252D3" w:rsidRDefault="0053152B">
      <w:pPr>
        <w:numPr>
          <w:ilvl w:val="0"/>
          <w:numId w:val="22"/>
        </w:numPr>
        <w:ind w:hanging="720"/>
      </w:pPr>
      <w:r w:rsidRPr="00D252D3">
        <w:rPr>
          <w:snapToGrid w:val="0"/>
          <w:lang w:eastAsia="cs-CZ"/>
        </w:rPr>
        <w:t>Hydrochlorotiazid patrí do skupiny liekov nazývaných tiazidové diuretiká spôsobujúce, že sa vám zvyšuje vylučovanie moču, čo vedie k zníženiu vášho krvného tlaku.</w:t>
      </w:r>
    </w:p>
    <w:p w:rsidR="0053152B" w:rsidRPr="00D252D3" w:rsidRDefault="0053152B">
      <w:pPr>
        <w:ind w:left="0" w:firstLine="0"/>
        <w:jc w:val="both"/>
      </w:pPr>
    </w:p>
    <w:p w:rsidR="0053152B" w:rsidRPr="00D252D3" w:rsidRDefault="0053152B">
      <w:pPr>
        <w:ind w:left="0" w:firstLine="0"/>
        <w:rPr>
          <w:snapToGrid w:val="0"/>
          <w:lang w:eastAsia="cs-CZ"/>
        </w:rPr>
      </w:pPr>
      <w:r w:rsidRPr="00D252D3">
        <w:rPr>
          <w:snapToGrid w:val="0"/>
          <w:lang w:eastAsia="cs-CZ"/>
        </w:rPr>
        <w:t>Vysoký krvný tlak, ak sa nelieči, môže poškodiť krvné cievy vo viacerých orgánoch, čo môže niekedy viesť k infarktu srdca, zlyhaniu srdca alebo obličiek, mozgovej príhode alebo slepote. Pred výskytom poškodenia zvyčajne nie sú žiadne príznaky vysokého krvného tlaku. Preto je dôležité pravidelné meranie krvného tlaku na zistenie, či je v normálnom rozsahu.</w:t>
      </w:r>
    </w:p>
    <w:p w:rsidR="0053152B" w:rsidRPr="00D252D3" w:rsidRDefault="0053152B">
      <w:pPr>
        <w:ind w:left="0" w:firstLine="0"/>
        <w:rPr>
          <w:snapToGrid w:val="0"/>
          <w:lang w:eastAsia="cs-CZ"/>
        </w:rPr>
      </w:pPr>
    </w:p>
    <w:p w:rsidR="0053152B" w:rsidRPr="00D252D3" w:rsidRDefault="0053152B">
      <w:pPr>
        <w:numPr>
          <w:ilvl w:val="12"/>
          <w:numId w:val="0"/>
        </w:numPr>
        <w:ind w:right="-2"/>
      </w:pPr>
      <w:r w:rsidRPr="00D252D3">
        <w:rPr>
          <w:b/>
        </w:rPr>
        <w:t>MicardisPlus sa používa na</w:t>
      </w:r>
      <w:r w:rsidRPr="00D252D3">
        <w:t> liečbu vysokého krvného tlaku (esenciálna hypertenzia) u dospelých, ktorých vysoký krvný tlak nie je dostatočne kontrolovaný používaním samotného telmisartanu alebo hydrochlorotiazidu.</w:t>
      </w:r>
    </w:p>
    <w:p w:rsidR="0053152B" w:rsidRPr="00D252D3" w:rsidRDefault="0053152B">
      <w:pPr>
        <w:numPr>
          <w:ilvl w:val="12"/>
          <w:numId w:val="0"/>
        </w:numPr>
        <w:ind w:right="-2"/>
      </w:pPr>
    </w:p>
    <w:p w:rsidR="0053152B" w:rsidRPr="00D252D3" w:rsidRDefault="0053152B">
      <w:pPr>
        <w:numPr>
          <w:ilvl w:val="12"/>
          <w:numId w:val="0"/>
        </w:numPr>
        <w:ind w:right="-2"/>
      </w:pPr>
    </w:p>
    <w:p w:rsidR="0053152B" w:rsidRPr="00D252D3" w:rsidRDefault="0053152B" w:rsidP="00AB164B">
      <w:pPr>
        <w:keepNext/>
        <w:numPr>
          <w:ilvl w:val="12"/>
          <w:numId w:val="0"/>
        </w:numPr>
        <w:ind w:left="567" w:right="-2" w:hanging="567"/>
      </w:pPr>
      <w:bookmarkStart w:id="23" w:name="_Toc49833275"/>
      <w:bookmarkStart w:id="24" w:name="_Toc49833168"/>
      <w:r w:rsidRPr="00D252D3">
        <w:rPr>
          <w:b/>
        </w:rPr>
        <w:t>2.</w:t>
      </w:r>
      <w:r w:rsidRPr="00D252D3">
        <w:rPr>
          <w:b/>
        </w:rPr>
        <w:tab/>
        <w:t>Čo potrebujete vedieť predtým, ako užijete MicardisPlus</w:t>
      </w:r>
      <w:bookmarkEnd w:id="23"/>
      <w:bookmarkEnd w:id="24"/>
    </w:p>
    <w:p w:rsidR="0053152B" w:rsidRPr="00D252D3" w:rsidRDefault="0053152B" w:rsidP="00AB164B">
      <w:pPr>
        <w:keepNext/>
        <w:numPr>
          <w:ilvl w:val="12"/>
          <w:numId w:val="0"/>
        </w:numPr>
        <w:ind w:right="-2"/>
      </w:pPr>
    </w:p>
    <w:p w:rsidR="0053152B" w:rsidRPr="00D252D3" w:rsidRDefault="0053152B" w:rsidP="00AB164B">
      <w:pPr>
        <w:keepNext/>
        <w:rPr>
          <w:b/>
          <w:snapToGrid w:val="0"/>
        </w:rPr>
      </w:pPr>
      <w:r w:rsidRPr="00D252D3">
        <w:rPr>
          <w:b/>
          <w:snapToGrid w:val="0"/>
        </w:rPr>
        <w:t>Neužívajte MicardisPlus</w:t>
      </w:r>
    </w:p>
    <w:p w:rsidR="0053152B" w:rsidRPr="00D252D3" w:rsidRDefault="0053152B" w:rsidP="00AB164B">
      <w:pPr>
        <w:keepNext/>
        <w:rPr>
          <w:b/>
          <w:snapToGrid w:val="0"/>
        </w:rPr>
      </w:pPr>
    </w:p>
    <w:p w:rsidR="0053152B" w:rsidRPr="00D252D3" w:rsidRDefault="0053152B">
      <w:pPr>
        <w:numPr>
          <w:ilvl w:val="0"/>
          <w:numId w:val="7"/>
        </w:numPr>
        <w:tabs>
          <w:tab w:val="clear" w:pos="720"/>
          <w:tab w:val="left" w:pos="567"/>
        </w:tabs>
        <w:ind w:left="567" w:hanging="567"/>
        <w:rPr>
          <w:snapToGrid w:val="0"/>
          <w:lang w:eastAsia="cs-CZ"/>
        </w:rPr>
      </w:pPr>
      <w:r w:rsidRPr="00D252D3">
        <w:rPr>
          <w:snapToGrid w:val="0"/>
          <w:lang w:eastAsia="cs-CZ"/>
        </w:rPr>
        <w:t>ak ste alergický na telmisartan alebo na ktorúkoľvek z ďalších zložiek tohto lieku (uvedených v časti 6).</w:t>
      </w:r>
    </w:p>
    <w:p w:rsidR="0053152B" w:rsidRPr="00D252D3" w:rsidRDefault="0053152B">
      <w:pPr>
        <w:numPr>
          <w:ilvl w:val="0"/>
          <w:numId w:val="7"/>
        </w:numPr>
        <w:tabs>
          <w:tab w:val="clear" w:pos="720"/>
          <w:tab w:val="left" w:pos="567"/>
        </w:tabs>
        <w:ind w:left="567" w:hanging="567"/>
        <w:rPr>
          <w:snapToGrid w:val="0"/>
          <w:lang w:eastAsia="cs-CZ"/>
        </w:rPr>
      </w:pPr>
      <w:r w:rsidRPr="00D252D3">
        <w:rPr>
          <w:snapToGrid w:val="0"/>
          <w:lang w:eastAsia="cs-CZ"/>
        </w:rPr>
        <w:t>keď ste alergický na hydrochlorotiazid alebo na niektorý z ďalších derivátov sulfonamidu.</w:t>
      </w:r>
    </w:p>
    <w:p w:rsidR="0053152B" w:rsidRPr="00D252D3" w:rsidRDefault="0053152B">
      <w:pPr>
        <w:numPr>
          <w:ilvl w:val="0"/>
          <w:numId w:val="7"/>
        </w:numPr>
        <w:tabs>
          <w:tab w:val="clear" w:pos="720"/>
          <w:tab w:val="left" w:pos="567"/>
        </w:tabs>
        <w:ind w:left="567" w:hanging="567"/>
      </w:pPr>
      <w:r w:rsidRPr="00D252D3">
        <w:rPr>
          <w:szCs w:val="22"/>
        </w:rPr>
        <w:t xml:space="preserve">keď ste tehotná dlhšie ako 3 mesiace (Vhodnejšie je vyhnúť sa užívaniu MicardisPlusu vo včasnom štádiu tehotenstva </w:t>
      </w:r>
      <w:r w:rsidRPr="00D252D3">
        <w:rPr>
          <w:snapToGrid w:val="0"/>
          <w:lang w:eastAsia="cs-CZ"/>
        </w:rPr>
        <w:t xml:space="preserve">– </w:t>
      </w:r>
      <w:r w:rsidRPr="00D252D3">
        <w:rPr>
          <w:szCs w:val="22"/>
        </w:rPr>
        <w:t>pozri časť Tehotenstvo a dojčenie).</w:t>
      </w:r>
    </w:p>
    <w:p w:rsidR="0053152B" w:rsidRPr="00D252D3" w:rsidRDefault="0053152B">
      <w:pPr>
        <w:numPr>
          <w:ilvl w:val="0"/>
          <w:numId w:val="7"/>
        </w:numPr>
        <w:tabs>
          <w:tab w:val="clear" w:pos="720"/>
          <w:tab w:val="left" w:pos="567"/>
        </w:tabs>
        <w:ind w:left="567" w:hanging="567"/>
        <w:rPr>
          <w:snapToGrid w:val="0"/>
          <w:lang w:eastAsia="cs-CZ"/>
        </w:rPr>
      </w:pPr>
      <w:r w:rsidRPr="00D252D3">
        <w:rPr>
          <w:snapToGrid w:val="0"/>
          <w:lang w:eastAsia="cs-CZ"/>
        </w:rPr>
        <w:t>keď máte závažné problémy pečene ako poruchu odtoku žlče alebo žlčovú obštrukciu (problémy s odtokom žlče z pečene a zo žlčníka), alebo akékoľvek ďalšie ťažké ochorenie pečene.</w:t>
      </w:r>
    </w:p>
    <w:p w:rsidR="0053152B" w:rsidRPr="00D252D3" w:rsidRDefault="0053152B">
      <w:pPr>
        <w:numPr>
          <w:ilvl w:val="0"/>
          <w:numId w:val="7"/>
        </w:numPr>
        <w:tabs>
          <w:tab w:val="clear" w:pos="720"/>
          <w:tab w:val="left" w:pos="567"/>
        </w:tabs>
        <w:ind w:left="567" w:hanging="567"/>
        <w:rPr>
          <w:snapToGrid w:val="0"/>
          <w:lang w:eastAsia="cs-CZ"/>
        </w:rPr>
      </w:pPr>
      <w:r w:rsidRPr="00D252D3">
        <w:rPr>
          <w:snapToGrid w:val="0"/>
          <w:lang w:eastAsia="cs-CZ"/>
        </w:rPr>
        <w:t>keď máte závažné ochorenie obličiek.</w:t>
      </w:r>
    </w:p>
    <w:p w:rsidR="0053152B" w:rsidRPr="00D252D3" w:rsidRDefault="0053152B">
      <w:pPr>
        <w:numPr>
          <w:ilvl w:val="0"/>
          <w:numId w:val="7"/>
        </w:numPr>
        <w:tabs>
          <w:tab w:val="clear" w:pos="720"/>
          <w:tab w:val="left" w:pos="567"/>
        </w:tabs>
        <w:ind w:left="567" w:hanging="567"/>
        <w:rPr>
          <w:snapToGrid w:val="0"/>
          <w:lang w:eastAsia="cs-CZ"/>
        </w:rPr>
      </w:pPr>
      <w:r w:rsidRPr="00D252D3">
        <w:rPr>
          <w:snapToGrid w:val="0"/>
          <w:lang w:eastAsia="cs-CZ"/>
        </w:rPr>
        <w:t>keď váš lekár určí, že máte nízku hladinu draslíka alebo vysokú hladinu vápnika v krvi, ktoré sa liečbou nezlepšujú.</w:t>
      </w:r>
    </w:p>
    <w:p w:rsidR="0053152B" w:rsidRPr="00D252D3" w:rsidRDefault="0053152B">
      <w:pPr>
        <w:numPr>
          <w:ilvl w:val="0"/>
          <w:numId w:val="7"/>
        </w:numPr>
        <w:tabs>
          <w:tab w:val="clear" w:pos="720"/>
          <w:tab w:val="left" w:pos="567"/>
        </w:tabs>
        <w:ind w:left="567" w:hanging="567"/>
        <w:rPr>
          <w:szCs w:val="22"/>
        </w:rPr>
      </w:pPr>
      <w:r w:rsidRPr="00D252D3">
        <w:rPr>
          <w:szCs w:val="22"/>
        </w:rPr>
        <w:t>ak máte cukrovku alebo poruchu funkcie obličiek a užívate liek na zníženie krvného tlaku obsahujúci aliskiren.</w:t>
      </w:r>
    </w:p>
    <w:p w:rsidR="0053152B" w:rsidRPr="00D252D3" w:rsidRDefault="0053152B">
      <w:pPr>
        <w:ind w:left="0" w:firstLine="0"/>
        <w:rPr>
          <w:snapToGrid w:val="0"/>
          <w:lang w:eastAsia="cs-CZ"/>
        </w:rPr>
      </w:pPr>
    </w:p>
    <w:p w:rsidR="0053152B" w:rsidRPr="00D252D3" w:rsidRDefault="0053152B">
      <w:pPr>
        <w:ind w:left="0" w:firstLine="0"/>
        <w:rPr>
          <w:snapToGrid w:val="0"/>
          <w:lang w:eastAsia="cs-CZ"/>
        </w:rPr>
      </w:pPr>
      <w:r w:rsidRPr="00D252D3">
        <w:rPr>
          <w:snapToGrid w:val="0"/>
          <w:lang w:eastAsia="cs-CZ"/>
        </w:rPr>
        <w:t>Ak sa vás týka niečo z vyššie uvedeného, skôr ako začnete užívať MicardisPlus, povedzte to svojmu lekárovi alebo lekárnikovi.</w:t>
      </w:r>
    </w:p>
    <w:p w:rsidR="0053152B" w:rsidRPr="00D252D3" w:rsidRDefault="0053152B">
      <w:pPr>
        <w:ind w:left="0" w:firstLine="0"/>
        <w:rPr>
          <w:snapToGrid w:val="0"/>
          <w:lang w:eastAsia="cs-CZ"/>
        </w:rPr>
      </w:pPr>
    </w:p>
    <w:p w:rsidR="0053152B" w:rsidRPr="00D252D3" w:rsidRDefault="0053152B">
      <w:pPr>
        <w:ind w:left="0" w:firstLine="0"/>
        <w:rPr>
          <w:snapToGrid w:val="0"/>
          <w:lang w:eastAsia="cs-CZ"/>
        </w:rPr>
      </w:pPr>
      <w:r w:rsidRPr="00D252D3">
        <w:rPr>
          <w:b/>
          <w:snapToGrid w:val="0"/>
          <w:lang w:eastAsia="cs-CZ"/>
        </w:rPr>
        <w:t>Upozornenia a opatrenia</w:t>
      </w:r>
    </w:p>
    <w:p w:rsidR="0053152B" w:rsidRPr="00D252D3" w:rsidRDefault="0053152B">
      <w:pPr>
        <w:ind w:left="0" w:firstLine="0"/>
        <w:rPr>
          <w:snapToGrid w:val="0"/>
          <w:lang w:eastAsia="cs-CZ"/>
        </w:rPr>
      </w:pPr>
      <w:r w:rsidRPr="00D252D3">
        <w:rPr>
          <w:snapToGrid w:val="0"/>
          <w:lang w:eastAsia="cs-CZ"/>
        </w:rPr>
        <w:t>Predtým, ako začnete užívať MicardisPlus, obráťte sa na svojho lekára, ak trpíte alebo sa niekedy u vás vyskytol niektorý z nasledujúcich stavov alebo ochorení:</w:t>
      </w:r>
    </w:p>
    <w:p w:rsidR="0053152B" w:rsidRPr="00D252D3" w:rsidRDefault="0053152B">
      <w:pPr>
        <w:ind w:left="0" w:firstLine="0"/>
        <w:rPr>
          <w:snapToGrid w:val="0"/>
          <w:lang w:eastAsia="cs-CZ"/>
        </w:rPr>
      </w:pPr>
    </w:p>
    <w:p w:rsidR="0053152B" w:rsidRPr="00D252D3" w:rsidRDefault="0053152B">
      <w:pPr>
        <w:numPr>
          <w:ilvl w:val="0"/>
          <w:numId w:val="12"/>
        </w:numPr>
        <w:ind w:hanging="720"/>
        <w:rPr>
          <w:snapToGrid w:val="0"/>
          <w:lang w:eastAsia="cs-CZ"/>
        </w:rPr>
      </w:pPr>
      <w:r w:rsidRPr="00D252D3">
        <w:rPr>
          <w:snapToGrid w:val="0"/>
          <w:lang w:eastAsia="cs-CZ"/>
        </w:rPr>
        <w:t>nízky krvný tlak (hypotenzia), pravdepodobne sa vyskytne, ak ste dehydrovaný (nadmerná strata vody z tela) alebo keď máte nedostatok soli následkom diuretickej liečby (’tablety na odvodnenie’), diéty s nízkym obsahom soli, hnačky, vracaním alebo ste na hemodialýze,</w:t>
      </w:r>
    </w:p>
    <w:p w:rsidR="0053152B" w:rsidRPr="00D252D3" w:rsidRDefault="0053152B">
      <w:pPr>
        <w:numPr>
          <w:ilvl w:val="0"/>
          <w:numId w:val="12"/>
        </w:numPr>
        <w:ind w:hanging="720"/>
        <w:rPr>
          <w:snapToGrid w:val="0"/>
          <w:lang w:eastAsia="cs-CZ"/>
        </w:rPr>
      </w:pPr>
      <w:r w:rsidRPr="00D252D3">
        <w:rPr>
          <w:snapToGrid w:val="0"/>
          <w:lang w:eastAsia="cs-CZ"/>
        </w:rPr>
        <w:t>ochorenie obličiek alebo ste po transplantácii obličky.</w:t>
      </w:r>
    </w:p>
    <w:p w:rsidR="0053152B" w:rsidRPr="00D252D3" w:rsidRDefault="0053152B">
      <w:pPr>
        <w:numPr>
          <w:ilvl w:val="0"/>
          <w:numId w:val="12"/>
        </w:numPr>
        <w:ind w:hanging="720"/>
        <w:rPr>
          <w:snapToGrid w:val="0"/>
          <w:lang w:eastAsia="cs-CZ"/>
        </w:rPr>
      </w:pPr>
      <w:r w:rsidRPr="00D252D3">
        <w:rPr>
          <w:snapToGrid w:val="0"/>
          <w:lang w:eastAsia="cs-CZ"/>
        </w:rPr>
        <w:t>obličková arteriálna stenóza (zúžením krvných ciev jednej alebo oboch obličiek).</w:t>
      </w:r>
    </w:p>
    <w:p w:rsidR="0053152B" w:rsidRPr="00D252D3" w:rsidRDefault="0053152B">
      <w:pPr>
        <w:numPr>
          <w:ilvl w:val="0"/>
          <w:numId w:val="12"/>
        </w:numPr>
        <w:ind w:hanging="720"/>
        <w:rPr>
          <w:snapToGrid w:val="0"/>
          <w:lang w:eastAsia="cs-CZ"/>
        </w:rPr>
      </w:pPr>
      <w:r w:rsidRPr="00D252D3">
        <w:rPr>
          <w:snapToGrid w:val="0"/>
          <w:lang w:eastAsia="cs-CZ"/>
        </w:rPr>
        <w:t>ochorenie pečene.</w:t>
      </w:r>
    </w:p>
    <w:p w:rsidR="0053152B" w:rsidRPr="00D252D3" w:rsidRDefault="0053152B">
      <w:pPr>
        <w:numPr>
          <w:ilvl w:val="0"/>
          <w:numId w:val="12"/>
        </w:numPr>
        <w:ind w:hanging="720"/>
        <w:rPr>
          <w:snapToGrid w:val="0"/>
          <w:lang w:eastAsia="cs-CZ"/>
        </w:rPr>
      </w:pPr>
      <w:r w:rsidRPr="00D252D3">
        <w:rPr>
          <w:snapToGrid w:val="0"/>
          <w:lang w:eastAsia="cs-CZ"/>
        </w:rPr>
        <w:t>problémy so srdcom.</w:t>
      </w:r>
    </w:p>
    <w:p w:rsidR="0053152B" w:rsidRPr="00D252D3" w:rsidRDefault="0053152B">
      <w:pPr>
        <w:numPr>
          <w:ilvl w:val="0"/>
          <w:numId w:val="12"/>
        </w:numPr>
        <w:ind w:hanging="720"/>
        <w:rPr>
          <w:snapToGrid w:val="0"/>
          <w:lang w:eastAsia="cs-CZ"/>
        </w:rPr>
      </w:pPr>
      <w:r w:rsidRPr="00D252D3">
        <w:rPr>
          <w:snapToGrid w:val="0"/>
          <w:lang w:eastAsia="cs-CZ"/>
        </w:rPr>
        <w:t>cukrovka.</w:t>
      </w:r>
    </w:p>
    <w:p w:rsidR="0053152B" w:rsidRPr="00D252D3" w:rsidRDefault="0053152B">
      <w:pPr>
        <w:numPr>
          <w:ilvl w:val="0"/>
          <w:numId w:val="12"/>
        </w:numPr>
        <w:ind w:hanging="720"/>
        <w:rPr>
          <w:snapToGrid w:val="0"/>
          <w:lang w:eastAsia="cs-CZ"/>
        </w:rPr>
      </w:pPr>
      <w:r w:rsidRPr="00D252D3">
        <w:rPr>
          <w:snapToGrid w:val="0"/>
          <w:lang w:eastAsia="cs-CZ"/>
        </w:rPr>
        <w:t>dna.</w:t>
      </w:r>
    </w:p>
    <w:p w:rsidR="0053152B" w:rsidRPr="00D252D3" w:rsidRDefault="0053152B">
      <w:pPr>
        <w:numPr>
          <w:ilvl w:val="0"/>
          <w:numId w:val="12"/>
        </w:numPr>
        <w:ind w:hanging="720"/>
        <w:rPr>
          <w:snapToGrid w:val="0"/>
          <w:lang w:eastAsia="cs-CZ"/>
        </w:rPr>
      </w:pPr>
      <w:r w:rsidRPr="00D252D3">
        <w:rPr>
          <w:snapToGrid w:val="0"/>
          <w:lang w:eastAsia="cs-CZ"/>
        </w:rPr>
        <w:t>zvýšená hladina aldosterónu (zadržiavanie vody a solí v tele popri nerovnováhe rôznych krvných minerálov).</w:t>
      </w:r>
    </w:p>
    <w:p w:rsidR="0053152B" w:rsidRPr="00D252D3" w:rsidRDefault="0053152B">
      <w:pPr>
        <w:numPr>
          <w:ilvl w:val="0"/>
          <w:numId w:val="12"/>
        </w:numPr>
        <w:ind w:hanging="720"/>
        <w:rPr>
          <w:snapToGrid w:val="0"/>
          <w:lang w:eastAsia="cs-CZ"/>
        </w:rPr>
      </w:pPr>
      <w:r w:rsidRPr="00D252D3">
        <w:rPr>
          <w:snapToGrid w:val="0"/>
          <w:lang w:eastAsia="cs-CZ"/>
        </w:rPr>
        <w:t>ochorenie systémový lupus erythematosus (nazývaný tiež „lupus“ alebo „</w:t>
      </w:r>
      <w:smartTag w:uri="urn:schemas-microsoft-com:office:smarttags" w:element="stockticker">
        <w:r w:rsidRPr="00D252D3">
          <w:rPr>
            <w:snapToGrid w:val="0"/>
            <w:lang w:eastAsia="cs-CZ"/>
          </w:rPr>
          <w:t>SLE</w:t>
        </w:r>
      </w:smartTag>
      <w:r w:rsidRPr="00D252D3">
        <w:rPr>
          <w:snapToGrid w:val="0"/>
          <w:lang w:eastAsia="cs-CZ"/>
        </w:rPr>
        <w:t>“) – choroba, kde imunitný systém napadá telo.</w:t>
      </w:r>
    </w:p>
    <w:p w:rsidR="0053152B" w:rsidRPr="00D252D3" w:rsidRDefault="0053152B">
      <w:pPr>
        <w:numPr>
          <w:ilvl w:val="0"/>
          <w:numId w:val="12"/>
        </w:numPr>
        <w:ind w:hanging="720"/>
        <w:rPr>
          <w:rFonts w:eastAsia="MS Mincho"/>
          <w:szCs w:val="22"/>
          <w:lang w:eastAsia="ja-JP"/>
        </w:rPr>
      </w:pPr>
      <w:r w:rsidRPr="00D252D3">
        <w:rPr>
          <w:szCs w:val="22"/>
        </w:rPr>
        <w:t xml:space="preserve">liečivo hydrochlorotiazid môže spôsobiť neobvyklé reakcie, ktorých následkom je zhoršené videnie a bolesť oka. Toto môžu byť príznaky </w:t>
      </w:r>
      <w:r w:rsidR="002A5949" w:rsidRPr="00D252D3">
        <w:rPr>
          <w:szCs w:val="22"/>
        </w:rPr>
        <w:t xml:space="preserve">nahromadenia tekutiny vo vrstve oka obsahujúcej cievy (choroidálna efúzia) alebo </w:t>
      </w:r>
      <w:r w:rsidRPr="00D252D3">
        <w:rPr>
          <w:szCs w:val="22"/>
        </w:rPr>
        <w:t>zvýšeného tlaku v oku a môžu sa objaviť v priebehu niekoľkých hodín alebo týždňov užívania MicardisPlusu. Ak sa neliečia, môžu viesť k trvalému poškodeniu zraku.</w:t>
      </w:r>
    </w:p>
    <w:p w:rsidR="00660A35" w:rsidRPr="00D252D3" w:rsidRDefault="0017732D" w:rsidP="00660A35">
      <w:pPr>
        <w:numPr>
          <w:ilvl w:val="0"/>
          <w:numId w:val="12"/>
        </w:numPr>
        <w:ind w:hanging="720"/>
        <w:rPr>
          <w:rFonts w:eastAsia="MS Mincho"/>
          <w:szCs w:val="22"/>
          <w:lang w:eastAsia="ja-JP"/>
        </w:rPr>
      </w:pPr>
      <w:r w:rsidRPr="00D252D3">
        <w:t xml:space="preserve">ak </w:t>
      </w:r>
      <w:r w:rsidR="00660A35" w:rsidRPr="00D252D3">
        <w:t>ste mali rakovinu kože alebo sa u vás počas liečby objavil neočakávaný nález na koži. Liečba hydrochlorotiazidom, najmä dlhodobé používanie vysokých dávok, môže zvýšiť riziko vzniku niektorých druhov rakoviny kože a rakoviny pier (nemelanómová rakovina kože). Počas užívania MicardisPlusu si chráňte kožu pred slnečným žiarením a UV lúčmi.</w:t>
      </w:r>
    </w:p>
    <w:p w:rsidR="0053152B" w:rsidRPr="00D252D3" w:rsidRDefault="0053152B">
      <w:pPr>
        <w:ind w:left="0" w:firstLine="0"/>
        <w:rPr>
          <w:snapToGrid w:val="0"/>
          <w:lang w:eastAsia="cs-CZ"/>
        </w:rPr>
      </w:pPr>
    </w:p>
    <w:p w:rsidR="0053152B" w:rsidRPr="00D252D3" w:rsidRDefault="0053152B">
      <w:pPr>
        <w:numPr>
          <w:ilvl w:val="12"/>
          <w:numId w:val="0"/>
        </w:numPr>
      </w:pPr>
      <w:r w:rsidRPr="00D252D3">
        <w:rPr>
          <w:snapToGrid w:val="0"/>
          <w:lang w:eastAsia="cs-CZ"/>
        </w:rPr>
        <w:t xml:space="preserve">Predtým, ako začnete užívať MicardisPlus, </w:t>
      </w:r>
      <w:r w:rsidRPr="00D252D3">
        <w:t>obráťte sa na svojho lekára</w:t>
      </w:r>
      <w:r w:rsidRPr="00D252D3">
        <w:rPr>
          <w:szCs w:val="22"/>
          <w:lang w:eastAsia="en-US"/>
        </w:rPr>
        <w:t>:</w:t>
      </w:r>
    </w:p>
    <w:p w:rsidR="0053152B" w:rsidRPr="00D252D3" w:rsidRDefault="0053152B">
      <w:pPr>
        <w:numPr>
          <w:ilvl w:val="0"/>
          <w:numId w:val="33"/>
        </w:numPr>
        <w:ind w:left="567" w:hanging="567"/>
        <w:rPr>
          <w:szCs w:val="22"/>
        </w:rPr>
      </w:pPr>
      <w:r w:rsidRPr="00D252D3">
        <w:rPr>
          <w:szCs w:val="22"/>
        </w:rPr>
        <w:t>ak užívate niektorý z nasledujúcich liekov, ktoré sa používajú na liečbu vysokého tlaku krvi:</w:t>
      </w:r>
    </w:p>
    <w:p w:rsidR="0053152B" w:rsidRPr="00D252D3" w:rsidRDefault="0053152B">
      <w:pPr>
        <w:ind w:firstLine="0"/>
        <w:rPr>
          <w:szCs w:val="22"/>
        </w:rPr>
      </w:pPr>
      <w:r w:rsidRPr="00D252D3">
        <w:rPr>
          <w:szCs w:val="22"/>
        </w:rPr>
        <w:t>- inhibítor ACE (napríklad enalapril, lizinopril, ramipril), najmä ak máte problémy s obličkami súvisiace s cukrovkou.</w:t>
      </w:r>
    </w:p>
    <w:p w:rsidR="0053152B" w:rsidRPr="00D252D3" w:rsidRDefault="0053152B">
      <w:pPr>
        <w:ind w:firstLine="0"/>
        <w:rPr>
          <w:szCs w:val="22"/>
        </w:rPr>
      </w:pPr>
      <w:r w:rsidRPr="00D252D3">
        <w:rPr>
          <w:szCs w:val="22"/>
        </w:rPr>
        <w:t>- aliskiren.</w:t>
      </w:r>
    </w:p>
    <w:p w:rsidR="0053152B" w:rsidRPr="00D252D3" w:rsidRDefault="0053152B">
      <w:pPr>
        <w:ind w:firstLine="0"/>
        <w:rPr>
          <w:szCs w:val="22"/>
        </w:rPr>
      </w:pPr>
      <w:r w:rsidRPr="00D252D3">
        <w:rPr>
          <w:szCs w:val="22"/>
        </w:rPr>
        <w:t xml:space="preserve">Lekár vám môže pravidelne kontrolovať funkciu obličiek, krvný tlak a množstvo elektrolytov (napríklad draslíka) v krvi. Pozri tiež informácie v časti „Neužívajte </w:t>
      </w:r>
      <w:r w:rsidRPr="00D252D3">
        <w:t>MicardisPlus</w:t>
      </w:r>
      <w:r w:rsidRPr="00D252D3">
        <w:rPr>
          <w:szCs w:val="22"/>
        </w:rPr>
        <w:t>“.</w:t>
      </w:r>
    </w:p>
    <w:p w:rsidR="0053152B" w:rsidRPr="00D252D3" w:rsidRDefault="0053152B">
      <w:pPr>
        <w:numPr>
          <w:ilvl w:val="0"/>
          <w:numId w:val="28"/>
        </w:numPr>
        <w:rPr>
          <w:szCs w:val="22"/>
        </w:rPr>
      </w:pPr>
      <w:r w:rsidRPr="00D252D3">
        <w:rPr>
          <w:szCs w:val="22"/>
        </w:rPr>
        <w:t>ak užívate digoxín.</w:t>
      </w:r>
    </w:p>
    <w:p w:rsidR="0053152B" w:rsidRPr="00D252D3" w:rsidRDefault="0053152B">
      <w:pPr>
        <w:ind w:left="0" w:firstLine="0"/>
        <w:rPr>
          <w:snapToGrid w:val="0"/>
          <w:lang w:eastAsia="cs-CZ"/>
        </w:rPr>
      </w:pPr>
    </w:p>
    <w:p w:rsidR="0053152B" w:rsidRPr="00D252D3" w:rsidRDefault="0053152B">
      <w:pPr>
        <w:ind w:left="0" w:firstLine="0"/>
        <w:rPr>
          <w:snapToGrid w:val="0"/>
          <w:lang w:eastAsia="cs-CZ"/>
        </w:rPr>
      </w:pPr>
      <w:r w:rsidRPr="00D252D3">
        <w:rPr>
          <w:snapToGrid w:val="0"/>
          <w:lang w:eastAsia="cs-CZ"/>
        </w:rPr>
        <w:t>Ak si myslíte, že ste (</w:t>
      </w:r>
      <w:r w:rsidRPr="00D252D3">
        <w:rPr>
          <w:snapToGrid w:val="0"/>
          <w:u w:val="single"/>
          <w:lang w:eastAsia="cs-CZ"/>
        </w:rPr>
        <w:t>alebo môžete byť</w:t>
      </w:r>
      <w:r w:rsidRPr="00D252D3">
        <w:rPr>
          <w:snapToGrid w:val="0"/>
          <w:lang w:eastAsia="cs-CZ"/>
        </w:rPr>
        <w:t>) tehotná, musíte to povedať svojmu lekárovi. MicardisPlus sa neodporúča užívať na začiatku tehotenstva a musí sa vysadiť, ak ste tehotná viac ako 3 mesiace. Keďže môže spôsobiť závažné poškodenie vášho dieťaťa, ak sa užíva v tomto štádiu (pozri časť Tehotenstvo a dojčenie).</w:t>
      </w:r>
    </w:p>
    <w:p w:rsidR="0053152B" w:rsidRPr="00D252D3" w:rsidRDefault="0053152B">
      <w:pPr>
        <w:ind w:left="0" w:firstLine="0"/>
        <w:rPr>
          <w:snapToGrid w:val="0"/>
          <w:lang w:eastAsia="cs-CZ"/>
        </w:rPr>
      </w:pPr>
    </w:p>
    <w:p w:rsidR="0053152B" w:rsidRPr="00D252D3" w:rsidRDefault="0053152B">
      <w:pPr>
        <w:ind w:left="0" w:firstLine="0"/>
        <w:rPr>
          <w:snapToGrid w:val="0"/>
          <w:lang w:eastAsia="cs-CZ"/>
        </w:rPr>
      </w:pPr>
      <w:r w:rsidRPr="00D252D3">
        <w:rPr>
          <w:snapToGrid w:val="0"/>
          <w:lang w:eastAsia="cs-CZ"/>
        </w:rPr>
        <w:t>Liečba hydrochlorotiazidom môže zapríčiniť nerovnováhu elektrolytov vo vašom tele. Typické príznaky nerovnováhy telesných tekutín alebo elektrolytov zahŕňajú sucho v ústach, slabosť, apatiu, ospanlivosť, nepokoj, bolesť svalov alebo kŕče, nauzeu (nevoľnosť), vracanie, svalovú únavu a neobvykle zrýchlený pulz (viac ako 100 úderov za minútu). Ak spozorujete niektorý z týchto príznakov, povedzte to svojmu lekárovi.</w:t>
      </w:r>
    </w:p>
    <w:p w:rsidR="0053152B" w:rsidRPr="00D252D3" w:rsidRDefault="0053152B">
      <w:pPr>
        <w:ind w:left="0" w:firstLine="0"/>
        <w:rPr>
          <w:snapToGrid w:val="0"/>
          <w:lang w:eastAsia="cs-CZ"/>
        </w:rPr>
      </w:pPr>
    </w:p>
    <w:p w:rsidR="0053152B" w:rsidRPr="00D252D3" w:rsidRDefault="0053152B">
      <w:pPr>
        <w:ind w:left="0" w:firstLine="0"/>
        <w:rPr>
          <w:szCs w:val="22"/>
        </w:rPr>
      </w:pPr>
      <w:r w:rsidRPr="00D252D3">
        <w:rPr>
          <w:szCs w:val="22"/>
        </w:rPr>
        <w:t>Svojmu lekárovi tiež musíte povedať, že máte zvýšenú citlivosť kože na slnko s príznakmi spálenia (ako je sčervenenie, svrbenie, opuch, tvorba pľuzgierov), ktoré sa vytvárajú rýchlejšie ako zvyčajne.</w:t>
      </w:r>
    </w:p>
    <w:p w:rsidR="0053152B" w:rsidRPr="00D252D3" w:rsidRDefault="0053152B">
      <w:pPr>
        <w:ind w:left="0" w:firstLine="0"/>
        <w:rPr>
          <w:szCs w:val="22"/>
        </w:rPr>
      </w:pPr>
    </w:p>
    <w:p w:rsidR="0053152B" w:rsidRPr="00D252D3" w:rsidRDefault="0053152B">
      <w:pPr>
        <w:ind w:left="0" w:firstLine="0"/>
        <w:rPr>
          <w:snapToGrid w:val="0"/>
          <w:lang w:eastAsia="cs-CZ"/>
        </w:rPr>
      </w:pPr>
      <w:r w:rsidRPr="00D252D3">
        <w:rPr>
          <w:snapToGrid w:val="0"/>
          <w:lang w:eastAsia="cs-CZ"/>
        </w:rPr>
        <w:t>Pred chirurgickým zákrokom alebo anestézou, informujte svojho lekára o tom, že užívate MicardisPlus.</w:t>
      </w:r>
    </w:p>
    <w:p w:rsidR="0053152B" w:rsidRPr="00D252D3" w:rsidRDefault="0053152B">
      <w:pPr>
        <w:ind w:left="0" w:firstLine="0"/>
        <w:rPr>
          <w:snapToGrid w:val="0"/>
          <w:lang w:eastAsia="cs-CZ"/>
        </w:rPr>
      </w:pPr>
    </w:p>
    <w:p w:rsidR="0053152B" w:rsidRPr="00D252D3" w:rsidRDefault="0053152B">
      <w:pPr>
        <w:ind w:right="-2"/>
        <w:rPr>
          <w:szCs w:val="22"/>
        </w:rPr>
      </w:pPr>
      <w:r w:rsidRPr="00D252D3">
        <w:rPr>
          <w:szCs w:val="22"/>
        </w:rPr>
        <w:t>MicardisPlus môže mať nižšiu účinnosť pri znižovaní krvného tlaku u černošských pacientov.</w:t>
      </w:r>
    </w:p>
    <w:p w:rsidR="0053152B" w:rsidRPr="00D252D3" w:rsidRDefault="0053152B">
      <w:pPr>
        <w:ind w:left="0" w:firstLine="0"/>
        <w:rPr>
          <w:snapToGrid w:val="0"/>
          <w:lang w:eastAsia="cs-CZ"/>
        </w:rPr>
      </w:pPr>
    </w:p>
    <w:p w:rsidR="0053152B" w:rsidRPr="00D252D3" w:rsidRDefault="0053152B" w:rsidP="00AB164B">
      <w:pPr>
        <w:keepNext/>
        <w:ind w:left="0" w:firstLine="0"/>
        <w:rPr>
          <w:b/>
          <w:snapToGrid w:val="0"/>
          <w:lang w:eastAsia="cs-CZ"/>
        </w:rPr>
      </w:pPr>
      <w:r w:rsidRPr="00D252D3">
        <w:rPr>
          <w:b/>
          <w:snapToGrid w:val="0"/>
          <w:lang w:eastAsia="cs-CZ"/>
        </w:rPr>
        <w:t>Deti a dospievajúci</w:t>
      </w:r>
    </w:p>
    <w:p w:rsidR="0053152B" w:rsidRPr="00D252D3" w:rsidRDefault="0053152B" w:rsidP="00AB164B">
      <w:pPr>
        <w:keepNext/>
        <w:ind w:left="0" w:firstLine="0"/>
        <w:rPr>
          <w:b/>
          <w:snapToGrid w:val="0"/>
          <w:u w:val="single"/>
          <w:lang w:eastAsia="cs-CZ"/>
        </w:rPr>
      </w:pPr>
    </w:p>
    <w:p w:rsidR="0053152B" w:rsidRPr="00D252D3" w:rsidRDefault="0053152B">
      <w:pPr>
        <w:ind w:left="0" w:firstLine="0"/>
        <w:rPr>
          <w:snapToGrid w:val="0"/>
          <w:lang w:eastAsia="cs-CZ"/>
        </w:rPr>
      </w:pPr>
      <w:r w:rsidRPr="00D252D3">
        <w:rPr>
          <w:snapToGrid w:val="0"/>
          <w:lang w:eastAsia="cs-CZ"/>
        </w:rPr>
        <w:t>Užívanie MicardisPlusu u detí a dospievajúcich do 18 rokov sa neodporúča.</w:t>
      </w:r>
    </w:p>
    <w:p w:rsidR="0053152B" w:rsidRPr="00D252D3" w:rsidRDefault="0053152B">
      <w:pPr>
        <w:ind w:left="0" w:firstLine="0"/>
        <w:rPr>
          <w:snapToGrid w:val="0"/>
          <w:lang w:eastAsia="cs-CZ"/>
        </w:rPr>
      </w:pPr>
    </w:p>
    <w:p w:rsidR="0053152B" w:rsidRPr="00D252D3" w:rsidRDefault="0053152B">
      <w:pPr>
        <w:keepNext/>
        <w:rPr>
          <w:b/>
        </w:rPr>
      </w:pPr>
      <w:r w:rsidRPr="00D252D3">
        <w:rPr>
          <w:b/>
        </w:rPr>
        <w:t>Iné lieky a MicardisPlus</w:t>
      </w:r>
    </w:p>
    <w:p w:rsidR="0053152B" w:rsidRPr="00D252D3" w:rsidRDefault="0053152B">
      <w:pPr>
        <w:keepNext/>
        <w:ind w:left="0" w:firstLine="0"/>
      </w:pPr>
    </w:p>
    <w:p w:rsidR="0053152B" w:rsidRPr="00D252D3" w:rsidRDefault="0053152B">
      <w:pPr>
        <w:ind w:left="0" w:firstLine="0"/>
      </w:pPr>
      <w:r w:rsidRPr="00D252D3">
        <w:t>Ak teraz užívate, alebo ste v poslednom čase užívali, či práve budete užívať ďalšie lieky, povedzte to svojmu lekárovi alebo lekárnikovi. Váš lekár možno bude musieť zmeniť dávkovanie ostatných liekov alebo urobiť iné opatrenia. V niektorých prípadoch možno prestanete užívať niektoré lieky. Vzťahuje sa to najmä na lieky, uvedené nižšie, ak sa užívajú súčasne s MicardisPlusom:</w:t>
      </w:r>
    </w:p>
    <w:p w:rsidR="0053152B" w:rsidRPr="00D252D3" w:rsidRDefault="0053152B">
      <w:pPr>
        <w:ind w:left="0" w:firstLine="0"/>
      </w:pPr>
    </w:p>
    <w:p w:rsidR="0053152B" w:rsidRPr="00D252D3" w:rsidRDefault="0053152B">
      <w:pPr>
        <w:numPr>
          <w:ilvl w:val="0"/>
          <w:numId w:val="12"/>
        </w:numPr>
      </w:pPr>
      <w:r w:rsidRPr="00D252D3">
        <w:t>lieky s obsahom lítia na liečbu niektorých druhov depresie.</w:t>
      </w:r>
    </w:p>
    <w:p w:rsidR="0053152B" w:rsidRPr="00D252D3" w:rsidRDefault="0053152B">
      <w:pPr>
        <w:numPr>
          <w:ilvl w:val="0"/>
          <w:numId w:val="12"/>
        </w:numPr>
      </w:pPr>
      <w:r w:rsidRPr="00D252D3">
        <w:t>lieky spojené s nízkym obsahom draslíka (hypokaliémia), ako sú diuretiká (‘tablety na odvodnenie’), laxatíva (napr. ricínový olej), kortikosteroidy (napr. prednisón), ACTH (hormón), amfotericín (liek proti plesniam), karbenoxolón (používa sa na liečbu vredov v ústach), sodná soľ benzylpenicilínu (antibiotikum), kyselina salicylová a jej deriváty.</w:t>
      </w:r>
    </w:p>
    <w:p w:rsidR="0053152B" w:rsidRPr="00D252D3" w:rsidRDefault="0053152B">
      <w:pPr>
        <w:numPr>
          <w:ilvl w:val="0"/>
          <w:numId w:val="12"/>
        </w:numPr>
      </w:pPr>
      <w:r w:rsidRPr="00D252D3">
        <w:t xml:space="preserve">lieky, ktoré môžu zvýšiť hladiny draslíka v krvi, ako sú draslík šetriace diuretiká, náhrady draslíka, náhrady soli obsahujúce draslík, </w:t>
      </w:r>
      <w:smartTag w:uri="urn:schemas-microsoft-com:office:smarttags" w:element="stockticker">
        <w:r w:rsidRPr="00D252D3">
          <w:t>ACE</w:t>
        </w:r>
      </w:smartTag>
      <w:r w:rsidRPr="00D252D3">
        <w:t xml:space="preserve"> inhibítory, cyklosporín (imunosupresívum) a iné liečivá, ako je sodná soľ heparínu (antikoagulancium).</w:t>
      </w:r>
    </w:p>
    <w:p w:rsidR="0053152B" w:rsidRPr="00D252D3" w:rsidRDefault="0053152B">
      <w:pPr>
        <w:numPr>
          <w:ilvl w:val="0"/>
          <w:numId w:val="12"/>
        </w:numPr>
        <w:rPr>
          <w:szCs w:val="22"/>
        </w:rPr>
      </w:pPr>
      <w:r w:rsidRPr="00D252D3">
        <w:rPr>
          <w:szCs w:val="22"/>
        </w:rPr>
        <w:t>lieky, na ktoré vplývajú zmeny koncentrácií draslíka v krvi, ako sú lieky na srdce (napr.  digoxín) alebo lieky, ktoré majú kontrolovať váš srdcový rytmus (napr. chinidín, dizopyramid, amiodarón, sotalol), lieky používané pri duševných poruchách (napr. tioridazín, chlorpromazín, levomepromazín) a ďalšie lieky, ako sú niektoré antibiotiká (napr. sparfloxacín, pentamidín) alebo niektoré lieky na liečbu alergických reakcií (napr. terfenadín).</w:t>
      </w:r>
    </w:p>
    <w:p w:rsidR="0053152B" w:rsidRPr="00D252D3" w:rsidRDefault="0053152B">
      <w:pPr>
        <w:numPr>
          <w:ilvl w:val="0"/>
          <w:numId w:val="12"/>
        </w:numPr>
        <w:rPr>
          <w:szCs w:val="22"/>
        </w:rPr>
      </w:pPr>
      <w:r w:rsidRPr="00D252D3">
        <w:rPr>
          <w:szCs w:val="22"/>
        </w:rPr>
        <w:t>lieky na liečbu cukrovky (inzulíny alebo perorálne prípravky, ako je metformín).</w:t>
      </w:r>
    </w:p>
    <w:p w:rsidR="0053152B" w:rsidRPr="00D252D3" w:rsidRDefault="0053152B">
      <w:pPr>
        <w:numPr>
          <w:ilvl w:val="0"/>
          <w:numId w:val="12"/>
        </w:numPr>
        <w:rPr>
          <w:szCs w:val="22"/>
        </w:rPr>
      </w:pPr>
      <w:r w:rsidRPr="00D252D3">
        <w:rPr>
          <w:szCs w:val="22"/>
        </w:rPr>
        <w:t xml:space="preserve">cholestyramín a kolestipol, lieky na znižovanie hodnôt tukov v krvi. </w:t>
      </w:r>
    </w:p>
    <w:p w:rsidR="0053152B" w:rsidRPr="00D252D3" w:rsidRDefault="0053152B">
      <w:pPr>
        <w:numPr>
          <w:ilvl w:val="0"/>
          <w:numId w:val="12"/>
        </w:numPr>
        <w:rPr>
          <w:szCs w:val="22"/>
        </w:rPr>
      </w:pPr>
      <w:r w:rsidRPr="00D252D3">
        <w:rPr>
          <w:szCs w:val="22"/>
        </w:rPr>
        <w:t>lieky na zvyšovanie krvného tlaku, ako je noradrenalín.</w:t>
      </w:r>
    </w:p>
    <w:p w:rsidR="0053152B" w:rsidRPr="00D252D3" w:rsidRDefault="0053152B">
      <w:pPr>
        <w:numPr>
          <w:ilvl w:val="0"/>
          <w:numId w:val="12"/>
        </w:numPr>
        <w:rPr>
          <w:szCs w:val="22"/>
        </w:rPr>
      </w:pPr>
      <w:r w:rsidRPr="00D252D3">
        <w:rPr>
          <w:szCs w:val="22"/>
        </w:rPr>
        <w:t>lieky spôsobujúce svalové uvoľnenie, ako je tubokurarín.</w:t>
      </w:r>
    </w:p>
    <w:p w:rsidR="0053152B" w:rsidRPr="00D252D3" w:rsidRDefault="0053152B">
      <w:pPr>
        <w:numPr>
          <w:ilvl w:val="0"/>
          <w:numId w:val="12"/>
        </w:numPr>
        <w:rPr>
          <w:szCs w:val="22"/>
        </w:rPr>
      </w:pPr>
      <w:r w:rsidRPr="00D252D3">
        <w:rPr>
          <w:szCs w:val="22"/>
        </w:rPr>
        <w:t>výživové doplnky s obsahom vápnika a/alebo vitamínu D.</w:t>
      </w:r>
    </w:p>
    <w:p w:rsidR="0053152B" w:rsidRPr="00D252D3" w:rsidRDefault="0053152B">
      <w:pPr>
        <w:numPr>
          <w:ilvl w:val="0"/>
          <w:numId w:val="12"/>
        </w:numPr>
        <w:rPr>
          <w:szCs w:val="22"/>
        </w:rPr>
      </w:pPr>
      <w:r w:rsidRPr="00D252D3">
        <w:rPr>
          <w:szCs w:val="22"/>
        </w:rPr>
        <w:t>anticholinergiká (lieky, ktoré sa používajú v liečbe mnohých porúch, ako sú kŕče tráviaceho traktu, kŕče močového mechúra, astma, ochorenie motoriky, svalové kŕče, Parkinsonova choroba a ako doplnok k anestéze)</w:t>
      </w:r>
      <w:r w:rsidRPr="00D252D3">
        <w:rPr>
          <w:szCs w:val="22"/>
          <w:lang w:eastAsia="ja-JP"/>
        </w:rPr>
        <w:t xml:space="preserve"> ako je atropín a biperidén.</w:t>
      </w:r>
    </w:p>
    <w:p w:rsidR="0053152B" w:rsidRPr="00D252D3" w:rsidRDefault="0053152B">
      <w:pPr>
        <w:numPr>
          <w:ilvl w:val="0"/>
          <w:numId w:val="12"/>
        </w:numPr>
        <w:rPr>
          <w:szCs w:val="22"/>
        </w:rPr>
      </w:pPr>
      <w:r w:rsidRPr="00D252D3">
        <w:rPr>
          <w:szCs w:val="22"/>
        </w:rPr>
        <w:t>amantadín (liek, ktorý sa používa v liečbe Parkinsonovej choroby a zároveň v liečbe alebo ako prevencia niektorých chorôb spôsobených vírusmi).</w:t>
      </w:r>
    </w:p>
    <w:p w:rsidR="0053152B" w:rsidRPr="00D252D3" w:rsidRDefault="0053152B">
      <w:pPr>
        <w:numPr>
          <w:ilvl w:val="0"/>
          <w:numId w:val="12"/>
        </w:numPr>
      </w:pPr>
      <w:r w:rsidRPr="00D252D3">
        <w:t>iné lieky na zníženie krvného tlaku, kortikosteroidy, lieky proti bolesti (ako sú nesteroidné protizápalové lieky (NSAID)), lieky na liečbu nádorových ochorení, lieky na dnu alebo artritídu.</w:t>
      </w:r>
    </w:p>
    <w:p w:rsidR="0053152B" w:rsidRPr="00D252D3" w:rsidRDefault="0053152B">
      <w:pPr>
        <w:numPr>
          <w:ilvl w:val="0"/>
          <w:numId w:val="12"/>
        </w:numPr>
        <w:rPr>
          <w:szCs w:val="22"/>
        </w:rPr>
      </w:pPr>
      <w:r w:rsidRPr="00D252D3">
        <w:rPr>
          <w:szCs w:val="22"/>
        </w:rPr>
        <w:t xml:space="preserve">ak užívate </w:t>
      </w:r>
      <w:r w:rsidRPr="00D252D3">
        <w:rPr>
          <w:rFonts w:eastAsia="Calibri"/>
          <w:szCs w:val="22"/>
        </w:rPr>
        <w:t xml:space="preserve">inhibítor ACE </w:t>
      </w:r>
      <w:r w:rsidRPr="00D252D3">
        <w:rPr>
          <w:szCs w:val="22"/>
        </w:rPr>
        <w:t xml:space="preserve">alebo aliskiren (pozri tiež informácie v častiach “Neužívajte </w:t>
      </w:r>
      <w:r w:rsidRPr="00D252D3">
        <w:t xml:space="preserve">MicardisPlus </w:t>
      </w:r>
      <w:r w:rsidRPr="00D252D3">
        <w:rPr>
          <w:szCs w:val="22"/>
        </w:rPr>
        <w:t>a „Upozornenia a opatrenia“).</w:t>
      </w:r>
    </w:p>
    <w:p w:rsidR="0053152B" w:rsidRPr="00D252D3" w:rsidRDefault="0053152B">
      <w:pPr>
        <w:pStyle w:val="ListBullet"/>
        <w:numPr>
          <w:ilvl w:val="0"/>
          <w:numId w:val="12"/>
        </w:numPr>
      </w:pPr>
      <w:r w:rsidRPr="00D252D3">
        <w:t>digoxín.</w:t>
      </w:r>
    </w:p>
    <w:p w:rsidR="0053152B" w:rsidRPr="00D252D3" w:rsidRDefault="0053152B"/>
    <w:p w:rsidR="0053152B" w:rsidRPr="00D252D3" w:rsidRDefault="0053152B">
      <w:pPr>
        <w:ind w:left="0" w:firstLine="0"/>
        <w:rPr>
          <w:szCs w:val="22"/>
        </w:rPr>
      </w:pPr>
      <w:r w:rsidRPr="00D252D3">
        <w:rPr>
          <w:snapToGrid w:val="0"/>
          <w:lang w:eastAsia="cs-CZ"/>
        </w:rPr>
        <w:t xml:space="preserve">MicardisPlus </w:t>
      </w:r>
      <w:r w:rsidRPr="00D252D3">
        <w:rPr>
          <w:szCs w:val="22"/>
        </w:rPr>
        <w:t>môže zvýšiť účinok iných liekov, znižujúcich krvný tlak, ktoré sa užívajú na liečbu vysokého krvného tlaku, alebo liekov s potenciálom znižovať krvný tlak (napr. baklofén, amifostín).</w:t>
      </w:r>
    </w:p>
    <w:p w:rsidR="0053152B" w:rsidRPr="00D252D3" w:rsidRDefault="0053152B">
      <w:pPr>
        <w:autoSpaceDE w:val="0"/>
        <w:autoSpaceDN w:val="0"/>
        <w:adjustRightInd w:val="0"/>
        <w:ind w:left="0" w:firstLine="0"/>
        <w:rPr>
          <w:szCs w:val="22"/>
        </w:rPr>
      </w:pPr>
      <w:r w:rsidRPr="00D252D3">
        <w:rPr>
          <w:szCs w:val="22"/>
        </w:rPr>
        <w:t>Okrem toho sa môže nízky krvný tlak zhoršiť alkoholom, barbiturátmi, narkotikami alebo antidepresívami. Môžete ho spozorovať ako závrat pri vstávaní. Ak potrebujete upraviť dávku vášho iného lieku, ktorý užívate s </w:t>
      </w:r>
      <w:r w:rsidRPr="00D252D3">
        <w:rPr>
          <w:snapToGrid w:val="0"/>
          <w:lang w:eastAsia="cs-CZ"/>
        </w:rPr>
        <w:t>MicardisPlusom</w:t>
      </w:r>
      <w:r w:rsidRPr="00D252D3">
        <w:rPr>
          <w:szCs w:val="22"/>
        </w:rPr>
        <w:t>, poraďte sa so svojím lekárom.</w:t>
      </w:r>
    </w:p>
    <w:p w:rsidR="0053152B" w:rsidRPr="00D252D3" w:rsidRDefault="0053152B"/>
    <w:p w:rsidR="0053152B" w:rsidRPr="00D252D3" w:rsidRDefault="0053152B">
      <w:pPr>
        <w:ind w:left="0" w:firstLine="0"/>
      </w:pPr>
      <w:r w:rsidRPr="00D252D3">
        <w:t>Účinok MicardisPlusu sa môže znížiť, ak užívate NSA (nesteroidné protizápalové lieky, napr.aspirín alebo ibuprofén).</w:t>
      </w:r>
    </w:p>
    <w:p w:rsidR="0053152B" w:rsidRPr="00D252D3" w:rsidRDefault="0053152B">
      <w:pPr>
        <w:ind w:left="0" w:firstLine="0"/>
      </w:pPr>
    </w:p>
    <w:p w:rsidR="0053152B" w:rsidRPr="00D252D3" w:rsidRDefault="0053152B" w:rsidP="000D7A2C">
      <w:pPr>
        <w:keepNext/>
        <w:tabs>
          <w:tab w:val="left" w:pos="3218"/>
        </w:tabs>
        <w:ind w:left="0" w:firstLine="0"/>
        <w:rPr>
          <w:b/>
        </w:rPr>
      </w:pPr>
      <w:r w:rsidRPr="00D252D3">
        <w:rPr>
          <w:b/>
        </w:rPr>
        <w:t>MicardisPlus a jedlo a alkohol</w:t>
      </w:r>
    </w:p>
    <w:p w:rsidR="0053152B" w:rsidRPr="00D252D3" w:rsidRDefault="0053152B" w:rsidP="000D7A2C">
      <w:pPr>
        <w:keepNext/>
        <w:tabs>
          <w:tab w:val="left" w:pos="3218"/>
        </w:tabs>
        <w:ind w:left="0" w:firstLine="0"/>
        <w:rPr>
          <w:b/>
        </w:rPr>
      </w:pPr>
    </w:p>
    <w:p w:rsidR="0053152B" w:rsidRPr="00D252D3" w:rsidRDefault="0053152B">
      <w:pPr>
        <w:rPr>
          <w:szCs w:val="22"/>
        </w:rPr>
      </w:pPr>
      <w:r w:rsidRPr="00D252D3">
        <w:rPr>
          <w:szCs w:val="22"/>
        </w:rPr>
        <w:t>MicardisPlus môžete užívať s jedlom alebo bez jedla.</w:t>
      </w:r>
    </w:p>
    <w:p w:rsidR="0053152B" w:rsidRPr="00D252D3" w:rsidRDefault="0053152B">
      <w:pPr>
        <w:rPr>
          <w:szCs w:val="22"/>
        </w:rPr>
      </w:pPr>
      <w:r w:rsidRPr="00D252D3">
        <w:rPr>
          <w:szCs w:val="22"/>
        </w:rPr>
        <w:t>Kým sa neporadíte so svojím lekárom, nepožívajte alkohol. Alkohol môže spôsobiť väčší pokles</w:t>
      </w:r>
    </w:p>
    <w:p w:rsidR="0053152B" w:rsidRPr="00D252D3" w:rsidRDefault="0053152B">
      <w:pPr>
        <w:rPr>
          <w:szCs w:val="22"/>
        </w:rPr>
      </w:pPr>
      <w:r w:rsidRPr="00D252D3">
        <w:rPr>
          <w:szCs w:val="22"/>
        </w:rPr>
        <w:t xml:space="preserve">vášho krvného tlaku a/alebo zvýšiť riziko, že sa u vás vyskytne závrat alebo že pocítite mdloby. </w:t>
      </w:r>
    </w:p>
    <w:p w:rsidR="0053152B" w:rsidRPr="00D252D3" w:rsidRDefault="0053152B">
      <w:pPr>
        <w:ind w:left="0" w:firstLine="0"/>
      </w:pPr>
    </w:p>
    <w:p w:rsidR="0053152B" w:rsidRPr="00D252D3" w:rsidRDefault="0053152B">
      <w:pPr>
        <w:rPr>
          <w:b/>
        </w:rPr>
      </w:pPr>
      <w:bookmarkStart w:id="25" w:name="_Toc49833169"/>
      <w:bookmarkStart w:id="26" w:name="_Toc49833276"/>
      <w:r w:rsidRPr="00D252D3">
        <w:rPr>
          <w:b/>
        </w:rPr>
        <w:t>Tehotenstvo a dojčenie</w:t>
      </w:r>
      <w:bookmarkEnd w:id="25"/>
      <w:bookmarkEnd w:id="26"/>
    </w:p>
    <w:p w:rsidR="0053152B" w:rsidRPr="00D252D3" w:rsidRDefault="0053152B">
      <w:pPr>
        <w:ind w:left="0" w:firstLine="0"/>
        <w:rPr>
          <w:snapToGrid w:val="0"/>
          <w:u w:val="single"/>
          <w:lang w:eastAsia="cs-CZ"/>
        </w:rPr>
      </w:pPr>
    </w:p>
    <w:p w:rsidR="0053152B" w:rsidRPr="00D252D3" w:rsidRDefault="0053152B">
      <w:pPr>
        <w:ind w:left="0" w:firstLine="0"/>
        <w:rPr>
          <w:snapToGrid w:val="0"/>
          <w:u w:val="single"/>
          <w:lang w:eastAsia="cs-CZ"/>
        </w:rPr>
      </w:pPr>
      <w:r w:rsidRPr="00D252D3">
        <w:rPr>
          <w:snapToGrid w:val="0"/>
          <w:u w:val="single"/>
          <w:lang w:eastAsia="cs-CZ"/>
        </w:rPr>
        <w:t>Tehotenstvo</w:t>
      </w:r>
    </w:p>
    <w:p w:rsidR="0053152B" w:rsidRPr="00D252D3" w:rsidRDefault="0053152B">
      <w:pPr>
        <w:ind w:left="0" w:firstLine="0"/>
        <w:rPr>
          <w:snapToGrid w:val="0"/>
          <w:lang w:eastAsia="cs-CZ"/>
        </w:rPr>
      </w:pPr>
      <w:r w:rsidRPr="00D252D3">
        <w:rPr>
          <w:snapToGrid w:val="0"/>
          <w:lang w:eastAsia="cs-CZ"/>
        </w:rPr>
        <w:t>Ak si myslíte, že ste (</w:t>
      </w:r>
      <w:r w:rsidRPr="00D252D3">
        <w:rPr>
          <w:snapToGrid w:val="0"/>
          <w:u w:val="single"/>
          <w:lang w:eastAsia="cs-CZ"/>
        </w:rPr>
        <w:t>alebo môžete byť</w:t>
      </w:r>
      <w:r w:rsidRPr="00D252D3">
        <w:rPr>
          <w:snapToGrid w:val="0"/>
          <w:lang w:eastAsia="cs-CZ"/>
        </w:rPr>
        <w:t xml:space="preserve">) tehotná, musíte to povedať svojmu lekárovi. Zvyčajne vám váš lekár odporučí vysadiť MicardisPlus skôr ako otehotniete alebo ihneď ako zistíte, že ste tehotná, a odporučí vám užívať iný liek namiesto MicardisPlusu. MicardisPlus sa neodporúča v priebehu tehotenstva a nesmie sa užívať, ak ste tehotná viac ako 3 mesiace, keďže môže spôsobiť závažné poškodenie vášho dieťaťa, ak sa užíva po 3. mesiacoch tehotenstva. </w:t>
      </w:r>
    </w:p>
    <w:p w:rsidR="0053152B" w:rsidRPr="00D252D3" w:rsidRDefault="0053152B">
      <w:pPr>
        <w:ind w:left="0" w:firstLine="0"/>
        <w:rPr>
          <w:snapToGrid w:val="0"/>
          <w:lang w:eastAsia="cs-CZ"/>
        </w:rPr>
      </w:pPr>
    </w:p>
    <w:p w:rsidR="0053152B" w:rsidRPr="00D252D3" w:rsidRDefault="0053152B">
      <w:pPr>
        <w:ind w:left="0" w:firstLine="0"/>
        <w:rPr>
          <w:snapToGrid w:val="0"/>
          <w:u w:val="single"/>
          <w:lang w:eastAsia="cs-CZ"/>
        </w:rPr>
      </w:pPr>
      <w:r w:rsidRPr="00D252D3">
        <w:rPr>
          <w:snapToGrid w:val="0"/>
          <w:u w:val="single"/>
          <w:lang w:eastAsia="cs-CZ"/>
        </w:rPr>
        <w:t>Dojčenie</w:t>
      </w:r>
    </w:p>
    <w:p w:rsidR="0053152B" w:rsidRPr="00D252D3" w:rsidRDefault="0053152B">
      <w:pPr>
        <w:ind w:left="0" w:firstLine="0"/>
        <w:rPr>
          <w:snapToGrid w:val="0"/>
          <w:lang w:eastAsia="cs-CZ"/>
        </w:rPr>
      </w:pPr>
      <w:r w:rsidRPr="00D252D3">
        <w:rPr>
          <w:snapToGrid w:val="0"/>
          <w:lang w:eastAsia="cs-CZ"/>
        </w:rPr>
        <w:t>Povedzte svojmu lekárovi, ak dojčíte alebo začínate dojčiť. MicardisPlus sa neodporúča pre matky, ktoré dojčia a váš lekár vám môže vybrať inú liečbu, ak si želáte dojčiť.</w:t>
      </w:r>
    </w:p>
    <w:p w:rsidR="0053152B" w:rsidRPr="00D252D3" w:rsidRDefault="0053152B">
      <w:pPr>
        <w:ind w:left="0" w:firstLine="0"/>
        <w:rPr>
          <w:snapToGrid w:val="0"/>
          <w:lang w:eastAsia="cs-CZ"/>
        </w:rPr>
      </w:pPr>
    </w:p>
    <w:p w:rsidR="0053152B" w:rsidRPr="00D252D3" w:rsidRDefault="0053152B">
      <w:pPr>
        <w:rPr>
          <w:b/>
          <w:snapToGrid w:val="0"/>
        </w:rPr>
      </w:pPr>
      <w:r w:rsidRPr="00D252D3">
        <w:rPr>
          <w:b/>
          <w:snapToGrid w:val="0"/>
        </w:rPr>
        <w:t>Vedenie vozidiel a obsluha strojov</w:t>
      </w:r>
    </w:p>
    <w:p w:rsidR="0053152B" w:rsidRPr="00D252D3" w:rsidRDefault="0053152B">
      <w:pPr>
        <w:ind w:left="0" w:firstLine="0"/>
        <w:rPr>
          <w:snapToGrid w:val="0"/>
          <w:lang w:eastAsia="cs-CZ"/>
        </w:rPr>
      </w:pPr>
    </w:p>
    <w:p w:rsidR="0053152B" w:rsidRPr="00D252D3" w:rsidRDefault="0053152B">
      <w:pPr>
        <w:ind w:left="0" w:firstLine="0"/>
        <w:rPr>
          <w:snapToGrid w:val="0"/>
          <w:lang w:eastAsia="cs-CZ"/>
        </w:rPr>
      </w:pPr>
      <w:r w:rsidRPr="00D252D3">
        <w:rPr>
          <w:snapToGrid w:val="0"/>
          <w:lang w:eastAsia="cs-CZ"/>
        </w:rPr>
        <w:t>Niektorí ľudia pri užívaní MicardisPlusu majú závraty alebo sa cítia unavení. Neveďte vozidlo alebo neobsluhujte stroje, keď máte závraty alebo ste unavení.</w:t>
      </w:r>
    </w:p>
    <w:p w:rsidR="0053152B" w:rsidRPr="00D252D3" w:rsidRDefault="0053152B">
      <w:pPr>
        <w:ind w:left="0" w:firstLine="0"/>
        <w:rPr>
          <w:snapToGrid w:val="0"/>
          <w:lang w:eastAsia="cs-CZ"/>
        </w:rPr>
      </w:pPr>
    </w:p>
    <w:p w:rsidR="0053152B" w:rsidRPr="00D252D3" w:rsidRDefault="0053152B">
      <w:pPr>
        <w:ind w:left="0" w:firstLine="0"/>
        <w:rPr>
          <w:b/>
        </w:rPr>
      </w:pPr>
      <w:r w:rsidRPr="00D252D3">
        <w:rPr>
          <w:b/>
        </w:rPr>
        <w:t>MicardisPlus obsahuje mliečny cukor (laktózu) a sorbitol.</w:t>
      </w:r>
    </w:p>
    <w:p w:rsidR="0053152B" w:rsidRPr="00D252D3" w:rsidRDefault="0053152B">
      <w:pPr>
        <w:ind w:left="0" w:firstLine="0"/>
        <w:rPr>
          <w:highlight w:val="yellow"/>
        </w:rPr>
      </w:pPr>
      <w:r w:rsidRPr="00D252D3">
        <w:t>Ak neznášate niektoré cukry, pred užitím MicardisPlusu sa poraďte so svojím lekárom.</w:t>
      </w:r>
    </w:p>
    <w:p w:rsidR="0053152B" w:rsidRPr="00D252D3" w:rsidRDefault="0053152B">
      <w:pPr>
        <w:ind w:left="0" w:firstLine="0"/>
        <w:rPr>
          <w:snapToGrid w:val="0"/>
          <w:lang w:eastAsia="cs-CZ"/>
        </w:rPr>
      </w:pPr>
    </w:p>
    <w:p w:rsidR="0053152B" w:rsidRPr="00D252D3" w:rsidRDefault="0053152B">
      <w:pPr>
        <w:ind w:left="0" w:firstLine="0"/>
        <w:rPr>
          <w:snapToGrid w:val="0"/>
          <w:lang w:eastAsia="cs-CZ"/>
        </w:rPr>
      </w:pPr>
    </w:p>
    <w:p w:rsidR="0053152B" w:rsidRPr="00D252D3" w:rsidRDefault="0053152B">
      <w:pPr>
        <w:keepNext/>
        <w:keepLines/>
        <w:numPr>
          <w:ilvl w:val="12"/>
          <w:numId w:val="0"/>
        </w:numPr>
        <w:ind w:left="567" w:hanging="567"/>
      </w:pPr>
      <w:bookmarkStart w:id="27" w:name="_Toc49833277"/>
      <w:bookmarkStart w:id="28" w:name="_Toc49833170"/>
      <w:r w:rsidRPr="00D252D3">
        <w:rPr>
          <w:b/>
        </w:rPr>
        <w:t>3.</w:t>
      </w:r>
      <w:r w:rsidRPr="00D252D3">
        <w:rPr>
          <w:b/>
        </w:rPr>
        <w:tab/>
        <w:t>Ako užívať MicardisPlus</w:t>
      </w:r>
      <w:bookmarkEnd w:id="27"/>
      <w:bookmarkEnd w:id="28"/>
    </w:p>
    <w:p w:rsidR="0053152B" w:rsidRPr="00D252D3" w:rsidRDefault="0053152B">
      <w:pPr>
        <w:keepNext/>
        <w:keepLines/>
        <w:numPr>
          <w:ilvl w:val="12"/>
          <w:numId w:val="0"/>
        </w:numPr>
      </w:pPr>
    </w:p>
    <w:p w:rsidR="0053152B" w:rsidRPr="00D252D3" w:rsidRDefault="0053152B">
      <w:pPr>
        <w:ind w:left="0" w:firstLine="0"/>
      </w:pPr>
      <w:r w:rsidRPr="00D252D3">
        <w:t>Vždy užívajte tento liek presne tak, ako vám povedal váš lekár. Ak si nie ste niečím istý, overte si to u svojho lekára alebo lekárnika.</w:t>
      </w:r>
    </w:p>
    <w:p w:rsidR="0053152B" w:rsidRPr="00D252D3" w:rsidRDefault="0053152B">
      <w:pPr>
        <w:ind w:left="0" w:firstLine="0"/>
      </w:pPr>
    </w:p>
    <w:p w:rsidR="0053152B" w:rsidRPr="00D252D3" w:rsidRDefault="0053152B">
      <w:pPr>
        <w:ind w:left="0" w:firstLine="0"/>
      </w:pPr>
      <w:r w:rsidRPr="00D252D3">
        <w:t>Odporúčaná dávka je jedna tableta denne. Pokúste sa užívať tablety každý deň v rovnakom čase. MicardisPlus môžete užívať s jedlom alebo bez jedla. Tablety sa majú prehltnúť a zapiť vodou alebo iným nealkoholickým nápojom. Dôležité je, aby ste MicardisPlus užívali každý deň, až kým vám lekár nepovie inak.</w:t>
      </w:r>
    </w:p>
    <w:p w:rsidR="0053152B" w:rsidRPr="00D252D3" w:rsidRDefault="0053152B">
      <w:pPr>
        <w:ind w:left="0" w:firstLine="0"/>
      </w:pPr>
    </w:p>
    <w:p w:rsidR="0053152B" w:rsidRPr="00D252D3" w:rsidRDefault="0053152B">
      <w:pPr>
        <w:ind w:left="0" w:firstLine="0"/>
      </w:pPr>
      <w:r w:rsidRPr="00D252D3">
        <w:t>Ak vaša pečeň nefunguje správne, zvyčajná dávka nemá prekročiť 40 mg/12,5 mg jedenkrát za deň.</w:t>
      </w:r>
    </w:p>
    <w:p w:rsidR="0053152B" w:rsidRPr="00D252D3" w:rsidRDefault="0053152B">
      <w:pPr>
        <w:ind w:left="0" w:firstLine="0"/>
      </w:pPr>
    </w:p>
    <w:p w:rsidR="0053152B" w:rsidRPr="00D252D3" w:rsidRDefault="0053152B">
      <w:pPr>
        <w:rPr>
          <w:b/>
        </w:rPr>
      </w:pPr>
      <w:bookmarkStart w:id="29" w:name="_Toc49833278"/>
      <w:bookmarkStart w:id="30" w:name="_Toc49833171"/>
      <w:r w:rsidRPr="00D252D3">
        <w:rPr>
          <w:b/>
        </w:rPr>
        <w:t>Ak užijete viac MicardisPlusu, ako máte</w:t>
      </w:r>
      <w:bookmarkEnd w:id="29"/>
      <w:bookmarkEnd w:id="30"/>
    </w:p>
    <w:p w:rsidR="0053152B" w:rsidRPr="00D252D3" w:rsidRDefault="0053152B">
      <w:pPr>
        <w:ind w:left="0" w:firstLine="0"/>
      </w:pPr>
      <w:r w:rsidRPr="00D252D3">
        <w:t>Ak omylom užijete priveľa tabliet,</w:t>
      </w:r>
      <w:r w:rsidRPr="00D252D3">
        <w:rPr>
          <w:szCs w:val="22"/>
        </w:rPr>
        <w:t xml:space="preserve"> môžu sa u vás vyskytnúť príznaky, ako sú nízky krvný tlak a zrýchlená srdcová činnosť. Hlásené boli aj spomalená srdcová činnosť, závrat. vracanie, znížená funkcia obličiek vrátane zlyhania obličiek</w:t>
      </w:r>
      <w:r w:rsidRPr="00D252D3">
        <w:t>. V dôsledku zložky hydrochlorotiazid sa môže vyskytnúť aj výrazne nízky krvný tlak a nízke hladiny draslíka v krvi, čo môže viesť k nevoľnosti, ospalosti a svalovým kŕčom a/alebo nepravidelnému srdcovému tepu súvisiacemu so súbežne užívanými liekmi ako je digitalis alebo niektoré antiarytmiká. Bezodkladne kontaktujte svojho lekára, lekárnika alebo najbližšiu pohotovosť.</w:t>
      </w:r>
    </w:p>
    <w:p w:rsidR="0053152B" w:rsidRPr="00D252D3" w:rsidRDefault="0053152B">
      <w:pPr>
        <w:ind w:left="0" w:firstLine="0"/>
      </w:pPr>
    </w:p>
    <w:p w:rsidR="0053152B" w:rsidRPr="00D252D3" w:rsidRDefault="0053152B" w:rsidP="00AB164B">
      <w:pPr>
        <w:keepNext/>
        <w:rPr>
          <w:b/>
        </w:rPr>
      </w:pPr>
      <w:r w:rsidRPr="00D252D3">
        <w:rPr>
          <w:b/>
        </w:rPr>
        <w:t>Ak zabudnete užiť MicardisPlus</w:t>
      </w:r>
    </w:p>
    <w:p w:rsidR="0053152B" w:rsidRPr="00D252D3" w:rsidRDefault="0053152B">
      <w:pPr>
        <w:ind w:left="0" w:firstLine="0"/>
      </w:pPr>
      <w:r w:rsidRPr="00D252D3">
        <w:t xml:space="preserve">Ak zabudnete užiť dávku, neobávajte sa. Užite ju hneď, len čo si spomeniete, a pokračujte v užívaní ako predtým. Ak neužijete tabletu jeden deň, užite normálnu dávku nasledovný deň. </w:t>
      </w:r>
      <w:r w:rsidRPr="00D252D3">
        <w:rPr>
          <w:b/>
          <w:i/>
        </w:rPr>
        <w:t>Neužívajte</w:t>
      </w:r>
      <w:r w:rsidRPr="00D252D3">
        <w:t xml:space="preserve"> dvojnásobnú dávku, aby ste nahradili vynechané jednotlivé dávky.</w:t>
      </w:r>
    </w:p>
    <w:p w:rsidR="0053152B" w:rsidRPr="00D252D3" w:rsidRDefault="0053152B">
      <w:pPr>
        <w:ind w:left="0" w:firstLine="0"/>
      </w:pPr>
    </w:p>
    <w:p w:rsidR="0053152B" w:rsidRPr="00D252D3" w:rsidRDefault="0053152B">
      <w:pPr>
        <w:ind w:left="0" w:firstLine="0"/>
        <w:rPr>
          <w:b/>
        </w:rPr>
      </w:pPr>
      <w:r w:rsidRPr="00D252D3">
        <w:t>Ak máte akékoľvek ďalšie otázky týkajúce sa použitia tohto lieku, opýtajte sa svojho lekára alebo lekárnika.</w:t>
      </w:r>
    </w:p>
    <w:p w:rsidR="0053152B" w:rsidRPr="00D252D3" w:rsidRDefault="0053152B">
      <w:pPr>
        <w:numPr>
          <w:ilvl w:val="12"/>
          <w:numId w:val="0"/>
        </w:numPr>
        <w:ind w:right="-2"/>
      </w:pPr>
    </w:p>
    <w:p w:rsidR="0053152B" w:rsidRPr="00D252D3" w:rsidRDefault="0053152B">
      <w:pPr>
        <w:numPr>
          <w:ilvl w:val="12"/>
          <w:numId w:val="0"/>
        </w:numPr>
        <w:ind w:right="-2"/>
      </w:pPr>
    </w:p>
    <w:p w:rsidR="0053152B" w:rsidRPr="00D252D3" w:rsidRDefault="0053152B" w:rsidP="00AB164B">
      <w:pPr>
        <w:keepNext/>
        <w:numPr>
          <w:ilvl w:val="12"/>
          <w:numId w:val="0"/>
        </w:numPr>
        <w:ind w:left="567" w:right="-2" w:hanging="567"/>
      </w:pPr>
      <w:bookmarkStart w:id="31" w:name="_Toc49833279"/>
      <w:bookmarkStart w:id="32" w:name="_Toc49833172"/>
      <w:r w:rsidRPr="00D252D3">
        <w:rPr>
          <w:b/>
        </w:rPr>
        <w:t>4.</w:t>
      </w:r>
      <w:r w:rsidRPr="00D252D3">
        <w:rPr>
          <w:b/>
        </w:rPr>
        <w:tab/>
        <w:t>Možné vedľajšie účinky</w:t>
      </w:r>
      <w:bookmarkEnd w:id="31"/>
      <w:bookmarkEnd w:id="32"/>
    </w:p>
    <w:p w:rsidR="0053152B" w:rsidRPr="00D252D3" w:rsidRDefault="0053152B" w:rsidP="00AB164B">
      <w:pPr>
        <w:keepNext/>
        <w:numPr>
          <w:ilvl w:val="12"/>
          <w:numId w:val="0"/>
        </w:numPr>
        <w:ind w:right="-29"/>
      </w:pPr>
    </w:p>
    <w:p w:rsidR="0053152B" w:rsidRPr="00D252D3" w:rsidRDefault="0053152B">
      <w:pPr>
        <w:ind w:left="0" w:firstLine="0"/>
      </w:pPr>
      <w:r w:rsidRPr="00D252D3">
        <w:t>Tak ako všetky lieky, aj tento liek môže spôsobovať vedľajšie účinky, hoci sa neprejavia u každého.</w:t>
      </w:r>
    </w:p>
    <w:p w:rsidR="0053152B" w:rsidRPr="00D252D3" w:rsidRDefault="0053152B">
      <w:pPr>
        <w:ind w:left="0" w:firstLine="0"/>
      </w:pPr>
    </w:p>
    <w:p w:rsidR="0053152B" w:rsidRPr="00D252D3" w:rsidRDefault="0053152B">
      <w:pPr>
        <w:ind w:left="0" w:firstLine="0"/>
        <w:rPr>
          <w:b/>
        </w:rPr>
      </w:pPr>
      <w:r w:rsidRPr="00D252D3">
        <w:rPr>
          <w:b/>
        </w:rPr>
        <w:t>Niektoré vedľajšie účinky môžu byť závažné a môžu si vyžadovať okamžitú lekársku starostlivosť:</w:t>
      </w:r>
    </w:p>
    <w:p w:rsidR="0053152B" w:rsidRPr="00D252D3" w:rsidRDefault="0053152B">
      <w:pPr>
        <w:ind w:left="0" w:firstLine="0"/>
      </w:pPr>
    </w:p>
    <w:p w:rsidR="0053152B" w:rsidRPr="00D252D3" w:rsidRDefault="0053152B">
      <w:pPr>
        <w:ind w:left="0" w:firstLine="0"/>
      </w:pPr>
      <w:r w:rsidRPr="00D252D3">
        <w:t>Ak máte ktorýkoľvek z nasledovných príznakov, okamžite vyhľadajte svojho lekára:</w:t>
      </w:r>
    </w:p>
    <w:p w:rsidR="0053152B" w:rsidRPr="00D252D3" w:rsidRDefault="0053152B">
      <w:pPr>
        <w:ind w:left="0" w:firstLine="0"/>
      </w:pPr>
    </w:p>
    <w:p w:rsidR="0053152B" w:rsidRPr="00D252D3" w:rsidRDefault="0053152B">
      <w:pPr>
        <w:ind w:left="0" w:firstLine="0"/>
        <w:rPr>
          <w:szCs w:val="22"/>
        </w:rPr>
      </w:pPr>
      <w:r w:rsidRPr="00D252D3">
        <w:rPr>
          <w:szCs w:val="22"/>
        </w:rPr>
        <w:t xml:space="preserve">sepsa* (často nazývaná „otrava krvi“, je ťažká infekcia so zápalovou reakciou celého tela), náhly opuch kože a slizníc (angioedém), tvorba pľuzgierov a olupovanie vrchnej vrstvy kože </w:t>
      </w:r>
      <w:r w:rsidRPr="00D252D3">
        <w:rPr>
          <w:rFonts w:eastAsia="MS Mincho"/>
          <w:szCs w:val="22"/>
          <w:lang w:eastAsia="ja-JP"/>
        </w:rPr>
        <w:t xml:space="preserve">(toxická epidermálna nekrolýza); </w:t>
      </w:r>
      <w:r w:rsidRPr="00D252D3">
        <w:rPr>
          <w:szCs w:val="22"/>
        </w:rPr>
        <w:t>tieto vedľajšie účinky sú zriedkavé (môžu postihovať menej ako 1 z 1000 osôb) alebo je častosť ich výskytu neznáma (</w:t>
      </w:r>
      <w:r w:rsidRPr="00D252D3">
        <w:rPr>
          <w:rFonts w:eastAsia="MS Mincho"/>
          <w:szCs w:val="22"/>
          <w:lang w:eastAsia="ja-JP"/>
        </w:rPr>
        <w:t>toxická epidermálna nekrolýza)</w:t>
      </w:r>
      <w:r w:rsidRPr="00D252D3">
        <w:rPr>
          <w:szCs w:val="22"/>
        </w:rPr>
        <w:t>, no extrémne závažné a pacienti majú ukončiť užívanie lieku a okamžite vyhľadať svojho lekára. Ak sa tieto účinky neliečia, môžu byť smrteľné. Zvýšený výskyt sepsy sa zaznamenal len pri telmisartane, avšak pre MicsrdisPlus sa nedá vylúčiť.</w:t>
      </w:r>
    </w:p>
    <w:p w:rsidR="0053152B" w:rsidRPr="00D252D3" w:rsidRDefault="0053152B">
      <w:pPr>
        <w:ind w:left="0" w:firstLine="0"/>
        <w:rPr>
          <w:szCs w:val="22"/>
        </w:rPr>
      </w:pPr>
    </w:p>
    <w:p w:rsidR="0053152B" w:rsidRPr="00D252D3" w:rsidRDefault="0053152B">
      <w:pPr>
        <w:ind w:left="0" w:firstLine="0"/>
        <w:rPr>
          <w:b/>
          <w:szCs w:val="22"/>
        </w:rPr>
      </w:pPr>
      <w:r w:rsidRPr="00D252D3">
        <w:rPr>
          <w:b/>
          <w:szCs w:val="22"/>
        </w:rPr>
        <w:t>Možné vedľajšie účinky MicardisPlusu:</w:t>
      </w:r>
    </w:p>
    <w:p w:rsidR="0053152B" w:rsidRPr="00D252D3" w:rsidRDefault="0053152B">
      <w:pPr>
        <w:ind w:left="0" w:firstLine="0"/>
      </w:pPr>
    </w:p>
    <w:p w:rsidR="0053152B" w:rsidRPr="00D252D3" w:rsidRDefault="0053152B">
      <w:pPr>
        <w:ind w:left="0" w:firstLine="0"/>
      </w:pPr>
      <w:r w:rsidRPr="00D252D3">
        <w:rPr>
          <w:u w:val="single"/>
        </w:rPr>
        <w:t>Časté vedľajšie účinky</w:t>
      </w:r>
      <w:r w:rsidRPr="00D252D3">
        <w:t xml:space="preserve"> (môžu postihovať menej ako 1 z 10 osôb):</w:t>
      </w:r>
    </w:p>
    <w:p w:rsidR="0053152B" w:rsidRPr="00D252D3" w:rsidRDefault="0053152B">
      <w:pPr>
        <w:pStyle w:val="BodyText3"/>
        <w:rPr>
          <w:bCs w:val="0"/>
          <w:iCs w:val="0"/>
          <w:szCs w:val="24"/>
        </w:rPr>
      </w:pPr>
      <w:r w:rsidRPr="00D252D3">
        <w:rPr>
          <w:bCs w:val="0"/>
          <w:iCs w:val="0"/>
          <w:szCs w:val="24"/>
        </w:rPr>
        <w:t>závrat.</w:t>
      </w:r>
    </w:p>
    <w:p w:rsidR="0053152B" w:rsidRPr="00D252D3" w:rsidRDefault="0053152B">
      <w:pPr>
        <w:ind w:left="0" w:firstLine="0"/>
      </w:pPr>
    </w:p>
    <w:p w:rsidR="0053152B" w:rsidRPr="00D252D3" w:rsidRDefault="0053152B">
      <w:pPr>
        <w:ind w:left="0" w:firstLine="0"/>
      </w:pPr>
      <w:r w:rsidRPr="00D252D3">
        <w:rPr>
          <w:u w:val="single"/>
        </w:rPr>
        <w:t>Menej časté vedľajšie účinky</w:t>
      </w:r>
      <w:r w:rsidRPr="00D252D3">
        <w:t xml:space="preserve"> (môžu postihovať menej ako 1 zo 100 osôb):</w:t>
      </w:r>
    </w:p>
    <w:p w:rsidR="0053152B" w:rsidRPr="00D252D3" w:rsidRDefault="0053152B">
      <w:pPr>
        <w:ind w:left="0" w:firstLine="0"/>
      </w:pPr>
      <w:r w:rsidRPr="00D252D3">
        <w:t>znížené hladiny draslíka v krvi, úzkosť, mdloba (náhle prechodné bezvedomie), pocit brnenia, mravčenia a pichania (parestézia), pocit závratu (vertigo), rýchly tep srdca (tachykardia), porucha srdcového rytmu, nízky tlak krvi, náhly pokles tlaku krvi pri vstávaní, skrátený dych (dýchavičnosť), hnačka, sucho v ústach, plynatosť, bolesť chrbta, svalové kŕče, bolesť svalov, erektilná dysfunkcia (neschopnosť mať alebo udržať erekciu), bolesť v hrudníku a zvýšené hladiny kyseliny močovej v krvi.</w:t>
      </w:r>
    </w:p>
    <w:p w:rsidR="0053152B" w:rsidRPr="00D252D3" w:rsidRDefault="0053152B">
      <w:pPr>
        <w:ind w:left="0" w:firstLine="0"/>
      </w:pPr>
    </w:p>
    <w:p w:rsidR="0053152B" w:rsidRPr="00D252D3" w:rsidRDefault="0053152B">
      <w:pPr>
        <w:ind w:left="0" w:firstLine="0"/>
      </w:pPr>
      <w:r w:rsidRPr="00D252D3">
        <w:rPr>
          <w:u w:val="single"/>
        </w:rPr>
        <w:t>Zriedkavé vedľajšie účinky</w:t>
      </w:r>
      <w:r w:rsidRPr="00D252D3">
        <w:t xml:space="preserve"> (môžu postihovať menej ako 1 z 1000 osôb):</w:t>
      </w:r>
    </w:p>
    <w:p w:rsidR="0053152B" w:rsidRPr="00D252D3" w:rsidRDefault="0053152B">
      <w:pPr>
        <w:ind w:left="0" w:firstLine="0"/>
        <w:rPr>
          <w:szCs w:val="22"/>
        </w:rPr>
      </w:pPr>
      <w:r w:rsidRPr="00D252D3">
        <w:t>zápal pľúc (bronchitída), aktivácia alebo zhoršenie systémového lupus erythematosus (ochorenie, pri ktorom imunitný systém organizmu napáda vlastné telo, čo spôsobuje bolesť kĺbov, kožné vyrážky a horúčku), bolesť hrdla, zápal prinosových dutín, pocit smútku (depresia), ťažkosti so zaspávaním (nespavosť), porucha videnia</w:t>
      </w:r>
      <w:r w:rsidRPr="00D252D3">
        <w:rPr>
          <w:szCs w:val="22"/>
        </w:rPr>
        <w:t xml:space="preserve">, ťažkosti s dýchaním, bolesť brucha, zápcha, nadúvanie brucha (dyspepsia), </w:t>
      </w:r>
      <w:r w:rsidR="00970910" w:rsidRPr="00D252D3">
        <w:rPr>
          <w:szCs w:val="22"/>
        </w:rPr>
        <w:t>nevoľnosť</w:t>
      </w:r>
      <w:r w:rsidRPr="00D252D3">
        <w:rPr>
          <w:szCs w:val="22"/>
        </w:rPr>
        <w:t xml:space="preserve"> (vracanie), zápal žalúdka (gastritída), abnormálna funkcia pečene (tento vedľajší účinok sa pravdepodobnejšie vyskytne u japonských pacientov), sčervenenie kože (erytém), alergické reakcie, ako je svrbenie alebo vyrážka, zvýšené potenie, žihľavka (urtikária), bolesť kĺbov (artralgia) a bolesť končatín, ochabnutosť svalov, ochorenie podobné chrípke, bolesť, nízke hladiny sodíka, zvýšené hladiny kreatinínu, pečeňových enzýmov alebo kreatinínfosfokinázy v krvi.</w:t>
      </w:r>
    </w:p>
    <w:p w:rsidR="0053152B" w:rsidRPr="00D252D3" w:rsidRDefault="0053152B">
      <w:pPr>
        <w:ind w:left="0" w:firstLine="0"/>
        <w:rPr>
          <w:szCs w:val="22"/>
        </w:rPr>
      </w:pPr>
    </w:p>
    <w:p w:rsidR="0053152B" w:rsidRPr="00D252D3" w:rsidRDefault="0053152B">
      <w:pPr>
        <w:ind w:left="0" w:firstLine="0"/>
        <w:rPr>
          <w:szCs w:val="22"/>
        </w:rPr>
      </w:pPr>
      <w:r w:rsidRPr="00D252D3">
        <w:rPr>
          <w:szCs w:val="22"/>
        </w:rPr>
        <w:t>Vedľajšie účinky zaznamenané u jednej zo zložiek môžu byť potenciálne vedľajšie účinky na MicardisPlus, aj keď sa nezaznamenali v klinických štúdiách s týmto liekom.</w:t>
      </w:r>
    </w:p>
    <w:p w:rsidR="0053152B" w:rsidRPr="00D252D3" w:rsidRDefault="0053152B">
      <w:pPr>
        <w:ind w:left="0" w:firstLine="0"/>
        <w:rPr>
          <w:b/>
          <w:u w:val="single"/>
        </w:rPr>
      </w:pPr>
    </w:p>
    <w:p w:rsidR="0053152B" w:rsidRPr="00D252D3" w:rsidRDefault="0053152B">
      <w:pPr>
        <w:ind w:left="0" w:firstLine="0"/>
        <w:rPr>
          <w:b/>
          <w:u w:val="single"/>
        </w:rPr>
      </w:pPr>
      <w:bookmarkStart w:id="33" w:name="OLE_LINK9"/>
      <w:r w:rsidRPr="00D252D3">
        <w:rPr>
          <w:b/>
          <w:u w:val="single"/>
        </w:rPr>
        <w:t>Telmisartan</w:t>
      </w:r>
    </w:p>
    <w:p w:rsidR="0053152B" w:rsidRPr="00D252D3" w:rsidRDefault="0053152B">
      <w:pPr>
        <w:ind w:left="0" w:firstLine="0"/>
      </w:pPr>
      <w:r w:rsidRPr="00D252D3">
        <w:t>U pacientov užívajúcich samotný telmisartan sa hlásili nasledovné ďalšie vedľajšie účinky:</w:t>
      </w:r>
    </w:p>
    <w:p w:rsidR="0053152B" w:rsidRPr="00D252D3" w:rsidRDefault="0053152B">
      <w:pPr>
        <w:ind w:left="0" w:firstLine="0"/>
      </w:pPr>
    </w:p>
    <w:p w:rsidR="0053152B" w:rsidRPr="00D252D3" w:rsidRDefault="0053152B">
      <w:pPr>
        <w:pStyle w:val="BodyText3"/>
      </w:pPr>
      <w:r w:rsidRPr="00D252D3">
        <w:rPr>
          <w:u w:val="single"/>
        </w:rPr>
        <w:t>Menej časté vedľajšie účinky</w:t>
      </w:r>
      <w:r w:rsidRPr="00D252D3">
        <w:t xml:space="preserve"> (môžu postihovať menej ako 1 zo 100 osôb):</w:t>
      </w:r>
    </w:p>
    <w:p w:rsidR="0053152B" w:rsidRPr="00D252D3" w:rsidRDefault="0053152B">
      <w:pPr>
        <w:ind w:left="0" w:firstLine="0"/>
        <w:rPr>
          <w:szCs w:val="22"/>
        </w:rPr>
      </w:pPr>
      <w:r w:rsidRPr="00D252D3">
        <w:rPr>
          <w:snapToGrid w:val="0"/>
          <w:lang w:eastAsia="cs-CZ"/>
        </w:rPr>
        <w:t>infekcia horných dýchacích ciest</w:t>
      </w:r>
      <w:r w:rsidRPr="00D252D3">
        <w:rPr>
          <w:szCs w:val="22"/>
        </w:rPr>
        <w:t xml:space="preserve"> (napr. bolesť hrdla, </w:t>
      </w:r>
      <w:r w:rsidRPr="00D252D3">
        <w:t>zápal prinosových dutín, bežné prechladnutie</w:t>
      </w:r>
      <w:r w:rsidRPr="00D252D3">
        <w:rPr>
          <w:szCs w:val="22"/>
        </w:rPr>
        <w:t xml:space="preserve">), </w:t>
      </w:r>
      <w:r w:rsidRPr="00D252D3">
        <w:rPr>
          <w:snapToGrid w:val="0"/>
          <w:szCs w:val="22"/>
          <w:lang w:eastAsia="cs-CZ"/>
        </w:rPr>
        <w:t xml:space="preserve">infekcia močových ciest, </w:t>
      </w:r>
      <w:r w:rsidRPr="00D252D3">
        <w:rPr>
          <w:szCs w:val="22"/>
        </w:rPr>
        <w:t>nedostatok červených krviniek (anémia), vysoké hladiny draslíka, spomalený tep srdca (bradykardia), poškodená funkcia obličiek vrátane akútneho zlyhania obličiek, slabosť, kašeľ.</w:t>
      </w:r>
    </w:p>
    <w:p w:rsidR="0053152B" w:rsidRPr="00D252D3" w:rsidRDefault="0053152B">
      <w:pPr>
        <w:ind w:left="0" w:firstLine="0"/>
        <w:rPr>
          <w:szCs w:val="22"/>
        </w:rPr>
      </w:pPr>
    </w:p>
    <w:p w:rsidR="0053152B" w:rsidRPr="00D252D3" w:rsidRDefault="0053152B" w:rsidP="00AB164B">
      <w:pPr>
        <w:keepNext/>
        <w:ind w:left="0" w:firstLine="0"/>
        <w:rPr>
          <w:szCs w:val="22"/>
        </w:rPr>
      </w:pPr>
      <w:r w:rsidRPr="00D252D3">
        <w:rPr>
          <w:szCs w:val="22"/>
          <w:u w:val="single"/>
        </w:rPr>
        <w:t>Zriedkavé vedľajšie účinky</w:t>
      </w:r>
      <w:r w:rsidRPr="00D252D3">
        <w:rPr>
          <w:szCs w:val="22"/>
        </w:rPr>
        <w:t xml:space="preserve"> (môžu postihovať menej ako 1 z 1000 osôb):</w:t>
      </w:r>
    </w:p>
    <w:p w:rsidR="0053152B" w:rsidRPr="00D252D3" w:rsidRDefault="0053152B">
      <w:pPr>
        <w:ind w:left="0" w:firstLine="0"/>
        <w:rPr>
          <w:szCs w:val="22"/>
        </w:rPr>
      </w:pPr>
      <w:r w:rsidRPr="00D252D3">
        <w:rPr>
          <w:szCs w:val="22"/>
        </w:rPr>
        <w:t xml:space="preserve">nízky počet krvných doštičiek (trombocytopénia), zvýšený počet určitých bielych krviniek (eozinofília), závažná alergická reakcia (napr. precitlivenosť, anafylaktická reakcia, lieková vyrážka), nízka hladina cukru v krvi (u diabetických pacientov), žalúdočné ťažkosti, ekzém (ochorenie kože), artróza, zápal šliach, znížený hemoglobín (krvná bielkovina), ospalosť. </w:t>
      </w:r>
    </w:p>
    <w:p w:rsidR="0053152B" w:rsidRPr="00D252D3" w:rsidRDefault="0053152B">
      <w:pPr>
        <w:ind w:left="0" w:firstLine="0"/>
        <w:rPr>
          <w:szCs w:val="22"/>
        </w:rPr>
      </w:pPr>
    </w:p>
    <w:p w:rsidR="0053152B" w:rsidRPr="00D252D3" w:rsidRDefault="0053152B" w:rsidP="00AB164B">
      <w:pPr>
        <w:keepNext/>
        <w:ind w:left="0" w:firstLine="0"/>
        <w:rPr>
          <w:szCs w:val="22"/>
        </w:rPr>
      </w:pPr>
      <w:r w:rsidRPr="00D252D3">
        <w:rPr>
          <w:szCs w:val="22"/>
          <w:u w:val="single"/>
        </w:rPr>
        <w:t>Veľmi zriedkavé vedľajšie účinky</w:t>
      </w:r>
      <w:r w:rsidRPr="00D252D3">
        <w:rPr>
          <w:szCs w:val="22"/>
        </w:rPr>
        <w:t xml:space="preserve"> (môžu postihovať menej ako 1 z 10 000 osôb):</w:t>
      </w:r>
    </w:p>
    <w:p w:rsidR="0053152B" w:rsidRPr="00D252D3" w:rsidRDefault="0053152B">
      <w:pPr>
        <w:ind w:left="0" w:firstLine="0"/>
        <w:rPr>
          <w:szCs w:val="22"/>
        </w:rPr>
      </w:pPr>
      <w:r w:rsidRPr="00D252D3">
        <w:rPr>
          <w:szCs w:val="22"/>
        </w:rPr>
        <w:t>progresívne jazvenie pľúcneho tkaniva (intersticiálne ochorenie pľúc)</w:t>
      </w:r>
      <w:r w:rsidRPr="00D252D3">
        <w:rPr>
          <w:szCs w:val="22"/>
          <w:vertAlign w:val="superscript"/>
        </w:rPr>
        <w:t>**</w:t>
      </w:r>
      <w:r w:rsidRPr="00D252D3">
        <w:rPr>
          <w:szCs w:val="22"/>
        </w:rPr>
        <w:t>.</w:t>
      </w:r>
    </w:p>
    <w:p w:rsidR="0053152B" w:rsidRPr="00D252D3" w:rsidRDefault="0053152B">
      <w:pPr>
        <w:ind w:left="0" w:firstLine="0"/>
        <w:rPr>
          <w:szCs w:val="22"/>
        </w:rPr>
      </w:pPr>
    </w:p>
    <w:p w:rsidR="0053152B" w:rsidRPr="00D252D3" w:rsidRDefault="0053152B">
      <w:pPr>
        <w:ind w:left="0" w:firstLine="0"/>
        <w:rPr>
          <w:szCs w:val="22"/>
        </w:rPr>
      </w:pPr>
      <w:r w:rsidRPr="00D252D3">
        <w:rPr>
          <w:szCs w:val="22"/>
        </w:rPr>
        <w:t>*Udalosť sa môže vyskytnúť náhodne alebo môže súvisieť s mechanizmami, ktoré nie sú v súčasnosti známe.</w:t>
      </w:r>
    </w:p>
    <w:bookmarkEnd w:id="33"/>
    <w:p w:rsidR="0053152B" w:rsidRPr="00D252D3" w:rsidRDefault="0053152B">
      <w:pPr>
        <w:ind w:left="0" w:firstLine="0"/>
      </w:pPr>
    </w:p>
    <w:p w:rsidR="0053152B" w:rsidRPr="00D252D3" w:rsidRDefault="0053152B">
      <w:pPr>
        <w:ind w:left="0" w:firstLine="0"/>
        <w:rPr>
          <w:szCs w:val="22"/>
        </w:rPr>
      </w:pPr>
      <w:r w:rsidRPr="00D252D3">
        <w:rPr>
          <w:szCs w:val="22"/>
        </w:rPr>
        <w:t xml:space="preserve">**Počas užívania telmisartanu sa zaznamenali prípady progresívneho jazvenia pľúcneho tkaniva. Nie je však známe, či to spôsobil telmisartan. </w:t>
      </w:r>
    </w:p>
    <w:p w:rsidR="0053152B" w:rsidRPr="00D252D3" w:rsidRDefault="0053152B">
      <w:pPr>
        <w:ind w:left="0" w:firstLine="0"/>
      </w:pPr>
    </w:p>
    <w:p w:rsidR="0053152B" w:rsidRPr="00D252D3" w:rsidRDefault="0053152B">
      <w:pPr>
        <w:ind w:left="0" w:firstLine="0"/>
        <w:rPr>
          <w:b/>
          <w:u w:val="single"/>
        </w:rPr>
      </w:pPr>
      <w:r w:rsidRPr="00D252D3">
        <w:rPr>
          <w:b/>
          <w:u w:val="single"/>
        </w:rPr>
        <w:t>Hydrochlorotiazid</w:t>
      </w:r>
    </w:p>
    <w:p w:rsidR="0053152B" w:rsidRPr="00D252D3" w:rsidRDefault="0053152B">
      <w:pPr>
        <w:ind w:left="0" w:firstLine="0"/>
      </w:pPr>
      <w:r w:rsidRPr="00D252D3">
        <w:t>U pacientov užívajúcich samostatný hydrochlorotiazid sa hlásili nasledovné ďalšie vedľajšie účinky:</w:t>
      </w:r>
    </w:p>
    <w:p w:rsidR="0053152B" w:rsidRPr="00D252D3" w:rsidRDefault="0053152B">
      <w:pPr>
        <w:rPr>
          <w:u w:val="single"/>
        </w:rPr>
      </w:pPr>
    </w:p>
    <w:p w:rsidR="00720825" w:rsidRPr="00D252D3" w:rsidRDefault="00720825" w:rsidP="00720825">
      <w:pPr>
        <w:pStyle w:val="BodyTextIndent"/>
        <w:rPr>
          <w:b w:val="0"/>
          <w:bCs/>
          <w:color w:val="auto"/>
          <w:szCs w:val="22"/>
          <w:u w:val="single"/>
          <w:lang w:val="sk-SK"/>
        </w:rPr>
      </w:pPr>
      <w:r w:rsidRPr="00D252D3">
        <w:rPr>
          <w:b w:val="0"/>
          <w:bCs/>
          <w:color w:val="auto"/>
          <w:szCs w:val="22"/>
          <w:u w:val="single"/>
          <w:lang w:val="sk-SK"/>
        </w:rPr>
        <w:t>Časté vedľajšie účinky (</w:t>
      </w:r>
      <w:r w:rsidRPr="00D252D3">
        <w:rPr>
          <w:b w:val="0"/>
          <w:bCs/>
          <w:color w:val="auto"/>
          <w:szCs w:val="22"/>
          <w:u w:val="single"/>
          <w:lang w:val="sk-SK" w:eastAsia="zh-CN"/>
        </w:rPr>
        <w:t xml:space="preserve">môžu </w:t>
      </w:r>
      <w:r w:rsidR="001E2C21" w:rsidRPr="00D252D3">
        <w:rPr>
          <w:b w:val="0"/>
          <w:bCs/>
          <w:color w:val="auto"/>
          <w:szCs w:val="22"/>
          <w:u w:val="single"/>
          <w:lang w:val="sk-SK" w:eastAsia="zh-CN"/>
        </w:rPr>
        <w:t>postihnúť</w:t>
      </w:r>
      <w:r w:rsidRPr="00D252D3">
        <w:rPr>
          <w:b w:val="0"/>
          <w:bCs/>
          <w:color w:val="auto"/>
          <w:szCs w:val="22"/>
          <w:u w:val="single"/>
          <w:lang w:val="sk-SK" w:eastAsia="zh-CN"/>
        </w:rPr>
        <w:t xml:space="preserve"> až do 1 z 10 ľudí)</w:t>
      </w:r>
      <w:r w:rsidRPr="00D252D3">
        <w:rPr>
          <w:b w:val="0"/>
          <w:bCs/>
          <w:color w:val="auto"/>
          <w:szCs w:val="22"/>
          <w:u w:val="single"/>
          <w:lang w:val="sk-SK"/>
        </w:rPr>
        <w:t>:</w:t>
      </w:r>
    </w:p>
    <w:p w:rsidR="00720825" w:rsidRPr="00D252D3" w:rsidRDefault="00720825" w:rsidP="00720825">
      <w:pPr>
        <w:pStyle w:val="BodyTextIndent"/>
        <w:rPr>
          <w:rFonts w:eastAsia="MS Mincho"/>
          <w:b w:val="0"/>
          <w:bCs/>
          <w:color w:val="auto"/>
          <w:szCs w:val="22"/>
          <w:lang w:val="sk-SK" w:eastAsia="ja-JP"/>
        </w:rPr>
      </w:pPr>
      <w:r w:rsidRPr="00D252D3">
        <w:rPr>
          <w:rFonts w:eastAsia="MS Mincho"/>
          <w:b w:val="0"/>
          <w:bCs/>
          <w:color w:val="auto"/>
          <w:szCs w:val="22"/>
          <w:lang w:val="sk-SK" w:eastAsia="ja-JP"/>
        </w:rPr>
        <w:t xml:space="preserve">nevoľnosť (nauzea), </w:t>
      </w:r>
      <w:r w:rsidRPr="00D252D3">
        <w:rPr>
          <w:b w:val="0"/>
          <w:bCs/>
          <w:color w:val="auto"/>
          <w:szCs w:val="22"/>
          <w:lang w:val="sk-SK"/>
        </w:rPr>
        <w:t>nízka hladina horčíka v krvi.</w:t>
      </w:r>
    </w:p>
    <w:p w:rsidR="00720825" w:rsidRPr="00D252D3" w:rsidRDefault="00720825" w:rsidP="00720825">
      <w:pPr>
        <w:pStyle w:val="BodyTextIndent"/>
        <w:rPr>
          <w:rFonts w:eastAsia="MS Mincho"/>
          <w:b w:val="0"/>
          <w:bCs/>
          <w:color w:val="auto"/>
          <w:szCs w:val="22"/>
          <w:lang w:val="sk-SK" w:eastAsia="ja-JP"/>
        </w:rPr>
      </w:pPr>
    </w:p>
    <w:p w:rsidR="00720825" w:rsidRPr="00D252D3" w:rsidRDefault="00720825" w:rsidP="00720825">
      <w:pPr>
        <w:rPr>
          <w:bCs/>
          <w:szCs w:val="22"/>
          <w:u w:val="single"/>
        </w:rPr>
      </w:pPr>
      <w:r w:rsidRPr="00D252D3">
        <w:rPr>
          <w:bCs/>
          <w:szCs w:val="22"/>
          <w:u w:val="single"/>
        </w:rPr>
        <w:t>Zriedkavé vedľajšie účinky (</w:t>
      </w:r>
      <w:r w:rsidRPr="00D252D3">
        <w:rPr>
          <w:szCs w:val="22"/>
          <w:u w:val="single"/>
          <w:lang w:eastAsia="zh-CN"/>
        </w:rPr>
        <w:t xml:space="preserve">môžu </w:t>
      </w:r>
      <w:r w:rsidR="001E2C21" w:rsidRPr="00D252D3">
        <w:rPr>
          <w:szCs w:val="22"/>
          <w:u w:val="single"/>
          <w:lang w:eastAsia="zh-CN"/>
        </w:rPr>
        <w:t>postihnúť</w:t>
      </w:r>
      <w:r w:rsidRPr="00D252D3">
        <w:rPr>
          <w:szCs w:val="22"/>
          <w:u w:val="single"/>
          <w:lang w:eastAsia="zh-CN"/>
        </w:rPr>
        <w:t xml:space="preserve"> až do 1 z 1 000 ľudí</w:t>
      </w:r>
      <w:r w:rsidRPr="00D252D3">
        <w:rPr>
          <w:bCs/>
          <w:szCs w:val="22"/>
          <w:u w:val="single"/>
          <w:lang w:eastAsia="zh-CN"/>
        </w:rPr>
        <w:t>)</w:t>
      </w:r>
      <w:r w:rsidRPr="00D252D3">
        <w:rPr>
          <w:bCs/>
          <w:szCs w:val="22"/>
          <w:u w:val="single"/>
        </w:rPr>
        <w:t>:</w:t>
      </w:r>
    </w:p>
    <w:p w:rsidR="00720825" w:rsidRPr="00D252D3" w:rsidRDefault="00720825" w:rsidP="00720825">
      <w:pPr>
        <w:pStyle w:val="BodyTextIndent"/>
        <w:ind w:left="0" w:firstLine="0"/>
        <w:rPr>
          <w:b w:val="0"/>
          <w:bCs/>
          <w:color w:val="auto"/>
          <w:szCs w:val="22"/>
          <w:lang w:val="sk-SK" w:eastAsia="zh-TW"/>
        </w:rPr>
      </w:pPr>
      <w:r w:rsidRPr="00D252D3">
        <w:rPr>
          <w:b w:val="0"/>
          <w:bCs/>
          <w:color w:val="auto"/>
          <w:szCs w:val="22"/>
          <w:lang w:val="sk-SK"/>
        </w:rPr>
        <w:t>znížený počet krvných doštičiek, ktorý zvyšuje riziko krvácania alebo krvných podliatin (malé purpurovočervené škvrny na koži alebo inom tkanive spôsobené krvácaním),</w:t>
      </w:r>
      <w:r w:rsidRPr="00D252D3">
        <w:rPr>
          <w:b w:val="0"/>
          <w:bCs/>
          <w:color w:val="auto"/>
          <w:szCs w:val="22"/>
          <w:lang w:val="sk-SK" w:eastAsia="zh-TW"/>
        </w:rPr>
        <w:t xml:space="preserve"> </w:t>
      </w:r>
      <w:r w:rsidRPr="00D252D3">
        <w:rPr>
          <w:b w:val="0"/>
          <w:bCs/>
          <w:color w:val="auto"/>
          <w:szCs w:val="22"/>
          <w:lang w:val="sk-SK"/>
        </w:rPr>
        <w:t xml:space="preserve">vysoká hladina vápnika v krvi, </w:t>
      </w:r>
      <w:r w:rsidRPr="00D252D3">
        <w:rPr>
          <w:rFonts w:eastAsia="MS Mincho"/>
          <w:b w:val="0"/>
          <w:bCs/>
          <w:color w:val="auto"/>
          <w:szCs w:val="22"/>
          <w:lang w:val="sk-SK" w:eastAsia="ja-JP"/>
        </w:rPr>
        <w:t>bolesť hlavy</w:t>
      </w:r>
      <w:r w:rsidRPr="00D252D3">
        <w:rPr>
          <w:b w:val="0"/>
          <w:bCs/>
          <w:color w:val="auto"/>
          <w:szCs w:val="22"/>
          <w:lang w:val="sk-SK" w:eastAsia="zh-TW"/>
        </w:rPr>
        <w:t>.</w:t>
      </w:r>
    </w:p>
    <w:p w:rsidR="00720825" w:rsidRPr="00D252D3" w:rsidRDefault="00720825" w:rsidP="00720825">
      <w:pPr>
        <w:pStyle w:val="BodyTextIndent"/>
        <w:rPr>
          <w:b w:val="0"/>
          <w:bCs/>
          <w:color w:val="auto"/>
          <w:szCs w:val="22"/>
          <w:lang w:val="sk-SK" w:eastAsia="zh-TW"/>
        </w:rPr>
      </w:pPr>
    </w:p>
    <w:p w:rsidR="00720825" w:rsidRPr="00D252D3" w:rsidRDefault="00720825" w:rsidP="00720825">
      <w:pPr>
        <w:rPr>
          <w:bCs/>
          <w:szCs w:val="22"/>
          <w:u w:val="single"/>
        </w:rPr>
      </w:pPr>
      <w:r w:rsidRPr="00D252D3">
        <w:rPr>
          <w:bCs/>
          <w:szCs w:val="22"/>
          <w:u w:val="single"/>
        </w:rPr>
        <w:t>Veľmi zriedkavé vedľajšie účinky (</w:t>
      </w:r>
      <w:r w:rsidRPr="00D252D3">
        <w:rPr>
          <w:szCs w:val="22"/>
          <w:u w:val="single"/>
          <w:lang w:eastAsia="zh-CN"/>
        </w:rPr>
        <w:t xml:space="preserve">môžu </w:t>
      </w:r>
      <w:r w:rsidR="001E2C21" w:rsidRPr="00D252D3">
        <w:rPr>
          <w:szCs w:val="22"/>
          <w:u w:val="single"/>
          <w:lang w:eastAsia="zh-CN"/>
        </w:rPr>
        <w:t>postihnúť</w:t>
      </w:r>
      <w:r w:rsidRPr="00D252D3">
        <w:rPr>
          <w:szCs w:val="22"/>
          <w:u w:val="single"/>
          <w:lang w:eastAsia="zh-CN"/>
        </w:rPr>
        <w:t xml:space="preserve"> až do 1 z 10 000 ľudí</w:t>
      </w:r>
      <w:r w:rsidRPr="00D252D3">
        <w:rPr>
          <w:bCs/>
          <w:szCs w:val="22"/>
          <w:u w:val="single"/>
        </w:rPr>
        <w:t>):</w:t>
      </w:r>
    </w:p>
    <w:p w:rsidR="00720825" w:rsidRPr="00D252D3" w:rsidRDefault="00720825" w:rsidP="00720825">
      <w:pPr>
        <w:pStyle w:val="BodyTextIndent"/>
        <w:rPr>
          <w:b w:val="0"/>
          <w:bCs/>
          <w:color w:val="auto"/>
          <w:lang w:val="sk-SK"/>
        </w:rPr>
      </w:pPr>
      <w:r w:rsidRPr="00D252D3">
        <w:rPr>
          <w:b w:val="0"/>
          <w:bCs/>
          <w:color w:val="auto"/>
          <w:szCs w:val="22"/>
          <w:lang w:val="sk-SK"/>
        </w:rPr>
        <w:t>zvýšená hodnota pH (narušená acidobázická rovnováha) v </w:t>
      </w:r>
      <w:r w:rsidR="00743071" w:rsidRPr="00D252D3">
        <w:rPr>
          <w:b w:val="0"/>
          <w:bCs/>
          <w:color w:val="auto"/>
          <w:szCs w:val="22"/>
          <w:lang w:val="sk-SK"/>
        </w:rPr>
        <w:t>dôsledku</w:t>
      </w:r>
      <w:r w:rsidRPr="00D252D3">
        <w:rPr>
          <w:b w:val="0"/>
          <w:bCs/>
          <w:color w:val="auto"/>
          <w:szCs w:val="22"/>
          <w:lang w:val="sk-SK"/>
        </w:rPr>
        <w:t xml:space="preserve"> nízkej hladiny chloridov v krvi</w:t>
      </w:r>
      <w:r w:rsidRPr="00D252D3">
        <w:rPr>
          <w:b w:val="0"/>
          <w:bCs/>
          <w:color w:val="auto"/>
          <w:lang w:val="sk-SK"/>
        </w:rPr>
        <w:t>.</w:t>
      </w:r>
    </w:p>
    <w:p w:rsidR="00720825" w:rsidRPr="00D252D3" w:rsidRDefault="00720825">
      <w:pPr>
        <w:rPr>
          <w:u w:val="single"/>
        </w:rPr>
      </w:pPr>
    </w:p>
    <w:p w:rsidR="0053152B" w:rsidRPr="00D252D3" w:rsidRDefault="0053152B">
      <w:pPr>
        <w:ind w:left="0" w:firstLine="0"/>
        <w:rPr>
          <w:u w:val="single"/>
        </w:rPr>
      </w:pPr>
      <w:r w:rsidRPr="00D252D3">
        <w:rPr>
          <w:u w:val="single"/>
        </w:rPr>
        <w:t>Vedľajšie účinky s neznámou frekvenciou (častosť sa nedá odhadnúť z dostupných údajov):</w:t>
      </w:r>
    </w:p>
    <w:p w:rsidR="0053152B" w:rsidRPr="00D252D3" w:rsidRDefault="0053152B">
      <w:pPr>
        <w:ind w:left="0" w:firstLine="0"/>
        <w:rPr>
          <w:rFonts w:eastAsia="MS Mincho"/>
          <w:szCs w:val="22"/>
          <w:lang w:eastAsia="ja-JP"/>
        </w:rPr>
      </w:pPr>
      <w:r w:rsidRPr="00D252D3">
        <w:t xml:space="preserve">zápal slinných žliaz, </w:t>
      </w:r>
      <w:r w:rsidR="00660A35" w:rsidRPr="00D252D3">
        <w:t xml:space="preserve">rakovina kože a rakovina pier (nemelanómová rakovina kože), </w:t>
      </w:r>
      <w:r w:rsidRPr="00D252D3">
        <w:t>znížený počet (alebo dokonca nedostatok) buniek v</w:t>
      </w:r>
      <w:r w:rsidR="0021184D" w:rsidRPr="00D252D3">
        <w:t> </w:t>
      </w:r>
      <w:r w:rsidRPr="00D252D3">
        <w:t xml:space="preserve">krvi, vrátane zníženého počtu červených a bielych krviniek, závažné alergické reakcie </w:t>
      </w:r>
      <w:r w:rsidRPr="00D252D3">
        <w:rPr>
          <w:szCs w:val="22"/>
        </w:rPr>
        <w:t>(napr. precitlivenosť, anafylaktická reakcia)</w:t>
      </w:r>
      <w:r w:rsidRPr="00D252D3">
        <w:t xml:space="preserve">, zníženie alebo strata chuti do jedla, nepokoj, mierny závrat, rozmazané alebo žltkasté videnie, </w:t>
      </w:r>
      <w:r w:rsidRPr="00D252D3">
        <w:rPr>
          <w:szCs w:val="22"/>
        </w:rPr>
        <w:t xml:space="preserve">zhoršené videnie a bolesť oka </w:t>
      </w:r>
      <w:r w:rsidRPr="00D252D3">
        <w:rPr>
          <w:rFonts w:eastAsia="MS Mincho"/>
          <w:szCs w:val="22"/>
          <w:lang w:eastAsia="ja-JP"/>
        </w:rPr>
        <w:t xml:space="preserve">(možné príznaky </w:t>
      </w:r>
      <w:r w:rsidR="002A5949" w:rsidRPr="00D252D3">
        <w:t>nahromadenia tekutiny vo vrstve oka obsahujúcej cievy (choroidálna efúzia) alebo</w:t>
      </w:r>
      <w:r w:rsidR="002A5949" w:rsidRPr="00D252D3">
        <w:rPr>
          <w:sz w:val="18"/>
          <w:szCs w:val="18"/>
        </w:rPr>
        <w:t xml:space="preserve"> </w:t>
      </w:r>
      <w:r w:rsidRPr="00D252D3">
        <w:rPr>
          <w:rFonts w:eastAsia="MS Mincho"/>
          <w:szCs w:val="22"/>
          <w:lang w:eastAsia="ja-JP"/>
        </w:rPr>
        <w:t xml:space="preserve">akútnej </w:t>
      </w:r>
      <w:r w:rsidRPr="00D252D3">
        <w:t>krátkozrakosti</w:t>
      </w:r>
      <w:r w:rsidRPr="00D252D3">
        <w:rPr>
          <w:rFonts w:eastAsia="MS Mincho"/>
          <w:szCs w:val="22"/>
          <w:lang w:eastAsia="ja-JP"/>
        </w:rPr>
        <w:t xml:space="preserve"> alebo akútneho glaukómu s uzavretým uhlom), </w:t>
      </w:r>
      <w:r w:rsidRPr="00D252D3">
        <w:t>zápal krvných ciev (nekrotizujúca vaskulitída), zápal pankreasu,</w:t>
      </w:r>
      <w:r w:rsidRPr="00D252D3">
        <w:rPr>
          <w:szCs w:val="22"/>
        </w:rPr>
        <w:t xml:space="preserve"> žalúdočné ťažkosti,</w:t>
      </w:r>
      <w:r w:rsidRPr="00D252D3">
        <w:t xml:space="preserve"> zožltnutie pokožky alebo očí (žltačka), príznaky podobné lupusu (príznaky podobné ochoreniu nazývanému systémový lupus erythematosus, pri ktorom imunitný systém organizmu napáda vlastné telo), poruchy kože ako zápal žíl v koži, zvýšenú citlivosť na slnečné svetlo, vyrážka, sčervenanie kože, pľuzgiere na perách, očiach alebo v ústach, olupovanie kože, horúčka (možné prejavy multiformného erytému), slabosť, zápal obličiek alebo narušená funkcia obličiek, glukóza v moči (glykozúria), horúčka, narušená rovnováha elektrolytov, vysoké hladiny cholesterolu v krvi, znížený objem krvi, zvýšená hladina glukózy, ťažkosti s regulovaním hladiny glukózy v krvi/moči u pacientov s diagnózou cukrovky alebo tukov v krvi.</w:t>
      </w:r>
    </w:p>
    <w:p w:rsidR="0053152B" w:rsidRPr="00D252D3" w:rsidRDefault="0053152B">
      <w:pPr>
        <w:ind w:left="0" w:firstLine="0"/>
      </w:pPr>
    </w:p>
    <w:p w:rsidR="0053152B" w:rsidRPr="00D252D3" w:rsidRDefault="0053152B">
      <w:pPr>
        <w:numPr>
          <w:ilvl w:val="12"/>
          <w:numId w:val="0"/>
        </w:numPr>
        <w:tabs>
          <w:tab w:val="left" w:pos="720"/>
        </w:tabs>
        <w:rPr>
          <w:b/>
          <w:szCs w:val="22"/>
        </w:rPr>
      </w:pPr>
      <w:r w:rsidRPr="00D252D3">
        <w:rPr>
          <w:b/>
          <w:szCs w:val="22"/>
        </w:rPr>
        <w:t>Hlásenie vedľajších účinkov</w:t>
      </w:r>
    </w:p>
    <w:p w:rsidR="0053152B" w:rsidRPr="00D252D3" w:rsidRDefault="0053152B">
      <w:pPr>
        <w:numPr>
          <w:ilvl w:val="12"/>
          <w:numId w:val="0"/>
        </w:numPr>
        <w:tabs>
          <w:tab w:val="left" w:pos="720"/>
        </w:tabs>
        <w:ind w:right="-2"/>
        <w:rPr>
          <w:szCs w:val="22"/>
        </w:rPr>
      </w:pPr>
      <w:r w:rsidRPr="00D252D3">
        <w:rPr>
          <w:color w:val="000000"/>
          <w:szCs w:val="22"/>
        </w:rPr>
        <w:t xml:space="preserve">Ak sa u vás vyskytne akýkoľvek vedľajší účinok, obráťte sa na svojho lekára alebo lekárnika. To sa týka aj akýchkoľvek vedľajších účinkov, ktoré nie sú uvedené v tejto písomnej informácii. </w:t>
      </w:r>
      <w:r w:rsidRPr="00D252D3">
        <w:rPr>
          <w:szCs w:val="22"/>
        </w:rPr>
        <w:t xml:space="preserve">Vedľajšie účinky môžete hlásiť aj priamo na </w:t>
      </w:r>
      <w:r w:rsidRPr="00D252D3">
        <w:rPr>
          <w:szCs w:val="22"/>
          <w:highlight w:val="lightGray"/>
        </w:rPr>
        <w:t>národné centrum hlásenia uvedené v </w:t>
      </w:r>
      <w:hyperlink r:id="rId15" w:history="1">
        <w:r w:rsidRPr="00D252D3">
          <w:rPr>
            <w:rStyle w:val="Hyperlink"/>
            <w:szCs w:val="22"/>
            <w:highlight w:val="lightGray"/>
          </w:rPr>
          <w:t>p</w:t>
        </w:r>
        <w:r w:rsidRPr="00D252D3">
          <w:rPr>
            <w:rStyle w:val="Hyperlink"/>
            <w:highlight w:val="lightGray"/>
          </w:rPr>
          <w:t>rí</w:t>
        </w:r>
        <w:r w:rsidRPr="00D252D3">
          <w:rPr>
            <w:rStyle w:val="Hyperlink"/>
            <w:highlight w:val="lightGray"/>
          </w:rPr>
          <w:t>l</w:t>
        </w:r>
        <w:r w:rsidRPr="00D252D3">
          <w:rPr>
            <w:rStyle w:val="Hyperlink"/>
            <w:highlight w:val="lightGray"/>
          </w:rPr>
          <w:t>oh</w:t>
        </w:r>
        <w:r w:rsidRPr="00D252D3">
          <w:rPr>
            <w:rStyle w:val="Hyperlink"/>
            <w:highlight w:val="lightGray"/>
          </w:rPr>
          <w:t>e</w:t>
        </w:r>
        <w:r w:rsidRPr="00D252D3">
          <w:rPr>
            <w:rStyle w:val="Hyperlink"/>
            <w:highlight w:val="lightGray"/>
          </w:rPr>
          <w:t> V</w:t>
        </w:r>
      </w:hyperlink>
      <w:r w:rsidRPr="00D252D3">
        <w:rPr>
          <w:szCs w:val="22"/>
        </w:rPr>
        <w:t>. Hlásením vedľajších účinkov môžete prispieť k získaniu ďalších informácií o bezpečnosti tohto lieku.</w:t>
      </w:r>
    </w:p>
    <w:p w:rsidR="0053152B" w:rsidRPr="00D252D3" w:rsidRDefault="0053152B">
      <w:pPr>
        <w:ind w:left="0" w:firstLine="0"/>
        <w:rPr>
          <w:b/>
          <w:u w:val="single"/>
        </w:rPr>
      </w:pPr>
    </w:p>
    <w:p w:rsidR="0053152B" w:rsidRPr="00D252D3" w:rsidRDefault="0053152B">
      <w:pPr>
        <w:numPr>
          <w:ilvl w:val="12"/>
          <w:numId w:val="0"/>
        </w:numPr>
        <w:ind w:left="567" w:right="-2" w:hanging="567"/>
        <w:rPr>
          <w:b/>
        </w:rPr>
      </w:pPr>
      <w:bookmarkStart w:id="34" w:name="_Toc49833173"/>
      <w:bookmarkStart w:id="35" w:name="_Toc49833280"/>
    </w:p>
    <w:p w:rsidR="0053152B" w:rsidRPr="00D252D3" w:rsidRDefault="0053152B" w:rsidP="00AB164B">
      <w:pPr>
        <w:keepNext/>
        <w:numPr>
          <w:ilvl w:val="12"/>
          <w:numId w:val="0"/>
        </w:numPr>
        <w:ind w:left="567" w:hanging="567"/>
      </w:pPr>
      <w:r w:rsidRPr="00D252D3">
        <w:rPr>
          <w:b/>
        </w:rPr>
        <w:t>5.</w:t>
      </w:r>
      <w:r w:rsidRPr="00D252D3">
        <w:rPr>
          <w:b/>
        </w:rPr>
        <w:tab/>
        <w:t>Ako uchovávať MicardisPlus</w:t>
      </w:r>
      <w:bookmarkEnd w:id="34"/>
      <w:bookmarkEnd w:id="35"/>
    </w:p>
    <w:p w:rsidR="0053152B" w:rsidRPr="00D252D3" w:rsidRDefault="0053152B" w:rsidP="00AB164B">
      <w:pPr>
        <w:keepNext/>
        <w:numPr>
          <w:ilvl w:val="12"/>
          <w:numId w:val="0"/>
        </w:numPr>
      </w:pPr>
    </w:p>
    <w:p w:rsidR="0053152B" w:rsidRPr="00D252D3" w:rsidRDefault="0053152B">
      <w:r w:rsidRPr="00D252D3">
        <w:t>Tento liek uchovávajte mimo dohľadu a dosahu detí.</w:t>
      </w:r>
    </w:p>
    <w:p w:rsidR="0053152B" w:rsidRPr="00D252D3" w:rsidRDefault="0053152B">
      <w:pPr>
        <w:ind w:left="0" w:firstLine="0"/>
      </w:pPr>
    </w:p>
    <w:p w:rsidR="0053152B" w:rsidRPr="00D252D3" w:rsidRDefault="0053152B">
      <w:pPr>
        <w:ind w:left="0" w:firstLine="0"/>
      </w:pPr>
      <w:r w:rsidRPr="00D252D3">
        <w:t>Nepoužívajte tento liek po dátume exspirácie, ktorý je uvedený na škatuli po „EXP“. Dátum exspirácie sa vzťahuje na posledný deň v danom mesiaci.</w:t>
      </w:r>
    </w:p>
    <w:p w:rsidR="0053152B" w:rsidRPr="00D252D3" w:rsidRDefault="0053152B">
      <w:pPr>
        <w:ind w:left="0" w:firstLine="0"/>
      </w:pPr>
    </w:p>
    <w:p w:rsidR="0053152B" w:rsidRPr="00D252D3" w:rsidRDefault="0053152B">
      <w:pPr>
        <w:ind w:left="0" w:firstLine="0"/>
        <w:rPr>
          <w:szCs w:val="22"/>
        </w:rPr>
      </w:pPr>
      <w:r w:rsidRPr="00D252D3">
        <w:rPr>
          <w:snapToGrid w:val="0"/>
          <w:lang w:eastAsia="cs-CZ"/>
        </w:rPr>
        <w:t>Tento liek nevyžaduje žiadne zvláštne teplotné podmienky na uchovávanie. Uchovávajte váš liek v pôvodnom obale na ochranu tabliet pred vlhkosťou.</w:t>
      </w:r>
      <w:r w:rsidRPr="00D252D3">
        <w:rPr>
          <w:szCs w:val="22"/>
        </w:rPr>
        <w:t xml:space="preserve"> Tabletu </w:t>
      </w:r>
      <w:r w:rsidRPr="00D252D3">
        <w:rPr>
          <w:snapToGrid w:val="0"/>
          <w:lang w:eastAsia="cs-CZ"/>
        </w:rPr>
        <w:t xml:space="preserve">MicardisPlusu </w:t>
      </w:r>
      <w:r w:rsidRPr="00D252D3">
        <w:rPr>
          <w:szCs w:val="22"/>
        </w:rPr>
        <w:t>vyberte z blistra iba bezprostredne pred užitím.</w:t>
      </w:r>
    </w:p>
    <w:p w:rsidR="0053152B" w:rsidRPr="00D252D3" w:rsidRDefault="0053152B"/>
    <w:p w:rsidR="0053152B" w:rsidRPr="00D252D3" w:rsidRDefault="0053152B">
      <w:pPr>
        <w:ind w:left="0" w:firstLine="0"/>
      </w:pPr>
      <w:r w:rsidRPr="00D252D3">
        <w:t>Niekedy sa pozorovalo, že sa vonkajšia vrstva blistra oddelila od vnútornej medzi jamkami blistra. Ak sa to stane nie je potrebné robiť žiadne opatrenia.</w:t>
      </w:r>
    </w:p>
    <w:p w:rsidR="0053152B" w:rsidRPr="00D252D3" w:rsidRDefault="0053152B"/>
    <w:p w:rsidR="0053152B" w:rsidRPr="00D252D3" w:rsidRDefault="0053152B">
      <w:pPr>
        <w:ind w:left="0" w:firstLine="0"/>
      </w:pPr>
      <w:r w:rsidRPr="00D252D3">
        <w:t>Nelikvidujte lieky odpadovou vodou alebo domovým odpadom. Nepoužitý liek vráťte do lekárne. Tieto opatrenia pomôžu chrániť životné prostredie.</w:t>
      </w:r>
    </w:p>
    <w:p w:rsidR="0053152B" w:rsidRPr="00D252D3" w:rsidRDefault="0053152B">
      <w:pPr>
        <w:ind w:left="0" w:firstLine="0"/>
      </w:pPr>
    </w:p>
    <w:p w:rsidR="0053152B" w:rsidRPr="00D252D3" w:rsidRDefault="0053152B">
      <w:pPr>
        <w:ind w:left="0" w:firstLine="0"/>
      </w:pPr>
    </w:p>
    <w:p w:rsidR="0053152B" w:rsidRPr="00D252D3" w:rsidRDefault="0053152B" w:rsidP="00AB164B">
      <w:pPr>
        <w:keepNext/>
        <w:numPr>
          <w:ilvl w:val="12"/>
          <w:numId w:val="0"/>
        </w:numPr>
        <w:ind w:left="567" w:right="-2" w:hanging="567"/>
        <w:rPr>
          <w:b/>
        </w:rPr>
      </w:pPr>
      <w:r w:rsidRPr="00D252D3">
        <w:rPr>
          <w:b/>
        </w:rPr>
        <w:t>6.</w:t>
      </w:r>
      <w:r w:rsidRPr="00D252D3">
        <w:rPr>
          <w:b/>
        </w:rPr>
        <w:tab/>
        <w:t>Obsah balenia a ďalšie informácie</w:t>
      </w:r>
    </w:p>
    <w:p w:rsidR="0053152B" w:rsidRPr="00D252D3" w:rsidRDefault="0053152B" w:rsidP="00AB164B">
      <w:pPr>
        <w:keepNext/>
        <w:ind w:left="0" w:firstLine="0"/>
        <w:jc w:val="both"/>
      </w:pPr>
    </w:p>
    <w:p w:rsidR="0053152B" w:rsidRPr="00D252D3" w:rsidRDefault="0053152B" w:rsidP="00AB164B">
      <w:pPr>
        <w:keepNext/>
        <w:ind w:left="0" w:firstLine="0"/>
        <w:jc w:val="both"/>
        <w:rPr>
          <w:b/>
        </w:rPr>
      </w:pPr>
      <w:r w:rsidRPr="00D252D3">
        <w:rPr>
          <w:b/>
        </w:rPr>
        <w:t>Čo MicardisPlus obsahuje</w:t>
      </w:r>
    </w:p>
    <w:p w:rsidR="0053152B" w:rsidRPr="00D252D3" w:rsidRDefault="0053152B" w:rsidP="00AB164B">
      <w:pPr>
        <w:keepNext/>
        <w:ind w:left="0" w:firstLine="0"/>
      </w:pPr>
    </w:p>
    <w:p w:rsidR="0053152B" w:rsidRPr="00D252D3" w:rsidRDefault="0053152B">
      <w:pPr>
        <w:ind w:left="0" w:firstLine="0"/>
      </w:pPr>
      <w:r w:rsidRPr="00D252D3">
        <w:t>Liečivá sú telmisartan a hydrochlorotiazid. Každá tableta obsahuje 40 mg telmisartanu a 12,5 mg hydrochlorotiazidu.</w:t>
      </w:r>
    </w:p>
    <w:p w:rsidR="0053152B" w:rsidRPr="00D252D3" w:rsidRDefault="0053152B">
      <w:pPr>
        <w:ind w:left="0" w:firstLine="0"/>
      </w:pPr>
      <w:r w:rsidRPr="00D252D3">
        <w:t xml:space="preserve">Ďalšie zložky sú monohydrát laktózy, magnéziumstearát, kukuričný škrob, meglumín, </w:t>
      </w:r>
      <w:r w:rsidRPr="00D252D3">
        <w:rPr>
          <w:snapToGrid w:val="0"/>
          <w:lang w:eastAsia="cs-CZ"/>
        </w:rPr>
        <w:t>mikrokryštalická celulóza, povidón, červený oxid železitý (E172), hydroxid sodný, sodná soľ karboxymetylškrobu (typ A), sorbitol (E420).</w:t>
      </w:r>
    </w:p>
    <w:p w:rsidR="0053152B" w:rsidRPr="00D252D3" w:rsidRDefault="0053152B">
      <w:pPr>
        <w:ind w:left="0" w:firstLine="0"/>
        <w:jc w:val="both"/>
        <w:rPr>
          <w:b/>
        </w:rPr>
      </w:pPr>
    </w:p>
    <w:p w:rsidR="0053152B" w:rsidRPr="00D252D3" w:rsidRDefault="0053152B">
      <w:pPr>
        <w:ind w:left="0" w:firstLine="0"/>
        <w:jc w:val="both"/>
        <w:rPr>
          <w:b/>
        </w:rPr>
      </w:pPr>
      <w:r w:rsidRPr="00D252D3">
        <w:rPr>
          <w:b/>
        </w:rPr>
        <w:t>Ako vyzerá MicardisPlus a obsah balenia</w:t>
      </w:r>
    </w:p>
    <w:p w:rsidR="0053152B" w:rsidRPr="00D252D3" w:rsidRDefault="0053152B">
      <w:pPr>
        <w:ind w:left="0" w:firstLine="0"/>
        <w:jc w:val="both"/>
      </w:pPr>
    </w:p>
    <w:p w:rsidR="0053152B" w:rsidRPr="00D252D3" w:rsidRDefault="0053152B">
      <w:pPr>
        <w:ind w:left="0" w:firstLine="0"/>
        <w:jc w:val="both"/>
      </w:pPr>
      <w:r w:rsidRPr="00D252D3">
        <w:t xml:space="preserve">MicardisPlus 40 mg/12,5 mg tablety sú červeno-biele, dvojvrstvové </w:t>
      </w:r>
      <w:r w:rsidR="00EA1571" w:rsidRPr="00D252D3">
        <w:t>podlhovasté</w:t>
      </w:r>
      <w:r w:rsidRPr="00D252D3">
        <w:t xml:space="preserve"> tablety s vyrytým logom spoločnosti a kódom ’H4’.</w:t>
      </w:r>
    </w:p>
    <w:p w:rsidR="0053152B" w:rsidRPr="00D252D3" w:rsidRDefault="0053152B">
      <w:pPr>
        <w:ind w:left="0" w:firstLine="0"/>
        <w:jc w:val="both"/>
      </w:pPr>
      <w:r w:rsidRPr="00D252D3">
        <w:t>MicardisPlus sa dodáva v blistrových baleniach obsahujúcich 14, 28, 56, 84 alebo 98 tabliet alebo v blistroch s jednotlivými dávkami, ktoré obsahujú 28 x 1, 30 x 1 alebo 90 x 1 tabletu.</w:t>
      </w:r>
    </w:p>
    <w:p w:rsidR="0053152B" w:rsidRPr="00D252D3" w:rsidRDefault="0053152B">
      <w:pPr>
        <w:ind w:left="0" w:firstLine="0"/>
        <w:jc w:val="both"/>
      </w:pPr>
    </w:p>
    <w:p w:rsidR="0053152B" w:rsidRPr="00D252D3" w:rsidRDefault="0053152B">
      <w:pPr>
        <w:ind w:left="0" w:firstLine="0"/>
        <w:jc w:val="both"/>
      </w:pPr>
      <w:r w:rsidRPr="00D252D3">
        <w:t>Nie všetky veľkosti balenia musia byť dostupné vo vašej krajine.</w:t>
      </w:r>
    </w:p>
    <w:p w:rsidR="0053152B" w:rsidRPr="00D252D3" w:rsidRDefault="0053152B">
      <w:pPr>
        <w:jc w:val="both"/>
      </w:pPr>
    </w:p>
    <w:p w:rsidR="0053152B" w:rsidRPr="00D252D3" w:rsidRDefault="0053152B" w:rsidP="0057583E">
      <w:pPr>
        <w:tabs>
          <w:tab w:val="left" w:pos="4253"/>
        </w:tabs>
        <w:ind w:left="0" w:firstLine="0"/>
        <w:jc w:val="both"/>
        <w:rPr>
          <w:b/>
        </w:rPr>
      </w:pPr>
      <w:r w:rsidRPr="00D252D3">
        <w:rPr>
          <w:b/>
        </w:rPr>
        <w:t>Držiteľ rozhodnutia o registrácii</w:t>
      </w:r>
      <w:r w:rsidRPr="00D252D3">
        <w:rPr>
          <w:b/>
        </w:rPr>
        <w:tab/>
        <w:t>Výrobca</w:t>
      </w:r>
    </w:p>
    <w:p w:rsidR="0053152B" w:rsidRPr="00D252D3" w:rsidRDefault="0053152B" w:rsidP="0057583E">
      <w:pPr>
        <w:tabs>
          <w:tab w:val="left" w:pos="4253"/>
        </w:tabs>
        <w:ind w:left="0" w:firstLine="0"/>
        <w:rPr>
          <w:szCs w:val="22"/>
        </w:rPr>
      </w:pPr>
      <w:r w:rsidRPr="00D252D3">
        <w:rPr>
          <w:szCs w:val="22"/>
        </w:rPr>
        <w:t>Boehringer Ingelheim International GmbH</w:t>
      </w:r>
      <w:r w:rsidRPr="00D252D3">
        <w:rPr>
          <w:szCs w:val="22"/>
        </w:rPr>
        <w:tab/>
        <w:t>Boehringer Ingelheim Pharma GmbH &amp; Co. KG</w:t>
      </w:r>
    </w:p>
    <w:p w:rsidR="0053152B" w:rsidRPr="00D252D3" w:rsidRDefault="0053152B" w:rsidP="0057583E">
      <w:pPr>
        <w:tabs>
          <w:tab w:val="left" w:pos="4253"/>
        </w:tabs>
        <w:ind w:left="0" w:firstLine="0"/>
        <w:rPr>
          <w:szCs w:val="22"/>
          <w:highlight w:val="yellow"/>
        </w:rPr>
      </w:pPr>
      <w:r w:rsidRPr="00D252D3">
        <w:rPr>
          <w:szCs w:val="22"/>
        </w:rPr>
        <w:t>Binger Str. 173</w:t>
      </w:r>
      <w:r w:rsidRPr="00D252D3">
        <w:rPr>
          <w:szCs w:val="22"/>
        </w:rPr>
        <w:tab/>
        <w:t>Binger str. 173</w:t>
      </w:r>
    </w:p>
    <w:p w:rsidR="0053152B" w:rsidRPr="00D252D3" w:rsidRDefault="0053152B" w:rsidP="0057583E">
      <w:pPr>
        <w:tabs>
          <w:tab w:val="left" w:pos="4253"/>
        </w:tabs>
        <w:ind w:left="0" w:firstLine="0"/>
        <w:rPr>
          <w:szCs w:val="22"/>
        </w:rPr>
      </w:pPr>
      <w:r w:rsidRPr="00D252D3">
        <w:rPr>
          <w:szCs w:val="22"/>
        </w:rPr>
        <w:t>D-55216 Ingelheim nad Rýnom</w:t>
      </w:r>
      <w:r w:rsidRPr="00D252D3">
        <w:rPr>
          <w:szCs w:val="22"/>
        </w:rPr>
        <w:tab/>
        <w:t>D-55216 Ingelheim nad Rýnom</w:t>
      </w:r>
    </w:p>
    <w:p w:rsidR="0053152B" w:rsidRPr="00D252D3" w:rsidRDefault="0053152B" w:rsidP="0057583E">
      <w:pPr>
        <w:tabs>
          <w:tab w:val="left" w:pos="4253"/>
        </w:tabs>
        <w:ind w:left="0" w:firstLine="0"/>
        <w:rPr>
          <w:szCs w:val="22"/>
        </w:rPr>
      </w:pPr>
      <w:r w:rsidRPr="00D252D3">
        <w:rPr>
          <w:szCs w:val="22"/>
        </w:rPr>
        <w:t>Nemecko</w:t>
      </w:r>
      <w:r w:rsidRPr="00D252D3">
        <w:rPr>
          <w:szCs w:val="22"/>
        </w:rPr>
        <w:tab/>
        <w:t>Nemecko</w:t>
      </w:r>
    </w:p>
    <w:p w:rsidR="0053152B" w:rsidRPr="00D252D3" w:rsidRDefault="0053152B">
      <w:pPr>
        <w:numPr>
          <w:ilvl w:val="12"/>
          <w:numId w:val="0"/>
        </w:numPr>
        <w:ind w:right="-2"/>
      </w:pPr>
    </w:p>
    <w:p w:rsidR="0053152B" w:rsidRPr="00D252D3" w:rsidRDefault="0053152B" w:rsidP="0057583E">
      <w:pPr>
        <w:ind w:left="4253" w:firstLine="0"/>
        <w:rPr>
          <w:szCs w:val="22"/>
        </w:rPr>
      </w:pPr>
      <w:r w:rsidRPr="00D252D3">
        <w:rPr>
          <w:szCs w:val="22"/>
        </w:rPr>
        <w:t>a</w:t>
      </w:r>
    </w:p>
    <w:p w:rsidR="0053152B" w:rsidRPr="00D252D3" w:rsidRDefault="0053152B" w:rsidP="0057583E">
      <w:pPr>
        <w:ind w:left="4253" w:firstLine="0"/>
        <w:rPr>
          <w:szCs w:val="22"/>
        </w:rPr>
      </w:pPr>
    </w:p>
    <w:tbl>
      <w:tblPr>
        <w:tblW w:w="0" w:type="auto"/>
        <w:tblLook w:val="01E0" w:firstRow="1" w:lastRow="1" w:firstColumn="1" w:lastColumn="1" w:noHBand="0" w:noVBand="0"/>
      </w:tblPr>
      <w:tblGrid>
        <w:gridCol w:w="4361"/>
        <w:gridCol w:w="4605"/>
      </w:tblGrid>
      <w:tr w:rsidR="0053152B" w:rsidRPr="00D252D3">
        <w:tc>
          <w:tcPr>
            <w:tcW w:w="4361" w:type="dxa"/>
          </w:tcPr>
          <w:p w:rsidR="0053152B" w:rsidRPr="00D252D3" w:rsidRDefault="0053152B">
            <w:pPr>
              <w:pStyle w:val="EndnoteText"/>
              <w:ind w:left="567" w:hanging="567"/>
              <w:rPr>
                <w:szCs w:val="22"/>
                <w:lang w:val="sk-SK"/>
              </w:rPr>
            </w:pPr>
          </w:p>
        </w:tc>
        <w:tc>
          <w:tcPr>
            <w:tcW w:w="4605" w:type="dxa"/>
          </w:tcPr>
          <w:p w:rsidR="0053152B" w:rsidRPr="00D252D3" w:rsidRDefault="0053152B">
            <w:pPr>
              <w:pStyle w:val="Default"/>
              <w:ind w:left="-108"/>
              <w:rPr>
                <w:sz w:val="22"/>
                <w:szCs w:val="22"/>
                <w:lang w:val="sk-SK"/>
              </w:rPr>
            </w:pPr>
            <w:r w:rsidRPr="00D252D3">
              <w:rPr>
                <w:sz w:val="22"/>
                <w:szCs w:val="22"/>
                <w:lang w:val="sk-SK"/>
              </w:rPr>
              <w:t xml:space="preserve">Boehringer Ingelheim Ellas A.E. </w:t>
            </w:r>
          </w:p>
          <w:p w:rsidR="0053152B" w:rsidRPr="00D252D3" w:rsidRDefault="0053152B">
            <w:pPr>
              <w:pStyle w:val="Default"/>
              <w:ind w:left="-108"/>
              <w:rPr>
                <w:sz w:val="22"/>
                <w:szCs w:val="22"/>
                <w:lang w:val="sk-SK"/>
              </w:rPr>
            </w:pPr>
            <w:r w:rsidRPr="00D252D3">
              <w:rPr>
                <w:sz w:val="22"/>
                <w:szCs w:val="22"/>
                <w:lang w:val="sk-SK"/>
              </w:rPr>
              <w:t xml:space="preserve">5th km Paiania – Markopoulo </w:t>
            </w:r>
          </w:p>
          <w:p w:rsidR="0053152B" w:rsidRPr="00D252D3" w:rsidRDefault="0053152B">
            <w:pPr>
              <w:pStyle w:val="Default"/>
              <w:ind w:left="-108"/>
              <w:rPr>
                <w:sz w:val="22"/>
                <w:szCs w:val="22"/>
                <w:lang w:val="sk-SK"/>
              </w:rPr>
            </w:pPr>
            <w:r w:rsidRPr="00D252D3">
              <w:rPr>
                <w:sz w:val="22"/>
                <w:szCs w:val="22"/>
                <w:lang w:val="sk-SK"/>
              </w:rPr>
              <w:t>Koropi Attiki, 194 00</w:t>
            </w:r>
          </w:p>
          <w:p w:rsidR="0053152B" w:rsidRPr="00D252D3" w:rsidRDefault="0053152B">
            <w:pPr>
              <w:numPr>
                <w:ilvl w:val="12"/>
                <w:numId w:val="0"/>
              </w:numPr>
              <w:ind w:left="-108"/>
              <w:rPr>
                <w:szCs w:val="22"/>
              </w:rPr>
            </w:pPr>
            <w:r w:rsidRPr="00D252D3">
              <w:rPr>
                <w:szCs w:val="22"/>
              </w:rPr>
              <w:t>Grécko</w:t>
            </w:r>
          </w:p>
        </w:tc>
      </w:tr>
    </w:tbl>
    <w:p w:rsidR="00D33854" w:rsidRPr="00D252D3" w:rsidRDefault="00D33854" w:rsidP="00D33854">
      <w:pPr>
        <w:numPr>
          <w:ilvl w:val="12"/>
          <w:numId w:val="0"/>
        </w:numPr>
        <w:ind w:right="-2"/>
        <w:rPr>
          <w:szCs w:val="22"/>
        </w:rPr>
      </w:pPr>
    </w:p>
    <w:p w:rsidR="00D33854" w:rsidRPr="00D252D3" w:rsidRDefault="00D33854" w:rsidP="0057583E">
      <w:pPr>
        <w:ind w:left="4253" w:firstLine="0"/>
        <w:rPr>
          <w:szCs w:val="22"/>
        </w:rPr>
      </w:pPr>
      <w:r w:rsidRPr="00D252D3">
        <w:rPr>
          <w:szCs w:val="22"/>
        </w:rPr>
        <w:t>a</w:t>
      </w:r>
    </w:p>
    <w:p w:rsidR="00D33854" w:rsidRPr="00D252D3" w:rsidRDefault="00D33854" w:rsidP="0057583E">
      <w:pPr>
        <w:ind w:left="4253" w:firstLine="0"/>
        <w:rPr>
          <w:szCs w:val="22"/>
        </w:rPr>
      </w:pPr>
    </w:p>
    <w:tbl>
      <w:tblPr>
        <w:tblW w:w="0" w:type="auto"/>
        <w:tblLook w:val="01E0" w:firstRow="1" w:lastRow="1" w:firstColumn="1" w:lastColumn="1" w:noHBand="0" w:noVBand="0"/>
      </w:tblPr>
      <w:tblGrid>
        <w:gridCol w:w="4361"/>
        <w:gridCol w:w="4605"/>
      </w:tblGrid>
      <w:tr w:rsidR="00D33854" w:rsidRPr="00D252D3" w:rsidTr="0099052A">
        <w:tc>
          <w:tcPr>
            <w:tcW w:w="4361" w:type="dxa"/>
          </w:tcPr>
          <w:p w:rsidR="00D33854" w:rsidRPr="00D252D3" w:rsidRDefault="00D33854" w:rsidP="0099052A">
            <w:pPr>
              <w:pStyle w:val="EndnoteText"/>
              <w:ind w:left="567" w:hanging="567"/>
              <w:rPr>
                <w:szCs w:val="22"/>
                <w:lang w:val="sk-SK"/>
              </w:rPr>
            </w:pPr>
          </w:p>
        </w:tc>
        <w:tc>
          <w:tcPr>
            <w:tcW w:w="4605" w:type="dxa"/>
          </w:tcPr>
          <w:p w:rsidR="00D33854" w:rsidRPr="00D252D3" w:rsidRDefault="00D33854" w:rsidP="00D33854">
            <w:pPr>
              <w:numPr>
                <w:ilvl w:val="12"/>
                <w:numId w:val="0"/>
              </w:numPr>
              <w:ind w:left="-108" w:right="-2"/>
              <w:rPr>
                <w:szCs w:val="22"/>
              </w:rPr>
            </w:pPr>
            <w:r w:rsidRPr="00D252D3">
              <w:rPr>
                <w:szCs w:val="22"/>
              </w:rPr>
              <w:t>Rottendorf Pharma GmbH</w:t>
            </w:r>
          </w:p>
          <w:p w:rsidR="00D33854" w:rsidRPr="00D252D3" w:rsidRDefault="00D33854" w:rsidP="00D33854">
            <w:pPr>
              <w:numPr>
                <w:ilvl w:val="12"/>
                <w:numId w:val="0"/>
              </w:numPr>
              <w:ind w:left="-108" w:right="-2"/>
              <w:rPr>
                <w:szCs w:val="22"/>
              </w:rPr>
            </w:pPr>
            <w:r w:rsidRPr="00D252D3">
              <w:rPr>
                <w:szCs w:val="22"/>
              </w:rPr>
              <w:t>Ostenfelder Straße 51 - 61</w:t>
            </w:r>
          </w:p>
          <w:p w:rsidR="00D33854" w:rsidRPr="00D252D3" w:rsidRDefault="00D33854" w:rsidP="00D33854">
            <w:pPr>
              <w:numPr>
                <w:ilvl w:val="12"/>
                <w:numId w:val="0"/>
              </w:numPr>
              <w:ind w:left="-108" w:right="-2"/>
              <w:rPr>
                <w:szCs w:val="22"/>
              </w:rPr>
            </w:pPr>
            <w:r w:rsidRPr="00D252D3">
              <w:rPr>
                <w:szCs w:val="22"/>
              </w:rPr>
              <w:t>D-59320 Ennigerloh</w:t>
            </w:r>
          </w:p>
          <w:p w:rsidR="00D33854" w:rsidRPr="00D252D3" w:rsidRDefault="00D33854" w:rsidP="00D33854">
            <w:pPr>
              <w:numPr>
                <w:ilvl w:val="12"/>
                <w:numId w:val="0"/>
              </w:numPr>
              <w:ind w:left="-108" w:right="-2"/>
              <w:rPr>
                <w:szCs w:val="22"/>
              </w:rPr>
            </w:pPr>
            <w:r w:rsidRPr="00D252D3">
              <w:rPr>
                <w:szCs w:val="22"/>
              </w:rPr>
              <w:t>Nemecko</w:t>
            </w:r>
          </w:p>
        </w:tc>
      </w:tr>
    </w:tbl>
    <w:p w:rsidR="0053152B" w:rsidRPr="00D252D3" w:rsidRDefault="0053152B">
      <w:pPr>
        <w:numPr>
          <w:ilvl w:val="12"/>
          <w:numId w:val="0"/>
        </w:numPr>
        <w:ind w:right="-2"/>
      </w:pPr>
      <w:r w:rsidRPr="00D252D3">
        <w:br w:type="page"/>
        <w:t>Ak potrebujete akúkoľvek informáciu o tomto lieku, kontaktujte miestneho zástupcu držiteľa rozhodnutia o registrácii.</w:t>
      </w:r>
    </w:p>
    <w:p w:rsidR="0053152B" w:rsidRPr="00D252D3" w:rsidRDefault="0053152B">
      <w:pPr>
        <w:numPr>
          <w:ilvl w:val="12"/>
          <w:numId w:val="0"/>
        </w:numPr>
        <w:tabs>
          <w:tab w:val="left" w:pos="708"/>
        </w:tabs>
        <w:ind w:right="-2"/>
      </w:pPr>
      <w:bookmarkStart w:id="36" w:name="_Toc49833174"/>
      <w:bookmarkStart w:id="37" w:name="_Toc49833281"/>
    </w:p>
    <w:tbl>
      <w:tblPr>
        <w:tblW w:w="9356" w:type="dxa"/>
        <w:tblInd w:w="-34" w:type="dxa"/>
        <w:tblLayout w:type="fixed"/>
        <w:tblLook w:val="0000" w:firstRow="0" w:lastRow="0" w:firstColumn="0" w:lastColumn="0" w:noHBand="0" w:noVBand="0"/>
      </w:tblPr>
      <w:tblGrid>
        <w:gridCol w:w="34"/>
        <w:gridCol w:w="4644"/>
        <w:gridCol w:w="4678"/>
      </w:tblGrid>
      <w:tr w:rsidR="0053152B" w:rsidRPr="00D252D3" w:rsidTr="0017732D">
        <w:trPr>
          <w:gridBefore w:val="1"/>
          <w:wBefore w:w="34" w:type="dxa"/>
        </w:trPr>
        <w:tc>
          <w:tcPr>
            <w:tcW w:w="4644" w:type="dxa"/>
          </w:tcPr>
          <w:p w:rsidR="0053152B" w:rsidRPr="00D252D3" w:rsidRDefault="0053152B">
            <w:pPr>
              <w:rPr>
                <w:szCs w:val="22"/>
              </w:rPr>
            </w:pPr>
            <w:r w:rsidRPr="00D252D3">
              <w:rPr>
                <w:b/>
                <w:szCs w:val="22"/>
              </w:rPr>
              <w:t>België/Belgique/Belgien</w:t>
            </w:r>
          </w:p>
          <w:p w:rsidR="0053152B" w:rsidRPr="00D252D3" w:rsidRDefault="0053152B">
            <w:pPr>
              <w:ind w:right="34"/>
              <w:rPr>
                <w:szCs w:val="22"/>
                <w:lang w:eastAsia="ja-JP"/>
              </w:rPr>
            </w:pPr>
            <w:r w:rsidRPr="00D252D3">
              <w:rPr>
                <w:rFonts w:eastAsia="MS Mincho"/>
                <w:szCs w:val="22"/>
                <w:lang w:eastAsia="ja-JP"/>
              </w:rPr>
              <w:t>SCS Boehringer Ingelheim Comm.V</w:t>
            </w:r>
            <w:r w:rsidRPr="00D252D3">
              <w:rPr>
                <w:szCs w:val="22"/>
                <w:lang w:eastAsia="ja-JP"/>
              </w:rPr>
              <w:t xml:space="preserve"> </w:t>
            </w:r>
          </w:p>
          <w:p w:rsidR="0053152B" w:rsidRPr="00D252D3" w:rsidRDefault="0053152B">
            <w:pPr>
              <w:ind w:right="34"/>
              <w:rPr>
                <w:szCs w:val="22"/>
              </w:rPr>
            </w:pPr>
            <w:r w:rsidRPr="00D252D3">
              <w:rPr>
                <w:szCs w:val="22"/>
                <w:lang w:eastAsia="ja-JP"/>
              </w:rPr>
              <w:t>Tél/Tel: +32 2 773 33 11</w:t>
            </w:r>
          </w:p>
        </w:tc>
        <w:tc>
          <w:tcPr>
            <w:tcW w:w="4678" w:type="dxa"/>
          </w:tcPr>
          <w:p w:rsidR="0053152B" w:rsidRPr="00D252D3" w:rsidRDefault="0053152B">
            <w:pPr>
              <w:rPr>
                <w:szCs w:val="22"/>
              </w:rPr>
            </w:pPr>
            <w:r w:rsidRPr="00D252D3">
              <w:rPr>
                <w:b/>
                <w:bCs/>
                <w:szCs w:val="22"/>
              </w:rPr>
              <w:t>Lietuva</w:t>
            </w:r>
          </w:p>
          <w:p w:rsidR="0053152B" w:rsidRPr="00D252D3" w:rsidRDefault="0053152B">
            <w:pPr>
              <w:tabs>
                <w:tab w:val="left" w:pos="-720"/>
              </w:tabs>
              <w:suppressAutoHyphens/>
              <w:rPr>
                <w:szCs w:val="22"/>
                <w:lang w:eastAsia="ja-JP"/>
              </w:rPr>
            </w:pPr>
            <w:r w:rsidRPr="00D252D3">
              <w:rPr>
                <w:szCs w:val="22"/>
                <w:lang w:eastAsia="ja-JP"/>
              </w:rPr>
              <w:t>Boehringer Ingelheim RCV GmbH &amp; Co KG</w:t>
            </w:r>
          </w:p>
          <w:p w:rsidR="0053152B" w:rsidRPr="00D252D3" w:rsidRDefault="0053152B">
            <w:pPr>
              <w:tabs>
                <w:tab w:val="left" w:pos="-720"/>
              </w:tabs>
              <w:suppressAutoHyphens/>
              <w:rPr>
                <w:szCs w:val="22"/>
                <w:lang w:eastAsia="ja-JP"/>
              </w:rPr>
            </w:pPr>
            <w:r w:rsidRPr="00D252D3">
              <w:rPr>
                <w:szCs w:val="22"/>
                <w:lang w:eastAsia="ja-JP"/>
              </w:rPr>
              <w:t>Lietuvos filialas</w:t>
            </w:r>
          </w:p>
          <w:p w:rsidR="0053152B" w:rsidRPr="00D252D3" w:rsidRDefault="0053152B">
            <w:pPr>
              <w:rPr>
                <w:szCs w:val="22"/>
              </w:rPr>
            </w:pPr>
            <w:r w:rsidRPr="00D252D3">
              <w:rPr>
                <w:szCs w:val="22"/>
                <w:lang w:eastAsia="ja-JP"/>
              </w:rPr>
              <w:t>Tel.: +370 37 473922</w:t>
            </w:r>
          </w:p>
          <w:p w:rsidR="0053152B" w:rsidRPr="00D252D3" w:rsidRDefault="0053152B">
            <w:pPr>
              <w:autoSpaceDE w:val="0"/>
              <w:autoSpaceDN w:val="0"/>
              <w:adjustRightInd w:val="0"/>
              <w:rPr>
                <w:szCs w:val="22"/>
              </w:rPr>
            </w:pPr>
          </w:p>
        </w:tc>
      </w:tr>
      <w:tr w:rsidR="0053152B" w:rsidRPr="00D252D3" w:rsidTr="0017732D">
        <w:trPr>
          <w:gridBefore w:val="1"/>
          <w:wBefore w:w="34" w:type="dxa"/>
        </w:trPr>
        <w:tc>
          <w:tcPr>
            <w:tcW w:w="4644" w:type="dxa"/>
          </w:tcPr>
          <w:p w:rsidR="0053152B" w:rsidRPr="00D252D3" w:rsidRDefault="0053152B">
            <w:pPr>
              <w:autoSpaceDE w:val="0"/>
              <w:autoSpaceDN w:val="0"/>
              <w:adjustRightInd w:val="0"/>
              <w:rPr>
                <w:b/>
                <w:bCs/>
                <w:szCs w:val="22"/>
              </w:rPr>
            </w:pPr>
            <w:r w:rsidRPr="00D252D3">
              <w:rPr>
                <w:b/>
                <w:bCs/>
                <w:szCs w:val="22"/>
              </w:rPr>
              <w:t>България</w:t>
            </w:r>
          </w:p>
          <w:p w:rsidR="0053152B" w:rsidRPr="00D252D3" w:rsidRDefault="0053152B">
            <w:pPr>
              <w:rPr>
                <w:rFonts w:eastAsia="MS Mincho"/>
                <w:szCs w:val="22"/>
                <w:lang w:eastAsia="ja-JP"/>
              </w:rPr>
            </w:pPr>
            <w:r w:rsidRPr="00D252D3">
              <w:rPr>
                <w:rFonts w:eastAsia="MS Mincho"/>
                <w:szCs w:val="22"/>
                <w:lang w:eastAsia="ja-JP"/>
              </w:rPr>
              <w:t>Бьорингер Ингелхайм РЦВ ГмбХ и Ко. КГ –</w:t>
            </w:r>
          </w:p>
          <w:p w:rsidR="0053152B" w:rsidRPr="00D252D3" w:rsidRDefault="0053152B">
            <w:pPr>
              <w:rPr>
                <w:szCs w:val="22"/>
              </w:rPr>
            </w:pPr>
            <w:r w:rsidRPr="00D252D3">
              <w:rPr>
                <w:rFonts w:eastAsia="MS Mincho"/>
                <w:szCs w:val="22"/>
                <w:lang w:eastAsia="ja-JP"/>
              </w:rPr>
              <w:t>клон България</w:t>
            </w:r>
          </w:p>
          <w:p w:rsidR="0053152B" w:rsidRPr="00D252D3" w:rsidRDefault="0053152B">
            <w:pPr>
              <w:autoSpaceDE w:val="0"/>
              <w:autoSpaceDN w:val="0"/>
              <w:adjustRightInd w:val="0"/>
              <w:rPr>
                <w:szCs w:val="22"/>
              </w:rPr>
            </w:pPr>
            <w:r w:rsidRPr="00D252D3">
              <w:rPr>
                <w:rFonts w:eastAsia="MS Mincho"/>
                <w:szCs w:val="22"/>
                <w:lang w:eastAsia="ja-JP"/>
              </w:rPr>
              <w:t>Тел: +359 2 958 79 98</w:t>
            </w:r>
          </w:p>
          <w:p w:rsidR="0053152B" w:rsidRPr="00D252D3" w:rsidRDefault="0053152B">
            <w:pPr>
              <w:tabs>
                <w:tab w:val="left" w:pos="-720"/>
              </w:tabs>
              <w:suppressAutoHyphens/>
              <w:rPr>
                <w:szCs w:val="22"/>
              </w:rPr>
            </w:pPr>
          </w:p>
        </w:tc>
        <w:tc>
          <w:tcPr>
            <w:tcW w:w="4678" w:type="dxa"/>
          </w:tcPr>
          <w:p w:rsidR="0053152B" w:rsidRPr="00D252D3" w:rsidRDefault="0053152B">
            <w:pPr>
              <w:rPr>
                <w:szCs w:val="22"/>
              </w:rPr>
            </w:pPr>
            <w:r w:rsidRPr="00D252D3">
              <w:rPr>
                <w:b/>
                <w:szCs w:val="22"/>
              </w:rPr>
              <w:t>Luxembourg/Luxemburg</w:t>
            </w:r>
          </w:p>
          <w:p w:rsidR="0053152B" w:rsidRPr="00D252D3" w:rsidRDefault="0053152B">
            <w:pPr>
              <w:rPr>
                <w:szCs w:val="22"/>
                <w:lang w:eastAsia="ja-JP"/>
              </w:rPr>
            </w:pPr>
            <w:r w:rsidRPr="00D252D3">
              <w:rPr>
                <w:rFonts w:eastAsia="MS Mincho"/>
                <w:szCs w:val="22"/>
                <w:lang w:eastAsia="ja-JP"/>
              </w:rPr>
              <w:t>SCS Boehringer Ingelheim Comm.V</w:t>
            </w:r>
            <w:r w:rsidRPr="00D252D3">
              <w:rPr>
                <w:szCs w:val="22"/>
                <w:lang w:eastAsia="ja-JP"/>
              </w:rPr>
              <w:t xml:space="preserve"> </w:t>
            </w:r>
          </w:p>
          <w:p w:rsidR="0053152B" w:rsidRPr="00D252D3" w:rsidRDefault="0053152B">
            <w:pPr>
              <w:rPr>
                <w:szCs w:val="22"/>
                <w:lang w:eastAsia="ja-JP"/>
              </w:rPr>
            </w:pPr>
            <w:r w:rsidRPr="00D252D3">
              <w:rPr>
                <w:szCs w:val="22"/>
                <w:lang w:eastAsia="ja-JP"/>
              </w:rPr>
              <w:t>Tél/Tel: +32 2 773 33 11</w:t>
            </w:r>
          </w:p>
          <w:p w:rsidR="0053152B" w:rsidRPr="00D252D3" w:rsidRDefault="0053152B">
            <w:pPr>
              <w:tabs>
                <w:tab w:val="left" w:pos="-720"/>
              </w:tabs>
              <w:suppressAutoHyphens/>
              <w:rPr>
                <w:szCs w:val="22"/>
              </w:rPr>
            </w:pPr>
          </w:p>
        </w:tc>
      </w:tr>
      <w:tr w:rsidR="0053152B" w:rsidRPr="00D252D3" w:rsidTr="0017732D">
        <w:trPr>
          <w:gridBefore w:val="1"/>
          <w:wBefore w:w="34" w:type="dxa"/>
          <w:trHeight w:val="1031"/>
        </w:trPr>
        <w:tc>
          <w:tcPr>
            <w:tcW w:w="4644" w:type="dxa"/>
          </w:tcPr>
          <w:p w:rsidR="0053152B" w:rsidRPr="00D252D3" w:rsidRDefault="0053152B">
            <w:pPr>
              <w:tabs>
                <w:tab w:val="left" w:pos="-720"/>
              </w:tabs>
              <w:suppressAutoHyphens/>
              <w:rPr>
                <w:szCs w:val="22"/>
              </w:rPr>
            </w:pPr>
            <w:r w:rsidRPr="00D252D3">
              <w:rPr>
                <w:b/>
                <w:szCs w:val="22"/>
              </w:rPr>
              <w:t>Česká republika</w:t>
            </w:r>
          </w:p>
          <w:p w:rsidR="0053152B" w:rsidRPr="00D252D3" w:rsidRDefault="0053152B">
            <w:pPr>
              <w:tabs>
                <w:tab w:val="left" w:pos="-720"/>
              </w:tabs>
              <w:suppressAutoHyphens/>
              <w:rPr>
                <w:szCs w:val="22"/>
                <w:lang w:eastAsia="ja-JP"/>
              </w:rPr>
            </w:pPr>
            <w:r w:rsidRPr="00D252D3">
              <w:rPr>
                <w:szCs w:val="22"/>
                <w:lang w:eastAsia="ja-JP"/>
              </w:rPr>
              <w:t>Boehringer Ingelheim spol. s r.o.</w:t>
            </w:r>
          </w:p>
          <w:p w:rsidR="0053152B" w:rsidRPr="00D252D3" w:rsidRDefault="0053152B">
            <w:pPr>
              <w:tabs>
                <w:tab w:val="left" w:pos="-720"/>
              </w:tabs>
              <w:suppressAutoHyphens/>
              <w:rPr>
                <w:szCs w:val="22"/>
              </w:rPr>
            </w:pPr>
            <w:r w:rsidRPr="00D252D3">
              <w:rPr>
                <w:szCs w:val="22"/>
                <w:lang w:eastAsia="ja-JP"/>
              </w:rPr>
              <w:t>Tel: +420 234 655 111</w:t>
            </w:r>
          </w:p>
        </w:tc>
        <w:tc>
          <w:tcPr>
            <w:tcW w:w="4678" w:type="dxa"/>
          </w:tcPr>
          <w:p w:rsidR="0053152B" w:rsidRPr="00D252D3" w:rsidRDefault="0053152B">
            <w:pPr>
              <w:spacing w:line="260" w:lineRule="atLeast"/>
              <w:rPr>
                <w:b/>
                <w:szCs w:val="22"/>
              </w:rPr>
            </w:pPr>
            <w:r w:rsidRPr="00D252D3">
              <w:rPr>
                <w:b/>
                <w:szCs w:val="22"/>
              </w:rPr>
              <w:t>Magyarország</w:t>
            </w:r>
          </w:p>
          <w:p w:rsidR="0053152B" w:rsidRPr="00D252D3" w:rsidRDefault="0053152B">
            <w:pPr>
              <w:tabs>
                <w:tab w:val="left" w:pos="-720"/>
              </w:tabs>
              <w:suppressAutoHyphens/>
              <w:rPr>
                <w:szCs w:val="22"/>
                <w:lang w:eastAsia="de-DE"/>
              </w:rPr>
            </w:pPr>
            <w:r w:rsidRPr="00D252D3">
              <w:rPr>
                <w:szCs w:val="22"/>
                <w:lang w:eastAsia="de-DE"/>
              </w:rPr>
              <w:t xml:space="preserve">Boehringer Ingelheim RCV GmbH &amp; Co KG </w:t>
            </w:r>
          </w:p>
          <w:p w:rsidR="0053152B" w:rsidRPr="00D252D3" w:rsidRDefault="0053152B">
            <w:pPr>
              <w:rPr>
                <w:szCs w:val="22"/>
                <w:lang w:eastAsia="de-DE"/>
              </w:rPr>
            </w:pPr>
            <w:r w:rsidRPr="00D252D3">
              <w:rPr>
                <w:szCs w:val="22"/>
                <w:lang w:eastAsia="de-DE"/>
              </w:rPr>
              <w:t>Magyarországi Fióktelepe</w:t>
            </w:r>
          </w:p>
          <w:p w:rsidR="0053152B" w:rsidRPr="00D252D3" w:rsidRDefault="0053152B">
            <w:pPr>
              <w:rPr>
                <w:b/>
                <w:szCs w:val="22"/>
              </w:rPr>
            </w:pPr>
            <w:r w:rsidRPr="00D252D3">
              <w:rPr>
                <w:szCs w:val="22"/>
                <w:lang w:eastAsia="de-DE"/>
              </w:rPr>
              <w:t>Tel.: +36 1 299 8900</w:t>
            </w:r>
          </w:p>
          <w:p w:rsidR="0053152B" w:rsidRPr="00D252D3" w:rsidRDefault="0053152B">
            <w:pPr>
              <w:rPr>
                <w:szCs w:val="22"/>
              </w:rPr>
            </w:pPr>
          </w:p>
        </w:tc>
      </w:tr>
      <w:tr w:rsidR="0053152B" w:rsidRPr="00D252D3" w:rsidTr="0017732D">
        <w:trPr>
          <w:gridBefore w:val="1"/>
          <w:wBefore w:w="34" w:type="dxa"/>
        </w:trPr>
        <w:tc>
          <w:tcPr>
            <w:tcW w:w="4644" w:type="dxa"/>
          </w:tcPr>
          <w:p w:rsidR="0053152B" w:rsidRPr="00D252D3" w:rsidRDefault="0053152B">
            <w:pPr>
              <w:rPr>
                <w:szCs w:val="22"/>
              </w:rPr>
            </w:pPr>
            <w:r w:rsidRPr="00D252D3">
              <w:rPr>
                <w:b/>
                <w:szCs w:val="22"/>
              </w:rPr>
              <w:t>Danmark</w:t>
            </w:r>
          </w:p>
          <w:p w:rsidR="0053152B" w:rsidRPr="00D252D3" w:rsidRDefault="0053152B">
            <w:pPr>
              <w:tabs>
                <w:tab w:val="left" w:pos="-720"/>
              </w:tabs>
              <w:suppressAutoHyphens/>
              <w:rPr>
                <w:szCs w:val="22"/>
                <w:lang w:eastAsia="ja-JP"/>
              </w:rPr>
            </w:pPr>
            <w:r w:rsidRPr="00D252D3">
              <w:rPr>
                <w:szCs w:val="22"/>
                <w:lang w:eastAsia="ja-JP"/>
              </w:rPr>
              <w:t>Boehringer Ingelheim Danmark A/S</w:t>
            </w:r>
          </w:p>
          <w:p w:rsidR="0053152B" w:rsidRPr="00D252D3" w:rsidRDefault="0053152B">
            <w:pPr>
              <w:tabs>
                <w:tab w:val="left" w:pos="-720"/>
              </w:tabs>
              <w:suppressAutoHyphens/>
              <w:rPr>
                <w:szCs w:val="22"/>
              </w:rPr>
            </w:pPr>
            <w:r w:rsidRPr="00D252D3">
              <w:rPr>
                <w:szCs w:val="22"/>
                <w:lang w:eastAsia="ja-JP"/>
              </w:rPr>
              <w:t>Tlf: +45 39 15 88 88</w:t>
            </w:r>
          </w:p>
        </w:tc>
        <w:tc>
          <w:tcPr>
            <w:tcW w:w="4678" w:type="dxa"/>
          </w:tcPr>
          <w:p w:rsidR="0053152B" w:rsidRPr="00D252D3" w:rsidRDefault="0053152B">
            <w:pPr>
              <w:tabs>
                <w:tab w:val="left" w:pos="-720"/>
                <w:tab w:val="left" w:pos="4536"/>
              </w:tabs>
              <w:suppressAutoHyphens/>
              <w:rPr>
                <w:b/>
                <w:szCs w:val="22"/>
              </w:rPr>
            </w:pPr>
            <w:r w:rsidRPr="00D252D3">
              <w:rPr>
                <w:b/>
                <w:szCs w:val="22"/>
              </w:rPr>
              <w:t>Malta</w:t>
            </w:r>
          </w:p>
          <w:p w:rsidR="00A21B39" w:rsidRPr="00D252D3" w:rsidRDefault="00A21B39" w:rsidP="00A21B39">
            <w:pPr>
              <w:rPr>
                <w:szCs w:val="22"/>
                <w:lang w:eastAsia="ja-JP"/>
              </w:rPr>
            </w:pPr>
            <w:r w:rsidRPr="00D252D3">
              <w:rPr>
                <w:szCs w:val="22"/>
                <w:lang w:eastAsia="ja-JP"/>
              </w:rPr>
              <w:t>Boehringer Ingelheim Ireland Ltd.</w:t>
            </w:r>
          </w:p>
          <w:p w:rsidR="0053152B" w:rsidRPr="00D252D3" w:rsidRDefault="00A21B39">
            <w:pPr>
              <w:rPr>
                <w:szCs w:val="22"/>
                <w:lang w:eastAsia="ja-JP"/>
              </w:rPr>
            </w:pPr>
            <w:r w:rsidRPr="00D252D3">
              <w:rPr>
                <w:szCs w:val="22"/>
                <w:lang w:eastAsia="ja-JP"/>
              </w:rPr>
              <w:t>Tel: +353 1 295 9620</w:t>
            </w:r>
          </w:p>
          <w:p w:rsidR="0053152B" w:rsidRPr="00D252D3" w:rsidRDefault="0053152B">
            <w:pPr>
              <w:rPr>
                <w:szCs w:val="22"/>
              </w:rPr>
            </w:pPr>
          </w:p>
        </w:tc>
      </w:tr>
      <w:tr w:rsidR="0053152B" w:rsidRPr="00D252D3" w:rsidTr="0017732D">
        <w:trPr>
          <w:gridBefore w:val="1"/>
          <w:wBefore w:w="34" w:type="dxa"/>
        </w:trPr>
        <w:tc>
          <w:tcPr>
            <w:tcW w:w="4644" w:type="dxa"/>
          </w:tcPr>
          <w:p w:rsidR="0053152B" w:rsidRPr="00D252D3" w:rsidRDefault="0053152B">
            <w:pPr>
              <w:rPr>
                <w:szCs w:val="22"/>
              </w:rPr>
            </w:pPr>
            <w:r w:rsidRPr="00D252D3">
              <w:rPr>
                <w:b/>
                <w:szCs w:val="22"/>
              </w:rPr>
              <w:t>Deutschland</w:t>
            </w:r>
          </w:p>
          <w:p w:rsidR="0053152B" w:rsidRPr="00D252D3" w:rsidRDefault="0053152B">
            <w:pPr>
              <w:tabs>
                <w:tab w:val="left" w:pos="-720"/>
              </w:tabs>
              <w:suppressAutoHyphens/>
              <w:rPr>
                <w:szCs w:val="22"/>
                <w:lang w:eastAsia="ja-JP"/>
              </w:rPr>
            </w:pPr>
            <w:r w:rsidRPr="00D252D3">
              <w:rPr>
                <w:szCs w:val="22"/>
                <w:lang w:eastAsia="ja-JP"/>
              </w:rPr>
              <w:t>Boehringer Ingelheim Pharma GmbH &amp; Co. KG</w:t>
            </w:r>
          </w:p>
          <w:p w:rsidR="0053152B" w:rsidRPr="00D252D3" w:rsidRDefault="0053152B">
            <w:pPr>
              <w:tabs>
                <w:tab w:val="left" w:pos="-720"/>
              </w:tabs>
              <w:suppressAutoHyphens/>
              <w:rPr>
                <w:szCs w:val="22"/>
                <w:lang w:eastAsia="ja-JP"/>
              </w:rPr>
            </w:pPr>
            <w:r w:rsidRPr="00D252D3">
              <w:rPr>
                <w:szCs w:val="22"/>
                <w:lang w:eastAsia="ja-JP"/>
              </w:rPr>
              <w:t>Tel: +49 (0) 800 / 77 90 900</w:t>
            </w:r>
          </w:p>
        </w:tc>
        <w:tc>
          <w:tcPr>
            <w:tcW w:w="4678" w:type="dxa"/>
          </w:tcPr>
          <w:p w:rsidR="0053152B" w:rsidRPr="00D252D3" w:rsidRDefault="0053152B">
            <w:pPr>
              <w:suppressAutoHyphens/>
              <w:rPr>
                <w:szCs w:val="22"/>
              </w:rPr>
            </w:pPr>
            <w:r w:rsidRPr="00D252D3">
              <w:rPr>
                <w:b/>
                <w:szCs w:val="22"/>
              </w:rPr>
              <w:t>Nederland</w:t>
            </w:r>
          </w:p>
          <w:p w:rsidR="0053152B" w:rsidRPr="00D252D3" w:rsidRDefault="0053152B">
            <w:pPr>
              <w:rPr>
                <w:szCs w:val="22"/>
                <w:lang w:eastAsia="ja-JP"/>
              </w:rPr>
            </w:pPr>
            <w:r w:rsidRPr="00D252D3">
              <w:rPr>
                <w:szCs w:val="22"/>
                <w:lang w:eastAsia="ja-JP"/>
              </w:rPr>
              <w:t>Boehringer Ingelheim b.v.</w:t>
            </w:r>
          </w:p>
          <w:p w:rsidR="0053152B" w:rsidRPr="00D252D3" w:rsidRDefault="0053152B">
            <w:pPr>
              <w:rPr>
                <w:szCs w:val="22"/>
                <w:lang w:eastAsia="ja-JP"/>
              </w:rPr>
            </w:pPr>
            <w:r w:rsidRPr="00D252D3">
              <w:rPr>
                <w:szCs w:val="22"/>
                <w:lang w:eastAsia="ja-JP"/>
              </w:rPr>
              <w:t>Tel: +31  (0) 800 22 55 889</w:t>
            </w:r>
          </w:p>
          <w:p w:rsidR="0053152B" w:rsidRPr="00D252D3" w:rsidRDefault="0053152B">
            <w:pPr>
              <w:tabs>
                <w:tab w:val="left" w:pos="-720"/>
              </w:tabs>
              <w:suppressAutoHyphens/>
              <w:rPr>
                <w:szCs w:val="22"/>
              </w:rPr>
            </w:pPr>
          </w:p>
        </w:tc>
      </w:tr>
      <w:tr w:rsidR="0053152B" w:rsidRPr="00D252D3" w:rsidTr="0017732D">
        <w:trPr>
          <w:gridBefore w:val="1"/>
          <w:wBefore w:w="34" w:type="dxa"/>
        </w:trPr>
        <w:tc>
          <w:tcPr>
            <w:tcW w:w="4644" w:type="dxa"/>
          </w:tcPr>
          <w:p w:rsidR="0053152B" w:rsidRPr="00D252D3" w:rsidRDefault="0053152B">
            <w:pPr>
              <w:tabs>
                <w:tab w:val="left" w:pos="-720"/>
              </w:tabs>
              <w:suppressAutoHyphens/>
              <w:rPr>
                <w:b/>
                <w:bCs/>
                <w:szCs w:val="22"/>
              </w:rPr>
            </w:pPr>
            <w:r w:rsidRPr="00D252D3">
              <w:rPr>
                <w:b/>
                <w:bCs/>
                <w:szCs w:val="22"/>
              </w:rPr>
              <w:t>Eesti</w:t>
            </w:r>
          </w:p>
          <w:p w:rsidR="0053152B" w:rsidRPr="00D252D3" w:rsidRDefault="0053152B">
            <w:pPr>
              <w:tabs>
                <w:tab w:val="left" w:pos="-720"/>
              </w:tabs>
              <w:suppressAutoHyphens/>
              <w:rPr>
                <w:szCs w:val="22"/>
                <w:lang w:eastAsia="ja-JP"/>
              </w:rPr>
            </w:pPr>
            <w:r w:rsidRPr="00D252D3">
              <w:rPr>
                <w:szCs w:val="22"/>
                <w:lang w:eastAsia="ja-JP"/>
              </w:rPr>
              <w:t>Boehringer Ingelheim RCV GmbH &amp; Co KG</w:t>
            </w:r>
          </w:p>
          <w:p w:rsidR="0053152B" w:rsidRPr="00D252D3" w:rsidRDefault="0053152B">
            <w:pPr>
              <w:tabs>
                <w:tab w:val="left" w:pos="-720"/>
              </w:tabs>
              <w:suppressAutoHyphens/>
              <w:rPr>
                <w:szCs w:val="22"/>
                <w:lang w:eastAsia="de-DE"/>
              </w:rPr>
            </w:pPr>
            <w:r w:rsidRPr="00D252D3">
              <w:rPr>
                <w:szCs w:val="22"/>
                <w:lang w:eastAsia="de-DE"/>
              </w:rPr>
              <w:t>Eesti Filiaal</w:t>
            </w:r>
          </w:p>
          <w:p w:rsidR="0053152B" w:rsidRPr="00D252D3" w:rsidRDefault="0053152B">
            <w:pPr>
              <w:tabs>
                <w:tab w:val="left" w:pos="-720"/>
              </w:tabs>
              <w:suppressAutoHyphens/>
              <w:rPr>
                <w:szCs w:val="22"/>
                <w:lang w:eastAsia="ja-JP"/>
              </w:rPr>
            </w:pPr>
            <w:r w:rsidRPr="00D252D3">
              <w:rPr>
                <w:szCs w:val="22"/>
                <w:lang w:eastAsia="ja-JP"/>
              </w:rPr>
              <w:t>Tel: +372 612 8000</w:t>
            </w:r>
          </w:p>
          <w:p w:rsidR="0053152B" w:rsidRPr="00D252D3" w:rsidRDefault="0053152B">
            <w:pPr>
              <w:tabs>
                <w:tab w:val="left" w:pos="-720"/>
              </w:tabs>
              <w:suppressAutoHyphens/>
              <w:rPr>
                <w:szCs w:val="22"/>
              </w:rPr>
            </w:pPr>
          </w:p>
        </w:tc>
        <w:tc>
          <w:tcPr>
            <w:tcW w:w="4678" w:type="dxa"/>
          </w:tcPr>
          <w:p w:rsidR="0053152B" w:rsidRPr="00D252D3" w:rsidRDefault="0053152B">
            <w:pPr>
              <w:rPr>
                <w:szCs w:val="22"/>
              </w:rPr>
            </w:pPr>
            <w:r w:rsidRPr="00D252D3">
              <w:rPr>
                <w:b/>
                <w:szCs w:val="22"/>
              </w:rPr>
              <w:t>Norge</w:t>
            </w:r>
          </w:p>
          <w:p w:rsidR="0053152B" w:rsidRPr="00D252D3" w:rsidRDefault="0053152B">
            <w:pPr>
              <w:tabs>
                <w:tab w:val="left" w:pos="-720"/>
              </w:tabs>
              <w:suppressAutoHyphens/>
              <w:rPr>
                <w:szCs w:val="22"/>
                <w:lang w:eastAsia="ja-JP"/>
              </w:rPr>
            </w:pPr>
            <w:r w:rsidRPr="00D252D3">
              <w:rPr>
                <w:szCs w:val="22"/>
                <w:lang w:eastAsia="ja-JP"/>
              </w:rPr>
              <w:t>Boehringer Ingelheim Norway KS</w:t>
            </w:r>
          </w:p>
          <w:p w:rsidR="0053152B" w:rsidRPr="00D252D3" w:rsidRDefault="0053152B">
            <w:pPr>
              <w:tabs>
                <w:tab w:val="left" w:pos="-720"/>
              </w:tabs>
              <w:suppressAutoHyphens/>
              <w:rPr>
                <w:szCs w:val="22"/>
                <w:lang w:eastAsia="ja-JP"/>
              </w:rPr>
            </w:pPr>
            <w:r w:rsidRPr="00D252D3">
              <w:rPr>
                <w:szCs w:val="22"/>
                <w:lang w:eastAsia="ja-JP"/>
              </w:rPr>
              <w:t>Tlf: +47 66 76 13 00</w:t>
            </w:r>
          </w:p>
          <w:p w:rsidR="0053152B" w:rsidRPr="00D252D3" w:rsidRDefault="0053152B">
            <w:pPr>
              <w:rPr>
                <w:szCs w:val="22"/>
              </w:rPr>
            </w:pPr>
          </w:p>
        </w:tc>
      </w:tr>
      <w:tr w:rsidR="0053152B" w:rsidRPr="00D252D3" w:rsidTr="0017732D">
        <w:trPr>
          <w:gridBefore w:val="1"/>
          <w:wBefore w:w="34" w:type="dxa"/>
        </w:trPr>
        <w:tc>
          <w:tcPr>
            <w:tcW w:w="4644" w:type="dxa"/>
          </w:tcPr>
          <w:p w:rsidR="0053152B" w:rsidRPr="00D252D3" w:rsidRDefault="0053152B">
            <w:pPr>
              <w:rPr>
                <w:szCs w:val="22"/>
              </w:rPr>
            </w:pPr>
            <w:r w:rsidRPr="00D252D3">
              <w:rPr>
                <w:b/>
                <w:szCs w:val="22"/>
              </w:rPr>
              <w:t>Ελλάδα</w:t>
            </w:r>
          </w:p>
          <w:p w:rsidR="0053152B" w:rsidRPr="00D252D3" w:rsidRDefault="0053152B">
            <w:pPr>
              <w:tabs>
                <w:tab w:val="left" w:pos="-720"/>
              </w:tabs>
              <w:suppressAutoHyphens/>
              <w:rPr>
                <w:szCs w:val="22"/>
                <w:lang w:eastAsia="ja-JP"/>
              </w:rPr>
            </w:pPr>
            <w:r w:rsidRPr="00D252D3">
              <w:rPr>
                <w:szCs w:val="22"/>
                <w:lang w:eastAsia="ja-JP"/>
              </w:rPr>
              <w:t>Boehringer Ingelheim Ellas A.E.</w:t>
            </w:r>
          </w:p>
          <w:p w:rsidR="0053152B" w:rsidRPr="00D252D3" w:rsidRDefault="0053152B">
            <w:pPr>
              <w:tabs>
                <w:tab w:val="left" w:pos="-720"/>
              </w:tabs>
              <w:suppressAutoHyphens/>
              <w:rPr>
                <w:szCs w:val="22"/>
              </w:rPr>
            </w:pPr>
            <w:r w:rsidRPr="00D252D3">
              <w:rPr>
                <w:szCs w:val="22"/>
                <w:lang w:eastAsia="ja-JP"/>
              </w:rPr>
              <w:t>Tηλ: +30 2 10 89 06 300</w:t>
            </w:r>
          </w:p>
        </w:tc>
        <w:tc>
          <w:tcPr>
            <w:tcW w:w="4678" w:type="dxa"/>
          </w:tcPr>
          <w:p w:rsidR="0053152B" w:rsidRPr="00D252D3" w:rsidRDefault="0053152B">
            <w:pPr>
              <w:rPr>
                <w:szCs w:val="22"/>
              </w:rPr>
            </w:pPr>
            <w:r w:rsidRPr="00D252D3">
              <w:rPr>
                <w:b/>
                <w:bCs/>
                <w:szCs w:val="22"/>
              </w:rPr>
              <w:t>Österreich</w:t>
            </w:r>
          </w:p>
          <w:p w:rsidR="0053152B" w:rsidRPr="00D252D3" w:rsidRDefault="0053152B">
            <w:pPr>
              <w:autoSpaceDE w:val="0"/>
              <w:autoSpaceDN w:val="0"/>
              <w:adjustRightInd w:val="0"/>
              <w:rPr>
                <w:szCs w:val="22"/>
                <w:lang w:eastAsia="de-DE"/>
              </w:rPr>
            </w:pPr>
            <w:r w:rsidRPr="00D252D3">
              <w:rPr>
                <w:szCs w:val="22"/>
                <w:lang w:eastAsia="de-DE"/>
              </w:rPr>
              <w:t>Boehringer Ingelheim RCV GmbH &amp; Co KG</w:t>
            </w:r>
          </w:p>
          <w:p w:rsidR="0053152B" w:rsidRPr="00D252D3" w:rsidRDefault="0053152B">
            <w:pPr>
              <w:tabs>
                <w:tab w:val="left" w:pos="-720"/>
              </w:tabs>
              <w:suppressAutoHyphens/>
              <w:rPr>
                <w:szCs w:val="22"/>
                <w:lang w:eastAsia="ja-JP"/>
              </w:rPr>
            </w:pPr>
            <w:r w:rsidRPr="00D252D3">
              <w:rPr>
                <w:szCs w:val="22"/>
                <w:lang w:eastAsia="de-DE"/>
              </w:rPr>
              <w:t xml:space="preserve">Tel: </w:t>
            </w:r>
            <w:r w:rsidR="0017732D" w:rsidRPr="00D252D3">
              <w:rPr>
                <w:szCs w:val="22"/>
                <w:lang w:eastAsia="de-DE"/>
              </w:rPr>
              <w:t>+43 1 80 105-7870</w:t>
            </w:r>
          </w:p>
          <w:p w:rsidR="0053152B" w:rsidRPr="00D252D3" w:rsidRDefault="0053152B">
            <w:pPr>
              <w:tabs>
                <w:tab w:val="left" w:pos="-720"/>
              </w:tabs>
              <w:suppressAutoHyphens/>
              <w:rPr>
                <w:szCs w:val="22"/>
              </w:rPr>
            </w:pPr>
          </w:p>
        </w:tc>
      </w:tr>
      <w:tr w:rsidR="0053152B" w:rsidRPr="00D252D3" w:rsidTr="0017732D">
        <w:tc>
          <w:tcPr>
            <w:tcW w:w="4678" w:type="dxa"/>
            <w:gridSpan w:val="2"/>
          </w:tcPr>
          <w:p w:rsidR="0053152B" w:rsidRPr="00D252D3" w:rsidRDefault="0053152B">
            <w:pPr>
              <w:tabs>
                <w:tab w:val="left" w:pos="-720"/>
                <w:tab w:val="left" w:pos="4536"/>
              </w:tabs>
              <w:suppressAutoHyphens/>
              <w:rPr>
                <w:b/>
                <w:szCs w:val="22"/>
              </w:rPr>
            </w:pPr>
            <w:r w:rsidRPr="00D252D3">
              <w:rPr>
                <w:b/>
                <w:szCs w:val="22"/>
              </w:rPr>
              <w:t>España</w:t>
            </w:r>
          </w:p>
          <w:p w:rsidR="0053152B" w:rsidRPr="00D252D3" w:rsidRDefault="0053152B">
            <w:pPr>
              <w:tabs>
                <w:tab w:val="left" w:pos="-720"/>
              </w:tabs>
              <w:suppressAutoHyphens/>
              <w:rPr>
                <w:szCs w:val="22"/>
                <w:lang w:eastAsia="ja-JP"/>
              </w:rPr>
            </w:pPr>
            <w:r w:rsidRPr="00D252D3">
              <w:rPr>
                <w:szCs w:val="22"/>
                <w:lang w:eastAsia="ja-JP"/>
              </w:rPr>
              <w:t>Boehringer Ingelheim España, S.A.</w:t>
            </w:r>
          </w:p>
          <w:p w:rsidR="0053152B" w:rsidRPr="00D252D3" w:rsidRDefault="0053152B">
            <w:pPr>
              <w:tabs>
                <w:tab w:val="left" w:pos="-720"/>
              </w:tabs>
              <w:suppressAutoHyphens/>
              <w:rPr>
                <w:szCs w:val="22"/>
              </w:rPr>
            </w:pPr>
            <w:r w:rsidRPr="00D252D3">
              <w:rPr>
                <w:szCs w:val="22"/>
                <w:lang w:eastAsia="ja-JP"/>
              </w:rPr>
              <w:t>Tel: +34 93 404 51 00</w:t>
            </w:r>
          </w:p>
          <w:p w:rsidR="0053152B" w:rsidRPr="00D252D3" w:rsidRDefault="0053152B">
            <w:pPr>
              <w:tabs>
                <w:tab w:val="left" w:pos="-720"/>
              </w:tabs>
              <w:suppressAutoHyphens/>
              <w:rPr>
                <w:szCs w:val="22"/>
              </w:rPr>
            </w:pPr>
          </w:p>
        </w:tc>
        <w:tc>
          <w:tcPr>
            <w:tcW w:w="4678" w:type="dxa"/>
          </w:tcPr>
          <w:p w:rsidR="0053152B" w:rsidRPr="00D252D3" w:rsidRDefault="0053152B">
            <w:pPr>
              <w:tabs>
                <w:tab w:val="left" w:pos="-720"/>
                <w:tab w:val="left" w:pos="4536"/>
              </w:tabs>
              <w:suppressAutoHyphens/>
              <w:rPr>
                <w:b/>
                <w:bCs/>
                <w:i/>
                <w:iCs/>
                <w:szCs w:val="22"/>
              </w:rPr>
            </w:pPr>
            <w:r w:rsidRPr="00D252D3">
              <w:rPr>
                <w:b/>
                <w:szCs w:val="22"/>
              </w:rPr>
              <w:t>Polska</w:t>
            </w:r>
          </w:p>
          <w:p w:rsidR="0053152B" w:rsidRPr="00D252D3" w:rsidRDefault="0053152B">
            <w:pPr>
              <w:tabs>
                <w:tab w:val="left" w:pos="-720"/>
              </w:tabs>
              <w:suppressAutoHyphens/>
              <w:rPr>
                <w:szCs w:val="22"/>
                <w:lang w:eastAsia="ja-JP"/>
              </w:rPr>
            </w:pPr>
            <w:r w:rsidRPr="00D252D3">
              <w:rPr>
                <w:szCs w:val="22"/>
                <w:lang w:eastAsia="ja-JP"/>
              </w:rPr>
              <w:t>Boehringer Ingelheim Sp.zo.o.</w:t>
            </w:r>
          </w:p>
          <w:p w:rsidR="0053152B" w:rsidRPr="00D252D3" w:rsidRDefault="0053152B">
            <w:pPr>
              <w:tabs>
                <w:tab w:val="left" w:pos="-720"/>
              </w:tabs>
              <w:suppressAutoHyphens/>
              <w:rPr>
                <w:szCs w:val="22"/>
                <w:lang w:eastAsia="ja-JP"/>
              </w:rPr>
            </w:pPr>
            <w:r w:rsidRPr="00D252D3">
              <w:rPr>
                <w:szCs w:val="22"/>
                <w:lang w:eastAsia="ja-JP"/>
              </w:rPr>
              <w:t>Tel.: +48 22 699 0 699</w:t>
            </w:r>
          </w:p>
          <w:p w:rsidR="0053152B" w:rsidRPr="00D252D3" w:rsidRDefault="0053152B">
            <w:pPr>
              <w:tabs>
                <w:tab w:val="left" w:pos="-720"/>
              </w:tabs>
              <w:suppressAutoHyphens/>
              <w:rPr>
                <w:szCs w:val="22"/>
              </w:rPr>
            </w:pPr>
          </w:p>
        </w:tc>
      </w:tr>
      <w:tr w:rsidR="0053152B" w:rsidRPr="00D252D3" w:rsidTr="0017732D">
        <w:tc>
          <w:tcPr>
            <w:tcW w:w="4678" w:type="dxa"/>
            <w:gridSpan w:val="2"/>
          </w:tcPr>
          <w:p w:rsidR="0053152B" w:rsidRPr="00D252D3" w:rsidRDefault="0053152B">
            <w:pPr>
              <w:tabs>
                <w:tab w:val="left" w:pos="-720"/>
                <w:tab w:val="left" w:pos="4536"/>
              </w:tabs>
              <w:suppressAutoHyphens/>
              <w:rPr>
                <w:b/>
                <w:szCs w:val="22"/>
              </w:rPr>
            </w:pPr>
            <w:r w:rsidRPr="00D252D3">
              <w:rPr>
                <w:b/>
                <w:szCs w:val="22"/>
              </w:rPr>
              <w:t>France</w:t>
            </w:r>
          </w:p>
          <w:p w:rsidR="0053152B" w:rsidRPr="00D252D3" w:rsidRDefault="0053152B">
            <w:pPr>
              <w:rPr>
                <w:szCs w:val="22"/>
                <w:lang w:eastAsia="ja-JP"/>
              </w:rPr>
            </w:pPr>
            <w:r w:rsidRPr="00D252D3">
              <w:rPr>
                <w:szCs w:val="22"/>
                <w:lang w:eastAsia="ja-JP"/>
              </w:rPr>
              <w:t>Boehringer Ingelheim France S.A.S.</w:t>
            </w:r>
          </w:p>
          <w:p w:rsidR="0053152B" w:rsidRPr="00D252D3" w:rsidRDefault="0053152B">
            <w:pPr>
              <w:rPr>
                <w:b/>
                <w:szCs w:val="22"/>
              </w:rPr>
            </w:pPr>
            <w:r w:rsidRPr="00D252D3">
              <w:rPr>
                <w:szCs w:val="22"/>
                <w:lang w:eastAsia="ja-JP"/>
              </w:rPr>
              <w:t>Tél: +33 3 26 50 45 33</w:t>
            </w:r>
          </w:p>
        </w:tc>
        <w:tc>
          <w:tcPr>
            <w:tcW w:w="4678" w:type="dxa"/>
          </w:tcPr>
          <w:p w:rsidR="0053152B" w:rsidRPr="00D252D3" w:rsidRDefault="0053152B">
            <w:pPr>
              <w:rPr>
                <w:szCs w:val="22"/>
              </w:rPr>
            </w:pPr>
            <w:r w:rsidRPr="00D252D3">
              <w:rPr>
                <w:b/>
                <w:szCs w:val="22"/>
              </w:rPr>
              <w:t>Portugal</w:t>
            </w:r>
          </w:p>
          <w:p w:rsidR="0053152B" w:rsidRPr="00D252D3" w:rsidRDefault="0053152B">
            <w:pPr>
              <w:tabs>
                <w:tab w:val="left" w:pos="-720"/>
              </w:tabs>
              <w:suppressAutoHyphens/>
              <w:rPr>
                <w:szCs w:val="22"/>
                <w:lang w:eastAsia="ja-JP"/>
              </w:rPr>
            </w:pPr>
            <w:r w:rsidRPr="00D252D3">
              <w:rPr>
                <w:szCs w:val="22"/>
                <w:lang w:eastAsia="ja-JP"/>
              </w:rPr>
              <w:t>Boehringer Ingelheim, Unipessoal, Lda.</w:t>
            </w:r>
          </w:p>
          <w:p w:rsidR="0053152B" w:rsidRPr="00D252D3" w:rsidRDefault="0053152B">
            <w:pPr>
              <w:tabs>
                <w:tab w:val="left" w:pos="-720"/>
              </w:tabs>
              <w:suppressAutoHyphens/>
              <w:rPr>
                <w:szCs w:val="22"/>
              </w:rPr>
            </w:pPr>
            <w:r w:rsidRPr="00D252D3">
              <w:rPr>
                <w:szCs w:val="22"/>
                <w:lang w:eastAsia="ja-JP"/>
              </w:rPr>
              <w:t>Tel: +351 21 313 53 00</w:t>
            </w:r>
          </w:p>
          <w:p w:rsidR="0053152B" w:rsidRPr="00D252D3" w:rsidRDefault="0053152B">
            <w:pPr>
              <w:tabs>
                <w:tab w:val="left" w:pos="-720"/>
              </w:tabs>
              <w:suppressAutoHyphens/>
              <w:rPr>
                <w:szCs w:val="22"/>
              </w:rPr>
            </w:pPr>
          </w:p>
        </w:tc>
      </w:tr>
      <w:tr w:rsidR="0053152B" w:rsidRPr="00D252D3" w:rsidTr="0017732D">
        <w:tc>
          <w:tcPr>
            <w:tcW w:w="4678" w:type="dxa"/>
            <w:gridSpan w:val="2"/>
          </w:tcPr>
          <w:p w:rsidR="0053152B" w:rsidRPr="00D252D3" w:rsidRDefault="0053152B">
            <w:pPr>
              <w:pStyle w:val="HeadNoNum1"/>
              <w:rPr>
                <w:noProof w:val="0"/>
                <w:lang w:val="sk-SK"/>
              </w:rPr>
            </w:pPr>
            <w:r w:rsidRPr="00D252D3">
              <w:rPr>
                <w:noProof w:val="0"/>
                <w:lang w:val="sk-SK"/>
              </w:rPr>
              <w:t>Hrvatska</w:t>
            </w:r>
          </w:p>
          <w:p w:rsidR="0053152B" w:rsidRPr="00D252D3" w:rsidRDefault="0053152B">
            <w:pPr>
              <w:pStyle w:val="HeadNoNum1"/>
              <w:rPr>
                <w:b w:val="0"/>
                <w:noProof w:val="0"/>
                <w:lang w:val="sk-SK"/>
              </w:rPr>
            </w:pPr>
            <w:r w:rsidRPr="00D252D3">
              <w:rPr>
                <w:b w:val="0"/>
                <w:noProof w:val="0"/>
                <w:lang w:val="sk-SK"/>
              </w:rPr>
              <w:t>Boehringer Ingelheim Zagreb d.o.o.</w:t>
            </w:r>
          </w:p>
          <w:p w:rsidR="0053152B" w:rsidRPr="00D252D3" w:rsidRDefault="0053152B">
            <w:pPr>
              <w:pStyle w:val="HeadNoNum1"/>
              <w:rPr>
                <w:b w:val="0"/>
                <w:noProof w:val="0"/>
                <w:lang w:val="sk-SK"/>
              </w:rPr>
            </w:pPr>
            <w:r w:rsidRPr="00D252D3">
              <w:rPr>
                <w:b w:val="0"/>
                <w:noProof w:val="0"/>
                <w:lang w:val="sk-SK"/>
              </w:rPr>
              <w:t>Tel: +385 1 2444 600</w:t>
            </w:r>
          </w:p>
          <w:p w:rsidR="0053152B" w:rsidRPr="00D252D3" w:rsidRDefault="0053152B">
            <w:pPr>
              <w:pStyle w:val="HeadNoNum1"/>
              <w:rPr>
                <w:b w:val="0"/>
                <w:noProof w:val="0"/>
                <w:szCs w:val="22"/>
                <w:lang w:val="sk-SK"/>
              </w:rPr>
            </w:pPr>
          </w:p>
        </w:tc>
        <w:tc>
          <w:tcPr>
            <w:tcW w:w="4678" w:type="dxa"/>
          </w:tcPr>
          <w:p w:rsidR="0053152B" w:rsidRPr="00D252D3" w:rsidRDefault="0053152B">
            <w:pPr>
              <w:tabs>
                <w:tab w:val="left" w:pos="-720"/>
                <w:tab w:val="left" w:pos="4536"/>
              </w:tabs>
              <w:suppressAutoHyphens/>
              <w:rPr>
                <w:b/>
                <w:szCs w:val="22"/>
              </w:rPr>
            </w:pPr>
            <w:r w:rsidRPr="00D252D3">
              <w:rPr>
                <w:b/>
                <w:szCs w:val="22"/>
              </w:rPr>
              <w:t>România</w:t>
            </w:r>
          </w:p>
          <w:p w:rsidR="0053152B" w:rsidRPr="00D252D3" w:rsidRDefault="0053152B">
            <w:pPr>
              <w:rPr>
                <w:szCs w:val="22"/>
              </w:rPr>
            </w:pPr>
            <w:r w:rsidRPr="00D252D3">
              <w:rPr>
                <w:szCs w:val="22"/>
              </w:rPr>
              <w:t>Boehringer Ingelheim RCV GmbH &amp; Co KG</w:t>
            </w:r>
          </w:p>
          <w:p w:rsidR="0053152B" w:rsidRPr="00D252D3" w:rsidRDefault="0053152B">
            <w:pPr>
              <w:rPr>
                <w:szCs w:val="22"/>
              </w:rPr>
            </w:pPr>
            <w:r w:rsidRPr="00D252D3">
              <w:rPr>
                <w:szCs w:val="22"/>
              </w:rPr>
              <w:t>Viena - Sucursala Bucuresti</w:t>
            </w:r>
          </w:p>
          <w:p w:rsidR="0053152B" w:rsidRPr="00D252D3" w:rsidRDefault="0053152B">
            <w:pPr>
              <w:rPr>
                <w:szCs w:val="22"/>
              </w:rPr>
            </w:pPr>
            <w:r w:rsidRPr="00D252D3">
              <w:rPr>
                <w:szCs w:val="22"/>
              </w:rPr>
              <w:t>Tel: +40 21 3022800</w:t>
            </w:r>
          </w:p>
          <w:p w:rsidR="0053152B" w:rsidRPr="00D252D3" w:rsidRDefault="0053152B">
            <w:pPr>
              <w:tabs>
                <w:tab w:val="left" w:pos="-720"/>
                <w:tab w:val="left" w:pos="4536"/>
              </w:tabs>
              <w:suppressAutoHyphens/>
              <w:rPr>
                <w:b/>
                <w:szCs w:val="22"/>
              </w:rPr>
            </w:pPr>
          </w:p>
        </w:tc>
      </w:tr>
      <w:tr w:rsidR="0053152B" w:rsidRPr="00D252D3" w:rsidTr="0017732D">
        <w:tc>
          <w:tcPr>
            <w:tcW w:w="4678" w:type="dxa"/>
            <w:gridSpan w:val="2"/>
          </w:tcPr>
          <w:p w:rsidR="0053152B" w:rsidRPr="00D252D3" w:rsidRDefault="0053152B">
            <w:pPr>
              <w:rPr>
                <w:szCs w:val="22"/>
              </w:rPr>
            </w:pPr>
            <w:r w:rsidRPr="00D252D3">
              <w:rPr>
                <w:szCs w:val="22"/>
              </w:rPr>
              <w:br w:type="page"/>
            </w:r>
            <w:r w:rsidRPr="00D252D3">
              <w:rPr>
                <w:b/>
                <w:szCs w:val="22"/>
              </w:rPr>
              <w:t>Ireland</w:t>
            </w:r>
          </w:p>
          <w:p w:rsidR="0053152B" w:rsidRPr="00D252D3" w:rsidRDefault="0053152B">
            <w:pPr>
              <w:tabs>
                <w:tab w:val="left" w:pos="-720"/>
              </w:tabs>
              <w:suppressAutoHyphens/>
              <w:rPr>
                <w:szCs w:val="22"/>
                <w:lang w:eastAsia="ja-JP"/>
              </w:rPr>
            </w:pPr>
            <w:r w:rsidRPr="00D252D3">
              <w:rPr>
                <w:szCs w:val="22"/>
                <w:lang w:eastAsia="ja-JP"/>
              </w:rPr>
              <w:t>Boehringer Ingelheim Ireland Ltd.</w:t>
            </w:r>
          </w:p>
          <w:p w:rsidR="0053152B" w:rsidRPr="00D252D3" w:rsidRDefault="0053152B">
            <w:pPr>
              <w:tabs>
                <w:tab w:val="left" w:pos="-720"/>
              </w:tabs>
              <w:suppressAutoHyphens/>
              <w:rPr>
                <w:szCs w:val="22"/>
              </w:rPr>
            </w:pPr>
            <w:r w:rsidRPr="00D252D3">
              <w:rPr>
                <w:szCs w:val="22"/>
                <w:lang w:eastAsia="ja-JP"/>
              </w:rPr>
              <w:t>Tel: +353 1 295 9620</w:t>
            </w:r>
          </w:p>
        </w:tc>
        <w:tc>
          <w:tcPr>
            <w:tcW w:w="4678" w:type="dxa"/>
          </w:tcPr>
          <w:p w:rsidR="0053152B" w:rsidRPr="00D252D3" w:rsidRDefault="0053152B">
            <w:pPr>
              <w:rPr>
                <w:szCs w:val="22"/>
              </w:rPr>
            </w:pPr>
            <w:r w:rsidRPr="00D252D3">
              <w:rPr>
                <w:b/>
                <w:szCs w:val="22"/>
              </w:rPr>
              <w:t>Slovenija</w:t>
            </w:r>
          </w:p>
          <w:p w:rsidR="0053152B" w:rsidRPr="00D252D3" w:rsidRDefault="0053152B">
            <w:pPr>
              <w:tabs>
                <w:tab w:val="left" w:pos="-720"/>
              </w:tabs>
              <w:suppressAutoHyphens/>
              <w:rPr>
                <w:szCs w:val="22"/>
                <w:lang w:eastAsia="ja-JP"/>
              </w:rPr>
            </w:pPr>
            <w:r w:rsidRPr="00D252D3">
              <w:rPr>
                <w:szCs w:val="22"/>
                <w:lang w:eastAsia="ja-JP"/>
              </w:rPr>
              <w:t>Boehringer Ingelheim RCV GmbH &amp; Co KG</w:t>
            </w:r>
          </w:p>
          <w:p w:rsidR="0053152B" w:rsidRPr="00D252D3" w:rsidRDefault="0053152B">
            <w:pPr>
              <w:tabs>
                <w:tab w:val="left" w:pos="-720"/>
              </w:tabs>
              <w:suppressAutoHyphens/>
              <w:rPr>
                <w:szCs w:val="22"/>
                <w:lang w:eastAsia="ja-JP"/>
              </w:rPr>
            </w:pPr>
            <w:r w:rsidRPr="00D252D3">
              <w:rPr>
                <w:szCs w:val="22"/>
                <w:lang w:eastAsia="ja-JP"/>
              </w:rPr>
              <w:t>Podružnica Ljubljana</w:t>
            </w:r>
          </w:p>
          <w:p w:rsidR="0053152B" w:rsidRPr="00D252D3" w:rsidRDefault="0053152B">
            <w:pPr>
              <w:tabs>
                <w:tab w:val="left" w:pos="-720"/>
              </w:tabs>
              <w:suppressAutoHyphens/>
              <w:rPr>
                <w:szCs w:val="22"/>
                <w:lang w:eastAsia="ja-JP"/>
              </w:rPr>
            </w:pPr>
            <w:r w:rsidRPr="00D252D3">
              <w:rPr>
                <w:szCs w:val="22"/>
                <w:lang w:eastAsia="ja-JP"/>
              </w:rPr>
              <w:t>Tel: +386 1 586 40 00</w:t>
            </w:r>
          </w:p>
          <w:p w:rsidR="0053152B" w:rsidRPr="00D252D3" w:rsidRDefault="0053152B">
            <w:pPr>
              <w:tabs>
                <w:tab w:val="left" w:pos="-720"/>
              </w:tabs>
              <w:suppressAutoHyphens/>
              <w:rPr>
                <w:szCs w:val="22"/>
              </w:rPr>
            </w:pPr>
          </w:p>
        </w:tc>
      </w:tr>
      <w:tr w:rsidR="0053152B" w:rsidRPr="00D252D3" w:rsidTr="0017732D">
        <w:tc>
          <w:tcPr>
            <w:tcW w:w="4678" w:type="dxa"/>
            <w:gridSpan w:val="2"/>
          </w:tcPr>
          <w:p w:rsidR="0053152B" w:rsidRPr="00D252D3" w:rsidRDefault="0053152B">
            <w:pPr>
              <w:keepNext/>
              <w:keepLines/>
              <w:rPr>
                <w:b/>
                <w:szCs w:val="22"/>
              </w:rPr>
            </w:pPr>
            <w:r w:rsidRPr="00D252D3">
              <w:rPr>
                <w:b/>
                <w:szCs w:val="22"/>
              </w:rPr>
              <w:t>Ísland</w:t>
            </w:r>
          </w:p>
          <w:p w:rsidR="0053152B" w:rsidRPr="00D252D3" w:rsidRDefault="0053152B">
            <w:pPr>
              <w:keepNext/>
              <w:keepLines/>
              <w:tabs>
                <w:tab w:val="left" w:pos="-720"/>
              </w:tabs>
              <w:suppressAutoHyphens/>
              <w:rPr>
                <w:szCs w:val="22"/>
                <w:lang w:eastAsia="ja-JP"/>
              </w:rPr>
            </w:pPr>
            <w:r w:rsidRPr="00D252D3">
              <w:rPr>
                <w:szCs w:val="22"/>
                <w:lang w:eastAsia="ja-JP"/>
              </w:rPr>
              <w:t>Vistor hf.</w:t>
            </w:r>
          </w:p>
          <w:p w:rsidR="0053152B" w:rsidRPr="00D252D3" w:rsidRDefault="0053152B">
            <w:pPr>
              <w:keepNext/>
              <w:keepLines/>
              <w:tabs>
                <w:tab w:val="left" w:pos="-720"/>
              </w:tabs>
              <w:suppressAutoHyphens/>
              <w:rPr>
                <w:szCs w:val="22"/>
              </w:rPr>
            </w:pPr>
            <w:r w:rsidRPr="00D252D3">
              <w:rPr>
                <w:szCs w:val="22"/>
              </w:rPr>
              <w:t>Sími/</w:t>
            </w:r>
            <w:r w:rsidRPr="00D252D3">
              <w:rPr>
                <w:szCs w:val="22"/>
                <w:lang w:eastAsia="ja-JP"/>
              </w:rPr>
              <w:t>Tel: +354 535 7000</w:t>
            </w:r>
          </w:p>
          <w:p w:rsidR="0053152B" w:rsidRPr="00D252D3" w:rsidRDefault="0053152B">
            <w:pPr>
              <w:keepNext/>
              <w:keepLines/>
              <w:tabs>
                <w:tab w:val="left" w:pos="-720"/>
              </w:tabs>
              <w:suppressAutoHyphens/>
              <w:rPr>
                <w:szCs w:val="22"/>
              </w:rPr>
            </w:pPr>
          </w:p>
        </w:tc>
        <w:tc>
          <w:tcPr>
            <w:tcW w:w="4678" w:type="dxa"/>
          </w:tcPr>
          <w:p w:rsidR="0053152B" w:rsidRPr="00D252D3" w:rsidRDefault="0053152B">
            <w:pPr>
              <w:keepNext/>
              <w:keepLines/>
              <w:tabs>
                <w:tab w:val="left" w:pos="-720"/>
              </w:tabs>
              <w:suppressAutoHyphens/>
              <w:rPr>
                <w:b/>
                <w:szCs w:val="22"/>
              </w:rPr>
            </w:pPr>
            <w:r w:rsidRPr="00D252D3">
              <w:rPr>
                <w:b/>
                <w:szCs w:val="22"/>
              </w:rPr>
              <w:t>Slovenská republika</w:t>
            </w:r>
          </w:p>
          <w:p w:rsidR="0053152B" w:rsidRPr="00D252D3" w:rsidRDefault="0053152B">
            <w:pPr>
              <w:keepNext/>
              <w:keepLines/>
              <w:tabs>
                <w:tab w:val="left" w:pos="-720"/>
              </w:tabs>
              <w:suppressAutoHyphens/>
              <w:rPr>
                <w:szCs w:val="22"/>
                <w:lang w:eastAsia="ja-JP"/>
              </w:rPr>
            </w:pPr>
            <w:r w:rsidRPr="00D252D3">
              <w:rPr>
                <w:szCs w:val="22"/>
                <w:lang w:eastAsia="ja-JP"/>
              </w:rPr>
              <w:t>Boehringer Ingelheim RCV GmbH &amp; Co KG</w:t>
            </w:r>
          </w:p>
          <w:p w:rsidR="0053152B" w:rsidRPr="00D252D3" w:rsidRDefault="0053152B">
            <w:pPr>
              <w:keepNext/>
              <w:keepLines/>
              <w:tabs>
                <w:tab w:val="left" w:pos="-720"/>
              </w:tabs>
              <w:suppressAutoHyphens/>
              <w:rPr>
                <w:szCs w:val="22"/>
                <w:lang w:eastAsia="de-DE"/>
              </w:rPr>
            </w:pPr>
            <w:r w:rsidRPr="00D252D3">
              <w:rPr>
                <w:szCs w:val="22"/>
                <w:lang w:eastAsia="de-DE"/>
              </w:rPr>
              <w:t>organizačná zložka</w:t>
            </w:r>
          </w:p>
          <w:p w:rsidR="0053152B" w:rsidRPr="00D252D3" w:rsidRDefault="0053152B">
            <w:pPr>
              <w:keepNext/>
              <w:keepLines/>
              <w:tabs>
                <w:tab w:val="left" w:pos="-720"/>
              </w:tabs>
              <w:suppressAutoHyphens/>
              <w:rPr>
                <w:szCs w:val="22"/>
                <w:lang w:eastAsia="de-DE"/>
              </w:rPr>
            </w:pPr>
            <w:r w:rsidRPr="00D252D3">
              <w:rPr>
                <w:szCs w:val="22"/>
                <w:lang w:eastAsia="de-DE"/>
              </w:rPr>
              <w:t>Tel: +421 2 5810 1211</w:t>
            </w:r>
          </w:p>
          <w:p w:rsidR="0053152B" w:rsidRPr="00D252D3" w:rsidRDefault="0053152B">
            <w:pPr>
              <w:keepNext/>
              <w:keepLines/>
              <w:tabs>
                <w:tab w:val="left" w:pos="-720"/>
              </w:tabs>
              <w:suppressAutoHyphens/>
              <w:rPr>
                <w:b/>
                <w:szCs w:val="22"/>
              </w:rPr>
            </w:pPr>
          </w:p>
        </w:tc>
      </w:tr>
      <w:tr w:rsidR="0053152B" w:rsidRPr="00D252D3" w:rsidTr="0017732D">
        <w:tc>
          <w:tcPr>
            <w:tcW w:w="4678" w:type="dxa"/>
            <w:gridSpan w:val="2"/>
          </w:tcPr>
          <w:p w:rsidR="0053152B" w:rsidRPr="00D252D3" w:rsidRDefault="0053152B">
            <w:pPr>
              <w:rPr>
                <w:szCs w:val="22"/>
              </w:rPr>
            </w:pPr>
            <w:r w:rsidRPr="00D252D3">
              <w:rPr>
                <w:b/>
                <w:szCs w:val="22"/>
              </w:rPr>
              <w:t>Italia</w:t>
            </w:r>
          </w:p>
          <w:p w:rsidR="0053152B" w:rsidRPr="00D252D3" w:rsidRDefault="0053152B">
            <w:pPr>
              <w:rPr>
                <w:szCs w:val="22"/>
                <w:lang w:eastAsia="ja-JP"/>
              </w:rPr>
            </w:pPr>
            <w:r w:rsidRPr="00D252D3">
              <w:rPr>
                <w:szCs w:val="22"/>
                <w:lang w:eastAsia="ja-JP"/>
              </w:rPr>
              <w:t>Boehringer Ingelheim Italia S.p.A.</w:t>
            </w:r>
          </w:p>
          <w:p w:rsidR="0053152B" w:rsidRPr="00D252D3" w:rsidRDefault="0053152B">
            <w:pPr>
              <w:rPr>
                <w:b/>
                <w:szCs w:val="22"/>
              </w:rPr>
            </w:pPr>
            <w:r w:rsidRPr="00D252D3">
              <w:rPr>
                <w:szCs w:val="22"/>
                <w:lang w:eastAsia="ja-JP"/>
              </w:rPr>
              <w:t>Tel: +39 02 5355 1</w:t>
            </w:r>
          </w:p>
        </w:tc>
        <w:tc>
          <w:tcPr>
            <w:tcW w:w="4678" w:type="dxa"/>
          </w:tcPr>
          <w:p w:rsidR="0053152B" w:rsidRPr="00D252D3" w:rsidRDefault="0053152B">
            <w:pPr>
              <w:tabs>
                <w:tab w:val="left" w:pos="-720"/>
                <w:tab w:val="left" w:pos="4536"/>
              </w:tabs>
              <w:suppressAutoHyphens/>
              <w:rPr>
                <w:szCs w:val="22"/>
              </w:rPr>
            </w:pPr>
            <w:r w:rsidRPr="00D252D3">
              <w:rPr>
                <w:b/>
                <w:szCs w:val="22"/>
              </w:rPr>
              <w:t>Suomi/Finland</w:t>
            </w:r>
          </w:p>
          <w:p w:rsidR="0053152B" w:rsidRPr="00D252D3" w:rsidRDefault="0053152B">
            <w:pPr>
              <w:tabs>
                <w:tab w:val="left" w:pos="-720"/>
              </w:tabs>
              <w:suppressAutoHyphens/>
              <w:rPr>
                <w:szCs w:val="22"/>
                <w:lang w:eastAsia="ja-JP"/>
              </w:rPr>
            </w:pPr>
            <w:r w:rsidRPr="00D252D3">
              <w:rPr>
                <w:szCs w:val="22"/>
                <w:lang w:eastAsia="ja-JP"/>
              </w:rPr>
              <w:t>Boehringer Ingelheim Finland Ky</w:t>
            </w:r>
          </w:p>
          <w:p w:rsidR="0053152B" w:rsidRPr="00D252D3" w:rsidRDefault="0053152B">
            <w:pPr>
              <w:tabs>
                <w:tab w:val="left" w:pos="-720"/>
              </w:tabs>
              <w:suppressAutoHyphens/>
              <w:jc w:val="both"/>
              <w:rPr>
                <w:szCs w:val="22"/>
              </w:rPr>
            </w:pPr>
            <w:r w:rsidRPr="00D252D3">
              <w:rPr>
                <w:szCs w:val="22"/>
                <w:lang w:eastAsia="ja-JP"/>
              </w:rPr>
              <w:t>Puh/Tel: +358 10 3102 800</w:t>
            </w:r>
          </w:p>
          <w:p w:rsidR="0053152B" w:rsidRPr="00D252D3" w:rsidRDefault="0053152B">
            <w:pPr>
              <w:tabs>
                <w:tab w:val="left" w:pos="-720"/>
              </w:tabs>
              <w:suppressAutoHyphens/>
              <w:rPr>
                <w:szCs w:val="22"/>
              </w:rPr>
            </w:pPr>
          </w:p>
        </w:tc>
      </w:tr>
      <w:tr w:rsidR="0053152B" w:rsidRPr="00D252D3" w:rsidTr="0017732D">
        <w:tc>
          <w:tcPr>
            <w:tcW w:w="4678" w:type="dxa"/>
            <w:gridSpan w:val="2"/>
          </w:tcPr>
          <w:p w:rsidR="0053152B" w:rsidRPr="00D252D3" w:rsidRDefault="0053152B">
            <w:pPr>
              <w:keepNext/>
              <w:keepLines/>
              <w:rPr>
                <w:b/>
                <w:szCs w:val="22"/>
              </w:rPr>
            </w:pPr>
            <w:r w:rsidRPr="00D252D3">
              <w:rPr>
                <w:b/>
                <w:szCs w:val="22"/>
              </w:rPr>
              <w:t>Κύπρος</w:t>
            </w:r>
          </w:p>
          <w:p w:rsidR="0053152B" w:rsidRPr="00D252D3" w:rsidRDefault="0053152B">
            <w:pPr>
              <w:keepNext/>
              <w:keepLines/>
              <w:rPr>
                <w:szCs w:val="22"/>
                <w:lang w:eastAsia="ja-JP"/>
              </w:rPr>
            </w:pPr>
            <w:r w:rsidRPr="00D252D3">
              <w:rPr>
                <w:szCs w:val="22"/>
                <w:lang w:eastAsia="ja-JP"/>
              </w:rPr>
              <w:t>Boehringer Ingelheim Ellas A.E.</w:t>
            </w:r>
          </w:p>
          <w:p w:rsidR="0053152B" w:rsidRPr="00D252D3" w:rsidRDefault="0053152B">
            <w:pPr>
              <w:keepNext/>
              <w:keepLines/>
              <w:rPr>
                <w:b/>
                <w:szCs w:val="22"/>
              </w:rPr>
            </w:pPr>
            <w:r w:rsidRPr="00D252D3">
              <w:rPr>
                <w:szCs w:val="22"/>
                <w:lang w:eastAsia="ja-JP"/>
              </w:rPr>
              <w:t>Tηλ: +30 2 10 89 06 300</w:t>
            </w:r>
          </w:p>
        </w:tc>
        <w:tc>
          <w:tcPr>
            <w:tcW w:w="4678" w:type="dxa"/>
          </w:tcPr>
          <w:p w:rsidR="0053152B" w:rsidRPr="00D252D3" w:rsidRDefault="0053152B">
            <w:pPr>
              <w:keepNext/>
              <w:keepLines/>
              <w:tabs>
                <w:tab w:val="left" w:pos="-720"/>
                <w:tab w:val="left" w:pos="4536"/>
              </w:tabs>
              <w:suppressAutoHyphens/>
              <w:rPr>
                <w:b/>
                <w:szCs w:val="22"/>
              </w:rPr>
            </w:pPr>
            <w:r w:rsidRPr="00D252D3">
              <w:rPr>
                <w:b/>
                <w:szCs w:val="22"/>
              </w:rPr>
              <w:t>Sverige</w:t>
            </w:r>
          </w:p>
          <w:p w:rsidR="0053152B" w:rsidRPr="00D252D3" w:rsidRDefault="0053152B">
            <w:pPr>
              <w:keepNext/>
              <w:keepLines/>
              <w:tabs>
                <w:tab w:val="left" w:pos="-720"/>
                <w:tab w:val="left" w:pos="4536"/>
              </w:tabs>
              <w:suppressAutoHyphens/>
              <w:rPr>
                <w:szCs w:val="22"/>
                <w:lang w:eastAsia="ja-JP"/>
              </w:rPr>
            </w:pPr>
            <w:r w:rsidRPr="00D252D3">
              <w:rPr>
                <w:szCs w:val="22"/>
                <w:lang w:eastAsia="ja-JP"/>
              </w:rPr>
              <w:t>Boehringer Ingelheim AB</w:t>
            </w:r>
          </w:p>
          <w:p w:rsidR="0053152B" w:rsidRPr="00D252D3" w:rsidRDefault="0053152B">
            <w:pPr>
              <w:keepNext/>
              <w:keepLines/>
              <w:tabs>
                <w:tab w:val="left" w:pos="-720"/>
                <w:tab w:val="left" w:pos="4536"/>
              </w:tabs>
              <w:suppressAutoHyphens/>
              <w:rPr>
                <w:szCs w:val="22"/>
                <w:lang w:eastAsia="ja-JP"/>
              </w:rPr>
            </w:pPr>
            <w:r w:rsidRPr="00D252D3">
              <w:rPr>
                <w:szCs w:val="22"/>
                <w:lang w:eastAsia="ja-JP"/>
              </w:rPr>
              <w:t>Tel: +46 8 721 21 00</w:t>
            </w:r>
          </w:p>
          <w:p w:rsidR="0053152B" w:rsidRPr="00D252D3" w:rsidRDefault="0053152B">
            <w:pPr>
              <w:keepNext/>
              <w:keepLines/>
              <w:tabs>
                <w:tab w:val="left" w:pos="-720"/>
                <w:tab w:val="left" w:pos="4536"/>
              </w:tabs>
              <w:suppressAutoHyphens/>
              <w:rPr>
                <w:b/>
                <w:szCs w:val="22"/>
              </w:rPr>
            </w:pPr>
          </w:p>
        </w:tc>
      </w:tr>
      <w:tr w:rsidR="0053152B" w:rsidRPr="00D252D3" w:rsidTr="0017732D">
        <w:tc>
          <w:tcPr>
            <w:tcW w:w="4678" w:type="dxa"/>
            <w:gridSpan w:val="2"/>
          </w:tcPr>
          <w:p w:rsidR="0053152B" w:rsidRPr="00D252D3" w:rsidRDefault="0053152B">
            <w:pPr>
              <w:rPr>
                <w:b/>
                <w:szCs w:val="22"/>
              </w:rPr>
            </w:pPr>
            <w:r w:rsidRPr="00D252D3">
              <w:rPr>
                <w:b/>
                <w:szCs w:val="22"/>
              </w:rPr>
              <w:t>Latvija</w:t>
            </w:r>
          </w:p>
          <w:p w:rsidR="0053152B" w:rsidRPr="00D252D3" w:rsidRDefault="0053152B">
            <w:pPr>
              <w:tabs>
                <w:tab w:val="left" w:pos="-720"/>
              </w:tabs>
              <w:suppressAutoHyphens/>
              <w:rPr>
                <w:szCs w:val="22"/>
              </w:rPr>
            </w:pPr>
            <w:r w:rsidRPr="00D252D3">
              <w:rPr>
                <w:szCs w:val="22"/>
                <w:lang w:eastAsia="ja-JP"/>
              </w:rPr>
              <w:t xml:space="preserve">Boehringer Ingelheim </w:t>
            </w:r>
            <w:r w:rsidRPr="00D252D3">
              <w:rPr>
                <w:szCs w:val="22"/>
              </w:rPr>
              <w:t>RCV GmbH &amp; Co KG</w:t>
            </w:r>
          </w:p>
          <w:p w:rsidR="0053152B" w:rsidRPr="00D252D3" w:rsidRDefault="0053152B">
            <w:pPr>
              <w:tabs>
                <w:tab w:val="left" w:pos="-720"/>
              </w:tabs>
              <w:suppressAutoHyphens/>
              <w:rPr>
                <w:szCs w:val="22"/>
                <w:lang w:eastAsia="ja-JP"/>
              </w:rPr>
            </w:pPr>
            <w:r w:rsidRPr="00D252D3">
              <w:rPr>
                <w:szCs w:val="22"/>
              </w:rPr>
              <w:t xml:space="preserve">Latvijas filiāle </w:t>
            </w:r>
          </w:p>
          <w:p w:rsidR="0053152B" w:rsidRPr="00D252D3" w:rsidRDefault="0053152B">
            <w:pPr>
              <w:tabs>
                <w:tab w:val="left" w:pos="-720"/>
              </w:tabs>
              <w:suppressAutoHyphens/>
              <w:rPr>
                <w:szCs w:val="22"/>
              </w:rPr>
            </w:pPr>
            <w:r w:rsidRPr="00D252D3">
              <w:rPr>
                <w:szCs w:val="22"/>
                <w:lang w:eastAsia="ja-JP"/>
              </w:rPr>
              <w:t>Tel: +371 67 240 011</w:t>
            </w:r>
          </w:p>
          <w:p w:rsidR="0053152B" w:rsidRPr="00D252D3" w:rsidRDefault="0053152B">
            <w:pPr>
              <w:tabs>
                <w:tab w:val="left" w:pos="-720"/>
              </w:tabs>
              <w:suppressAutoHyphens/>
              <w:rPr>
                <w:szCs w:val="22"/>
              </w:rPr>
            </w:pPr>
          </w:p>
        </w:tc>
        <w:tc>
          <w:tcPr>
            <w:tcW w:w="4678" w:type="dxa"/>
          </w:tcPr>
          <w:p w:rsidR="0053152B" w:rsidRPr="00D252D3" w:rsidRDefault="0053152B">
            <w:pPr>
              <w:tabs>
                <w:tab w:val="left" w:pos="-720"/>
                <w:tab w:val="left" w:pos="4536"/>
              </w:tabs>
              <w:suppressAutoHyphens/>
              <w:rPr>
                <w:b/>
                <w:szCs w:val="22"/>
              </w:rPr>
            </w:pPr>
            <w:r w:rsidRPr="00D252D3">
              <w:rPr>
                <w:b/>
                <w:szCs w:val="22"/>
              </w:rPr>
              <w:t>United Kingdom</w:t>
            </w:r>
          </w:p>
          <w:p w:rsidR="0053152B" w:rsidRPr="00D252D3" w:rsidRDefault="0053152B">
            <w:pPr>
              <w:rPr>
                <w:szCs w:val="22"/>
                <w:lang w:eastAsia="ja-JP"/>
              </w:rPr>
            </w:pPr>
            <w:r w:rsidRPr="00D252D3">
              <w:rPr>
                <w:szCs w:val="22"/>
                <w:lang w:eastAsia="ja-JP"/>
              </w:rPr>
              <w:t>Boehringer Ingelheim Ltd.</w:t>
            </w:r>
          </w:p>
          <w:p w:rsidR="0053152B" w:rsidRPr="00D252D3" w:rsidRDefault="0053152B">
            <w:pPr>
              <w:rPr>
                <w:szCs w:val="22"/>
              </w:rPr>
            </w:pPr>
            <w:r w:rsidRPr="00D252D3">
              <w:rPr>
                <w:szCs w:val="22"/>
                <w:lang w:eastAsia="ja-JP"/>
              </w:rPr>
              <w:t>Tel: +44 1344 424 600</w:t>
            </w:r>
          </w:p>
        </w:tc>
      </w:tr>
    </w:tbl>
    <w:p w:rsidR="0053152B" w:rsidRPr="00D252D3" w:rsidRDefault="0053152B">
      <w:pPr>
        <w:numPr>
          <w:ilvl w:val="12"/>
          <w:numId w:val="0"/>
        </w:numPr>
        <w:ind w:right="-2"/>
        <w:rPr>
          <w:b/>
        </w:rPr>
      </w:pPr>
    </w:p>
    <w:p w:rsidR="0053152B" w:rsidRPr="00D252D3" w:rsidRDefault="0053152B">
      <w:pPr>
        <w:numPr>
          <w:ilvl w:val="12"/>
          <w:numId w:val="0"/>
        </w:numPr>
        <w:ind w:right="-2"/>
      </w:pPr>
      <w:r w:rsidRPr="00D252D3">
        <w:rPr>
          <w:b/>
        </w:rPr>
        <w:t>Táto písomná informácia bola naposledy aktualizovaná v</w:t>
      </w:r>
      <w:bookmarkEnd w:id="36"/>
      <w:bookmarkEnd w:id="37"/>
    </w:p>
    <w:p w:rsidR="0053152B" w:rsidRPr="00D252D3" w:rsidRDefault="0053152B">
      <w:pPr>
        <w:ind w:left="0" w:right="-449" w:firstLine="0"/>
      </w:pPr>
    </w:p>
    <w:p w:rsidR="0053152B" w:rsidRPr="00D252D3" w:rsidRDefault="0053152B">
      <w:pPr>
        <w:tabs>
          <w:tab w:val="left" w:pos="567"/>
        </w:tabs>
        <w:jc w:val="both"/>
        <w:rPr>
          <w:szCs w:val="22"/>
        </w:rPr>
      </w:pPr>
      <w:r w:rsidRPr="00D252D3">
        <w:rPr>
          <w:b/>
        </w:rPr>
        <w:t>Ďalšie zdroje informácií</w:t>
      </w:r>
    </w:p>
    <w:p w:rsidR="0053152B" w:rsidRPr="00D252D3" w:rsidRDefault="0053152B" w:rsidP="000D7A2C">
      <w:pPr>
        <w:ind w:left="0" w:firstLine="0"/>
        <w:jc w:val="both"/>
        <w:rPr>
          <w:b/>
        </w:rPr>
      </w:pPr>
      <w:r w:rsidRPr="00D252D3">
        <w:rPr>
          <w:szCs w:val="22"/>
        </w:rPr>
        <w:t xml:space="preserve">Podrobné informácie o tomto lieku sú dostupné na internetovej stránke Európskej agentúry pre lieky </w:t>
      </w:r>
      <w:hyperlink r:id="rId16" w:history="1">
        <w:r w:rsidRPr="00D252D3">
          <w:rPr>
            <w:rStyle w:val="Hyperlink"/>
            <w:szCs w:val="22"/>
          </w:rPr>
          <w:t>http://www</w:t>
        </w:r>
        <w:r w:rsidRPr="00D252D3">
          <w:rPr>
            <w:rStyle w:val="Hyperlink"/>
            <w:szCs w:val="22"/>
          </w:rPr>
          <w:t>.</w:t>
        </w:r>
        <w:r w:rsidRPr="00D252D3">
          <w:rPr>
            <w:rStyle w:val="Hyperlink"/>
            <w:szCs w:val="22"/>
          </w:rPr>
          <w:t>e</w:t>
        </w:r>
        <w:r w:rsidRPr="00D252D3">
          <w:rPr>
            <w:rStyle w:val="Hyperlink"/>
            <w:szCs w:val="22"/>
          </w:rPr>
          <w:t>m</w:t>
        </w:r>
        <w:r w:rsidRPr="00D252D3">
          <w:rPr>
            <w:rStyle w:val="Hyperlink"/>
            <w:szCs w:val="22"/>
          </w:rPr>
          <w:t>a.europa.eu</w:t>
        </w:r>
      </w:hyperlink>
      <w:r w:rsidRPr="00D252D3">
        <w:rPr>
          <w:szCs w:val="22"/>
        </w:rPr>
        <w:t>.</w:t>
      </w:r>
    </w:p>
    <w:p w:rsidR="0053152B" w:rsidRPr="00D252D3" w:rsidRDefault="0053152B">
      <w:pPr>
        <w:jc w:val="center"/>
        <w:rPr>
          <w:b/>
        </w:rPr>
      </w:pPr>
      <w:r w:rsidRPr="00D252D3">
        <w:br w:type="page"/>
      </w:r>
      <w:r w:rsidRPr="00D252D3">
        <w:rPr>
          <w:b/>
        </w:rPr>
        <w:t>Písomná informácia pre používateľa</w:t>
      </w:r>
    </w:p>
    <w:p w:rsidR="0053152B" w:rsidRPr="00D252D3" w:rsidRDefault="0053152B">
      <w:pPr>
        <w:jc w:val="center"/>
      </w:pPr>
    </w:p>
    <w:p w:rsidR="0053152B" w:rsidRPr="00D252D3" w:rsidRDefault="0053152B">
      <w:pPr>
        <w:ind w:left="0" w:firstLine="0"/>
        <w:jc w:val="center"/>
        <w:rPr>
          <w:b/>
        </w:rPr>
      </w:pPr>
      <w:r w:rsidRPr="00D252D3">
        <w:rPr>
          <w:b/>
        </w:rPr>
        <w:t>MicardisPlus 80 mg/12,5 mg tablety</w:t>
      </w:r>
    </w:p>
    <w:p w:rsidR="0053152B" w:rsidRPr="00D252D3" w:rsidRDefault="0053152B">
      <w:pPr>
        <w:jc w:val="center"/>
      </w:pPr>
      <w:r w:rsidRPr="00D252D3">
        <w:t>telmisartan/hydrochlorotiazid</w:t>
      </w:r>
    </w:p>
    <w:p w:rsidR="0053152B" w:rsidRPr="00D252D3" w:rsidRDefault="0053152B"/>
    <w:p w:rsidR="0053152B" w:rsidRPr="00D252D3" w:rsidRDefault="0053152B"/>
    <w:p w:rsidR="0053152B" w:rsidRPr="00D252D3" w:rsidRDefault="0053152B">
      <w:r w:rsidRPr="00D252D3">
        <w:rPr>
          <w:b/>
        </w:rPr>
        <w:t>Pozorne si prečítajte celú písomnú informáciu predtým, ako začnete užívať tento liek, pretože obsahuje pre vás dôležité informácie.</w:t>
      </w:r>
    </w:p>
    <w:p w:rsidR="0053152B" w:rsidRPr="00D252D3" w:rsidRDefault="0053152B">
      <w:pPr>
        <w:tabs>
          <w:tab w:val="left" w:pos="567"/>
        </w:tabs>
        <w:ind w:left="0" w:firstLine="0"/>
      </w:pPr>
      <w:r w:rsidRPr="00D252D3">
        <w:t>-</w:t>
      </w:r>
      <w:r w:rsidRPr="00D252D3">
        <w:tab/>
        <w:t>Túto písomnú informáciu si uschovajte. Možno bude potrebné, aby ste si ju znovu prečítali.</w:t>
      </w:r>
    </w:p>
    <w:p w:rsidR="0053152B" w:rsidRPr="00D252D3" w:rsidRDefault="0053152B">
      <w:pPr>
        <w:tabs>
          <w:tab w:val="left" w:pos="567"/>
        </w:tabs>
        <w:ind w:left="0" w:firstLine="0"/>
      </w:pPr>
      <w:r w:rsidRPr="00D252D3">
        <w:t>-</w:t>
      </w:r>
      <w:r w:rsidRPr="00D252D3">
        <w:tab/>
        <w:t>Ak máte akékoľvek ďalšie otázky, obráťte sa na svojho lekára alebo lekárnika.</w:t>
      </w:r>
    </w:p>
    <w:p w:rsidR="0053152B" w:rsidRPr="00D252D3" w:rsidRDefault="0053152B">
      <w:r w:rsidRPr="00D252D3">
        <w:t>-</w:t>
      </w:r>
      <w:r w:rsidRPr="00D252D3">
        <w:tab/>
        <w:t>Tento liek bol predpísaný iba vám. Nedávajte ho nikomu inému. Môže mu uškodiť, dokonca aj vtedy, ak má rovnaké prejavy ochorenia ako vy.</w:t>
      </w:r>
    </w:p>
    <w:p w:rsidR="0053152B" w:rsidRPr="00D252D3" w:rsidRDefault="0053152B">
      <w:r w:rsidRPr="00D252D3">
        <w:t>-</w:t>
      </w:r>
      <w:r w:rsidRPr="00D252D3">
        <w:tab/>
        <w:t>Ak sa u vás vyskytne akýkoľvek vedľajší účinok, obráťte sa na svojho lekára alebo lekárnika. To sa týka aj akýchkoľvek vedľajších účinkov, ktoré nie sú uvedené v tejto písomnej informácii. Pozri časť 4.</w:t>
      </w:r>
    </w:p>
    <w:p w:rsidR="0053152B" w:rsidRPr="00D252D3" w:rsidRDefault="0053152B">
      <w:pPr>
        <w:numPr>
          <w:ilvl w:val="12"/>
          <w:numId w:val="0"/>
        </w:numPr>
        <w:ind w:right="-2"/>
      </w:pPr>
    </w:p>
    <w:p w:rsidR="0053152B" w:rsidRPr="00D252D3" w:rsidRDefault="0053152B">
      <w:pPr>
        <w:numPr>
          <w:ilvl w:val="12"/>
          <w:numId w:val="0"/>
        </w:numPr>
      </w:pPr>
      <w:r w:rsidRPr="00D252D3">
        <w:rPr>
          <w:b/>
        </w:rPr>
        <w:t>V tejto písomnej informácii sa dozviete</w:t>
      </w:r>
      <w:r w:rsidRPr="00D252D3">
        <w:t>:</w:t>
      </w:r>
    </w:p>
    <w:p w:rsidR="0053152B" w:rsidRPr="00D252D3" w:rsidRDefault="0053152B" w:rsidP="00F15ADA">
      <w:pPr>
        <w:numPr>
          <w:ilvl w:val="0"/>
          <w:numId w:val="19"/>
        </w:numPr>
        <w:tabs>
          <w:tab w:val="clear" w:pos="1080"/>
          <w:tab w:val="num" w:pos="567"/>
        </w:tabs>
        <w:ind w:hanging="1080"/>
        <w:jc w:val="both"/>
      </w:pPr>
      <w:r w:rsidRPr="00D252D3">
        <w:t>Čo je MicardisPlus a na čo sa používa</w:t>
      </w:r>
    </w:p>
    <w:p w:rsidR="0053152B" w:rsidRPr="00D252D3" w:rsidRDefault="0053152B" w:rsidP="00F15ADA">
      <w:pPr>
        <w:numPr>
          <w:ilvl w:val="0"/>
          <w:numId w:val="19"/>
        </w:numPr>
        <w:tabs>
          <w:tab w:val="clear" w:pos="1080"/>
          <w:tab w:val="num" w:pos="567"/>
        </w:tabs>
        <w:ind w:hanging="1080"/>
        <w:jc w:val="both"/>
      </w:pPr>
      <w:r w:rsidRPr="00D252D3">
        <w:t>Čo potrebujete vedieť predtým, ako užijete MicardisPlus</w:t>
      </w:r>
    </w:p>
    <w:p w:rsidR="0053152B" w:rsidRPr="00D252D3" w:rsidRDefault="0053152B" w:rsidP="00F15ADA">
      <w:pPr>
        <w:numPr>
          <w:ilvl w:val="0"/>
          <w:numId w:val="19"/>
        </w:numPr>
        <w:tabs>
          <w:tab w:val="clear" w:pos="1080"/>
          <w:tab w:val="num" w:pos="567"/>
        </w:tabs>
        <w:ind w:hanging="1080"/>
        <w:jc w:val="both"/>
      </w:pPr>
      <w:r w:rsidRPr="00D252D3">
        <w:t>Ako užívať MicardisPlus</w:t>
      </w:r>
    </w:p>
    <w:p w:rsidR="0053152B" w:rsidRPr="00D252D3" w:rsidRDefault="0053152B" w:rsidP="00F15ADA">
      <w:pPr>
        <w:numPr>
          <w:ilvl w:val="0"/>
          <w:numId w:val="19"/>
        </w:numPr>
        <w:tabs>
          <w:tab w:val="clear" w:pos="1080"/>
          <w:tab w:val="num" w:pos="567"/>
        </w:tabs>
        <w:ind w:hanging="1080"/>
        <w:jc w:val="both"/>
      </w:pPr>
      <w:r w:rsidRPr="00D252D3">
        <w:t>Možné vedľajšie účinky</w:t>
      </w:r>
    </w:p>
    <w:p w:rsidR="0053152B" w:rsidRPr="00D252D3" w:rsidRDefault="0053152B" w:rsidP="00F15ADA">
      <w:pPr>
        <w:numPr>
          <w:ilvl w:val="0"/>
          <w:numId w:val="19"/>
        </w:numPr>
        <w:tabs>
          <w:tab w:val="clear" w:pos="1080"/>
          <w:tab w:val="num" w:pos="567"/>
        </w:tabs>
        <w:ind w:hanging="1080"/>
        <w:jc w:val="both"/>
      </w:pPr>
      <w:r w:rsidRPr="00D252D3">
        <w:t>Ako uchovávať MicardisPlus</w:t>
      </w:r>
    </w:p>
    <w:p w:rsidR="0053152B" w:rsidRPr="00D252D3" w:rsidRDefault="0053152B" w:rsidP="00F15ADA">
      <w:pPr>
        <w:numPr>
          <w:ilvl w:val="0"/>
          <w:numId w:val="19"/>
        </w:numPr>
        <w:tabs>
          <w:tab w:val="clear" w:pos="1080"/>
          <w:tab w:val="num" w:pos="567"/>
        </w:tabs>
        <w:ind w:hanging="1080"/>
        <w:jc w:val="both"/>
      </w:pPr>
      <w:r w:rsidRPr="00D252D3">
        <w:t>Obsah balenia a ďalšie informácie</w:t>
      </w:r>
    </w:p>
    <w:p w:rsidR="0053152B" w:rsidRPr="00D252D3" w:rsidRDefault="0053152B">
      <w:pPr>
        <w:numPr>
          <w:ilvl w:val="12"/>
          <w:numId w:val="0"/>
        </w:numPr>
        <w:ind w:right="-2"/>
        <w:rPr>
          <w:b/>
          <w:u w:val="single"/>
        </w:rPr>
      </w:pPr>
    </w:p>
    <w:p w:rsidR="0053152B" w:rsidRPr="00D252D3" w:rsidRDefault="0053152B">
      <w:pPr>
        <w:numPr>
          <w:ilvl w:val="12"/>
          <w:numId w:val="0"/>
        </w:numPr>
        <w:ind w:right="-2"/>
        <w:rPr>
          <w:b/>
          <w:u w:val="single"/>
        </w:rPr>
      </w:pPr>
    </w:p>
    <w:p w:rsidR="0053152B" w:rsidRPr="00D252D3" w:rsidRDefault="0053152B">
      <w:pPr>
        <w:numPr>
          <w:ilvl w:val="12"/>
          <w:numId w:val="0"/>
        </w:numPr>
        <w:ind w:left="567" w:right="-2" w:hanging="567"/>
      </w:pPr>
      <w:r w:rsidRPr="00D252D3">
        <w:rPr>
          <w:b/>
        </w:rPr>
        <w:t>1.</w:t>
      </w:r>
      <w:r w:rsidRPr="00D252D3">
        <w:rPr>
          <w:b/>
        </w:rPr>
        <w:tab/>
        <w:t>Čo je MicardisPlus a na čo sa používa</w:t>
      </w:r>
    </w:p>
    <w:p w:rsidR="0053152B" w:rsidRPr="00D252D3" w:rsidRDefault="0053152B">
      <w:pPr>
        <w:numPr>
          <w:ilvl w:val="12"/>
          <w:numId w:val="0"/>
        </w:numPr>
        <w:ind w:right="-2"/>
      </w:pPr>
    </w:p>
    <w:p w:rsidR="0053152B" w:rsidRPr="00D252D3" w:rsidRDefault="0053152B">
      <w:pPr>
        <w:ind w:left="0" w:firstLine="0"/>
        <w:rPr>
          <w:snapToGrid w:val="0"/>
          <w:lang w:eastAsia="cs-CZ"/>
        </w:rPr>
      </w:pPr>
      <w:r w:rsidRPr="00D252D3">
        <w:rPr>
          <w:snapToGrid w:val="0"/>
          <w:lang w:eastAsia="cs-CZ"/>
        </w:rPr>
        <w:t>MicardisPlus je kombinácia dvoch liečiv telmisartanu a hydrochlorotiazidu v jednej tablete. Obe tieto liečivá pomáhajú kontrolovať vysoký krvný tlak.</w:t>
      </w:r>
    </w:p>
    <w:p w:rsidR="0053152B" w:rsidRPr="00D252D3" w:rsidRDefault="0053152B">
      <w:pPr>
        <w:ind w:left="0" w:firstLine="0"/>
        <w:rPr>
          <w:snapToGrid w:val="0"/>
          <w:lang w:eastAsia="cs-CZ"/>
        </w:rPr>
      </w:pPr>
    </w:p>
    <w:p w:rsidR="0053152B" w:rsidRPr="00D252D3" w:rsidRDefault="0053152B">
      <w:pPr>
        <w:numPr>
          <w:ilvl w:val="0"/>
          <w:numId w:val="12"/>
        </w:numPr>
        <w:ind w:hanging="720"/>
        <w:rPr>
          <w:snapToGrid w:val="0"/>
          <w:lang w:eastAsia="cs-CZ"/>
        </w:rPr>
      </w:pPr>
      <w:r w:rsidRPr="00D252D3">
        <w:rPr>
          <w:snapToGrid w:val="0"/>
          <w:lang w:eastAsia="cs-CZ"/>
        </w:rPr>
        <w:t>Telmisartan patrí do skupiny liekov nazývaných antagonisty receptora angiotenzínu II. Angiotenzín II je látka, ktorá sa vytvára vo vašom tele a zapríčiňuje zúženie vašich krvných ciev, preto sa tlak krvi zvyšuje. Telmisartan blokuje účinok angiotenzínu II, takže cievy sa uvoľnia a tlak krvi je nižší.</w:t>
      </w:r>
    </w:p>
    <w:p w:rsidR="0053152B" w:rsidRPr="00D252D3" w:rsidRDefault="0053152B">
      <w:pPr>
        <w:ind w:left="0" w:firstLine="0"/>
        <w:rPr>
          <w:snapToGrid w:val="0"/>
          <w:lang w:eastAsia="cs-CZ"/>
        </w:rPr>
      </w:pPr>
    </w:p>
    <w:p w:rsidR="0053152B" w:rsidRPr="00D252D3" w:rsidRDefault="0053152B">
      <w:pPr>
        <w:numPr>
          <w:ilvl w:val="0"/>
          <w:numId w:val="12"/>
        </w:numPr>
        <w:ind w:hanging="720"/>
      </w:pPr>
      <w:r w:rsidRPr="00D252D3">
        <w:rPr>
          <w:snapToGrid w:val="0"/>
          <w:lang w:eastAsia="cs-CZ"/>
        </w:rPr>
        <w:t>Hydrochlorotiazid patrí do skupiny liekov nazývaných tiazidové diuretiká spôsobujúce, že sa vám zvyšuje vylučovanie moču, čo vedie k zníženiu vášho krvného tlaku.</w:t>
      </w:r>
    </w:p>
    <w:p w:rsidR="0053152B" w:rsidRPr="00D252D3" w:rsidRDefault="0053152B">
      <w:pPr>
        <w:ind w:left="0" w:firstLine="0"/>
        <w:jc w:val="both"/>
      </w:pPr>
    </w:p>
    <w:p w:rsidR="0053152B" w:rsidRPr="00D252D3" w:rsidRDefault="0053152B">
      <w:pPr>
        <w:ind w:left="0" w:firstLine="0"/>
        <w:rPr>
          <w:snapToGrid w:val="0"/>
          <w:lang w:eastAsia="cs-CZ"/>
        </w:rPr>
      </w:pPr>
      <w:r w:rsidRPr="00D252D3">
        <w:rPr>
          <w:snapToGrid w:val="0"/>
          <w:lang w:eastAsia="cs-CZ"/>
        </w:rPr>
        <w:t>Vysoký krvný tlak, ak sa nelieči, môže poškodiť krvné cievy vo viacerých orgánoch, čo môže niekedy viesť k infarktu srdca, zlyhaniu srdca alebo obličiek, mozgovej príhode alebo slepote. Pred výskytom poškodenia zvyčajne nie sú žiadne príznaky vysokého krvného tlaku. Preto je dôležité pravidelné meranie krvného tlaku na zistenie, či je v normálnom rozsahu.</w:t>
      </w:r>
    </w:p>
    <w:p w:rsidR="0053152B" w:rsidRPr="00D252D3" w:rsidRDefault="0053152B">
      <w:pPr>
        <w:ind w:left="0" w:firstLine="0"/>
        <w:rPr>
          <w:snapToGrid w:val="0"/>
          <w:lang w:eastAsia="cs-CZ"/>
        </w:rPr>
      </w:pPr>
    </w:p>
    <w:p w:rsidR="0053152B" w:rsidRPr="00D252D3" w:rsidRDefault="0053152B">
      <w:pPr>
        <w:numPr>
          <w:ilvl w:val="12"/>
          <w:numId w:val="0"/>
        </w:numPr>
        <w:ind w:right="-2"/>
      </w:pPr>
      <w:r w:rsidRPr="00D252D3">
        <w:rPr>
          <w:b/>
        </w:rPr>
        <w:t>MicardisPlus sa používa na</w:t>
      </w:r>
      <w:r w:rsidRPr="00D252D3">
        <w:t> liečbu vysokého krvného tlaku (esenciálna hypertenzia) u dospelých, ktorých vysoký krvný tlak nie je dostatočne kontrolovaný používaním samotného telmisartanu alebo hydrochlorotiazidu.</w:t>
      </w:r>
    </w:p>
    <w:p w:rsidR="0053152B" w:rsidRPr="00D252D3" w:rsidRDefault="0053152B">
      <w:pPr>
        <w:numPr>
          <w:ilvl w:val="12"/>
          <w:numId w:val="0"/>
        </w:numPr>
        <w:ind w:right="-2"/>
      </w:pPr>
    </w:p>
    <w:p w:rsidR="0053152B" w:rsidRPr="00D252D3" w:rsidRDefault="0053152B">
      <w:pPr>
        <w:numPr>
          <w:ilvl w:val="12"/>
          <w:numId w:val="0"/>
        </w:numPr>
        <w:ind w:right="-2"/>
      </w:pPr>
    </w:p>
    <w:p w:rsidR="0053152B" w:rsidRPr="00D252D3" w:rsidRDefault="0053152B" w:rsidP="00AB164B">
      <w:pPr>
        <w:keepNext/>
        <w:numPr>
          <w:ilvl w:val="12"/>
          <w:numId w:val="0"/>
        </w:numPr>
        <w:ind w:left="567" w:right="-2" w:hanging="567"/>
        <w:rPr>
          <w:b/>
        </w:rPr>
      </w:pPr>
      <w:r w:rsidRPr="00D252D3">
        <w:rPr>
          <w:b/>
        </w:rPr>
        <w:t>2.</w:t>
      </w:r>
      <w:r w:rsidRPr="00D252D3">
        <w:rPr>
          <w:b/>
        </w:rPr>
        <w:tab/>
        <w:t>Čo potrebujete vedieť predtým, ako užijete MicardisPlus</w:t>
      </w:r>
    </w:p>
    <w:p w:rsidR="0053152B" w:rsidRPr="00D252D3" w:rsidRDefault="0053152B" w:rsidP="00AB164B">
      <w:pPr>
        <w:keepNext/>
        <w:numPr>
          <w:ilvl w:val="12"/>
          <w:numId w:val="0"/>
        </w:numPr>
        <w:ind w:left="567" w:right="-2" w:hanging="567"/>
      </w:pPr>
    </w:p>
    <w:p w:rsidR="0053152B" w:rsidRPr="00D252D3" w:rsidRDefault="0053152B" w:rsidP="00AB164B">
      <w:pPr>
        <w:keepNext/>
        <w:rPr>
          <w:b/>
          <w:snapToGrid w:val="0"/>
        </w:rPr>
      </w:pPr>
      <w:r w:rsidRPr="00D252D3">
        <w:rPr>
          <w:b/>
          <w:snapToGrid w:val="0"/>
        </w:rPr>
        <w:t>Neužívajte MicardisPlus</w:t>
      </w:r>
    </w:p>
    <w:p w:rsidR="0053152B" w:rsidRPr="00D252D3" w:rsidRDefault="0053152B" w:rsidP="00AB164B">
      <w:pPr>
        <w:keepNext/>
        <w:rPr>
          <w:b/>
          <w:snapToGrid w:val="0"/>
        </w:rPr>
      </w:pPr>
    </w:p>
    <w:p w:rsidR="0053152B" w:rsidRPr="00D252D3" w:rsidRDefault="0053152B">
      <w:pPr>
        <w:numPr>
          <w:ilvl w:val="0"/>
          <w:numId w:val="7"/>
        </w:numPr>
        <w:tabs>
          <w:tab w:val="clear" w:pos="720"/>
          <w:tab w:val="num" w:pos="567"/>
        </w:tabs>
        <w:ind w:left="540" w:hanging="540"/>
        <w:rPr>
          <w:snapToGrid w:val="0"/>
          <w:lang w:eastAsia="cs-CZ"/>
        </w:rPr>
      </w:pPr>
      <w:r w:rsidRPr="00D252D3">
        <w:rPr>
          <w:snapToGrid w:val="0"/>
          <w:lang w:eastAsia="cs-CZ"/>
        </w:rPr>
        <w:t>ak ste alergický na telmisartan alebo na ktorúkoľvek z ďalších zložiek tohto lieku (uvedených v časti 6).</w:t>
      </w:r>
    </w:p>
    <w:p w:rsidR="0053152B" w:rsidRPr="00D252D3" w:rsidRDefault="0053152B">
      <w:pPr>
        <w:numPr>
          <w:ilvl w:val="0"/>
          <w:numId w:val="7"/>
        </w:numPr>
        <w:tabs>
          <w:tab w:val="clear" w:pos="720"/>
          <w:tab w:val="num" w:pos="567"/>
        </w:tabs>
        <w:ind w:left="567" w:hanging="567"/>
        <w:rPr>
          <w:snapToGrid w:val="0"/>
          <w:lang w:eastAsia="cs-CZ"/>
        </w:rPr>
      </w:pPr>
      <w:r w:rsidRPr="00D252D3">
        <w:rPr>
          <w:snapToGrid w:val="0"/>
          <w:lang w:eastAsia="cs-CZ"/>
        </w:rPr>
        <w:t>keď ste alergický na hydrochlorotiazid alebo na niektorý z ďalších derivátov sulfonamidu.</w:t>
      </w:r>
    </w:p>
    <w:p w:rsidR="0053152B" w:rsidRPr="00D252D3" w:rsidRDefault="0053152B">
      <w:pPr>
        <w:numPr>
          <w:ilvl w:val="0"/>
          <w:numId w:val="7"/>
        </w:numPr>
        <w:tabs>
          <w:tab w:val="clear" w:pos="720"/>
          <w:tab w:val="num" w:pos="567"/>
        </w:tabs>
        <w:ind w:left="567" w:hanging="567"/>
      </w:pPr>
      <w:r w:rsidRPr="00D252D3">
        <w:rPr>
          <w:szCs w:val="22"/>
        </w:rPr>
        <w:t xml:space="preserve">keď ste tehotná dlhšie ako 3 mesiace (Vhodnejšie je vyhnúť sa užívaniu MicardisPlusu vo včasnom štádiu tehotenstva </w:t>
      </w:r>
      <w:r w:rsidRPr="00D252D3">
        <w:rPr>
          <w:snapToGrid w:val="0"/>
          <w:lang w:eastAsia="cs-CZ"/>
        </w:rPr>
        <w:t xml:space="preserve">– </w:t>
      </w:r>
      <w:r w:rsidRPr="00D252D3">
        <w:rPr>
          <w:szCs w:val="22"/>
        </w:rPr>
        <w:t>pozri časť Tehotenstvo a dojčenie).</w:t>
      </w:r>
    </w:p>
    <w:p w:rsidR="0053152B" w:rsidRPr="00D252D3" w:rsidRDefault="0053152B">
      <w:pPr>
        <w:numPr>
          <w:ilvl w:val="0"/>
          <w:numId w:val="7"/>
        </w:numPr>
        <w:tabs>
          <w:tab w:val="clear" w:pos="720"/>
          <w:tab w:val="num" w:pos="567"/>
        </w:tabs>
        <w:ind w:left="567" w:hanging="567"/>
        <w:rPr>
          <w:snapToGrid w:val="0"/>
          <w:lang w:eastAsia="cs-CZ"/>
        </w:rPr>
      </w:pPr>
      <w:r w:rsidRPr="00D252D3">
        <w:rPr>
          <w:snapToGrid w:val="0"/>
          <w:lang w:eastAsia="cs-CZ"/>
        </w:rPr>
        <w:t>keď máte závažné problémy pečene ako poruchu odtoku žlče alebo žlčovú obštrukciu (problémy s odtokom žlče z pečene a zo žlčníka), alebo akékoľvek ďalšie ťažké ochorenie pečene.</w:t>
      </w:r>
    </w:p>
    <w:p w:rsidR="0053152B" w:rsidRPr="00D252D3" w:rsidRDefault="0053152B">
      <w:pPr>
        <w:numPr>
          <w:ilvl w:val="0"/>
          <w:numId w:val="7"/>
        </w:numPr>
        <w:tabs>
          <w:tab w:val="clear" w:pos="720"/>
          <w:tab w:val="num" w:pos="567"/>
        </w:tabs>
        <w:ind w:left="567" w:hanging="567"/>
        <w:rPr>
          <w:snapToGrid w:val="0"/>
          <w:lang w:eastAsia="cs-CZ"/>
        </w:rPr>
      </w:pPr>
      <w:r w:rsidRPr="00D252D3">
        <w:rPr>
          <w:snapToGrid w:val="0"/>
          <w:lang w:eastAsia="cs-CZ"/>
        </w:rPr>
        <w:t>keď máte závažné ochorenie obličiek.</w:t>
      </w:r>
    </w:p>
    <w:p w:rsidR="0053152B" w:rsidRPr="00D252D3" w:rsidRDefault="0053152B">
      <w:pPr>
        <w:numPr>
          <w:ilvl w:val="0"/>
          <w:numId w:val="7"/>
        </w:numPr>
        <w:tabs>
          <w:tab w:val="clear" w:pos="720"/>
          <w:tab w:val="num" w:pos="567"/>
        </w:tabs>
        <w:ind w:left="567" w:hanging="567"/>
        <w:rPr>
          <w:snapToGrid w:val="0"/>
          <w:lang w:eastAsia="cs-CZ"/>
        </w:rPr>
      </w:pPr>
      <w:r w:rsidRPr="00D252D3">
        <w:rPr>
          <w:snapToGrid w:val="0"/>
          <w:lang w:eastAsia="cs-CZ"/>
        </w:rPr>
        <w:t>keď váš lekár určí, že máte nízku hladinu draslíka alebo vysokú hladinu vápnika v krvi, ktoré sa liečbou nezlepšujú.</w:t>
      </w:r>
    </w:p>
    <w:p w:rsidR="0053152B" w:rsidRPr="00D252D3" w:rsidRDefault="0053152B">
      <w:pPr>
        <w:numPr>
          <w:ilvl w:val="0"/>
          <w:numId w:val="7"/>
        </w:numPr>
        <w:tabs>
          <w:tab w:val="clear" w:pos="720"/>
          <w:tab w:val="num" w:pos="567"/>
        </w:tabs>
        <w:ind w:left="567" w:hanging="567"/>
        <w:rPr>
          <w:szCs w:val="22"/>
        </w:rPr>
      </w:pPr>
      <w:r w:rsidRPr="00D252D3">
        <w:rPr>
          <w:szCs w:val="22"/>
        </w:rPr>
        <w:t>ak máte cukrovku alebo poruchu funkcie obličiek a užívate liek na zníženie krvného tlaku obsahujúci aliskiren.</w:t>
      </w:r>
    </w:p>
    <w:p w:rsidR="0053152B" w:rsidRPr="00D252D3" w:rsidRDefault="0053152B">
      <w:pPr>
        <w:ind w:left="0" w:firstLine="0"/>
        <w:rPr>
          <w:snapToGrid w:val="0"/>
          <w:lang w:eastAsia="cs-CZ"/>
        </w:rPr>
      </w:pPr>
    </w:p>
    <w:p w:rsidR="0053152B" w:rsidRPr="00D252D3" w:rsidRDefault="0053152B">
      <w:pPr>
        <w:ind w:left="0" w:firstLine="0"/>
        <w:rPr>
          <w:snapToGrid w:val="0"/>
          <w:lang w:eastAsia="cs-CZ"/>
        </w:rPr>
      </w:pPr>
      <w:r w:rsidRPr="00D252D3">
        <w:rPr>
          <w:snapToGrid w:val="0"/>
          <w:lang w:eastAsia="cs-CZ"/>
        </w:rPr>
        <w:t>Ak sa vás týka niečo z vyššie uvedeného, skôr ako začnete užívať MicardisPlus, povedzte to svojmu lekárovi alebo lekárnikovi.</w:t>
      </w:r>
    </w:p>
    <w:p w:rsidR="0053152B" w:rsidRPr="00D252D3" w:rsidRDefault="0053152B">
      <w:pPr>
        <w:ind w:left="0" w:firstLine="0"/>
        <w:rPr>
          <w:snapToGrid w:val="0"/>
          <w:lang w:eastAsia="cs-CZ"/>
        </w:rPr>
      </w:pPr>
    </w:p>
    <w:p w:rsidR="0053152B" w:rsidRPr="00D252D3" w:rsidRDefault="0053152B">
      <w:pPr>
        <w:ind w:left="0" w:firstLine="0"/>
        <w:rPr>
          <w:b/>
          <w:snapToGrid w:val="0"/>
          <w:lang w:eastAsia="cs-CZ"/>
        </w:rPr>
      </w:pPr>
      <w:r w:rsidRPr="00D252D3">
        <w:rPr>
          <w:b/>
          <w:snapToGrid w:val="0"/>
          <w:lang w:eastAsia="cs-CZ"/>
        </w:rPr>
        <w:t>Upozornenia a opatrenia</w:t>
      </w:r>
    </w:p>
    <w:p w:rsidR="0053152B" w:rsidRPr="00D252D3" w:rsidRDefault="0053152B">
      <w:pPr>
        <w:ind w:left="0" w:firstLine="0"/>
        <w:rPr>
          <w:snapToGrid w:val="0"/>
          <w:lang w:eastAsia="cs-CZ"/>
        </w:rPr>
      </w:pPr>
      <w:r w:rsidRPr="00D252D3">
        <w:rPr>
          <w:snapToGrid w:val="0"/>
          <w:lang w:eastAsia="cs-CZ"/>
        </w:rPr>
        <w:t>Predtým, ako začnete užívať MicardisPlus, obráťte sa na svojho lekára, ak trpíte alebo sa niekedy u vás vyskytol niektorý z nasledujúcich stavov alebo ochorení:</w:t>
      </w:r>
    </w:p>
    <w:p w:rsidR="0053152B" w:rsidRPr="00D252D3" w:rsidRDefault="0053152B">
      <w:pPr>
        <w:ind w:left="0" w:firstLine="0"/>
        <w:rPr>
          <w:snapToGrid w:val="0"/>
          <w:lang w:eastAsia="cs-CZ"/>
        </w:rPr>
      </w:pPr>
    </w:p>
    <w:p w:rsidR="0053152B" w:rsidRPr="00D252D3" w:rsidRDefault="0053152B">
      <w:pPr>
        <w:numPr>
          <w:ilvl w:val="0"/>
          <w:numId w:val="12"/>
        </w:numPr>
        <w:ind w:hanging="720"/>
        <w:rPr>
          <w:snapToGrid w:val="0"/>
          <w:lang w:eastAsia="cs-CZ"/>
        </w:rPr>
      </w:pPr>
      <w:r w:rsidRPr="00D252D3">
        <w:rPr>
          <w:snapToGrid w:val="0"/>
          <w:lang w:eastAsia="cs-CZ"/>
        </w:rPr>
        <w:t>nízky krvný tlak (hypotenzia), pravdepodobne sa vyskytne, ak ste dehydrovaný (nadmerná strata vody z tela) alebo keď máte nedostatok soli následkom diuretickej liečby (’tablety na odvodnenie’), diéty s nízkym obsahom soli, hnačky, vracaním alebo ste na hemodialýze,</w:t>
      </w:r>
    </w:p>
    <w:p w:rsidR="0053152B" w:rsidRPr="00D252D3" w:rsidRDefault="0053152B">
      <w:pPr>
        <w:numPr>
          <w:ilvl w:val="0"/>
          <w:numId w:val="12"/>
        </w:numPr>
        <w:ind w:hanging="720"/>
        <w:rPr>
          <w:snapToGrid w:val="0"/>
          <w:lang w:eastAsia="cs-CZ"/>
        </w:rPr>
      </w:pPr>
      <w:r w:rsidRPr="00D252D3">
        <w:rPr>
          <w:snapToGrid w:val="0"/>
          <w:lang w:eastAsia="cs-CZ"/>
        </w:rPr>
        <w:t>ochorenie obličiek alebo ste po transplantácii obličky.</w:t>
      </w:r>
    </w:p>
    <w:p w:rsidR="0053152B" w:rsidRPr="00D252D3" w:rsidRDefault="0053152B">
      <w:pPr>
        <w:numPr>
          <w:ilvl w:val="0"/>
          <w:numId w:val="12"/>
        </w:numPr>
        <w:ind w:hanging="720"/>
        <w:rPr>
          <w:snapToGrid w:val="0"/>
          <w:lang w:eastAsia="cs-CZ"/>
        </w:rPr>
      </w:pPr>
      <w:r w:rsidRPr="00D252D3">
        <w:rPr>
          <w:snapToGrid w:val="0"/>
          <w:lang w:eastAsia="cs-CZ"/>
        </w:rPr>
        <w:t>obličková arteriálna stenóza (zúžením krvných ciev jednej alebo oboch obličiek).</w:t>
      </w:r>
    </w:p>
    <w:p w:rsidR="0053152B" w:rsidRPr="00D252D3" w:rsidRDefault="0053152B">
      <w:pPr>
        <w:numPr>
          <w:ilvl w:val="0"/>
          <w:numId w:val="12"/>
        </w:numPr>
        <w:ind w:hanging="720"/>
        <w:rPr>
          <w:snapToGrid w:val="0"/>
          <w:lang w:eastAsia="cs-CZ"/>
        </w:rPr>
      </w:pPr>
      <w:r w:rsidRPr="00D252D3">
        <w:rPr>
          <w:snapToGrid w:val="0"/>
          <w:lang w:eastAsia="cs-CZ"/>
        </w:rPr>
        <w:t>ochorenie pečene.</w:t>
      </w:r>
    </w:p>
    <w:p w:rsidR="0053152B" w:rsidRPr="00D252D3" w:rsidRDefault="0053152B">
      <w:pPr>
        <w:numPr>
          <w:ilvl w:val="0"/>
          <w:numId w:val="12"/>
        </w:numPr>
        <w:ind w:hanging="720"/>
        <w:rPr>
          <w:snapToGrid w:val="0"/>
          <w:lang w:eastAsia="cs-CZ"/>
        </w:rPr>
      </w:pPr>
      <w:r w:rsidRPr="00D252D3">
        <w:rPr>
          <w:snapToGrid w:val="0"/>
          <w:lang w:eastAsia="cs-CZ"/>
        </w:rPr>
        <w:t>problémy so srdcom.</w:t>
      </w:r>
    </w:p>
    <w:p w:rsidR="0053152B" w:rsidRPr="00D252D3" w:rsidRDefault="0053152B">
      <w:pPr>
        <w:numPr>
          <w:ilvl w:val="0"/>
          <w:numId w:val="12"/>
        </w:numPr>
        <w:ind w:hanging="720"/>
        <w:rPr>
          <w:snapToGrid w:val="0"/>
          <w:lang w:eastAsia="cs-CZ"/>
        </w:rPr>
      </w:pPr>
      <w:r w:rsidRPr="00D252D3">
        <w:rPr>
          <w:snapToGrid w:val="0"/>
          <w:lang w:eastAsia="cs-CZ"/>
        </w:rPr>
        <w:t>cukrovka.</w:t>
      </w:r>
    </w:p>
    <w:p w:rsidR="0053152B" w:rsidRPr="00D252D3" w:rsidRDefault="0053152B">
      <w:pPr>
        <w:numPr>
          <w:ilvl w:val="0"/>
          <w:numId w:val="12"/>
        </w:numPr>
        <w:ind w:hanging="720"/>
        <w:rPr>
          <w:snapToGrid w:val="0"/>
          <w:lang w:eastAsia="cs-CZ"/>
        </w:rPr>
      </w:pPr>
      <w:r w:rsidRPr="00D252D3">
        <w:rPr>
          <w:snapToGrid w:val="0"/>
          <w:lang w:eastAsia="cs-CZ"/>
        </w:rPr>
        <w:t>dna.</w:t>
      </w:r>
    </w:p>
    <w:p w:rsidR="0053152B" w:rsidRPr="00D252D3" w:rsidRDefault="0053152B">
      <w:pPr>
        <w:numPr>
          <w:ilvl w:val="0"/>
          <w:numId w:val="12"/>
        </w:numPr>
        <w:ind w:hanging="720"/>
        <w:rPr>
          <w:snapToGrid w:val="0"/>
          <w:lang w:eastAsia="cs-CZ"/>
        </w:rPr>
      </w:pPr>
      <w:r w:rsidRPr="00D252D3">
        <w:rPr>
          <w:snapToGrid w:val="0"/>
          <w:lang w:eastAsia="cs-CZ"/>
        </w:rPr>
        <w:t>zvýšená hladina aldosterónu (zadržiavanie vody a solí v tele popri nerovnováhe rôznych krvných minerálov).</w:t>
      </w:r>
    </w:p>
    <w:p w:rsidR="0053152B" w:rsidRPr="00D252D3" w:rsidRDefault="0053152B">
      <w:pPr>
        <w:numPr>
          <w:ilvl w:val="0"/>
          <w:numId w:val="12"/>
        </w:numPr>
        <w:ind w:hanging="720"/>
        <w:rPr>
          <w:snapToGrid w:val="0"/>
          <w:lang w:eastAsia="cs-CZ"/>
        </w:rPr>
      </w:pPr>
      <w:r w:rsidRPr="00D252D3">
        <w:rPr>
          <w:snapToGrid w:val="0"/>
          <w:lang w:eastAsia="cs-CZ"/>
        </w:rPr>
        <w:t>ochorenie systémový lupus erythematosus (nazývaný tiež „lupus“ alebo „</w:t>
      </w:r>
      <w:smartTag w:uri="urn:schemas-microsoft-com:office:smarttags" w:element="stockticker">
        <w:r w:rsidRPr="00D252D3">
          <w:rPr>
            <w:snapToGrid w:val="0"/>
            <w:lang w:eastAsia="cs-CZ"/>
          </w:rPr>
          <w:t>SLE</w:t>
        </w:r>
      </w:smartTag>
      <w:r w:rsidRPr="00D252D3">
        <w:rPr>
          <w:snapToGrid w:val="0"/>
          <w:lang w:eastAsia="cs-CZ"/>
        </w:rPr>
        <w:t>“)–choroba, kde imunitný systém napadá telo.</w:t>
      </w:r>
    </w:p>
    <w:p w:rsidR="0053152B" w:rsidRPr="00D252D3" w:rsidRDefault="0053152B" w:rsidP="00B10F30">
      <w:pPr>
        <w:numPr>
          <w:ilvl w:val="0"/>
          <w:numId w:val="12"/>
        </w:numPr>
        <w:ind w:hanging="720"/>
        <w:rPr>
          <w:rFonts w:eastAsia="MS Mincho"/>
          <w:szCs w:val="22"/>
          <w:lang w:eastAsia="ja-JP"/>
        </w:rPr>
      </w:pPr>
      <w:r w:rsidRPr="00D252D3">
        <w:rPr>
          <w:szCs w:val="22"/>
        </w:rPr>
        <w:t xml:space="preserve">liečivo hydrochlorotiazid môže spôsobiť neobvyklé reakcie, ktorých následkom je zhoršené videnie a bolesť oka. Toto môžu byť príznaky </w:t>
      </w:r>
      <w:r w:rsidR="002A5973" w:rsidRPr="00D252D3">
        <w:rPr>
          <w:szCs w:val="22"/>
        </w:rPr>
        <w:t xml:space="preserve">nahromadenia tekutiny vo vrstve oka obsahujúcej cievy (choroidálna efúzia) alebo </w:t>
      </w:r>
      <w:r w:rsidRPr="00D252D3">
        <w:rPr>
          <w:szCs w:val="22"/>
        </w:rPr>
        <w:t>zvýšeného tlaku v oku a môžu sa objaviť v priebehu niekoľkých hodín alebo týždňov užívania MicardisPlusu. Ak sa neliečia, môžu viesť k trvalému poškodeniu zraku.</w:t>
      </w:r>
    </w:p>
    <w:p w:rsidR="00B10F30" w:rsidRPr="00D252D3" w:rsidRDefault="00B10F30" w:rsidP="00B10F30">
      <w:pPr>
        <w:numPr>
          <w:ilvl w:val="0"/>
          <w:numId w:val="12"/>
        </w:numPr>
        <w:ind w:hanging="720"/>
        <w:rPr>
          <w:rFonts w:eastAsia="MS Mincho"/>
          <w:szCs w:val="22"/>
          <w:lang w:eastAsia="ja-JP"/>
        </w:rPr>
      </w:pPr>
      <w:r w:rsidRPr="00D252D3">
        <w:t>ak ste mali rakovinu kože alebo sa u vás počas liečby objavil neočakávaný nález na koži. Liečba hydrochlorotiazidom, najmä dlhodobé používanie vysokých dávok, môže zvýšiť riziko vzniku niektorých druhov rakoviny kože a rakoviny pier (nemelanómová rakovina kože). Počas užívania MicardisPlusu si chráňte kožu pred slnečným žiarením a UV lúčmi.</w:t>
      </w:r>
    </w:p>
    <w:p w:rsidR="0053152B" w:rsidRPr="00D252D3" w:rsidRDefault="0053152B" w:rsidP="00B10F30">
      <w:pPr>
        <w:ind w:left="0" w:firstLine="0"/>
        <w:rPr>
          <w:snapToGrid w:val="0"/>
          <w:lang w:eastAsia="cs-CZ"/>
        </w:rPr>
      </w:pPr>
    </w:p>
    <w:p w:rsidR="0053152B" w:rsidRPr="00D252D3" w:rsidRDefault="0053152B">
      <w:pPr>
        <w:numPr>
          <w:ilvl w:val="12"/>
          <w:numId w:val="0"/>
        </w:numPr>
      </w:pPr>
      <w:r w:rsidRPr="00D252D3">
        <w:rPr>
          <w:snapToGrid w:val="0"/>
          <w:lang w:eastAsia="cs-CZ"/>
        </w:rPr>
        <w:t xml:space="preserve">Predtým, ako začnete užívať MicardisPlus, </w:t>
      </w:r>
      <w:r w:rsidRPr="00D252D3">
        <w:t>obráťte sa na svojho lekára</w:t>
      </w:r>
      <w:r w:rsidRPr="00D252D3">
        <w:rPr>
          <w:szCs w:val="22"/>
          <w:lang w:eastAsia="en-US"/>
        </w:rPr>
        <w:t>:</w:t>
      </w:r>
    </w:p>
    <w:p w:rsidR="0053152B" w:rsidRPr="00D252D3" w:rsidRDefault="0053152B">
      <w:pPr>
        <w:numPr>
          <w:ilvl w:val="0"/>
          <w:numId w:val="35"/>
        </w:numPr>
        <w:ind w:left="567" w:hanging="567"/>
        <w:rPr>
          <w:szCs w:val="22"/>
        </w:rPr>
      </w:pPr>
      <w:r w:rsidRPr="00D252D3">
        <w:rPr>
          <w:szCs w:val="22"/>
        </w:rPr>
        <w:t>ak užívate niektorý z nasledujúcich liekov, ktoré sa používajú na liečbu vysokého tlaku krvi:</w:t>
      </w:r>
    </w:p>
    <w:p w:rsidR="0053152B" w:rsidRPr="00D252D3" w:rsidRDefault="0053152B">
      <w:pPr>
        <w:ind w:firstLine="0"/>
        <w:rPr>
          <w:szCs w:val="22"/>
        </w:rPr>
      </w:pPr>
      <w:r w:rsidRPr="00D252D3">
        <w:rPr>
          <w:szCs w:val="22"/>
        </w:rPr>
        <w:t>- inhibítor ACE (napríklad enalapril, lizinopril, ramipril), najmä ak máte problémy s obličkami súvisiace s cukrovkou.</w:t>
      </w:r>
    </w:p>
    <w:p w:rsidR="0053152B" w:rsidRPr="00D252D3" w:rsidRDefault="0053152B">
      <w:pPr>
        <w:ind w:firstLine="0"/>
        <w:rPr>
          <w:szCs w:val="22"/>
        </w:rPr>
      </w:pPr>
      <w:r w:rsidRPr="00D252D3">
        <w:rPr>
          <w:szCs w:val="22"/>
        </w:rPr>
        <w:t>- aliskiren.</w:t>
      </w:r>
    </w:p>
    <w:p w:rsidR="0053152B" w:rsidRPr="00D252D3" w:rsidRDefault="0053152B">
      <w:pPr>
        <w:ind w:firstLine="0"/>
        <w:rPr>
          <w:szCs w:val="22"/>
        </w:rPr>
      </w:pPr>
      <w:r w:rsidRPr="00D252D3">
        <w:rPr>
          <w:szCs w:val="22"/>
        </w:rPr>
        <w:t xml:space="preserve">Lekár vám môže pravidelne kontrolovať funkciu obličiek, krvný tlak a množstvo elektrolytov (napríklad draslíka) v krvi. Pozri tiež informácie v časti „Neužívajte </w:t>
      </w:r>
      <w:r w:rsidRPr="00D252D3">
        <w:t>MicardisPlus</w:t>
      </w:r>
      <w:r w:rsidRPr="00D252D3">
        <w:rPr>
          <w:szCs w:val="22"/>
        </w:rPr>
        <w:t>“.</w:t>
      </w:r>
    </w:p>
    <w:p w:rsidR="0053152B" w:rsidRPr="00D252D3" w:rsidRDefault="0053152B">
      <w:pPr>
        <w:numPr>
          <w:ilvl w:val="0"/>
          <w:numId w:val="30"/>
        </w:numPr>
        <w:rPr>
          <w:szCs w:val="22"/>
        </w:rPr>
      </w:pPr>
      <w:r w:rsidRPr="00D252D3">
        <w:rPr>
          <w:szCs w:val="22"/>
        </w:rPr>
        <w:t>ak užívate digoxín.</w:t>
      </w:r>
    </w:p>
    <w:p w:rsidR="0053152B" w:rsidRPr="00D252D3" w:rsidRDefault="0053152B">
      <w:pPr>
        <w:ind w:left="0" w:firstLine="0"/>
        <w:rPr>
          <w:snapToGrid w:val="0"/>
          <w:lang w:eastAsia="cs-CZ"/>
        </w:rPr>
      </w:pPr>
    </w:p>
    <w:p w:rsidR="0053152B" w:rsidRPr="00D252D3" w:rsidRDefault="0053152B">
      <w:pPr>
        <w:ind w:left="0" w:firstLine="0"/>
        <w:rPr>
          <w:snapToGrid w:val="0"/>
          <w:lang w:eastAsia="cs-CZ"/>
        </w:rPr>
      </w:pPr>
      <w:r w:rsidRPr="00D252D3">
        <w:rPr>
          <w:snapToGrid w:val="0"/>
          <w:lang w:eastAsia="cs-CZ"/>
        </w:rPr>
        <w:t>Ak si myslíte, že ste (</w:t>
      </w:r>
      <w:r w:rsidRPr="00D252D3">
        <w:rPr>
          <w:snapToGrid w:val="0"/>
          <w:u w:val="single"/>
          <w:lang w:eastAsia="cs-CZ"/>
        </w:rPr>
        <w:t>alebo môžete byť</w:t>
      </w:r>
      <w:r w:rsidRPr="00D252D3">
        <w:rPr>
          <w:snapToGrid w:val="0"/>
          <w:lang w:eastAsia="cs-CZ"/>
        </w:rPr>
        <w:t>) tehotná, musíte to povedať svojmu lekárovi. MicardisPlus sa neodporúča užívať na začiatku tehotenstva a musí sa vysadiť, ak ste tehotná viac ako 3 mesiace. Keďže môže spôsobiť závažné poškodenie vášho dieťaťa, ak sa užíva v tomto štádiu (pozri časť Tehotenstvo a dojčenie).</w:t>
      </w:r>
    </w:p>
    <w:p w:rsidR="0053152B" w:rsidRPr="00D252D3" w:rsidRDefault="0053152B">
      <w:pPr>
        <w:ind w:left="0" w:firstLine="0"/>
        <w:rPr>
          <w:snapToGrid w:val="0"/>
          <w:lang w:eastAsia="cs-CZ"/>
        </w:rPr>
      </w:pPr>
    </w:p>
    <w:p w:rsidR="0053152B" w:rsidRPr="00D252D3" w:rsidRDefault="0053152B">
      <w:pPr>
        <w:ind w:left="0" w:firstLine="0"/>
        <w:rPr>
          <w:snapToGrid w:val="0"/>
          <w:lang w:eastAsia="cs-CZ"/>
        </w:rPr>
      </w:pPr>
      <w:r w:rsidRPr="00D252D3">
        <w:rPr>
          <w:snapToGrid w:val="0"/>
          <w:lang w:eastAsia="cs-CZ"/>
        </w:rPr>
        <w:t xml:space="preserve">Liečba hydrochlorotiazidom môže zapríčiniť nerovnováhu elektrolytov vo vašom tele. Typické príznaky nerovnováhy telesných tekutín alebo elektrolytov zahŕňajú sucho v ústach, slabosť, apatiu, ospanlivosť, nepokoj, bolesť svalov alebo kŕče, nauzeu (nevoľnosť), vracanie, svalovú únavu a neobvykle zrýchlený pulz (viac ako 100 úderov za minútu). Ak spozorujete niektorý z týchto príznakov, povedzte to svojmu lekárovi. </w:t>
      </w:r>
    </w:p>
    <w:p w:rsidR="0053152B" w:rsidRPr="00D252D3" w:rsidRDefault="0053152B">
      <w:pPr>
        <w:ind w:left="0" w:firstLine="0"/>
        <w:rPr>
          <w:snapToGrid w:val="0"/>
          <w:lang w:eastAsia="cs-CZ"/>
        </w:rPr>
      </w:pPr>
    </w:p>
    <w:p w:rsidR="0053152B" w:rsidRPr="00D252D3" w:rsidRDefault="0053152B">
      <w:pPr>
        <w:ind w:left="0" w:firstLine="0"/>
        <w:rPr>
          <w:szCs w:val="22"/>
        </w:rPr>
      </w:pPr>
      <w:r w:rsidRPr="00D252D3">
        <w:rPr>
          <w:szCs w:val="22"/>
        </w:rPr>
        <w:t>Svojmu lekárovi tiež musíte povedať, že máte zvýšenú citlivosť kože na slnko s príznakmi spálenia (ako je sčervenenie, svrbenie, opuch, tvorba pľuzgierov), ktoré sa vytvárajú rýchlejšie ako zvyčajne.</w:t>
      </w:r>
    </w:p>
    <w:p w:rsidR="0053152B" w:rsidRPr="00D252D3" w:rsidRDefault="0053152B">
      <w:pPr>
        <w:ind w:left="0" w:firstLine="0"/>
        <w:rPr>
          <w:snapToGrid w:val="0"/>
          <w:lang w:eastAsia="cs-CZ"/>
        </w:rPr>
      </w:pPr>
    </w:p>
    <w:p w:rsidR="0053152B" w:rsidRPr="00D252D3" w:rsidRDefault="0053152B">
      <w:pPr>
        <w:ind w:left="0" w:firstLine="0"/>
        <w:rPr>
          <w:snapToGrid w:val="0"/>
          <w:lang w:eastAsia="cs-CZ"/>
        </w:rPr>
      </w:pPr>
      <w:r w:rsidRPr="00D252D3">
        <w:rPr>
          <w:snapToGrid w:val="0"/>
          <w:lang w:eastAsia="cs-CZ"/>
        </w:rPr>
        <w:t>Pred chirurgickým zákrokom alebo anestézou, informujte svojho lekára o tom, že užívate MicardisPlus.</w:t>
      </w:r>
    </w:p>
    <w:p w:rsidR="0053152B" w:rsidRPr="00D252D3" w:rsidRDefault="0053152B">
      <w:pPr>
        <w:ind w:left="0" w:firstLine="0"/>
        <w:rPr>
          <w:snapToGrid w:val="0"/>
          <w:lang w:eastAsia="cs-CZ"/>
        </w:rPr>
      </w:pPr>
    </w:p>
    <w:p w:rsidR="0053152B" w:rsidRPr="00D252D3" w:rsidRDefault="0053152B">
      <w:pPr>
        <w:ind w:left="0" w:firstLine="0"/>
        <w:rPr>
          <w:snapToGrid w:val="0"/>
          <w:lang w:eastAsia="cs-CZ"/>
        </w:rPr>
      </w:pPr>
      <w:r w:rsidRPr="00D252D3">
        <w:rPr>
          <w:snapToGrid w:val="0"/>
          <w:lang w:eastAsia="cs-CZ"/>
        </w:rPr>
        <w:t>MicardisPlus môže mať nižšiu účinnosť pri znižovaní krvného tlaku u černošských pacientov.</w:t>
      </w:r>
    </w:p>
    <w:p w:rsidR="0053152B" w:rsidRPr="00D252D3" w:rsidRDefault="0053152B">
      <w:pPr>
        <w:ind w:left="0" w:firstLine="0"/>
        <w:rPr>
          <w:snapToGrid w:val="0"/>
          <w:lang w:eastAsia="cs-CZ"/>
        </w:rPr>
      </w:pPr>
    </w:p>
    <w:p w:rsidR="0053152B" w:rsidRPr="00D252D3" w:rsidRDefault="0053152B" w:rsidP="000D7A2C">
      <w:pPr>
        <w:keepNext/>
        <w:keepLines/>
        <w:ind w:left="0" w:firstLine="0"/>
        <w:rPr>
          <w:b/>
          <w:snapToGrid w:val="0"/>
          <w:lang w:eastAsia="cs-CZ"/>
        </w:rPr>
      </w:pPr>
      <w:r w:rsidRPr="00D252D3">
        <w:rPr>
          <w:b/>
          <w:snapToGrid w:val="0"/>
          <w:lang w:eastAsia="cs-CZ"/>
        </w:rPr>
        <w:t>Deti a dospievajúci</w:t>
      </w:r>
    </w:p>
    <w:p w:rsidR="0053152B" w:rsidRPr="00D252D3" w:rsidRDefault="0053152B" w:rsidP="000D7A2C">
      <w:pPr>
        <w:keepNext/>
        <w:keepLines/>
        <w:ind w:left="0" w:firstLine="0"/>
        <w:rPr>
          <w:b/>
          <w:snapToGrid w:val="0"/>
          <w:lang w:eastAsia="cs-CZ"/>
        </w:rPr>
      </w:pPr>
    </w:p>
    <w:p w:rsidR="0053152B" w:rsidRPr="00D252D3" w:rsidRDefault="0053152B">
      <w:pPr>
        <w:ind w:left="0" w:firstLine="0"/>
        <w:rPr>
          <w:snapToGrid w:val="0"/>
          <w:lang w:eastAsia="cs-CZ"/>
        </w:rPr>
      </w:pPr>
      <w:r w:rsidRPr="00D252D3">
        <w:rPr>
          <w:snapToGrid w:val="0"/>
          <w:lang w:eastAsia="cs-CZ"/>
        </w:rPr>
        <w:t xml:space="preserve">Užívanie MicardisPlusu u detí a dospievajúcich do 18 rokov sa neodporúča. </w:t>
      </w:r>
    </w:p>
    <w:p w:rsidR="0053152B" w:rsidRPr="00D252D3" w:rsidRDefault="0053152B">
      <w:pPr>
        <w:ind w:left="0" w:firstLine="0"/>
        <w:rPr>
          <w:snapToGrid w:val="0"/>
          <w:lang w:eastAsia="cs-CZ"/>
        </w:rPr>
      </w:pPr>
    </w:p>
    <w:p w:rsidR="0053152B" w:rsidRPr="00D252D3" w:rsidRDefault="0053152B">
      <w:pPr>
        <w:keepNext/>
        <w:rPr>
          <w:b/>
        </w:rPr>
      </w:pPr>
      <w:r w:rsidRPr="00D252D3">
        <w:rPr>
          <w:b/>
        </w:rPr>
        <w:t>Iné lieky a MicardisPlus</w:t>
      </w:r>
    </w:p>
    <w:p w:rsidR="0053152B" w:rsidRPr="00D252D3" w:rsidRDefault="0053152B">
      <w:pPr>
        <w:keepNext/>
        <w:ind w:left="0" w:firstLine="0"/>
      </w:pPr>
    </w:p>
    <w:p w:rsidR="0053152B" w:rsidRPr="00D252D3" w:rsidRDefault="0053152B">
      <w:pPr>
        <w:ind w:left="0" w:firstLine="0"/>
      </w:pPr>
      <w:r w:rsidRPr="00D252D3">
        <w:t>Ak teraz užívate, alebo ste v poslednom čase užívali, či práve budete užívať ďalšie lieky, povedzte to svojmu lekárovi alebo lekárnikovi. Váš lekár možno bude musieť zmeniť dávkovanie ostatných liekov alebo urobiť iné opatrenia. V niektorých prípadoch možno prestanete užívať niektoré z lieky. Vzťahuje sa to najmä na lieky, uvedené nižšie, ak sa užívajú súčasne s MicardisPlusom:</w:t>
      </w:r>
    </w:p>
    <w:p w:rsidR="0053152B" w:rsidRPr="00D252D3" w:rsidRDefault="0053152B">
      <w:pPr>
        <w:ind w:left="0" w:firstLine="0"/>
      </w:pPr>
    </w:p>
    <w:p w:rsidR="0053152B" w:rsidRPr="00D252D3" w:rsidRDefault="0053152B">
      <w:pPr>
        <w:numPr>
          <w:ilvl w:val="0"/>
          <w:numId w:val="12"/>
        </w:numPr>
      </w:pPr>
      <w:r w:rsidRPr="00D252D3">
        <w:t>lieky s obsahom lítia na liečbu niektorých druhov depresie.</w:t>
      </w:r>
    </w:p>
    <w:p w:rsidR="0053152B" w:rsidRPr="00D252D3" w:rsidRDefault="0053152B">
      <w:pPr>
        <w:numPr>
          <w:ilvl w:val="0"/>
          <w:numId w:val="12"/>
        </w:numPr>
      </w:pPr>
      <w:r w:rsidRPr="00D252D3">
        <w:t>lieky spojené s nízkym obsahom draslíka (hypokaliémia), ako sú diuretiká (’tablety na odvodnenie’), laxatíva (napr. ricínový olej), kortikosteroidy (napr. prednisón), ACTH (hormón), amfotericín (liek proti plesniam), karbenoxolón (používal sa na liečbu vredov v ústach), sodná soľ benzylpenicilínu (antibiotikum), kyselina salicylová a jej deriváty.</w:t>
      </w:r>
    </w:p>
    <w:p w:rsidR="0053152B" w:rsidRPr="00D252D3" w:rsidRDefault="0053152B">
      <w:pPr>
        <w:numPr>
          <w:ilvl w:val="0"/>
          <w:numId w:val="12"/>
        </w:numPr>
      </w:pPr>
      <w:r w:rsidRPr="00D252D3">
        <w:t xml:space="preserve">lieky, ktoré môžu zvýšiť hladiny draslíka v krvi, ako sú draslík šetriace diuretiká, náhrady draslíka, náhrady soli obsahujúce draslík, </w:t>
      </w:r>
      <w:smartTag w:uri="urn:schemas-microsoft-com:office:smarttags" w:element="stockticker">
        <w:r w:rsidRPr="00D252D3">
          <w:t>ACE</w:t>
        </w:r>
      </w:smartTag>
      <w:r w:rsidRPr="00D252D3">
        <w:t xml:space="preserve"> inhibítory,  cyklosporín (imunosupresívum) a iné liečivá, ako je sodná soľ heparínu (antikoagulancium).</w:t>
      </w:r>
    </w:p>
    <w:p w:rsidR="0053152B" w:rsidRPr="00D252D3" w:rsidRDefault="0053152B">
      <w:pPr>
        <w:numPr>
          <w:ilvl w:val="0"/>
          <w:numId w:val="12"/>
        </w:numPr>
        <w:rPr>
          <w:szCs w:val="22"/>
        </w:rPr>
      </w:pPr>
      <w:r w:rsidRPr="00D252D3">
        <w:rPr>
          <w:szCs w:val="22"/>
        </w:rPr>
        <w:t>lieky, na ktoré vplývajú zmeny koncentrácií draslíka v krvi, ako sú lieky na srdce (napr.  digoxín) alebo lieky, ktoré majú kontrolovať váš srdcový rytmus (napr. chinidín, dizopyramid, amiodarón, sotalol), lieky používané pri duševných poruchách (napr. tioridazín, chlorpromazín, levomepromazín) a ďalšie lieky ako sú niektoré antibiotiká (napr. sparfloxacín, pentamidín) alebo niektoré lieky na liečbu alergických reakcií (napr. terfenadín).</w:t>
      </w:r>
    </w:p>
    <w:p w:rsidR="0053152B" w:rsidRPr="00D252D3" w:rsidRDefault="0053152B">
      <w:pPr>
        <w:numPr>
          <w:ilvl w:val="0"/>
          <w:numId w:val="12"/>
        </w:numPr>
        <w:rPr>
          <w:szCs w:val="22"/>
        </w:rPr>
      </w:pPr>
      <w:r w:rsidRPr="00D252D3">
        <w:rPr>
          <w:szCs w:val="22"/>
        </w:rPr>
        <w:t>lieky na liečbu cukrovky (inzulíny alebo perorálne prípravky, ako je metformín).</w:t>
      </w:r>
    </w:p>
    <w:p w:rsidR="0053152B" w:rsidRPr="00D252D3" w:rsidRDefault="0053152B">
      <w:pPr>
        <w:numPr>
          <w:ilvl w:val="0"/>
          <w:numId w:val="12"/>
        </w:numPr>
        <w:rPr>
          <w:szCs w:val="22"/>
        </w:rPr>
      </w:pPr>
      <w:r w:rsidRPr="00D252D3">
        <w:rPr>
          <w:szCs w:val="22"/>
        </w:rPr>
        <w:t xml:space="preserve">cholestyramín a kolestipol, lieky na znižovanie hodnôt tukov v krvi. </w:t>
      </w:r>
    </w:p>
    <w:p w:rsidR="0053152B" w:rsidRPr="00D252D3" w:rsidRDefault="0053152B">
      <w:pPr>
        <w:numPr>
          <w:ilvl w:val="0"/>
          <w:numId w:val="12"/>
        </w:numPr>
        <w:rPr>
          <w:szCs w:val="22"/>
        </w:rPr>
      </w:pPr>
      <w:r w:rsidRPr="00D252D3">
        <w:rPr>
          <w:szCs w:val="22"/>
        </w:rPr>
        <w:t>lieky na zvyšovanie krvného tlaku, ako je noradrenalín.</w:t>
      </w:r>
    </w:p>
    <w:p w:rsidR="0053152B" w:rsidRPr="00D252D3" w:rsidRDefault="0053152B">
      <w:pPr>
        <w:numPr>
          <w:ilvl w:val="0"/>
          <w:numId w:val="12"/>
        </w:numPr>
        <w:rPr>
          <w:szCs w:val="22"/>
        </w:rPr>
      </w:pPr>
      <w:r w:rsidRPr="00D252D3">
        <w:rPr>
          <w:szCs w:val="22"/>
        </w:rPr>
        <w:t>lieky spôsobujúce svalové uvoľnenie, ako je tubokurarín.</w:t>
      </w:r>
    </w:p>
    <w:p w:rsidR="0053152B" w:rsidRPr="00D252D3" w:rsidRDefault="0053152B">
      <w:pPr>
        <w:numPr>
          <w:ilvl w:val="0"/>
          <w:numId w:val="12"/>
        </w:numPr>
        <w:rPr>
          <w:szCs w:val="22"/>
        </w:rPr>
      </w:pPr>
      <w:r w:rsidRPr="00D252D3">
        <w:rPr>
          <w:szCs w:val="22"/>
        </w:rPr>
        <w:t>výživové doplnky s obsahom vápnika a alebo vitamínu D.</w:t>
      </w:r>
    </w:p>
    <w:p w:rsidR="0053152B" w:rsidRPr="00D252D3" w:rsidRDefault="0053152B">
      <w:pPr>
        <w:numPr>
          <w:ilvl w:val="0"/>
          <w:numId w:val="12"/>
        </w:numPr>
        <w:rPr>
          <w:szCs w:val="22"/>
        </w:rPr>
      </w:pPr>
      <w:r w:rsidRPr="00D252D3">
        <w:rPr>
          <w:szCs w:val="22"/>
        </w:rPr>
        <w:t>anticholinergiká (lieky, ktoré sa používajú v liečbe mnohých porúch, ako sú kŕče tráviaceho traktu, kŕče močového mechúra, astma, ochorenie motoriky, svalové kŕče, Parkinsonova choroba a ako doplnok k anestéze),</w:t>
      </w:r>
      <w:r w:rsidRPr="00D252D3">
        <w:rPr>
          <w:szCs w:val="22"/>
          <w:lang w:eastAsia="ja-JP"/>
        </w:rPr>
        <w:t xml:space="preserve"> ako je atropín a biperidén.</w:t>
      </w:r>
    </w:p>
    <w:p w:rsidR="0053152B" w:rsidRPr="00D252D3" w:rsidRDefault="0053152B">
      <w:pPr>
        <w:numPr>
          <w:ilvl w:val="0"/>
          <w:numId w:val="12"/>
        </w:numPr>
        <w:rPr>
          <w:szCs w:val="22"/>
        </w:rPr>
      </w:pPr>
      <w:r w:rsidRPr="00D252D3">
        <w:rPr>
          <w:szCs w:val="22"/>
        </w:rPr>
        <w:t>amantadín (liek, ktorý sa používa v liečbe Parkinsonovej choroby a zároveň v liečbe alebo ako prevencia niektorých chorôb spôsobených vírusmi).</w:t>
      </w:r>
    </w:p>
    <w:p w:rsidR="0053152B" w:rsidRPr="00D252D3" w:rsidRDefault="0053152B">
      <w:pPr>
        <w:numPr>
          <w:ilvl w:val="0"/>
          <w:numId w:val="12"/>
        </w:numPr>
      </w:pPr>
      <w:r w:rsidRPr="00D252D3">
        <w:t>iné lieky na zníženie krvného tlaku, kortikosteroidy, lieky proti bolesti (ako sú nesteroidné protizápalové lieky (NSAID)), lieky na liečbu nádorových ochorení, lieky na dnu alebo artritídu.</w:t>
      </w:r>
    </w:p>
    <w:p w:rsidR="0053152B" w:rsidRPr="00D252D3" w:rsidRDefault="0053152B">
      <w:pPr>
        <w:numPr>
          <w:ilvl w:val="0"/>
          <w:numId w:val="12"/>
        </w:numPr>
        <w:rPr>
          <w:szCs w:val="22"/>
        </w:rPr>
      </w:pPr>
      <w:r w:rsidRPr="00D252D3">
        <w:rPr>
          <w:szCs w:val="22"/>
        </w:rPr>
        <w:t xml:space="preserve">ak užívate </w:t>
      </w:r>
      <w:r w:rsidRPr="00D252D3">
        <w:rPr>
          <w:rFonts w:eastAsia="Calibri"/>
          <w:szCs w:val="22"/>
        </w:rPr>
        <w:t xml:space="preserve">inhibítor ACE </w:t>
      </w:r>
      <w:r w:rsidRPr="00D252D3">
        <w:rPr>
          <w:szCs w:val="22"/>
        </w:rPr>
        <w:t xml:space="preserve">alebo aliskiren (pozri tiež informácie v častiach “Neužívajte </w:t>
      </w:r>
      <w:r w:rsidRPr="00D252D3">
        <w:t xml:space="preserve">MicardisPlus </w:t>
      </w:r>
      <w:r w:rsidRPr="00D252D3">
        <w:rPr>
          <w:szCs w:val="22"/>
        </w:rPr>
        <w:t>a „Upozornenia a opatrenia“).</w:t>
      </w:r>
    </w:p>
    <w:p w:rsidR="0053152B" w:rsidRPr="00D252D3" w:rsidRDefault="0053152B">
      <w:pPr>
        <w:pStyle w:val="ListBullet"/>
        <w:numPr>
          <w:ilvl w:val="0"/>
          <w:numId w:val="12"/>
        </w:numPr>
      </w:pPr>
      <w:r w:rsidRPr="00D252D3">
        <w:t>digoxín.</w:t>
      </w:r>
    </w:p>
    <w:p w:rsidR="0053152B" w:rsidRPr="00D252D3" w:rsidRDefault="0053152B"/>
    <w:p w:rsidR="0053152B" w:rsidRPr="00D252D3" w:rsidRDefault="0053152B">
      <w:pPr>
        <w:ind w:left="0" w:firstLine="0"/>
        <w:rPr>
          <w:szCs w:val="22"/>
        </w:rPr>
      </w:pPr>
      <w:r w:rsidRPr="00D252D3">
        <w:rPr>
          <w:snapToGrid w:val="0"/>
          <w:lang w:eastAsia="cs-CZ"/>
        </w:rPr>
        <w:t xml:space="preserve">MicardisPlus </w:t>
      </w:r>
      <w:r w:rsidRPr="00D252D3">
        <w:rPr>
          <w:szCs w:val="22"/>
        </w:rPr>
        <w:t>môže zvýšiť účinok iných liekov, znižujúcich krvný tlak, ktoré sa užívajú na liečbu vysokého krvného tlaku, alebo liekov s potenciálom znižovať krvný tlak (napr. baklofén, amifostín).</w:t>
      </w:r>
    </w:p>
    <w:p w:rsidR="0053152B" w:rsidRPr="00D252D3" w:rsidRDefault="0053152B">
      <w:pPr>
        <w:autoSpaceDE w:val="0"/>
        <w:autoSpaceDN w:val="0"/>
        <w:adjustRightInd w:val="0"/>
        <w:ind w:left="0" w:firstLine="0"/>
        <w:rPr>
          <w:szCs w:val="22"/>
        </w:rPr>
      </w:pPr>
      <w:r w:rsidRPr="00D252D3">
        <w:rPr>
          <w:szCs w:val="22"/>
        </w:rPr>
        <w:t>Okrem toho sa môže nízky krvný tlak zhoršiť alkoholom, barbiturátmi, narkotikami alebo antidepresívami. Môžete ho spozorovať ako závrat pri vstávaní. Ak potrebujete upraviť dávku vášho iného lieku, ktorý užívate s </w:t>
      </w:r>
      <w:r w:rsidRPr="00D252D3">
        <w:rPr>
          <w:snapToGrid w:val="0"/>
          <w:lang w:eastAsia="cs-CZ"/>
        </w:rPr>
        <w:t>MicardisPlusom</w:t>
      </w:r>
      <w:r w:rsidRPr="00D252D3">
        <w:rPr>
          <w:szCs w:val="22"/>
        </w:rPr>
        <w:t>, poraďte sa so svojím lekárom.</w:t>
      </w:r>
    </w:p>
    <w:p w:rsidR="0053152B" w:rsidRPr="00D252D3" w:rsidRDefault="0053152B">
      <w:r w:rsidRPr="00D252D3">
        <w:t xml:space="preserve"> </w:t>
      </w:r>
    </w:p>
    <w:p w:rsidR="0053152B" w:rsidRPr="00D252D3" w:rsidRDefault="0053152B">
      <w:pPr>
        <w:ind w:left="0" w:firstLine="0"/>
      </w:pPr>
      <w:r w:rsidRPr="00D252D3">
        <w:t>Účinok MicardisPlusu sa môže znížiť, ak užívate NSA (nesteroidné protizápalové lieky, napr.aspirín alebo ibuprofén).</w:t>
      </w:r>
    </w:p>
    <w:p w:rsidR="0053152B" w:rsidRPr="00D252D3" w:rsidRDefault="0053152B">
      <w:pPr>
        <w:ind w:left="0" w:firstLine="0"/>
      </w:pPr>
    </w:p>
    <w:p w:rsidR="0053152B" w:rsidRPr="00D252D3" w:rsidRDefault="0053152B" w:rsidP="000D7A2C">
      <w:pPr>
        <w:keepNext/>
        <w:keepLines/>
        <w:tabs>
          <w:tab w:val="left" w:pos="3218"/>
        </w:tabs>
        <w:ind w:left="0" w:firstLine="0"/>
        <w:rPr>
          <w:b/>
        </w:rPr>
      </w:pPr>
      <w:r w:rsidRPr="00D252D3">
        <w:rPr>
          <w:b/>
        </w:rPr>
        <w:t>MicardisPlus a jedlo a alkohol</w:t>
      </w:r>
    </w:p>
    <w:p w:rsidR="0053152B" w:rsidRPr="00D252D3" w:rsidRDefault="0053152B" w:rsidP="000D7A2C">
      <w:pPr>
        <w:keepNext/>
        <w:keepLines/>
        <w:tabs>
          <w:tab w:val="left" w:pos="3218"/>
        </w:tabs>
        <w:ind w:left="0" w:firstLine="0"/>
        <w:rPr>
          <w:b/>
        </w:rPr>
      </w:pPr>
    </w:p>
    <w:p w:rsidR="0053152B" w:rsidRPr="00D252D3" w:rsidRDefault="0053152B">
      <w:pPr>
        <w:rPr>
          <w:szCs w:val="22"/>
        </w:rPr>
      </w:pPr>
      <w:r w:rsidRPr="00D252D3">
        <w:rPr>
          <w:szCs w:val="22"/>
        </w:rPr>
        <w:t>MicardisPlus môžete užívať s jedlom alebo bez jedla.</w:t>
      </w:r>
    </w:p>
    <w:p w:rsidR="0053152B" w:rsidRPr="00D252D3" w:rsidRDefault="0053152B">
      <w:pPr>
        <w:rPr>
          <w:szCs w:val="22"/>
        </w:rPr>
      </w:pPr>
      <w:r w:rsidRPr="00D252D3">
        <w:rPr>
          <w:szCs w:val="22"/>
        </w:rPr>
        <w:t>Kým sa neporadíte so svojím lekárom, nepožívajte alkohol. Alkohol môže spôsobiť väčší pokles</w:t>
      </w:r>
    </w:p>
    <w:p w:rsidR="0053152B" w:rsidRPr="00D252D3" w:rsidRDefault="0053152B">
      <w:pPr>
        <w:rPr>
          <w:szCs w:val="22"/>
        </w:rPr>
      </w:pPr>
      <w:r w:rsidRPr="00D252D3">
        <w:rPr>
          <w:szCs w:val="22"/>
        </w:rPr>
        <w:t xml:space="preserve">vášho krvného tlaku a/alebo zvýšiť riziko, že sa u vás vyskytne závrat alebo že pocítite mdloby. </w:t>
      </w:r>
    </w:p>
    <w:p w:rsidR="0053152B" w:rsidRPr="00D252D3" w:rsidRDefault="0053152B">
      <w:pPr>
        <w:ind w:left="0" w:firstLine="0"/>
      </w:pPr>
    </w:p>
    <w:p w:rsidR="0053152B" w:rsidRPr="00D252D3" w:rsidRDefault="0053152B">
      <w:pPr>
        <w:rPr>
          <w:b/>
        </w:rPr>
      </w:pPr>
      <w:r w:rsidRPr="00D252D3">
        <w:rPr>
          <w:b/>
        </w:rPr>
        <w:t>Tehotenstvo a dojčenie</w:t>
      </w:r>
    </w:p>
    <w:p w:rsidR="0053152B" w:rsidRPr="00D252D3" w:rsidRDefault="0053152B">
      <w:pPr>
        <w:ind w:left="0" w:firstLine="0"/>
        <w:rPr>
          <w:snapToGrid w:val="0"/>
          <w:u w:val="single"/>
          <w:lang w:eastAsia="cs-CZ"/>
        </w:rPr>
      </w:pPr>
      <w:bookmarkStart w:id="38" w:name="OLE_LINK3"/>
      <w:bookmarkStart w:id="39" w:name="OLE_LINK5"/>
    </w:p>
    <w:p w:rsidR="0053152B" w:rsidRPr="00D252D3" w:rsidRDefault="0053152B">
      <w:pPr>
        <w:ind w:left="0" w:firstLine="0"/>
        <w:rPr>
          <w:snapToGrid w:val="0"/>
          <w:u w:val="single"/>
          <w:lang w:eastAsia="cs-CZ"/>
        </w:rPr>
      </w:pPr>
      <w:r w:rsidRPr="00D252D3">
        <w:rPr>
          <w:snapToGrid w:val="0"/>
          <w:u w:val="single"/>
          <w:lang w:eastAsia="cs-CZ"/>
        </w:rPr>
        <w:t>Tehotenstvo</w:t>
      </w:r>
    </w:p>
    <w:p w:rsidR="0053152B" w:rsidRPr="00D252D3" w:rsidRDefault="0053152B">
      <w:pPr>
        <w:ind w:left="0" w:firstLine="0"/>
        <w:rPr>
          <w:snapToGrid w:val="0"/>
          <w:lang w:eastAsia="cs-CZ"/>
        </w:rPr>
      </w:pPr>
      <w:r w:rsidRPr="00D252D3">
        <w:rPr>
          <w:snapToGrid w:val="0"/>
          <w:lang w:eastAsia="cs-CZ"/>
        </w:rPr>
        <w:t>Ak si myslíte, že ste (</w:t>
      </w:r>
      <w:r w:rsidRPr="00D252D3">
        <w:rPr>
          <w:snapToGrid w:val="0"/>
          <w:u w:val="single"/>
          <w:lang w:eastAsia="cs-CZ"/>
        </w:rPr>
        <w:t>alebo môžete byť</w:t>
      </w:r>
      <w:r w:rsidRPr="00D252D3">
        <w:rPr>
          <w:snapToGrid w:val="0"/>
          <w:lang w:eastAsia="cs-CZ"/>
        </w:rPr>
        <w:t>) tehotná, musíte to povedať svojmu lekárovi. Zvyčajne vám váš lekár odporučí vysadiť MicardisPlus skôr ako otehotniete alebo ihneď ako zistíte, že ste tehotná a odporučí vám užívať iný liek namiesto MicardisPlusu. MicardisPlus sa neodporúča v priebehu tehotenstva a nesmie sa užívať ak ste tehotná viac ako 3 mesiace, keďže môže spôsobiť závažné poškodenie vášho dieťaťa ak sa užíva po 3. mesiacoch tehotenstva.</w:t>
      </w:r>
    </w:p>
    <w:p w:rsidR="0053152B" w:rsidRPr="00D252D3" w:rsidRDefault="0053152B">
      <w:pPr>
        <w:ind w:left="0" w:firstLine="0"/>
        <w:rPr>
          <w:snapToGrid w:val="0"/>
          <w:lang w:eastAsia="cs-CZ"/>
        </w:rPr>
      </w:pPr>
    </w:p>
    <w:p w:rsidR="0053152B" w:rsidRPr="00D252D3" w:rsidRDefault="0053152B">
      <w:pPr>
        <w:ind w:left="0" w:firstLine="0"/>
        <w:rPr>
          <w:snapToGrid w:val="0"/>
          <w:u w:val="single"/>
          <w:lang w:eastAsia="cs-CZ"/>
        </w:rPr>
      </w:pPr>
      <w:r w:rsidRPr="00D252D3">
        <w:rPr>
          <w:snapToGrid w:val="0"/>
          <w:u w:val="single"/>
          <w:lang w:eastAsia="cs-CZ"/>
        </w:rPr>
        <w:t>Dojčenie</w:t>
      </w:r>
    </w:p>
    <w:p w:rsidR="0053152B" w:rsidRPr="00D252D3" w:rsidRDefault="0053152B">
      <w:pPr>
        <w:ind w:left="0" w:firstLine="0"/>
        <w:rPr>
          <w:snapToGrid w:val="0"/>
          <w:lang w:eastAsia="cs-CZ"/>
        </w:rPr>
      </w:pPr>
      <w:r w:rsidRPr="00D252D3">
        <w:rPr>
          <w:snapToGrid w:val="0"/>
          <w:lang w:eastAsia="cs-CZ"/>
        </w:rPr>
        <w:t>Povedzte svojmu lekárovi, ak dojčíte alebo začínate dojčiť. MicardisPlus sa neodporúča pre matky, ktoré dojčia a váš lekár vám môže vybrať inú liečbu, ak si želáte dojčiť</w:t>
      </w:r>
      <w:bookmarkEnd w:id="39"/>
      <w:r w:rsidRPr="00D252D3">
        <w:rPr>
          <w:snapToGrid w:val="0"/>
          <w:lang w:eastAsia="cs-CZ"/>
        </w:rPr>
        <w:t>.</w:t>
      </w:r>
    </w:p>
    <w:p w:rsidR="0053152B" w:rsidRPr="00D252D3" w:rsidRDefault="0053152B">
      <w:pPr>
        <w:ind w:left="0" w:firstLine="0"/>
        <w:rPr>
          <w:snapToGrid w:val="0"/>
          <w:lang w:eastAsia="cs-CZ"/>
        </w:rPr>
      </w:pPr>
    </w:p>
    <w:bookmarkEnd w:id="38"/>
    <w:p w:rsidR="0053152B" w:rsidRPr="00D252D3" w:rsidRDefault="0053152B">
      <w:pPr>
        <w:rPr>
          <w:b/>
          <w:snapToGrid w:val="0"/>
        </w:rPr>
      </w:pPr>
      <w:r w:rsidRPr="00D252D3">
        <w:rPr>
          <w:b/>
          <w:snapToGrid w:val="0"/>
        </w:rPr>
        <w:t>Vedenie vozidiel a obsluha strojov</w:t>
      </w:r>
    </w:p>
    <w:p w:rsidR="0053152B" w:rsidRPr="00D252D3" w:rsidRDefault="0053152B">
      <w:pPr>
        <w:ind w:left="0" w:firstLine="0"/>
        <w:rPr>
          <w:snapToGrid w:val="0"/>
          <w:lang w:eastAsia="cs-CZ"/>
        </w:rPr>
      </w:pPr>
    </w:p>
    <w:p w:rsidR="0053152B" w:rsidRPr="00D252D3" w:rsidRDefault="0053152B">
      <w:pPr>
        <w:ind w:left="0" w:firstLine="0"/>
        <w:rPr>
          <w:snapToGrid w:val="0"/>
          <w:lang w:eastAsia="cs-CZ"/>
        </w:rPr>
      </w:pPr>
      <w:r w:rsidRPr="00D252D3">
        <w:rPr>
          <w:snapToGrid w:val="0"/>
          <w:lang w:eastAsia="cs-CZ"/>
        </w:rPr>
        <w:t>Niektorí ľudia pri užívaní MicardisPlusu majú závraty alebo sa cítia unavení. Neveďte vozidlo alebo neobsluhujte stroje, keď máte závraty alebo ste unavení.</w:t>
      </w:r>
    </w:p>
    <w:p w:rsidR="0053152B" w:rsidRPr="00D252D3" w:rsidRDefault="0053152B">
      <w:pPr>
        <w:ind w:left="0" w:firstLine="0"/>
      </w:pPr>
    </w:p>
    <w:p w:rsidR="0053152B" w:rsidRPr="00D252D3" w:rsidRDefault="0053152B">
      <w:pPr>
        <w:ind w:left="0" w:firstLine="0"/>
        <w:rPr>
          <w:b/>
        </w:rPr>
      </w:pPr>
      <w:r w:rsidRPr="00D252D3">
        <w:rPr>
          <w:b/>
        </w:rPr>
        <w:t>MicardisPlus obsahuje mliečny cukor (laktózu) a sorbitol.</w:t>
      </w:r>
    </w:p>
    <w:p w:rsidR="0053152B" w:rsidRPr="00D252D3" w:rsidRDefault="0053152B">
      <w:pPr>
        <w:ind w:left="0" w:firstLine="0"/>
        <w:rPr>
          <w:highlight w:val="yellow"/>
        </w:rPr>
      </w:pPr>
      <w:r w:rsidRPr="00D252D3">
        <w:t>Ak neznášate niektoré cukry, pred užitím MicardisPlusu sa poraďte so svojím lekárom.</w:t>
      </w:r>
    </w:p>
    <w:p w:rsidR="0053152B" w:rsidRPr="00D252D3" w:rsidRDefault="0053152B">
      <w:pPr>
        <w:ind w:left="0" w:firstLine="0"/>
        <w:rPr>
          <w:snapToGrid w:val="0"/>
          <w:lang w:eastAsia="cs-CZ"/>
        </w:rPr>
      </w:pPr>
    </w:p>
    <w:p w:rsidR="0053152B" w:rsidRPr="00D252D3" w:rsidRDefault="0053152B">
      <w:pPr>
        <w:numPr>
          <w:ilvl w:val="12"/>
          <w:numId w:val="0"/>
        </w:numPr>
        <w:ind w:right="-2"/>
      </w:pPr>
    </w:p>
    <w:p w:rsidR="0053152B" w:rsidRPr="00D252D3" w:rsidRDefault="0053152B">
      <w:pPr>
        <w:keepNext/>
        <w:keepLines/>
        <w:numPr>
          <w:ilvl w:val="12"/>
          <w:numId w:val="0"/>
        </w:numPr>
        <w:ind w:left="567" w:hanging="567"/>
      </w:pPr>
      <w:r w:rsidRPr="00D252D3">
        <w:rPr>
          <w:b/>
        </w:rPr>
        <w:t>3.</w:t>
      </w:r>
      <w:r w:rsidRPr="00D252D3">
        <w:rPr>
          <w:b/>
        </w:rPr>
        <w:tab/>
        <w:t>Ako užívať MicardisPlus</w:t>
      </w:r>
    </w:p>
    <w:p w:rsidR="0053152B" w:rsidRPr="00D252D3" w:rsidRDefault="0053152B">
      <w:pPr>
        <w:keepNext/>
        <w:keepLines/>
        <w:numPr>
          <w:ilvl w:val="12"/>
          <w:numId w:val="0"/>
        </w:numPr>
      </w:pPr>
    </w:p>
    <w:p w:rsidR="0053152B" w:rsidRPr="00D252D3" w:rsidRDefault="0053152B">
      <w:pPr>
        <w:ind w:left="0" w:firstLine="0"/>
      </w:pPr>
      <w:r w:rsidRPr="00D252D3">
        <w:t>Vždy užívajte tento liek presne tak, ako vám povedal váš lekár. Ak si nie ste niečím istý, overte si to u svojho lekára alebo lekárnika.</w:t>
      </w:r>
    </w:p>
    <w:p w:rsidR="0053152B" w:rsidRPr="00D252D3" w:rsidRDefault="0053152B">
      <w:pPr>
        <w:ind w:left="0" w:firstLine="0"/>
      </w:pPr>
    </w:p>
    <w:p w:rsidR="0053152B" w:rsidRPr="00D252D3" w:rsidRDefault="0053152B">
      <w:pPr>
        <w:ind w:left="0" w:firstLine="0"/>
      </w:pPr>
      <w:r w:rsidRPr="00D252D3">
        <w:t>Odporúčaná dávka je jedna tableta denne. Pokúste sa užívať tablety každý deň v rovnakom čase. MicardisPlus môžete užívať s jedlom alebo bez jedla. Tablety sa majú prehltnúť a zapiť vodou alebo iným nealkoholickým nápojom. Dôležité je, aby ste MicardisPlus užívali každý deň, až kým vám lekár nepovie inak.</w:t>
      </w:r>
    </w:p>
    <w:p w:rsidR="0053152B" w:rsidRPr="00D252D3" w:rsidRDefault="0053152B">
      <w:pPr>
        <w:ind w:left="0" w:firstLine="0"/>
      </w:pPr>
    </w:p>
    <w:p w:rsidR="0053152B" w:rsidRPr="00D252D3" w:rsidRDefault="0053152B">
      <w:pPr>
        <w:ind w:left="0" w:firstLine="0"/>
      </w:pPr>
      <w:r w:rsidRPr="00D252D3">
        <w:t>Ak vaša pečeň nefunguje správne, zvyčajná dávka nemá prekročiť 40 mg/12,5 mg jedenkrát za deň.</w:t>
      </w:r>
    </w:p>
    <w:p w:rsidR="0053152B" w:rsidRPr="00D252D3" w:rsidRDefault="0053152B">
      <w:pPr>
        <w:ind w:left="0" w:firstLine="0"/>
      </w:pPr>
    </w:p>
    <w:p w:rsidR="0053152B" w:rsidRPr="00D252D3" w:rsidRDefault="0053152B">
      <w:pPr>
        <w:rPr>
          <w:b/>
        </w:rPr>
      </w:pPr>
      <w:r w:rsidRPr="00D252D3">
        <w:rPr>
          <w:b/>
        </w:rPr>
        <w:t>Ak užijete viac MicardisPlusu, ako máte</w:t>
      </w:r>
    </w:p>
    <w:p w:rsidR="0053152B" w:rsidRPr="00D252D3" w:rsidRDefault="0053152B">
      <w:pPr>
        <w:ind w:left="0" w:firstLine="0"/>
      </w:pPr>
      <w:r w:rsidRPr="00D252D3">
        <w:t xml:space="preserve">Ak omylom užijete priveľa tabliet, </w:t>
      </w:r>
      <w:r w:rsidRPr="00D252D3">
        <w:rPr>
          <w:szCs w:val="22"/>
        </w:rPr>
        <w:t>môžu sa u vás vyskytnúť príznaky, ako sú nízky krvný tlak a zrýchlená srdcová činnosť. Hlásené boli aj spomalená srdcová činnosť, závrat. vracanie, znížená funkcia obličiek vrátane zlyhania obličiek</w:t>
      </w:r>
      <w:r w:rsidRPr="00D252D3">
        <w:t>. V dôsledku zložky hydrochlorotiazid sa môže vyskytnúť aj výrazne nízky krvný tlak a nízke hladiny draslíka v krvi, čo môže viesť k nevoľnosti, ospalosti a svalovým kŕčom a/alebo nepravidelnému srdcovému tepu súvisiacemu so súbežne užívanými liekmi ako je digitalis alebo niektoré antiarytmiká. Bezodkladne kontaktujte svojho lekára, lekárnika alebo najbližšiu pohotovosť.</w:t>
      </w:r>
    </w:p>
    <w:p w:rsidR="0053152B" w:rsidRPr="00D252D3" w:rsidRDefault="0053152B">
      <w:pPr>
        <w:ind w:left="0" w:firstLine="0"/>
      </w:pPr>
    </w:p>
    <w:p w:rsidR="0053152B" w:rsidRPr="00D252D3" w:rsidRDefault="0053152B" w:rsidP="00AB164B">
      <w:pPr>
        <w:keepNext/>
        <w:rPr>
          <w:b/>
        </w:rPr>
      </w:pPr>
      <w:r w:rsidRPr="00D252D3">
        <w:rPr>
          <w:b/>
        </w:rPr>
        <w:t>Ak zabudnete užiť MicardisPlus</w:t>
      </w:r>
    </w:p>
    <w:p w:rsidR="0053152B" w:rsidRPr="00D252D3" w:rsidRDefault="0053152B">
      <w:pPr>
        <w:ind w:left="0" w:firstLine="0"/>
      </w:pPr>
      <w:r w:rsidRPr="00D252D3">
        <w:t xml:space="preserve">Ak zabudnete užiť dávku, neobávajte sa. Užite ju hneď, len čo si spomeniete, a pokračujte v užívaní ako predtým. Ak neužijete tabletu jeden deň, užite normálnu dávku nasledovný deň. </w:t>
      </w:r>
      <w:r w:rsidRPr="00D252D3">
        <w:rPr>
          <w:b/>
          <w:i/>
        </w:rPr>
        <w:t>Neužívajte</w:t>
      </w:r>
      <w:r w:rsidRPr="00D252D3">
        <w:t xml:space="preserve"> dvojnásobnú dávku, aby ste nahradili vynechané jednotlivé dávky.</w:t>
      </w:r>
    </w:p>
    <w:p w:rsidR="0053152B" w:rsidRPr="00D252D3" w:rsidRDefault="0053152B">
      <w:pPr>
        <w:ind w:left="0" w:firstLine="0"/>
      </w:pPr>
    </w:p>
    <w:p w:rsidR="0053152B" w:rsidRPr="00D252D3" w:rsidRDefault="0053152B">
      <w:pPr>
        <w:ind w:left="0" w:firstLine="0"/>
        <w:rPr>
          <w:b/>
        </w:rPr>
      </w:pPr>
      <w:r w:rsidRPr="00D252D3">
        <w:t>Ak máte akékoľvek ďalšie otázky týkajúce sa použitia tohto lieku, opýtajte sa svojho lekára alebo lekárnika.</w:t>
      </w:r>
    </w:p>
    <w:p w:rsidR="0053152B" w:rsidRPr="00D252D3" w:rsidRDefault="0053152B">
      <w:pPr>
        <w:numPr>
          <w:ilvl w:val="12"/>
          <w:numId w:val="0"/>
        </w:numPr>
        <w:ind w:right="-2"/>
      </w:pPr>
    </w:p>
    <w:p w:rsidR="0053152B" w:rsidRPr="00D252D3" w:rsidRDefault="0053152B">
      <w:pPr>
        <w:numPr>
          <w:ilvl w:val="12"/>
          <w:numId w:val="0"/>
        </w:numPr>
        <w:ind w:right="-2"/>
      </w:pPr>
    </w:p>
    <w:p w:rsidR="0053152B" w:rsidRPr="00D252D3" w:rsidRDefault="0053152B" w:rsidP="00AB164B">
      <w:pPr>
        <w:keepNext/>
        <w:numPr>
          <w:ilvl w:val="12"/>
          <w:numId w:val="0"/>
        </w:numPr>
        <w:ind w:left="567" w:right="-2" w:hanging="567"/>
      </w:pPr>
      <w:r w:rsidRPr="00D252D3">
        <w:rPr>
          <w:b/>
        </w:rPr>
        <w:t>4.</w:t>
      </w:r>
      <w:r w:rsidRPr="00D252D3">
        <w:rPr>
          <w:b/>
        </w:rPr>
        <w:tab/>
        <w:t>Možné vedľajšie účinky</w:t>
      </w:r>
    </w:p>
    <w:p w:rsidR="0053152B" w:rsidRPr="00D252D3" w:rsidRDefault="0053152B" w:rsidP="00AB164B">
      <w:pPr>
        <w:keepNext/>
        <w:numPr>
          <w:ilvl w:val="12"/>
          <w:numId w:val="0"/>
        </w:numPr>
        <w:ind w:right="-29"/>
      </w:pPr>
    </w:p>
    <w:p w:rsidR="0053152B" w:rsidRPr="00D252D3" w:rsidRDefault="0053152B">
      <w:pPr>
        <w:ind w:left="0" w:firstLine="0"/>
      </w:pPr>
      <w:r w:rsidRPr="00D252D3">
        <w:t>Tak ako všetky lieky, aj tento liek môže spôsobovať vedľajšie účinky, hoci sa neprejavia u každého.</w:t>
      </w:r>
    </w:p>
    <w:p w:rsidR="0053152B" w:rsidRPr="00D252D3" w:rsidRDefault="0053152B">
      <w:pPr>
        <w:ind w:left="0" w:firstLine="0"/>
      </w:pPr>
    </w:p>
    <w:p w:rsidR="0053152B" w:rsidRPr="00D252D3" w:rsidRDefault="0053152B">
      <w:pPr>
        <w:ind w:left="0" w:firstLine="0"/>
        <w:rPr>
          <w:b/>
        </w:rPr>
      </w:pPr>
      <w:r w:rsidRPr="00D252D3">
        <w:rPr>
          <w:b/>
        </w:rPr>
        <w:t>Niektoré vedľajšie účinky môžu byť závažné a môžu si vyžadovať okamžitú lekársku starostlivosť:</w:t>
      </w:r>
    </w:p>
    <w:p w:rsidR="0053152B" w:rsidRPr="00D252D3" w:rsidRDefault="0053152B">
      <w:pPr>
        <w:ind w:left="0" w:firstLine="0"/>
      </w:pPr>
    </w:p>
    <w:p w:rsidR="0053152B" w:rsidRPr="00D252D3" w:rsidRDefault="0053152B">
      <w:pPr>
        <w:ind w:left="0" w:firstLine="0"/>
      </w:pPr>
      <w:r w:rsidRPr="00D252D3">
        <w:t>Ak máte ktorýkoľvek z nasledovných príznakov, okamžite vyhľadajte svojho lekára:</w:t>
      </w:r>
    </w:p>
    <w:p w:rsidR="0053152B" w:rsidRPr="00D252D3" w:rsidRDefault="0053152B">
      <w:pPr>
        <w:ind w:left="0" w:firstLine="0"/>
      </w:pPr>
    </w:p>
    <w:p w:rsidR="0053152B" w:rsidRPr="00D252D3" w:rsidRDefault="0053152B">
      <w:pPr>
        <w:ind w:left="0" w:firstLine="0"/>
        <w:rPr>
          <w:szCs w:val="22"/>
        </w:rPr>
      </w:pPr>
      <w:r w:rsidRPr="00D252D3">
        <w:rPr>
          <w:szCs w:val="22"/>
        </w:rPr>
        <w:t xml:space="preserve">sepsa* (často nazývaná „otrava krvi“, je ťažká infekcia so zápalovou reakciou celého tela), náhly opuch kože a slizníc (angioedém), tvorba pľuzgierov a olupovanie vrchnej vrstvy kože </w:t>
      </w:r>
      <w:r w:rsidRPr="00D252D3">
        <w:rPr>
          <w:rFonts w:eastAsia="MS Mincho"/>
          <w:szCs w:val="22"/>
          <w:lang w:eastAsia="ja-JP"/>
        </w:rPr>
        <w:t>(toxická epidermálna nekrolýza);</w:t>
      </w:r>
      <w:r w:rsidRPr="00D252D3">
        <w:rPr>
          <w:szCs w:val="22"/>
        </w:rPr>
        <w:t xml:space="preserve"> tieto vedľajšie účinky sú zriedkavé (môžu postihovať menej ako 1 z 1000 osôb) alebo je častosť ich výskytu neznáma </w:t>
      </w:r>
      <w:r w:rsidRPr="00D252D3">
        <w:rPr>
          <w:szCs w:val="22"/>
          <w:u w:val="single"/>
        </w:rPr>
        <w:t>(</w:t>
      </w:r>
      <w:r w:rsidRPr="00D252D3">
        <w:rPr>
          <w:rFonts w:eastAsia="MS Mincho"/>
          <w:szCs w:val="22"/>
          <w:lang w:eastAsia="ja-JP"/>
        </w:rPr>
        <w:t>toxická epidermálna nekrolýza)</w:t>
      </w:r>
      <w:r w:rsidRPr="00D252D3">
        <w:rPr>
          <w:szCs w:val="22"/>
        </w:rPr>
        <w:t>, no extrémne závažné a pacienti majú ukončiť užívanie lieku a okamžite vyhľadať svojho lekára.</w:t>
      </w:r>
    </w:p>
    <w:p w:rsidR="0053152B" w:rsidRPr="00D252D3" w:rsidRDefault="0053152B">
      <w:pPr>
        <w:ind w:left="0" w:firstLine="0"/>
        <w:rPr>
          <w:szCs w:val="22"/>
        </w:rPr>
      </w:pPr>
      <w:r w:rsidRPr="00D252D3">
        <w:rPr>
          <w:szCs w:val="22"/>
        </w:rPr>
        <w:t>Ak sa tieto účinky neliečia, môžu byť smrteľné. Zvýšený výskyt sepsy sa zaznamenal len pri telmisartaneu, avšak pre MicardisPlus sa nedá vylúčiť.</w:t>
      </w:r>
    </w:p>
    <w:p w:rsidR="0053152B" w:rsidRPr="00D252D3" w:rsidRDefault="0053152B">
      <w:pPr>
        <w:ind w:left="0" w:firstLine="0"/>
        <w:rPr>
          <w:szCs w:val="22"/>
        </w:rPr>
      </w:pPr>
    </w:p>
    <w:p w:rsidR="0053152B" w:rsidRPr="00D252D3" w:rsidRDefault="0053152B">
      <w:pPr>
        <w:ind w:left="0" w:firstLine="0"/>
        <w:rPr>
          <w:b/>
          <w:szCs w:val="22"/>
        </w:rPr>
      </w:pPr>
      <w:r w:rsidRPr="00D252D3">
        <w:rPr>
          <w:b/>
          <w:szCs w:val="22"/>
        </w:rPr>
        <w:t>Možné vedľajšie účinky MicardisPlusu:</w:t>
      </w:r>
    </w:p>
    <w:p w:rsidR="0053152B" w:rsidRPr="00D252D3" w:rsidRDefault="0053152B">
      <w:pPr>
        <w:ind w:left="0" w:firstLine="0"/>
      </w:pPr>
    </w:p>
    <w:p w:rsidR="0053152B" w:rsidRPr="00D252D3" w:rsidRDefault="0053152B">
      <w:pPr>
        <w:ind w:left="0" w:firstLine="0"/>
      </w:pPr>
      <w:r w:rsidRPr="00D252D3">
        <w:rPr>
          <w:u w:val="single"/>
        </w:rPr>
        <w:t>Časté vedľajšie účinky</w:t>
      </w:r>
      <w:r w:rsidRPr="00D252D3">
        <w:t xml:space="preserve"> (môžu postihovať menej ako 1 z 10 osôb):</w:t>
      </w:r>
    </w:p>
    <w:p w:rsidR="0053152B" w:rsidRPr="00D252D3" w:rsidRDefault="0053152B">
      <w:pPr>
        <w:pStyle w:val="BodyText3"/>
        <w:rPr>
          <w:bCs w:val="0"/>
          <w:iCs w:val="0"/>
          <w:szCs w:val="24"/>
        </w:rPr>
      </w:pPr>
      <w:r w:rsidRPr="00D252D3">
        <w:rPr>
          <w:bCs w:val="0"/>
          <w:iCs w:val="0"/>
          <w:szCs w:val="24"/>
        </w:rPr>
        <w:t>závrat.</w:t>
      </w:r>
    </w:p>
    <w:p w:rsidR="0053152B" w:rsidRPr="00D252D3" w:rsidRDefault="0053152B">
      <w:pPr>
        <w:ind w:left="0" w:firstLine="0"/>
      </w:pPr>
    </w:p>
    <w:p w:rsidR="0053152B" w:rsidRPr="00D252D3" w:rsidRDefault="0053152B">
      <w:pPr>
        <w:ind w:left="0" w:firstLine="0"/>
      </w:pPr>
      <w:r w:rsidRPr="00D252D3">
        <w:rPr>
          <w:u w:val="single"/>
        </w:rPr>
        <w:t>Menej časté vedľajšie účinky</w:t>
      </w:r>
      <w:r w:rsidRPr="00D252D3">
        <w:t xml:space="preserve"> (môžu postihovať menej ako 1 zo 100 osôb):</w:t>
      </w:r>
    </w:p>
    <w:p w:rsidR="0053152B" w:rsidRPr="00D252D3" w:rsidRDefault="0053152B">
      <w:pPr>
        <w:ind w:left="0" w:firstLine="0"/>
      </w:pPr>
      <w:r w:rsidRPr="00D252D3">
        <w:t>znížené hladiny draslíka v krvi, úzkosť, mdloba (náhle prechodné bezvedomie), pocit brnenia, mravčenia a pichania (parestézia), pocit závratu (vertigo), rýchly tep srdca (tachykardia), porucha srdcového rytmu, nízky tlak krvi, náhly pokles tlaku krvi pri vstávaní, skrátený dych (dýchavičnosť), hnačka, sucho v ústach, plynatosť, bolesť chrbta, svalové kŕče, bolesť svalov, erektilná dysfunkcia (neschopnosť mať alebo udržať erekciu), bolesť v hrudníku, zvýšené hladiny kyseliny močovej v krvi.</w:t>
      </w:r>
    </w:p>
    <w:p w:rsidR="0053152B" w:rsidRPr="00D252D3" w:rsidRDefault="0053152B">
      <w:pPr>
        <w:ind w:left="0" w:firstLine="0"/>
      </w:pPr>
    </w:p>
    <w:p w:rsidR="0053152B" w:rsidRPr="00D252D3" w:rsidRDefault="0053152B">
      <w:pPr>
        <w:ind w:left="0" w:firstLine="0"/>
      </w:pPr>
      <w:r w:rsidRPr="00D252D3">
        <w:rPr>
          <w:u w:val="single"/>
        </w:rPr>
        <w:t>Zriedkavé vedľajšie účinky</w:t>
      </w:r>
      <w:r w:rsidRPr="00D252D3">
        <w:t xml:space="preserve"> (môžu postihovať menej ako 1 z 1000 osôb):</w:t>
      </w:r>
    </w:p>
    <w:p w:rsidR="0053152B" w:rsidRPr="00D252D3" w:rsidRDefault="0053152B">
      <w:pPr>
        <w:ind w:left="0" w:firstLine="0"/>
        <w:rPr>
          <w:szCs w:val="22"/>
        </w:rPr>
      </w:pPr>
      <w:r w:rsidRPr="00D252D3">
        <w:t>zápal pľúc (bronchitída), aktivácia alebo zhoršenie systémového lupus erythematosus (ochorenie, pri ktorom imunitný systém organizmu napáda vlastné telo, čo spôsobuje bolesť kĺbov, kožné vyrážky a horúčku), bolesť hrdla, zápal prinosových dutín, pocit smútku (depresia), ťažkosti so zaspávaním (nespavosť), porucha videnia</w:t>
      </w:r>
      <w:r w:rsidRPr="00D252D3">
        <w:rPr>
          <w:szCs w:val="22"/>
        </w:rPr>
        <w:t xml:space="preserve">, ťažkosti s dýchaním, bolesť brucha, zápcha, nadúvanie brucha (dyspepsia), </w:t>
      </w:r>
      <w:r w:rsidR="00970910" w:rsidRPr="00D252D3">
        <w:rPr>
          <w:szCs w:val="22"/>
        </w:rPr>
        <w:t>nevoľnosť</w:t>
      </w:r>
      <w:r w:rsidRPr="00D252D3">
        <w:rPr>
          <w:szCs w:val="22"/>
        </w:rPr>
        <w:t xml:space="preserve"> (vracanie), zápal žalúdka (gastritída), abnormálna funkcia pečene (tento vedľajší účinok sa pravdepodobnejšie vyskytne u japonských pacientov), sčervenenie kože (erytém), alergické reakcie, ako je svrbenie alebo vyrážka, zvýšené potenie, žihľavka (urtikária), bolesť kĺbov (artralgia) a bolesť končatín, ochabnutosť svalov, ochorenie podobné chrípke, bolesť, nízke hladiny sodíka, zvýšené hladiny kreatinínu, pečeňových enzýmov alebo kreatinínfosfokinázy v krvi.</w:t>
      </w:r>
    </w:p>
    <w:p w:rsidR="0053152B" w:rsidRPr="00D252D3" w:rsidRDefault="0053152B">
      <w:pPr>
        <w:ind w:left="0" w:firstLine="0"/>
        <w:rPr>
          <w:szCs w:val="22"/>
        </w:rPr>
      </w:pPr>
    </w:p>
    <w:p w:rsidR="0053152B" w:rsidRPr="00D252D3" w:rsidRDefault="0053152B">
      <w:pPr>
        <w:ind w:left="0" w:firstLine="0"/>
      </w:pPr>
      <w:r w:rsidRPr="00D252D3">
        <w:t>Vedľajšie účinky zaznamenané u jednej zo zložiek môžu byť potenciálne vedľajšie účinky na MicardisPlus, aj keď sa nezaznamenali v klinických štúdiách s týmto liekom.</w:t>
      </w:r>
    </w:p>
    <w:p w:rsidR="0053152B" w:rsidRPr="00D252D3" w:rsidRDefault="0053152B">
      <w:pPr>
        <w:ind w:left="0" w:firstLine="0"/>
        <w:rPr>
          <w:u w:val="single"/>
        </w:rPr>
      </w:pPr>
    </w:p>
    <w:p w:rsidR="0053152B" w:rsidRPr="00D252D3" w:rsidRDefault="0053152B">
      <w:pPr>
        <w:ind w:left="0" w:firstLine="0"/>
        <w:rPr>
          <w:b/>
          <w:u w:val="single"/>
        </w:rPr>
      </w:pPr>
      <w:r w:rsidRPr="00D252D3">
        <w:rPr>
          <w:b/>
          <w:u w:val="single"/>
        </w:rPr>
        <w:t>Telmisartan</w:t>
      </w:r>
    </w:p>
    <w:p w:rsidR="0053152B" w:rsidRPr="00D252D3" w:rsidRDefault="0053152B">
      <w:pPr>
        <w:ind w:left="0" w:firstLine="0"/>
      </w:pPr>
      <w:r w:rsidRPr="00D252D3">
        <w:t>U pacientov užívajúcich samotný telmisartan sa hlásili nasledovné ďalšie vedľajšie účinky:</w:t>
      </w:r>
    </w:p>
    <w:p w:rsidR="0053152B" w:rsidRPr="00D252D3" w:rsidRDefault="0053152B">
      <w:pPr>
        <w:ind w:left="0" w:firstLine="0"/>
      </w:pPr>
    </w:p>
    <w:p w:rsidR="0053152B" w:rsidRPr="00D252D3" w:rsidRDefault="0053152B">
      <w:pPr>
        <w:pStyle w:val="BodyText3"/>
      </w:pPr>
      <w:r w:rsidRPr="00D252D3">
        <w:rPr>
          <w:u w:val="single"/>
        </w:rPr>
        <w:t>Menej časté vedľajšie účinky</w:t>
      </w:r>
      <w:r w:rsidRPr="00D252D3">
        <w:t xml:space="preserve"> (môžu postihovať menej ako 1 zo 100 osôb):</w:t>
      </w:r>
    </w:p>
    <w:p w:rsidR="0053152B" w:rsidRPr="00D252D3" w:rsidRDefault="0053152B">
      <w:pPr>
        <w:ind w:left="0" w:firstLine="0"/>
        <w:rPr>
          <w:szCs w:val="22"/>
        </w:rPr>
      </w:pPr>
      <w:r w:rsidRPr="00D252D3">
        <w:rPr>
          <w:snapToGrid w:val="0"/>
          <w:lang w:eastAsia="cs-CZ"/>
        </w:rPr>
        <w:t>infekcia horných dýchacích ciest</w:t>
      </w:r>
      <w:r w:rsidRPr="00D252D3">
        <w:rPr>
          <w:szCs w:val="22"/>
        </w:rPr>
        <w:t xml:space="preserve"> (napr. bolesť hrdla, </w:t>
      </w:r>
      <w:r w:rsidRPr="00D252D3">
        <w:t>zápal prinosových dutín, bežné prechladnutie</w:t>
      </w:r>
      <w:r w:rsidRPr="00D252D3">
        <w:rPr>
          <w:szCs w:val="22"/>
        </w:rPr>
        <w:t xml:space="preserve">), </w:t>
      </w:r>
      <w:r w:rsidRPr="00D252D3">
        <w:rPr>
          <w:snapToGrid w:val="0"/>
          <w:szCs w:val="22"/>
          <w:lang w:eastAsia="cs-CZ"/>
        </w:rPr>
        <w:t xml:space="preserve">infekcia močových ciest, </w:t>
      </w:r>
      <w:r w:rsidRPr="00D252D3">
        <w:rPr>
          <w:szCs w:val="22"/>
        </w:rPr>
        <w:t>nedostatok červených krviniek (anémia), vysoké hladiny draslíka, spomalený tep srdca (bradykardia), poškodená funkcia obličiek vrátane akútneho zlyhania obličiek, slabosť, kašeľ.</w:t>
      </w:r>
    </w:p>
    <w:p w:rsidR="0053152B" w:rsidRPr="00D252D3" w:rsidRDefault="0053152B">
      <w:pPr>
        <w:ind w:left="0" w:firstLine="0"/>
        <w:rPr>
          <w:szCs w:val="22"/>
        </w:rPr>
      </w:pPr>
    </w:p>
    <w:p w:rsidR="0053152B" w:rsidRPr="00D252D3" w:rsidRDefault="0053152B" w:rsidP="00AB164B">
      <w:pPr>
        <w:keepNext/>
        <w:ind w:left="0" w:firstLine="0"/>
        <w:rPr>
          <w:szCs w:val="22"/>
        </w:rPr>
      </w:pPr>
      <w:r w:rsidRPr="00D252D3">
        <w:rPr>
          <w:szCs w:val="22"/>
          <w:u w:val="single"/>
        </w:rPr>
        <w:t>Zriedkavé vedľajšie účinky</w:t>
      </w:r>
      <w:r w:rsidRPr="00D252D3">
        <w:rPr>
          <w:szCs w:val="22"/>
        </w:rPr>
        <w:t xml:space="preserve"> (môžu postihovať menej ako 1 z 1000 osôb):</w:t>
      </w:r>
    </w:p>
    <w:p w:rsidR="0053152B" w:rsidRPr="00D252D3" w:rsidRDefault="0053152B">
      <w:pPr>
        <w:ind w:left="0" w:firstLine="0"/>
        <w:rPr>
          <w:szCs w:val="22"/>
        </w:rPr>
      </w:pPr>
      <w:r w:rsidRPr="00D252D3">
        <w:rPr>
          <w:szCs w:val="22"/>
        </w:rPr>
        <w:t xml:space="preserve">nízky počet krvných doštičiek (trombocytopénia), zvýšený počet určitých bielych krviniek (eozinofília), závažná alergická reakcia (napr. precitlivenosť, anafylaktická reakcia, lieková vyrážka), nízka hladina cukru v krvi (u diabetických pacientov), žalúdočné ťažkosti, ekzém (ochorenie kože), artróza, zápal šliach, znížený hemoglobín (krvná bielkovina), ospalosť. </w:t>
      </w:r>
    </w:p>
    <w:p w:rsidR="0053152B" w:rsidRPr="00D252D3" w:rsidRDefault="0053152B">
      <w:pPr>
        <w:ind w:left="0" w:firstLine="0"/>
        <w:rPr>
          <w:szCs w:val="22"/>
        </w:rPr>
      </w:pPr>
    </w:p>
    <w:p w:rsidR="0053152B" w:rsidRPr="00D252D3" w:rsidRDefault="0053152B" w:rsidP="00AB164B">
      <w:pPr>
        <w:keepNext/>
        <w:ind w:left="0" w:firstLine="0"/>
        <w:rPr>
          <w:szCs w:val="22"/>
        </w:rPr>
      </w:pPr>
      <w:r w:rsidRPr="00D252D3">
        <w:rPr>
          <w:szCs w:val="22"/>
          <w:u w:val="single"/>
        </w:rPr>
        <w:t>Veľmi zriedkavé vedľajšie účinky</w:t>
      </w:r>
      <w:r w:rsidRPr="00D252D3">
        <w:rPr>
          <w:szCs w:val="22"/>
        </w:rPr>
        <w:t xml:space="preserve"> (môžu postihovať menej ako 1 z 10 000 osôb):</w:t>
      </w:r>
    </w:p>
    <w:p w:rsidR="0053152B" w:rsidRPr="00D252D3" w:rsidRDefault="0053152B">
      <w:pPr>
        <w:ind w:left="0" w:firstLine="0"/>
        <w:rPr>
          <w:szCs w:val="22"/>
        </w:rPr>
      </w:pPr>
      <w:r w:rsidRPr="00D252D3">
        <w:rPr>
          <w:szCs w:val="22"/>
        </w:rPr>
        <w:t>progresívne jazvenie pľúcneho tkaniva (intersticiálne ochorenie pľúc)**.</w:t>
      </w:r>
    </w:p>
    <w:p w:rsidR="0053152B" w:rsidRPr="00D252D3" w:rsidRDefault="0053152B">
      <w:pPr>
        <w:ind w:left="0" w:firstLine="0"/>
        <w:rPr>
          <w:szCs w:val="22"/>
        </w:rPr>
      </w:pPr>
    </w:p>
    <w:p w:rsidR="0053152B" w:rsidRPr="00D252D3" w:rsidRDefault="0053152B">
      <w:pPr>
        <w:ind w:left="0" w:firstLine="0"/>
        <w:rPr>
          <w:szCs w:val="22"/>
        </w:rPr>
      </w:pPr>
      <w:r w:rsidRPr="00D252D3">
        <w:rPr>
          <w:szCs w:val="22"/>
        </w:rPr>
        <w:t>*Udalosť sa môže vyskytnúť náhodne alebo môže súvisieť s mechanizmami, ktoré nie sú v súčasnosti známe.</w:t>
      </w:r>
    </w:p>
    <w:p w:rsidR="0053152B" w:rsidRPr="00D252D3" w:rsidRDefault="0053152B">
      <w:pPr>
        <w:ind w:left="0" w:firstLine="0"/>
      </w:pPr>
    </w:p>
    <w:p w:rsidR="0053152B" w:rsidRPr="00D252D3" w:rsidRDefault="0053152B">
      <w:pPr>
        <w:ind w:left="0" w:firstLine="0"/>
        <w:rPr>
          <w:szCs w:val="22"/>
        </w:rPr>
      </w:pPr>
      <w:r w:rsidRPr="00D252D3">
        <w:rPr>
          <w:szCs w:val="22"/>
        </w:rPr>
        <w:t xml:space="preserve">** Počas užívania telmisartanu sa zaznamenali prípady progresívneho jazvenia pľúcneho tkaniva. Nie je však známe, či to spôsobil telmisartan.  </w:t>
      </w:r>
    </w:p>
    <w:p w:rsidR="0053152B" w:rsidRPr="00D252D3" w:rsidRDefault="0053152B">
      <w:pPr>
        <w:ind w:left="0" w:firstLine="0"/>
      </w:pPr>
    </w:p>
    <w:p w:rsidR="0053152B" w:rsidRPr="00D252D3" w:rsidRDefault="0053152B">
      <w:pPr>
        <w:ind w:left="0" w:firstLine="0"/>
        <w:rPr>
          <w:b/>
          <w:u w:val="single"/>
        </w:rPr>
      </w:pPr>
      <w:r w:rsidRPr="00D252D3">
        <w:rPr>
          <w:b/>
          <w:u w:val="single"/>
        </w:rPr>
        <w:t>Hydrochlorotiazid</w:t>
      </w:r>
    </w:p>
    <w:p w:rsidR="0053152B" w:rsidRPr="00D252D3" w:rsidRDefault="0053152B">
      <w:pPr>
        <w:ind w:left="0" w:firstLine="0"/>
      </w:pPr>
      <w:r w:rsidRPr="00D252D3">
        <w:t>U pacientov užívajúcich samostatný hydrochlorotiazid sa hlásili nasledovné ďalšie vedľajšie účinky:</w:t>
      </w:r>
    </w:p>
    <w:p w:rsidR="0053152B" w:rsidRPr="00D252D3" w:rsidRDefault="0053152B">
      <w:pPr>
        <w:rPr>
          <w:u w:val="single"/>
        </w:rPr>
      </w:pPr>
    </w:p>
    <w:p w:rsidR="00720825" w:rsidRPr="00D252D3" w:rsidRDefault="00720825" w:rsidP="00720825">
      <w:pPr>
        <w:pStyle w:val="BodyTextIndent"/>
        <w:rPr>
          <w:b w:val="0"/>
          <w:bCs/>
          <w:color w:val="auto"/>
          <w:szCs w:val="22"/>
          <w:u w:val="single"/>
          <w:lang w:val="sk-SK"/>
        </w:rPr>
      </w:pPr>
      <w:r w:rsidRPr="00D252D3">
        <w:rPr>
          <w:b w:val="0"/>
          <w:bCs/>
          <w:color w:val="auto"/>
          <w:szCs w:val="22"/>
          <w:u w:val="single"/>
          <w:lang w:val="sk-SK"/>
        </w:rPr>
        <w:t>Časté vedľajšie účinky (</w:t>
      </w:r>
      <w:r w:rsidRPr="00D252D3">
        <w:rPr>
          <w:b w:val="0"/>
          <w:bCs/>
          <w:color w:val="auto"/>
          <w:szCs w:val="22"/>
          <w:u w:val="single"/>
          <w:lang w:val="sk-SK" w:eastAsia="zh-CN"/>
        </w:rPr>
        <w:t xml:space="preserve">môžu </w:t>
      </w:r>
      <w:r w:rsidR="00790954" w:rsidRPr="00D252D3">
        <w:rPr>
          <w:b w:val="0"/>
          <w:bCs/>
          <w:color w:val="auto"/>
          <w:szCs w:val="22"/>
          <w:u w:val="single"/>
          <w:lang w:val="sk-SK" w:eastAsia="zh-CN"/>
        </w:rPr>
        <w:t>postihnúť</w:t>
      </w:r>
      <w:r w:rsidRPr="00D252D3">
        <w:rPr>
          <w:b w:val="0"/>
          <w:bCs/>
          <w:color w:val="auto"/>
          <w:szCs w:val="22"/>
          <w:u w:val="single"/>
          <w:lang w:val="sk-SK" w:eastAsia="zh-CN"/>
        </w:rPr>
        <w:t xml:space="preserve"> až do 1 z 10 ľudí)</w:t>
      </w:r>
      <w:r w:rsidRPr="00D252D3">
        <w:rPr>
          <w:b w:val="0"/>
          <w:bCs/>
          <w:color w:val="auto"/>
          <w:szCs w:val="22"/>
          <w:u w:val="single"/>
          <w:lang w:val="sk-SK"/>
        </w:rPr>
        <w:t>:</w:t>
      </w:r>
    </w:p>
    <w:p w:rsidR="00720825" w:rsidRPr="00D252D3" w:rsidRDefault="00720825" w:rsidP="00720825">
      <w:pPr>
        <w:pStyle w:val="BodyTextIndent"/>
        <w:rPr>
          <w:rFonts w:eastAsia="MS Mincho"/>
          <w:b w:val="0"/>
          <w:bCs/>
          <w:color w:val="auto"/>
          <w:szCs w:val="22"/>
          <w:lang w:val="sk-SK" w:eastAsia="ja-JP"/>
        </w:rPr>
      </w:pPr>
      <w:r w:rsidRPr="00D252D3">
        <w:rPr>
          <w:rFonts w:eastAsia="MS Mincho"/>
          <w:b w:val="0"/>
          <w:bCs/>
          <w:color w:val="auto"/>
          <w:szCs w:val="22"/>
          <w:lang w:val="sk-SK" w:eastAsia="ja-JP"/>
        </w:rPr>
        <w:t xml:space="preserve">nevoľnosť (nauzea), </w:t>
      </w:r>
      <w:r w:rsidRPr="00D252D3">
        <w:rPr>
          <w:b w:val="0"/>
          <w:bCs/>
          <w:color w:val="auto"/>
          <w:szCs w:val="22"/>
          <w:lang w:val="sk-SK"/>
        </w:rPr>
        <w:t>nízka hladina horčíka v krvi.</w:t>
      </w:r>
    </w:p>
    <w:p w:rsidR="00720825" w:rsidRPr="00D252D3" w:rsidRDefault="00720825" w:rsidP="00720825">
      <w:pPr>
        <w:pStyle w:val="BodyTextIndent"/>
        <w:rPr>
          <w:rFonts w:eastAsia="MS Mincho"/>
          <w:b w:val="0"/>
          <w:bCs/>
          <w:color w:val="auto"/>
          <w:szCs w:val="22"/>
          <w:lang w:val="sk-SK" w:eastAsia="ja-JP"/>
        </w:rPr>
      </w:pPr>
    </w:p>
    <w:p w:rsidR="00720825" w:rsidRPr="00D252D3" w:rsidRDefault="00720825" w:rsidP="00720825">
      <w:pPr>
        <w:rPr>
          <w:bCs/>
          <w:szCs w:val="22"/>
          <w:u w:val="single"/>
        </w:rPr>
      </w:pPr>
      <w:r w:rsidRPr="00D252D3">
        <w:rPr>
          <w:bCs/>
          <w:szCs w:val="22"/>
          <w:u w:val="single"/>
        </w:rPr>
        <w:t>Zriedkavé vedľajšie účinky (</w:t>
      </w:r>
      <w:r w:rsidRPr="00D252D3">
        <w:rPr>
          <w:szCs w:val="22"/>
          <w:u w:val="single"/>
          <w:lang w:eastAsia="zh-CN"/>
        </w:rPr>
        <w:t xml:space="preserve">môžu </w:t>
      </w:r>
      <w:r w:rsidR="00790954" w:rsidRPr="00D252D3">
        <w:rPr>
          <w:szCs w:val="22"/>
          <w:u w:val="single"/>
          <w:lang w:eastAsia="zh-CN"/>
        </w:rPr>
        <w:t>postihnúť</w:t>
      </w:r>
      <w:r w:rsidRPr="00D252D3">
        <w:rPr>
          <w:szCs w:val="22"/>
          <w:u w:val="single"/>
          <w:lang w:eastAsia="zh-CN"/>
        </w:rPr>
        <w:t xml:space="preserve"> až do 1 z 1 000 ľudí</w:t>
      </w:r>
      <w:r w:rsidRPr="00D252D3">
        <w:rPr>
          <w:bCs/>
          <w:szCs w:val="22"/>
          <w:u w:val="single"/>
          <w:lang w:eastAsia="zh-CN"/>
        </w:rPr>
        <w:t>)</w:t>
      </w:r>
      <w:r w:rsidRPr="00D252D3">
        <w:rPr>
          <w:bCs/>
          <w:szCs w:val="22"/>
          <w:u w:val="single"/>
        </w:rPr>
        <w:t>:</w:t>
      </w:r>
    </w:p>
    <w:p w:rsidR="00720825" w:rsidRPr="00D252D3" w:rsidRDefault="00720825" w:rsidP="00720825">
      <w:pPr>
        <w:pStyle w:val="BodyTextIndent"/>
        <w:ind w:left="0" w:firstLine="0"/>
        <w:rPr>
          <w:b w:val="0"/>
          <w:bCs/>
          <w:color w:val="auto"/>
          <w:szCs w:val="22"/>
          <w:lang w:val="sk-SK" w:eastAsia="zh-TW"/>
        </w:rPr>
      </w:pPr>
      <w:r w:rsidRPr="00D252D3">
        <w:rPr>
          <w:b w:val="0"/>
          <w:bCs/>
          <w:color w:val="auto"/>
          <w:szCs w:val="22"/>
          <w:lang w:val="sk-SK"/>
        </w:rPr>
        <w:t>znížený počet krvných doštičiek, ktorý zvyšuje riziko krvácania alebo krvných podliatin (malé purpurovočervené škvrny na koži alebo inom tkanive spôsobené krvácaním),</w:t>
      </w:r>
      <w:r w:rsidRPr="00D252D3">
        <w:rPr>
          <w:b w:val="0"/>
          <w:bCs/>
          <w:color w:val="auto"/>
          <w:szCs w:val="22"/>
          <w:lang w:val="sk-SK" w:eastAsia="zh-TW"/>
        </w:rPr>
        <w:t xml:space="preserve"> </w:t>
      </w:r>
      <w:r w:rsidRPr="00D252D3">
        <w:rPr>
          <w:b w:val="0"/>
          <w:bCs/>
          <w:color w:val="auto"/>
          <w:szCs w:val="22"/>
          <w:lang w:val="sk-SK"/>
        </w:rPr>
        <w:t xml:space="preserve">vysoká hladina vápnika v krvi, </w:t>
      </w:r>
      <w:r w:rsidR="00790954" w:rsidRPr="00D252D3">
        <w:rPr>
          <w:rFonts w:eastAsia="MS Mincho"/>
          <w:b w:val="0"/>
          <w:bCs/>
          <w:color w:val="auto"/>
          <w:szCs w:val="22"/>
          <w:lang w:val="sk-SK" w:eastAsia="ja-JP"/>
        </w:rPr>
        <w:t>bolesť</w:t>
      </w:r>
      <w:r w:rsidRPr="00D252D3">
        <w:rPr>
          <w:rFonts w:eastAsia="MS Mincho"/>
          <w:b w:val="0"/>
          <w:bCs/>
          <w:color w:val="auto"/>
          <w:szCs w:val="22"/>
          <w:lang w:val="sk-SK" w:eastAsia="ja-JP"/>
        </w:rPr>
        <w:t xml:space="preserve"> hlavy</w:t>
      </w:r>
      <w:r w:rsidRPr="00D252D3">
        <w:rPr>
          <w:b w:val="0"/>
          <w:bCs/>
          <w:color w:val="auto"/>
          <w:szCs w:val="22"/>
          <w:lang w:val="sk-SK" w:eastAsia="zh-TW"/>
        </w:rPr>
        <w:t>.</w:t>
      </w:r>
    </w:p>
    <w:p w:rsidR="00720825" w:rsidRPr="00D252D3" w:rsidRDefault="00720825" w:rsidP="00720825">
      <w:pPr>
        <w:pStyle w:val="BodyTextIndent"/>
        <w:rPr>
          <w:b w:val="0"/>
          <w:bCs/>
          <w:color w:val="auto"/>
          <w:szCs w:val="22"/>
          <w:lang w:val="sk-SK" w:eastAsia="zh-TW"/>
        </w:rPr>
      </w:pPr>
    </w:p>
    <w:p w:rsidR="00720825" w:rsidRPr="00D252D3" w:rsidRDefault="00720825" w:rsidP="00720825">
      <w:pPr>
        <w:rPr>
          <w:bCs/>
          <w:szCs w:val="22"/>
          <w:u w:val="single"/>
        </w:rPr>
      </w:pPr>
      <w:r w:rsidRPr="00D252D3">
        <w:rPr>
          <w:bCs/>
          <w:szCs w:val="22"/>
          <w:u w:val="single"/>
        </w:rPr>
        <w:t>Veľmi zriedkavé vedľajšie účinky (</w:t>
      </w:r>
      <w:r w:rsidRPr="00D252D3">
        <w:rPr>
          <w:szCs w:val="22"/>
          <w:u w:val="single"/>
          <w:lang w:eastAsia="zh-CN"/>
        </w:rPr>
        <w:t xml:space="preserve">môžu </w:t>
      </w:r>
      <w:r w:rsidR="00790954" w:rsidRPr="00D252D3">
        <w:rPr>
          <w:szCs w:val="22"/>
          <w:u w:val="single"/>
          <w:lang w:eastAsia="zh-CN"/>
        </w:rPr>
        <w:t>postihnúť</w:t>
      </w:r>
      <w:r w:rsidRPr="00D252D3">
        <w:rPr>
          <w:szCs w:val="22"/>
          <w:u w:val="single"/>
          <w:lang w:eastAsia="zh-CN"/>
        </w:rPr>
        <w:t xml:space="preserve"> až do 1 z 10 000 ľudí</w:t>
      </w:r>
      <w:r w:rsidRPr="00D252D3">
        <w:rPr>
          <w:bCs/>
          <w:szCs w:val="22"/>
          <w:u w:val="single"/>
        </w:rPr>
        <w:t>):</w:t>
      </w:r>
    </w:p>
    <w:p w:rsidR="00720825" w:rsidRPr="00D252D3" w:rsidRDefault="00720825" w:rsidP="00720825">
      <w:pPr>
        <w:pStyle w:val="BodyTextIndent"/>
        <w:rPr>
          <w:b w:val="0"/>
          <w:bCs/>
          <w:color w:val="auto"/>
          <w:lang w:val="sk-SK"/>
        </w:rPr>
      </w:pPr>
      <w:r w:rsidRPr="00D252D3">
        <w:rPr>
          <w:b w:val="0"/>
          <w:bCs/>
          <w:color w:val="auto"/>
          <w:szCs w:val="22"/>
          <w:lang w:val="sk-SK"/>
        </w:rPr>
        <w:t>zvýšená hodnota pH (narušená acidobázická rovnováha) v </w:t>
      </w:r>
      <w:r w:rsidR="00790954" w:rsidRPr="00D252D3">
        <w:rPr>
          <w:b w:val="0"/>
          <w:bCs/>
          <w:color w:val="auto"/>
          <w:szCs w:val="22"/>
          <w:lang w:val="sk-SK"/>
        </w:rPr>
        <w:t>dôsledku</w:t>
      </w:r>
      <w:r w:rsidRPr="00D252D3">
        <w:rPr>
          <w:b w:val="0"/>
          <w:bCs/>
          <w:color w:val="auto"/>
          <w:szCs w:val="22"/>
          <w:lang w:val="sk-SK"/>
        </w:rPr>
        <w:t xml:space="preserve"> nízkej hladiny chloridov v krvi</w:t>
      </w:r>
      <w:r w:rsidRPr="00D252D3">
        <w:rPr>
          <w:b w:val="0"/>
          <w:bCs/>
          <w:color w:val="auto"/>
          <w:lang w:val="sk-SK"/>
        </w:rPr>
        <w:t>.</w:t>
      </w:r>
    </w:p>
    <w:p w:rsidR="00720825" w:rsidRPr="00D252D3" w:rsidRDefault="00720825" w:rsidP="00720825">
      <w:pPr>
        <w:pStyle w:val="BodyTextIndent"/>
        <w:rPr>
          <w:b w:val="0"/>
          <w:bCs/>
          <w:color w:val="auto"/>
          <w:lang w:val="sk-SK"/>
        </w:rPr>
      </w:pPr>
    </w:p>
    <w:p w:rsidR="0053152B" w:rsidRPr="00D252D3" w:rsidRDefault="0053152B">
      <w:pPr>
        <w:ind w:left="0" w:firstLine="0"/>
        <w:rPr>
          <w:u w:val="single"/>
        </w:rPr>
      </w:pPr>
      <w:r w:rsidRPr="00D252D3">
        <w:rPr>
          <w:u w:val="single"/>
        </w:rPr>
        <w:t>Vedľajšie účinky s neznámou frekvenciou (častosť sa nedá odhadnúť z dostupných údajov):</w:t>
      </w:r>
    </w:p>
    <w:p w:rsidR="0053152B" w:rsidRPr="00D252D3" w:rsidRDefault="0053152B">
      <w:pPr>
        <w:ind w:left="0" w:firstLine="0"/>
      </w:pPr>
      <w:r w:rsidRPr="00D252D3">
        <w:t xml:space="preserve">zápal slinných žliaz, </w:t>
      </w:r>
      <w:r w:rsidR="00660A35" w:rsidRPr="00D252D3">
        <w:t xml:space="preserve">rakovina kože a rakovina pier (nemelanómová rakovina kože), </w:t>
      </w:r>
      <w:r w:rsidRPr="00D252D3">
        <w:t xml:space="preserve">znížený počet (alebo dokonca nedostatok) </w:t>
      </w:r>
      <w:r w:rsidR="0021184D" w:rsidRPr="00D252D3">
        <w:t>buniek v </w:t>
      </w:r>
      <w:r w:rsidRPr="00D252D3">
        <w:t xml:space="preserve">krvi, vrátane zníženého počtu červených a bielych krviniek, závažné alergické reakcie </w:t>
      </w:r>
      <w:r w:rsidRPr="00D252D3">
        <w:rPr>
          <w:szCs w:val="22"/>
        </w:rPr>
        <w:t>(napr. precitlivenosť, anafylaktická reakcia)</w:t>
      </w:r>
      <w:r w:rsidRPr="00D252D3">
        <w:t xml:space="preserve">, zníženie alebo strata chuti do jedla, nepokoj, mierny závrat, rozmazané alebo žltkasté videnie, </w:t>
      </w:r>
      <w:r w:rsidRPr="00D252D3">
        <w:rPr>
          <w:szCs w:val="22"/>
        </w:rPr>
        <w:t xml:space="preserve">zhoršené videnie a bolesť oka </w:t>
      </w:r>
      <w:r w:rsidRPr="00D252D3">
        <w:rPr>
          <w:rFonts w:eastAsia="MS Mincho"/>
          <w:szCs w:val="22"/>
          <w:lang w:eastAsia="ja-JP"/>
        </w:rPr>
        <w:t xml:space="preserve">(možné príznaky </w:t>
      </w:r>
      <w:r w:rsidR="002A5973" w:rsidRPr="00D252D3">
        <w:t>nahromadenia tekutiny vo vrstve oka obsahujúcej cievy (choroidálna efúzia) alebo</w:t>
      </w:r>
      <w:r w:rsidR="002A5973" w:rsidRPr="00D252D3">
        <w:rPr>
          <w:sz w:val="18"/>
          <w:szCs w:val="18"/>
        </w:rPr>
        <w:t xml:space="preserve"> </w:t>
      </w:r>
      <w:r w:rsidRPr="00D252D3">
        <w:rPr>
          <w:rFonts w:eastAsia="MS Mincho"/>
          <w:szCs w:val="22"/>
          <w:lang w:eastAsia="ja-JP"/>
        </w:rPr>
        <w:t xml:space="preserve">akútnej </w:t>
      </w:r>
      <w:r w:rsidRPr="00D252D3">
        <w:t>krátkozrakosti</w:t>
      </w:r>
      <w:r w:rsidRPr="00D252D3">
        <w:rPr>
          <w:rFonts w:eastAsia="MS Mincho"/>
          <w:szCs w:val="22"/>
          <w:lang w:eastAsia="ja-JP"/>
        </w:rPr>
        <w:t xml:space="preserve"> alebo akútneho glaukómu s uzavretým uhlom), </w:t>
      </w:r>
      <w:r w:rsidRPr="00D252D3">
        <w:t>zápal krvných ciev (nekrotizujúca vaskulitída), zápal pankreasu,</w:t>
      </w:r>
      <w:r w:rsidRPr="00D252D3">
        <w:rPr>
          <w:szCs w:val="22"/>
        </w:rPr>
        <w:t xml:space="preserve"> žalúdočné ťažkosti,</w:t>
      </w:r>
      <w:r w:rsidRPr="00D252D3">
        <w:t xml:space="preserve"> zožltnutie pokožky alebo očí (žltačka), príznaky podobné lupusu (príznaky podobné ochoreniu nazývanému systémový lupus erythematosus, pri ktorom imunitný systém organizmu napáda vlastné telo), poruchy kože ako zápal žíl v koži, zvýšenú citlivosť na slnečné svetlo, vyrážka, sčervenanie kože, pľuzgiere na perách, očiach alebo v ústach, olupovanie kože, horúčka (možné prejavy multiformného erytému), slabosť, zápal obličiek alebo narušená funkcia obličiek, glukóza v moči (glykozúria), horúčka, narušená rovnováha elektrolytov, vysoké hladiny cholesterolu v krvi, znížený objem krvi, zvýšená hladina glukózy, ťažkosti s regulovaním hladiny glukózy v krvi/moči u pacientov s diagnózou cukrovky alebo tukov v krvi.</w:t>
      </w:r>
    </w:p>
    <w:p w:rsidR="0053152B" w:rsidRPr="00D252D3" w:rsidRDefault="0053152B">
      <w:pPr>
        <w:ind w:left="0" w:firstLine="0"/>
      </w:pPr>
    </w:p>
    <w:p w:rsidR="0053152B" w:rsidRPr="00D252D3" w:rsidRDefault="0053152B">
      <w:pPr>
        <w:numPr>
          <w:ilvl w:val="12"/>
          <w:numId w:val="0"/>
        </w:numPr>
        <w:tabs>
          <w:tab w:val="left" w:pos="720"/>
        </w:tabs>
        <w:rPr>
          <w:b/>
          <w:szCs w:val="22"/>
        </w:rPr>
      </w:pPr>
      <w:r w:rsidRPr="00D252D3">
        <w:rPr>
          <w:b/>
          <w:szCs w:val="22"/>
        </w:rPr>
        <w:t>Hlásenie vedľajších účinkov</w:t>
      </w:r>
    </w:p>
    <w:p w:rsidR="0053152B" w:rsidRPr="00D252D3" w:rsidRDefault="0053152B">
      <w:pPr>
        <w:numPr>
          <w:ilvl w:val="12"/>
          <w:numId w:val="0"/>
        </w:numPr>
        <w:tabs>
          <w:tab w:val="left" w:pos="720"/>
        </w:tabs>
        <w:ind w:right="-2"/>
        <w:rPr>
          <w:szCs w:val="22"/>
        </w:rPr>
      </w:pPr>
      <w:r w:rsidRPr="00D252D3">
        <w:rPr>
          <w:color w:val="000000"/>
          <w:szCs w:val="22"/>
        </w:rPr>
        <w:t xml:space="preserve">Ak sa u vás vyskytne akýkoľvek vedľajší účinok, obráťte sa na svojho lekára alebo lekárnika. To sa týka aj akýchkoľvek vedľajších účinkov, ktoré nie sú uvedené v tejto písomnej informácii. </w:t>
      </w:r>
      <w:r w:rsidRPr="00D252D3">
        <w:rPr>
          <w:szCs w:val="22"/>
        </w:rPr>
        <w:t xml:space="preserve">Vedľajšie účinky môžete hlásiť aj priamo na </w:t>
      </w:r>
      <w:r w:rsidRPr="00D252D3">
        <w:rPr>
          <w:szCs w:val="22"/>
          <w:highlight w:val="lightGray"/>
        </w:rPr>
        <w:t>národné centrum hlásenia uvedené v </w:t>
      </w:r>
      <w:hyperlink r:id="rId17" w:history="1">
        <w:r w:rsidRPr="00D252D3">
          <w:rPr>
            <w:rStyle w:val="Hyperlink"/>
            <w:szCs w:val="22"/>
            <w:highlight w:val="lightGray"/>
          </w:rPr>
          <w:t>p</w:t>
        </w:r>
        <w:r w:rsidRPr="00D252D3">
          <w:rPr>
            <w:rStyle w:val="Hyperlink"/>
            <w:highlight w:val="lightGray"/>
          </w:rPr>
          <w:t>rílo</w:t>
        </w:r>
        <w:r w:rsidRPr="00D252D3">
          <w:rPr>
            <w:rStyle w:val="Hyperlink"/>
            <w:highlight w:val="lightGray"/>
          </w:rPr>
          <w:t>h</w:t>
        </w:r>
        <w:r w:rsidRPr="00D252D3">
          <w:rPr>
            <w:rStyle w:val="Hyperlink"/>
            <w:highlight w:val="lightGray"/>
          </w:rPr>
          <w:t>e V</w:t>
        </w:r>
      </w:hyperlink>
      <w:r w:rsidRPr="00D252D3">
        <w:rPr>
          <w:szCs w:val="22"/>
        </w:rPr>
        <w:t>. Hlásením vedľajších účinkov môžete prispieť k získaniu ďalších informácií o bezpečnosti tohto lieku.</w:t>
      </w:r>
    </w:p>
    <w:p w:rsidR="0053152B" w:rsidRPr="00D252D3" w:rsidRDefault="0053152B">
      <w:pPr>
        <w:numPr>
          <w:ilvl w:val="12"/>
          <w:numId w:val="0"/>
        </w:numPr>
        <w:ind w:left="567" w:right="-2" w:hanging="567"/>
        <w:rPr>
          <w:b/>
        </w:rPr>
      </w:pPr>
    </w:p>
    <w:p w:rsidR="0053152B" w:rsidRPr="00D252D3" w:rsidRDefault="0053152B">
      <w:pPr>
        <w:numPr>
          <w:ilvl w:val="12"/>
          <w:numId w:val="0"/>
        </w:numPr>
        <w:ind w:left="567" w:right="-2" w:hanging="567"/>
        <w:rPr>
          <w:b/>
        </w:rPr>
      </w:pPr>
    </w:p>
    <w:p w:rsidR="0053152B" w:rsidRPr="00D252D3" w:rsidRDefault="0053152B" w:rsidP="00AB164B">
      <w:pPr>
        <w:keepNext/>
        <w:numPr>
          <w:ilvl w:val="12"/>
          <w:numId w:val="0"/>
        </w:numPr>
        <w:ind w:left="567" w:hanging="567"/>
      </w:pPr>
      <w:r w:rsidRPr="00D252D3">
        <w:rPr>
          <w:b/>
        </w:rPr>
        <w:t>5.</w:t>
      </w:r>
      <w:r w:rsidRPr="00D252D3">
        <w:rPr>
          <w:b/>
        </w:rPr>
        <w:tab/>
        <w:t>Ako uchovávať MicardisPlus</w:t>
      </w:r>
    </w:p>
    <w:p w:rsidR="0053152B" w:rsidRPr="00D252D3" w:rsidRDefault="0053152B" w:rsidP="00AB164B">
      <w:pPr>
        <w:keepNext/>
        <w:numPr>
          <w:ilvl w:val="12"/>
          <w:numId w:val="0"/>
        </w:numPr>
      </w:pPr>
    </w:p>
    <w:p w:rsidR="0053152B" w:rsidRPr="00D252D3" w:rsidRDefault="0053152B">
      <w:r w:rsidRPr="00D252D3">
        <w:t>Tento liek uchovávajte mimo dohľadu a dosahu detí.</w:t>
      </w:r>
    </w:p>
    <w:p w:rsidR="0053152B" w:rsidRPr="00D252D3" w:rsidRDefault="0053152B">
      <w:pPr>
        <w:ind w:left="0" w:firstLine="0"/>
      </w:pPr>
    </w:p>
    <w:p w:rsidR="0053152B" w:rsidRPr="00D252D3" w:rsidRDefault="0053152B">
      <w:pPr>
        <w:ind w:left="0" w:firstLine="0"/>
      </w:pPr>
      <w:r w:rsidRPr="00D252D3">
        <w:t>Nepoužívajte tento liek po dátume exspirácie, ktorý je uvedený na škatuli po „EXP“. Dátum exspirácie sa vzťahuje na posledný deň v danom mesiaci.</w:t>
      </w:r>
    </w:p>
    <w:p w:rsidR="0053152B" w:rsidRPr="00D252D3" w:rsidRDefault="0053152B">
      <w:pPr>
        <w:ind w:left="0" w:firstLine="0"/>
      </w:pPr>
    </w:p>
    <w:p w:rsidR="0053152B" w:rsidRPr="00D252D3" w:rsidRDefault="0053152B">
      <w:pPr>
        <w:ind w:left="0" w:firstLine="0"/>
        <w:rPr>
          <w:snapToGrid w:val="0"/>
          <w:lang w:eastAsia="cs-CZ"/>
        </w:rPr>
      </w:pPr>
      <w:r w:rsidRPr="00D252D3">
        <w:rPr>
          <w:snapToGrid w:val="0"/>
          <w:lang w:eastAsia="cs-CZ"/>
        </w:rPr>
        <w:t>Tento liek nevyžaduje žiadné zvláštne teplotné podmienky na uchovávanie. Uchovávajte váš liek v pôvodnom obale na ochranu tabliet pred vlhkosťou.</w:t>
      </w:r>
    </w:p>
    <w:p w:rsidR="0053152B" w:rsidRPr="00D252D3" w:rsidRDefault="0053152B"/>
    <w:p w:rsidR="0053152B" w:rsidRPr="00D252D3" w:rsidRDefault="0053152B">
      <w:pPr>
        <w:ind w:left="0" w:firstLine="0"/>
        <w:rPr>
          <w:szCs w:val="22"/>
        </w:rPr>
      </w:pPr>
      <w:r w:rsidRPr="00D252D3">
        <w:t>Niekedy sa pozorovalo, že sa vonkajšia vrstva blistra oddelila od vnútornej medzi jamkami blistra. Ak sa to stane nie je potrebné robiť žiadne opatrenia.</w:t>
      </w:r>
      <w:r w:rsidRPr="00D252D3">
        <w:rPr>
          <w:szCs w:val="22"/>
        </w:rPr>
        <w:t xml:space="preserve"> Tabletu </w:t>
      </w:r>
      <w:r w:rsidRPr="00D252D3">
        <w:rPr>
          <w:snapToGrid w:val="0"/>
          <w:lang w:eastAsia="cs-CZ"/>
        </w:rPr>
        <w:t xml:space="preserve">MicardisPlusu </w:t>
      </w:r>
      <w:r w:rsidRPr="00D252D3">
        <w:rPr>
          <w:szCs w:val="22"/>
        </w:rPr>
        <w:t>vyberte z blistra iba bezprostredne pred užitím.</w:t>
      </w:r>
    </w:p>
    <w:p w:rsidR="0053152B" w:rsidRPr="00D252D3" w:rsidRDefault="0053152B"/>
    <w:p w:rsidR="0053152B" w:rsidRPr="00D252D3" w:rsidRDefault="0053152B">
      <w:pPr>
        <w:ind w:left="0" w:firstLine="0"/>
      </w:pPr>
      <w:r w:rsidRPr="00D252D3">
        <w:t>Nelikvidujte lieky odpadovou vodou alebo domovým odpadom. Nepoužitý liek vráťte do lekárne. Tieto opatrenia pomôžu chrániť životné prostredie.</w:t>
      </w:r>
    </w:p>
    <w:p w:rsidR="0053152B" w:rsidRPr="00D252D3" w:rsidRDefault="0053152B">
      <w:pPr>
        <w:ind w:left="0" w:firstLine="0"/>
      </w:pPr>
    </w:p>
    <w:p w:rsidR="0053152B" w:rsidRPr="00D252D3" w:rsidRDefault="0053152B">
      <w:pPr>
        <w:ind w:left="0" w:firstLine="0"/>
      </w:pPr>
    </w:p>
    <w:p w:rsidR="0053152B" w:rsidRPr="00D252D3" w:rsidRDefault="0053152B" w:rsidP="00AB164B">
      <w:pPr>
        <w:keepNext/>
        <w:numPr>
          <w:ilvl w:val="12"/>
          <w:numId w:val="0"/>
        </w:numPr>
        <w:ind w:left="567" w:right="-2" w:hanging="567"/>
        <w:rPr>
          <w:b/>
        </w:rPr>
      </w:pPr>
      <w:r w:rsidRPr="00D252D3">
        <w:rPr>
          <w:b/>
        </w:rPr>
        <w:t>6.</w:t>
      </w:r>
      <w:r w:rsidRPr="00D252D3">
        <w:rPr>
          <w:b/>
        </w:rPr>
        <w:tab/>
        <w:t>Obsah balenia a ďalšie informácie</w:t>
      </w:r>
    </w:p>
    <w:p w:rsidR="0053152B" w:rsidRPr="00D252D3" w:rsidRDefault="0053152B" w:rsidP="00AB164B">
      <w:pPr>
        <w:keepNext/>
        <w:ind w:left="0" w:firstLine="0"/>
        <w:jc w:val="both"/>
      </w:pPr>
    </w:p>
    <w:p w:rsidR="0053152B" w:rsidRPr="00D252D3" w:rsidRDefault="0053152B" w:rsidP="00AB164B">
      <w:pPr>
        <w:keepNext/>
        <w:ind w:left="0" w:firstLine="0"/>
        <w:jc w:val="both"/>
        <w:rPr>
          <w:b/>
        </w:rPr>
      </w:pPr>
      <w:r w:rsidRPr="00D252D3">
        <w:rPr>
          <w:b/>
        </w:rPr>
        <w:t>Čo MicardisPlus obsahuje</w:t>
      </w:r>
    </w:p>
    <w:p w:rsidR="0053152B" w:rsidRPr="00D252D3" w:rsidRDefault="0053152B" w:rsidP="00AB164B">
      <w:pPr>
        <w:keepNext/>
        <w:ind w:left="0" w:firstLine="0"/>
      </w:pPr>
    </w:p>
    <w:p w:rsidR="0053152B" w:rsidRPr="00D252D3" w:rsidRDefault="0053152B">
      <w:pPr>
        <w:ind w:left="0" w:firstLine="0"/>
      </w:pPr>
      <w:r w:rsidRPr="00D252D3">
        <w:t xml:space="preserve">Liečivá sú telmisartan a hydrochlorotiazid. Každá tableta obsahuje 80 mg telmisartanu a 12,5 mg hydrochlorotiazidu. </w:t>
      </w:r>
    </w:p>
    <w:p w:rsidR="0053152B" w:rsidRPr="00D252D3" w:rsidRDefault="0053152B">
      <w:pPr>
        <w:ind w:left="0" w:firstLine="0"/>
      </w:pPr>
      <w:r w:rsidRPr="00D252D3">
        <w:t>Ďalšie zložky sú monohydrát laktózy, magnéziumstearát, kukuričný škrob, meglumín, m</w:t>
      </w:r>
      <w:r w:rsidRPr="00D252D3">
        <w:rPr>
          <w:snapToGrid w:val="0"/>
          <w:lang w:eastAsia="cs-CZ"/>
        </w:rPr>
        <w:t>ikrokryštalická celulóza, povidón, červený oxid železitý (E172), hydroxid sodný, sodná soľ karboxymetylškrobu (typ A), sorbitol (E420).</w:t>
      </w:r>
    </w:p>
    <w:p w:rsidR="0053152B" w:rsidRPr="00D252D3" w:rsidRDefault="0053152B">
      <w:pPr>
        <w:jc w:val="both"/>
      </w:pPr>
    </w:p>
    <w:p w:rsidR="0053152B" w:rsidRPr="00D252D3" w:rsidRDefault="0053152B">
      <w:pPr>
        <w:ind w:left="0" w:firstLine="0"/>
        <w:jc w:val="both"/>
        <w:rPr>
          <w:b/>
        </w:rPr>
      </w:pPr>
      <w:r w:rsidRPr="00D252D3">
        <w:rPr>
          <w:b/>
        </w:rPr>
        <w:t>Ako vyzerá MicardisPlus a obsah balenia</w:t>
      </w:r>
    </w:p>
    <w:p w:rsidR="0053152B" w:rsidRPr="00D252D3" w:rsidRDefault="0053152B">
      <w:pPr>
        <w:ind w:left="0" w:firstLine="0"/>
        <w:jc w:val="both"/>
      </w:pPr>
    </w:p>
    <w:p w:rsidR="0053152B" w:rsidRPr="00D252D3" w:rsidRDefault="0053152B">
      <w:pPr>
        <w:ind w:left="0" w:firstLine="0"/>
        <w:jc w:val="both"/>
      </w:pPr>
      <w:r w:rsidRPr="00D252D3">
        <w:t xml:space="preserve">MicardisPlus 80 mg/12,5 mg tablety sú červeno-biele, dvojvrstvové </w:t>
      </w:r>
      <w:r w:rsidR="00EA1571" w:rsidRPr="00D252D3">
        <w:t>podlhovasté</w:t>
      </w:r>
      <w:r w:rsidRPr="00D252D3">
        <w:t xml:space="preserve"> tablety s vyrytým logom spoločnosti a kódom ’H8’.</w:t>
      </w:r>
    </w:p>
    <w:p w:rsidR="0053152B" w:rsidRPr="00D252D3" w:rsidRDefault="0053152B">
      <w:pPr>
        <w:ind w:left="0" w:firstLine="0"/>
        <w:jc w:val="both"/>
      </w:pPr>
      <w:r w:rsidRPr="00D252D3">
        <w:t>MicardisPlus sa dodáva v blistrových baleniach obsahujúcich 14, 28, 56, 84 alebo 98 tabliet alebo v blistroch s jednotlivými dávkami, ktoré obsahujú 28 x 1, 30 x 1 alebo 90 x 1 tabletu.</w:t>
      </w:r>
    </w:p>
    <w:p w:rsidR="0053152B" w:rsidRPr="00D252D3" w:rsidRDefault="0053152B">
      <w:pPr>
        <w:ind w:left="0" w:firstLine="0"/>
        <w:jc w:val="both"/>
      </w:pPr>
    </w:p>
    <w:p w:rsidR="0053152B" w:rsidRPr="00D252D3" w:rsidRDefault="0053152B">
      <w:pPr>
        <w:ind w:left="0" w:firstLine="0"/>
        <w:jc w:val="both"/>
      </w:pPr>
      <w:r w:rsidRPr="00D252D3">
        <w:t>Nie všetky veľkosti balenia musia byť dostupné vo vašej krajine.</w:t>
      </w:r>
    </w:p>
    <w:p w:rsidR="0053152B" w:rsidRPr="00D252D3" w:rsidRDefault="0053152B">
      <w:pPr>
        <w:jc w:val="both"/>
      </w:pPr>
    </w:p>
    <w:p w:rsidR="0053152B" w:rsidRPr="00D252D3" w:rsidRDefault="0053152B" w:rsidP="0057583E">
      <w:pPr>
        <w:tabs>
          <w:tab w:val="left" w:pos="4253"/>
        </w:tabs>
        <w:ind w:left="0" w:firstLine="0"/>
        <w:jc w:val="both"/>
        <w:rPr>
          <w:b/>
        </w:rPr>
      </w:pPr>
      <w:r w:rsidRPr="00D252D3">
        <w:rPr>
          <w:b/>
        </w:rPr>
        <w:t>Držiteľ rozhodnutia o registrácii</w:t>
      </w:r>
      <w:r w:rsidRPr="00D252D3">
        <w:rPr>
          <w:b/>
        </w:rPr>
        <w:tab/>
        <w:t>Výrobca</w:t>
      </w:r>
    </w:p>
    <w:p w:rsidR="0053152B" w:rsidRPr="00D252D3" w:rsidRDefault="0053152B" w:rsidP="0057583E">
      <w:pPr>
        <w:tabs>
          <w:tab w:val="left" w:pos="4253"/>
        </w:tabs>
        <w:ind w:left="0" w:firstLine="0"/>
        <w:rPr>
          <w:szCs w:val="22"/>
        </w:rPr>
      </w:pPr>
      <w:r w:rsidRPr="00D252D3">
        <w:rPr>
          <w:szCs w:val="22"/>
        </w:rPr>
        <w:t>Boehringer Ingelheim International GmbH</w:t>
      </w:r>
      <w:r w:rsidRPr="00D252D3">
        <w:rPr>
          <w:szCs w:val="22"/>
        </w:rPr>
        <w:tab/>
        <w:t>Boehringer Ingelheim Pharma GmbH &amp; Co. KG</w:t>
      </w:r>
    </w:p>
    <w:p w:rsidR="0053152B" w:rsidRPr="00D252D3" w:rsidRDefault="0053152B" w:rsidP="0057583E">
      <w:pPr>
        <w:tabs>
          <w:tab w:val="left" w:pos="4253"/>
        </w:tabs>
        <w:ind w:left="0" w:firstLine="0"/>
        <w:rPr>
          <w:szCs w:val="22"/>
          <w:highlight w:val="yellow"/>
        </w:rPr>
      </w:pPr>
      <w:r w:rsidRPr="00D252D3">
        <w:rPr>
          <w:szCs w:val="22"/>
        </w:rPr>
        <w:t>Binger Str. 173</w:t>
      </w:r>
      <w:r w:rsidRPr="00D252D3">
        <w:rPr>
          <w:szCs w:val="22"/>
        </w:rPr>
        <w:tab/>
        <w:t>Binger str. 173</w:t>
      </w:r>
    </w:p>
    <w:p w:rsidR="0053152B" w:rsidRPr="00D252D3" w:rsidRDefault="0053152B" w:rsidP="0057583E">
      <w:pPr>
        <w:tabs>
          <w:tab w:val="left" w:pos="4253"/>
        </w:tabs>
        <w:ind w:left="0" w:firstLine="0"/>
        <w:rPr>
          <w:szCs w:val="22"/>
        </w:rPr>
      </w:pPr>
      <w:r w:rsidRPr="00D252D3">
        <w:rPr>
          <w:szCs w:val="22"/>
        </w:rPr>
        <w:t>D-55216 Ingelheim nad Rýnom</w:t>
      </w:r>
      <w:r w:rsidRPr="00D252D3">
        <w:rPr>
          <w:szCs w:val="22"/>
        </w:rPr>
        <w:tab/>
        <w:t>D-55216 Ingelheim nad Rýnom</w:t>
      </w:r>
    </w:p>
    <w:p w:rsidR="0053152B" w:rsidRPr="00D252D3" w:rsidRDefault="0053152B" w:rsidP="0057583E">
      <w:pPr>
        <w:tabs>
          <w:tab w:val="left" w:pos="4253"/>
        </w:tabs>
        <w:ind w:left="0" w:firstLine="0"/>
        <w:rPr>
          <w:szCs w:val="22"/>
        </w:rPr>
      </w:pPr>
      <w:r w:rsidRPr="00D252D3">
        <w:rPr>
          <w:szCs w:val="22"/>
        </w:rPr>
        <w:t>Nemecko</w:t>
      </w:r>
      <w:r w:rsidRPr="00D252D3">
        <w:rPr>
          <w:szCs w:val="22"/>
        </w:rPr>
        <w:tab/>
        <w:t>Nemecko</w:t>
      </w:r>
    </w:p>
    <w:p w:rsidR="0053152B" w:rsidRPr="00D252D3" w:rsidRDefault="0053152B">
      <w:pPr>
        <w:ind w:left="0" w:firstLine="0"/>
        <w:jc w:val="both"/>
        <w:rPr>
          <w:b/>
          <w:highlight w:val="yellow"/>
        </w:rPr>
      </w:pPr>
    </w:p>
    <w:p w:rsidR="0053152B" w:rsidRPr="00D252D3" w:rsidRDefault="0053152B" w:rsidP="0057583E">
      <w:pPr>
        <w:ind w:left="4253" w:firstLine="0"/>
        <w:rPr>
          <w:szCs w:val="22"/>
        </w:rPr>
      </w:pPr>
      <w:r w:rsidRPr="00D252D3">
        <w:rPr>
          <w:szCs w:val="22"/>
        </w:rPr>
        <w:t>a</w:t>
      </w:r>
    </w:p>
    <w:p w:rsidR="0053152B" w:rsidRPr="00D252D3" w:rsidRDefault="0053152B" w:rsidP="0057583E">
      <w:pPr>
        <w:ind w:left="4253" w:firstLine="0"/>
        <w:rPr>
          <w:szCs w:val="22"/>
        </w:rPr>
      </w:pPr>
    </w:p>
    <w:tbl>
      <w:tblPr>
        <w:tblW w:w="0" w:type="auto"/>
        <w:tblLook w:val="01E0" w:firstRow="1" w:lastRow="1" w:firstColumn="1" w:lastColumn="1" w:noHBand="0" w:noVBand="0"/>
      </w:tblPr>
      <w:tblGrid>
        <w:gridCol w:w="4361"/>
        <w:gridCol w:w="4605"/>
      </w:tblGrid>
      <w:tr w:rsidR="0053152B" w:rsidRPr="00D252D3">
        <w:tc>
          <w:tcPr>
            <w:tcW w:w="4361" w:type="dxa"/>
          </w:tcPr>
          <w:p w:rsidR="0053152B" w:rsidRPr="00D252D3" w:rsidRDefault="0053152B">
            <w:pPr>
              <w:pStyle w:val="EndnoteText"/>
              <w:ind w:left="567" w:hanging="567"/>
              <w:rPr>
                <w:szCs w:val="22"/>
                <w:lang w:val="sk-SK"/>
              </w:rPr>
            </w:pPr>
          </w:p>
        </w:tc>
        <w:tc>
          <w:tcPr>
            <w:tcW w:w="4605" w:type="dxa"/>
          </w:tcPr>
          <w:p w:rsidR="0053152B" w:rsidRPr="00D252D3" w:rsidRDefault="0053152B">
            <w:pPr>
              <w:pStyle w:val="Default"/>
              <w:ind w:left="-108"/>
              <w:rPr>
                <w:sz w:val="22"/>
                <w:szCs w:val="22"/>
                <w:lang w:val="sk-SK"/>
              </w:rPr>
            </w:pPr>
            <w:r w:rsidRPr="00D252D3">
              <w:rPr>
                <w:sz w:val="22"/>
                <w:szCs w:val="22"/>
                <w:lang w:val="sk-SK"/>
              </w:rPr>
              <w:t xml:space="preserve">Boehringer Ingelheim Ellas A.E. </w:t>
            </w:r>
          </w:p>
          <w:p w:rsidR="0053152B" w:rsidRPr="00D252D3" w:rsidRDefault="0053152B">
            <w:pPr>
              <w:pStyle w:val="Default"/>
              <w:ind w:left="-108"/>
              <w:rPr>
                <w:sz w:val="22"/>
                <w:szCs w:val="22"/>
                <w:lang w:val="sk-SK"/>
              </w:rPr>
            </w:pPr>
            <w:r w:rsidRPr="00D252D3">
              <w:rPr>
                <w:sz w:val="22"/>
                <w:szCs w:val="22"/>
                <w:lang w:val="sk-SK"/>
              </w:rPr>
              <w:t xml:space="preserve">5th km Paiania – Markopoulo </w:t>
            </w:r>
          </w:p>
          <w:p w:rsidR="0053152B" w:rsidRPr="00D252D3" w:rsidRDefault="0053152B">
            <w:pPr>
              <w:pStyle w:val="Default"/>
              <w:ind w:left="-108"/>
              <w:rPr>
                <w:sz w:val="22"/>
                <w:szCs w:val="22"/>
                <w:lang w:val="sk-SK"/>
              </w:rPr>
            </w:pPr>
            <w:r w:rsidRPr="00D252D3">
              <w:rPr>
                <w:sz w:val="22"/>
                <w:szCs w:val="22"/>
                <w:lang w:val="sk-SK"/>
              </w:rPr>
              <w:t>Koropi Attiki, 194 00</w:t>
            </w:r>
          </w:p>
          <w:p w:rsidR="0053152B" w:rsidRPr="00D252D3" w:rsidRDefault="0053152B" w:rsidP="0057583E">
            <w:pPr>
              <w:numPr>
                <w:ilvl w:val="12"/>
                <w:numId w:val="0"/>
              </w:numPr>
              <w:ind w:left="-108"/>
              <w:rPr>
                <w:szCs w:val="22"/>
              </w:rPr>
            </w:pPr>
            <w:r w:rsidRPr="00D252D3">
              <w:rPr>
                <w:szCs w:val="22"/>
              </w:rPr>
              <w:t>Grécko</w:t>
            </w:r>
          </w:p>
        </w:tc>
      </w:tr>
    </w:tbl>
    <w:p w:rsidR="00D33854" w:rsidRPr="00D252D3" w:rsidRDefault="00D33854" w:rsidP="00D33854">
      <w:pPr>
        <w:numPr>
          <w:ilvl w:val="12"/>
          <w:numId w:val="0"/>
        </w:numPr>
        <w:ind w:right="-2"/>
        <w:rPr>
          <w:szCs w:val="22"/>
        </w:rPr>
      </w:pPr>
    </w:p>
    <w:p w:rsidR="00D33854" w:rsidRPr="00D252D3" w:rsidRDefault="00D33854" w:rsidP="0057583E">
      <w:pPr>
        <w:ind w:left="4167" w:firstLine="0"/>
        <w:rPr>
          <w:szCs w:val="22"/>
        </w:rPr>
      </w:pPr>
      <w:r w:rsidRPr="00D252D3">
        <w:rPr>
          <w:szCs w:val="22"/>
        </w:rPr>
        <w:t>a</w:t>
      </w:r>
    </w:p>
    <w:p w:rsidR="00D33854" w:rsidRPr="00D252D3" w:rsidRDefault="00D33854" w:rsidP="0057583E">
      <w:pPr>
        <w:ind w:left="4167" w:firstLine="0"/>
        <w:rPr>
          <w:szCs w:val="22"/>
        </w:rPr>
      </w:pPr>
    </w:p>
    <w:tbl>
      <w:tblPr>
        <w:tblW w:w="0" w:type="auto"/>
        <w:tblLook w:val="01E0" w:firstRow="1" w:lastRow="1" w:firstColumn="1" w:lastColumn="1" w:noHBand="0" w:noVBand="0"/>
      </w:tblPr>
      <w:tblGrid>
        <w:gridCol w:w="4361"/>
        <w:gridCol w:w="4605"/>
      </w:tblGrid>
      <w:tr w:rsidR="00D33854" w:rsidRPr="00D252D3" w:rsidTr="0099052A">
        <w:tc>
          <w:tcPr>
            <w:tcW w:w="4361" w:type="dxa"/>
          </w:tcPr>
          <w:p w:rsidR="00D33854" w:rsidRPr="00D252D3" w:rsidRDefault="00D33854" w:rsidP="0099052A">
            <w:pPr>
              <w:pStyle w:val="EndnoteText"/>
              <w:ind w:left="567" w:hanging="567"/>
              <w:rPr>
                <w:szCs w:val="22"/>
                <w:lang w:val="sk-SK"/>
              </w:rPr>
            </w:pPr>
          </w:p>
        </w:tc>
        <w:tc>
          <w:tcPr>
            <w:tcW w:w="4605" w:type="dxa"/>
          </w:tcPr>
          <w:p w:rsidR="00D33854" w:rsidRPr="00D252D3" w:rsidRDefault="00D33854" w:rsidP="0099052A">
            <w:pPr>
              <w:numPr>
                <w:ilvl w:val="12"/>
                <w:numId w:val="0"/>
              </w:numPr>
              <w:ind w:left="-108" w:right="-2"/>
              <w:rPr>
                <w:szCs w:val="22"/>
              </w:rPr>
            </w:pPr>
            <w:r w:rsidRPr="00D252D3">
              <w:rPr>
                <w:szCs w:val="22"/>
              </w:rPr>
              <w:t>Rottendorf Pharma GmbH</w:t>
            </w:r>
          </w:p>
          <w:p w:rsidR="00D33854" w:rsidRPr="00D252D3" w:rsidRDefault="00D33854" w:rsidP="0099052A">
            <w:pPr>
              <w:numPr>
                <w:ilvl w:val="12"/>
                <w:numId w:val="0"/>
              </w:numPr>
              <w:ind w:left="-108" w:right="-2"/>
              <w:rPr>
                <w:szCs w:val="22"/>
              </w:rPr>
            </w:pPr>
            <w:r w:rsidRPr="00D252D3">
              <w:rPr>
                <w:szCs w:val="22"/>
              </w:rPr>
              <w:t>Ostenfelder Straße 51 - 61</w:t>
            </w:r>
          </w:p>
          <w:p w:rsidR="00D33854" w:rsidRPr="00D252D3" w:rsidRDefault="00D33854" w:rsidP="0099052A">
            <w:pPr>
              <w:numPr>
                <w:ilvl w:val="12"/>
                <w:numId w:val="0"/>
              </w:numPr>
              <w:ind w:left="-108" w:right="-2"/>
              <w:rPr>
                <w:szCs w:val="22"/>
              </w:rPr>
            </w:pPr>
            <w:r w:rsidRPr="00D252D3">
              <w:rPr>
                <w:szCs w:val="22"/>
              </w:rPr>
              <w:t>D-59320 Ennigerloh</w:t>
            </w:r>
          </w:p>
          <w:p w:rsidR="00D33854" w:rsidRPr="00D252D3" w:rsidRDefault="00D33854" w:rsidP="0099052A">
            <w:pPr>
              <w:numPr>
                <w:ilvl w:val="12"/>
                <w:numId w:val="0"/>
              </w:numPr>
              <w:ind w:left="-108" w:right="-2"/>
              <w:rPr>
                <w:szCs w:val="22"/>
              </w:rPr>
            </w:pPr>
            <w:r w:rsidRPr="00D252D3">
              <w:rPr>
                <w:szCs w:val="22"/>
              </w:rPr>
              <w:t>Nemecko</w:t>
            </w:r>
          </w:p>
        </w:tc>
      </w:tr>
    </w:tbl>
    <w:p w:rsidR="0053152B" w:rsidRPr="00D252D3" w:rsidRDefault="0053152B">
      <w:pPr>
        <w:numPr>
          <w:ilvl w:val="12"/>
          <w:numId w:val="0"/>
        </w:numPr>
        <w:ind w:right="-2"/>
      </w:pPr>
    </w:p>
    <w:p w:rsidR="0053152B" w:rsidRPr="00D252D3" w:rsidRDefault="0053152B">
      <w:pPr>
        <w:numPr>
          <w:ilvl w:val="12"/>
          <w:numId w:val="0"/>
        </w:numPr>
        <w:ind w:right="-2"/>
      </w:pPr>
      <w:r w:rsidRPr="00D252D3">
        <w:br w:type="page"/>
        <w:t>Ak potrebujete akúkoľvek informáciu o tomto lieku, kontaktujte miestneho zástupcu držiteľa rozhodnutia o registrácii.</w:t>
      </w:r>
    </w:p>
    <w:p w:rsidR="0053152B" w:rsidRPr="00D252D3" w:rsidRDefault="0053152B">
      <w:pPr>
        <w:numPr>
          <w:ilvl w:val="12"/>
          <w:numId w:val="0"/>
        </w:numPr>
        <w:tabs>
          <w:tab w:val="left" w:pos="708"/>
        </w:tabs>
        <w:ind w:right="-2"/>
      </w:pPr>
    </w:p>
    <w:tbl>
      <w:tblPr>
        <w:tblW w:w="9356" w:type="dxa"/>
        <w:tblInd w:w="-34" w:type="dxa"/>
        <w:tblLayout w:type="fixed"/>
        <w:tblLook w:val="0000" w:firstRow="0" w:lastRow="0" w:firstColumn="0" w:lastColumn="0" w:noHBand="0" w:noVBand="0"/>
      </w:tblPr>
      <w:tblGrid>
        <w:gridCol w:w="34"/>
        <w:gridCol w:w="4644"/>
        <w:gridCol w:w="4678"/>
      </w:tblGrid>
      <w:tr w:rsidR="0053152B" w:rsidRPr="00D252D3" w:rsidTr="0017732D">
        <w:trPr>
          <w:gridBefore w:val="1"/>
          <w:wBefore w:w="34" w:type="dxa"/>
        </w:trPr>
        <w:tc>
          <w:tcPr>
            <w:tcW w:w="4644" w:type="dxa"/>
          </w:tcPr>
          <w:p w:rsidR="0053152B" w:rsidRPr="00D252D3" w:rsidRDefault="0053152B">
            <w:pPr>
              <w:rPr>
                <w:szCs w:val="22"/>
              </w:rPr>
            </w:pPr>
            <w:r w:rsidRPr="00D252D3">
              <w:rPr>
                <w:b/>
                <w:szCs w:val="22"/>
              </w:rPr>
              <w:t>België/Belgique/Belgien</w:t>
            </w:r>
          </w:p>
          <w:p w:rsidR="0053152B" w:rsidRPr="00D252D3" w:rsidRDefault="0053152B">
            <w:pPr>
              <w:ind w:right="34"/>
              <w:rPr>
                <w:szCs w:val="22"/>
                <w:lang w:eastAsia="ja-JP"/>
              </w:rPr>
            </w:pPr>
            <w:r w:rsidRPr="00D252D3">
              <w:rPr>
                <w:rFonts w:eastAsia="MS Mincho"/>
                <w:szCs w:val="22"/>
                <w:lang w:eastAsia="ja-JP"/>
              </w:rPr>
              <w:t>SCS Boehringer Ingelheim Comm.V</w:t>
            </w:r>
            <w:r w:rsidRPr="00D252D3">
              <w:rPr>
                <w:szCs w:val="22"/>
                <w:lang w:eastAsia="ja-JP"/>
              </w:rPr>
              <w:t xml:space="preserve"> </w:t>
            </w:r>
          </w:p>
          <w:p w:rsidR="0053152B" w:rsidRPr="00D252D3" w:rsidRDefault="0053152B">
            <w:pPr>
              <w:ind w:right="34"/>
              <w:rPr>
                <w:szCs w:val="22"/>
              </w:rPr>
            </w:pPr>
            <w:r w:rsidRPr="00D252D3">
              <w:rPr>
                <w:szCs w:val="22"/>
                <w:lang w:eastAsia="ja-JP"/>
              </w:rPr>
              <w:t>Tél/Tel: +32 2 773 33 11</w:t>
            </w:r>
          </w:p>
        </w:tc>
        <w:tc>
          <w:tcPr>
            <w:tcW w:w="4678" w:type="dxa"/>
          </w:tcPr>
          <w:p w:rsidR="0053152B" w:rsidRPr="00D252D3" w:rsidRDefault="0053152B">
            <w:pPr>
              <w:rPr>
                <w:szCs w:val="22"/>
              </w:rPr>
            </w:pPr>
            <w:r w:rsidRPr="00D252D3">
              <w:rPr>
                <w:b/>
                <w:bCs/>
                <w:szCs w:val="22"/>
              </w:rPr>
              <w:t>Lietuva</w:t>
            </w:r>
          </w:p>
          <w:p w:rsidR="0053152B" w:rsidRPr="00D252D3" w:rsidRDefault="0053152B">
            <w:pPr>
              <w:tabs>
                <w:tab w:val="left" w:pos="-720"/>
              </w:tabs>
              <w:suppressAutoHyphens/>
              <w:rPr>
                <w:szCs w:val="22"/>
                <w:lang w:eastAsia="ja-JP"/>
              </w:rPr>
            </w:pPr>
            <w:r w:rsidRPr="00D252D3">
              <w:rPr>
                <w:szCs w:val="22"/>
                <w:lang w:eastAsia="ja-JP"/>
              </w:rPr>
              <w:t>Boehringer Ingelheim RCV GmbH &amp; Co KG</w:t>
            </w:r>
          </w:p>
          <w:p w:rsidR="0053152B" w:rsidRPr="00D252D3" w:rsidRDefault="0053152B">
            <w:pPr>
              <w:tabs>
                <w:tab w:val="left" w:pos="-720"/>
              </w:tabs>
              <w:suppressAutoHyphens/>
              <w:rPr>
                <w:szCs w:val="22"/>
                <w:lang w:eastAsia="ja-JP"/>
              </w:rPr>
            </w:pPr>
            <w:r w:rsidRPr="00D252D3">
              <w:rPr>
                <w:szCs w:val="22"/>
                <w:lang w:eastAsia="ja-JP"/>
              </w:rPr>
              <w:t>Lietuvos filialas</w:t>
            </w:r>
          </w:p>
          <w:p w:rsidR="0053152B" w:rsidRPr="00D252D3" w:rsidRDefault="0053152B">
            <w:pPr>
              <w:rPr>
                <w:szCs w:val="22"/>
              </w:rPr>
            </w:pPr>
            <w:r w:rsidRPr="00D252D3">
              <w:rPr>
                <w:szCs w:val="22"/>
                <w:lang w:eastAsia="ja-JP"/>
              </w:rPr>
              <w:t>Tel.: +370 37 473922</w:t>
            </w:r>
          </w:p>
          <w:p w:rsidR="0053152B" w:rsidRPr="00D252D3" w:rsidRDefault="0053152B">
            <w:pPr>
              <w:autoSpaceDE w:val="0"/>
              <w:autoSpaceDN w:val="0"/>
              <w:adjustRightInd w:val="0"/>
              <w:rPr>
                <w:szCs w:val="22"/>
              </w:rPr>
            </w:pPr>
          </w:p>
        </w:tc>
      </w:tr>
      <w:tr w:rsidR="0053152B" w:rsidRPr="00D252D3" w:rsidTr="0017732D">
        <w:trPr>
          <w:gridBefore w:val="1"/>
          <w:wBefore w:w="34" w:type="dxa"/>
        </w:trPr>
        <w:tc>
          <w:tcPr>
            <w:tcW w:w="4644" w:type="dxa"/>
          </w:tcPr>
          <w:p w:rsidR="0053152B" w:rsidRPr="00D252D3" w:rsidRDefault="0053152B">
            <w:pPr>
              <w:autoSpaceDE w:val="0"/>
              <w:autoSpaceDN w:val="0"/>
              <w:adjustRightInd w:val="0"/>
              <w:rPr>
                <w:b/>
                <w:bCs/>
                <w:szCs w:val="22"/>
              </w:rPr>
            </w:pPr>
            <w:r w:rsidRPr="00D252D3">
              <w:rPr>
                <w:b/>
                <w:bCs/>
                <w:szCs w:val="22"/>
              </w:rPr>
              <w:t>България</w:t>
            </w:r>
          </w:p>
          <w:p w:rsidR="0053152B" w:rsidRPr="00D252D3" w:rsidRDefault="0053152B">
            <w:pPr>
              <w:rPr>
                <w:rFonts w:eastAsia="MS Mincho"/>
                <w:szCs w:val="22"/>
                <w:lang w:eastAsia="ja-JP"/>
              </w:rPr>
            </w:pPr>
            <w:r w:rsidRPr="00D252D3">
              <w:rPr>
                <w:rFonts w:eastAsia="MS Mincho"/>
                <w:szCs w:val="22"/>
                <w:lang w:eastAsia="ja-JP"/>
              </w:rPr>
              <w:t>Бьорингер Ингелхайм РЦВ ГмбХ и Ко. КГ –</w:t>
            </w:r>
          </w:p>
          <w:p w:rsidR="0053152B" w:rsidRPr="00D252D3" w:rsidRDefault="0053152B">
            <w:pPr>
              <w:rPr>
                <w:szCs w:val="22"/>
              </w:rPr>
            </w:pPr>
            <w:r w:rsidRPr="00D252D3">
              <w:rPr>
                <w:rFonts w:eastAsia="MS Mincho"/>
                <w:szCs w:val="22"/>
                <w:lang w:eastAsia="ja-JP"/>
              </w:rPr>
              <w:t>клон България</w:t>
            </w:r>
          </w:p>
          <w:p w:rsidR="0053152B" w:rsidRPr="00D252D3" w:rsidRDefault="0053152B">
            <w:pPr>
              <w:autoSpaceDE w:val="0"/>
              <w:autoSpaceDN w:val="0"/>
              <w:adjustRightInd w:val="0"/>
              <w:rPr>
                <w:szCs w:val="22"/>
              </w:rPr>
            </w:pPr>
            <w:r w:rsidRPr="00D252D3">
              <w:rPr>
                <w:rFonts w:eastAsia="MS Mincho"/>
                <w:szCs w:val="22"/>
                <w:lang w:eastAsia="ja-JP"/>
              </w:rPr>
              <w:t>Тел: +359 2 958 79 98</w:t>
            </w:r>
          </w:p>
          <w:p w:rsidR="0053152B" w:rsidRPr="00D252D3" w:rsidRDefault="0053152B">
            <w:pPr>
              <w:tabs>
                <w:tab w:val="left" w:pos="-720"/>
              </w:tabs>
              <w:suppressAutoHyphens/>
              <w:rPr>
                <w:szCs w:val="22"/>
              </w:rPr>
            </w:pPr>
          </w:p>
        </w:tc>
        <w:tc>
          <w:tcPr>
            <w:tcW w:w="4678" w:type="dxa"/>
          </w:tcPr>
          <w:p w:rsidR="0053152B" w:rsidRPr="00D252D3" w:rsidRDefault="0053152B">
            <w:pPr>
              <w:rPr>
                <w:szCs w:val="22"/>
              </w:rPr>
            </w:pPr>
            <w:r w:rsidRPr="00D252D3">
              <w:rPr>
                <w:b/>
                <w:szCs w:val="22"/>
              </w:rPr>
              <w:t>Luxembourg/Luxemburg</w:t>
            </w:r>
          </w:p>
          <w:p w:rsidR="0053152B" w:rsidRPr="00D252D3" w:rsidRDefault="0053152B">
            <w:pPr>
              <w:rPr>
                <w:szCs w:val="22"/>
                <w:lang w:eastAsia="ja-JP"/>
              </w:rPr>
            </w:pPr>
            <w:r w:rsidRPr="00D252D3">
              <w:rPr>
                <w:rFonts w:eastAsia="MS Mincho"/>
                <w:szCs w:val="22"/>
                <w:lang w:eastAsia="ja-JP"/>
              </w:rPr>
              <w:t>SCS Boehringer Ingelheim Comm.V</w:t>
            </w:r>
            <w:r w:rsidRPr="00D252D3">
              <w:rPr>
                <w:szCs w:val="22"/>
                <w:lang w:eastAsia="ja-JP"/>
              </w:rPr>
              <w:t xml:space="preserve"> </w:t>
            </w:r>
          </w:p>
          <w:p w:rsidR="0053152B" w:rsidRPr="00D252D3" w:rsidRDefault="0053152B">
            <w:pPr>
              <w:rPr>
                <w:szCs w:val="22"/>
                <w:lang w:eastAsia="ja-JP"/>
              </w:rPr>
            </w:pPr>
            <w:r w:rsidRPr="00D252D3">
              <w:rPr>
                <w:szCs w:val="22"/>
                <w:lang w:eastAsia="ja-JP"/>
              </w:rPr>
              <w:t>Tél/Tel: +32 2 773 33 11</w:t>
            </w:r>
          </w:p>
          <w:p w:rsidR="0053152B" w:rsidRPr="00D252D3" w:rsidRDefault="0053152B">
            <w:pPr>
              <w:tabs>
                <w:tab w:val="left" w:pos="-720"/>
              </w:tabs>
              <w:suppressAutoHyphens/>
              <w:rPr>
                <w:szCs w:val="22"/>
              </w:rPr>
            </w:pPr>
          </w:p>
        </w:tc>
      </w:tr>
      <w:tr w:rsidR="0053152B" w:rsidRPr="00D252D3" w:rsidTr="0017732D">
        <w:trPr>
          <w:gridBefore w:val="1"/>
          <w:wBefore w:w="34" w:type="dxa"/>
          <w:trHeight w:val="1031"/>
        </w:trPr>
        <w:tc>
          <w:tcPr>
            <w:tcW w:w="4644" w:type="dxa"/>
          </w:tcPr>
          <w:p w:rsidR="0053152B" w:rsidRPr="00D252D3" w:rsidRDefault="0053152B">
            <w:pPr>
              <w:tabs>
                <w:tab w:val="left" w:pos="-720"/>
              </w:tabs>
              <w:suppressAutoHyphens/>
              <w:rPr>
                <w:szCs w:val="22"/>
              </w:rPr>
            </w:pPr>
            <w:r w:rsidRPr="00D252D3">
              <w:rPr>
                <w:b/>
                <w:szCs w:val="22"/>
              </w:rPr>
              <w:t>Česká republika</w:t>
            </w:r>
          </w:p>
          <w:p w:rsidR="0053152B" w:rsidRPr="00D252D3" w:rsidRDefault="0053152B">
            <w:pPr>
              <w:tabs>
                <w:tab w:val="left" w:pos="-720"/>
              </w:tabs>
              <w:suppressAutoHyphens/>
              <w:rPr>
                <w:szCs w:val="22"/>
                <w:lang w:eastAsia="ja-JP"/>
              </w:rPr>
            </w:pPr>
            <w:r w:rsidRPr="00D252D3">
              <w:rPr>
                <w:szCs w:val="22"/>
                <w:lang w:eastAsia="ja-JP"/>
              </w:rPr>
              <w:t>Boehringer Ingelheim spol. s r.o.</w:t>
            </w:r>
          </w:p>
          <w:p w:rsidR="0053152B" w:rsidRPr="00D252D3" w:rsidRDefault="0053152B">
            <w:pPr>
              <w:tabs>
                <w:tab w:val="left" w:pos="-720"/>
              </w:tabs>
              <w:suppressAutoHyphens/>
              <w:rPr>
                <w:szCs w:val="22"/>
              </w:rPr>
            </w:pPr>
            <w:r w:rsidRPr="00D252D3">
              <w:rPr>
                <w:szCs w:val="22"/>
                <w:lang w:eastAsia="ja-JP"/>
              </w:rPr>
              <w:t>Tel: +420 234 655 111</w:t>
            </w:r>
          </w:p>
        </w:tc>
        <w:tc>
          <w:tcPr>
            <w:tcW w:w="4678" w:type="dxa"/>
          </w:tcPr>
          <w:p w:rsidR="0053152B" w:rsidRPr="00D252D3" w:rsidRDefault="0053152B">
            <w:pPr>
              <w:spacing w:line="260" w:lineRule="atLeast"/>
              <w:rPr>
                <w:b/>
                <w:szCs w:val="22"/>
              </w:rPr>
            </w:pPr>
            <w:r w:rsidRPr="00D252D3">
              <w:rPr>
                <w:b/>
                <w:szCs w:val="22"/>
              </w:rPr>
              <w:t>Magyarország</w:t>
            </w:r>
          </w:p>
          <w:p w:rsidR="0053152B" w:rsidRPr="00D252D3" w:rsidRDefault="0053152B">
            <w:pPr>
              <w:tabs>
                <w:tab w:val="left" w:pos="-720"/>
              </w:tabs>
              <w:suppressAutoHyphens/>
              <w:rPr>
                <w:szCs w:val="22"/>
                <w:lang w:eastAsia="de-DE"/>
              </w:rPr>
            </w:pPr>
            <w:r w:rsidRPr="00D252D3">
              <w:rPr>
                <w:szCs w:val="22"/>
                <w:lang w:eastAsia="de-DE"/>
              </w:rPr>
              <w:t xml:space="preserve">Boehringer Ingelheim RCV GmbH &amp; Co KG </w:t>
            </w:r>
          </w:p>
          <w:p w:rsidR="0053152B" w:rsidRPr="00D252D3" w:rsidRDefault="0053152B">
            <w:pPr>
              <w:rPr>
                <w:szCs w:val="22"/>
                <w:lang w:eastAsia="de-DE"/>
              </w:rPr>
            </w:pPr>
            <w:r w:rsidRPr="00D252D3">
              <w:rPr>
                <w:szCs w:val="22"/>
                <w:lang w:eastAsia="de-DE"/>
              </w:rPr>
              <w:t>Magyarországi Fióktelepe</w:t>
            </w:r>
          </w:p>
          <w:p w:rsidR="0053152B" w:rsidRPr="00D252D3" w:rsidRDefault="0053152B">
            <w:pPr>
              <w:rPr>
                <w:b/>
                <w:szCs w:val="22"/>
              </w:rPr>
            </w:pPr>
            <w:r w:rsidRPr="00D252D3">
              <w:rPr>
                <w:szCs w:val="22"/>
                <w:lang w:eastAsia="de-DE"/>
              </w:rPr>
              <w:t>Tel.: +36 1 299 8900</w:t>
            </w:r>
          </w:p>
          <w:p w:rsidR="0053152B" w:rsidRPr="00D252D3" w:rsidRDefault="0053152B">
            <w:pPr>
              <w:rPr>
                <w:szCs w:val="22"/>
              </w:rPr>
            </w:pPr>
          </w:p>
        </w:tc>
      </w:tr>
      <w:tr w:rsidR="0053152B" w:rsidRPr="00D252D3" w:rsidTr="0017732D">
        <w:trPr>
          <w:gridBefore w:val="1"/>
          <w:wBefore w:w="34" w:type="dxa"/>
        </w:trPr>
        <w:tc>
          <w:tcPr>
            <w:tcW w:w="4644" w:type="dxa"/>
          </w:tcPr>
          <w:p w:rsidR="0053152B" w:rsidRPr="00D252D3" w:rsidRDefault="0053152B">
            <w:pPr>
              <w:rPr>
                <w:szCs w:val="22"/>
              </w:rPr>
            </w:pPr>
            <w:r w:rsidRPr="00D252D3">
              <w:rPr>
                <w:b/>
                <w:szCs w:val="22"/>
              </w:rPr>
              <w:t>Danmark</w:t>
            </w:r>
          </w:p>
          <w:p w:rsidR="0053152B" w:rsidRPr="00D252D3" w:rsidRDefault="0053152B">
            <w:pPr>
              <w:tabs>
                <w:tab w:val="left" w:pos="-720"/>
              </w:tabs>
              <w:suppressAutoHyphens/>
              <w:rPr>
                <w:szCs w:val="22"/>
                <w:lang w:eastAsia="ja-JP"/>
              </w:rPr>
            </w:pPr>
            <w:r w:rsidRPr="00D252D3">
              <w:rPr>
                <w:szCs w:val="22"/>
                <w:lang w:eastAsia="ja-JP"/>
              </w:rPr>
              <w:t>Boehringer Ingelheim Danmark A/S</w:t>
            </w:r>
          </w:p>
          <w:p w:rsidR="0053152B" w:rsidRPr="00D252D3" w:rsidRDefault="0053152B">
            <w:pPr>
              <w:tabs>
                <w:tab w:val="left" w:pos="-720"/>
              </w:tabs>
              <w:suppressAutoHyphens/>
              <w:rPr>
                <w:szCs w:val="22"/>
              </w:rPr>
            </w:pPr>
            <w:r w:rsidRPr="00D252D3">
              <w:rPr>
                <w:szCs w:val="22"/>
                <w:lang w:eastAsia="ja-JP"/>
              </w:rPr>
              <w:t>Tlf: +45 39 15 88 88</w:t>
            </w:r>
          </w:p>
        </w:tc>
        <w:tc>
          <w:tcPr>
            <w:tcW w:w="4678" w:type="dxa"/>
          </w:tcPr>
          <w:p w:rsidR="0053152B" w:rsidRPr="00D252D3" w:rsidRDefault="0053152B">
            <w:pPr>
              <w:tabs>
                <w:tab w:val="left" w:pos="-720"/>
                <w:tab w:val="left" w:pos="4536"/>
              </w:tabs>
              <w:suppressAutoHyphens/>
              <w:rPr>
                <w:b/>
                <w:szCs w:val="22"/>
              </w:rPr>
            </w:pPr>
            <w:r w:rsidRPr="00D252D3">
              <w:rPr>
                <w:b/>
                <w:szCs w:val="22"/>
              </w:rPr>
              <w:t>Malta</w:t>
            </w:r>
          </w:p>
          <w:p w:rsidR="00A21B39" w:rsidRPr="00D252D3" w:rsidRDefault="00A21B39" w:rsidP="00A21B39">
            <w:pPr>
              <w:rPr>
                <w:szCs w:val="22"/>
                <w:lang w:eastAsia="ja-JP"/>
              </w:rPr>
            </w:pPr>
            <w:r w:rsidRPr="00D252D3">
              <w:rPr>
                <w:szCs w:val="22"/>
                <w:lang w:eastAsia="ja-JP"/>
              </w:rPr>
              <w:t>Boehringer Ingelheim Ireland Ltd.</w:t>
            </w:r>
          </w:p>
          <w:p w:rsidR="0053152B" w:rsidRPr="00D252D3" w:rsidRDefault="00A21B39">
            <w:pPr>
              <w:rPr>
                <w:szCs w:val="22"/>
                <w:lang w:eastAsia="ja-JP"/>
              </w:rPr>
            </w:pPr>
            <w:r w:rsidRPr="00D252D3">
              <w:rPr>
                <w:szCs w:val="22"/>
                <w:lang w:eastAsia="ja-JP"/>
              </w:rPr>
              <w:t>Tel: +353 1 295 9620</w:t>
            </w:r>
          </w:p>
          <w:p w:rsidR="0053152B" w:rsidRPr="00D252D3" w:rsidRDefault="0053152B">
            <w:pPr>
              <w:rPr>
                <w:szCs w:val="22"/>
              </w:rPr>
            </w:pPr>
          </w:p>
        </w:tc>
      </w:tr>
      <w:tr w:rsidR="0053152B" w:rsidRPr="00D252D3" w:rsidTr="0017732D">
        <w:trPr>
          <w:gridBefore w:val="1"/>
          <w:wBefore w:w="34" w:type="dxa"/>
        </w:trPr>
        <w:tc>
          <w:tcPr>
            <w:tcW w:w="4644" w:type="dxa"/>
          </w:tcPr>
          <w:p w:rsidR="0053152B" w:rsidRPr="00D252D3" w:rsidRDefault="0053152B">
            <w:pPr>
              <w:rPr>
                <w:szCs w:val="22"/>
              </w:rPr>
            </w:pPr>
            <w:r w:rsidRPr="00D252D3">
              <w:rPr>
                <w:b/>
                <w:szCs w:val="22"/>
              </w:rPr>
              <w:t>Deutschland</w:t>
            </w:r>
          </w:p>
          <w:p w:rsidR="0053152B" w:rsidRPr="00D252D3" w:rsidRDefault="0053152B">
            <w:pPr>
              <w:tabs>
                <w:tab w:val="left" w:pos="-720"/>
              </w:tabs>
              <w:suppressAutoHyphens/>
              <w:rPr>
                <w:szCs w:val="22"/>
                <w:lang w:eastAsia="ja-JP"/>
              </w:rPr>
            </w:pPr>
            <w:r w:rsidRPr="00D252D3">
              <w:rPr>
                <w:szCs w:val="22"/>
                <w:lang w:eastAsia="ja-JP"/>
              </w:rPr>
              <w:t>Boehringer Ingelheim Pharma GmbH &amp; Co. KG</w:t>
            </w:r>
          </w:p>
          <w:p w:rsidR="0053152B" w:rsidRPr="00D252D3" w:rsidRDefault="0053152B">
            <w:pPr>
              <w:tabs>
                <w:tab w:val="left" w:pos="-720"/>
              </w:tabs>
              <w:suppressAutoHyphens/>
              <w:rPr>
                <w:szCs w:val="22"/>
                <w:lang w:eastAsia="ja-JP"/>
              </w:rPr>
            </w:pPr>
            <w:r w:rsidRPr="00D252D3">
              <w:rPr>
                <w:szCs w:val="22"/>
                <w:lang w:eastAsia="ja-JP"/>
              </w:rPr>
              <w:t>Tel: +49 (0) 800 / 77 90 900</w:t>
            </w:r>
          </w:p>
        </w:tc>
        <w:tc>
          <w:tcPr>
            <w:tcW w:w="4678" w:type="dxa"/>
          </w:tcPr>
          <w:p w:rsidR="0053152B" w:rsidRPr="00D252D3" w:rsidRDefault="0053152B">
            <w:pPr>
              <w:suppressAutoHyphens/>
              <w:rPr>
                <w:szCs w:val="22"/>
              </w:rPr>
            </w:pPr>
            <w:r w:rsidRPr="00D252D3">
              <w:rPr>
                <w:b/>
                <w:szCs w:val="22"/>
              </w:rPr>
              <w:t>Nederland</w:t>
            </w:r>
          </w:p>
          <w:p w:rsidR="0053152B" w:rsidRPr="00D252D3" w:rsidRDefault="0053152B">
            <w:pPr>
              <w:rPr>
                <w:szCs w:val="22"/>
                <w:lang w:eastAsia="ja-JP"/>
              </w:rPr>
            </w:pPr>
            <w:r w:rsidRPr="00D252D3">
              <w:rPr>
                <w:szCs w:val="22"/>
                <w:lang w:eastAsia="ja-JP"/>
              </w:rPr>
              <w:t>Boehringer Ingelheim b.v.</w:t>
            </w:r>
          </w:p>
          <w:p w:rsidR="0053152B" w:rsidRPr="00D252D3" w:rsidRDefault="0053152B">
            <w:pPr>
              <w:rPr>
                <w:szCs w:val="22"/>
                <w:lang w:eastAsia="ja-JP"/>
              </w:rPr>
            </w:pPr>
            <w:r w:rsidRPr="00D252D3">
              <w:rPr>
                <w:szCs w:val="22"/>
                <w:lang w:eastAsia="ja-JP"/>
              </w:rPr>
              <w:t>Tel: +31  (0) 800 22 55 889</w:t>
            </w:r>
          </w:p>
          <w:p w:rsidR="0053152B" w:rsidRPr="00D252D3" w:rsidRDefault="0053152B">
            <w:pPr>
              <w:tabs>
                <w:tab w:val="left" w:pos="-720"/>
              </w:tabs>
              <w:suppressAutoHyphens/>
              <w:rPr>
                <w:szCs w:val="22"/>
              </w:rPr>
            </w:pPr>
          </w:p>
        </w:tc>
      </w:tr>
      <w:tr w:rsidR="0053152B" w:rsidRPr="00D252D3" w:rsidTr="0017732D">
        <w:trPr>
          <w:gridBefore w:val="1"/>
          <w:wBefore w:w="34" w:type="dxa"/>
        </w:trPr>
        <w:tc>
          <w:tcPr>
            <w:tcW w:w="4644" w:type="dxa"/>
          </w:tcPr>
          <w:p w:rsidR="0053152B" w:rsidRPr="00D252D3" w:rsidRDefault="0053152B">
            <w:pPr>
              <w:tabs>
                <w:tab w:val="left" w:pos="-720"/>
              </w:tabs>
              <w:suppressAutoHyphens/>
              <w:rPr>
                <w:b/>
                <w:bCs/>
                <w:szCs w:val="22"/>
              </w:rPr>
            </w:pPr>
            <w:r w:rsidRPr="00D252D3">
              <w:rPr>
                <w:b/>
                <w:bCs/>
                <w:szCs w:val="22"/>
              </w:rPr>
              <w:t>Eesti</w:t>
            </w:r>
          </w:p>
          <w:p w:rsidR="0053152B" w:rsidRPr="00D252D3" w:rsidRDefault="0053152B">
            <w:pPr>
              <w:tabs>
                <w:tab w:val="left" w:pos="-720"/>
              </w:tabs>
              <w:suppressAutoHyphens/>
              <w:rPr>
                <w:szCs w:val="22"/>
                <w:lang w:eastAsia="ja-JP"/>
              </w:rPr>
            </w:pPr>
            <w:r w:rsidRPr="00D252D3">
              <w:rPr>
                <w:szCs w:val="22"/>
                <w:lang w:eastAsia="ja-JP"/>
              </w:rPr>
              <w:t>Boehringer Ingelheim RCV GmbH &amp; Co KG</w:t>
            </w:r>
          </w:p>
          <w:p w:rsidR="0053152B" w:rsidRPr="00D252D3" w:rsidRDefault="0053152B">
            <w:pPr>
              <w:tabs>
                <w:tab w:val="left" w:pos="-720"/>
              </w:tabs>
              <w:suppressAutoHyphens/>
              <w:rPr>
                <w:szCs w:val="22"/>
                <w:lang w:eastAsia="de-DE"/>
              </w:rPr>
            </w:pPr>
            <w:r w:rsidRPr="00D252D3">
              <w:rPr>
                <w:szCs w:val="22"/>
                <w:lang w:eastAsia="de-DE"/>
              </w:rPr>
              <w:t>Eesti Filiaal</w:t>
            </w:r>
          </w:p>
          <w:p w:rsidR="0053152B" w:rsidRPr="00D252D3" w:rsidRDefault="0053152B">
            <w:pPr>
              <w:tabs>
                <w:tab w:val="left" w:pos="-720"/>
              </w:tabs>
              <w:suppressAutoHyphens/>
              <w:rPr>
                <w:szCs w:val="22"/>
                <w:lang w:eastAsia="ja-JP"/>
              </w:rPr>
            </w:pPr>
            <w:r w:rsidRPr="00D252D3">
              <w:rPr>
                <w:szCs w:val="22"/>
                <w:lang w:eastAsia="ja-JP"/>
              </w:rPr>
              <w:t>Tel: +372 612 8000</w:t>
            </w:r>
          </w:p>
          <w:p w:rsidR="0053152B" w:rsidRPr="00D252D3" w:rsidRDefault="0053152B">
            <w:pPr>
              <w:tabs>
                <w:tab w:val="left" w:pos="-720"/>
              </w:tabs>
              <w:suppressAutoHyphens/>
              <w:rPr>
                <w:szCs w:val="22"/>
              </w:rPr>
            </w:pPr>
          </w:p>
        </w:tc>
        <w:tc>
          <w:tcPr>
            <w:tcW w:w="4678" w:type="dxa"/>
          </w:tcPr>
          <w:p w:rsidR="0053152B" w:rsidRPr="00D252D3" w:rsidRDefault="0053152B">
            <w:pPr>
              <w:rPr>
                <w:szCs w:val="22"/>
              </w:rPr>
            </w:pPr>
            <w:r w:rsidRPr="00D252D3">
              <w:rPr>
                <w:b/>
                <w:szCs w:val="22"/>
              </w:rPr>
              <w:t>Norge</w:t>
            </w:r>
          </w:p>
          <w:p w:rsidR="0053152B" w:rsidRPr="00D252D3" w:rsidRDefault="0053152B">
            <w:pPr>
              <w:tabs>
                <w:tab w:val="left" w:pos="-720"/>
              </w:tabs>
              <w:suppressAutoHyphens/>
              <w:rPr>
                <w:szCs w:val="22"/>
                <w:lang w:eastAsia="ja-JP"/>
              </w:rPr>
            </w:pPr>
            <w:r w:rsidRPr="00D252D3">
              <w:rPr>
                <w:szCs w:val="22"/>
                <w:lang w:eastAsia="ja-JP"/>
              </w:rPr>
              <w:t>Boehringer Ingelheim Norway KS</w:t>
            </w:r>
          </w:p>
          <w:p w:rsidR="0053152B" w:rsidRPr="00D252D3" w:rsidRDefault="0053152B">
            <w:pPr>
              <w:tabs>
                <w:tab w:val="left" w:pos="-720"/>
              </w:tabs>
              <w:suppressAutoHyphens/>
              <w:rPr>
                <w:szCs w:val="22"/>
                <w:lang w:eastAsia="ja-JP"/>
              </w:rPr>
            </w:pPr>
            <w:r w:rsidRPr="00D252D3">
              <w:rPr>
                <w:szCs w:val="22"/>
                <w:lang w:eastAsia="ja-JP"/>
              </w:rPr>
              <w:t>Tlf: +47 66 76 13 00</w:t>
            </w:r>
          </w:p>
          <w:p w:rsidR="0053152B" w:rsidRPr="00D252D3" w:rsidRDefault="0053152B">
            <w:pPr>
              <w:rPr>
                <w:szCs w:val="22"/>
              </w:rPr>
            </w:pPr>
          </w:p>
        </w:tc>
      </w:tr>
      <w:tr w:rsidR="0053152B" w:rsidRPr="00D252D3" w:rsidTr="0017732D">
        <w:trPr>
          <w:gridBefore w:val="1"/>
          <w:wBefore w:w="34" w:type="dxa"/>
        </w:trPr>
        <w:tc>
          <w:tcPr>
            <w:tcW w:w="4644" w:type="dxa"/>
          </w:tcPr>
          <w:p w:rsidR="0053152B" w:rsidRPr="00D252D3" w:rsidRDefault="0053152B">
            <w:pPr>
              <w:rPr>
                <w:szCs w:val="22"/>
              </w:rPr>
            </w:pPr>
            <w:r w:rsidRPr="00D252D3">
              <w:rPr>
                <w:b/>
                <w:szCs w:val="22"/>
              </w:rPr>
              <w:t>Ελλάδα</w:t>
            </w:r>
          </w:p>
          <w:p w:rsidR="0053152B" w:rsidRPr="00D252D3" w:rsidRDefault="0053152B">
            <w:pPr>
              <w:tabs>
                <w:tab w:val="left" w:pos="-720"/>
              </w:tabs>
              <w:suppressAutoHyphens/>
              <w:rPr>
                <w:szCs w:val="22"/>
                <w:lang w:eastAsia="ja-JP"/>
              </w:rPr>
            </w:pPr>
            <w:r w:rsidRPr="00D252D3">
              <w:rPr>
                <w:szCs w:val="22"/>
                <w:lang w:eastAsia="ja-JP"/>
              </w:rPr>
              <w:t>Boehringer Ingelheim Ellas A.E.</w:t>
            </w:r>
          </w:p>
          <w:p w:rsidR="0053152B" w:rsidRPr="00D252D3" w:rsidRDefault="0053152B">
            <w:pPr>
              <w:tabs>
                <w:tab w:val="left" w:pos="-720"/>
              </w:tabs>
              <w:suppressAutoHyphens/>
              <w:rPr>
                <w:szCs w:val="22"/>
              </w:rPr>
            </w:pPr>
            <w:r w:rsidRPr="00D252D3">
              <w:rPr>
                <w:szCs w:val="22"/>
                <w:lang w:eastAsia="ja-JP"/>
              </w:rPr>
              <w:t>Tηλ: +30 2 10 89 06 300</w:t>
            </w:r>
          </w:p>
        </w:tc>
        <w:tc>
          <w:tcPr>
            <w:tcW w:w="4678" w:type="dxa"/>
          </w:tcPr>
          <w:p w:rsidR="0053152B" w:rsidRPr="00D252D3" w:rsidRDefault="0053152B">
            <w:pPr>
              <w:rPr>
                <w:szCs w:val="22"/>
              </w:rPr>
            </w:pPr>
            <w:r w:rsidRPr="00D252D3">
              <w:rPr>
                <w:b/>
                <w:bCs/>
                <w:szCs w:val="22"/>
              </w:rPr>
              <w:t>Österreich</w:t>
            </w:r>
          </w:p>
          <w:p w:rsidR="0053152B" w:rsidRPr="00D252D3" w:rsidRDefault="0053152B">
            <w:pPr>
              <w:autoSpaceDE w:val="0"/>
              <w:autoSpaceDN w:val="0"/>
              <w:adjustRightInd w:val="0"/>
              <w:rPr>
                <w:szCs w:val="22"/>
                <w:lang w:eastAsia="de-DE"/>
              </w:rPr>
            </w:pPr>
            <w:r w:rsidRPr="00D252D3">
              <w:rPr>
                <w:szCs w:val="22"/>
                <w:lang w:eastAsia="de-DE"/>
              </w:rPr>
              <w:t>Boehringer Ingelheim RCV GmbH &amp; Co KG</w:t>
            </w:r>
          </w:p>
          <w:p w:rsidR="0053152B" w:rsidRPr="00D252D3" w:rsidRDefault="0053152B">
            <w:pPr>
              <w:tabs>
                <w:tab w:val="left" w:pos="-720"/>
              </w:tabs>
              <w:suppressAutoHyphens/>
              <w:rPr>
                <w:szCs w:val="22"/>
                <w:lang w:eastAsia="ja-JP"/>
              </w:rPr>
            </w:pPr>
            <w:r w:rsidRPr="00D252D3">
              <w:rPr>
                <w:szCs w:val="22"/>
                <w:lang w:eastAsia="de-DE"/>
              </w:rPr>
              <w:t xml:space="preserve">Tel: </w:t>
            </w:r>
            <w:r w:rsidR="0017732D" w:rsidRPr="00D252D3">
              <w:rPr>
                <w:szCs w:val="22"/>
                <w:lang w:eastAsia="de-DE"/>
              </w:rPr>
              <w:t>+43 1 80 105-7870</w:t>
            </w:r>
          </w:p>
          <w:p w:rsidR="0053152B" w:rsidRPr="00D252D3" w:rsidRDefault="0053152B">
            <w:pPr>
              <w:tabs>
                <w:tab w:val="left" w:pos="-720"/>
              </w:tabs>
              <w:suppressAutoHyphens/>
              <w:rPr>
                <w:szCs w:val="22"/>
              </w:rPr>
            </w:pPr>
          </w:p>
        </w:tc>
      </w:tr>
      <w:tr w:rsidR="0053152B" w:rsidRPr="00D252D3" w:rsidTr="0017732D">
        <w:tc>
          <w:tcPr>
            <w:tcW w:w="4678" w:type="dxa"/>
            <w:gridSpan w:val="2"/>
          </w:tcPr>
          <w:p w:rsidR="0053152B" w:rsidRPr="00D252D3" w:rsidRDefault="0053152B">
            <w:pPr>
              <w:tabs>
                <w:tab w:val="left" w:pos="-720"/>
                <w:tab w:val="left" w:pos="4536"/>
              </w:tabs>
              <w:suppressAutoHyphens/>
              <w:rPr>
                <w:b/>
                <w:szCs w:val="22"/>
              </w:rPr>
            </w:pPr>
            <w:r w:rsidRPr="00D252D3">
              <w:rPr>
                <w:b/>
                <w:szCs w:val="22"/>
              </w:rPr>
              <w:t>España</w:t>
            </w:r>
          </w:p>
          <w:p w:rsidR="0053152B" w:rsidRPr="00D252D3" w:rsidRDefault="0053152B">
            <w:pPr>
              <w:tabs>
                <w:tab w:val="left" w:pos="-720"/>
              </w:tabs>
              <w:suppressAutoHyphens/>
              <w:rPr>
                <w:szCs w:val="22"/>
                <w:lang w:eastAsia="ja-JP"/>
              </w:rPr>
            </w:pPr>
            <w:r w:rsidRPr="00D252D3">
              <w:rPr>
                <w:szCs w:val="22"/>
                <w:lang w:eastAsia="ja-JP"/>
              </w:rPr>
              <w:t>Boehringer Ingelheim España, S.A.</w:t>
            </w:r>
          </w:p>
          <w:p w:rsidR="0053152B" w:rsidRPr="00D252D3" w:rsidRDefault="0053152B">
            <w:pPr>
              <w:tabs>
                <w:tab w:val="left" w:pos="-720"/>
              </w:tabs>
              <w:suppressAutoHyphens/>
              <w:rPr>
                <w:szCs w:val="22"/>
              </w:rPr>
            </w:pPr>
            <w:r w:rsidRPr="00D252D3">
              <w:rPr>
                <w:szCs w:val="22"/>
                <w:lang w:eastAsia="ja-JP"/>
              </w:rPr>
              <w:t>Tel: +34 93 404 51 00</w:t>
            </w:r>
          </w:p>
          <w:p w:rsidR="0053152B" w:rsidRPr="00D252D3" w:rsidRDefault="0053152B">
            <w:pPr>
              <w:tabs>
                <w:tab w:val="left" w:pos="-720"/>
              </w:tabs>
              <w:suppressAutoHyphens/>
              <w:rPr>
                <w:szCs w:val="22"/>
              </w:rPr>
            </w:pPr>
          </w:p>
        </w:tc>
        <w:tc>
          <w:tcPr>
            <w:tcW w:w="4678" w:type="dxa"/>
          </w:tcPr>
          <w:p w:rsidR="0053152B" w:rsidRPr="00D252D3" w:rsidRDefault="0053152B">
            <w:pPr>
              <w:tabs>
                <w:tab w:val="left" w:pos="-720"/>
                <w:tab w:val="left" w:pos="4536"/>
              </w:tabs>
              <w:suppressAutoHyphens/>
              <w:rPr>
                <w:b/>
                <w:bCs/>
                <w:i/>
                <w:iCs/>
                <w:szCs w:val="22"/>
              </w:rPr>
            </w:pPr>
            <w:r w:rsidRPr="00D252D3">
              <w:rPr>
                <w:b/>
                <w:szCs w:val="22"/>
              </w:rPr>
              <w:t>Polska</w:t>
            </w:r>
          </w:p>
          <w:p w:rsidR="0053152B" w:rsidRPr="00D252D3" w:rsidRDefault="0053152B">
            <w:pPr>
              <w:tabs>
                <w:tab w:val="left" w:pos="-720"/>
              </w:tabs>
              <w:suppressAutoHyphens/>
              <w:rPr>
                <w:szCs w:val="22"/>
                <w:lang w:eastAsia="ja-JP"/>
              </w:rPr>
            </w:pPr>
            <w:r w:rsidRPr="00D252D3">
              <w:rPr>
                <w:szCs w:val="22"/>
                <w:lang w:eastAsia="ja-JP"/>
              </w:rPr>
              <w:t>Boehringer Ingelheim Sp.zo.o.</w:t>
            </w:r>
          </w:p>
          <w:p w:rsidR="0053152B" w:rsidRPr="00D252D3" w:rsidRDefault="0053152B">
            <w:pPr>
              <w:tabs>
                <w:tab w:val="left" w:pos="-720"/>
              </w:tabs>
              <w:suppressAutoHyphens/>
              <w:rPr>
                <w:szCs w:val="22"/>
                <w:lang w:eastAsia="ja-JP"/>
              </w:rPr>
            </w:pPr>
            <w:r w:rsidRPr="00D252D3">
              <w:rPr>
                <w:szCs w:val="22"/>
                <w:lang w:eastAsia="ja-JP"/>
              </w:rPr>
              <w:t>Tel.: +48 22 699 0 699</w:t>
            </w:r>
          </w:p>
          <w:p w:rsidR="0053152B" w:rsidRPr="00D252D3" w:rsidRDefault="0053152B">
            <w:pPr>
              <w:tabs>
                <w:tab w:val="left" w:pos="-720"/>
              </w:tabs>
              <w:suppressAutoHyphens/>
              <w:rPr>
                <w:szCs w:val="22"/>
              </w:rPr>
            </w:pPr>
          </w:p>
        </w:tc>
      </w:tr>
      <w:tr w:rsidR="0053152B" w:rsidRPr="00D252D3" w:rsidTr="0017732D">
        <w:tc>
          <w:tcPr>
            <w:tcW w:w="4678" w:type="dxa"/>
            <w:gridSpan w:val="2"/>
          </w:tcPr>
          <w:p w:rsidR="0053152B" w:rsidRPr="00D252D3" w:rsidRDefault="0053152B">
            <w:pPr>
              <w:tabs>
                <w:tab w:val="left" w:pos="-720"/>
                <w:tab w:val="left" w:pos="4536"/>
              </w:tabs>
              <w:suppressAutoHyphens/>
              <w:rPr>
                <w:b/>
                <w:szCs w:val="22"/>
              </w:rPr>
            </w:pPr>
            <w:r w:rsidRPr="00D252D3">
              <w:rPr>
                <w:b/>
                <w:szCs w:val="22"/>
              </w:rPr>
              <w:t>France</w:t>
            </w:r>
          </w:p>
          <w:p w:rsidR="0053152B" w:rsidRPr="00D252D3" w:rsidRDefault="0053152B">
            <w:pPr>
              <w:rPr>
                <w:szCs w:val="22"/>
                <w:lang w:eastAsia="ja-JP"/>
              </w:rPr>
            </w:pPr>
            <w:r w:rsidRPr="00D252D3">
              <w:rPr>
                <w:szCs w:val="22"/>
                <w:lang w:eastAsia="ja-JP"/>
              </w:rPr>
              <w:t>Boehringer Ingelheim France S.A.S.</w:t>
            </w:r>
          </w:p>
          <w:p w:rsidR="0053152B" w:rsidRPr="00D252D3" w:rsidRDefault="0053152B">
            <w:pPr>
              <w:rPr>
                <w:b/>
                <w:szCs w:val="22"/>
              </w:rPr>
            </w:pPr>
            <w:r w:rsidRPr="00D252D3">
              <w:rPr>
                <w:szCs w:val="22"/>
                <w:lang w:eastAsia="ja-JP"/>
              </w:rPr>
              <w:t>Tél: +33 3 26 50 45 33</w:t>
            </w:r>
          </w:p>
        </w:tc>
        <w:tc>
          <w:tcPr>
            <w:tcW w:w="4678" w:type="dxa"/>
          </w:tcPr>
          <w:p w:rsidR="0053152B" w:rsidRPr="00D252D3" w:rsidRDefault="0053152B">
            <w:pPr>
              <w:rPr>
                <w:szCs w:val="22"/>
              </w:rPr>
            </w:pPr>
            <w:r w:rsidRPr="00D252D3">
              <w:rPr>
                <w:b/>
                <w:szCs w:val="22"/>
              </w:rPr>
              <w:t>Portugal</w:t>
            </w:r>
          </w:p>
          <w:p w:rsidR="0053152B" w:rsidRPr="00D252D3" w:rsidRDefault="0053152B">
            <w:pPr>
              <w:tabs>
                <w:tab w:val="left" w:pos="-720"/>
              </w:tabs>
              <w:suppressAutoHyphens/>
              <w:rPr>
                <w:szCs w:val="22"/>
                <w:lang w:eastAsia="ja-JP"/>
              </w:rPr>
            </w:pPr>
            <w:r w:rsidRPr="00D252D3">
              <w:rPr>
                <w:szCs w:val="22"/>
                <w:lang w:eastAsia="ja-JP"/>
              </w:rPr>
              <w:t>Boehringer Ingelheim, Unipessoal, Lda.</w:t>
            </w:r>
          </w:p>
          <w:p w:rsidR="0053152B" w:rsidRPr="00D252D3" w:rsidRDefault="0053152B">
            <w:pPr>
              <w:tabs>
                <w:tab w:val="left" w:pos="-720"/>
              </w:tabs>
              <w:suppressAutoHyphens/>
              <w:rPr>
                <w:szCs w:val="22"/>
              </w:rPr>
            </w:pPr>
            <w:r w:rsidRPr="00D252D3">
              <w:rPr>
                <w:szCs w:val="22"/>
                <w:lang w:eastAsia="ja-JP"/>
              </w:rPr>
              <w:t>Tel: +351 21 313 53 00</w:t>
            </w:r>
          </w:p>
          <w:p w:rsidR="0053152B" w:rsidRPr="00D252D3" w:rsidRDefault="0053152B">
            <w:pPr>
              <w:tabs>
                <w:tab w:val="left" w:pos="-720"/>
              </w:tabs>
              <w:suppressAutoHyphens/>
              <w:rPr>
                <w:szCs w:val="22"/>
              </w:rPr>
            </w:pPr>
          </w:p>
        </w:tc>
      </w:tr>
      <w:tr w:rsidR="0053152B" w:rsidRPr="00D252D3" w:rsidTr="0017732D">
        <w:tc>
          <w:tcPr>
            <w:tcW w:w="4678" w:type="dxa"/>
            <w:gridSpan w:val="2"/>
          </w:tcPr>
          <w:p w:rsidR="0053152B" w:rsidRPr="00D252D3" w:rsidRDefault="0053152B">
            <w:pPr>
              <w:pStyle w:val="HeadNoNum1"/>
              <w:rPr>
                <w:noProof w:val="0"/>
                <w:lang w:val="sk-SK"/>
              </w:rPr>
            </w:pPr>
            <w:r w:rsidRPr="00D252D3">
              <w:rPr>
                <w:noProof w:val="0"/>
                <w:lang w:val="sk-SK"/>
              </w:rPr>
              <w:t>Hrvatska</w:t>
            </w:r>
          </w:p>
          <w:p w:rsidR="0053152B" w:rsidRPr="00D252D3" w:rsidRDefault="0053152B">
            <w:pPr>
              <w:pStyle w:val="HeadNoNum1"/>
              <w:rPr>
                <w:b w:val="0"/>
                <w:noProof w:val="0"/>
                <w:lang w:val="sk-SK"/>
              </w:rPr>
            </w:pPr>
            <w:r w:rsidRPr="00D252D3">
              <w:rPr>
                <w:b w:val="0"/>
                <w:noProof w:val="0"/>
                <w:lang w:val="sk-SK"/>
              </w:rPr>
              <w:t>Boehringer Ingelheim Zagreb d.o.o.</w:t>
            </w:r>
          </w:p>
          <w:p w:rsidR="0053152B" w:rsidRPr="00D252D3" w:rsidRDefault="0053152B">
            <w:pPr>
              <w:pStyle w:val="HeadNoNum1"/>
              <w:rPr>
                <w:b w:val="0"/>
                <w:noProof w:val="0"/>
                <w:lang w:val="sk-SK"/>
              </w:rPr>
            </w:pPr>
            <w:r w:rsidRPr="00D252D3">
              <w:rPr>
                <w:b w:val="0"/>
                <w:noProof w:val="0"/>
                <w:lang w:val="sk-SK"/>
              </w:rPr>
              <w:t>Tel: +385 1 2444 600</w:t>
            </w:r>
          </w:p>
          <w:p w:rsidR="0053152B" w:rsidRPr="00D252D3" w:rsidRDefault="0053152B">
            <w:pPr>
              <w:pStyle w:val="HeadNoNum1"/>
              <w:rPr>
                <w:b w:val="0"/>
                <w:noProof w:val="0"/>
                <w:szCs w:val="22"/>
                <w:lang w:val="sk-SK"/>
              </w:rPr>
            </w:pPr>
          </w:p>
        </w:tc>
        <w:tc>
          <w:tcPr>
            <w:tcW w:w="4678" w:type="dxa"/>
          </w:tcPr>
          <w:p w:rsidR="0053152B" w:rsidRPr="00D252D3" w:rsidRDefault="0053152B">
            <w:pPr>
              <w:tabs>
                <w:tab w:val="left" w:pos="-720"/>
                <w:tab w:val="left" w:pos="4536"/>
              </w:tabs>
              <w:suppressAutoHyphens/>
              <w:rPr>
                <w:b/>
                <w:szCs w:val="22"/>
              </w:rPr>
            </w:pPr>
            <w:r w:rsidRPr="00D252D3">
              <w:rPr>
                <w:b/>
                <w:szCs w:val="22"/>
              </w:rPr>
              <w:t>România</w:t>
            </w:r>
          </w:p>
          <w:p w:rsidR="0053152B" w:rsidRPr="00D252D3" w:rsidRDefault="0053152B">
            <w:pPr>
              <w:rPr>
                <w:szCs w:val="22"/>
              </w:rPr>
            </w:pPr>
            <w:r w:rsidRPr="00D252D3">
              <w:rPr>
                <w:szCs w:val="22"/>
              </w:rPr>
              <w:t>Boehringer Ingelheim RCV GmbH &amp; Co KG</w:t>
            </w:r>
          </w:p>
          <w:p w:rsidR="0053152B" w:rsidRPr="00D252D3" w:rsidRDefault="0053152B">
            <w:pPr>
              <w:rPr>
                <w:szCs w:val="22"/>
              </w:rPr>
            </w:pPr>
            <w:r w:rsidRPr="00D252D3">
              <w:rPr>
                <w:szCs w:val="22"/>
              </w:rPr>
              <w:t>Viena - Sucursala Bucuresti</w:t>
            </w:r>
          </w:p>
          <w:p w:rsidR="0053152B" w:rsidRPr="00D252D3" w:rsidRDefault="0053152B">
            <w:pPr>
              <w:rPr>
                <w:szCs w:val="22"/>
              </w:rPr>
            </w:pPr>
            <w:r w:rsidRPr="00D252D3">
              <w:rPr>
                <w:szCs w:val="22"/>
              </w:rPr>
              <w:t>Tel: +40 21 3022800</w:t>
            </w:r>
          </w:p>
          <w:p w:rsidR="0053152B" w:rsidRPr="00D252D3" w:rsidRDefault="0053152B">
            <w:pPr>
              <w:tabs>
                <w:tab w:val="left" w:pos="-720"/>
                <w:tab w:val="left" w:pos="4536"/>
              </w:tabs>
              <w:suppressAutoHyphens/>
              <w:rPr>
                <w:b/>
                <w:szCs w:val="22"/>
              </w:rPr>
            </w:pPr>
          </w:p>
        </w:tc>
      </w:tr>
      <w:tr w:rsidR="0053152B" w:rsidRPr="00D252D3" w:rsidTr="0017732D">
        <w:tc>
          <w:tcPr>
            <w:tcW w:w="4678" w:type="dxa"/>
            <w:gridSpan w:val="2"/>
          </w:tcPr>
          <w:p w:rsidR="0053152B" w:rsidRPr="00D252D3" w:rsidRDefault="0053152B">
            <w:pPr>
              <w:rPr>
                <w:szCs w:val="22"/>
              </w:rPr>
            </w:pPr>
            <w:r w:rsidRPr="00D252D3">
              <w:rPr>
                <w:szCs w:val="22"/>
              </w:rPr>
              <w:br w:type="page"/>
            </w:r>
            <w:r w:rsidRPr="00D252D3">
              <w:rPr>
                <w:b/>
                <w:szCs w:val="22"/>
              </w:rPr>
              <w:t>Ireland</w:t>
            </w:r>
          </w:p>
          <w:p w:rsidR="0053152B" w:rsidRPr="00D252D3" w:rsidRDefault="0053152B">
            <w:pPr>
              <w:tabs>
                <w:tab w:val="left" w:pos="-720"/>
              </w:tabs>
              <w:suppressAutoHyphens/>
              <w:rPr>
                <w:szCs w:val="22"/>
                <w:lang w:eastAsia="ja-JP"/>
              </w:rPr>
            </w:pPr>
            <w:r w:rsidRPr="00D252D3">
              <w:rPr>
                <w:szCs w:val="22"/>
                <w:lang w:eastAsia="ja-JP"/>
              </w:rPr>
              <w:t>Boehringer Ingelheim Ireland Ltd.</w:t>
            </w:r>
          </w:p>
          <w:p w:rsidR="0053152B" w:rsidRPr="00D252D3" w:rsidRDefault="0053152B">
            <w:pPr>
              <w:tabs>
                <w:tab w:val="left" w:pos="-720"/>
              </w:tabs>
              <w:suppressAutoHyphens/>
              <w:rPr>
                <w:szCs w:val="22"/>
              </w:rPr>
            </w:pPr>
            <w:r w:rsidRPr="00D252D3">
              <w:rPr>
                <w:szCs w:val="22"/>
                <w:lang w:eastAsia="ja-JP"/>
              </w:rPr>
              <w:t>Tel: +353 1 295 9620</w:t>
            </w:r>
          </w:p>
        </w:tc>
        <w:tc>
          <w:tcPr>
            <w:tcW w:w="4678" w:type="dxa"/>
          </w:tcPr>
          <w:p w:rsidR="0053152B" w:rsidRPr="00D252D3" w:rsidRDefault="0053152B">
            <w:pPr>
              <w:rPr>
                <w:szCs w:val="22"/>
              </w:rPr>
            </w:pPr>
            <w:r w:rsidRPr="00D252D3">
              <w:rPr>
                <w:b/>
                <w:szCs w:val="22"/>
              </w:rPr>
              <w:t>Slovenija</w:t>
            </w:r>
          </w:p>
          <w:p w:rsidR="0053152B" w:rsidRPr="00D252D3" w:rsidRDefault="0053152B">
            <w:pPr>
              <w:tabs>
                <w:tab w:val="left" w:pos="-720"/>
              </w:tabs>
              <w:suppressAutoHyphens/>
              <w:rPr>
                <w:szCs w:val="22"/>
                <w:lang w:eastAsia="ja-JP"/>
              </w:rPr>
            </w:pPr>
            <w:r w:rsidRPr="00D252D3">
              <w:rPr>
                <w:szCs w:val="22"/>
                <w:lang w:eastAsia="ja-JP"/>
              </w:rPr>
              <w:t>Boehringer Ingelheim RCV GmbH &amp; Co KG</w:t>
            </w:r>
          </w:p>
          <w:p w:rsidR="0053152B" w:rsidRPr="00D252D3" w:rsidRDefault="0053152B">
            <w:pPr>
              <w:tabs>
                <w:tab w:val="left" w:pos="-720"/>
              </w:tabs>
              <w:suppressAutoHyphens/>
              <w:rPr>
                <w:szCs w:val="22"/>
                <w:lang w:eastAsia="ja-JP"/>
              </w:rPr>
            </w:pPr>
            <w:r w:rsidRPr="00D252D3">
              <w:rPr>
                <w:szCs w:val="22"/>
                <w:lang w:eastAsia="ja-JP"/>
              </w:rPr>
              <w:t>Podružnica Ljubljana</w:t>
            </w:r>
          </w:p>
          <w:p w:rsidR="0053152B" w:rsidRPr="00D252D3" w:rsidRDefault="0053152B">
            <w:pPr>
              <w:tabs>
                <w:tab w:val="left" w:pos="-720"/>
              </w:tabs>
              <w:suppressAutoHyphens/>
              <w:rPr>
                <w:szCs w:val="22"/>
                <w:lang w:eastAsia="ja-JP"/>
              </w:rPr>
            </w:pPr>
            <w:r w:rsidRPr="00D252D3">
              <w:rPr>
                <w:szCs w:val="22"/>
                <w:lang w:eastAsia="ja-JP"/>
              </w:rPr>
              <w:t>Tel: +386 1 586 40 00</w:t>
            </w:r>
          </w:p>
          <w:p w:rsidR="0053152B" w:rsidRPr="00D252D3" w:rsidRDefault="0053152B">
            <w:pPr>
              <w:tabs>
                <w:tab w:val="left" w:pos="-720"/>
              </w:tabs>
              <w:suppressAutoHyphens/>
              <w:rPr>
                <w:szCs w:val="22"/>
              </w:rPr>
            </w:pPr>
          </w:p>
        </w:tc>
      </w:tr>
      <w:tr w:rsidR="0053152B" w:rsidRPr="00D252D3" w:rsidTr="0017732D">
        <w:tc>
          <w:tcPr>
            <w:tcW w:w="4678" w:type="dxa"/>
            <w:gridSpan w:val="2"/>
          </w:tcPr>
          <w:p w:rsidR="0053152B" w:rsidRPr="00D252D3" w:rsidRDefault="0053152B">
            <w:pPr>
              <w:keepNext/>
              <w:keepLines/>
              <w:rPr>
                <w:b/>
                <w:szCs w:val="22"/>
              </w:rPr>
            </w:pPr>
            <w:r w:rsidRPr="00D252D3">
              <w:rPr>
                <w:b/>
                <w:szCs w:val="22"/>
              </w:rPr>
              <w:t>Ísland</w:t>
            </w:r>
          </w:p>
          <w:p w:rsidR="0053152B" w:rsidRPr="00D252D3" w:rsidRDefault="0053152B">
            <w:pPr>
              <w:keepNext/>
              <w:keepLines/>
              <w:tabs>
                <w:tab w:val="left" w:pos="-720"/>
              </w:tabs>
              <w:suppressAutoHyphens/>
              <w:rPr>
                <w:szCs w:val="22"/>
                <w:lang w:eastAsia="ja-JP"/>
              </w:rPr>
            </w:pPr>
            <w:r w:rsidRPr="00D252D3">
              <w:rPr>
                <w:szCs w:val="22"/>
                <w:lang w:eastAsia="ja-JP"/>
              </w:rPr>
              <w:t>Vistor hf.</w:t>
            </w:r>
          </w:p>
          <w:p w:rsidR="0053152B" w:rsidRPr="00D252D3" w:rsidRDefault="0053152B">
            <w:pPr>
              <w:keepNext/>
              <w:keepLines/>
              <w:tabs>
                <w:tab w:val="left" w:pos="-720"/>
              </w:tabs>
              <w:suppressAutoHyphens/>
              <w:rPr>
                <w:szCs w:val="22"/>
              </w:rPr>
            </w:pPr>
            <w:r w:rsidRPr="00D252D3">
              <w:rPr>
                <w:szCs w:val="22"/>
              </w:rPr>
              <w:t>Sími/</w:t>
            </w:r>
            <w:r w:rsidRPr="00D252D3">
              <w:rPr>
                <w:szCs w:val="22"/>
                <w:lang w:eastAsia="ja-JP"/>
              </w:rPr>
              <w:t>Tel: +354 535 7000</w:t>
            </w:r>
          </w:p>
          <w:p w:rsidR="0053152B" w:rsidRPr="00D252D3" w:rsidRDefault="0053152B">
            <w:pPr>
              <w:keepNext/>
              <w:keepLines/>
              <w:tabs>
                <w:tab w:val="left" w:pos="-720"/>
              </w:tabs>
              <w:suppressAutoHyphens/>
              <w:rPr>
                <w:szCs w:val="22"/>
              </w:rPr>
            </w:pPr>
          </w:p>
        </w:tc>
        <w:tc>
          <w:tcPr>
            <w:tcW w:w="4678" w:type="dxa"/>
          </w:tcPr>
          <w:p w:rsidR="0053152B" w:rsidRPr="00D252D3" w:rsidRDefault="0053152B">
            <w:pPr>
              <w:keepNext/>
              <w:keepLines/>
              <w:tabs>
                <w:tab w:val="left" w:pos="-720"/>
              </w:tabs>
              <w:suppressAutoHyphens/>
              <w:rPr>
                <w:b/>
                <w:szCs w:val="22"/>
              </w:rPr>
            </w:pPr>
            <w:r w:rsidRPr="00D252D3">
              <w:rPr>
                <w:b/>
                <w:szCs w:val="22"/>
              </w:rPr>
              <w:t>Slovenská republika</w:t>
            </w:r>
          </w:p>
          <w:p w:rsidR="0053152B" w:rsidRPr="00D252D3" w:rsidRDefault="0053152B">
            <w:pPr>
              <w:keepNext/>
              <w:keepLines/>
              <w:tabs>
                <w:tab w:val="left" w:pos="-720"/>
              </w:tabs>
              <w:suppressAutoHyphens/>
              <w:rPr>
                <w:szCs w:val="22"/>
                <w:lang w:eastAsia="ja-JP"/>
              </w:rPr>
            </w:pPr>
            <w:r w:rsidRPr="00D252D3">
              <w:rPr>
                <w:szCs w:val="22"/>
                <w:lang w:eastAsia="ja-JP"/>
              </w:rPr>
              <w:t>Boehringer Ingelheim RCV GmbH &amp; Co KG</w:t>
            </w:r>
          </w:p>
          <w:p w:rsidR="0053152B" w:rsidRPr="00D252D3" w:rsidRDefault="0053152B">
            <w:pPr>
              <w:keepNext/>
              <w:keepLines/>
              <w:tabs>
                <w:tab w:val="left" w:pos="-720"/>
              </w:tabs>
              <w:suppressAutoHyphens/>
              <w:rPr>
                <w:szCs w:val="22"/>
                <w:lang w:eastAsia="de-DE"/>
              </w:rPr>
            </w:pPr>
            <w:r w:rsidRPr="00D252D3">
              <w:rPr>
                <w:szCs w:val="22"/>
                <w:lang w:eastAsia="de-DE"/>
              </w:rPr>
              <w:t>organizačná zložka</w:t>
            </w:r>
          </w:p>
          <w:p w:rsidR="0053152B" w:rsidRPr="00D252D3" w:rsidRDefault="0053152B">
            <w:pPr>
              <w:keepNext/>
              <w:keepLines/>
              <w:tabs>
                <w:tab w:val="left" w:pos="-720"/>
              </w:tabs>
              <w:suppressAutoHyphens/>
              <w:rPr>
                <w:szCs w:val="22"/>
                <w:lang w:eastAsia="de-DE"/>
              </w:rPr>
            </w:pPr>
            <w:r w:rsidRPr="00D252D3">
              <w:rPr>
                <w:szCs w:val="22"/>
                <w:lang w:eastAsia="de-DE"/>
              </w:rPr>
              <w:t>Tel: +421 2 5810 1211</w:t>
            </w:r>
          </w:p>
          <w:p w:rsidR="0053152B" w:rsidRPr="00D252D3" w:rsidRDefault="0053152B">
            <w:pPr>
              <w:keepNext/>
              <w:keepLines/>
              <w:tabs>
                <w:tab w:val="left" w:pos="-720"/>
              </w:tabs>
              <w:suppressAutoHyphens/>
              <w:rPr>
                <w:b/>
                <w:szCs w:val="22"/>
              </w:rPr>
            </w:pPr>
          </w:p>
        </w:tc>
      </w:tr>
      <w:tr w:rsidR="0053152B" w:rsidRPr="00D252D3" w:rsidTr="0017732D">
        <w:tc>
          <w:tcPr>
            <w:tcW w:w="4678" w:type="dxa"/>
            <w:gridSpan w:val="2"/>
          </w:tcPr>
          <w:p w:rsidR="0053152B" w:rsidRPr="00D252D3" w:rsidRDefault="0053152B">
            <w:pPr>
              <w:rPr>
                <w:szCs w:val="22"/>
              </w:rPr>
            </w:pPr>
            <w:r w:rsidRPr="00D252D3">
              <w:rPr>
                <w:b/>
                <w:szCs w:val="22"/>
              </w:rPr>
              <w:t>Italia</w:t>
            </w:r>
          </w:p>
          <w:p w:rsidR="0053152B" w:rsidRPr="00D252D3" w:rsidRDefault="0053152B">
            <w:pPr>
              <w:rPr>
                <w:szCs w:val="22"/>
                <w:lang w:eastAsia="ja-JP"/>
              </w:rPr>
            </w:pPr>
            <w:r w:rsidRPr="00D252D3">
              <w:rPr>
                <w:szCs w:val="22"/>
                <w:lang w:eastAsia="ja-JP"/>
              </w:rPr>
              <w:t>Boehringer Ingelheim Italia S.p.A.</w:t>
            </w:r>
          </w:p>
          <w:p w:rsidR="0053152B" w:rsidRPr="00D252D3" w:rsidRDefault="0053152B">
            <w:pPr>
              <w:rPr>
                <w:b/>
                <w:szCs w:val="22"/>
              </w:rPr>
            </w:pPr>
            <w:r w:rsidRPr="00D252D3">
              <w:rPr>
                <w:szCs w:val="22"/>
                <w:lang w:eastAsia="ja-JP"/>
              </w:rPr>
              <w:t>Tel: +39 02 5355 1</w:t>
            </w:r>
          </w:p>
        </w:tc>
        <w:tc>
          <w:tcPr>
            <w:tcW w:w="4678" w:type="dxa"/>
          </w:tcPr>
          <w:p w:rsidR="0053152B" w:rsidRPr="00D252D3" w:rsidRDefault="0053152B">
            <w:pPr>
              <w:tabs>
                <w:tab w:val="left" w:pos="-720"/>
                <w:tab w:val="left" w:pos="4536"/>
              </w:tabs>
              <w:suppressAutoHyphens/>
              <w:rPr>
                <w:szCs w:val="22"/>
              </w:rPr>
            </w:pPr>
            <w:r w:rsidRPr="00D252D3">
              <w:rPr>
                <w:b/>
                <w:szCs w:val="22"/>
              </w:rPr>
              <w:t>Suomi/Finland</w:t>
            </w:r>
          </w:p>
          <w:p w:rsidR="0053152B" w:rsidRPr="00D252D3" w:rsidRDefault="0053152B">
            <w:pPr>
              <w:tabs>
                <w:tab w:val="left" w:pos="-720"/>
              </w:tabs>
              <w:suppressAutoHyphens/>
              <w:rPr>
                <w:szCs w:val="22"/>
                <w:lang w:eastAsia="ja-JP"/>
              </w:rPr>
            </w:pPr>
            <w:r w:rsidRPr="00D252D3">
              <w:rPr>
                <w:szCs w:val="22"/>
                <w:lang w:eastAsia="ja-JP"/>
              </w:rPr>
              <w:t>Boehringer Ingelheim Finland Ky</w:t>
            </w:r>
          </w:p>
          <w:p w:rsidR="0053152B" w:rsidRPr="00D252D3" w:rsidRDefault="0053152B">
            <w:pPr>
              <w:tabs>
                <w:tab w:val="left" w:pos="-720"/>
              </w:tabs>
              <w:suppressAutoHyphens/>
              <w:jc w:val="both"/>
              <w:rPr>
                <w:szCs w:val="22"/>
              </w:rPr>
            </w:pPr>
            <w:r w:rsidRPr="00D252D3">
              <w:rPr>
                <w:szCs w:val="22"/>
                <w:lang w:eastAsia="ja-JP"/>
              </w:rPr>
              <w:t>Puh/Tel: +358 10 3102 800</w:t>
            </w:r>
          </w:p>
          <w:p w:rsidR="0053152B" w:rsidRPr="00D252D3" w:rsidRDefault="0053152B">
            <w:pPr>
              <w:tabs>
                <w:tab w:val="left" w:pos="-720"/>
              </w:tabs>
              <w:suppressAutoHyphens/>
              <w:rPr>
                <w:szCs w:val="22"/>
              </w:rPr>
            </w:pPr>
          </w:p>
        </w:tc>
      </w:tr>
      <w:tr w:rsidR="0053152B" w:rsidRPr="00D252D3" w:rsidTr="0017732D">
        <w:tc>
          <w:tcPr>
            <w:tcW w:w="4678" w:type="dxa"/>
            <w:gridSpan w:val="2"/>
          </w:tcPr>
          <w:p w:rsidR="0053152B" w:rsidRPr="00D252D3" w:rsidRDefault="0053152B">
            <w:pPr>
              <w:keepNext/>
              <w:keepLines/>
              <w:rPr>
                <w:b/>
                <w:szCs w:val="22"/>
              </w:rPr>
            </w:pPr>
            <w:r w:rsidRPr="00D252D3">
              <w:rPr>
                <w:b/>
                <w:szCs w:val="22"/>
              </w:rPr>
              <w:t>Κύπρος</w:t>
            </w:r>
          </w:p>
          <w:p w:rsidR="0053152B" w:rsidRPr="00D252D3" w:rsidRDefault="0053152B">
            <w:pPr>
              <w:keepNext/>
              <w:keepLines/>
              <w:rPr>
                <w:szCs w:val="22"/>
                <w:lang w:eastAsia="ja-JP"/>
              </w:rPr>
            </w:pPr>
            <w:r w:rsidRPr="00D252D3">
              <w:rPr>
                <w:szCs w:val="22"/>
                <w:lang w:eastAsia="ja-JP"/>
              </w:rPr>
              <w:t>Boehringer Ingelheim Ellas A.E.</w:t>
            </w:r>
          </w:p>
          <w:p w:rsidR="0053152B" w:rsidRPr="00D252D3" w:rsidRDefault="0053152B">
            <w:pPr>
              <w:keepNext/>
              <w:keepLines/>
              <w:rPr>
                <w:b/>
                <w:szCs w:val="22"/>
              </w:rPr>
            </w:pPr>
            <w:r w:rsidRPr="00D252D3">
              <w:rPr>
                <w:szCs w:val="22"/>
                <w:lang w:eastAsia="ja-JP"/>
              </w:rPr>
              <w:t>Tηλ: +30 2 10 89 06 300</w:t>
            </w:r>
          </w:p>
        </w:tc>
        <w:tc>
          <w:tcPr>
            <w:tcW w:w="4678" w:type="dxa"/>
          </w:tcPr>
          <w:p w:rsidR="0053152B" w:rsidRPr="00D252D3" w:rsidRDefault="0053152B">
            <w:pPr>
              <w:keepNext/>
              <w:keepLines/>
              <w:tabs>
                <w:tab w:val="left" w:pos="-720"/>
                <w:tab w:val="left" w:pos="4536"/>
              </w:tabs>
              <w:suppressAutoHyphens/>
              <w:rPr>
                <w:b/>
                <w:szCs w:val="22"/>
              </w:rPr>
            </w:pPr>
            <w:r w:rsidRPr="00D252D3">
              <w:rPr>
                <w:b/>
                <w:szCs w:val="22"/>
              </w:rPr>
              <w:t>Sverige</w:t>
            </w:r>
          </w:p>
          <w:p w:rsidR="0053152B" w:rsidRPr="00D252D3" w:rsidRDefault="0053152B">
            <w:pPr>
              <w:keepNext/>
              <w:keepLines/>
              <w:tabs>
                <w:tab w:val="left" w:pos="-720"/>
                <w:tab w:val="left" w:pos="4536"/>
              </w:tabs>
              <w:suppressAutoHyphens/>
              <w:rPr>
                <w:szCs w:val="22"/>
                <w:lang w:eastAsia="ja-JP"/>
              </w:rPr>
            </w:pPr>
            <w:r w:rsidRPr="00D252D3">
              <w:rPr>
                <w:szCs w:val="22"/>
                <w:lang w:eastAsia="ja-JP"/>
              </w:rPr>
              <w:t>Boehringer Ingelheim AB</w:t>
            </w:r>
          </w:p>
          <w:p w:rsidR="0053152B" w:rsidRPr="00D252D3" w:rsidRDefault="0053152B">
            <w:pPr>
              <w:keepNext/>
              <w:keepLines/>
              <w:tabs>
                <w:tab w:val="left" w:pos="-720"/>
                <w:tab w:val="left" w:pos="4536"/>
              </w:tabs>
              <w:suppressAutoHyphens/>
              <w:rPr>
                <w:szCs w:val="22"/>
                <w:lang w:eastAsia="ja-JP"/>
              </w:rPr>
            </w:pPr>
            <w:r w:rsidRPr="00D252D3">
              <w:rPr>
                <w:szCs w:val="22"/>
                <w:lang w:eastAsia="ja-JP"/>
              </w:rPr>
              <w:t>Tel: +46 8 721 21 00</w:t>
            </w:r>
          </w:p>
          <w:p w:rsidR="0053152B" w:rsidRPr="00D252D3" w:rsidRDefault="0053152B">
            <w:pPr>
              <w:keepNext/>
              <w:keepLines/>
              <w:tabs>
                <w:tab w:val="left" w:pos="-720"/>
                <w:tab w:val="left" w:pos="4536"/>
              </w:tabs>
              <w:suppressAutoHyphens/>
              <w:rPr>
                <w:b/>
                <w:szCs w:val="22"/>
              </w:rPr>
            </w:pPr>
          </w:p>
        </w:tc>
      </w:tr>
      <w:tr w:rsidR="0053152B" w:rsidRPr="00D252D3" w:rsidTr="0017732D">
        <w:tc>
          <w:tcPr>
            <w:tcW w:w="4678" w:type="dxa"/>
            <w:gridSpan w:val="2"/>
          </w:tcPr>
          <w:p w:rsidR="0053152B" w:rsidRPr="00D252D3" w:rsidRDefault="0053152B">
            <w:pPr>
              <w:rPr>
                <w:b/>
                <w:szCs w:val="22"/>
              </w:rPr>
            </w:pPr>
            <w:r w:rsidRPr="00D252D3">
              <w:rPr>
                <w:b/>
                <w:szCs w:val="22"/>
              </w:rPr>
              <w:t>Latvija</w:t>
            </w:r>
          </w:p>
          <w:p w:rsidR="0053152B" w:rsidRPr="00D252D3" w:rsidRDefault="0053152B">
            <w:pPr>
              <w:tabs>
                <w:tab w:val="left" w:pos="-720"/>
              </w:tabs>
              <w:suppressAutoHyphens/>
              <w:rPr>
                <w:szCs w:val="22"/>
              </w:rPr>
            </w:pPr>
            <w:r w:rsidRPr="00D252D3">
              <w:rPr>
                <w:szCs w:val="22"/>
                <w:lang w:eastAsia="ja-JP"/>
              </w:rPr>
              <w:t xml:space="preserve">Boehringer Ingelheim </w:t>
            </w:r>
            <w:r w:rsidRPr="00D252D3">
              <w:rPr>
                <w:szCs w:val="22"/>
              </w:rPr>
              <w:t>RCV GmbH &amp; Co KG</w:t>
            </w:r>
          </w:p>
          <w:p w:rsidR="0053152B" w:rsidRPr="00D252D3" w:rsidRDefault="0053152B">
            <w:pPr>
              <w:tabs>
                <w:tab w:val="left" w:pos="-720"/>
              </w:tabs>
              <w:suppressAutoHyphens/>
              <w:rPr>
                <w:szCs w:val="22"/>
                <w:lang w:eastAsia="ja-JP"/>
              </w:rPr>
            </w:pPr>
            <w:r w:rsidRPr="00D252D3">
              <w:rPr>
                <w:szCs w:val="22"/>
              </w:rPr>
              <w:t xml:space="preserve">Latvijas filiāle </w:t>
            </w:r>
          </w:p>
          <w:p w:rsidR="0053152B" w:rsidRPr="00D252D3" w:rsidRDefault="0053152B">
            <w:pPr>
              <w:tabs>
                <w:tab w:val="left" w:pos="-720"/>
              </w:tabs>
              <w:suppressAutoHyphens/>
              <w:rPr>
                <w:szCs w:val="22"/>
              </w:rPr>
            </w:pPr>
            <w:r w:rsidRPr="00D252D3">
              <w:rPr>
                <w:szCs w:val="22"/>
                <w:lang w:eastAsia="ja-JP"/>
              </w:rPr>
              <w:t>Tel: +371 67 240 011</w:t>
            </w:r>
          </w:p>
          <w:p w:rsidR="0053152B" w:rsidRPr="00D252D3" w:rsidRDefault="0053152B">
            <w:pPr>
              <w:tabs>
                <w:tab w:val="left" w:pos="-720"/>
              </w:tabs>
              <w:suppressAutoHyphens/>
              <w:rPr>
                <w:szCs w:val="22"/>
              </w:rPr>
            </w:pPr>
          </w:p>
        </w:tc>
        <w:tc>
          <w:tcPr>
            <w:tcW w:w="4678" w:type="dxa"/>
          </w:tcPr>
          <w:p w:rsidR="0053152B" w:rsidRPr="00D252D3" w:rsidRDefault="0053152B">
            <w:pPr>
              <w:tabs>
                <w:tab w:val="left" w:pos="-720"/>
                <w:tab w:val="left" w:pos="4536"/>
              </w:tabs>
              <w:suppressAutoHyphens/>
              <w:rPr>
                <w:b/>
                <w:szCs w:val="22"/>
              </w:rPr>
            </w:pPr>
            <w:r w:rsidRPr="00D252D3">
              <w:rPr>
                <w:b/>
                <w:szCs w:val="22"/>
              </w:rPr>
              <w:t>United Kingdom</w:t>
            </w:r>
          </w:p>
          <w:p w:rsidR="0053152B" w:rsidRPr="00D252D3" w:rsidRDefault="0053152B">
            <w:pPr>
              <w:rPr>
                <w:szCs w:val="22"/>
                <w:lang w:eastAsia="ja-JP"/>
              </w:rPr>
            </w:pPr>
            <w:r w:rsidRPr="00D252D3">
              <w:rPr>
                <w:szCs w:val="22"/>
                <w:lang w:eastAsia="ja-JP"/>
              </w:rPr>
              <w:t>Boehringer Ingelheim Ltd.</w:t>
            </w:r>
          </w:p>
          <w:p w:rsidR="0053152B" w:rsidRPr="00D252D3" w:rsidRDefault="0053152B">
            <w:pPr>
              <w:rPr>
                <w:szCs w:val="22"/>
              </w:rPr>
            </w:pPr>
            <w:r w:rsidRPr="00D252D3">
              <w:rPr>
                <w:szCs w:val="22"/>
                <w:lang w:eastAsia="ja-JP"/>
              </w:rPr>
              <w:t>Tel: +44 1344 424 600</w:t>
            </w:r>
          </w:p>
        </w:tc>
      </w:tr>
    </w:tbl>
    <w:p w:rsidR="0053152B" w:rsidRPr="00D252D3" w:rsidRDefault="0053152B">
      <w:pPr>
        <w:numPr>
          <w:ilvl w:val="12"/>
          <w:numId w:val="0"/>
        </w:numPr>
        <w:ind w:right="-2"/>
        <w:rPr>
          <w:b/>
        </w:rPr>
      </w:pPr>
    </w:p>
    <w:p w:rsidR="0053152B" w:rsidRPr="00D252D3" w:rsidRDefault="0053152B">
      <w:pPr>
        <w:numPr>
          <w:ilvl w:val="12"/>
          <w:numId w:val="0"/>
        </w:numPr>
        <w:ind w:right="-2"/>
      </w:pPr>
      <w:r w:rsidRPr="00D252D3">
        <w:rPr>
          <w:b/>
        </w:rPr>
        <w:t>Táto písomná informácia bola naposledy aktualizovaná v</w:t>
      </w:r>
    </w:p>
    <w:p w:rsidR="0053152B" w:rsidRPr="00D252D3" w:rsidRDefault="0053152B">
      <w:pPr>
        <w:ind w:left="0" w:right="-449" w:firstLine="0"/>
      </w:pPr>
    </w:p>
    <w:p w:rsidR="0053152B" w:rsidRPr="00D252D3" w:rsidRDefault="0053152B">
      <w:pPr>
        <w:tabs>
          <w:tab w:val="left" w:pos="567"/>
        </w:tabs>
        <w:jc w:val="both"/>
        <w:rPr>
          <w:szCs w:val="22"/>
        </w:rPr>
      </w:pPr>
      <w:r w:rsidRPr="00D252D3">
        <w:rPr>
          <w:b/>
        </w:rPr>
        <w:t>Ďalšie zdroje informácií</w:t>
      </w:r>
    </w:p>
    <w:p w:rsidR="0053152B" w:rsidRPr="00D252D3" w:rsidRDefault="0053152B" w:rsidP="000D7A2C">
      <w:pPr>
        <w:ind w:left="0" w:firstLine="0"/>
        <w:jc w:val="both"/>
        <w:rPr>
          <w:b/>
        </w:rPr>
      </w:pPr>
      <w:r w:rsidRPr="00D252D3">
        <w:rPr>
          <w:szCs w:val="22"/>
        </w:rPr>
        <w:t xml:space="preserve">Podrobné informácie o tomto lieku sú dostupné na internetovej stránke Európskej agentúry pre lieky </w:t>
      </w:r>
      <w:hyperlink r:id="rId18" w:history="1">
        <w:r w:rsidRPr="00D252D3">
          <w:rPr>
            <w:rStyle w:val="Hyperlink"/>
            <w:szCs w:val="22"/>
          </w:rPr>
          <w:t>http://www.</w:t>
        </w:r>
        <w:r w:rsidRPr="00D252D3">
          <w:rPr>
            <w:rStyle w:val="Hyperlink"/>
            <w:szCs w:val="22"/>
          </w:rPr>
          <w:t>e</w:t>
        </w:r>
        <w:r w:rsidRPr="00D252D3">
          <w:rPr>
            <w:rStyle w:val="Hyperlink"/>
            <w:szCs w:val="22"/>
          </w:rPr>
          <w:t>m</w:t>
        </w:r>
        <w:r w:rsidRPr="00D252D3">
          <w:rPr>
            <w:rStyle w:val="Hyperlink"/>
            <w:szCs w:val="22"/>
          </w:rPr>
          <w:t>a</w:t>
        </w:r>
        <w:r w:rsidRPr="00D252D3">
          <w:rPr>
            <w:rStyle w:val="Hyperlink"/>
            <w:szCs w:val="22"/>
          </w:rPr>
          <w:t>.europa.eu</w:t>
        </w:r>
      </w:hyperlink>
      <w:r w:rsidRPr="00D252D3">
        <w:rPr>
          <w:szCs w:val="22"/>
        </w:rPr>
        <w:t>.</w:t>
      </w:r>
    </w:p>
    <w:p w:rsidR="0053152B" w:rsidRPr="00D252D3" w:rsidRDefault="0053152B">
      <w:pPr>
        <w:jc w:val="center"/>
        <w:rPr>
          <w:b/>
        </w:rPr>
      </w:pPr>
      <w:r w:rsidRPr="00D252D3">
        <w:br w:type="page"/>
      </w:r>
      <w:r w:rsidRPr="00D252D3">
        <w:rPr>
          <w:b/>
        </w:rPr>
        <w:t>Písomná informácia pre používateľa</w:t>
      </w:r>
    </w:p>
    <w:p w:rsidR="0053152B" w:rsidRPr="00D252D3" w:rsidRDefault="0053152B">
      <w:pPr>
        <w:jc w:val="center"/>
      </w:pPr>
    </w:p>
    <w:p w:rsidR="0053152B" w:rsidRPr="00D252D3" w:rsidRDefault="0053152B">
      <w:pPr>
        <w:ind w:left="0" w:firstLine="0"/>
        <w:jc w:val="center"/>
        <w:rPr>
          <w:b/>
        </w:rPr>
      </w:pPr>
      <w:r w:rsidRPr="00D252D3">
        <w:rPr>
          <w:b/>
        </w:rPr>
        <w:t>MicardisPlus 80 mg/25 mg tablety</w:t>
      </w:r>
    </w:p>
    <w:p w:rsidR="0053152B" w:rsidRPr="00D252D3" w:rsidRDefault="0053152B">
      <w:pPr>
        <w:jc w:val="center"/>
      </w:pPr>
      <w:r w:rsidRPr="00D252D3">
        <w:t>telmisartan/hydrochlorotiazid</w:t>
      </w:r>
    </w:p>
    <w:p w:rsidR="0053152B" w:rsidRPr="00D252D3" w:rsidRDefault="0053152B"/>
    <w:p w:rsidR="0053152B" w:rsidRPr="00D252D3" w:rsidRDefault="0053152B">
      <w:pPr>
        <w:ind w:left="0" w:right="-2"/>
      </w:pPr>
    </w:p>
    <w:p w:rsidR="0053152B" w:rsidRPr="00D252D3" w:rsidRDefault="0053152B">
      <w:pPr>
        <w:rPr>
          <w:b/>
        </w:rPr>
      </w:pPr>
      <w:r w:rsidRPr="00D252D3">
        <w:rPr>
          <w:b/>
        </w:rPr>
        <w:t>Pozorne si prečítajte celú písomnú informáciu predtým, ako začnete užívať tento liek, pretože obsahuje pre vás dôležité informácie.</w:t>
      </w:r>
    </w:p>
    <w:p w:rsidR="0053152B" w:rsidRPr="00D252D3" w:rsidRDefault="0053152B">
      <w:pPr>
        <w:tabs>
          <w:tab w:val="left" w:pos="567"/>
        </w:tabs>
        <w:ind w:left="0" w:firstLine="0"/>
      </w:pPr>
      <w:r w:rsidRPr="00D252D3">
        <w:t>-</w:t>
      </w:r>
      <w:r w:rsidRPr="00D252D3">
        <w:tab/>
        <w:t>Túto písomnú informáciu si uschovajte. Možno bude potrebné, aby ste si ju znovu prečítali.</w:t>
      </w:r>
    </w:p>
    <w:p w:rsidR="0053152B" w:rsidRPr="00D252D3" w:rsidRDefault="0053152B">
      <w:pPr>
        <w:tabs>
          <w:tab w:val="left" w:pos="567"/>
        </w:tabs>
        <w:ind w:left="0" w:firstLine="0"/>
      </w:pPr>
      <w:r w:rsidRPr="00D252D3">
        <w:t>-</w:t>
      </w:r>
      <w:r w:rsidRPr="00D252D3">
        <w:tab/>
        <w:t>Ak máte akékoľvek ďalšie otázky, obráťte sa na svojho lekára alebo lekárnika.</w:t>
      </w:r>
    </w:p>
    <w:p w:rsidR="0053152B" w:rsidRPr="00D252D3" w:rsidRDefault="0053152B">
      <w:r w:rsidRPr="00D252D3">
        <w:t>-</w:t>
      </w:r>
      <w:r w:rsidRPr="00D252D3">
        <w:tab/>
        <w:t>Tento liek bol predpísaný iba vám. Nedávajte ho nikomu inému. Môže mu uškodiť, dokonca aj vtedy, ak má rovnaké prejavy ochorenia ako vy.</w:t>
      </w:r>
    </w:p>
    <w:p w:rsidR="0053152B" w:rsidRPr="00D252D3" w:rsidRDefault="0053152B">
      <w:r w:rsidRPr="00D252D3">
        <w:t>-</w:t>
      </w:r>
      <w:r w:rsidRPr="00D252D3">
        <w:tab/>
        <w:t>Ak sa u vás vyskytne akýkoľvek vedľajší účinok, obráťte sa na svojho lekára alebo lekárnika. To sa týka aj akýchkoľvek vedľajších účinkov, ktoré nie sú uvedené v tejto písomnej informácii. Pozri časť 4.</w:t>
      </w:r>
    </w:p>
    <w:p w:rsidR="0053152B" w:rsidRPr="00D252D3" w:rsidRDefault="0053152B">
      <w:pPr>
        <w:numPr>
          <w:ilvl w:val="12"/>
          <w:numId w:val="0"/>
        </w:numPr>
        <w:ind w:right="-2"/>
      </w:pPr>
    </w:p>
    <w:p w:rsidR="0053152B" w:rsidRPr="00D252D3" w:rsidRDefault="0053152B">
      <w:pPr>
        <w:numPr>
          <w:ilvl w:val="12"/>
          <w:numId w:val="0"/>
        </w:numPr>
      </w:pPr>
      <w:r w:rsidRPr="00D252D3">
        <w:rPr>
          <w:b/>
        </w:rPr>
        <w:t>V tejto písomnej informácii sa dozviete</w:t>
      </w:r>
      <w:r w:rsidRPr="00D252D3">
        <w:t>:</w:t>
      </w:r>
    </w:p>
    <w:p w:rsidR="0053152B" w:rsidRPr="00D252D3" w:rsidRDefault="0053152B" w:rsidP="00F15ADA">
      <w:pPr>
        <w:numPr>
          <w:ilvl w:val="0"/>
          <w:numId w:val="20"/>
        </w:numPr>
        <w:tabs>
          <w:tab w:val="clear" w:pos="1080"/>
          <w:tab w:val="num" w:pos="567"/>
        </w:tabs>
        <w:ind w:hanging="1080"/>
        <w:jc w:val="both"/>
      </w:pPr>
      <w:r w:rsidRPr="00D252D3">
        <w:t>Čo je MicardisPlus a na čo sa používa</w:t>
      </w:r>
    </w:p>
    <w:p w:rsidR="0053152B" w:rsidRPr="00D252D3" w:rsidRDefault="0053152B" w:rsidP="00F15ADA">
      <w:pPr>
        <w:numPr>
          <w:ilvl w:val="0"/>
          <w:numId w:val="20"/>
        </w:numPr>
        <w:tabs>
          <w:tab w:val="clear" w:pos="1080"/>
          <w:tab w:val="num" w:pos="567"/>
        </w:tabs>
        <w:ind w:hanging="1080"/>
        <w:jc w:val="both"/>
      </w:pPr>
      <w:r w:rsidRPr="00D252D3">
        <w:t>Čo potrebujete vedieť predtým, ako užijete MicardisPlus</w:t>
      </w:r>
    </w:p>
    <w:p w:rsidR="0053152B" w:rsidRPr="00D252D3" w:rsidRDefault="0053152B" w:rsidP="00F15ADA">
      <w:pPr>
        <w:numPr>
          <w:ilvl w:val="0"/>
          <w:numId w:val="20"/>
        </w:numPr>
        <w:tabs>
          <w:tab w:val="clear" w:pos="1080"/>
          <w:tab w:val="num" w:pos="567"/>
        </w:tabs>
        <w:ind w:hanging="1080"/>
        <w:jc w:val="both"/>
      </w:pPr>
      <w:r w:rsidRPr="00D252D3">
        <w:t>Ako užívať MicardisPlus</w:t>
      </w:r>
    </w:p>
    <w:p w:rsidR="0053152B" w:rsidRPr="00D252D3" w:rsidRDefault="0053152B" w:rsidP="00F15ADA">
      <w:pPr>
        <w:numPr>
          <w:ilvl w:val="0"/>
          <w:numId w:val="20"/>
        </w:numPr>
        <w:tabs>
          <w:tab w:val="clear" w:pos="1080"/>
          <w:tab w:val="num" w:pos="567"/>
        </w:tabs>
        <w:ind w:hanging="1080"/>
        <w:jc w:val="both"/>
      </w:pPr>
      <w:r w:rsidRPr="00D252D3">
        <w:t>Možné vedľajšie účinky</w:t>
      </w:r>
    </w:p>
    <w:p w:rsidR="0053152B" w:rsidRPr="00D252D3" w:rsidRDefault="0053152B" w:rsidP="00F15ADA">
      <w:pPr>
        <w:numPr>
          <w:ilvl w:val="0"/>
          <w:numId w:val="20"/>
        </w:numPr>
        <w:tabs>
          <w:tab w:val="clear" w:pos="1080"/>
          <w:tab w:val="num" w:pos="567"/>
        </w:tabs>
        <w:ind w:hanging="1080"/>
        <w:jc w:val="both"/>
      </w:pPr>
      <w:r w:rsidRPr="00D252D3">
        <w:t>Ako uchovávať MicardisPlus</w:t>
      </w:r>
    </w:p>
    <w:p w:rsidR="0053152B" w:rsidRPr="00D252D3" w:rsidRDefault="0053152B" w:rsidP="00F15ADA">
      <w:pPr>
        <w:numPr>
          <w:ilvl w:val="0"/>
          <w:numId w:val="20"/>
        </w:numPr>
        <w:tabs>
          <w:tab w:val="clear" w:pos="1080"/>
          <w:tab w:val="num" w:pos="567"/>
        </w:tabs>
        <w:ind w:hanging="1080"/>
        <w:jc w:val="both"/>
      </w:pPr>
      <w:r w:rsidRPr="00D252D3">
        <w:t>Obsah balenia a ďalšie informácie</w:t>
      </w:r>
    </w:p>
    <w:p w:rsidR="0053152B" w:rsidRPr="00D252D3" w:rsidRDefault="0053152B">
      <w:pPr>
        <w:ind w:left="0" w:right="-2"/>
      </w:pPr>
    </w:p>
    <w:p w:rsidR="0053152B" w:rsidRPr="00D252D3" w:rsidRDefault="0053152B">
      <w:pPr>
        <w:numPr>
          <w:ilvl w:val="12"/>
          <w:numId w:val="0"/>
        </w:numPr>
        <w:ind w:right="-2"/>
      </w:pPr>
    </w:p>
    <w:p w:rsidR="0053152B" w:rsidRPr="00D252D3" w:rsidRDefault="0053152B">
      <w:pPr>
        <w:numPr>
          <w:ilvl w:val="12"/>
          <w:numId w:val="0"/>
        </w:numPr>
        <w:ind w:left="567" w:right="-2" w:hanging="567"/>
      </w:pPr>
      <w:r w:rsidRPr="00D252D3">
        <w:rPr>
          <w:b/>
        </w:rPr>
        <w:t>1.</w:t>
      </w:r>
      <w:r w:rsidRPr="00D252D3">
        <w:rPr>
          <w:b/>
        </w:rPr>
        <w:tab/>
        <w:t>Čo je MicardisPlus a na čo sa používa</w:t>
      </w:r>
    </w:p>
    <w:p w:rsidR="0053152B" w:rsidRPr="00D252D3" w:rsidRDefault="0053152B">
      <w:pPr>
        <w:numPr>
          <w:ilvl w:val="12"/>
          <w:numId w:val="0"/>
        </w:numPr>
        <w:ind w:right="-2"/>
      </w:pPr>
    </w:p>
    <w:p w:rsidR="0053152B" w:rsidRPr="00D252D3" w:rsidRDefault="0053152B">
      <w:pPr>
        <w:ind w:left="0" w:firstLine="0"/>
        <w:rPr>
          <w:snapToGrid w:val="0"/>
          <w:lang w:eastAsia="cs-CZ"/>
        </w:rPr>
      </w:pPr>
      <w:r w:rsidRPr="00D252D3">
        <w:rPr>
          <w:snapToGrid w:val="0"/>
          <w:lang w:eastAsia="cs-CZ"/>
        </w:rPr>
        <w:t>MicardisPlus je kombinácia dvoch liečiv telmisartanu a hydrochlorotiazidu v jednej tablete. Obe tieto liečivá pomáhajú kontrolovať vysoký krvný tlak.</w:t>
      </w:r>
    </w:p>
    <w:p w:rsidR="0053152B" w:rsidRPr="00D252D3" w:rsidRDefault="0053152B">
      <w:pPr>
        <w:ind w:left="0" w:firstLine="0"/>
        <w:rPr>
          <w:snapToGrid w:val="0"/>
          <w:lang w:eastAsia="cs-CZ"/>
        </w:rPr>
      </w:pPr>
    </w:p>
    <w:p w:rsidR="0053152B" w:rsidRPr="00D252D3" w:rsidRDefault="0053152B">
      <w:pPr>
        <w:numPr>
          <w:ilvl w:val="0"/>
          <w:numId w:val="12"/>
        </w:numPr>
        <w:ind w:hanging="720"/>
        <w:rPr>
          <w:snapToGrid w:val="0"/>
          <w:lang w:eastAsia="cs-CZ"/>
        </w:rPr>
      </w:pPr>
      <w:r w:rsidRPr="00D252D3">
        <w:rPr>
          <w:snapToGrid w:val="0"/>
          <w:lang w:eastAsia="cs-CZ"/>
        </w:rPr>
        <w:t>Telmisartan patrí do skupiny liekov nazývaných antagonisty receptora angiotenzínu II. Angiotenzín II je látka, ktorá sa vytvára vo vašom tele a zapríčiňuje zúženie vašich krvných ciev, preto sa tlak krvi zvyšuje. Telmisartan blokuje účinok angiotenzínu II, takže cievy sa uvoľnia a tlak krvi je nižší.</w:t>
      </w:r>
    </w:p>
    <w:p w:rsidR="0053152B" w:rsidRPr="00D252D3" w:rsidRDefault="0053152B">
      <w:pPr>
        <w:ind w:left="0" w:firstLine="0"/>
        <w:rPr>
          <w:snapToGrid w:val="0"/>
          <w:lang w:eastAsia="cs-CZ"/>
        </w:rPr>
      </w:pPr>
    </w:p>
    <w:p w:rsidR="0053152B" w:rsidRPr="00D252D3" w:rsidRDefault="0053152B">
      <w:pPr>
        <w:numPr>
          <w:ilvl w:val="0"/>
          <w:numId w:val="12"/>
        </w:numPr>
        <w:ind w:hanging="720"/>
      </w:pPr>
      <w:r w:rsidRPr="00D252D3">
        <w:rPr>
          <w:snapToGrid w:val="0"/>
          <w:lang w:eastAsia="cs-CZ"/>
        </w:rPr>
        <w:t>Hydrochlorotiazid patrí do skupiny liekov nazývaných tiazidové diuretiká spôsobujúce, že sa vám zvyšuje vylučovanie moču, čo vedie k zníženiu vášho krvného tlaku.</w:t>
      </w:r>
    </w:p>
    <w:p w:rsidR="0053152B" w:rsidRPr="00D252D3" w:rsidRDefault="0053152B">
      <w:pPr>
        <w:ind w:left="0" w:firstLine="0"/>
        <w:jc w:val="both"/>
      </w:pPr>
    </w:p>
    <w:p w:rsidR="0053152B" w:rsidRPr="00D252D3" w:rsidRDefault="0053152B">
      <w:pPr>
        <w:ind w:left="0" w:firstLine="0"/>
        <w:rPr>
          <w:snapToGrid w:val="0"/>
          <w:lang w:eastAsia="cs-CZ"/>
        </w:rPr>
      </w:pPr>
      <w:r w:rsidRPr="00D252D3">
        <w:rPr>
          <w:snapToGrid w:val="0"/>
          <w:lang w:eastAsia="cs-CZ"/>
        </w:rPr>
        <w:t>Vysoký krvný tlak, ak sa nelieči, môže poškodiť krvné cievy vo viacerých orgánoch, čo môže niekedy viesť k infarktu srdca, zlyhaniu srdca alebo obličiek, mozgovej príhode alebo slepote. Pred výskytom poškodenia zvyčajne nie sú žiadne príznaky vysokého krvného tlaku. Preto je dôležité pravidelné meranie krvného tlaku na zistenie, či je v normálnom rozsahu.</w:t>
      </w:r>
    </w:p>
    <w:p w:rsidR="0053152B" w:rsidRPr="00D252D3" w:rsidRDefault="0053152B">
      <w:pPr>
        <w:ind w:left="0" w:firstLine="0"/>
        <w:rPr>
          <w:snapToGrid w:val="0"/>
          <w:lang w:eastAsia="cs-CZ"/>
        </w:rPr>
      </w:pPr>
    </w:p>
    <w:p w:rsidR="0053152B" w:rsidRPr="00D252D3" w:rsidRDefault="0053152B">
      <w:pPr>
        <w:numPr>
          <w:ilvl w:val="12"/>
          <w:numId w:val="0"/>
        </w:numPr>
        <w:ind w:right="-2"/>
      </w:pPr>
      <w:r w:rsidRPr="00D252D3">
        <w:rPr>
          <w:b/>
        </w:rPr>
        <w:t>MicardisPlus sa používa na</w:t>
      </w:r>
      <w:r w:rsidRPr="00D252D3">
        <w:t> liečbu vysokého krvného tlaku (esenciálna hypertenzia) u dospelých, ktorých vysoký krvný tlak nie je dostatočne kontrolovaný MicardisPlusom 80/12,5 alebo u pacientov predtým stabilizovaných podaním telmisartanu a hydrochlorotiazidu, každého samostatne.</w:t>
      </w:r>
    </w:p>
    <w:p w:rsidR="0053152B" w:rsidRPr="00D252D3" w:rsidRDefault="0053152B">
      <w:pPr>
        <w:numPr>
          <w:ilvl w:val="12"/>
          <w:numId w:val="0"/>
        </w:numPr>
        <w:ind w:right="-2"/>
      </w:pPr>
    </w:p>
    <w:p w:rsidR="0053152B" w:rsidRPr="00D252D3" w:rsidRDefault="0053152B">
      <w:pPr>
        <w:numPr>
          <w:ilvl w:val="12"/>
          <w:numId w:val="0"/>
        </w:numPr>
        <w:ind w:right="-2"/>
      </w:pPr>
    </w:p>
    <w:p w:rsidR="0053152B" w:rsidRPr="00D252D3" w:rsidRDefault="0053152B" w:rsidP="00AB164B">
      <w:pPr>
        <w:keepNext/>
        <w:numPr>
          <w:ilvl w:val="12"/>
          <w:numId w:val="0"/>
        </w:numPr>
        <w:ind w:left="567" w:right="-2" w:hanging="567"/>
      </w:pPr>
      <w:r w:rsidRPr="00D252D3">
        <w:rPr>
          <w:b/>
        </w:rPr>
        <w:t>2.</w:t>
      </w:r>
      <w:r w:rsidRPr="00D252D3">
        <w:rPr>
          <w:b/>
        </w:rPr>
        <w:tab/>
        <w:t>Čo potrebujete vedieť predtým, ako užijete MicardisPlus</w:t>
      </w:r>
    </w:p>
    <w:p w:rsidR="0053152B" w:rsidRPr="00D252D3" w:rsidRDefault="0053152B" w:rsidP="00AB164B">
      <w:pPr>
        <w:keepNext/>
        <w:numPr>
          <w:ilvl w:val="12"/>
          <w:numId w:val="0"/>
        </w:numPr>
        <w:ind w:right="-2"/>
      </w:pPr>
    </w:p>
    <w:p w:rsidR="0053152B" w:rsidRPr="00D252D3" w:rsidRDefault="0053152B" w:rsidP="00AB164B">
      <w:pPr>
        <w:keepNext/>
        <w:rPr>
          <w:b/>
          <w:snapToGrid w:val="0"/>
        </w:rPr>
      </w:pPr>
      <w:r w:rsidRPr="00D252D3">
        <w:rPr>
          <w:b/>
          <w:snapToGrid w:val="0"/>
        </w:rPr>
        <w:t>Neužívajte MicardisPlus</w:t>
      </w:r>
    </w:p>
    <w:p w:rsidR="0053152B" w:rsidRPr="00D252D3" w:rsidRDefault="0053152B" w:rsidP="00AB164B">
      <w:pPr>
        <w:keepNext/>
        <w:rPr>
          <w:b/>
          <w:snapToGrid w:val="0"/>
        </w:rPr>
      </w:pPr>
    </w:p>
    <w:p w:rsidR="0053152B" w:rsidRPr="00D252D3" w:rsidRDefault="0053152B">
      <w:pPr>
        <w:numPr>
          <w:ilvl w:val="0"/>
          <w:numId w:val="7"/>
        </w:numPr>
        <w:tabs>
          <w:tab w:val="clear" w:pos="720"/>
          <w:tab w:val="num" w:pos="567"/>
        </w:tabs>
        <w:ind w:left="540" w:hanging="540"/>
        <w:rPr>
          <w:snapToGrid w:val="0"/>
          <w:lang w:eastAsia="cs-CZ"/>
        </w:rPr>
      </w:pPr>
      <w:r w:rsidRPr="00D252D3">
        <w:rPr>
          <w:snapToGrid w:val="0"/>
          <w:lang w:eastAsia="cs-CZ"/>
        </w:rPr>
        <w:t>ak ste alergický na telmisartan alebo na ktorúkoľvek z ďalších zložiek tohto lieku (uvedených v časti 6).</w:t>
      </w:r>
    </w:p>
    <w:p w:rsidR="0053152B" w:rsidRPr="00D252D3" w:rsidRDefault="0053152B">
      <w:pPr>
        <w:numPr>
          <w:ilvl w:val="0"/>
          <w:numId w:val="7"/>
        </w:numPr>
        <w:tabs>
          <w:tab w:val="clear" w:pos="720"/>
          <w:tab w:val="num" w:pos="567"/>
        </w:tabs>
        <w:ind w:left="709" w:hanging="709"/>
        <w:rPr>
          <w:snapToGrid w:val="0"/>
          <w:lang w:eastAsia="cs-CZ"/>
        </w:rPr>
      </w:pPr>
      <w:r w:rsidRPr="00D252D3">
        <w:rPr>
          <w:snapToGrid w:val="0"/>
          <w:lang w:eastAsia="cs-CZ"/>
        </w:rPr>
        <w:t>keď ste alergický na hydrochlorotiazid alebo na niektorý z ďalších derivátov sulfonamidu.</w:t>
      </w:r>
    </w:p>
    <w:p w:rsidR="0053152B" w:rsidRPr="00D252D3" w:rsidRDefault="0053152B">
      <w:pPr>
        <w:numPr>
          <w:ilvl w:val="0"/>
          <w:numId w:val="7"/>
        </w:numPr>
        <w:tabs>
          <w:tab w:val="clear" w:pos="720"/>
          <w:tab w:val="num" w:pos="567"/>
        </w:tabs>
        <w:ind w:left="567" w:hanging="567"/>
      </w:pPr>
      <w:r w:rsidRPr="00D252D3">
        <w:rPr>
          <w:szCs w:val="22"/>
        </w:rPr>
        <w:t xml:space="preserve">keď ste tehotná dlhšie ako 3 mesiace (Vhodnejšie je vyhnúť sa užívaniu MicardisPlusu vo včasnom štádiu tehotenstva </w:t>
      </w:r>
      <w:r w:rsidRPr="00D252D3">
        <w:rPr>
          <w:snapToGrid w:val="0"/>
          <w:lang w:eastAsia="cs-CZ"/>
        </w:rPr>
        <w:t xml:space="preserve">– </w:t>
      </w:r>
      <w:r w:rsidRPr="00D252D3">
        <w:rPr>
          <w:szCs w:val="22"/>
        </w:rPr>
        <w:t>pozri časť Tehotenstvo a dojčenie).</w:t>
      </w:r>
    </w:p>
    <w:p w:rsidR="0053152B" w:rsidRPr="00D252D3" w:rsidRDefault="0053152B">
      <w:pPr>
        <w:numPr>
          <w:ilvl w:val="0"/>
          <w:numId w:val="7"/>
        </w:numPr>
        <w:tabs>
          <w:tab w:val="clear" w:pos="720"/>
          <w:tab w:val="num" w:pos="567"/>
        </w:tabs>
        <w:ind w:left="567" w:hanging="567"/>
        <w:rPr>
          <w:snapToGrid w:val="0"/>
          <w:lang w:eastAsia="cs-CZ"/>
        </w:rPr>
      </w:pPr>
      <w:r w:rsidRPr="00D252D3">
        <w:rPr>
          <w:snapToGrid w:val="0"/>
          <w:lang w:eastAsia="cs-CZ"/>
        </w:rPr>
        <w:t>keď máte závažné problémy pečene ako poruchu odtoku žlče alebo žlčovú obštrukciu (problémy s odtokom žlče z pečene a zo žlčníka), alebo akékoľvek ďalšie ťažké ochorenie pečene.</w:t>
      </w:r>
    </w:p>
    <w:p w:rsidR="0053152B" w:rsidRPr="00D252D3" w:rsidRDefault="0053152B">
      <w:pPr>
        <w:numPr>
          <w:ilvl w:val="0"/>
          <w:numId w:val="7"/>
        </w:numPr>
        <w:tabs>
          <w:tab w:val="clear" w:pos="720"/>
          <w:tab w:val="num" w:pos="567"/>
        </w:tabs>
        <w:ind w:left="540" w:hanging="540"/>
        <w:rPr>
          <w:snapToGrid w:val="0"/>
          <w:lang w:eastAsia="cs-CZ"/>
        </w:rPr>
      </w:pPr>
      <w:r w:rsidRPr="00D252D3">
        <w:rPr>
          <w:snapToGrid w:val="0"/>
          <w:lang w:eastAsia="cs-CZ"/>
        </w:rPr>
        <w:t>keď máte závažné ochorenie obličiek.</w:t>
      </w:r>
    </w:p>
    <w:p w:rsidR="0053152B" w:rsidRPr="00D252D3" w:rsidRDefault="0053152B">
      <w:pPr>
        <w:numPr>
          <w:ilvl w:val="0"/>
          <w:numId w:val="7"/>
        </w:numPr>
        <w:tabs>
          <w:tab w:val="clear" w:pos="720"/>
          <w:tab w:val="num" w:pos="567"/>
        </w:tabs>
        <w:ind w:left="567" w:hanging="567"/>
        <w:rPr>
          <w:snapToGrid w:val="0"/>
          <w:lang w:eastAsia="cs-CZ"/>
        </w:rPr>
      </w:pPr>
      <w:r w:rsidRPr="00D252D3">
        <w:rPr>
          <w:snapToGrid w:val="0"/>
          <w:lang w:eastAsia="cs-CZ"/>
        </w:rPr>
        <w:t>keď váš lekár určí, že máte nízku hladinu draslíka alebo vysokú hladinu vápnika v krvi, ktoré sa liečbou nezlepšujú.</w:t>
      </w:r>
    </w:p>
    <w:p w:rsidR="0053152B" w:rsidRPr="00D252D3" w:rsidRDefault="0053152B">
      <w:pPr>
        <w:numPr>
          <w:ilvl w:val="0"/>
          <w:numId w:val="7"/>
        </w:numPr>
        <w:tabs>
          <w:tab w:val="clear" w:pos="720"/>
          <w:tab w:val="num" w:pos="567"/>
        </w:tabs>
        <w:ind w:left="567" w:hanging="567"/>
        <w:rPr>
          <w:szCs w:val="22"/>
        </w:rPr>
      </w:pPr>
      <w:r w:rsidRPr="00D252D3">
        <w:rPr>
          <w:szCs w:val="22"/>
        </w:rPr>
        <w:t>ak máte cukrovku alebo poruchu funkcie obličiek a užívate liek na zníženie krvného tlaku obsahujúci aliskiren.</w:t>
      </w:r>
    </w:p>
    <w:p w:rsidR="0053152B" w:rsidRPr="00D252D3" w:rsidRDefault="0053152B">
      <w:pPr>
        <w:ind w:left="0" w:firstLine="0"/>
        <w:rPr>
          <w:snapToGrid w:val="0"/>
          <w:lang w:eastAsia="cs-CZ"/>
        </w:rPr>
      </w:pPr>
    </w:p>
    <w:p w:rsidR="0053152B" w:rsidRPr="00D252D3" w:rsidRDefault="0053152B">
      <w:pPr>
        <w:ind w:left="0" w:firstLine="0"/>
        <w:rPr>
          <w:snapToGrid w:val="0"/>
          <w:lang w:eastAsia="cs-CZ"/>
        </w:rPr>
      </w:pPr>
      <w:r w:rsidRPr="00D252D3">
        <w:rPr>
          <w:snapToGrid w:val="0"/>
          <w:lang w:eastAsia="cs-CZ"/>
        </w:rPr>
        <w:t>Ak sa vás týka niečo z vyššie uvedeného, skôr ako začnete užívaťMicardisPlus, povedzte to svojmu lekárovi alebo lekárnikovi.</w:t>
      </w:r>
    </w:p>
    <w:p w:rsidR="0053152B" w:rsidRPr="00D252D3" w:rsidRDefault="0053152B">
      <w:pPr>
        <w:ind w:left="0" w:firstLine="0"/>
        <w:rPr>
          <w:snapToGrid w:val="0"/>
          <w:lang w:eastAsia="cs-CZ"/>
        </w:rPr>
      </w:pPr>
    </w:p>
    <w:p w:rsidR="0053152B" w:rsidRPr="00D252D3" w:rsidRDefault="0053152B">
      <w:pPr>
        <w:ind w:left="0" w:firstLine="0"/>
        <w:rPr>
          <w:snapToGrid w:val="0"/>
          <w:lang w:eastAsia="cs-CZ"/>
        </w:rPr>
      </w:pPr>
      <w:r w:rsidRPr="00D252D3">
        <w:rPr>
          <w:b/>
          <w:snapToGrid w:val="0"/>
          <w:lang w:eastAsia="cs-CZ"/>
        </w:rPr>
        <w:t>Upozornenia a opatrenia</w:t>
      </w:r>
      <w:r w:rsidRPr="00D252D3">
        <w:rPr>
          <w:snapToGrid w:val="0"/>
          <w:lang w:eastAsia="cs-CZ"/>
        </w:rPr>
        <w:t xml:space="preserve"> </w:t>
      </w:r>
    </w:p>
    <w:p w:rsidR="0053152B" w:rsidRPr="00D252D3" w:rsidRDefault="0053152B">
      <w:pPr>
        <w:ind w:left="0" w:firstLine="0"/>
        <w:rPr>
          <w:snapToGrid w:val="0"/>
          <w:lang w:eastAsia="cs-CZ"/>
        </w:rPr>
      </w:pPr>
      <w:r w:rsidRPr="00D252D3">
        <w:rPr>
          <w:snapToGrid w:val="0"/>
          <w:lang w:eastAsia="cs-CZ"/>
        </w:rPr>
        <w:t>Predtým, ako začnete užívať MicardisPlus, obráťte sa na svojho lekára, ak trpíte alebo sa niekedy u vás vyskytol niektorý z nasledujúcich stavov alebo ochorení:</w:t>
      </w:r>
    </w:p>
    <w:p w:rsidR="0053152B" w:rsidRPr="00D252D3" w:rsidRDefault="0053152B">
      <w:pPr>
        <w:ind w:left="0" w:firstLine="0"/>
        <w:rPr>
          <w:snapToGrid w:val="0"/>
          <w:lang w:eastAsia="cs-CZ"/>
        </w:rPr>
      </w:pPr>
    </w:p>
    <w:p w:rsidR="0053152B" w:rsidRPr="00D252D3" w:rsidRDefault="0053152B">
      <w:pPr>
        <w:numPr>
          <w:ilvl w:val="0"/>
          <w:numId w:val="12"/>
        </w:numPr>
        <w:ind w:hanging="720"/>
        <w:rPr>
          <w:snapToGrid w:val="0"/>
          <w:lang w:eastAsia="cs-CZ"/>
        </w:rPr>
      </w:pPr>
      <w:r w:rsidRPr="00D252D3">
        <w:rPr>
          <w:snapToGrid w:val="0"/>
          <w:lang w:eastAsia="cs-CZ"/>
        </w:rPr>
        <w:t>nízky krvný tlak (hypotenzia), pravdepodobne sa vyskytne, ak ste dehydrovaný (nadmerná strata vody z tela) alebo keď máte nedostatok soli následkom diuretickej liečby (’tablety na odvodnenie’), diéty s nízkym obsahom soli, hnačky, vracaním alebo ste na hemodialýze.</w:t>
      </w:r>
    </w:p>
    <w:p w:rsidR="0053152B" w:rsidRPr="00D252D3" w:rsidRDefault="0053152B">
      <w:pPr>
        <w:numPr>
          <w:ilvl w:val="0"/>
          <w:numId w:val="12"/>
        </w:numPr>
        <w:ind w:hanging="720"/>
        <w:rPr>
          <w:snapToGrid w:val="0"/>
          <w:lang w:eastAsia="cs-CZ"/>
        </w:rPr>
      </w:pPr>
      <w:r w:rsidRPr="00D252D3">
        <w:rPr>
          <w:snapToGrid w:val="0"/>
          <w:lang w:eastAsia="cs-CZ"/>
        </w:rPr>
        <w:t>ochorenie obličiek alebo ste po transplantácii obličky.</w:t>
      </w:r>
    </w:p>
    <w:p w:rsidR="0053152B" w:rsidRPr="00D252D3" w:rsidRDefault="0053152B">
      <w:pPr>
        <w:numPr>
          <w:ilvl w:val="0"/>
          <w:numId w:val="12"/>
        </w:numPr>
        <w:ind w:hanging="720"/>
        <w:rPr>
          <w:snapToGrid w:val="0"/>
          <w:lang w:eastAsia="cs-CZ"/>
        </w:rPr>
      </w:pPr>
      <w:r w:rsidRPr="00D252D3">
        <w:rPr>
          <w:snapToGrid w:val="0"/>
          <w:lang w:eastAsia="cs-CZ"/>
        </w:rPr>
        <w:t>obličková arteriálna stenóza (zúžením krvných ciev jednej alebo oboch obličiek).</w:t>
      </w:r>
    </w:p>
    <w:p w:rsidR="0053152B" w:rsidRPr="00D252D3" w:rsidRDefault="0053152B">
      <w:pPr>
        <w:numPr>
          <w:ilvl w:val="0"/>
          <w:numId w:val="12"/>
        </w:numPr>
        <w:ind w:hanging="720"/>
        <w:rPr>
          <w:snapToGrid w:val="0"/>
          <w:lang w:eastAsia="cs-CZ"/>
        </w:rPr>
      </w:pPr>
      <w:r w:rsidRPr="00D252D3">
        <w:rPr>
          <w:snapToGrid w:val="0"/>
          <w:lang w:eastAsia="cs-CZ"/>
        </w:rPr>
        <w:t>ochorenie pečene.</w:t>
      </w:r>
    </w:p>
    <w:p w:rsidR="0053152B" w:rsidRPr="00D252D3" w:rsidRDefault="0053152B">
      <w:pPr>
        <w:numPr>
          <w:ilvl w:val="0"/>
          <w:numId w:val="12"/>
        </w:numPr>
        <w:ind w:hanging="720"/>
        <w:rPr>
          <w:snapToGrid w:val="0"/>
          <w:lang w:eastAsia="cs-CZ"/>
        </w:rPr>
      </w:pPr>
      <w:r w:rsidRPr="00D252D3">
        <w:rPr>
          <w:snapToGrid w:val="0"/>
          <w:lang w:eastAsia="cs-CZ"/>
        </w:rPr>
        <w:t>problémy so srdcom.</w:t>
      </w:r>
    </w:p>
    <w:p w:rsidR="0053152B" w:rsidRPr="00D252D3" w:rsidRDefault="0053152B">
      <w:pPr>
        <w:numPr>
          <w:ilvl w:val="0"/>
          <w:numId w:val="12"/>
        </w:numPr>
        <w:ind w:hanging="720"/>
        <w:rPr>
          <w:snapToGrid w:val="0"/>
          <w:lang w:eastAsia="cs-CZ"/>
        </w:rPr>
      </w:pPr>
      <w:r w:rsidRPr="00D252D3">
        <w:rPr>
          <w:snapToGrid w:val="0"/>
          <w:lang w:eastAsia="cs-CZ"/>
        </w:rPr>
        <w:t>cukrovka.</w:t>
      </w:r>
    </w:p>
    <w:p w:rsidR="0053152B" w:rsidRPr="00D252D3" w:rsidRDefault="0053152B">
      <w:pPr>
        <w:numPr>
          <w:ilvl w:val="0"/>
          <w:numId w:val="12"/>
        </w:numPr>
        <w:ind w:hanging="720"/>
        <w:rPr>
          <w:snapToGrid w:val="0"/>
          <w:lang w:eastAsia="cs-CZ"/>
        </w:rPr>
      </w:pPr>
      <w:r w:rsidRPr="00D252D3">
        <w:rPr>
          <w:snapToGrid w:val="0"/>
          <w:lang w:eastAsia="cs-CZ"/>
        </w:rPr>
        <w:t>dna.</w:t>
      </w:r>
    </w:p>
    <w:p w:rsidR="0053152B" w:rsidRPr="00D252D3" w:rsidRDefault="0053152B">
      <w:pPr>
        <w:numPr>
          <w:ilvl w:val="0"/>
          <w:numId w:val="12"/>
        </w:numPr>
        <w:ind w:hanging="720"/>
        <w:rPr>
          <w:snapToGrid w:val="0"/>
          <w:lang w:eastAsia="cs-CZ"/>
        </w:rPr>
      </w:pPr>
      <w:r w:rsidRPr="00D252D3">
        <w:rPr>
          <w:snapToGrid w:val="0"/>
          <w:lang w:eastAsia="cs-CZ"/>
        </w:rPr>
        <w:t>zvýšená hladina aldosterónu (zadržiavanie vody a solí v tele popri nerovnováhe rôznych krvných minerálov).</w:t>
      </w:r>
    </w:p>
    <w:p w:rsidR="0053152B" w:rsidRPr="00D252D3" w:rsidRDefault="0053152B">
      <w:pPr>
        <w:numPr>
          <w:ilvl w:val="0"/>
          <w:numId w:val="12"/>
        </w:numPr>
        <w:ind w:hanging="720"/>
        <w:rPr>
          <w:snapToGrid w:val="0"/>
          <w:lang w:eastAsia="cs-CZ"/>
        </w:rPr>
      </w:pPr>
      <w:r w:rsidRPr="00D252D3">
        <w:rPr>
          <w:snapToGrid w:val="0"/>
          <w:lang w:eastAsia="cs-CZ"/>
        </w:rPr>
        <w:t>ochorenie systémový lupus erythematosus (nazývaný tiež „lupus“ alebo „</w:t>
      </w:r>
      <w:smartTag w:uri="urn:schemas-microsoft-com:office:smarttags" w:element="stockticker">
        <w:r w:rsidRPr="00D252D3">
          <w:rPr>
            <w:snapToGrid w:val="0"/>
            <w:lang w:eastAsia="cs-CZ"/>
          </w:rPr>
          <w:t>SLE</w:t>
        </w:r>
      </w:smartTag>
      <w:r w:rsidRPr="00D252D3">
        <w:rPr>
          <w:snapToGrid w:val="0"/>
          <w:lang w:eastAsia="cs-CZ"/>
        </w:rPr>
        <w:t>“) – choroba, kde imunitný systém napadá telo.</w:t>
      </w:r>
    </w:p>
    <w:p w:rsidR="00660A35" w:rsidRPr="00D252D3" w:rsidRDefault="0053152B" w:rsidP="00660A35">
      <w:pPr>
        <w:numPr>
          <w:ilvl w:val="0"/>
          <w:numId w:val="12"/>
        </w:numPr>
        <w:ind w:hanging="720"/>
        <w:rPr>
          <w:rFonts w:eastAsia="MS Mincho"/>
          <w:szCs w:val="22"/>
          <w:lang w:eastAsia="ja-JP"/>
        </w:rPr>
      </w:pPr>
      <w:r w:rsidRPr="00D252D3">
        <w:rPr>
          <w:szCs w:val="22"/>
        </w:rPr>
        <w:t>liečivo hydrochlorotiazid môže spôsobiť neobvyklé reakcie, ktorých následkom je zhoršené videnie a bolesť oka. Toto môžu byť príznaky</w:t>
      </w:r>
      <w:r w:rsidR="002A5973" w:rsidRPr="00D252D3">
        <w:rPr>
          <w:szCs w:val="22"/>
        </w:rPr>
        <w:t xml:space="preserve"> nahromadenia tekutiny vo vrstve oka obsahujúcej cievy (choroidálna efúzia) alebo</w:t>
      </w:r>
      <w:r w:rsidRPr="00D252D3">
        <w:rPr>
          <w:szCs w:val="22"/>
        </w:rPr>
        <w:t xml:space="preserve"> zvýšeného tlaku v oku a môžu sa objaviť v priebehu niekoľkých hodín alebo týždňov užívania MicardisPlusu. Ak sa neliečia, môžu viesť k trvalému poškodeniu zraku.</w:t>
      </w:r>
    </w:p>
    <w:p w:rsidR="0053152B" w:rsidRPr="00D252D3" w:rsidRDefault="0017732D" w:rsidP="00660A35">
      <w:pPr>
        <w:numPr>
          <w:ilvl w:val="0"/>
          <w:numId w:val="12"/>
        </w:numPr>
        <w:ind w:hanging="720"/>
        <w:rPr>
          <w:rFonts w:eastAsia="MS Mincho"/>
          <w:szCs w:val="22"/>
          <w:lang w:eastAsia="ja-JP"/>
        </w:rPr>
      </w:pPr>
      <w:r w:rsidRPr="00D252D3">
        <w:t xml:space="preserve">ak </w:t>
      </w:r>
      <w:r w:rsidR="00660A35" w:rsidRPr="00D252D3">
        <w:t>ste mali rakovinu kože alebo sa u vás počas liečby objavil neočakávaný nález na koži. Liečba hydrochlorotiazidom, najmä dlhodobé používanie vysokých dávok, môže zvýšiť riziko vzniku niektorých druhov rakoviny kože a rakoviny pier (nemelanómová rakovina kože). Počas užívania MicardisPlusu si chráňte kožu pred slnečným žiarením a UV lúčmi.</w:t>
      </w:r>
    </w:p>
    <w:p w:rsidR="0053152B" w:rsidRPr="00D252D3" w:rsidRDefault="0053152B">
      <w:pPr>
        <w:ind w:left="0" w:firstLine="0"/>
        <w:rPr>
          <w:snapToGrid w:val="0"/>
          <w:lang w:eastAsia="cs-CZ"/>
        </w:rPr>
      </w:pPr>
    </w:p>
    <w:p w:rsidR="0053152B" w:rsidRPr="00D252D3" w:rsidRDefault="0053152B">
      <w:pPr>
        <w:numPr>
          <w:ilvl w:val="12"/>
          <w:numId w:val="0"/>
        </w:numPr>
      </w:pPr>
      <w:r w:rsidRPr="00D252D3">
        <w:rPr>
          <w:snapToGrid w:val="0"/>
          <w:lang w:eastAsia="cs-CZ"/>
        </w:rPr>
        <w:t>Predtým, ako začnete užívať MicardisPlus, o</w:t>
      </w:r>
      <w:r w:rsidRPr="00D252D3">
        <w:t>bráťte sa na svojho lekára</w:t>
      </w:r>
      <w:r w:rsidRPr="00D252D3">
        <w:rPr>
          <w:szCs w:val="22"/>
          <w:lang w:eastAsia="en-US"/>
        </w:rPr>
        <w:t>:</w:t>
      </w:r>
    </w:p>
    <w:p w:rsidR="0053152B" w:rsidRPr="00D252D3" w:rsidRDefault="0053152B">
      <w:pPr>
        <w:numPr>
          <w:ilvl w:val="0"/>
          <w:numId w:val="35"/>
        </w:numPr>
        <w:ind w:left="567" w:hanging="567"/>
        <w:rPr>
          <w:szCs w:val="22"/>
        </w:rPr>
      </w:pPr>
      <w:r w:rsidRPr="00D252D3">
        <w:rPr>
          <w:szCs w:val="22"/>
        </w:rPr>
        <w:t>ak užívate niektorý z nasledujúcich liekov, ktoré sa používajú na liečbu vysokého tlaku krvi:</w:t>
      </w:r>
    </w:p>
    <w:p w:rsidR="0053152B" w:rsidRPr="00D252D3" w:rsidRDefault="0053152B">
      <w:pPr>
        <w:ind w:firstLine="0"/>
        <w:rPr>
          <w:szCs w:val="22"/>
        </w:rPr>
      </w:pPr>
      <w:r w:rsidRPr="00D252D3">
        <w:rPr>
          <w:szCs w:val="22"/>
        </w:rPr>
        <w:t>- inhibítor ACE (napríklad enalapril, lizinopril, ramipril), najmä ak máte problémy s obličkami súvisiace s cukrovkou.</w:t>
      </w:r>
    </w:p>
    <w:p w:rsidR="0053152B" w:rsidRPr="00D252D3" w:rsidRDefault="0053152B">
      <w:pPr>
        <w:ind w:firstLine="0"/>
        <w:rPr>
          <w:szCs w:val="22"/>
        </w:rPr>
      </w:pPr>
      <w:r w:rsidRPr="00D252D3">
        <w:rPr>
          <w:szCs w:val="22"/>
        </w:rPr>
        <w:t>- aliskiren.</w:t>
      </w:r>
    </w:p>
    <w:p w:rsidR="0053152B" w:rsidRPr="00D252D3" w:rsidRDefault="0053152B">
      <w:pPr>
        <w:ind w:firstLine="0"/>
        <w:rPr>
          <w:szCs w:val="22"/>
        </w:rPr>
      </w:pPr>
      <w:r w:rsidRPr="00D252D3">
        <w:rPr>
          <w:szCs w:val="22"/>
        </w:rPr>
        <w:t xml:space="preserve">Lekár vám môže pravidelne kontrolovať funkciu obličiek, krvný tlak a množstvo elektrolytov (napríklad draslíka) v krvi. Pozri tiež informácie v časti „Neužívajte </w:t>
      </w:r>
      <w:r w:rsidRPr="00D252D3">
        <w:t>MicardisPlus</w:t>
      </w:r>
      <w:r w:rsidRPr="00D252D3">
        <w:rPr>
          <w:szCs w:val="22"/>
        </w:rPr>
        <w:t>“.</w:t>
      </w:r>
    </w:p>
    <w:p w:rsidR="0053152B" w:rsidRPr="00D252D3" w:rsidRDefault="0053152B">
      <w:pPr>
        <w:numPr>
          <w:ilvl w:val="0"/>
          <w:numId w:val="30"/>
        </w:numPr>
        <w:rPr>
          <w:szCs w:val="22"/>
        </w:rPr>
      </w:pPr>
      <w:r w:rsidRPr="00D252D3">
        <w:rPr>
          <w:szCs w:val="22"/>
        </w:rPr>
        <w:t>ak užívate digoxín.</w:t>
      </w:r>
    </w:p>
    <w:p w:rsidR="0053152B" w:rsidRPr="00D252D3" w:rsidRDefault="0053152B">
      <w:pPr>
        <w:ind w:left="0" w:firstLine="0"/>
        <w:rPr>
          <w:snapToGrid w:val="0"/>
          <w:lang w:eastAsia="cs-CZ"/>
        </w:rPr>
      </w:pPr>
    </w:p>
    <w:p w:rsidR="0053152B" w:rsidRPr="00D252D3" w:rsidRDefault="0053152B">
      <w:pPr>
        <w:ind w:left="0" w:firstLine="0"/>
        <w:rPr>
          <w:snapToGrid w:val="0"/>
          <w:lang w:eastAsia="cs-CZ"/>
        </w:rPr>
      </w:pPr>
      <w:r w:rsidRPr="00D252D3">
        <w:rPr>
          <w:snapToGrid w:val="0"/>
          <w:lang w:eastAsia="cs-CZ"/>
        </w:rPr>
        <w:t>Ak si myslíte, že ste (</w:t>
      </w:r>
      <w:r w:rsidRPr="00D252D3">
        <w:rPr>
          <w:snapToGrid w:val="0"/>
          <w:u w:val="single"/>
          <w:lang w:eastAsia="cs-CZ"/>
        </w:rPr>
        <w:t>alebo môžete byť</w:t>
      </w:r>
      <w:r w:rsidRPr="00D252D3">
        <w:rPr>
          <w:snapToGrid w:val="0"/>
          <w:lang w:eastAsia="cs-CZ"/>
        </w:rPr>
        <w:t>) tehotná, musíte to povedať svojmu lekárovi. MicardisPlus sa neodporúča užívať na začiatku tehotenstva a musí sa vysadiť, ak ste tehotná viac ako 3 mesiace. Keďže môže spôsobiť závažné poškodenie vášho dieťaťa, ak sa užíva v tomto štádiu (pozri časť Tehotenstvo a dojčenie).</w:t>
      </w:r>
    </w:p>
    <w:p w:rsidR="0053152B" w:rsidRPr="00D252D3" w:rsidRDefault="0053152B">
      <w:pPr>
        <w:ind w:left="0" w:firstLine="0"/>
        <w:rPr>
          <w:snapToGrid w:val="0"/>
          <w:lang w:eastAsia="cs-CZ"/>
        </w:rPr>
      </w:pPr>
    </w:p>
    <w:p w:rsidR="0053152B" w:rsidRPr="00D252D3" w:rsidRDefault="0053152B">
      <w:pPr>
        <w:ind w:left="0" w:firstLine="0"/>
        <w:rPr>
          <w:snapToGrid w:val="0"/>
          <w:lang w:eastAsia="cs-CZ"/>
        </w:rPr>
      </w:pPr>
      <w:r w:rsidRPr="00D252D3">
        <w:rPr>
          <w:snapToGrid w:val="0"/>
          <w:lang w:eastAsia="cs-CZ"/>
        </w:rPr>
        <w:t>Liečba hydrochlorotiazidom môže zapríčiniť nerovnováhu elektrolytov vo vašom tele. Typické príznaky nerovnováhy telesných tekutín alebo elektrolytov zahŕňajú sucho v ústach, slabosť, apatiu, ospanlivosť, nepokoj, bolesť svalov alebo kŕče, nauzeu (nevoľnosť), vracanie, svalovú únavu a neobvykle zrýchlený pulz (viac ako 100 úderov za minútu). Ak spozorujete niektorý z týchto príznakov, povedzte to svojmu lekárovi.</w:t>
      </w:r>
    </w:p>
    <w:p w:rsidR="0053152B" w:rsidRPr="00D252D3" w:rsidRDefault="0053152B">
      <w:pPr>
        <w:ind w:left="0" w:firstLine="0"/>
        <w:rPr>
          <w:snapToGrid w:val="0"/>
          <w:lang w:eastAsia="cs-CZ"/>
        </w:rPr>
      </w:pPr>
    </w:p>
    <w:p w:rsidR="0053152B" w:rsidRPr="00D252D3" w:rsidRDefault="0053152B">
      <w:pPr>
        <w:ind w:left="0" w:firstLine="0"/>
        <w:rPr>
          <w:szCs w:val="22"/>
        </w:rPr>
      </w:pPr>
      <w:r w:rsidRPr="00D252D3">
        <w:rPr>
          <w:szCs w:val="22"/>
        </w:rPr>
        <w:t>Svojmu lekárovi tiež musíte povedať, že máte zvýšenú citlivosť kože na slnko s príznakmi spálenia (ako je sčervenenie, svrbenie, opuch, tvorba pľuzgierov), ktoré sa vytvárajú rýchlejšie ako zvyčajne.</w:t>
      </w:r>
    </w:p>
    <w:p w:rsidR="0053152B" w:rsidRPr="00D252D3" w:rsidRDefault="0053152B">
      <w:pPr>
        <w:ind w:left="0" w:firstLine="0"/>
        <w:rPr>
          <w:snapToGrid w:val="0"/>
          <w:lang w:eastAsia="cs-CZ"/>
        </w:rPr>
      </w:pPr>
    </w:p>
    <w:p w:rsidR="0053152B" w:rsidRPr="00D252D3" w:rsidRDefault="0053152B">
      <w:pPr>
        <w:ind w:left="0" w:firstLine="0"/>
        <w:rPr>
          <w:snapToGrid w:val="0"/>
          <w:lang w:eastAsia="cs-CZ"/>
        </w:rPr>
      </w:pPr>
      <w:r w:rsidRPr="00D252D3">
        <w:rPr>
          <w:snapToGrid w:val="0"/>
          <w:lang w:eastAsia="cs-CZ"/>
        </w:rPr>
        <w:t>Pred chirurgickým zákrokom alebo anestézou, informujte svojho lekára o tom, že užívate MicardisPlus.</w:t>
      </w:r>
    </w:p>
    <w:p w:rsidR="0053152B" w:rsidRPr="00D252D3" w:rsidRDefault="0053152B">
      <w:pPr>
        <w:ind w:left="0" w:firstLine="0"/>
        <w:rPr>
          <w:snapToGrid w:val="0"/>
          <w:lang w:eastAsia="cs-CZ"/>
        </w:rPr>
      </w:pPr>
    </w:p>
    <w:p w:rsidR="0053152B" w:rsidRPr="00D252D3" w:rsidRDefault="0053152B">
      <w:pPr>
        <w:ind w:left="0" w:firstLine="0"/>
        <w:rPr>
          <w:snapToGrid w:val="0"/>
          <w:lang w:eastAsia="cs-CZ"/>
        </w:rPr>
      </w:pPr>
      <w:r w:rsidRPr="00D252D3">
        <w:rPr>
          <w:snapToGrid w:val="0"/>
          <w:lang w:eastAsia="cs-CZ"/>
        </w:rPr>
        <w:t>MicardisPlus môže mať nižšiu účinnosť pri znižovaní krvného tlaku u černošských pacientov.</w:t>
      </w:r>
    </w:p>
    <w:p w:rsidR="0053152B" w:rsidRPr="00D252D3" w:rsidRDefault="0053152B">
      <w:pPr>
        <w:ind w:left="0" w:firstLine="0"/>
        <w:rPr>
          <w:snapToGrid w:val="0"/>
          <w:lang w:eastAsia="cs-CZ"/>
        </w:rPr>
      </w:pPr>
    </w:p>
    <w:p w:rsidR="0053152B" w:rsidRPr="00D252D3" w:rsidRDefault="0053152B" w:rsidP="00AB164B">
      <w:pPr>
        <w:keepNext/>
        <w:ind w:left="0" w:firstLine="0"/>
        <w:rPr>
          <w:b/>
          <w:snapToGrid w:val="0"/>
          <w:lang w:eastAsia="cs-CZ"/>
        </w:rPr>
      </w:pPr>
      <w:r w:rsidRPr="00D252D3">
        <w:rPr>
          <w:b/>
          <w:snapToGrid w:val="0"/>
          <w:lang w:eastAsia="cs-CZ"/>
        </w:rPr>
        <w:t>Deti a dospievajúci</w:t>
      </w:r>
    </w:p>
    <w:p w:rsidR="0053152B" w:rsidRPr="00D252D3" w:rsidRDefault="0053152B">
      <w:pPr>
        <w:ind w:left="0" w:firstLine="0"/>
        <w:rPr>
          <w:snapToGrid w:val="0"/>
          <w:lang w:eastAsia="cs-CZ"/>
        </w:rPr>
      </w:pPr>
      <w:r w:rsidRPr="00D252D3">
        <w:rPr>
          <w:snapToGrid w:val="0"/>
          <w:lang w:eastAsia="cs-CZ"/>
        </w:rPr>
        <w:t>Užívanie MicardisPlusu u detí a dospievajúcich do 18 rokov sa neodporúča.</w:t>
      </w:r>
    </w:p>
    <w:p w:rsidR="0053152B" w:rsidRPr="00D252D3" w:rsidRDefault="0053152B">
      <w:pPr>
        <w:ind w:left="0" w:firstLine="0"/>
        <w:rPr>
          <w:snapToGrid w:val="0"/>
          <w:lang w:eastAsia="cs-CZ"/>
        </w:rPr>
      </w:pPr>
    </w:p>
    <w:p w:rsidR="0053152B" w:rsidRPr="00D252D3" w:rsidRDefault="0053152B">
      <w:pPr>
        <w:keepNext/>
        <w:ind w:left="0" w:firstLine="0"/>
        <w:rPr>
          <w:b/>
        </w:rPr>
      </w:pPr>
      <w:r w:rsidRPr="00D252D3">
        <w:rPr>
          <w:b/>
        </w:rPr>
        <w:t>Iné lieky a MicardisPlus</w:t>
      </w:r>
    </w:p>
    <w:p w:rsidR="0053152B" w:rsidRPr="00D252D3" w:rsidRDefault="0053152B">
      <w:pPr>
        <w:keepNext/>
        <w:ind w:left="0" w:firstLine="0"/>
      </w:pPr>
    </w:p>
    <w:p w:rsidR="0053152B" w:rsidRPr="00D252D3" w:rsidRDefault="0053152B">
      <w:pPr>
        <w:ind w:left="0" w:firstLine="0"/>
      </w:pPr>
      <w:r w:rsidRPr="00D252D3">
        <w:t>Ak teraz užívate, alebo ste v poslednom čase užívali, či práve budete užívať ďalšie lieky, povedzte to svojmu lekárovi alebo lekárnikovi. Váš lekár možno bude musieť zmeniť dávkovanie ostatných liekov alebo urobiť iné opatrenia. V niektorých prípadoch možno prestanete užívať niektoré  lieky. Vzťahuje sa to najmä na lieky, uvedené nižšie, ak sa užívajú súčasne s MicardisPlusom:</w:t>
      </w:r>
    </w:p>
    <w:p w:rsidR="0053152B" w:rsidRPr="00D252D3" w:rsidRDefault="0053152B">
      <w:pPr>
        <w:ind w:left="0" w:firstLine="0"/>
      </w:pPr>
    </w:p>
    <w:p w:rsidR="0053152B" w:rsidRPr="00D252D3" w:rsidRDefault="0053152B">
      <w:pPr>
        <w:numPr>
          <w:ilvl w:val="0"/>
          <w:numId w:val="12"/>
        </w:numPr>
      </w:pPr>
      <w:r w:rsidRPr="00D252D3">
        <w:t>lieky s obsahom lítia na liečbu niektorých druhov depresie.</w:t>
      </w:r>
    </w:p>
    <w:p w:rsidR="0053152B" w:rsidRPr="00D252D3" w:rsidRDefault="0053152B">
      <w:pPr>
        <w:numPr>
          <w:ilvl w:val="0"/>
          <w:numId w:val="12"/>
        </w:numPr>
      </w:pPr>
      <w:r w:rsidRPr="00D252D3">
        <w:t>lieky spojené s nízkym obsahom draslíka (hypokaliémia), ako sú diuretiká (’tablety na odvodnenie’), laxatíva (napr. ricínový olej), kortikosteroidy (napr. prednisón), ACTH (hormón), amfotericín (liek proti plesniam), karbenoxolón (používal sa na liečbu vredov v ústach), sodná soľ benzylpenicilínu (antibiotikum), kyselina salicylová a jej deriváty.</w:t>
      </w:r>
    </w:p>
    <w:p w:rsidR="0053152B" w:rsidRPr="00D252D3" w:rsidRDefault="0053152B">
      <w:pPr>
        <w:numPr>
          <w:ilvl w:val="0"/>
          <w:numId w:val="12"/>
        </w:numPr>
      </w:pPr>
      <w:r w:rsidRPr="00D252D3">
        <w:t xml:space="preserve">lieky, ktoré môžu zvýšiť hladiny draslíka v krvi, ako sú draslík šetriace diuretiká, náhrady draslíka, náhrady soli obsahujúce draslík, </w:t>
      </w:r>
      <w:smartTag w:uri="urn:schemas-microsoft-com:office:smarttags" w:element="stockticker">
        <w:r w:rsidRPr="00D252D3">
          <w:t>ACE</w:t>
        </w:r>
      </w:smartTag>
      <w:r w:rsidRPr="00D252D3">
        <w:t xml:space="preserve"> inhibítory,  cyklosporín (imunosupresívum) a iné liečivá, ako je sodná soľ heparínu (antikoagulancium).</w:t>
      </w:r>
    </w:p>
    <w:p w:rsidR="0053152B" w:rsidRPr="00D252D3" w:rsidRDefault="0053152B">
      <w:pPr>
        <w:numPr>
          <w:ilvl w:val="0"/>
          <w:numId w:val="12"/>
        </w:numPr>
        <w:rPr>
          <w:szCs w:val="22"/>
        </w:rPr>
      </w:pPr>
      <w:r w:rsidRPr="00D252D3">
        <w:rPr>
          <w:szCs w:val="22"/>
        </w:rPr>
        <w:t>lieky, na ktoré vplývajú zmeny koncentrácií draslíka v krvi, ako sú lieky na srdce (napr.  digoxín) alebo lieky, ktoré majú kontrolovať váš srdcový rytmus (napr. chinidín, dizopyramid, amiodarón, sotalol), lieky používané pri duševných poruchách (napr. tioridazín, chlorpromazín, levomepromazín) a ďalšie lieky, ako sú niektoré antibiotiká (napr. sparfloxacín, pentamidín) alebo niektoré lieky na liečbu alergických reakcií (napr. terfenadín).</w:t>
      </w:r>
    </w:p>
    <w:p w:rsidR="0053152B" w:rsidRPr="00D252D3" w:rsidRDefault="0053152B">
      <w:pPr>
        <w:numPr>
          <w:ilvl w:val="0"/>
          <w:numId w:val="12"/>
        </w:numPr>
        <w:rPr>
          <w:szCs w:val="22"/>
        </w:rPr>
      </w:pPr>
      <w:r w:rsidRPr="00D252D3">
        <w:rPr>
          <w:szCs w:val="22"/>
        </w:rPr>
        <w:t>lieky na liečbu cukrovky (inzulíny alebo perorálne prípravky, ako je metformín).</w:t>
      </w:r>
    </w:p>
    <w:p w:rsidR="0053152B" w:rsidRPr="00D252D3" w:rsidRDefault="0053152B">
      <w:pPr>
        <w:numPr>
          <w:ilvl w:val="0"/>
          <w:numId w:val="12"/>
        </w:numPr>
        <w:rPr>
          <w:szCs w:val="22"/>
        </w:rPr>
      </w:pPr>
      <w:r w:rsidRPr="00D252D3">
        <w:rPr>
          <w:szCs w:val="22"/>
        </w:rPr>
        <w:t xml:space="preserve">cholestyramín a kolestipol, lieky na znižovanie hodnôt tukov v krvi. </w:t>
      </w:r>
    </w:p>
    <w:p w:rsidR="0053152B" w:rsidRPr="00D252D3" w:rsidRDefault="0053152B">
      <w:pPr>
        <w:numPr>
          <w:ilvl w:val="0"/>
          <w:numId w:val="12"/>
        </w:numPr>
        <w:rPr>
          <w:szCs w:val="22"/>
        </w:rPr>
      </w:pPr>
      <w:r w:rsidRPr="00D252D3">
        <w:rPr>
          <w:szCs w:val="22"/>
        </w:rPr>
        <w:t>lieky na zvyšovanie krvného tlaku, ako je noradrenalín.</w:t>
      </w:r>
    </w:p>
    <w:p w:rsidR="0053152B" w:rsidRPr="00D252D3" w:rsidRDefault="0053152B">
      <w:pPr>
        <w:numPr>
          <w:ilvl w:val="0"/>
          <w:numId w:val="12"/>
        </w:numPr>
        <w:rPr>
          <w:szCs w:val="22"/>
        </w:rPr>
      </w:pPr>
      <w:r w:rsidRPr="00D252D3">
        <w:rPr>
          <w:szCs w:val="22"/>
        </w:rPr>
        <w:t>lieky spôsobujúce svalové uvoľnenie, ako je tubokurarín.</w:t>
      </w:r>
    </w:p>
    <w:p w:rsidR="0053152B" w:rsidRPr="00D252D3" w:rsidRDefault="0053152B">
      <w:pPr>
        <w:numPr>
          <w:ilvl w:val="0"/>
          <w:numId w:val="12"/>
        </w:numPr>
        <w:rPr>
          <w:szCs w:val="22"/>
        </w:rPr>
      </w:pPr>
      <w:r w:rsidRPr="00D252D3">
        <w:rPr>
          <w:szCs w:val="22"/>
        </w:rPr>
        <w:t>výživové doplnky s obsahom vápnika a/alebo vitamínu D.</w:t>
      </w:r>
    </w:p>
    <w:p w:rsidR="0053152B" w:rsidRPr="00D252D3" w:rsidRDefault="0053152B">
      <w:pPr>
        <w:numPr>
          <w:ilvl w:val="0"/>
          <w:numId w:val="12"/>
        </w:numPr>
        <w:rPr>
          <w:szCs w:val="22"/>
        </w:rPr>
      </w:pPr>
      <w:r w:rsidRPr="00D252D3">
        <w:rPr>
          <w:szCs w:val="22"/>
        </w:rPr>
        <w:t>anticholinergiká (lieky, ktoré sa používajú v liečbe mnohých porúch ako sú kŕče tráviaceho traktu, kŕče močového mechúra, astma, ochorenie motoriky, svalové kŕče, Parkinsonova choroba a ako doplnok k anestéze),</w:t>
      </w:r>
      <w:r w:rsidRPr="00D252D3">
        <w:rPr>
          <w:szCs w:val="22"/>
          <w:lang w:eastAsia="ja-JP"/>
        </w:rPr>
        <w:t xml:space="preserve"> ako je atropín a biperidén.</w:t>
      </w:r>
    </w:p>
    <w:p w:rsidR="0053152B" w:rsidRPr="00D252D3" w:rsidRDefault="0053152B">
      <w:pPr>
        <w:numPr>
          <w:ilvl w:val="0"/>
          <w:numId w:val="12"/>
        </w:numPr>
        <w:rPr>
          <w:szCs w:val="22"/>
        </w:rPr>
      </w:pPr>
      <w:r w:rsidRPr="00D252D3">
        <w:rPr>
          <w:szCs w:val="22"/>
        </w:rPr>
        <w:t>amantadín (liek, ktorý sa používa v liečbe Parkinsonovej choroby a zároveň v liečbe alebo ako prevencia niektorých chorôb spôsobených vírusmi).</w:t>
      </w:r>
    </w:p>
    <w:p w:rsidR="0053152B" w:rsidRPr="00D252D3" w:rsidRDefault="0053152B">
      <w:pPr>
        <w:numPr>
          <w:ilvl w:val="0"/>
          <w:numId w:val="12"/>
        </w:numPr>
      </w:pPr>
      <w:r w:rsidRPr="00D252D3">
        <w:t>iné lieky na zníženie krvného tlaku, kortikosteroidy, lieky proti bolesti (ako sú nesteroidné protizápalové lieky (NSAID)), lieky na liečbu nádorových ochorení, lieky na dnu alebo artritídu.</w:t>
      </w:r>
    </w:p>
    <w:p w:rsidR="0053152B" w:rsidRPr="00D252D3" w:rsidRDefault="0053152B">
      <w:pPr>
        <w:numPr>
          <w:ilvl w:val="0"/>
          <w:numId w:val="12"/>
        </w:numPr>
        <w:rPr>
          <w:szCs w:val="22"/>
        </w:rPr>
      </w:pPr>
      <w:r w:rsidRPr="00D252D3">
        <w:rPr>
          <w:szCs w:val="22"/>
        </w:rPr>
        <w:t xml:space="preserve">ak užívate </w:t>
      </w:r>
      <w:r w:rsidRPr="00D252D3">
        <w:rPr>
          <w:rFonts w:eastAsia="Calibri"/>
          <w:szCs w:val="22"/>
        </w:rPr>
        <w:t xml:space="preserve">inhibítor ACE </w:t>
      </w:r>
      <w:r w:rsidRPr="00D252D3">
        <w:rPr>
          <w:szCs w:val="22"/>
        </w:rPr>
        <w:t xml:space="preserve">alebo aliskiren (pozri tiež informácie v častiach “Neužívajte </w:t>
      </w:r>
      <w:r w:rsidRPr="00D252D3">
        <w:t xml:space="preserve">MicardisPlus </w:t>
      </w:r>
      <w:r w:rsidRPr="00D252D3">
        <w:rPr>
          <w:szCs w:val="22"/>
        </w:rPr>
        <w:t>a „Upozornenia a opatrenia“).</w:t>
      </w:r>
    </w:p>
    <w:p w:rsidR="0053152B" w:rsidRPr="00D252D3" w:rsidRDefault="0053152B">
      <w:pPr>
        <w:pStyle w:val="ListBullet"/>
        <w:numPr>
          <w:ilvl w:val="0"/>
          <w:numId w:val="12"/>
        </w:numPr>
      </w:pPr>
      <w:r w:rsidRPr="00D252D3">
        <w:t>digoxín.</w:t>
      </w:r>
    </w:p>
    <w:p w:rsidR="0053152B" w:rsidRPr="00D252D3" w:rsidRDefault="0053152B"/>
    <w:p w:rsidR="0053152B" w:rsidRPr="00D252D3" w:rsidRDefault="0053152B">
      <w:pPr>
        <w:ind w:left="0" w:firstLine="0"/>
        <w:rPr>
          <w:szCs w:val="22"/>
        </w:rPr>
      </w:pPr>
      <w:r w:rsidRPr="00D252D3">
        <w:rPr>
          <w:snapToGrid w:val="0"/>
          <w:lang w:eastAsia="cs-CZ"/>
        </w:rPr>
        <w:t xml:space="preserve">MicardisPlus </w:t>
      </w:r>
      <w:r w:rsidRPr="00D252D3">
        <w:rPr>
          <w:szCs w:val="22"/>
        </w:rPr>
        <w:t>môže zvýšiť účinok iných liekov, znižujúcich krvný tlak, ktoré sa užívajú na liečbu vysokého krvného tlaku, alebo liekov s potenciálom znižovať krvný tlak (napr. baklofén, amifostín).</w:t>
      </w:r>
    </w:p>
    <w:p w:rsidR="0053152B" w:rsidRPr="00D252D3" w:rsidRDefault="0053152B">
      <w:pPr>
        <w:autoSpaceDE w:val="0"/>
        <w:autoSpaceDN w:val="0"/>
        <w:adjustRightInd w:val="0"/>
        <w:ind w:left="0" w:firstLine="0"/>
        <w:rPr>
          <w:szCs w:val="22"/>
        </w:rPr>
      </w:pPr>
      <w:r w:rsidRPr="00D252D3">
        <w:rPr>
          <w:szCs w:val="22"/>
        </w:rPr>
        <w:t>Okrem toho sa môže nízky krvný tlak zhoršiť alkoholom, barbiturátmi, narkotikami alebo antidepresívami. Môžete ho spozorovať ako závrat pri vstávaní. Ak potrebujete upraviť dávku vášho iného lieku, ktorý užívate s </w:t>
      </w:r>
      <w:r w:rsidRPr="00D252D3">
        <w:rPr>
          <w:snapToGrid w:val="0"/>
          <w:lang w:eastAsia="cs-CZ"/>
        </w:rPr>
        <w:t>MicardisPlusom</w:t>
      </w:r>
      <w:r w:rsidRPr="00D252D3">
        <w:rPr>
          <w:szCs w:val="22"/>
        </w:rPr>
        <w:t>, poraďte sa so svojím lekárom.</w:t>
      </w:r>
    </w:p>
    <w:p w:rsidR="0053152B" w:rsidRPr="00D252D3" w:rsidRDefault="0053152B">
      <w:r w:rsidRPr="00D252D3">
        <w:t xml:space="preserve"> </w:t>
      </w:r>
    </w:p>
    <w:p w:rsidR="0053152B" w:rsidRPr="00D252D3" w:rsidRDefault="0053152B">
      <w:pPr>
        <w:ind w:left="0" w:firstLine="0"/>
      </w:pPr>
      <w:r w:rsidRPr="00D252D3">
        <w:t>Účinok MicardisPlusu sa môže znížiť, ak užívate NSA (nesteroidné protizápalové lieky, napr.aspirín alebo ibuprofén).</w:t>
      </w:r>
    </w:p>
    <w:p w:rsidR="0053152B" w:rsidRPr="00D252D3" w:rsidRDefault="0053152B">
      <w:pPr>
        <w:ind w:left="0" w:firstLine="0"/>
      </w:pPr>
    </w:p>
    <w:p w:rsidR="0053152B" w:rsidRPr="00D252D3" w:rsidRDefault="0053152B" w:rsidP="000D7A2C">
      <w:pPr>
        <w:keepNext/>
        <w:tabs>
          <w:tab w:val="left" w:pos="3218"/>
        </w:tabs>
        <w:ind w:left="0" w:firstLine="0"/>
        <w:rPr>
          <w:b/>
        </w:rPr>
      </w:pPr>
      <w:r w:rsidRPr="00D252D3">
        <w:rPr>
          <w:b/>
        </w:rPr>
        <w:t>MicardisPlus a jedlo a alkohol</w:t>
      </w:r>
    </w:p>
    <w:p w:rsidR="0053152B" w:rsidRPr="00D252D3" w:rsidRDefault="0053152B" w:rsidP="000D7A2C">
      <w:pPr>
        <w:keepNext/>
        <w:tabs>
          <w:tab w:val="left" w:pos="3218"/>
        </w:tabs>
        <w:ind w:left="0" w:firstLine="0"/>
        <w:rPr>
          <w:b/>
        </w:rPr>
      </w:pPr>
    </w:p>
    <w:p w:rsidR="0053152B" w:rsidRPr="00D252D3" w:rsidRDefault="0053152B">
      <w:pPr>
        <w:rPr>
          <w:szCs w:val="22"/>
        </w:rPr>
      </w:pPr>
      <w:r w:rsidRPr="00D252D3">
        <w:rPr>
          <w:szCs w:val="22"/>
        </w:rPr>
        <w:t>MicardisPlus môžete užívať s jedlom alebo bez jedla.</w:t>
      </w:r>
    </w:p>
    <w:p w:rsidR="0053152B" w:rsidRPr="00D252D3" w:rsidRDefault="0053152B">
      <w:pPr>
        <w:rPr>
          <w:szCs w:val="22"/>
        </w:rPr>
      </w:pPr>
      <w:r w:rsidRPr="00D252D3">
        <w:rPr>
          <w:szCs w:val="22"/>
        </w:rPr>
        <w:t>Kým sa neporadíte so svojím lekárom, nepožívajte alkohol. Alkohol môže spôsobiť väčší pokles</w:t>
      </w:r>
    </w:p>
    <w:p w:rsidR="0053152B" w:rsidRPr="00D252D3" w:rsidRDefault="0053152B">
      <w:pPr>
        <w:rPr>
          <w:szCs w:val="22"/>
        </w:rPr>
      </w:pPr>
      <w:r w:rsidRPr="00D252D3">
        <w:rPr>
          <w:szCs w:val="22"/>
        </w:rPr>
        <w:t xml:space="preserve">vášho krvného tlaku a/alebo zvýšiť riziko, že sa u vás vyskytne závrat alebo že pocítite mdloby. </w:t>
      </w:r>
    </w:p>
    <w:p w:rsidR="0053152B" w:rsidRPr="00D252D3" w:rsidRDefault="0053152B">
      <w:pPr>
        <w:ind w:left="0" w:firstLine="0"/>
      </w:pPr>
    </w:p>
    <w:p w:rsidR="0053152B" w:rsidRPr="00D252D3" w:rsidRDefault="0053152B" w:rsidP="00AB164B">
      <w:pPr>
        <w:keepNext/>
        <w:rPr>
          <w:b/>
        </w:rPr>
      </w:pPr>
      <w:r w:rsidRPr="00D252D3">
        <w:rPr>
          <w:b/>
        </w:rPr>
        <w:t>Tehotenstvo a dojčenie</w:t>
      </w:r>
    </w:p>
    <w:p w:rsidR="0053152B" w:rsidRPr="00D252D3" w:rsidRDefault="0053152B" w:rsidP="00AB164B">
      <w:pPr>
        <w:keepNext/>
        <w:ind w:left="0" w:firstLine="0"/>
        <w:rPr>
          <w:snapToGrid w:val="0"/>
          <w:u w:val="single"/>
          <w:lang w:eastAsia="cs-CZ"/>
        </w:rPr>
      </w:pPr>
    </w:p>
    <w:p w:rsidR="0053152B" w:rsidRPr="00D252D3" w:rsidRDefault="0053152B" w:rsidP="00AB164B">
      <w:pPr>
        <w:keepNext/>
        <w:ind w:left="0" w:firstLine="0"/>
        <w:rPr>
          <w:snapToGrid w:val="0"/>
          <w:u w:val="single"/>
          <w:lang w:eastAsia="cs-CZ"/>
        </w:rPr>
      </w:pPr>
      <w:r w:rsidRPr="00D252D3">
        <w:rPr>
          <w:snapToGrid w:val="0"/>
          <w:u w:val="single"/>
          <w:lang w:eastAsia="cs-CZ"/>
        </w:rPr>
        <w:t>Tehotenstvo</w:t>
      </w:r>
    </w:p>
    <w:p w:rsidR="0053152B" w:rsidRPr="00D252D3" w:rsidRDefault="0053152B">
      <w:pPr>
        <w:ind w:left="0" w:firstLine="0"/>
        <w:rPr>
          <w:snapToGrid w:val="0"/>
          <w:lang w:eastAsia="cs-CZ"/>
        </w:rPr>
      </w:pPr>
      <w:r w:rsidRPr="00D252D3">
        <w:rPr>
          <w:snapToGrid w:val="0"/>
          <w:lang w:eastAsia="cs-CZ"/>
        </w:rPr>
        <w:t>Ak si myslíte, že ste (</w:t>
      </w:r>
      <w:r w:rsidRPr="00D252D3">
        <w:rPr>
          <w:snapToGrid w:val="0"/>
          <w:u w:val="single"/>
          <w:lang w:eastAsia="cs-CZ"/>
        </w:rPr>
        <w:t>alebo môžete byť</w:t>
      </w:r>
      <w:r w:rsidRPr="00D252D3">
        <w:rPr>
          <w:snapToGrid w:val="0"/>
          <w:lang w:eastAsia="cs-CZ"/>
        </w:rPr>
        <w:t>) tehotná, musíte to povedať svojmu lekárovi. Zvyčajne vám váš lekár odporučí vysadiť MicardisPlus skôr ako otehotniete alebo ihneď ako zistíte, že ste tehotná, a odporučí vám užívať iný liek namiesto MicardisPlusu. MicardisPlus sa neodporúča v priebehu tehotenstva a nesmie sa užívať, ak ste tehotná viac ako 3 mesiace, keďže môže spôsobiť závažné poškodenie vášho dieťaťa, ak sa užíva po 3. mesiacoch tehotenstva.</w:t>
      </w:r>
    </w:p>
    <w:p w:rsidR="0053152B" w:rsidRPr="00D252D3" w:rsidRDefault="0053152B">
      <w:pPr>
        <w:ind w:left="0" w:firstLine="0"/>
        <w:rPr>
          <w:snapToGrid w:val="0"/>
          <w:lang w:eastAsia="cs-CZ"/>
        </w:rPr>
      </w:pPr>
    </w:p>
    <w:p w:rsidR="0053152B" w:rsidRPr="00D252D3" w:rsidRDefault="0053152B">
      <w:pPr>
        <w:ind w:left="0" w:firstLine="0"/>
        <w:rPr>
          <w:snapToGrid w:val="0"/>
          <w:u w:val="single"/>
          <w:lang w:eastAsia="cs-CZ"/>
        </w:rPr>
      </w:pPr>
      <w:r w:rsidRPr="00D252D3">
        <w:rPr>
          <w:snapToGrid w:val="0"/>
          <w:u w:val="single"/>
          <w:lang w:eastAsia="cs-CZ"/>
        </w:rPr>
        <w:t>Dojčenie</w:t>
      </w:r>
    </w:p>
    <w:p w:rsidR="0053152B" w:rsidRPr="00D252D3" w:rsidRDefault="0053152B">
      <w:pPr>
        <w:ind w:left="0" w:firstLine="0"/>
        <w:rPr>
          <w:snapToGrid w:val="0"/>
          <w:lang w:eastAsia="cs-CZ"/>
        </w:rPr>
      </w:pPr>
      <w:r w:rsidRPr="00D252D3">
        <w:rPr>
          <w:snapToGrid w:val="0"/>
          <w:lang w:eastAsia="cs-CZ"/>
        </w:rPr>
        <w:t>Povedzte svojmu lekárovi, ak dojčíte alebo začínate dojčiť. MicardisPlus sa neodporúča pre matky, ktoré dojčia a váš lekár vám môže vybrať inú liečbu, ak si želáte dojčiť.</w:t>
      </w:r>
    </w:p>
    <w:p w:rsidR="0053152B" w:rsidRPr="00D252D3" w:rsidRDefault="0053152B">
      <w:pPr>
        <w:ind w:left="0" w:firstLine="0"/>
        <w:rPr>
          <w:snapToGrid w:val="0"/>
          <w:lang w:eastAsia="cs-CZ"/>
        </w:rPr>
      </w:pPr>
    </w:p>
    <w:p w:rsidR="0053152B" w:rsidRPr="00D252D3" w:rsidRDefault="0053152B">
      <w:pPr>
        <w:rPr>
          <w:b/>
          <w:snapToGrid w:val="0"/>
        </w:rPr>
      </w:pPr>
      <w:r w:rsidRPr="00D252D3">
        <w:rPr>
          <w:b/>
          <w:snapToGrid w:val="0"/>
        </w:rPr>
        <w:t>Vedenie vozidiel a obsluha strojov</w:t>
      </w:r>
    </w:p>
    <w:p w:rsidR="0053152B" w:rsidRPr="00D252D3" w:rsidRDefault="0053152B">
      <w:pPr>
        <w:ind w:left="0" w:firstLine="0"/>
        <w:rPr>
          <w:snapToGrid w:val="0"/>
          <w:lang w:eastAsia="cs-CZ"/>
        </w:rPr>
      </w:pPr>
    </w:p>
    <w:p w:rsidR="0053152B" w:rsidRPr="00D252D3" w:rsidRDefault="0053152B">
      <w:pPr>
        <w:ind w:left="0" w:firstLine="0"/>
        <w:rPr>
          <w:snapToGrid w:val="0"/>
          <w:lang w:eastAsia="cs-CZ"/>
        </w:rPr>
      </w:pPr>
      <w:r w:rsidRPr="00D252D3">
        <w:rPr>
          <w:snapToGrid w:val="0"/>
          <w:lang w:eastAsia="cs-CZ"/>
        </w:rPr>
        <w:t>Niektorí ľudia pri užívaní MicardisPlusu majú závraty alebo sa cítia unavení. Neveďte vozidlo alebo neobsluhujte stroje, keď máte závraty alebo ste unavení.</w:t>
      </w:r>
    </w:p>
    <w:p w:rsidR="0053152B" w:rsidRPr="00D252D3" w:rsidRDefault="0053152B">
      <w:pPr>
        <w:ind w:left="0" w:firstLine="0"/>
        <w:rPr>
          <w:snapToGrid w:val="0"/>
          <w:lang w:eastAsia="cs-CZ"/>
        </w:rPr>
      </w:pPr>
    </w:p>
    <w:p w:rsidR="0053152B" w:rsidRPr="00D252D3" w:rsidRDefault="0053152B">
      <w:pPr>
        <w:ind w:left="0" w:firstLine="0"/>
        <w:rPr>
          <w:b/>
        </w:rPr>
      </w:pPr>
      <w:r w:rsidRPr="00D252D3">
        <w:rPr>
          <w:b/>
        </w:rPr>
        <w:t xml:space="preserve">MicardisPlus obsahuje mliečny cukor (laktózu) a sorbitol. </w:t>
      </w:r>
    </w:p>
    <w:p w:rsidR="0053152B" w:rsidRPr="00D252D3" w:rsidRDefault="0053152B">
      <w:pPr>
        <w:ind w:left="0" w:firstLine="0"/>
        <w:rPr>
          <w:highlight w:val="yellow"/>
        </w:rPr>
      </w:pPr>
      <w:r w:rsidRPr="00D252D3">
        <w:t>Ak neznášate niektoré cukry, pred užitím MicardisPlusu sa poraďte so svojím lekárom.</w:t>
      </w:r>
    </w:p>
    <w:p w:rsidR="0053152B" w:rsidRPr="00D252D3" w:rsidRDefault="0053152B">
      <w:pPr>
        <w:ind w:left="0" w:firstLine="0"/>
        <w:rPr>
          <w:snapToGrid w:val="0"/>
          <w:lang w:eastAsia="cs-CZ"/>
        </w:rPr>
      </w:pPr>
    </w:p>
    <w:p w:rsidR="0053152B" w:rsidRPr="00D252D3" w:rsidRDefault="0053152B">
      <w:pPr>
        <w:numPr>
          <w:ilvl w:val="12"/>
          <w:numId w:val="0"/>
        </w:numPr>
        <w:ind w:right="-2"/>
      </w:pPr>
    </w:p>
    <w:p w:rsidR="0053152B" w:rsidRPr="00D252D3" w:rsidRDefault="0053152B">
      <w:pPr>
        <w:keepNext/>
        <w:keepLines/>
        <w:numPr>
          <w:ilvl w:val="12"/>
          <w:numId w:val="0"/>
        </w:numPr>
        <w:ind w:left="567" w:hanging="567"/>
      </w:pPr>
      <w:r w:rsidRPr="00D252D3">
        <w:rPr>
          <w:b/>
        </w:rPr>
        <w:t>3.</w:t>
      </w:r>
      <w:r w:rsidRPr="00D252D3">
        <w:rPr>
          <w:b/>
        </w:rPr>
        <w:tab/>
        <w:t>Ako užívať MicardisPlus</w:t>
      </w:r>
    </w:p>
    <w:p w:rsidR="0053152B" w:rsidRPr="00D252D3" w:rsidRDefault="0053152B">
      <w:pPr>
        <w:keepNext/>
        <w:keepLines/>
        <w:numPr>
          <w:ilvl w:val="12"/>
          <w:numId w:val="0"/>
        </w:numPr>
      </w:pPr>
    </w:p>
    <w:p w:rsidR="0053152B" w:rsidRPr="00D252D3" w:rsidRDefault="0053152B">
      <w:pPr>
        <w:ind w:left="0" w:firstLine="0"/>
      </w:pPr>
      <w:r w:rsidRPr="00D252D3">
        <w:t>Vždy užívajte tento liek presne tak, ako vám povedal váš lekár. Ak si nie ste niečím istý, overte si to u svojho lekára alebo lekárnika.</w:t>
      </w:r>
    </w:p>
    <w:p w:rsidR="0053152B" w:rsidRPr="00D252D3" w:rsidRDefault="0053152B">
      <w:pPr>
        <w:ind w:left="0" w:firstLine="0"/>
      </w:pPr>
    </w:p>
    <w:p w:rsidR="0053152B" w:rsidRPr="00D252D3" w:rsidRDefault="0053152B">
      <w:pPr>
        <w:ind w:left="0" w:firstLine="0"/>
      </w:pPr>
      <w:r w:rsidRPr="00D252D3">
        <w:t>Odporúčaná dávka je jedna tableta denne. Pokúste sa užívať tablety každý deň v rovnakom čase. MicardisPlus môžete užívať s jedlom alebo bez jedla. Tablety sa majú prehltnúť a zapiť vodou alebo iným nealkoholickým nápojom. Dôležité je, aby ste MicardisPlus užívali každý deň, až kým vám lekár nepovie inak.</w:t>
      </w:r>
    </w:p>
    <w:p w:rsidR="0053152B" w:rsidRPr="00D252D3" w:rsidRDefault="0053152B">
      <w:pPr>
        <w:ind w:left="0" w:firstLine="0"/>
      </w:pPr>
    </w:p>
    <w:p w:rsidR="0053152B" w:rsidRPr="00D252D3" w:rsidRDefault="0053152B">
      <w:pPr>
        <w:ind w:left="0" w:firstLine="0"/>
      </w:pPr>
      <w:r w:rsidRPr="00D252D3">
        <w:t>Ak vaša pečeň nefunguje správne, zvyčajná dávka nemá prekročiť 40 mg/12,5 mg jedenkrát za deň.</w:t>
      </w:r>
    </w:p>
    <w:p w:rsidR="0053152B" w:rsidRPr="00D252D3" w:rsidRDefault="0053152B">
      <w:pPr>
        <w:ind w:left="0" w:firstLine="0"/>
      </w:pPr>
    </w:p>
    <w:p w:rsidR="0053152B" w:rsidRPr="00D252D3" w:rsidRDefault="0053152B">
      <w:pPr>
        <w:rPr>
          <w:b/>
        </w:rPr>
      </w:pPr>
      <w:r w:rsidRPr="00D252D3">
        <w:rPr>
          <w:b/>
        </w:rPr>
        <w:t>Ak užijete viac MicardisPlusu, ako máte</w:t>
      </w:r>
    </w:p>
    <w:p w:rsidR="0053152B" w:rsidRPr="00D252D3" w:rsidRDefault="0053152B">
      <w:pPr>
        <w:ind w:left="0" w:firstLine="0"/>
      </w:pPr>
      <w:r w:rsidRPr="00D252D3">
        <w:t xml:space="preserve">Ak omylom užijete priveľa tabliet, </w:t>
      </w:r>
      <w:r w:rsidRPr="00D252D3">
        <w:rPr>
          <w:szCs w:val="22"/>
        </w:rPr>
        <w:t>môžu sa u vás vyskytnúť príznaky, ako sú nízky krvný tlak a zrýchlená srdcová činnosť. Hlásené boli aj spomalená srdcová činnosť, závrat. vracanie, znížená funkcia obličiek vrátane zlyhania obličiek</w:t>
      </w:r>
      <w:r w:rsidRPr="00D252D3">
        <w:t>. V dôsledku zložky hydrochlorotiazid sa môže vyskytnúť aj výrazne nízky krvný tlak a nízke hladiny draslíka v krvi, čo môže viesť k nevoľnosti, ospalosti a svalovým kŕčom a/alebo nepravidelnému srdcovému tepu súvisiacemu so súbežne užívanými liekmi ako je digitalis alebo niektoré antiarytmiká. Bezodkladne kontaktujte svojho lekára, lekárnika alebo najbližšiu pohotovosť.</w:t>
      </w:r>
    </w:p>
    <w:p w:rsidR="0053152B" w:rsidRPr="00D252D3" w:rsidRDefault="0053152B">
      <w:pPr>
        <w:ind w:left="0" w:firstLine="0"/>
      </w:pPr>
    </w:p>
    <w:p w:rsidR="0053152B" w:rsidRPr="00D252D3" w:rsidRDefault="0053152B" w:rsidP="00AB164B">
      <w:pPr>
        <w:keepNext/>
        <w:rPr>
          <w:b/>
        </w:rPr>
      </w:pPr>
      <w:r w:rsidRPr="00D252D3">
        <w:rPr>
          <w:b/>
        </w:rPr>
        <w:t>Ak zabudnete užiť MicardisPlus</w:t>
      </w:r>
    </w:p>
    <w:p w:rsidR="0053152B" w:rsidRPr="00D252D3" w:rsidRDefault="0053152B">
      <w:pPr>
        <w:ind w:left="0" w:firstLine="0"/>
      </w:pPr>
      <w:r w:rsidRPr="00D252D3">
        <w:t xml:space="preserve">Ak zabudnete užiť dávku, neobávajte sa. Užite ju hneď, len čo si spomeniete, a pokračujte v užívaní ako predtým. Ak neužijete tabletu jeden deň, užite normálnu dávku nasledovný deň. </w:t>
      </w:r>
      <w:r w:rsidRPr="00D252D3">
        <w:rPr>
          <w:b/>
          <w:i/>
        </w:rPr>
        <w:t>Neužívajte</w:t>
      </w:r>
      <w:r w:rsidRPr="00D252D3">
        <w:t xml:space="preserve"> dvojnásobnú dávku, aby ste nahradili vynechané jednotlivé dávky.</w:t>
      </w:r>
    </w:p>
    <w:p w:rsidR="0053152B" w:rsidRPr="00D252D3" w:rsidRDefault="0053152B">
      <w:pPr>
        <w:ind w:left="0" w:firstLine="0"/>
      </w:pPr>
    </w:p>
    <w:p w:rsidR="0053152B" w:rsidRPr="00D252D3" w:rsidRDefault="0053152B">
      <w:pPr>
        <w:ind w:left="0" w:firstLine="0"/>
        <w:rPr>
          <w:b/>
        </w:rPr>
      </w:pPr>
      <w:r w:rsidRPr="00D252D3">
        <w:t>Ak máte akékoľvek ďalšie otázky týkajúce sa použitia tohto lieku, opýtajte sa svojho lekára alebo lekárnika.</w:t>
      </w:r>
    </w:p>
    <w:p w:rsidR="0053152B" w:rsidRPr="00D252D3" w:rsidRDefault="0053152B">
      <w:pPr>
        <w:numPr>
          <w:ilvl w:val="12"/>
          <w:numId w:val="0"/>
        </w:numPr>
        <w:ind w:right="-2"/>
      </w:pPr>
    </w:p>
    <w:p w:rsidR="0053152B" w:rsidRPr="00D252D3" w:rsidRDefault="0053152B">
      <w:pPr>
        <w:numPr>
          <w:ilvl w:val="12"/>
          <w:numId w:val="0"/>
        </w:numPr>
        <w:ind w:right="-2"/>
      </w:pPr>
    </w:p>
    <w:p w:rsidR="0053152B" w:rsidRPr="00D252D3" w:rsidRDefault="0053152B" w:rsidP="00AB164B">
      <w:pPr>
        <w:keepNext/>
        <w:numPr>
          <w:ilvl w:val="12"/>
          <w:numId w:val="0"/>
        </w:numPr>
        <w:ind w:left="567" w:right="-2" w:hanging="567"/>
      </w:pPr>
      <w:r w:rsidRPr="00D252D3">
        <w:rPr>
          <w:b/>
        </w:rPr>
        <w:t>4.</w:t>
      </w:r>
      <w:r w:rsidRPr="00D252D3">
        <w:rPr>
          <w:b/>
        </w:rPr>
        <w:tab/>
        <w:t>Možné vedľajšie účinky</w:t>
      </w:r>
    </w:p>
    <w:p w:rsidR="0053152B" w:rsidRPr="00D252D3" w:rsidRDefault="0053152B" w:rsidP="00AB164B">
      <w:pPr>
        <w:keepNext/>
        <w:numPr>
          <w:ilvl w:val="12"/>
          <w:numId w:val="0"/>
        </w:numPr>
        <w:ind w:right="-29"/>
      </w:pPr>
    </w:p>
    <w:p w:rsidR="0053152B" w:rsidRPr="00D252D3" w:rsidRDefault="0053152B">
      <w:pPr>
        <w:ind w:left="0" w:firstLine="0"/>
      </w:pPr>
      <w:r w:rsidRPr="00D252D3">
        <w:t>Tak ako všetky lieky, aj tento liek môže spôsobovať vedľajšie účinky, hoci sa neprejavia u každého.</w:t>
      </w:r>
    </w:p>
    <w:p w:rsidR="0053152B" w:rsidRPr="00D252D3" w:rsidRDefault="0053152B">
      <w:pPr>
        <w:ind w:left="0" w:firstLine="0"/>
      </w:pPr>
    </w:p>
    <w:p w:rsidR="0053152B" w:rsidRPr="00D252D3" w:rsidRDefault="0053152B">
      <w:pPr>
        <w:ind w:left="0" w:firstLine="0"/>
        <w:rPr>
          <w:b/>
        </w:rPr>
      </w:pPr>
      <w:r w:rsidRPr="00D252D3">
        <w:rPr>
          <w:b/>
        </w:rPr>
        <w:t>Niektoré vedľajšie účinky môžu byť závažné a môžu si vyžadovať okamžitú lekársku starostlivosť:</w:t>
      </w:r>
    </w:p>
    <w:p w:rsidR="0053152B" w:rsidRPr="00D252D3" w:rsidRDefault="0053152B">
      <w:pPr>
        <w:ind w:left="0" w:firstLine="0"/>
      </w:pPr>
    </w:p>
    <w:p w:rsidR="0053152B" w:rsidRPr="00D252D3" w:rsidRDefault="0053152B">
      <w:pPr>
        <w:ind w:left="0" w:firstLine="0"/>
      </w:pPr>
      <w:r w:rsidRPr="00D252D3">
        <w:t>Ak máte ktorýkoľvek z nasledovných príznakov, okamžite vyhľadajte svojho lekára:</w:t>
      </w:r>
    </w:p>
    <w:p w:rsidR="0053152B" w:rsidRPr="00D252D3" w:rsidRDefault="0053152B">
      <w:pPr>
        <w:ind w:left="0" w:firstLine="0"/>
      </w:pPr>
    </w:p>
    <w:p w:rsidR="0053152B" w:rsidRPr="00D252D3" w:rsidRDefault="0053152B">
      <w:pPr>
        <w:ind w:left="0" w:firstLine="0"/>
        <w:rPr>
          <w:szCs w:val="22"/>
        </w:rPr>
      </w:pPr>
      <w:r w:rsidRPr="00D252D3">
        <w:rPr>
          <w:szCs w:val="22"/>
        </w:rPr>
        <w:t xml:space="preserve">sepsa* (často nazývaná „otrava krvi“, je ťažká infekcia so zápalovou reakciou celého tela), náhly opuch kože a slizníc (angioedém), tvorba pľuzgierov a olupovanie vrchnej vrstvy kože </w:t>
      </w:r>
      <w:r w:rsidRPr="00D252D3">
        <w:rPr>
          <w:rFonts w:eastAsia="MS Mincho"/>
          <w:szCs w:val="22"/>
          <w:lang w:eastAsia="ja-JP"/>
        </w:rPr>
        <w:t xml:space="preserve">(toxická epidermálna nekrolýza); </w:t>
      </w:r>
      <w:r w:rsidRPr="00D252D3">
        <w:rPr>
          <w:szCs w:val="22"/>
        </w:rPr>
        <w:t>tieto vedľajšie účinky sú zriedkavé (môžu postihovať menej ako 1 z 1000 osôb) alebo je častosť ich výskytu neznáma (</w:t>
      </w:r>
      <w:r w:rsidRPr="00D252D3">
        <w:rPr>
          <w:rFonts w:eastAsia="MS Mincho"/>
          <w:szCs w:val="22"/>
          <w:lang w:eastAsia="ja-JP"/>
        </w:rPr>
        <w:t>toxická epidermálna nekrolýza)</w:t>
      </w:r>
      <w:r w:rsidRPr="00D252D3">
        <w:rPr>
          <w:szCs w:val="22"/>
        </w:rPr>
        <w:t xml:space="preserve">, no extrémne závažné a pacienti majú ukončiť užívanie lieku a okamžite vyhľadať svojho lekára. </w:t>
      </w:r>
    </w:p>
    <w:p w:rsidR="0053152B" w:rsidRPr="00D252D3" w:rsidRDefault="0053152B">
      <w:pPr>
        <w:ind w:left="0" w:firstLine="0"/>
        <w:rPr>
          <w:szCs w:val="22"/>
        </w:rPr>
      </w:pPr>
      <w:r w:rsidRPr="00D252D3">
        <w:rPr>
          <w:szCs w:val="22"/>
        </w:rPr>
        <w:t>Ak sa tieto účinky neliečia, môžu byť smrteľné. Zvýšený výskyt sepsy sa zaznamenal len pri telmisartaneu, avšak pre MicardisPlus sa nedá vylúčiť.</w:t>
      </w:r>
    </w:p>
    <w:p w:rsidR="0053152B" w:rsidRPr="00D252D3" w:rsidRDefault="0053152B">
      <w:pPr>
        <w:ind w:left="0" w:firstLine="0"/>
        <w:rPr>
          <w:szCs w:val="22"/>
        </w:rPr>
      </w:pPr>
    </w:p>
    <w:p w:rsidR="0053152B" w:rsidRPr="00D252D3" w:rsidRDefault="0053152B">
      <w:pPr>
        <w:ind w:left="0" w:firstLine="0"/>
        <w:rPr>
          <w:b/>
          <w:szCs w:val="22"/>
        </w:rPr>
      </w:pPr>
      <w:r w:rsidRPr="00D252D3">
        <w:rPr>
          <w:b/>
          <w:szCs w:val="22"/>
        </w:rPr>
        <w:t>Možné vedľajšie účinky MicardisPlusu:</w:t>
      </w:r>
    </w:p>
    <w:p w:rsidR="0053152B" w:rsidRPr="00D252D3" w:rsidRDefault="0053152B">
      <w:pPr>
        <w:ind w:left="0" w:firstLine="0"/>
      </w:pPr>
    </w:p>
    <w:p w:rsidR="0053152B" w:rsidRPr="00D252D3" w:rsidRDefault="0053152B">
      <w:pPr>
        <w:ind w:left="0" w:firstLine="0"/>
      </w:pPr>
      <w:r w:rsidRPr="00D252D3">
        <w:rPr>
          <w:u w:val="single"/>
        </w:rPr>
        <w:t>Časté vedľajšie účinky</w:t>
      </w:r>
      <w:r w:rsidRPr="00D252D3">
        <w:t xml:space="preserve"> (môžu postihovať menej ako 1 z 10 osôb):</w:t>
      </w:r>
    </w:p>
    <w:p w:rsidR="0053152B" w:rsidRPr="00D252D3" w:rsidRDefault="0053152B">
      <w:pPr>
        <w:pStyle w:val="BodyText3"/>
        <w:rPr>
          <w:bCs w:val="0"/>
          <w:iCs w:val="0"/>
          <w:szCs w:val="24"/>
        </w:rPr>
      </w:pPr>
      <w:r w:rsidRPr="00D252D3">
        <w:rPr>
          <w:bCs w:val="0"/>
          <w:iCs w:val="0"/>
          <w:szCs w:val="24"/>
        </w:rPr>
        <w:t>závrat.</w:t>
      </w:r>
    </w:p>
    <w:p w:rsidR="0053152B" w:rsidRPr="00D252D3" w:rsidRDefault="0053152B">
      <w:pPr>
        <w:ind w:left="0" w:firstLine="0"/>
      </w:pPr>
    </w:p>
    <w:p w:rsidR="0053152B" w:rsidRPr="00D252D3" w:rsidRDefault="0053152B">
      <w:pPr>
        <w:ind w:left="0" w:firstLine="0"/>
      </w:pPr>
      <w:r w:rsidRPr="00D252D3">
        <w:rPr>
          <w:u w:val="single"/>
        </w:rPr>
        <w:t xml:space="preserve">Menej časté vedľajšie účinky </w:t>
      </w:r>
      <w:r w:rsidRPr="00D252D3">
        <w:t>(môžu postihovať menej ako 1 zo 100 osôb):</w:t>
      </w:r>
    </w:p>
    <w:p w:rsidR="0053152B" w:rsidRPr="00D252D3" w:rsidRDefault="0053152B">
      <w:pPr>
        <w:ind w:left="0" w:firstLine="0"/>
      </w:pPr>
      <w:r w:rsidRPr="00D252D3">
        <w:t>znížené hladiny draslíka v krvi, úzkosť, mdloba (náhle prechodné bezvedomie), pocit brnenia, mravčenia a pichania (parestézia), pocit závratu (vertigo), rýchly tep srdca (tachykardia), porucha srdcového rytmu, nízky tlak krvi, náhly pokles tlaku krvi pri vstávaní, skrátený dych (dýchavičnosť), hnačka, sucho v ústach, plynatosť, bolesť chrbta, svalové kŕče, bolesť svalov, erektilná dysfunkcia (neschopnosť mať alebo udržať erekciu), bolesť v hrudníku, zvýšené hladiny kyseliny močovej v krvi.</w:t>
      </w:r>
    </w:p>
    <w:p w:rsidR="0053152B" w:rsidRPr="00D252D3" w:rsidRDefault="0053152B">
      <w:pPr>
        <w:ind w:left="0" w:firstLine="0"/>
      </w:pPr>
    </w:p>
    <w:p w:rsidR="0053152B" w:rsidRPr="00D252D3" w:rsidRDefault="0053152B">
      <w:pPr>
        <w:ind w:left="0" w:firstLine="0"/>
      </w:pPr>
      <w:r w:rsidRPr="00D252D3">
        <w:rPr>
          <w:u w:val="single"/>
        </w:rPr>
        <w:t>Zriedkavé vedľajšie účinky</w:t>
      </w:r>
      <w:r w:rsidRPr="00D252D3">
        <w:t xml:space="preserve"> (môžu postihovať menej ako 1 z 1000 osôb):</w:t>
      </w:r>
    </w:p>
    <w:p w:rsidR="0053152B" w:rsidRPr="00D252D3" w:rsidRDefault="0053152B">
      <w:pPr>
        <w:ind w:left="0" w:firstLine="0"/>
        <w:rPr>
          <w:szCs w:val="22"/>
        </w:rPr>
      </w:pPr>
      <w:r w:rsidRPr="00D252D3">
        <w:t>zápal pľúc (bronchitída), aktivácia alebo zhoršenie systémového lupus erythematosus (ochorenie, pri ktorom imunitný systém organizmu napáda vlastné telo, čo spôsobuje bolesť kĺbov, kožné vyrážky a horúčku), bolesť hrdla, zápal prinosových dutín, pocit smútku (depresia), ťažkosti so zaspávaním (nespavosť), porucha videnia</w:t>
      </w:r>
      <w:r w:rsidRPr="00D252D3">
        <w:rPr>
          <w:szCs w:val="22"/>
        </w:rPr>
        <w:t xml:space="preserve">, ťažkosti s dýchaním, bolesť brucha, zápcha, nadúvanie brucha (dyspepsia), </w:t>
      </w:r>
      <w:r w:rsidR="00970910" w:rsidRPr="00D252D3">
        <w:rPr>
          <w:szCs w:val="22"/>
        </w:rPr>
        <w:t>nevoľnosť</w:t>
      </w:r>
      <w:r w:rsidRPr="00D252D3">
        <w:rPr>
          <w:szCs w:val="22"/>
        </w:rPr>
        <w:t xml:space="preserve"> (vracanie), zápal žalúdka (gastritída), abnormálna funkcia pečene (tento vedľajší účinok sa pravdepodobnejšie vyskytne u japonských pacientov), sčervenenie kože (erytém), alergické reakcie, ako je svrbenie alebo vyrážka, zvýšené potenie, žihľavka (urtikária), bolesť kĺbov (artralgia) a bolesť končatín, ochabnutosť svalov, ochorenie podobné chrípke, bolesť, nízke hladiny sodíka, zvýšené hladiny kreatinínu, pečeňových enzýmov alebo kreatinínfosfokinázy v krvi.</w:t>
      </w:r>
    </w:p>
    <w:p w:rsidR="0053152B" w:rsidRPr="00D252D3" w:rsidRDefault="0053152B">
      <w:pPr>
        <w:ind w:left="0" w:firstLine="0"/>
        <w:rPr>
          <w:szCs w:val="22"/>
        </w:rPr>
      </w:pPr>
    </w:p>
    <w:p w:rsidR="0053152B" w:rsidRPr="00D252D3" w:rsidRDefault="0053152B">
      <w:pPr>
        <w:ind w:left="0" w:firstLine="0"/>
        <w:rPr>
          <w:szCs w:val="22"/>
        </w:rPr>
      </w:pPr>
      <w:r w:rsidRPr="00D252D3">
        <w:rPr>
          <w:szCs w:val="22"/>
        </w:rPr>
        <w:t>Vedľajšie účinky zaznamenané u jednej zo zložiek môžu byť potenciálne vedľajšie účinky na MicardisPlus, aj keď sa nezaznamenali v klinických štúdiách s týmto liekom.</w:t>
      </w:r>
    </w:p>
    <w:p w:rsidR="0053152B" w:rsidRPr="00D252D3" w:rsidRDefault="0053152B">
      <w:pPr>
        <w:ind w:left="0" w:firstLine="0"/>
        <w:rPr>
          <w:b/>
          <w:u w:val="single"/>
        </w:rPr>
      </w:pPr>
    </w:p>
    <w:p w:rsidR="0053152B" w:rsidRPr="00D252D3" w:rsidRDefault="0053152B">
      <w:pPr>
        <w:ind w:left="0" w:firstLine="0"/>
        <w:rPr>
          <w:b/>
          <w:u w:val="single"/>
        </w:rPr>
      </w:pPr>
      <w:r w:rsidRPr="00D252D3">
        <w:rPr>
          <w:b/>
          <w:u w:val="single"/>
        </w:rPr>
        <w:t>Telmisartan</w:t>
      </w:r>
    </w:p>
    <w:p w:rsidR="0053152B" w:rsidRPr="00D252D3" w:rsidRDefault="0053152B">
      <w:pPr>
        <w:ind w:left="0" w:firstLine="0"/>
      </w:pPr>
      <w:r w:rsidRPr="00D252D3">
        <w:t>U pacientov užívajúcich samotný telmisartan sa hlásili nasledovné ďalšie vedľajšie účinky:</w:t>
      </w:r>
    </w:p>
    <w:p w:rsidR="0053152B" w:rsidRPr="00D252D3" w:rsidRDefault="0053152B">
      <w:pPr>
        <w:ind w:left="0" w:firstLine="0"/>
      </w:pPr>
    </w:p>
    <w:p w:rsidR="0053152B" w:rsidRPr="00D252D3" w:rsidRDefault="0053152B">
      <w:pPr>
        <w:pStyle w:val="BodyText3"/>
      </w:pPr>
      <w:r w:rsidRPr="00D252D3">
        <w:rPr>
          <w:u w:val="single"/>
        </w:rPr>
        <w:t>Menej časté vedľajšie účinky</w:t>
      </w:r>
      <w:r w:rsidRPr="00D252D3">
        <w:t xml:space="preserve"> (môžu postihovať menej ako 1 zo 100 osôb):</w:t>
      </w:r>
    </w:p>
    <w:p w:rsidR="0053152B" w:rsidRPr="00D252D3" w:rsidRDefault="0053152B">
      <w:pPr>
        <w:ind w:left="0" w:firstLine="0"/>
        <w:rPr>
          <w:szCs w:val="22"/>
        </w:rPr>
      </w:pPr>
      <w:r w:rsidRPr="00D252D3">
        <w:rPr>
          <w:snapToGrid w:val="0"/>
          <w:lang w:eastAsia="cs-CZ"/>
        </w:rPr>
        <w:t>infekcia horných dýchacích ciest</w:t>
      </w:r>
      <w:r w:rsidRPr="00D252D3">
        <w:rPr>
          <w:szCs w:val="22"/>
        </w:rPr>
        <w:t xml:space="preserve"> (napr. bolesť hrdla, </w:t>
      </w:r>
      <w:r w:rsidRPr="00D252D3">
        <w:t>zápal prinosových dutín, bežné prechladnutie</w:t>
      </w:r>
      <w:r w:rsidRPr="00D252D3">
        <w:rPr>
          <w:szCs w:val="22"/>
        </w:rPr>
        <w:t xml:space="preserve">), </w:t>
      </w:r>
      <w:r w:rsidRPr="00D252D3">
        <w:rPr>
          <w:snapToGrid w:val="0"/>
          <w:szCs w:val="22"/>
          <w:lang w:eastAsia="cs-CZ"/>
        </w:rPr>
        <w:t xml:space="preserve">infekcia močových ciest, </w:t>
      </w:r>
      <w:r w:rsidRPr="00D252D3">
        <w:rPr>
          <w:szCs w:val="22"/>
        </w:rPr>
        <w:t>nedostatok červených krviniek (anémia), vysoké hladiny draslíka, spomalený tep srdca (bradykardia), poškodená funkcia obličiek vrátane akútneho zlyhania obličiek, slabosť, kašeľ.</w:t>
      </w:r>
    </w:p>
    <w:p w:rsidR="0053152B" w:rsidRPr="00D252D3" w:rsidRDefault="0053152B">
      <w:pPr>
        <w:ind w:left="0" w:firstLine="0"/>
        <w:rPr>
          <w:szCs w:val="22"/>
        </w:rPr>
      </w:pPr>
    </w:p>
    <w:p w:rsidR="0053152B" w:rsidRPr="00D252D3" w:rsidRDefault="0053152B" w:rsidP="00AB164B">
      <w:pPr>
        <w:keepNext/>
        <w:ind w:left="0" w:firstLine="0"/>
        <w:rPr>
          <w:szCs w:val="22"/>
        </w:rPr>
      </w:pPr>
      <w:r w:rsidRPr="00D252D3">
        <w:rPr>
          <w:szCs w:val="22"/>
          <w:u w:val="single"/>
        </w:rPr>
        <w:t>Zriedkavé vedľajšie účinky</w:t>
      </w:r>
      <w:r w:rsidRPr="00D252D3">
        <w:rPr>
          <w:szCs w:val="22"/>
        </w:rPr>
        <w:t xml:space="preserve"> (môžu postihovať menej ako 1 z 1000 osôb):</w:t>
      </w:r>
    </w:p>
    <w:p w:rsidR="0053152B" w:rsidRPr="00D252D3" w:rsidRDefault="0053152B">
      <w:pPr>
        <w:ind w:left="0" w:firstLine="0"/>
        <w:rPr>
          <w:szCs w:val="22"/>
        </w:rPr>
      </w:pPr>
      <w:r w:rsidRPr="00D252D3">
        <w:rPr>
          <w:szCs w:val="22"/>
        </w:rPr>
        <w:t xml:space="preserve">nízky počet krvných doštičiek (trombocytopénia), zvýšený počet určitých bielych krviniek (eozinofília), závažná alergická reakcia (napr. precitlivenosť, anafylaktická reakcia, lieková vyrážka), nízka hladina cukru v krvi (u diabetických pacientov), žalúdočné ťažkosti, ekzém (ochorenie kože), artróza, zápal šliach, znížený hemoglobín (krvná bielkovina), ospalosť. </w:t>
      </w:r>
    </w:p>
    <w:p w:rsidR="0053152B" w:rsidRPr="00D252D3" w:rsidRDefault="0053152B">
      <w:pPr>
        <w:ind w:left="0" w:firstLine="0"/>
        <w:rPr>
          <w:szCs w:val="22"/>
        </w:rPr>
      </w:pPr>
    </w:p>
    <w:p w:rsidR="0053152B" w:rsidRPr="00D252D3" w:rsidRDefault="0053152B" w:rsidP="00AB164B">
      <w:pPr>
        <w:keepNext/>
        <w:ind w:left="0" w:firstLine="0"/>
        <w:rPr>
          <w:szCs w:val="22"/>
        </w:rPr>
      </w:pPr>
      <w:r w:rsidRPr="00D252D3">
        <w:rPr>
          <w:szCs w:val="22"/>
          <w:u w:val="single"/>
        </w:rPr>
        <w:t>Veľmi zriedkavé vedľajšie účinky</w:t>
      </w:r>
      <w:r w:rsidRPr="00D252D3">
        <w:rPr>
          <w:szCs w:val="22"/>
        </w:rPr>
        <w:t xml:space="preserve"> (môžu postihovať menej ako 1 z 10 000 osôb):</w:t>
      </w:r>
    </w:p>
    <w:p w:rsidR="0053152B" w:rsidRPr="00D252D3" w:rsidRDefault="0053152B">
      <w:pPr>
        <w:ind w:left="0" w:firstLine="0"/>
        <w:rPr>
          <w:szCs w:val="22"/>
        </w:rPr>
      </w:pPr>
      <w:r w:rsidRPr="00D252D3">
        <w:rPr>
          <w:szCs w:val="22"/>
        </w:rPr>
        <w:t>progresívne jazvenie pľúcneho tkaniva (intersticiálne ochorenie pľúc)**.</w:t>
      </w:r>
    </w:p>
    <w:p w:rsidR="0053152B" w:rsidRPr="00D252D3" w:rsidRDefault="0053152B">
      <w:pPr>
        <w:ind w:left="0" w:firstLine="0"/>
        <w:rPr>
          <w:szCs w:val="22"/>
        </w:rPr>
      </w:pPr>
    </w:p>
    <w:p w:rsidR="0053152B" w:rsidRPr="00D252D3" w:rsidRDefault="0053152B">
      <w:pPr>
        <w:ind w:left="0" w:firstLine="0"/>
        <w:rPr>
          <w:szCs w:val="22"/>
        </w:rPr>
      </w:pPr>
      <w:r w:rsidRPr="00D252D3">
        <w:rPr>
          <w:szCs w:val="22"/>
        </w:rPr>
        <w:t>*Udalosť sa môže vyskytnúť náhodne alebo môže súvisieť s mechanizmami, ktoré nie sú v súčasnosti známe.</w:t>
      </w:r>
    </w:p>
    <w:p w:rsidR="0053152B" w:rsidRPr="00D252D3" w:rsidRDefault="0053152B">
      <w:pPr>
        <w:ind w:left="0" w:firstLine="0"/>
      </w:pPr>
    </w:p>
    <w:p w:rsidR="0053152B" w:rsidRPr="00D252D3" w:rsidRDefault="0053152B">
      <w:pPr>
        <w:ind w:left="0" w:firstLine="0"/>
        <w:rPr>
          <w:szCs w:val="22"/>
        </w:rPr>
      </w:pPr>
      <w:r w:rsidRPr="00D252D3">
        <w:rPr>
          <w:szCs w:val="22"/>
        </w:rPr>
        <w:t>** Počas užívania telmisartanu sa zaznamenali prípady progresívneho jazvenia pľúcneho tkaniva. Nie je však známe, či to spôsobil telmisartan.</w:t>
      </w:r>
    </w:p>
    <w:p w:rsidR="0053152B" w:rsidRPr="00D252D3" w:rsidRDefault="0053152B">
      <w:pPr>
        <w:ind w:left="0" w:firstLine="0"/>
      </w:pPr>
    </w:p>
    <w:p w:rsidR="0053152B" w:rsidRPr="00D252D3" w:rsidRDefault="0053152B">
      <w:pPr>
        <w:ind w:left="0" w:firstLine="0"/>
        <w:rPr>
          <w:b/>
          <w:u w:val="single"/>
        </w:rPr>
      </w:pPr>
      <w:r w:rsidRPr="00D252D3">
        <w:rPr>
          <w:b/>
          <w:u w:val="single"/>
        </w:rPr>
        <w:t>Hydrochlorotiazid</w:t>
      </w:r>
    </w:p>
    <w:p w:rsidR="0053152B" w:rsidRPr="00D252D3" w:rsidRDefault="0053152B">
      <w:pPr>
        <w:ind w:left="0" w:firstLine="0"/>
      </w:pPr>
      <w:r w:rsidRPr="00D252D3">
        <w:t>U pacientov užívajúcich samostatný hydrochlorotiazid sa hlásili nasledovné ďalšie vedľajšie účinky:</w:t>
      </w:r>
    </w:p>
    <w:p w:rsidR="0053152B" w:rsidRPr="00D252D3" w:rsidRDefault="0053152B">
      <w:pPr>
        <w:rPr>
          <w:u w:val="single"/>
        </w:rPr>
      </w:pPr>
    </w:p>
    <w:p w:rsidR="00720825" w:rsidRPr="00D252D3" w:rsidRDefault="00720825" w:rsidP="00720825">
      <w:pPr>
        <w:pStyle w:val="BodyTextIndent"/>
        <w:rPr>
          <w:b w:val="0"/>
          <w:bCs/>
          <w:color w:val="auto"/>
          <w:szCs w:val="22"/>
          <w:u w:val="single"/>
          <w:lang w:val="sk-SK"/>
        </w:rPr>
      </w:pPr>
      <w:r w:rsidRPr="00D252D3">
        <w:rPr>
          <w:b w:val="0"/>
          <w:bCs/>
          <w:color w:val="auto"/>
          <w:szCs w:val="22"/>
          <w:u w:val="single"/>
          <w:lang w:val="sk-SK"/>
        </w:rPr>
        <w:t>Časté vedľajšie účinky (</w:t>
      </w:r>
      <w:r w:rsidRPr="00D252D3">
        <w:rPr>
          <w:b w:val="0"/>
          <w:bCs/>
          <w:color w:val="auto"/>
          <w:szCs w:val="22"/>
          <w:u w:val="single"/>
          <w:lang w:val="sk-SK" w:eastAsia="zh-CN"/>
        </w:rPr>
        <w:t xml:space="preserve">môžu </w:t>
      </w:r>
      <w:r w:rsidR="003073C8" w:rsidRPr="00D252D3">
        <w:rPr>
          <w:b w:val="0"/>
          <w:bCs/>
          <w:color w:val="auto"/>
          <w:szCs w:val="22"/>
          <w:u w:val="single"/>
          <w:lang w:val="sk-SK" w:eastAsia="zh-CN"/>
        </w:rPr>
        <w:t>postihnúť</w:t>
      </w:r>
      <w:r w:rsidRPr="00D252D3">
        <w:rPr>
          <w:b w:val="0"/>
          <w:bCs/>
          <w:color w:val="auto"/>
          <w:szCs w:val="22"/>
          <w:u w:val="single"/>
          <w:lang w:val="sk-SK" w:eastAsia="zh-CN"/>
        </w:rPr>
        <w:t xml:space="preserve"> až do 1 z 10 ľudí)</w:t>
      </w:r>
      <w:r w:rsidRPr="00D252D3">
        <w:rPr>
          <w:b w:val="0"/>
          <w:bCs/>
          <w:color w:val="auto"/>
          <w:szCs w:val="22"/>
          <w:u w:val="single"/>
          <w:lang w:val="sk-SK"/>
        </w:rPr>
        <w:t>:</w:t>
      </w:r>
    </w:p>
    <w:p w:rsidR="00720825" w:rsidRPr="00D252D3" w:rsidRDefault="00720825" w:rsidP="00720825">
      <w:pPr>
        <w:pStyle w:val="BodyTextIndent"/>
        <w:rPr>
          <w:rFonts w:eastAsia="MS Mincho"/>
          <w:b w:val="0"/>
          <w:bCs/>
          <w:color w:val="auto"/>
          <w:szCs w:val="22"/>
          <w:lang w:val="sk-SK" w:eastAsia="ja-JP"/>
        </w:rPr>
      </w:pPr>
      <w:r w:rsidRPr="00D252D3">
        <w:rPr>
          <w:rFonts w:eastAsia="MS Mincho"/>
          <w:b w:val="0"/>
          <w:bCs/>
          <w:color w:val="auto"/>
          <w:szCs w:val="22"/>
          <w:lang w:val="sk-SK" w:eastAsia="ja-JP"/>
        </w:rPr>
        <w:t xml:space="preserve">nevoľnosť (nauzea), </w:t>
      </w:r>
      <w:r w:rsidRPr="00D252D3">
        <w:rPr>
          <w:b w:val="0"/>
          <w:bCs/>
          <w:color w:val="auto"/>
          <w:szCs w:val="22"/>
          <w:lang w:val="sk-SK"/>
        </w:rPr>
        <w:t>nízka hladina horčíka v krvi.</w:t>
      </w:r>
    </w:p>
    <w:p w:rsidR="00720825" w:rsidRPr="00D252D3" w:rsidRDefault="00720825" w:rsidP="00720825">
      <w:pPr>
        <w:pStyle w:val="BodyTextIndent"/>
        <w:rPr>
          <w:rFonts w:eastAsia="MS Mincho"/>
          <w:b w:val="0"/>
          <w:bCs/>
          <w:color w:val="auto"/>
          <w:szCs w:val="22"/>
          <w:lang w:val="sk-SK" w:eastAsia="ja-JP"/>
        </w:rPr>
      </w:pPr>
    </w:p>
    <w:p w:rsidR="00720825" w:rsidRPr="00D252D3" w:rsidRDefault="00720825" w:rsidP="00720825">
      <w:pPr>
        <w:rPr>
          <w:bCs/>
          <w:szCs w:val="22"/>
          <w:u w:val="single"/>
        </w:rPr>
      </w:pPr>
      <w:r w:rsidRPr="00D252D3">
        <w:rPr>
          <w:bCs/>
          <w:szCs w:val="22"/>
          <w:u w:val="single"/>
        </w:rPr>
        <w:t>Zriedkavé vedľajšie účinky (</w:t>
      </w:r>
      <w:r w:rsidRPr="00D252D3">
        <w:rPr>
          <w:szCs w:val="22"/>
          <w:u w:val="single"/>
          <w:lang w:eastAsia="zh-CN"/>
        </w:rPr>
        <w:t xml:space="preserve">môžu </w:t>
      </w:r>
      <w:r w:rsidR="003073C8" w:rsidRPr="00D252D3">
        <w:rPr>
          <w:szCs w:val="22"/>
          <w:u w:val="single"/>
          <w:lang w:eastAsia="zh-CN"/>
        </w:rPr>
        <w:t>postihnúť</w:t>
      </w:r>
      <w:r w:rsidRPr="00D252D3">
        <w:rPr>
          <w:szCs w:val="22"/>
          <w:u w:val="single"/>
          <w:lang w:eastAsia="zh-CN"/>
        </w:rPr>
        <w:t xml:space="preserve"> až do 1 z 1 000 ľudí</w:t>
      </w:r>
      <w:r w:rsidRPr="00D252D3">
        <w:rPr>
          <w:bCs/>
          <w:szCs w:val="22"/>
          <w:u w:val="single"/>
          <w:lang w:eastAsia="zh-CN"/>
        </w:rPr>
        <w:t>)</w:t>
      </w:r>
      <w:r w:rsidRPr="00D252D3">
        <w:rPr>
          <w:bCs/>
          <w:szCs w:val="22"/>
          <w:u w:val="single"/>
        </w:rPr>
        <w:t>:</w:t>
      </w:r>
    </w:p>
    <w:p w:rsidR="00720825" w:rsidRPr="00D252D3" w:rsidRDefault="00720825" w:rsidP="00720825">
      <w:pPr>
        <w:pStyle w:val="BodyTextIndent"/>
        <w:ind w:left="0" w:firstLine="0"/>
        <w:rPr>
          <w:b w:val="0"/>
          <w:bCs/>
          <w:color w:val="auto"/>
          <w:szCs w:val="22"/>
          <w:lang w:val="sk-SK" w:eastAsia="zh-TW"/>
        </w:rPr>
      </w:pPr>
      <w:r w:rsidRPr="00D252D3">
        <w:rPr>
          <w:b w:val="0"/>
          <w:bCs/>
          <w:color w:val="auto"/>
          <w:szCs w:val="22"/>
          <w:lang w:val="sk-SK"/>
        </w:rPr>
        <w:t>znížený počet krvných doštičiek, ktorý zvyšuje riziko krvácania alebo krvných podliatin (malé purpurovočervené škvrny na koži alebo inom tkanive spôsobené krvácaním),</w:t>
      </w:r>
      <w:r w:rsidRPr="00D252D3">
        <w:rPr>
          <w:b w:val="0"/>
          <w:bCs/>
          <w:color w:val="auto"/>
          <w:szCs w:val="22"/>
          <w:lang w:val="sk-SK" w:eastAsia="zh-TW"/>
        </w:rPr>
        <w:t xml:space="preserve"> </w:t>
      </w:r>
      <w:r w:rsidRPr="00D252D3">
        <w:rPr>
          <w:b w:val="0"/>
          <w:bCs/>
          <w:color w:val="auto"/>
          <w:szCs w:val="22"/>
          <w:lang w:val="sk-SK"/>
        </w:rPr>
        <w:t xml:space="preserve">vysoká hladina vápnika v krvi, </w:t>
      </w:r>
      <w:r w:rsidR="003073C8" w:rsidRPr="00D252D3">
        <w:rPr>
          <w:rFonts w:eastAsia="MS Mincho"/>
          <w:b w:val="0"/>
          <w:bCs/>
          <w:color w:val="auto"/>
          <w:szCs w:val="22"/>
          <w:lang w:val="sk-SK" w:eastAsia="ja-JP"/>
        </w:rPr>
        <w:t>bolesť</w:t>
      </w:r>
      <w:r w:rsidRPr="00D252D3">
        <w:rPr>
          <w:rFonts w:eastAsia="MS Mincho"/>
          <w:b w:val="0"/>
          <w:bCs/>
          <w:color w:val="auto"/>
          <w:szCs w:val="22"/>
          <w:lang w:val="sk-SK" w:eastAsia="ja-JP"/>
        </w:rPr>
        <w:t xml:space="preserve"> hlavy</w:t>
      </w:r>
      <w:r w:rsidRPr="00D252D3">
        <w:rPr>
          <w:b w:val="0"/>
          <w:bCs/>
          <w:color w:val="auto"/>
          <w:szCs w:val="22"/>
          <w:lang w:val="sk-SK" w:eastAsia="zh-TW"/>
        </w:rPr>
        <w:t>.</w:t>
      </w:r>
    </w:p>
    <w:p w:rsidR="00720825" w:rsidRPr="00D252D3" w:rsidRDefault="00720825" w:rsidP="00720825">
      <w:pPr>
        <w:pStyle w:val="BodyTextIndent"/>
        <w:rPr>
          <w:b w:val="0"/>
          <w:bCs/>
          <w:color w:val="auto"/>
          <w:szCs w:val="22"/>
          <w:lang w:val="sk-SK" w:eastAsia="zh-TW"/>
        </w:rPr>
      </w:pPr>
    </w:p>
    <w:p w:rsidR="00720825" w:rsidRPr="00D252D3" w:rsidRDefault="00720825" w:rsidP="00720825">
      <w:pPr>
        <w:rPr>
          <w:bCs/>
          <w:szCs w:val="22"/>
          <w:u w:val="single"/>
        </w:rPr>
      </w:pPr>
      <w:r w:rsidRPr="00D252D3">
        <w:rPr>
          <w:bCs/>
          <w:szCs w:val="22"/>
          <w:u w:val="single"/>
        </w:rPr>
        <w:t>Veľmi zriedkavé vedľajšie účinky (</w:t>
      </w:r>
      <w:r w:rsidRPr="00D252D3">
        <w:rPr>
          <w:szCs w:val="22"/>
          <w:u w:val="single"/>
          <w:lang w:eastAsia="zh-CN"/>
        </w:rPr>
        <w:t xml:space="preserve">môžu </w:t>
      </w:r>
      <w:r w:rsidR="003073C8" w:rsidRPr="00D252D3">
        <w:rPr>
          <w:szCs w:val="22"/>
          <w:u w:val="single"/>
          <w:lang w:eastAsia="zh-CN"/>
        </w:rPr>
        <w:t>postihnúť</w:t>
      </w:r>
      <w:r w:rsidRPr="00D252D3">
        <w:rPr>
          <w:szCs w:val="22"/>
          <w:u w:val="single"/>
          <w:lang w:eastAsia="zh-CN"/>
        </w:rPr>
        <w:t xml:space="preserve"> až do 1 z 10 000 ľudí</w:t>
      </w:r>
      <w:r w:rsidRPr="00D252D3">
        <w:rPr>
          <w:bCs/>
          <w:szCs w:val="22"/>
          <w:u w:val="single"/>
        </w:rPr>
        <w:t>):</w:t>
      </w:r>
    </w:p>
    <w:p w:rsidR="00720825" w:rsidRPr="00D252D3" w:rsidRDefault="00720825" w:rsidP="00720825">
      <w:pPr>
        <w:pStyle w:val="BodyTextIndent"/>
        <w:rPr>
          <w:b w:val="0"/>
          <w:bCs/>
          <w:color w:val="auto"/>
          <w:lang w:val="sk-SK"/>
        </w:rPr>
      </w:pPr>
      <w:r w:rsidRPr="00D252D3">
        <w:rPr>
          <w:b w:val="0"/>
          <w:bCs/>
          <w:color w:val="auto"/>
          <w:szCs w:val="22"/>
          <w:lang w:val="sk-SK"/>
        </w:rPr>
        <w:t>zvýšená hodnota pH (narušená acidobázická rovnováha) v </w:t>
      </w:r>
      <w:r w:rsidR="003073C8" w:rsidRPr="00D252D3">
        <w:rPr>
          <w:b w:val="0"/>
          <w:bCs/>
          <w:color w:val="auto"/>
          <w:szCs w:val="22"/>
          <w:lang w:val="sk-SK"/>
        </w:rPr>
        <w:t>dôsledku</w:t>
      </w:r>
      <w:r w:rsidRPr="00D252D3">
        <w:rPr>
          <w:b w:val="0"/>
          <w:bCs/>
          <w:color w:val="auto"/>
          <w:szCs w:val="22"/>
          <w:lang w:val="sk-SK"/>
        </w:rPr>
        <w:t xml:space="preserve"> nízkej hladiny chloridov v krvi</w:t>
      </w:r>
      <w:r w:rsidRPr="00D252D3">
        <w:rPr>
          <w:b w:val="0"/>
          <w:bCs/>
          <w:color w:val="auto"/>
          <w:lang w:val="sk-SK"/>
        </w:rPr>
        <w:t>.</w:t>
      </w:r>
    </w:p>
    <w:p w:rsidR="00720825" w:rsidRPr="00D252D3" w:rsidRDefault="00720825" w:rsidP="00720825">
      <w:pPr>
        <w:pStyle w:val="BodyTextIndent"/>
        <w:rPr>
          <w:b w:val="0"/>
          <w:bCs/>
          <w:color w:val="auto"/>
          <w:lang w:val="sk-SK"/>
        </w:rPr>
      </w:pPr>
    </w:p>
    <w:p w:rsidR="0053152B" w:rsidRPr="00D252D3" w:rsidRDefault="0053152B">
      <w:pPr>
        <w:ind w:left="0" w:firstLine="0"/>
        <w:rPr>
          <w:u w:val="single"/>
        </w:rPr>
      </w:pPr>
      <w:r w:rsidRPr="00D252D3">
        <w:rPr>
          <w:u w:val="single"/>
        </w:rPr>
        <w:t>Vedľajšie účinky s neznámou frekvenciou (častosť sa nedá odhadnúť z dostupných údajov):</w:t>
      </w:r>
    </w:p>
    <w:p w:rsidR="0053152B" w:rsidRPr="00D252D3" w:rsidRDefault="0053152B">
      <w:pPr>
        <w:ind w:left="0" w:firstLine="0"/>
      </w:pPr>
      <w:r w:rsidRPr="00D252D3">
        <w:t xml:space="preserve">zápal slinných žliaz, </w:t>
      </w:r>
      <w:r w:rsidR="00660A35" w:rsidRPr="00D252D3">
        <w:t xml:space="preserve">rakovina kože a rakovina pier (nemelanómová rakovina kože), </w:t>
      </w:r>
      <w:r w:rsidRPr="00D252D3">
        <w:t xml:space="preserve">znížený počet (alebo dokonca nedostatok) buniek v krvi, vrátane zníženého počtu červených a bielych krviniek, závažné alergické reakcie </w:t>
      </w:r>
      <w:r w:rsidRPr="00D252D3">
        <w:rPr>
          <w:szCs w:val="22"/>
        </w:rPr>
        <w:t>(napr. precitlivenosť, anafylaktická reakcia)</w:t>
      </w:r>
      <w:r w:rsidRPr="00D252D3">
        <w:t xml:space="preserve">, zníženie alebo strata chuti do jedla, nepokoj, mierny závrat, rozmazané alebo žltkasté videnie, </w:t>
      </w:r>
      <w:r w:rsidRPr="00D252D3">
        <w:rPr>
          <w:szCs w:val="22"/>
        </w:rPr>
        <w:t xml:space="preserve">zhoršené videnie a bolesť oka </w:t>
      </w:r>
      <w:r w:rsidRPr="00D252D3">
        <w:rPr>
          <w:rFonts w:eastAsia="MS Mincho"/>
          <w:szCs w:val="22"/>
          <w:lang w:eastAsia="ja-JP"/>
        </w:rPr>
        <w:t xml:space="preserve">(možné príznaky </w:t>
      </w:r>
      <w:r w:rsidR="002A5973" w:rsidRPr="00D252D3">
        <w:t>nahromadenia tekutiny vo vrstve oka obsahujúcej cievy (choroidálna efúzia) alebo</w:t>
      </w:r>
      <w:r w:rsidR="002A5973" w:rsidRPr="00D252D3">
        <w:rPr>
          <w:sz w:val="18"/>
          <w:szCs w:val="18"/>
        </w:rPr>
        <w:t xml:space="preserve"> </w:t>
      </w:r>
      <w:r w:rsidRPr="00D252D3">
        <w:rPr>
          <w:rFonts w:eastAsia="MS Mincho"/>
          <w:szCs w:val="22"/>
          <w:lang w:eastAsia="ja-JP"/>
        </w:rPr>
        <w:t xml:space="preserve">akútnej </w:t>
      </w:r>
      <w:r w:rsidRPr="00D252D3">
        <w:t>krátkozrakosti</w:t>
      </w:r>
      <w:r w:rsidRPr="00D252D3">
        <w:rPr>
          <w:rFonts w:eastAsia="MS Mincho"/>
          <w:szCs w:val="22"/>
          <w:lang w:eastAsia="ja-JP"/>
        </w:rPr>
        <w:t xml:space="preserve"> alebo akútneho glaukómu s uzavretým uhlom), </w:t>
      </w:r>
      <w:r w:rsidRPr="00D252D3">
        <w:t>zápal krvných ciev (nekrotizujúca vaskulitída), zápal pankreasu,</w:t>
      </w:r>
      <w:r w:rsidRPr="00D252D3">
        <w:rPr>
          <w:szCs w:val="22"/>
        </w:rPr>
        <w:t xml:space="preserve"> žalúdočné ťažkosti,</w:t>
      </w:r>
      <w:r w:rsidRPr="00D252D3">
        <w:t xml:space="preserve"> zožltnutie pokožky alebo očí (žltačka), príznaky podobné lupusu (príznaky podobné ochoreniu nazývanému systémový lupus erythematosus, pri ktorom imunitný systém organizmu napáda vlastné telo), poruchy kože ako zápal žíl v koži, zvýšenú citlivosť na slnečné svetlo, vyrážka, sčervenanie kože, pľuzgiere na perách, očiach alebo v ústach, olupovanie kože, horúčka (možné prejavy multiformného erytému), slabosť, zápal obličiek alebo narušená funkcia obličiek, glukóza v moči (glykozúria), horúčka, narušená rovnováha elektrolytov, vysoké hladiny cholesterolu v krvi, znížený objem krvi, zvýšená hladina glukózy, ťažkosti s regulovaním hladiny glukózy v krvi/moči u pacientov s cukrovkou alebo tukov v krvi.</w:t>
      </w:r>
    </w:p>
    <w:p w:rsidR="0053152B" w:rsidRPr="00D252D3" w:rsidRDefault="0053152B">
      <w:pPr>
        <w:ind w:left="0" w:firstLine="0"/>
      </w:pPr>
    </w:p>
    <w:p w:rsidR="0053152B" w:rsidRPr="00D252D3" w:rsidRDefault="0053152B">
      <w:pPr>
        <w:numPr>
          <w:ilvl w:val="12"/>
          <w:numId w:val="0"/>
        </w:numPr>
        <w:tabs>
          <w:tab w:val="left" w:pos="720"/>
        </w:tabs>
        <w:rPr>
          <w:b/>
          <w:szCs w:val="22"/>
        </w:rPr>
      </w:pPr>
      <w:r w:rsidRPr="00D252D3">
        <w:rPr>
          <w:b/>
          <w:szCs w:val="22"/>
        </w:rPr>
        <w:t>Hlásenie vedľajších účinkov</w:t>
      </w:r>
    </w:p>
    <w:p w:rsidR="0053152B" w:rsidRPr="00D252D3" w:rsidRDefault="0053152B">
      <w:pPr>
        <w:numPr>
          <w:ilvl w:val="12"/>
          <w:numId w:val="0"/>
        </w:numPr>
        <w:tabs>
          <w:tab w:val="left" w:pos="720"/>
        </w:tabs>
        <w:ind w:right="-2"/>
        <w:rPr>
          <w:szCs w:val="22"/>
        </w:rPr>
      </w:pPr>
      <w:r w:rsidRPr="00D252D3">
        <w:rPr>
          <w:color w:val="000000"/>
          <w:szCs w:val="22"/>
        </w:rPr>
        <w:t xml:space="preserve">Ak sa u vás vyskytne akýkoľvek vedľajší účinok, obráťte sa na svojho lekára alebo lekárnika. To sa týka aj akýchkoľvek vedľajších účinkov, ktoré nie sú uvedené v tejto písomnej informácii. </w:t>
      </w:r>
      <w:r w:rsidRPr="00D252D3">
        <w:rPr>
          <w:szCs w:val="22"/>
        </w:rPr>
        <w:t xml:space="preserve">Vedľajšie účinky môžete hlásiť aj priamo na </w:t>
      </w:r>
      <w:r w:rsidRPr="00D252D3">
        <w:rPr>
          <w:szCs w:val="22"/>
          <w:highlight w:val="lightGray"/>
        </w:rPr>
        <w:t>národné centrum hlásenia uvedené v </w:t>
      </w:r>
      <w:hyperlink r:id="rId19" w:history="1">
        <w:r w:rsidRPr="00D252D3">
          <w:rPr>
            <w:rStyle w:val="Hyperlink"/>
            <w:szCs w:val="22"/>
            <w:highlight w:val="lightGray"/>
          </w:rPr>
          <w:t>p</w:t>
        </w:r>
        <w:r w:rsidRPr="00D252D3">
          <w:rPr>
            <w:rStyle w:val="Hyperlink"/>
            <w:highlight w:val="lightGray"/>
          </w:rPr>
          <w:t>r</w:t>
        </w:r>
        <w:r w:rsidRPr="00D252D3">
          <w:rPr>
            <w:rStyle w:val="Hyperlink"/>
            <w:highlight w:val="lightGray"/>
          </w:rPr>
          <w:t>í</w:t>
        </w:r>
        <w:r w:rsidRPr="00D252D3">
          <w:rPr>
            <w:rStyle w:val="Hyperlink"/>
            <w:highlight w:val="lightGray"/>
          </w:rPr>
          <w:t>lo</w:t>
        </w:r>
        <w:r w:rsidRPr="00D252D3">
          <w:rPr>
            <w:rStyle w:val="Hyperlink"/>
            <w:highlight w:val="lightGray"/>
          </w:rPr>
          <w:t>h</w:t>
        </w:r>
        <w:r w:rsidRPr="00D252D3">
          <w:rPr>
            <w:rStyle w:val="Hyperlink"/>
            <w:highlight w:val="lightGray"/>
          </w:rPr>
          <w:t>e V</w:t>
        </w:r>
      </w:hyperlink>
      <w:r w:rsidRPr="00D252D3">
        <w:rPr>
          <w:szCs w:val="22"/>
        </w:rPr>
        <w:t>. Hlásením vedľajších účinkov môžete prispieť k získaniu ďalších informácií o bezpečnosti tohto lieku.</w:t>
      </w:r>
    </w:p>
    <w:p w:rsidR="0053152B" w:rsidRPr="00D252D3" w:rsidRDefault="0053152B">
      <w:pPr>
        <w:numPr>
          <w:ilvl w:val="12"/>
          <w:numId w:val="0"/>
        </w:numPr>
        <w:ind w:right="-2"/>
        <w:rPr>
          <w:b/>
        </w:rPr>
      </w:pPr>
    </w:p>
    <w:p w:rsidR="0053152B" w:rsidRPr="00D252D3" w:rsidRDefault="0053152B">
      <w:pPr>
        <w:numPr>
          <w:ilvl w:val="12"/>
          <w:numId w:val="0"/>
        </w:numPr>
        <w:ind w:right="-2"/>
        <w:rPr>
          <w:b/>
        </w:rPr>
      </w:pPr>
    </w:p>
    <w:p w:rsidR="0053152B" w:rsidRPr="00D252D3" w:rsidRDefault="0053152B" w:rsidP="00AB164B">
      <w:pPr>
        <w:keepNext/>
        <w:numPr>
          <w:ilvl w:val="12"/>
          <w:numId w:val="0"/>
        </w:numPr>
        <w:ind w:left="567" w:hanging="567"/>
      </w:pPr>
      <w:r w:rsidRPr="00D252D3">
        <w:rPr>
          <w:b/>
        </w:rPr>
        <w:t>5.</w:t>
      </w:r>
      <w:r w:rsidRPr="00D252D3">
        <w:rPr>
          <w:b/>
        </w:rPr>
        <w:tab/>
        <w:t>Ako uchovávať MicardisPlus</w:t>
      </w:r>
    </w:p>
    <w:p w:rsidR="0053152B" w:rsidRPr="00D252D3" w:rsidRDefault="0053152B" w:rsidP="00AB164B">
      <w:pPr>
        <w:keepNext/>
        <w:numPr>
          <w:ilvl w:val="12"/>
          <w:numId w:val="0"/>
        </w:numPr>
      </w:pPr>
    </w:p>
    <w:p w:rsidR="0053152B" w:rsidRPr="00D252D3" w:rsidRDefault="0053152B">
      <w:r w:rsidRPr="00D252D3">
        <w:t>Tento liek uchovávajte mimo dohľadu a dosahu detí.</w:t>
      </w:r>
    </w:p>
    <w:p w:rsidR="0053152B" w:rsidRPr="00D252D3" w:rsidRDefault="0053152B">
      <w:pPr>
        <w:ind w:left="0" w:firstLine="0"/>
      </w:pPr>
    </w:p>
    <w:p w:rsidR="0053152B" w:rsidRPr="00D252D3" w:rsidRDefault="0053152B">
      <w:pPr>
        <w:ind w:left="0" w:firstLine="0"/>
      </w:pPr>
      <w:r w:rsidRPr="00D252D3">
        <w:t>Nepoužívajte tento liek po dátume exspirácie, ktorý je uvedený na škatuli po „EXP“. Dátum exspirácie sa vzťahuje na posledný deň v danom mesiaci.</w:t>
      </w:r>
    </w:p>
    <w:p w:rsidR="0053152B" w:rsidRPr="00D252D3" w:rsidRDefault="0053152B">
      <w:pPr>
        <w:ind w:left="0" w:firstLine="0"/>
      </w:pPr>
    </w:p>
    <w:p w:rsidR="0053152B" w:rsidRPr="00D252D3" w:rsidRDefault="0053152B">
      <w:pPr>
        <w:ind w:left="0" w:firstLine="0"/>
        <w:rPr>
          <w:szCs w:val="22"/>
        </w:rPr>
      </w:pPr>
      <w:r w:rsidRPr="00D252D3">
        <w:rPr>
          <w:snapToGrid w:val="0"/>
          <w:lang w:eastAsia="cs-CZ"/>
        </w:rPr>
        <w:t>Tento liek nevyžaduje žiadne zvláštne teplotné podmienky na uchovávanie. Uchovávajte váš liek v pôvodnom obale na ochranu tabliet pred vlhkosťou.</w:t>
      </w:r>
      <w:r w:rsidRPr="00D252D3">
        <w:rPr>
          <w:szCs w:val="22"/>
        </w:rPr>
        <w:t xml:space="preserve"> Tabletu </w:t>
      </w:r>
      <w:r w:rsidRPr="00D252D3">
        <w:rPr>
          <w:snapToGrid w:val="0"/>
          <w:lang w:eastAsia="cs-CZ"/>
        </w:rPr>
        <w:t xml:space="preserve">MicardisPlusu </w:t>
      </w:r>
      <w:r w:rsidRPr="00D252D3">
        <w:rPr>
          <w:szCs w:val="22"/>
        </w:rPr>
        <w:t>vyberte z blistra iba bezprostredne pred užitím.</w:t>
      </w:r>
    </w:p>
    <w:p w:rsidR="0053152B" w:rsidRPr="00D252D3" w:rsidRDefault="0053152B"/>
    <w:p w:rsidR="0053152B" w:rsidRPr="00D252D3" w:rsidRDefault="0053152B">
      <w:pPr>
        <w:ind w:left="0" w:firstLine="0"/>
      </w:pPr>
      <w:r w:rsidRPr="00D252D3">
        <w:t>Niekedy sa pozorovalo, že sa vonkajšia vrstva blistra oddelila od vnútornej medzi jamkami blistra. Ak sa to stane nie je potrebné robiť žiadne opatrenia.</w:t>
      </w:r>
    </w:p>
    <w:p w:rsidR="0053152B" w:rsidRPr="00D252D3" w:rsidRDefault="0053152B"/>
    <w:p w:rsidR="0053152B" w:rsidRPr="00D252D3" w:rsidRDefault="0053152B">
      <w:pPr>
        <w:ind w:left="0" w:firstLine="0"/>
      </w:pPr>
      <w:r w:rsidRPr="00D252D3">
        <w:t>Nelikvidujte lieky odpadovou vodou alebo domovým odpadom. Nepoužitý liek vráťte do lekárne. Tieto opatrenia pomôžu chrániť životné prostredie.</w:t>
      </w:r>
    </w:p>
    <w:p w:rsidR="0053152B" w:rsidRPr="00D252D3" w:rsidRDefault="0053152B">
      <w:pPr>
        <w:ind w:left="0" w:firstLine="0"/>
      </w:pPr>
    </w:p>
    <w:p w:rsidR="0053152B" w:rsidRPr="00D252D3" w:rsidRDefault="0053152B">
      <w:pPr>
        <w:ind w:left="0" w:firstLine="0"/>
      </w:pPr>
    </w:p>
    <w:p w:rsidR="0053152B" w:rsidRPr="00D252D3" w:rsidRDefault="0053152B" w:rsidP="000D7A2C">
      <w:pPr>
        <w:keepNext/>
        <w:numPr>
          <w:ilvl w:val="12"/>
          <w:numId w:val="0"/>
        </w:numPr>
        <w:ind w:left="567" w:right="-2" w:hanging="567"/>
        <w:rPr>
          <w:b/>
        </w:rPr>
      </w:pPr>
      <w:r w:rsidRPr="00D252D3">
        <w:rPr>
          <w:b/>
        </w:rPr>
        <w:t>6.</w:t>
      </w:r>
      <w:r w:rsidRPr="00D252D3">
        <w:rPr>
          <w:b/>
        </w:rPr>
        <w:tab/>
        <w:t>Obsah balenia a ďalšie informácie</w:t>
      </w:r>
    </w:p>
    <w:p w:rsidR="0053152B" w:rsidRPr="00D252D3" w:rsidRDefault="0053152B" w:rsidP="000D7A2C">
      <w:pPr>
        <w:keepNext/>
        <w:ind w:left="0" w:firstLine="0"/>
        <w:jc w:val="both"/>
      </w:pPr>
    </w:p>
    <w:p w:rsidR="0053152B" w:rsidRPr="00D252D3" w:rsidRDefault="0053152B" w:rsidP="00AB164B">
      <w:pPr>
        <w:keepNext/>
        <w:ind w:left="0" w:firstLine="0"/>
        <w:jc w:val="both"/>
        <w:rPr>
          <w:b/>
        </w:rPr>
      </w:pPr>
      <w:r w:rsidRPr="00D252D3">
        <w:rPr>
          <w:b/>
        </w:rPr>
        <w:t>Čo MicardisPlus obsahuje</w:t>
      </w:r>
    </w:p>
    <w:p w:rsidR="0053152B" w:rsidRPr="00D252D3" w:rsidRDefault="0053152B" w:rsidP="00AB164B">
      <w:pPr>
        <w:keepNext/>
        <w:ind w:left="0" w:firstLine="0"/>
        <w:jc w:val="both"/>
        <w:rPr>
          <w:b/>
        </w:rPr>
      </w:pPr>
    </w:p>
    <w:p w:rsidR="0053152B" w:rsidRPr="00D252D3" w:rsidRDefault="0053152B">
      <w:pPr>
        <w:ind w:left="0" w:firstLine="0"/>
      </w:pPr>
      <w:r w:rsidRPr="00D252D3">
        <w:t xml:space="preserve">Liečivá sú telmisartan a hydrochlorotiazid. Každá tableta obsahuje 80 mg telmisartanu a 25 mg hydrochlorotiazidu. </w:t>
      </w:r>
    </w:p>
    <w:p w:rsidR="0053152B" w:rsidRPr="00D252D3" w:rsidRDefault="0053152B">
      <w:pPr>
        <w:ind w:left="0" w:firstLine="0"/>
      </w:pPr>
      <w:r w:rsidRPr="00D252D3">
        <w:t xml:space="preserve">Ďalšie zložky sú monohydrát laktózy, magnéziumstearát, kukuričný škrob, meglumín, </w:t>
      </w:r>
      <w:r w:rsidRPr="00D252D3">
        <w:rPr>
          <w:snapToGrid w:val="0"/>
          <w:lang w:eastAsia="cs-CZ"/>
        </w:rPr>
        <w:t>mikrokryštalická celulóza, povidón, žltý oxid železitý (E172), hydroxid sodný, sodná soľ karboxymetylškrobu (typ A), sorbitol (E420).</w:t>
      </w:r>
    </w:p>
    <w:p w:rsidR="0053152B" w:rsidRPr="00D252D3" w:rsidRDefault="0053152B">
      <w:pPr>
        <w:jc w:val="both"/>
      </w:pPr>
    </w:p>
    <w:p w:rsidR="0053152B" w:rsidRPr="00D252D3" w:rsidRDefault="0053152B">
      <w:pPr>
        <w:ind w:left="0" w:firstLine="0"/>
        <w:jc w:val="both"/>
        <w:rPr>
          <w:b/>
        </w:rPr>
      </w:pPr>
      <w:r w:rsidRPr="00D252D3">
        <w:rPr>
          <w:b/>
        </w:rPr>
        <w:t>Ako vyzerá MicardisPlus a obsah balenia</w:t>
      </w:r>
    </w:p>
    <w:p w:rsidR="0053152B" w:rsidRPr="00D252D3" w:rsidRDefault="0053152B">
      <w:pPr>
        <w:ind w:left="0" w:firstLine="0"/>
        <w:jc w:val="both"/>
      </w:pPr>
    </w:p>
    <w:p w:rsidR="0053152B" w:rsidRPr="00D252D3" w:rsidRDefault="0053152B">
      <w:pPr>
        <w:ind w:left="0" w:firstLine="0"/>
        <w:jc w:val="both"/>
      </w:pPr>
      <w:r w:rsidRPr="00D252D3">
        <w:t xml:space="preserve">MicardisPlus 80 mg/25 mg tablety sú žlto-biele, dvojvrstvové </w:t>
      </w:r>
      <w:r w:rsidR="00EA1571" w:rsidRPr="00D252D3">
        <w:t>podlhovasté</w:t>
      </w:r>
      <w:r w:rsidRPr="00D252D3">
        <w:t xml:space="preserve"> tablety s vyrytým logom spoločnosti a kódom ’H9’.</w:t>
      </w:r>
    </w:p>
    <w:p w:rsidR="0053152B" w:rsidRPr="00D252D3" w:rsidRDefault="0053152B">
      <w:pPr>
        <w:ind w:left="0" w:firstLine="0"/>
        <w:jc w:val="both"/>
      </w:pPr>
    </w:p>
    <w:p w:rsidR="0053152B" w:rsidRPr="00D252D3" w:rsidRDefault="0053152B">
      <w:pPr>
        <w:ind w:left="0" w:firstLine="0"/>
        <w:jc w:val="both"/>
      </w:pPr>
      <w:r w:rsidRPr="00D252D3">
        <w:t>MicardisPlus sa dodáva v blistrových baleniach obsahujúcich 14, 28, 56 alebo 98 tabliet alebo v blistroch s jednotlivými dávkami, ktoré obsahujú 28 x 1, 30 x 1 alebo 90 x 1 tabletu.</w:t>
      </w:r>
    </w:p>
    <w:p w:rsidR="0053152B" w:rsidRPr="00D252D3" w:rsidRDefault="0053152B">
      <w:pPr>
        <w:ind w:left="0" w:firstLine="0"/>
        <w:jc w:val="both"/>
      </w:pPr>
    </w:p>
    <w:p w:rsidR="0053152B" w:rsidRPr="00D252D3" w:rsidRDefault="0053152B">
      <w:pPr>
        <w:ind w:left="0" w:firstLine="0"/>
        <w:jc w:val="both"/>
      </w:pPr>
      <w:r w:rsidRPr="00D252D3">
        <w:t>Nie všetky veľkosti balenia musia byť dostupné vo vašej krajine.</w:t>
      </w:r>
    </w:p>
    <w:p w:rsidR="0053152B" w:rsidRPr="00D252D3" w:rsidRDefault="0053152B">
      <w:pPr>
        <w:jc w:val="both"/>
      </w:pPr>
    </w:p>
    <w:p w:rsidR="0053152B" w:rsidRPr="00D252D3" w:rsidRDefault="0053152B" w:rsidP="0057583E">
      <w:pPr>
        <w:tabs>
          <w:tab w:val="left" w:pos="4253"/>
        </w:tabs>
        <w:ind w:left="0" w:firstLine="0"/>
        <w:jc w:val="both"/>
        <w:rPr>
          <w:b/>
        </w:rPr>
      </w:pPr>
      <w:r w:rsidRPr="00D252D3">
        <w:rPr>
          <w:b/>
        </w:rPr>
        <w:t>Držiteľ rozhodnutia o registrácii</w:t>
      </w:r>
      <w:r w:rsidRPr="00D252D3">
        <w:rPr>
          <w:b/>
        </w:rPr>
        <w:tab/>
        <w:t>Výrobca</w:t>
      </w:r>
    </w:p>
    <w:p w:rsidR="0053152B" w:rsidRPr="00D252D3" w:rsidRDefault="0053152B" w:rsidP="0057583E">
      <w:pPr>
        <w:tabs>
          <w:tab w:val="left" w:pos="4253"/>
        </w:tabs>
        <w:ind w:left="0" w:firstLine="0"/>
        <w:rPr>
          <w:szCs w:val="22"/>
        </w:rPr>
      </w:pPr>
      <w:r w:rsidRPr="00D252D3">
        <w:rPr>
          <w:szCs w:val="22"/>
        </w:rPr>
        <w:t>Boehringer Ingelheim International GmbH</w:t>
      </w:r>
      <w:r w:rsidRPr="00D252D3">
        <w:rPr>
          <w:szCs w:val="22"/>
        </w:rPr>
        <w:tab/>
        <w:t>Boehringer Ingelheim Pharma GmbH &amp; Co. KG</w:t>
      </w:r>
    </w:p>
    <w:p w:rsidR="0053152B" w:rsidRPr="00D252D3" w:rsidRDefault="0053152B" w:rsidP="0057583E">
      <w:pPr>
        <w:tabs>
          <w:tab w:val="left" w:pos="4253"/>
        </w:tabs>
        <w:ind w:left="0" w:firstLine="0"/>
        <w:rPr>
          <w:szCs w:val="22"/>
          <w:highlight w:val="yellow"/>
        </w:rPr>
      </w:pPr>
      <w:r w:rsidRPr="00D252D3">
        <w:rPr>
          <w:szCs w:val="22"/>
        </w:rPr>
        <w:t>Binger Str. 173</w:t>
      </w:r>
      <w:r w:rsidRPr="00D252D3">
        <w:rPr>
          <w:szCs w:val="22"/>
        </w:rPr>
        <w:tab/>
        <w:t>Binger str. 173</w:t>
      </w:r>
    </w:p>
    <w:p w:rsidR="0053152B" w:rsidRPr="00D252D3" w:rsidRDefault="0053152B" w:rsidP="0057583E">
      <w:pPr>
        <w:tabs>
          <w:tab w:val="left" w:pos="4253"/>
        </w:tabs>
        <w:ind w:left="0" w:firstLine="0"/>
        <w:rPr>
          <w:szCs w:val="22"/>
        </w:rPr>
      </w:pPr>
      <w:r w:rsidRPr="00D252D3">
        <w:rPr>
          <w:szCs w:val="22"/>
        </w:rPr>
        <w:t>D-55216 Ingelheim nad Rýnom</w:t>
      </w:r>
      <w:r w:rsidRPr="00D252D3">
        <w:rPr>
          <w:szCs w:val="22"/>
        </w:rPr>
        <w:tab/>
        <w:t>D-55216 Ingelheim nad Rýnom</w:t>
      </w:r>
    </w:p>
    <w:p w:rsidR="0053152B" w:rsidRPr="00D252D3" w:rsidRDefault="0053152B" w:rsidP="0057583E">
      <w:pPr>
        <w:tabs>
          <w:tab w:val="left" w:pos="4253"/>
        </w:tabs>
        <w:ind w:left="0" w:firstLine="0"/>
        <w:rPr>
          <w:szCs w:val="22"/>
        </w:rPr>
      </w:pPr>
      <w:r w:rsidRPr="00D252D3">
        <w:rPr>
          <w:szCs w:val="22"/>
        </w:rPr>
        <w:t>Nemecko</w:t>
      </w:r>
      <w:r w:rsidRPr="00D252D3">
        <w:rPr>
          <w:szCs w:val="22"/>
        </w:rPr>
        <w:tab/>
        <w:t>Nemecko</w:t>
      </w:r>
    </w:p>
    <w:p w:rsidR="0053152B" w:rsidRPr="00D252D3" w:rsidRDefault="0053152B">
      <w:pPr>
        <w:ind w:left="0" w:firstLine="0"/>
        <w:jc w:val="both"/>
        <w:rPr>
          <w:b/>
          <w:highlight w:val="yellow"/>
        </w:rPr>
      </w:pPr>
    </w:p>
    <w:p w:rsidR="0053152B" w:rsidRPr="00D252D3" w:rsidRDefault="0053152B" w:rsidP="0057583E">
      <w:pPr>
        <w:ind w:left="4253" w:firstLine="0"/>
        <w:rPr>
          <w:szCs w:val="22"/>
        </w:rPr>
      </w:pPr>
      <w:r w:rsidRPr="00D252D3">
        <w:rPr>
          <w:szCs w:val="22"/>
        </w:rPr>
        <w:t>a</w:t>
      </w:r>
    </w:p>
    <w:p w:rsidR="0053152B" w:rsidRPr="00D252D3" w:rsidRDefault="0053152B" w:rsidP="0057583E">
      <w:pPr>
        <w:ind w:left="4253" w:firstLine="0"/>
        <w:rPr>
          <w:szCs w:val="22"/>
        </w:rPr>
      </w:pPr>
    </w:p>
    <w:tbl>
      <w:tblPr>
        <w:tblW w:w="0" w:type="auto"/>
        <w:tblLook w:val="01E0" w:firstRow="1" w:lastRow="1" w:firstColumn="1" w:lastColumn="1" w:noHBand="0" w:noVBand="0"/>
      </w:tblPr>
      <w:tblGrid>
        <w:gridCol w:w="4361"/>
        <w:gridCol w:w="4605"/>
      </w:tblGrid>
      <w:tr w:rsidR="0053152B" w:rsidRPr="00D252D3">
        <w:tc>
          <w:tcPr>
            <w:tcW w:w="4361" w:type="dxa"/>
          </w:tcPr>
          <w:p w:rsidR="0053152B" w:rsidRPr="00D252D3" w:rsidRDefault="0053152B">
            <w:pPr>
              <w:pStyle w:val="EndnoteText"/>
              <w:ind w:left="567" w:hanging="567"/>
              <w:rPr>
                <w:szCs w:val="22"/>
                <w:lang w:val="sk-SK"/>
              </w:rPr>
            </w:pPr>
          </w:p>
        </w:tc>
        <w:tc>
          <w:tcPr>
            <w:tcW w:w="4605" w:type="dxa"/>
          </w:tcPr>
          <w:p w:rsidR="0053152B" w:rsidRPr="00D252D3" w:rsidRDefault="0053152B">
            <w:pPr>
              <w:pStyle w:val="Default"/>
              <w:ind w:left="-108"/>
              <w:rPr>
                <w:sz w:val="22"/>
                <w:szCs w:val="22"/>
                <w:lang w:val="sk-SK"/>
              </w:rPr>
            </w:pPr>
            <w:r w:rsidRPr="00D252D3">
              <w:rPr>
                <w:sz w:val="22"/>
                <w:szCs w:val="22"/>
                <w:lang w:val="sk-SK"/>
              </w:rPr>
              <w:t xml:space="preserve">Boehringer Ingelheim Ellas A.E. </w:t>
            </w:r>
          </w:p>
          <w:p w:rsidR="0053152B" w:rsidRPr="00D252D3" w:rsidRDefault="0053152B">
            <w:pPr>
              <w:pStyle w:val="Default"/>
              <w:ind w:left="-108"/>
              <w:rPr>
                <w:sz w:val="22"/>
                <w:szCs w:val="22"/>
                <w:lang w:val="sk-SK"/>
              </w:rPr>
            </w:pPr>
            <w:r w:rsidRPr="00D252D3">
              <w:rPr>
                <w:sz w:val="22"/>
                <w:szCs w:val="22"/>
                <w:lang w:val="sk-SK"/>
              </w:rPr>
              <w:t xml:space="preserve">5th km Paiania – Markopoulo </w:t>
            </w:r>
          </w:p>
          <w:p w:rsidR="0053152B" w:rsidRPr="00D252D3" w:rsidRDefault="0053152B">
            <w:pPr>
              <w:pStyle w:val="Default"/>
              <w:ind w:left="-108"/>
              <w:rPr>
                <w:sz w:val="22"/>
                <w:szCs w:val="22"/>
                <w:lang w:val="sk-SK"/>
              </w:rPr>
            </w:pPr>
            <w:r w:rsidRPr="00D252D3">
              <w:rPr>
                <w:sz w:val="22"/>
                <w:szCs w:val="22"/>
                <w:lang w:val="sk-SK"/>
              </w:rPr>
              <w:t>Koropi Attiki, 194 00</w:t>
            </w:r>
          </w:p>
          <w:p w:rsidR="0053152B" w:rsidRPr="00D252D3" w:rsidRDefault="0053152B" w:rsidP="0057583E">
            <w:pPr>
              <w:numPr>
                <w:ilvl w:val="12"/>
                <w:numId w:val="0"/>
              </w:numPr>
              <w:ind w:left="-108"/>
              <w:rPr>
                <w:szCs w:val="22"/>
              </w:rPr>
            </w:pPr>
            <w:r w:rsidRPr="00D252D3">
              <w:rPr>
                <w:szCs w:val="22"/>
              </w:rPr>
              <w:t>Grécko</w:t>
            </w:r>
          </w:p>
        </w:tc>
      </w:tr>
    </w:tbl>
    <w:p w:rsidR="00D33854" w:rsidRPr="00D252D3" w:rsidRDefault="00D33854" w:rsidP="00D33854">
      <w:pPr>
        <w:numPr>
          <w:ilvl w:val="12"/>
          <w:numId w:val="0"/>
        </w:numPr>
        <w:ind w:right="-2"/>
        <w:rPr>
          <w:szCs w:val="22"/>
        </w:rPr>
      </w:pPr>
    </w:p>
    <w:p w:rsidR="00D33854" w:rsidRPr="00D252D3" w:rsidRDefault="00D33854" w:rsidP="0057583E">
      <w:pPr>
        <w:ind w:left="4253" w:firstLine="0"/>
        <w:rPr>
          <w:szCs w:val="22"/>
        </w:rPr>
      </w:pPr>
      <w:r w:rsidRPr="00D252D3">
        <w:rPr>
          <w:szCs w:val="22"/>
        </w:rPr>
        <w:t>a</w:t>
      </w:r>
    </w:p>
    <w:p w:rsidR="00D33854" w:rsidRPr="00D252D3" w:rsidRDefault="00D33854" w:rsidP="0057583E">
      <w:pPr>
        <w:ind w:left="4253" w:firstLine="0"/>
        <w:rPr>
          <w:szCs w:val="22"/>
        </w:rPr>
      </w:pPr>
    </w:p>
    <w:tbl>
      <w:tblPr>
        <w:tblW w:w="0" w:type="auto"/>
        <w:tblLook w:val="01E0" w:firstRow="1" w:lastRow="1" w:firstColumn="1" w:lastColumn="1" w:noHBand="0" w:noVBand="0"/>
      </w:tblPr>
      <w:tblGrid>
        <w:gridCol w:w="4361"/>
        <w:gridCol w:w="4605"/>
      </w:tblGrid>
      <w:tr w:rsidR="00D33854" w:rsidRPr="00D252D3" w:rsidTr="0099052A">
        <w:tc>
          <w:tcPr>
            <w:tcW w:w="4361" w:type="dxa"/>
          </w:tcPr>
          <w:p w:rsidR="00D33854" w:rsidRPr="00D252D3" w:rsidRDefault="00D33854" w:rsidP="0099052A">
            <w:pPr>
              <w:pStyle w:val="EndnoteText"/>
              <w:ind w:left="567" w:hanging="567"/>
              <w:rPr>
                <w:szCs w:val="22"/>
                <w:lang w:val="sk-SK"/>
              </w:rPr>
            </w:pPr>
          </w:p>
        </w:tc>
        <w:tc>
          <w:tcPr>
            <w:tcW w:w="4605" w:type="dxa"/>
          </w:tcPr>
          <w:p w:rsidR="00D33854" w:rsidRPr="00D252D3" w:rsidRDefault="00D33854" w:rsidP="0099052A">
            <w:pPr>
              <w:numPr>
                <w:ilvl w:val="12"/>
                <w:numId w:val="0"/>
              </w:numPr>
              <w:ind w:left="-108" w:right="-2"/>
              <w:rPr>
                <w:szCs w:val="22"/>
              </w:rPr>
            </w:pPr>
            <w:r w:rsidRPr="00D252D3">
              <w:rPr>
                <w:szCs w:val="22"/>
              </w:rPr>
              <w:t>Rottendorf Pharma GmbH</w:t>
            </w:r>
          </w:p>
          <w:p w:rsidR="00D33854" w:rsidRPr="00D252D3" w:rsidRDefault="00D33854" w:rsidP="0099052A">
            <w:pPr>
              <w:numPr>
                <w:ilvl w:val="12"/>
                <w:numId w:val="0"/>
              </w:numPr>
              <w:ind w:left="-108" w:right="-2"/>
              <w:rPr>
                <w:szCs w:val="22"/>
              </w:rPr>
            </w:pPr>
            <w:r w:rsidRPr="00D252D3">
              <w:rPr>
                <w:szCs w:val="22"/>
              </w:rPr>
              <w:t>Ostenfelder Straße 51 - 61</w:t>
            </w:r>
          </w:p>
          <w:p w:rsidR="00D33854" w:rsidRPr="00D252D3" w:rsidRDefault="00D33854" w:rsidP="0099052A">
            <w:pPr>
              <w:numPr>
                <w:ilvl w:val="12"/>
                <w:numId w:val="0"/>
              </w:numPr>
              <w:ind w:left="-108" w:right="-2"/>
              <w:rPr>
                <w:szCs w:val="22"/>
              </w:rPr>
            </w:pPr>
            <w:r w:rsidRPr="00D252D3">
              <w:rPr>
                <w:szCs w:val="22"/>
              </w:rPr>
              <w:t>D-59320 Ennigerloh</w:t>
            </w:r>
          </w:p>
          <w:p w:rsidR="00D33854" w:rsidRPr="00D252D3" w:rsidRDefault="00D33854" w:rsidP="0099052A">
            <w:pPr>
              <w:numPr>
                <w:ilvl w:val="12"/>
                <w:numId w:val="0"/>
              </w:numPr>
              <w:ind w:left="-108" w:right="-2"/>
              <w:rPr>
                <w:szCs w:val="22"/>
              </w:rPr>
            </w:pPr>
            <w:r w:rsidRPr="00D252D3">
              <w:rPr>
                <w:szCs w:val="22"/>
              </w:rPr>
              <w:t>Nemecko</w:t>
            </w:r>
          </w:p>
        </w:tc>
      </w:tr>
    </w:tbl>
    <w:p w:rsidR="0053152B" w:rsidRPr="00D252D3" w:rsidRDefault="0053152B">
      <w:pPr>
        <w:ind w:left="0" w:firstLine="0"/>
        <w:jc w:val="both"/>
        <w:rPr>
          <w:b/>
          <w:highlight w:val="yellow"/>
        </w:rPr>
      </w:pPr>
    </w:p>
    <w:p w:rsidR="0053152B" w:rsidRPr="00D252D3" w:rsidRDefault="0053152B">
      <w:pPr>
        <w:pageBreakBefore/>
        <w:ind w:left="0" w:firstLine="0"/>
      </w:pPr>
      <w:r w:rsidRPr="00D252D3">
        <w:t>Ak potrebujete akúkoľvek informáciu o tomto lieku, kontaktujte miestneho zástupcu držiteľa rozhodnutia o registrácii.</w:t>
      </w:r>
    </w:p>
    <w:p w:rsidR="0053152B" w:rsidRPr="00D252D3" w:rsidRDefault="0053152B">
      <w:pPr>
        <w:numPr>
          <w:ilvl w:val="12"/>
          <w:numId w:val="0"/>
        </w:numPr>
        <w:tabs>
          <w:tab w:val="left" w:pos="708"/>
        </w:tabs>
        <w:ind w:right="-2"/>
      </w:pPr>
    </w:p>
    <w:tbl>
      <w:tblPr>
        <w:tblW w:w="9356" w:type="dxa"/>
        <w:tblInd w:w="-34" w:type="dxa"/>
        <w:tblLayout w:type="fixed"/>
        <w:tblLook w:val="0000" w:firstRow="0" w:lastRow="0" w:firstColumn="0" w:lastColumn="0" w:noHBand="0" w:noVBand="0"/>
      </w:tblPr>
      <w:tblGrid>
        <w:gridCol w:w="34"/>
        <w:gridCol w:w="4644"/>
        <w:gridCol w:w="4678"/>
      </w:tblGrid>
      <w:tr w:rsidR="0053152B" w:rsidRPr="00D252D3" w:rsidTr="0017732D">
        <w:trPr>
          <w:gridBefore w:val="1"/>
          <w:wBefore w:w="34" w:type="dxa"/>
        </w:trPr>
        <w:tc>
          <w:tcPr>
            <w:tcW w:w="4644" w:type="dxa"/>
          </w:tcPr>
          <w:p w:rsidR="0053152B" w:rsidRPr="00D252D3" w:rsidRDefault="0053152B">
            <w:pPr>
              <w:rPr>
                <w:szCs w:val="22"/>
              </w:rPr>
            </w:pPr>
            <w:r w:rsidRPr="00D252D3">
              <w:rPr>
                <w:b/>
                <w:szCs w:val="22"/>
              </w:rPr>
              <w:t>België/Belgique/Belgien</w:t>
            </w:r>
          </w:p>
          <w:p w:rsidR="0053152B" w:rsidRPr="00D252D3" w:rsidRDefault="0053152B">
            <w:pPr>
              <w:ind w:right="34"/>
              <w:rPr>
                <w:szCs w:val="22"/>
                <w:lang w:eastAsia="ja-JP"/>
              </w:rPr>
            </w:pPr>
            <w:r w:rsidRPr="00D252D3">
              <w:rPr>
                <w:rFonts w:eastAsia="MS Mincho"/>
                <w:szCs w:val="22"/>
                <w:lang w:eastAsia="ja-JP"/>
              </w:rPr>
              <w:t>SCS Boehringer Ingelheim Comm.V</w:t>
            </w:r>
            <w:r w:rsidRPr="00D252D3">
              <w:rPr>
                <w:szCs w:val="22"/>
                <w:lang w:eastAsia="ja-JP"/>
              </w:rPr>
              <w:t xml:space="preserve"> </w:t>
            </w:r>
          </w:p>
          <w:p w:rsidR="0053152B" w:rsidRPr="00D252D3" w:rsidRDefault="0053152B">
            <w:pPr>
              <w:ind w:right="34"/>
              <w:rPr>
                <w:szCs w:val="22"/>
              </w:rPr>
            </w:pPr>
            <w:r w:rsidRPr="00D252D3">
              <w:rPr>
                <w:szCs w:val="22"/>
                <w:lang w:eastAsia="ja-JP"/>
              </w:rPr>
              <w:t>Tél/Tel: +32 2 773 33 11</w:t>
            </w:r>
          </w:p>
        </w:tc>
        <w:tc>
          <w:tcPr>
            <w:tcW w:w="4678" w:type="dxa"/>
          </w:tcPr>
          <w:p w:rsidR="0053152B" w:rsidRPr="00D252D3" w:rsidRDefault="0053152B">
            <w:pPr>
              <w:rPr>
                <w:szCs w:val="22"/>
              </w:rPr>
            </w:pPr>
            <w:r w:rsidRPr="00D252D3">
              <w:rPr>
                <w:b/>
                <w:bCs/>
                <w:szCs w:val="22"/>
              </w:rPr>
              <w:t>Lietuva</w:t>
            </w:r>
          </w:p>
          <w:p w:rsidR="0053152B" w:rsidRPr="00D252D3" w:rsidRDefault="0053152B">
            <w:pPr>
              <w:tabs>
                <w:tab w:val="left" w:pos="-720"/>
              </w:tabs>
              <w:suppressAutoHyphens/>
              <w:rPr>
                <w:szCs w:val="22"/>
                <w:lang w:eastAsia="ja-JP"/>
              </w:rPr>
            </w:pPr>
            <w:r w:rsidRPr="00D252D3">
              <w:rPr>
                <w:szCs w:val="22"/>
                <w:lang w:eastAsia="ja-JP"/>
              </w:rPr>
              <w:t>Boehringer Ingelheim RCV GmbH &amp; Co KG</w:t>
            </w:r>
          </w:p>
          <w:p w:rsidR="0053152B" w:rsidRPr="00D252D3" w:rsidRDefault="0053152B">
            <w:pPr>
              <w:tabs>
                <w:tab w:val="left" w:pos="-720"/>
              </w:tabs>
              <w:suppressAutoHyphens/>
              <w:rPr>
                <w:szCs w:val="22"/>
                <w:lang w:eastAsia="ja-JP"/>
              </w:rPr>
            </w:pPr>
            <w:r w:rsidRPr="00D252D3">
              <w:rPr>
                <w:szCs w:val="22"/>
                <w:lang w:eastAsia="ja-JP"/>
              </w:rPr>
              <w:t>Lietuvos filialas</w:t>
            </w:r>
          </w:p>
          <w:p w:rsidR="0053152B" w:rsidRPr="00D252D3" w:rsidRDefault="0053152B">
            <w:pPr>
              <w:rPr>
                <w:szCs w:val="22"/>
              </w:rPr>
            </w:pPr>
            <w:r w:rsidRPr="00D252D3">
              <w:rPr>
                <w:szCs w:val="22"/>
                <w:lang w:eastAsia="ja-JP"/>
              </w:rPr>
              <w:t>Tel.: +370 37 473922</w:t>
            </w:r>
          </w:p>
          <w:p w:rsidR="0053152B" w:rsidRPr="00D252D3" w:rsidRDefault="0053152B">
            <w:pPr>
              <w:autoSpaceDE w:val="0"/>
              <w:autoSpaceDN w:val="0"/>
              <w:adjustRightInd w:val="0"/>
              <w:rPr>
                <w:szCs w:val="22"/>
              </w:rPr>
            </w:pPr>
          </w:p>
        </w:tc>
      </w:tr>
      <w:tr w:rsidR="0053152B" w:rsidRPr="00D252D3" w:rsidTr="0017732D">
        <w:trPr>
          <w:gridBefore w:val="1"/>
          <w:wBefore w:w="34" w:type="dxa"/>
        </w:trPr>
        <w:tc>
          <w:tcPr>
            <w:tcW w:w="4644" w:type="dxa"/>
          </w:tcPr>
          <w:p w:rsidR="0053152B" w:rsidRPr="00D252D3" w:rsidRDefault="0053152B">
            <w:pPr>
              <w:autoSpaceDE w:val="0"/>
              <w:autoSpaceDN w:val="0"/>
              <w:adjustRightInd w:val="0"/>
              <w:rPr>
                <w:b/>
                <w:bCs/>
                <w:szCs w:val="22"/>
              </w:rPr>
            </w:pPr>
            <w:r w:rsidRPr="00D252D3">
              <w:rPr>
                <w:b/>
                <w:bCs/>
                <w:szCs w:val="22"/>
              </w:rPr>
              <w:t>България</w:t>
            </w:r>
          </w:p>
          <w:p w:rsidR="0053152B" w:rsidRPr="00D252D3" w:rsidRDefault="0053152B">
            <w:pPr>
              <w:rPr>
                <w:rFonts w:eastAsia="MS Mincho"/>
                <w:szCs w:val="22"/>
                <w:lang w:eastAsia="ja-JP"/>
              </w:rPr>
            </w:pPr>
            <w:r w:rsidRPr="00D252D3">
              <w:rPr>
                <w:rFonts w:eastAsia="MS Mincho"/>
                <w:szCs w:val="22"/>
                <w:lang w:eastAsia="ja-JP"/>
              </w:rPr>
              <w:t>Бьорингер Ингелхайм РЦВ ГмбХ и Ко. КГ –</w:t>
            </w:r>
          </w:p>
          <w:p w:rsidR="0053152B" w:rsidRPr="00D252D3" w:rsidRDefault="0053152B">
            <w:pPr>
              <w:rPr>
                <w:szCs w:val="22"/>
              </w:rPr>
            </w:pPr>
            <w:r w:rsidRPr="00D252D3">
              <w:rPr>
                <w:rFonts w:eastAsia="MS Mincho"/>
                <w:szCs w:val="22"/>
                <w:lang w:eastAsia="ja-JP"/>
              </w:rPr>
              <w:t>клон България</w:t>
            </w:r>
          </w:p>
          <w:p w:rsidR="0053152B" w:rsidRPr="00D252D3" w:rsidRDefault="0053152B">
            <w:pPr>
              <w:autoSpaceDE w:val="0"/>
              <w:autoSpaceDN w:val="0"/>
              <w:adjustRightInd w:val="0"/>
              <w:rPr>
                <w:szCs w:val="22"/>
              </w:rPr>
            </w:pPr>
            <w:r w:rsidRPr="00D252D3">
              <w:rPr>
                <w:rFonts w:eastAsia="MS Mincho"/>
                <w:szCs w:val="22"/>
                <w:lang w:eastAsia="ja-JP"/>
              </w:rPr>
              <w:t>Тел: +359 2 958 79 98</w:t>
            </w:r>
          </w:p>
          <w:p w:rsidR="0053152B" w:rsidRPr="00D252D3" w:rsidRDefault="0053152B">
            <w:pPr>
              <w:tabs>
                <w:tab w:val="left" w:pos="-720"/>
              </w:tabs>
              <w:suppressAutoHyphens/>
              <w:rPr>
                <w:szCs w:val="22"/>
              </w:rPr>
            </w:pPr>
          </w:p>
        </w:tc>
        <w:tc>
          <w:tcPr>
            <w:tcW w:w="4678" w:type="dxa"/>
          </w:tcPr>
          <w:p w:rsidR="0053152B" w:rsidRPr="00D252D3" w:rsidRDefault="0053152B">
            <w:pPr>
              <w:rPr>
                <w:szCs w:val="22"/>
              </w:rPr>
            </w:pPr>
            <w:r w:rsidRPr="00D252D3">
              <w:rPr>
                <w:b/>
                <w:szCs w:val="22"/>
              </w:rPr>
              <w:t>Luxembourg/Luxemburg</w:t>
            </w:r>
          </w:p>
          <w:p w:rsidR="0053152B" w:rsidRPr="00D252D3" w:rsidRDefault="0053152B">
            <w:pPr>
              <w:rPr>
                <w:szCs w:val="22"/>
                <w:lang w:eastAsia="ja-JP"/>
              </w:rPr>
            </w:pPr>
            <w:r w:rsidRPr="00D252D3">
              <w:rPr>
                <w:rFonts w:eastAsia="MS Mincho"/>
                <w:szCs w:val="22"/>
                <w:lang w:eastAsia="ja-JP"/>
              </w:rPr>
              <w:t>SCS Boehringer Ingelheim Comm.V</w:t>
            </w:r>
            <w:r w:rsidRPr="00D252D3">
              <w:rPr>
                <w:szCs w:val="22"/>
                <w:lang w:eastAsia="ja-JP"/>
              </w:rPr>
              <w:t xml:space="preserve"> </w:t>
            </w:r>
          </w:p>
          <w:p w:rsidR="0053152B" w:rsidRPr="00D252D3" w:rsidRDefault="0053152B">
            <w:pPr>
              <w:rPr>
                <w:szCs w:val="22"/>
                <w:lang w:eastAsia="ja-JP"/>
              </w:rPr>
            </w:pPr>
            <w:r w:rsidRPr="00D252D3">
              <w:rPr>
                <w:szCs w:val="22"/>
                <w:lang w:eastAsia="ja-JP"/>
              </w:rPr>
              <w:t>Tél/Tel: +32 2 773 33 11</w:t>
            </w:r>
          </w:p>
          <w:p w:rsidR="0053152B" w:rsidRPr="00D252D3" w:rsidRDefault="0053152B">
            <w:pPr>
              <w:tabs>
                <w:tab w:val="left" w:pos="-720"/>
              </w:tabs>
              <w:suppressAutoHyphens/>
              <w:rPr>
                <w:szCs w:val="22"/>
              </w:rPr>
            </w:pPr>
          </w:p>
        </w:tc>
      </w:tr>
      <w:tr w:rsidR="0053152B" w:rsidRPr="00D252D3" w:rsidTr="0017732D">
        <w:trPr>
          <w:gridBefore w:val="1"/>
          <w:wBefore w:w="34" w:type="dxa"/>
          <w:trHeight w:val="1031"/>
        </w:trPr>
        <w:tc>
          <w:tcPr>
            <w:tcW w:w="4644" w:type="dxa"/>
          </w:tcPr>
          <w:p w:rsidR="0053152B" w:rsidRPr="00D252D3" w:rsidRDefault="0053152B">
            <w:pPr>
              <w:tabs>
                <w:tab w:val="left" w:pos="-720"/>
              </w:tabs>
              <w:suppressAutoHyphens/>
              <w:rPr>
                <w:szCs w:val="22"/>
              </w:rPr>
            </w:pPr>
            <w:r w:rsidRPr="00D252D3">
              <w:rPr>
                <w:b/>
                <w:szCs w:val="22"/>
              </w:rPr>
              <w:t>Česká republika</w:t>
            </w:r>
          </w:p>
          <w:p w:rsidR="0053152B" w:rsidRPr="00D252D3" w:rsidRDefault="0053152B">
            <w:pPr>
              <w:tabs>
                <w:tab w:val="left" w:pos="-720"/>
              </w:tabs>
              <w:suppressAutoHyphens/>
              <w:rPr>
                <w:szCs w:val="22"/>
                <w:lang w:eastAsia="ja-JP"/>
              </w:rPr>
            </w:pPr>
            <w:r w:rsidRPr="00D252D3">
              <w:rPr>
                <w:szCs w:val="22"/>
                <w:lang w:eastAsia="ja-JP"/>
              </w:rPr>
              <w:t>Boehringer Ingelheim spol. s r.o.</w:t>
            </w:r>
          </w:p>
          <w:p w:rsidR="0053152B" w:rsidRPr="00D252D3" w:rsidRDefault="0053152B">
            <w:pPr>
              <w:tabs>
                <w:tab w:val="left" w:pos="-720"/>
              </w:tabs>
              <w:suppressAutoHyphens/>
              <w:rPr>
                <w:szCs w:val="22"/>
              </w:rPr>
            </w:pPr>
            <w:r w:rsidRPr="00D252D3">
              <w:rPr>
                <w:szCs w:val="22"/>
                <w:lang w:eastAsia="ja-JP"/>
              </w:rPr>
              <w:t>Tel: +420 234 655 111</w:t>
            </w:r>
          </w:p>
        </w:tc>
        <w:tc>
          <w:tcPr>
            <w:tcW w:w="4678" w:type="dxa"/>
          </w:tcPr>
          <w:p w:rsidR="0053152B" w:rsidRPr="00D252D3" w:rsidRDefault="0053152B">
            <w:pPr>
              <w:spacing w:line="260" w:lineRule="atLeast"/>
              <w:rPr>
                <w:b/>
                <w:szCs w:val="22"/>
              </w:rPr>
            </w:pPr>
            <w:r w:rsidRPr="00D252D3">
              <w:rPr>
                <w:b/>
                <w:szCs w:val="22"/>
              </w:rPr>
              <w:t>Magyarország</w:t>
            </w:r>
          </w:p>
          <w:p w:rsidR="0053152B" w:rsidRPr="00D252D3" w:rsidRDefault="0053152B">
            <w:pPr>
              <w:tabs>
                <w:tab w:val="left" w:pos="-720"/>
              </w:tabs>
              <w:suppressAutoHyphens/>
              <w:rPr>
                <w:szCs w:val="22"/>
                <w:lang w:eastAsia="de-DE"/>
              </w:rPr>
            </w:pPr>
            <w:r w:rsidRPr="00D252D3">
              <w:rPr>
                <w:szCs w:val="22"/>
                <w:lang w:eastAsia="de-DE"/>
              </w:rPr>
              <w:t xml:space="preserve">Boehringer Ingelheim RCV GmbH &amp; Co KG </w:t>
            </w:r>
          </w:p>
          <w:p w:rsidR="0053152B" w:rsidRPr="00D252D3" w:rsidRDefault="0053152B">
            <w:pPr>
              <w:rPr>
                <w:szCs w:val="22"/>
                <w:lang w:eastAsia="de-DE"/>
              </w:rPr>
            </w:pPr>
            <w:r w:rsidRPr="00D252D3">
              <w:rPr>
                <w:szCs w:val="22"/>
                <w:lang w:eastAsia="de-DE"/>
              </w:rPr>
              <w:t>Magyarországi Fióktelepe</w:t>
            </w:r>
          </w:p>
          <w:p w:rsidR="0053152B" w:rsidRPr="00D252D3" w:rsidRDefault="0053152B">
            <w:pPr>
              <w:rPr>
                <w:b/>
                <w:szCs w:val="22"/>
              </w:rPr>
            </w:pPr>
            <w:r w:rsidRPr="00D252D3">
              <w:rPr>
                <w:szCs w:val="22"/>
                <w:lang w:eastAsia="de-DE"/>
              </w:rPr>
              <w:t>Tel.: +36 1 299 8900</w:t>
            </w:r>
          </w:p>
          <w:p w:rsidR="0053152B" w:rsidRPr="00D252D3" w:rsidRDefault="0053152B">
            <w:pPr>
              <w:rPr>
                <w:szCs w:val="22"/>
              </w:rPr>
            </w:pPr>
          </w:p>
        </w:tc>
      </w:tr>
      <w:tr w:rsidR="0053152B" w:rsidRPr="00D252D3" w:rsidTr="0017732D">
        <w:trPr>
          <w:gridBefore w:val="1"/>
          <w:wBefore w:w="34" w:type="dxa"/>
        </w:trPr>
        <w:tc>
          <w:tcPr>
            <w:tcW w:w="4644" w:type="dxa"/>
          </w:tcPr>
          <w:p w:rsidR="0053152B" w:rsidRPr="00D252D3" w:rsidRDefault="0053152B">
            <w:pPr>
              <w:rPr>
                <w:szCs w:val="22"/>
              </w:rPr>
            </w:pPr>
            <w:r w:rsidRPr="00D252D3">
              <w:rPr>
                <w:b/>
                <w:szCs w:val="22"/>
              </w:rPr>
              <w:t>Danmark</w:t>
            </w:r>
          </w:p>
          <w:p w:rsidR="0053152B" w:rsidRPr="00D252D3" w:rsidRDefault="0053152B">
            <w:pPr>
              <w:tabs>
                <w:tab w:val="left" w:pos="-720"/>
              </w:tabs>
              <w:suppressAutoHyphens/>
              <w:rPr>
                <w:szCs w:val="22"/>
                <w:lang w:eastAsia="ja-JP"/>
              </w:rPr>
            </w:pPr>
            <w:r w:rsidRPr="00D252D3">
              <w:rPr>
                <w:szCs w:val="22"/>
                <w:lang w:eastAsia="ja-JP"/>
              </w:rPr>
              <w:t>Boehringer Ingelheim Danmark A/S</w:t>
            </w:r>
          </w:p>
          <w:p w:rsidR="0053152B" w:rsidRPr="00D252D3" w:rsidRDefault="0053152B">
            <w:pPr>
              <w:tabs>
                <w:tab w:val="left" w:pos="-720"/>
              </w:tabs>
              <w:suppressAutoHyphens/>
              <w:rPr>
                <w:szCs w:val="22"/>
              </w:rPr>
            </w:pPr>
            <w:r w:rsidRPr="00D252D3">
              <w:rPr>
                <w:szCs w:val="22"/>
                <w:lang w:eastAsia="ja-JP"/>
              </w:rPr>
              <w:t>Tlf: +45 39 15 88 88</w:t>
            </w:r>
          </w:p>
        </w:tc>
        <w:tc>
          <w:tcPr>
            <w:tcW w:w="4678" w:type="dxa"/>
          </w:tcPr>
          <w:p w:rsidR="0053152B" w:rsidRPr="00D252D3" w:rsidRDefault="0053152B">
            <w:pPr>
              <w:tabs>
                <w:tab w:val="left" w:pos="-720"/>
                <w:tab w:val="left" w:pos="4536"/>
              </w:tabs>
              <w:suppressAutoHyphens/>
              <w:rPr>
                <w:b/>
                <w:szCs w:val="22"/>
              </w:rPr>
            </w:pPr>
            <w:r w:rsidRPr="00D252D3">
              <w:rPr>
                <w:b/>
                <w:szCs w:val="22"/>
              </w:rPr>
              <w:t>Malta</w:t>
            </w:r>
          </w:p>
          <w:p w:rsidR="00A21B39" w:rsidRPr="00D252D3" w:rsidRDefault="00A21B39" w:rsidP="00A21B39">
            <w:pPr>
              <w:rPr>
                <w:szCs w:val="22"/>
                <w:lang w:eastAsia="ja-JP"/>
              </w:rPr>
            </w:pPr>
            <w:r w:rsidRPr="00D252D3">
              <w:rPr>
                <w:szCs w:val="22"/>
                <w:lang w:eastAsia="ja-JP"/>
              </w:rPr>
              <w:t>Boehringer Ingelheim Ireland Ltd.</w:t>
            </w:r>
          </w:p>
          <w:p w:rsidR="0053152B" w:rsidRPr="00D252D3" w:rsidRDefault="00A21B39">
            <w:pPr>
              <w:rPr>
                <w:szCs w:val="22"/>
                <w:lang w:eastAsia="ja-JP"/>
              </w:rPr>
            </w:pPr>
            <w:r w:rsidRPr="00D252D3">
              <w:rPr>
                <w:szCs w:val="22"/>
                <w:lang w:eastAsia="ja-JP"/>
              </w:rPr>
              <w:t>Tel: +353 1 295 9620</w:t>
            </w:r>
          </w:p>
          <w:p w:rsidR="0053152B" w:rsidRPr="00D252D3" w:rsidRDefault="0053152B">
            <w:pPr>
              <w:rPr>
                <w:szCs w:val="22"/>
              </w:rPr>
            </w:pPr>
          </w:p>
        </w:tc>
      </w:tr>
      <w:tr w:rsidR="0053152B" w:rsidRPr="00D252D3" w:rsidTr="0017732D">
        <w:trPr>
          <w:gridBefore w:val="1"/>
          <w:wBefore w:w="34" w:type="dxa"/>
        </w:trPr>
        <w:tc>
          <w:tcPr>
            <w:tcW w:w="4644" w:type="dxa"/>
          </w:tcPr>
          <w:p w:rsidR="0053152B" w:rsidRPr="00D252D3" w:rsidRDefault="0053152B">
            <w:pPr>
              <w:rPr>
                <w:szCs w:val="22"/>
              </w:rPr>
            </w:pPr>
            <w:r w:rsidRPr="00D252D3">
              <w:rPr>
                <w:b/>
                <w:szCs w:val="22"/>
              </w:rPr>
              <w:t>Deutschland</w:t>
            </w:r>
          </w:p>
          <w:p w:rsidR="0053152B" w:rsidRPr="00D252D3" w:rsidRDefault="0053152B">
            <w:pPr>
              <w:tabs>
                <w:tab w:val="left" w:pos="-720"/>
              </w:tabs>
              <w:suppressAutoHyphens/>
              <w:rPr>
                <w:szCs w:val="22"/>
                <w:lang w:eastAsia="ja-JP"/>
              </w:rPr>
            </w:pPr>
            <w:r w:rsidRPr="00D252D3">
              <w:rPr>
                <w:szCs w:val="22"/>
                <w:lang w:eastAsia="ja-JP"/>
              </w:rPr>
              <w:t>Boehringer Ingelheim Pharma GmbH &amp; Co. KG</w:t>
            </w:r>
          </w:p>
          <w:p w:rsidR="0053152B" w:rsidRPr="00D252D3" w:rsidRDefault="0053152B">
            <w:pPr>
              <w:tabs>
                <w:tab w:val="left" w:pos="-720"/>
              </w:tabs>
              <w:suppressAutoHyphens/>
              <w:rPr>
                <w:szCs w:val="22"/>
                <w:lang w:eastAsia="ja-JP"/>
              </w:rPr>
            </w:pPr>
            <w:r w:rsidRPr="00D252D3">
              <w:rPr>
                <w:szCs w:val="22"/>
                <w:lang w:eastAsia="ja-JP"/>
              </w:rPr>
              <w:t>Tel: +49 (0) 800 / 77 90 900</w:t>
            </w:r>
          </w:p>
        </w:tc>
        <w:tc>
          <w:tcPr>
            <w:tcW w:w="4678" w:type="dxa"/>
          </w:tcPr>
          <w:p w:rsidR="0053152B" w:rsidRPr="00D252D3" w:rsidRDefault="0053152B">
            <w:pPr>
              <w:suppressAutoHyphens/>
              <w:rPr>
                <w:szCs w:val="22"/>
              </w:rPr>
            </w:pPr>
            <w:r w:rsidRPr="00D252D3">
              <w:rPr>
                <w:b/>
                <w:szCs w:val="22"/>
              </w:rPr>
              <w:t>Nederland</w:t>
            </w:r>
          </w:p>
          <w:p w:rsidR="0053152B" w:rsidRPr="00D252D3" w:rsidRDefault="0053152B">
            <w:pPr>
              <w:rPr>
                <w:szCs w:val="22"/>
                <w:lang w:eastAsia="ja-JP"/>
              </w:rPr>
            </w:pPr>
            <w:r w:rsidRPr="00D252D3">
              <w:rPr>
                <w:szCs w:val="22"/>
                <w:lang w:eastAsia="ja-JP"/>
              </w:rPr>
              <w:t>Boehringer Ingelheim b.v.</w:t>
            </w:r>
          </w:p>
          <w:p w:rsidR="0053152B" w:rsidRPr="00D252D3" w:rsidRDefault="0053152B">
            <w:pPr>
              <w:rPr>
                <w:szCs w:val="22"/>
                <w:lang w:eastAsia="ja-JP"/>
              </w:rPr>
            </w:pPr>
            <w:r w:rsidRPr="00D252D3">
              <w:rPr>
                <w:szCs w:val="22"/>
                <w:lang w:eastAsia="ja-JP"/>
              </w:rPr>
              <w:t>Tel: +31  (0) 800 22 55 889</w:t>
            </w:r>
          </w:p>
          <w:p w:rsidR="0053152B" w:rsidRPr="00D252D3" w:rsidRDefault="0053152B">
            <w:pPr>
              <w:tabs>
                <w:tab w:val="left" w:pos="-720"/>
              </w:tabs>
              <w:suppressAutoHyphens/>
              <w:rPr>
                <w:szCs w:val="22"/>
              </w:rPr>
            </w:pPr>
          </w:p>
        </w:tc>
      </w:tr>
      <w:tr w:rsidR="0053152B" w:rsidRPr="00D252D3" w:rsidTr="0017732D">
        <w:trPr>
          <w:gridBefore w:val="1"/>
          <w:wBefore w:w="34" w:type="dxa"/>
        </w:trPr>
        <w:tc>
          <w:tcPr>
            <w:tcW w:w="4644" w:type="dxa"/>
          </w:tcPr>
          <w:p w:rsidR="0053152B" w:rsidRPr="00D252D3" w:rsidRDefault="0053152B">
            <w:pPr>
              <w:tabs>
                <w:tab w:val="left" w:pos="-720"/>
              </w:tabs>
              <w:suppressAutoHyphens/>
              <w:rPr>
                <w:b/>
                <w:bCs/>
                <w:szCs w:val="22"/>
              </w:rPr>
            </w:pPr>
            <w:r w:rsidRPr="00D252D3">
              <w:rPr>
                <w:b/>
                <w:bCs/>
                <w:szCs w:val="22"/>
              </w:rPr>
              <w:t>Eesti</w:t>
            </w:r>
          </w:p>
          <w:p w:rsidR="0053152B" w:rsidRPr="00D252D3" w:rsidRDefault="0053152B">
            <w:pPr>
              <w:tabs>
                <w:tab w:val="left" w:pos="-720"/>
              </w:tabs>
              <w:suppressAutoHyphens/>
              <w:rPr>
                <w:szCs w:val="22"/>
                <w:lang w:eastAsia="ja-JP"/>
              </w:rPr>
            </w:pPr>
            <w:r w:rsidRPr="00D252D3">
              <w:rPr>
                <w:szCs w:val="22"/>
                <w:lang w:eastAsia="ja-JP"/>
              </w:rPr>
              <w:t>Boehringer Ingelheim RCV GmbH &amp; Co KG</w:t>
            </w:r>
          </w:p>
          <w:p w:rsidR="0053152B" w:rsidRPr="00D252D3" w:rsidRDefault="0053152B">
            <w:pPr>
              <w:tabs>
                <w:tab w:val="left" w:pos="-720"/>
              </w:tabs>
              <w:suppressAutoHyphens/>
              <w:rPr>
                <w:szCs w:val="22"/>
                <w:lang w:eastAsia="de-DE"/>
              </w:rPr>
            </w:pPr>
            <w:r w:rsidRPr="00D252D3">
              <w:rPr>
                <w:szCs w:val="22"/>
                <w:lang w:eastAsia="de-DE"/>
              </w:rPr>
              <w:t>Eesti Filiaal</w:t>
            </w:r>
          </w:p>
          <w:p w:rsidR="0053152B" w:rsidRPr="00D252D3" w:rsidRDefault="0053152B">
            <w:pPr>
              <w:tabs>
                <w:tab w:val="left" w:pos="-720"/>
              </w:tabs>
              <w:suppressAutoHyphens/>
              <w:rPr>
                <w:szCs w:val="22"/>
                <w:lang w:eastAsia="ja-JP"/>
              </w:rPr>
            </w:pPr>
            <w:r w:rsidRPr="00D252D3">
              <w:rPr>
                <w:szCs w:val="22"/>
                <w:lang w:eastAsia="ja-JP"/>
              </w:rPr>
              <w:t>Tel: +372 612 8000</w:t>
            </w:r>
          </w:p>
          <w:p w:rsidR="0053152B" w:rsidRPr="00D252D3" w:rsidRDefault="0053152B">
            <w:pPr>
              <w:tabs>
                <w:tab w:val="left" w:pos="-720"/>
              </w:tabs>
              <w:suppressAutoHyphens/>
              <w:rPr>
                <w:szCs w:val="22"/>
              </w:rPr>
            </w:pPr>
          </w:p>
        </w:tc>
        <w:tc>
          <w:tcPr>
            <w:tcW w:w="4678" w:type="dxa"/>
          </w:tcPr>
          <w:p w:rsidR="0053152B" w:rsidRPr="00D252D3" w:rsidRDefault="0053152B">
            <w:pPr>
              <w:rPr>
                <w:szCs w:val="22"/>
              </w:rPr>
            </w:pPr>
            <w:r w:rsidRPr="00D252D3">
              <w:rPr>
                <w:b/>
                <w:szCs w:val="22"/>
              </w:rPr>
              <w:t>Norge</w:t>
            </w:r>
          </w:p>
          <w:p w:rsidR="0053152B" w:rsidRPr="00D252D3" w:rsidRDefault="0053152B">
            <w:pPr>
              <w:tabs>
                <w:tab w:val="left" w:pos="-720"/>
              </w:tabs>
              <w:suppressAutoHyphens/>
              <w:rPr>
                <w:szCs w:val="22"/>
                <w:lang w:eastAsia="ja-JP"/>
              </w:rPr>
            </w:pPr>
            <w:r w:rsidRPr="00D252D3">
              <w:rPr>
                <w:szCs w:val="22"/>
                <w:lang w:eastAsia="ja-JP"/>
              </w:rPr>
              <w:t>Boehringer Ingelheim Norway KS</w:t>
            </w:r>
          </w:p>
          <w:p w:rsidR="0053152B" w:rsidRPr="00D252D3" w:rsidRDefault="0053152B">
            <w:pPr>
              <w:tabs>
                <w:tab w:val="left" w:pos="-720"/>
              </w:tabs>
              <w:suppressAutoHyphens/>
              <w:rPr>
                <w:szCs w:val="22"/>
                <w:lang w:eastAsia="ja-JP"/>
              </w:rPr>
            </w:pPr>
            <w:r w:rsidRPr="00D252D3">
              <w:rPr>
                <w:szCs w:val="22"/>
                <w:lang w:eastAsia="ja-JP"/>
              </w:rPr>
              <w:t>Tlf: +47 66 76 13 00</w:t>
            </w:r>
          </w:p>
          <w:p w:rsidR="0053152B" w:rsidRPr="00D252D3" w:rsidRDefault="0053152B">
            <w:pPr>
              <w:rPr>
                <w:szCs w:val="22"/>
              </w:rPr>
            </w:pPr>
          </w:p>
        </w:tc>
      </w:tr>
      <w:tr w:rsidR="0053152B" w:rsidRPr="00D252D3" w:rsidTr="0017732D">
        <w:trPr>
          <w:gridBefore w:val="1"/>
          <w:wBefore w:w="34" w:type="dxa"/>
        </w:trPr>
        <w:tc>
          <w:tcPr>
            <w:tcW w:w="4644" w:type="dxa"/>
          </w:tcPr>
          <w:p w:rsidR="0053152B" w:rsidRPr="00D252D3" w:rsidRDefault="0053152B">
            <w:pPr>
              <w:rPr>
                <w:szCs w:val="22"/>
              </w:rPr>
            </w:pPr>
            <w:r w:rsidRPr="00D252D3">
              <w:rPr>
                <w:b/>
                <w:szCs w:val="22"/>
              </w:rPr>
              <w:t>Ελλάδα</w:t>
            </w:r>
          </w:p>
          <w:p w:rsidR="0053152B" w:rsidRPr="00D252D3" w:rsidRDefault="0053152B">
            <w:pPr>
              <w:tabs>
                <w:tab w:val="left" w:pos="-720"/>
              </w:tabs>
              <w:suppressAutoHyphens/>
              <w:rPr>
                <w:szCs w:val="22"/>
                <w:lang w:eastAsia="ja-JP"/>
              </w:rPr>
            </w:pPr>
            <w:r w:rsidRPr="00D252D3">
              <w:rPr>
                <w:szCs w:val="22"/>
                <w:lang w:eastAsia="ja-JP"/>
              </w:rPr>
              <w:t>Boehringer Ingelheim Ellas A.E.</w:t>
            </w:r>
          </w:p>
          <w:p w:rsidR="0053152B" w:rsidRPr="00D252D3" w:rsidRDefault="0053152B">
            <w:pPr>
              <w:tabs>
                <w:tab w:val="left" w:pos="-720"/>
              </w:tabs>
              <w:suppressAutoHyphens/>
              <w:rPr>
                <w:szCs w:val="22"/>
              </w:rPr>
            </w:pPr>
            <w:r w:rsidRPr="00D252D3">
              <w:rPr>
                <w:szCs w:val="22"/>
                <w:lang w:eastAsia="ja-JP"/>
              </w:rPr>
              <w:t>Tηλ: +30 2 10 89 06 300</w:t>
            </w:r>
          </w:p>
        </w:tc>
        <w:tc>
          <w:tcPr>
            <w:tcW w:w="4678" w:type="dxa"/>
          </w:tcPr>
          <w:p w:rsidR="0053152B" w:rsidRPr="00D252D3" w:rsidRDefault="0053152B">
            <w:pPr>
              <w:rPr>
                <w:szCs w:val="22"/>
              </w:rPr>
            </w:pPr>
            <w:r w:rsidRPr="00D252D3">
              <w:rPr>
                <w:b/>
                <w:bCs/>
                <w:szCs w:val="22"/>
              </w:rPr>
              <w:t>Österreich</w:t>
            </w:r>
          </w:p>
          <w:p w:rsidR="0053152B" w:rsidRPr="00D252D3" w:rsidRDefault="0053152B">
            <w:pPr>
              <w:autoSpaceDE w:val="0"/>
              <w:autoSpaceDN w:val="0"/>
              <w:adjustRightInd w:val="0"/>
              <w:rPr>
                <w:szCs w:val="22"/>
                <w:lang w:eastAsia="de-DE"/>
              </w:rPr>
            </w:pPr>
            <w:r w:rsidRPr="00D252D3">
              <w:rPr>
                <w:szCs w:val="22"/>
                <w:lang w:eastAsia="de-DE"/>
              </w:rPr>
              <w:t>Boehringer Ingelheim RCV GmbH &amp; Co KG</w:t>
            </w:r>
          </w:p>
          <w:p w:rsidR="0053152B" w:rsidRPr="00D252D3" w:rsidRDefault="0053152B">
            <w:pPr>
              <w:tabs>
                <w:tab w:val="left" w:pos="-720"/>
              </w:tabs>
              <w:suppressAutoHyphens/>
              <w:rPr>
                <w:szCs w:val="22"/>
                <w:lang w:eastAsia="ja-JP"/>
              </w:rPr>
            </w:pPr>
            <w:r w:rsidRPr="00D252D3">
              <w:rPr>
                <w:szCs w:val="22"/>
                <w:lang w:eastAsia="de-DE"/>
              </w:rPr>
              <w:t xml:space="preserve">Tel: </w:t>
            </w:r>
            <w:r w:rsidR="0017732D" w:rsidRPr="00D252D3">
              <w:rPr>
                <w:szCs w:val="22"/>
                <w:lang w:eastAsia="de-DE"/>
              </w:rPr>
              <w:t>+43 1 80 105-7870</w:t>
            </w:r>
          </w:p>
          <w:p w:rsidR="0053152B" w:rsidRPr="00D252D3" w:rsidRDefault="0053152B">
            <w:pPr>
              <w:tabs>
                <w:tab w:val="left" w:pos="-720"/>
              </w:tabs>
              <w:suppressAutoHyphens/>
              <w:rPr>
                <w:szCs w:val="22"/>
              </w:rPr>
            </w:pPr>
          </w:p>
        </w:tc>
      </w:tr>
      <w:tr w:rsidR="0053152B" w:rsidRPr="00D252D3" w:rsidTr="0017732D">
        <w:tc>
          <w:tcPr>
            <w:tcW w:w="4678" w:type="dxa"/>
            <w:gridSpan w:val="2"/>
          </w:tcPr>
          <w:p w:rsidR="0053152B" w:rsidRPr="00D252D3" w:rsidRDefault="0053152B">
            <w:pPr>
              <w:tabs>
                <w:tab w:val="left" w:pos="-720"/>
                <w:tab w:val="left" w:pos="4536"/>
              </w:tabs>
              <w:suppressAutoHyphens/>
              <w:rPr>
                <w:b/>
                <w:szCs w:val="22"/>
              </w:rPr>
            </w:pPr>
            <w:r w:rsidRPr="00D252D3">
              <w:rPr>
                <w:b/>
                <w:szCs w:val="22"/>
              </w:rPr>
              <w:t>España</w:t>
            </w:r>
          </w:p>
          <w:p w:rsidR="0053152B" w:rsidRPr="00D252D3" w:rsidRDefault="0053152B">
            <w:pPr>
              <w:tabs>
                <w:tab w:val="left" w:pos="-720"/>
              </w:tabs>
              <w:suppressAutoHyphens/>
              <w:rPr>
                <w:szCs w:val="22"/>
                <w:lang w:eastAsia="ja-JP"/>
              </w:rPr>
            </w:pPr>
            <w:r w:rsidRPr="00D252D3">
              <w:rPr>
                <w:szCs w:val="22"/>
                <w:lang w:eastAsia="ja-JP"/>
              </w:rPr>
              <w:t>Boehringer Ingelheim España, S.A.</w:t>
            </w:r>
          </w:p>
          <w:p w:rsidR="0053152B" w:rsidRPr="00D252D3" w:rsidRDefault="0053152B">
            <w:pPr>
              <w:tabs>
                <w:tab w:val="left" w:pos="-720"/>
              </w:tabs>
              <w:suppressAutoHyphens/>
              <w:rPr>
                <w:szCs w:val="22"/>
              </w:rPr>
            </w:pPr>
            <w:r w:rsidRPr="00D252D3">
              <w:rPr>
                <w:szCs w:val="22"/>
                <w:lang w:eastAsia="ja-JP"/>
              </w:rPr>
              <w:t>Tel: +34 93 404 51 00</w:t>
            </w:r>
          </w:p>
          <w:p w:rsidR="0053152B" w:rsidRPr="00D252D3" w:rsidRDefault="0053152B">
            <w:pPr>
              <w:tabs>
                <w:tab w:val="left" w:pos="-720"/>
              </w:tabs>
              <w:suppressAutoHyphens/>
              <w:rPr>
                <w:szCs w:val="22"/>
              </w:rPr>
            </w:pPr>
          </w:p>
        </w:tc>
        <w:tc>
          <w:tcPr>
            <w:tcW w:w="4678" w:type="dxa"/>
          </w:tcPr>
          <w:p w:rsidR="0053152B" w:rsidRPr="00D252D3" w:rsidRDefault="0053152B">
            <w:pPr>
              <w:tabs>
                <w:tab w:val="left" w:pos="-720"/>
                <w:tab w:val="left" w:pos="4536"/>
              </w:tabs>
              <w:suppressAutoHyphens/>
              <w:rPr>
                <w:b/>
                <w:bCs/>
                <w:i/>
                <w:iCs/>
                <w:szCs w:val="22"/>
              </w:rPr>
            </w:pPr>
            <w:r w:rsidRPr="00D252D3">
              <w:rPr>
                <w:b/>
                <w:szCs w:val="22"/>
              </w:rPr>
              <w:t>Polska</w:t>
            </w:r>
          </w:p>
          <w:p w:rsidR="0053152B" w:rsidRPr="00D252D3" w:rsidRDefault="0053152B">
            <w:pPr>
              <w:tabs>
                <w:tab w:val="left" w:pos="-720"/>
              </w:tabs>
              <w:suppressAutoHyphens/>
              <w:rPr>
                <w:szCs w:val="22"/>
                <w:lang w:eastAsia="ja-JP"/>
              </w:rPr>
            </w:pPr>
            <w:r w:rsidRPr="00D252D3">
              <w:rPr>
                <w:szCs w:val="22"/>
                <w:lang w:eastAsia="ja-JP"/>
              </w:rPr>
              <w:t>Boehringer Ingelheim Sp.zo.o.</w:t>
            </w:r>
          </w:p>
          <w:p w:rsidR="0053152B" w:rsidRPr="00D252D3" w:rsidRDefault="0053152B">
            <w:pPr>
              <w:tabs>
                <w:tab w:val="left" w:pos="-720"/>
              </w:tabs>
              <w:suppressAutoHyphens/>
              <w:rPr>
                <w:szCs w:val="22"/>
                <w:lang w:eastAsia="ja-JP"/>
              </w:rPr>
            </w:pPr>
            <w:r w:rsidRPr="00D252D3">
              <w:rPr>
                <w:szCs w:val="22"/>
                <w:lang w:eastAsia="ja-JP"/>
              </w:rPr>
              <w:t>Tel.: +48 22 699 0 699</w:t>
            </w:r>
          </w:p>
          <w:p w:rsidR="0053152B" w:rsidRPr="00D252D3" w:rsidRDefault="0053152B">
            <w:pPr>
              <w:tabs>
                <w:tab w:val="left" w:pos="-720"/>
              </w:tabs>
              <w:suppressAutoHyphens/>
              <w:rPr>
                <w:szCs w:val="22"/>
              </w:rPr>
            </w:pPr>
          </w:p>
        </w:tc>
      </w:tr>
      <w:tr w:rsidR="0053152B" w:rsidRPr="00D252D3" w:rsidTr="0017732D">
        <w:tc>
          <w:tcPr>
            <w:tcW w:w="4678" w:type="dxa"/>
            <w:gridSpan w:val="2"/>
          </w:tcPr>
          <w:p w:rsidR="0053152B" w:rsidRPr="00D252D3" w:rsidRDefault="0053152B">
            <w:pPr>
              <w:tabs>
                <w:tab w:val="left" w:pos="-720"/>
                <w:tab w:val="left" w:pos="4536"/>
              </w:tabs>
              <w:suppressAutoHyphens/>
              <w:rPr>
                <w:b/>
                <w:szCs w:val="22"/>
              </w:rPr>
            </w:pPr>
            <w:r w:rsidRPr="00D252D3">
              <w:rPr>
                <w:b/>
                <w:szCs w:val="22"/>
              </w:rPr>
              <w:t>France</w:t>
            </w:r>
          </w:p>
          <w:p w:rsidR="0053152B" w:rsidRPr="00D252D3" w:rsidRDefault="0053152B">
            <w:pPr>
              <w:rPr>
                <w:szCs w:val="22"/>
                <w:lang w:eastAsia="ja-JP"/>
              </w:rPr>
            </w:pPr>
            <w:r w:rsidRPr="00D252D3">
              <w:rPr>
                <w:szCs w:val="22"/>
                <w:lang w:eastAsia="ja-JP"/>
              </w:rPr>
              <w:t>Boehringer Ingelheim France S.A.S.</w:t>
            </w:r>
          </w:p>
          <w:p w:rsidR="0053152B" w:rsidRPr="00D252D3" w:rsidRDefault="0053152B">
            <w:pPr>
              <w:rPr>
                <w:b/>
                <w:szCs w:val="22"/>
              </w:rPr>
            </w:pPr>
            <w:r w:rsidRPr="00D252D3">
              <w:rPr>
                <w:szCs w:val="22"/>
                <w:lang w:eastAsia="ja-JP"/>
              </w:rPr>
              <w:t>Tél: +33 3 26 50 45 33</w:t>
            </w:r>
          </w:p>
        </w:tc>
        <w:tc>
          <w:tcPr>
            <w:tcW w:w="4678" w:type="dxa"/>
          </w:tcPr>
          <w:p w:rsidR="0053152B" w:rsidRPr="00D252D3" w:rsidRDefault="0053152B">
            <w:pPr>
              <w:rPr>
                <w:szCs w:val="22"/>
              </w:rPr>
            </w:pPr>
            <w:r w:rsidRPr="00D252D3">
              <w:rPr>
                <w:b/>
                <w:szCs w:val="22"/>
              </w:rPr>
              <w:t>Portugal</w:t>
            </w:r>
          </w:p>
          <w:p w:rsidR="0053152B" w:rsidRPr="00D252D3" w:rsidRDefault="0053152B">
            <w:pPr>
              <w:tabs>
                <w:tab w:val="left" w:pos="-720"/>
              </w:tabs>
              <w:suppressAutoHyphens/>
              <w:rPr>
                <w:szCs w:val="22"/>
                <w:lang w:eastAsia="ja-JP"/>
              </w:rPr>
            </w:pPr>
            <w:r w:rsidRPr="00D252D3">
              <w:rPr>
                <w:szCs w:val="22"/>
                <w:lang w:eastAsia="ja-JP"/>
              </w:rPr>
              <w:t>Boehringer Ingelheim, Unipessoal, Lda.</w:t>
            </w:r>
          </w:p>
          <w:p w:rsidR="0053152B" w:rsidRPr="00D252D3" w:rsidRDefault="0053152B">
            <w:pPr>
              <w:tabs>
                <w:tab w:val="left" w:pos="-720"/>
              </w:tabs>
              <w:suppressAutoHyphens/>
              <w:rPr>
                <w:szCs w:val="22"/>
              </w:rPr>
            </w:pPr>
            <w:r w:rsidRPr="00D252D3">
              <w:rPr>
                <w:szCs w:val="22"/>
                <w:lang w:eastAsia="ja-JP"/>
              </w:rPr>
              <w:t>Tel: +351 21 313 53 00</w:t>
            </w:r>
          </w:p>
          <w:p w:rsidR="0053152B" w:rsidRPr="00D252D3" w:rsidRDefault="0053152B">
            <w:pPr>
              <w:tabs>
                <w:tab w:val="left" w:pos="-720"/>
              </w:tabs>
              <w:suppressAutoHyphens/>
              <w:rPr>
                <w:szCs w:val="22"/>
              </w:rPr>
            </w:pPr>
          </w:p>
        </w:tc>
      </w:tr>
      <w:tr w:rsidR="0053152B" w:rsidRPr="00D252D3" w:rsidTr="0017732D">
        <w:tc>
          <w:tcPr>
            <w:tcW w:w="4678" w:type="dxa"/>
            <w:gridSpan w:val="2"/>
          </w:tcPr>
          <w:p w:rsidR="0053152B" w:rsidRPr="00D252D3" w:rsidRDefault="0053152B">
            <w:pPr>
              <w:pStyle w:val="HeadNoNum1"/>
              <w:rPr>
                <w:noProof w:val="0"/>
                <w:lang w:val="sk-SK"/>
              </w:rPr>
            </w:pPr>
            <w:r w:rsidRPr="00D252D3">
              <w:rPr>
                <w:noProof w:val="0"/>
                <w:lang w:val="sk-SK"/>
              </w:rPr>
              <w:t>Hrvatska</w:t>
            </w:r>
          </w:p>
          <w:p w:rsidR="0053152B" w:rsidRPr="00D252D3" w:rsidRDefault="0053152B">
            <w:pPr>
              <w:pStyle w:val="HeadNoNum1"/>
              <w:rPr>
                <w:b w:val="0"/>
                <w:noProof w:val="0"/>
                <w:lang w:val="sk-SK"/>
              </w:rPr>
            </w:pPr>
            <w:r w:rsidRPr="00D252D3">
              <w:rPr>
                <w:b w:val="0"/>
                <w:noProof w:val="0"/>
                <w:lang w:val="sk-SK"/>
              </w:rPr>
              <w:t>Boehringer Ingelheim Zagreb d.o.o.</w:t>
            </w:r>
          </w:p>
          <w:p w:rsidR="0053152B" w:rsidRPr="00D252D3" w:rsidRDefault="0053152B">
            <w:pPr>
              <w:pStyle w:val="HeadNoNum1"/>
              <w:rPr>
                <w:b w:val="0"/>
                <w:noProof w:val="0"/>
                <w:lang w:val="sk-SK"/>
              </w:rPr>
            </w:pPr>
            <w:r w:rsidRPr="00D252D3">
              <w:rPr>
                <w:b w:val="0"/>
                <w:noProof w:val="0"/>
                <w:lang w:val="sk-SK"/>
              </w:rPr>
              <w:t>Tel: +385 1 2444 600</w:t>
            </w:r>
          </w:p>
          <w:p w:rsidR="0053152B" w:rsidRPr="00D252D3" w:rsidRDefault="0053152B">
            <w:pPr>
              <w:pStyle w:val="HeadNoNum1"/>
              <w:rPr>
                <w:b w:val="0"/>
                <w:noProof w:val="0"/>
                <w:szCs w:val="22"/>
                <w:lang w:val="sk-SK"/>
              </w:rPr>
            </w:pPr>
          </w:p>
        </w:tc>
        <w:tc>
          <w:tcPr>
            <w:tcW w:w="4678" w:type="dxa"/>
          </w:tcPr>
          <w:p w:rsidR="0053152B" w:rsidRPr="00D252D3" w:rsidRDefault="0053152B">
            <w:pPr>
              <w:tabs>
                <w:tab w:val="left" w:pos="-720"/>
                <w:tab w:val="left" w:pos="4536"/>
              </w:tabs>
              <w:suppressAutoHyphens/>
              <w:rPr>
                <w:b/>
                <w:szCs w:val="22"/>
              </w:rPr>
            </w:pPr>
            <w:r w:rsidRPr="00D252D3">
              <w:rPr>
                <w:b/>
                <w:szCs w:val="22"/>
              </w:rPr>
              <w:t>România</w:t>
            </w:r>
          </w:p>
          <w:p w:rsidR="0053152B" w:rsidRPr="00D252D3" w:rsidRDefault="0053152B">
            <w:pPr>
              <w:rPr>
                <w:szCs w:val="22"/>
              </w:rPr>
            </w:pPr>
            <w:r w:rsidRPr="00D252D3">
              <w:rPr>
                <w:szCs w:val="22"/>
              </w:rPr>
              <w:t>Boehringer Ingelheim RCV GmbH &amp; Co KG</w:t>
            </w:r>
          </w:p>
          <w:p w:rsidR="0053152B" w:rsidRPr="00D252D3" w:rsidRDefault="0053152B">
            <w:pPr>
              <w:rPr>
                <w:szCs w:val="22"/>
              </w:rPr>
            </w:pPr>
            <w:r w:rsidRPr="00D252D3">
              <w:rPr>
                <w:szCs w:val="22"/>
              </w:rPr>
              <w:t>Viena - Sucursala Bucuresti</w:t>
            </w:r>
          </w:p>
          <w:p w:rsidR="0053152B" w:rsidRPr="00D252D3" w:rsidRDefault="0053152B">
            <w:pPr>
              <w:rPr>
                <w:szCs w:val="22"/>
              </w:rPr>
            </w:pPr>
            <w:r w:rsidRPr="00D252D3">
              <w:rPr>
                <w:szCs w:val="22"/>
              </w:rPr>
              <w:t>Tel: +40 21 3022800</w:t>
            </w:r>
          </w:p>
          <w:p w:rsidR="0053152B" w:rsidRPr="00D252D3" w:rsidRDefault="0053152B">
            <w:pPr>
              <w:tabs>
                <w:tab w:val="left" w:pos="-720"/>
                <w:tab w:val="left" w:pos="4536"/>
              </w:tabs>
              <w:suppressAutoHyphens/>
              <w:rPr>
                <w:b/>
                <w:szCs w:val="22"/>
              </w:rPr>
            </w:pPr>
          </w:p>
        </w:tc>
      </w:tr>
      <w:tr w:rsidR="0053152B" w:rsidRPr="00D252D3" w:rsidTr="0017732D">
        <w:tc>
          <w:tcPr>
            <w:tcW w:w="4678" w:type="dxa"/>
            <w:gridSpan w:val="2"/>
          </w:tcPr>
          <w:p w:rsidR="0053152B" w:rsidRPr="00D252D3" w:rsidRDefault="0053152B">
            <w:pPr>
              <w:rPr>
                <w:szCs w:val="22"/>
              </w:rPr>
            </w:pPr>
            <w:r w:rsidRPr="00D252D3">
              <w:rPr>
                <w:szCs w:val="22"/>
              </w:rPr>
              <w:br w:type="page"/>
            </w:r>
            <w:r w:rsidRPr="00D252D3">
              <w:rPr>
                <w:b/>
                <w:szCs w:val="22"/>
              </w:rPr>
              <w:t>Ireland</w:t>
            </w:r>
          </w:p>
          <w:p w:rsidR="0053152B" w:rsidRPr="00D252D3" w:rsidRDefault="0053152B">
            <w:pPr>
              <w:tabs>
                <w:tab w:val="left" w:pos="-720"/>
              </w:tabs>
              <w:suppressAutoHyphens/>
              <w:rPr>
                <w:szCs w:val="22"/>
                <w:lang w:eastAsia="ja-JP"/>
              </w:rPr>
            </w:pPr>
            <w:r w:rsidRPr="00D252D3">
              <w:rPr>
                <w:szCs w:val="22"/>
                <w:lang w:eastAsia="ja-JP"/>
              </w:rPr>
              <w:t>Boehringer Ingelheim Ireland Ltd.</w:t>
            </w:r>
          </w:p>
          <w:p w:rsidR="0053152B" w:rsidRPr="00D252D3" w:rsidRDefault="0053152B">
            <w:pPr>
              <w:tabs>
                <w:tab w:val="left" w:pos="-720"/>
              </w:tabs>
              <w:suppressAutoHyphens/>
              <w:rPr>
                <w:szCs w:val="22"/>
              </w:rPr>
            </w:pPr>
            <w:r w:rsidRPr="00D252D3">
              <w:rPr>
                <w:szCs w:val="22"/>
                <w:lang w:eastAsia="ja-JP"/>
              </w:rPr>
              <w:t>Tel: +353 1 295 9620</w:t>
            </w:r>
          </w:p>
        </w:tc>
        <w:tc>
          <w:tcPr>
            <w:tcW w:w="4678" w:type="dxa"/>
          </w:tcPr>
          <w:p w:rsidR="0053152B" w:rsidRPr="00D252D3" w:rsidRDefault="0053152B">
            <w:pPr>
              <w:rPr>
                <w:szCs w:val="22"/>
              </w:rPr>
            </w:pPr>
            <w:r w:rsidRPr="00D252D3">
              <w:rPr>
                <w:b/>
                <w:szCs w:val="22"/>
              </w:rPr>
              <w:t>Slovenija</w:t>
            </w:r>
          </w:p>
          <w:p w:rsidR="0053152B" w:rsidRPr="00D252D3" w:rsidRDefault="0053152B">
            <w:pPr>
              <w:tabs>
                <w:tab w:val="left" w:pos="-720"/>
              </w:tabs>
              <w:suppressAutoHyphens/>
              <w:rPr>
                <w:szCs w:val="22"/>
                <w:lang w:eastAsia="ja-JP"/>
              </w:rPr>
            </w:pPr>
            <w:r w:rsidRPr="00D252D3">
              <w:rPr>
                <w:szCs w:val="22"/>
                <w:lang w:eastAsia="ja-JP"/>
              </w:rPr>
              <w:t>Boehringer Ingelheim RCV GmbH &amp; Co KG</w:t>
            </w:r>
          </w:p>
          <w:p w:rsidR="0053152B" w:rsidRPr="00D252D3" w:rsidRDefault="0053152B">
            <w:pPr>
              <w:tabs>
                <w:tab w:val="left" w:pos="-720"/>
              </w:tabs>
              <w:suppressAutoHyphens/>
              <w:rPr>
                <w:szCs w:val="22"/>
                <w:lang w:eastAsia="ja-JP"/>
              </w:rPr>
            </w:pPr>
            <w:r w:rsidRPr="00D252D3">
              <w:rPr>
                <w:szCs w:val="22"/>
                <w:lang w:eastAsia="ja-JP"/>
              </w:rPr>
              <w:t>Podružnica Ljubljana</w:t>
            </w:r>
          </w:p>
          <w:p w:rsidR="0053152B" w:rsidRPr="00D252D3" w:rsidRDefault="0053152B">
            <w:pPr>
              <w:tabs>
                <w:tab w:val="left" w:pos="-720"/>
              </w:tabs>
              <w:suppressAutoHyphens/>
              <w:rPr>
                <w:szCs w:val="22"/>
                <w:lang w:eastAsia="ja-JP"/>
              </w:rPr>
            </w:pPr>
            <w:r w:rsidRPr="00D252D3">
              <w:rPr>
                <w:szCs w:val="22"/>
                <w:lang w:eastAsia="ja-JP"/>
              </w:rPr>
              <w:t>Tel: +386 1 586 40 00</w:t>
            </w:r>
          </w:p>
          <w:p w:rsidR="0053152B" w:rsidRPr="00D252D3" w:rsidRDefault="0053152B">
            <w:pPr>
              <w:tabs>
                <w:tab w:val="left" w:pos="-720"/>
              </w:tabs>
              <w:suppressAutoHyphens/>
              <w:rPr>
                <w:szCs w:val="22"/>
              </w:rPr>
            </w:pPr>
          </w:p>
        </w:tc>
      </w:tr>
      <w:tr w:rsidR="0053152B" w:rsidRPr="00D252D3" w:rsidTr="0017732D">
        <w:tc>
          <w:tcPr>
            <w:tcW w:w="4678" w:type="dxa"/>
            <w:gridSpan w:val="2"/>
          </w:tcPr>
          <w:p w:rsidR="0053152B" w:rsidRPr="00D252D3" w:rsidRDefault="0053152B">
            <w:pPr>
              <w:keepNext/>
              <w:keepLines/>
              <w:rPr>
                <w:b/>
                <w:szCs w:val="22"/>
              </w:rPr>
            </w:pPr>
            <w:r w:rsidRPr="00D252D3">
              <w:rPr>
                <w:b/>
                <w:szCs w:val="22"/>
              </w:rPr>
              <w:t>Ísland</w:t>
            </w:r>
          </w:p>
          <w:p w:rsidR="0053152B" w:rsidRPr="00D252D3" w:rsidRDefault="0053152B">
            <w:pPr>
              <w:keepNext/>
              <w:keepLines/>
              <w:tabs>
                <w:tab w:val="left" w:pos="-720"/>
              </w:tabs>
              <w:suppressAutoHyphens/>
              <w:rPr>
                <w:szCs w:val="22"/>
                <w:lang w:eastAsia="ja-JP"/>
              </w:rPr>
            </w:pPr>
            <w:r w:rsidRPr="00D252D3">
              <w:rPr>
                <w:szCs w:val="22"/>
                <w:lang w:eastAsia="ja-JP"/>
              </w:rPr>
              <w:t>Vistor hf.</w:t>
            </w:r>
          </w:p>
          <w:p w:rsidR="0053152B" w:rsidRPr="00D252D3" w:rsidRDefault="0053152B">
            <w:pPr>
              <w:keepNext/>
              <w:keepLines/>
              <w:tabs>
                <w:tab w:val="left" w:pos="-720"/>
              </w:tabs>
              <w:suppressAutoHyphens/>
              <w:rPr>
                <w:szCs w:val="22"/>
              </w:rPr>
            </w:pPr>
            <w:r w:rsidRPr="00D252D3">
              <w:rPr>
                <w:szCs w:val="22"/>
              </w:rPr>
              <w:t>Sími/</w:t>
            </w:r>
            <w:r w:rsidRPr="00D252D3">
              <w:rPr>
                <w:szCs w:val="22"/>
                <w:lang w:eastAsia="ja-JP"/>
              </w:rPr>
              <w:t>Tel: +354 535 7000</w:t>
            </w:r>
          </w:p>
          <w:p w:rsidR="0053152B" w:rsidRPr="00D252D3" w:rsidRDefault="0053152B">
            <w:pPr>
              <w:keepNext/>
              <w:keepLines/>
              <w:tabs>
                <w:tab w:val="left" w:pos="-720"/>
              </w:tabs>
              <w:suppressAutoHyphens/>
              <w:rPr>
                <w:szCs w:val="22"/>
              </w:rPr>
            </w:pPr>
          </w:p>
        </w:tc>
        <w:tc>
          <w:tcPr>
            <w:tcW w:w="4678" w:type="dxa"/>
          </w:tcPr>
          <w:p w:rsidR="0053152B" w:rsidRPr="00D252D3" w:rsidRDefault="0053152B">
            <w:pPr>
              <w:keepNext/>
              <w:keepLines/>
              <w:tabs>
                <w:tab w:val="left" w:pos="-720"/>
              </w:tabs>
              <w:suppressAutoHyphens/>
              <w:rPr>
                <w:b/>
                <w:szCs w:val="22"/>
              </w:rPr>
            </w:pPr>
            <w:r w:rsidRPr="00D252D3">
              <w:rPr>
                <w:b/>
                <w:szCs w:val="22"/>
              </w:rPr>
              <w:t>Slovenská republika</w:t>
            </w:r>
          </w:p>
          <w:p w:rsidR="0053152B" w:rsidRPr="00D252D3" w:rsidRDefault="0053152B">
            <w:pPr>
              <w:keepNext/>
              <w:keepLines/>
              <w:tabs>
                <w:tab w:val="left" w:pos="-720"/>
              </w:tabs>
              <w:suppressAutoHyphens/>
              <w:rPr>
                <w:szCs w:val="22"/>
                <w:lang w:eastAsia="ja-JP"/>
              </w:rPr>
            </w:pPr>
            <w:r w:rsidRPr="00D252D3">
              <w:rPr>
                <w:szCs w:val="22"/>
                <w:lang w:eastAsia="ja-JP"/>
              </w:rPr>
              <w:t>Boehringer Ingelheim RCV GmbH &amp; Co KG</w:t>
            </w:r>
          </w:p>
          <w:p w:rsidR="0053152B" w:rsidRPr="00D252D3" w:rsidRDefault="0053152B">
            <w:pPr>
              <w:keepNext/>
              <w:keepLines/>
              <w:tabs>
                <w:tab w:val="left" w:pos="-720"/>
              </w:tabs>
              <w:suppressAutoHyphens/>
              <w:rPr>
                <w:szCs w:val="22"/>
                <w:lang w:eastAsia="de-DE"/>
              </w:rPr>
            </w:pPr>
            <w:r w:rsidRPr="00D252D3">
              <w:rPr>
                <w:szCs w:val="22"/>
                <w:lang w:eastAsia="de-DE"/>
              </w:rPr>
              <w:t>organizačná zložka</w:t>
            </w:r>
          </w:p>
          <w:p w:rsidR="0053152B" w:rsidRPr="00D252D3" w:rsidRDefault="0053152B">
            <w:pPr>
              <w:keepNext/>
              <w:keepLines/>
              <w:tabs>
                <w:tab w:val="left" w:pos="-720"/>
              </w:tabs>
              <w:suppressAutoHyphens/>
              <w:rPr>
                <w:szCs w:val="22"/>
                <w:lang w:eastAsia="de-DE"/>
              </w:rPr>
            </w:pPr>
            <w:r w:rsidRPr="00D252D3">
              <w:rPr>
                <w:szCs w:val="22"/>
                <w:lang w:eastAsia="de-DE"/>
              </w:rPr>
              <w:t>Tel: +421 2 5810 1211</w:t>
            </w:r>
          </w:p>
          <w:p w:rsidR="0053152B" w:rsidRPr="00D252D3" w:rsidRDefault="0053152B">
            <w:pPr>
              <w:keepNext/>
              <w:keepLines/>
              <w:tabs>
                <w:tab w:val="left" w:pos="-720"/>
              </w:tabs>
              <w:suppressAutoHyphens/>
              <w:rPr>
                <w:b/>
                <w:szCs w:val="22"/>
              </w:rPr>
            </w:pPr>
          </w:p>
        </w:tc>
      </w:tr>
      <w:tr w:rsidR="0053152B" w:rsidRPr="00D252D3" w:rsidTr="0017732D">
        <w:tc>
          <w:tcPr>
            <w:tcW w:w="4678" w:type="dxa"/>
            <w:gridSpan w:val="2"/>
          </w:tcPr>
          <w:p w:rsidR="0053152B" w:rsidRPr="00D252D3" w:rsidRDefault="0053152B">
            <w:pPr>
              <w:rPr>
                <w:szCs w:val="22"/>
              </w:rPr>
            </w:pPr>
            <w:r w:rsidRPr="00D252D3">
              <w:rPr>
                <w:b/>
                <w:szCs w:val="22"/>
              </w:rPr>
              <w:t>Italia</w:t>
            </w:r>
          </w:p>
          <w:p w:rsidR="0053152B" w:rsidRPr="00D252D3" w:rsidRDefault="0053152B">
            <w:pPr>
              <w:rPr>
                <w:szCs w:val="22"/>
                <w:lang w:eastAsia="ja-JP"/>
              </w:rPr>
            </w:pPr>
            <w:r w:rsidRPr="00D252D3">
              <w:rPr>
                <w:szCs w:val="22"/>
                <w:lang w:eastAsia="ja-JP"/>
              </w:rPr>
              <w:t>Boehringer Ingelheim Italia S.p.A.</w:t>
            </w:r>
          </w:p>
          <w:p w:rsidR="0053152B" w:rsidRPr="00D252D3" w:rsidRDefault="0053152B">
            <w:pPr>
              <w:rPr>
                <w:b/>
                <w:szCs w:val="22"/>
              </w:rPr>
            </w:pPr>
            <w:r w:rsidRPr="00D252D3">
              <w:rPr>
                <w:szCs w:val="22"/>
                <w:lang w:eastAsia="ja-JP"/>
              </w:rPr>
              <w:t>Tel: +39 02 5355 1</w:t>
            </w:r>
          </w:p>
        </w:tc>
        <w:tc>
          <w:tcPr>
            <w:tcW w:w="4678" w:type="dxa"/>
          </w:tcPr>
          <w:p w:rsidR="0053152B" w:rsidRPr="00D252D3" w:rsidRDefault="0053152B">
            <w:pPr>
              <w:tabs>
                <w:tab w:val="left" w:pos="-720"/>
                <w:tab w:val="left" w:pos="4536"/>
              </w:tabs>
              <w:suppressAutoHyphens/>
              <w:rPr>
                <w:szCs w:val="22"/>
              </w:rPr>
            </w:pPr>
            <w:r w:rsidRPr="00D252D3">
              <w:rPr>
                <w:b/>
                <w:szCs w:val="22"/>
              </w:rPr>
              <w:t>Suomi/Finland</w:t>
            </w:r>
          </w:p>
          <w:p w:rsidR="0053152B" w:rsidRPr="00D252D3" w:rsidRDefault="0053152B">
            <w:pPr>
              <w:tabs>
                <w:tab w:val="left" w:pos="-720"/>
              </w:tabs>
              <w:suppressAutoHyphens/>
              <w:rPr>
                <w:szCs w:val="22"/>
                <w:lang w:eastAsia="ja-JP"/>
              </w:rPr>
            </w:pPr>
            <w:r w:rsidRPr="00D252D3">
              <w:rPr>
                <w:szCs w:val="22"/>
                <w:lang w:eastAsia="ja-JP"/>
              </w:rPr>
              <w:t>Boehringer Ingelheim Finland Ky</w:t>
            </w:r>
          </w:p>
          <w:p w:rsidR="0053152B" w:rsidRPr="00D252D3" w:rsidRDefault="0053152B">
            <w:pPr>
              <w:tabs>
                <w:tab w:val="left" w:pos="-720"/>
              </w:tabs>
              <w:suppressAutoHyphens/>
              <w:jc w:val="both"/>
              <w:rPr>
                <w:szCs w:val="22"/>
              </w:rPr>
            </w:pPr>
            <w:r w:rsidRPr="00D252D3">
              <w:rPr>
                <w:szCs w:val="22"/>
                <w:lang w:eastAsia="ja-JP"/>
              </w:rPr>
              <w:t>Puh/Tel: +358 10 3102 800</w:t>
            </w:r>
          </w:p>
          <w:p w:rsidR="0053152B" w:rsidRPr="00D252D3" w:rsidRDefault="0053152B">
            <w:pPr>
              <w:tabs>
                <w:tab w:val="left" w:pos="-720"/>
              </w:tabs>
              <w:suppressAutoHyphens/>
              <w:rPr>
                <w:szCs w:val="22"/>
              </w:rPr>
            </w:pPr>
          </w:p>
        </w:tc>
      </w:tr>
      <w:tr w:rsidR="0053152B" w:rsidRPr="00D252D3" w:rsidTr="0017732D">
        <w:tc>
          <w:tcPr>
            <w:tcW w:w="4678" w:type="dxa"/>
            <w:gridSpan w:val="2"/>
          </w:tcPr>
          <w:p w:rsidR="0053152B" w:rsidRPr="00D252D3" w:rsidRDefault="0053152B">
            <w:pPr>
              <w:keepNext/>
              <w:keepLines/>
              <w:rPr>
                <w:b/>
                <w:szCs w:val="22"/>
              </w:rPr>
            </w:pPr>
            <w:r w:rsidRPr="00D252D3">
              <w:rPr>
                <w:b/>
                <w:szCs w:val="22"/>
              </w:rPr>
              <w:t>Κύπρος</w:t>
            </w:r>
          </w:p>
          <w:p w:rsidR="0053152B" w:rsidRPr="00D252D3" w:rsidRDefault="0053152B">
            <w:pPr>
              <w:keepNext/>
              <w:keepLines/>
              <w:rPr>
                <w:szCs w:val="22"/>
                <w:lang w:eastAsia="ja-JP"/>
              </w:rPr>
            </w:pPr>
            <w:r w:rsidRPr="00D252D3">
              <w:rPr>
                <w:szCs w:val="22"/>
                <w:lang w:eastAsia="ja-JP"/>
              </w:rPr>
              <w:t>Boehringer Ingelheim Ellas A.E.</w:t>
            </w:r>
          </w:p>
          <w:p w:rsidR="0053152B" w:rsidRPr="00D252D3" w:rsidRDefault="0053152B">
            <w:pPr>
              <w:keepNext/>
              <w:keepLines/>
              <w:rPr>
                <w:b/>
                <w:szCs w:val="22"/>
              </w:rPr>
            </w:pPr>
            <w:r w:rsidRPr="00D252D3">
              <w:rPr>
                <w:szCs w:val="22"/>
                <w:lang w:eastAsia="ja-JP"/>
              </w:rPr>
              <w:t>Tηλ: +30 2 10 89 06 300</w:t>
            </w:r>
          </w:p>
        </w:tc>
        <w:tc>
          <w:tcPr>
            <w:tcW w:w="4678" w:type="dxa"/>
          </w:tcPr>
          <w:p w:rsidR="0053152B" w:rsidRPr="00D252D3" w:rsidRDefault="0053152B">
            <w:pPr>
              <w:keepNext/>
              <w:keepLines/>
              <w:tabs>
                <w:tab w:val="left" w:pos="-720"/>
                <w:tab w:val="left" w:pos="4536"/>
              </w:tabs>
              <w:suppressAutoHyphens/>
              <w:rPr>
                <w:b/>
                <w:szCs w:val="22"/>
              </w:rPr>
            </w:pPr>
            <w:r w:rsidRPr="00D252D3">
              <w:rPr>
                <w:b/>
                <w:szCs w:val="22"/>
              </w:rPr>
              <w:t>Sverige</w:t>
            </w:r>
          </w:p>
          <w:p w:rsidR="0053152B" w:rsidRPr="00D252D3" w:rsidRDefault="0053152B">
            <w:pPr>
              <w:keepNext/>
              <w:keepLines/>
              <w:tabs>
                <w:tab w:val="left" w:pos="-720"/>
                <w:tab w:val="left" w:pos="4536"/>
              </w:tabs>
              <w:suppressAutoHyphens/>
              <w:rPr>
                <w:szCs w:val="22"/>
                <w:lang w:eastAsia="ja-JP"/>
              </w:rPr>
            </w:pPr>
            <w:r w:rsidRPr="00D252D3">
              <w:rPr>
                <w:szCs w:val="22"/>
                <w:lang w:eastAsia="ja-JP"/>
              </w:rPr>
              <w:t>Boehringer Ingelheim AB</w:t>
            </w:r>
          </w:p>
          <w:p w:rsidR="0053152B" w:rsidRPr="00D252D3" w:rsidRDefault="0053152B">
            <w:pPr>
              <w:keepNext/>
              <w:keepLines/>
              <w:tabs>
                <w:tab w:val="left" w:pos="-720"/>
                <w:tab w:val="left" w:pos="4536"/>
              </w:tabs>
              <w:suppressAutoHyphens/>
              <w:rPr>
                <w:szCs w:val="22"/>
                <w:lang w:eastAsia="ja-JP"/>
              </w:rPr>
            </w:pPr>
            <w:r w:rsidRPr="00D252D3">
              <w:rPr>
                <w:szCs w:val="22"/>
                <w:lang w:eastAsia="ja-JP"/>
              </w:rPr>
              <w:t>Tel: +46 8 721 21 00</w:t>
            </w:r>
          </w:p>
          <w:p w:rsidR="0053152B" w:rsidRPr="00D252D3" w:rsidRDefault="0053152B">
            <w:pPr>
              <w:keepNext/>
              <w:keepLines/>
              <w:tabs>
                <w:tab w:val="left" w:pos="-720"/>
                <w:tab w:val="left" w:pos="4536"/>
              </w:tabs>
              <w:suppressAutoHyphens/>
              <w:rPr>
                <w:b/>
                <w:szCs w:val="22"/>
              </w:rPr>
            </w:pPr>
          </w:p>
        </w:tc>
      </w:tr>
      <w:tr w:rsidR="0053152B" w:rsidRPr="00D252D3" w:rsidTr="0017732D">
        <w:tc>
          <w:tcPr>
            <w:tcW w:w="4678" w:type="dxa"/>
            <w:gridSpan w:val="2"/>
          </w:tcPr>
          <w:p w:rsidR="0053152B" w:rsidRPr="00D252D3" w:rsidRDefault="0053152B">
            <w:pPr>
              <w:rPr>
                <w:b/>
                <w:szCs w:val="22"/>
              </w:rPr>
            </w:pPr>
            <w:r w:rsidRPr="00D252D3">
              <w:rPr>
                <w:b/>
                <w:szCs w:val="22"/>
              </w:rPr>
              <w:t>Latvija</w:t>
            </w:r>
          </w:p>
          <w:p w:rsidR="0053152B" w:rsidRPr="00D252D3" w:rsidRDefault="0053152B">
            <w:pPr>
              <w:tabs>
                <w:tab w:val="left" w:pos="-720"/>
              </w:tabs>
              <w:suppressAutoHyphens/>
              <w:rPr>
                <w:szCs w:val="22"/>
              </w:rPr>
            </w:pPr>
            <w:r w:rsidRPr="00D252D3">
              <w:rPr>
                <w:szCs w:val="22"/>
                <w:lang w:eastAsia="ja-JP"/>
              </w:rPr>
              <w:t xml:space="preserve">Boehringer Ingelheim </w:t>
            </w:r>
            <w:r w:rsidRPr="00D252D3">
              <w:rPr>
                <w:szCs w:val="22"/>
              </w:rPr>
              <w:t>RCV GmbH &amp; Co KG</w:t>
            </w:r>
          </w:p>
          <w:p w:rsidR="0053152B" w:rsidRPr="00D252D3" w:rsidRDefault="0053152B">
            <w:pPr>
              <w:tabs>
                <w:tab w:val="left" w:pos="-720"/>
              </w:tabs>
              <w:suppressAutoHyphens/>
              <w:rPr>
                <w:szCs w:val="22"/>
                <w:lang w:eastAsia="ja-JP"/>
              </w:rPr>
            </w:pPr>
            <w:r w:rsidRPr="00D252D3">
              <w:rPr>
                <w:szCs w:val="22"/>
              </w:rPr>
              <w:t xml:space="preserve">Latvijas filiāle </w:t>
            </w:r>
          </w:p>
          <w:p w:rsidR="0053152B" w:rsidRPr="00D252D3" w:rsidRDefault="0053152B">
            <w:pPr>
              <w:tabs>
                <w:tab w:val="left" w:pos="-720"/>
              </w:tabs>
              <w:suppressAutoHyphens/>
              <w:rPr>
                <w:szCs w:val="22"/>
              </w:rPr>
            </w:pPr>
            <w:r w:rsidRPr="00D252D3">
              <w:rPr>
                <w:szCs w:val="22"/>
                <w:lang w:eastAsia="ja-JP"/>
              </w:rPr>
              <w:t>Tel: +371 67 240 011</w:t>
            </w:r>
          </w:p>
          <w:p w:rsidR="0053152B" w:rsidRPr="00D252D3" w:rsidRDefault="0053152B">
            <w:pPr>
              <w:tabs>
                <w:tab w:val="left" w:pos="-720"/>
              </w:tabs>
              <w:suppressAutoHyphens/>
              <w:rPr>
                <w:szCs w:val="22"/>
              </w:rPr>
            </w:pPr>
          </w:p>
        </w:tc>
        <w:tc>
          <w:tcPr>
            <w:tcW w:w="4678" w:type="dxa"/>
          </w:tcPr>
          <w:p w:rsidR="0053152B" w:rsidRPr="00D252D3" w:rsidRDefault="0053152B">
            <w:pPr>
              <w:tabs>
                <w:tab w:val="left" w:pos="-720"/>
                <w:tab w:val="left" w:pos="4536"/>
              </w:tabs>
              <w:suppressAutoHyphens/>
              <w:rPr>
                <w:b/>
                <w:szCs w:val="22"/>
              </w:rPr>
            </w:pPr>
            <w:r w:rsidRPr="00D252D3">
              <w:rPr>
                <w:b/>
                <w:szCs w:val="22"/>
              </w:rPr>
              <w:t>United Kingdom</w:t>
            </w:r>
          </w:p>
          <w:p w:rsidR="0053152B" w:rsidRPr="00D252D3" w:rsidRDefault="0053152B">
            <w:pPr>
              <w:rPr>
                <w:szCs w:val="22"/>
                <w:lang w:eastAsia="ja-JP"/>
              </w:rPr>
            </w:pPr>
            <w:r w:rsidRPr="00D252D3">
              <w:rPr>
                <w:szCs w:val="22"/>
                <w:lang w:eastAsia="ja-JP"/>
              </w:rPr>
              <w:t>Boehringer Ingelheim Ltd.</w:t>
            </w:r>
          </w:p>
          <w:p w:rsidR="0053152B" w:rsidRPr="00D252D3" w:rsidRDefault="0053152B">
            <w:pPr>
              <w:rPr>
                <w:szCs w:val="22"/>
              </w:rPr>
            </w:pPr>
            <w:r w:rsidRPr="00D252D3">
              <w:rPr>
                <w:szCs w:val="22"/>
                <w:lang w:eastAsia="ja-JP"/>
              </w:rPr>
              <w:t>Tel: +44 1344 424 600</w:t>
            </w:r>
          </w:p>
        </w:tc>
      </w:tr>
    </w:tbl>
    <w:p w:rsidR="0053152B" w:rsidRPr="00D252D3" w:rsidRDefault="0053152B">
      <w:pPr>
        <w:numPr>
          <w:ilvl w:val="12"/>
          <w:numId w:val="0"/>
        </w:numPr>
        <w:ind w:right="-2"/>
        <w:rPr>
          <w:b/>
        </w:rPr>
      </w:pPr>
    </w:p>
    <w:p w:rsidR="0053152B" w:rsidRPr="00D252D3" w:rsidRDefault="0053152B">
      <w:pPr>
        <w:numPr>
          <w:ilvl w:val="12"/>
          <w:numId w:val="0"/>
        </w:numPr>
        <w:ind w:right="-2"/>
      </w:pPr>
      <w:r w:rsidRPr="00D252D3">
        <w:rPr>
          <w:b/>
        </w:rPr>
        <w:t>Táto písomná informácia bola naposledy aktualizovaná v</w:t>
      </w:r>
    </w:p>
    <w:p w:rsidR="0053152B" w:rsidRPr="00D252D3" w:rsidRDefault="0053152B">
      <w:pPr>
        <w:ind w:left="0" w:right="-449" w:firstLine="0"/>
      </w:pPr>
    </w:p>
    <w:p w:rsidR="0053152B" w:rsidRPr="00D252D3" w:rsidRDefault="0053152B">
      <w:pPr>
        <w:tabs>
          <w:tab w:val="left" w:pos="567"/>
        </w:tabs>
        <w:jc w:val="both"/>
        <w:rPr>
          <w:szCs w:val="22"/>
        </w:rPr>
      </w:pPr>
      <w:r w:rsidRPr="00D252D3">
        <w:rPr>
          <w:b/>
        </w:rPr>
        <w:t>Ďalšie zdroje informácií</w:t>
      </w:r>
    </w:p>
    <w:p w:rsidR="0053152B" w:rsidRPr="00D252D3" w:rsidRDefault="0053152B">
      <w:pPr>
        <w:ind w:left="0" w:firstLine="0"/>
        <w:jc w:val="both"/>
        <w:rPr>
          <w:b/>
        </w:rPr>
      </w:pPr>
      <w:r w:rsidRPr="00D252D3">
        <w:rPr>
          <w:szCs w:val="22"/>
        </w:rPr>
        <w:t xml:space="preserve">Podrobné informácie o tomto lieku sú dostupné na internetovej stránke Európskej agentúry pre lieky </w:t>
      </w:r>
      <w:hyperlink r:id="rId20" w:history="1">
        <w:r w:rsidRPr="00D252D3">
          <w:rPr>
            <w:rStyle w:val="Hyperlink"/>
            <w:szCs w:val="22"/>
          </w:rPr>
          <w:t>http://www.ema</w:t>
        </w:r>
        <w:r w:rsidRPr="00D252D3">
          <w:rPr>
            <w:rStyle w:val="Hyperlink"/>
            <w:szCs w:val="22"/>
          </w:rPr>
          <w:t>.</w:t>
        </w:r>
        <w:r w:rsidRPr="00D252D3">
          <w:rPr>
            <w:rStyle w:val="Hyperlink"/>
            <w:szCs w:val="22"/>
          </w:rPr>
          <w:t>eur</w:t>
        </w:r>
        <w:r w:rsidRPr="00D252D3">
          <w:rPr>
            <w:rStyle w:val="Hyperlink"/>
            <w:szCs w:val="22"/>
          </w:rPr>
          <w:t>o</w:t>
        </w:r>
        <w:r w:rsidRPr="00D252D3">
          <w:rPr>
            <w:rStyle w:val="Hyperlink"/>
            <w:szCs w:val="22"/>
          </w:rPr>
          <w:t>pa.eu</w:t>
        </w:r>
      </w:hyperlink>
      <w:r w:rsidRPr="00D252D3">
        <w:rPr>
          <w:szCs w:val="22"/>
        </w:rPr>
        <w:t>.</w:t>
      </w:r>
    </w:p>
    <w:p w:rsidR="0053152B" w:rsidRPr="00D252D3" w:rsidRDefault="0053152B">
      <w:pPr>
        <w:ind w:left="0" w:firstLine="0"/>
      </w:pPr>
    </w:p>
    <w:p w:rsidR="0053152B" w:rsidRPr="00D252D3" w:rsidRDefault="0053152B">
      <w:pPr>
        <w:ind w:left="2694" w:firstLine="0"/>
      </w:pPr>
      <w:r w:rsidRPr="00D252D3">
        <w:t xml:space="preserve"> </w:t>
      </w:r>
    </w:p>
    <w:sectPr w:rsidR="0053152B" w:rsidRPr="00D252D3">
      <w:footerReference w:type="even" r:id="rId21"/>
      <w:footerReference w:type="default" r:id="rId22"/>
      <w:pgSz w:w="11906" w:h="16838"/>
      <w:pgMar w:top="1134" w:right="1418" w:bottom="1134" w:left="1418" w:header="737" w:footer="737"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5A18" w:rsidRDefault="00475A18">
      <w:r>
        <w:separator/>
      </w:r>
    </w:p>
  </w:endnote>
  <w:endnote w:type="continuationSeparator" w:id="0">
    <w:p w:rsidR="00475A18" w:rsidRDefault="00475A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SanDCE">
    <w:altName w:val="Times New Roman"/>
    <w:panose1 w:val="00000000000000000000"/>
    <w:charset w:val="EE"/>
    <w:family w:val="auto"/>
    <w:notTrueType/>
    <w:pitch w:val="variable"/>
    <w:sig w:usb0="00000005" w:usb1="00000000" w:usb2="00000000" w:usb3="00000000" w:csb0="00000002"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0825" w:rsidRDefault="0072082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720825" w:rsidRDefault="007208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0825" w:rsidRPr="00A544B0" w:rsidRDefault="00A544B0" w:rsidP="00A544B0">
    <w:pPr>
      <w:pStyle w:val="Footer"/>
      <w:jc w:val="center"/>
      <w:rPr>
        <w:rFonts w:ascii="Arial" w:hAnsi="Arial" w:cs="Arial"/>
        <w:sz w:val="16"/>
        <w:szCs w:val="16"/>
      </w:rPr>
    </w:pPr>
    <w:r w:rsidRPr="00A544B0">
      <w:rPr>
        <w:rFonts w:ascii="Arial" w:hAnsi="Arial" w:cs="Arial"/>
        <w:sz w:val="16"/>
        <w:szCs w:val="16"/>
      </w:rPr>
      <w:fldChar w:fldCharType="begin"/>
    </w:r>
    <w:r w:rsidRPr="00A544B0">
      <w:rPr>
        <w:rFonts w:ascii="Arial" w:hAnsi="Arial" w:cs="Arial"/>
        <w:sz w:val="16"/>
        <w:szCs w:val="16"/>
      </w:rPr>
      <w:instrText>PAGE   \* MERGEFORMAT</w:instrText>
    </w:r>
    <w:r w:rsidRPr="00A544B0">
      <w:rPr>
        <w:rFonts w:ascii="Arial" w:hAnsi="Arial" w:cs="Arial"/>
        <w:sz w:val="16"/>
        <w:szCs w:val="16"/>
      </w:rPr>
      <w:fldChar w:fldCharType="separate"/>
    </w:r>
    <w:r w:rsidR="0013649E" w:rsidRPr="0013649E">
      <w:rPr>
        <w:rFonts w:ascii="Arial" w:hAnsi="Arial" w:cs="Arial"/>
        <w:noProof/>
        <w:sz w:val="16"/>
        <w:szCs w:val="16"/>
        <w:lang w:val="de-DE"/>
      </w:rPr>
      <w:t>78</w:t>
    </w:r>
    <w:r w:rsidRPr="00A544B0">
      <w:rPr>
        <w:rFonts w:ascii="Arial" w:hAnsi="Arial"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5A18" w:rsidRDefault="00475A18">
      <w:r>
        <w:separator/>
      </w:r>
    </w:p>
  </w:footnote>
  <w:footnote w:type="continuationSeparator" w:id="0">
    <w:p w:rsidR="00475A18" w:rsidRDefault="00475A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8C0CEF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E7D68C9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1026E16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049E698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B24D79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6E67E8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10C0F4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B0A0BD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1CE8C1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436216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85118B"/>
    <w:multiLevelType w:val="hybridMultilevel"/>
    <w:tmpl w:val="4AF04E3E"/>
    <w:lvl w:ilvl="0" w:tplc="F30EE344">
      <w:numFmt w:val="bullet"/>
      <w:lvlText w:val="-"/>
      <w:lvlJc w:val="left"/>
      <w:pPr>
        <w:tabs>
          <w:tab w:val="num" w:pos="360"/>
        </w:tabs>
        <w:ind w:left="360" w:hanging="360"/>
      </w:pPr>
      <w:rPr>
        <w:rFonts w:ascii="Times New Roman" w:eastAsia="Batang"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5BD5E88"/>
    <w:multiLevelType w:val="hybridMultilevel"/>
    <w:tmpl w:val="C7CA2360"/>
    <w:lvl w:ilvl="0" w:tplc="FFFFFFFF">
      <w:start w:val="1"/>
      <w:numFmt w:val="bullet"/>
      <w:lvlText w:val=""/>
      <w:lvlJc w:val="left"/>
      <w:pPr>
        <w:tabs>
          <w:tab w:val="num" w:pos="502"/>
        </w:tabs>
        <w:ind w:left="502"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62D27A9"/>
    <w:multiLevelType w:val="hybridMultilevel"/>
    <w:tmpl w:val="8806EA1A"/>
    <w:lvl w:ilvl="0" w:tplc="0C0A0005">
      <w:start w:val="1"/>
      <w:numFmt w:val="bullet"/>
      <w:lvlText w:val=""/>
      <w:lvlJc w:val="left"/>
      <w:pPr>
        <w:tabs>
          <w:tab w:val="num" w:pos="720"/>
        </w:tabs>
        <w:ind w:left="720" w:hanging="360"/>
      </w:pPr>
      <w:rPr>
        <w:rFonts w:ascii="Wingdings" w:hAnsi="Wingdings" w:hint="default"/>
      </w:rPr>
    </w:lvl>
    <w:lvl w:ilvl="1" w:tplc="041B0003" w:tentative="1">
      <w:start w:val="1"/>
      <w:numFmt w:val="bullet"/>
      <w:lvlText w:val="o"/>
      <w:lvlJc w:val="left"/>
      <w:pPr>
        <w:tabs>
          <w:tab w:val="num" w:pos="1440"/>
        </w:tabs>
        <w:ind w:left="1440" w:hanging="360"/>
      </w:pPr>
      <w:rPr>
        <w:rFonts w:ascii="Courier New" w:hAnsi="Courier New" w:cs="Courier New" w:hint="default"/>
      </w:rPr>
    </w:lvl>
    <w:lvl w:ilvl="2" w:tplc="041B0005" w:tentative="1">
      <w:start w:val="1"/>
      <w:numFmt w:val="bullet"/>
      <w:lvlText w:val=""/>
      <w:lvlJc w:val="left"/>
      <w:pPr>
        <w:tabs>
          <w:tab w:val="num" w:pos="2160"/>
        </w:tabs>
        <w:ind w:left="2160" w:hanging="360"/>
      </w:pPr>
      <w:rPr>
        <w:rFonts w:ascii="Wingdings" w:hAnsi="Wingdings" w:hint="default"/>
      </w:rPr>
    </w:lvl>
    <w:lvl w:ilvl="3" w:tplc="041B0001" w:tentative="1">
      <w:start w:val="1"/>
      <w:numFmt w:val="bullet"/>
      <w:lvlText w:val=""/>
      <w:lvlJc w:val="left"/>
      <w:pPr>
        <w:tabs>
          <w:tab w:val="num" w:pos="2880"/>
        </w:tabs>
        <w:ind w:left="2880" w:hanging="360"/>
      </w:pPr>
      <w:rPr>
        <w:rFonts w:ascii="Symbol" w:hAnsi="Symbol" w:hint="default"/>
      </w:rPr>
    </w:lvl>
    <w:lvl w:ilvl="4" w:tplc="041B0003" w:tentative="1">
      <w:start w:val="1"/>
      <w:numFmt w:val="bullet"/>
      <w:lvlText w:val="o"/>
      <w:lvlJc w:val="left"/>
      <w:pPr>
        <w:tabs>
          <w:tab w:val="num" w:pos="3600"/>
        </w:tabs>
        <w:ind w:left="3600" w:hanging="360"/>
      </w:pPr>
      <w:rPr>
        <w:rFonts w:ascii="Courier New" w:hAnsi="Courier New" w:cs="Courier New" w:hint="default"/>
      </w:rPr>
    </w:lvl>
    <w:lvl w:ilvl="5" w:tplc="041B0005" w:tentative="1">
      <w:start w:val="1"/>
      <w:numFmt w:val="bullet"/>
      <w:lvlText w:val=""/>
      <w:lvlJc w:val="left"/>
      <w:pPr>
        <w:tabs>
          <w:tab w:val="num" w:pos="4320"/>
        </w:tabs>
        <w:ind w:left="4320" w:hanging="360"/>
      </w:pPr>
      <w:rPr>
        <w:rFonts w:ascii="Wingdings" w:hAnsi="Wingdings" w:hint="default"/>
      </w:rPr>
    </w:lvl>
    <w:lvl w:ilvl="6" w:tplc="041B0001" w:tentative="1">
      <w:start w:val="1"/>
      <w:numFmt w:val="bullet"/>
      <w:lvlText w:val=""/>
      <w:lvlJc w:val="left"/>
      <w:pPr>
        <w:tabs>
          <w:tab w:val="num" w:pos="5040"/>
        </w:tabs>
        <w:ind w:left="5040" w:hanging="360"/>
      </w:pPr>
      <w:rPr>
        <w:rFonts w:ascii="Symbol" w:hAnsi="Symbol" w:hint="default"/>
      </w:rPr>
    </w:lvl>
    <w:lvl w:ilvl="7" w:tplc="041B0003" w:tentative="1">
      <w:start w:val="1"/>
      <w:numFmt w:val="bullet"/>
      <w:lvlText w:val="o"/>
      <w:lvlJc w:val="left"/>
      <w:pPr>
        <w:tabs>
          <w:tab w:val="num" w:pos="5760"/>
        </w:tabs>
        <w:ind w:left="5760" w:hanging="360"/>
      </w:pPr>
      <w:rPr>
        <w:rFonts w:ascii="Courier New" w:hAnsi="Courier New" w:cs="Courier New" w:hint="default"/>
      </w:rPr>
    </w:lvl>
    <w:lvl w:ilvl="8" w:tplc="041B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Times New Roman"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Times New Roman"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Times New Roman"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BC07E93"/>
    <w:multiLevelType w:val="hybridMultilevel"/>
    <w:tmpl w:val="5DDE6E00"/>
    <w:lvl w:ilvl="0" w:tplc="FFFFFFFF">
      <w:start w:val="1"/>
      <w:numFmt w:val="decimal"/>
      <w:lvlText w:val="%1."/>
      <w:lvlJc w:val="left"/>
      <w:pPr>
        <w:tabs>
          <w:tab w:val="num" w:pos="1080"/>
        </w:tabs>
        <w:ind w:left="1080" w:hanging="720"/>
      </w:pPr>
    </w:lvl>
    <w:lvl w:ilvl="1" w:tplc="041B0019" w:tentative="1">
      <w:start w:val="1"/>
      <w:numFmt w:val="lowerLetter"/>
      <w:lvlText w:val="%2."/>
      <w:lvlJc w:val="left"/>
      <w:pPr>
        <w:tabs>
          <w:tab w:val="num" w:pos="1440"/>
        </w:tabs>
        <w:ind w:left="1440" w:hanging="360"/>
      </w:p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abstractNum w:abstractNumId="15" w15:restartNumberingAfterBreak="0">
    <w:nsid w:val="0F834D11"/>
    <w:multiLevelType w:val="hybridMultilevel"/>
    <w:tmpl w:val="8D347A64"/>
    <w:lvl w:ilvl="0" w:tplc="CE5C1B8E">
      <w:numFmt w:val="bullet"/>
      <w:lvlText w:val="-"/>
      <w:lvlJc w:val="left"/>
      <w:pPr>
        <w:tabs>
          <w:tab w:val="num" w:pos="720"/>
        </w:tabs>
        <w:ind w:left="720" w:hanging="360"/>
      </w:pPr>
      <w:rPr>
        <w:rFonts w:ascii="Times New Roman" w:eastAsia="Times New Roman" w:hAnsi="Times New Roman" w:cs="Times New Roman" w:hint="default"/>
      </w:rPr>
    </w:lvl>
    <w:lvl w:ilvl="1" w:tplc="041B0003" w:tentative="1">
      <w:start w:val="1"/>
      <w:numFmt w:val="bullet"/>
      <w:lvlText w:val="o"/>
      <w:lvlJc w:val="left"/>
      <w:pPr>
        <w:tabs>
          <w:tab w:val="num" w:pos="1440"/>
        </w:tabs>
        <w:ind w:left="1440" w:hanging="360"/>
      </w:pPr>
      <w:rPr>
        <w:rFonts w:ascii="Courier New" w:hAnsi="Courier New" w:cs="Courier New" w:hint="default"/>
      </w:rPr>
    </w:lvl>
    <w:lvl w:ilvl="2" w:tplc="041B0005" w:tentative="1">
      <w:start w:val="1"/>
      <w:numFmt w:val="bullet"/>
      <w:lvlText w:val=""/>
      <w:lvlJc w:val="left"/>
      <w:pPr>
        <w:tabs>
          <w:tab w:val="num" w:pos="2160"/>
        </w:tabs>
        <w:ind w:left="2160" w:hanging="360"/>
      </w:pPr>
      <w:rPr>
        <w:rFonts w:ascii="Wingdings" w:hAnsi="Wingdings" w:hint="default"/>
      </w:rPr>
    </w:lvl>
    <w:lvl w:ilvl="3" w:tplc="041B0001" w:tentative="1">
      <w:start w:val="1"/>
      <w:numFmt w:val="bullet"/>
      <w:lvlText w:val=""/>
      <w:lvlJc w:val="left"/>
      <w:pPr>
        <w:tabs>
          <w:tab w:val="num" w:pos="2880"/>
        </w:tabs>
        <w:ind w:left="2880" w:hanging="360"/>
      </w:pPr>
      <w:rPr>
        <w:rFonts w:ascii="Symbol" w:hAnsi="Symbol" w:hint="default"/>
      </w:rPr>
    </w:lvl>
    <w:lvl w:ilvl="4" w:tplc="041B0003" w:tentative="1">
      <w:start w:val="1"/>
      <w:numFmt w:val="bullet"/>
      <w:lvlText w:val="o"/>
      <w:lvlJc w:val="left"/>
      <w:pPr>
        <w:tabs>
          <w:tab w:val="num" w:pos="3600"/>
        </w:tabs>
        <w:ind w:left="3600" w:hanging="360"/>
      </w:pPr>
      <w:rPr>
        <w:rFonts w:ascii="Courier New" w:hAnsi="Courier New" w:cs="Courier New" w:hint="default"/>
      </w:rPr>
    </w:lvl>
    <w:lvl w:ilvl="5" w:tplc="041B0005" w:tentative="1">
      <w:start w:val="1"/>
      <w:numFmt w:val="bullet"/>
      <w:lvlText w:val=""/>
      <w:lvlJc w:val="left"/>
      <w:pPr>
        <w:tabs>
          <w:tab w:val="num" w:pos="4320"/>
        </w:tabs>
        <w:ind w:left="4320" w:hanging="360"/>
      </w:pPr>
      <w:rPr>
        <w:rFonts w:ascii="Wingdings" w:hAnsi="Wingdings" w:hint="default"/>
      </w:rPr>
    </w:lvl>
    <w:lvl w:ilvl="6" w:tplc="041B0001" w:tentative="1">
      <w:start w:val="1"/>
      <w:numFmt w:val="bullet"/>
      <w:lvlText w:val=""/>
      <w:lvlJc w:val="left"/>
      <w:pPr>
        <w:tabs>
          <w:tab w:val="num" w:pos="5040"/>
        </w:tabs>
        <w:ind w:left="5040" w:hanging="360"/>
      </w:pPr>
      <w:rPr>
        <w:rFonts w:ascii="Symbol" w:hAnsi="Symbol" w:hint="default"/>
      </w:rPr>
    </w:lvl>
    <w:lvl w:ilvl="7" w:tplc="041B0003" w:tentative="1">
      <w:start w:val="1"/>
      <w:numFmt w:val="bullet"/>
      <w:lvlText w:val="o"/>
      <w:lvlJc w:val="left"/>
      <w:pPr>
        <w:tabs>
          <w:tab w:val="num" w:pos="5760"/>
        </w:tabs>
        <w:ind w:left="5760" w:hanging="360"/>
      </w:pPr>
      <w:rPr>
        <w:rFonts w:ascii="Courier New" w:hAnsi="Courier New" w:cs="Courier New" w:hint="default"/>
      </w:rPr>
    </w:lvl>
    <w:lvl w:ilvl="8" w:tplc="041B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4262D50"/>
    <w:multiLevelType w:val="multilevel"/>
    <w:tmpl w:val="40B48B3C"/>
    <w:lvl w:ilvl="0">
      <w:start w:val="4"/>
      <w:numFmt w:val="decimal"/>
      <w:lvlText w:val="%1"/>
      <w:lvlJc w:val="left"/>
      <w:pPr>
        <w:tabs>
          <w:tab w:val="num" w:pos="570"/>
        </w:tabs>
        <w:ind w:left="570" w:hanging="570"/>
      </w:pPr>
      <w:rPr>
        <w:rFonts w:hint="default"/>
      </w:rPr>
    </w:lvl>
    <w:lvl w:ilvl="1">
      <w:start w:val="9"/>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7" w15:restartNumberingAfterBreak="0">
    <w:nsid w:val="15B03C1C"/>
    <w:multiLevelType w:val="hybridMultilevel"/>
    <w:tmpl w:val="46C6AE1C"/>
    <w:lvl w:ilvl="0" w:tplc="041B0001">
      <w:start w:val="1"/>
      <w:numFmt w:val="bullet"/>
      <w:lvlText w:val=""/>
      <w:lvlJc w:val="left"/>
      <w:pPr>
        <w:tabs>
          <w:tab w:val="num" w:pos="435"/>
        </w:tabs>
        <w:ind w:left="435" w:hanging="360"/>
      </w:pPr>
      <w:rPr>
        <w:rFonts w:ascii="Symbol" w:hAnsi="Symbol" w:hint="default"/>
      </w:rPr>
    </w:lvl>
    <w:lvl w:ilvl="1" w:tplc="041B0003" w:tentative="1">
      <w:start w:val="1"/>
      <w:numFmt w:val="bullet"/>
      <w:lvlText w:val="o"/>
      <w:lvlJc w:val="left"/>
      <w:pPr>
        <w:tabs>
          <w:tab w:val="num" w:pos="1155"/>
        </w:tabs>
        <w:ind w:left="1155" w:hanging="360"/>
      </w:pPr>
      <w:rPr>
        <w:rFonts w:ascii="Courier New" w:hAnsi="Courier New" w:cs="Courier New" w:hint="default"/>
      </w:rPr>
    </w:lvl>
    <w:lvl w:ilvl="2" w:tplc="041B0005" w:tentative="1">
      <w:start w:val="1"/>
      <w:numFmt w:val="bullet"/>
      <w:lvlText w:val=""/>
      <w:lvlJc w:val="left"/>
      <w:pPr>
        <w:tabs>
          <w:tab w:val="num" w:pos="1875"/>
        </w:tabs>
        <w:ind w:left="1875" w:hanging="360"/>
      </w:pPr>
      <w:rPr>
        <w:rFonts w:ascii="Wingdings" w:hAnsi="Wingdings" w:hint="default"/>
      </w:rPr>
    </w:lvl>
    <w:lvl w:ilvl="3" w:tplc="041B0001" w:tentative="1">
      <w:start w:val="1"/>
      <w:numFmt w:val="bullet"/>
      <w:lvlText w:val=""/>
      <w:lvlJc w:val="left"/>
      <w:pPr>
        <w:tabs>
          <w:tab w:val="num" w:pos="2595"/>
        </w:tabs>
        <w:ind w:left="2595" w:hanging="360"/>
      </w:pPr>
      <w:rPr>
        <w:rFonts w:ascii="Symbol" w:hAnsi="Symbol" w:hint="default"/>
      </w:rPr>
    </w:lvl>
    <w:lvl w:ilvl="4" w:tplc="041B0003" w:tentative="1">
      <w:start w:val="1"/>
      <w:numFmt w:val="bullet"/>
      <w:lvlText w:val="o"/>
      <w:lvlJc w:val="left"/>
      <w:pPr>
        <w:tabs>
          <w:tab w:val="num" w:pos="3315"/>
        </w:tabs>
        <w:ind w:left="3315" w:hanging="360"/>
      </w:pPr>
      <w:rPr>
        <w:rFonts w:ascii="Courier New" w:hAnsi="Courier New" w:cs="Courier New" w:hint="default"/>
      </w:rPr>
    </w:lvl>
    <w:lvl w:ilvl="5" w:tplc="041B0005" w:tentative="1">
      <w:start w:val="1"/>
      <w:numFmt w:val="bullet"/>
      <w:lvlText w:val=""/>
      <w:lvlJc w:val="left"/>
      <w:pPr>
        <w:tabs>
          <w:tab w:val="num" w:pos="4035"/>
        </w:tabs>
        <w:ind w:left="4035" w:hanging="360"/>
      </w:pPr>
      <w:rPr>
        <w:rFonts w:ascii="Wingdings" w:hAnsi="Wingdings" w:hint="default"/>
      </w:rPr>
    </w:lvl>
    <w:lvl w:ilvl="6" w:tplc="041B0001" w:tentative="1">
      <w:start w:val="1"/>
      <w:numFmt w:val="bullet"/>
      <w:lvlText w:val=""/>
      <w:lvlJc w:val="left"/>
      <w:pPr>
        <w:tabs>
          <w:tab w:val="num" w:pos="4755"/>
        </w:tabs>
        <w:ind w:left="4755" w:hanging="360"/>
      </w:pPr>
      <w:rPr>
        <w:rFonts w:ascii="Symbol" w:hAnsi="Symbol" w:hint="default"/>
      </w:rPr>
    </w:lvl>
    <w:lvl w:ilvl="7" w:tplc="041B0003" w:tentative="1">
      <w:start w:val="1"/>
      <w:numFmt w:val="bullet"/>
      <w:lvlText w:val="o"/>
      <w:lvlJc w:val="left"/>
      <w:pPr>
        <w:tabs>
          <w:tab w:val="num" w:pos="5475"/>
        </w:tabs>
        <w:ind w:left="5475" w:hanging="360"/>
      </w:pPr>
      <w:rPr>
        <w:rFonts w:ascii="Courier New" w:hAnsi="Courier New" w:cs="Courier New" w:hint="default"/>
      </w:rPr>
    </w:lvl>
    <w:lvl w:ilvl="8" w:tplc="041B0005" w:tentative="1">
      <w:start w:val="1"/>
      <w:numFmt w:val="bullet"/>
      <w:lvlText w:val=""/>
      <w:lvlJc w:val="left"/>
      <w:pPr>
        <w:tabs>
          <w:tab w:val="num" w:pos="6195"/>
        </w:tabs>
        <w:ind w:left="6195" w:hanging="360"/>
      </w:pPr>
      <w:rPr>
        <w:rFonts w:ascii="Wingdings" w:hAnsi="Wingdings" w:hint="default"/>
      </w:rPr>
    </w:lvl>
  </w:abstractNum>
  <w:abstractNum w:abstractNumId="18" w15:restartNumberingAfterBreak="0">
    <w:nsid w:val="17420243"/>
    <w:multiLevelType w:val="hybridMultilevel"/>
    <w:tmpl w:val="123E28DA"/>
    <w:lvl w:ilvl="0" w:tplc="ED740FEC">
      <w:start w:val="6"/>
      <w:numFmt w:val="bullet"/>
      <w:lvlText w:val="-"/>
      <w:lvlJc w:val="left"/>
      <w:pPr>
        <w:ind w:left="720" w:hanging="360"/>
      </w:pPr>
      <w:rPr>
        <w:rFonts w:ascii="Times New Roman" w:eastAsia="Times New Roman"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9" w15:restartNumberingAfterBreak="0">
    <w:nsid w:val="22A01A42"/>
    <w:multiLevelType w:val="hybridMultilevel"/>
    <w:tmpl w:val="FC4EE708"/>
    <w:lvl w:ilvl="0" w:tplc="FFFFFFFF">
      <w:start w:val="1"/>
      <w:numFmt w:val="bullet"/>
      <w:lvlText w:val=""/>
      <w:lvlJc w:val="left"/>
      <w:pPr>
        <w:tabs>
          <w:tab w:val="num" w:pos="720"/>
        </w:tabs>
        <w:ind w:left="720" w:hanging="360"/>
      </w:pPr>
      <w:rPr>
        <w:rFonts w:ascii="Symbol" w:hAnsi="Symbol" w:hint="default"/>
      </w:rPr>
    </w:lvl>
    <w:lvl w:ilvl="1" w:tplc="041B0003" w:tentative="1">
      <w:start w:val="1"/>
      <w:numFmt w:val="bullet"/>
      <w:lvlText w:val="o"/>
      <w:lvlJc w:val="left"/>
      <w:pPr>
        <w:tabs>
          <w:tab w:val="num" w:pos="1440"/>
        </w:tabs>
        <w:ind w:left="1440" w:hanging="360"/>
      </w:pPr>
      <w:rPr>
        <w:rFonts w:ascii="Courier New" w:hAnsi="Courier New" w:cs="Courier New" w:hint="default"/>
      </w:rPr>
    </w:lvl>
    <w:lvl w:ilvl="2" w:tplc="041B0005" w:tentative="1">
      <w:start w:val="1"/>
      <w:numFmt w:val="bullet"/>
      <w:lvlText w:val=""/>
      <w:lvlJc w:val="left"/>
      <w:pPr>
        <w:tabs>
          <w:tab w:val="num" w:pos="2160"/>
        </w:tabs>
        <w:ind w:left="2160" w:hanging="360"/>
      </w:pPr>
      <w:rPr>
        <w:rFonts w:ascii="Wingdings" w:hAnsi="Wingdings" w:hint="default"/>
      </w:rPr>
    </w:lvl>
    <w:lvl w:ilvl="3" w:tplc="041B0001" w:tentative="1">
      <w:start w:val="1"/>
      <w:numFmt w:val="bullet"/>
      <w:lvlText w:val=""/>
      <w:lvlJc w:val="left"/>
      <w:pPr>
        <w:tabs>
          <w:tab w:val="num" w:pos="2880"/>
        </w:tabs>
        <w:ind w:left="2880" w:hanging="360"/>
      </w:pPr>
      <w:rPr>
        <w:rFonts w:ascii="Symbol" w:hAnsi="Symbol" w:hint="default"/>
      </w:rPr>
    </w:lvl>
    <w:lvl w:ilvl="4" w:tplc="041B0003" w:tentative="1">
      <w:start w:val="1"/>
      <w:numFmt w:val="bullet"/>
      <w:lvlText w:val="o"/>
      <w:lvlJc w:val="left"/>
      <w:pPr>
        <w:tabs>
          <w:tab w:val="num" w:pos="3600"/>
        </w:tabs>
        <w:ind w:left="3600" w:hanging="360"/>
      </w:pPr>
      <w:rPr>
        <w:rFonts w:ascii="Courier New" w:hAnsi="Courier New" w:cs="Courier New" w:hint="default"/>
      </w:rPr>
    </w:lvl>
    <w:lvl w:ilvl="5" w:tplc="041B0005" w:tentative="1">
      <w:start w:val="1"/>
      <w:numFmt w:val="bullet"/>
      <w:lvlText w:val=""/>
      <w:lvlJc w:val="left"/>
      <w:pPr>
        <w:tabs>
          <w:tab w:val="num" w:pos="4320"/>
        </w:tabs>
        <w:ind w:left="4320" w:hanging="360"/>
      </w:pPr>
      <w:rPr>
        <w:rFonts w:ascii="Wingdings" w:hAnsi="Wingdings" w:hint="default"/>
      </w:rPr>
    </w:lvl>
    <w:lvl w:ilvl="6" w:tplc="041B0001" w:tentative="1">
      <w:start w:val="1"/>
      <w:numFmt w:val="bullet"/>
      <w:lvlText w:val=""/>
      <w:lvlJc w:val="left"/>
      <w:pPr>
        <w:tabs>
          <w:tab w:val="num" w:pos="5040"/>
        </w:tabs>
        <w:ind w:left="5040" w:hanging="360"/>
      </w:pPr>
      <w:rPr>
        <w:rFonts w:ascii="Symbol" w:hAnsi="Symbol" w:hint="default"/>
      </w:rPr>
    </w:lvl>
    <w:lvl w:ilvl="7" w:tplc="041B0003" w:tentative="1">
      <w:start w:val="1"/>
      <w:numFmt w:val="bullet"/>
      <w:lvlText w:val="o"/>
      <w:lvlJc w:val="left"/>
      <w:pPr>
        <w:tabs>
          <w:tab w:val="num" w:pos="5760"/>
        </w:tabs>
        <w:ind w:left="5760" w:hanging="360"/>
      </w:pPr>
      <w:rPr>
        <w:rFonts w:ascii="Courier New" w:hAnsi="Courier New" w:cs="Courier New" w:hint="default"/>
      </w:rPr>
    </w:lvl>
    <w:lvl w:ilvl="8" w:tplc="041B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B8A057B"/>
    <w:multiLevelType w:val="hybridMultilevel"/>
    <w:tmpl w:val="4B021A90"/>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1" w15:restartNumberingAfterBreak="0">
    <w:nsid w:val="32E2333B"/>
    <w:multiLevelType w:val="multilevel"/>
    <w:tmpl w:val="45B48CE8"/>
    <w:lvl w:ilvl="0">
      <w:start w:val="6"/>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346F3549"/>
    <w:multiLevelType w:val="hybridMultilevel"/>
    <w:tmpl w:val="30E0868E"/>
    <w:lvl w:ilvl="0" w:tplc="FFFFFFFF">
      <w:start w:val="1"/>
      <w:numFmt w:val="decimal"/>
      <w:lvlText w:val="%1."/>
      <w:lvlJc w:val="left"/>
      <w:pPr>
        <w:tabs>
          <w:tab w:val="num" w:pos="1080"/>
        </w:tabs>
        <w:ind w:left="1080" w:hanging="720"/>
      </w:p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3" w15:restartNumberingAfterBreak="0">
    <w:nsid w:val="365E707F"/>
    <w:multiLevelType w:val="singleLevel"/>
    <w:tmpl w:val="A2ECDB6C"/>
    <w:lvl w:ilvl="0">
      <w:start w:val="1"/>
      <w:numFmt w:val="bullet"/>
      <w:lvlText w:val=""/>
      <w:lvlJc w:val="left"/>
      <w:pPr>
        <w:tabs>
          <w:tab w:val="num" w:pos="567"/>
        </w:tabs>
        <w:ind w:left="567" w:hanging="567"/>
      </w:pPr>
      <w:rPr>
        <w:rFonts w:ascii="Symbol" w:hAnsi="Symbol" w:hint="default"/>
      </w:rPr>
    </w:lvl>
  </w:abstractNum>
  <w:abstractNum w:abstractNumId="24" w15:restartNumberingAfterBreak="0">
    <w:nsid w:val="3A213992"/>
    <w:multiLevelType w:val="hybridMultilevel"/>
    <w:tmpl w:val="C6FC2B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C8A4294"/>
    <w:multiLevelType w:val="hybridMultilevel"/>
    <w:tmpl w:val="E70A1DC8"/>
    <w:lvl w:ilvl="0" w:tplc="FFFFFFFF">
      <w:start w:val="1"/>
      <w:numFmt w:val="decimal"/>
      <w:lvlText w:val="%1."/>
      <w:lvlJc w:val="left"/>
      <w:pPr>
        <w:tabs>
          <w:tab w:val="num" w:pos="1080"/>
        </w:tabs>
        <w:ind w:left="1080" w:hanging="720"/>
      </w:pPr>
    </w:lvl>
    <w:lvl w:ilvl="1" w:tplc="041B0019" w:tentative="1">
      <w:start w:val="1"/>
      <w:numFmt w:val="lowerLetter"/>
      <w:lvlText w:val="%2."/>
      <w:lvlJc w:val="left"/>
      <w:pPr>
        <w:tabs>
          <w:tab w:val="num" w:pos="1440"/>
        </w:tabs>
        <w:ind w:left="1440" w:hanging="360"/>
      </w:p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abstractNum w:abstractNumId="26" w15:restartNumberingAfterBreak="0">
    <w:nsid w:val="3E3C50B7"/>
    <w:multiLevelType w:val="hybridMultilevel"/>
    <w:tmpl w:val="A1D29C8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7" w15:restartNumberingAfterBreak="0">
    <w:nsid w:val="4160539F"/>
    <w:multiLevelType w:val="multilevel"/>
    <w:tmpl w:val="DBA26542"/>
    <w:lvl w:ilvl="0">
      <w:start w:val="6"/>
      <w:numFmt w:val="decimal"/>
      <w:lvlText w:val="%1"/>
      <w:lvlJc w:val="left"/>
      <w:pPr>
        <w:tabs>
          <w:tab w:val="num" w:pos="570"/>
        </w:tabs>
        <w:ind w:left="570" w:hanging="570"/>
      </w:pPr>
      <w:rPr>
        <w:rFonts w:hint="default"/>
      </w:rPr>
    </w:lvl>
    <w:lvl w:ilvl="1">
      <w:start w:val="6"/>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8" w15:restartNumberingAfterBreak="0">
    <w:nsid w:val="45DF4E23"/>
    <w:multiLevelType w:val="hybridMultilevel"/>
    <w:tmpl w:val="C536665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A04373C"/>
    <w:multiLevelType w:val="hybridMultilevel"/>
    <w:tmpl w:val="1D860BEE"/>
    <w:lvl w:ilvl="0" w:tplc="FFFFFFFF">
      <w:start w:val="1"/>
      <w:numFmt w:val="bullet"/>
      <w:lvlText w:val=""/>
      <w:lvlJc w:val="left"/>
      <w:pPr>
        <w:tabs>
          <w:tab w:val="num" w:pos="720"/>
        </w:tabs>
        <w:ind w:left="720" w:hanging="360"/>
      </w:pPr>
      <w:rPr>
        <w:rFonts w:ascii="Symbol" w:hAnsi="Symbol" w:hint="default"/>
        <w:color w:val="auto"/>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30" w15:restartNumberingAfterBreak="0">
    <w:nsid w:val="4AFD08A0"/>
    <w:multiLevelType w:val="hybridMultilevel"/>
    <w:tmpl w:val="49A4715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CF34412"/>
    <w:multiLevelType w:val="hybridMultilevel"/>
    <w:tmpl w:val="5E3218A4"/>
    <w:lvl w:ilvl="0" w:tplc="FFFFFFFF">
      <w:start w:val="1"/>
      <w:numFmt w:val="bullet"/>
      <w:lvlText w:val=""/>
      <w:lvlJc w:val="left"/>
      <w:pPr>
        <w:tabs>
          <w:tab w:val="num" w:pos="720"/>
        </w:tabs>
        <w:ind w:left="720" w:hanging="360"/>
      </w:pPr>
      <w:rPr>
        <w:rFonts w:ascii="Symbol" w:hAnsi="Symbol" w:hint="default"/>
        <w:color w:val="auto"/>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32" w15:restartNumberingAfterBreak="0">
    <w:nsid w:val="61053ABF"/>
    <w:multiLevelType w:val="hybridMultilevel"/>
    <w:tmpl w:val="F57055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5985484"/>
    <w:multiLevelType w:val="multilevel"/>
    <w:tmpl w:val="C536665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75A42F2"/>
    <w:multiLevelType w:val="hybridMultilevel"/>
    <w:tmpl w:val="D3DE8412"/>
    <w:lvl w:ilvl="0" w:tplc="FFFFFFFF">
      <w:start w:val="1"/>
      <w:numFmt w:val="bullet"/>
      <w:lvlText w:val=""/>
      <w:lvlJc w:val="left"/>
      <w:pPr>
        <w:tabs>
          <w:tab w:val="num" w:pos="720"/>
        </w:tabs>
        <w:ind w:left="720" w:hanging="360"/>
      </w:pPr>
      <w:rPr>
        <w:rFonts w:ascii="Symbol" w:hAnsi="Symbol" w:hint="default"/>
      </w:rPr>
    </w:lvl>
    <w:lvl w:ilvl="1" w:tplc="041B0003" w:tentative="1">
      <w:start w:val="1"/>
      <w:numFmt w:val="bullet"/>
      <w:lvlText w:val="o"/>
      <w:lvlJc w:val="left"/>
      <w:pPr>
        <w:tabs>
          <w:tab w:val="num" w:pos="1440"/>
        </w:tabs>
        <w:ind w:left="1440" w:hanging="360"/>
      </w:pPr>
      <w:rPr>
        <w:rFonts w:ascii="Courier New" w:hAnsi="Courier New" w:cs="Courier New" w:hint="default"/>
      </w:rPr>
    </w:lvl>
    <w:lvl w:ilvl="2" w:tplc="041B0005" w:tentative="1">
      <w:start w:val="1"/>
      <w:numFmt w:val="bullet"/>
      <w:lvlText w:val=""/>
      <w:lvlJc w:val="left"/>
      <w:pPr>
        <w:tabs>
          <w:tab w:val="num" w:pos="2160"/>
        </w:tabs>
        <w:ind w:left="2160" w:hanging="360"/>
      </w:pPr>
      <w:rPr>
        <w:rFonts w:ascii="Wingdings" w:hAnsi="Wingdings" w:hint="default"/>
      </w:rPr>
    </w:lvl>
    <w:lvl w:ilvl="3" w:tplc="041B0001" w:tentative="1">
      <w:start w:val="1"/>
      <w:numFmt w:val="bullet"/>
      <w:lvlText w:val=""/>
      <w:lvlJc w:val="left"/>
      <w:pPr>
        <w:tabs>
          <w:tab w:val="num" w:pos="2880"/>
        </w:tabs>
        <w:ind w:left="2880" w:hanging="360"/>
      </w:pPr>
      <w:rPr>
        <w:rFonts w:ascii="Symbol" w:hAnsi="Symbol" w:hint="default"/>
      </w:rPr>
    </w:lvl>
    <w:lvl w:ilvl="4" w:tplc="041B0003" w:tentative="1">
      <w:start w:val="1"/>
      <w:numFmt w:val="bullet"/>
      <w:lvlText w:val="o"/>
      <w:lvlJc w:val="left"/>
      <w:pPr>
        <w:tabs>
          <w:tab w:val="num" w:pos="3600"/>
        </w:tabs>
        <w:ind w:left="3600" w:hanging="360"/>
      </w:pPr>
      <w:rPr>
        <w:rFonts w:ascii="Courier New" w:hAnsi="Courier New" w:cs="Courier New" w:hint="default"/>
      </w:rPr>
    </w:lvl>
    <w:lvl w:ilvl="5" w:tplc="041B0005" w:tentative="1">
      <w:start w:val="1"/>
      <w:numFmt w:val="bullet"/>
      <w:lvlText w:val=""/>
      <w:lvlJc w:val="left"/>
      <w:pPr>
        <w:tabs>
          <w:tab w:val="num" w:pos="4320"/>
        </w:tabs>
        <w:ind w:left="4320" w:hanging="360"/>
      </w:pPr>
      <w:rPr>
        <w:rFonts w:ascii="Wingdings" w:hAnsi="Wingdings" w:hint="default"/>
      </w:rPr>
    </w:lvl>
    <w:lvl w:ilvl="6" w:tplc="041B0001" w:tentative="1">
      <w:start w:val="1"/>
      <w:numFmt w:val="bullet"/>
      <w:lvlText w:val=""/>
      <w:lvlJc w:val="left"/>
      <w:pPr>
        <w:tabs>
          <w:tab w:val="num" w:pos="5040"/>
        </w:tabs>
        <w:ind w:left="5040" w:hanging="360"/>
      </w:pPr>
      <w:rPr>
        <w:rFonts w:ascii="Symbol" w:hAnsi="Symbol" w:hint="default"/>
      </w:rPr>
    </w:lvl>
    <w:lvl w:ilvl="7" w:tplc="041B0003" w:tentative="1">
      <w:start w:val="1"/>
      <w:numFmt w:val="bullet"/>
      <w:lvlText w:val="o"/>
      <w:lvlJc w:val="left"/>
      <w:pPr>
        <w:tabs>
          <w:tab w:val="num" w:pos="5760"/>
        </w:tabs>
        <w:ind w:left="5760" w:hanging="360"/>
      </w:pPr>
      <w:rPr>
        <w:rFonts w:ascii="Courier New" w:hAnsi="Courier New" w:cs="Courier New" w:hint="default"/>
      </w:rPr>
    </w:lvl>
    <w:lvl w:ilvl="8" w:tplc="041B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A342AD7"/>
    <w:multiLevelType w:val="multilevel"/>
    <w:tmpl w:val="3F6688F0"/>
    <w:lvl w:ilvl="0">
      <w:start w:val="4"/>
      <w:numFmt w:val="decimal"/>
      <w:lvlText w:val="%1"/>
      <w:lvlJc w:val="left"/>
      <w:pPr>
        <w:tabs>
          <w:tab w:val="num" w:pos="570"/>
        </w:tabs>
        <w:ind w:left="570" w:hanging="570"/>
      </w:pPr>
      <w:rPr>
        <w:rFonts w:hint="default"/>
      </w:rPr>
    </w:lvl>
    <w:lvl w:ilvl="1">
      <w:start w:val="8"/>
      <w:numFmt w:val="decimal"/>
      <w:lvlText w:val="%1.8"/>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6" w15:restartNumberingAfterBreak="0">
    <w:nsid w:val="6CDC7925"/>
    <w:multiLevelType w:val="singleLevel"/>
    <w:tmpl w:val="171A9CB0"/>
    <w:lvl w:ilvl="0">
      <w:start w:val="4"/>
      <w:numFmt w:val="bullet"/>
      <w:lvlText w:val="-"/>
      <w:lvlJc w:val="left"/>
      <w:pPr>
        <w:tabs>
          <w:tab w:val="num" w:pos="360"/>
        </w:tabs>
        <w:ind w:left="360" w:hanging="360"/>
      </w:pPr>
      <w:rPr>
        <w:rFonts w:hint="default"/>
      </w:rPr>
    </w:lvl>
  </w:abstractNum>
  <w:abstractNum w:abstractNumId="37"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FD464E0"/>
    <w:multiLevelType w:val="singleLevel"/>
    <w:tmpl w:val="9CEC7196"/>
    <w:lvl w:ilvl="0">
      <w:start w:val="1"/>
      <w:numFmt w:val="bullet"/>
      <w:lvlText w:val=""/>
      <w:lvlJc w:val="left"/>
      <w:pPr>
        <w:tabs>
          <w:tab w:val="num" w:pos="709"/>
        </w:tabs>
        <w:ind w:left="709" w:hanging="709"/>
      </w:pPr>
      <w:rPr>
        <w:rFonts w:ascii="Symbol" w:hAnsi="Symbol" w:hint="default"/>
      </w:rPr>
    </w:lvl>
  </w:abstractNum>
  <w:abstractNum w:abstractNumId="39" w15:restartNumberingAfterBreak="0">
    <w:nsid w:val="780E71CB"/>
    <w:multiLevelType w:val="hybridMultilevel"/>
    <w:tmpl w:val="BB8A14A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C4B18DE"/>
    <w:multiLevelType w:val="multilevel"/>
    <w:tmpl w:val="A02E932A"/>
    <w:lvl w:ilvl="0">
      <w:start w:val="1"/>
      <w:numFmt w:val="bullet"/>
      <w:lvlText w:val=""/>
      <w:lvlJc w:val="left"/>
      <w:pPr>
        <w:tabs>
          <w:tab w:val="num" w:pos="357"/>
        </w:tabs>
        <w:ind w:left="357" w:hanging="357"/>
      </w:pPr>
      <w:rPr>
        <w:rFonts w:ascii="Symbol" w:hAnsi="Symbol" w:hint="default"/>
        <w:color w:val="003399"/>
        <w:sz w:val="18"/>
      </w:rPr>
    </w:lvl>
    <w:lvl w:ilvl="1">
      <w:start w:val="1"/>
      <w:numFmt w:val="bullet"/>
      <w:lvlText w:val=""/>
      <w:lvlJc w:val="left"/>
      <w:pPr>
        <w:tabs>
          <w:tab w:val="num" w:pos="720"/>
        </w:tabs>
        <w:ind w:left="720" w:hanging="363"/>
      </w:pPr>
      <w:rPr>
        <w:rFonts w:ascii="Symbol" w:hAnsi="Symbol" w:hint="default"/>
        <w:color w:val="003399"/>
      </w:rPr>
    </w:lvl>
    <w:lvl w:ilvl="2">
      <w:start w:val="1"/>
      <w:numFmt w:val="none"/>
      <w:lvlText w:val=""/>
      <w:lvlJc w:val="left"/>
      <w:pPr>
        <w:tabs>
          <w:tab w:val="num" w:pos="720"/>
        </w:tabs>
        <w:ind w:left="720" w:firstLine="0"/>
      </w:pPr>
      <w:rPr>
        <w:rFonts w:hint="default"/>
      </w:rPr>
    </w:lvl>
    <w:lvl w:ilvl="3">
      <w:start w:val="1"/>
      <w:numFmt w:val="none"/>
      <w:lvlText w:val=""/>
      <w:lvlJc w:val="left"/>
      <w:pPr>
        <w:tabs>
          <w:tab w:val="num" w:pos="720"/>
        </w:tabs>
        <w:ind w:left="720" w:firstLine="0"/>
      </w:pPr>
      <w:rPr>
        <w:rFonts w:hint="default"/>
      </w:rPr>
    </w:lvl>
    <w:lvl w:ilvl="4">
      <w:start w:val="1"/>
      <w:numFmt w:val="none"/>
      <w:lvlText w:val=""/>
      <w:lvlJc w:val="left"/>
      <w:pPr>
        <w:tabs>
          <w:tab w:val="num" w:pos="720"/>
        </w:tabs>
        <w:ind w:left="720" w:firstLine="0"/>
      </w:pPr>
      <w:rPr>
        <w:rFonts w:hint="default"/>
      </w:rPr>
    </w:lvl>
    <w:lvl w:ilvl="5">
      <w:start w:val="1"/>
      <w:numFmt w:val="none"/>
      <w:lvlText w:val=""/>
      <w:lvlJc w:val="left"/>
      <w:pPr>
        <w:tabs>
          <w:tab w:val="num" w:pos="720"/>
        </w:tabs>
        <w:ind w:left="720" w:firstLine="0"/>
      </w:pPr>
      <w:rPr>
        <w:rFonts w:hint="default"/>
      </w:rPr>
    </w:lvl>
    <w:lvl w:ilvl="6">
      <w:start w:val="1"/>
      <w:numFmt w:val="none"/>
      <w:lvlText w:val=""/>
      <w:lvlJc w:val="left"/>
      <w:pPr>
        <w:tabs>
          <w:tab w:val="num" w:pos="720"/>
        </w:tabs>
        <w:ind w:left="720" w:firstLine="0"/>
      </w:pPr>
      <w:rPr>
        <w:rFonts w:hint="default"/>
      </w:rPr>
    </w:lvl>
    <w:lvl w:ilvl="7">
      <w:start w:val="1"/>
      <w:numFmt w:val="none"/>
      <w:lvlText w:val=""/>
      <w:lvlJc w:val="left"/>
      <w:pPr>
        <w:tabs>
          <w:tab w:val="num" w:pos="720"/>
        </w:tabs>
        <w:ind w:left="720" w:firstLine="0"/>
      </w:pPr>
      <w:rPr>
        <w:rFonts w:hint="default"/>
      </w:rPr>
    </w:lvl>
    <w:lvl w:ilvl="8">
      <w:start w:val="1"/>
      <w:numFmt w:val="none"/>
      <w:lvlText w:val=""/>
      <w:lvlJc w:val="left"/>
      <w:pPr>
        <w:tabs>
          <w:tab w:val="num" w:pos="720"/>
        </w:tabs>
        <w:ind w:left="720" w:firstLine="0"/>
      </w:pPr>
      <w:rPr>
        <w:rFonts w:hint="default"/>
      </w:rPr>
    </w:lvl>
  </w:abstractNum>
  <w:abstractNum w:abstractNumId="41" w15:restartNumberingAfterBreak="0">
    <w:nsid w:val="7F7F0F4C"/>
    <w:multiLevelType w:val="hybridMultilevel"/>
    <w:tmpl w:val="F732E72A"/>
    <w:lvl w:ilvl="0" w:tplc="F30EE344">
      <w:numFmt w:val="bullet"/>
      <w:lvlText w:val="-"/>
      <w:lvlJc w:val="left"/>
      <w:pPr>
        <w:tabs>
          <w:tab w:val="num" w:pos="648"/>
        </w:tabs>
        <w:ind w:left="648" w:hanging="360"/>
      </w:pPr>
      <w:rPr>
        <w:rFonts w:ascii="Times New Roman" w:eastAsia="Batang"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35"/>
  </w:num>
  <w:num w:numId="2">
    <w:abstractNumId w:val="39"/>
  </w:num>
  <w:num w:numId="3">
    <w:abstractNumId w:val="28"/>
  </w:num>
  <w:num w:numId="4">
    <w:abstractNumId w:val="11"/>
  </w:num>
  <w:num w:numId="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0"/>
  </w:num>
  <w:num w:numId="8">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7"/>
  </w:num>
  <w:num w:numId="11">
    <w:abstractNumId w:val="31"/>
  </w:num>
  <w:num w:numId="12">
    <w:abstractNumId w:val="15"/>
  </w:num>
  <w:num w:numId="13">
    <w:abstractNumId w:val="38"/>
  </w:num>
  <w:num w:numId="14">
    <w:abstractNumId w:val="34"/>
  </w:num>
  <w:num w:numId="15">
    <w:abstractNumId w:val="19"/>
  </w:num>
  <w:num w:numId="16">
    <w:abstractNumId w:val="12"/>
  </w:num>
  <w:num w:numId="17">
    <w:abstractNumId w:val="27"/>
  </w:num>
  <w:num w:numId="18">
    <w:abstractNumId w:val="30"/>
  </w:num>
  <w:num w:numId="19">
    <w:abstractNumId w:val="25"/>
  </w:num>
  <w:num w:numId="20">
    <w:abstractNumId w:val="14"/>
  </w:num>
  <w:num w:numId="21">
    <w:abstractNumId w:val="16"/>
  </w:num>
  <w:num w:numId="22">
    <w:abstractNumId w:val="18"/>
  </w:num>
  <w:num w:numId="23">
    <w:abstractNumId w:val="10"/>
  </w:num>
  <w:num w:numId="24">
    <w:abstractNumId w:val="37"/>
    <w:lvlOverride w:ilvl="0"/>
    <w:lvlOverride w:ilvl="1"/>
    <w:lvlOverride w:ilvl="2"/>
    <w:lvlOverride w:ilvl="3"/>
    <w:lvlOverride w:ilvl="4"/>
    <w:lvlOverride w:ilvl="5"/>
    <w:lvlOverride w:ilvl="6"/>
    <w:lvlOverride w:ilvl="7"/>
    <w:lvlOverride w:ilvl="8"/>
  </w:num>
  <w:num w:numId="25">
    <w:abstractNumId w:val="13"/>
    <w:lvlOverride w:ilvl="0"/>
    <w:lvlOverride w:ilvl="1"/>
    <w:lvlOverride w:ilvl="2"/>
    <w:lvlOverride w:ilvl="3"/>
    <w:lvlOverride w:ilvl="4"/>
    <w:lvlOverride w:ilvl="5"/>
    <w:lvlOverride w:ilvl="6"/>
    <w:lvlOverride w:ilvl="7"/>
    <w:lvlOverride w:ilvl="8"/>
  </w:num>
  <w:num w:numId="26">
    <w:abstractNumId w:val="26"/>
  </w:num>
  <w:num w:numId="27">
    <w:abstractNumId w:val="38"/>
    <w:lvlOverride w:ilvl="0"/>
  </w:num>
  <w:num w:numId="28">
    <w:abstractNumId w:val="23"/>
  </w:num>
  <w:num w:numId="29">
    <w:abstractNumId w:val="9"/>
  </w:num>
  <w:num w:numId="30">
    <w:abstractNumId w:val="23"/>
    <w:lvlOverride w:ilvl="0"/>
  </w:num>
  <w:num w:numId="31">
    <w:abstractNumId w:val="9"/>
    <w:lvlOverride w:ilvl="0"/>
  </w:num>
  <w:num w:numId="32">
    <w:abstractNumId w:val="32"/>
  </w:num>
  <w:num w:numId="33">
    <w:abstractNumId w:val="24"/>
  </w:num>
  <w:num w:numId="34">
    <w:abstractNumId w:val="2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4"/>
    <w:lvlOverride w:ilvl="0"/>
    <w:lvlOverride w:ilvl="1"/>
    <w:lvlOverride w:ilvl="2"/>
    <w:lvlOverride w:ilvl="3"/>
    <w:lvlOverride w:ilvl="4"/>
    <w:lvlOverride w:ilvl="5"/>
    <w:lvlOverride w:ilvl="6"/>
    <w:lvlOverride w:ilvl="7"/>
    <w:lvlOverride w:ilvl="8"/>
  </w:num>
  <w:num w:numId="36">
    <w:abstractNumId w:val="15"/>
    <w:lvlOverride w:ilvl="0"/>
    <w:lvlOverride w:ilvl="1"/>
    <w:lvlOverride w:ilvl="2"/>
    <w:lvlOverride w:ilvl="3"/>
    <w:lvlOverride w:ilvl="4"/>
    <w:lvlOverride w:ilvl="5"/>
    <w:lvlOverride w:ilvl="6"/>
    <w:lvlOverride w:ilvl="7"/>
    <w:lvlOverride w:ilvl="8"/>
  </w:num>
  <w:num w:numId="37">
    <w:abstractNumId w:val="40"/>
  </w:num>
  <w:num w:numId="38">
    <w:abstractNumId w:val="41"/>
  </w:num>
  <w:num w:numId="39">
    <w:abstractNumId w:val="33"/>
  </w:num>
  <w:num w:numId="40">
    <w:abstractNumId w:val="7"/>
  </w:num>
  <w:num w:numId="41">
    <w:abstractNumId w:val="6"/>
  </w:num>
  <w:num w:numId="42">
    <w:abstractNumId w:val="5"/>
  </w:num>
  <w:num w:numId="43">
    <w:abstractNumId w:val="4"/>
  </w:num>
  <w:num w:numId="44">
    <w:abstractNumId w:val="8"/>
  </w:num>
  <w:num w:numId="45">
    <w:abstractNumId w:val="3"/>
  </w:num>
  <w:num w:numId="46">
    <w:abstractNumId w:val="2"/>
  </w:num>
  <w:num w:numId="47">
    <w:abstractNumId w:val="1"/>
  </w:num>
  <w:num w:numId="48">
    <w:abstractNumId w:val="0"/>
  </w:num>
  <w:num w:numId="4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22ABB"/>
    <w:rsid w:val="00052536"/>
    <w:rsid w:val="0005651F"/>
    <w:rsid w:val="000735EE"/>
    <w:rsid w:val="00077C69"/>
    <w:rsid w:val="000826F2"/>
    <w:rsid w:val="0008445D"/>
    <w:rsid w:val="00093CA4"/>
    <w:rsid w:val="00095F70"/>
    <w:rsid w:val="000A0B88"/>
    <w:rsid w:val="000D7961"/>
    <w:rsid w:val="000D7A2C"/>
    <w:rsid w:val="000F471A"/>
    <w:rsid w:val="0013649E"/>
    <w:rsid w:val="00143E08"/>
    <w:rsid w:val="00150808"/>
    <w:rsid w:val="00160CF5"/>
    <w:rsid w:val="0016525B"/>
    <w:rsid w:val="00167075"/>
    <w:rsid w:val="0017732D"/>
    <w:rsid w:val="00182E41"/>
    <w:rsid w:val="001B7FA3"/>
    <w:rsid w:val="001C2EEF"/>
    <w:rsid w:val="001C33AE"/>
    <w:rsid w:val="001E2C21"/>
    <w:rsid w:val="0021184D"/>
    <w:rsid w:val="00213CF0"/>
    <w:rsid w:val="00231FE9"/>
    <w:rsid w:val="002545E2"/>
    <w:rsid w:val="002A5949"/>
    <w:rsid w:val="002A5973"/>
    <w:rsid w:val="002C70CB"/>
    <w:rsid w:val="002D0AC5"/>
    <w:rsid w:val="002D5F62"/>
    <w:rsid w:val="002E1039"/>
    <w:rsid w:val="002F78B3"/>
    <w:rsid w:val="003073C8"/>
    <w:rsid w:val="00320B94"/>
    <w:rsid w:val="003227DF"/>
    <w:rsid w:val="00341B33"/>
    <w:rsid w:val="00343C5B"/>
    <w:rsid w:val="00350B29"/>
    <w:rsid w:val="00351F02"/>
    <w:rsid w:val="0036549F"/>
    <w:rsid w:val="00376B9F"/>
    <w:rsid w:val="00376E5B"/>
    <w:rsid w:val="00393F63"/>
    <w:rsid w:val="003D43FE"/>
    <w:rsid w:val="003E41BA"/>
    <w:rsid w:val="00407DC3"/>
    <w:rsid w:val="00433DE7"/>
    <w:rsid w:val="00435347"/>
    <w:rsid w:val="0043633A"/>
    <w:rsid w:val="0045482C"/>
    <w:rsid w:val="00457CCE"/>
    <w:rsid w:val="00475A18"/>
    <w:rsid w:val="00487158"/>
    <w:rsid w:val="0049709B"/>
    <w:rsid w:val="004B2BFE"/>
    <w:rsid w:val="004C5E34"/>
    <w:rsid w:val="004E03B5"/>
    <w:rsid w:val="004E7AF9"/>
    <w:rsid w:val="00506215"/>
    <w:rsid w:val="0051567B"/>
    <w:rsid w:val="005163A1"/>
    <w:rsid w:val="0051796F"/>
    <w:rsid w:val="0053152B"/>
    <w:rsid w:val="00545D46"/>
    <w:rsid w:val="00572D16"/>
    <w:rsid w:val="0057583E"/>
    <w:rsid w:val="005D24D7"/>
    <w:rsid w:val="005F2EEB"/>
    <w:rsid w:val="00612DFD"/>
    <w:rsid w:val="00630270"/>
    <w:rsid w:val="00634187"/>
    <w:rsid w:val="006503A1"/>
    <w:rsid w:val="00660A35"/>
    <w:rsid w:val="00675DAB"/>
    <w:rsid w:val="00676C2C"/>
    <w:rsid w:val="00684CA2"/>
    <w:rsid w:val="006C3FA5"/>
    <w:rsid w:val="007017DB"/>
    <w:rsid w:val="00720825"/>
    <w:rsid w:val="007236FD"/>
    <w:rsid w:val="00736E56"/>
    <w:rsid w:val="00743071"/>
    <w:rsid w:val="00754B0C"/>
    <w:rsid w:val="007609E6"/>
    <w:rsid w:val="00783BBB"/>
    <w:rsid w:val="00790954"/>
    <w:rsid w:val="007B2228"/>
    <w:rsid w:val="007F1D7E"/>
    <w:rsid w:val="00822ABB"/>
    <w:rsid w:val="00831BD7"/>
    <w:rsid w:val="008417F4"/>
    <w:rsid w:val="008620D5"/>
    <w:rsid w:val="00873DF9"/>
    <w:rsid w:val="00875179"/>
    <w:rsid w:val="00875F38"/>
    <w:rsid w:val="008A2F72"/>
    <w:rsid w:val="008B0467"/>
    <w:rsid w:val="008B12B8"/>
    <w:rsid w:val="008C6B6A"/>
    <w:rsid w:val="008D06F2"/>
    <w:rsid w:val="008E6CA5"/>
    <w:rsid w:val="00907E6C"/>
    <w:rsid w:val="009501EF"/>
    <w:rsid w:val="009546F3"/>
    <w:rsid w:val="00956A6F"/>
    <w:rsid w:val="00970910"/>
    <w:rsid w:val="00984B92"/>
    <w:rsid w:val="009868C4"/>
    <w:rsid w:val="0099052A"/>
    <w:rsid w:val="009B3824"/>
    <w:rsid w:val="009D0ADC"/>
    <w:rsid w:val="009F59C0"/>
    <w:rsid w:val="00A01B99"/>
    <w:rsid w:val="00A05861"/>
    <w:rsid w:val="00A2013F"/>
    <w:rsid w:val="00A21B39"/>
    <w:rsid w:val="00A26A19"/>
    <w:rsid w:val="00A544B0"/>
    <w:rsid w:val="00AB164B"/>
    <w:rsid w:val="00B058E6"/>
    <w:rsid w:val="00B10F30"/>
    <w:rsid w:val="00B137E8"/>
    <w:rsid w:val="00B2022F"/>
    <w:rsid w:val="00B3386B"/>
    <w:rsid w:val="00B36666"/>
    <w:rsid w:val="00B61071"/>
    <w:rsid w:val="00B67DE5"/>
    <w:rsid w:val="00B81F80"/>
    <w:rsid w:val="00BA18AC"/>
    <w:rsid w:val="00BB49D0"/>
    <w:rsid w:val="00BD2C73"/>
    <w:rsid w:val="00C0718E"/>
    <w:rsid w:val="00C20668"/>
    <w:rsid w:val="00C20C63"/>
    <w:rsid w:val="00C37784"/>
    <w:rsid w:val="00C54D31"/>
    <w:rsid w:val="00C71521"/>
    <w:rsid w:val="00CC3899"/>
    <w:rsid w:val="00D127E7"/>
    <w:rsid w:val="00D252D3"/>
    <w:rsid w:val="00D2701E"/>
    <w:rsid w:val="00D32E24"/>
    <w:rsid w:val="00D33854"/>
    <w:rsid w:val="00D56A40"/>
    <w:rsid w:val="00D56AD7"/>
    <w:rsid w:val="00D5748A"/>
    <w:rsid w:val="00D93BCF"/>
    <w:rsid w:val="00DA5B63"/>
    <w:rsid w:val="00E02A8D"/>
    <w:rsid w:val="00E0451D"/>
    <w:rsid w:val="00E12C0D"/>
    <w:rsid w:val="00E152C2"/>
    <w:rsid w:val="00E17A92"/>
    <w:rsid w:val="00E23A46"/>
    <w:rsid w:val="00E32A5E"/>
    <w:rsid w:val="00EA1571"/>
    <w:rsid w:val="00EA22D2"/>
    <w:rsid w:val="00EB2504"/>
    <w:rsid w:val="00EB47A4"/>
    <w:rsid w:val="00EC366D"/>
    <w:rsid w:val="00EC59CD"/>
    <w:rsid w:val="00EC7271"/>
    <w:rsid w:val="00EF6196"/>
    <w:rsid w:val="00F15ADA"/>
    <w:rsid w:val="00F2375B"/>
    <w:rsid w:val="00F24325"/>
    <w:rsid w:val="00F31F7C"/>
    <w:rsid w:val="00F413D6"/>
    <w:rsid w:val="00F4615B"/>
    <w:rsid w:val="00F80009"/>
    <w:rsid w:val="00F80FC7"/>
    <w:rsid w:val="00F8534B"/>
    <w:rsid w:val="00F94A03"/>
    <w:rsid w:val="00FB456D"/>
    <w:rsid w:val="00FD5DDF"/>
    <w:rsid w:val="00FE5E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3074"/>
    <o:shapelayout v:ext="edit">
      <o:idmap v:ext="edit" data="1"/>
    </o:shapelayout>
  </w:shapeDefaults>
  <w:decimalSymbol w:val="."/>
  <w:listSeparator w:val=","/>
  <w15:chartTrackingRefBased/>
  <w15:docId w15:val="{F8FE7144-C953-4CDC-85E9-660749A4D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left="567" w:hanging="567"/>
    </w:pPr>
    <w:rPr>
      <w:sz w:val="22"/>
      <w:szCs w:val="24"/>
      <w:lang w:val="sk-SK" w:eastAsia="sk-SK"/>
    </w:rPr>
  </w:style>
  <w:style w:type="paragraph" w:styleId="Heading1">
    <w:name w:val="heading 1"/>
    <w:basedOn w:val="Normal"/>
    <w:next w:val="Normal"/>
    <w:link w:val="Heading1Char"/>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tabs>
        <w:tab w:val="left" w:pos="567"/>
      </w:tabs>
      <w:spacing w:before="240" w:after="60" w:line="260" w:lineRule="exact"/>
      <w:ind w:left="0" w:firstLine="0"/>
      <w:outlineLvl w:val="1"/>
    </w:pPr>
    <w:rPr>
      <w:rFonts w:ascii="Helvetica" w:hAnsi="Helvetica"/>
      <w:b/>
      <w:i/>
      <w:sz w:val="24"/>
      <w:szCs w:val="20"/>
      <w:lang w:val="cs-CZ" w:eastAsia="en-US"/>
    </w:rPr>
  </w:style>
  <w:style w:type="paragraph" w:styleId="Heading3">
    <w:name w:val="heading 3"/>
    <w:basedOn w:val="Normal"/>
    <w:next w:val="Normal"/>
    <w:link w:val="Heading3Char"/>
    <w:qFormat/>
    <w:pPr>
      <w:keepNext/>
      <w:keepLines/>
      <w:tabs>
        <w:tab w:val="left" w:pos="567"/>
      </w:tabs>
      <w:spacing w:before="120" w:after="80" w:line="260" w:lineRule="exact"/>
      <w:ind w:left="0" w:firstLine="0"/>
      <w:outlineLvl w:val="2"/>
    </w:pPr>
    <w:rPr>
      <w:b/>
      <w:kern w:val="28"/>
      <w:sz w:val="24"/>
      <w:szCs w:val="20"/>
      <w:lang w:val="en-US" w:eastAsia="en-US"/>
    </w:rPr>
  </w:style>
  <w:style w:type="paragraph" w:styleId="Heading4">
    <w:name w:val="heading 4"/>
    <w:basedOn w:val="Normal"/>
    <w:next w:val="Normal"/>
    <w:qFormat/>
    <w:pPr>
      <w:keepNext/>
      <w:tabs>
        <w:tab w:val="left" w:pos="567"/>
      </w:tabs>
      <w:spacing w:line="260" w:lineRule="exact"/>
      <w:ind w:left="0" w:firstLine="0"/>
      <w:jc w:val="both"/>
      <w:outlineLvl w:val="3"/>
    </w:pPr>
    <w:rPr>
      <w:b/>
      <w:noProof/>
      <w:szCs w:val="20"/>
      <w:lang w:val="cs-CZ" w:eastAsia="en-US"/>
    </w:rPr>
  </w:style>
  <w:style w:type="paragraph" w:styleId="Heading5">
    <w:name w:val="heading 5"/>
    <w:basedOn w:val="Normal"/>
    <w:next w:val="Normal"/>
    <w:qFormat/>
    <w:pPr>
      <w:keepNext/>
      <w:outlineLvl w:val="4"/>
    </w:pPr>
    <w:rPr>
      <w:b/>
    </w:rPr>
  </w:style>
  <w:style w:type="paragraph" w:styleId="Heading6">
    <w:name w:val="heading 6"/>
    <w:basedOn w:val="Normal"/>
    <w:next w:val="Normal"/>
    <w:qFormat/>
    <w:pPr>
      <w:spacing w:before="240" w:after="60"/>
      <w:outlineLvl w:val="5"/>
    </w:pPr>
    <w:rPr>
      <w:b/>
      <w:bCs/>
      <w:szCs w:val="22"/>
    </w:rPr>
  </w:style>
  <w:style w:type="paragraph" w:styleId="Heading7">
    <w:name w:val="heading 7"/>
    <w:basedOn w:val="Normal"/>
    <w:next w:val="Normal"/>
    <w:qFormat/>
    <w:pPr>
      <w:spacing w:before="240" w:after="60"/>
      <w:outlineLvl w:val="6"/>
    </w:pPr>
    <w:rPr>
      <w:sz w:val="24"/>
    </w:rPr>
  </w:style>
  <w:style w:type="paragraph" w:styleId="Heading8">
    <w:name w:val="heading 8"/>
    <w:basedOn w:val="Normal"/>
    <w:next w:val="Normal"/>
    <w:link w:val="Heading8Char"/>
    <w:uiPriority w:val="9"/>
    <w:qFormat/>
    <w:rsid w:val="00572D16"/>
    <w:pPr>
      <w:spacing w:before="240" w:after="60"/>
      <w:outlineLvl w:val="7"/>
    </w:pPr>
    <w:rPr>
      <w:rFonts w:ascii="Calibri" w:eastAsia="Times New Roman" w:hAnsi="Calibri"/>
      <w:i/>
      <w:iCs/>
      <w:sz w:val="24"/>
    </w:rPr>
  </w:style>
  <w:style w:type="paragraph" w:styleId="Heading9">
    <w:name w:val="heading 9"/>
    <w:basedOn w:val="Normal"/>
    <w:next w:val="Normal"/>
    <w:link w:val="Heading9Char"/>
    <w:uiPriority w:val="9"/>
    <w:qFormat/>
    <w:rsid w:val="00572D16"/>
    <w:pPr>
      <w:spacing w:before="240" w:after="60"/>
      <w:outlineLvl w:val="8"/>
    </w:pPr>
    <w:rPr>
      <w:rFonts w:ascii="Cambria" w:eastAsia="Times New Roman" w:hAnsi="Cambria"/>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link w:val="BodyTextChar"/>
    <w:pPr>
      <w:tabs>
        <w:tab w:val="left" w:pos="567"/>
      </w:tabs>
      <w:spacing w:line="260" w:lineRule="exact"/>
      <w:ind w:left="0" w:firstLine="0"/>
    </w:pPr>
    <w:rPr>
      <w:b/>
      <w:i/>
      <w:szCs w:val="20"/>
      <w:lang w:val="cs-CZ" w:eastAsia="en-US"/>
    </w:rPr>
  </w:style>
  <w:style w:type="paragraph" w:styleId="BodyTextIndent">
    <w:name w:val="Body Text Indent"/>
    <w:basedOn w:val="Normal"/>
    <w:link w:val="BodyTextIndentChar"/>
    <w:rPr>
      <w:b/>
      <w:color w:val="808080"/>
      <w:szCs w:val="20"/>
      <w:lang w:val="cs-CZ" w:eastAsia="en-US"/>
    </w:rPr>
  </w:style>
  <w:style w:type="paragraph" w:styleId="BodyTextIndent3">
    <w:name w:val="Body Text Indent 3"/>
    <w:basedOn w:val="Normal"/>
    <w:pPr>
      <w:tabs>
        <w:tab w:val="left" w:pos="567"/>
      </w:tabs>
      <w:spacing w:line="260" w:lineRule="exact"/>
    </w:pPr>
    <w:rPr>
      <w:i/>
      <w:color w:val="008000"/>
      <w:szCs w:val="20"/>
      <w:lang w:val="cs-CZ" w:eastAsia="en-US"/>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BalloonText">
    <w:name w:val="Balloon Text"/>
    <w:basedOn w:val="Normal"/>
    <w:semiHidden/>
    <w:rPr>
      <w:rFonts w:ascii="Tahoma" w:hAnsi="Tahoma" w:cs="Tahoma"/>
      <w:sz w:val="16"/>
      <w:szCs w:val="16"/>
    </w:rPr>
  </w:style>
  <w:style w:type="paragraph" w:styleId="BodyText2">
    <w:name w:val="Body Text 2"/>
    <w:basedOn w:val="Normal"/>
    <w:pPr>
      <w:spacing w:after="120" w:line="480" w:lineRule="auto"/>
    </w:pPr>
  </w:style>
  <w:style w:type="paragraph" w:customStyle="1" w:styleId="5perex">
    <w:name w:val="5perex"/>
    <w:basedOn w:val="Normal"/>
    <w:pPr>
      <w:ind w:left="0" w:firstLine="0"/>
    </w:pPr>
    <w:rPr>
      <w:rFonts w:ascii="NimbusSanDCE" w:hAnsi="NimbusSanDCE"/>
      <w:b/>
      <w:sz w:val="24"/>
      <w:szCs w:val="20"/>
    </w:rPr>
  </w:style>
  <w:style w:type="paragraph" w:styleId="EndnoteText">
    <w:name w:val="endnote text"/>
    <w:basedOn w:val="Normal"/>
    <w:semiHidden/>
    <w:pPr>
      <w:tabs>
        <w:tab w:val="left" w:pos="567"/>
      </w:tabs>
      <w:ind w:left="0" w:firstLine="0"/>
    </w:pPr>
    <w:rPr>
      <w:szCs w:val="20"/>
      <w:lang w:val="en-GB" w:eastAsia="en-US"/>
    </w:rPr>
  </w:style>
  <w:style w:type="paragraph" w:styleId="Footer">
    <w:name w:val="footer"/>
    <w:basedOn w:val="Normal"/>
    <w:link w:val="FooterChar"/>
    <w:uiPriority w:val="99"/>
    <w:pPr>
      <w:tabs>
        <w:tab w:val="center" w:pos="4153"/>
        <w:tab w:val="right" w:pos="8306"/>
      </w:tabs>
    </w:pPr>
  </w:style>
  <w:style w:type="character" w:styleId="PageNumber">
    <w:name w:val="page number"/>
    <w:basedOn w:val="DefaultParagraphFont"/>
  </w:style>
  <w:style w:type="paragraph" w:styleId="Header">
    <w:name w:val="header"/>
    <w:basedOn w:val="Normal"/>
    <w:pPr>
      <w:tabs>
        <w:tab w:val="center" w:pos="4153"/>
        <w:tab w:val="right" w:pos="8306"/>
      </w:tabs>
    </w:pPr>
  </w:style>
  <w:style w:type="table" w:styleId="TableGrid">
    <w:name w:val="Table Grid"/>
    <w:basedOn w:val="TableNormal"/>
    <w:pPr>
      <w:ind w:left="567" w:hanging="567"/>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pPr>
      <w:ind w:left="0" w:firstLine="0"/>
    </w:pPr>
    <w:rPr>
      <w:bCs/>
      <w:iCs/>
      <w:szCs w:val="22"/>
    </w:r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cs="Tahoma"/>
    </w:rPr>
  </w:style>
  <w:style w:type="paragraph" w:customStyle="1" w:styleId="Normalleft">
    <w:name w:val="Normal+left"/>
    <w:basedOn w:val="Heading3"/>
    <w:link w:val="NormalleftChar"/>
    <w:pPr>
      <w:spacing w:before="0" w:after="0" w:line="240" w:lineRule="auto"/>
    </w:pPr>
  </w:style>
  <w:style w:type="character" w:customStyle="1" w:styleId="Heading3Char">
    <w:name w:val="Heading 3 Char"/>
    <w:link w:val="Heading3"/>
    <w:rPr>
      <w:b/>
      <w:kern w:val="28"/>
      <w:sz w:val="24"/>
      <w:lang w:val="en-US" w:eastAsia="en-US" w:bidi="ar-SA"/>
    </w:rPr>
  </w:style>
  <w:style w:type="character" w:customStyle="1" w:styleId="NormalleftChar">
    <w:name w:val="Normal+left Char"/>
    <w:basedOn w:val="Heading3Char"/>
    <w:link w:val="Normalleft"/>
    <w:rPr>
      <w:b/>
      <w:kern w:val="28"/>
      <w:sz w:val="24"/>
      <w:lang w:val="en-US" w:eastAsia="en-US" w:bidi="ar-SA"/>
    </w:rPr>
  </w:style>
  <w:style w:type="paragraph" w:styleId="CommentSubject">
    <w:name w:val="annotation subject"/>
    <w:basedOn w:val="CommentText"/>
    <w:next w:val="CommentText"/>
    <w:semiHidden/>
    <w:rPr>
      <w:b/>
      <w:bCs/>
    </w:rPr>
  </w:style>
  <w:style w:type="paragraph" w:customStyle="1" w:styleId="Default">
    <w:name w:val="Default"/>
    <w:pPr>
      <w:autoSpaceDE w:val="0"/>
      <w:autoSpaceDN w:val="0"/>
      <w:adjustRightInd w:val="0"/>
    </w:pPr>
    <w:rPr>
      <w:color w:val="000000"/>
      <w:sz w:val="24"/>
      <w:szCs w:val="24"/>
      <w:lang w:val="de-DE" w:eastAsia="de-DE"/>
    </w:rPr>
  </w:style>
  <w:style w:type="paragraph" w:styleId="PlainText">
    <w:name w:val="Plain Text"/>
    <w:basedOn w:val="Normal"/>
    <w:link w:val="PlainTextChar"/>
    <w:uiPriority w:val="99"/>
    <w:semiHidden/>
    <w:unhideWhenUsed/>
    <w:pPr>
      <w:ind w:left="0" w:firstLine="0"/>
    </w:pPr>
    <w:rPr>
      <w:rFonts w:ascii="Consolas" w:eastAsia="Calibri" w:hAnsi="Consolas"/>
      <w:sz w:val="21"/>
      <w:szCs w:val="21"/>
      <w:lang w:val="de-DE" w:eastAsia="en-US"/>
    </w:rPr>
  </w:style>
  <w:style w:type="character" w:customStyle="1" w:styleId="PlainTextChar">
    <w:name w:val="Plain Text Char"/>
    <w:link w:val="PlainText"/>
    <w:uiPriority w:val="99"/>
    <w:semiHidden/>
    <w:rPr>
      <w:rFonts w:ascii="Consolas" w:eastAsia="Calibri" w:hAnsi="Consolas"/>
      <w:sz w:val="21"/>
      <w:szCs w:val="21"/>
      <w:lang w:val="de-DE" w:eastAsia="en-US"/>
    </w:rPr>
  </w:style>
  <w:style w:type="paragraph" w:styleId="ListBullet">
    <w:name w:val="List Bullet"/>
    <w:basedOn w:val="Normal"/>
    <w:autoRedefine/>
    <w:pPr>
      <w:numPr>
        <w:numId w:val="29"/>
      </w:numPr>
    </w:pPr>
  </w:style>
  <w:style w:type="paragraph" w:customStyle="1" w:styleId="HeadNoNum1">
    <w:name w:val="HeadNoNum1"/>
    <w:next w:val="Normal"/>
    <w:pPr>
      <w:suppressAutoHyphens/>
      <w:ind w:left="567" w:hanging="567"/>
    </w:pPr>
    <w:rPr>
      <w:b/>
      <w:noProof/>
      <w:sz w:val="22"/>
      <w:lang w:eastAsia="en-US"/>
    </w:rPr>
  </w:style>
  <w:style w:type="paragraph" w:customStyle="1" w:styleId="QRD1">
    <w:name w:val="QRD1"/>
    <w:basedOn w:val="Heading1"/>
    <w:link w:val="QRD1Zchn"/>
    <w:qFormat/>
    <w:pPr>
      <w:keepNext w:val="0"/>
      <w:spacing w:before="0" w:after="0"/>
      <w:ind w:left="562" w:hanging="562"/>
      <w:jc w:val="center"/>
    </w:pPr>
    <w:rPr>
      <w:rFonts w:ascii="Times New Roman" w:hAnsi="Times New Roman" w:cs="Times New Roman"/>
      <w:sz w:val="22"/>
      <w:szCs w:val="22"/>
    </w:rPr>
  </w:style>
  <w:style w:type="paragraph" w:customStyle="1" w:styleId="QRD2">
    <w:name w:val="QRD2"/>
    <w:basedOn w:val="Heading1"/>
    <w:link w:val="QRD2Zchn"/>
    <w:qFormat/>
    <w:pPr>
      <w:keepNext w:val="0"/>
      <w:spacing w:before="0" w:after="0"/>
      <w:ind w:left="562" w:hanging="562"/>
    </w:pPr>
    <w:rPr>
      <w:rFonts w:ascii="Times New Roman" w:hAnsi="Times New Roman" w:cs="Times New Roman"/>
      <w:sz w:val="22"/>
      <w:szCs w:val="22"/>
    </w:rPr>
  </w:style>
  <w:style w:type="character" w:customStyle="1" w:styleId="Heading1Char">
    <w:name w:val="Heading 1 Char"/>
    <w:link w:val="Heading1"/>
    <w:rPr>
      <w:rFonts w:ascii="Arial" w:hAnsi="Arial" w:cs="Arial"/>
      <w:b/>
      <w:bCs/>
      <w:kern w:val="32"/>
      <w:sz w:val="32"/>
      <w:szCs w:val="32"/>
      <w:lang w:val="sk-SK" w:eastAsia="sk-SK" w:bidi="ar-SA"/>
    </w:rPr>
  </w:style>
  <w:style w:type="character" w:customStyle="1" w:styleId="QRD1Zchn">
    <w:name w:val="QRD1 Zchn"/>
    <w:link w:val="QRD1"/>
    <w:rPr>
      <w:rFonts w:ascii="Arial" w:hAnsi="Arial" w:cs="Arial"/>
      <w:b/>
      <w:bCs/>
      <w:kern w:val="32"/>
      <w:sz w:val="22"/>
      <w:szCs w:val="22"/>
      <w:lang w:val="sk-SK" w:eastAsia="sk-SK" w:bidi="ar-SA"/>
    </w:rPr>
  </w:style>
  <w:style w:type="paragraph" w:styleId="FootnoteText">
    <w:name w:val="footnote text"/>
    <w:basedOn w:val="Normal"/>
    <w:link w:val="FootnoteTextChar"/>
    <w:pPr>
      <w:ind w:left="0" w:firstLine="0"/>
    </w:pPr>
    <w:rPr>
      <w:rFonts w:ascii="Verdana" w:hAnsi="Verdana"/>
      <w:sz w:val="15"/>
      <w:szCs w:val="20"/>
    </w:rPr>
  </w:style>
  <w:style w:type="character" w:customStyle="1" w:styleId="QRD2Zchn">
    <w:name w:val="QRD2 Zchn"/>
    <w:link w:val="QRD2"/>
    <w:rPr>
      <w:rFonts w:ascii="Arial" w:hAnsi="Arial" w:cs="Arial"/>
      <w:b/>
      <w:bCs/>
      <w:kern w:val="32"/>
      <w:sz w:val="22"/>
      <w:szCs w:val="22"/>
      <w:lang w:val="sk-SK" w:eastAsia="sk-SK" w:bidi="ar-SA"/>
    </w:rPr>
  </w:style>
  <w:style w:type="character" w:customStyle="1" w:styleId="FootnoteTextChar">
    <w:name w:val="Footnote Text Char"/>
    <w:link w:val="FootnoteText"/>
    <w:rPr>
      <w:rFonts w:ascii="Verdana" w:hAnsi="Verdana"/>
      <w:sz w:val="15"/>
      <w:lang w:val="sk-SK" w:eastAsia="sk-SK"/>
    </w:rPr>
  </w:style>
  <w:style w:type="character" w:styleId="FootnoteReference">
    <w:name w:val="footnote reference"/>
    <w:rPr>
      <w:rFonts w:ascii="Verdana" w:hAnsi="Verdana"/>
      <w:vertAlign w:val="superscript"/>
      <w:lang w:val="sk-SK" w:eastAsia="sk-SK"/>
    </w:rPr>
  </w:style>
  <w:style w:type="paragraph" w:customStyle="1" w:styleId="BodytextAgency">
    <w:name w:val="Body text (Agency)"/>
    <w:basedOn w:val="Normal"/>
    <w:link w:val="BodytextAgencyChar"/>
    <w:pPr>
      <w:spacing w:after="140" w:line="280" w:lineRule="atLeast"/>
      <w:ind w:left="0" w:firstLine="0"/>
    </w:pPr>
    <w:rPr>
      <w:rFonts w:ascii="Verdana" w:hAnsi="Verdana"/>
      <w:sz w:val="18"/>
      <w:szCs w:val="20"/>
    </w:rPr>
  </w:style>
  <w:style w:type="paragraph" w:customStyle="1" w:styleId="No-numheading1Agency">
    <w:name w:val="No-num heading 1 (Agency)"/>
    <w:basedOn w:val="Normal"/>
    <w:next w:val="BodytextAgency"/>
    <w:pPr>
      <w:keepNext/>
      <w:spacing w:before="280" w:after="220"/>
      <w:ind w:left="0" w:firstLine="0"/>
      <w:outlineLvl w:val="0"/>
    </w:pPr>
    <w:rPr>
      <w:rFonts w:ascii="Verdana" w:hAnsi="Verdana"/>
      <w:b/>
      <w:kern w:val="32"/>
      <w:sz w:val="27"/>
      <w:szCs w:val="20"/>
    </w:rPr>
  </w:style>
  <w:style w:type="paragraph" w:customStyle="1" w:styleId="No-numheading2Agency">
    <w:name w:val="No-num heading 2 (Agency)"/>
    <w:basedOn w:val="Normal"/>
    <w:next w:val="BodytextAgency"/>
    <w:pPr>
      <w:keepNext/>
      <w:spacing w:before="280" w:after="220"/>
      <w:ind w:left="0" w:firstLine="0"/>
      <w:outlineLvl w:val="1"/>
    </w:pPr>
    <w:rPr>
      <w:rFonts w:ascii="Verdana" w:hAnsi="Verdana"/>
      <w:b/>
      <w:i/>
      <w:kern w:val="32"/>
      <w:szCs w:val="20"/>
    </w:rPr>
  </w:style>
  <w:style w:type="paragraph" w:customStyle="1" w:styleId="NormalAgency">
    <w:name w:val="Normal (Agency)"/>
    <w:link w:val="NormalAgencyChar"/>
    <w:rPr>
      <w:rFonts w:ascii="Verdana" w:hAnsi="Verdana"/>
      <w:sz w:val="18"/>
      <w:lang w:val="sk-SK" w:eastAsia="sk-SK"/>
    </w:rPr>
  </w:style>
  <w:style w:type="character" w:customStyle="1" w:styleId="NormalAgencyChar">
    <w:name w:val="Normal (Agency) Char"/>
    <w:link w:val="NormalAgency"/>
    <w:rPr>
      <w:rFonts w:ascii="Verdana" w:hAnsi="Verdana"/>
      <w:sz w:val="18"/>
      <w:lang w:val="sk-SK" w:eastAsia="sk-SK"/>
    </w:rPr>
  </w:style>
  <w:style w:type="character" w:customStyle="1" w:styleId="BodytextAgencyChar">
    <w:name w:val="Body text (Agency) Char"/>
    <w:link w:val="BodytextAgency"/>
    <w:rPr>
      <w:rFonts w:ascii="Verdana" w:hAnsi="Verdana"/>
      <w:sz w:val="18"/>
      <w:lang w:val="sk-SK" w:eastAsia="sk-SK"/>
    </w:rPr>
  </w:style>
  <w:style w:type="paragraph" w:customStyle="1" w:styleId="news-date">
    <w:name w:val="news-date"/>
    <w:basedOn w:val="Normal"/>
    <w:pPr>
      <w:spacing w:before="100" w:beforeAutospacing="1" w:after="100" w:afterAutospacing="1"/>
      <w:ind w:left="0" w:firstLine="0"/>
    </w:pPr>
    <w:rPr>
      <w:sz w:val="24"/>
      <w:szCs w:val="20"/>
    </w:rPr>
  </w:style>
  <w:style w:type="paragraph" w:styleId="Revision">
    <w:name w:val="Revision"/>
    <w:hidden/>
    <w:uiPriority w:val="99"/>
    <w:semiHidden/>
    <w:rPr>
      <w:sz w:val="22"/>
      <w:szCs w:val="24"/>
      <w:lang w:val="sk-SK" w:eastAsia="sk-SK"/>
    </w:rPr>
  </w:style>
  <w:style w:type="paragraph" w:customStyle="1" w:styleId="berarbeitung1">
    <w:name w:val="Überarbeitung1"/>
    <w:hidden/>
    <w:uiPriority w:val="99"/>
    <w:semiHidden/>
    <w:rPr>
      <w:sz w:val="22"/>
      <w:szCs w:val="24"/>
      <w:lang w:val="sk-SK" w:eastAsia="sk-SK"/>
    </w:rPr>
  </w:style>
  <w:style w:type="paragraph" w:styleId="TableofFigures">
    <w:name w:val="table of figures"/>
    <w:basedOn w:val="Normal"/>
    <w:next w:val="Normal"/>
    <w:uiPriority w:val="99"/>
    <w:semiHidden/>
    <w:unhideWhenUsed/>
    <w:rsid w:val="00572D16"/>
    <w:pPr>
      <w:ind w:left="0"/>
    </w:pPr>
  </w:style>
  <w:style w:type="paragraph" w:styleId="Salutation">
    <w:name w:val="Salutation"/>
    <w:basedOn w:val="Normal"/>
    <w:next w:val="Normal"/>
    <w:link w:val="SalutationChar"/>
    <w:uiPriority w:val="99"/>
    <w:semiHidden/>
    <w:unhideWhenUsed/>
    <w:rsid w:val="00572D16"/>
  </w:style>
  <w:style w:type="character" w:customStyle="1" w:styleId="SalutationChar">
    <w:name w:val="Salutation Char"/>
    <w:link w:val="Salutation"/>
    <w:uiPriority w:val="99"/>
    <w:semiHidden/>
    <w:rsid w:val="00572D16"/>
    <w:rPr>
      <w:sz w:val="22"/>
      <w:szCs w:val="24"/>
      <w:lang w:val="sk-SK" w:eastAsia="sk-SK"/>
    </w:rPr>
  </w:style>
  <w:style w:type="paragraph" w:styleId="ListBullet2">
    <w:name w:val="List Bullet 2"/>
    <w:basedOn w:val="Normal"/>
    <w:uiPriority w:val="99"/>
    <w:semiHidden/>
    <w:unhideWhenUsed/>
    <w:rsid w:val="00572D16"/>
    <w:pPr>
      <w:numPr>
        <w:numId w:val="40"/>
      </w:numPr>
      <w:contextualSpacing/>
    </w:pPr>
  </w:style>
  <w:style w:type="paragraph" w:styleId="ListBullet3">
    <w:name w:val="List Bullet 3"/>
    <w:basedOn w:val="Normal"/>
    <w:uiPriority w:val="99"/>
    <w:semiHidden/>
    <w:unhideWhenUsed/>
    <w:rsid w:val="00572D16"/>
    <w:pPr>
      <w:numPr>
        <w:numId w:val="41"/>
      </w:numPr>
      <w:contextualSpacing/>
    </w:pPr>
  </w:style>
  <w:style w:type="paragraph" w:styleId="ListBullet4">
    <w:name w:val="List Bullet 4"/>
    <w:basedOn w:val="Normal"/>
    <w:uiPriority w:val="99"/>
    <w:semiHidden/>
    <w:unhideWhenUsed/>
    <w:rsid w:val="00572D16"/>
    <w:pPr>
      <w:numPr>
        <w:numId w:val="42"/>
      </w:numPr>
      <w:contextualSpacing/>
    </w:pPr>
  </w:style>
  <w:style w:type="paragraph" w:styleId="ListBullet5">
    <w:name w:val="List Bullet 5"/>
    <w:basedOn w:val="Normal"/>
    <w:uiPriority w:val="99"/>
    <w:semiHidden/>
    <w:unhideWhenUsed/>
    <w:rsid w:val="00572D16"/>
    <w:pPr>
      <w:numPr>
        <w:numId w:val="43"/>
      </w:numPr>
      <w:contextualSpacing/>
    </w:pPr>
  </w:style>
  <w:style w:type="paragraph" w:styleId="Caption">
    <w:name w:val="caption"/>
    <w:basedOn w:val="Normal"/>
    <w:next w:val="Normal"/>
    <w:uiPriority w:val="35"/>
    <w:qFormat/>
    <w:rsid w:val="00572D16"/>
    <w:rPr>
      <w:b/>
      <w:bCs/>
      <w:sz w:val="20"/>
      <w:szCs w:val="20"/>
    </w:rPr>
  </w:style>
  <w:style w:type="paragraph" w:styleId="BlockText">
    <w:name w:val="Block Text"/>
    <w:basedOn w:val="Normal"/>
    <w:uiPriority w:val="99"/>
    <w:semiHidden/>
    <w:unhideWhenUsed/>
    <w:rsid w:val="00572D16"/>
    <w:pPr>
      <w:spacing w:after="120"/>
      <w:ind w:left="1440" w:right="1440"/>
    </w:pPr>
  </w:style>
  <w:style w:type="paragraph" w:styleId="Date">
    <w:name w:val="Date"/>
    <w:basedOn w:val="Normal"/>
    <w:next w:val="Normal"/>
    <w:link w:val="DateChar"/>
    <w:uiPriority w:val="99"/>
    <w:semiHidden/>
    <w:unhideWhenUsed/>
    <w:rsid w:val="00572D16"/>
  </w:style>
  <w:style w:type="character" w:customStyle="1" w:styleId="DateChar">
    <w:name w:val="Date Char"/>
    <w:link w:val="Date"/>
    <w:uiPriority w:val="99"/>
    <w:semiHidden/>
    <w:rsid w:val="00572D16"/>
    <w:rPr>
      <w:sz w:val="22"/>
      <w:szCs w:val="24"/>
      <w:lang w:val="sk-SK" w:eastAsia="sk-SK"/>
    </w:rPr>
  </w:style>
  <w:style w:type="paragraph" w:styleId="E-mailSignature">
    <w:name w:val="E-mail Signature"/>
    <w:basedOn w:val="Normal"/>
    <w:link w:val="E-mailSignatureChar"/>
    <w:uiPriority w:val="99"/>
    <w:semiHidden/>
    <w:unhideWhenUsed/>
    <w:rsid w:val="00572D16"/>
  </w:style>
  <w:style w:type="character" w:customStyle="1" w:styleId="E-mailSignatureChar">
    <w:name w:val="E-mail Signature Char"/>
    <w:link w:val="E-mailSignature"/>
    <w:uiPriority w:val="99"/>
    <w:semiHidden/>
    <w:rsid w:val="00572D16"/>
    <w:rPr>
      <w:sz w:val="22"/>
      <w:szCs w:val="24"/>
      <w:lang w:val="sk-SK" w:eastAsia="sk-SK"/>
    </w:rPr>
  </w:style>
  <w:style w:type="paragraph" w:styleId="NoteHeading">
    <w:name w:val="Note Heading"/>
    <w:basedOn w:val="Normal"/>
    <w:next w:val="Normal"/>
    <w:link w:val="NoteHeadingChar"/>
    <w:uiPriority w:val="99"/>
    <w:semiHidden/>
    <w:unhideWhenUsed/>
    <w:rsid w:val="00572D16"/>
  </w:style>
  <w:style w:type="character" w:customStyle="1" w:styleId="NoteHeadingChar">
    <w:name w:val="Note Heading Char"/>
    <w:link w:val="NoteHeading"/>
    <w:uiPriority w:val="99"/>
    <w:semiHidden/>
    <w:rsid w:val="00572D16"/>
    <w:rPr>
      <w:sz w:val="22"/>
      <w:szCs w:val="24"/>
      <w:lang w:val="sk-SK" w:eastAsia="sk-SK"/>
    </w:rPr>
  </w:style>
  <w:style w:type="paragraph" w:styleId="Closing">
    <w:name w:val="Closing"/>
    <w:basedOn w:val="Normal"/>
    <w:link w:val="ClosingChar"/>
    <w:uiPriority w:val="99"/>
    <w:semiHidden/>
    <w:unhideWhenUsed/>
    <w:rsid w:val="00572D16"/>
    <w:pPr>
      <w:ind w:left="4252"/>
    </w:pPr>
  </w:style>
  <w:style w:type="character" w:customStyle="1" w:styleId="ClosingChar">
    <w:name w:val="Closing Char"/>
    <w:link w:val="Closing"/>
    <w:uiPriority w:val="99"/>
    <w:semiHidden/>
    <w:rsid w:val="00572D16"/>
    <w:rPr>
      <w:sz w:val="22"/>
      <w:szCs w:val="24"/>
      <w:lang w:val="sk-SK" w:eastAsia="sk-SK"/>
    </w:rPr>
  </w:style>
  <w:style w:type="paragraph" w:styleId="HTMLAddress">
    <w:name w:val="HTML Address"/>
    <w:basedOn w:val="Normal"/>
    <w:link w:val="HTMLAddressChar"/>
    <w:uiPriority w:val="99"/>
    <w:semiHidden/>
    <w:unhideWhenUsed/>
    <w:rsid w:val="00572D16"/>
    <w:rPr>
      <w:i/>
      <w:iCs/>
    </w:rPr>
  </w:style>
  <w:style w:type="character" w:customStyle="1" w:styleId="HTMLAddressChar">
    <w:name w:val="HTML Address Char"/>
    <w:link w:val="HTMLAddress"/>
    <w:uiPriority w:val="99"/>
    <w:semiHidden/>
    <w:rsid w:val="00572D16"/>
    <w:rPr>
      <w:i/>
      <w:iCs/>
      <w:sz w:val="22"/>
      <w:szCs w:val="24"/>
      <w:lang w:val="sk-SK" w:eastAsia="sk-SK"/>
    </w:rPr>
  </w:style>
  <w:style w:type="paragraph" w:styleId="HTMLPreformatted">
    <w:name w:val="HTML Preformatted"/>
    <w:basedOn w:val="Normal"/>
    <w:link w:val="HTMLPreformattedChar"/>
    <w:uiPriority w:val="99"/>
    <w:semiHidden/>
    <w:unhideWhenUsed/>
    <w:rsid w:val="00572D16"/>
    <w:rPr>
      <w:rFonts w:ascii="Courier New" w:hAnsi="Courier New" w:cs="Courier New"/>
      <w:sz w:val="20"/>
      <w:szCs w:val="20"/>
    </w:rPr>
  </w:style>
  <w:style w:type="character" w:customStyle="1" w:styleId="HTMLPreformattedChar">
    <w:name w:val="HTML Preformatted Char"/>
    <w:link w:val="HTMLPreformatted"/>
    <w:uiPriority w:val="99"/>
    <w:semiHidden/>
    <w:rsid w:val="00572D16"/>
    <w:rPr>
      <w:rFonts w:ascii="Courier New" w:hAnsi="Courier New" w:cs="Courier New"/>
      <w:lang w:val="sk-SK" w:eastAsia="sk-SK"/>
    </w:rPr>
  </w:style>
  <w:style w:type="paragraph" w:styleId="Index1">
    <w:name w:val="index 1"/>
    <w:basedOn w:val="Normal"/>
    <w:next w:val="Normal"/>
    <w:autoRedefine/>
    <w:uiPriority w:val="99"/>
    <w:semiHidden/>
    <w:unhideWhenUsed/>
    <w:rsid w:val="00572D16"/>
    <w:pPr>
      <w:ind w:left="220" w:hanging="220"/>
    </w:pPr>
  </w:style>
  <w:style w:type="paragraph" w:styleId="Index2">
    <w:name w:val="index 2"/>
    <w:basedOn w:val="Normal"/>
    <w:next w:val="Normal"/>
    <w:autoRedefine/>
    <w:uiPriority w:val="99"/>
    <w:semiHidden/>
    <w:unhideWhenUsed/>
    <w:rsid w:val="00572D16"/>
    <w:pPr>
      <w:ind w:left="440" w:hanging="220"/>
    </w:pPr>
  </w:style>
  <w:style w:type="paragraph" w:styleId="Index3">
    <w:name w:val="index 3"/>
    <w:basedOn w:val="Normal"/>
    <w:next w:val="Normal"/>
    <w:autoRedefine/>
    <w:uiPriority w:val="99"/>
    <w:semiHidden/>
    <w:unhideWhenUsed/>
    <w:rsid w:val="00572D16"/>
    <w:pPr>
      <w:ind w:left="660" w:hanging="220"/>
    </w:pPr>
  </w:style>
  <w:style w:type="paragraph" w:styleId="Index4">
    <w:name w:val="index 4"/>
    <w:basedOn w:val="Normal"/>
    <w:next w:val="Normal"/>
    <w:autoRedefine/>
    <w:uiPriority w:val="99"/>
    <w:semiHidden/>
    <w:unhideWhenUsed/>
    <w:rsid w:val="00572D16"/>
    <w:pPr>
      <w:ind w:left="880" w:hanging="220"/>
    </w:pPr>
  </w:style>
  <w:style w:type="paragraph" w:styleId="Index5">
    <w:name w:val="index 5"/>
    <w:basedOn w:val="Normal"/>
    <w:next w:val="Normal"/>
    <w:autoRedefine/>
    <w:uiPriority w:val="99"/>
    <w:semiHidden/>
    <w:unhideWhenUsed/>
    <w:rsid w:val="00572D16"/>
    <w:pPr>
      <w:ind w:left="1100" w:hanging="220"/>
    </w:pPr>
  </w:style>
  <w:style w:type="paragraph" w:styleId="Index6">
    <w:name w:val="index 6"/>
    <w:basedOn w:val="Normal"/>
    <w:next w:val="Normal"/>
    <w:autoRedefine/>
    <w:uiPriority w:val="99"/>
    <w:semiHidden/>
    <w:unhideWhenUsed/>
    <w:rsid w:val="00572D16"/>
    <w:pPr>
      <w:ind w:left="1320" w:hanging="220"/>
    </w:pPr>
  </w:style>
  <w:style w:type="paragraph" w:styleId="Index7">
    <w:name w:val="index 7"/>
    <w:basedOn w:val="Normal"/>
    <w:next w:val="Normal"/>
    <w:autoRedefine/>
    <w:uiPriority w:val="99"/>
    <w:semiHidden/>
    <w:unhideWhenUsed/>
    <w:rsid w:val="00572D16"/>
    <w:pPr>
      <w:ind w:left="1540" w:hanging="220"/>
    </w:pPr>
  </w:style>
  <w:style w:type="paragraph" w:styleId="Index8">
    <w:name w:val="index 8"/>
    <w:basedOn w:val="Normal"/>
    <w:next w:val="Normal"/>
    <w:autoRedefine/>
    <w:uiPriority w:val="99"/>
    <w:semiHidden/>
    <w:unhideWhenUsed/>
    <w:rsid w:val="00572D16"/>
    <w:pPr>
      <w:ind w:left="1760" w:hanging="220"/>
    </w:pPr>
  </w:style>
  <w:style w:type="paragraph" w:styleId="Index9">
    <w:name w:val="index 9"/>
    <w:basedOn w:val="Normal"/>
    <w:next w:val="Normal"/>
    <w:autoRedefine/>
    <w:uiPriority w:val="99"/>
    <w:semiHidden/>
    <w:unhideWhenUsed/>
    <w:rsid w:val="00572D16"/>
    <w:pPr>
      <w:ind w:left="1980" w:hanging="220"/>
    </w:pPr>
  </w:style>
  <w:style w:type="paragraph" w:styleId="IndexHeading">
    <w:name w:val="index heading"/>
    <w:basedOn w:val="Normal"/>
    <w:next w:val="Index1"/>
    <w:uiPriority w:val="99"/>
    <w:semiHidden/>
    <w:unhideWhenUsed/>
    <w:rsid w:val="00572D16"/>
    <w:rPr>
      <w:rFonts w:ascii="Cambria" w:eastAsia="Times New Roman" w:hAnsi="Cambria"/>
      <w:b/>
      <w:bCs/>
    </w:rPr>
  </w:style>
  <w:style w:type="paragraph" w:customStyle="1" w:styleId="Inhaltsverzeichnisberschrift1">
    <w:name w:val="Inhaltsverzeichnisüberschrift1"/>
    <w:basedOn w:val="Heading1"/>
    <w:next w:val="Normal"/>
    <w:uiPriority w:val="39"/>
    <w:semiHidden/>
    <w:unhideWhenUsed/>
    <w:qFormat/>
    <w:rsid w:val="00572D16"/>
    <w:pPr>
      <w:outlineLvl w:val="9"/>
    </w:pPr>
    <w:rPr>
      <w:rFonts w:ascii="Cambria" w:eastAsia="Times New Roman" w:hAnsi="Cambria" w:cs="Times New Roman"/>
    </w:rPr>
  </w:style>
  <w:style w:type="paragraph" w:customStyle="1" w:styleId="IntensivesZitat1">
    <w:name w:val="Intensives Zitat1"/>
    <w:basedOn w:val="Normal"/>
    <w:next w:val="Normal"/>
    <w:link w:val="IntensivesZitatZchn"/>
    <w:uiPriority w:val="30"/>
    <w:qFormat/>
    <w:rsid w:val="00572D16"/>
    <w:pPr>
      <w:pBdr>
        <w:bottom w:val="single" w:sz="4" w:space="4" w:color="4F81BD"/>
      </w:pBdr>
      <w:spacing w:before="200" w:after="280"/>
      <w:ind w:left="936" w:right="936"/>
    </w:pPr>
    <w:rPr>
      <w:b/>
      <w:bCs/>
      <w:i/>
      <w:iCs/>
      <w:color w:val="4F81BD"/>
    </w:rPr>
  </w:style>
  <w:style w:type="character" w:customStyle="1" w:styleId="IntensivesZitatZchn">
    <w:name w:val="Intensives Zitat Zchn"/>
    <w:link w:val="IntensivesZitat1"/>
    <w:uiPriority w:val="30"/>
    <w:rsid w:val="00572D16"/>
    <w:rPr>
      <w:b/>
      <w:bCs/>
      <w:i/>
      <w:iCs/>
      <w:color w:val="4F81BD"/>
      <w:sz w:val="22"/>
      <w:szCs w:val="24"/>
      <w:lang w:val="sk-SK" w:eastAsia="sk-SK"/>
    </w:rPr>
  </w:style>
  <w:style w:type="paragraph" w:customStyle="1" w:styleId="KeinLeerraum1">
    <w:name w:val="Kein Leerraum1"/>
    <w:uiPriority w:val="1"/>
    <w:qFormat/>
    <w:rsid w:val="00572D16"/>
    <w:pPr>
      <w:ind w:left="567" w:hanging="567"/>
    </w:pPr>
    <w:rPr>
      <w:sz w:val="22"/>
      <w:szCs w:val="24"/>
      <w:lang w:val="sk-SK" w:eastAsia="sk-SK"/>
    </w:rPr>
  </w:style>
  <w:style w:type="paragraph" w:styleId="List">
    <w:name w:val="List"/>
    <w:basedOn w:val="Normal"/>
    <w:uiPriority w:val="99"/>
    <w:semiHidden/>
    <w:unhideWhenUsed/>
    <w:rsid w:val="00572D16"/>
    <w:pPr>
      <w:ind w:left="283" w:hanging="283"/>
      <w:contextualSpacing/>
    </w:pPr>
  </w:style>
  <w:style w:type="paragraph" w:styleId="List2">
    <w:name w:val="List 2"/>
    <w:basedOn w:val="Normal"/>
    <w:uiPriority w:val="99"/>
    <w:semiHidden/>
    <w:unhideWhenUsed/>
    <w:rsid w:val="00572D16"/>
    <w:pPr>
      <w:ind w:left="566" w:hanging="283"/>
      <w:contextualSpacing/>
    </w:pPr>
  </w:style>
  <w:style w:type="paragraph" w:styleId="List3">
    <w:name w:val="List 3"/>
    <w:basedOn w:val="Normal"/>
    <w:uiPriority w:val="99"/>
    <w:semiHidden/>
    <w:unhideWhenUsed/>
    <w:rsid w:val="00572D16"/>
    <w:pPr>
      <w:ind w:left="849" w:hanging="283"/>
      <w:contextualSpacing/>
    </w:pPr>
  </w:style>
  <w:style w:type="paragraph" w:styleId="List4">
    <w:name w:val="List 4"/>
    <w:basedOn w:val="Normal"/>
    <w:uiPriority w:val="99"/>
    <w:semiHidden/>
    <w:unhideWhenUsed/>
    <w:rsid w:val="00572D16"/>
    <w:pPr>
      <w:ind w:left="1132" w:hanging="283"/>
      <w:contextualSpacing/>
    </w:pPr>
  </w:style>
  <w:style w:type="paragraph" w:styleId="List5">
    <w:name w:val="List 5"/>
    <w:basedOn w:val="Normal"/>
    <w:uiPriority w:val="99"/>
    <w:semiHidden/>
    <w:unhideWhenUsed/>
    <w:rsid w:val="00572D16"/>
    <w:pPr>
      <w:ind w:left="1415" w:hanging="283"/>
      <w:contextualSpacing/>
    </w:pPr>
  </w:style>
  <w:style w:type="paragraph" w:customStyle="1" w:styleId="Listenabsatz1">
    <w:name w:val="Listenabsatz1"/>
    <w:basedOn w:val="Normal"/>
    <w:uiPriority w:val="34"/>
    <w:qFormat/>
    <w:rsid w:val="00572D16"/>
    <w:pPr>
      <w:ind w:left="708"/>
    </w:pPr>
  </w:style>
  <w:style w:type="paragraph" w:styleId="ListContinue">
    <w:name w:val="List Continue"/>
    <w:basedOn w:val="Normal"/>
    <w:uiPriority w:val="99"/>
    <w:semiHidden/>
    <w:unhideWhenUsed/>
    <w:rsid w:val="00572D16"/>
    <w:pPr>
      <w:spacing w:after="120"/>
      <w:ind w:left="283"/>
      <w:contextualSpacing/>
    </w:pPr>
  </w:style>
  <w:style w:type="paragraph" w:styleId="ListContinue2">
    <w:name w:val="List Continue 2"/>
    <w:basedOn w:val="Normal"/>
    <w:uiPriority w:val="99"/>
    <w:semiHidden/>
    <w:unhideWhenUsed/>
    <w:rsid w:val="00572D16"/>
    <w:pPr>
      <w:spacing w:after="120"/>
      <w:ind w:left="566"/>
      <w:contextualSpacing/>
    </w:pPr>
  </w:style>
  <w:style w:type="paragraph" w:styleId="ListContinue3">
    <w:name w:val="List Continue 3"/>
    <w:basedOn w:val="Normal"/>
    <w:uiPriority w:val="99"/>
    <w:semiHidden/>
    <w:unhideWhenUsed/>
    <w:rsid w:val="00572D16"/>
    <w:pPr>
      <w:spacing w:after="120"/>
      <w:ind w:left="849"/>
      <w:contextualSpacing/>
    </w:pPr>
  </w:style>
  <w:style w:type="paragraph" w:styleId="ListContinue4">
    <w:name w:val="List Continue 4"/>
    <w:basedOn w:val="Normal"/>
    <w:uiPriority w:val="99"/>
    <w:semiHidden/>
    <w:unhideWhenUsed/>
    <w:rsid w:val="00572D16"/>
    <w:pPr>
      <w:spacing w:after="120"/>
      <w:ind w:left="1132"/>
      <w:contextualSpacing/>
    </w:pPr>
  </w:style>
  <w:style w:type="paragraph" w:styleId="ListContinue5">
    <w:name w:val="List Continue 5"/>
    <w:basedOn w:val="Normal"/>
    <w:uiPriority w:val="99"/>
    <w:semiHidden/>
    <w:unhideWhenUsed/>
    <w:rsid w:val="00572D16"/>
    <w:pPr>
      <w:spacing w:after="120"/>
      <w:ind w:left="1415"/>
      <w:contextualSpacing/>
    </w:pPr>
  </w:style>
  <w:style w:type="paragraph" w:styleId="ListNumber">
    <w:name w:val="List Number"/>
    <w:basedOn w:val="Normal"/>
    <w:uiPriority w:val="99"/>
    <w:semiHidden/>
    <w:unhideWhenUsed/>
    <w:rsid w:val="00572D16"/>
    <w:pPr>
      <w:numPr>
        <w:numId w:val="44"/>
      </w:numPr>
      <w:contextualSpacing/>
    </w:pPr>
  </w:style>
  <w:style w:type="paragraph" w:styleId="ListNumber2">
    <w:name w:val="List Number 2"/>
    <w:basedOn w:val="Normal"/>
    <w:uiPriority w:val="99"/>
    <w:semiHidden/>
    <w:unhideWhenUsed/>
    <w:rsid w:val="00572D16"/>
    <w:pPr>
      <w:numPr>
        <w:numId w:val="45"/>
      </w:numPr>
      <w:contextualSpacing/>
    </w:pPr>
  </w:style>
  <w:style w:type="paragraph" w:styleId="ListNumber3">
    <w:name w:val="List Number 3"/>
    <w:basedOn w:val="Normal"/>
    <w:uiPriority w:val="99"/>
    <w:semiHidden/>
    <w:unhideWhenUsed/>
    <w:rsid w:val="00572D16"/>
    <w:pPr>
      <w:numPr>
        <w:numId w:val="46"/>
      </w:numPr>
      <w:contextualSpacing/>
    </w:pPr>
  </w:style>
  <w:style w:type="paragraph" w:styleId="ListNumber4">
    <w:name w:val="List Number 4"/>
    <w:basedOn w:val="Normal"/>
    <w:uiPriority w:val="99"/>
    <w:semiHidden/>
    <w:unhideWhenUsed/>
    <w:rsid w:val="00572D16"/>
    <w:pPr>
      <w:numPr>
        <w:numId w:val="47"/>
      </w:numPr>
      <w:contextualSpacing/>
    </w:pPr>
  </w:style>
  <w:style w:type="paragraph" w:styleId="ListNumber5">
    <w:name w:val="List Number 5"/>
    <w:basedOn w:val="Normal"/>
    <w:uiPriority w:val="99"/>
    <w:semiHidden/>
    <w:unhideWhenUsed/>
    <w:rsid w:val="00572D16"/>
    <w:pPr>
      <w:numPr>
        <w:numId w:val="48"/>
      </w:numPr>
      <w:contextualSpacing/>
    </w:pPr>
  </w:style>
  <w:style w:type="paragraph" w:customStyle="1" w:styleId="Literaturverzeichnis1">
    <w:name w:val="Literaturverzeichnis1"/>
    <w:basedOn w:val="Normal"/>
    <w:next w:val="Normal"/>
    <w:uiPriority w:val="37"/>
    <w:semiHidden/>
    <w:unhideWhenUsed/>
    <w:rsid w:val="00572D16"/>
  </w:style>
  <w:style w:type="paragraph" w:styleId="MacroText">
    <w:name w:val="macro"/>
    <w:link w:val="MacroTextChar"/>
    <w:uiPriority w:val="99"/>
    <w:semiHidden/>
    <w:unhideWhenUsed/>
    <w:rsid w:val="00572D16"/>
    <w:pPr>
      <w:tabs>
        <w:tab w:val="left" w:pos="480"/>
        <w:tab w:val="left" w:pos="960"/>
        <w:tab w:val="left" w:pos="1440"/>
        <w:tab w:val="left" w:pos="1920"/>
        <w:tab w:val="left" w:pos="2400"/>
        <w:tab w:val="left" w:pos="2880"/>
        <w:tab w:val="left" w:pos="3360"/>
        <w:tab w:val="left" w:pos="3840"/>
        <w:tab w:val="left" w:pos="4320"/>
      </w:tabs>
      <w:ind w:left="567" w:hanging="567"/>
    </w:pPr>
    <w:rPr>
      <w:rFonts w:ascii="Courier New" w:hAnsi="Courier New" w:cs="Courier New"/>
      <w:lang w:val="sk-SK" w:eastAsia="sk-SK"/>
    </w:rPr>
  </w:style>
  <w:style w:type="character" w:customStyle="1" w:styleId="MacroTextChar">
    <w:name w:val="Macro Text Char"/>
    <w:link w:val="MacroText"/>
    <w:uiPriority w:val="99"/>
    <w:semiHidden/>
    <w:rsid w:val="00572D16"/>
    <w:rPr>
      <w:rFonts w:ascii="Courier New" w:hAnsi="Courier New" w:cs="Courier New"/>
      <w:lang w:val="sk-SK" w:eastAsia="sk-SK"/>
    </w:rPr>
  </w:style>
  <w:style w:type="paragraph" w:styleId="MessageHeader">
    <w:name w:val="Message Header"/>
    <w:basedOn w:val="Normal"/>
    <w:link w:val="MessageHeaderChar"/>
    <w:uiPriority w:val="99"/>
    <w:semiHidden/>
    <w:unhideWhenUsed/>
    <w:rsid w:val="00572D16"/>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eastAsia="Times New Roman" w:hAnsi="Cambria"/>
      <w:sz w:val="24"/>
    </w:rPr>
  </w:style>
  <w:style w:type="character" w:customStyle="1" w:styleId="MessageHeaderChar">
    <w:name w:val="Message Header Char"/>
    <w:link w:val="MessageHeader"/>
    <w:uiPriority w:val="99"/>
    <w:semiHidden/>
    <w:rsid w:val="00572D16"/>
    <w:rPr>
      <w:rFonts w:ascii="Cambria" w:eastAsia="Times New Roman" w:hAnsi="Cambria" w:cs="Times New Roman"/>
      <w:sz w:val="24"/>
      <w:szCs w:val="24"/>
      <w:shd w:val="pct20" w:color="auto" w:fill="auto"/>
      <w:lang w:val="sk-SK" w:eastAsia="sk-SK"/>
    </w:rPr>
  </w:style>
  <w:style w:type="paragraph" w:styleId="TableofAuthorities">
    <w:name w:val="table of authorities"/>
    <w:basedOn w:val="Normal"/>
    <w:next w:val="Normal"/>
    <w:uiPriority w:val="99"/>
    <w:semiHidden/>
    <w:unhideWhenUsed/>
    <w:rsid w:val="00572D16"/>
    <w:pPr>
      <w:ind w:left="220" w:hanging="220"/>
    </w:pPr>
  </w:style>
  <w:style w:type="paragraph" w:styleId="TOAHeading">
    <w:name w:val="toa heading"/>
    <w:basedOn w:val="Normal"/>
    <w:next w:val="Normal"/>
    <w:uiPriority w:val="99"/>
    <w:semiHidden/>
    <w:unhideWhenUsed/>
    <w:rsid w:val="00572D16"/>
    <w:pPr>
      <w:spacing w:before="120"/>
    </w:pPr>
    <w:rPr>
      <w:rFonts w:ascii="Cambria" w:eastAsia="Times New Roman" w:hAnsi="Cambria"/>
      <w:b/>
      <w:bCs/>
      <w:sz w:val="24"/>
    </w:rPr>
  </w:style>
  <w:style w:type="paragraph" w:styleId="NormalWeb">
    <w:name w:val="Normal (Web)"/>
    <w:basedOn w:val="Normal"/>
    <w:uiPriority w:val="99"/>
    <w:semiHidden/>
    <w:unhideWhenUsed/>
    <w:rsid w:val="00572D16"/>
    <w:rPr>
      <w:sz w:val="24"/>
    </w:rPr>
  </w:style>
  <w:style w:type="paragraph" w:styleId="NormalIndent">
    <w:name w:val="Normal Indent"/>
    <w:basedOn w:val="Normal"/>
    <w:uiPriority w:val="99"/>
    <w:semiHidden/>
    <w:unhideWhenUsed/>
    <w:rsid w:val="00572D16"/>
    <w:pPr>
      <w:ind w:left="708"/>
    </w:pPr>
  </w:style>
  <w:style w:type="paragraph" w:styleId="BodyTextIndent2">
    <w:name w:val="Body Text Indent 2"/>
    <w:basedOn w:val="Normal"/>
    <w:link w:val="BodyTextIndent2Char"/>
    <w:uiPriority w:val="99"/>
    <w:semiHidden/>
    <w:unhideWhenUsed/>
    <w:rsid w:val="00572D16"/>
    <w:pPr>
      <w:spacing w:after="120" w:line="480" w:lineRule="auto"/>
      <w:ind w:left="283"/>
    </w:pPr>
  </w:style>
  <w:style w:type="character" w:customStyle="1" w:styleId="BodyTextIndent2Char">
    <w:name w:val="Body Text Indent 2 Char"/>
    <w:link w:val="BodyTextIndent2"/>
    <w:uiPriority w:val="99"/>
    <w:semiHidden/>
    <w:rsid w:val="00572D16"/>
    <w:rPr>
      <w:sz w:val="22"/>
      <w:szCs w:val="24"/>
      <w:lang w:val="sk-SK" w:eastAsia="sk-SK"/>
    </w:rPr>
  </w:style>
  <w:style w:type="paragraph" w:styleId="BodyTextFirstIndent">
    <w:name w:val="Body Text First Indent"/>
    <w:basedOn w:val="BodyText"/>
    <w:link w:val="BodyTextFirstIndentChar"/>
    <w:uiPriority w:val="99"/>
    <w:semiHidden/>
    <w:unhideWhenUsed/>
    <w:rsid w:val="00572D16"/>
    <w:pPr>
      <w:tabs>
        <w:tab w:val="clear" w:pos="567"/>
      </w:tabs>
      <w:spacing w:after="120" w:line="240" w:lineRule="auto"/>
      <w:ind w:left="567" w:firstLine="210"/>
    </w:pPr>
    <w:rPr>
      <w:b w:val="0"/>
      <w:i w:val="0"/>
      <w:szCs w:val="24"/>
      <w:lang w:val="sk-SK" w:eastAsia="sk-SK"/>
    </w:rPr>
  </w:style>
  <w:style w:type="character" w:customStyle="1" w:styleId="BodyTextChar">
    <w:name w:val="Body Text Char"/>
    <w:link w:val="BodyText"/>
    <w:rsid w:val="00572D16"/>
    <w:rPr>
      <w:b/>
      <w:i/>
      <w:sz w:val="22"/>
      <w:lang w:val="cs-CZ" w:eastAsia="en-US"/>
    </w:rPr>
  </w:style>
  <w:style w:type="character" w:customStyle="1" w:styleId="BodyTextFirstIndentChar">
    <w:name w:val="Body Text First Indent Char"/>
    <w:link w:val="BodyTextFirstIndent"/>
    <w:uiPriority w:val="99"/>
    <w:semiHidden/>
    <w:rsid w:val="00572D16"/>
    <w:rPr>
      <w:b w:val="0"/>
      <w:i w:val="0"/>
      <w:sz w:val="22"/>
      <w:szCs w:val="24"/>
      <w:lang w:val="sk-SK" w:eastAsia="sk-SK"/>
    </w:rPr>
  </w:style>
  <w:style w:type="paragraph" w:styleId="BodyTextFirstIndent2">
    <w:name w:val="Body Text First Indent 2"/>
    <w:basedOn w:val="BodyTextIndent"/>
    <w:link w:val="BodyTextFirstIndent2Char"/>
    <w:uiPriority w:val="99"/>
    <w:semiHidden/>
    <w:unhideWhenUsed/>
    <w:rsid w:val="00572D16"/>
    <w:pPr>
      <w:spacing w:after="120"/>
      <w:ind w:left="283" w:firstLine="210"/>
    </w:pPr>
    <w:rPr>
      <w:b w:val="0"/>
      <w:color w:val="auto"/>
      <w:szCs w:val="24"/>
      <w:lang w:val="sk-SK" w:eastAsia="sk-SK"/>
    </w:rPr>
  </w:style>
  <w:style w:type="character" w:customStyle="1" w:styleId="BodyTextIndentChar">
    <w:name w:val="Body Text Indent Char"/>
    <w:link w:val="BodyTextIndent"/>
    <w:rsid w:val="00572D16"/>
    <w:rPr>
      <w:b/>
      <w:color w:val="808080"/>
      <w:sz w:val="22"/>
      <w:lang w:val="cs-CZ" w:eastAsia="en-US"/>
    </w:rPr>
  </w:style>
  <w:style w:type="character" w:customStyle="1" w:styleId="BodyTextFirstIndent2Char">
    <w:name w:val="Body Text First Indent 2 Char"/>
    <w:link w:val="BodyTextFirstIndent2"/>
    <w:uiPriority w:val="99"/>
    <w:semiHidden/>
    <w:rsid w:val="00572D16"/>
    <w:rPr>
      <w:b w:val="0"/>
      <w:color w:val="808080"/>
      <w:sz w:val="22"/>
      <w:szCs w:val="24"/>
      <w:lang w:val="sk-SK" w:eastAsia="sk-SK"/>
    </w:rPr>
  </w:style>
  <w:style w:type="paragraph" w:styleId="Title">
    <w:name w:val="Title"/>
    <w:basedOn w:val="Normal"/>
    <w:next w:val="Normal"/>
    <w:link w:val="TitleChar"/>
    <w:uiPriority w:val="10"/>
    <w:qFormat/>
    <w:rsid w:val="00572D16"/>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572D16"/>
    <w:rPr>
      <w:rFonts w:ascii="Cambria" w:eastAsia="Times New Roman" w:hAnsi="Cambria" w:cs="Times New Roman"/>
      <w:b/>
      <w:bCs/>
      <w:kern w:val="28"/>
      <w:sz w:val="32"/>
      <w:szCs w:val="32"/>
      <w:lang w:val="sk-SK" w:eastAsia="sk-SK"/>
    </w:rPr>
  </w:style>
  <w:style w:type="character" w:customStyle="1" w:styleId="Heading8Char">
    <w:name w:val="Heading 8 Char"/>
    <w:link w:val="Heading8"/>
    <w:uiPriority w:val="9"/>
    <w:semiHidden/>
    <w:rsid w:val="00572D16"/>
    <w:rPr>
      <w:rFonts w:ascii="Calibri" w:eastAsia="Times New Roman" w:hAnsi="Calibri" w:cs="Times New Roman"/>
      <w:i/>
      <w:iCs/>
      <w:sz w:val="24"/>
      <w:szCs w:val="24"/>
      <w:lang w:val="sk-SK" w:eastAsia="sk-SK"/>
    </w:rPr>
  </w:style>
  <w:style w:type="character" w:customStyle="1" w:styleId="Heading9Char">
    <w:name w:val="Heading 9 Char"/>
    <w:link w:val="Heading9"/>
    <w:uiPriority w:val="9"/>
    <w:semiHidden/>
    <w:rsid w:val="00572D16"/>
    <w:rPr>
      <w:rFonts w:ascii="Cambria" w:eastAsia="Times New Roman" w:hAnsi="Cambria" w:cs="Times New Roman"/>
      <w:sz w:val="22"/>
      <w:szCs w:val="22"/>
      <w:lang w:val="sk-SK" w:eastAsia="sk-SK"/>
    </w:rPr>
  </w:style>
  <w:style w:type="paragraph" w:styleId="EnvelopeReturn">
    <w:name w:val="envelope return"/>
    <w:basedOn w:val="Normal"/>
    <w:uiPriority w:val="99"/>
    <w:semiHidden/>
    <w:unhideWhenUsed/>
    <w:rsid w:val="00572D16"/>
    <w:rPr>
      <w:rFonts w:ascii="Cambria" w:eastAsia="Times New Roman" w:hAnsi="Cambria"/>
      <w:sz w:val="20"/>
      <w:szCs w:val="20"/>
    </w:rPr>
  </w:style>
  <w:style w:type="paragraph" w:styleId="EnvelopeAddress">
    <w:name w:val="envelope address"/>
    <w:basedOn w:val="Normal"/>
    <w:uiPriority w:val="99"/>
    <w:semiHidden/>
    <w:unhideWhenUsed/>
    <w:rsid w:val="00572D16"/>
    <w:pPr>
      <w:framePr w:w="4320" w:h="2160" w:hRule="exact" w:hSpace="141" w:wrap="auto" w:hAnchor="page" w:xAlign="center" w:yAlign="bottom"/>
      <w:ind w:left="1"/>
    </w:pPr>
    <w:rPr>
      <w:rFonts w:ascii="Cambria" w:eastAsia="Times New Roman" w:hAnsi="Cambria"/>
      <w:sz w:val="24"/>
    </w:rPr>
  </w:style>
  <w:style w:type="paragraph" w:styleId="Signature">
    <w:name w:val="Signature"/>
    <w:basedOn w:val="Normal"/>
    <w:link w:val="SignatureChar"/>
    <w:uiPriority w:val="99"/>
    <w:semiHidden/>
    <w:unhideWhenUsed/>
    <w:rsid w:val="00572D16"/>
    <w:pPr>
      <w:ind w:left="4252"/>
    </w:pPr>
  </w:style>
  <w:style w:type="character" w:customStyle="1" w:styleId="SignatureChar">
    <w:name w:val="Signature Char"/>
    <w:link w:val="Signature"/>
    <w:uiPriority w:val="99"/>
    <w:semiHidden/>
    <w:rsid w:val="00572D16"/>
    <w:rPr>
      <w:sz w:val="22"/>
      <w:szCs w:val="24"/>
      <w:lang w:val="sk-SK" w:eastAsia="sk-SK"/>
    </w:rPr>
  </w:style>
  <w:style w:type="paragraph" w:styleId="Subtitle">
    <w:name w:val="Subtitle"/>
    <w:basedOn w:val="Normal"/>
    <w:next w:val="Normal"/>
    <w:link w:val="SubtitleChar"/>
    <w:uiPriority w:val="11"/>
    <w:qFormat/>
    <w:rsid w:val="00572D16"/>
    <w:pPr>
      <w:spacing w:after="60"/>
      <w:jc w:val="center"/>
      <w:outlineLvl w:val="1"/>
    </w:pPr>
    <w:rPr>
      <w:rFonts w:ascii="Cambria" w:eastAsia="Times New Roman" w:hAnsi="Cambria"/>
      <w:sz w:val="24"/>
    </w:rPr>
  </w:style>
  <w:style w:type="character" w:customStyle="1" w:styleId="SubtitleChar">
    <w:name w:val="Subtitle Char"/>
    <w:link w:val="Subtitle"/>
    <w:uiPriority w:val="11"/>
    <w:rsid w:val="00572D16"/>
    <w:rPr>
      <w:rFonts w:ascii="Cambria" w:eastAsia="Times New Roman" w:hAnsi="Cambria" w:cs="Times New Roman"/>
      <w:sz w:val="24"/>
      <w:szCs w:val="24"/>
      <w:lang w:val="sk-SK" w:eastAsia="sk-SK"/>
    </w:rPr>
  </w:style>
  <w:style w:type="paragraph" w:styleId="TOC1">
    <w:name w:val="toc 1"/>
    <w:basedOn w:val="Normal"/>
    <w:next w:val="Normal"/>
    <w:autoRedefine/>
    <w:uiPriority w:val="39"/>
    <w:semiHidden/>
    <w:unhideWhenUsed/>
    <w:rsid w:val="00572D16"/>
    <w:pPr>
      <w:ind w:left="0"/>
    </w:pPr>
  </w:style>
  <w:style w:type="paragraph" w:styleId="TOC2">
    <w:name w:val="toc 2"/>
    <w:basedOn w:val="Normal"/>
    <w:next w:val="Normal"/>
    <w:autoRedefine/>
    <w:uiPriority w:val="39"/>
    <w:semiHidden/>
    <w:unhideWhenUsed/>
    <w:rsid w:val="00572D16"/>
    <w:pPr>
      <w:ind w:left="220"/>
    </w:pPr>
  </w:style>
  <w:style w:type="paragraph" w:styleId="TOC3">
    <w:name w:val="toc 3"/>
    <w:basedOn w:val="Normal"/>
    <w:next w:val="Normal"/>
    <w:autoRedefine/>
    <w:uiPriority w:val="39"/>
    <w:semiHidden/>
    <w:unhideWhenUsed/>
    <w:rsid w:val="00572D16"/>
    <w:pPr>
      <w:ind w:left="440"/>
    </w:pPr>
  </w:style>
  <w:style w:type="paragraph" w:styleId="TOC4">
    <w:name w:val="toc 4"/>
    <w:basedOn w:val="Normal"/>
    <w:next w:val="Normal"/>
    <w:autoRedefine/>
    <w:uiPriority w:val="39"/>
    <w:semiHidden/>
    <w:unhideWhenUsed/>
    <w:rsid w:val="00572D16"/>
    <w:pPr>
      <w:ind w:left="660"/>
    </w:pPr>
  </w:style>
  <w:style w:type="paragraph" w:styleId="TOC5">
    <w:name w:val="toc 5"/>
    <w:basedOn w:val="Normal"/>
    <w:next w:val="Normal"/>
    <w:autoRedefine/>
    <w:uiPriority w:val="39"/>
    <w:semiHidden/>
    <w:unhideWhenUsed/>
    <w:rsid w:val="00572D16"/>
    <w:pPr>
      <w:ind w:left="880"/>
    </w:pPr>
  </w:style>
  <w:style w:type="paragraph" w:styleId="TOC6">
    <w:name w:val="toc 6"/>
    <w:basedOn w:val="Normal"/>
    <w:next w:val="Normal"/>
    <w:autoRedefine/>
    <w:uiPriority w:val="39"/>
    <w:semiHidden/>
    <w:unhideWhenUsed/>
    <w:rsid w:val="00572D16"/>
    <w:pPr>
      <w:ind w:left="1100"/>
    </w:pPr>
  </w:style>
  <w:style w:type="paragraph" w:styleId="TOC7">
    <w:name w:val="toc 7"/>
    <w:basedOn w:val="Normal"/>
    <w:next w:val="Normal"/>
    <w:autoRedefine/>
    <w:uiPriority w:val="39"/>
    <w:semiHidden/>
    <w:unhideWhenUsed/>
    <w:rsid w:val="00572D16"/>
    <w:pPr>
      <w:ind w:left="1320"/>
    </w:pPr>
  </w:style>
  <w:style w:type="paragraph" w:styleId="TOC8">
    <w:name w:val="toc 8"/>
    <w:basedOn w:val="Normal"/>
    <w:next w:val="Normal"/>
    <w:autoRedefine/>
    <w:uiPriority w:val="39"/>
    <w:semiHidden/>
    <w:unhideWhenUsed/>
    <w:rsid w:val="00572D16"/>
    <w:pPr>
      <w:ind w:left="1540"/>
    </w:pPr>
  </w:style>
  <w:style w:type="paragraph" w:styleId="TOC9">
    <w:name w:val="toc 9"/>
    <w:basedOn w:val="Normal"/>
    <w:next w:val="Normal"/>
    <w:autoRedefine/>
    <w:uiPriority w:val="39"/>
    <w:semiHidden/>
    <w:unhideWhenUsed/>
    <w:rsid w:val="00572D16"/>
    <w:pPr>
      <w:ind w:left="1760"/>
    </w:pPr>
  </w:style>
  <w:style w:type="paragraph" w:customStyle="1" w:styleId="Zitat1">
    <w:name w:val="Zitat1"/>
    <w:basedOn w:val="Normal"/>
    <w:next w:val="Normal"/>
    <w:link w:val="ZitatZchn"/>
    <w:uiPriority w:val="29"/>
    <w:qFormat/>
    <w:rsid w:val="00572D16"/>
    <w:rPr>
      <w:i/>
      <w:iCs/>
      <w:color w:val="000000"/>
    </w:rPr>
  </w:style>
  <w:style w:type="character" w:customStyle="1" w:styleId="ZitatZchn">
    <w:name w:val="Zitat Zchn"/>
    <w:link w:val="Zitat1"/>
    <w:uiPriority w:val="29"/>
    <w:rsid w:val="00572D16"/>
    <w:rPr>
      <w:i/>
      <w:iCs/>
      <w:color w:val="000000"/>
      <w:sz w:val="22"/>
      <w:szCs w:val="24"/>
      <w:lang w:val="sk-SK" w:eastAsia="sk-SK"/>
    </w:rPr>
  </w:style>
  <w:style w:type="character" w:customStyle="1" w:styleId="FooterChar">
    <w:name w:val="Footer Char"/>
    <w:link w:val="Footer"/>
    <w:uiPriority w:val="99"/>
    <w:rsid w:val="00A544B0"/>
    <w:rPr>
      <w:sz w:val="22"/>
      <w:szCs w:val="24"/>
      <w:lang w:val="sk-SK" w:eastAsia="sk-SK"/>
    </w:rPr>
  </w:style>
  <w:style w:type="paragraph" w:styleId="TOCHeading">
    <w:name w:val="TOC Heading"/>
    <w:basedOn w:val="Heading1"/>
    <w:next w:val="Normal"/>
    <w:uiPriority w:val="39"/>
    <w:semiHidden/>
    <w:unhideWhenUsed/>
    <w:qFormat/>
    <w:rsid w:val="00D56AD7"/>
    <w:pPr>
      <w:outlineLvl w:val="9"/>
    </w:pPr>
    <w:rPr>
      <w:rFonts w:ascii="Cambria" w:hAnsi="Cambria" w:cs="Times New Roman"/>
    </w:rPr>
  </w:style>
  <w:style w:type="paragraph" w:styleId="IntenseQuote">
    <w:name w:val="Intense Quote"/>
    <w:basedOn w:val="Normal"/>
    <w:next w:val="Normal"/>
    <w:link w:val="IntenseQuoteChar"/>
    <w:uiPriority w:val="30"/>
    <w:qFormat/>
    <w:rsid w:val="00D56AD7"/>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56AD7"/>
    <w:rPr>
      <w:b/>
      <w:bCs/>
      <w:i/>
      <w:iCs/>
      <w:color w:val="4F81BD"/>
      <w:sz w:val="22"/>
      <w:szCs w:val="24"/>
      <w:lang w:val="sk-SK" w:eastAsia="sk-SK"/>
    </w:rPr>
  </w:style>
  <w:style w:type="paragraph" w:styleId="NoSpacing">
    <w:name w:val="No Spacing"/>
    <w:uiPriority w:val="1"/>
    <w:qFormat/>
    <w:rsid w:val="00D56AD7"/>
    <w:pPr>
      <w:ind w:left="567" w:hanging="567"/>
    </w:pPr>
    <w:rPr>
      <w:sz w:val="22"/>
      <w:szCs w:val="24"/>
      <w:lang w:val="sk-SK" w:eastAsia="sk-SK"/>
    </w:rPr>
  </w:style>
  <w:style w:type="paragraph" w:styleId="ListParagraph">
    <w:name w:val="List Paragraph"/>
    <w:basedOn w:val="Normal"/>
    <w:uiPriority w:val="34"/>
    <w:qFormat/>
    <w:rsid w:val="00D56AD7"/>
    <w:pPr>
      <w:ind w:left="708"/>
    </w:pPr>
  </w:style>
  <w:style w:type="paragraph" w:styleId="Bibliography">
    <w:name w:val="Bibliography"/>
    <w:basedOn w:val="Normal"/>
    <w:next w:val="Normal"/>
    <w:uiPriority w:val="37"/>
    <w:semiHidden/>
    <w:unhideWhenUsed/>
    <w:rsid w:val="00D56AD7"/>
  </w:style>
  <w:style w:type="paragraph" w:styleId="Quote">
    <w:name w:val="Quote"/>
    <w:basedOn w:val="Normal"/>
    <w:next w:val="Normal"/>
    <w:link w:val="QuoteChar"/>
    <w:uiPriority w:val="29"/>
    <w:qFormat/>
    <w:rsid w:val="00D56AD7"/>
    <w:rPr>
      <w:i/>
      <w:iCs/>
      <w:color w:val="000000"/>
    </w:rPr>
  </w:style>
  <w:style w:type="character" w:customStyle="1" w:styleId="QuoteChar">
    <w:name w:val="Quote Char"/>
    <w:link w:val="Quote"/>
    <w:uiPriority w:val="29"/>
    <w:rsid w:val="00D56AD7"/>
    <w:rPr>
      <w:i/>
      <w:iCs/>
      <w:color w:val="000000"/>
      <w:sz w:val="22"/>
      <w:szCs w:val="24"/>
      <w:lang w:val="sk-SK"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265771">
      <w:bodyDiv w:val="1"/>
      <w:marLeft w:val="0"/>
      <w:marRight w:val="0"/>
      <w:marTop w:val="0"/>
      <w:marBottom w:val="0"/>
      <w:divBdr>
        <w:top w:val="none" w:sz="0" w:space="0" w:color="auto"/>
        <w:left w:val="none" w:sz="0" w:space="0" w:color="auto"/>
        <w:bottom w:val="none" w:sz="0" w:space="0" w:color="auto"/>
        <w:right w:val="none" w:sz="0" w:space="0" w:color="auto"/>
      </w:divBdr>
    </w:div>
    <w:div w:id="111175813">
      <w:bodyDiv w:val="1"/>
      <w:marLeft w:val="0"/>
      <w:marRight w:val="0"/>
      <w:marTop w:val="0"/>
      <w:marBottom w:val="0"/>
      <w:divBdr>
        <w:top w:val="none" w:sz="0" w:space="0" w:color="auto"/>
        <w:left w:val="none" w:sz="0" w:space="0" w:color="auto"/>
        <w:bottom w:val="none" w:sz="0" w:space="0" w:color="auto"/>
        <w:right w:val="none" w:sz="0" w:space="0" w:color="auto"/>
      </w:divBdr>
    </w:div>
    <w:div w:id="114445758">
      <w:bodyDiv w:val="1"/>
      <w:marLeft w:val="0"/>
      <w:marRight w:val="0"/>
      <w:marTop w:val="0"/>
      <w:marBottom w:val="0"/>
      <w:divBdr>
        <w:top w:val="none" w:sz="0" w:space="0" w:color="auto"/>
        <w:left w:val="none" w:sz="0" w:space="0" w:color="auto"/>
        <w:bottom w:val="none" w:sz="0" w:space="0" w:color="auto"/>
        <w:right w:val="none" w:sz="0" w:space="0" w:color="auto"/>
      </w:divBdr>
    </w:div>
    <w:div w:id="200485372">
      <w:bodyDiv w:val="1"/>
      <w:marLeft w:val="0"/>
      <w:marRight w:val="0"/>
      <w:marTop w:val="0"/>
      <w:marBottom w:val="0"/>
      <w:divBdr>
        <w:top w:val="none" w:sz="0" w:space="0" w:color="auto"/>
        <w:left w:val="none" w:sz="0" w:space="0" w:color="auto"/>
        <w:bottom w:val="none" w:sz="0" w:space="0" w:color="auto"/>
        <w:right w:val="none" w:sz="0" w:space="0" w:color="auto"/>
      </w:divBdr>
    </w:div>
    <w:div w:id="208079691">
      <w:bodyDiv w:val="1"/>
      <w:marLeft w:val="0"/>
      <w:marRight w:val="0"/>
      <w:marTop w:val="0"/>
      <w:marBottom w:val="0"/>
      <w:divBdr>
        <w:top w:val="none" w:sz="0" w:space="0" w:color="auto"/>
        <w:left w:val="none" w:sz="0" w:space="0" w:color="auto"/>
        <w:bottom w:val="none" w:sz="0" w:space="0" w:color="auto"/>
        <w:right w:val="none" w:sz="0" w:space="0" w:color="auto"/>
      </w:divBdr>
    </w:div>
    <w:div w:id="229535104">
      <w:bodyDiv w:val="1"/>
      <w:marLeft w:val="0"/>
      <w:marRight w:val="0"/>
      <w:marTop w:val="0"/>
      <w:marBottom w:val="0"/>
      <w:divBdr>
        <w:top w:val="none" w:sz="0" w:space="0" w:color="auto"/>
        <w:left w:val="none" w:sz="0" w:space="0" w:color="auto"/>
        <w:bottom w:val="none" w:sz="0" w:space="0" w:color="auto"/>
        <w:right w:val="none" w:sz="0" w:space="0" w:color="auto"/>
      </w:divBdr>
    </w:div>
    <w:div w:id="232158296">
      <w:bodyDiv w:val="1"/>
      <w:marLeft w:val="0"/>
      <w:marRight w:val="0"/>
      <w:marTop w:val="0"/>
      <w:marBottom w:val="0"/>
      <w:divBdr>
        <w:top w:val="none" w:sz="0" w:space="0" w:color="auto"/>
        <w:left w:val="none" w:sz="0" w:space="0" w:color="auto"/>
        <w:bottom w:val="none" w:sz="0" w:space="0" w:color="auto"/>
        <w:right w:val="none" w:sz="0" w:space="0" w:color="auto"/>
      </w:divBdr>
    </w:div>
    <w:div w:id="251397578">
      <w:bodyDiv w:val="1"/>
      <w:marLeft w:val="0"/>
      <w:marRight w:val="0"/>
      <w:marTop w:val="0"/>
      <w:marBottom w:val="0"/>
      <w:divBdr>
        <w:top w:val="none" w:sz="0" w:space="0" w:color="auto"/>
        <w:left w:val="none" w:sz="0" w:space="0" w:color="auto"/>
        <w:bottom w:val="none" w:sz="0" w:space="0" w:color="auto"/>
        <w:right w:val="none" w:sz="0" w:space="0" w:color="auto"/>
      </w:divBdr>
    </w:div>
    <w:div w:id="260725468">
      <w:bodyDiv w:val="1"/>
      <w:marLeft w:val="0"/>
      <w:marRight w:val="0"/>
      <w:marTop w:val="0"/>
      <w:marBottom w:val="0"/>
      <w:divBdr>
        <w:top w:val="none" w:sz="0" w:space="0" w:color="auto"/>
        <w:left w:val="none" w:sz="0" w:space="0" w:color="auto"/>
        <w:bottom w:val="none" w:sz="0" w:space="0" w:color="auto"/>
        <w:right w:val="none" w:sz="0" w:space="0" w:color="auto"/>
      </w:divBdr>
    </w:div>
    <w:div w:id="328145140">
      <w:bodyDiv w:val="1"/>
      <w:marLeft w:val="0"/>
      <w:marRight w:val="0"/>
      <w:marTop w:val="0"/>
      <w:marBottom w:val="0"/>
      <w:divBdr>
        <w:top w:val="none" w:sz="0" w:space="0" w:color="auto"/>
        <w:left w:val="none" w:sz="0" w:space="0" w:color="auto"/>
        <w:bottom w:val="none" w:sz="0" w:space="0" w:color="auto"/>
        <w:right w:val="none" w:sz="0" w:space="0" w:color="auto"/>
      </w:divBdr>
    </w:div>
    <w:div w:id="339739114">
      <w:bodyDiv w:val="1"/>
      <w:marLeft w:val="0"/>
      <w:marRight w:val="0"/>
      <w:marTop w:val="0"/>
      <w:marBottom w:val="0"/>
      <w:divBdr>
        <w:top w:val="none" w:sz="0" w:space="0" w:color="auto"/>
        <w:left w:val="none" w:sz="0" w:space="0" w:color="auto"/>
        <w:bottom w:val="none" w:sz="0" w:space="0" w:color="auto"/>
        <w:right w:val="none" w:sz="0" w:space="0" w:color="auto"/>
      </w:divBdr>
    </w:div>
    <w:div w:id="350183745">
      <w:bodyDiv w:val="1"/>
      <w:marLeft w:val="0"/>
      <w:marRight w:val="0"/>
      <w:marTop w:val="0"/>
      <w:marBottom w:val="0"/>
      <w:divBdr>
        <w:top w:val="none" w:sz="0" w:space="0" w:color="auto"/>
        <w:left w:val="none" w:sz="0" w:space="0" w:color="auto"/>
        <w:bottom w:val="none" w:sz="0" w:space="0" w:color="auto"/>
        <w:right w:val="none" w:sz="0" w:space="0" w:color="auto"/>
      </w:divBdr>
    </w:div>
    <w:div w:id="361906129">
      <w:bodyDiv w:val="1"/>
      <w:marLeft w:val="0"/>
      <w:marRight w:val="0"/>
      <w:marTop w:val="0"/>
      <w:marBottom w:val="0"/>
      <w:divBdr>
        <w:top w:val="none" w:sz="0" w:space="0" w:color="auto"/>
        <w:left w:val="none" w:sz="0" w:space="0" w:color="auto"/>
        <w:bottom w:val="none" w:sz="0" w:space="0" w:color="auto"/>
        <w:right w:val="none" w:sz="0" w:space="0" w:color="auto"/>
      </w:divBdr>
    </w:div>
    <w:div w:id="399060121">
      <w:bodyDiv w:val="1"/>
      <w:marLeft w:val="0"/>
      <w:marRight w:val="0"/>
      <w:marTop w:val="0"/>
      <w:marBottom w:val="0"/>
      <w:divBdr>
        <w:top w:val="none" w:sz="0" w:space="0" w:color="auto"/>
        <w:left w:val="none" w:sz="0" w:space="0" w:color="auto"/>
        <w:bottom w:val="none" w:sz="0" w:space="0" w:color="auto"/>
        <w:right w:val="none" w:sz="0" w:space="0" w:color="auto"/>
      </w:divBdr>
    </w:div>
    <w:div w:id="417674944">
      <w:bodyDiv w:val="1"/>
      <w:marLeft w:val="0"/>
      <w:marRight w:val="0"/>
      <w:marTop w:val="0"/>
      <w:marBottom w:val="0"/>
      <w:divBdr>
        <w:top w:val="none" w:sz="0" w:space="0" w:color="auto"/>
        <w:left w:val="none" w:sz="0" w:space="0" w:color="auto"/>
        <w:bottom w:val="none" w:sz="0" w:space="0" w:color="auto"/>
        <w:right w:val="none" w:sz="0" w:space="0" w:color="auto"/>
      </w:divBdr>
    </w:div>
    <w:div w:id="457380575">
      <w:bodyDiv w:val="1"/>
      <w:marLeft w:val="0"/>
      <w:marRight w:val="0"/>
      <w:marTop w:val="0"/>
      <w:marBottom w:val="0"/>
      <w:divBdr>
        <w:top w:val="none" w:sz="0" w:space="0" w:color="auto"/>
        <w:left w:val="none" w:sz="0" w:space="0" w:color="auto"/>
        <w:bottom w:val="none" w:sz="0" w:space="0" w:color="auto"/>
        <w:right w:val="none" w:sz="0" w:space="0" w:color="auto"/>
      </w:divBdr>
    </w:div>
    <w:div w:id="512307754">
      <w:bodyDiv w:val="1"/>
      <w:marLeft w:val="0"/>
      <w:marRight w:val="0"/>
      <w:marTop w:val="0"/>
      <w:marBottom w:val="0"/>
      <w:divBdr>
        <w:top w:val="none" w:sz="0" w:space="0" w:color="auto"/>
        <w:left w:val="none" w:sz="0" w:space="0" w:color="auto"/>
        <w:bottom w:val="none" w:sz="0" w:space="0" w:color="auto"/>
        <w:right w:val="none" w:sz="0" w:space="0" w:color="auto"/>
      </w:divBdr>
    </w:div>
    <w:div w:id="527379609">
      <w:bodyDiv w:val="1"/>
      <w:marLeft w:val="0"/>
      <w:marRight w:val="0"/>
      <w:marTop w:val="0"/>
      <w:marBottom w:val="0"/>
      <w:divBdr>
        <w:top w:val="none" w:sz="0" w:space="0" w:color="auto"/>
        <w:left w:val="none" w:sz="0" w:space="0" w:color="auto"/>
        <w:bottom w:val="none" w:sz="0" w:space="0" w:color="auto"/>
        <w:right w:val="none" w:sz="0" w:space="0" w:color="auto"/>
      </w:divBdr>
    </w:div>
    <w:div w:id="558981462">
      <w:bodyDiv w:val="1"/>
      <w:marLeft w:val="0"/>
      <w:marRight w:val="0"/>
      <w:marTop w:val="0"/>
      <w:marBottom w:val="0"/>
      <w:divBdr>
        <w:top w:val="none" w:sz="0" w:space="0" w:color="auto"/>
        <w:left w:val="none" w:sz="0" w:space="0" w:color="auto"/>
        <w:bottom w:val="none" w:sz="0" w:space="0" w:color="auto"/>
        <w:right w:val="none" w:sz="0" w:space="0" w:color="auto"/>
      </w:divBdr>
    </w:div>
    <w:div w:id="605430188">
      <w:bodyDiv w:val="1"/>
      <w:marLeft w:val="0"/>
      <w:marRight w:val="0"/>
      <w:marTop w:val="0"/>
      <w:marBottom w:val="0"/>
      <w:divBdr>
        <w:top w:val="none" w:sz="0" w:space="0" w:color="auto"/>
        <w:left w:val="none" w:sz="0" w:space="0" w:color="auto"/>
        <w:bottom w:val="none" w:sz="0" w:space="0" w:color="auto"/>
        <w:right w:val="none" w:sz="0" w:space="0" w:color="auto"/>
      </w:divBdr>
    </w:div>
    <w:div w:id="671876385">
      <w:bodyDiv w:val="1"/>
      <w:marLeft w:val="0"/>
      <w:marRight w:val="0"/>
      <w:marTop w:val="0"/>
      <w:marBottom w:val="0"/>
      <w:divBdr>
        <w:top w:val="none" w:sz="0" w:space="0" w:color="auto"/>
        <w:left w:val="none" w:sz="0" w:space="0" w:color="auto"/>
        <w:bottom w:val="none" w:sz="0" w:space="0" w:color="auto"/>
        <w:right w:val="none" w:sz="0" w:space="0" w:color="auto"/>
      </w:divBdr>
    </w:div>
    <w:div w:id="685714349">
      <w:bodyDiv w:val="1"/>
      <w:marLeft w:val="0"/>
      <w:marRight w:val="0"/>
      <w:marTop w:val="0"/>
      <w:marBottom w:val="0"/>
      <w:divBdr>
        <w:top w:val="none" w:sz="0" w:space="0" w:color="auto"/>
        <w:left w:val="none" w:sz="0" w:space="0" w:color="auto"/>
        <w:bottom w:val="none" w:sz="0" w:space="0" w:color="auto"/>
        <w:right w:val="none" w:sz="0" w:space="0" w:color="auto"/>
      </w:divBdr>
    </w:div>
    <w:div w:id="717435813">
      <w:bodyDiv w:val="1"/>
      <w:marLeft w:val="0"/>
      <w:marRight w:val="0"/>
      <w:marTop w:val="0"/>
      <w:marBottom w:val="0"/>
      <w:divBdr>
        <w:top w:val="none" w:sz="0" w:space="0" w:color="auto"/>
        <w:left w:val="none" w:sz="0" w:space="0" w:color="auto"/>
        <w:bottom w:val="none" w:sz="0" w:space="0" w:color="auto"/>
        <w:right w:val="none" w:sz="0" w:space="0" w:color="auto"/>
      </w:divBdr>
    </w:div>
    <w:div w:id="721363682">
      <w:bodyDiv w:val="1"/>
      <w:marLeft w:val="0"/>
      <w:marRight w:val="0"/>
      <w:marTop w:val="0"/>
      <w:marBottom w:val="0"/>
      <w:divBdr>
        <w:top w:val="none" w:sz="0" w:space="0" w:color="auto"/>
        <w:left w:val="none" w:sz="0" w:space="0" w:color="auto"/>
        <w:bottom w:val="none" w:sz="0" w:space="0" w:color="auto"/>
        <w:right w:val="none" w:sz="0" w:space="0" w:color="auto"/>
      </w:divBdr>
    </w:div>
    <w:div w:id="772214459">
      <w:bodyDiv w:val="1"/>
      <w:marLeft w:val="0"/>
      <w:marRight w:val="0"/>
      <w:marTop w:val="0"/>
      <w:marBottom w:val="0"/>
      <w:divBdr>
        <w:top w:val="none" w:sz="0" w:space="0" w:color="auto"/>
        <w:left w:val="none" w:sz="0" w:space="0" w:color="auto"/>
        <w:bottom w:val="none" w:sz="0" w:space="0" w:color="auto"/>
        <w:right w:val="none" w:sz="0" w:space="0" w:color="auto"/>
      </w:divBdr>
    </w:div>
    <w:div w:id="1025715466">
      <w:bodyDiv w:val="1"/>
      <w:marLeft w:val="0"/>
      <w:marRight w:val="0"/>
      <w:marTop w:val="0"/>
      <w:marBottom w:val="0"/>
      <w:divBdr>
        <w:top w:val="none" w:sz="0" w:space="0" w:color="auto"/>
        <w:left w:val="none" w:sz="0" w:space="0" w:color="auto"/>
        <w:bottom w:val="none" w:sz="0" w:space="0" w:color="auto"/>
        <w:right w:val="none" w:sz="0" w:space="0" w:color="auto"/>
      </w:divBdr>
    </w:div>
    <w:div w:id="1044057594">
      <w:bodyDiv w:val="1"/>
      <w:marLeft w:val="0"/>
      <w:marRight w:val="0"/>
      <w:marTop w:val="0"/>
      <w:marBottom w:val="0"/>
      <w:divBdr>
        <w:top w:val="none" w:sz="0" w:space="0" w:color="auto"/>
        <w:left w:val="none" w:sz="0" w:space="0" w:color="auto"/>
        <w:bottom w:val="none" w:sz="0" w:space="0" w:color="auto"/>
        <w:right w:val="none" w:sz="0" w:space="0" w:color="auto"/>
      </w:divBdr>
    </w:div>
    <w:div w:id="1047530641">
      <w:bodyDiv w:val="1"/>
      <w:marLeft w:val="0"/>
      <w:marRight w:val="0"/>
      <w:marTop w:val="0"/>
      <w:marBottom w:val="0"/>
      <w:divBdr>
        <w:top w:val="none" w:sz="0" w:space="0" w:color="auto"/>
        <w:left w:val="none" w:sz="0" w:space="0" w:color="auto"/>
        <w:bottom w:val="none" w:sz="0" w:space="0" w:color="auto"/>
        <w:right w:val="none" w:sz="0" w:space="0" w:color="auto"/>
      </w:divBdr>
    </w:div>
    <w:div w:id="1081172046">
      <w:bodyDiv w:val="1"/>
      <w:marLeft w:val="0"/>
      <w:marRight w:val="0"/>
      <w:marTop w:val="0"/>
      <w:marBottom w:val="0"/>
      <w:divBdr>
        <w:top w:val="none" w:sz="0" w:space="0" w:color="auto"/>
        <w:left w:val="none" w:sz="0" w:space="0" w:color="auto"/>
        <w:bottom w:val="none" w:sz="0" w:space="0" w:color="auto"/>
        <w:right w:val="none" w:sz="0" w:space="0" w:color="auto"/>
      </w:divBdr>
    </w:div>
    <w:div w:id="1098213007">
      <w:bodyDiv w:val="1"/>
      <w:marLeft w:val="0"/>
      <w:marRight w:val="0"/>
      <w:marTop w:val="0"/>
      <w:marBottom w:val="0"/>
      <w:divBdr>
        <w:top w:val="none" w:sz="0" w:space="0" w:color="auto"/>
        <w:left w:val="none" w:sz="0" w:space="0" w:color="auto"/>
        <w:bottom w:val="none" w:sz="0" w:space="0" w:color="auto"/>
        <w:right w:val="none" w:sz="0" w:space="0" w:color="auto"/>
      </w:divBdr>
    </w:div>
    <w:div w:id="1144280041">
      <w:bodyDiv w:val="1"/>
      <w:marLeft w:val="0"/>
      <w:marRight w:val="0"/>
      <w:marTop w:val="0"/>
      <w:marBottom w:val="0"/>
      <w:divBdr>
        <w:top w:val="none" w:sz="0" w:space="0" w:color="auto"/>
        <w:left w:val="none" w:sz="0" w:space="0" w:color="auto"/>
        <w:bottom w:val="none" w:sz="0" w:space="0" w:color="auto"/>
        <w:right w:val="none" w:sz="0" w:space="0" w:color="auto"/>
      </w:divBdr>
    </w:div>
    <w:div w:id="1220437166">
      <w:bodyDiv w:val="1"/>
      <w:marLeft w:val="0"/>
      <w:marRight w:val="0"/>
      <w:marTop w:val="0"/>
      <w:marBottom w:val="0"/>
      <w:divBdr>
        <w:top w:val="none" w:sz="0" w:space="0" w:color="auto"/>
        <w:left w:val="none" w:sz="0" w:space="0" w:color="auto"/>
        <w:bottom w:val="none" w:sz="0" w:space="0" w:color="auto"/>
        <w:right w:val="none" w:sz="0" w:space="0" w:color="auto"/>
      </w:divBdr>
    </w:div>
    <w:div w:id="1240362985">
      <w:bodyDiv w:val="1"/>
      <w:marLeft w:val="0"/>
      <w:marRight w:val="0"/>
      <w:marTop w:val="0"/>
      <w:marBottom w:val="0"/>
      <w:divBdr>
        <w:top w:val="none" w:sz="0" w:space="0" w:color="auto"/>
        <w:left w:val="none" w:sz="0" w:space="0" w:color="auto"/>
        <w:bottom w:val="none" w:sz="0" w:space="0" w:color="auto"/>
        <w:right w:val="none" w:sz="0" w:space="0" w:color="auto"/>
      </w:divBdr>
    </w:div>
    <w:div w:id="1244795441">
      <w:bodyDiv w:val="1"/>
      <w:marLeft w:val="0"/>
      <w:marRight w:val="0"/>
      <w:marTop w:val="0"/>
      <w:marBottom w:val="0"/>
      <w:divBdr>
        <w:top w:val="none" w:sz="0" w:space="0" w:color="auto"/>
        <w:left w:val="none" w:sz="0" w:space="0" w:color="auto"/>
        <w:bottom w:val="none" w:sz="0" w:space="0" w:color="auto"/>
        <w:right w:val="none" w:sz="0" w:space="0" w:color="auto"/>
      </w:divBdr>
    </w:div>
    <w:div w:id="1261451794">
      <w:bodyDiv w:val="1"/>
      <w:marLeft w:val="0"/>
      <w:marRight w:val="0"/>
      <w:marTop w:val="0"/>
      <w:marBottom w:val="0"/>
      <w:divBdr>
        <w:top w:val="none" w:sz="0" w:space="0" w:color="auto"/>
        <w:left w:val="none" w:sz="0" w:space="0" w:color="auto"/>
        <w:bottom w:val="none" w:sz="0" w:space="0" w:color="auto"/>
        <w:right w:val="none" w:sz="0" w:space="0" w:color="auto"/>
      </w:divBdr>
    </w:div>
    <w:div w:id="1298562780">
      <w:bodyDiv w:val="1"/>
      <w:marLeft w:val="0"/>
      <w:marRight w:val="0"/>
      <w:marTop w:val="0"/>
      <w:marBottom w:val="0"/>
      <w:divBdr>
        <w:top w:val="none" w:sz="0" w:space="0" w:color="auto"/>
        <w:left w:val="none" w:sz="0" w:space="0" w:color="auto"/>
        <w:bottom w:val="none" w:sz="0" w:space="0" w:color="auto"/>
        <w:right w:val="none" w:sz="0" w:space="0" w:color="auto"/>
      </w:divBdr>
    </w:div>
    <w:div w:id="1426727582">
      <w:bodyDiv w:val="1"/>
      <w:marLeft w:val="0"/>
      <w:marRight w:val="0"/>
      <w:marTop w:val="0"/>
      <w:marBottom w:val="0"/>
      <w:divBdr>
        <w:top w:val="none" w:sz="0" w:space="0" w:color="auto"/>
        <w:left w:val="none" w:sz="0" w:space="0" w:color="auto"/>
        <w:bottom w:val="none" w:sz="0" w:space="0" w:color="auto"/>
        <w:right w:val="none" w:sz="0" w:space="0" w:color="auto"/>
      </w:divBdr>
    </w:div>
    <w:div w:id="1436900100">
      <w:bodyDiv w:val="1"/>
      <w:marLeft w:val="0"/>
      <w:marRight w:val="0"/>
      <w:marTop w:val="0"/>
      <w:marBottom w:val="0"/>
      <w:divBdr>
        <w:top w:val="none" w:sz="0" w:space="0" w:color="auto"/>
        <w:left w:val="none" w:sz="0" w:space="0" w:color="auto"/>
        <w:bottom w:val="none" w:sz="0" w:space="0" w:color="auto"/>
        <w:right w:val="none" w:sz="0" w:space="0" w:color="auto"/>
      </w:divBdr>
    </w:div>
    <w:div w:id="1509977144">
      <w:bodyDiv w:val="1"/>
      <w:marLeft w:val="0"/>
      <w:marRight w:val="0"/>
      <w:marTop w:val="0"/>
      <w:marBottom w:val="0"/>
      <w:divBdr>
        <w:top w:val="none" w:sz="0" w:space="0" w:color="auto"/>
        <w:left w:val="none" w:sz="0" w:space="0" w:color="auto"/>
        <w:bottom w:val="none" w:sz="0" w:space="0" w:color="auto"/>
        <w:right w:val="none" w:sz="0" w:space="0" w:color="auto"/>
      </w:divBdr>
    </w:div>
    <w:div w:id="1549294160">
      <w:bodyDiv w:val="1"/>
      <w:marLeft w:val="0"/>
      <w:marRight w:val="0"/>
      <w:marTop w:val="0"/>
      <w:marBottom w:val="0"/>
      <w:divBdr>
        <w:top w:val="none" w:sz="0" w:space="0" w:color="auto"/>
        <w:left w:val="none" w:sz="0" w:space="0" w:color="auto"/>
        <w:bottom w:val="none" w:sz="0" w:space="0" w:color="auto"/>
        <w:right w:val="none" w:sz="0" w:space="0" w:color="auto"/>
      </w:divBdr>
    </w:div>
    <w:div w:id="1564296753">
      <w:bodyDiv w:val="1"/>
      <w:marLeft w:val="0"/>
      <w:marRight w:val="0"/>
      <w:marTop w:val="0"/>
      <w:marBottom w:val="0"/>
      <w:divBdr>
        <w:top w:val="none" w:sz="0" w:space="0" w:color="auto"/>
        <w:left w:val="none" w:sz="0" w:space="0" w:color="auto"/>
        <w:bottom w:val="none" w:sz="0" w:space="0" w:color="auto"/>
        <w:right w:val="none" w:sz="0" w:space="0" w:color="auto"/>
      </w:divBdr>
    </w:div>
    <w:div w:id="1582523624">
      <w:bodyDiv w:val="1"/>
      <w:marLeft w:val="0"/>
      <w:marRight w:val="0"/>
      <w:marTop w:val="0"/>
      <w:marBottom w:val="0"/>
      <w:divBdr>
        <w:top w:val="none" w:sz="0" w:space="0" w:color="auto"/>
        <w:left w:val="none" w:sz="0" w:space="0" w:color="auto"/>
        <w:bottom w:val="none" w:sz="0" w:space="0" w:color="auto"/>
        <w:right w:val="none" w:sz="0" w:space="0" w:color="auto"/>
      </w:divBdr>
    </w:div>
    <w:div w:id="1600019015">
      <w:bodyDiv w:val="1"/>
      <w:marLeft w:val="0"/>
      <w:marRight w:val="0"/>
      <w:marTop w:val="0"/>
      <w:marBottom w:val="0"/>
      <w:divBdr>
        <w:top w:val="none" w:sz="0" w:space="0" w:color="auto"/>
        <w:left w:val="none" w:sz="0" w:space="0" w:color="auto"/>
        <w:bottom w:val="none" w:sz="0" w:space="0" w:color="auto"/>
        <w:right w:val="none" w:sz="0" w:space="0" w:color="auto"/>
      </w:divBdr>
    </w:div>
    <w:div w:id="1606500426">
      <w:bodyDiv w:val="1"/>
      <w:marLeft w:val="0"/>
      <w:marRight w:val="0"/>
      <w:marTop w:val="0"/>
      <w:marBottom w:val="0"/>
      <w:divBdr>
        <w:top w:val="none" w:sz="0" w:space="0" w:color="auto"/>
        <w:left w:val="none" w:sz="0" w:space="0" w:color="auto"/>
        <w:bottom w:val="none" w:sz="0" w:space="0" w:color="auto"/>
        <w:right w:val="none" w:sz="0" w:space="0" w:color="auto"/>
      </w:divBdr>
    </w:div>
    <w:div w:id="1609435159">
      <w:bodyDiv w:val="1"/>
      <w:marLeft w:val="0"/>
      <w:marRight w:val="0"/>
      <w:marTop w:val="0"/>
      <w:marBottom w:val="0"/>
      <w:divBdr>
        <w:top w:val="none" w:sz="0" w:space="0" w:color="auto"/>
        <w:left w:val="none" w:sz="0" w:space="0" w:color="auto"/>
        <w:bottom w:val="none" w:sz="0" w:space="0" w:color="auto"/>
        <w:right w:val="none" w:sz="0" w:space="0" w:color="auto"/>
      </w:divBdr>
    </w:div>
    <w:div w:id="1731732382">
      <w:bodyDiv w:val="1"/>
      <w:marLeft w:val="0"/>
      <w:marRight w:val="0"/>
      <w:marTop w:val="0"/>
      <w:marBottom w:val="0"/>
      <w:divBdr>
        <w:top w:val="none" w:sz="0" w:space="0" w:color="auto"/>
        <w:left w:val="none" w:sz="0" w:space="0" w:color="auto"/>
        <w:bottom w:val="none" w:sz="0" w:space="0" w:color="auto"/>
        <w:right w:val="none" w:sz="0" w:space="0" w:color="auto"/>
      </w:divBdr>
      <w:divsChild>
        <w:div w:id="190723590">
          <w:marLeft w:val="0"/>
          <w:marRight w:val="0"/>
          <w:marTop w:val="0"/>
          <w:marBottom w:val="0"/>
          <w:divBdr>
            <w:top w:val="none" w:sz="0" w:space="0" w:color="auto"/>
            <w:left w:val="none" w:sz="0" w:space="0" w:color="auto"/>
            <w:bottom w:val="none" w:sz="0" w:space="0" w:color="auto"/>
            <w:right w:val="none" w:sz="0" w:space="0" w:color="auto"/>
          </w:divBdr>
        </w:div>
        <w:div w:id="230894629">
          <w:marLeft w:val="0"/>
          <w:marRight w:val="0"/>
          <w:marTop w:val="0"/>
          <w:marBottom w:val="0"/>
          <w:divBdr>
            <w:top w:val="none" w:sz="0" w:space="0" w:color="auto"/>
            <w:left w:val="none" w:sz="0" w:space="0" w:color="auto"/>
            <w:bottom w:val="none" w:sz="0" w:space="0" w:color="auto"/>
            <w:right w:val="none" w:sz="0" w:space="0" w:color="auto"/>
          </w:divBdr>
        </w:div>
        <w:div w:id="487136207">
          <w:marLeft w:val="0"/>
          <w:marRight w:val="0"/>
          <w:marTop w:val="0"/>
          <w:marBottom w:val="0"/>
          <w:divBdr>
            <w:top w:val="none" w:sz="0" w:space="0" w:color="auto"/>
            <w:left w:val="none" w:sz="0" w:space="0" w:color="auto"/>
            <w:bottom w:val="none" w:sz="0" w:space="0" w:color="auto"/>
            <w:right w:val="none" w:sz="0" w:space="0" w:color="auto"/>
          </w:divBdr>
        </w:div>
        <w:div w:id="578370855">
          <w:marLeft w:val="0"/>
          <w:marRight w:val="0"/>
          <w:marTop w:val="0"/>
          <w:marBottom w:val="0"/>
          <w:divBdr>
            <w:top w:val="none" w:sz="0" w:space="0" w:color="auto"/>
            <w:left w:val="none" w:sz="0" w:space="0" w:color="auto"/>
            <w:bottom w:val="none" w:sz="0" w:space="0" w:color="auto"/>
            <w:right w:val="none" w:sz="0" w:space="0" w:color="auto"/>
          </w:divBdr>
        </w:div>
        <w:div w:id="731579355">
          <w:marLeft w:val="0"/>
          <w:marRight w:val="0"/>
          <w:marTop w:val="0"/>
          <w:marBottom w:val="0"/>
          <w:divBdr>
            <w:top w:val="none" w:sz="0" w:space="0" w:color="auto"/>
            <w:left w:val="none" w:sz="0" w:space="0" w:color="auto"/>
            <w:bottom w:val="none" w:sz="0" w:space="0" w:color="auto"/>
            <w:right w:val="none" w:sz="0" w:space="0" w:color="auto"/>
          </w:divBdr>
        </w:div>
        <w:div w:id="1999379846">
          <w:marLeft w:val="0"/>
          <w:marRight w:val="0"/>
          <w:marTop w:val="0"/>
          <w:marBottom w:val="0"/>
          <w:divBdr>
            <w:top w:val="none" w:sz="0" w:space="0" w:color="auto"/>
            <w:left w:val="none" w:sz="0" w:space="0" w:color="auto"/>
            <w:bottom w:val="none" w:sz="0" w:space="0" w:color="auto"/>
            <w:right w:val="none" w:sz="0" w:space="0" w:color="auto"/>
          </w:divBdr>
        </w:div>
      </w:divsChild>
    </w:div>
    <w:div w:id="1776052486">
      <w:bodyDiv w:val="1"/>
      <w:marLeft w:val="0"/>
      <w:marRight w:val="0"/>
      <w:marTop w:val="0"/>
      <w:marBottom w:val="0"/>
      <w:divBdr>
        <w:top w:val="none" w:sz="0" w:space="0" w:color="auto"/>
        <w:left w:val="none" w:sz="0" w:space="0" w:color="auto"/>
        <w:bottom w:val="none" w:sz="0" w:space="0" w:color="auto"/>
        <w:right w:val="none" w:sz="0" w:space="0" w:color="auto"/>
      </w:divBdr>
    </w:div>
    <w:div w:id="1819377543">
      <w:bodyDiv w:val="1"/>
      <w:marLeft w:val="0"/>
      <w:marRight w:val="0"/>
      <w:marTop w:val="0"/>
      <w:marBottom w:val="0"/>
      <w:divBdr>
        <w:top w:val="none" w:sz="0" w:space="0" w:color="auto"/>
        <w:left w:val="none" w:sz="0" w:space="0" w:color="auto"/>
        <w:bottom w:val="none" w:sz="0" w:space="0" w:color="auto"/>
        <w:right w:val="none" w:sz="0" w:space="0" w:color="auto"/>
      </w:divBdr>
    </w:div>
    <w:div w:id="1866673597">
      <w:bodyDiv w:val="1"/>
      <w:marLeft w:val="0"/>
      <w:marRight w:val="0"/>
      <w:marTop w:val="0"/>
      <w:marBottom w:val="0"/>
      <w:divBdr>
        <w:top w:val="none" w:sz="0" w:space="0" w:color="auto"/>
        <w:left w:val="none" w:sz="0" w:space="0" w:color="auto"/>
        <w:bottom w:val="none" w:sz="0" w:space="0" w:color="auto"/>
        <w:right w:val="none" w:sz="0" w:space="0" w:color="auto"/>
      </w:divBdr>
    </w:div>
    <w:div w:id="1903952058">
      <w:bodyDiv w:val="1"/>
      <w:marLeft w:val="0"/>
      <w:marRight w:val="0"/>
      <w:marTop w:val="0"/>
      <w:marBottom w:val="0"/>
      <w:divBdr>
        <w:top w:val="none" w:sz="0" w:space="0" w:color="auto"/>
        <w:left w:val="none" w:sz="0" w:space="0" w:color="auto"/>
        <w:bottom w:val="none" w:sz="0" w:space="0" w:color="auto"/>
        <w:right w:val="none" w:sz="0" w:space="0" w:color="auto"/>
      </w:divBdr>
    </w:div>
    <w:div w:id="1917742337">
      <w:bodyDiv w:val="1"/>
      <w:marLeft w:val="0"/>
      <w:marRight w:val="0"/>
      <w:marTop w:val="0"/>
      <w:marBottom w:val="0"/>
      <w:divBdr>
        <w:top w:val="none" w:sz="0" w:space="0" w:color="auto"/>
        <w:left w:val="none" w:sz="0" w:space="0" w:color="auto"/>
        <w:bottom w:val="none" w:sz="0" w:space="0" w:color="auto"/>
        <w:right w:val="none" w:sz="0" w:space="0" w:color="auto"/>
      </w:divBdr>
    </w:div>
    <w:div w:id="1963344629">
      <w:bodyDiv w:val="1"/>
      <w:marLeft w:val="0"/>
      <w:marRight w:val="0"/>
      <w:marTop w:val="0"/>
      <w:marBottom w:val="0"/>
      <w:divBdr>
        <w:top w:val="none" w:sz="0" w:space="0" w:color="auto"/>
        <w:left w:val="none" w:sz="0" w:space="0" w:color="auto"/>
        <w:bottom w:val="none" w:sz="0" w:space="0" w:color="auto"/>
        <w:right w:val="none" w:sz="0" w:space="0" w:color="auto"/>
      </w:divBdr>
    </w:div>
    <w:div w:id="1995837061">
      <w:bodyDiv w:val="1"/>
      <w:marLeft w:val="0"/>
      <w:marRight w:val="0"/>
      <w:marTop w:val="0"/>
      <w:marBottom w:val="0"/>
      <w:divBdr>
        <w:top w:val="none" w:sz="0" w:space="0" w:color="auto"/>
        <w:left w:val="none" w:sz="0" w:space="0" w:color="auto"/>
        <w:bottom w:val="none" w:sz="0" w:space="0" w:color="auto"/>
        <w:right w:val="none" w:sz="0" w:space="0" w:color="auto"/>
      </w:divBdr>
    </w:div>
    <w:div w:id="2002849067">
      <w:bodyDiv w:val="1"/>
      <w:marLeft w:val="0"/>
      <w:marRight w:val="0"/>
      <w:marTop w:val="0"/>
      <w:marBottom w:val="0"/>
      <w:divBdr>
        <w:top w:val="none" w:sz="0" w:space="0" w:color="auto"/>
        <w:left w:val="none" w:sz="0" w:space="0" w:color="auto"/>
        <w:bottom w:val="none" w:sz="0" w:space="0" w:color="auto"/>
        <w:right w:val="none" w:sz="0" w:space="0" w:color="auto"/>
      </w:divBdr>
    </w:div>
    <w:div w:id="2012947817">
      <w:bodyDiv w:val="1"/>
      <w:marLeft w:val="0"/>
      <w:marRight w:val="0"/>
      <w:marTop w:val="0"/>
      <w:marBottom w:val="0"/>
      <w:divBdr>
        <w:top w:val="none" w:sz="0" w:space="0" w:color="auto"/>
        <w:left w:val="none" w:sz="0" w:space="0" w:color="auto"/>
        <w:bottom w:val="none" w:sz="0" w:space="0" w:color="auto"/>
        <w:right w:val="none" w:sz="0" w:space="0" w:color="auto"/>
      </w:divBdr>
    </w:div>
    <w:div w:id="2024281670">
      <w:bodyDiv w:val="1"/>
      <w:marLeft w:val="0"/>
      <w:marRight w:val="0"/>
      <w:marTop w:val="0"/>
      <w:marBottom w:val="0"/>
      <w:divBdr>
        <w:top w:val="none" w:sz="0" w:space="0" w:color="auto"/>
        <w:left w:val="none" w:sz="0" w:space="0" w:color="auto"/>
        <w:bottom w:val="none" w:sz="0" w:space="0" w:color="auto"/>
        <w:right w:val="none" w:sz="0" w:space="0" w:color="auto"/>
      </w:divBdr>
    </w:div>
    <w:div w:id="2025471122">
      <w:bodyDiv w:val="1"/>
      <w:marLeft w:val="0"/>
      <w:marRight w:val="0"/>
      <w:marTop w:val="0"/>
      <w:marBottom w:val="0"/>
      <w:divBdr>
        <w:top w:val="none" w:sz="0" w:space="0" w:color="auto"/>
        <w:left w:val="none" w:sz="0" w:space="0" w:color="auto"/>
        <w:bottom w:val="none" w:sz="0" w:space="0" w:color="auto"/>
        <w:right w:val="none" w:sz="0" w:space="0" w:color="auto"/>
      </w:divBdr>
    </w:div>
    <w:div w:id="2053847382">
      <w:bodyDiv w:val="1"/>
      <w:marLeft w:val="0"/>
      <w:marRight w:val="0"/>
      <w:marTop w:val="0"/>
      <w:marBottom w:val="0"/>
      <w:divBdr>
        <w:top w:val="none" w:sz="0" w:space="0" w:color="auto"/>
        <w:left w:val="none" w:sz="0" w:space="0" w:color="auto"/>
        <w:bottom w:val="none" w:sz="0" w:space="0" w:color="auto"/>
        <w:right w:val="none" w:sz="0" w:space="0" w:color="auto"/>
      </w:divBdr>
    </w:div>
    <w:div w:id="2137485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hyperlink" Target="http://www.emea.europa.eu/"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www.ema.europa.eu/" TargetMode="External"/><Relationship Id="rId17" Type="http://schemas.openxmlformats.org/officeDocument/2006/relationships/hyperlink" Target="http://www.ema.europa.eu/docs/en_GB/document_library/Template_or_form/2013/03/WC500139752.doc" TargetMode="External"/><Relationship Id="rId2" Type="http://schemas.openxmlformats.org/officeDocument/2006/relationships/customXml" Target="../customXml/item2.xml"/><Relationship Id="rId16" Type="http://schemas.openxmlformats.org/officeDocument/2006/relationships/hyperlink" Target="http://www.emea.europa.eu/" TargetMode="External"/><Relationship Id="rId20" Type="http://schemas.openxmlformats.org/officeDocument/2006/relationships/hyperlink" Target="http://www.emea.europa.eu/"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docs/en_GB/document_library/Template_or_form/2013/03/WC500139752.doc"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www.ema.europa.eu/docs/en_GB/document_library/Template_or_form/2013/03/WC500139752.doc"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www.ema.europa.eu/docs/en_GB/document_library/Template_or_form/2013/03/WC500139752.doc"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mea.europa.eu/"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57A47D-83BB-4C6A-9DAC-D309F5E17F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47FB51F-0530-40C8-B21D-395936F645F4}">
  <ds:schemaRefs>
    <ds:schemaRef ds:uri="http://schemas.microsoft.com/sharepoint/v3/contenttype/forms"/>
  </ds:schemaRefs>
</ds:datastoreItem>
</file>

<file path=customXml/itemProps3.xml><?xml version="1.0" encoding="utf-8"?>
<ds:datastoreItem xmlns:ds="http://schemas.openxmlformats.org/officeDocument/2006/customXml" ds:itemID="{1AAB239D-1B69-49F0-9E2E-ABB7C066835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4232084-7585-4211-B7B5-5E1E926CD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28284</Words>
  <Characters>161223</Characters>
  <Application>Microsoft Office Word</Application>
  <DocSecurity>0</DocSecurity>
  <Lines>1343</Lines>
  <Paragraphs>378</Paragraphs>
  <ScaleCrop>false</ScaleCrop>
  <HeadingPairs>
    <vt:vector size="6" baseType="variant">
      <vt:variant>
        <vt:lpstr>Title</vt:lpstr>
      </vt:variant>
      <vt:variant>
        <vt:i4>1</vt:i4>
      </vt:variant>
      <vt:variant>
        <vt:lpstr>Titel</vt:lpstr>
      </vt:variant>
      <vt:variant>
        <vt:i4>1</vt:i4>
      </vt:variant>
      <vt:variant>
        <vt:lpstr>Názov</vt:lpstr>
      </vt:variant>
      <vt:variant>
        <vt:i4>1</vt:i4>
      </vt:variant>
    </vt:vector>
  </HeadingPairs>
  <TitlesOfParts>
    <vt:vector size="3" baseType="lpstr">
      <vt:lpstr>MicardisPlus, INN-telmisartan/hydrochlorothiazide</vt:lpstr>
      <vt:lpstr>MicardisPlus, INN-telmisartan/hydrochlorothiazide</vt:lpstr>
      <vt:lpstr>MicardisPlus, INN-telmisartan/hydrochlorothiazide</vt:lpstr>
    </vt:vector>
  </TitlesOfParts>
  <Manager/>
  <Company>Boehringer Ingelheim</Company>
  <LinksUpToDate>false</LinksUpToDate>
  <CharactersWithSpaces>189129</CharactersWithSpaces>
  <SharedDoc>false</SharedDoc>
  <HLinks>
    <vt:vector size="60" baseType="variant">
      <vt:variant>
        <vt:i4>3407968</vt:i4>
      </vt:variant>
      <vt:variant>
        <vt:i4>27</vt:i4>
      </vt:variant>
      <vt:variant>
        <vt:i4>0</vt:i4>
      </vt:variant>
      <vt:variant>
        <vt:i4>5</vt:i4>
      </vt:variant>
      <vt:variant>
        <vt:lpwstr>http://www.emea.europa.eu/</vt:lpwstr>
      </vt:variant>
      <vt:variant>
        <vt:lpwstr/>
      </vt:variant>
      <vt:variant>
        <vt:i4>2359399</vt:i4>
      </vt:variant>
      <vt:variant>
        <vt:i4>24</vt:i4>
      </vt:variant>
      <vt:variant>
        <vt:i4>0</vt:i4>
      </vt:variant>
      <vt:variant>
        <vt:i4>5</vt:i4>
      </vt:variant>
      <vt:variant>
        <vt:lpwstr>http://www.ema.europa.eu/docs/en_GB/document_library/Template_or_form/2013/03/WC500139752.doc</vt:lpwstr>
      </vt:variant>
      <vt:variant>
        <vt:lpwstr/>
      </vt:variant>
      <vt:variant>
        <vt:i4>3407968</vt:i4>
      </vt:variant>
      <vt:variant>
        <vt:i4>21</vt:i4>
      </vt:variant>
      <vt:variant>
        <vt:i4>0</vt:i4>
      </vt:variant>
      <vt:variant>
        <vt:i4>5</vt:i4>
      </vt:variant>
      <vt:variant>
        <vt:lpwstr>http://www.emea.europa.eu/</vt:lpwstr>
      </vt:variant>
      <vt:variant>
        <vt:lpwstr/>
      </vt:variant>
      <vt:variant>
        <vt:i4>2359399</vt:i4>
      </vt:variant>
      <vt:variant>
        <vt:i4>18</vt:i4>
      </vt:variant>
      <vt:variant>
        <vt:i4>0</vt:i4>
      </vt:variant>
      <vt:variant>
        <vt:i4>5</vt:i4>
      </vt:variant>
      <vt:variant>
        <vt:lpwstr>http://www.ema.europa.eu/docs/en_GB/document_library/Template_or_form/2013/03/WC500139752.doc</vt:lpwstr>
      </vt:variant>
      <vt:variant>
        <vt:lpwstr/>
      </vt:variant>
      <vt:variant>
        <vt:i4>3407968</vt:i4>
      </vt:variant>
      <vt:variant>
        <vt:i4>15</vt:i4>
      </vt:variant>
      <vt:variant>
        <vt:i4>0</vt:i4>
      </vt:variant>
      <vt:variant>
        <vt:i4>5</vt:i4>
      </vt:variant>
      <vt:variant>
        <vt:lpwstr>http://www.emea.europa.eu/</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3407968</vt:i4>
      </vt:variant>
      <vt:variant>
        <vt:i4>9</vt:i4>
      </vt:variant>
      <vt:variant>
        <vt:i4>0</vt:i4>
      </vt:variant>
      <vt:variant>
        <vt:i4>5</vt:i4>
      </vt:variant>
      <vt:variant>
        <vt:lpwstr>http://www.emea.europa.eu/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MicardisPlus, INN-telmisartan/hydrochlorothiazide</dc:title>
  <dc:subject>EPAR</dc:subject>
  <dc:creator>CHMP</dc:creator>
  <cp:keywords>MicardisPlus, INN-telmisartan/hydrochlorothiazide</cp:keywords>
  <dc:description/>
  <cp:lastModifiedBy>Voutsas Achilleas</cp:lastModifiedBy>
  <cp:revision>2</cp:revision>
  <cp:lastPrinted>2017-02-12T12:45:00Z</cp:lastPrinted>
  <dcterms:created xsi:type="dcterms:W3CDTF">2021-06-03T23:49:00Z</dcterms:created>
  <dcterms:modified xsi:type="dcterms:W3CDTF">2021-06-03T23:49:00Z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Status">
    <vt:lpwstr/>
  </property>
  <property fmtid="{D5CDD505-2E9C-101B-9397-08002B2CF9AE}" pid="3" name="DM_Authors">
    <vt:lpwstr/>
  </property>
  <property fmtid="{D5CDD505-2E9C-101B-9397-08002B2CF9AE}" pid="4" name="DM_Keywords">
    <vt:lpwstr/>
  </property>
  <property fmtid="{D5CDD505-2E9C-101B-9397-08002B2CF9AE}" pid="5" name="DM_Subject">
    <vt:lpwstr>EPAR-EMEA/127482/2005</vt:lpwstr>
  </property>
  <property fmtid="{D5CDD505-2E9C-101B-9397-08002B2CF9AE}" pid="6" name="DM_Title">
    <vt:lpwstr/>
  </property>
  <property fmtid="{D5CDD505-2E9C-101B-9397-08002B2CF9AE}" pid="7" name="DM_Language">
    <vt:lpwstr/>
  </property>
  <property fmtid="{D5CDD505-2E9C-101B-9397-08002B2CF9AE}" pid="8" name="DM_Owner">
    <vt:lpwstr>Antoniadou Victoria</vt:lpwstr>
  </property>
  <property fmtid="{D5CDD505-2E9C-101B-9397-08002B2CF9AE}" pid="9" name="DM_emea_cc">
    <vt:lpwstr/>
  </property>
  <property fmtid="{D5CDD505-2E9C-101B-9397-08002B2CF9AE}" pid="10" name="DM_emea_message_subject">
    <vt:lpwstr/>
  </property>
  <property fmtid="{D5CDD505-2E9C-101B-9397-08002B2CF9AE}" pid="11" name="DM_emea_doc_number">
    <vt:lpwstr>127482</vt:lpwstr>
  </property>
  <property fmtid="{D5CDD505-2E9C-101B-9397-08002B2CF9AE}" pid="12" name="DM_emea_received_date">
    <vt:lpwstr>nulldate</vt:lpwstr>
  </property>
  <property fmtid="{D5CDD505-2E9C-101B-9397-08002B2CF9AE}" pid="13" name="DM_emea_resp_body">
    <vt:lpwstr/>
  </property>
  <property fmtid="{D5CDD505-2E9C-101B-9397-08002B2CF9AE}" pid="14" name="DM_emea_revision_label">
    <vt:lpwstr/>
  </property>
  <property fmtid="{D5CDD505-2E9C-101B-9397-08002B2CF9AE}" pid="15" name="DM_emea_to">
    <vt:lpwstr/>
  </property>
  <property fmtid="{D5CDD505-2E9C-101B-9397-08002B2CF9AE}" pid="16" name="DM_emea_bcc">
    <vt:lpwstr/>
  </property>
  <property fmtid="{D5CDD505-2E9C-101B-9397-08002B2CF9AE}" pid="17" name="DM_emea_doc_category">
    <vt:lpwstr>EPAR</vt:lpwstr>
  </property>
  <property fmtid="{D5CDD505-2E9C-101B-9397-08002B2CF9AE}" pid="18" name="DM_emea_from">
    <vt:lpwstr/>
  </property>
  <property fmtid="{D5CDD505-2E9C-101B-9397-08002B2CF9AE}" pid="19" name="DM_emea_internal_label">
    <vt:lpwstr>EMEA</vt:lpwstr>
  </property>
  <property fmtid="{D5CDD505-2E9C-101B-9397-08002B2CF9AE}" pid="20" name="DM_emea_legal_date">
    <vt:lpwstr>nulldate</vt:lpwstr>
  </property>
  <property fmtid="{D5CDD505-2E9C-101B-9397-08002B2CF9AE}" pid="21" name="DM_emea_year">
    <vt:lpwstr>2005</vt:lpwstr>
  </property>
  <property fmtid="{D5CDD505-2E9C-101B-9397-08002B2CF9AE}" pid="22" name="DM_emea_sent_date">
    <vt:lpwstr>nulldate</vt:lpwstr>
  </property>
  <property fmtid="{D5CDD505-2E9C-101B-9397-08002B2CF9AE}" pid="23" name="DM_emea_doc_lang">
    <vt:lpwstr/>
  </property>
  <property fmtid="{D5CDD505-2E9C-101B-9397-08002B2CF9AE}" pid="24" name="DM_emea_module">
    <vt:lpwstr/>
  </property>
  <property fmtid="{D5CDD505-2E9C-101B-9397-08002B2CF9AE}" pid="25" name="DM_emea_procedure_ref">
    <vt:lpwstr>EMEA/H/C/000413/IB/0016</vt:lpwstr>
  </property>
  <property fmtid="{D5CDD505-2E9C-101B-9397-08002B2CF9AE}" pid="26" name="DM_emea_domain">
    <vt:lpwstr>H</vt:lpwstr>
  </property>
  <property fmtid="{D5CDD505-2E9C-101B-9397-08002B2CF9AE}" pid="27" name="DM_emea_procedure">
    <vt:lpwstr>C</vt:lpwstr>
  </property>
  <property fmtid="{D5CDD505-2E9C-101B-9397-08002B2CF9AE}" pid="28" name="DM_emea_procedure_type">
    <vt:lpwstr>IB</vt:lpwstr>
  </property>
  <property fmtid="{D5CDD505-2E9C-101B-9397-08002B2CF9AE}" pid="29" name="DM_emea_procedure_number">
    <vt:lpwstr>0016</vt:lpwstr>
  </property>
  <property fmtid="{D5CDD505-2E9C-101B-9397-08002B2CF9AE}" pid="30" name="DM_emea_product_number">
    <vt:lpwstr>000413</vt:lpwstr>
  </property>
  <property fmtid="{D5CDD505-2E9C-101B-9397-08002B2CF9AE}" pid="31" name="DM_emea_product_substance">
    <vt:lpwstr>MicardisPlus</vt:lpwstr>
  </property>
  <property fmtid="{D5CDD505-2E9C-101B-9397-08002B2CF9AE}" pid="32" name="DM_emea_par_dist">
    <vt:lpwstr/>
  </property>
  <property fmtid="{D5CDD505-2E9C-101B-9397-08002B2CF9AE}" pid="33" name="_NewReviewCycle">
    <vt:lpwstr/>
  </property>
  <property fmtid="{D5CDD505-2E9C-101B-9397-08002B2CF9AE}" pid="34" name="DM_Version">
    <vt:lpwstr>CURRENT,1.0</vt:lpwstr>
  </property>
  <property fmtid="{D5CDD505-2E9C-101B-9397-08002B2CF9AE}" pid="35" name="DM_Name">
    <vt:lpwstr>emea-combined-h413sk</vt:lpwstr>
  </property>
  <property fmtid="{D5CDD505-2E9C-101B-9397-08002B2CF9AE}" pid="36" name="DM_Creation_Date">
    <vt:lpwstr>04/07/2014 11:47:41</vt:lpwstr>
  </property>
  <property fmtid="{D5CDD505-2E9C-101B-9397-08002B2CF9AE}" pid="37" name="DM_Modify_Date">
    <vt:lpwstr>04/07/2014 11:47:41</vt:lpwstr>
  </property>
  <property fmtid="{D5CDD505-2E9C-101B-9397-08002B2CF9AE}" pid="38" name="DM_Creator_Name">
    <vt:lpwstr>Zbrzeska Ewa</vt:lpwstr>
  </property>
  <property fmtid="{D5CDD505-2E9C-101B-9397-08002B2CF9AE}" pid="39" name="DM_Modifier_Name">
    <vt:lpwstr>Zbrzeska Ewa</vt:lpwstr>
  </property>
  <property fmtid="{D5CDD505-2E9C-101B-9397-08002B2CF9AE}" pid="40" name="DM_Type">
    <vt:lpwstr>emea_document</vt:lpwstr>
  </property>
  <property fmtid="{D5CDD505-2E9C-101B-9397-08002B2CF9AE}" pid="41" name="DM_DocRefId">
    <vt:lpwstr>EMA/410410/2014</vt:lpwstr>
  </property>
  <property fmtid="{D5CDD505-2E9C-101B-9397-08002B2CF9AE}" pid="42" name="DM_Category">
    <vt:lpwstr>Product Information</vt:lpwstr>
  </property>
  <property fmtid="{D5CDD505-2E9C-101B-9397-08002B2CF9AE}" pid="43" name="DM_Path">
    <vt:lpwstr>/01. Evaluation of Medicines/Referrals/H - Article 31/RAS acting agents - 1370/07 Translations/07 Translations to EC/Boehringer Ingelheim/MicardisPlus/Word version</vt:lpwstr>
  </property>
  <property fmtid="{D5CDD505-2E9C-101B-9397-08002B2CF9AE}" pid="44" name="DM_emea_doc_ref_id">
    <vt:lpwstr>EMA/410410/2014</vt:lpwstr>
  </property>
  <property fmtid="{D5CDD505-2E9C-101B-9397-08002B2CF9AE}" pid="45" name="DM_Modifer_Name">
    <vt:lpwstr>Zbrzeska Ewa</vt:lpwstr>
  </property>
  <property fmtid="{D5CDD505-2E9C-101B-9397-08002B2CF9AE}" pid="46" name="DM_Modified_Date">
    <vt:lpwstr>04/07/2014 11:47:41</vt:lpwstr>
  </property>
  <property fmtid="{D5CDD505-2E9C-101B-9397-08002B2CF9AE}" pid="47" name="MSIP_Label_0eea11ca-d417-4147-80ed-01a58412c458_Enabled">
    <vt:lpwstr>true</vt:lpwstr>
  </property>
  <property fmtid="{D5CDD505-2E9C-101B-9397-08002B2CF9AE}" pid="48" name="MSIP_Label_0eea11ca-d417-4147-80ed-01a58412c458_SetDate">
    <vt:lpwstr>2021-06-03T23:49:19Z</vt:lpwstr>
  </property>
  <property fmtid="{D5CDD505-2E9C-101B-9397-08002B2CF9AE}" pid="49" name="MSIP_Label_0eea11ca-d417-4147-80ed-01a58412c458_Method">
    <vt:lpwstr>Standard</vt:lpwstr>
  </property>
  <property fmtid="{D5CDD505-2E9C-101B-9397-08002B2CF9AE}" pid="50" name="MSIP_Label_0eea11ca-d417-4147-80ed-01a58412c458_Name">
    <vt:lpwstr>0eea11ca-d417-4147-80ed-01a58412c458</vt:lpwstr>
  </property>
  <property fmtid="{D5CDD505-2E9C-101B-9397-08002B2CF9AE}" pid="51" name="MSIP_Label_0eea11ca-d417-4147-80ed-01a58412c458_SiteId">
    <vt:lpwstr>bc9dc15c-61bc-4f03-b60b-e5b6d8922839</vt:lpwstr>
  </property>
  <property fmtid="{D5CDD505-2E9C-101B-9397-08002B2CF9AE}" pid="52" name="MSIP_Label_0eea11ca-d417-4147-80ed-01a58412c458_ActionId">
    <vt:lpwstr>278d3085-8afa-46f8-a520-9112cd5a1a88</vt:lpwstr>
  </property>
  <property fmtid="{D5CDD505-2E9C-101B-9397-08002B2CF9AE}" pid="53" name="MSIP_Label_0eea11ca-d417-4147-80ed-01a58412c458_ContentBits">
    <vt:lpwstr>2</vt:lpwstr>
  </property>
</Properties>
</file>