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EB7" w:rsidRPr="00C65506" w:rsidRDefault="00D86EB7" w:rsidP="00496272">
      <w:pPr>
        <w:widowControl w:val="0"/>
        <w:tabs>
          <w:tab w:val="clear" w:pos="567"/>
        </w:tabs>
        <w:jc w:val="center"/>
        <w:rPr>
          <w:b/>
          <w:noProof/>
          <w:szCs w:val="22"/>
          <w:lang w:val="fr-FR"/>
        </w:rPr>
      </w:pPr>
      <w:bookmarkStart w:id="0" w:name="_GoBack"/>
      <w:bookmarkEnd w:id="0"/>
    </w:p>
    <w:p w:rsidR="00812D16" w:rsidRPr="00C65506" w:rsidRDefault="00812D16" w:rsidP="00496272">
      <w:pPr>
        <w:jc w:val="center"/>
        <w:outlineLvl w:val="0"/>
        <w:rPr>
          <w:b/>
          <w:noProof/>
          <w:lang w:val="fr-FR"/>
        </w:rPr>
      </w:pPr>
    </w:p>
    <w:p w:rsidR="00812D16" w:rsidRPr="00C65506" w:rsidRDefault="00812D16" w:rsidP="00496272">
      <w:pPr>
        <w:jc w:val="center"/>
        <w:outlineLvl w:val="0"/>
        <w:rPr>
          <w:b/>
          <w:noProof/>
          <w:lang w:val="fr-FR"/>
        </w:rPr>
      </w:pPr>
    </w:p>
    <w:p w:rsidR="00812D16" w:rsidRPr="00C65506" w:rsidRDefault="00812D16" w:rsidP="00496272">
      <w:pPr>
        <w:jc w:val="center"/>
        <w:outlineLvl w:val="0"/>
        <w:rPr>
          <w:b/>
          <w:noProof/>
          <w:lang w:val="fr-FR"/>
        </w:rPr>
      </w:pPr>
    </w:p>
    <w:p w:rsidR="00812D16" w:rsidRPr="00C65506" w:rsidRDefault="00812D16" w:rsidP="00496272">
      <w:pPr>
        <w:jc w:val="center"/>
        <w:outlineLvl w:val="0"/>
        <w:rPr>
          <w:b/>
          <w:noProof/>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812D16" w:rsidRPr="00C65506" w:rsidRDefault="00812D16" w:rsidP="00496272">
      <w:pPr>
        <w:tabs>
          <w:tab w:val="left" w:pos="-1440"/>
          <w:tab w:val="left" w:pos="-720"/>
        </w:tabs>
        <w:jc w:val="center"/>
        <w:rPr>
          <w:b/>
          <w:noProof/>
          <w:szCs w:val="22"/>
          <w:lang w:val="fr-FR"/>
        </w:rPr>
      </w:pPr>
    </w:p>
    <w:p w:rsidR="00A46688" w:rsidRPr="00C65506" w:rsidRDefault="00A46688" w:rsidP="00A46688">
      <w:pPr>
        <w:tabs>
          <w:tab w:val="left" w:pos="-1440"/>
          <w:tab w:val="left" w:pos="-720"/>
        </w:tabs>
        <w:jc w:val="center"/>
        <w:rPr>
          <w:noProof/>
          <w:szCs w:val="24"/>
          <w:lang w:val="fr-FR" w:bidi="yi-Hebr"/>
        </w:rPr>
      </w:pPr>
      <w:r w:rsidRPr="00C65506">
        <w:rPr>
          <w:b/>
          <w:szCs w:val="24"/>
          <w:lang w:val="fr-FR" w:bidi="yi-Hebr"/>
        </w:rPr>
        <w:t>ANNEXE I</w:t>
      </w:r>
    </w:p>
    <w:p w:rsidR="00812D16" w:rsidRPr="00C65506" w:rsidRDefault="00812D16" w:rsidP="00496272">
      <w:pPr>
        <w:tabs>
          <w:tab w:val="left" w:pos="-1440"/>
          <w:tab w:val="left" w:pos="-720"/>
        </w:tabs>
        <w:jc w:val="center"/>
        <w:rPr>
          <w:noProof/>
          <w:szCs w:val="22"/>
          <w:lang w:val="fr-FR"/>
        </w:rPr>
      </w:pPr>
    </w:p>
    <w:p w:rsidR="00A46688" w:rsidRPr="00C65506" w:rsidRDefault="00A46688" w:rsidP="009317B9">
      <w:pPr>
        <w:pStyle w:val="TitleA"/>
        <w:rPr>
          <w:lang w:val="fr-FR"/>
        </w:rPr>
      </w:pPr>
      <w:r w:rsidRPr="00C65506">
        <w:rPr>
          <w:lang w:val="fr-FR"/>
        </w:rPr>
        <w:t>RÉSUMÉ DES CARACTÉRISTIQUES DU PRODUIT</w:t>
      </w:r>
    </w:p>
    <w:p w:rsidR="00812D16" w:rsidRPr="00C65506" w:rsidRDefault="00812D16" w:rsidP="00496272">
      <w:pPr>
        <w:tabs>
          <w:tab w:val="left" w:pos="-1440"/>
          <w:tab w:val="left" w:pos="-720"/>
        </w:tabs>
        <w:jc w:val="center"/>
        <w:rPr>
          <w:noProof/>
          <w:szCs w:val="22"/>
          <w:lang w:val="fr-FR"/>
        </w:rPr>
      </w:pPr>
    </w:p>
    <w:p w:rsidR="00373C9B" w:rsidRPr="00C65506" w:rsidRDefault="00A46688" w:rsidP="00373C9B">
      <w:pPr>
        <w:widowControl w:val="0"/>
        <w:rPr>
          <w:noProof/>
          <w:szCs w:val="24"/>
          <w:lang w:val="fr-FR" w:bidi="yi-Hebr"/>
        </w:rPr>
      </w:pPr>
      <w:r w:rsidRPr="00C65506">
        <w:rPr>
          <w:noProof/>
          <w:szCs w:val="24"/>
          <w:lang w:val="fr-FR" w:bidi="yi-Hebr"/>
        </w:rPr>
        <w:br w:type="page"/>
      </w:r>
    </w:p>
    <w:p w:rsidR="00373C9B" w:rsidRPr="00C65506" w:rsidRDefault="00373C9B" w:rsidP="00373C9B">
      <w:pPr>
        <w:widowControl w:val="0"/>
        <w:rPr>
          <w:noProof/>
          <w:szCs w:val="24"/>
          <w:lang w:val="fr-FR" w:bidi="yi-Hebr"/>
        </w:rPr>
      </w:pPr>
    </w:p>
    <w:p w:rsidR="00373C9B" w:rsidRPr="00C65506" w:rsidRDefault="00373C9B" w:rsidP="00373C9B">
      <w:pPr>
        <w:widowControl w:val="0"/>
        <w:rPr>
          <w:noProof/>
          <w:szCs w:val="24"/>
          <w:lang w:val="fr-FR" w:bidi="yi-Hebr"/>
        </w:rPr>
      </w:pPr>
    </w:p>
    <w:p w:rsidR="00A46688" w:rsidRPr="00C65506" w:rsidRDefault="00A46688" w:rsidP="00A46688">
      <w:pPr>
        <w:widowControl w:val="0"/>
        <w:rPr>
          <w:noProof/>
          <w:szCs w:val="24"/>
          <w:lang w:val="fr-FR" w:bidi="yi-Hebr"/>
        </w:rPr>
      </w:pPr>
      <w:r w:rsidRPr="00C65506">
        <w:rPr>
          <w:b/>
          <w:noProof/>
          <w:szCs w:val="24"/>
          <w:lang w:val="fr-FR" w:bidi="yi-Hebr"/>
        </w:rPr>
        <w:t>1.</w:t>
      </w:r>
      <w:r w:rsidRPr="00C65506">
        <w:rPr>
          <w:b/>
          <w:noProof/>
          <w:szCs w:val="24"/>
          <w:lang w:val="fr-FR" w:bidi="yi-Hebr"/>
        </w:rPr>
        <w:tab/>
      </w:r>
      <w:r w:rsidRPr="00C65506">
        <w:rPr>
          <w:b/>
          <w:szCs w:val="24"/>
          <w:lang w:val="fr-FR" w:bidi="yi-Hebr"/>
        </w:rPr>
        <w:t>DÉNOMINATION DU MÉDICAMENT</w:t>
      </w:r>
    </w:p>
    <w:p w:rsidR="00F25477" w:rsidRPr="00C65506" w:rsidRDefault="00F25477" w:rsidP="00496272">
      <w:pPr>
        <w:widowControl w:val="0"/>
        <w:rPr>
          <w:noProof/>
          <w:szCs w:val="22"/>
          <w:lang w:val="fr-FR"/>
        </w:rPr>
      </w:pPr>
    </w:p>
    <w:p w:rsidR="00A46688" w:rsidRPr="00C65506" w:rsidRDefault="00A46688" w:rsidP="00A46688">
      <w:pPr>
        <w:autoSpaceDE w:val="0"/>
        <w:autoSpaceDN w:val="0"/>
        <w:adjustRightInd w:val="0"/>
        <w:jc w:val="both"/>
        <w:rPr>
          <w:color w:val="000000"/>
          <w:szCs w:val="24"/>
          <w:lang w:val="fr-FR" w:bidi="yi-Hebr"/>
        </w:rPr>
      </w:pPr>
      <w:r w:rsidRPr="00C65506">
        <w:rPr>
          <w:color w:val="000000"/>
          <w:szCs w:val="24"/>
          <w:lang w:val="fr-FR" w:bidi="yi-Hebr"/>
        </w:rPr>
        <w:t>Ovaleap 300 UI/0,5 mL solution injectable</w:t>
      </w:r>
    </w:p>
    <w:p w:rsidR="00BD72F0" w:rsidRPr="00C65506" w:rsidRDefault="00BD72F0" w:rsidP="00BD72F0">
      <w:pPr>
        <w:autoSpaceDE w:val="0"/>
        <w:autoSpaceDN w:val="0"/>
        <w:adjustRightInd w:val="0"/>
        <w:jc w:val="both"/>
        <w:rPr>
          <w:color w:val="000000"/>
          <w:szCs w:val="24"/>
          <w:lang w:val="fr-FR" w:bidi="yi-Hebr"/>
        </w:rPr>
      </w:pPr>
      <w:r w:rsidRPr="00C65506">
        <w:rPr>
          <w:color w:val="000000"/>
          <w:szCs w:val="24"/>
          <w:lang w:val="fr-FR" w:bidi="yi-Hebr"/>
        </w:rPr>
        <w:t>Ovaleap 450 </w:t>
      </w:r>
      <w:r w:rsidR="00473AF5" w:rsidRPr="00C65506">
        <w:rPr>
          <w:color w:val="000000"/>
          <w:szCs w:val="24"/>
          <w:lang w:val="fr-FR" w:bidi="yi-Hebr"/>
        </w:rPr>
        <w:t>U</w:t>
      </w:r>
      <w:r w:rsidRPr="00C65506">
        <w:rPr>
          <w:color w:val="000000"/>
          <w:szCs w:val="24"/>
          <w:lang w:val="fr-FR" w:bidi="yi-Hebr"/>
        </w:rPr>
        <w:t>I/0,75 m</w:t>
      </w:r>
      <w:r w:rsidR="00473AF5" w:rsidRPr="00C65506">
        <w:rPr>
          <w:color w:val="000000"/>
          <w:szCs w:val="24"/>
          <w:lang w:val="fr-FR" w:bidi="yi-Hebr"/>
        </w:rPr>
        <w:t>L</w:t>
      </w:r>
      <w:r w:rsidRPr="00C65506">
        <w:rPr>
          <w:color w:val="000000"/>
          <w:szCs w:val="24"/>
          <w:lang w:val="fr-FR" w:bidi="yi-Hebr"/>
        </w:rPr>
        <w:t xml:space="preserve"> solution injectable</w:t>
      </w:r>
    </w:p>
    <w:p w:rsidR="00BD72F0" w:rsidRPr="00C65506" w:rsidRDefault="00BD72F0" w:rsidP="00903B5A">
      <w:pPr>
        <w:autoSpaceDE w:val="0"/>
        <w:autoSpaceDN w:val="0"/>
        <w:adjustRightInd w:val="0"/>
        <w:jc w:val="both"/>
        <w:rPr>
          <w:noProof/>
          <w:color w:val="000000"/>
          <w:szCs w:val="24"/>
          <w:lang w:val="fr-FR" w:bidi="yi-Hebr"/>
        </w:rPr>
      </w:pPr>
      <w:r w:rsidRPr="00C65506">
        <w:rPr>
          <w:color w:val="000000"/>
          <w:szCs w:val="24"/>
          <w:lang w:val="fr-FR" w:bidi="yi-Hebr"/>
        </w:rPr>
        <w:t>Ovaleap 900 </w:t>
      </w:r>
      <w:r w:rsidR="00473AF5" w:rsidRPr="00C65506">
        <w:rPr>
          <w:color w:val="000000"/>
          <w:szCs w:val="24"/>
          <w:lang w:val="fr-FR" w:bidi="yi-Hebr"/>
        </w:rPr>
        <w:t>U</w:t>
      </w:r>
      <w:r w:rsidRPr="00C65506">
        <w:rPr>
          <w:color w:val="000000"/>
          <w:szCs w:val="24"/>
          <w:lang w:val="fr-FR" w:bidi="yi-Hebr"/>
        </w:rPr>
        <w:t>I/1,5 m</w:t>
      </w:r>
      <w:r w:rsidR="00473AF5" w:rsidRPr="00C65506">
        <w:rPr>
          <w:color w:val="000000"/>
          <w:szCs w:val="24"/>
          <w:lang w:val="fr-FR" w:bidi="yi-Hebr"/>
        </w:rPr>
        <w:t>L</w:t>
      </w:r>
      <w:r w:rsidRPr="00C65506">
        <w:rPr>
          <w:color w:val="000000"/>
          <w:szCs w:val="24"/>
          <w:lang w:val="fr-FR" w:bidi="yi-Hebr"/>
        </w:rPr>
        <w:t xml:space="preserve"> solution injectable</w:t>
      </w:r>
    </w:p>
    <w:p w:rsidR="00812D16" w:rsidRPr="00C65506" w:rsidRDefault="00812D16" w:rsidP="00496272">
      <w:pPr>
        <w:rPr>
          <w:iCs/>
          <w:noProof/>
          <w:szCs w:val="22"/>
          <w:lang w:val="fr-FR"/>
        </w:rPr>
      </w:pPr>
    </w:p>
    <w:p w:rsidR="00812D16" w:rsidRPr="00C65506" w:rsidRDefault="00812D16" w:rsidP="00496272">
      <w:pPr>
        <w:rPr>
          <w:iCs/>
          <w:noProof/>
          <w:szCs w:val="22"/>
          <w:lang w:val="fr-FR"/>
        </w:rPr>
      </w:pPr>
    </w:p>
    <w:p w:rsidR="00A46688" w:rsidRPr="00C65506" w:rsidRDefault="00A46688" w:rsidP="00A46688">
      <w:pPr>
        <w:widowControl w:val="0"/>
        <w:rPr>
          <w:noProof/>
          <w:szCs w:val="24"/>
          <w:lang w:val="fr-FR" w:bidi="yi-Hebr"/>
        </w:rPr>
      </w:pPr>
      <w:r w:rsidRPr="00C65506">
        <w:rPr>
          <w:b/>
          <w:noProof/>
          <w:szCs w:val="24"/>
          <w:lang w:val="fr-FR" w:bidi="yi-Hebr"/>
        </w:rPr>
        <w:t>2.</w:t>
      </w:r>
      <w:r w:rsidRPr="00C65506">
        <w:rPr>
          <w:b/>
          <w:noProof/>
          <w:szCs w:val="24"/>
          <w:lang w:val="fr-FR" w:bidi="yi-Hebr"/>
        </w:rPr>
        <w:tab/>
      </w:r>
      <w:r w:rsidRPr="00C65506">
        <w:rPr>
          <w:b/>
          <w:szCs w:val="24"/>
          <w:lang w:val="fr-FR" w:bidi="yi-Hebr"/>
        </w:rPr>
        <w:t>COMPOSITION QUALITATIVE ET QUANTITATIVE</w:t>
      </w:r>
    </w:p>
    <w:p w:rsidR="0003335D" w:rsidRPr="00C65506" w:rsidRDefault="0003335D" w:rsidP="00496272">
      <w:pPr>
        <w:rPr>
          <w:noProof/>
          <w:szCs w:val="22"/>
          <w:lang w:val="fr-FR"/>
        </w:rPr>
      </w:pPr>
    </w:p>
    <w:p w:rsidR="00A46688" w:rsidRPr="00C65506" w:rsidRDefault="00A46688" w:rsidP="00A46688">
      <w:pPr>
        <w:tabs>
          <w:tab w:val="clear" w:pos="567"/>
        </w:tabs>
        <w:rPr>
          <w:color w:val="000000"/>
          <w:szCs w:val="24"/>
          <w:lang w:val="fr-FR" w:bidi="yi-Hebr"/>
        </w:rPr>
      </w:pPr>
      <w:r w:rsidRPr="00C65506">
        <w:rPr>
          <w:color w:val="000000"/>
          <w:szCs w:val="24"/>
          <w:lang w:val="fr-FR" w:bidi="yi-Hebr"/>
        </w:rPr>
        <w:t xml:space="preserve">Chaque mL de solution contient 600 UI </w:t>
      </w:r>
      <w:r w:rsidR="00373C9B" w:rsidRPr="00C65506">
        <w:rPr>
          <w:color w:val="000000"/>
          <w:szCs w:val="24"/>
          <w:lang w:val="fr-FR" w:bidi="yi-Hebr"/>
        </w:rPr>
        <w:t xml:space="preserve">(équivalant à 44 microgrammes) </w:t>
      </w:r>
      <w:r w:rsidRPr="00C65506">
        <w:rPr>
          <w:color w:val="000000"/>
          <w:szCs w:val="24"/>
          <w:lang w:val="fr-FR" w:bidi="yi-Hebr"/>
        </w:rPr>
        <w:t>de follitropine alfa</w:t>
      </w:r>
      <w:r w:rsidR="00373C9B" w:rsidRPr="00C65506">
        <w:rPr>
          <w:color w:val="000000"/>
          <w:szCs w:val="24"/>
          <w:lang w:val="fr-FR" w:bidi="yi-Hebr"/>
        </w:rPr>
        <w:t>*</w:t>
      </w:r>
      <w:r w:rsidRPr="00C65506">
        <w:rPr>
          <w:color w:val="000000"/>
          <w:szCs w:val="24"/>
          <w:lang w:val="fr-FR" w:bidi="yi-Hebr"/>
        </w:rPr>
        <w:t>.</w:t>
      </w:r>
    </w:p>
    <w:p w:rsidR="00BD72F0" w:rsidRPr="00C65506" w:rsidRDefault="00BD72F0" w:rsidP="00A46688">
      <w:pPr>
        <w:tabs>
          <w:tab w:val="clear" w:pos="567"/>
        </w:tabs>
        <w:rPr>
          <w:color w:val="000000"/>
          <w:szCs w:val="24"/>
          <w:lang w:val="fr-FR" w:bidi="yi-Hebr"/>
        </w:rPr>
      </w:pPr>
    </w:p>
    <w:p w:rsidR="00BD72F0" w:rsidRPr="00C65506" w:rsidRDefault="00BD72F0" w:rsidP="00BD72F0">
      <w:pPr>
        <w:autoSpaceDE w:val="0"/>
        <w:autoSpaceDN w:val="0"/>
        <w:adjustRightInd w:val="0"/>
        <w:jc w:val="both"/>
        <w:rPr>
          <w:noProof/>
          <w:color w:val="000000"/>
          <w:szCs w:val="22"/>
          <w:u w:val="single"/>
          <w:lang w:val="fr-FR"/>
        </w:rPr>
      </w:pPr>
      <w:r w:rsidRPr="00C65506">
        <w:rPr>
          <w:noProof/>
          <w:color w:val="000000"/>
          <w:szCs w:val="22"/>
          <w:u w:val="single"/>
          <w:lang w:val="fr-FR"/>
        </w:rPr>
        <w:t>Ovaleap 300 </w:t>
      </w:r>
      <w:r w:rsidR="0049683A" w:rsidRPr="00C65506">
        <w:rPr>
          <w:noProof/>
          <w:color w:val="000000"/>
          <w:szCs w:val="22"/>
          <w:u w:val="single"/>
          <w:lang w:val="fr-FR"/>
        </w:rPr>
        <w:t>U</w:t>
      </w:r>
      <w:r w:rsidRPr="00C65506">
        <w:rPr>
          <w:noProof/>
          <w:color w:val="000000"/>
          <w:szCs w:val="22"/>
          <w:u w:val="single"/>
          <w:lang w:val="fr-FR"/>
        </w:rPr>
        <w:t>I/0,5 m</w:t>
      </w:r>
      <w:r w:rsidR="0049683A" w:rsidRPr="00C65506">
        <w:rPr>
          <w:noProof/>
          <w:color w:val="000000"/>
          <w:szCs w:val="22"/>
          <w:u w:val="single"/>
          <w:lang w:val="fr-FR"/>
        </w:rPr>
        <w:t>L</w:t>
      </w:r>
      <w:r w:rsidRPr="00C65506">
        <w:rPr>
          <w:noProof/>
          <w:color w:val="000000"/>
          <w:szCs w:val="22"/>
          <w:u w:val="single"/>
          <w:lang w:val="fr-FR"/>
        </w:rPr>
        <w:t xml:space="preserve"> </w:t>
      </w:r>
      <w:r w:rsidRPr="00C65506">
        <w:rPr>
          <w:color w:val="000000"/>
          <w:szCs w:val="24"/>
          <w:u w:val="single"/>
          <w:lang w:val="fr-FR" w:bidi="yi-Hebr"/>
        </w:rPr>
        <w:t>solution injectable</w:t>
      </w:r>
    </w:p>
    <w:p w:rsidR="00A46688" w:rsidRPr="00C65506" w:rsidRDefault="00A46688" w:rsidP="00A46688">
      <w:pPr>
        <w:tabs>
          <w:tab w:val="clear" w:pos="567"/>
        </w:tabs>
        <w:rPr>
          <w:color w:val="000000"/>
          <w:szCs w:val="24"/>
          <w:lang w:val="fr-FR" w:bidi="yi-Hebr"/>
        </w:rPr>
      </w:pPr>
      <w:r w:rsidRPr="00C65506">
        <w:rPr>
          <w:color w:val="000000"/>
          <w:szCs w:val="24"/>
          <w:lang w:val="fr-FR" w:bidi="yi-Hebr"/>
        </w:rPr>
        <w:t xml:space="preserve">Chaque cartouche contient 300 UI </w:t>
      </w:r>
      <w:r w:rsidR="00373C9B" w:rsidRPr="00C65506">
        <w:rPr>
          <w:color w:val="000000"/>
          <w:szCs w:val="24"/>
          <w:lang w:val="fr-FR" w:bidi="yi-Hebr"/>
        </w:rPr>
        <w:t xml:space="preserve">(équivalant à 22 microgrammes) </w:t>
      </w:r>
      <w:r w:rsidRPr="00C65506">
        <w:rPr>
          <w:color w:val="000000"/>
          <w:szCs w:val="24"/>
          <w:lang w:val="fr-FR" w:bidi="yi-Hebr"/>
        </w:rPr>
        <w:t>de follitropine alfa dans 0,5 mL de solution injectable.</w:t>
      </w:r>
    </w:p>
    <w:p w:rsidR="00BD72F0" w:rsidRPr="00C65506" w:rsidRDefault="00BD72F0" w:rsidP="00A46688">
      <w:pPr>
        <w:tabs>
          <w:tab w:val="clear" w:pos="567"/>
        </w:tabs>
        <w:rPr>
          <w:color w:val="000000"/>
          <w:szCs w:val="24"/>
          <w:lang w:val="fr-FR" w:bidi="yi-Hebr"/>
        </w:rPr>
      </w:pPr>
    </w:p>
    <w:p w:rsidR="00BD72F0" w:rsidRPr="00C65506" w:rsidRDefault="00BD72F0" w:rsidP="00BD72F0">
      <w:pPr>
        <w:autoSpaceDE w:val="0"/>
        <w:autoSpaceDN w:val="0"/>
        <w:adjustRightInd w:val="0"/>
        <w:jc w:val="both"/>
        <w:rPr>
          <w:noProof/>
          <w:color w:val="000000"/>
          <w:szCs w:val="22"/>
          <w:u w:val="single"/>
          <w:lang w:val="fr-FR"/>
        </w:rPr>
      </w:pPr>
      <w:r w:rsidRPr="00C65506">
        <w:rPr>
          <w:noProof/>
          <w:color w:val="000000"/>
          <w:szCs w:val="22"/>
          <w:u w:val="single"/>
          <w:lang w:val="fr-FR"/>
        </w:rPr>
        <w:t>Ovaleap 450 IU/0</w:t>
      </w:r>
      <w:r w:rsidR="00811F79" w:rsidRPr="00C65506">
        <w:rPr>
          <w:noProof/>
          <w:color w:val="000000"/>
          <w:szCs w:val="22"/>
          <w:u w:val="single"/>
          <w:lang w:val="fr-FR"/>
        </w:rPr>
        <w:t>,</w:t>
      </w:r>
      <w:r w:rsidRPr="00C65506">
        <w:rPr>
          <w:noProof/>
          <w:color w:val="000000"/>
          <w:szCs w:val="22"/>
          <w:u w:val="single"/>
          <w:lang w:val="fr-FR"/>
        </w:rPr>
        <w:t>75 m</w:t>
      </w:r>
      <w:r w:rsidR="00811F79" w:rsidRPr="00C65506">
        <w:rPr>
          <w:noProof/>
          <w:color w:val="000000"/>
          <w:szCs w:val="22"/>
          <w:u w:val="single"/>
          <w:lang w:val="fr-FR"/>
        </w:rPr>
        <w:t>l</w:t>
      </w:r>
      <w:r w:rsidRPr="00C65506">
        <w:rPr>
          <w:noProof/>
          <w:color w:val="000000"/>
          <w:szCs w:val="22"/>
          <w:u w:val="single"/>
          <w:lang w:val="fr-FR"/>
        </w:rPr>
        <w:t xml:space="preserve"> </w:t>
      </w:r>
      <w:r w:rsidR="00811F79" w:rsidRPr="00C65506">
        <w:rPr>
          <w:color w:val="000000"/>
          <w:szCs w:val="24"/>
          <w:u w:val="single"/>
          <w:lang w:val="fr-FR" w:bidi="yi-Hebr"/>
        </w:rPr>
        <w:t>solution injectable</w:t>
      </w:r>
    </w:p>
    <w:p w:rsidR="00BD72F0" w:rsidRPr="00C65506" w:rsidRDefault="00BD72F0" w:rsidP="00BD72F0">
      <w:pPr>
        <w:tabs>
          <w:tab w:val="clear" w:pos="567"/>
        </w:tabs>
        <w:rPr>
          <w:noProof/>
          <w:color w:val="000000"/>
          <w:szCs w:val="22"/>
          <w:highlight w:val="green"/>
          <w:lang w:val="fr-FR"/>
        </w:rPr>
      </w:pPr>
      <w:r w:rsidRPr="00C65506">
        <w:rPr>
          <w:color w:val="000000"/>
          <w:szCs w:val="24"/>
          <w:lang w:val="fr-FR" w:bidi="yi-Hebr"/>
        </w:rPr>
        <w:t>Chaque cartouche contient 450 </w:t>
      </w:r>
      <w:r w:rsidR="0049683A" w:rsidRPr="00C65506">
        <w:rPr>
          <w:color w:val="000000"/>
          <w:szCs w:val="24"/>
          <w:lang w:val="fr-FR" w:bidi="yi-Hebr"/>
        </w:rPr>
        <w:t>U</w:t>
      </w:r>
      <w:r w:rsidRPr="00C65506">
        <w:rPr>
          <w:color w:val="000000"/>
          <w:szCs w:val="24"/>
          <w:lang w:val="fr-FR" w:bidi="yi-Hebr"/>
        </w:rPr>
        <w:t>I (équivalant à 33 microgrammes) de follitropine alfa dans 0,75 m</w:t>
      </w:r>
      <w:r w:rsidR="0049683A" w:rsidRPr="00C65506">
        <w:rPr>
          <w:color w:val="000000"/>
          <w:szCs w:val="24"/>
          <w:lang w:val="fr-FR" w:bidi="yi-Hebr"/>
        </w:rPr>
        <w:t>L</w:t>
      </w:r>
      <w:r w:rsidRPr="00C65506">
        <w:rPr>
          <w:color w:val="000000"/>
          <w:szCs w:val="24"/>
          <w:lang w:val="fr-FR" w:bidi="yi-Hebr"/>
        </w:rPr>
        <w:t xml:space="preserve"> de solution injectable.</w:t>
      </w:r>
    </w:p>
    <w:p w:rsidR="00BD72F0" w:rsidRPr="00C65506" w:rsidRDefault="00BD72F0" w:rsidP="00BD72F0">
      <w:pPr>
        <w:tabs>
          <w:tab w:val="clear" w:pos="567"/>
        </w:tabs>
        <w:rPr>
          <w:noProof/>
          <w:color w:val="000000"/>
          <w:szCs w:val="22"/>
          <w:lang w:val="fr-FR"/>
        </w:rPr>
      </w:pPr>
    </w:p>
    <w:p w:rsidR="00BD72F0" w:rsidRPr="00C65506" w:rsidRDefault="00BD72F0" w:rsidP="00BD72F0">
      <w:pPr>
        <w:autoSpaceDE w:val="0"/>
        <w:autoSpaceDN w:val="0"/>
        <w:adjustRightInd w:val="0"/>
        <w:jc w:val="both"/>
        <w:rPr>
          <w:noProof/>
          <w:color w:val="000000"/>
          <w:szCs w:val="22"/>
          <w:u w:val="single"/>
          <w:lang w:val="fr-FR"/>
        </w:rPr>
      </w:pPr>
      <w:r w:rsidRPr="00C65506">
        <w:rPr>
          <w:noProof/>
          <w:color w:val="000000"/>
          <w:szCs w:val="22"/>
          <w:u w:val="single"/>
          <w:lang w:val="fr-FR"/>
        </w:rPr>
        <w:t>Ovaleap 900 </w:t>
      </w:r>
      <w:r w:rsidR="0049683A" w:rsidRPr="00C65506">
        <w:rPr>
          <w:noProof/>
          <w:color w:val="000000"/>
          <w:szCs w:val="22"/>
          <w:u w:val="single"/>
          <w:lang w:val="fr-FR"/>
        </w:rPr>
        <w:t>U</w:t>
      </w:r>
      <w:r w:rsidRPr="00C65506">
        <w:rPr>
          <w:noProof/>
          <w:color w:val="000000"/>
          <w:szCs w:val="22"/>
          <w:u w:val="single"/>
          <w:lang w:val="fr-FR"/>
        </w:rPr>
        <w:t>I/1</w:t>
      </w:r>
      <w:r w:rsidR="00811F79" w:rsidRPr="00C65506">
        <w:rPr>
          <w:noProof/>
          <w:color w:val="000000"/>
          <w:szCs w:val="22"/>
          <w:u w:val="single"/>
          <w:lang w:val="fr-FR"/>
        </w:rPr>
        <w:t>,</w:t>
      </w:r>
      <w:r w:rsidRPr="00C65506">
        <w:rPr>
          <w:noProof/>
          <w:color w:val="000000"/>
          <w:szCs w:val="22"/>
          <w:u w:val="single"/>
          <w:lang w:val="fr-FR"/>
        </w:rPr>
        <w:t>5 m</w:t>
      </w:r>
      <w:r w:rsidR="0049683A" w:rsidRPr="00C65506">
        <w:rPr>
          <w:noProof/>
          <w:color w:val="000000"/>
          <w:szCs w:val="22"/>
          <w:u w:val="single"/>
          <w:lang w:val="fr-FR"/>
        </w:rPr>
        <w:t>L</w:t>
      </w:r>
      <w:r w:rsidRPr="00C65506">
        <w:rPr>
          <w:noProof/>
          <w:color w:val="000000"/>
          <w:szCs w:val="22"/>
          <w:u w:val="single"/>
          <w:lang w:val="fr-FR"/>
        </w:rPr>
        <w:t xml:space="preserve"> </w:t>
      </w:r>
      <w:r w:rsidR="00811F79" w:rsidRPr="00C65506">
        <w:rPr>
          <w:color w:val="000000"/>
          <w:szCs w:val="24"/>
          <w:u w:val="single"/>
          <w:lang w:val="fr-FR" w:bidi="yi-Hebr"/>
        </w:rPr>
        <w:t>solution injectable</w:t>
      </w:r>
    </w:p>
    <w:p w:rsidR="006E076F" w:rsidRPr="00C65506" w:rsidRDefault="006E076F" w:rsidP="006E076F">
      <w:pPr>
        <w:tabs>
          <w:tab w:val="clear" w:pos="567"/>
        </w:tabs>
        <w:rPr>
          <w:noProof/>
          <w:color w:val="000000"/>
          <w:szCs w:val="22"/>
          <w:highlight w:val="green"/>
          <w:lang w:val="fr-FR"/>
        </w:rPr>
      </w:pPr>
      <w:r w:rsidRPr="00C65506">
        <w:rPr>
          <w:color w:val="000000"/>
          <w:szCs w:val="24"/>
          <w:lang w:val="fr-FR" w:bidi="yi-Hebr"/>
        </w:rPr>
        <w:t>Chaque cartouche contient 900 </w:t>
      </w:r>
      <w:r w:rsidR="0049683A" w:rsidRPr="00C65506">
        <w:rPr>
          <w:color w:val="000000"/>
          <w:szCs w:val="24"/>
          <w:lang w:val="fr-FR" w:bidi="yi-Hebr"/>
        </w:rPr>
        <w:t>U</w:t>
      </w:r>
      <w:r w:rsidRPr="00C65506">
        <w:rPr>
          <w:color w:val="000000"/>
          <w:szCs w:val="24"/>
          <w:lang w:val="fr-FR" w:bidi="yi-Hebr"/>
        </w:rPr>
        <w:t>I (équivalant à 66 microgrammes) de follitropine alfa dans 1,5 m</w:t>
      </w:r>
      <w:r w:rsidR="0049683A" w:rsidRPr="00C65506">
        <w:rPr>
          <w:color w:val="000000"/>
          <w:szCs w:val="24"/>
          <w:lang w:val="fr-FR" w:bidi="yi-Hebr"/>
        </w:rPr>
        <w:t>L</w:t>
      </w:r>
      <w:r w:rsidRPr="00C65506">
        <w:rPr>
          <w:color w:val="000000"/>
          <w:szCs w:val="24"/>
          <w:lang w:val="fr-FR" w:bidi="yi-Hebr"/>
        </w:rPr>
        <w:t xml:space="preserve"> de solution injectable.</w:t>
      </w:r>
    </w:p>
    <w:p w:rsidR="00BD72F0" w:rsidRPr="00C65506" w:rsidRDefault="00BD72F0" w:rsidP="00A46688">
      <w:pPr>
        <w:tabs>
          <w:tab w:val="clear" w:pos="567"/>
        </w:tabs>
        <w:rPr>
          <w:noProof/>
          <w:color w:val="000000"/>
          <w:szCs w:val="24"/>
          <w:lang w:val="fr-FR" w:bidi="yi-Hebr"/>
        </w:rPr>
      </w:pPr>
    </w:p>
    <w:p w:rsidR="0003335D" w:rsidRPr="00C65506" w:rsidRDefault="0003335D" w:rsidP="00496272">
      <w:pPr>
        <w:tabs>
          <w:tab w:val="clear" w:pos="567"/>
        </w:tabs>
        <w:rPr>
          <w:noProof/>
          <w:color w:val="000000"/>
          <w:szCs w:val="22"/>
          <w:lang w:val="fr-FR"/>
        </w:rPr>
      </w:pPr>
    </w:p>
    <w:p w:rsidR="00A46688" w:rsidRPr="00C65506" w:rsidRDefault="00373C9B" w:rsidP="00703C65">
      <w:pPr>
        <w:widowControl w:val="0"/>
        <w:tabs>
          <w:tab w:val="clear" w:pos="567"/>
        </w:tabs>
        <w:rPr>
          <w:color w:val="000000"/>
          <w:szCs w:val="24"/>
          <w:lang w:val="fr-FR" w:bidi="yi-Hebr"/>
        </w:rPr>
      </w:pPr>
      <w:r w:rsidRPr="00C65506">
        <w:rPr>
          <w:color w:val="000000"/>
          <w:szCs w:val="24"/>
          <w:lang w:val="fr-FR" w:bidi="yi-Hebr"/>
        </w:rPr>
        <w:t>* </w:t>
      </w:r>
      <w:r w:rsidR="00A46688" w:rsidRPr="00C65506">
        <w:rPr>
          <w:color w:val="000000"/>
          <w:szCs w:val="24"/>
          <w:lang w:val="fr-FR" w:bidi="yi-Hebr"/>
        </w:rPr>
        <w:t>La follitropine alfa (hormone folliculo-stimulante humaine recombinante [r</w:t>
      </w:r>
      <w:r w:rsidR="00A46688" w:rsidRPr="00C65506">
        <w:rPr>
          <w:color w:val="000000"/>
          <w:szCs w:val="24"/>
          <w:lang w:val="fr-FR" w:bidi="yi-Hebr"/>
        </w:rPr>
        <w:noBreakHyphen/>
        <w:t xml:space="preserve">hFSH]) est produite </w:t>
      </w:r>
      <w:r w:rsidR="00703C65" w:rsidRPr="00C65506">
        <w:rPr>
          <w:color w:val="000000"/>
          <w:szCs w:val="24"/>
          <w:lang w:val="fr-FR" w:bidi="yi-Hebr"/>
        </w:rPr>
        <w:t xml:space="preserve">dans </w:t>
      </w:r>
      <w:r w:rsidR="00A46688" w:rsidRPr="00C65506">
        <w:rPr>
          <w:color w:val="000000"/>
          <w:szCs w:val="24"/>
          <w:lang w:val="fr-FR" w:bidi="yi-Hebr"/>
        </w:rPr>
        <w:t>des cellules ovarienne</w:t>
      </w:r>
      <w:r w:rsidRPr="00C65506">
        <w:rPr>
          <w:color w:val="000000"/>
          <w:szCs w:val="24"/>
          <w:lang w:val="fr-FR" w:bidi="yi-Hebr"/>
        </w:rPr>
        <w:t>s</w:t>
      </w:r>
      <w:r w:rsidR="00A46688" w:rsidRPr="00C65506">
        <w:rPr>
          <w:color w:val="000000"/>
          <w:szCs w:val="24"/>
          <w:lang w:val="fr-FR" w:bidi="yi-Hebr"/>
        </w:rPr>
        <w:t xml:space="preserve"> de hamster chinois (CHO DHFR</w:t>
      </w:r>
      <w:r w:rsidR="00A46688" w:rsidRPr="00C65506">
        <w:rPr>
          <w:color w:val="000000"/>
          <w:szCs w:val="24"/>
          <w:vertAlign w:val="superscript"/>
          <w:lang w:val="fr-FR" w:bidi="yi-Hebr"/>
        </w:rPr>
        <w:t>-</w:t>
      </w:r>
      <w:r w:rsidR="00A46688" w:rsidRPr="00C65506">
        <w:rPr>
          <w:color w:val="000000"/>
          <w:szCs w:val="24"/>
          <w:lang w:val="fr-FR" w:bidi="yi-Hebr"/>
        </w:rPr>
        <w:t>) par la technique de l’ADN recombinant.</w:t>
      </w:r>
    </w:p>
    <w:p w:rsidR="0003335D" w:rsidRPr="00C65506" w:rsidRDefault="0003335D" w:rsidP="00496272">
      <w:pPr>
        <w:widowControl w:val="0"/>
        <w:tabs>
          <w:tab w:val="clear" w:pos="567"/>
        </w:tabs>
        <w:rPr>
          <w:bCs/>
          <w:noProof/>
          <w:color w:val="000000"/>
          <w:szCs w:val="22"/>
          <w:lang w:val="fr-FR"/>
        </w:rPr>
      </w:pPr>
    </w:p>
    <w:p w:rsidR="00BC411B" w:rsidRPr="00C65506" w:rsidRDefault="00BC411B" w:rsidP="00496272">
      <w:pPr>
        <w:widowControl w:val="0"/>
        <w:tabs>
          <w:tab w:val="clear" w:pos="567"/>
        </w:tabs>
        <w:rPr>
          <w:bCs/>
          <w:noProof/>
          <w:color w:val="000000"/>
          <w:szCs w:val="22"/>
          <w:u w:val="single"/>
          <w:lang w:val="fr-FR"/>
        </w:rPr>
      </w:pPr>
      <w:r w:rsidRPr="00C65506">
        <w:rPr>
          <w:bCs/>
          <w:noProof/>
          <w:color w:val="000000"/>
          <w:szCs w:val="22"/>
          <w:u w:val="single"/>
          <w:lang w:val="fr-FR"/>
        </w:rPr>
        <w:t>Excipient(s) à effet notoire :</w:t>
      </w:r>
    </w:p>
    <w:p w:rsidR="00BC411B" w:rsidRPr="00C65506" w:rsidRDefault="00BC411B" w:rsidP="00496272">
      <w:pPr>
        <w:widowControl w:val="0"/>
        <w:tabs>
          <w:tab w:val="clear" w:pos="567"/>
        </w:tabs>
        <w:rPr>
          <w:color w:val="000000"/>
          <w:szCs w:val="24"/>
          <w:lang w:val="fr-FR" w:bidi="yi-Hebr"/>
        </w:rPr>
      </w:pPr>
      <w:r w:rsidRPr="00C65506">
        <w:rPr>
          <w:bCs/>
          <w:noProof/>
          <w:color w:val="000000"/>
          <w:szCs w:val="22"/>
          <w:lang w:val="fr-FR"/>
        </w:rPr>
        <w:t>Overleap contient 0,02 mg par m</w:t>
      </w:r>
      <w:r w:rsidR="00C0430D" w:rsidRPr="00C65506">
        <w:rPr>
          <w:bCs/>
          <w:noProof/>
          <w:color w:val="000000"/>
          <w:szCs w:val="22"/>
          <w:lang w:val="fr-FR"/>
        </w:rPr>
        <w:t>L</w:t>
      </w:r>
      <w:r w:rsidRPr="00C65506">
        <w:rPr>
          <w:bCs/>
          <w:noProof/>
          <w:color w:val="000000"/>
          <w:szCs w:val="22"/>
          <w:lang w:val="fr-FR"/>
        </w:rPr>
        <w:t xml:space="preserve"> de </w:t>
      </w:r>
      <w:r w:rsidRPr="00C65506">
        <w:rPr>
          <w:color w:val="000000"/>
          <w:szCs w:val="24"/>
          <w:lang w:val="fr-FR" w:bidi="yi-Hebr"/>
        </w:rPr>
        <w:t>chlorure de benzalkonium</w:t>
      </w:r>
    </w:p>
    <w:p w:rsidR="00BC411B" w:rsidRPr="00C65506" w:rsidRDefault="00C0430D" w:rsidP="00496272">
      <w:pPr>
        <w:widowControl w:val="0"/>
        <w:tabs>
          <w:tab w:val="clear" w:pos="567"/>
        </w:tabs>
        <w:rPr>
          <w:color w:val="000000"/>
          <w:szCs w:val="24"/>
          <w:lang w:val="fr-FR" w:bidi="yi-Hebr"/>
        </w:rPr>
      </w:pPr>
      <w:r w:rsidRPr="00C65506">
        <w:rPr>
          <w:color w:val="000000"/>
          <w:szCs w:val="24"/>
          <w:lang w:val="fr-FR" w:bidi="yi-Hebr"/>
        </w:rPr>
        <w:t>Overleap contient 10,0 mg par mL</w:t>
      </w:r>
      <w:r w:rsidR="00BC411B" w:rsidRPr="00C65506">
        <w:rPr>
          <w:color w:val="000000"/>
          <w:szCs w:val="24"/>
          <w:lang w:val="fr-FR" w:bidi="yi-Hebr"/>
        </w:rPr>
        <w:t xml:space="preserve"> d’alcool benzylique</w:t>
      </w:r>
    </w:p>
    <w:p w:rsidR="00BC411B" w:rsidRPr="00C65506" w:rsidRDefault="00BC411B" w:rsidP="00496272">
      <w:pPr>
        <w:widowControl w:val="0"/>
        <w:tabs>
          <w:tab w:val="clear" w:pos="567"/>
        </w:tabs>
        <w:rPr>
          <w:bCs/>
          <w:noProof/>
          <w:color w:val="000000"/>
          <w:szCs w:val="22"/>
          <w:lang w:val="fr-FR"/>
        </w:rPr>
      </w:pPr>
    </w:p>
    <w:p w:rsidR="00A46688" w:rsidRPr="00C65506" w:rsidRDefault="00A46688" w:rsidP="00A46688">
      <w:pPr>
        <w:tabs>
          <w:tab w:val="clear" w:pos="567"/>
        </w:tabs>
        <w:outlineLvl w:val="0"/>
        <w:rPr>
          <w:noProof/>
          <w:color w:val="000000"/>
          <w:szCs w:val="24"/>
          <w:lang w:val="fr-FR" w:bidi="yi-Hebr"/>
        </w:rPr>
      </w:pPr>
      <w:r w:rsidRPr="00C65506">
        <w:rPr>
          <w:color w:val="000000"/>
          <w:szCs w:val="24"/>
          <w:lang w:val="fr-FR" w:bidi="yi-Hebr"/>
        </w:rPr>
        <w:t>Pour la liste complète des excipients, voir rubrique 6.1.</w:t>
      </w:r>
    </w:p>
    <w:p w:rsidR="0003335D" w:rsidRPr="00C65506" w:rsidRDefault="0003335D" w:rsidP="00496272">
      <w:pPr>
        <w:rPr>
          <w:noProof/>
          <w:szCs w:val="22"/>
          <w:lang w:val="fr-FR"/>
        </w:rPr>
      </w:pPr>
    </w:p>
    <w:p w:rsidR="00812D16" w:rsidRPr="00C65506" w:rsidRDefault="00812D16" w:rsidP="00496272">
      <w:pPr>
        <w:rPr>
          <w:noProof/>
          <w:szCs w:val="22"/>
          <w:lang w:val="fr-FR"/>
        </w:rPr>
      </w:pPr>
    </w:p>
    <w:p w:rsidR="00A46688" w:rsidRPr="00C65506" w:rsidRDefault="00A46688" w:rsidP="00A46688">
      <w:pPr>
        <w:ind w:left="567" w:hanging="567"/>
        <w:rPr>
          <w:caps/>
          <w:noProof/>
          <w:szCs w:val="24"/>
          <w:lang w:val="fr-FR" w:bidi="yi-Hebr"/>
        </w:rPr>
      </w:pPr>
      <w:r w:rsidRPr="00C65506">
        <w:rPr>
          <w:b/>
          <w:noProof/>
          <w:szCs w:val="24"/>
          <w:lang w:val="fr-FR" w:bidi="yi-Hebr"/>
        </w:rPr>
        <w:t>3.</w:t>
      </w:r>
      <w:r w:rsidRPr="00C65506">
        <w:rPr>
          <w:b/>
          <w:noProof/>
          <w:szCs w:val="24"/>
          <w:lang w:val="fr-FR" w:bidi="yi-Hebr"/>
        </w:rPr>
        <w:tab/>
      </w:r>
      <w:r w:rsidRPr="00C65506">
        <w:rPr>
          <w:b/>
          <w:szCs w:val="24"/>
          <w:lang w:val="fr-FR" w:bidi="yi-Hebr"/>
        </w:rPr>
        <w:t>FORME PHARMACEUTIQUE</w:t>
      </w:r>
    </w:p>
    <w:p w:rsidR="0003335D" w:rsidRPr="00C65506" w:rsidRDefault="0003335D" w:rsidP="00496272">
      <w:pPr>
        <w:autoSpaceDE w:val="0"/>
        <w:autoSpaceDN w:val="0"/>
        <w:adjustRightInd w:val="0"/>
        <w:jc w:val="both"/>
        <w:rPr>
          <w:noProof/>
          <w:szCs w:val="22"/>
          <w:lang w:val="fr-FR"/>
        </w:rPr>
      </w:pPr>
    </w:p>
    <w:p w:rsidR="00A46688" w:rsidRPr="00C65506" w:rsidRDefault="00A46688" w:rsidP="00A46688">
      <w:pPr>
        <w:autoSpaceDE w:val="0"/>
        <w:autoSpaceDN w:val="0"/>
        <w:adjustRightInd w:val="0"/>
        <w:jc w:val="both"/>
        <w:rPr>
          <w:noProof/>
          <w:color w:val="000000"/>
          <w:szCs w:val="24"/>
          <w:lang w:val="fr-FR" w:bidi="yi-Hebr"/>
        </w:rPr>
      </w:pPr>
      <w:r w:rsidRPr="00C65506">
        <w:rPr>
          <w:color w:val="000000"/>
          <w:szCs w:val="24"/>
          <w:lang w:val="fr-FR" w:bidi="yi-Hebr"/>
        </w:rPr>
        <w:t>Solution injectable (injection).</w:t>
      </w:r>
    </w:p>
    <w:p w:rsidR="0003335D" w:rsidRPr="00C65506" w:rsidRDefault="0003335D" w:rsidP="00496272">
      <w:pPr>
        <w:tabs>
          <w:tab w:val="clear" w:pos="567"/>
        </w:tabs>
        <w:rPr>
          <w:noProof/>
          <w:color w:val="000000"/>
          <w:szCs w:val="22"/>
          <w:lang w:val="fr-FR"/>
        </w:rPr>
      </w:pPr>
    </w:p>
    <w:p w:rsidR="00A46688" w:rsidRPr="00C65506" w:rsidRDefault="00A46688" w:rsidP="00A46688">
      <w:pPr>
        <w:tabs>
          <w:tab w:val="clear" w:pos="567"/>
        </w:tabs>
        <w:rPr>
          <w:noProof/>
          <w:color w:val="000000"/>
          <w:szCs w:val="24"/>
          <w:lang w:val="fr-FR" w:bidi="yi-Hebr"/>
        </w:rPr>
      </w:pPr>
      <w:r w:rsidRPr="00C65506">
        <w:rPr>
          <w:color w:val="000000"/>
          <w:szCs w:val="24"/>
          <w:lang w:val="fr-FR" w:bidi="yi-Hebr"/>
        </w:rPr>
        <w:t>Solution limpide incolore.</w:t>
      </w:r>
    </w:p>
    <w:p w:rsidR="0003335D" w:rsidRPr="00C65506" w:rsidRDefault="0003335D" w:rsidP="00496272">
      <w:pPr>
        <w:tabs>
          <w:tab w:val="clear" w:pos="567"/>
        </w:tabs>
        <w:rPr>
          <w:noProof/>
          <w:color w:val="000000"/>
          <w:szCs w:val="22"/>
          <w:lang w:val="fr-FR"/>
        </w:rPr>
      </w:pPr>
    </w:p>
    <w:p w:rsidR="00A46688" w:rsidRPr="00C65506" w:rsidRDefault="00A46688" w:rsidP="008E4008">
      <w:pPr>
        <w:tabs>
          <w:tab w:val="clear" w:pos="567"/>
        </w:tabs>
        <w:rPr>
          <w:noProof/>
          <w:color w:val="000000"/>
          <w:szCs w:val="24"/>
          <w:lang w:val="fr-FR" w:bidi="yi-Hebr"/>
        </w:rPr>
      </w:pPr>
      <w:r w:rsidRPr="00C65506">
        <w:rPr>
          <w:color w:val="000000"/>
          <w:szCs w:val="24"/>
          <w:lang w:val="fr-FR" w:bidi="yi-Hebr"/>
        </w:rPr>
        <w:t>Le pH de la solution est de 6,8 </w:t>
      </w:r>
      <w:r w:rsidR="008E4008" w:rsidRPr="00C65506">
        <w:rPr>
          <w:color w:val="000000"/>
          <w:szCs w:val="24"/>
          <w:lang w:val="fr-FR" w:bidi="yi-Hebr"/>
        </w:rPr>
        <w:t xml:space="preserve">à </w:t>
      </w:r>
      <w:r w:rsidRPr="00C65506">
        <w:rPr>
          <w:color w:val="000000"/>
          <w:szCs w:val="24"/>
          <w:lang w:val="fr-FR" w:bidi="yi-Hebr"/>
        </w:rPr>
        <w:t>7,2.</w:t>
      </w:r>
    </w:p>
    <w:p w:rsidR="0003335D" w:rsidRPr="00C65506" w:rsidRDefault="0003335D" w:rsidP="00496272">
      <w:pPr>
        <w:autoSpaceDE w:val="0"/>
        <w:autoSpaceDN w:val="0"/>
        <w:adjustRightInd w:val="0"/>
        <w:jc w:val="both"/>
        <w:rPr>
          <w:noProof/>
          <w:szCs w:val="22"/>
          <w:lang w:val="fr-FR"/>
        </w:rPr>
      </w:pPr>
    </w:p>
    <w:p w:rsidR="00812D16" w:rsidRPr="00C65506" w:rsidRDefault="00812D16" w:rsidP="00496272">
      <w:pPr>
        <w:rPr>
          <w:noProof/>
          <w:szCs w:val="22"/>
          <w:lang w:val="fr-FR"/>
        </w:rPr>
      </w:pPr>
    </w:p>
    <w:p w:rsidR="00A46688" w:rsidRPr="00C65506" w:rsidRDefault="00A46688" w:rsidP="00A46688">
      <w:pPr>
        <w:ind w:left="567" w:hanging="567"/>
        <w:rPr>
          <w:caps/>
          <w:noProof/>
          <w:szCs w:val="24"/>
          <w:lang w:val="fr-FR" w:bidi="yi-Hebr"/>
        </w:rPr>
      </w:pPr>
      <w:r w:rsidRPr="00C65506">
        <w:rPr>
          <w:b/>
          <w:caps/>
          <w:noProof/>
          <w:szCs w:val="24"/>
          <w:lang w:val="fr-FR" w:bidi="yi-Hebr"/>
        </w:rPr>
        <w:t>4.</w:t>
      </w:r>
      <w:r w:rsidRPr="00C65506">
        <w:rPr>
          <w:b/>
          <w:caps/>
          <w:noProof/>
          <w:szCs w:val="24"/>
          <w:lang w:val="fr-FR" w:bidi="yi-Hebr"/>
        </w:rPr>
        <w:tab/>
      </w:r>
      <w:r w:rsidR="00C71680" w:rsidRPr="00C65506">
        <w:rPr>
          <w:b/>
          <w:szCs w:val="24"/>
          <w:lang w:val="fr-FR" w:bidi="yi-Hebr"/>
        </w:rPr>
        <w:t>INFORMATIONS</w:t>
      </w:r>
      <w:r w:rsidRPr="00C65506">
        <w:rPr>
          <w:b/>
          <w:szCs w:val="24"/>
          <w:lang w:val="fr-FR" w:bidi="yi-Hebr"/>
        </w:rPr>
        <w:t xml:space="preserve"> CLINIQUES</w:t>
      </w:r>
    </w:p>
    <w:p w:rsidR="00812D16" w:rsidRPr="00C65506" w:rsidRDefault="00812D16" w:rsidP="00496272">
      <w:pPr>
        <w:rPr>
          <w:noProof/>
          <w:szCs w:val="22"/>
          <w:lang w:val="fr-FR"/>
        </w:rPr>
      </w:pPr>
    </w:p>
    <w:p w:rsidR="00A46688" w:rsidRPr="00C65506" w:rsidRDefault="00A46688" w:rsidP="00A46688">
      <w:pPr>
        <w:ind w:left="567" w:hanging="567"/>
        <w:outlineLvl w:val="0"/>
        <w:rPr>
          <w:noProof/>
          <w:szCs w:val="24"/>
          <w:lang w:val="fr-FR" w:bidi="yi-Hebr"/>
        </w:rPr>
      </w:pPr>
      <w:r w:rsidRPr="00C65506">
        <w:rPr>
          <w:b/>
          <w:noProof/>
          <w:szCs w:val="24"/>
          <w:lang w:val="fr-FR" w:bidi="yi-Hebr"/>
        </w:rPr>
        <w:t>4.1</w:t>
      </w:r>
      <w:r w:rsidRPr="00C65506">
        <w:rPr>
          <w:b/>
          <w:noProof/>
          <w:szCs w:val="24"/>
          <w:lang w:val="fr-FR" w:bidi="yi-Hebr"/>
        </w:rPr>
        <w:tab/>
      </w:r>
      <w:r w:rsidRPr="00C65506">
        <w:rPr>
          <w:b/>
          <w:szCs w:val="24"/>
          <w:lang w:val="fr-FR" w:bidi="yi-Hebr"/>
        </w:rPr>
        <w:t>Indications thérapeutiques</w:t>
      </w:r>
    </w:p>
    <w:p w:rsidR="00F25477" w:rsidRPr="00C65506" w:rsidRDefault="00F25477" w:rsidP="00496272">
      <w:pPr>
        <w:tabs>
          <w:tab w:val="clear" w:pos="567"/>
        </w:tabs>
        <w:rPr>
          <w:noProof/>
          <w:color w:val="000000"/>
          <w:szCs w:val="22"/>
          <w:lang w:val="fr-FR"/>
        </w:rPr>
      </w:pPr>
    </w:p>
    <w:p w:rsidR="00A46688" w:rsidRPr="00C65506" w:rsidRDefault="00A46688" w:rsidP="00A46688">
      <w:pPr>
        <w:keepNext/>
        <w:tabs>
          <w:tab w:val="clear" w:pos="567"/>
        </w:tabs>
        <w:rPr>
          <w:noProof/>
          <w:color w:val="000000"/>
          <w:szCs w:val="24"/>
          <w:u w:val="single"/>
          <w:lang w:val="fr-FR" w:bidi="yi-Hebr"/>
        </w:rPr>
      </w:pPr>
      <w:r w:rsidRPr="00C65506">
        <w:rPr>
          <w:color w:val="000000"/>
          <w:szCs w:val="24"/>
          <w:u w:val="single"/>
          <w:lang w:val="fr-FR" w:bidi="yi-Hebr"/>
        </w:rPr>
        <w:t>Chez les femmes adultes</w:t>
      </w:r>
    </w:p>
    <w:p w:rsidR="00A67A61" w:rsidRPr="00C65506" w:rsidRDefault="00A67A61" w:rsidP="00496272">
      <w:pPr>
        <w:keepNext/>
        <w:tabs>
          <w:tab w:val="clear" w:pos="567"/>
        </w:tabs>
        <w:ind w:left="567" w:hanging="567"/>
        <w:rPr>
          <w:noProof/>
          <w:color w:val="000000"/>
          <w:szCs w:val="22"/>
          <w:lang w:val="fr-FR"/>
        </w:rPr>
      </w:pPr>
    </w:p>
    <w:p w:rsidR="00267E10" w:rsidRPr="00C65506" w:rsidRDefault="00267E10" w:rsidP="00297FB7">
      <w:pPr>
        <w:keepNext/>
        <w:numPr>
          <w:ilvl w:val="0"/>
          <w:numId w:val="11"/>
        </w:numPr>
        <w:tabs>
          <w:tab w:val="clear" w:pos="567"/>
        </w:tabs>
        <w:ind w:left="567" w:hanging="567"/>
        <w:rPr>
          <w:noProof/>
          <w:color w:val="000000"/>
          <w:szCs w:val="24"/>
          <w:lang w:val="fr-FR" w:bidi="yi-Hebr"/>
        </w:rPr>
      </w:pPr>
      <w:r w:rsidRPr="00C65506">
        <w:rPr>
          <w:color w:val="000000"/>
          <w:szCs w:val="24"/>
          <w:lang w:val="fr-FR" w:bidi="yi-Hebr"/>
        </w:rPr>
        <w:t>Anovulation (y compris le syndrome des ovaires polykystiques) chez les femmes qui n’ont pas répondu au traitement par le citrate de clomifène.</w:t>
      </w:r>
    </w:p>
    <w:p w:rsidR="00267E10" w:rsidRPr="00C65506" w:rsidRDefault="00267E10" w:rsidP="00297FB7">
      <w:pPr>
        <w:keepNext/>
        <w:numPr>
          <w:ilvl w:val="0"/>
          <w:numId w:val="11"/>
        </w:numPr>
        <w:tabs>
          <w:tab w:val="clear" w:pos="567"/>
        </w:tabs>
        <w:ind w:left="567" w:hanging="567"/>
        <w:rPr>
          <w:noProof/>
          <w:color w:val="000000"/>
          <w:szCs w:val="24"/>
          <w:lang w:val="fr-FR" w:bidi="yi-Hebr"/>
        </w:rPr>
      </w:pPr>
      <w:r w:rsidRPr="00C65506">
        <w:rPr>
          <w:color w:val="000000"/>
          <w:szCs w:val="24"/>
          <w:lang w:val="fr-FR" w:bidi="yi-Hebr"/>
        </w:rPr>
        <w:t xml:space="preserve">Stimulation de la croissance folliculaire multiple, chez les femmes entreprenant une superovulation dans le cadre des techniques d’Assistance Médicale à la Procréation (AMP) </w:t>
      </w:r>
      <w:r w:rsidRPr="00C65506">
        <w:rPr>
          <w:color w:val="000000"/>
          <w:szCs w:val="24"/>
          <w:lang w:val="fr-FR" w:bidi="yi-Hebr"/>
        </w:rPr>
        <w:lastRenderedPageBreak/>
        <w:t xml:space="preserve">telles que la fécondation </w:t>
      </w:r>
      <w:r w:rsidRPr="00C65506">
        <w:rPr>
          <w:i/>
          <w:color w:val="000000"/>
          <w:szCs w:val="24"/>
          <w:lang w:val="fr-FR" w:bidi="yi-Hebr"/>
        </w:rPr>
        <w:t>in</w:t>
      </w:r>
      <w:r w:rsidR="006223E1" w:rsidRPr="00C65506">
        <w:rPr>
          <w:i/>
          <w:color w:val="000000"/>
          <w:szCs w:val="24"/>
          <w:lang w:val="fr-FR" w:bidi="yi-Hebr"/>
        </w:rPr>
        <w:t> </w:t>
      </w:r>
      <w:r w:rsidRPr="00C65506">
        <w:rPr>
          <w:i/>
          <w:color w:val="000000"/>
          <w:szCs w:val="24"/>
          <w:lang w:val="fr-FR" w:bidi="yi-Hebr"/>
        </w:rPr>
        <w:t xml:space="preserve">vitro </w:t>
      </w:r>
      <w:r w:rsidRPr="00C65506">
        <w:rPr>
          <w:color w:val="000000"/>
          <w:szCs w:val="24"/>
          <w:lang w:val="fr-FR" w:bidi="yi-Hebr"/>
        </w:rPr>
        <w:t>(FIV), le transfert intratubaire de gamètes et le transfert intratubaire de zygotes.</w:t>
      </w:r>
    </w:p>
    <w:p w:rsidR="00267E10" w:rsidRPr="00C65506" w:rsidRDefault="00267E10" w:rsidP="00297FB7">
      <w:pPr>
        <w:keepNext/>
        <w:numPr>
          <w:ilvl w:val="0"/>
          <w:numId w:val="11"/>
        </w:numPr>
        <w:tabs>
          <w:tab w:val="clear" w:pos="567"/>
        </w:tabs>
        <w:ind w:left="567" w:hanging="567"/>
        <w:rPr>
          <w:noProof/>
          <w:szCs w:val="24"/>
          <w:lang w:val="fr-FR" w:bidi="yi-Hebr"/>
        </w:rPr>
      </w:pPr>
      <w:r w:rsidRPr="00C65506">
        <w:rPr>
          <w:color w:val="000000"/>
          <w:szCs w:val="24"/>
          <w:lang w:val="fr-FR" w:bidi="yi-Hebr"/>
        </w:rPr>
        <w:t>Ovaleap, en association avec une préparation d’hormone lutéinisante (LH), est recommandé pour stimuler le développement folliculaire chez les femmes qui présentent un déficit sévère en LH et en FSH. Au cours des essais cliniques, ces patientes étaient définies par un taux plasmatique de LH endogène &lt;</w:t>
      </w:r>
      <w:r w:rsidR="006223E1" w:rsidRPr="00C65506">
        <w:rPr>
          <w:color w:val="000000"/>
          <w:szCs w:val="24"/>
          <w:lang w:val="fr-FR" w:bidi="yi-Hebr"/>
        </w:rPr>
        <w:t> </w:t>
      </w:r>
      <w:r w:rsidRPr="00C65506">
        <w:rPr>
          <w:color w:val="000000"/>
          <w:szCs w:val="24"/>
          <w:lang w:val="fr-FR" w:bidi="yi-Hebr"/>
        </w:rPr>
        <w:t>1,2 UI/L.</w:t>
      </w:r>
    </w:p>
    <w:p w:rsidR="00A67A61" w:rsidRPr="00C65506" w:rsidRDefault="00A67A61" w:rsidP="00496272">
      <w:pPr>
        <w:tabs>
          <w:tab w:val="clear" w:pos="567"/>
        </w:tabs>
        <w:rPr>
          <w:noProof/>
          <w:color w:val="000000"/>
          <w:szCs w:val="22"/>
          <w:lang w:val="fr-FR"/>
        </w:rPr>
      </w:pPr>
    </w:p>
    <w:p w:rsidR="00267E10" w:rsidRPr="00C65506" w:rsidRDefault="00267E10" w:rsidP="00267E10">
      <w:pPr>
        <w:keepNext/>
        <w:tabs>
          <w:tab w:val="clear" w:pos="567"/>
        </w:tabs>
        <w:rPr>
          <w:noProof/>
          <w:color w:val="000000"/>
          <w:szCs w:val="24"/>
          <w:u w:val="single"/>
          <w:lang w:val="fr-FR" w:bidi="yi-Hebr"/>
        </w:rPr>
      </w:pPr>
      <w:r w:rsidRPr="00C65506">
        <w:rPr>
          <w:color w:val="000000"/>
          <w:szCs w:val="24"/>
          <w:u w:val="single"/>
          <w:lang w:val="fr-FR" w:bidi="yi-Hebr"/>
        </w:rPr>
        <w:t>Chez les hommes adultes</w:t>
      </w:r>
    </w:p>
    <w:p w:rsidR="00A67A61" w:rsidRPr="00C65506" w:rsidRDefault="00A67A61" w:rsidP="00496272">
      <w:pPr>
        <w:keepNext/>
        <w:tabs>
          <w:tab w:val="clear" w:pos="567"/>
        </w:tabs>
        <w:ind w:left="567" w:hanging="567"/>
        <w:rPr>
          <w:noProof/>
          <w:color w:val="000000"/>
          <w:szCs w:val="22"/>
          <w:lang w:val="fr-FR"/>
        </w:rPr>
      </w:pPr>
    </w:p>
    <w:p w:rsidR="00267E10" w:rsidRPr="00C65506" w:rsidRDefault="00267E10" w:rsidP="00297FB7">
      <w:pPr>
        <w:keepNext/>
        <w:numPr>
          <w:ilvl w:val="0"/>
          <w:numId w:val="11"/>
        </w:numPr>
        <w:tabs>
          <w:tab w:val="clear" w:pos="567"/>
        </w:tabs>
        <w:ind w:left="567" w:hanging="567"/>
        <w:rPr>
          <w:noProof/>
          <w:color w:val="000000"/>
          <w:szCs w:val="24"/>
          <w:lang w:val="fr-FR" w:bidi="yi-Hebr"/>
        </w:rPr>
      </w:pPr>
      <w:r w:rsidRPr="00C65506">
        <w:rPr>
          <w:color w:val="000000"/>
          <w:szCs w:val="24"/>
          <w:lang w:val="fr-FR" w:bidi="yi-Hebr"/>
        </w:rPr>
        <w:t>Ovaleap est indiqué pour stimuler la spermatogenèse chez les hommes atteints d’hypogonadisme hypogonadotrophique, congénital ou acquis, en association avec la choriogonadotropine humaine (hCG).</w:t>
      </w:r>
    </w:p>
    <w:p w:rsidR="0003335D" w:rsidRPr="00C65506" w:rsidRDefault="0003335D" w:rsidP="00496272">
      <w:pPr>
        <w:rPr>
          <w:noProof/>
          <w:szCs w:val="22"/>
          <w:lang w:val="fr-FR"/>
        </w:rPr>
      </w:pPr>
    </w:p>
    <w:p w:rsidR="00267E10" w:rsidRPr="00C65506" w:rsidRDefault="00267E10" w:rsidP="00267E10">
      <w:pPr>
        <w:keepNext/>
        <w:keepLines/>
        <w:outlineLvl w:val="0"/>
        <w:rPr>
          <w:b/>
          <w:noProof/>
          <w:szCs w:val="24"/>
          <w:lang w:val="fr-FR" w:bidi="yi-Hebr"/>
        </w:rPr>
      </w:pPr>
      <w:r w:rsidRPr="00C65506">
        <w:rPr>
          <w:b/>
          <w:noProof/>
          <w:szCs w:val="24"/>
          <w:lang w:val="fr-FR" w:bidi="yi-Hebr"/>
        </w:rPr>
        <w:t>4.2</w:t>
      </w:r>
      <w:r w:rsidRPr="00C65506">
        <w:rPr>
          <w:b/>
          <w:noProof/>
          <w:szCs w:val="24"/>
          <w:lang w:val="fr-FR" w:bidi="yi-Hebr"/>
        </w:rPr>
        <w:tab/>
      </w:r>
      <w:r w:rsidRPr="00C65506">
        <w:rPr>
          <w:b/>
          <w:szCs w:val="24"/>
          <w:lang w:val="fr-FR" w:bidi="yi-Hebr"/>
        </w:rPr>
        <w:t>Posologie et mode d’administration</w:t>
      </w:r>
    </w:p>
    <w:p w:rsidR="00F25477" w:rsidRPr="00C65506" w:rsidRDefault="00F25477" w:rsidP="00496272">
      <w:pPr>
        <w:keepNext/>
        <w:keepLines/>
        <w:rPr>
          <w:i/>
          <w:noProof/>
          <w:szCs w:val="22"/>
          <w:lang w:val="fr-FR"/>
        </w:rPr>
      </w:pPr>
    </w:p>
    <w:p w:rsidR="000E5291" w:rsidRPr="00C65506" w:rsidRDefault="000E5291" w:rsidP="000E5291">
      <w:pPr>
        <w:keepNext/>
        <w:keepLines/>
        <w:tabs>
          <w:tab w:val="clear" w:pos="567"/>
        </w:tabs>
        <w:outlineLvl w:val="0"/>
        <w:rPr>
          <w:noProof/>
          <w:color w:val="000000"/>
          <w:szCs w:val="24"/>
          <w:lang w:val="fr-FR" w:bidi="yi-Hebr"/>
        </w:rPr>
      </w:pPr>
      <w:r w:rsidRPr="00C65506">
        <w:rPr>
          <w:color w:val="000000"/>
          <w:szCs w:val="24"/>
          <w:lang w:val="fr-FR" w:bidi="yi-Hebr"/>
        </w:rPr>
        <w:t>Tout traitement par la follitropine alfa doit être initié sous la surveillance d’un médecin ayant l’expérience du traitement des troubles de la fertilité.</w:t>
      </w:r>
    </w:p>
    <w:p w:rsidR="0003335D" w:rsidRPr="00C65506" w:rsidRDefault="0003335D" w:rsidP="00496272">
      <w:pPr>
        <w:tabs>
          <w:tab w:val="clear" w:pos="567"/>
        </w:tabs>
        <w:outlineLvl w:val="0"/>
        <w:rPr>
          <w:noProof/>
          <w:color w:val="000000"/>
          <w:szCs w:val="22"/>
          <w:lang w:val="fr-FR"/>
        </w:rPr>
      </w:pPr>
    </w:p>
    <w:p w:rsidR="000E5291" w:rsidRPr="00C65506" w:rsidRDefault="000E5291" w:rsidP="000E5291">
      <w:pPr>
        <w:tabs>
          <w:tab w:val="clear" w:pos="567"/>
        </w:tabs>
        <w:outlineLvl w:val="0"/>
        <w:rPr>
          <w:noProof/>
          <w:color w:val="000000"/>
          <w:szCs w:val="24"/>
          <w:u w:val="single"/>
          <w:lang w:val="fr-FR" w:bidi="yi-Hebr"/>
        </w:rPr>
      </w:pPr>
      <w:r w:rsidRPr="00C65506">
        <w:rPr>
          <w:color w:val="000000"/>
          <w:szCs w:val="24"/>
          <w:u w:val="single"/>
          <w:lang w:val="fr-FR" w:bidi="yi-Hebr"/>
        </w:rPr>
        <w:t>Posologie</w:t>
      </w:r>
    </w:p>
    <w:p w:rsidR="0003335D" w:rsidRPr="00C65506" w:rsidRDefault="0003335D" w:rsidP="00496272">
      <w:pPr>
        <w:tabs>
          <w:tab w:val="clear" w:pos="567"/>
        </w:tabs>
        <w:outlineLvl w:val="0"/>
        <w:rPr>
          <w:noProof/>
          <w:color w:val="000000"/>
          <w:szCs w:val="22"/>
          <w:lang w:val="fr-FR"/>
        </w:rPr>
      </w:pPr>
    </w:p>
    <w:p w:rsidR="000E5291" w:rsidRPr="00C65506" w:rsidRDefault="000E5291" w:rsidP="000E5291">
      <w:pPr>
        <w:tabs>
          <w:tab w:val="clear" w:pos="567"/>
        </w:tabs>
        <w:outlineLvl w:val="0"/>
        <w:rPr>
          <w:noProof/>
          <w:szCs w:val="24"/>
          <w:lang w:val="fr-FR" w:bidi="yi-Hebr"/>
        </w:rPr>
      </w:pPr>
      <w:r w:rsidRPr="00C65506">
        <w:rPr>
          <w:color w:val="000000"/>
          <w:szCs w:val="24"/>
          <w:lang w:val="fr-FR" w:bidi="yi-Hebr"/>
        </w:rPr>
        <w:t>Les doses recommandées pour la follitropine alfa correspondent à celles utilisées avec la FSH urinaire. L’évaluation clinique de la follitropine alfa montre que les doses quotidiennes, les schémas thérapeutiques et la surveillance du traitement ne doivent pas être différents de ceux utilisés couramment pour les médicaments contenant de la FSH urinaire. Il est conseillé de se conformer aux doses initiales recommandées, indiquées ci-dessous.</w:t>
      </w:r>
    </w:p>
    <w:p w:rsidR="0003335D" w:rsidRPr="00C65506" w:rsidRDefault="0003335D" w:rsidP="00496272">
      <w:pPr>
        <w:tabs>
          <w:tab w:val="clear" w:pos="567"/>
        </w:tabs>
        <w:outlineLvl w:val="0"/>
        <w:rPr>
          <w:noProof/>
          <w:color w:val="000000"/>
          <w:szCs w:val="22"/>
          <w:lang w:val="fr-FR"/>
        </w:rPr>
      </w:pPr>
    </w:p>
    <w:p w:rsidR="000E5291" w:rsidRPr="00C65506" w:rsidRDefault="000E5291" w:rsidP="000E5291">
      <w:pPr>
        <w:tabs>
          <w:tab w:val="clear" w:pos="567"/>
        </w:tabs>
        <w:outlineLvl w:val="0"/>
        <w:rPr>
          <w:noProof/>
          <w:szCs w:val="24"/>
          <w:lang w:val="fr-FR" w:bidi="yi-Hebr"/>
        </w:rPr>
      </w:pPr>
      <w:r w:rsidRPr="00C65506">
        <w:rPr>
          <w:color w:val="000000"/>
          <w:szCs w:val="24"/>
          <w:lang w:val="fr-FR" w:bidi="yi-Hebr"/>
        </w:rPr>
        <w:t>Des études cliniques comparatives ont montré qu’en moyenne, avec la follitropine alfa, les patients ont besoin d’une dose totale inférieure et d’une durée de traitement plus courte qu’avec la FSH urinaire. Par conséquent, il est recommandé d’administrer une dose totale de follitropine alfa inférieure à celle généralement utilisée avec la FSH urinaire, afin non seulement d’optimiser le développement folliculaire mais aussi de limiter au maximum le risque de survenue d’une hyperstimulation ovarienne (voir rubrique</w:t>
      </w:r>
      <w:r w:rsidR="006223E1" w:rsidRPr="00C65506">
        <w:rPr>
          <w:color w:val="000000"/>
          <w:szCs w:val="24"/>
          <w:lang w:val="fr-FR" w:bidi="yi-Hebr"/>
        </w:rPr>
        <w:t> </w:t>
      </w:r>
      <w:r w:rsidRPr="00C65506">
        <w:rPr>
          <w:color w:val="000000"/>
          <w:szCs w:val="24"/>
          <w:lang w:val="fr-FR" w:bidi="yi-Hebr"/>
        </w:rPr>
        <w:t>5.1).</w:t>
      </w:r>
    </w:p>
    <w:p w:rsidR="0003335D" w:rsidRPr="00C65506" w:rsidRDefault="0003335D" w:rsidP="00496272">
      <w:pPr>
        <w:tabs>
          <w:tab w:val="clear" w:pos="567"/>
        </w:tabs>
        <w:outlineLvl w:val="0"/>
        <w:rPr>
          <w:iCs/>
          <w:noProof/>
          <w:color w:val="000000"/>
          <w:szCs w:val="22"/>
          <w:lang w:val="fr-FR"/>
        </w:rPr>
      </w:pPr>
    </w:p>
    <w:p w:rsidR="00C6574D" w:rsidRPr="00C65506" w:rsidRDefault="00C6574D" w:rsidP="00C6574D">
      <w:pPr>
        <w:tabs>
          <w:tab w:val="clear" w:pos="567"/>
        </w:tabs>
        <w:outlineLvl w:val="0"/>
        <w:rPr>
          <w:i/>
          <w:noProof/>
          <w:color w:val="000000"/>
          <w:szCs w:val="24"/>
          <w:u w:val="single"/>
          <w:lang w:val="fr-FR" w:bidi="yi-Hebr"/>
        </w:rPr>
      </w:pPr>
      <w:r w:rsidRPr="00C65506">
        <w:rPr>
          <w:i/>
          <w:color w:val="000000"/>
          <w:szCs w:val="24"/>
          <w:u w:val="single"/>
          <w:lang w:val="fr-FR" w:bidi="yi-Hebr"/>
        </w:rPr>
        <w:t>Patientes anovulatoires (y compris syndrome des ovaires polykystiques)</w:t>
      </w:r>
    </w:p>
    <w:p w:rsidR="00C6574D" w:rsidRPr="00C65506" w:rsidRDefault="00C6574D" w:rsidP="00C6574D">
      <w:pPr>
        <w:tabs>
          <w:tab w:val="clear" w:pos="567"/>
        </w:tabs>
        <w:outlineLvl w:val="0"/>
        <w:rPr>
          <w:noProof/>
          <w:szCs w:val="24"/>
          <w:lang w:val="fr-FR" w:bidi="yi-Hebr"/>
        </w:rPr>
      </w:pPr>
      <w:r w:rsidRPr="00C65506">
        <w:rPr>
          <w:color w:val="000000"/>
          <w:szCs w:val="24"/>
          <w:lang w:val="fr-FR" w:bidi="yi-Hebr"/>
        </w:rPr>
        <w:t xml:space="preserve">La </w:t>
      </w:r>
      <w:r w:rsidR="00B25621" w:rsidRPr="00C65506">
        <w:rPr>
          <w:color w:val="000000"/>
          <w:szCs w:val="24"/>
          <w:lang w:val="fr-FR" w:bidi="yi-Hebr"/>
        </w:rPr>
        <w:t>follitropine</w:t>
      </w:r>
      <w:r w:rsidRPr="00C65506">
        <w:rPr>
          <w:color w:val="000000"/>
          <w:szCs w:val="24"/>
          <w:lang w:val="fr-FR" w:bidi="yi-Hebr"/>
        </w:rPr>
        <w:t xml:space="preserve"> alfa peut être administrée en injections quotidiennes. Chez les femmes réglées, le traitement doit commencer dans les 7 premiers jours du cycle menstruel.</w:t>
      </w:r>
    </w:p>
    <w:p w:rsidR="0003335D" w:rsidRPr="00C65506" w:rsidRDefault="0003335D" w:rsidP="00496272">
      <w:pPr>
        <w:tabs>
          <w:tab w:val="clear" w:pos="567"/>
        </w:tabs>
        <w:outlineLvl w:val="0"/>
        <w:rPr>
          <w:noProof/>
          <w:color w:val="000000"/>
          <w:szCs w:val="22"/>
          <w:lang w:val="fr-FR"/>
        </w:rPr>
      </w:pPr>
    </w:p>
    <w:p w:rsidR="00C6574D" w:rsidRPr="00C65506" w:rsidRDefault="00C6574D" w:rsidP="00C6574D">
      <w:pPr>
        <w:tabs>
          <w:tab w:val="clear" w:pos="567"/>
        </w:tabs>
        <w:outlineLvl w:val="0"/>
        <w:rPr>
          <w:noProof/>
          <w:szCs w:val="24"/>
          <w:lang w:val="fr-FR" w:bidi="yi-Hebr"/>
        </w:rPr>
      </w:pPr>
      <w:r w:rsidRPr="00C65506">
        <w:rPr>
          <w:color w:val="000000"/>
          <w:szCs w:val="24"/>
          <w:lang w:val="fr-FR" w:bidi="yi-Hebr"/>
        </w:rPr>
        <w:t>Un traitement standard commence avec 75 à 150 UI de FSH par jour et est augmenté de préférence de 37,5 ou 75 UI, à 7 ou de préférence à 14 jours d’intervalle, si nécessaire, afin d’obtenir une réponse adéquate mais non excessive. Le traitement devra être adapté à la réponse individuelle de chaque patiente, déterminée en mesurant la taille du follicule par échographie et/ou la sécrétion estrogénique. La dose quotidienne maximale de FSH ne doit, en général, pas dépasser 225 UI. Si une patiente n’a pas de réponse adéquate après 4 semaines de traitement, ce cycle devra être abandonné et, après une évaluation supplémentaire, la patiente pourra recommencer un traitement avec une dose initiale plus élevée que dans le cycle abandonné.</w:t>
      </w:r>
    </w:p>
    <w:p w:rsidR="0003335D" w:rsidRPr="00C65506" w:rsidRDefault="0003335D" w:rsidP="00496272">
      <w:pPr>
        <w:tabs>
          <w:tab w:val="clear" w:pos="567"/>
        </w:tabs>
        <w:outlineLvl w:val="0"/>
        <w:rPr>
          <w:noProof/>
          <w:color w:val="000000"/>
          <w:szCs w:val="22"/>
          <w:lang w:val="fr-FR"/>
        </w:rPr>
      </w:pPr>
    </w:p>
    <w:p w:rsidR="001E2D07" w:rsidRPr="00C65506" w:rsidRDefault="001E2D07" w:rsidP="001E2D07">
      <w:pPr>
        <w:tabs>
          <w:tab w:val="clear" w:pos="567"/>
        </w:tabs>
        <w:outlineLvl w:val="0"/>
        <w:rPr>
          <w:noProof/>
          <w:szCs w:val="24"/>
          <w:lang w:val="fr-FR" w:bidi="yi-Hebr"/>
        </w:rPr>
      </w:pPr>
      <w:r w:rsidRPr="00C65506">
        <w:rPr>
          <w:color w:val="000000"/>
          <w:szCs w:val="24"/>
          <w:lang w:val="fr-FR" w:bidi="yi-Hebr"/>
        </w:rPr>
        <w:t>Quand une réponse optimale est obtenue, une injection unique de 250 microgrammes de choriogonadotropine alfa humaine recombinante (r-hCG) ou de 5 000 UI à 10 000 UI d’hCG devra être administrée 24 à 48 heures après la dernière injection de follitropine alfa. On recommandera alors à la patiente d’avoir un rapport sexuel le jour même et le jour suivant l’administration d’hCG. Alternativement, une insémination intra-utérine (IIU) peut être pratiquée.</w:t>
      </w:r>
    </w:p>
    <w:p w:rsidR="0003335D" w:rsidRPr="00C65506" w:rsidRDefault="0003335D" w:rsidP="00496272">
      <w:pPr>
        <w:tabs>
          <w:tab w:val="clear" w:pos="567"/>
        </w:tabs>
        <w:outlineLvl w:val="0"/>
        <w:rPr>
          <w:noProof/>
          <w:color w:val="000000"/>
          <w:szCs w:val="22"/>
          <w:lang w:val="fr-FR"/>
        </w:rPr>
      </w:pPr>
    </w:p>
    <w:p w:rsidR="001E2D07" w:rsidRPr="00C65506" w:rsidRDefault="001E2D07" w:rsidP="001E2D07">
      <w:pPr>
        <w:tabs>
          <w:tab w:val="clear" w:pos="567"/>
        </w:tabs>
        <w:outlineLvl w:val="0"/>
        <w:rPr>
          <w:noProof/>
          <w:szCs w:val="24"/>
          <w:lang w:val="fr-FR" w:bidi="yi-Hebr"/>
        </w:rPr>
      </w:pPr>
      <w:r w:rsidRPr="00C65506">
        <w:rPr>
          <w:color w:val="000000"/>
          <w:szCs w:val="24"/>
          <w:lang w:val="fr-FR" w:bidi="yi-Hebr"/>
        </w:rPr>
        <w:t>Si une réponse excessive est obtenue, le traitement devra être arrêté et l’hCG ne devra pas être administrée (voir rubrique 4.4). Le traitement devra reprendre lors du cycle suivant à une posologie inférieure à celle du cycle abandonné.</w:t>
      </w:r>
    </w:p>
    <w:p w:rsidR="0003335D" w:rsidRPr="00C65506" w:rsidRDefault="0003335D" w:rsidP="00496272">
      <w:pPr>
        <w:tabs>
          <w:tab w:val="clear" w:pos="567"/>
        </w:tabs>
        <w:outlineLvl w:val="0"/>
        <w:rPr>
          <w:i/>
          <w:iCs/>
          <w:noProof/>
          <w:color w:val="000000"/>
          <w:szCs w:val="22"/>
          <w:lang w:val="fr-FR"/>
        </w:rPr>
      </w:pPr>
    </w:p>
    <w:p w:rsidR="001E2D07" w:rsidRPr="00C65506" w:rsidRDefault="001E2D07" w:rsidP="001E2D07">
      <w:pPr>
        <w:keepNext/>
        <w:tabs>
          <w:tab w:val="clear" w:pos="567"/>
        </w:tabs>
        <w:outlineLvl w:val="0"/>
        <w:rPr>
          <w:i/>
          <w:noProof/>
          <w:color w:val="000000"/>
          <w:szCs w:val="24"/>
          <w:u w:val="single"/>
          <w:lang w:val="fr-FR" w:bidi="yi-Hebr"/>
        </w:rPr>
      </w:pPr>
      <w:r w:rsidRPr="00C65506">
        <w:rPr>
          <w:i/>
          <w:color w:val="000000"/>
          <w:szCs w:val="24"/>
          <w:u w:val="single"/>
          <w:lang w:val="fr-FR" w:bidi="yi-Hebr"/>
        </w:rPr>
        <w:lastRenderedPageBreak/>
        <w:t>Patientes entreprenant une stimulation ovarienne en vue d’obtenir une croissance folliculaire multiple avant une fécondation in</w:t>
      </w:r>
      <w:r w:rsidR="006223E1" w:rsidRPr="00C65506">
        <w:rPr>
          <w:i/>
          <w:color w:val="000000"/>
          <w:szCs w:val="24"/>
          <w:u w:val="single"/>
          <w:lang w:val="fr-FR" w:bidi="yi-Hebr"/>
        </w:rPr>
        <w:t> </w:t>
      </w:r>
      <w:r w:rsidRPr="00C65506">
        <w:rPr>
          <w:i/>
          <w:color w:val="000000"/>
          <w:szCs w:val="24"/>
          <w:u w:val="single"/>
          <w:lang w:val="fr-FR" w:bidi="yi-Hebr"/>
        </w:rPr>
        <w:t>vitro ou d’autres techniques d’AMP</w:t>
      </w:r>
    </w:p>
    <w:p w:rsidR="001E2D07" w:rsidRPr="00C65506" w:rsidRDefault="001E2D07" w:rsidP="001E2D07">
      <w:pPr>
        <w:keepNext/>
        <w:tabs>
          <w:tab w:val="clear" w:pos="567"/>
        </w:tabs>
        <w:outlineLvl w:val="0"/>
        <w:rPr>
          <w:noProof/>
          <w:szCs w:val="24"/>
          <w:lang w:val="fr-FR" w:bidi="yi-Hebr"/>
        </w:rPr>
      </w:pPr>
      <w:r w:rsidRPr="00C65506">
        <w:rPr>
          <w:color w:val="000000"/>
          <w:szCs w:val="24"/>
          <w:lang w:val="fr-FR" w:bidi="yi-Hebr"/>
        </w:rPr>
        <w:t>Le schéma thérapeutique destiné à provoquer une superovulation comprend l’administration de 150 à 225 UI de follitropine alfa par jour, en commençant le 2</w:t>
      </w:r>
      <w:r w:rsidRPr="00C65506">
        <w:rPr>
          <w:color w:val="000000"/>
          <w:szCs w:val="24"/>
          <w:vertAlign w:val="superscript"/>
          <w:lang w:val="fr-FR" w:bidi="yi-Hebr"/>
        </w:rPr>
        <w:t>ème</w:t>
      </w:r>
      <w:r w:rsidRPr="00C65506">
        <w:rPr>
          <w:color w:val="000000"/>
          <w:szCs w:val="24"/>
          <w:lang w:val="fr-FR" w:bidi="yi-Hebr"/>
        </w:rPr>
        <w:t xml:space="preserve"> ou 3</w:t>
      </w:r>
      <w:r w:rsidRPr="00C65506">
        <w:rPr>
          <w:color w:val="000000"/>
          <w:szCs w:val="24"/>
          <w:vertAlign w:val="superscript"/>
          <w:lang w:val="fr-FR" w:bidi="yi-Hebr"/>
        </w:rPr>
        <w:t>ème</w:t>
      </w:r>
      <w:r w:rsidRPr="00C65506">
        <w:rPr>
          <w:color w:val="000000"/>
          <w:szCs w:val="24"/>
          <w:lang w:val="fr-FR" w:bidi="yi-Hebr"/>
        </w:rPr>
        <w:t xml:space="preserve"> jour du cycle. Le traitement sera poursuivi jusqu’à l’obtention d’une croissance folliculaire adéquate (déterminée par le contrôle des taux plasmatiques d’estrogènes et/ou un examen échographique) en ajustant la posologie en fonction de la réponse de la patiente (habituell</w:t>
      </w:r>
      <w:r w:rsidR="007F616F" w:rsidRPr="00C65506">
        <w:rPr>
          <w:color w:val="000000"/>
          <w:szCs w:val="24"/>
          <w:lang w:val="fr-FR" w:bidi="yi-Hebr"/>
        </w:rPr>
        <w:t>ement pas au-</w:t>
      </w:r>
      <w:r w:rsidRPr="00C65506">
        <w:rPr>
          <w:color w:val="000000"/>
          <w:szCs w:val="24"/>
          <w:lang w:val="fr-FR" w:bidi="yi-Hebr"/>
        </w:rPr>
        <w:t>delà de 450 UI/jour). En général, un développement folliculaire adéquat est obtenu en moyenne vers le dixième jour de traitement (de 5 à 20 jours).</w:t>
      </w:r>
    </w:p>
    <w:p w:rsidR="0003335D" w:rsidRPr="00C65506" w:rsidRDefault="0003335D" w:rsidP="00496272">
      <w:pPr>
        <w:tabs>
          <w:tab w:val="clear" w:pos="567"/>
        </w:tabs>
        <w:outlineLvl w:val="0"/>
        <w:rPr>
          <w:noProof/>
          <w:color w:val="000000"/>
          <w:szCs w:val="22"/>
          <w:lang w:val="fr-FR"/>
        </w:rPr>
      </w:pPr>
    </w:p>
    <w:p w:rsidR="0040215D" w:rsidRPr="00C65506" w:rsidRDefault="0040215D" w:rsidP="0040215D">
      <w:pPr>
        <w:tabs>
          <w:tab w:val="clear" w:pos="567"/>
        </w:tabs>
        <w:outlineLvl w:val="0"/>
        <w:rPr>
          <w:noProof/>
          <w:color w:val="000000"/>
          <w:szCs w:val="24"/>
          <w:lang w:val="fr-FR" w:bidi="yi-Hebr"/>
        </w:rPr>
      </w:pPr>
      <w:r w:rsidRPr="00C65506">
        <w:rPr>
          <w:color w:val="000000"/>
          <w:szCs w:val="24"/>
          <w:lang w:val="fr-FR" w:bidi="yi-Hebr"/>
        </w:rPr>
        <w:t>Une injection unique de 250 microgrammes de r-hCG ou de 5 000 UI à 10 000 UI maximum d’hCG est administrée 24 à 48 heures après la dernière injection de follitropine alfa pour induire la maturation folliculaire finale.</w:t>
      </w:r>
    </w:p>
    <w:p w:rsidR="0003335D" w:rsidRPr="00C65506" w:rsidRDefault="0003335D" w:rsidP="00496272">
      <w:pPr>
        <w:tabs>
          <w:tab w:val="clear" w:pos="567"/>
        </w:tabs>
        <w:outlineLvl w:val="0"/>
        <w:rPr>
          <w:noProof/>
          <w:color w:val="000000"/>
          <w:szCs w:val="22"/>
          <w:lang w:val="fr-FR"/>
        </w:rPr>
      </w:pPr>
    </w:p>
    <w:p w:rsidR="0040215D" w:rsidRPr="00C65506" w:rsidRDefault="0040215D" w:rsidP="0040215D">
      <w:pPr>
        <w:tabs>
          <w:tab w:val="clear" w:pos="567"/>
        </w:tabs>
        <w:outlineLvl w:val="0"/>
        <w:rPr>
          <w:noProof/>
          <w:szCs w:val="24"/>
          <w:lang w:val="fr-FR" w:bidi="yi-Hebr"/>
        </w:rPr>
      </w:pPr>
      <w:r w:rsidRPr="00C65506">
        <w:rPr>
          <w:color w:val="000000"/>
          <w:szCs w:val="24"/>
          <w:lang w:val="fr-FR" w:bidi="yi-Hebr"/>
        </w:rPr>
        <w:t>La désensibilisation avec un agoniste ou un antagoniste de la «</w:t>
      </w:r>
      <w:r w:rsidR="006223E1" w:rsidRPr="00C65506">
        <w:rPr>
          <w:color w:val="000000"/>
          <w:szCs w:val="24"/>
          <w:lang w:val="fr-FR" w:bidi="yi-Hebr"/>
        </w:rPr>
        <w:t> </w:t>
      </w:r>
      <w:r w:rsidRPr="00C65506">
        <w:rPr>
          <w:color w:val="000000"/>
          <w:szCs w:val="24"/>
          <w:lang w:val="fr-FR" w:bidi="yi-Hebr"/>
        </w:rPr>
        <w:t>Gonadotropin-Releasing Hormone</w:t>
      </w:r>
      <w:r w:rsidR="006223E1" w:rsidRPr="00C65506">
        <w:rPr>
          <w:color w:val="000000"/>
          <w:szCs w:val="24"/>
          <w:lang w:val="fr-FR" w:bidi="yi-Hebr"/>
        </w:rPr>
        <w:t> </w:t>
      </w:r>
      <w:r w:rsidRPr="00C65506">
        <w:rPr>
          <w:color w:val="000000"/>
          <w:szCs w:val="24"/>
          <w:lang w:val="fr-FR" w:bidi="yi-Hebr"/>
        </w:rPr>
        <w:t>» (GnRH) est maintenant fréquemment utilisée pour supprimer le pic de LH endogène et contrôler la sécrétion basale de LH. Dans un schéma thérapeutique courant, on commence l’administration de follitropine alfa environ 2 semaines après le début du traitement par l’agoniste, les deux traitements étant poursuivis jusqu’à l’obtention d’une croissance folliculaire adéquate. Par exemple, on administrera après 2 semaines de traitement par l’agoniste, 150 à 225 UI de follitropine alfa durant les 7 premiers jours. La dose sera ensuite adaptée en fonction de la réponse ovarienne.</w:t>
      </w:r>
    </w:p>
    <w:p w:rsidR="0003335D" w:rsidRPr="00C65506" w:rsidRDefault="0003335D" w:rsidP="00496272">
      <w:pPr>
        <w:tabs>
          <w:tab w:val="clear" w:pos="567"/>
        </w:tabs>
        <w:outlineLvl w:val="0"/>
        <w:rPr>
          <w:noProof/>
          <w:color w:val="000000"/>
          <w:szCs w:val="22"/>
          <w:lang w:val="fr-FR"/>
        </w:rPr>
      </w:pPr>
    </w:p>
    <w:p w:rsidR="0040215D" w:rsidRPr="00C65506" w:rsidRDefault="0040215D" w:rsidP="0040215D">
      <w:pPr>
        <w:tabs>
          <w:tab w:val="clear" w:pos="567"/>
        </w:tabs>
        <w:outlineLvl w:val="0"/>
        <w:rPr>
          <w:noProof/>
          <w:color w:val="000000"/>
          <w:szCs w:val="24"/>
          <w:lang w:val="fr-FR" w:bidi="yi-Hebr"/>
        </w:rPr>
      </w:pPr>
      <w:r w:rsidRPr="00C65506">
        <w:rPr>
          <w:color w:val="000000"/>
          <w:szCs w:val="24"/>
          <w:lang w:val="fr-FR" w:bidi="yi-Hebr"/>
        </w:rPr>
        <w:t>L’expérience de la FIV montre qu’en général les taux de succès du traitement restent stables au cours des 4 premières tentatives et diminuent graduellement par la suite.</w:t>
      </w:r>
    </w:p>
    <w:p w:rsidR="0003335D" w:rsidRPr="00C65506" w:rsidRDefault="0003335D" w:rsidP="00496272">
      <w:pPr>
        <w:tabs>
          <w:tab w:val="clear" w:pos="567"/>
        </w:tabs>
        <w:outlineLvl w:val="0"/>
        <w:rPr>
          <w:i/>
          <w:iCs/>
          <w:noProof/>
          <w:color w:val="000000"/>
          <w:szCs w:val="22"/>
          <w:lang w:val="fr-FR"/>
        </w:rPr>
      </w:pPr>
    </w:p>
    <w:p w:rsidR="0040215D" w:rsidRPr="00C65506" w:rsidRDefault="0040215D" w:rsidP="0040215D">
      <w:pPr>
        <w:tabs>
          <w:tab w:val="clear" w:pos="567"/>
        </w:tabs>
        <w:outlineLvl w:val="0"/>
        <w:rPr>
          <w:i/>
          <w:noProof/>
          <w:color w:val="000000"/>
          <w:szCs w:val="24"/>
          <w:u w:val="single"/>
          <w:lang w:val="fr-FR" w:bidi="yi-Hebr"/>
        </w:rPr>
      </w:pPr>
      <w:r w:rsidRPr="00C65506">
        <w:rPr>
          <w:i/>
          <w:color w:val="000000"/>
          <w:szCs w:val="24"/>
          <w:u w:val="single"/>
          <w:lang w:val="fr-FR" w:bidi="yi-Hebr"/>
        </w:rPr>
        <w:t>Patientes anovulatoires en raison d’un déficit sévère en LH et en FSH</w:t>
      </w:r>
    </w:p>
    <w:p w:rsidR="0040215D" w:rsidRPr="00C65506" w:rsidRDefault="0040215D" w:rsidP="0040215D">
      <w:pPr>
        <w:tabs>
          <w:tab w:val="clear" w:pos="567"/>
        </w:tabs>
        <w:outlineLvl w:val="0"/>
        <w:rPr>
          <w:noProof/>
          <w:szCs w:val="24"/>
          <w:lang w:val="fr-FR" w:bidi="yi-Hebr"/>
        </w:rPr>
      </w:pPr>
      <w:r w:rsidRPr="00C65506">
        <w:rPr>
          <w:color w:val="000000"/>
          <w:szCs w:val="24"/>
          <w:lang w:val="fr-FR" w:bidi="yi-Hebr"/>
        </w:rPr>
        <w:t>Chez les femmes présentant un déficit en LH et en FSH (hypogonadisme hypogonadotrophique), l’objectif du traitement par la follitropine alfa en association avec la lutropine alfa est de développer un seul follicule de de Graaf mature, à partir duquel l’ovule sera libéré après administration de hCG. La follitropine alfa doit être administrée en injections quotidiennes, en même temps que la lutropine alfa. Ces patientes étant aménorrhéiques et présentant une faible sécrétion endogène d’estrogènes, le traitement peut être débuté à tout moment du cycle.</w:t>
      </w:r>
    </w:p>
    <w:p w:rsidR="0003335D" w:rsidRPr="00C65506" w:rsidRDefault="0003335D" w:rsidP="00496272">
      <w:pPr>
        <w:tabs>
          <w:tab w:val="clear" w:pos="567"/>
        </w:tabs>
        <w:outlineLvl w:val="0"/>
        <w:rPr>
          <w:noProof/>
          <w:color w:val="000000"/>
          <w:szCs w:val="22"/>
          <w:lang w:val="fr-FR"/>
        </w:rPr>
      </w:pPr>
    </w:p>
    <w:p w:rsidR="0040215D" w:rsidRPr="00C65506" w:rsidRDefault="0040215D" w:rsidP="0040215D">
      <w:pPr>
        <w:tabs>
          <w:tab w:val="clear" w:pos="567"/>
        </w:tabs>
        <w:outlineLvl w:val="0"/>
        <w:rPr>
          <w:noProof/>
          <w:szCs w:val="24"/>
          <w:lang w:val="fr-FR" w:bidi="yi-Hebr"/>
        </w:rPr>
      </w:pPr>
      <w:r w:rsidRPr="00C65506">
        <w:rPr>
          <w:color w:val="000000"/>
          <w:szCs w:val="24"/>
          <w:lang w:val="fr-FR" w:bidi="yi-Hebr"/>
        </w:rPr>
        <w:t>Le traitement recommandé commence par 75 UI de lutropine alfa par jour, avec 75 à 150 UI de FSH. Le traitement devra être adapté à la réponse individuelle de chaque patiente, celle-ci étant déterminée en mesurant la taille du follicule par échographie et la sécrétion estrogénique.</w:t>
      </w:r>
    </w:p>
    <w:p w:rsidR="0003335D" w:rsidRPr="00C65506" w:rsidRDefault="0003335D" w:rsidP="00496272">
      <w:pPr>
        <w:tabs>
          <w:tab w:val="clear" w:pos="567"/>
        </w:tabs>
        <w:outlineLvl w:val="0"/>
        <w:rPr>
          <w:noProof/>
          <w:color w:val="000000"/>
          <w:szCs w:val="22"/>
          <w:lang w:val="fr-FR"/>
        </w:rPr>
      </w:pPr>
    </w:p>
    <w:p w:rsidR="0040215D" w:rsidRPr="00C65506" w:rsidRDefault="0040215D" w:rsidP="0040215D">
      <w:pPr>
        <w:tabs>
          <w:tab w:val="clear" w:pos="567"/>
        </w:tabs>
        <w:outlineLvl w:val="0"/>
        <w:rPr>
          <w:noProof/>
          <w:szCs w:val="24"/>
          <w:lang w:val="fr-FR" w:bidi="yi-Hebr"/>
        </w:rPr>
      </w:pPr>
      <w:r w:rsidRPr="00C65506">
        <w:rPr>
          <w:color w:val="000000"/>
          <w:szCs w:val="24"/>
          <w:lang w:val="fr-FR" w:bidi="yi-Hebr"/>
        </w:rPr>
        <w:t>Si une augmentation de la dose de FSH est nécessaire, il est préférable d’ajuster la dose à intervalles de 7 ou 14 jours et par paliers de 37,5 ou 75 UI. Il peut être justifié au cours d’un cycle de prolonger la stimulation jusqu’à 5 semaines.</w:t>
      </w:r>
    </w:p>
    <w:p w:rsidR="0003335D" w:rsidRPr="00C65506" w:rsidRDefault="0003335D" w:rsidP="00496272">
      <w:pPr>
        <w:tabs>
          <w:tab w:val="clear" w:pos="567"/>
        </w:tabs>
        <w:outlineLvl w:val="0"/>
        <w:rPr>
          <w:noProof/>
          <w:color w:val="000000"/>
          <w:szCs w:val="22"/>
          <w:lang w:val="fr-FR"/>
        </w:rPr>
      </w:pPr>
    </w:p>
    <w:p w:rsidR="0040215D" w:rsidRPr="00C65506" w:rsidRDefault="0040215D" w:rsidP="0040215D">
      <w:pPr>
        <w:tabs>
          <w:tab w:val="clear" w:pos="567"/>
        </w:tabs>
        <w:outlineLvl w:val="0"/>
        <w:rPr>
          <w:noProof/>
          <w:szCs w:val="24"/>
          <w:lang w:val="fr-FR" w:bidi="yi-Hebr"/>
        </w:rPr>
      </w:pPr>
      <w:r w:rsidRPr="00C65506">
        <w:rPr>
          <w:color w:val="000000"/>
          <w:szCs w:val="24"/>
          <w:lang w:val="fr-FR" w:bidi="yi-Hebr"/>
        </w:rPr>
        <w:t>Quand une réponse optimale est obtenue, une injection unique de 250 microgrammes de r-hCG ou de 5 000 UI à 10 000 UI d’hCG devra être administrée 24 à 48 heures après les dernières injections de follitropine alfa et de lutropine alfa. On recommandera alors à la patiente d’avoir un rapport sexuel le jour même et le jour suivant l’administration d’hCG. Alternativement, une IIU peut être pratiquée.</w:t>
      </w:r>
    </w:p>
    <w:p w:rsidR="0003335D" w:rsidRPr="00C65506" w:rsidRDefault="0003335D" w:rsidP="00496272">
      <w:pPr>
        <w:tabs>
          <w:tab w:val="clear" w:pos="567"/>
        </w:tabs>
        <w:outlineLvl w:val="0"/>
        <w:rPr>
          <w:noProof/>
          <w:color w:val="000000"/>
          <w:szCs w:val="22"/>
          <w:lang w:val="fr-FR"/>
        </w:rPr>
      </w:pPr>
    </w:p>
    <w:p w:rsidR="0040215D" w:rsidRPr="00C65506" w:rsidRDefault="0040215D" w:rsidP="0040215D">
      <w:pPr>
        <w:tabs>
          <w:tab w:val="clear" w:pos="567"/>
        </w:tabs>
        <w:outlineLvl w:val="0"/>
        <w:rPr>
          <w:noProof/>
          <w:color w:val="000000"/>
          <w:szCs w:val="24"/>
          <w:lang w:val="fr-FR" w:bidi="yi-Hebr"/>
        </w:rPr>
      </w:pPr>
      <w:r w:rsidRPr="00C65506">
        <w:rPr>
          <w:color w:val="000000"/>
          <w:szCs w:val="24"/>
          <w:lang w:val="fr-FR" w:bidi="yi-Hebr"/>
        </w:rPr>
        <w:t>Un soutien de phase lutéale peut être envisagé ; en effet, le manque de substances à activité lutéotrope (LH/hCG) après l’ovulation peut entraîner une insuffisance qualitative du corps jaune.</w:t>
      </w:r>
    </w:p>
    <w:p w:rsidR="0003335D" w:rsidRPr="00C65506" w:rsidRDefault="0003335D" w:rsidP="00496272">
      <w:pPr>
        <w:tabs>
          <w:tab w:val="clear" w:pos="567"/>
        </w:tabs>
        <w:outlineLvl w:val="0"/>
        <w:rPr>
          <w:noProof/>
          <w:color w:val="000000"/>
          <w:szCs w:val="22"/>
          <w:lang w:val="fr-FR"/>
        </w:rPr>
      </w:pPr>
    </w:p>
    <w:p w:rsidR="0040215D" w:rsidRPr="00C65506" w:rsidRDefault="0040215D" w:rsidP="0040215D">
      <w:pPr>
        <w:tabs>
          <w:tab w:val="clear" w:pos="567"/>
        </w:tabs>
        <w:outlineLvl w:val="0"/>
        <w:rPr>
          <w:noProof/>
          <w:szCs w:val="24"/>
          <w:lang w:val="fr-FR" w:bidi="yi-Hebr"/>
        </w:rPr>
      </w:pPr>
      <w:r w:rsidRPr="00C65506">
        <w:rPr>
          <w:color w:val="000000"/>
          <w:szCs w:val="24"/>
          <w:lang w:val="fr-FR" w:bidi="yi-Hebr"/>
        </w:rPr>
        <w:t>Si une réponse excessive est obtenue, le traitement devra être arrêté et l’hCG ne devra pas être administrée. Le traitement devra reprendre lors du cycle suivant, à une posologie de FSH inférieure à celle du cycle abandonné.</w:t>
      </w:r>
    </w:p>
    <w:p w:rsidR="0003335D" w:rsidRPr="00C65506" w:rsidRDefault="0003335D" w:rsidP="00496272">
      <w:pPr>
        <w:tabs>
          <w:tab w:val="clear" w:pos="567"/>
        </w:tabs>
        <w:outlineLvl w:val="0"/>
        <w:rPr>
          <w:i/>
          <w:iCs/>
          <w:noProof/>
          <w:color w:val="000000"/>
          <w:szCs w:val="22"/>
          <w:lang w:val="fr-FR"/>
        </w:rPr>
      </w:pPr>
    </w:p>
    <w:p w:rsidR="0040215D" w:rsidRPr="00C65506" w:rsidRDefault="0040215D" w:rsidP="0040215D">
      <w:pPr>
        <w:tabs>
          <w:tab w:val="clear" w:pos="567"/>
        </w:tabs>
        <w:outlineLvl w:val="0"/>
        <w:rPr>
          <w:i/>
          <w:noProof/>
          <w:color w:val="000000"/>
          <w:szCs w:val="24"/>
          <w:u w:val="single"/>
          <w:lang w:val="fr-FR" w:bidi="yi-Hebr"/>
        </w:rPr>
      </w:pPr>
      <w:r w:rsidRPr="00C65506">
        <w:rPr>
          <w:i/>
          <w:color w:val="000000"/>
          <w:szCs w:val="24"/>
          <w:u w:val="single"/>
          <w:lang w:val="fr-FR" w:bidi="yi-Hebr"/>
        </w:rPr>
        <w:t>Hommes atteints d’hypogonadisme hypogonadotrophique</w:t>
      </w:r>
    </w:p>
    <w:p w:rsidR="000464ED" w:rsidRPr="00C65506" w:rsidRDefault="000464ED" w:rsidP="000464ED">
      <w:pPr>
        <w:tabs>
          <w:tab w:val="clear" w:pos="567"/>
        </w:tabs>
        <w:outlineLvl w:val="0"/>
        <w:rPr>
          <w:noProof/>
          <w:szCs w:val="24"/>
          <w:lang w:val="fr-FR" w:bidi="yi-Hebr"/>
        </w:rPr>
      </w:pPr>
      <w:r w:rsidRPr="00C65506">
        <w:rPr>
          <w:color w:val="000000"/>
          <w:szCs w:val="24"/>
          <w:lang w:val="fr-FR" w:bidi="yi-Hebr"/>
        </w:rPr>
        <w:t xml:space="preserve">La follitropine alfa doit être administrée à une posologie de 150 UI, 3 fois par semaine, en association avec l’hCG, pendant 4 mois minimum. Si, après cette période, le patient n’a pas répondu au traitement </w:t>
      </w:r>
      <w:r w:rsidRPr="00C65506">
        <w:rPr>
          <w:color w:val="000000"/>
          <w:szCs w:val="24"/>
          <w:lang w:val="fr-FR" w:bidi="yi-Hebr"/>
        </w:rPr>
        <w:lastRenderedPageBreak/>
        <w:t>combiné, celui-ci pourra être prolongé ; l’expérience clinique actuelle montre qu’il peut être nécessaire de traiter pendant au moins 18 mois pour établir une spermatogenèse.</w:t>
      </w:r>
    </w:p>
    <w:p w:rsidR="0003335D" w:rsidRPr="00C65506" w:rsidRDefault="0003335D" w:rsidP="00496272">
      <w:pPr>
        <w:tabs>
          <w:tab w:val="clear" w:pos="567"/>
        </w:tabs>
        <w:outlineLvl w:val="0"/>
        <w:rPr>
          <w:noProof/>
          <w:color w:val="000000"/>
          <w:szCs w:val="22"/>
          <w:lang w:val="fr-FR"/>
        </w:rPr>
      </w:pPr>
    </w:p>
    <w:p w:rsidR="000464ED" w:rsidRPr="00C65506" w:rsidRDefault="000464ED" w:rsidP="000464ED">
      <w:pPr>
        <w:keepNext/>
        <w:tabs>
          <w:tab w:val="clear" w:pos="567"/>
        </w:tabs>
        <w:outlineLvl w:val="0"/>
        <w:rPr>
          <w:i/>
          <w:noProof/>
          <w:color w:val="000000"/>
          <w:szCs w:val="24"/>
          <w:u w:val="single"/>
          <w:lang w:val="fr-FR" w:bidi="yi-Hebr"/>
        </w:rPr>
      </w:pPr>
      <w:r w:rsidRPr="00C65506">
        <w:rPr>
          <w:i/>
          <w:color w:val="000000"/>
          <w:szCs w:val="24"/>
          <w:u w:val="single"/>
          <w:lang w:val="fr-FR" w:bidi="yi-Hebr"/>
        </w:rPr>
        <w:t>Populations particulières</w:t>
      </w:r>
    </w:p>
    <w:p w:rsidR="0003335D" w:rsidRPr="00C65506" w:rsidRDefault="0003335D" w:rsidP="00496272">
      <w:pPr>
        <w:keepNext/>
        <w:tabs>
          <w:tab w:val="clear" w:pos="567"/>
        </w:tabs>
        <w:outlineLvl w:val="0"/>
        <w:rPr>
          <w:i/>
          <w:iCs/>
          <w:noProof/>
          <w:color w:val="000000"/>
          <w:szCs w:val="22"/>
          <w:lang w:val="fr-FR"/>
        </w:rPr>
      </w:pPr>
    </w:p>
    <w:p w:rsidR="000464ED" w:rsidRPr="00C65506" w:rsidRDefault="000464ED" w:rsidP="000464ED">
      <w:pPr>
        <w:keepNext/>
        <w:tabs>
          <w:tab w:val="clear" w:pos="567"/>
        </w:tabs>
        <w:outlineLvl w:val="0"/>
        <w:rPr>
          <w:noProof/>
          <w:color w:val="000000"/>
          <w:szCs w:val="24"/>
          <w:u w:val="single"/>
          <w:lang w:val="fr-FR" w:bidi="yi-Hebr"/>
        </w:rPr>
      </w:pPr>
      <w:r w:rsidRPr="00C65506">
        <w:rPr>
          <w:color w:val="000000"/>
          <w:szCs w:val="24"/>
          <w:u w:val="single"/>
          <w:lang w:val="fr-FR" w:bidi="yi-Hebr"/>
        </w:rPr>
        <w:t>Population âgée</w:t>
      </w:r>
    </w:p>
    <w:p w:rsidR="000464ED" w:rsidRPr="00C65506" w:rsidRDefault="000464ED" w:rsidP="000464ED">
      <w:pPr>
        <w:tabs>
          <w:tab w:val="clear" w:pos="567"/>
        </w:tabs>
        <w:outlineLvl w:val="0"/>
        <w:rPr>
          <w:noProof/>
          <w:szCs w:val="24"/>
          <w:lang w:val="fr-FR" w:bidi="yi-Hebr"/>
        </w:rPr>
      </w:pPr>
      <w:r w:rsidRPr="00C65506">
        <w:rPr>
          <w:color w:val="000000"/>
          <w:szCs w:val="24"/>
          <w:lang w:val="fr-FR" w:bidi="yi-Hebr"/>
        </w:rPr>
        <w:t>Il n’</w:t>
      </w:r>
      <w:r w:rsidR="00D77FE8" w:rsidRPr="00C65506">
        <w:rPr>
          <w:color w:val="000000"/>
          <w:szCs w:val="24"/>
          <w:lang w:val="fr-FR" w:bidi="yi-Hebr"/>
        </w:rPr>
        <w:t>existe</w:t>
      </w:r>
      <w:r w:rsidRPr="00C65506">
        <w:rPr>
          <w:color w:val="000000"/>
          <w:szCs w:val="24"/>
          <w:lang w:val="fr-FR" w:bidi="yi-Hebr"/>
        </w:rPr>
        <w:t xml:space="preserve"> pas d’utilisation justifiée de la follitropine alfa dans la population âgée. La sécurité et l’efficacité de la follitropine alfa chez les patients âgés n’ont pas été établies.</w:t>
      </w:r>
    </w:p>
    <w:p w:rsidR="0003335D" w:rsidRPr="00C65506" w:rsidRDefault="0003335D" w:rsidP="00496272">
      <w:pPr>
        <w:tabs>
          <w:tab w:val="clear" w:pos="567"/>
        </w:tabs>
        <w:outlineLvl w:val="0"/>
        <w:rPr>
          <w:i/>
          <w:iCs/>
          <w:noProof/>
          <w:color w:val="000000"/>
          <w:szCs w:val="22"/>
          <w:lang w:val="fr-FR"/>
        </w:rPr>
      </w:pPr>
    </w:p>
    <w:p w:rsidR="000464ED" w:rsidRPr="00C65506" w:rsidRDefault="000464ED" w:rsidP="000464ED">
      <w:pPr>
        <w:tabs>
          <w:tab w:val="clear" w:pos="567"/>
        </w:tabs>
        <w:outlineLvl w:val="0"/>
        <w:rPr>
          <w:noProof/>
          <w:color w:val="000000"/>
          <w:szCs w:val="24"/>
          <w:u w:val="single"/>
          <w:lang w:val="fr-FR" w:bidi="yi-Hebr"/>
        </w:rPr>
      </w:pPr>
      <w:r w:rsidRPr="00C65506">
        <w:rPr>
          <w:color w:val="000000"/>
          <w:szCs w:val="24"/>
          <w:u w:val="single"/>
          <w:lang w:val="fr-FR" w:bidi="yi-Hebr"/>
        </w:rPr>
        <w:t>Insuffisance rénale ou hépatique</w:t>
      </w:r>
    </w:p>
    <w:p w:rsidR="000464ED" w:rsidRPr="00C65506" w:rsidRDefault="000464ED" w:rsidP="000464ED">
      <w:pPr>
        <w:tabs>
          <w:tab w:val="clear" w:pos="567"/>
        </w:tabs>
        <w:outlineLvl w:val="0"/>
        <w:rPr>
          <w:noProof/>
          <w:color w:val="000000"/>
          <w:szCs w:val="24"/>
          <w:lang w:val="fr-FR" w:bidi="yi-Hebr"/>
        </w:rPr>
      </w:pPr>
      <w:r w:rsidRPr="00C65506">
        <w:rPr>
          <w:color w:val="000000"/>
          <w:szCs w:val="24"/>
          <w:lang w:val="fr-FR" w:bidi="yi-Hebr"/>
        </w:rPr>
        <w:t>La sécurité, l’efficacité et les propriétés pharmacocinétiques de la follitropine alfa n’ont pas été établies chez les patients atteints d’insuffisance rénale ou hépatique.</w:t>
      </w:r>
    </w:p>
    <w:p w:rsidR="0003335D" w:rsidRPr="00C65506" w:rsidRDefault="0003335D" w:rsidP="00496272">
      <w:pPr>
        <w:tabs>
          <w:tab w:val="clear" w:pos="567"/>
        </w:tabs>
        <w:outlineLvl w:val="0"/>
        <w:rPr>
          <w:noProof/>
          <w:color w:val="000000"/>
          <w:szCs w:val="22"/>
          <w:lang w:val="fr-FR"/>
        </w:rPr>
      </w:pPr>
    </w:p>
    <w:p w:rsidR="000464ED" w:rsidRPr="00C65506" w:rsidRDefault="000464ED" w:rsidP="000464ED">
      <w:pPr>
        <w:keepNext/>
        <w:keepLines/>
        <w:tabs>
          <w:tab w:val="clear" w:pos="567"/>
        </w:tabs>
        <w:outlineLvl w:val="0"/>
        <w:rPr>
          <w:noProof/>
          <w:color w:val="000000"/>
          <w:szCs w:val="24"/>
          <w:u w:val="single"/>
          <w:lang w:val="fr-FR" w:bidi="yi-Hebr"/>
        </w:rPr>
      </w:pPr>
      <w:r w:rsidRPr="00C65506">
        <w:rPr>
          <w:color w:val="000000"/>
          <w:szCs w:val="24"/>
          <w:u w:val="single"/>
          <w:lang w:val="fr-FR" w:bidi="yi-Hebr"/>
        </w:rPr>
        <w:t>Population pédiatrique</w:t>
      </w:r>
    </w:p>
    <w:p w:rsidR="000464ED" w:rsidRPr="00C65506" w:rsidRDefault="000464ED" w:rsidP="000464ED">
      <w:pPr>
        <w:keepNext/>
        <w:keepLines/>
        <w:tabs>
          <w:tab w:val="clear" w:pos="567"/>
        </w:tabs>
        <w:outlineLvl w:val="0"/>
        <w:rPr>
          <w:noProof/>
          <w:color w:val="000000"/>
          <w:szCs w:val="24"/>
          <w:lang w:val="fr-FR" w:bidi="yi-Hebr"/>
        </w:rPr>
      </w:pPr>
      <w:r w:rsidRPr="00C65506">
        <w:rPr>
          <w:color w:val="000000"/>
          <w:szCs w:val="24"/>
          <w:lang w:val="fr-FR" w:bidi="yi-Hebr"/>
        </w:rPr>
        <w:t xml:space="preserve">Il </w:t>
      </w:r>
      <w:r w:rsidR="00D77FE8" w:rsidRPr="00C65506">
        <w:rPr>
          <w:color w:val="000000"/>
          <w:szCs w:val="24"/>
          <w:lang w:val="fr-FR" w:bidi="yi-Hebr"/>
        </w:rPr>
        <w:t>n’existe</w:t>
      </w:r>
      <w:r w:rsidRPr="00C65506">
        <w:rPr>
          <w:color w:val="000000"/>
          <w:szCs w:val="24"/>
          <w:lang w:val="fr-FR" w:bidi="yi-Hebr"/>
        </w:rPr>
        <w:t xml:space="preserve"> pas d’utilisation justifiée de la follitropine alfa dans la population pédiatrique.</w:t>
      </w:r>
    </w:p>
    <w:p w:rsidR="0003335D" w:rsidRPr="00C65506" w:rsidRDefault="0003335D" w:rsidP="00496272">
      <w:pPr>
        <w:tabs>
          <w:tab w:val="clear" w:pos="567"/>
        </w:tabs>
        <w:outlineLvl w:val="0"/>
        <w:rPr>
          <w:noProof/>
          <w:color w:val="000000"/>
          <w:szCs w:val="22"/>
          <w:lang w:val="fr-FR"/>
        </w:rPr>
      </w:pPr>
    </w:p>
    <w:p w:rsidR="000464ED" w:rsidRPr="00C65506" w:rsidRDefault="000464ED" w:rsidP="000464ED">
      <w:pPr>
        <w:tabs>
          <w:tab w:val="clear" w:pos="567"/>
        </w:tabs>
        <w:outlineLvl w:val="0"/>
        <w:rPr>
          <w:i/>
          <w:noProof/>
          <w:color w:val="000000"/>
          <w:szCs w:val="24"/>
          <w:u w:val="single"/>
          <w:lang w:val="fr-FR" w:bidi="yi-Hebr"/>
        </w:rPr>
      </w:pPr>
      <w:r w:rsidRPr="00C65506">
        <w:rPr>
          <w:i/>
          <w:color w:val="000000"/>
          <w:szCs w:val="24"/>
          <w:u w:val="single"/>
          <w:lang w:val="fr-FR" w:bidi="yi-Hebr"/>
        </w:rPr>
        <w:t>Mode d’administration</w:t>
      </w:r>
    </w:p>
    <w:p w:rsidR="0003335D" w:rsidRPr="00C65506" w:rsidRDefault="0003335D" w:rsidP="00496272">
      <w:pPr>
        <w:tabs>
          <w:tab w:val="clear" w:pos="567"/>
        </w:tabs>
        <w:outlineLvl w:val="0"/>
        <w:rPr>
          <w:noProof/>
          <w:color w:val="000000"/>
          <w:szCs w:val="22"/>
          <w:lang w:val="fr-FR"/>
        </w:rPr>
      </w:pPr>
    </w:p>
    <w:p w:rsidR="000464ED" w:rsidRPr="00C65506" w:rsidRDefault="000464ED" w:rsidP="000464ED">
      <w:pPr>
        <w:tabs>
          <w:tab w:val="clear" w:pos="567"/>
        </w:tabs>
        <w:outlineLvl w:val="0"/>
        <w:rPr>
          <w:noProof/>
          <w:szCs w:val="24"/>
          <w:lang w:val="fr-FR" w:bidi="yi-Hebr"/>
        </w:rPr>
      </w:pPr>
      <w:r w:rsidRPr="00C65506">
        <w:rPr>
          <w:color w:val="000000"/>
          <w:szCs w:val="24"/>
          <w:lang w:val="fr-FR" w:bidi="yi-Hebr"/>
        </w:rPr>
        <w:t>Ovaleap doit être administré par voie sous-cutanée. La première injection devra être faite sous surveillance médicale directe. L’auto-injection ne devra être réalisée que par des patients motivés, formés et pouvant disposer de conseils avisés.</w:t>
      </w:r>
    </w:p>
    <w:p w:rsidR="0003335D" w:rsidRPr="00C65506" w:rsidRDefault="0003335D" w:rsidP="00496272">
      <w:pPr>
        <w:tabs>
          <w:tab w:val="clear" w:pos="567"/>
        </w:tabs>
        <w:outlineLvl w:val="0"/>
        <w:rPr>
          <w:noProof/>
          <w:color w:val="000000"/>
          <w:szCs w:val="22"/>
          <w:lang w:val="fr-FR"/>
        </w:rPr>
      </w:pPr>
    </w:p>
    <w:p w:rsidR="000464ED" w:rsidRPr="00C65506" w:rsidRDefault="000464ED" w:rsidP="000464ED">
      <w:pPr>
        <w:tabs>
          <w:tab w:val="clear" w:pos="567"/>
        </w:tabs>
        <w:outlineLvl w:val="0"/>
        <w:rPr>
          <w:noProof/>
          <w:color w:val="000000"/>
          <w:szCs w:val="24"/>
          <w:lang w:val="fr-FR" w:bidi="yi-Hebr"/>
        </w:rPr>
      </w:pPr>
      <w:r w:rsidRPr="00C65506">
        <w:rPr>
          <w:color w:val="000000"/>
          <w:szCs w:val="24"/>
          <w:lang w:val="fr-FR" w:bidi="yi-Hebr"/>
        </w:rPr>
        <w:t>La cartouche multidose étant destinée à être utilisée pour plusieurs injections, des instructions claires doivent être fournies aux patients afin d’éviter toute mauvaise utilisation de ce</w:t>
      </w:r>
      <w:r w:rsidR="001E4C9A" w:rsidRPr="00C65506">
        <w:rPr>
          <w:color w:val="000000"/>
          <w:szCs w:val="24"/>
          <w:lang w:val="fr-FR" w:bidi="yi-Hebr"/>
        </w:rPr>
        <w:t xml:space="preserve"> médicament</w:t>
      </w:r>
      <w:r w:rsidRPr="00C65506">
        <w:rPr>
          <w:color w:val="000000"/>
          <w:szCs w:val="24"/>
          <w:lang w:val="fr-FR" w:bidi="yi-Hebr"/>
        </w:rPr>
        <w:t>.</w:t>
      </w:r>
    </w:p>
    <w:p w:rsidR="0003335D" w:rsidRPr="00C65506" w:rsidRDefault="0003335D" w:rsidP="00496272">
      <w:pPr>
        <w:tabs>
          <w:tab w:val="clear" w:pos="567"/>
        </w:tabs>
        <w:outlineLvl w:val="0"/>
        <w:rPr>
          <w:noProof/>
          <w:color w:val="000000"/>
          <w:szCs w:val="22"/>
          <w:lang w:val="fr-FR"/>
        </w:rPr>
      </w:pPr>
    </w:p>
    <w:p w:rsidR="000464ED" w:rsidRPr="00C65506" w:rsidRDefault="000464ED" w:rsidP="000464ED">
      <w:pPr>
        <w:tabs>
          <w:tab w:val="clear" w:pos="567"/>
        </w:tabs>
        <w:rPr>
          <w:noProof/>
          <w:szCs w:val="24"/>
          <w:lang w:val="fr-FR" w:bidi="yi-Hebr"/>
        </w:rPr>
      </w:pPr>
      <w:bookmarkStart w:id="1" w:name="OLE_LINK3"/>
      <w:r w:rsidRPr="00C65506">
        <w:rPr>
          <w:color w:val="000000"/>
          <w:szCs w:val="24"/>
          <w:lang w:val="fr-FR" w:bidi="yi-Hebr"/>
        </w:rPr>
        <w:t>La cartouche d’Ovaleap est conçue pour être utilisée en association avec le stylo Ovaleap</w:t>
      </w:r>
      <w:r w:rsidR="008E4008" w:rsidRPr="00C65506">
        <w:rPr>
          <w:color w:val="000000"/>
          <w:szCs w:val="24"/>
          <w:lang w:val="fr-FR" w:bidi="yi-Hebr"/>
        </w:rPr>
        <w:t xml:space="preserve"> Pen</w:t>
      </w:r>
      <w:r w:rsidRPr="00C65506">
        <w:rPr>
          <w:color w:val="000000"/>
          <w:szCs w:val="24"/>
          <w:lang w:val="fr-FR" w:bidi="yi-Hebr"/>
        </w:rPr>
        <w:t xml:space="preserve"> uniquement, lequel est fourni séparément.</w:t>
      </w:r>
      <w:r w:rsidRPr="00C65506">
        <w:rPr>
          <w:noProof/>
          <w:color w:val="000000"/>
          <w:szCs w:val="24"/>
          <w:lang w:val="fr-FR" w:bidi="yi-Hebr"/>
        </w:rPr>
        <w:t xml:space="preserve"> </w:t>
      </w:r>
      <w:r w:rsidRPr="00C65506">
        <w:rPr>
          <w:color w:val="000000"/>
          <w:szCs w:val="24"/>
          <w:lang w:val="fr-FR" w:bidi="yi-Hebr"/>
        </w:rPr>
        <w:t>Pour les instructions concernant l’administration avec le stylo Ovaleap</w:t>
      </w:r>
      <w:r w:rsidR="008E4008" w:rsidRPr="00C65506">
        <w:rPr>
          <w:color w:val="000000"/>
          <w:szCs w:val="24"/>
          <w:lang w:val="fr-FR" w:bidi="yi-Hebr"/>
        </w:rPr>
        <w:t xml:space="preserve"> Pen</w:t>
      </w:r>
      <w:r w:rsidRPr="00C65506">
        <w:rPr>
          <w:color w:val="000000"/>
          <w:szCs w:val="24"/>
          <w:lang w:val="fr-FR" w:bidi="yi-Hebr"/>
        </w:rPr>
        <w:t>, voir la rubrique 6.6.</w:t>
      </w:r>
    </w:p>
    <w:bookmarkEnd w:id="1"/>
    <w:p w:rsidR="0083598A" w:rsidRPr="00C65506" w:rsidRDefault="0083598A" w:rsidP="00496272">
      <w:pPr>
        <w:tabs>
          <w:tab w:val="clear" w:pos="567"/>
        </w:tabs>
        <w:outlineLvl w:val="0"/>
        <w:rPr>
          <w:noProof/>
          <w:color w:val="000000"/>
          <w:szCs w:val="22"/>
          <w:lang w:val="fr-FR"/>
        </w:rPr>
      </w:pPr>
    </w:p>
    <w:p w:rsidR="000464ED" w:rsidRPr="00C65506" w:rsidRDefault="000464ED" w:rsidP="000464ED">
      <w:pPr>
        <w:ind w:left="567" w:hanging="567"/>
        <w:rPr>
          <w:noProof/>
          <w:szCs w:val="24"/>
          <w:lang w:val="fr-FR" w:bidi="yi-Hebr"/>
        </w:rPr>
      </w:pPr>
      <w:r w:rsidRPr="00C65506">
        <w:rPr>
          <w:b/>
          <w:noProof/>
          <w:szCs w:val="24"/>
          <w:lang w:val="fr-FR" w:bidi="yi-Hebr"/>
        </w:rPr>
        <w:t>4.3</w:t>
      </w:r>
      <w:r w:rsidRPr="00C65506">
        <w:rPr>
          <w:b/>
          <w:noProof/>
          <w:szCs w:val="24"/>
          <w:lang w:val="fr-FR" w:bidi="yi-Hebr"/>
        </w:rPr>
        <w:tab/>
      </w:r>
      <w:r w:rsidRPr="00C65506">
        <w:rPr>
          <w:b/>
          <w:szCs w:val="24"/>
          <w:lang w:val="fr-FR" w:bidi="yi-Hebr"/>
        </w:rPr>
        <w:t>Contre-indications</w:t>
      </w:r>
    </w:p>
    <w:p w:rsidR="00F25477" w:rsidRPr="00C65506" w:rsidRDefault="00F25477" w:rsidP="00496272">
      <w:pPr>
        <w:rPr>
          <w:noProof/>
          <w:szCs w:val="22"/>
          <w:lang w:val="fr-FR"/>
        </w:rPr>
      </w:pPr>
    </w:p>
    <w:p w:rsidR="000464ED" w:rsidRPr="00C65506" w:rsidRDefault="000464ED" w:rsidP="00297FB7">
      <w:pPr>
        <w:numPr>
          <w:ilvl w:val="0"/>
          <w:numId w:val="11"/>
        </w:numPr>
        <w:tabs>
          <w:tab w:val="clear" w:pos="567"/>
        </w:tabs>
        <w:ind w:left="567" w:hanging="567"/>
        <w:rPr>
          <w:noProof/>
          <w:color w:val="000000"/>
          <w:szCs w:val="24"/>
          <w:lang w:val="fr-FR" w:bidi="yi-Hebr"/>
        </w:rPr>
      </w:pPr>
      <w:r w:rsidRPr="00C65506">
        <w:rPr>
          <w:szCs w:val="24"/>
          <w:lang w:val="fr-FR" w:bidi="yi-Hebr"/>
        </w:rPr>
        <w:t xml:space="preserve">hypersensibilité </w:t>
      </w:r>
      <w:r w:rsidR="00010B4C" w:rsidRPr="00C65506">
        <w:rPr>
          <w:szCs w:val="22"/>
          <w:lang w:val="fr-FR"/>
        </w:rPr>
        <w:t>à la substance active</w:t>
      </w:r>
      <w:r w:rsidRPr="00C65506">
        <w:rPr>
          <w:szCs w:val="24"/>
          <w:lang w:val="fr-FR" w:bidi="yi-Hebr"/>
        </w:rPr>
        <w:t>, la follitropine alfa</w:t>
      </w:r>
      <w:r w:rsidR="00A94919" w:rsidRPr="00C65506">
        <w:rPr>
          <w:szCs w:val="24"/>
          <w:lang w:val="fr-FR" w:bidi="yi-Hebr"/>
        </w:rPr>
        <w:t xml:space="preserve">, à la </w:t>
      </w:r>
      <w:r w:rsidRPr="00C65506">
        <w:rPr>
          <w:szCs w:val="24"/>
          <w:lang w:val="fr-FR" w:bidi="yi-Hebr"/>
        </w:rPr>
        <w:t>FSH ou à l’un des excipients mentionnés à la rubrique 6.1</w:t>
      </w:r>
      <w:r w:rsidR="00AA513C" w:rsidRPr="00C65506">
        <w:rPr>
          <w:szCs w:val="24"/>
          <w:lang w:val="fr-FR" w:bidi="yi-Hebr"/>
        </w:rPr>
        <w:t> ;</w:t>
      </w:r>
    </w:p>
    <w:p w:rsidR="000464ED" w:rsidRPr="00C65506" w:rsidRDefault="000464ED" w:rsidP="00297FB7">
      <w:pPr>
        <w:numPr>
          <w:ilvl w:val="0"/>
          <w:numId w:val="11"/>
        </w:numPr>
        <w:tabs>
          <w:tab w:val="clear" w:pos="567"/>
        </w:tabs>
        <w:ind w:left="567" w:hanging="567"/>
        <w:rPr>
          <w:noProof/>
          <w:color w:val="000000"/>
          <w:szCs w:val="24"/>
          <w:lang w:val="fr-FR" w:bidi="yi-Hebr"/>
        </w:rPr>
      </w:pPr>
      <w:r w:rsidRPr="00C65506">
        <w:rPr>
          <w:color w:val="000000"/>
          <w:szCs w:val="24"/>
          <w:lang w:val="fr-FR" w:bidi="yi-Hebr"/>
        </w:rPr>
        <w:t>tumeur hypothalamique ou hypophysaire</w:t>
      </w:r>
      <w:r w:rsidR="00AA513C" w:rsidRPr="00C65506">
        <w:rPr>
          <w:color w:val="000000"/>
          <w:szCs w:val="24"/>
          <w:lang w:val="fr-FR" w:bidi="yi-Hebr"/>
        </w:rPr>
        <w:t> ;</w:t>
      </w:r>
    </w:p>
    <w:p w:rsidR="000464ED" w:rsidRPr="00C65506" w:rsidRDefault="000464ED" w:rsidP="00297FB7">
      <w:pPr>
        <w:numPr>
          <w:ilvl w:val="0"/>
          <w:numId w:val="11"/>
        </w:numPr>
        <w:tabs>
          <w:tab w:val="clear" w:pos="567"/>
        </w:tabs>
        <w:ind w:left="567" w:hanging="567"/>
        <w:rPr>
          <w:noProof/>
          <w:color w:val="000000"/>
          <w:szCs w:val="24"/>
          <w:lang w:val="fr-FR" w:bidi="yi-Hebr"/>
        </w:rPr>
      </w:pPr>
      <w:r w:rsidRPr="00C65506">
        <w:rPr>
          <w:color w:val="000000"/>
          <w:szCs w:val="24"/>
          <w:lang w:val="fr-FR" w:bidi="yi-Hebr"/>
        </w:rPr>
        <w:t>hypertrophie de l’ovaire ou kyste ovarien non dû à un syndrome des ovaires polykystiques</w:t>
      </w:r>
      <w:r w:rsidR="00AA513C" w:rsidRPr="00C65506">
        <w:rPr>
          <w:color w:val="000000"/>
          <w:szCs w:val="24"/>
          <w:lang w:val="fr-FR" w:bidi="yi-Hebr"/>
        </w:rPr>
        <w:t> ;</w:t>
      </w:r>
    </w:p>
    <w:p w:rsidR="000464ED" w:rsidRPr="00C65506" w:rsidRDefault="000464ED" w:rsidP="00297FB7">
      <w:pPr>
        <w:numPr>
          <w:ilvl w:val="0"/>
          <w:numId w:val="11"/>
        </w:numPr>
        <w:tabs>
          <w:tab w:val="clear" w:pos="567"/>
        </w:tabs>
        <w:ind w:left="567" w:hanging="567"/>
        <w:rPr>
          <w:noProof/>
          <w:color w:val="000000"/>
          <w:szCs w:val="24"/>
          <w:lang w:val="fr-FR" w:bidi="yi-Hebr"/>
        </w:rPr>
      </w:pPr>
      <w:r w:rsidRPr="00C65506">
        <w:rPr>
          <w:color w:val="000000"/>
          <w:szCs w:val="24"/>
          <w:lang w:val="fr-FR" w:bidi="yi-Hebr"/>
        </w:rPr>
        <w:t>saignements gynécologiques d’étiologie inconnue</w:t>
      </w:r>
      <w:r w:rsidR="00AA513C" w:rsidRPr="00C65506">
        <w:rPr>
          <w:color w:val="000000"/>
          <w:szCs w:val="24"/>
          <w:lang w:val="fr-FR" w:bidi="yi-Hebr"/>
        </w:rPr>
        <w:t> ;</w:t>
      </w:r>
    </w:p>
    <w:p w:rsidR="00F94EFA" w:rsidRPr="00C65506" w:rsidRDefault="00F94EFA" w:rsidP="00297FB7">
      <w:pPr>
        <w:numPr>
          <w:ilvl w:val="0"/>
          <w:numId w:val="11"/>
        </w:numPr>
        <w:tabs>
          <w:tab w:val="clear" w:pos="567"/>
        </w:tabs>
        <w:ind w:left="567" w:hanging="567"/>
        <w:rPr>
          <w:noProof/>
          <w:color w:val="000000"/>
          <w:szCs w:val="24"/>
          <w:lang w:val="fr-FR" w:bidi="yi-Hebr"/>
        </w:rPr>
      </w:pPr>
      <w:r w:rsidRPr="00C65506">
        <w:rPr>
          <w:color w:val="000000"/>
          <w:szCs w:val="24"/>
          <w:lang w:val="fr-FR" w:bidi="yi-Hebr"/>
        </w:rPr>
        <w:t>carcinome ovarien, utérin ou mammaire</w:t>
      </w:r>
      <w:r w:rsidR="00AA513C" w:rsidRPr="00C65506">
        <w:rPr>
          <w:color w:val="000000"/>
          <w:szCs w:val="24"/>
          <w:lang w:val="fr-FR" w:bidi="yi-Hebr"/>
        </w:rPr>
        <w:t>.</w:t>
      </w:r>
    </w:p>
    <w:p w:rsidR="0003335D" w:rsidRPr="00C65506" w:rsidRDefault="0003335D" w:rsidP="00496272">
      <w:pPr>
        <w:tabs>
          <w:tab w:val="clear" w:pos="567"/>
        </w:tabs>
        <w:ind w:left="567" w:hanging="567"/>
        <w:rPr>
          <w:noProof/>
          <w:color w:val="000000"/>
          <w:szCs w:val="22"/>
          <w:lang w:val="fr-FR"/>
        </w:rPr>
      </w:pPr>
    </w:p>
    <w:p w:rsidR="00F94EFA" w:rsidRPr="00C65506" w:rsidRDefault="00F94EFA" w:rsidP="00F94EFA">
      <w:pPr>
        <w:tabs>
          <w:tab w:val="clear" w:pos="567"/>
        </w:tabs>
        <w:ind w:left="567" w:hanging="567"/>
        <w:rPr>
          <w:noProof/>
          <w:color w:val="000000"/>
          <w:szCs w:val="24"/>
          <w:lang w:val="fr-FR" w:bidi="yi-Hebr"/>
        </w:rPr>
      </w:pPr>
      <w:r w:rsidRPr="00C65506">
        <w:rPr>
          <w:color w:val="000000"/>
          <w:szCs w:val="24"/>
          <w:lang w:val="fr-FR" w:bidi="yi-Hebr"/>
        </w:rPr>
        <w:t>Ovaleap ne peut pas être utilisé si une réponse efficace ne peut être obtenue, par exemple :</w:t>
      </w:r>
    </w:p>
    <w:p w:rsidR="00F94EFA" w:rsidRPr="00C65506" w:rsidRDefault="00F94EFA" w:rsidP="00297FB7">
      <w:pPr>
        <w:numPr>
          <w:ilvl w:val="0"/>
          <w:numId w:val="11"/>
        </w:numPr>
        <w:tabs>
          <w:tab w:val="clear" w:pos="567"/>
        </w:tabs>
        <w:ind w:left="567" w:hanging="567"/>
        <w:rPr>
          <w:noProof/>
          <w:color w:val="000000"/>
          <w:szCs w:val="24"/>
          <w:lang w:val="fr-FR" w:bidi="yi-Hebr"/>
        </w:rPr>
      </w:pPr>
      <w:r w:rsidRPr="00C65506">
        <w:rPr>
          <w:color w:val="000000"/>
          <w:szCs w:val="24"/>
          <w:lang w:val="fr-FR" w:bidi="yi-Hebr"/>
        </w:rPr>
        <w:t>insuffisance ovarienne primaire</w:t>
      </w:r>
      <w:r w:rsidR="00AA513C" w:rsidRPr="00C65506">
        <w:rPr>
          <w:color w:val="000000"/>
          <w:szCs w:val="24"/>
          <w:lang w:val="fr-FR" w:bidi="yi-Hebr"/>
        </w:rPr>
        <w:t> ;</w:t>
      </w:r>
    </w:p>
    <w:p w:rsidR="00F94EFA" w:rsidRPr="00C65506" w:rsidRDefault="00F94EFA" w:rsidP="00297FB7">
      <w:pPr>
        <w:numPr>
          <w:ilvl w:val="0"/>
          <w:numId w:val="11"/>
        </w:numPr>
        <w:tabs>
          <w:tab w:val="clear" w:pos="567"/>
        </w:tabs>
        <w:ind w:left="567" w:hanging="567"/>
        <w:rPr>
          <w:noProof/>
          <w:color w:val="000000"/>
          <w:szCs w:val="24"/>
          <w:lang w:val="fr-FR" w:bidi="yi-Hebr"/>
        </w:rPr>
      </w:pPr>
      <w:r w:rsidRPr="00C65506">
        <w:rPr>
          <w:color w:val="000000"/>
          <w:szCs w:val="24"/>
          <w:lang w:val="fr-FR" w:bidi="yi-Hebr"/>
        </w:rPr>
        <w:t>malformation des organes génitaux incompatible avec une grossesse</w:t>
      </w:r>
      <w:r w:rsidR="00AA513C" w:rsidRPr="00C65506">
        <w:rPr>
          <w:color w:val="000000"/>
          <w:szCs w:val="24"/>
          <w:lang w:val="fr-FR" w:bidi="yi-Hebr"/>
        </w:rPr>
        <w:t> ;</w:t>
      </w:r>
    </w:p>
    <w:p w:rsidR="00F94EFA" w:rsidRPr="00C65506" w:rsidRDefault="00F94EFA" w:rsidP="00297FB7">
      <w:pPr>
        <w:numPr>
          <w:ilvl w:val="0"/>
          <w:numId w:val="11"/>
        </w:numPr>
        <w:tabs>
          <w:tab w:val="clear" w:pos="567"/>
        </w:tabs>
        <w:ind w:left="567" w:hanging="567"/>
        <w:rPr>
          <w:noProof/>
          <w:color w:val="000000"/>
          <w:szCs w:val="24"/>
          <w:lang w:val="fr-FR" w:bidi="yi-Hebr"/>
        </w:rPr>
      </w:pPr>
      <w:r w:rsidRPr="00C65506">
        <w:rPr>
          <w:color w:val="000000"/>
          <w:szCs w:val="24"/>
          <w:lang w:val="fr-FR" w:bidi="yi-Hebr"/>
        </w:rPr>
        <w:t>fibrome utérin incompatible avec une grossesse</w:t>
      </w:r>
      <w:r w:rsidR="00AA513C" w:rsidRPr="00C65506">
        <w:rPr>
          <w:color w:val="000000"/>
          <w:szCs w:val="24"/>
          <w:lang w:val="fr-FR" w:bidi="yi-Hebr"/>
        </w:rPr>
        <w:t> ;</w:t>
      </w:r>
    </w:p>
    <w:p w:rsidR="00F94EFA" w:rsidRPr="00C65506" w:rsidRDefault="00F94EFA" w:rsidP="00297FB7">
      <w:pPr>
        <w:numPr>
          <w:ilvl w:val="0"/>
          <w:numId w:val="11"/>
        </w:numPr>
        <w:tabs>
          <w:tab w:val="clear" w:pos="567"/>
        </w:tabs>
        <w:ind w:left="567" w:hanging="567"/>
        <w:rPr>
          <w:noProof/>
          <w:color w:val="000000"/>
          <w:szCs w:val="24"/>
          <w:lang w:val="fr-FR" w:bidi="yi-Hebr"/>
        </w:rPr>
      </w:pPr>
      <w:r w:rsidRPr="00C65506">
        <w:rPr>
          <w:color w:val="000000"/>
          <w:szCs w:val="24"/>
          <w:lang w:val="fr-FR" w:bidi="yi-Hebr"/>
        </w:rPr>
        <w:t>insuffisance testiculaire primaire</w:t>
      </w:r>
      <w:r w:rsidR="00AA513C" w:rsidRPr="00C65506">
        <w:rPr>
          <w:color w:val="000000"/>
          <w:szCs w:val="24"/>
          <w:lang w:val="fr-FR" w:bidi="yi-Hebr"/>
        </w:rPr>
        <w:t>.</w:t>
      </w:r>
    </w:p>
    <w:p w:rsidR="0003335D" w:rsidRPr="00C65506" w:rsidRDefault="0003335D" w:rsidP="00496272">
      <w:pPr>
        <w:rPr>
          <w:noProof/>
          <w:szCs w:val="22"/>
          <w:lang w:val="fr-FR"/>
        </w:rPr>
      </w:pPr>
    </w:p>
    <w:p w:rsidR="00F94EFA" w:rsidRPr="00C65506" w:rsidRDefault="00F94EFA" w:rsidP="00F94EFA">
      <w:pPr>
        <w:ind w:left="567" w:hanging="567"/>
        <w:rPr>
          <w:b/>
          <w:noProof/>
          <w:szCs w:val="24"/>
          <w:lang w:val="fr-FR" w:bidi="yi-Hebr"/>
        </w:rPr>
      </w:pPr>
      <w:r w:rsidRPr="00C65506">
        <w:rPr>
          <w:b/>
          <w:noProof/>
          <w:szCs w:val="24"/>
          <w:lang w:val="fr-FR" w:bidi="yi-Hebr"/>
        </w:rPr>
        <w:t>4.4</w:t>
      </w:r>
      <w:r w:rsidRPr="00C65506">
        <w:rPr>
          <w:b/>
          <w:noProof/>
          <w:szCs w:val="24"/>
          <w:lang w:val="fr-FR" w:bidi="yi-Hebr"/>
        </w:rPr>
        <w:tab/>
      </w:r>
      <w:r w:rsidRPr="00C65506">
        <w:rPr>
          <w:b/>
          <w:szCs w:val="24"/>
          <w:lang w:val="fr-FR" w:bidi="yi-Hebr"/>
        </w:rPr>
        <w:t>Mises en garde spéciales et précautions d’emploi</w:t>
      </w:r>
    </w:p>
    <w:p w:rsidR="00812D16" w:rsidRPr="00C65506" w:rsidRDefault="00812D16" w:rsidP="00496272">
      <w:pPr>
        <w:ind w:left="567" w:hanging="567"/>
        <w:rPr>
          <w:b/>
          <w:noProof/>
          <w:szCs w:val="22"/>
          <w:lang w:val="fr-FR"/>
        </w:rPr>
      </w:pPr>
    </w:p>
    <w:p w:rsidR="0088370E" w:rsidRPr="00C65506" w:rsidRDefault="0088370E" w:rsidP="00496272">
      <w:pPr>
        <w:ind w:left="567" w:hanging="567"/>
        <w:rPr>
          <w:i/>
          <w:noProof/>
          <w:szCs w:val="22"/>
          <w:u w:val="single"/>
          <w:lang w:val="fr-FR"/>
        </w:rPr>
      </w:pPr>
      <w:r w:rsidRPr="00C65506">
        <w:rPr>
          <w:i/>
          <w:noProof/>
          <w:szCs w:val="22"/>
          <w:u w:val="single"/>
          <w:lang w:val="fr-FR"/>
        </w:rPr>
        <w:t>Traçabilité</w:t>
      </w:r>
    </w:p>
    <w:p w:rsidR="0088370E" w:rsidRPr="00C65506" w:rsidRDefault="0088370E" w:rsidP="00F81791">
      <w:pPr>
        <w:rPr>
          <w:noProof/>
          <w:szCs w:val="22"/>
          <w:lang w:val="fr-FR"/>
        </w:rPr>
      </w:pPr>
      <w:r w:rsidRPr="00C65506">
        <w:rPr>
          <w:noProof/>
          <w:szCs w:val="22"/>
          <w:lang w:val="fr-FR"/>
        </w:rPr>
        <w:t>Afin d’améliorer la traçabilité des produits biologiques, la marque commerciale et le numéro de lot du médicament administré doivent être clairement indiqués dans le dossier du patient.</w:t>
      </w:r>
    </w:p>
    <w:p w:rsidR="0088370E" w:rsidRPr="00C65506" w:rsidRDefault="0088370E" w:rsidP="00496272">
      <w:pPr>
        <w:ind w:left="567" w:hanging="567"/>
        <w:rPr>
          <w:noProof/>
          <w:szCs w:val="22"/>
          <w:lang w:val="fr-FR"/>
        </w:rPr>
      </w:pPr>
    </w:p>
    <w:p w:rsidR="0088370E" w:rsidRPr="00C65506" w:rsidRDefault="0088370E" w:rsidP="00496272">
      <w:pPr>
        <w:ind w:left="567" w:hanging="567"/>
        <w:rPr>
          <w:i/>
          <w:noProof/>
          <w:szCs w:val="22"/>
          <w:u w:val="single"/>
          <w:lang w:val="fr-FR"/>
        </w:rPr>
      </w:pPr>
      <w:r w:rsidRPr="00C65506">
        <w:rPr>
          <w:i/>
          <w:noProof/>
          <w:szCs w:val="22"/>
          <w:u w:val="single"/>
          <w:lang w:val="fr-FR"/>
        </w:rPr>
        <w:t>Généralités</w:t>
      </w:r>
    </w:p>
    <w:p w:rsidR="00F94EFA" w:rsidRPr="00C65506" w:rsidRDefault="00F94EFA" w:rsidP="00F94EFA">
      <w:pPr>
        <w:tabs>
          <w:tab w:val="clear" w:pos="567"/>
        </w:tabs>
        <w:rPr>
          <w:noProof/>
          <w:color w:val="000000"/>
          <w:szCs w:val="24"/>
          <w:lang w:val="fr-FR" w:bidi="yi-Hebr"/>
        </w:rPr>
      </w:pPr>
      <w:r w:rsidRPr="00C65506">
        <w:rPr>
          <w:color w:val="000000"/>
          <w:szCs w:val="24"/>
          <w:lang w:val="fr-FR" w:bidi="yi-Hebr"/>
        </w:rPr>
        <w:t>La follitropine alfa est une substance gonadotrope puissante susceptible de provoquer des réactions indésirables d’intensité légère à sévère et ne devra être utilisée que par des médecins spécialistes de la prise en charge des problèmes d’infertilité.</w:t>
      </w:r>
    </w:p>
    <w:p w:rsidR="0003335D" w:rsidRPr="00C65506" w:rsidRDefault="0003335D" w:rsidP="00496272">
      <w:pPr>
        <w:tabs>
          <w:tab w:val="clear" w:pos="567"/>
        </w:tabs>
        <w:rPr>
          <w:noProof/>
          <w:color w:val="000000"/>
          <w:szCs w:val="22"/>
          <w:lang w:val="fr-FR"/>
        </w:rPr>
      </w:pPr>
    </w:p>
    <w:p w:rsidR="00F94EFA" w:rsidRPr="00C65506" w:rsidRDefault="00F94EFA" w:rsidP="00F94EFA">
      <w:pPr>
        <w:tabs>
          <w:tab w:val="clear" w:pos="567"/>
        </w:tabs>
        <w:rPr>
          <w:noProof/>
          <w:szCs w:val="24"/>
          <w:lang w:val="fr-FR" w:bidi="yi-Hebr"/>
        </w:rPr>
      </w:pPr>
      <w:r w:rsidRPr="00C65506">
        <w:rPr>
          <w:color w:val="000000"/>
          <w:szCs w:val="24"/>
          <w:lang w:val="fr-FR" w:bidi="yi-Hebr"/>
        </w:rPr>
        <w:t xml:space="preserve">Un traitement par gonadotrophines demande une certaine disponibilité de la part des médecins et des professionnels de santé, ainsi que l’utilisation des moyens de suivi appropriés. Chez les femmes, une </w:t>
      </w:r>
      <w:r w:rsidRPr="00C65506">
        <w:rPr>
          <w:color w:val="000000"/>
          <w:szCs w:val="24"/>
          <w:lang w:val="fr-FR" w:bidi="yi-Hebr"/>
        </w:rPr>
        <w:lastRenderedPageBreak/>
        <w:t>utilisation bien tolérée et efficace de la follitropine alfa nécessite un suivi régulier de la réponse ovarienne par examen échographique seul ou, de préférence, en association avec le dosage des taux plasmatiques d’œstradiol. La réponse à l’administration de FSH peut varier d’un patient à l’autre, certains patients pouvant présenter une réponse faible et d’autres une réponse excessive. En fonction de l’objectif du traitement (chez les hommes et chez les femmes), la dose efficace la plus faible devra être utilisée.</w:t>
      </w:r>
    </w:p>
    <w:p w:rsidR="0003335D" w:rsidRPr="00C65506" w:rsidRDefault="0003335D" w:rsidP="00496272">
      <w:pPr>
        <w:tabs>
          <w:tab w:val="clear" w:pos="567"/>
        </w:tabs>
        <w:rPr>
          <w:noProof/>
          <w:color w:val="000000"/>
          <w:szCs w:val="22"/>
          <w:lang w:val="fr-FR"/>
        </w:rPr>
      </w:pPr>
    </w:p>
    <w:p w:rsidR="00F94EFA" w:rsidRPr="00C65506" w:rsidRDefault="00F94EFA" w:rsidP="00F94EFA">
      <w:pPr>
        <w:keepNext/>
        <w:tabs>
          <w:tab w:val="clear" w:pos="567"/>
        </w:tabs>
        <w:rPr>
          <w:i/>
          <w:noProof/>
          <w:color w:val="000000"/>
          <w:szCs w:val="24"/>
          <w:u w:val="single"/>
          <w:lang w:val="fr-FR" w:bidi="yi-Hebr"/>
        </w:rPr>
      </w:pPr>
      <w:r w:rsidRPr="00C65506">
        <w:rPr>
          <w:i/>
          <w:color w:val="000000"/>
          <w:szCs w:val="24"/>
          <w:u w:val="single"/>
          <w:lang w:val="fr-FR" w:bidi="yi-Hebr"/>
        </w:rPr>
        <w:t>Porphyrie</w:t>
      </w:r>
    </w:p>
    <w:p w:rsidR="0003335D" w:rsidRPr="00C65506" w:rsidRDefault="0003335D" w:rsidP="00496272">
      <w:pPr>
        <w:keepNext/>
        <w:tabs>
          <w:tab w:val="clear" w:pos="567"/>
        </w:tabs>
        <w:rPr>
          <w:noProof/>
          <w:color w:val="000000"/>
          <w:szCs w:val="22"/>
          <w:lang w:val="fr-FR"/>
        </w:rPr>
      </w:pPr>
    </w:p>
    <w:p w:rsidR="00F94EFA" w:rsidRPr="00C65506" w:rsidRDefault="00F94EFA" w:rsidP="00F94EFA">
      <w:pPr>
        <w:keepNext/>
        <w:tabs>
          <w:tab w:val="clear" w:pos="567"/>
        </w:tabs>
        <w:rPr>
          <w:noProof/>
          <w:szCs w:val="24"/>
          <w:lang w:val="fr-FR" w:bidi="yi-Hebr"/>
        </w:rPr>
      </w:pPr>
      <w:r w:rsidRPr="00C65506">
        <w:rPr>
          <w:color w:val="000000"/>
          <w:szCs w:val="24"/>
          <w:lang w:val="fr-FR" w:bidi="yi-Hebr"/>
        </w:rPr>
        <w:t>Les patients présentant une porphyrie ou ayant des antécédents familiaux de porphyrie doivent être surveillés étroitement pendant le traitement par la follitropine alfa. L’aggravation d’une porphyrie ou sa survenue peut nécessiter l’arrêt du traitement.</w:t>
      </w:r>
    </w:p>
    <w:p w:rsidR="0003335D" w:rsidRPr="00C65506" w:rsidRDefault="0003335D" w:rsidP="00496272">
      <w:pPr>
        <w:tabs>
          <w:tab w:val="clear" w:pos="567"/>
        </w:tabs>
        <w:rPr>
          <w:noProof/>
          <w:color w:val="000000"/>
          <w:szCs w:val="22"/>
          <w:u w:val="single"/>
          <w:lang w:val="fr-FR"/>
        </w:rPr>
      </w:pPr>
    </w:p>
    <w:p w:rsidR="00F94EFA" w:rsidRPr="00C65506" w:rsidRDefault="00F94EFA" w:rsidP="00F94EFA">
      <w:pPr>
        <w:tabs>
          <w:tab w:val="clear" w:pos="567"/>
        </w:tabs>
        <w:rPr>
          <w:i/>
          <w:noProof/>
          <w:color w:val="000000"/>
          <w:szCs w:val="24"/>
          <w:u w:val="single"/>
          <w:lang w:val="fr-FR" w:bidi="yi-Hebr"/>
        </w:rPr>
      </w:pPr>
      <w:r w:rsidRPr="00C65506">
        <w:rPr>
          <w:i/>
          <w:color w:val="000000"/>
          <w:szCs w:val="24"/>
          <w:u w:val="single"/>
          <w:lang w:val="fr-FR" w:bidi="yi-Hebr"/>
        </w:rPr>
        <w:t>Traitement chez les femmes</w:t>
      </w:r>
    </w:p>
    <w:p w:rsidR="0003335D" w:rsidRPr="00C65506" w:rsidRDefault="0003335D" w:rsidP="00496272">
      <w:pPr>
        <w:tabs>
          <w:tab w:val="clear" w:pos="567"/>
        </w:tabs>
        <w:rPr>
          <w:noProof/>
          <w:color w:val="000000"/>
          <w:szCs w:val="22"/>
          <w:lang w:val="fr-FR"/>
        </w:rPr>
      </w:pPr>
    </w:p>
    <w:p w:rsidR="00F94EFA" w:rsidRPr="00C65506" w:rsidRDefault="00F94EFA" w:rsidP="00F94EFA">
      <w:pPr>
        <w:tabs>
          <w:tab w:val="clear" w:pos="567"/>
        </w:tabs>
        <w:rPr>
          <w:noProof/>
          <w:szCs w:val="24"/>
          <w:lang w:val="fr-FR" w:bidi="yi-Hebr"/>
        </w:rPr>
      </w:pPr>
      <w:r w:rsidRPr="00C65506">
        <w:rPr>
          <w:color w:val="000000"/>
          <w:szCs w:val="24"/>
          <w:lang w:val="fr-FR" w:bidi="yi-Hebr"/>
        </w:rPr>
        <w:t>Avant de commencer le traitement, l’infertilité du couple devra être évaluée et les éventuelles contre-indications à une grossesse devront être recherchées. Les examens porteront tout particulièrement sur l’hypothyroïdie, l’insuffisance corticosurrénalienne, et l’hyperprolactinémie et des traitements spécifiques seront prescrits.</w:t>
      </w:r>
    </w:p>
    <w:p w:rsidR="0003335D" w:rsidRPr="00C65506" w:rsidRDefault="0003335D" w:rsidP="00496272">
      <w:pPr>
        <w:tabs>
          <w:tab w:val="clear" w:pos="567"/>
        </w:tabs>
        <w:rPr>
          <w:noProof/>
          <w:color w:val="000000"/>
          <w:szCs w:val="22"/>
          <w:lang w:val="fr-FR"/>
        </w:rPr>
      </w:pPr>
    </w:p>
    <w:p w:rsidR="00F94EFA" w:rsidRPr="00C65506" w:rsidRDefault="00F94EFA" w:rsidP="00F94EFA">
      <w:pPr>
        <w:tabs>
          <w:tab w:val="clear" w:pos="567"/>
        </w:tabs>
        <w:rPr>
          <w:noProof/>
          <w:szCs w:val="24"/>
          <w:lang w:val="fr-FR" w:bidi="yi-Hebr"/>
        </w:rPr>
      </w:pPr>
      <w:r w:rsidRPr="00C65506">
        <w:rPr>
          <w:color w:val="000000"/>
          <w:szCs w:val="24"/>
          <w:lang w:val="fr-FR" w:bidi="yi-Hebr"/>
        </w:rPr>
        <w:t>Les patientes traitées pour stimuler la croissance folliculaire, pour le traitement d’une infertilité anovulatoire ou en vue de techniques d’AMP, peuvent présenter une hypertrophie ou développer une hyperstimulation ovarienne. Le risque de développer de tels événements sera minimisé si l’on se conforme à la posologie recommandée de la follitropine alfa, au schéma thérapeutique et si le traitement est étroitement surveillé. Pour une interprétation précise des indices de développement et de maturation folliculaires, le médecin doit être expérimenté dans l’interprétation des résultats des examens effectués.</w:t>
      </w:r>
    </w:p>
    <w:p w:rsidR="0003335D" w:rsidRPr="00C65506" w:rsidRDefault="0003335D" w:rsidP="00496272">
      <w:pPr>
        <w:tabs>
          <w:tab w:val="clear" w:pos="567"/>
        </w:tabs>
        <w:rPr>
          <w:noProof/>
          <w:color w:val="000000"/>
          <w:szCs w:val="22"/>
          <w:lang w:val="fr-FR"/>
        </w:rPr>
      </w:pPr>
    </w:p>
    <w:p w:rsidR="00F94EFA" w:rsidRPr="00C65506" w:rsidRDefault="00F94EFA" w:rsidP="00F94EFA">
      <w:pPr>
        <w:tabs>
          <w:tab w:val="clear" w:pos="567"/>
        </w:tabs>
        <w:rPr>
          <w:noProof/>
          <w:szCs w:val="24"/>
          <w:lang w:val="fr-FR" w:bidi="yi-Hebr"/>
        </w:rPr>
      </w:pPr>
      <w:r w:rsidRPr="00C65506">
        <w:rPr>
          <w:color w:val="000000"/>
          <w:szCs w:val="24"/>
          <w:lang w:val="fr-FR" w:bidi="yi-Hebr"/>
        </w:rPr>
        <w:t>Les essais cliniques ont montré que la sensibilité ovarienne à la follitropine alfa augmentait en cas d’administration avec la lutropine alfa. Si une augmentation de la dose de FSH est jugée nécessaire, il est préférable d’ajuster la dose à intervalles de 7 ou 14 jours et par paliers de 37,5 ou 75 UI.</w:t>
      </w:r>
    </w:p>
    <w:p w:rsidR="0003335D" w:rsidRPr="00C65506" w:rsidRDefault="0003335D" w:rsidP="00496272">
      <w:pPr>
        <w:tabs>
          <w:tab w:val="clear" w:pos="567"/>
        </w:tabs>
        <w:rPr>
          <w:noProof/>
          <w:color w:val="000000"/>
          <w:szCs w:val="22"/>
          <w:lang w:val="fr-FR"/>
        </w:rPr>
      </w:pPr>
    </w:p>
    <w:p w:rsidR="00F94EFA" w:rsidRPr="00C65506" w:rsidRDefault="00F94EFA" w:rsidP="00F94EFA">
      <w:pPr>
        <w:tabs>
          <w:tab w:val="clear" w:pos="567"/>
        </w:tabs>
        <w:rPr>
          <w:noProof/>
          <w:szCs w:val="24"/>
          <w:lang w:val="fr-FR" w:bidi="yi-Hebr"/>
        </w:rPr>
      </w:pPr>
      <w:r w:rsidRPr="00C65506">
        <w:rPr>
          <w:color w:val="000000"/>
          <w:szCs w:val="24"/>
          <w:lang w:val="fr-FR" w:bidi="yi-Hebr"/>
        </w:rPr>
        <w:t>Aucune étude comparant directement l’association follitropine alfa/LH avec les gonadotrophines ménopausiques humaines (hMG) n’a été menée. Une comparaison avec les données historiques suggère que le taux d’ovulation obtenu avec follitropine alfa/LH est équivalent à celui obtenu avec les hMG.</w:t>
      </w:r>
    </w:p>
    <w:p w:rsidR="0003335D" w:rsidRPr="00C65506" w:rsidRDefault="0003335D" w:rsidP="00496272">
      <w:pPr>
        <w:tabs>
          <w:tab w:val="clear" w:pos="567"/>
        </w:tabs>
        <w:rPr>
          <w:i/>
          <w:iCs/>
          <w:noProof/>
          <w:color w:val="000000"/>
          <w:szCs w:val="22"/>
          <w:lang w:val="fr-FR"/>
        </w:rPr>
      </w:pPr>
    </w:p>
    <w:p w:rsidR="00F94EFA" w:rsidRPr="00C65506" w:rsidRDefault="00F94EFA" w:rsidP="00F94EFA">
      <w:pPr>
        <w:tabs>
          <w:tab w:val="clear" w:pos="567"/>
        </w:tabs>
        <w:rPr>
          <w:i/>
          <w:noProof/>
          <w:color w:val="000000"/>
          <w:szCs w:val="24"/>
          <w:lang w:val="fr-FR" w:bidi="yi-Hebr"/>
        </w:rPr>
      </w:pPr>
      <w:r w:rsidRPr="00C65506">
        <w:rPr>
          <w:i/>
          <w:color w:val="000000"/>
          <w:szCs w:val="24"/>
          <w:lang w:val="fr-FR" w:bidi="yi-Hebr"/>
        </w:rPr>
        <w:t>Syndrome d’hyperstimulation ovarienne (SHO)</w:t>
      </w:r>
    </w:p>
    <w:p w:rsidR="00F94EFA" w:rsidRPr="00C65506" w:rsidRDefault="00F94EFA" w:rsidP="00F94EFA">
      <w:pPr>
        <w:tabs>
          <w:tab w:val="clear" w:pos="567"/>
        </w:tabs>
        <w:rPr>
          <w:noProof/>
          <w:szCs w:val="24"/>
          <w:lang w:val="fr-FR" w:bidi="yi-Hebr"/>
        </w:rPr>
      </w:pPr>
      <w:r w:rsidRPr="00C65506">
        <w:rPr>
          <w:color w:val="000000"/>
          <w:szCs w:val="24"/>
          <w:lang w:val="fr-FR" w:bidi="yi-Hebr"/>
        </w:rPr>
        <w:t>Un certain degré d’hypertrophie ovarienne est un effet attendu de la stimulation ovarienne contrôlée. Cet effet est plus fréquemment observé chez les femmes présentant un syndrome des ovaires polykystiques et régresse généralement sans traitement.</w:t>
      </w:r>
    </w:p>
    <w:p w:rsidR="0003335D" w:rsidRPr="00C65506" w:rsidRDefault="0003335D" w:rsidP="00496272">
      <w:pPr>
        <w:tabs>
          <w:tab w:val="clear" w:pos="567"/>
        </w:tabs>
        <w:rPr>
          <w:noProof/>
          <w:color w:val="000000"/>
          <w:szCs w:val="22"/>
          <w:lang w:val="fr-FR"/>
        </w:rPr>
      </w:pPr>
    </w:p>
    <w:p w:rsidR="00F94EFA" w:rsidRPr="00C65506" w:rsidRDefault="00F94EFA" w:rsidP="00F94EFA">
      <w:pPr>
        <w:tabs>
          <w:tab w:val="clear" w:pos="567"/>
        </w:tabs>
        <w:rPr>
          <w:noProof/>
          <w:szCs w:val="24"/>
          <w:lang w:val="fr-FR" w:bidi="yi-Hebr"/>
        </w:rPr>
      </w:pPr>
      <w:r w:rsidRPr="00C65506">
        <w:rPr>
          <w:color w:val="000000"/>
          <w:szCs w:val="24"/>
          <w:lang w:val="fr-FR" w:bidi="yi-Hebr"/>
        </w:rPr>
        <w:t>À la différence de l’hypertrophie ovarienne simple, le SHO est un état qui peut se manifester avec des degrés croissants de sévérité. Il comprend une hypertrophie marquée des ovaires, un taux plasmatique élevé de stéroïdes sexuels et un accroissement de la perméabilité vasculaire pouvant entraîner un épanchement dans les cavités péritonéale, pleurale et plus rarement, péricardique.</w:t>
      </w:r>
    </w:p>
    <w:p w:rsidR="0003335D" w:rsidRPr="00C65506" w:rsidRDefault="0003335D" w:rsidP="00496272">
      <w:pPr>
        <w:tabs>
          <w:tab w:val="clear" w:pos="567"/>
        </w:tabs>
        <w:rPr>
          <w:noProof/>
          <w:color w:val="000000"/>
          <w:szCs w:val="22"/>
          <w:lang w:val="fr-FR"/>
        </w:rPr>
      </w:pPr>
    </w:p>
    <w:p w:rsidR="00F94EFA" w:rsidRPr="00C65506" w:rsidRDefault="00F94EFA" w:rsidP="00F94EFA">
      <w:pPr>
        <w:tabs>
          <w:tab w:val="clear" w:pos="567"/>
        </w:tabs>
        <w:rPr>
          <w:noProof/>
          <w:szCs w:val="24"/>
          <w:lang w:val="fr-FR" w:bidi="yi-Hebr"/>
        </w:rPr>
      </w:pPr>
      <w:r w:rsidRPr="00C65506">
        <w:rPr>
          <w:color w:val="000000"/>
          <w:szCs w:val="24"/>
          <w:lang w:val="fr-FR" w:bidi="yi-Hebr"/>
        </w:rPr>
        <w:t>La symptomatologie suivante peut être observée au cours de SHO sévères : douleur abdominale, distension abdominale, hypertrophie ovarienne marquée, prise de poids, dyspnée, oligurie et troubles gastro-intestinaux tels que nausées, vomissements et diarrhées. Un bilan clinique peut révéler : hypovolémie, hémoconcentration, déséquilibres électrolytiques, ascite, hémopéritoine, épanchement pleural, hydrothorax ou détresse respiratoire aiguë. Très rarement, les SHO sévères peuvent s'accompagner de complications à type de torsion ovarienne ou d’événements thromboemboliques tels qu’une embolie pulmonaire, un accident ischémique ou un infarctus du myocarde.</w:t>
      </w:r>
    </w:p>
    <w:p w:rsidR="0003335D" w:rsidRPr="00C65506" w:rsidRDefault="0003335D" w:rsidP="00496272">
      <w:pPr>
        <w:tabs>
          <w:tab w:val="clear" w:pos="567"/>
        </w:tabs>
        <w:rPr>
          <w:noProof/>
          <w:color w:val="000000"/>
          <w:szCs w:val="22"/>
          <w:lang w:val="fr-FR"/>
        </w:rPr>
      </w:pPr>
    </w:p>
    <w:p w:rsidR="00FB7FC3" w:rsidRPr="00C65506" w:rsidRDefault="00FB7FC3" w:rsidP="00FB7FC3">
      <w:pPr>
        <w:tabs>
          <w:tab w:val="clear" w:pos="567"/>
        </w:tabs>
        <w:rPr>
          <w:noProof/>
          <w:color w:val="000000"/>
          <w:szCs w:val="24"/>
          <w:lang w:val="fr-FR" w:bidi="yi-Hebr"/>
        </w:rPr>
      </w:pPr>
      <w:r w:rsidRPr="00C65506">
        <w:rPr>
          <w:color w:val="000000"/>
          <w:szCs w:val="24"/>
          <w:lang w:val="fr-FR" w:bidi="yi-Hebr"/>
        </w:rPr>
        <w:t xml:space="preserve">Les facteurs de risque indépendants de développement d’un SHO incluent un syndrome des ovaires polykystiques, un taux sérique d’œstradiol absolu élevé ou en augmentation rapide (par exemple, </w:t>
      </w:r>
      <w:r w:rsidRPr="00C65506">
        <w:rPr>
          <w:color w:val="000000"/>
          <w:szCs w:val="24"/>
          <w:lang w:val="fr-FR" w:bidi="yi-Hebr"/>
        </w:rPr>
        <w:lastRenderedPageBreak/>
        <w:t>&gt; 900 pg/mL ou &gt; 3 300 pmol/L en cas d’anovulation ; &gt; 3 000 pg/mL ou &gt; 11 000 pmol/L dans le cadre d’une AMP), un nombre important de follicules ovariens en développement (par exemple, &gt; 3 follicules d’un diamètre ≥ 14</w:t>
      </w:r>
      <w:r w:rsidR="00247894" w:rsidRPr="00C65506">
        <w:rPr>
          <w:color w:val="000000"/>
          <w:szCs w:val="24"/>
          <w:lang w:val="fr-FR" w:bidi="yi-Hebr"/>
        </w:rPr>
        <w:t> </w:t>
      </w:r>
      <w:r w:rsidRPr="00C65506">
        <w:rPr>
          <w:color w:val="000000"/>
          <w:szCs w:val="24"/>
          <w:lang w:val="fr-FR" w:bidi="yi-Hebr"/>
        </w:rPr>
        <w:t>mm en cas d’anovulation ; ≥ 20 follicules d’un diamètre ≥ 12 mm dans le cadre d’une AMP).</w:t>
      </w:r>
    </w:p>
    <w:p w:rsidR="0003335D" w:rsidRPr="00C65506" w:rsidRDefault="0003335D" w:rsidP="00496272">
      <w:pPr>
        <w:tabs>
          <w:tab w:val="clear" w:pos="567"/>
        </w:tabs>
        <w:rPr>
          <w:noProof/>
          <w:color w:val="000000"/>
          <w:szCs w:val="22"/>
          <w:lang w:val="fr-FR"/>
        </w:rPr>
      </w:pPr>
    </w:p>
    <w:p w:rsidR="00FB7FC3" w:rsidRPr="00C65506" w:rsidRDefault="00FB7FC3" w:rsidP="00FB7FC3">
      <w:pPr>
        <w:tabs>
          <w:tab w:val="clear" w:pos="567"/>
        </w:tabs>
        <w:rPr>
          <w:noProof/>
          <w:szCs w:val="24"/>
          <w:lang w:val="fr-FR" w:bidi="yi-Hebr"/>
        </w:rPr>
      </w:pPr>
      <w:r w:rsidRPr="00C65506">
        <w:rPr>
          <w:color w:val="000000"/>
          <w:szCs w:val="24"/>
          <w:lang w:val="fr-FR" w:bidi="yi-Hebr"/>
        </w:rPr>
        <w:t>Le respect de la dose recommandée de follitropine alfa et du schéma thérapeutique permet de limiter au maximum le risque d'hyperstimulation ovarienne (voir rubriques 4.2 et 4.8). Une surveillance des cycles de stimulation par des examens échographiques et des dosages d’œstradiol sont recommandés pour identifier les facteurs de risque de façon précoce.</w:t>
      </w:r>
    </w:p>
    <w:p w:rsidR="0003335D" w:rsidRPr="00C65506" w:rsidRDefault="0003335D" w:rsidP="00496272">
      <w:pPr>
        <w:tabs>
          <w:tab w:val="clear" w:pos="567"/>
        </w:tabs>
        <w:rPr>
          <w:noProof/>
          <w:color w:val="000000"/>
          <w:szCs w:val="22"/>
          <w:lang w:val="fr-FR"/>
        </w:rPr>
      </w:pPr>
    </w:p>
    <w:p w:rsidR="00FC76B8" w:rsidRPr="00C65506" w:rsidRDefault="00FC76B8" w:rsidP="00FC76B8">
      <w:pPr>
        <w:tabs>
          <w:tab w:val="clear" w:pos="567"/>
        </w:tabs>
        <w:rPr>
          <w:noProof/>
          <w:szCs w:val="24"/>
          <w:lang w:val="fr-FR" w:bidi="yi-Hebr"/>
        </w:rPr>
      </w:pPr>
      <w:r w:rsidRPr="00C65506">
        <w:rPr>
          <w:color w:val="000000"/>
          <w:szCs w:val="24"/>
          <w:lang w:val="fr-FR" w:bidi="yi-Hebr"/>
        </w:rPr>
        <w:t>Il existe des données qui laissent supposer que l’hCG joue un rôle déterminant dans le déclenchement du SHO et que la sévérité et la durée du SHO peuvent être accrues par une grossesse. Par conséquent, en cas d’apparition de signes d’hyperstimulation ovarienne, tels qu’un taux sérique d’œstradiol &gt; 5 500 pg/mL ou &gt; 20 200 pmol/L et/ou ≥ 40 follicules au total, il est recommandé de ne pas administrer d’hCG et de conseiller aux patientes de ne pas avoir de rapport sexuel ou d’utiliser des moyens contraceptifs mécaniques pendant au moins 4 jours. Un SHO peut évoluer rapidement (dans les 24 heures) ou sur plusieurs jours vers un état potentiellement grave. Il survient le plus souvent après que le traitement hormonal ait été arrêté, et atteint son maximum après environ 7 à 10 jours de traitement. Pour cette raison, les patientes devront être suivies pendant au moins 2 semaines après l’administration d’hCG.</w:t>
      </w:r>
    </w:p>
    <w:p w:rsidR="0003335D" w:rsidRPr="00C65506" w:rsidRDefault="0003335D" w:rsidP="00496272">
      <w:pPr>
        <w:tabs>
          <w:tab w:val="clear" w:pos="567"/>
        </w:tabs>
        <w:rPr>
          <w:noProof/>
          <w:color w:val="000000"/>
          <w:szCs w:val="22"/>
          <w:lang w:val="fr-FR"/>
        </w:rPr>
      </w:pPr>
    </w:p>
    <w:p w:rsidR="00FC76B8" w:rsidRPr="00C65506" w:rsidRDefault="00FC76B8" w:rsidP="00FC76B8">
      <w:pPr>
        <w:tabs>
          <w:tab w:val="clear" w:pos="567"/>
        </w:tabs>
        <w:rPr>
          <w:noProof/>
          <w:color w:val="000000"/>
          <w:szCs w:val="24"/>
          <w:lang w:val="fr-FR" w:bidi="yi-Hebr"/>
        </w:rPr>
      </w:pPr>
      <w:r w:rsidRPr="00C65506">
        <w:rPr>
          <w:color w:val="000000"/>
          <w:szCs w:val="24"/>
          <w:lang w:val="fr-FR" w:bidi="yi-Hebr"/>
        </w:rPr>
        <w:t>Dans les techniques d’AMP, la ponction de tous les follicules, avant l’ovulation, peut diminuer le risque de survenue d’une hyperstimulation.</w:t>
      </w:r>
    </w:p>
    <w:p w:rsidR="0003335D" w:rsidRPr="00C65506" w:rsidRDefault="0003335D" w:rsidP="00496272">
      <w:pPr>
        <w:tabs>
          <w:tab w:val="clear" w:pos="567"/>
        </w:tabs>
        <w:rPr>
          <w:noProof/>
          <w:color w:val="000000"/>
          <w:szCs w:val="22"/>
          <w:lang w:val="fr-FR"/>
        </w:rPr>
      </w:pPr>
    </w:p>
    <w:p w:rsidR="00FC76B8" w:rsidRPr="00C65506" w:rsidRDefault="00FC76B8" w:rsidP="00FC76B8">
      <w:pPr>
        <w:tabs>
          <w:tab w:val="clear" w:pos="567"/>
        </w:tabs>
        <w:rPr>
          <w:noProof/>
          <w:szCs w:val="24"/>
          <w:lang w:val="fr-FR" w:bidi="yi-Hebr"/>
        </w:rPr>
      </w:pPr>
      <w:r w:rsidRPr="00C65506">
        <w:rPr>
          <w:color w:val="000000"/>
          <w:szCs w:val="24"/>
          <w:lang w:val="fr-FR" w:bidi="yi-Hebr"/>
        </w:rPr>
        <w:t>Généralement, un SHO léger à modéré régresse spontanément. En cas de SHO sévère, il est recommandé d’arrêter le traitement par gonadotrophines s’il est encore en cours, d’hospitaliser la patiente et de débuter un traitement spécifique.</w:t>
      </w:r>
    </w:p>
    <w:p w:rsidR="0003335D" w:rsidRPr="00C65506" w:rsidRDefault="0003335D" w:rsidP="00496272">
      <w:pPr>
        <w:tabs>
          <w:tab w:val="clear" w:pos="567"/>
        </w:tabs>
        <w:rPr>
          <w:noProof/>
          <w:color w:val="000000"/>
          <w:szCs w:val="22"/>
          <w:lang w:val="fr-FR"/>
        </w:rPr>
      </w:pPr>
    </w:p>
    <w:p w:rsidR="00FC76B8" w:rsidRPr="00C65506" w:rsidRDefault="00FC76B8" w:rsidP="00FC76B8">
      <w:pPr>
        <w:keepNext/>
        <w:keepLines/>
        <w:tabs>
          <w:tab w:val="clear" w:pos="567"/>
        </w:tabs>
        <w:rPr>
          <w:i/>
          <w:noProof/>
          <w:color w:val="000000"/>
          <w:szCs w:val="24"/>
          <w:lang w:val="fr-FR" w:bidi="yi-Hebr"/>
        </w:rPr>
      </w:pPr>
      <w:r w:rsidRPr="00C65506">
        <w:rPr>
          <w:i/>
          <w:color w:val="000000"/>
          <w:szCs w:val="24"/>
          <w:lang w:val="fr-FR" w:bidi="yi-Hebr"/>
        </w:rPr>
        <w:t>Grossesse multiple</w:t>
      </w:r>
    </w:p>
    <w:p w:rsidR="00FC76B8" w:rsidRPr="00C65506" w:rsidRDefault="00FC76B8" w:rsidP="00FC76B8">
      <w:pPr>
        <w:keepNext/>
        <w:keepLines/>
        <w:tabs>
          <w:tab w:val="clear" w:pos="567"/>
        </w:tabs>
        <w:rPr>
          <w:noProof/>
          <w:szCs w:val="24"/>
          <w:lang w:val="fr-FR" w:bidi="yi-Hebr"/>
        </w:rPr>
      </w:pPr>
      <w:r w:rsidRPr="00C65506">
        <w:rPr>
          <w:color w:val="000000"/>
          <w:szCs w:val="24"/>
          <w:lang w:val="fr-FR" w:bidi="yi-Hebr"/>
        </w:rPr>
        <w:t>Comparé à une conception naturelle, le risque de grossesse multiple est plus élevé chez les patientes entreprenant une induction de l’ovulation. La majorité de ces grossesses multiples sont gémellaires. La grossesse multiple, et plus spécifiquement celle de haut rang, est associée à un risque de complications médicales pour la mère et pour les bébés.</w:t>
      </w:r>
    </w:p>
    <w:p w:rsidR="0003335D" w:rsidRPr="00C65506" w:rsidRDefault="0003335D" w:rsidP="00496272">
      <w:pPr>
        <w:tabs>
          <w:tab w:val="clear" w:pos="567"/>
        </w:tabs>
        <w:rPr>
          <w:noProof/>
          <w:color w:val="000000"/>
          <w:szCs w:val="22"/>
          <w:lang w:val="fr-FR"/>
        </w:rPr>
      </w:pPr>
    </w:p>
    <w:p w:rsidR="00FC76B8" w:rsidRPr="00C65506" w:rsidRDefault="00FC76B8" w:rsidP="00FC76B8">
      <w:pPr>
        <w:tabs>
          <w:tab w:val="clear" w:pos="567"/>
        </w:tabs>
        <w:rPr>
          <w:noProof/>
          <w:color w:val="000000"/>
          <w:szCs w:val="24"/>
          <w:lang w:val="fr-FR" w:bidi="yi-Hebr"/>
        </w:rPr>
      </w:pPr>
      <w:r w:rsidRPr="00C65506">
        <w:rPr>
          <w:color w:val="000000"/>
          <w:szCs w:val="24"/>
          <w:lang w:val="fr-FR" w:bidi="yi-Hebr"/>
        </w:rPr>
        <w:t>Afin de limiter le risque de grossesse multiple, une surveillance étroite de la réponse ovarienne est recommandée.</w:t>
      </w:r>
    </w:p>
    <w:p w:rsidR="0003335D" w:rsidRPr="00C65506" w:rsidRDefault="0003335D" w:rsidP="00496272">
      <w:pPr>
        <w:tabs>
          <w:tab w:val="clear" w:pos="567"/>
        </w:tabs>
        <w:rPr>
          <w:noProof/>
          <w:color w:val="000000"/>
          <w:szCs w:val="22"/>
          <w:lang w:val="fr-FR"/>
        </w:rPr>
      </w:pPr>
    </w:p>
    <w:p w:rsidR="00FC76B8" w:rsidRPr="00C65506" w:rsidRDefault="00FC76B8" w:rsidP="00FC76B8">
      <w:pPr>
        <w:tabs>
          <w:tab w:val="clear" w:pos="567"/>
        </w:tabs>
        <w:rPr>
          <w:noProof/>
          <w:color w:val="000000"/>
          <w:szCs w:val="24"/>
          <w:lang w:val="fr-FR" w:bidi="yi-Hebr"/>
        </w:rPr>
      </w:pPr>
      <w:r w:rsidRPr="00C65506">
        <w:rPr>
          <w:color w:val="000000"/>
          <w:szCs w:val="24"/>
          <w:lang w:val="fr-FR" w:bidi="yi-Hebr"/>
        </w:rPr>
        <w:t>Chez les patientes entreprenant des techniques d’AMP, le risque de grossesse multiple est principalement lié au nombre d’embryons transférés, à leur qualité et à l’âge de la patiente.</w:t>
      </w:r>
    </w:p>
    <w:p w:rsidR="0003335D" w:rsidRPr="00C65506" w:rsidRDefault="0003335D" w:rsidP="00496272">
      <w:pPr>
        <w:tabs>
          <w:tab w:val="clear" w:pos="567"/>
        </w:tabs>
        <w:rPr>
          <w:noProof/>
          <w:color w:val="000000"/>
          <w:szCs w:val="22"/>
          <w:lang w:val="fr-FR"/>
        </w:rPr>
      </w:pPr>
    </w:p>
    <w:p w:rsidR="00FC76B8" w:rsidRPr="00C65506" w:rsidRDefault="00FC76B8" w:rsidP="00FC76B8">
      <w:pPr>
        <w:tabs>
          <w:tab w:val="clear" w:pos="567"/>
        </w:tabs>
        <w:rPr>
          <w:noProof/>
          <w:color w:val="000000"/>
          <w:szCs w:val="24"/>
          <w:lang w:val="fr-FR" w:bidi="yi-Hebr"/>
        </w:rPr>
      </w:pPr>
      <w:r w:rsidRPr="00C65506">
        <w:rPr>
          <w:color w:val="000000"/>
          <w:szCs w:val="24"/>
          <w:lang w:val="fr-FR" w:bidi="yi-Hebr"/>
        </w:rPr>
        <w:t>Les patientes devront être informées des risques éventuels de grossesse multiple avant le début du traitement.</w:t>
      </w:r>
    </w:p>
    <w:p w:rsidR="0003335D" w:rsidRPr="00C65506" w:rsidRDefault="0003335D" w:rsidP="00496272">
      <w:pPr>
        <w:tabs>
          <w:tab w:val="clear" w:pos="567"/>
        </w:tabs>
        <w:rPr>
          <w:i/>
          <w:iCs/>
          <w:noProof/>
          <w:color w:val="000000"/>
          <w:szCs w:val="22"/>
          <w:lang w:val="fr-FR"/>
        </w:rPr>
      </w:pPr>
    </w:p>
    <w:p w:rsidR="00FC76B8" w:rsidRPr="00C65506" w:rsidRDefault="00FC76B8" w:rsidP="00FC76B8">
      <w:pPr>
        <w:tabs>
          <w:tab w:val="clear" w:pos="567"/>
        </w:tabs>
        <w:rPr>
          <w:i/>
          <w:noProof/>
          <w:color w:val="000000"/>
          <w:szCs w:val="24"/>
          <w:lang w:val="fr-FR" w:bidi="yi-Hebr"/>
        </w:rPr>
      </w:pPr>
      <w:r w:rsidRPr="00C65506">
        <w:rPr>
          <w:i/>
          <w:color w:val="000000"/>
          <w:szCs w:val="24"/>
          <w:lang w:val="fr-FR" w:bidi="yi-Hebr"/>
        </w:rPr>
        <w:t>Fausse couche</w:t>
      </w:r>
    </w:p>
    <w:p w:rsidR="00FC76B8" w:rsidRPr="00C65506" w:rsidRDefault="00FC76B8" w:rsidP="00FC76B8">
      <w:pPr>
        <w:tabs>
          <w:tab w:val="clear" w:pos="567"/>
        </w:tabs>
        <w:rPr>
          <w:noProof/>
          <w:color w:val="000000"/>
          <w:szCs w:val="24"/>
          <w:lang w:val="fr-FR" w:bidi="yi-Hebr"/>
        </w:rPr>
      </w:pPr>
      <w:r w:rsidRPr="00C65506">
        <w:rPr>
          <w:color w:val="000000"/>
          <w:szCs w:val="24"/>
          <w:lang w:val="fr-FR" w:bidi="yi-Hebr"/>
        </w:rPr>
        <w:t>Le risque de fausse couche spontanée ou d’avortement est plus élevé chez les patientes entreprenant une stimulation de la croissance folliculaire dans le cadre d’une induction de l’ovulation ou des techniques d’AMP que dans le cas d’une conception naturelle.</w:t>
      </w:r>
    </w:p>
    <w:p w:rsidR="0003335D" w:rsidRPr="00C65506" w:rsidRDefault="0003335D" w:rsidP="00496272">
      <w:pPr>
        <w:tabs>
          <w:tab w:val="clear" w:pos="567"/>
        </w:tabs>
        <w:rPr>
          <w:i/>
          <w:iCs/>
          <w:noProof/>
          <w:color w:val="000000"/>
          <w:szCs w:val="22"/>
          <w:lang w:val="fr-FR"/>
        </w:rPr>
      </w:pPr>
    </w:p>
    <w:p w:rsidR="00FC76B8" w:rsidRPr="00C65506" w:rsidRDefault="00FC76B8" w:rsidP="00FC76B8">
      <w:pPr>
        <w:tabs>
          <w:tab w:val="clear" w:pos="567"/>
        </w:tabs>
        <w:rPr>
          <w:i/>
          <w:noProof/>
          <w:color w:val="000000"/>
          <w:szCs w:val="24"/>
          <w:lang w:val="fr-FR" w:bidi="yi-Hebr"/>
        </w:rPr>
      </w:pPr>
      <w:r w:rsidRPr="00C65506">
        <w:rPr>
          <w:i/>
          <w:color w:val="000000"/>
          <w:szCs w:val="24"/>
          <w:lang w:val="fr-FR" w:bidi="yi-Hebr"/>
        </w:rPr>
        <w:t>Grossesse ectopique</w:t>
      </w:r>
    </w:p>
    <w:p w:rsidR="00FC76B8" w:rsidRPr="00C65506" w:rsidRDefault="00FC76B8" w:rsidP="00FC76B8">
      <w:pPr>
        <w:tabs>
          <w:tab w:val="clear" w:pos="567"/>
        </w:tabs>
        <w:rPr>
          <w:noProof/>
          <w:szCs w:val="24"/>
          <w:lang w:val="fr-FR" w:bidi="yi-Hebr"/>
        </w:rPr>
      </w:pPr>
      <w:r w:rsidRPr="00C65506">
        <w:rPr>
          <w:color w:val="000000"/>
          <w:szCs w:val="24"/>
          <w:lang w:val="fr-FR" w:bidi="yi-Hebr"/>
        </w:rPr>
        <w:t>Les femmes ayant des antécédents de pathologie tubaire sont à risque de grossesse ectopique, que la grossesse ait été obtenue spontanément ou dans le cadre de traitements pour l’infertilité. La prévalence de grossesse ectopique rapportée après AMP est plus élevée que dans la population générale.</w:t>
      </w:r>
    </w:p>
    <w:p w:rsidR="0003335D" w:rsidRPr="00C65506" w:rsidRDefault="0003335D" w:rsidP="00496272">
      <w:pPr>
        <w:tabs>
          <w:tab w:val="clear" w:pos="567"/>
        </w:tabs>
        <w:rPr>
          <w:i/>
          <w:iCs/>
          <w:noProof/>
          <w:color w:val="000000"/>
          <w:szCs w:val="22"/>
          <w:lang w:val="fr-FR"/>
        </w:rPr>
      </w:pPr>
    </w:p>
    <w:p w:rsidR="003339D0" w:rsidRPr="00C65506" w:rsidRDefault="003339D0" w:rsidP="003339D0">
      <w:pPr>
        <w:tabs>
          <w:tab w:val="clear" w:pos="567"/>
        </w:tabs>
        <w:rPr>
          <w:i/>
          <w:noProof/>
          <w:color w:val="000000"/>
          <w:szCs w:val="24"/>
          <w:lang w:val="fr-FR" w:bidi="yi-Hebr"/>
        </w:rPr>
      </w:pPr>
      <w:r w:rsidRPr="00C65506">
        <w:rPr>
          <w:i/>
          <w:color w:val="000000"/>
          <w:szCs w:val="24"/>
          <w:lang w:val="fr-FR" w:bidi="yi-Hebr"/>
        </w:rPr>
        <w:t>Tumeur de l’appareil génital</w:t>
      </w:r>
    </w:p>
    <w:p w:rsidR="003339D0" w:rsidRPr="00C65506" w:rsidRDefault="003339D0" w:rsidP="003339D0">
      <w:pPr>
        <w:tabs>
          <w:tab w:val="clear" w:pos="567"/>
        </w:tabs>
        <w:rPr>
          <w:noProof/>
          <w:szCs w:val="24"/>
          <w:lang w:val="fr-FR" w:bidi="yi-Hebr"/>
        </w:rPr>
      </w:pPr>
      <w:r w:rsidRPr="00C65506">
        <w:rPr>
          <w:color w:val="000000"/>
          <w:szCs w:val="24"/>
          <w:lang w:val="fr-FR" w:bidi="yi-Hebr"/>
        </w:rPr>
        <w:t xml:space="preserve">Des tumeurs bénignes et malignes de l’ovaire et des organes de la reproduction ont été rapportées chez les femmes ayant eu recours à plusieurs traitements médicaux pour traiter l’infertilité. Il n’a pas encore </w:t>
      </w:r>
      <w:r w:rsidRPr="00C65506">
        <w:rPr>
          <w:color w:val="000000"/>
          <w:szCs w:val="24"/>
          <w:lang w:val="fr-FR" w:bidi="yi-Hebr"/>
        </w:rPr>
        <w:lastRenderedPageBreak/>
        <w:t>été établi si un traitement par gonadotrophines augmente ou non le risque de survenue de ces tumeurs chez les femmes infertiles.</w:t>
      </w:r>
    </w:p>
    <w:p w:rsidR="0003335D" w:rsidRPr="00C65506" w:rsidRDefault="0003335D" w:rsidP="00496272">
      <w:pPr>
        <w:tabs>
          <w:tab w:val="clear" w:pos="567"/>
        </w:tabs>
        <w:rPr>
          <w:i/>
          <w:iCs/>
          <w:noProof/>
          <w:color w:val="000000"/>
          <w:szCs w:val="22"/>
          <w:lang w:val="fr-FR"/>
        </w:rPr>
      </w:pPr>
    </w:p>
    <w:p w:rsidR="003339D0" w:rsidRPr="00C65506" w:rsidRDefault="003339D0" w:rsidP="003339D0">
      <w:pPr>
        <w:tabs>
          <w:tab w:val="clear" w:pos="567"/>
        </w:tabs>
        <w:rPr>
          <w:i/>
          <w:noProof/>
          <w:color w:val="000000"/>
          <w:szCs w:val="24"/>
          <w:lang w:val="fr-FR" w:bidi="yi-Hebr"/>
        </w:rPr>
      </w:pPr>
      <w:r w:rsidRPr="00C65506">
        <w:rPr>
          <w:i/>
          <w:color w:val="000000"/>
          <w:szCs w:val="24"/>
          <w:lang w:val="fr-FR" w:bidi="yi-Hebr"/>
        </w:rPr>
        <w:t>Malformation congénitale</w:t>
      </w:r>
    </w:p>
    <w:p w:rsidR="003339D0" w:rsidRPr="00C65506" w:rsidRDefault="003339D0" w:rsidP="003339D0">
      <w:pPr>
        <w:tabs>
          <w:tab w:val="clear" w:pos="567"/>
        </w:tabs>
        <w:rPr>
          <w:noProof/>
          <w:szCs w:val="24"/>
          <w:lang w:val="fr-FR" w:bidi="yi-Hebr"/>
        </w:rPr>
      </w:pPr>
      <w:r w:rsidRPr="00C65506">
        <w:rPr>
          <w:color w:val="000000"/>
          <w:szCs w:val="24"/>
          <w:lang w:val="fr-FR" w:bidi="yi-Hebr"/>
        </w:rPr>
        <w:t>La prévalence des malformations congénitales pourrait être légèrement plus élevée après AMP qu’après conception spontanée. On pense que cela est dû à des caractéristiques parentales (par exemple : âge de la mère, caractéristiques du sperme) et aux grossesses multiples.</w:t>
      </w:r>
    </w:p>
    <w:p w:rsidR="0003335D" w:rsidRPr="00C65506" w:rsidRDefault="0003335D" w:rsidP="00496272">
      <w:pPr>
        <w:tabs>
          <w:tab w:val="clear" w:pos="567"/>
        </w:tabs>
        <w:rPr>
          <w:i/>
          <w:iCs/>
          <w:noProof/>
          <w:color w:val="000000"/>
          <w:szCs w:val="22"/>
          <w:lang w:val="fr-FR"/>
        </w:rPr>
      </w:pPr>
    </w:p>
    <w:p w:rsidR="003339D0" w:rsidRPr="00C65506" w:rsidRDefault="003339D0" w:rsidP="003339D0">
      <w:pPr>
        <w:tabs>
          <w:tab w:val="clear" w:pos="567"/>
        </w:tabs>
        <w:rPr>
          <w:i/>
          <w:noProof/>
          <w:color w:val="000000"/>
          <w:szCs w:val="24"/>
          <w:lang w:val="fr-FR" w:bidi="yi-Hebr"/>
        </w:rPr>
      </w:pPr>
      <w:r w:rsidRPr="00C65506">
        <w:rPr>
          <w:i/>
          <w:color w:val="000000"/>
          <w:szCs w:val="24"/>
          <w:lang w:val="fr-FR" w:bidi="yi-Hebr"/>
        </w:rPr>
        <w:t>Accidents thromboemboliques</w:t>
      </w:r>
    </w:p>
    <w:p w:rsidR="003339D0" w:rsidRPr="00C65506" w:rsidRDefault="003339D0" w:rsidP="003339D0">
      <w:pPr>
        <w:tabs>
          <w:tab w:val="clear" w:pos="567"/>
        </w:tabs>
        <w:rPr>
          <w:noProof/>
          <w:szCs w:val="24"/>
          <w:lang w:val="fr-FR" w:bidi="yi-Hebr"/>
        </w:rPr>
      </w:pPr>
      <w:r w:rsidRPr="00C65506">
        <w:rPr>
          <w:color w:val="000000"/>
          <w:szCs w:val="24"/>
          <w:lang w:val="fr-FR" w:bidi="yi-Hebr"/>
        </w:rPr>
        <w:t>Chez les femmes atteintes d’une maladie thromboembolique actuelle ou récente ou présentant des facteurs de risque généralement reconnus d’accidents thromboemboliques, comme des antécédents personnels ou familiaux, le traitement par gonadotrophines peut accroître le risque d’aggravation ou de survenue de tels accidents. Chez ces femmes, le rapport bénéfices/risques d’un traitement par gonadotrophines doit être évalué. On doit cependant noter que la grossesse par elle-même ainsi que le SHO entraînent également un risque accru d’accidents thromboemboliques.</w:t>
      </w:r>
    </w:p>
    <w:p w:rsidR="0003335D" w:rsidRPr="00C65506" w:rsidRDefault="0003335D" w:rsidP="00496272">
      <w:pPr>
        <w:tabs>
          <w:tab w:val="clear" w:pos="567"/>
        </w:tabs>
        <w:rPr>
          <w:noProof/>
          <w:color w:val="000000"/>
          <w:szCs w:val="22"/>
          <w:lang w:val="fr-FR"/>
        </w:rPr>
      </w:pPr>
    </w:p>
    <w:p w:rsidR="003339D0" w:rsidRPr="00C65506" w:rsidRDefault="003339D0" w:rsidP="003339D0">
      <w:pPr>
        <w:tabs>
          <w:tab w:val="clear" w:pos="567"/>
        </w:tabs>
        <w:rPr>
          <w:i/>
          <w:noProof/>
          <w:color w:val="000000"/>
          <w:szCs w:val="24"/>
          <w:u w:val="single"/>
          <w:lang w:val="fr-FR" w:bidi="yi-Hebr"/>
        </w:rPr>
      </w:pPr>
      <w:r w:rsidRPr="00C65506">
        <w:rPr>
          <w:i/>
          <w:color w:val="000000"/>
          <w:szCs w:val="24"/>
          <w:u w:val="single"/>
          <w:lang w:val="fr-FR" w:bidi="yi-Hebr"/>
        </w:rPr>
        <w:t>Traitement chez les hommes</w:t>
      </w:r>
    </w:p>
    <w:p w:rsidR="0003335D" w:rsidRPr="00C65506" w:rsidRDefault="0003335D" w:rsidP="00496272">
      <w:pPr>
        <w:tabs>
          <w:tab w:val="clear" w:pos="567"/>
        </w:tabs>
        <w:rPr>
          <w:noProof/>
          <w:color w:val="000000"/>
          <w:szCs w:val="22"/>
          <w:lang w:val="fr-FR"/>
        </w:rPr>
      </w:pPr>
    </w:p>
    <w:p w:rsidR="003339D0" w:rsidRPr="00C65506" w:rsidRDefault="003339D0" w:rsidP="003339D0">
      <w:pPr>
        <w:tabs>
          <w:tab w:val="clear" w:pos="567"/>
        </w:tabs>
        <w:rPr>
          <w:noProof/>
          <w:szCs w:val="24"/>
          <w:lang w:val="fr-FR" w:bidi="yi-Hebr"/>
        </w:rPr>
      </w:pPr>
      <w:r w:rsidRPr="00C65506">
        <w:rPr>
          <w:color w:val="000000"/>
          <w:szCs w:val="24"/>
          <w:lang w:val="fr-FR" w:bidi="yi-Hebr"/>
        </w:rPr>
        <w:t>Des taux élevés de FSH endogène sont indicateurs d’une insuffisance testiculaire primaire. De tels patients ne répondront pas au traitement par follitropine alfa/hCG. La follitropine alfa ne doit pas être utilisée lorsqu’une réponse efficace au traitement ne peut être obtenue.</w:t>
      </w:r>
    </w:p>
    <w:p w:rsidR="0003335D" w:rsidRPr="00C65506" w:rsidRDefault="0003335D" w:rsidP="00496272">
      <w:pPr>
        <w:tabs>
          <w:tab w:val="clear" w:pos="567"/>
        </w:tabs>
        <w:rPr>
          <w:noProof/>
          <w:color w:val="000000"/>
          <w:szCs w:val="22"/>
          <w:lang w:val="fr-FR"/>
        </w:rPr>
      </w:pPr>
    </w:p>
    <w:p w:rsidR="003339D0" w:rsidRPr="00C65506" w:rsidRDefault="003339D0" w:rsidP="003339D0">
      <w:pPr>
        <w:tabs>
          <w:tab w:val="clear" w:pos="567"/>
        </w:tabs>
        <w:rPr>
          <w:color w:val="000000"/>
          <w:szCs w:val="24"/>
          <w:lang w:val="fr-FR" w:bidi="yi-Hebr"/>
        </w:rPr>
      </w:pPr>
      <w:r w:rsidRPr="00C65506">
        <w:rPr>
          <w:color w:val="000000"/>
          <w:szCs w:val="24"/>
          <w:lang w:val="fr-FR" w:bidi="yi-Hebr"/>
        </w:rPr>
        <w:t>Une analyse de sperme est recommandée 4 à 6 mois après le début du traitement dans le cadre de l’évaluation de la réponse au traitement.</w:t>
      </w:r>
    </w:p>
    <w:p w:rsidR="002827F2" w:rsidRPr="00C65506" w:rsidRDefault="002827F2" w:rsidP="003339D0">
      <w:pPr>
        <w:tabs>
          <w:tab w:val="clear" w:pos="567"/>
        </w:tabs>
        <w:rPr>
          <w:color w:val="000000"/>
          <w:szCs w:val="24"/>
          <w:lang w:val="fr-FR" w:bidi="yi-Hebr"/>
        </w:rPr>
      </w:pPr>
    </w:p>
    <w:p w:rsidR="002827F2" w:rsidRPr="00C65506" w:rsidRDefault="002827F2" w:rsidP="003339D0">
      <w:pPr>
        <w:tabs>
          <w:tab w:val="clear" w:pos="567"/>
        </w:tabs>
        <w:rPr>
          <w:i/>
          <w:color w:val="000000"/>
          <w:szCs w:val="24"/>
          <w:u w:val="single"/>
          <w:lang w:val="fr-FR" w:bidi="yi-Hebr"/>
        </w:rPr>
      </w:pPr>
      <w:r w:rsidRPr="00C65506">
        <w:rPr>
          <w:i/>
          <w:color w:val="000000"/>
          <w:szCs w:val="24"/>
          <w:u w:val="single"/>
          <w:lang w:val="fr-FR" w:bidi="yi-Hebr"/>
        </w:rPr>
        <w:t>Teneur en chlorure de benzalkonium</w:t>
      </w:r>
    </w:p>
    <w:p w:rsidR="002827F2" w:rsidRPr="00C65506" w:rsidRDefault="003D0C9B" w:rsidP="003339D0">
      <w:pPr>
        <w:tabs>
          <w:tab w:val="clear" w:pos="567"/>
        </w:tabs>
        <w:rPr>
          <w:noProof/>
          <w:color w:val="000000"/>
          <w:szCs w:val="24"/>
          <w:lang w:val="fr-FR" w:bidi="yi-Hebr"/>
        </w:rPr>
      </w:pPr>
      <w:r w:rsidRPr="00C65506">
        <w:rPr>
          <w:noProof/>
          <w:color w:val="000000"/>
          <w:szCs w:val="24"/>
          <w:lang w:val="fr-FR" w:bidi="yi-Hebr"/>
        </w:rPr>
        <w:t>Overleap contient 0,02 mg/m</w:t>
      </w:r>
      <w:r w:rsidR="00C0430D" w:rsidRPr="00C65506">
        <w:rPr>
          <w:noProof/>
          <w:color w:val="000000"/>
          <w:szCs w:val="24"/>
          <w:lang w:val="fr-FR" w:bidi="yi-Hebr"/>
        </w:rPr>
        <w:t>L</w:t>
      </w:r>
      <w:r w:rsidRPr="00C65506">
        <w:rPr>
          <w:noProof/>
          <w:color w:val="000000"/>
          <w:szCs w:val="24"/>
          <w:lang w:val="fr-FR" w:bidi="yi-Hebr"/>
        </w:rPr>
        <w:t xml:space="preserve"> de chlorure de benzalkonium</w:t>
      </w:r>
    </w:p>
    <w:p w:rsidR="003D0C9B" w:rsidRPr="00C65506" w:rsidRDefault="003D0C9B" w:rsidP="003339D0">
      <w:pPr>
        <w:tabs>
          <w:tab w:val="clear" w:pos="567"/>
        </w:tabs>
        <w:rPr>
          <w:noProof/>
          <w:color w:val="000000"/>
          <w:szCs w:val="24"/>
          <w:lang w:val="fr-FR" w:bidi="yi-Hebr"/>
        </w:rPr>
      </w:pPr>
    </w:p>
    <w:p w:rsidR="003D0C9B" w:rsidRPr="00C65506" w:rsidRDefault="003D0C9B" w:rsidP="003339D0">
      <w:pPr>
        <w:tabs>
          <w:tab w:val="clear" w:pos="567"/>
        </w:tabs>
        <w:rPr>
          <w:i/>
          <w:noProof/>
          <w:color w:val="000000"/>
          <w:szCs w:val="24"/>
          <w:u w:val="single"/>
          <w:lang w:val="fr-FR" w:bidi="yi-Hebr"/>
        </w:rPr>
      </w:pPr>
      <w:r w:rsidRPr="00C65506">
        <w:rPr>
          <w:i/>
          <w:noProof/>
          <w:color w:val="000000"/>
          <w:szCs w:val="24"/>
          <w:u w:val="single"/>
          <w:lang w:val="fr-FR" w:bidi="yi-Hebr"/>
        </w:rPr>
        <w:t xml:space="preserve">Teneur en </w:t>
      </w:r>
      <w:r w:rsidRPr="00C65506">
        <w:rPr>
          <w:i/>
          <w:color w:val="000000"/>
          <w:szCs w:val="24"/>
          <w:u w:val="single"/>
          <w:lang w:val="fr-FR" w:bidi="yi-Hebr"/>
        </w:rPr>
        <w:t>alcool benzylique</w:t>
      </w:r>
    </w:p>
    <w:p w:rsidR="0003335D" w:rsidRPr="00C65506" w:rsidRDefault="003D0C9B" w:rsidP="00496272">
      <w:pPr>
        <w:tabs>
          <w:tab w:val="clear" w:pos="567"/>
        </w:tabs>
        <w:rPr>
          <w:color w:val="000000"/>
          <w:szCs w:val="24"/>
          <w:lang w:val="fr-FR" w:bidi="yi-Hebr"/>
        </w:rPr>
      </w:pPr>
      <w:r w:rsidRPr="00C65506">
        <w:rPr>
          <w:noProof/>
          <w:color w:val="000000"/>
          <w:szCs w:val="22"/>
          <w:lang w:val="fr-FR"/>
        </w:rPr>
        <w:t>Overleap contient 10,0 mg/m</w:t>
      </w:r>
      <w:r w:rsidR="00C0430D" w:rsidRPr="00C65506">
        <w:rPr>
          <w:noProof/>
          <w:color w:val="000000"/>
          <w:szCs w:val="22"/>
          <w:lang w:val="fr-FR"/>
        </w:rPr>
        <w:t>L</w:t>
      </w:r>
      <w:r w:rsidRPr="00C65506">
        <w:rPr>
          <w:noProof/>
          <w:color w:val="000000"/>
          <w:szCs w:val="22"/>
          <w:lang w:val="fr-FR"/>
        </w:rPr>
        <w:t xml:space="preserve"> </w:t>
      </w:r>
      <w:r w:rsidRPr="00C65506">
        <w:rPr>
          <w:color w:val="000000"/>
          <w:szCs w:val="24"/>
          <w:lang w:val="fr-FR" w:bidi="yi-Hebr"/>
        </w:rPr>
        <w:t>d’alcool benzylique</w:t>
      </w:r>
    </w:p>
    <w:p w:rsidR="003D0C9B" w:rsidRPr="00C65506" w:rsidRDefault="003D0C9B" w:rsidP="00496272">
      <w:pPr>
        <w:tabs>
          <w:tab w:val="clear" w:pos="567"/>
        </w:tabs>
        <w:rPr>
          <w:noProof/>
          <w:color w:val="000000"/>
          <w:szCs w:val="22"/>
          <w:u w:val="single"/>
          <w:lang w:val="fr-FR"/>
        </w:rPr>
      </w:pPr>
      <w:r w:rsidRPr="00C65506">
        <w:rPr>
          <w:color w:val="000000"/>
          <w:szCs w:val="24"/>
          <w:u w:val="single"/>
          <w:lang w:val="fr-FR" w:bidi="yi-Hebr"/>
        </w:rPr>
        <w:t>L’alcool benzylique peut provoquer des réactions allergiques.</w:t>
      </w:r>
    </w:p>
    <w:p w:rsidR="003D0C9B" w:rsidRPr="00C65506" w:rsidRDefault="003F3DA2" w:rsidP="003F3DA2">
      <w:pPr>
        <w:tabs>
          <w:tab w:val="clear" w:pos="567"/>
        </w:tabs>
        <w:rPr>
          <w:color w:val="000000"/>
          <w:szCs w:val="24"/>
          <w:lang w:val="fr-FR" w:bidi="yi-Hebr"/>
        </w:rPr>
      </w:pPr>
      <w:r w:rsidRPr="00C65506">
        <w:rPr>
          <w:color w:val="000000"/>
          <w:szCs w:val="24"/>
          <w:lang w:val="fr-FR" w:bidi="yi-Hebr"/>
        </w:rPr>
        <w:t xml:space="preserve">Les volumes élevés doivent être utilisés avec prudence et en cas de nécessité uniquement, en particulier chez les personnes atteintes d’insuffisance hépatique ou rénale, </w:t>
      </w:r>
      <w:r w:rsidR="00580C6A" w:rsidRPr="00C65506">
        <w:rPr>
          <w:color w:val="000000"/>
          <w:szCs w:val="24"/>
          <w:lang w:val="fr-FR" w:bidi="yi-Hebr"/>
        </w:rPr>
        <w:t>de m</w:t>
      </w:r>
      <w:r w:rsidR="00116BF6" w:rsidRPr="00C65506">
        <w:rPr>
          <w:color w:val="000000"/>
          <w:szCs w:val="24"/>
          <w:lang w:val="fr-FR" w:bidi="yi-Hebr"/>
        </w:rPr>
        <w:t>ême que chez les</w:t>
      </w:r>
      <w:r w:rsidR="00580C6A" w:rsidRPr="00C65506">
        <w:rPr>
          <w:color w:val="000000"/>
          <w:szCs w:val="24"/>
          <w:lang w:val="fr-FR" w:bidi="yi-Hebr"/>
        </w:rPr>
        <w:t xml:space="preserve"> femme</w:t>
      </w:r>
      <w:r w:rsidR="00116BF6" w:rsidRPr="00C65506">
        <w:rPr>
          <w:color w:val="000000"/>
          <w:szCs w:val="24"/>
          <w:lang w:val="fr-FR" w:bidi="yi-Hebr"/>
        </w:rPr>
        <w:t>s</w:t>
      </w:r>
      <w:r w:rsidR="00580C6A" w:rsidRPr="00C65506">
        <w:rPr>
          <w:color w:val="000000"/>
          <w:szCs w:val="24"/>
          <w:lang w:val="fr-FR" w:bidi="yi-Hebr"/>
        </w:rPr>
        <w:t xml:space="preserve"> enceinte</w:t>
      </w:r>
      <w:r w:rsidR="00116BF6" w:rsidRPr="00C65506">
        <w:rPr>
          <w:color w:val="000000"/>
          <w:szCs w:val="24"/>
          <w:lang w:val="fr-FR" w:bidi="yi-Hebr"/>
        </w:rPr>
        <w:t>s</w:t>
      </w:r>
      <w:r w:rsidR="00580C6A" w:rsidRPr="00C65506">
        <w:rPr>
          <w:color w:val="000000"/>
          <w:szCs w:val="24"/>
          <w:lang w:val="fr-FR" w:bidi="yi-Hebr"/>
        </w:rPr>
        <w:t xml:space="preserve"> ou pendant l’allaitement, en raison du risque d’accumulation et de toxicité (acidose métabolique).</w:t>
      </w:r>
    </w:p>
    <w:p w:rsidR="00580C6A" w:rsidRPr="00C65506" w:rsidRDefault="00580C6A" w:rsidP="00496272">
      <w:pPr>
        <w:tabs>
          <w:tab w:val="clear" w:pos="567"/>
        </w:tabs>
        <w:rPr>
          <w:noProof/>
          <w:color w:val="000000"/>
          <w:szCs w:val="22"/>
          <w:lang w:val="fr-FR"/>
        </w:rPr>
      </w:pPr>
    </w:p>
    <w:p w:rsidR="003339D0" w:rsidRPr="00C65506" w:rsidRDefault="00373C9B" w:rsidP="003339D0">
      <w:pPr>
        <w:keepNext/>
        <w:keepLines/>
        <w:tabs>
          <w:tab w:val="clear" w:pos="567"/>
        </w:tabs>
        <w:rPr>
          <w:i/>
          <w:noProof/>
          <w:color w:val="000000"/>
          <w:szCs w:val="24"/>
          <w:u w:val="single"/>
          <w:lang w:val="fr-FR" w:bidi="yi-Hebr"/>
        </w:rPr>
      </w:pPr>
      <w:r w:rsidRPr="00C65506">
        <w:rPr>
          <w:i/>
          <w:szCs w:val="24"/>
          <w:u w:val="single"/>
          <w:lang w:val="fr-FR" w:bidi="yi-Hebr"/>
        </w:rPr>
        <w:t>Teneur en sodium</w:t>
      </w:r>
    </w:p>
    <w:p w:rsidR="0003335D" w:rsidRPr="00C65506" w:rsidRDefault="0003335D" w:rsidP="00496272">
      <w:pPr>
        <w:keepNext/>
        <w:keepLines/>
        <w:tabs>
          <w:tab w:val="clear" w:pos="567"/>
        </w:tabs>
        <w:rPr>
          <w:noProof/>
          <w:color w:val="000000"/>
          <w:szCs w:val="22"/>
          <w:lang w:val="fr-FR"/>
        </w:rPr>
      </w:pPr>
    </w:p>
    <w:p w:rsidR="003339D0" w:rsidRPr="00C65506" w:rsidRDefault="003339D0" w:rsidP="003339D0">
      <w:pPr>
        <w:keepNext/>
        <w:keepLines/>
        <w:tabs>
          <w:tab w:val="clear" w:pos="567"/>
        </w:tabs>
        <w:rPr>
          <w:noProof/>
          <w:color w:val="000000"/>
          <w:szCs w:val="24"/>
          <w:lang w:val="fr-FR" w:bidi="yi-Hebr"/>
        </w:rPr>
      </w:pPr>
      <w:r w:rsidRPr="00C65506">
        <w:rPr>
          <w:color w:val="000000"/>
          <w:szCs w:val="24"/>
          <w:lang w:val="fr-FR" w:bidi="yi-Hebr"/>
        </w:rPr>
        <w:t>Ovaleap contient moins de 1 mmol (23 mg) de sodium par dose, c.-à-d. qu’il est essentiellement « sans sodium ».</w:t>
      </w:r>
    </w:p>
    <w:p w:rsidR="0003335D" w:rsidRPr="00C65506" w:rsidRDefault="0003335D" w:rsidP="00496272">
      <w:pPr>
        <w:tabs>
          <w:tab w:val="clear" w:pos="567"/>
        </w:tabs>
        <w:rPr>
          <w:noProof/>
          <w:color w:val="000000"/>
          <w:szCs w:val="22"/>
          <w:lang w:val="fr-FR"/>
        </w:rPr>
      </w:pPr>
    </w:p>
    <w:p w:rsidR="003339D0" w:rsidRPr="00C65506" w:rsidRDefault="003339D0" w:rsidP="003339D0">
      <w:pPr>
        <w:keepNext/>
        <w:keepLines/>
        <w:ind w:left="567" w:hanging="567"/>
        <w:outlineLvl w:val="0"/>
        <w:rPr>
          <w:noProof/>
          <w:szCs w:val="24"/>
          <w:lang w:val="fr-FR" w:bidi="yi-Hebr"/>
        </w:rPr>
      </w:pPr>
      <w:r w:rsidRPr="00C65506">
        <w:rPr>
          <w:b/>
          <w:noProof/>
          <w:szCs w:val="24"/>
          <w:lang w:val="fr-FR" w:bidi="yi-Hebr"/>
        </w:rPr>
        <w:t>4.5</w:t>
      </w:r>
      <w:r w:rsidRPr="00C65506">
        <w:rPr>
          <w:b/>
          <w:noProof/>
          <w:szCs w:val="24"/>
          <w:lang w:val="fr-FR" w:bidi="yi-Hebr"/>
        </w:rPr>
        <w:tab/>
      </w:r>
      <w:r w:rsidRPr="00C65506">
        <w:rPr>
          <w:b/>
          <w:szCs w:val="24"/>
          <w:lang w:val="fr-FR" w:bidi="yi-Hebr"/>
        </w:rPr>
        <w:t>Interactions avec d’autres médicaments et autres formes d’interactions</w:t>
      </w:r>
    </w:p>
    <w:p w:rsidR="00812D16" w:rsidRPr="00C65506" w:rsidRDefault="00812D16" w:rsidP="00496272">
      <w:pPr>
        <w:keepNext/>
        <w:keepLines/>
        <w:rPr>
          <w:noProof/>
          <w:szCs w:val="22"/>
          <w:lang w:val="fr-FR"/>
        </w:rPr>
      </w:pPr>
    </w:p>
    <w:p w:rsidR="003339D0" w:rsidRPr="00C65506" w:rsidRDefault="003339D0" w:rsidP="003339D0">
      <w:pPr>
        <w:keepNext/>
        <w:keepLines/>
        <w:tabs>
          <w:tab w:val="clear" w:pos="567"/>
        </w:tabs>
        <w:rPr>
          <w:noProof/>
          <w:szCs w:val="24"/>
          <w:lang w:val="fr-FR" w:bidi="yi-Hebr"/>
        </w:rPr>
      </w:pPr>
      <w:r w:rsidRPr="00C65506">
        <w:rPr>
          <w:color w:val="000000"/>
          <w:szCs w:val="24"/>
          <w:lang w:val="fr-FR" w:bidi="yi-Hebr"/>
        </w:rPr>
        <w:t>L’utilisation concomitante de follitropine alfa avec d’autres médicaments utilisés dans l’induction de l’ovulation (par exemple : hCG, citrate de clomifène) peut potentialiser la réponse folliculaire, alors que son utilisation avec un agoniste ou un antagoniste de la GnRH pour induire une désensibilisation hypophysaire peut nécessiter l’augmentation de la posologie de la follitropine alfa nécessaire à l’obtention d’une réponse ovarienne adéquate. Aucune autre interaction cliniquement significative avec des médicaments n’a été rapportée lors d’un traitement par la follitropine alfa.</w:t>
      </w:r>
    </w:p>
    <w:p w:rsidR="0003335D" w:rsidRPr="00C65506" w:rsidRDefault="0003335D" w:rsidP="00496272">
      <w:pPr>
        <w:rPr>
          <w:noProof/>
          <w:szCs w:val="22"/>
          <w:lang w:val="fr-FR"/>
        </w:rPr>
      </w:pPr>
    </w:p>
    <w:p w:rsidR="003339D0" w:rsidRPr="00C65506" w:rsidRDefault="003339D0" w:rsidP="003339D0">
      <w:pPr>
        <w:ind w:left="567" w:hanging="567"/>
        <w:outlineLvl w:val="0"/>
        <w:rPr>
          <w:noProof/>
          <w:szCs w:val="24"/>
          <w:lang w:val="fr-FR" w:bidi="yi-Hebr"/>
        </w:rPr>
      </w:pPr>
      <w:r w:rsidRPr="00C65506">
        <w:rPr>
          <w:b/>
          <w:noProof/>
          <w:szCs w:val="24"/>
          <w:lang w:val="fr-FR" w:bidi="yi-Hebr"/>
        </w:rPr>
        <w:t>4.6</w:t>
      </w:r>
      <w:r w:rsidRPr="00C65506">
        <w:rPr>
          <w:b/>
          <w:noProof/>
          <w:szCs w:val="24"/>
          <w:lang w:val="fr-FR" w:bidi="yi-Hebr"/>
        </w:rPr>
        <w:tab/>
      </w:r>
      <w:r w:rsidR="008E0215" w:rsidRPr="00C65506">
        <w:rPr>
          <w:b/>
          <w:szCs w:val="24"/>
          <w:lang w:val="fr-FR" w:bidi="yi-Hebr"/>
        </w:rPr>
        <w:t>Fertilité</w:t>
      </w:r>
      <w:r w:rsidRPr="00C65506">
        <w:rPr>
          <w:b/>
          <w:szCs w:val="24"/>
          <w:lang w:val="fr-FR" w:bidi="yi-Hebr"/>
        </w:rPr>
        <w:t>, grossesse et allaitement</w:t>
      </w:r>
    </w:p>
    <w:p w:rsidR="00AD7A57" w:rsidRPr="00C65506" w:rsidRDefault="00AD7A57" w:rsidP="00496272">
      <w:pPr>
        <w:rPr>
          <w:i/>
          <w:noProof/>
          <w:szCs w:val="22"/>
          <w:lang w:val="fr-FR"/>
        </w:rPr>
      </w:pPr>
    </w:p>
    <w:p w:rsidR="003339D0" w:rsidRPr="00C65506" w:rsidRDefault="003339D0" w:rsidP="003339D0">
      <w:pPr>
        <w:tabs>
          <w:tab w:val="clear" w:pos="567"/>
        </w:tabs>
        <w:rPr>
          <w:i/>
          <w:color w:val="000000"/>
          <w:szCs w:val="24"/>
          <w:u w:val="single"/>
          <w:lang w:val="fr-FR" w:bidi="yi-Hebr"/>
        </w:rPr>
      </w:pPr>
      <w:r w:rsidRPr="00C65506">
        <w:rPr>
          <w:i/>
          <w:color w:val="000000"/>
          <w:szCs w:val="24"/>
          <w:u w:val="single"/>
          <w:lang w:val="fr-FR" w:bidi="yi-Hebr"/>
        </w:rPr>
        <w:t>Grossesse</w:t>
      </w:r>
    </w:p>
    <w:p w:rsidR="00AD7A57" w:rsidRPr="00C65506" w:rsidRDefault="00AD7A57" w:rsidP="00496272">
      <w:pPr>
        <w:tabs>
          <w:tab w:val="clear" w:pos="567"/>
        </w:tabs>
        <w:rPr>
          <w:noProof/>
          <w:color w:val="000000"/>
          <w:szCs w:val="22"/>
          <w:lang w:val="fr-FR"/>
        </w:rPr>
      </w:pPr>
    </w:p>
    <w:p w:rsidR="003339D0" w:rsidRPr="00C65506" w:rsidRDefault="003339D0" w:rsidP="003339D0">
      <w:pPr>
        <w:tabs>
          <w:tab w:val="clear" w:pos="567"/>
        </w:tabs>
        <w:rPr>
          <w:noProof/>
          <w:szCs w:val="24"/>
          <w:lang w:val="fr-FR" w:bidi="yi-Hebr"/>
        </w:rPr>
      </w:pPr>
      <w:r w:rsidRPr="00C65506">
        <w:rPr>
          <w:color w:val="000000"/>
          <w:szCs w:val="24"/>
          <w:lang w:val="fr-FR" w:bidi="yi-Hebr"/>
        </w:rPr>
        <w:t>Il n’</w:t>
      </w:r>
      <w:r w:rsidR="00E35161" w:rsidRPr="00C65506">
        <w:rPr>
          <w:color w:val="000000"/>
          <w:szCs w:val="24"/>
          <w:lang w:val="fr-FR" w:bidi="yi-Hebr"/>
        </w:rPr>
        <w:t>existe</w:t>
      </w:r>
      <w:r w:rsidRPr="00C65506">
        <w:rPr>
          <w:color w:val="000000"/>
          <w:szCs w:val="24"/>
          <w:lang w:val="fr-FR" w:bidi="yi-Hebr"/>
        </w:rPr>
        <w:t xml:space="preserve"> pas d’indication à utiliser Ovaleap pendant la grossesse. Les données disponibles sur un nombre limité de grossesse exposées (moins de 300 grossesses) n’ont pas mis en évidence de malformation, ni de toxicité pour le fœtus ou le nouveau-né dues à la follitropine alfa.</w:t>
      </w:r>
    </w:p>
    <w:p w:rsidR="00AD7A57" w:rsidRPr="00C65506" w:rsidRDefault="00AD7A57" w:rsidP="00496272">
      <w:pPr>
        <w:tabs>
          <w:tab w:val="clear" w:pos="567"/>
        </w:tabs>
        <w:rPr>
          <w:noProof/>
          <w:color w:val="000000"/>
          <w:szCs w:val="22"/>
          <w:lang w:val="fr-FR"/>
        </w:rPr>
      </w:pPr>
    </w:p>
    <w:p w:rsidR="003339D0" w:rsidRPr="00C65506" w:rsidRDefault="003339D0" w:rsidP="003339D0">
      <w:pPr>
        <w:tabs>
          <w:tab w:val="clear" w:pos="567"/>
        </w:tabs>
        <w:rPr>
          <w:noProof/>
          <w:szCs w:val="24"/>
          <w:lang w:val="fr-FR" w:bidi="yi-Hebr"/>
        </w:rPr>
      </w:pPr>
      <w:r w:rsidRPr="00C65506">
        <w:rPr>
          <w:color w:val="000000"/>
          <w:szCs w:val="24"/>
          <w:lang w:val="fr-FR" w:bidi="yi-Hebr"/>
        </w:rPr>
        <w:t>Aucun effet tératogène n’a été observé dans les études chez l’animal (voir rubrique 5.3). En cas d’exposition lors de la grossesse, les données cliniques sont insuffisantes pour exclure un effet tératogène de la follitropine alfa.</w:t>
      </w:r>
    </w:p>
    <w:p w:rsidR="00AD7A57" w:rsidRPr="00C65506" w:rsidRDefault="00AD7A57" w:rsidP="00496272">
      <w:pPr>
        <w:tabs>
          <w:tab w:val="clear" w:pos="567"/>
        </w:tabs>
        <w:rPr>
          <w:noProof/>
          <w:color w:val="000000"/>
          <w:szCs w:val="22"/>
          <w:lang w:val="fr-FR"/>
        </w:rPr>
      </w:pPr>
    </w:p>
    <w:p w:rsidR="003339D0" w:rsidRPr="00C65506" w:rsidRDefault="003339D0" w:rsidP="003339D0">
      <w:pPr>
        <w:tabs>
          <w:tab w:val="clear" w:pos="567"/>
        </w:tabs>
        <w:rPr>
          <w:i/>
          <w:noProof/>
          <w:color w:val="000000"/>
          <w:szCs w:val="24"/>
          <w:u w:val="single"/>
          <w:lang w:val="fr-FR" w:bidi="yi-Hebr"/>
        </w:rPr>
      </w:pPr>
      <w:r w:rsidRPr="00C65506">
        <w:rPr>
          <w:i/>
          <w:color w:val="000000"/>
          <w:szCs w:val="24"/>
          <w:u w:val="single"/>
          <w:lang w:val="fr-FR" w:bidi="yi-Hebr"/>
        </w:rPr>
        <w:t>Allaitement</w:t>
      </w:r>
    </w:p>
    <w:p w:rsidR="00AD7A57" w:rsidRPr="00C65506" w:rsidRDefault="00AD7A57" w:rsidP="00496272">
      <w:pPr>
        <w:tabs>
          <w:tab w:val="clear" w:pos="567"/>
        </w:tabs>
        <w:rPr>
          <w:noProof/>
          <w:color w:val="000000"/>
          <w:szCs w:val="22"/>
          <w:u w:val="single"/>
          <w:lang w:val="fr-FR"/>
        </w:rPr>
      </w:pPr>
    </w:p>
    <w:p w:rsidR="003339D0" w:rsidRPr="00C65506" w:rsidRDefault="003339D0" w:rsidP="003339D0">
      <w:pPr>
        <w:tabs>
          <w:tab w:val="clear" w:pos="567"/>
        </w:tabs>
        <w:rPr>
          <w:noProof/>
          <w:color w:val="000000"/>
          <w:szCs w:val="24"/>
          <w:lang w:val="fr-FR" w:bidi="yi-Hebr"/>
        </w:rPr>
      </w:pPr>
      <w:r w:rsidRPr="00C65506">
        <w:rPr>
          <w:color w:val="000000"/>
          <w:szCs w:val="24"/>
          <w:lang w:val="fr-FR" w:bidi="yi-Hebr"/>
        </w:rPr>
        <w:t>Ovaleap n’est pas indiqué pendant l’allaitement.</w:t>
      </w:r>
    </w:p>
    <w:p w:rsidR="00AD7A57" w:rsidRPr="00C65506" w:rsidRDefault="00AD7A57" w:rsidP="00496272">
      <w:pPr>
        <w:tabs>
          <w:tab w:val="clear" w:pos="567"/>
        </w:tabs>
        <w:rPr>
          <w:noProof/>
          <w:color w:val="000000"/>
          <w:szCs w:val="22"/>
          <w:lang w:val="fr-FR"/>
        </w:rPr>
      </w:pPr>
    </w:p>
    <w:p w:rsidR="003339D0" w:rsidRPr="00C65506" w:rsidRDefault="008E0215" w:rsidP="003339D0">
      <w:pPr>
        <w:tabs>
          <w:tab w:val="clear" w:pos="567"/>
        </w:tabs>
        <w:rPr>
          <w:i/>
          <w:noProof/>
          <w:color w:val="000000"/>
          <w:szCs w:val="24"/>
          <w:u w:val="single"/>
          <w:lang w:val="fr-FR" w:bidi="yi-Hebr"/>
        </w:rPr>
      </w:pPr>
      <w:r w:rsidRPr="00C65506">
        <w:rPr>
          <w:i/>
          <w:color w:val="000000"/>
          <w:szCs w:val="24"/>
          <w:u w:val="single"/>
          <w:lang w:val="fr-FR" w:bidi="yi-Hebr"/>
        </w:rPr>
        <w:t>Fertilité</w:t>
      </w:r>
    </w:p>
    <w:p w:rsidR="00AD7A57" w:rsidRPr="00C65506" w:rsidRDefault="00AD7A57" w:rsidP="00496272">
      <w:pPr>
        <w:tabs>
          <w:tab w:val="clear" w:pos="567"/>
        </w:tabs>
        <w:rPr>
          <w:noProof/>
          <w:color w:val="000000"/>
          <w:szCs w:val="22"/>
          <w:u w:val="single"/>
          <w:lang w:val="fr-FR"/>
        </w:rPr>
      </w:pPr>
    </w:p>
    <w:p w:rsidR="003339D0" w:rsidRPr="00C65506" w:rsidRDefault="003339D0" w:rsidP="003339D0">
      <w:pPr>
        <w:tabs>
          <w:tab w:val="clear" w:pos="567"/>
        </w:tabs>
        <w:rPr>
          <w:noProof/>
          <w:color w:val="000000"/>
          <w:szCs w:val="24"/>
          <w:lang w:val="fr-FR" w:bidi="yi-Hebr"/>
        </w:rPr>
      </w:pPr>
      <w:r w:rsidRPr="00C65506">
        <w:rPr>
          <w:color w:val="000000"/>
          <w:szCs w:val="24"/>
          <w:lang w:val="fr-FR" w:bidi="yi-Hebr"/>
        </w:rPr>
        <w:t>Ovaleap est indiqué en cas d’infertilité (voir rubrique 4.1).</w:t>
      </w:r>
    </w:p>
    <w:p w:rsidR="00AD7A57" w:rsidRPr="00C65506" w:rsidRDefault="00AD7A57" w:rsidP="00496272">
      <w:pPr>
        <w:rPr>
          <w:i/>
          <w:noProof/>
          <w:szCs w:val="22"/>
          <w:lang w:val="fr-FR"/>
        </w:rPr>
      </w:pPr>
    </w:p>
    <w:p w:rsidR="003339D0" w:rsidRPr="00C65506" w:rsidRDefault="003339D0" w:rsidP="003339D0">
      <w:pPr>
        <w:ind w:left="567" w:hanging="567"/>
        <w:outlineLvl w:val="0"/>
        <w:rPr>
          <w:noProof/>
          <w:szCs w:val="24"/>
          <w:lang w:val="fr-FR" w:bidi="yi-Hebr"/>
        </w:rPr>
      </w:pPr>
      <w:r w:rsidRPr="00C65506">
        <w:rPr>
          <w:b/>
          <w:noProof/>
          <w:szCs w:val="24"/>
          <w:lang w:val="fr-FR" w:bidi="yi-Hebr"/>
        </w:rPr>
        <w:t>4.7</w:t>
      </w:r>
      <w:r w:rsidRPr="00C65506">
        <w:rPr>
          <w:b/>
          <w:noProof/>
          <w:szCs w:val="24"/>
          <w:lang w:val="fr-FR" w:bidi="yi-Hebr"/>
        </w:rPr>
        <w:tab/>
      </w:r>
      <w:r w:rsidRPr="00C65506">
        <w:rPr>
          <w:b/>
          <w:szCs w:val="24"/>
          <w:lang w:val="fr-FR" w:bidi="yi-Hebr"/>
        </w:rPr>
        <w:t>Effets sur l’aptitude à conduire des véhicules et à utiliser des machines</w:t>
      </w:r>
    </w:p>
    <w:p w:rsidR="00F25477" w:rsidRPr="00C65506" w:rsidRDefault="00F25477" w:rsidP="00496272">
      <w:pPr>
        <w:rPr>
          <w:noProof/>
          <w:szCs w:val="22"/>
          <w:lang w:val="fr-FR"/>
        </w:rPr>
      </w:pPr>
    </w:p>
    <w:p w:rsidR="00856AB2" w:rsidRPr="00C65506" w:rsidRDefault="00856AB2" w:rsidP="00856AB2">
      <w:pPr>
        <w:rPr>
          <w:noProof/>
          <w:szCs w:val="24"/>
          <w:lang w:val="fr-FR" w:bidi="yi-Hebr"/>
        </w:rPr>
      </w:pPr>
      <w:r w:rsidRPr="00C65506">
        <w:rPr>
          <w:szCs w:val="24"/>
          <w:lang w:val="fr-FR" w:bidi="yi-Hebr"/>
        </w:rPr>
        <w:t>Ovaleap n’a aucun effet ou un effet négligeable sur l’aptitude à conduire des véhicules et à utiliser des machines.</w:t>
      </w:r>
    </w:p>
    <w:p w:rsidR="00AD7A57" w:rsidRPr="00C65506" w:rsidRDefault="00AD7A57" w:rsidP="00496272">
      <w:pPr>
        <w:rPr>
          <w:noProof/>
          <w:szCs w:val="22"/>
          <w:lang w:val="fr-FR"/>
        </w:rPr>
      </w:pPr>
    </w:p>
    <w:p w:rsidR="00856AB2" w:rsidRPr="00C65506" w:rsidRDefault="00856AB2" w:rsidP="00856AB2">
      <w:pPr>
        <w:outlineLvl w:val="0"/>
        <w:rPr>
          <w:b/>
          <w:noProof/>
          <w:szCs w:val="24"/>
          <w:lang w:val="fr-FR" w:bidi="yi-Hebr"/>
        </w:rPr>
      </w:pPr>
      <w:r w:rsidRPr="00C65506">
        <w:rPr>
          <w:b/>
          <w:noProof/>
          <w:szCs w:val="24"/>
          <w:lang w:val="fr-FR" w:bidi="yi-Hebr"/>
        </w:rPr>
        <w:t>4.8</w:t>
      </w:r>
      <w:r w:rsidRPr="00C65506">
        <w:rPr>
          <w:b/>
          <w:noProof/>
          <w:szCs w:val="24"/>
          <w:lang w:val="fr-FR" w:bidi="yi-Hebr"/>
        </w:rPr>
        <w:tab/>
      </w:r>
      <w:r w:rsidRPr="00C65506">
        <w:rPr>
          <w:b/>
          <w:szCs w:val="24"/>
          <w:lang w:val="fr-FR" w:bidi="yi-Hebr"/>
        </w:rPr>
        <w:t>Effets indésirables</w:t>
      </w:r>
    </w:p>
    <w:p w:rsidR="00812D16" w:rsidRPr="00C65506" w:rsidRDefault="00812D16" w:rsidP="00496272">
      <w:pPr>
        <w:autoSpaceDE w:val="0"/>
        <w:autoSpaceDN w:val="0"/>
        <w:adjustRightInd w:val="0"/>
        <w:jc w:val="both"/>
        <w:rPr>
          <w:noProof/>
          <w:szCs w:val="22"/>
          <w:lang w:val="fr-FR"/>
        </w:rPr>
      </w:pPr>
    </w:p>
    <w:p w:rsidR="00856AB2" w:rsidRPr="00C65506" w:rsidRDefault="00856AB2" w:rsidP="00856AB2">
      <w:pPr>
        <w:tabs>
          <w:tab w:val="clear" w:pos="567"/>
        </w:tabs>
        <w:rPr>
          <w:i/>
          <w:noProof/>
          <w:color w:val="000000"/>
          <w:szCs w:val="24"/>
          <w:u w:val="single"/>
          <w:lang w:val="fr-FR" w:bidi="yi-Hebr"/>
        </w:rPr>
      </w:pPr>
      <w:r w:rsidRPr="00C65506">
        <w:rPr>
          <w:i/>
          <w:color w:val="000000"/>
          <w:szCs w:val="24"/>
          <w:u w:val="single"/>
          <w:lang w:val="fr-FR" w:bidi="yi-Hebr"/>
        </w:rPr>
        <w:t>Résumé du profil de sécurité</w:t>
      </w:r>
    </w:p>
    <w:p w:rsidR="00F4749D" w:rsidRPr="00C65506" w:rsidRDefault="00F4749D" w:rsidP="00496272">
      <w:pPr>
        <w:tabs>
          <w:tab w:val="clear" w:pos="567"/>
        </w:tabs>
        <w:rPr>
          <w:noProof/>
          <w:color w:val="000000"/>
          <w:szCs w:val="22"/>
          <w:lang w:val="fr-FR"/>
        </w:rPr>
      </w:pPr>
    </w:p>
    <w:p w:rsidR="00856AB2" w:rsidRPr="00C65506" w:rsidRDefault="00856AB2" w:rsidP="00856AB2">
      <w:pPr>
        <w:tabs>
          <w:tab w:val="clear" w:pos="567"/>
        </w:tabs>
        <w:rPr>
          <w:noProof/>
          <w:color w:val="000000"/>
          <w:szCs w:val="24"/>
          <w:lang w:val="fr-FR" w:bidi="yi-Hebr"/>
        </w:rPr>
      </w:pPr>
      <w:r w:rsidRPr="00C65506">
        <w:rPr>
          <w:color w:val="000000"/>
          <w:szCs w:val="24"/>
          <w:lang w:val="fr-FR" w:bidi="yi-Hebr"/>
        </w:rPr>
        <w:t>Les réactions indésirables les plus fréquemment rapportées sont les suivantes : céphalées, kystes ovariens et réactions locales au site d’injection (par exemple : douleur, érythème, hématome, œdème et/ou irritation au site d’injection).</w:t>
      </w:r>
    </w:p>
    <w:p w:rsidR="00AD7A57" w:rsidRPr="00C65506" w:rsidRDefault="00AD7A57" w:rsidP="00496272">
      <w:pPr>
        <w:tabs>
          <w:tab w:val="clear" w:pos="567"/>
        </w:tabs>
        <w:rPr>
          <w:noProof/>
          <w:color w:val="000000"/>
          <w:szCs w:val="22"/>
          <w:lang w:val="fr-FR"/>
        </w:rPr>
      </w:pPr>
    </w:p>
    <w:p w:rsidR="00856AB2" w:rsidRPr="00C65506" w:rsidRDefault="00856AB2" w:rsidP="00856AB2">
      <w:pPr>
        <w:tabs>
          <w:tab w:val="clear" w:pos="567"/>
        </w:tabs>
        <w:rPr>
          <w:noProof/>
          <w:szCs w:val="24"/>
          <w:lang w:val="fr-FR" w:bidi="yi-Hebr"/>
        </w:rPr>
      </w:pPr>
      <w:r w:rsidRPr="00C65506">
        <w:rPr>
          <w:color w:val="000000"/>
          <w:szCs w:val="24"/>
          <w:lang w:val="fr-FR" w:bidi="yi-Hebr"/>
        </w:rPr>
        <w:t>Un SHO d’intensité légère à modérée a été fréquemment rapporté et doit être considéré comme un risque intrinsèque à la stimulation. Le SHO d’intensité sévère est peu fréquent (voir rubrique 4.4).</w:t>
      </w:r>
    </w:p>
    <w:p w:rsidR="00AD7A57" w:rsidRPr="00C65506" w:rsidRDefault="00AD7A57" w:rsidP="00496272">
      <w:pPr>
        <w:tabs>
          <w:tab w:val="clear" w:pos="567"/>
        </w:tabs>
        <w:rPr>
          <w:noProof/>
          <w:color w:val="000000"/>
          <w:szCs w:val="22"/>
          <w:lang w:val="fr-FR"/>
        </w:rPr>
      </w:pPr>
    </w:p>
    <w:p w:rsidR="00856AB2" w:rsidRPr="00C65506" w:rsidRDefault="00856AB2" w:rsidP="00856AB2">
      <w:pPr>
        <w:tabs>
          <w:tab w:val="clear" w:pos="567"/>
        </w:tabs>
        <w:rPr>
          <w:noProof/>
          <w:color w:val="000000"/>
          <w:szCs w:val="24"/>
          <w:lang w:val="fr-FR" w:bidi="yi-Hebr"/>
        </w:rPr>
      </w:pPr>
      <w:r w:rsidRPr="00C65506">
        <w:rPr>
          <w:color w:val="000000"/>
          <w:szCs w:val="24"/>
          <w:lang w:val="fr-FR" w:bidi="yi-Hebr"/>
        </w:rPr>
        <w:t>Très rarement, un accident thromboembolique peut se produire</w:t>
      </w:r>
      <w:r w:rsidR="00BD72F0" w:rsidRPr="00C65506">
        <w:rPr>
          <w:color w:val="000000"/>
          <w:szCs w:val="24"/>
          <w:lang w:val="fr-FR" w:bidi="yi-Hebr"/>
        </w:rPr>
        <w:t xml:space="preserve"> </w:t>
      </w:r>
      <w:r w:rsidRPr="00C65506">
        <w:rPr>
          <w:color w:val="000000"/>
          <w:szCs w:val="24"/>
          <w:lang w:val="fr-FR" w:bidi="yi-Hebr"/>
        </w:rPr>
        <w:t>(voir rubrique 4.4).</w:t>
      </w:r>
    </w:p>
    <w:p w:rsidR="00AD7A57" w:rsidRPr="00C65506" w:rsidRDefault="00AD7A57" w:rsidP="00496272">
      <w:pPr>
        <w:tabs>
          <w:tab w:val="clear" w:pos="567"/>
        </w:tabs>
        <w:rPr>
          <w:noProof/>
          <w:color w:val="000000"/>
          <w:szCs w:val="22"/>
          <w:lang w:val="fr-FR"/>
        </w:rPr>
      </w:pPr>
    </w:p>
    <w:p w:rsidR="00856AB2" w:rsidRPr="00C65506" w:rsidRDefault="00C722E5" w:rsidP="008704C7">
      <w:pPr>
        <w:tabs>
          <w:tab w:val="clear" w:pos="567"/>
        </w:tabs>
        <w:rPr>
          <w:i/>
          <w:noProof/>
          <w:color w:val="000000"/>
          <w:szCs w:val="24"/>
          <w:u w:val="single"/>
          <w:lang w:val="fr-FR" w:bidi="yi-Hebr"/>
        </w:rPr>
      </w:pPr>
      <w:r w:rsidRPr="00C65506">
        <w:rPr>
          <w:i/>
          <w:color w:val="000000"/>
          <w:szCs w:val="24"/>
          <w:u w:val="single"/>
          <w:lang w:val="fr-FR" w:bidi="yi-Hebr"/>
        </w:rPr>
        <w:t>R</w:t>
      </w:r>
      <w:r w:rsidR="008704C7" w:rsidRPr="00C65506">
        <w:rPr>
          <w:i/>
          <w:color w:val="000000"/>
          <w:szCs w:val="24"/>
          <w:u w:val="single"/>
          <w:lang w:val="fr-FR" w:bidi="yi-Hebr"/>
        </w:rPr>
        <w:t>écapitulatif</w:t>
      </w:r>
      <w:r w:rsidR="00856AB2" w:rsidRPr="00C65506">
        <w:rPr>
          <w:i/>
          <w:color w:val="000000"/>
          <w:szCs w:val="24"/>
          <w:u w:val="single"/>
          <w:lang w:val="fr-FR" w:bidi="yi-Hebr"/>
        </w:rPr>
        <w:t xml:space="preserve"> des effets indésirables</w:t>
      </w:r>
    </w:p>
    <w:p w:rsidR="00F4749D" w:rsidRPr="00C65506" w:rsidRDefault="00F4749D" w:rsidP="00496272">
      <w:pPr>
        <w:tabs>
          <w:tab w:val="clear" w:pos="567"/>
        </w:tabs>
        <w:rPr>
          <w:noProof/>
          <w:color w:val="000000"/>
          <w:szCs w:val="22"/>
          <w:lang w:val="fr-FR"/>
        </w:rPr>
      </w:pPr>
    </w:p>
    <w:p w:rsidR="00856AB2" w:rsidRPr="00C65506" w:rsidRDefault="00856AB2" w:rsidP="00FE381A">
      <w:pPr>
        <w:tabs>
          <w:tab w:val="clear" w:pos="567"/>
        </w:tabs>
        <w:rPr>
          <w:noProof/>
          <w:szCs w:val="24"/>
          <w:lang w:val="fr-FR" w:bidi="yi-Hebr"/>
        </w:rPr>
      </w:pPr>
      <w:r w:rsidRPr="00C65506">
        <w:rPr>
          <w:color w:val="000000"/>
          <w:szCs w:val="24"/>
          <w:lang w:val="fr-FR" w:bidi="yi-Hebr"/>
        </w:rPr>
        <w:t>Les termes utilisés ci-après pour exprimer la fréquence des effets indésirables répondent à la définition suivante :</w:t>
      </w:r>
      <w:r w:rsidR="00560C91" w:rsidRPr="00C65506">
        <w:rPr>
          <w:color w:val="000000"/>
          <w:szCs w:val="24"/>
          <w:lang w:val="fr-FR" w:bidi="yi-Hebr"/>
        </w:rPr>
        <w:t xml:space="preserve"> t</w:t>
      </w:r>
      <w:r w:rsidRPr="00C65506">
        <w:rPr>
          <w:color w:val="000000"/>
          <w:szCs w:val="24"/>
          <w:lang w:val="fr-FR" w:bidi="yi-Hebr"/>
        </w:rPr>
        <w:t>rès fréquent</w:t>
      </w:r>
      <w:r w:rsidR="00560C91" w:rsidRPr="00C65506">
        <w:rPr>
          <w:noProof/>
          <w:color w:val="000000"/>
          <w:szCs w:val="24"/>
          <w:lang w:val="fr-FR" w:bidi="yi-Hebr"/>
        </w:rPr>
        <w:t xml:space="preserve"> (</w:t>
      </w:r>
      <w:r w:rsidRPr="00C65506">
        <w:rPr>
          <w:noProof/>
          <w:color w:val="000000"/>
          <w:szCs w:val="24"/>
          <w:lang w:val="fr-FR" w:bidi="yi-Hebr"/>
        </w:rPr>
        <w:t>≥ 1/10</w:t>
      </w:r>
      <w:r w:rsidR="00560C91" w:rsidRPr="00C65506">
        <w:rPr>
          <w:noProof/>
          <w:color w:val="000000"/>
          <w:szCs w:val="24"/>
          <w:lang w:val="fr-FR" w:bidi="yi-Hebr"/>
        </w:rPr>
        <w:t xml:space="preserve">), </w:t>
      </w:r>
      <w:r w:rsidR="00560C91" w:rsidRPr="00C65506">
        <w:rPr>
          <w:color w:val="000000"/>
          <w:szCs w:val="24"/>
          <w:lang w:val="fr-FR" w:bidi="yi-Hebr"/>
        </w:rPr>
        <w:t>f</w:t>
      </w:r>
      <w:r w:rsidRPr="00C65506">
        <w:rPr>
          <w:color w:val="000000"/>
          <w:szCs w:val="24"/>
          <w:lang w:val="fr-FR" w:bidi="yi-Hebr"/>
        </w:rPr>
        <w:t>réquent</w:t>
      </w:r>
      <w:r w:rsidR="00560C91" w:rsidRPr="00C65506">
        <w:rPr>
          <w:noProof/>
          <w:color w:val="000000"/>
          <w:szCs w:val="24"/>
          <w:lang w:val="fr-FR" w:bidi="yi-Hebr"/>
        </w:rPr>
        <w:t xml:space="preserve"> (</w:t>
      </w:r>
      <w:r w:rsidRPr="00C65506">
        <w:rPr>
          <w:color w:val="000000"/>
          <w:szCs w:val="24"/>
          <w:lang w:val="fr-FR" w:bidi="yi-Hebr"/>
        </w:rPr>
        <w:t>≥ 1/100</w:t>
      </w:r>
      <w:r w:rsidR="00560C91" w:rsidRPr="00C65506">
        <w:rPr>
          <w:color w:val="000000"/>
          <w:szCs w:val="24"/>
          <w:lang w:val="fr-FR" w:bidi="yi-Hebr"/>
        </w:rPr>
        <w:t xml:space="preserve"> à</w:t>
      </w:r>
      <w:r w:rsidRPr="00C65506">
        <w:rPr>
          <w:color w:val="000000"/>
          <w:szCs w:val="24"/>
          <w:lang w:val="fr-FR" w:bidi="yi-Hebr"/>
        </w:rPr>
        <w:t xml:space="preserve"> &lt; 1/10</w:t>
      </w:r>
      <w:r w:rsidR="00560C91" w:rsidRPr="00C65506">
        <w:rPr>
          <w:color w:val="000000"/>
          <w:szCs w:val="24"/>
          <w:lang w:val="fr-FR" w:bidi="yi-Hebr"/>
        </w:rPr>
        <w:t>), p</w:t>
      </w:r>
      <w:r w:rsidRPr="00C65506">
        <w:rPr>
          <w:color w:val="000000"/>
          <w:szCs w:val="24"/>
          <w:lang w:val="fr-FR" w:bidi="yi-Hebr"/>
        </w:rPr>
        <w:t>eu fréquent</w:t>
      </w:r>
      <w:r w:rsidR="00560C91" w:rsidRPr="00C65506">
        <w:rPr>
          <w:noProof/>
          <w:color w:val="000000"/>
          <w:szCs w:val="24"/>
          <w:lang w:val="fr-FR" w:bidi="yi-Hebr"/>
        </w:rPr>
        <w:t xml:space="preserve"> (</w:t>
      </w:r>
      <w:r w:rsidRPr="00C65506">
        <w:rPr>
          <w:color w:val="000000"/>
          <w:szCs w:val="24"/>
          <w:lang w:val="fr-FR" w:bidi="yi-Hebr"/>
        </w:rPr>
        <w:t>≥ 1/1 000</w:t>
      </w:r>
      <w:r w:rsidR="00560C91" w:rsidRPr="00C65506">
        <w:rPr>
          <w:color w:val="000000"/>
          <w:szCs w:val="24"/>
          <w:lang w:val="fr-FR" w:bidi="yi-Hebr"/>
        </w:rPr>
        <w:t xml:space="preserve"> à</w:t>
      </w:r>
      <w:r w:rsidRPr="00C65506">
        <w:rPr>
          <w:color w:val="000000"/>
          <w:szCs w:val="24"/>
          <w:lang w:val="fr-FR" w:bidi="yi-Hebr"/>
        </w:rPr>
        <w:t xml:space="preserve"> &lt; 1/100</w:t>
      </w:r>
      <w:r w:rsidR="00560C91" w:rsidRPr="00C65506">
        <w:rPr>
          <w:color w:val="000000"/>
          <w:szCs w:val="24"/>
          <w:lang w:val="fr-FR" w:bidi="yi-Hebr"/>
        </w:rPr>
        <w:t>), r</w:t>
      </w:r>
      <w:r w:rsidRPr="00C65506">
        <w:rPr>
          <w:color w:val="000000"/>
          <w:szCs w:val="24"/>
          <w:lang w:val="fr-FR" w:bidi="yi-Hebr"/>
        </w:rPr>
        <w:t>are</w:t>
      </w:r>
      <w:r w:rsidR="00560C91" w:rsidRPr="00C65506">
        <w:rPr>
          <w:color w:val="000000"/>
          <w:szCs w:val="24"/>
          <w:lang w:val="fr-FR" w:bidi="yi-Hebr"/>
        </w:rPr>
        <w:t xml:space="preserve"> (</w:t>
      </w:r>
      <w:r w:rsidRPr="00C65506">
        <w:rPr>
          <w:color w:val="000000"/>
          <w:szCs w:val="24"/>
          <w:lang w:val="fr-FR" w:bidi="yi-Hebr"/>
        </w:rPr>
        <w:t>≥ 1/10 000</w:t>
      </w:r>
      <w:r w:rsidR="00560C91" w:rsidRPr="00C65506">
        <w:rPr>
          <w:color w:val="000000"/>
          <w:szCs w:val="24"/>
          <w:lang w:val="fr-FR" w:bidi="yi-Hebr"/>
        </w:rPr>
        <w:t xml:space="preserve"> à</w:t>
      </w:r>
      <w:r w:rsidRPr="00C65506">
        <w:rPr>
          <w:color w:val="000000"/>
          <w:szCs w:val="24"/>
          <w:lang w:val="fr-FR" w:bidi="yi-Hebr"/>
        </w:rPr>
        <w:t xml:space="preserve"> &lt; 1/1 000</w:t>
      </w:r>
      <w:r w:rsidR="00560C91" w:rsidRPr="00C65506">
        <w:rPr>
          <w:color w:val="000000"/>
          <w:szCs w:val="24"/>
          <w:lang w:val="fr-FR" w:bidi="yi-Hebr"/>
        </w:rPr>
        <w:t>), t</w:t>
      </w:r>
      <w:r w:rsidRPr="00C65506">
        <w:rPr>
          <w:color w:val="000000"/>
          <w:szCs w:val="24"/>
          <w:lang w:val="fr-FR" w:bidi="yi-Hebr"/>
        </w:rPr>
        <w:t>rès rare</w:t>
      </w:r>
      <w:r w:rsidR="00560C91" w:rsidRPr="00C65506">
        <w:rPr>
          <w:noProof/>
          <w:color w:val="000000"/>
          <w:szCs w:val="24"/>
          <w:lang w:val="fr-FR" w:bidi="yi-Hebr"/>
        </w:rPr>
        <w:t xml:space="preserve"> (</w:t>
      </w:r>
      <w:r w:rsidRPr="00C65506">
        <w:rPr>
          <w:noProof/>
          <w:color w:val="000000"/>
          <w:szCs w:val="24"/>
          <w:lang w:val="fr-FR" w:bidi="yi-Hebr"/>
        </w:rPr>
        <w:t>&lt; 1/10 000</w:t>
      </w:r>
      <w:r w:rsidR="00560C91" w:rsidRPr="00C65506">
        <w:rPr>
          <w:noProof/>
          <w:color w:val="000000"/>
          <w:szCs w:val="24"/>
          <w:lang w:val="fr-FR" w:bidi="yi-Hebr"/>
        </w:rPr>
        <w:t>)</w:t>
      </w:r>
      <w:r w:rsidR="005A6732" w:rsidRPr="00C65506">
        <w:rPr>
          <w:noProof/>
          <w:color w:val="000000"/>
          <w:szCs w:val="24"/>
          <w:lang w:val="fr-FR" w:bidi="yi-Hebr"/>
        </w:rPr>
        <w:t xml:space="preserve"> et</w:t>
      </w:r>
      <w:r w:rsidR="005A6732" w:rsidRPr="00C65506">
        <w:rPr>
          <w:color w:val="000000"/>
          <w:szCs w:val="24"/>
          <w:lang w:val="fr-FR" w:bidi="yi-Hebr"/>
        </w:rPr>
        <w:t xml:space="preserve"> f</w:t>
      </w:r>
      <w:r w:rsidRPr="00C65506">
        <w:rPr>
          <w:color w:val="000000"/>
          <w:szCs w:val="24"/>
          <w:lang w:val="fr-FR" w:bidi="yi-Hebr"/>
        </w:rPr>
        <w:t>réquence indéterminée</w:t>
      </w:r>
      <w:r w:rsidR="005A6732" w:rsidRPr="00C65506">
        <w:rPr>
          <w:noProof/>
          <w:color w:val="000000"/>
          <w:szCs w:val="24"/>
          <w:lang w:val="fr-FR" w:bidi="yi-Hebr"/>
        </w:rPr>
        <w:t xml:space="preserve"> (</w:t>
      </w:r>
      <w:r w:rsidRPr="00C65506">
        <w:rPr>
          <w:color w:val="000000"/>
          <w:szCs w:val="24"/>
          <w:lang w:val="fr-FR" w:bidi="yi-Hebr"/>
        </w:rPr>
        <w:t>ne peut être estimée sur la base des données disponibles</w:t>
      </w:r>
      <w:r w:rsidR="005A6732" w:rsidRPr="00C65506">
        <w:rPr>
          <w:color w:val="000000"/>
          <w:szCs w:val="24"/>
          <w:lang w:val="fr-FR" w:bidi="yi-Hebr"/>
        </w:rPr>
        <w:t>)</w:t>
      </w:r>
      <w:r w:rsidRPr="00C65506">
        <w:rPr>
          <w:color w:val="000000"/>
          <w:szCs w:val="24"/>
          <w:lang w:val="fr-FR" w:bidi="yi-Hebr"/>
        </w:rPr>
        <w:t>.</w:t>
      </w:r>
      <w:r w:rsidR="002A2B4B" w:rsidRPr="00C65506">
        <w:rPr>
          <w:color w:val="000000"/>
          <w:szCs w:val="24"/>
          <w:lang w:val="fr-FR" w:bidi="yi-Hebr"/>
        </w:rPr>
        <w:t xml:space="preserve"> Dans chaque groupe de fréquence, les effets indésirables sont présentés par ordre décroissant de gravité.</w:t>
      </w:r>
    </w:p>
    <w:p w:rsidR="00AD7A57" w:rsidRPr="00C65506" w:rsidRDefault="00AD7A57" w:rsidP="00496272">
      <w:pPr>
        <w:tabs>
          <w:tab w:val="clear" w:pos="567"/>
        </w:tabs>
        <w:rPr>
          <w:noProof/>
          <w:color w:val="000000"/>
          <w:szCs w:val="22"/>
          <w:lang w:val="fr-FR"/>
        </w:rPr>
      </w:pPr>
    </w:p>
    <w:p w:rsidR="00856AB2" w:rsidRPr="00C65506" w:rsidRDefault="00856AB2" w:rsidP="00856AB2">
      <w:pPr>
        <w:keepNext/>
        <w:keepLines/>
        <w:tabs>
          <w:tab w:val="clear" w:pos="567"/>
        </w:tabs>
        <w:rPr>
          <w:i/>
          <w:noProof/>
          <w:color w:val="000000"/>
          <w:szCs w:val="24"/>
          <w:lang w:val="fr-FR" w:bidi="yi-Hebr"/>
        </w:rPr>
      </w:pPr>
      <w:r w:rsidRPr="00C65506">
        <w:rPr>
          <w:i/>
          <w:color w:val="000000"/>
          <w:szCs w:val="24"/>
          <w:lang w:val="fr-FR" w:bidi="yi-Hebr"/>
        </w:rPr>
        <w:lastRenderedPageBreak/>
        <w:t>Traitement chez les femmes</w:t>
      </w:r>
    </w:p>
    <w:p w:rsidR="00AD7A57" w:rsidRPr="00C65506" w:rsidRDefault="00AD7A57" w:rsidP="00496272">
      <w:pPr>
        <w:keepNext/>
        <w:keepLines/>
        <w:tabs>
          <w:tab w:val="clear" w:pos="567"/>
        </w:tabs>
        <w:rPr>
          <w:i/>
          <w:iCs/>
          <w:noProof/>
          <w:color w:val="000000"/>
          <w:szCs w:val="22"/>
          <w:lang w:val="fr-FR"/>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6"/>
        <w:gridCol w:w="3012"/>
        <w:gridCol w:w="3033"/>
      </w:tblGrid>
      <w:tr w:rsidR="00373C9B" w:rsidRPr="00162C74" w:rsidTr="008432DB">
        <w:tc>
          <w:tcPr>
            <w:tcW w:w="9212" w:type="dxa"/>
            <w:gridSpan w:val="3"/>
            <w:tcBorders>
              <w:top w:val="nil"/>
              <w:left w:val="nil"/>
              <w:right w:val="nil"/>
            </w:tcBorders>
          </w:tcPr>
          <w:p w:rsidR="00373C9B" w:rsidRPr="00C65506" w:rsidRDefault="00373C9B" w:rsidP="00373C9B">
            <w:pPr>
              <w:keepNext/>
              <w:keepLines/>
              <w:rPr>
                <w:b/>
                <w:lang w:val="fr-FR"/>
              </w:rPr>
            </w:pPr>
            <w:r w:rsidRPr="00C65506">
              <w:rPr>
                <w:b/>
                <w:lang w:val="fr-FR"/>
              </w:rPr>
              <w:t>Tableau 1 : Effets indésirables chez les femmes</w:t>
            </w:r>
          </w:p>
        </w:tc>
      </w:tr>
      <w:tr w:rsidR="00373C9B" w:rsidRPr="00C65506" w:rsidTr="008432DB">
        <w:tc>
          <w:tcPr>
            <w:tcW w:w="3070" w:type="dxa"/>
            <w:tcBorders>
              <w:left w:val="single" w:sz="4" w:space="0" w:color="auto"/>
            </w:tcBorders>
          </w:tcPr>
          <w:p w:rsidR="00373C9B" w:rsidRPr="00C65506" w:rsidRDefault="00373C9B" w:rsidP="00373C9B">
            <w:pPr>
              <w:keepNext/>
              <w:keepLines/>
              <w:rPr>
                <w:b/>
                <w:lang w:val="fr-FR"/>
              </w:rPr>
            </w:pPr>
            <w:r w:rsidRPr="00C65506">
              <w:rPr>
                <w:b/>
                <w:lang w:val="fr-FR"/>
              </w:rPr>
              <w:t>Classe de système</w:t>
            </w:r>
            <w:r w:rsidR="000C3EA7" w:rsidRPr="00C65506">
              <w:rPr>
                <w:b/>
                <w:lang w:val="fr-FR"/>
              </w:rPr>
              <w:t>s</w:t>
            </w:r>
            <w:r w:rsidRPr="00C65506">
              <w:rPr>
                <w:b/>
                <w:lang w:val="fr-FR"/>
              </w:rPr>
              <w:t xml:space="preserve"> d’organe</w:t>
            </w:r>
            <w:r w:rsidR="000C3EA7" w:rsidRPr="00C65506">
              <w:rPr>
                <w:b/>
                <w:lang w:val="fr-FR"/>
              </w:rPr>
              <w:t>s</w:t>
            </w:r>
          </w:p>
        </w:tc>
        <w:tc>
          <w:tcPr>
            <w:tcW w:w="3071" w:type="dxa"/>
          </w:tcPr>
          <w:p w:rsidR="00373C9B" w:rsidRPr="00C65506" w:rsidRDefault="00373C9B" w:rsidP="00373C9B">
            <w:pPr>
              <w:keepNext/>
              <w:keepLines/>
              <w:rPr>
                <w:b/>
                <w:lang w:val="fr-FR"/>
              </w:rPr>
            </w:pPr>
            <w:r w:rsidRPr="00C65506">
              <w:rPr>
                <w:b/>
                <w:lang w:val="fr-FR"/>
              </w:rPr>
              <w:t>Fréquence</w:t>
            </w:r>
          </w:p>
        </w:tc>
        <w:tc>
          <w:tcPr>
            <w:tcW w:w="3071" w:type="dxa"/>
            <w:tcBorders>
              <w:right w:val="single" w:sz="4" w:space="0" w:color="auto"/>
            </w:tcBorders>
          </w:tcPr>
          <w:p w:rsidR="00373C9B" w:rsidRPr="00C65506" w:rsidRDefault="00373C9B" w:rsidP="00373C9B">
            <w:pPr>
              <w:keepNext/>
              <w:keepLines/>
              <w:rPr>
                <w:b/>
                <w:lang w:val="fr-FR"/>
              </w:rPr>
            </w:pPr>
            <w:r w:rsidRPr="00C65506">
              <w:rPr>
                <w:b/>
                <w:lang w:val="fr-FR"/>
              </w:rPr>
              <w:t>Effet indésirable</w:t>
            </w:r>
          </w:p>
        </w:tc>
      </w:tr>
      <w:tr w:rsidR="00373C9B" w:rsidRPr="00162C74" w:rsidTr="008432DB">
        <w:tc>
          <w:tcPr>
            <w:tcW w:w="3070" w:type="dxa"/>
            <w:tcBorders>
              <w:left w:val="single" w:sz="4" w:space="0" w:color="auto"/>
            </w:tcBorders>
          </w:tcPr>
          <w:p w:rsidR="00373C9B" w:rsidRPr="00C65506" w:rsidRDefault="00373C9B" w:rsidP="00373C9B">
            <w:pPr>
              <w:keepNext/>
              <w:keepLines/>
              <w:tabs>
                <w:tab w:val="clear" w:pos="567"/>
              </w:tabs>
              <w:rPr>
                <w:i/>
                <w:lang w:val="fr-FR"/>
              </w:rPr>
            </w:pPr>
            <w:r w:rsidRPr="00C65506">
              <w:rPr>
                <w:i/>
                <w:szCs w:val="22"/>
                <w:lang w:val="fr-FR"/>
              </w:rPr>
              <w:t>Affections du système immunitaire</w:t>
            </w:r>
          </w:p>
        </w:tc>
        <w:tc>
          <w:tcPr>
            <w:tcW w:w="3071" w:type="dxa"/>
          </w:tcPr>
          <w:p w:rsidR="00373C9B" w:rsidRPr="00C65506" w:rsidRDefault="00373C9B" w:rsidP="00373C9B">
            <w:pPr>
              <w:keepNext/>
              <w:keepLines/>
              <w:rPr>
                <w:lang w:val="fr-FR"/>
              </w:rPr>
            </w:pPr>
            <w:r w:rsidRPr="00C65506">
              <w:rPr>
                <w:noProof/>
                <w:color w:val="000000"/>
                <w:szCs w:val="22"/>
                <w:lang w:val="fr-FR"/>
              </w:rPr>
              <w:t>Très rare</w:t>
            </w:r>
          </w:p>
        </w:tc>
        <w:tc>
          <w:tcPr>
            <w:tcW w:w="3071" w:type="dxa"/>
            <w:tcBorders>
              <w:right w:val="single" w:sz="4" w:space="0" w:color="auto"/>
            </w:tcBorders>
          </w:tcPr>
          <w:p w:rsidR="00373C9B" w:rsidRPr="00C65506" w:rsidRDefault="00373C9B" w:rsidP="00373C9B">
            <w:pPr>
              <w:keepNext/>
              <w:keepLines/>
              <w:rPr>
                <w:lang w:val="fr-FR"/>
              </w:rPr>
            </w:pPr>
            <w:r w:rsidRPr="00C65506">
              <w:rPr>
                <w:color w:val="000000"/>
                <w:szCs w:val="24"/>
                <w:lang w:val="fr-FR" w:bidi="yi-Hebr"/>
              </w:rPr>
              <w:t>Réactions d’hypersensibilité légères à sévères, y compris réactions et choc anaphylactiques</w:t>
            </w:r>
          </w:p>
        </w:tc>
      </w:tr>
      <w:tr w:rsidR="00373C9B" w:rsidRPr="00C65506" w:rsidTr="008432DB">
        <w:tc>
          <w:tcPr>
            <w:tcW w:w="3070" w:type="dxa"/>
            <w:tcBorders>
              <w:left w:val="single" w:sz="4" w:space="0" w:color="auto"/>
            </w:tcBorders>
          </w:tcPr>
          <w:p w:rsidR="00373C9B" w:rsidRPr="00C65506" w:rsidRDefault="00373C9B" w:rsidP="00373C9B">
            <w:pPr>
              <w:keepNext/>
              <w:keepLines/>
              <w:tabs>
                <w:tab w:val="clear" w:pos="567"/>
              </w:tabs>
              <w:rPr>
                <w:i/>
                <w:szCs w:val="22"/>
                <w:lang w:val="fr-FR"/>
              </w:rPr>
            </w:pPr>
            <w:r w:rsidRPr="00C65506">
              <w:rPr>
                <w:i/>
                <w:szCs w:val="22"/>
                <w:lang w:val="fr-FR"/>
              </w:rPr>
              <w:t>Affections du système nerveux</w:t>
            </w:r>
          </w:p>
        </w:tc>
        <w:tc>
          <w:tcPr>
            <w:tcW w:w="3071" w:type="dxa"/>
          </w:tcPr>
          <w:p w:rsidR="00373C9B" w:rsidRPr="00C65506" w:rsidRDefault="00373C9B" w:rsidP="00373C9B">
            <w:pPr>
              <w:keepNext/>
              <w:keepLines/>
              <w:rPr>
                <w:lang w:val="fr-FR"/>
              </w:rPr>
            </w:pPr>
            <w:r w:rsidRPr="00C65506">
              <w:rPr>
                <w:noProof/>
                <w:color w:val="000000"/>
                <w:szCs w:val="22"/>
                <w:lang w:val="fr-FR"/>
              </w:rPr>
              <w:t>Très fréquent</w:t>
            </w:r>
          </w:p>
        </w:tc>
        <w:tc>
          <w:tcPr>
            <w:tcW w:w="3071" w:type="dxa"/>
            <w:tcBorders>
              <w:right w:val="single" w:sz="4" w:space="0" w:color="auto"/>
            </w:tcBorders>
          </w:tcPr>
          <w:p w:rsidR="00373C9B" w:rsidRPr="00C65506" w:rsidRDefault="00373C9B" w:rsidP="008432DB">
            <w:pPr>
              <w:keepNext/>
              <w:keepLines/>
              <w:tabs>
                <w:tab w:val="center" w:pos="1427"/>
              </w:tabs>
              <w:rPr>
                <w:lang w:val="fr-FR"/>
              </w:rPr>
            </w:pPr>
            <w:r w:rsidRPr="00C65506">
              <w:rPr>
                <w:noProof/>
                <w:color w:val="000000"/>
                <w:szCs w:val="22"/>
                <w:lang w:val="fr-FR"/>
              </w:rPr>
              <w:t>Céphalées</w:t>
            </w:r>
          </w:p>
        </w:tc>
      </w:tr>
      <w:tr w:rsidR="00373C9B" w:rsidRPr="00162C74" w:rsidTr="008432DB">
        <w:tc>
          <w:tcPr>
            <w:tcW w:w="3070" w:type="dxa"/>
            <w:tcBorders>
              <w:left w:val="single" w:sz="4" w:space="0" w:color="auto"/>
            </w:tcBorders>
          </w:tcPr>
          <w:p w:rsidR="00373C9B" w:rsidRPr="00C65506" w:rsidRDefault="00373C9B" w:rsidP="00373C9B">
            <w:pPr>
              <w:keepNext/>
              <w:keepLines/>
              <w:tabs>
                <w:tab w:val="clear" w:pos="567"/>
              </w:tabs>
              <w:rPr>
                <w:i/>
                <w:szCs w:val="22"/>
                <w:lang w:val="fr-FR"/>
              </w:rPr>
            </w:pPr>
            <w:r w:rsidRPr="00C65506">
              <w:rPr>
                <w:i/>
                <w:iCs/>
                <w:noProof/>
                <w:color w:val="000000"/>
                <w:szCs w:val="22"/>
                <w:lang w:val="fr-FR"/>
              </w:rPr>
              <w:t>Affections vasculaires</w:t>
            </w:r>
          </w:p>
        </w:tc>
        <w:tc>
          <w:tcPr>
            <w:tcW w:w="3071" w:type="dxa"/>
          </w:tcPr>
          <w:p w:rsidR="00373C9B" w:rsidRPr="00C65506" w:rsidRDefault="00373C9B" w:rsidP="008432DB">
            <w:pPr>
              <w:keepNext/>
              <w:keepLines/>
              <w:rPr>
                <w:szCs w:val="22"/>
                <w:lang w:val="fr-FR"/>
              </w:rPr>
            </w:pPr>
            <w:r w:rsidRPr="00C65506">
              <w:rPr>
                <w:noProof/>
                <w:color w:val="000000"/>
                <w:szCs w:val="22"/>
                <w:lang w:val="fr-FR"/>
              </w:rPr>
              <w:t>Très rare</w:t>
            </w:r>
          </w:p>
        </w:tc>
        <w:tc>
          <w:tcPr>
            <w:tcW w:w="3071" w:type="dxa"/>
            <w:tcBorders>
              <w:right w:val="single" w:sz="4" w:space="0" w:color="auto"/>
            </w:tcBorders>
          </w:tcPr>
          <w:p w:rsidR="00373C9B" w:rsidRPr="00C65506" w:rsidRDefault="00373C9B" w:rsidP="00010B4C">
            <w:pPr>
              <w:keepNext/>
              <w:keepLines/>
              <w:tabs>
                <w:tab w:val="center" w:pos="1427"/>
              </w:tabs>
              <w:rPr>
                <w:szCs w:val="22"/>
                <w:lang w:val="fr-FR"/>
              </w:rPr>
            </w:pPr>
            <w:r w:rsidRPr="00C65506">
              <w:rPr>
                <w:color w:val="000000"/>
                <w:szCs w:val="24"/>
                <w:lang w:val="fr-FR" w:bidi="yi-Hebr"/>
              </w:rPr>
              <w:t xml:space="preserve">Accident thromboembolique </w:t>
            </w:r>
            <w:r w:rsidR="00010B4C" w:rsidRPr="00C65506">
              <w:rPr>
                <w:szCs w:val="22"/>
                <w:lang w:val="fr-FR"/>
              </w:rPr>
              <w:t>(associé ou non à un SHO)</w:t>
            </w:r>
          </w:p>
        </w:tc>
      </w:tr>
      <w:tr w:rsidR="00373C9B" w:rsidRPr="00162C74" w:rsidTr="008432DB">
        <w:tc>
          <w:tcPr>
            <w:tcW w:w="3070" w:type="dxa"/>
            <w:tcBorders>
              <w:left w:val="single" w:sz="4" w:space="0" w:color="auto"/>
            </w:tcBorders>
          </w:tcPr>
          <w:p w:rsidR="00373C9B" w:rsidRPr="00C65506" w:rsidRDefault="00373C9B" w:rsidP="00373C9B">
            <w:pPr>
              <w:keepNext/>
              <w:keepLines/>
              <w:tabs>
                <w:tab w:val="clear" w:pos="567"/>
              </w:tabs>
              <w:rPr>
                <w:i/>
                <w:szCs w:val="22"/>
                <w:lang w:val="fr-FR"/>
              </w:rPr>
            </w:pPr>
            <w:r w:rsidRPr="00C65506">
              <w:rPr>
                <w:i/>
                <w:iCs/>
                <w:noProof/>
                <w:color w:val="000000"/>
                <w:szCs w:val="22"/>
                <w:lang w:val="fr-FR"/>
              </w:rPr>
              <w:t>Affections respiratoires, thoraciques et médiastinales</w:t>
            </w:r>
          </w:p>
        </w:tc>
        <w:tc>
          <w:tcPr>
            <w:tcW w:w="3071" w:type="dxa"/>
          </w:tcPr>
          <w:p w:rsidR="00373C9B" w:rsidRPr="00C65506" w:rsidRDefault="00373C9B" w:rsidP="008432DB">
            <w:pPr>
              <w:keepNext/>
              <w:keepLines/>
              <w:rPr>
                <w:lang w:val="fr-FR"/>
              </w:rPr>
            </w:pPr>
            <w:r w:rsidRPr="00C65506">
              <w:rPr>
                <w:noProof/>
                <w:color w:val="000000"/>
                <w:szCs w:val="22"/>
                <w:lang w:val="fr-FR"/>
              </w:rPr>
              <w:t>Très rare</w:t>
            </w:r>
          </w:p>
        </w:tc>
        <w:tc>
          <w:tcPr>
            <w:tcW w:w="3071" w:type="dxa"/>
            <w:tcBorders>
              <w:right w:val="single" w:sz="4" w:space="0" w:color="auto"/>
            </w:tcBorders>
          </w:tcPr>
          <w:p w:rsidR="00373C9B" w:rsidRPr="00C65506" w:rsidRDefault="00373C9B" w:rsidP="008432DB">
            <w:pPr>
              <w:keepNext/>
              <w:keepLines/>
              <w:rPr>
                <w:lang w:val="fr-FR"/>
              </w:rPr>
            </w:pPr>
            <w:r w:rsidRPr="00C65506">
              <w:rPr>
                <w:color w:val="000000"/>
                <w:szCs w:val="24"/>
                <w:lang w:val="fr-FR" w:bidi="yi-Hebr"/>
              </w:rPr>
              <w:t>Exacerbation ou aggravation de l’asthme</w:t>
            </w:r>
          </w:p>
        </w:tc>
      </w:tr>
      <w:tr w:rsidR="00373C9B" w:rsidRPr="00162C74" w:rsidTr="008432DB">
        <w:tc>
          <w:tcPr>
            <w:tcW w:w="3070" w:type="dxa"/>
            <w:tcBorders>
              <w:left w:val="single" w:sz="4" w:space="0" w:color="auto"/>
            </w:tcBorders>
          </w:tcPr>
          <w:p w:rsidR="00373C9B" w:rsidRPr="00C65506" w:rsidRDefault="00373C9B" w:rsidP="00373C9B">
            <w:pPr>
              <w:keepNext/>
              <w:keepLines/>
              <w:rPr>
                <w:i/>
                <w:szCs w:val="22"/>
                <w:lang w:val="fr-FR"/>
              </w:rPr>
            </w:pPr>
            <w:r w:rsidRPr="00C65506">
              <w:rPr>
                <w:i/>
                <w:iCs/>
                <w:noProof/>
                <w:color w:val="000000"/>
                <w:szCs w:val="22"/>
                <w:lang w:val="fr-FR"/>
              </w:rPr>
              <w:t>Affections gastro-intestinales</w:t>
            </w:r>
          </w:p>
        </w:tc>
        <w:tc>
          <w:tcPr>
            <w:tcW w:w="3071" w:type="dxa"/>
          </w:tcPr>
          <w:p w:rsidR="00373C9B" w:rsidRPr="00C65506" w:rsidRDefault="00373C9B" w:rsidP="00373C9B">
            <w:pPr>
              <w:keepNext/>
              <w:keepLines/>
              <w:rPr>
                <w:lang w:val="fr-FR"/>
              </w:rPr>
            </w:pPr>
            <w:r w:rsidRPr="00C65506">
              <w:rPr>
                <w:noProof/>
                <w:color w:val="000000"/>
                <w:szCs w:val="22"/>
                <w:lang w:val="fr-FR"/>
              </w:rPr>
              <w:t>Fréquent</w:t>
            </w:r>
          </w:p>
        </w:tc>
        <w:tc>
          <w:tcPr>
            <w:tcW w:w="3071" w:type="dxa"/>
            <w:tcBorders>
              <w:right w:val="single" w:sz="4" w:space="0" w:color="auto"/>
            </w:tcBorders>
          </w:tcPr>
          <w:p w:rsidR="00373C9B" w:rsidRPr="00C65506" w:rsidRDefault="00373C9B" w:rsidP="00373C9B">
            <w:pPr>
              <w:keepNext/>
              <w:keepLines/>
              <w:rPr>
                <w:lang w:val="fr-FR"/>
              </w:rPr>
            </w:pPr>
            <w:r w:rsidRPr="00C65506">
              <w:rPr>
                <w:color w:val="000000"/>
                <w:szCs w:val="24"/>
                <w:lang w:val="fr-FR" w:bidi="yi-Hebr"/>
              </w:rPr>
              <w:t>Douleur abdominale, distension abdominale, troubles gastro-intestinaux, nausées, vomissements, diarrhées</w:t>
            </w:r>
          </w:p>
        </w:tc>
      </w:tr>
      <w:tr w:rsidR="00373C9B" w:rsidRPr="00C65506" w:rsidTr="008432DB">
        <w:tc>
          <w:tcPr>
            <w:tcW w:w="3070" w:type="dxa"/>
            <w:vMerge w:val="restart"/>
            <w:tcBorders>
              <w:left w:val="single" w:sz="4" w:space="0" w:color="auto"/>
            </w:tcBorders>
          </w:tcPr>
          <w:p w:rsidR="00373C9B" w:rsidRPr="00C65506" w:rsidRDefault="00373C9B" w:rsidP="00373C9B">
            <w:pPr>
              <w:keepNext/>
              <w:keepLines/>
              <w:rPr>
                <w:i/>
                <w:iCs/>
                <w:noProof/>
                <w:color w:val="000000"/>
                <w:szCs w:val="22"/>
                <w:lang w:val="fr-FR"/>
              </w:rPr>
            </w:pPr>
            <w:r w:rsidRPr="00C65506">
              <w:rPr>
                <w:i/>
                <w:iCs/>
                <w:noProof/>
                <w:color w:val="000000"/>
                <w:szCs w:val="22"/>
                <w:lang w:val="fr-FR"/>
              </w:rPr>
              <w:t>Affections des organes de reproduction et du sein</w:t>
            </w:r>
          </w:p>
        </w:tc>
        <w:tc>
          <w:tcPr>
            <w:tcW w:w="3071" w:type="dxa"/>
          </w:tcPr>
          <w:p w:rsidR="00373C9B" w:rsidRPr="00C65506" w:rsidRDefault="00373C9B" w:rsidP="00373C9B">
            <w:pPr>
              <w:keepNext/>
              <w:keepLines/>
              <w:rPr>
                <w:lang w:val="fr-FR"/>
              </w:rPr>
            </w:pPr>
            <w:r w:rsidRPr="00C65506">
              <w:rPr>
                <w:noProof/>
                <w:color w:val="000000"/>
                <w:szCs w:val="22"/>
                <w:lang w:val="fr-FR"/>
              </w:rPr>
              <w:t>Très fréquent</w:t>
            </w:r>
          </w:p>
        </w:tc>
        <w:tc>
          <w:tcPr>
            <w:tcW w:w="3071" w:type="dxa"/>
            <w:tcBorders>
              <w:right w:val="single" w:sz="4" w:space="0" w:color="auto"/>
            </w:tcBorders>
          </w:tcPr>
          <w:p w:rsidR="00373C9B" w:rsidRPr="00C65506" w:rsidRDefault="00373C9B" w:rsidP="008432DB">
            <w:pPr>
              <w:keepNext/>
              <w:keepLines/>
              <w:rPr>
                <w:lang w:val="fr-FR"/>
              </w:rPr>
            </w:pPr>
            <w:r w:rsidRPr="00C65506">
              <w:rPr>
                <w:color w:val="000000"/>
                <w:szCs w:val="24"/>
                <w:lang w:val="fr-FR" w:bidi="yi-Hebr"/>
              </w:rPr>
              <w:t>Kystes ovariens</w:t>
            </w:r>
          </w:p>
        </w:tc>
      </w:tr>
      <w:tr w:rsidR="00373C9B" w:rsidRPr="00162C74" w:rsidTr="008432DB">
        <w:tc>
          <w:tcPr>
            <w:tcW w:w="3070" w:type="dxa"/>
            <w:vMerge/>
            <w:tcBorders>
              <w:left w:val="single" w:sz="4" w:space="0" w:color="auto"/>
            </w:tcBorders>
          </w:tcPr>
          <w:p w:rsidR="00373C9B" w:rsidRPr="00C65506" w:rsidRDefault="00373C9B" w:rsidP="008432DB">
            <w:pPr>
              <w:keepNext/>
              <w:keepLines/>
              <w:rPr>
                <w:i/>
                <w:iCs/>
                <w:noProof/>
                <w:color w:val="000000"/>
                <w:szCs w:val="22"/>
                <w:u w:val="single"/>
                <w:lang w:val="fr-FR"/>
              </w:rPr>
            </w:pPr>
          </w:p>
        </w:tc>
        <w:tc>
          <w:tcPr>
            <w:tcW w:w="3071" w:type="dxa"/>
          </w:tcPr>
          <w:p w:rsidR="00373C9B" w:rsidRPr="00C65506" w:rsidRDefault="00373C9B" w:rsidP="008432DB">
            <w:pPr>
              <w:keepNext/>
              <w:keepLines/>
              <w:rPr>
                <w:lang w:val="fr-FR"/>
              </w:rPr>
            </w:pPr>
            <w:r w:rsidRPr="00C65506">
              <w:rPr>
                <w:lang w:val="fr-FR"/>
              </w:rPr>
              <w:t>Fréquent</w:t>
            </w:r>
          </w:p>
        </w:tc>
        <w:tc>
          <w:tcPr>
            <w:tcW w:w="3071" w:type="dxa"/>
            <w:tcBorders>
              <w:right w:val="single" w:sz="4" w:space="0" w:color="auto"/>
            </w:tcBorders>
          </w:tcPr>
          <w:p w:rsidR="00373C9B" w:rsidRPr="00C65506" w:rsidRDefault="00373C9B" w:rsidP="00373C9B">
            <w:pPr>
              <w:keepNext/>
              <w:keepLines/>
              <w:rPr>
                <w:lang w:val="fr-FR"/>
              </w:rPr>
            </w:pPr>
            <w:r w:rsidRPr="00C65506">
              <w:rPr>
                <w:color w:val="000000"/>
                <w:szCs w:val="24"/>
                <w:lang w:val="fr-FR" w:bidi="yi-Hebr"/>
              </w:rPr>
              <w:t>SHO d’intensité légère à modérée (et symptomatologie associée)</w:t>
            </w:r>
          </w:p>
        </w:tc>
      </w:tr>
      <w:tr w:rsidR="00373C9B" w:rsidRPr="00162C74" w:rsidTr="008432DB">
        <w:tc>
          <w:tcPr>
            <w:tcW w:w="3070" w:type="dxa"/>
            <w:vMerge/>
            <w:tcBorders>
              <w:left w:val="single" w:sz="4" w:space="0" w:color="auto"/>
            </w:tcBorders>
          </w:tcPr>
          <w:p w:rsidR="00373C9B" w:rsidRPr="00C65506" w:rsidRDefault="00373C9B" w:rsidP="008432DB">
            <w:pPr>
              <w:keepNext/>
              <w:keepLines/>
              <w:rPr>
                <w:i/>
                <w:iCs/>
                <w:noProof/>
                <w:color w:val="000000"/>
                <w:szCs w:val="22"/>
                <w:u w:val="single"/>
                <w:lang w:val="fr-FR"/>
              </w:rPr>
            </w:pPr>
          </w:p>
        </w:tc>
        <w:tc>
          <w:tcPr>
            <w:tcW w:w="3071" w:type="dxa"/>
          </w:tcPr>
          <w:p w:rsidR="00373C9B" w:rsidRPr="00C65506" w:rsidRDefault="00373C9B" w:rsidP="00373C9B">
            <w:pPr>
              <w:keepNext/>
              <w:keepLines/>
              <w:rPr>
                <w:lang w:val="fr-FR"/>
              </w:rPr>
            </w:pPr>
            <w:r w:rsidRPr="00C65506">
              <w:rPr>
                <w:lang w:val="fr-FR"/>
              </w:rPr>
              <w:t>Peu fréquent</w:t>
            </w:r>
          </w:p>
        </w:tc>
        <w:tc>
          <w:tcPr>
            <w:tcW w:w="3071" w:type="dxa"/>
            <w:tcBorders>
              <w:right w:val="single" w:sz="4" w:space="0" w:color="auto"/>
            </w:tcBorders>
          </w:tcPr>
          <w:p w:rsidR="00373C9B" w:rsidRPr="00C65506" w:rsidRDefault="00373C9B" w:rsidP="00373C9B">
            <w:pPr>
              <w:keepNext/>
              <w:keepLines/>
              <w:rPr>
                <w:lang w:val="fr-FR"/>
              </w:rPr>
            </w:pPr>
            <w:r w:rsidRPr="00C65506">
              <w:rPr>
                <w:color w:val="000000"/>
                <w:szCs w:val="24"/>
                <w:lang w:val="fr-FR" w:bidi="yi-Hebr"/>
              </w:rPr>
              <w:t>SHO d’intensité sévère (et symptomatologie associée) (voir rubrique 4.4)</w:t>
            </w:r>
          </w:p>
        </w:tc>
      </w:tr>
      <w:tr w:rsidR="00373C9B" w:rsidRPr="00C65506" w:rsidTr="008432DB">
        <w:tc>
          <w:tcPr>
            <w:tcW w:w="3070" w:type="dxa"/>
            <w:vMerge/>
            <w:tcBorders>
              <w:left w:val="single" w:sz="4" w:space="0" w:color="auto"/>
            </w:tcBorders>
          </w:tcPr>
          <w:p w:rsidR="00373C9B" w:rsidRPr="00C65506" w:rsidRDefault="00373C9B" w:rsidP="008432DB">
            <w:pPr>
              <w:keepNext/>
              <w:keepLines/>
              <w:rPr>
                <w:i/>
                <w:iCs/>
                <w:noProof/>
                <w:color w:val="000000"/>
                <w:szCs w:val="22"/>
                <w:u w:val="single"/>
                <w:lang w:val="fr-FR"/>
              </w:rPr>
            </w:pPr>
          </w:p>
        </w:tc>
        <w:tc>
          <w:tcPr>
            <w:tcW w:w="3071" w:type="dxa"/>
          </w:tcPr>
          <w:p w:rsidR="00373C9B" w:rsidRPr="00C65506" w:rsidRDefault="00373C9B" w:rsidP="008432DB">
            <w:pPr>
              <w:keepNext/>
              <w:keepLines/>
              <w:rPr>
                <w:lang w:val="fr-FR"/>
              </w:rPr>
            </w:pPr>
            <w:r w:rsidRPr="00C65506">
              <w:rPr>
                <w:noProof/>
                <w:color w:val="000000"/>
                <w:szCs w:val="22"/>
                <w:lang w:val="fr-FR"/>
              </w:rPr>
              <w:t>Rare</w:t>
            </w:r>
          </w:p>
        </w:tc>
        <w:tc>
          <w:tcPr>
            <w:tcW w:w="3071" w:type="dxa"/>
            <w:tcBorders>
              <w:right w:val="single" w:sz="4" w:space="0" w:color="auto"/>
            </w:tcBorders>
          </w:tcPr>
          <w:p w:rsidR="00373C9B" w:rsidRPr="00C65506" w:rsidRDefault="00373C9B" w:rsidP="008432DB">
            <w:pPr>
              <w:keepNext/>
              <w:keepLines/>
              <w:rPr>
                <w:lang w:val="fr-FR"/>
              </w:rPr>
            </w:pPr>
            <w:r w:rsidRPr="00C65506">
              <w:rPr>
                <w:color w:val="000000"/>
                <w:szCs w:val="24"/>
                <w:lang w:val="fr-FR" w:bidi="yi-Hebr"/>
              </w:rPr>
              <w:t>Complication d’un SHO sévère</w:t>
            </w:r>
          </w:p>
        </w:tc>
      </w:tr>
      <w:tr w:rsidR="00373C9B" w:rsidRPr="00162C74" w:rsidTr="008432DB">
        <w:tc>
          <w:tcPr>
            <w:tcW w:w="3070" w:type="dxa"/>
            <w:tcBorders>
              <w:left w:val="single" w:sz="4" w:space="0" w:color="auto"/>
            </w:tcBorders>
          </w:tcPr>
          <w:p w:rsidR="00373C9B" w:rsidRPr="00C65506" w:rsidRDefault="00373C9B" w:rsidP="00373C9B">
            <w:pPr>
              <w:keepNext/>
              <w:keepLines/>
              <w:rPr>
                <w:i/>
                <w:lang w:val="fr-FR"/>
              </w:rPr>
            </w:pPr>
            <w:r w:rsidRPr="00C65506">
              <w:rPr>
                <w:i/>
                <w:szCs w:val="22"/>
                <w:lang w:val="fr-FR"/>
              </w:rPr>
              <w:t>Troubles généraux et anomalies au site d’administration</w:t>
            </w:r>
          </w:p>
        </w:tc>
        <w:tc>
          <w:tcPr>
            <w:tcW w:w="3071" w:type="dxa"/>
          </w:tcPr>
          <w:p w:rsidR="00373C9B" w:rsidRPr="00C65506" w:rsidRDefault="00373C9B" w:rsidP="00373C9B">
            <w:pPr>
              <w:keepNext/>
              <w:keepLines/>
              <w:rPr>
                <w:lang w:val="fr-FR"/>
              </w:rPr>
            </w:pPr>
            <w:r w:rsidRPr="00C65506">
              <w:rPr>
                <w:noProof/>
                <w:color w:val="000000"/>
                <w:szCs w:val="22"/>
                <w:lang w:val="fr-FR"/>
              </w:rPr>
              <w:t>Très fréquent</w:t>
            </w:r>
          </w:p>
        </w:tc>
        <w:tc>
          <w:tcPr>
            <w:tcW w:w="3071" w:type="dxa"/>
            <w:tcBorders>
              <w:right w:val="single" w:sz="4" w:space="0" w:color="auto"/>
            </w:tcBorders>
          </w:tcPr>
          <w:p w:rsidR="00373C9B" w:rsidRPr="00C65506" w:rsidRDefault="00373C9B" w:rsidP="00373C9B">
            <w:pPr>
              <w:keepNext/>
              <w:keepLines/>
              <w:rPr>
                <w:lang w:val="fr-FR"/>
              </w:rPr>
            </w:pPr>
            <w:r w:rsidRPr="00C65506">
              <w:rPr>
                <w:color w:val="000000"/>
                <w:szCs w:val="24"/>
                <w:lang w:val="fr-FR" w:bidi="yi-Hebr"/>
              </w:rPr>
              <w:t>Réactions au site d’injection (notamment : douleur, érythème, hématome, œdème et/ou irritation au site d’injection)</w:t>
            </w:r>
          </w:p>
        </w:tc>
      </w:tr>
    </w:tbl>
    <w:p w:rsidR="00AD7A57" w:rsidRPr="00C65506" w:rsidRDefault="00AD7A57" w:rsidP="00496272">
      <w:pPr>
        <w:tabs>
          <w:tab w:val="clear" w:pos="567"/>
        </w:tabs>
        <w:ind w:left="1701" w:hanging="1701"/>
        <w:rPr>
          <w:noProof/>
          <w:color w:val="000000"/>
          <w:szCs w:val="22"/>
          <w:lang w:val="fr-FR"/>
        </w:rPr>
      </w:pPr>
    </w:p>
    <w:p w:rsidR="00A14EFD" w:rsidRPr="00C65506" w:rsidRDefault="00A14EFD" w:rsidP="00A14EFD">
      <w:pPr>
        <w:tabs>
          <w:tab w:val="clear" w:pos="567"/>
        </w:tabs>
        <w:ind w:left="1701" w:hanging="1701"/>
        <w:rPr>
          <w:i/>
          <w:noProof/>
          <w:color w:val="000000"/>
          <w:szCs w:val="24"/>
          <w:lang w:val="fr-FR" w:bidi="yi-Hebr"/>
        </w:rPr>
      </w:pPr>
      <w:r w:rsidRPr="00C65506">
        <w:rPr>
          <w:i/>
          <w:color w:val="000000"/>
          <w:szCs w:val="24"/>
          <w:lang w:val="fr-FR" w:bidi="yi-Hebr"/>
        </w:rPr>
        <w:t>Traitement chez les hommes</w:t>
      </w:r>
    </w:p>
    <w:p w:rsidR="00373C9B" w:rsidRPr="00C65506" w:rsidRDefault="00373C9B" w:rsidP="00373C9B">
      <w:pPr>
        <w:tabs>
          <w:tab w:val="clear" w:pos="567"/>
        </w:tabs>
        <w:ind w:left="1701" w:hanging="1701"/>
        <w:rPr>
          <w:i/>
          <w:iCs/>
          <w:noProof/>
          <w:color w:val="000000"/>
          <w:szCs w:val="22"/>
          <w:lang w:val="fr-FR"/>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7"/>
        <w:gridCol w:w="3013"/>
        <w:gridCol w:w="3031"/>
      </w:tblGrid>
      <w:tr w:rsidR="00373C9B" w:rsidRPr="00162C74" w:rsidTr="008432DB">
        <w:tc>
          <w:tcPr>
            <w:tcW w:w="9212" w:type="dxa"/>
            <w:gridSpan w:val="3"/>
            <w:tcBorders>
              <w:top w:val="nil"/>
              <w:left w:val="nil"/>
              <w:right w:val="nil"/>
            </w:tcBorders>
          </w:tcPr>
          <w:p w:rsidR="00373C9B" w:rsidRPr="00C65506" w:rsidRDefault="00373C9B" w:rsidP="00373C9B">
            <w:pPr>
              <w:keepNext/>
              <w:keepLines/>
              <w:rPr>
                <w:b/>
                <w:lang w:val="fr-FR"/>
              </w:rPr>
            </w:pPr>
            <w:r w:rsidRPr="00C65506">
              <w:rPr>
                <w:b/>
                <w:lang w:val="fr-FR"/>
              </w:rPr>
              <w:t>Tableau 2 : Effets indésirables chez les hommes</w:t>
            </w:r>
          </w:p>
        </w:tc>
      </w:tr>
      <w:tr w:rsidR="00373C9B" w:rsidRPr="00C65506" w:rsidTr="008432DB">
        <w:tc>
          <w:tcPr>
            <w:tcW w:w="3070" w:type="dxa"/>
            <w:tcBorders>
              <w:left w:val="single" w:sz="4" w:space="0" w:color="auto"/>
            </w:tcBorders>
          </w:tcPr>
          <w:p w:rsidR="00373C9B" w:rsidRPr="00C65506" w:rsidRDefault="00373C9B" w:rsidP="00373C9B">
            <w:pPr>
              <w:keepNext/>
              <w:keepLines/>
              <w:rPr>
                <w:b/>
                <w:lang w:val="fr-FR"/>
              </w:rPr>
            </w:pPr>
            <w:r w:rsidRPr="00C65506">
              <w:rPr>
                <w:b/>
                <w:lang w:val="fr-FR"/>
              </w:rPr>
              <w:t>Classe de système</w:t>
            </w:r>
            <w:r w:rsidR="00360AAA" w:rsidRPr="00C65506">
              <w:rPr>
                <w:b/>
                <w:lang w:val="fr-FR"/>
              </w:rPr>
              <w:t>s</w:t>
            </w:r>
            <w:r w:rsidRPr="00C65506">
              <w:rPr>
                <w:b/>
                <w:lang w:val="fr-FR"/>
              </w:rPr>
              <w:t xml:space="preserve"> d’organe</w:t>
            </w:r>
            <w:r w:rsidR="00360AAA" w:rsidRPr="00C65506">
              <w:rPr>
                <w:b/>
                <w:lang w:val="fr-FR"/>
              </w:rPr>
              <w:t>s</w:t>
            </w:r>
          </w:p>
        </w:tc>
        <w:tc>
          <w:tcPr>
            <w:tcW w:w="3071" w:type="dxa"/>
          </w:tcPr>
          <w:p w:rsidR="00373C9B" w:rsidRPr="00C65506" w:rsidRDefault="00373C9B" w:rsidP="00373C9B">
            <w:pPr>
              <w:keepNext/>
              <w:keepLines/>
              <w:rPr>
                <w:b/>
                <w:lang w:val="fr-FR"/>
              </w:rPr>
            </w:pPr>
            <w:r w:rsidRPr="00C65506">
              <w:rPr>
                <w:b/>
                <w:lang w:val="fr-FR"/>
              </w:rPr>
              <w:t>Fréquence</w:t>
            </w:r>
          </w:p>
        </w:tc>
        <w:tc>
          <w:tcPr>
            <w:tcW w:w="3071" w:type="dxa"/>
            <w:tcBorders>
              <w:right w:val="single" w:sz="4" w:space="0" w:color="auto"/>
            </w:tcBorders>
          </w:tcPr>
          <w:p w:rsidR="00373C9B" w:rsidRPr="00C65506" w:rsidRDefault="00373C9B" w:rsidP="00373C9B">
            <w:pPr>
              <w:keepNext/>
              <w:keepLines/>
              <w:rPr>
                <w:b/>
                <w:lang w:val="fr-FR"/>
              </w:rPr>
            </w:pPr>
            <w:r w:rsidRPr="00C65506">
              <w:rPr>
                <w:b/>
                <w:lang w:val="fr-FR"/>
              </w:rPr>
              <w:t>Effet indésirable</w:t>
            </w:r>
          </w:p>
        </w:tc>
      </w:tr>
      <w:tr w:rsidR="00373C9B" w:rsidRPr="00162C74" w:rsidTr="008432DB">
        <w:tc>
          <w:tcPr>
            <w:tcW w:w="3070" w:type="dxa"/>
            <w:tcBorders>
              <w:left w:val="single" w:sz="4" w:space="0" w:color="auto"/>
            </w:tcBorders>
          </w:tcPr>
          <w:p w:rsidR="00373C9B" w:rsidRPr="00C65506" w:rsidRDefault="00373C9B" w:rsidP="00373C9B">
            <w:pPr>
              <w:keepNext/>
              <w:keepLines/>
              <w:tabs>
                <w:tab w:val="clear" w:pos="567"/>
              </w:tabs>
              <w:rPr>
                <w:i/>
                <w:lang w:val="fr-FR"/>
              </w:rPr>
            </w:pPr>
            <w:r w:rsidRPr="00C65506">
              <w:rPr>
                <w:i/>
                <w:szCs w:val="22"/>
                <w:lang w:val="fr-FR"/>
              </w:rPr>
              <w:t>Affections du système immunitaire</w:t>
            </w:r>
          </w:p>
        </w:tc>
        <w:tc>
          <w:tcPr>
            <w:tcW w:w="3071" w:type="dxa"/>
          </w:tcPr>
          <w:p w:rsidR="00373C9B" w:rsidRPr="00C65506" w:rsidRDefault="00F27C42" w:rsidP="008432DB">
            <w:pPr>
              <w:keepNext/>
              <w:keepLines/>
              <w:rPr>
                <w:lang w:val="fr-FR"/>
              </w:rPr>
            </w:pPr>
            <w:r w:rsidRPr="00C65506">
              <w:rPr>
                <w:noProof/>
                <w:color w:val="000000"/>
                <w:szCs w:val="22"/>
                <w:lang w:val="fr-FR"/>
              </w:rPr>
              <w:t xml:space="preserve">Très </w:t>
            </w:r>
            <w:r w:rsidR="00373C9B" w:rsidRPr="00C65506">
              <w:rPr>
                <w:noProof/>
                <w:color w:val="000000"/>
                <w:szCs w:val="22"/>
                <w:lang w:val="fr-FR"/>
              </w:rPr>
              <w:t>rare</w:t>
            </w:r>
          </w:p>
        </w:tc>
        <w:tc>
          <w:tcPr>
            <w:tcW w:w="3071" w:type="dxa"/>
            <w:tcBorders>
              <w:right w:val="single" w:sz="4" w:space="0" w:color="auto"/>
            </w:tcBorders>
          </w:tcPr>
          <w:p w:rsidR="00373C9B" w:rsidRPr="00C65506" w:rsidRDefault="00F27C42" w:rsidP="008432DB">
            <w:pPr>
              <w:keepNext/>
              <w:keepLines/>
              <w:rPr>
                <w:lang w:val="fr-FR"/>
              </w:rPr>
            </w:pPr>
            <w:r w:rsidRPr="00C65506">
              <w:rPr>
                <w:color w:val="000000"/>
                <w:szCs w:val="24"/>
                <w:lang w:val="fr-FR" w:bidi="yi-Hebr"/>
              </w:rPr>
              <w:t>Réactions d’hypersensibilité légères à sévères, y compris réactions et choc anaphylactiques</w:t>
            </w:r>
          </w:p>
        </w:tc>
      </w:tr>
      <w:tr w:rsidR="00373C9B" w:rsidRPr="00162C74" w:rsidTr="008432DB">
        <w:tc>
          <w:tcPr>
            <w:tcW w:w="3070" w:type="dxa"/>
            <w:tcBorders>
              <w:left w:val="single" w:sz="4" w:space="0" w:color="auto"/>
            </w:tcBorders>
          </w:tcPr>
          <w:p w:rsidR="00373C9B" w:rsidRPr="00C65506" w:rsidRDefault="00F27C42" w:rsidP="008432DB">
            <w:pPr>
              <w:keepNext/>
              <w:keepLines/>
              <w:tabs>
                <w:tab w:val="clear" w:pos="567"/>
              </w:tabs>
              <w:rPr>
                <w:i/>
                <w:szCs w:val="22"/>
                <w:lang w:val="fr-FR"/>
              </w:rPr>
            </w:pPr>
            <w:r w:rsidRPr="00C65506">
              <w:rPr>
                <w:i/>
                <w:iCs/>
                <w:noProof/>
                <w:color w:val="000000"/>
                <w:szCs w:val="22"/>
                <w:lang w:val="fr-FR"/>
              </w:rPr>
              <w:t>Affections respiratoires, thoraciques et médiastinales</w:t>
            </w:r>
          </w:p>
        </w:tc>
        <w:tc>
          <w:tcPr>
            <w:tcW w:w="3071" w:type="dxa"/>
          </w:tcPr>
          <w:p w:rsidR="00373C9B" w:rsidRPr="00C65506" w:rsidRDefault="00F27C42" w:rsidP="008432DB">
            <w:pPr>
              <w:keepNext/>
              <w:keepLines/>
              <w:rPr>
                <w:lang w:val="fr-FR"/>
              </w:rPr>
            </w:pPr>
            <w:r w:rsidRPr="00C65506">
              <w:rPr>
                <w:noProof/>
                <w:color w:val="000000"/>
                <w:szCs w:val="22"/>
                <w:lang w:val="fr-FR"/>
              </w:rPr>
              <w:t>Très</w:t>
            </w:r>
            <w:r w:rsidR="00373C9B" w:rsidRPr="00C65506">
              <w:rPr>
                <w:noProof/>
                <w:color w:val="000000"/>
                <w:szCs w:val="22"/>
                <w:lang w:val="fr-FR"/>
              </w:rPr>
              <w:t xml:space="preserve"> rare</w:t>
            </w:r>
          </w:p>
        </w:tc>
        <w:tc>
          <w:tcPr>
            <w:tcW w:w="3071" w:type="dxa"/>
            <w:tcBorders>
              <w:right w:val="single" w:sz="4" w:space="0" w:color="auto"/>
            </w:tcBorders>
          </w:tcPr>
          <w:p w:rsidR="00373C9B" w:rsidRPr="00C65506" w:rsidRDefault="00F27C42" w:rsidP="008432DB">
            <w:pPr>
              <w:keepNext/>
              <w:keepLines/>
              <w:rPr>
                <w:lang w:val="fr-FR"/>
              </w:rPr>
            </w:pPr>
            <w:r w:rsidRPr="00C65506">
              <w:rPr>
                <w:color w:val="000000"/>
                <w:szCs w:val="24"/>
                <w:lang w:val="fr-FR" w:bidi="yi-Hebr"/>
              </w:rPr>
              <w:t>Exacerbation ou aggravation de l’asthme</w:t>
            </w:r>
          </w:p>
        </w:tc>
      </w:tr>
      <w:tr w:rsidR="00373C9B" w:rsidRPr="00C65506" w:rsidTr="008432DB">
        <w:tc>
          <w:tcPr>
            <w:tcW w:w="3070" w:type="dxa"/>
            <w:tcBorders>
              <w:left w:val="single" w:sz="4" w:space="0" w:color="auto"/>
            </w:tcBorders>
          </w:tcPr>
          <w:p w:rsidR="00373C9B" w:rsidRPr="00C65506" w:rsidRDefault="00F27C42" w:rsidP="00F27C42">
            <w:pPr>
              <w:keepNext/>
              <w:keepLines/>
              <w:rPr>
                <w:i/>
                <w:szCs w:val="22"/>
                <w:lang w:val="fr-FR"/>
              </w:rPr>
            </w:pPr>
            <w:r w:rsidRPr="00C65506">
              <w:rPr>
                <w:i/>
                <w:iCs/>
                <w:noProof/>
                <w:color w:val="000000"/>
                <w:szCs w:val="22"/>
                <w:lang w:val="fr-FR"/>
              </w:rPr>
              <w:t>Affections de la peau et du tissu sous-cutané</w:t>
            </w:r>
          </w:p>
        </w:tc>
        <w:tc>
          <w:tcPr>
            <w:tcW w:w="3071" w:type="dxa"/>
          </w:tcPr>
          <w:p w:rsidR="00373C9B" w:rsidRPr="00C65506" w:rsidRDefault="00F27C42" w:rsidP="00F27C42">
            <w:pPr>
              <w:keepNext/>
              <w:keepLines/>
              <w:rPr>
                <w:lang w:val="fr-FR"/>
              </w:rPr>
            </w:pPr>
            <w:r w:rsidRPr="00C65506">
              <w:rPr>
                <w:noProof/>
                <w:color w:val="000000"/>
                <w:szCs w:val="22"/>
                <w:lang w:val="fr-FR"/>
              </w:rPr>
              <w:t>Fréquent</w:t>
            </w:r>
          </w:p>
        </w:tc>
        <w:tc>
          <w:tcPr>
            <w:tcW w:w="3071" w:type="dxa"/>
            <w:tcBorders>
              <w:right w:val="single" w:sz="4" w:space="0" w:color="auto"/>
            </w:tcBorders>
          </w:tcPr>
          <w:p w:rsidR="00373C9B" w:rsidRPr="00C65506" w:rsidRDefault="00373C9B" w:rsidP="008432DB">
            <w:pPr>
              <w:keepNext/>
              <w:keepLines/>
              <w:rPr>
                <w:lang w:val="fr-FR"/>
              </w:rPr>
            </w:pPr>
            <w:r w:rsidRPr="00C65506">
              <w:rPr>
                <w:noProof/>
                <w:color w:val="000000"/>
                <w:szCs w:val="22"/>
                <w:lang w:val="fr-FR"/>
              </w:rPr>
              <w:t>Acn</w:t>
            </w:r>
            <w:r w:rsidR="00F27C42" w:rsidRPr="00C65506">
              <w:rPr>
                <w:noProof/>
                <w:color w:val="000000"/>
                <w:szCs w:val="22"/>
                <w:lang w:val="fr-FR"/>
              </w:rPr>
              <w:t>é</w:t>
            </w:r>
          </w:p>
        </w:tc>
      </w:tr>
      <w:tr w:rsidR="00373C9B" w:rsidRPr="00C65506" w:rsidTr="008432DB">
        <w:tc>
          <w:tcPr>
            <w:tcW w:w="3070" w:type="dxa"/>
            <w:tcBorders>
              <w:left w:val="single" w:sz="4" w:space="0" w:color="auto"/>
            </w:tcBorders>
          </w:tcPr>
          <w:p w:rsidR="00373C9B" w:rsidRPr="00C65506" w:rsidRDefault="00F27C42" w:rsidP="00F27C42">
            <w:pPr>
              <w:keepNext/>
              <w:keepLines/>
              <w:rPr>
                <w:i/>
                <w:iCs/>
                <w:noProof/>
                <w:color w:val="000000"/>
                <w:szCs w:val="22"/>
                <w:lang w:val="fr-FR"/>
              </w:rPr>
            </w:pPr>
            <w:r w:rsidRPr="00C65506">
              <w:rPr>
                <w:i/>
                <w:iCs/>
                <w:noProof/>
                <w:color w:val="000000"/>
                <w:szCs w:val="22"/>
                <w:lang w:val="fr-FR"/>
              </w:rPr>
              <w:t>Affections des organes de reproduction et du sein</w:t>
            </w:r>
          </w:p>
        </w:tc>
        <w:tc>
          <w:tcPr>
            <w:tcW w:w="3071" w:type="dxa"/>
          </w:tcPr>
          <w:p w:rsidR="00373C9B" w:rsidRPr="00C65506" w:rsidRDefault="00F27C42" w:rsidP="00F27C42">
            <w:pPr>
              <w:keepNext/>
              <w:keepLines/>
              <w:rPr>
                <w:noProof/>
                <w:color w:val="000000"/>
                <w:szCs w:val="22"/>
                <w:lang w:val="fr-FR"/>
              </w:rPr>
            </w:pPr>
            <w:r w:rsidRPr="00C65506">
              <w:rPr>
                <w:noProof/>
                <w:color w:val="000000"/>
                <w:szCs w:val="22"/>
                <w:lang w:val="fr-FR"/>
              </w:rPr>
              <w:t>Fréquent</w:t>
            </w:r>
          </w:p>
        </w:tc>
        <w:tc>
          <w:tcPr>
            <w:tcW w:w="3071" w:type="dxa"/>
            <w:tcBorders>
              <w:right w:val="single" w:sz="4" w:space="0" w:color="auto"/>
            </w:tcBorders>
          </w:tcPr>
          <w:p w:rsidR="00373C9B" w:rsidRPr="00C65506" w:rsidRDefault="00373C9B" w:rsidP="00F27C42">
            <w:pPr>
              <w:keepNext/>
              <w:keepLines/>
              <w:rPr>
                <w:noProof/>
                <w:color w:val="000000"/>
                <w:szCs w:val="22"/>
                <w:lang w:val="fr-FR"/>
              </w:rPr>
            </w:pPr>
            <w:r w:rsidRPr="00C65506">
              <w:rPr>
                <w:noProof/>
                <w:color w:val="000000"/>
                <w:szCs w:val="22"/>
                <w:lang w:val="fr-FR"/>
              </w:rPr>
              <w:t>Gyn</w:t>
            </w:r>
            <w:r w:rsidR="00F27C42" w:rsidRPr="00C65506">
              <w:rPr>
                <w:noProof/>
                <w:color w:val="000000"/>
                <w:szCs w:val="22"/>
                <w:lang w:val="fr-FR"/>
              </w:rPr>
              <w:t>é</w:t>
            </w:r>
            <w:r w:rsidRPr="00C65506">
              <w:rPr>
                <w:noProof/>
                <w:color w:val="000000"/>
                <w:szCs w:val="22"/>
                <w:lang w:val="fr-FR"/>
              </w:rPr>
              <w:t>comasti</w:t>
            </w:r>
            <w:r w:rsidR="00F27C42" w:rsidRPr="00C65506">
              <w:rPr>
                <w:noProof/>
                <w:color w:val="000000"/>
                <w:szCs w:val="22"/>
                <w:lang w:val="fr-FR"/>
              </w:rPr>
              <w:t>e</w:t>
            </w:r>
            <w:r w:rsidRPr="00C65506">
              <w:rPr>
                <w:noProof/>
                <w:color w:val="000000"/>
                <w:szCs w:val="22"/>
                <w:lang w:val="fr-FR"/>
              </w:rPr>
              <w:t>, varicoc</w:t>
            </w:r>
            <w:r w:rsidR="00F27C42" w:rsidRPr="00C65506">
              <w:rPr>
                <w:noProof/>
                <w:color w:val="000000"/>
                <w:szCs w:val="22"/>
                <w:lang w:val="fr-FR"/>
              </w:rPr>
              <w:t>è</w:t>
            </w:r>
            <w:r w:rsidRPr="00C65506">
              <w:rPr>
                <w:noProof/>
                <w:color w:val="000000"/>
                <w:szCs w:val="22"/>
                <w:lang w:val="fr-FR"/>
              </w:rPr>
              <w:t>le</w:t>
            </w:r>
          </w:p>
        </w:tc>
      </w:tr>
      <w:tr w:rsidR="00373C9B" w:rsidRPr="00162C74" w:rsidTr="008432DB">
        <w:tc>
          <w:tcPr>
            <w:tcW w:w="3070" w:type="dxa"/>
            <w:tcBorders>
              <w:left w:val="single" w:sz="4" w:space="0" w:color="auto"/>
            </w:tcBorders>
          </w:tcPr>
          <w:p w:rsidR="00373C9B" w:rsidRPr="00C65506" w:rsidRDefault="00F27C42" w:rsidP="008432DB">
            <w:pPr>
              <w:keepNext/>
              <w:keepLines/>
              <w:rPr>
                <w:i/>
                <w:lang w:val="fr-FR"/>
              </w:rPr>
            </w:pPr>
            <w:r w:rsidRPr="00C65506">
              <w:rPr>
                <w:i/>
                <w:szCs w:val="22"/>
                <w:lang w:val="fr-FR"/>
              </w:rPr>
              <w:t>Troubles généraux et anomalies au site d’administration</w:t>
            </w:r>
          </w:p>
        </w:tc>
        <w:tc>
          <w:tcPr>
            <w:tcW w:w="3071" w:type="dxa"/>
          </w:tcPr>
          <w:p w:rsidR="00373C9B" w:rsidRPr="00C65506" w:rsidRDefault="00F27C42" w:rsidP="00F27C42">
            <w:pPr>
              <w:keepNext/>
              <w:keepLines/>
              <w:rPr>
                <w:lang w:val="fr-FR"/>
              </w:rPr>
            </w:pPr>
            <w:r w:rsidRPr="00C65506">
              <w:rPr>
                <w:noProof/>
                <w:color w:val="000000"/>
                <w:szCs w:val="22"/>
                <w:lang w:val="fr-FR"/>
              </w:rPr>
              <w:t>Très fréquent</w:t>
            </w:r>
          </w:p>
        </w:tc>
        <w:tc>
          <w:tcPr>
            <w:tcW w:w="3071" w:type="dxa"/>
            <w:tcBorders>
              <w:right w:val="single" w:sz="4" w:space="0" w:color="auto"/>
            </w:tcBorders>
          </w:tcPr>
          <w:p w:rsidR="00373C9B" w:rsidRPr="00C65506" w:rsidRDefault="00F27C42" w:rsidP="00F27C42">
            <w:pPr>
              <w:keepNext/>
              <w:keepLines/>
              <w:rPr>
                <w:lang w:val="fr-FR"/>
              </w:rPr>
            </w:pPr>
            <w:r w:rsidRPr="00C65506">
              <w:rPr>
                <w:color w:val="000000"/>
                <w:szCs w:val="24"/>
                <w:lang w:val="fr-FR" w:bidi="yi-Hebr"/>
              </w:rPr>
              <w:t>Réactions au site d’injection (notamment : douleur, érythème, hématome, œdème et/ou irritation au site d’injection)</w:t>
            </w:r>
          </w:p>
        </w:tc>
      </w:tr>
      <w:tr w:rsidR="00373C9B" w:rsidRPr="00C65506" w:rsidTr="008432DB">
        <w:tc>
          <w:tcPr>
            <w:tcW w:w="3070" w:type="dxa"/>
            <w:tcBorders>
              <w:left w:val="single" w:sz="4" w:space="0" w:color="auto"/>
            </w:tcBorders>
          </w:tcPr>
          <w:p w:rsidR="00373C9B" w:rsidRPr="00C65506" w:rsidRDefault="00373C9B" w:rsidP="008432DB">
            <w:pPr>
              <w:keepNext/>
              <w:keepLines/>
              <w:rPr>
                <w:i/>
                <w:szCs w:val="22"/>
                <w:lang w:val="fr-FR"/>
              </w:rPr>
            </w:pPr>
            <w:r w:rsidRPr="00C65506">
              <w:rPr>
                <w:i/>
                <w:iCs/>
                <w:noProof/>
                <w:color w:val="000000"/>
                <w:szCs w:val="22"/>
                <w:lang w:val="fr-FR"/>
              </w:rPr>
              <w:t>Investigations</w:t>
            </w:r>
          </w:p>
        </w:tc>
        <w:tc>
          <w:tcPr>
            <w:tcW w:w="3071" w:type="dxa"/>
          </w:tcPr>
          <w:p w:rsidR="00373C9B" w:rsidRPr="00C65506" w:rsidRDefault="00F27C42" w:rsidP="00F27C42">
            <w:pPr>
              <w:keepNext/>
              <w:keepLines/>
              <w:rPr>
                <w:noProof/>
                <w:color w:val="000000"/>
                <w:szCs w:val="22"/>
                <w:lang w:val="fr-FR"/>
              </w:rPr>
            </w:pPr>
            <w:r w:rsidRPr="00C65506">
              <w:rPr>
                <w:noProof/>
                <w:color w:val="000000"/>
                <w:szCs w:val="22"/>
                <w:lang w:val="fr-FR"/>
              </w:rPr>
              <w:t>Fréquent</w:t>
            </w:r>
          </w:p>
        </w:tc>
        <w:tc>
          <w:tcPr>
            <w:tcW w:w="3071" w:type="dxa"/>
            <w:tcBorders>
              <w:right w:val="single" w:sz="4" w:space="0" w:color="auto"/>
            </w:tcBorders>
          </w:tcPr>
          <w:p w:rsidR="00373C9B" w:rsidRPr="00C65506" w:rsidRDefault="00F27C42" w:rsidP="00F27C42">
            <w:pPr>
              <w:keepNext/>
              <w:keepLines/>
              <w:rPr>
                <w:noProof/>
                <w:color w:val="000000"/>
                <w:szCs w:val="22"/>
                <w:lang w:val="fr-FR"/>
              </w:rPr>
            </w:pPr>
            <w:r w:rsidRPr="00C65506">
              <w:rPr>
                <w:noProof/>
                <w:color w:val="000000"/>
                <w:szCs w:val="22"/>
                <w:lang w:val="fr-FR"/>
              </w:rPr>
              <w:t>Prise de poids</w:t>
            </w:r>
          </w:p>
        </w:tc>
      </w:tr>
    </w:tbl>
    <w:p w:rsidR="00AD7A57" w:rsidRPr="00C65506" w:rsidRDefault="00AD7A57" w:rsidP="00496272">
      <w:pPr>
        <w:tabs>
          <w:tab w:val="clear" w:pos="567"/>
        </w:tabs>
        <w:ind w:left="1701" w:hanging="1701"/>
        <w:rPr>
          <w:i/>
          <w:iCs/>
          <w:noProof/>
          <w:color w:val="000000"/>
          <w:szCs w:val="22"/>
          <w:lang w:val="fr-FR"/>
        </w:rPr>
      </w:pPr>
    </w:p>
    <w:p w:rsidR="00F27C42" w:rsidRPr="00C65506" w:rsidRDefault="00F27C42" w:rsidP="00F27C42">
      <w:pPr>
        <w:tabs>
          <w:tab w:val="clear" w:pos="567"/>
        </w:tabs>
        <w:rPr>
          <w:noProof/>
          <w:szCs w:val="22"/>
          <w:u w:val="single"/>
          <w:lang w:val="fr-FR"/>
        </w:rPr>
      </w:pPr>
      <w:r w:rsidRPr="00C65506">
        <w:rPr>
          <w:noProof/>
          <w:szCs w:val="22"/>
          <w:u w:val="single"/>
          <w:lang w:val="fr-FR"/>
        </w:rPr>
        <w:t>Déclaration des effets</w:t>
      </w:r>
      <w:r w:rsidR="007B4DA7" w:rsidRPr="00C65506">
        <w:rPr>
          <w:noProof/>
          <w:szCs w:val="22"/>
          <w:u w:val="single"/>
          <w:lang w:val="fr-FR"/>
        </w:rPr>
        <w:t xml:space="preserve"> </w:t>
      </w:r>
      <w:r w:rsidRPr="00C65506">
        <w:rPr>
          <w:noProof/>
          <w:szCs w:val="22"/>
          <w:u w:val="single"/>
          <w:lang w:val="fr-FR"/>
        </w:rPr>
        <w:t>indésirables suspectés</w:t>
      </w:r>
    </w:p>
    <w:p w:rsidR="00F27C42" w:rsidRPr="00C65506" w:rsidRDefault="00F27C42" w:rsidP="00C37CEB">
      <w:pPr>
        <w:tabs>
          <w:tab w:val="clear" w:pos="567"/>
        </w:tabs>
        <w:rPr>
          <w:noProof/>
          <w:szCs w:val="22"/>
          <w:lang w:val="fr-FR"/>
        </w:rPr>
      </w:pPr>
      <w:r w:rsidRPr="00C65506">
        <w:rPr>
          <w:noProof/>
          <w:szCs w:val="22"/>
          <w:lang w:val="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sidRPr="00C65506">
        <w:rPr>
          <w:noProof/>
          <w:szCs w:val="22"/>
          <w:highlight w:val="lightGray"/>
          <w:lang w:val="fr-FR"/>
        </w:rPr>
        <w:t xml:space="preserve">le système national de déclaration – voir </w:t>
      </w:r>
      <w:hyperlink r:id="rId8" w:history="1">
        <w:r w:rsidR="00C37CEB" w:rsidRPr="00C65506">
          <w:rPr>
            <w:rStyle w:val="Hyperlink"/>
            <w:szCs w:val="22"/>
            <w:highlight w:val="lightGray"/>
            <w:lang w:val="fr-FR"/>
          </w:rPr>
          <w:t>Annexe V</w:t>
        </w:r>
      </w:hyperlink>
      <w:r w:rsidRPr="00C65506">
        <w:rPr>
          <w:noProof/>
          <w:szCs w:val="22"/>
          <w:lang w:val="fr-FR"/>
        </w:rPr>
        <w:t>.</w:t>
      </w:r>
    </w:p>
    <w:p w:rsidR="00AD7A57" w:rsidRPr="00C65506" w:rsidRDefault="00AD7A57" w:rsidP="00496272">
      <w:pPr>
        <w:tabs>
          <w:tab w:val="clear" w:pos="567"/>
        </w:tabs>
        <w:rPr>
          <w:noProof/>
          <w:color w:val="000000"/>
          <w:szCs w:val="22"/>
          <w:lang w:val="fr-FR"/>
        </w:rPr>
      </w:pPr>
    </w:p>
    <w:p w:rsidR="00A14EFD" w:rsidRPr="00C65506" w:rsidRDefault="00A14EFD" w:rsidP="00A14EFD">
      <w:pPr>
        <w:ind w:left="567" w:hanging="567"/>
        <w:outlineLvl w:val="0"/>
        <w:rPr>
          <w:noProof/>
          <w:szCs w:val="24"/>
          <w:lang w:val="fr-FR" w:bidi="yi-Hebr"/>
        </w:rPr>
      </w:pPr>
      <w:r w:rsidRPr="00C65506">
        <w:rPr>
          <w:b/>
          <w:noProof/>
          <w:szCs w:val="24"/>
          <w:lang w:val="fr-FR" w:bidi="yi-Hebr"/>
        </w:rPr>
        <w:t>4.9</w:t>
      </w:r>
      <w:r w:rsidRPr="00C65506">
        <w:rPr>
          <w:b/>
          <w:noProof/>
          <w:szCs w:val="24"/>
          <w:lang w:val="fr-FR" w:bidi="yi-Hebr"/>
        </w:rPr>
        <w:tab/>
      </w:r>
      <w:r w:rsidRPr="00C65506">
        <w:rPr>
          <w:b/>
          <w:szCs w:val="24"/>
          <w:lang w:val="fr-FR" w:bidi="yi-Hebr"/>
        </w:rPr>
        <w:t>Surdosage</w:t>
      </w:r>
    </w:p>
    <w:p w:rsidR="00812D16" w:rsidRPr="00C65506" w:rsidRDefault="00812D16" w:rsidP="00496272">
      <w:pPr>
        <w:rPr>
          <w:noProof/>
          <w:szCs w:val="22"/>
          <w:lang w:val="fr-FR"/>
        </w:rPr>
      </w:pPr>
    </w:p>
    <w:p w:rsidR="00A14EFD" w:rsidRPr="00C65506" w:rsidRDefault="00A14EFD" w:rsidP="00A14EFD">
      <w:pPr>
        <w:tabs>
          <w:tab w:val="clear" w:pos="567"/>
        </w:tabs>
        <w:rPr>
          <w:noProof/>
          <w:color w:val="000000"/>
          <w:szCs w:val="24"/>
          <w:lang w:val="fr-FR" w:bidi="yi-Hebr"/>
        </w:rPr>
      </w:pPr>
      <w:r w:rsidRPr="00C65506">
        <w:rPr>
          <w:color w:val="000000"/>
          <w:szCs w:val="24"/>
          <w:lang w:val="fr-FR" w:bidi="yi-Hebr"/>
        </w:rPr>
        <w:t>Les effets d’un surdosage avec la follitropine alfa ne sont pas connus, néanmoins, il existe un risque de survenue d’un SHO (voir rubrique 4.4).</w:t>
      </w:r>
    </w:p>
    <w:p w:rsidR="00AD7A57" w:rsidRPr="00C65506" w:rsidRDefault="00AD7A57" w:rsidP="00496272">
      <w:pPr>
        <w:rPr>
          <w:noProof/>
          <w:szCs w:val="22"/>
          <w:lang w:val="fr-FR"/>
        </w:rPr>
      </w:pPr>
    </w:p>
    <w:p w:rsidR="00736773" w:rsidRPr="00C65506" w:rsidRDefault="00736773" w:rsidP="00496272">
      <w:pPr>
        <w:rPr>
          <w:noProof/>
          <w:szCs w:val="22"/>
          <w:lang w:val="fr-FR"/>
        </w:rPr>
      </w:pPr>
    </w:p>
    <w:p w:rsidR="00A14EFD" w:rsidRPr="00C65506" w:rsidRDefault="00A14EFD" w:rsidP="00A14EFD">
      <w:pPr>
        <w:keepNext/>
        <w:keepLines/>
        <w:ind w:left="567" w:hanging="567"/>
        <w:rPr>
          <w:noProof/>
          <w:szCs w:val="24"/>
          <w:lang w:val="fr-FR" w:bidi="yi-Hebr"/>
        </w:rPr>
      </w:pPr>
      <w:r w:rsidRPr="00C65506">
        <w:rPr>
          <w:b/>
          <w:noProof/>
          <w:szCs w:val="24"/>
          <w:lang w:val="fr-FR" w:bidi="yi-Hebr"/>
        </w:rPr>
        <w:t>5.</w:t>
      </w:r>
      <w:r w:rsidRPr="00C65506">
        <w:rPr>
          <w:b/>
          <w:noProof/>
          <w:szCs w:val="24"/>
          <w:lang w:val="fr-FR" w:bidi="yi-Hebr"/>
        </w:rPr>
        <w:tab/>
      </w:r>
      <w:r w:rsidRPr="00C65506">
        <w:rPr>
          <w:b/>
          <w:szCs w:val="24"/>
          <w:lang w:val="fr-FR" w:bidi="yi-Hebr"/>
        </w:rPr>
        <w:t>PROPRIÉTÉS PHARMACOLOGIQUES</w:t>
      </w:r>
    </w:p>
    <w:p w:rsidR="00812D16" w:rsidRPr="00C65506" w:rsidRDefault="00812D16" w:rsidP="00496272">
      <w:pPr>
        <w:keepNext/>
        <w:keepLines/>
        <w:rPr>
          <w:noProof/>
          <w:szCs w:val="22"/>
          <w:lang w:val="fr-FR"/>
        </w:rPr>
      </w:pPr>
    </w:p>
    <w:p w:rsidR="00A14EFD" w:rsidRPr="00C65506" w:rsidRDefault="00A14EFD" w:rsidP="00A14EFD">
      <w:pPr>
        <w:keepNext/>
        <w:keepLines/>
        <w:ind w:left="567" w:hanging="567"/>
        <w:outlineLvl w:val="0"/>
        <w:rPr>
          <w:noProof/>
          <w:szCs w:val="24"/>
          <w:lang w:val="fr-FR" w:bidi="yi-Hebr"/>
        </w:rPr>
      </w:pPr>
      <w:r w:rsidRPr="00C65506">
        <w:rPr>
          <w:b/>
          <w:noProof/>
          <w:szCs w:val="24"/>
          <w:lang w:val="fr-FR" w:bidi="yi-Hebr"/>
        </w:rPr>
        <w:t>5.1</w:t>
      </w:r>
      <w:r w:rsidRPr="00C65506">
        <w:rPr>
          <w:b/>
          <w:noProof/>
          <w:szCs w:val="24"/>
          <w:lang w:val="fr-FR" w:bidi="yi-Hebr"/>
        </w:rPr>
        <w:tab/>
      </w:r>
      <w:r w:rsidRPr="00C65506">
        <w:rPr>
          <w:b/>
          <w:szCs w:val="24"/>
          <w:lang w:val="fr-FR" w:bidi="yi-Hebr"/>
        </w:rPr>
        <w:t>Propriétés pharmacodynamiques</w:t>
      </w:r>
    </w:p>
    <w:p w:rsidR="00AD7A57" w:rsidRPr="00C65506" w:rsidRDefault="00AD7A57" w:rsidP="00496272">
      <w:pPr>
        <w:numPr>
          <w:ilvl w:val="12"/>
          <w:numId w:val="0"/>
        </w:numPr>
        <w:ind w:right="-2"/>
        <w:rPr>
          <w:iCs/>
          <w:noProof/>
          <w:szCs w:val="22"/>
          <w:lang w:val="fr-FR"/>
        </w:rPr>
      </w:pPr>
    </w:p>
    <w:p w:rsidR="00A14EFD" w:rsidRPr="00C65506" w:rsidRDefault="00A14EFD" w:rsidP="00A14EFD">
      <w:pPr>
        <w:tabs>
          <w:tab w:val="clear" w:pos="567"/>
        </w:tabs>
        <w:rPr>
          <w:noProof/>
          <w:szCs w:val="24"/>
          <w:lang w:val="fr-FR" w:bidi="yi-Hebr"/>
        </w:rPr>
      </w:pPr>
      <w:r w:rsidRPr="00C65506">
        <w:rPr>
          <w:color w:val="000000"/>
          <w:szCs w:val="24"/>
          <w:lang w:val="fr-FR" w:bidi="yi-Hebr"/>
        </w:rPr>
        <w:t>Classe pharmacothérapeutique :</w:t>
      </w:r>
      <w:r w:rsidRPr="00C65506">
        <w:rPr>
          <w:noProof/>
          <w:color w:val="000000"/>
          <w:szCs w:val="24"/>
          <w:lang w:val="fr-FR" w:bidi="yi-Hebr"/>
        </w:rPr>
        <w:t xml:space="preserve"> </w:t>
      </w:r>
      <w:r w:rsidRPr="00C65506">
        <w:rPr>
          <w:color w:val="000000"/>
          <w:szCs w:val="24"/>
          <w:lang w:val="fr-FR" w:bidi="yi-Hebr"/>
        </w:rPr>
        <w:t xml:space="preserve">hormones sexuelles et modulateurs de la fonction génitale, gonadotrophines, </w:t>
      </w:r>
      <w:r w:rsidR="00F35118" w:rsidRPr="00C65506">
        <w:rPr>
          <w:color w:val="000000"/>
          <w:szCs w:val="24"/>
          <w:lang w:val="fr-FR" w:bidi="yi-Hebr"/>
        </w:rPr>
        <w:t xml:space="preserve">Code </w:t>
      </w:r>
      <w:r w:rsidRPr="00C65506">
        <w:rPr>
          <w:color w:val="000000"/>
          <w:szCs w:val="24"/>
          <w:lang w:val="fr-FR" w:bidi="yi-Hebr"/>
        </w:rPr>
        <w:t>ATC :</w:t>
      </w:r>
      <w:r w:rsidRPr="00C65506">
        <w:rPr>
          <w:noProof/>
          <w:color w:val="000000"/>
          <w:szCs w:val="24"/>
          <w:lang w:val="fr-FR" w:bidi="yi-Hebr"/>
        </w:rPr>
        <w:t xml:space="preserve"> G03GA05.</w:t>
      </w:r>
    </w:p>
    <w:p w:rsidR="00833B1A" w:rsidRPr="00C65506" w:rsidRDefault="00833B1A" w:rsidP="00496272">
      <w:pPr>
        <w:tabs>
          <w:tab w:val="clear" w:pos="567"/>
        </w:tabs>
        <w:rPr>
          <w:noProof/>
          <w:color w:val="000000"/>
          <w:szCs w:val="22"/>
          <w:lang w:val="fr-FR"/>
        </w:rPr>
      </w:pPr>
    </w:p>
    <w:p w:rsidR="009E0575" w:rsidRPr="00C65506" w:rsidRDefault="009E0575" w:rsidP="009E0575">
      <w:pPr>
        <w:tabs>
          <w:tab w:val="clear" w:pos="567"/>
        </w:tabs>
        <w:rPr>
          <w:noProof/>
          <w:szCs w:val="24"/>
          <w:lang w:val="fr-FR" w:bidi="yi-Hebr"/>
        </w:rPr>
      </w:pPr>
      <w:r w:rsidRPr="00C65506">
        <w:rPr>
          <w:color w:val="000000"/>
          <w:szCs w:val="24"/>
          <w:lang w:val="fr-FR" w:bidi="yi-Hebr"/>
        </w:rPr>
        <w:t>Ovaleap est un médicament biosimilaire</w:t>
      </w:r>
      <w:r w:rsidR="00BD72F0" w:rsidRPr="00C65506">
        <w:rPr>
          <w:color w:val="000000"/>
          <w:szCs w:val="24"/>
          <w:lang w:val="fr-FR" w:bidi="yi-Hebr"/>
        </w:rPr>
        <w:t xml:space="preserve">. </w:t>
      </w:r>
      <w:r w:rsidRPr="00C65506">
        <w:rPr>
          <w:szCs w:val="24"/>
          <w:lang w:val="fr-FR" w:bidi="yi-Hebr"/>
        </w:rPr>
        <w:t xml:space="preserve">Des informations détaillées sont disponibles sur le site internet de l’Agence européenne des médicaments </w:t>
      </w:r>
      <w:hyperlink r:id="rId9" w:history="1">
        <w:r w:rsidRPr="00C65506">
          <w:rPr>
            <w:szCs w:val="24"/>
            <w:lang w:val="fr-FR" w:bidi="yi-Hebr"/>
          </w:rPr>
          <w:t>http://www.ema.europa.eu</w:t>
        </w:r>
      </w:hyperlink>
      <w:r w:rsidR="00486756" w:rsidRPr="00C65506">
        <w:rPr>
          <w:szCs w:val="24"/>
          <w:lang w:val="fr-FR" w:bidi="yi-Hebr"/>
        </w:rPr>
        <w:t>/</w:t>
      </w:r>
      <w:r w:rsidRPr="00C65506">
        <w:rPr>
          <w:szCs w:val="24"/>
          <w:lang w:val="fr-FR" w:bidi="yi-Hebr"/>
        </w:rPr>
        <w:t>.</w:t>
      </w:r>
    </w:p>
    <w:p w:rsidR="00AD7A57" w:rsidRPr="00C65506" w:rsidRDefault="00AD7A57" w:rsidP="00496272">
      <w:pPr>
        <w:tabs>
          <w:tab w:val="clear" w:pos="567"/>
        </w:tabs>
        <w:outlineLvl w:val="0"/>
        <w:rPr>
          <w:noProof/>
          <w:color w:val="000000"/>
          <w:szCs w:val="22"/>
          <w:lang w:val="fr-FR"/>
        </w:rPr>
      </w:pPr>
    </w:p>
    <w:p w:rsidR="007335C1" w:rsidRPr="00C65506" w:rsidRDefault="007335C1" w:rsidP="007335C1">
      <w:pPr>
        <w:autoSpaceDE w:val="0"/>
        <w:autoSpaceDN w:val="0"/>
        <w:adjustRightInd w:val="0"/>
        <w:jc w:val="both"/>
        <w:rPr>
          <w:i/>
          <w:noProof/>
          <w:color w:val="000000"/>
          <w:szCs w:val="24"/>
          <w:u w:val="single"/>
          <w:lang w:val="fr-FR" w:bidi="yi-Hebr"/>
        </w:rPr>
      </w:pPr>
      <w:r w:rsidRPr="00C65506">
        <w:rPr>
          <w:i/>
          <w:color w:val="000000"/>
          <w:szCs w:val="24"/>
          <w:u w:val="single"/>
          <w:lang w:val="fr-FR" w:bidi="yi-Hebr"/>
        </w:rPr>
        <w:t>Effets pharmacodynamiques</w:t>
      </w:r>
    </w:p>
    <w:p w:rsidR="00423ABA" w:rsidRPr="00C65506" w:rsidRDefault="00423ABA" w:rsidP="00496272">
      <w:pPr>
        <w:tabs>
          <w:tab w:val="clear" w:pos="567"/>
        </w:tabs>
        <w:outlineLvl w:val="0"/>
        <w:rPr>
          <w:noProof/>
          <w:color w:val="000000"/>
          <w:szCs w:val="22"/>
          <w:lang w:val="fr-FR"/>
        </w:rPr>
      </w:pPr>
    </w:p>
    <w:p w:rsidR="007335C1" w:rsidRPr="00C65506" w:rsidRDefault="007335C1" w:rsidP="007335C1">
      <w:pPr>
        <w:tabs>
          <w:tab w:val="clear" w:pos="567"/>
        </w:tabs>
        <w:outlineLvl w:val="0"/>
        <w:rPr>
          <w:noProof/>
          <w:szCs w:val="24"/>
          <w:lang w:val="fr-FR" w:bidi="yi-Hebr"/>
        </w:rPr>
      </w:pPr>
      <w:r w:rsidRPr="00C65506">
        <w:rPr>
          <w:color w:val="000000"/>
          <w:szCs w:val="24"/>
          <w:lang w:val="fr-FR" w:bidi="yi-Hebr"/>
        </w:rPr>
        <w:t>Chez les femmes, l’effet le plus important résultant d’une administration parentérale de FSH est le développement de follicules de de Graaf matures. Chez les patientes anovulatoires, l’objectif du traitement par la follitropine alfa est de développer un seul follicule de de Graaf mature à partir duquel l’ovocyte sera libéré après l’administration d’hCG.</w:t>
      </w:r>
    </w:p>
    <w:p w:rsidR="00AD7A57" w:rsidRPr="00C65506" w:rsidRDefault="00AD7A57" w:rsidP="00496272">
      <w:pPr>
        <w:tabs>
          <w:tab w:val="clear" w:pos="567"/>
        </w:tabs>
        <w:outlineLvl w:val="0"/>
        <w:rPr>
          <w:noProof/>
          <w:color w:val="000000"/>
          <w:szCs w:val="22"/>
          <w:lang w:val="fr-FR"/>
        </w:rPr>
      </w:pPr>
    </w:p>
    <w:p w:rsidR="007335C1" w:rsidRPr="00C65506" w:rsidRDefault="007335C1" w:rsidP="007335C1">
      <w:pPr>
        <w:tabs>
          <w:tab w:val="clear" w:pos="567"/>
        </w:tabs>
        <w:outlineLvl w:val="0"/>
        <w:rPr>
          <w:i/>
          <w:noProof/>
          <w:color w:val="000000"/>
          <w:szCs w:val="24"/>
          <w:u w:val="single"/>
          <w:lang w:val="fr-FR" w:bidi="yi-Hebr"/>
        </w:rPr>
      </w:pPr>
      <w:r w:rsidRPr="00C65506">
        <w:rPr>
          <w:i/>
          <w:color w:val="000000"/>
          <w:szCs w:val="24"/>
          <w:u w:val="single"/>
          <w:lang w:val="fr-FR" w:bidi="yi-Hebr"/>
        </w:rPr>
        <w:t>Efficacité et sécurité clinique</w:t>
      </w:r>
      <w:r w:rsidR="00010B4C" w:rsidRPr="00C65506">
        <w:rPr>
          <w:i/>
          <w:color w:val="000000"/>
          <w:szCs w:val="24"/>
          <w:u w:val="single"/>
          <w:lang w:val="fr-FR" w:bidi="yi-Hebr"/>
        </w:rPr>
        <w:t>s</w:t>
      </w:r>
      <w:r w:rsidRPr="00C65506">
        <w:rPr>
          <w:i/>
          <w:color w:val="000000"/>
          <w:szCs w:val="24"/>
          <w:u w:val="single"/>
          <w:lang w:val="fr-FR" w:bidi="yi-Hebr"/>
        </w:rPr>
        <w:t xml:space="preserve"> chez les femmes</w:t>
      </w:r>
    </w:p>
    <w:p w:rsidR="00AD7A57" w:rsidRPr="00C65506" w:rsidRDefault="00AD7A57" w:rsidP="00496272">
      <w:pPr>
        <w:tabs>
          <w:tab w:val="clear" w:pos="567"/>
        </w:tabs>
        <w:outlineLvl w:val="0"/>
        <w:rPr>
          <w:noProof/>
          <w:color w:val="000000"/>
          <w:szCs w:val="22"/>
          <w:lang w:val="fr-FR"/>
        </w:rPr>
      </w:pPr>
    </w:p>
    <w:p w:rsidR="007335C1" w:rsidRPr="00C65506" w:rsidRDefault="007335C1" w:rsidP="007335C1">
      <w:pPr>
        <w:tabs>
          <w:tab w:val="clear" w:pos="567"/>
        </w:tabs>
        <w:outlineLvl w:val="0"/>
        <w:rPr>
          <w:noProof/>
          <w:szCs w:val="24"/>
          <w:lang w:val="fr-FR" w:bidi="yi-Hebr"/>
        </w:rPr>
      </w:pPr>
      <w:r w:rsidRPr="00C65506">
        <w:rPr>
          <w:color w:val="000000"/>
          <w:szCs w:val="24"/>
          <w:lang w:val="fr-FR" w:bidi="yi-Hebr"/>
        </w:rPr>
        <w:t>Au cours des essais cliniques, les patientes présentant un déficit sévère en FSH et LH étaient définies par un taux plasmatique de LH endogène &lt; 1,2 UI/L (mesuré par dosage centralisé). Néanmoins, il faut tenir compte de l’existence de variations inter-laboratoires pour le dosage de la LH.</w:t>
      </w:r>
    </w:p>
    <w:p w:rsidR="00AD7A57" w:rsidRPr="00C65506" w:rsidRDefault="00AD7A57" w:rsidP="00496272">
      <w:pPr>
        <w:tabs>
          <w:tab w:val="clear" w:pos="567"/>
        </w:tabs>
        <w:outlineLvl w:val="0"/>
        <w:rPr>
          <w:noProof/>
          <w:color w:val="000000"/>
          <w:szCs w:val="22"/>
          <w:lang w:val="fr-FR"/>
        </w:rPr>
      </w:pPr>
    </w:p>
    <w:p w:rsidR="007335C1" w:rsidRPr="00C65506" w:rsidRDefault="007335C1" w:rsidP="007335C1">
      <w:pPr>
        <w:tabs>
          <w:tab w:val="clear" w:pos="567"/>
        </w:tabs>
        <w:outlineLvl w:val="0"/>
        <w:rPr>
          <w:noProof/>
          <w:color w:val="000000"/>
          <w:szCs w:val="24"/>
          <w:lang w:val="fr-FR" w:bidi="yi-Hebr"/>
        </w:rPr>
      </w:pPr>
      <w:r w:rsidRPr="00C65506">
        <w:rPr>
          <w:color w:val="000000"/>
          <w:szCs w:val="24"/>
          <w:lang w:val="fr-FR" w:bidi="yi-Hebr"/>
        </w:rPr>
        <w:t>Dans des études cliniques</w:t>
      </w:r>
      <w:r w:rsidR="00E555BF" w:rsidRPr="00C65506">
        <w:rPr>
          <w:color w:val="000000"/>
          <w:szCs w:val="24"/>
          <w:lang w:val="fr-FR" w:bidi="yi-Hebr"/>
        </w:rPr>
        <w:t xml:space="preserve"> </w:t>
      </w:r>
      <w:r w:rsidRPr="00C65506">
        <w:rPr>
          <w:color w:val="000000"/>
          <w:szCs w:val="24"/>
          <w:lang w:val="fr-FR" w:bidi="yi-Hebr"/>
        </w:rPr>
        <w:t>comparant la r-hFSH (follitropine alfa) et la FSH urinaire utilisées dans le cadre des techniques d’AMP (voir tableau</w:t>
      </w:r>
      <w:r w:rsidR="00C722E5" w:rsidRPr="00C65506">
        <w:rPr>
          <w:color w:val="000000"/>
          <w:szCs w:val="24"/>
          <w:lang w:val="fr-FR" w:bidi="yi-Hebr"/>
        </w:rPr>
        <w:t> </w:t>
      </w:r>
      <w:r w:rsidR="00AB5760" w:rsidRPr="00C65506">
        <w:rPr>
          <w:color w:val="000000"/>
          <w:szCs w:val="24"/>
          <w:lang w:val="fr-FR" w:bidi="yi-Hebr"/>
        </w:rPr>
        <w:t xml:space="preserve">3 </w:t>
      </w:r>
      <w:r w:rsidRPr="00C65506">
        <w:rPr>
          <w:color w:val="000000"/>
          <w:szCs w:val="24"/>
          <w:lang w:val="fr-FR" w:bidi="yi-Hebr"/>
        </w:rPr>
        <w:t>ci-dessous) et d’induction de l’ovulation, la follitropine alfa était plus efficace que la FSH urinaire en termes de dose totale plus faible et de durée de traitement plus courte, nécessaires pour induire la maturation folliculaire.</w:t>
      </w:r>
    </w:p>
    <w:p w:rsidR="00AD7A57" w:rsidRPr="00C65506" w:rsidRDefault="00AD7A57" w:rsidP="00496272">
      <w:pPr>
        <w:tabs>
          <w:tab w:val="clear" w:pos="567"/>
        </w:tabs>
        <w:outlineLvl w:val="0"/>
        <w:rPr>
          <w:noProof/>
          <w:color w:val="000000"/>
          <w:szCs w:val="22"/>
          <w:lang w:val="fr-FR"/>
        </w:rPr>
      </w:pPr>
    </w:p>
    <w:p w:rsidR="007335C1" w:rsidRPr="00C65506" w:rsidRDefault="007335C1" w:rsidP="007335C1">
      <w:pPr>
        <w:tabs>
          <w:tab w:val="clear" w:pos="567"/>
        </w:tabs>
        <w:outlineLvl w:val="0"/>
        <w:rPr>
          <w:noProof/>
          <w:color w:val="000000"/>
          <w:szCs w:val="24"/>
          <w:lang w:val="fr-FR" w:bidi="yi-Hebr"/>
        </w:rPr>
      </w:pPr>
      <w:r w:rsidRPr="00C65506">
        <w:rPr>
          <w:color w:val="000000"/>
          <w:szCs w:val="24"/>
          <w:lang w:val="fr-FR" w:bidi="yi-Hebr"/>
        </w:rPr>
        <w:t>Dans le cadre des techniques d’AMP, la follitropine alfa a permis de ponctionner un nombre d’ovocytes plus élevé qu’avec la FSH urinaire, et ce, avec une dose totale inférieure et une durée de traitement plus courte.</w:t>
      </w:r>
    </w:p>
    <w:p w:rsidR="00AD7A57" w:rsidRPr="00C65506" w:rsidRDefault="00AD7A57" w:rsidP="00496272">
      <w:pPr>
        <w:tabs>
          <w:tab w:val="clear" w:pos="567"/>
        </w:tabs>
        <w:outlineLvl w:val="0"/>
        <w:rPr>
          <w:noProof/>
          <w:color w:val="000000"/>
          <w:szCs w:val="22"/>
          <w:lang w:val="fr-FR"/>
        </w:rPr>
      </w:pPr>
    </w:p>
    <w:p w:rsidR="00CB1820" w:rsidRPr="00C65506" w:rsidRDefault="00CB1820" w:rsidP="00496272">
      <w:pPr>
        <w:tabs>
          <w:tab w:val="clear" w:pos="567"/>
        </w:tabs>
        <w:outlineLvl w:val="0"/>
        <w:rPr>
          <w:noProof/>
          <w:color w:val="000000"/>
          <w:szCs w:val="22"/>
          <w:lang w:val="fr-FR"/>
        </w:rPr>
      </w:pPr>
      <w:r w:rsidRPr="00C65506">
        <w:rPr>
          <w:color w:val="000000"/>
          <w:szCs w:val="24"/>
          <w:lang w:val="fr-FR" w:bidi="yi-Hebr"/>
        </w:rPr>
        <w:t>Tableau 3 :</w:t>
      </w:r>
      <w:r w:rsidRPr="00C65506">
        <w:rPr>
          <w:noProof/>
          <w:color w:val="000000"/>
          <w:szCs w:val="24"/>
          <w:lang w:val="fr-FR" w:bidi="yi-Hebr"/>
        </w:rPr>
        <w:t xml:space="preserve"> </w:t>
      </w:r>
      <w:r w:rsidRPr="00C65506">
        <w:rPr>
          <w:color w:val="000000"/>
          <w:szCs w:val="24"/>
          <w:lang w:val="fr-FR" w:bidi="yi-Hebr"/>
        </w:rPr>
        <w:t>résultats de l’étude GF 8407 (étude randomisée en groupes parallèles, comparant l’efficacité et la tolérance de la follitropine alfa avec celles de la FSH urinaire dans le cadre des techniques d’AMP)</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52"/>
        <w:gridCol w:w="2126"/>
        <w:gridCol w:w="2268"/>
      </w:tblGrid>
      <w:tr w:rsidR="00AD7A57" w:rsidRPr="00C65506" w:rsidTr="004D7F24">
        <w:tc>
          <w:tcPr>
            <w:tcW w:w="3652" w:type="dxa"/>
            <w:tcBorders>
              <w:right w:val="single" w:sz="4" w:space="0" w:color="auto"/>
            </w:tcBorders>
          </w:tcPr>
          <w:p w:rsidR="00AD7A57" w:rsidRPr="00C65506" w:rsidRDefault="00AD7A57" w:rsidP="00496272">
            <w:pPr>
              <w:keepNext/>
              <w:keepLines/>
              <w:tabs>
                <w:tab w:val="clear" w:pos="567"/>
              </w:tabs>
              <w:outlineLvl w:val="0"/>
              <w:rPr>
                <w:noProof/>
                <w:color w:val="000000"/>
                <w:szCs w:val="22"/>
                <w:lang w:val="fr-FR"/>
              </w:rPr>
            </w:pPr>
          </w:p>
        </w:tc>
        <w:tc>
          <w:tcPr>
            <w:tcW w:w="2126" w:type="dxa"/>
            <w:tcBorders>
              <w:left w:val="single" w:sz="4" w:space="0" w:color="auto"/>
              <w:right w:val="single" w:sz="4" w:space="0" w:color="auto"/>
            </w:tcBorders>
          </w:tcPr>
          <w:p w:rsidR="00B372D5" w:rsidRPr="00C65506" w:rsidRDefault="00B372D5" w:rsidP="00B372D5">
            <w:pPr>
              <w:keepNext/>
              <w:keepLines/>
              <w:tabs>
                <w:tab w:val="clear" w:pos="567"/>
              </w:tabs>
              <w:autoSpaceDE w:val="0"/>
              <w:autoSpaceDN w:val="0"/>
              <w:adjustRightInd w:val="0"/>
              <w:jc w:val="center"/>
              <w:rPr>
                <w:color w:val="000000"/>
                <w:szCs w:val="24"/>
                <w:lang w:val="fr-FR" w:bidi="yi-Hebr"/>
              </w:rPr>
            </w:pPr>
            <w:r w:rsidRPr="00C65506">
              <w:rPr>
                <w:color w:val="000000"/>
                <w:szCs w:val="24"/>
                <w:lang w:val="fr-FR" w:bidi="yi-Hebr"/>
              </w:rPr>
              <w:t>follitropine alfa</w:t>
            </w:r>
          </w:p>
          <w:p w:rsidR="00AD7A57" w:rsidRPr="00C65506" w:rsidRDefault="00AD7A57" w:rsidP="00B372D5">
            <w:pPr>
              <w:keepNext/>
              <w:keepLines/>
              <w:tabs>
                <w:tab w:val="clear" w:pos="567"/>
              </w:tabs>
              <w:jc w:val="center"/>
              <w:outlineLvl w:val="0"/>
              <w:rPr>
                <w:noProof/>
                <w:color w:val="000000"/>
                <w:szCs w:val="22"/>
                <w:lang w:val="fr-FR"/>
              </w:rPr>
            </w:pPr>
            <w:r w:rsidRPr="00C65506">
              <w:rPr>
                <w:color w:val="000000"/>
                <w:szCs w:val="22"/>
                <w:lang w:val="fr-FR" w:eastAsia="de-DE"/>
              </w:rPr>
              <w:t>(n</w:t>
            </w:r>
            <w:r w:rsidR="00B372D5" w:rsidRPr="00C65506">
              <w:rPr>
                <w:color w:val="000000"/>
                <w:szCs w:val="22"/>
                <w:lang w:val="fr-FR" w:eastAsia="de-DE"/>
              </w:rPr>
              <w:t> </w:t>
            </w:r>
            <w:r w:rsidRPr="00C65506">
              <w:rPr>
                <w:color w:val="000000"/>
                <w:szCs w:val="22"/>
                <w:lang w:val="fr-FR" w:eastAsia="de-DE"/>
              </w:rPr>
              <w:t>=</w:t>
            </w:r>
            <w:r w:rsidR="00B372D5" w:rsidRPr="00C65506">
              <w:rPr>
                <w:color w:val="000000"/>
                <w:szCs w:val="22"/>
                <w:lang w:val="fr-FR" w:eastAsia="de-DE"/>
              </w:rPr>
              <w:t> </w:t>
            </w:r>
            <w:r w:rsidRPr="00C65506">
              <w:rPr>
                <w:color w:val="000000"/>
                <w:szCs w:val="22"/>
                <w:lang w:val="fr-FR" w:eastAsia="de-DE"/>
              </w:rPr>
              <w:t>130)</w:t>
            </w:r>
          </w:p>
        </w:tc>
        <w:tc>
          <w:tcPr>
            <w:tcW w:w="2268" w:type="dxa"/>
            <w:tcBorders>
              <w:left w:val="single" w:sz="4" w:space="0" w:color="auto"/>
            </w:tcBorders>
          </w:tcPr>
          <w:p w:rsidR="00B372D5" w:rsidRPr="00C65506" w:rsidRDefault="00B372D5" w:rsidP="00B372D5">
            <w:pPr>
              <w:keepNext/>
              <w:keepLines/>
              <w:tabs>
                <w:tab w:val="clear" w:pos="567"/>
              </w:tabs>
              <w:autoSpaceDE w:val="0"/>
              <w:autoSpaceDN w:val="0"/>
              <w:adjustRightInd w:val="0"/>
              <w:jc w:val="center"/>
              <w:rPr>
                <w:color w:val="000000"/>
                <w:szCs w:val="24"/>
                <w:lang w:val="fr-FR" w:bidi="yi-Hebr"/>
              </w:rPr>
            </w:pPr>
            <w:r w:rsidRPr="00C65506">
              <w:rPr>
                <w:color w:val="000000"/>
                <w:szCs w:val="24"/>
                <w:lang w:val="fr-FR" w:bidi="yi-Hebr"/>
              </w:rPr>
              <w:t>FSH urinaire</w:t>
            </w:r>
          </w:p>
          <w:p w:rsidR="00AD7A57" w:rsidRPr="00C65506" w:rsidRDefault="00AD7A57" w:rsidP="00B372D5">
            <w:pPr>
              <w:keepNext/>
              <w:keepLines/>
              <w:tabs>
                <w:tab w:val="clear" w:pos="567"/>
              </w:tabs>
              <w:jc w:val="center"/>
              <w:outlineLvl w:val="0"/>
              <w:rPr>
                <w:noProof/>
                <w:color w:val="000000"/>
                <w:szCs w:val="22"/>
                <w:lang w:val="fr-FR"/>
              </w:rPr>
            </w:pPr>
            <w:r w:rsidRPr="00C65506">
              <w:rPr>
                <w:color w:val="000000"/>
                <w:szCs w:val="22"/>
                <w:lang w:val="fr-FR" w:eastAsia="de-DE"/>
              </w:rPr>
              <w:t>(n</w:t>
            </w:r>
            <w:r w:rsidR="00B372D5" w:rsidRPr="00C65506">
              <w:rPr>
                <w:color w:val="000000"/>
                <w:szCs w:val="22"/>
                <w:lang w:val="fr-FR" w:eastAsia="de-DE"/>
              </w:rPr>
              <w:t> </w:t>
            </w:r>
            <w:r w:rsidRPr="00C65506">
              <w:rPr>
                <w:color w:val="000000"/>
                <w:szCs w:val="22"/>
                <w:lang w:val="fr-FR" w:eastAsia="de-DE"/>
              </w:rPr>
              <w:t>=</w:t>
            </w:r>
            <w:r w:rsidR="00B372D5" w:rsidRPr="00C65506">
              <w:rPr>
                <w:color w:val="000000"/>
                <w:szCs w:val="22"/>
                <w:lang w:val="fr-FR" w:eastAsia="de-DE"/>
              </w:rPr>
              <w:t> </w:t>
            </w:r>
            <w:r w:rsidRPr="00C65506">
              <w:rPr>
                <w:color w:val="000000"/>
                <w:szCs w:val="22"/>
                <w:lang w:val="fr-FR" w:eastAsia="de-DE"/>
              </w:rPr>
              <w:t>116)</w:t>
            </w:r>
          </w:p>
        </w:tc>
      </w:tr>
      <w:tr w:rsidR="00AD7A57" w:rsidRPr="00C65506" w:rsidTr="004D7F24">
        <w:tc>
          <w:tcPr>
            <w:tcW w:w="3652" w:type="dxa"/>
            <w:tcBorders>
              <w:right w:val="single" w:sz="4" w:space="0" w:color="auto"/>
            </w:tcBorders>
          </w:tcPr>
          <w:p w:rsidR="00AD7A57" w:rsidRPr="00C65506" w:rsidRDefault="00297D71" w:rsidP="00297D71">
            <w:pPr>
              <w:keepNext/>
              <w:keepLines/>
              <w:tabs>
                <w:tab w:val="clear" w:pos="567"/>
              </w:tabs>
              <w:outlineLvl w:val="0"/>
              <w:rPr>
                <w:szCs w:val="24"/>
                <w:lang w:val="fr-FR" w:bidi="yi-Hebr"/>
              </w:rPr>
            </w:pPr>
            <w:r w:rsidRPr="00C65506">
              <w:rPr>
                <w:color w:val="000000"/>
                <w:szCs w:val="24"/>
                <w:lang w:val="fr-FR" w:bidi="yi-Hebr"/>
              </w:rPr>
              <w:t>Nombre d’ovocytes ponctionnés</w:t>
            </w:r>
          </w:p>
        </w:tc>
        <w:tc>
          <w:tcPr>
            <w:tcW w:w="2126" w:type="dxa"/>
            <w:tcBorders>
              <w:left w:val="single" w:sz="4" w:space="0" w:color="auto"/>
              <w:right w:val="single" w:sz="4" w:space="0" w:color="auto"/>
            </w:tcBorders>
          </w:tcPr>
          <w:p w:rsidR="00AD7A57" w:rsidRPr="00C65506" w:rsidRDefault="00AD7A57" w:rsidP="00297D71">
            <w:pPr>
              <w:keepNext/>
              <w:keepLines/>
              <w:tabs>
                <w:tab w:val="clear" w:pos="567"/>
              </w:tabs>
              <w:jc w:val="center"/>
              <w:outlineLvl w:val="0"/>
              <w:rPr>
                <w:lang w:val="fr-FR"/>
              </w:rPr>
            </w:pPr>
            <w:r w:rsidRPr="00C65506">
              <w:rPr>
                <w:color w:val="000000"/>
                <w:szCs w:val="22"/>
                <w:lang w:val="fr-FR" w:eastAsia="de-DE"/>
              </w:rPr>
              <w:t>11</w:t>
            </w:r>
            <w:r w:rsidR="00297D71" w:rsidRPr="00C65506">
              <w:rPr>
                <w:color w:val="000000"/>
                <w:szCs w:val="22"/>
                <w:lang w:val="fr-FR" w:eastAsia="de-DE"/>
              </w:rPr>
              <w:t>,</w:t>
            </w:r>
            <w:r w:rsidRPr="00C65506">
              <w:rPr>
                <w:color w:val="000000"/>
                <w:szCs w:val="22"/>
                <w:lang w:val="fr-FR" w:eastAsia="de-DE"/>
              </w:rPr>
              <w:t>0 ± 5</w:t>
            </w:r>
            <w:r w:rsidR="00297D71" w:rsidRPr="00C65506">
              <w:rPr>
                <w:color w:val="000000"/>
                <w:szCs w:val="22"/>
                <w:lang w:val="fr-FR" w:eastAsia="de-DE"/>
              </w:rPr>
              <w:t>,</w:t>
            </w:r>
            <w:r w:rsidRPr="00C65506">
              <w:rPr>
                <w:color w:val="000000"/>
                <w:szCs w:val="22"/>
                <w:lang w:val="fr-FR" w:eastAsia="de-DE"/>
              </w:rPr>
              <w:t>9</w:t>
            </w:r>
          </w:p>
        </w:tc>
        <w:tc>
          <w:tcPr>
            <w:tcW w:w="2268" w:type="dxa"/>
            <w:tcBorders>
              <w:left w:val="single" w:sz="4" w:space="0" w:color="auto"/>
            </w:tcBorders>
          </w:tcPr>
          <w:p w:rsidR="00AD7A57" w:rsidRPr="00C65506" w:rsidRDefault="00AD7A57" w:rsidP="00297D71">
            <w:pPr>
              <w:keepNext/>
              <w:keepLines/>
              <w:tabs>
                <w:tab w:val="clear" w:pos="567"/>
              </w:tabs>
              <w:jc w:val="center"/>
              <w:outlineLvl w:val="0"/>
              <w:rPr>
                <w:lang w:val="fr-FR"/>
              </w:rPr>
            </w:pPr>
            <w:r w:rsidRPr="00C65506">
              <w:rPr>
                <w:color w:val="000000"/>
                <w:szCs w:val="22"/>
                <w:lang w:val="fr-FR" w:eastAsia="de-DE"/>
              </w:rPr>
              <w:t>8</w:t>
            </w:r>
            <w:r w:rsidR="00297D71" w:rsidRPr="00C65506">
              <w:rPr>
                <w:color w:val="000000"/>
                <w:szCs w:val="22"/>
                <w:lang w:val="fr-FR" w:eastAsia="de-DE"/>
              </w:rPr>
              <w:t>,</w:t>
            </w:r>
            <w:r w:rsidRPr="00C65506">
              <w:rPr>
                <w:color w:val="000000"/>
                <w:szCs w:val="22"/>
                <w:lang w:val="fr-FR" w:eastAsia="de-DE"/>
              </w:rPr>
              <w:t>8 ± 4</w:t>
            </w:r>
            <w:r w:rsidR="00297D71" w:rsidRPr="00C65506">
              <w:rPr>
                <w:color w:val="000000"/>
                <w:szCs w:val="22"/>
                <w:lang w:val="fr-FR" w:eastAsia="de-DE"/>
              </w:rPr>
              <w:t>,</w:t>
            </w:r>
            <w:r w:rsidRPr="00C65506">
              <w:rPr>
                <w:color w:val="000000"/>
                <w:szCs w:val="22"/>
                <w:lang w:val="fr-FR" w:eastAsia="de-DE"/>
              </w:rPr>
              <w:t>8</w:t>
            </w:r>
          </w:p>
        </w:tc>
      </w:tr>
      <w:tr w:rsidR="00AD7A57" w:rsidRPr="00C65506" w:rsidTr="004D7F24">
        <w:tc>
          <w:tcPr>
            <w:tcW w:w="3652" w:type="dxa"/>
            <w:tcBorders>
              <w:right w:val="single" w:sz="4" w:space="0" w:color="auto"/>
            </w:tcBorders>
          </w:tcPr>
          <w:p w:rsidR="00AD7A57" w:rsidRPr="00C65506" w:rsidRDefault="00297D71" w:rsidP="00297D71">
            <w:pPr>
              <w:keepNext/>
              <w:keepLines/>
              <w:tabs>
                <w:tab w:val="clear" w:pos="567"/>
              </w:tabs>
              <w:outlineLvl w:val="0"/>
              <w:rPr>
                <w:szCs w:val="24"/>
                <w:lang w:val="fr-FR" w:bidi="yi-Hebr"/>
              </w:rPr>
            </w:pPr>
            <w:r w:rsidRPr="00C65506">
              <w:rPr>
                <w:color w:val="000000"/>
                <w:szCs w:val="24"/>
                <w:lang w:val="fr-FR" w:bidi="yi-Hebr"/>
              </w:rPr>
              <w:t>Nombre de jours de stimulation par la FSH</w:t>
            </w:r>
          </w:p>
        </w:tc>
        <w:tc>
          <w:tcPr>
            <w:tcW w:w="2126" w:type="dxa"/>
            <w:tcBorders>
              <w:left w:val="single" w:sz="4" w:space="0" w:color="auto"/>
              <w:right w:val="single" w:sz="4" w:space="0" w:color="auto"/>
            </w:tcBorders>
          </w:tcPr>
          <w:p w:rsidR="00AD7A57" w:rsidRPr="00C65506" w:rsidRDefault="00AD7A57" w:rsidP="00297D71">
            <w:pPr>
              <w:keepNext/>
              <w:keepLines/>
              <w:tabs>
                <w:tab w:val="clear" w:pos="567"/>
              </w:tabs>
              <w:jc w:val="center"/>
              <w:outlineLvl w:val="0"/>
              <w:rPr>
                <w:lang w:val="fr-FR"/>
              </w:rPr>
            </w:pPr>
            <w:r w:rsidRPr="00C65506">
              <w:rPr>
                <w:color w:val="000000"/>
                <w:szCs w:val="22"/>
                <w:lang w:val="fr-FR" w:eastAsia="de-DE"/>
              </w:rPr>
              <w:t>11</w:t>
            </w:r>
            <w:r w:rsidR="00297D71" w:rsidRPr="00C65506">
              <w:rPr>
                <w:color w:val="000000"/>
                <w:szCs w:val="22"/>
                <w:lang w:val="fr-FR" w:eastAsia="de-DE"/>
              </w:rPr>
              <w:t>,</w:t>
            </w:r>
            <w:r w:rsidRPr="00C65506">
              <w:rPr>
                <w:color w:val="000000"/>
                <w:szCs w:val="22"/>
                <w:lang w:val="fr-FR" w:eastAsia="de-DE"/>
              </w:rPr>
              <w:t>7 ± 1</w:t>
            </w:r>
            <w:r w:rsidR="00297D71" w:rsidRPr="00C65506">
              <w:rPr>
                <w:color w:val="000000"/>
                <w:szCs w:val="22"/>
                <w:lang w:val="fr-FR" w:eastAsia="de-DE"/>
              </w:rPr>
              <w:t>,</w:t>
            </w:r>
            <w:r w:rsidRPr="00C65506">
              <w:rPr>
                <w:color w:val="000000"/>
                <w:szCs w:val="22"/>
                <w:lang w:val="fr-FR" w:eastAsia="de-DE"/>
              </w:rPr>
              <w:t>9</w:t>
            </w:r>
          </w:p>
        </w:tc>
        <w:tc>
          <w:tcPr>
            <w:tcW w:w="2268" w:type="dxa"/>
            <w:tcBorders>
              <w:left w:val="single" w:sz="4" w:space="0" w:color="auto"/>
            </w:tcBorders>
          </w:tcPr>
          <w:p w:rsidR="00AD7A57" w:rsidRPr="00C65506" w:rsidRDefault="00AD7A57" w:rsidP="00297D71">
            <w:pPr>
              <w:keepNext/>
              <w:keepLines/>
              <w:tabs>
                <w:tab w:val="clear" w:pos="567"/>
              </w:tabs>
              <w:jc w:val="center"/>
              <w:outlineLvl w:val="0"/>
              <w:rPr>
                <w:lang w:val="fr-FR"/>
              </w:rPr>
            </w:pPr>
            <w:r w:rsidRPr="00C65506">
              <w:rPr>
                <w:color w:val="000000"/>
                <w:szCs w:val="22"/>
                <w:lang w:val="fr-FR" w:eastAsia="de-DE"/>
              </w:rPr>
              <w:t>14</w:t>
            </w:r>
            <w:r w:rsidR="00297D71" w:rsidRPr="00C65506">
              <w:rPr>
                <w:color w:val="000000"/>
                <w:szCs w:val="22"/>
                <w:lang w:val="fr-FR" w:eastAsia="de-DE"/>
              </w:rPr>
              <w:t>,</w:t>
            </w:r>
            <w:r w:rsidRPr="00C65506">
              <w:rPr>
                <w:color w:val="000000"/>
                <w:szCs w:val="22"/>
                <w:lang w:val="fr-FR" w:eastAsia="de-DE"/>
              </w:rPr>
              <w:t>5 ± 3</w:t>
            </w:r>
            <w:r w:rsidR="00297D71" w:rsidRPr="00C65506">
              <w:rPr>
                <w:color w:val="000000"/>
                <w:szCs w:val="22"/>
                <w:lang w:val="fr-FR" w:eastAsia="de-DE"/>
              </w:rPr>
              <w:t>,</w:t>
            </w:r>
            <w:r w:rsidRPr="00C65506">
              <w:rPr>
                <w:color w:val="000000"/>
                <w:szCs w:val="22"/>
                <w:lang w:val="fr-FR" w:eastAsia="de-DE"/>
              </w:rPr>
              <w:t>3</w:t>
            </w:r>
          </w:p>
        </w:tc>
      </w:tr>
      <w:tr w:rsidR="00AD7A57" w:rsidRPr="00C65506" w:rsidTr="004D7F24">
        <w:tc>
          <w:tcPr>
            <w:tcW w:w="3652" w:type="dxa"/>
            <w:tcBorders>
              <w:right w:val="single" w:sz="4" w:space="0" w:color="auto"/>
            </w:tcBorders>
          </w:tcPr>
          <w:p w:rsidR="00AD7A57" w:rsidRPr="00C65506" w:rsidRDefault="00297D71" w:rsidP="00297D71">
            <w:pPr>
              <w:keepNext/>
              <w:keepLines/>
              <w:tabs>
                <w:tab w:val="clear" w:pos="567"/>
              </w:tabs>
              <w:outlineLvl w:val="0"/>
              <w:rPr>
                <w:szCs w:val="24"/>
                <w:lang w:val="fr-FR" w:bidi="yi-Hebr"/>
              </w:rPr>
            </w:pPr>
            <w:r w:rsidRPr="00C65506">
              <w:rPr>
                <w:color w:val="000000"/>
                <w:szCs w:val="24"/>
                <w:lang w:val="fr-FR" w:bidi="yi-Hebr"/>
              </w:rPr>
              <w:t>Dose totale de FSH requise (nombre d’ampoules de 75 UI de FSH)</w:t>
            </w:r>
          </w:p>
        </w:tc>
        <w:tc>
          <w:tcPr>
            <w:tcW w:w="2126" w:type="dxa"/>
            <w:tcBorders>
              <w:left w:val="single" w:sz="4" w:space="0" w:color="auto"/>
              <w:right w:val="single" w:sz="4" w:space="0" w:color="auto"/>
            </w:tcBorders>
          </w:tcPr>
          <w:p w:rsidR="00AD7A57" w:rsidRPr="00C65506" w:rsidRDefault="00AD7A57" w:rsidP="00297D71">
            <w:pPr>
              <w:keepNext/>
              <w:keepLines/>
              <w:tabs>
                <w:tab w:val="clear" w:pos="567"/>
              </w:tabs>
              <w:jc w:val="center"/>
              <w:outlineLvl w:val="0"/>
              <w:rPr>
                <w:lang w:val="fr-FR"/>
              </w:rPr>
            </w:pPr>
            <w:r w:rsidRPr="00C65506">
              <w:rPr>
                <w:color w:val="000000"/>
                <w:szCs w:val="22"/>
                <w:lang w:val="fr-FR" w:eastAsia="de-DE"/>
              </w:rPr>
              <w:t>27</w:t>
            </w:r>
            <w:r w:rsidR="00297D71" w:rsidRPr="00C65506">
              <w:rPr>
                <w:color w:val="000000"/>
                <w:szCs w:val="22"/>
                <w:lang w:val="fr-FR" w:eastAsia="de-DE"/>
              </w:rPr>
              <w:t>,</w:t>
            </w:r>
            <w:r w:rsidRPr="00C65506">
              <w:rPr>
                <w:color w:val="000000"/>
                <w:szCs w:val="22"/>
                <w:lang w:val="fr-FR" w:eastAsia="de-DE"/>
              </w:rPr>
              <w:t>6 ± 10</w:t>
            </w:r>
            <w:r w:rsidR="00297D71" w:rsidRPr="00C65506">
              <w:rPr>
                <w:color w:val="000000"/>
                <w:szCs w:val="22"/>
                <w:lang w:val="fr-FR" w:eastAsia="de-DE"/>
              </w:rPr>
              <w:t>,</w:t>
            </w:r>
            <w:r w:rsidRPr="00C65506">
              <w:rPr>
                <w:color w:val="000000"/>
                <w:szCs w:val="22"/>
                <w:lang w:val="fr-FR" w:eastAsia="de-DE"/>
              </w:rPr>
              <w:t>2</w:t>
            </w:r>
          </w:p>
        </w:tc>
        <w:tc>
          <w:tcPr>
            <w:tcW w:w="2268" w:type="dxa"/>
            <w:tcBorders>
              <w:left w:val="single" w:sz="4" w:space="0" w:color="auto"/>
            </w:tcBorders>
          </w:tcPr>
          <w:p w:rsidR="00AD7A57" w:rsidRPr="00C65506" w:rsidRDefault="00AD7A57" w:rsidP="00297D71">
            <w:pPr>
              <w:keepNext/>
              <w:keepLines/>
              <w:tabs>
                <w:tab w:val="clear" w:pos="567"/>
              </w:tabs>
              <w:jc w:val="center"/>
              <w:outlineLvl w:val="0"/>
              <w:rPr>
                <w:lang w:val="fr-FR"/>
              </w:rPr>
            </w:pPr>
            <w:r w:rsidRPr="00C65506">
              <w:rPr>
                <w:color w:val="000000"/>
                <w:szCs w:val="22"/>
                <w:lang w:val="fr-FR" w:eastAsia="de-DE"/>
              </w:rPr>
              <w:t>40</w:t>
            </w:r>
            <w:r w:rsidR="00297D71" w:rsidRPr="00C65506">
              <w:rPr>
                <w:color w:val="000000"/>
                <w:szCs w:val="22"/>
                <w:lang w:val="fr-FR" w:eastAsia="de-DE"/>
              </w:rPr>
              <w:t>,</w:t>
            </w:r>
            <w:r w:rsidRPr="00C65506">
              <w:rPr>
                <w:color w:val="000000"/>
                <w:szCs w:val="22"/>
                <w:lang w:val="fr-FR" w:eastAsia="de-DE"/>
              </w:rPr>
              <w:t>7 ± 13</w:t>
            </w:r>
            <w:r w:rsidR="00297D71" w:rsidRPr="00C65506">
              <w:rPr>
                <w:color w:val="000000"/>
                <w:szCs w:val="22"/>
                <w:lang w:val="fr-FR" w:eastAsia="de-DE"/>
              </w:rPr>
              <w:t>,</w:t>
            </w:r>
            <w:r w:rsidRPr="00C65506">
              <w:rPr>
                <w:color w:val="000000"/>
                <w:szCs w:val="22"/>
                <w:lang w:val="fr-FR" w:eastAsia="de-DE"/>
              </w:rPr>
              <w:t>6</w:t>
            </w:r>
          </w:p>
        </w:tc>
      </w:tr>
      <w:tr w:rsidR="00AD7A57" w:rsidRPr="00C65506" w:rsidTr="004D7F24">
        <w:tc>
          <w:tcPr>
            <w:tcW w:w="3652" w:type="dxa"/>
            <w:tcBorders>
              <w:right w:val="single" w:sz="4" w:space="0" w:color="auto"/>
            </w:tcBorders>
          </w:tcPr>
          <w:p w:rsidR="00AD7A57" w:rsidRPr="00C65506" w:rsidRDefault="00297D71" w:rsidP="00297D71">
            <w:pPr>
              <w:keepNext/>
              <w:keepLines/>
              <w:tabs>
                <w:tab w:val="clear" w:pos="567"/>
              </w:tabs>
              <w:outlineLvl w:val="0"/>
              <w:rPr>
                <w:szCs w:val="24"/>
                <w:lang w:val="fr-FR" w:bidi="yi-Hebr"/>
              </w:rPr>
            </w:pPr>
            <w:r w:rsidRPr="00C65506">
              <w:rPr>
                <w:color w:val="000000"/>
                <w:szCs w:val="24"/>
                <w:lang w:val="fr-FR" w:bidi="yi-Hebr"/>
              </w:rPr>
              <w:t>Besoin d’augmenter la dose (%)</w:t>
            </w:r>
          </w:p>
        </w:tc>
        <w:tc>
          <w:tcPr>
            <w:tcW w:w="2126" w:type="dxa"/>
            <w:tcBorders>
              <w:left w:val="single" w:sz="4" w:space="0" w:color="auto"/>
              <w:right w:val="single" w:sz="4" w:space="0" w:color="auto"/>
            </w:tcBorders>
          </w:tcPr>
          <w:p w:rsidR="00AD7A57" w:rsidRPr="00C65506" w:rsidRDefault="00AD7A57" w:rsidP="00496272">
            <w:pPr>
              <w:keepNext/>
              <w:keepLines/>
              <w:tabs>
                <w:tab w:val="clear" w:pos="567"/>
              </w:tabs>
              <w:jc w:val="center"/>
              <w:outlineLvl w:val="0"/>
              <w:rPr>
                <w:noProof/>
                <w:color w:val="000000"/>
                <w:szCs w:val="22"/>
                <w:lang w:val="fr-FR"/>
              </w:rPr>
            </w:pPr>
            <w:r w:rsidRPr="00C65506">
              <w:rPr>
                <w:color w:val="000000"/>
                <w:szCs w:val="22"/>
                <w:lang w:val="fr-FR" w:eastAsia="de-DE"/>
              </w:rPr>
              <w:t>56</w:t>
            </w:r>
            <w:r w:rsidR="00297D71" w:rsidRPr="00C65506">
              <w:rPr>
                <w:color w:val="000000"/>
                <w:szCs w:val="22"/>
                <w:lang w:val="fr-FR" w:eastAsia="de-DE"/>
              </w:rPr>
              <w:t>,</w:t>
            </w:r>
            <w:r w:rsidRPr="00C65506">
              <w:rPr>
                <w:color w:val="000000"/>
                <w:szCs w:val="22"/>
                <w:lang w:val="fr-FR" w:eastAsia="de-DE"/>
              </w:rPr>
              <w:t>2</w:t>
            </w:r>
          </w:p>
        </w:tc>
        <w:tc>
          <w:tcPr>
            <w:tcW w:w="2268" w:type="dxa"/>
            <w:tcBorders>
              <w:left w:val="single" w:sz="4" w:space="0" w:color="auto"/>
            </w:tcBorders>
          </w:tcPr>
          <w:p w:rsidR="00AD7A57" w:rsidRPr="00C65506" w:rsidRDefault="00AD7A57" w:rsidP="00496272">
            <w:pPr>
              <w:keepNext/>
              <w:keepLines/>
              <w:tabs>
                <w:tab w:val="clear" w:pos="567"/>
              </w:tabs>
              <w:jc w:val="center"/>
              <w:outlineLvl w:val="0"/>
              <w:rPr>
                <w:noProof/>
                <w:color w:val="000000"/>
                <w:szCs w:val="22"/>
                <w:lang w:val="fr-FR"/>
              </w:rPr>
            </w:pPr>
            <w:r w:rsidRPr="00C65506">
              <w:rPr>
                <w:color w:val="000000"/>
                <w:szCs w:val="22"/>
                <w:lang w:val="fr-FR" w:eastAsia="de-DE"/>
              </w:rPr>
              <w:t>85</w:t>
            </w:r>
            <w:r w:rsidR="00297D71" w:rsidRPr="00C65506">
              <w:rPr>
                <w:color w:val="000000"/>
                <w:szCs w:val="22"/>
                <w:lang w:val="fr-FR" w:eastAsia="de-DE"/>
              </w:rPr>
              <w:t>,</w:t>
            </w:r>
            <w:r w:rsidRPr="00C65506">
              <w:rPr>
                <w:color w:val="000000"/>
                <w:szCs w:val="22"/>
                <w:lang w:val="fr-FR" w:eastAsia="de-DE"/>
              </w:rPr>
              <w:t>3</w:t>
            </w:r>
          </w:p>
        </w:tc>
      </w:tr>
    </w:tbl>
    <w:p w:rsidR="00AD7A57" w:rsidRPr="00C65506" w:rsidRDefault="00AD7A57" w:rsidP="00496272">
      <w:pPr>
        <w:tabs>
          <w:tab w:val="clear" w:pos="567"/>
        </w:tabs>
        <w:outlineLvl w:val="0"/>
        <w:rPr>
          <w:color w:val="000000"/>
          <w:szCs w:val="22"/>
          <w:lang w:val="fr-FR" w:eastAsia="de-DE"/>
        </w:rPr>
      </w:pPr>
    </w:p>
    <w:p w:rsidR="008305EC" w:rsidRPr="00C65506" w:rsidRDefault="008305EC" w:rsidP="00496272">
      <w:pPr>
        <w:tabs>
          <w:tab w:val="clear" w:pos="567"/>
        </w:tabs>
        <w:outlineLvl w:val="0"/>
        <w:rPr>
          <w:color w:val="000000"/>
          <w:szCs w:val="24"/>
          <w:lang w:val="fr-FR" w:bidi="yi-Hebr"/>
        </w:rPr>
      </w:pPr>
      <w:r w:rsidRPr="00C65506">
        <w:rPr>
          <w:color w:val="000000"/>
          <w:szCs w:val="24"/>
          <w:lang w:val="fr-FR" w:bidi="yi-Hebr"/>
        </w:rPr>
        <w:t>Les différences entre les 2 groupes étaient statistiquement significatives (</w:t>
      </w:r>
      <w:r w:rsidRPr="00C65506">
        <w:rPr>
          <w:i/>
          <w:color w:val="000000"/>
          <w:szCs w:val="24"/>
          <w:lang w:val="fr-FR" w:bidi="yi-Hebr"/>
        </w:rPr>
        <w:t>p </w:t>
      </w:r>
      <w:r w:rsidRPr="00C65506">
        <w:rPr>
          <w:color w:val="000000"/>
          <w:szCs w:val="24"/>
          <w:lang w:val="fr-FR" w:bidi="yi-Hebr"/>
        </w:rPr>
        <w:t>&lt; 0,05) pour tous les critères listés.</w:t>
      </w:r>
    </w:p>
    <w:p w:rsidR="008305EC" w:rsidRPr="00C65506" w:rsidRDefault="008305EC" w:rsidP="00496272">
      <w:pPr>
        <w:tabs>
          <w:tab w:val="clear" w:pos="567"/>
        </w:tabs>
        <w:outlineLvl w:val="0"/>
        <w:rPr>
          <w:color w:val="000000"/>
          <w:szCs w:val="22"/>
          <w:lang w:val="fr-FR" w:eastAsia="de-DE"/>
        </w:rPr>
      </w:pPr>
    </w:p>
    <w:p w:rsidR="00297D71" w:rsidRPr="00C65506" w:rsidRDefault="00297D71" w:rsidP="00FC6B14">
      <w:pPr>
        <w:keepNext/>
        <w:tabs>
          <w:tab w:val="clear" w:pos="567"/>
        </w:tabs>
        <w:outlineLvl w:val="0"/>
        <w:rPr>
          <w:i/>
          <w:noProof/>
          <w:color w:val="000000"/>
          <w:szCs w:val="24"/>
          <w:u w:val="single"/>
          <w:lang w:val="fr-FR" w:bidi="yi-Hebr"/>
        </w:rPr>
      </w:pPr>
      <w:r w:rsidRPr="00C65506">
        <w:rPr>
          <w:i/>
          <w:color w:val="000000"/>
          <w:szCs w:val="24"/>
          <w:u w:val="single"/>
          <w:lang w:val="fr-FR" w:bidi="yi-Hebr"/>
        </w:rPr>
        <w:lastRenderedPageBreak/>
        <w:t>Efficacité et sécurité clinique</w:t>
      </w:r>
      <w:r w:rsidR="00010B4C" w:rsidRPr="00C65506">
        <w:rPr>
          <w:i/>
          <w:color w:val="000000"/>
          <w:szCs w:val="24"/>
          <w:u w:val="single"/>
          <w:lang w:val="fr-FR" w:bidi="yi-Hebr"/>
        </w:rPr>
        <w:t>s</w:t>
      </w:r>
      <w:r w:rsidRPr="00C65506">
        <w:rPr>
          <w:i/>
          <w:color w:val="000000"/>
          <w:szCs w:val="24"/>
          <w:u w:val="single"/>
          <w:lang w:val="fr-FR" w:bidi="yi-Hebr"/>
        </w:rPr>
        <w:t xml:space="preserve"> chez les hommes</w:t>
      </w:r>
    </w:p>
    <w:p w:rsidR="00AD7A57" w:rsidRPr="00C65506" w:rsidRDefault="00AD7A57" w:rsidP="00FC6B14">
      <w:pPr>
        <w:keepNext/>
        <w:tabs>
          <w:tab w:val="clear" w:pos="567"/>
        </w:tabs>
        <w:outlineLvl w:val="0"/>
        <w:rPr>
          <w:noProof/>
          <w:color w:val="000000"/>
          <w:szCs w:val="22"/>
          <w:lang w:val="fr-FR"/>
        </w:rPr>
      </w:pPr>
    </w:p>
    <w:p w:rsidR="00297D71" w:rsidRPr="00C65506" w:rsidRDefault="00297D71" w:rsidP="00297D71">
      <w:pPr>
        <w:tabs>
          <w:tab w:val="clear" w:pos="567"/>
        </w:tabs>
        <w:outlineLvl w:val="0"/>
        <w:rPr>
          <w:noProof/>
          <w:color w:val="000000"/>
          <w:szCs w:val="24"/>
          <w:lang w:val="fr-FR" w:bidi="yi-Hebr"/>
        </w:rPr>
      </w:pPr>
      <w:r w:rsidRPr="00C65506">
        <w:rPr>
          <w:color w:val="000000"/>
          <w:szCs w:val="24"/>
          <w:lang w:val="fr-FR" w:bidi="yi-Hebr"/>
        </w:rPr>
        <w:t>Chez les hommes présentant un déficit en FSH, la follitropine alfa administrée en association avec l’hCG pendant 4 mois minimum, induit la spermatogenèse.</w:t>
      </w:r>
    </w:p>
    <w:p w:rsidR="00AD7A57" w:rsidRPr="00C65506" w:rsidRDefault="00AD7A57" w:rsidP="00496272">
      <w:pPr>
        <w:numPr>
          <w:ilvl w:val="12"/>
          <w:numId w:val="0"/>
        </w:numPr>
        <w:ind w:right="-2"/>
        <w:rPr>
          <w:iCs/>
          <w:noProof/>
          <w:szCs w:val="22"/>
          <w:lang w:val="fr-FR"/>
        </w:rPr>
      </w:pPr>
    </w:p>
    <w:p w:rsidR="005E1AAE" w:rsidRPr="00C65506" w:rsidRDefault="005E1AAE" w:rsidP="002F20DE">
      <w:pPr>
        <w:keepNext/>
        <w:keepLines/>
        <w:ind w:left="567" w:hanging="567"/>
        <w:outlineLvl w:val="0"/>
        <w:rPr>
          <w:b/>
          <w:noProof/>
          <w:szCs w:val="24"/>
          <w:lang w:val="fr-FR" w:bidi="yi-Hebr"/>
        </w:rPr>
      </w:pPr>
      <w:r w:rsidRPr="00C65506">
        <w:rPr>
          <w:b/>
          <w:noProof/>
          <w:szCs w:val="24"/>
          <w:lang w:val="fr-FR" w:bidi="yi-Hebr"/>
        </w:rPr>
        <w:t>5.2</w:t>
      </w:r>
      <w:r w:rsidRPr="00C65506">
        <w:rPr>
          <w:b/>
          <w:noProof/>
          <w:szCs w:val="24"/>
          <w:lang w:val="fr-FR" w:bidi="yi-Hebr"/>
        </w:rPr>
        <w:tab/>
      </w:r>
      <w:r w:rsidRPr="00C65506">
        <w:rPr>
          <w:b/>
          <w:szCs w:val="24"/>
          <w:lang w:val="fr-FR" w:bidi="yi-Hebr"/>
        </w:rPr>
        <w:t>Propriétés pharmacocinétiques</w:t>
      </w:r>
    </w:p>
    <w:p w:rsidR="00AD7A57" w:rsidRPr="00C65506" w:rsidRDefault="00AD7A57" w:rsidP="00496272">
      <w:pPr>
        <w:numPr>
          <w:ilvl w:val="12"/>
          <w:numId w:val="0"/>
        </w:numPr>
        <w:ind w:right="-2"/>
        <w:rPr>
          <w:iCs/>
          <w:noProof/>
          <w:szCs w:val="22"/>
          <w:lang w:val="fr-FR"/>
        </w:rPr>
      </w:pPr>
    </w:p>
    <w:p w:rsidR="005E1AAE" w:rsidRPr="00C65506" w:rsidRDefault="005E1AAE" w:rsidP="005E1AAE">
      <w:pPr>
        <w:numPr>
          <w:ilvl w:val="12"/>
          <w:numId w:val="0"/>
        </w:numPr>
        <w:ind w:right="-2"/>
        <w:rPr>
          <w:noProof/>
          <w:szCs w:val="24"/>
          <w:lang w:val="fr-FR" w:bidi="yi-Hebr"/>
        </w:rPr>
      </w:pPr>
      <w:r w:rsidRPr="00C65506">
        <w:rPr>
          <w:color w:val="000000"/>
          <w:szCs w:val="24"/>
          <w:lang w:val="fr-FR" w:bidi="yi-Hebr"/>
        </w:rPr>
        <w:t>Après administration intraveineuse, la follitropine alfa est distribuée dans les liquides extracellulaires avec une demi-vie initiale d’environ 2 heures et éliminée de l’organisme avec une demi-vie finale d’environ 24 heures. Le volume de distribution à l’état d’équilibre et la clairance totale sont respectivement de 10 L et 0,6 L/h. Un huitième de la dose de follitropine alfa administrée est excrété dans l’urine.</w:t>
      </w:r>
    </w:p>
    <w:p w:rsidR="00AD7A57" w:rsidRPr="00C65506" w:rsidRDefault="00AD7A57" w:rsidP="00496272">
      <w:pPr>
        <w:numPr>
          <w:ilvl w:val="12"/>
          <w:numId w:val="0"/>
        </w:numPr>
        <w:ind w:right="-2"/>
        <w:rPr>
          <w:noProof/>
          <w:color w:val="000000"/>
          <w:szCs w:val="22"/>
          <w:lang w:val="fr-FR"/>
        </w:rPr>
      </w:pPr>
    </w:p>
    <w:p w:rsidR="005E1AAE" w:rsidRPr="00C65506" w:rsidRDefault="005E1AAE" w:rsidP="005E1AAE">
      <w:pPr>
        <w:numPr>
          <w:ilvl w:val="12"/>
          <w:numId w:val="0"/>
        </w:numPr>
        <w:ind w:right="-2"/>
        <w:rPr>
          <w:noProof/>
          <w:szCs w:val="24"/>
          <w:lang w:val="fr-FR" w:bidi="yi-Hebr"/>
        </w:rPr>
      </w:pPr>
      <w:r w:rsidRPr="00C65506">
        <w:rPr>
          <w:color w:val="000000"/>
          <w:szCs w:val="24"/>
          <w:lang w:val="fr-FR" w:bidi="yi-Hebr"/>
        </w:rPr>
        <w:t>Après administration sous-cutanée, la biodisponibilité absolue est d’environ 70 %. Après administration répétée de follitropine alfa, l’état d’équilibre est atteint en 3 à 4 jours avec un rapport d’accumulation d’environ 3. Chez les femmes pour lesquelles la sécrétion de gonadotrophines endogènes est supprimée, la follitropine alfa a cependant montré sa capacité à stimuler efficacement le développement folliculaire et la stéroïdogenèse, malgré des taux de LH non quantifiables.</w:t>
      </w:r>
    </w:p>
    <w:p w:rsidR="00AD7A57" w:rsidRPr="00C65506" w:rsidRDefault="00AD7A57" w:rsidP="00496272">
      <w:pPr>
        <w:numPr>
          <w:ilvl w:val="12"/>
          <w:numId w:val="0"/>
        </w:numPr>
        <w:ind w:right="-2"/>
        <w:rPr>
          <w:iCs/>
          <w:noProof/>
          <w:szCs w:val="22"/>
          <w:lang w:val="fr-FR"/>
        </w:rPr>
      </w:pPr>
    </w:p>
    <w:p w:rsidR="005E1AAE" w:rsidRPr="00C65506" w:rsidRDefault="005E1AAE" w:rsidP="00A771E2">
      <w:pPr>
        <w:keepNext/>
        <w:keepLines/>
        <w:ind w:left="567" w:hanging="567"/>
        <w:outlineLvl w:val="0"/>
        <w:rPr>
          <w:noProof/>
          <w:szCs w:val="24"/>
          <w:lang w:val="fr-FR" w:bidi="yi-Hebr"/>
        </w:rPr>
      </w:pPr>
      <w:r w:rsidRPr="00C65506">
        <w:rPr>
          <w:b/>
          <w:noProof/>
          <w:szCs w:val="24"/>
          <w:lang w:val="fr-FR" w:bidi="yi-Hebr"/>
        </w:rPr>
        <w:t>5.3</w:t>
      </w:r>
      <w:r w:rsidRPr="00C65506">
        <w:rPr>
          <w:b/>
          <w:noProof/>
          <w:szCs w:val="24"/>
          <w:lang w:val="fr-FR" w:bidi="yi-Hebr"/>
        </w:rPr>
        <w:tab/>
      </w:r>
      <w:r w:rsidRPr="00C65506">
        <w:rPr>
          <w:b/>
          <w:szCs w:val="24"/>
          <w:lang w:val="fr-FR" w:bidi="yi-Hebr"/>
        </w:rPr>
        <w:t>Données de sécurité préclinique</w:t>
      </w:r>
    </w:p>
    <w:p w:rsidR="00AD7A57" w:rsidRPr="00C65506" w:rsidRDefault="00AD7A57" w:rsidP="00A771E2">
      <w:pPr>
        <w:keepNext/>
        <w:keepLines/>
        <w:rPr>
          <w:noProof/>
          <w:szCs w:val="22"/>
          <w:lang w:val="fr-FR"/>
        </w:rPr>
      </w:pPr>
    </w:p>
    <w:p w:rsidR="005E1AAE" w:rsidRPr="00C65506" w:rsidRDefault="005E1AAE" w:rsidP="00A771E2">
      <w:pPr>
        <w:keepNext/>
        <w:keepLines/>
        <w:tabs>
          <w:tab w:val="clear" w:pos="567"/>
        </w:tabs>
        <w:rPr>
          <w:noProof/>
          <w:color w:val="000000"/>
          <w:szCs w:val="24"/>
          <w:lang w:val="fr-FR" w:bidi="yi-Hebr"/>
        </w:rPr>
      </w:pPr>
      <w:r w:rsidRPr="00C65506">
        <w:rPr>
          <w:color w:val="000000"/>
          <w:szCs w:val="24"/>
          <w:lang w:val="fr-FR" w:bidi="yi-Hebr"/>
        </w:rPr>
        <w:t>Les données non cliniques issues des études conventionnelles de toxicologie en administration unique et répétée, et de génotoxicité n’ont pas révélé de risque particulier pour l’homme, autres que ceux déjà mentionnés dans d’autres rubriques de ce RCP.</w:t>
      </w:r>
    </w:p>
    <w:p w:rsidR="00AD7A57" w:rsidRPr="00C65506" w:rsidRDefault="00AD7A57" w:rsidP="00496272">
      <w:pPr>
        <w:tabs>
          <w:tab w:val="clear" w:pos="567"/>
        </w:tabs>
        <w:rPr>
          <w:noProof/>
          <w:color w:val="000000"/>
          <w:szCs w:val="22"/>
          <w:lang w:val="fr-FR"/>
        </w:rPr>
      </w:pPr>
    </w:p>
    <w:p w:rsidR="005E1AAE" w:rsidRPr="00C65506" w:rsidRDefault="005E1AAE" w:rsidP="005E1AAE">
      <w:pPr>
        <w:tabs>
          <w:tab w:val="clear" w:pos="567"/>
        </w:tabs>
        <w:rPr>
          <w:noProof/>
          <w:color w:val="000000"/>
          <w:szCs w:val="24"/>
          <w:lang w:val="fr-FR" w:bidi="yi-Hebr"/>
        </w:rPr>
      </w:pPr>
      <w:r w:rsidRPr="00C65506">
        <w:rPr>
          <w:color w:val="000000"/>
          <w:szCs w:val="24"/>
          <w:lang w:val="fr-FR" w:bidi="yi-Hebr"/>
        </w:rPr>
        <w:t>Une atteinte de la fertilité a été rapportée chez les rats exposés à des doses pharmacologiques de follitropine alfa (≥ 40 UI/kg/jour) pendant de longues périodes, se traduisant par une fécondité plus réduite.</w:t>
      </w:r>
    </w:p>
    <w:p w:rsidR="00AD7A57" w:rsidRPr="00C65506" w:rsidRDefault="00AD7A57" w:rsidP="00496272">
      <w:pPr>
        <w:tabs>
          <w:tab w:val="clear" w:pos="567"/>
        </w:tabs>
        <w:rPr>
          <w:noProof/>
          <w:color w:val="000000"/>
          <w:szCs w:val="22"/>
          <w:lang w:val="fr-FR"/>
        </w:rPr>
      </w:pPr>
    </w:p>
    <w:p w:rsidR="005E1AAE" w:rsidRPr="00C65506" w:rsidRDefault="005E1AAE" w:rsidP="005E1AAE">
      <w:pPr>
        <w:tabs>
          <w:tab w:val="clear" w:pos="567"/>
        </w:tabs>
        <w:rPr>
          <w:noProof/>
          <w:szCs w:val="24"/>
          <w:lang w:val="fr-FR" w:bidi="yi-Hebr"/>
        </w:rPr>
      </w:pPr>
      <w:r w:rsidRPr="00C65506">
        <w:rPr>
          <w:color w:val="000000"/>
          <w:szCs w:val="24"/>
          <w:lang w:val="fr-FR" w:bidi="yi-Hebr"/>
        </w:rPr>
        <w:t>À fortes doses (≥ 5 UI/kg/jour), la follitropine alfa a diminué le nombre de fœtus viables sans effet tératogène et a entraîné un pourcentage de dystocies identique à celui observé avec les gonadotrophines ménopausiques (hMG) d’origine urinaire. Néanmoins, puisqu</w:t>
      </w:r>
      <w:r w:rsidR="00042D0C" w:rsidRPr="00C65506">
        <w:rPr>
          <w:color w:val="000000"/>
          <w:szCs w:val="24"/>
          <w:lang w:val="fr-FR" w:bidi="yi-Hebr"/>
        </w:rPr>
        <w:t>’</w:t>
      </w:r>
      <w:r w:rsidRPr="00C65506">
        <w:rPr>
          <w:color w:val="000000"/>
          <w:szCs w:val="24"/>
          <w:lang w:val="fr-FR" w:bidi="yi-Hebr"/>
        </w:rPr>
        <w:t>Ovaleap n’est pas indiqué pendant la grossesse, ces données n’ont qu’une pertinence clinique limitée.</w:t>
      </w:r>
    </w:p>
    <w:p w:rsidR="00812D16" w:rsidRPr="00C65506" w:rsidRDefault="00812D16" w:rsidP="00496272">
      <w:pPr>
        <w:rPr>
          <w:noProof/>
          <w:szCs w:val="22"/>
          <w:lang w:val="fr-FR"/>
        </w:rPr>
      </w:pPr>
    </w:p>
    <w:p w:rsidR="00AD7A57" w:rsidRPr="00C65506" w:rsidRDefault="00AD7A57" w:rsidP="00496272">
      <w:pPr>
        <w:rPr>
          <w:noProof/>
          <w:szCs w:val="22"/>
          <w:lang w:val="fr-FR"/>
        </w:rPr>
      </w:pPr>
    </w:p>
    <w:p w:rsidR="005E1AAE" w:rsidRPr="00C65506" w:rsidRDefault="005E1AAE" w:rsidP="005E1AAE">
      <w:pPr>
        <w:keepNext/>
        <w:keepLines/>
        <w:ind w:left="567" w:hanging="567"/>
        <w:rPr>
          <w:b/>
          <w:noProof/>
          <w:szCs w:val="24"/>
          <w:lang w:val="fr-FR" w:bidi="yi-Hebr"/>
        </w:rPr>
      </w:pPr>
      <w:r w:rsidRPr="00C65506">
        <w:rPr>
          <w:b/>
          <w:noProof/>
          <w:szCs w:val="24"/>
          <w:lang w:val="fr-FR" w:bidi="yi-Hebr"/>
        </w:rPr>
        <w:t>6.</w:t>
      </w:r>
      <w:r w:rsidRPr="00C65506">
        <w:rPr>
          <w:b/>
          <w:noProof/>
          <w:szCs w:val="24"/>
          <w:lang w:val="fr-FR" w:bidi="yi-Hebr"/>
        </w:rPr>
        <w:tab/>
      </w:r>
      <w:r w:rsidRPr="00C65506">
        <w:rPr>
          <w:b/>
          <w:szCs w:val="24"/>
          <w:lang w:val="fr-FR" w:bidi="yi-Hebr"/>
        </w:rPr>
        <w:t>DONNÉES PHARMACEUTIQUES</w:t>
      </w:r>
    </w:p>
    <w:p w:rsidR="00812D16" w:rsidRPr="00C65506" w:rsidRDefault="00812D16" w:rsidP="00496272">
      <w:pPr>
        <w:keepNext/>
        <w:keepLines/>
        <w:rPr>
          <w:noProof/>
          <w:szCs w:val="22"/>
          <w:lang w:val="fr-FR"/>
        </w:rPr>
      </w:pPr>
    </w:p>
    <w:p w:rsidR="005E1AAE" w:rsidRPr="00C65506" w:rsidRDefault="005E1AAE" w:rsidP="005E1AAE">
      <w:pPr>
        <w:keepNext/>
        <w:keepLines/>
        <w:ind w:left="567" w:hanging="567"/>
        <w:outlineLvl w:val="0"/>
        <w:rPr>
          <w:noProof/>
          <w:szCs w:val="24"/>
          <w:lang w:val="fr-FR" w:bidi="yi-Hebr"/>
        </w:rPr>
      </w:pPr>
      <w:r w:rsidRPr="00C65506">
        <w:rPr>
          <w:b/>
          <w:noProof/>
          <w:szCs w:val="24"/>
          <w:lang w:val="fr-FR" w:bidi="yi-Hebr"/>
        </w:rPr>
        <w:t>6.1</w:t>
      </w:r>
      <w:r w:rsidRPr="00C65506">
        <w:rPr>
          <w:b/>
          <w:noProof/>
          <w:szCs w:val="24"/>
          <w:lang w:val="fr-FR" w:bidi="yi-Hebr"/>
        </w:rPr>
        <w:tab/>
      </w:r>
      <w:r w:rsidRPr="00C65506">
        <w:rPr>
          <w:b/>
          <w:szCs w:val="24"/>
          <w:lang w:val="fr-FR" w:bidi="yi-Hebr"/>
        </w:rPr>
        <w:t>Liste des excipients</w:t>
      </w:r>
    </w:p>
    <w:p w:rsidR="00412844" w:rsidRPr="00C65506" w:rsidRDefault="00412844" w:rsidP="00496272">
      <w:pPr>
        <w:rPr>
          <w:noProof/>
          <w:szCs w:val="22"/>
          <w:lang w:val="fr-FR"/>
        </w:rPr>
      </w:pPr>
    </w:p>
    <w:p w:rsidR="005E1AAE" w:rsidRPr="00C65506" w:rsidRDefault="005E1AAE" w:rsidP="005E1AAE">
      <w:pPr>
        <w:tabs>
          <w:tab w:val="clear" w:pos="567"/>
        </w:tabs>
        <w:rPr>
          <w:noProof/>
          <w:color w:val="000000"/>
          <w:szCs w:val="24"/>
          <w:lang w:val="fr-FR" w:bidi="yi-Hebr"/>
        </w:rPr>
      </w:pPr>
      <w:r w:rsidRPr="00C65506">
        <w:rPr>
          <w:color w:val="000000"/>
          <w:szCs w:val="24"/>
          <w:lang w:val="fr-FR" w:bidi="yi-Hebr"/>
        </w:rPr>
        <w:t>Phosphate monosodique dihydraté</w:t>
      </w:r>
    </w:p>
    <w:p w:rsidR="005E1AAE" w:rsidRPr="00C65506" w:rsidRDefault="005E1AAE" w:rsidP="005E1AAE">
      <w:pPr>
        <w:tabs>
          <w:tab w:val="clear" w:pos="567"/>
        </w:tabs>
        <w:rPr>
          <w:color w:val="000000"/>
          <w:szCs w:val="24"/>
          <w:lang w:val="fr-FR" w:bidi="yi-Hebr"/>
        </w:rPr>
      </w:pPr>
      <w:r w:rsidRPr="00C65506">
        <w:rPr>
          <w:color w:val="000000"/>
          <w:szCs w:val="24"/>
          <w:lang w:val="fr-FR" w:bidi="yi-Hebr"/>
        </w:rPr>
        <w:t>Hydroxyde de sodium (2 M) (pour l’ajustement du pH)</w:t>
      </w:r>
    </w:p>
    <w:p w:rsidR="005E1AAE" w:rsidRPr="00C65506" w:rsidRDefault="005E1AAE" w:rsidP="005E1AAE">
      <w:pPr>
        <w:tabs>
          <w:tab w:val="clear" w:pos="567"/>
        </w:tabs>
        <w:rPr>
          <w:noProof/>
          <w:color w:val="000000"/>
          <w:szCs w:val="24"/>
          <w:lang w:val="fr-FR" w:bidi="yi-Hebr"/>
        </w:rPr>
      </w:pPr>
      <w:r w:rsidRPr="00C65506">
        <w:rPr>
          <w:color w:val="000000"/>
          <w:szCs w:val="24"/>
          <w:lang w:val="fr-FR" w:bidi="yi-Hebr"/>
        </w:rPr>
        <w:t>Mannitol</w:t>
      </w:r>
    </w:p>
    <w:p w:rsidR="005E1AAE" w:rsidRPr="00C65506" w:rsidRDefault="005E1AAE" w:rsidP="005E1AAE">
      <w:pPr>
        <w:tabs>
          <w:tab w:val="clear" w:pos="567"/>
        </w:tabs>
        <w:rPr>
          <w:noProof/>
          <w:color w:val="000000"/>
          <w:szCs w:val="24"/>
          <w:lang w:val="fr-FR" w:bidi="yi-Hebr"/>
        </w:rPr>
      </w:pPr>
      <w:r w:rsidRPr="00C65506">
        <w:rPr>
          <w:color w:val="000000"/>
          <w:szCs w:val="24"/>
          <w:lang w:val="fr-FR" w:bidi="yi-Hebr"/>
        </w:rPr>
        <w:t>Méthionine</w:t>
      </w:r>
    </w:p>
    <w:p w:rsidR="005E1AAE" w:rsidRPr="00C65506" w:rsidRDefault="005E1AAE" w:rsidP="005E1AAE">
      <w:pPr>
        <w:tabs>
          <w:tab w:val="clear" w:pos="567"/>
        </w:tabs>
        <w:rPr>
          <w:noProof/>
          <w:color w:val="000000"/>
          <w:szCs w:val="24"/>
          <w:lang w:val="fr-FR" w:bidi="yi-Hebr"/>
        </w:rPr>
      </w:pPr>
      <w:r w:rsidRPr="00C65506">
        <w:rPr>
          <w:color w:val="000000"/>
          <w:szCs w:val="24"/>
          <w:lang w:val="fr-FR" w:bidi="yi-Hebr"/>
        </w:rPr>
        <w:t>Polysorbate 20</w:t>
      </w:r>
    </w:p>
    <w:p w:rsidR="005E1AAE" w:rsidRPr="00C65506" w:rsidRDefault="005E1AAE" w:rsidP="005E1AAE">
      <w:pPr>
        <w:tabs>
          <w:tab w:val="clear" w:pos="567"/>
        </w:tabs>
        <w:rPr>
          <w:noProof/>
          <w:color w:val="000000"/>
          <w:szCs w:val="24"/>
          <w:lang w:val="fr-FR" w:bidi="yi-Hebr"/>
        </w:rPr>
      </w:pPr>
      <w:r w:rsidRPr="00C65506">
        <w:rPr>
          <w:color w:val="000000"/>
          <w:szCs w:val="24"/>
          <w:lang w:val="fr-FR" w:bidi="yi-Hebr"/>
        </w:rPr>
        <w:t>Alcool benzylique</w:t>
      </w:r>
    </w:p>
    <w:p w:rsidR="005E1AAE" w:rsidRPr="00C65506" w:rsidRDefault="005E1AAE" w:rsidP="005E1AAE">
      <w:pPr>
        <w:tabs>
          <w:tab w:val="clear" w:pos="567"/>
        </w:tabs>
        <w:rPr>
          <w:noProof/>
          <w:color w:val="000000"/>
          <w:szCs w:val="24"/>
          <w:lang w:val="fr-FR" w:bidi="yi-Hebr"/>
        </w:rPr>
      </w:pPr>
      <w:r w:rsidRPr="00C65506">
        <w:rPr>
          <w:color w:val="000000"/>
          <w:szCs w:val="24"/>
          <w:lang w:val="fr-FR" w:bidi="yi-Hebr"/>
        </w:rPr>
        <w:t>Chlorure de benzalkonium</w:t>
      </w:r>
    </w:p>
    <w:p w:rsidR="005E1AAE" w:rsidRPr="00C65506" w:rsidRDefault="005E1AAE" w:rsidP="005E1AAE">
      <w:pPr>
        <w:tabs>
          <w:tab w:val="clear" w:pos="567"/>
        </w:tabs>
        <w:rPr>
          <w:noProof/>
          <w:color w:val="000000"/>
          <w:szCs w:val="24"/>
          <w:lang w:val="fr-FR" w:bidi="yi-Hebr"/>
        </w:rPr>
      </w:pPr>
      <w:r w:rsidRPr="00C65506">
        <w:rPr>
          <w:color w:val="000000"/>
          <w:szCs w:val="24"/>
          <w:lang w:val="fr-FR" w:bidi="yi-Hebr"/>
        </w:rPr>
        <w:t>Eau pour préparations injectables</w:t>
      </w:r>
    </w:p>
    <w:p w:rsidR="00AD7A57" w:rsidRPr="00C65506" w:rsidRDefault="00AD7A57" w:rsidP="00496272">
      <w:pPr>
        <w:rPr>
          <w:noProof/>
          <w:szCs w:val="22"/>
          <w:lang w:val="fr-FR"/>
        </w:rPr>
      </w:pPr>
    </w:p>
    <w:p w:rsidR="005E1AAE" w:rsidRPr="00C65506" w:rsidRDefault="005E1AAE" w:rsidP="005E1AAE">
      <w:pPr>
        <w:ind w:left="567" w:hanging="567"/>
        <w:outlineLvl w:val="0"/>
        <w:rPr>
          <w:noProof/>
          <w:szCs w:val="24"/>
          <w:lang w:val="fr-FR" w:bidi="yi-Hebr"/>
        </w:rPr>
      </w:pPr>
      <w:r w:rsidRPr="00C65506">
        <w:rPr>
          <w:b/>
          <w:noProof/>
          <w:szCs w:val="24"/>
          <w:lang w:val="fr-FR" w:bidi="yi-Hebr"/>
        </w:rPr>
        <w:t>6.2</w:t>
      </w:r>
      <w:r w:rsidRPr="00C65506">
        <w:rPr>
          <w:b/>
          <w:noProof/>
          <w:szCs w:val="24"/>
          <w:lang w:val="fr-FR" w:bidi="yi-Hebr"/>
        </w:rPr>
        <w:tab/>
      </w:r>
      <w:r w:rsidRPr="00C65506">
        <w:rPr>
          <w:b/>
          <w:szCs w:val="24"/>
          <w:lang w:val="fr-FR" w:bidi="yi-Hebr"/>
        </w:rPr>
        <w:t>Incompatibilités</w:t>
      </w:r>
    </w:p>
    <w:p w:rsidR="00AD7A57" w:rsidRPr="00C65506" w:rsidRDefault="00AD7A57" w:rsidP="00496272">
      <w:pPr>
        <w:rPr>
          <w:noProof/>
          <w:szCs w:val="22"/>
          <w:lang w:val="fr-FR"/>
        </w:rPr>
      </w:pPr>
    </w:p>
    <w:p w:rsidR="005E1AAE" w:rsidRPr="00C65506" w:rsidRDefault="005E1AAE" w:rsidP="005E1AAE">
      <w:pPr>
        <w:tabs>
          <w:tab w:val="clear" w:pos="567"/>
        </w:tabs>
        <w:rPr>
          <w:noProof/>
          <w:color w:val="000000"/>
          <w:szCs w:val="24"/>
          <w:lang w:val="fr-FR" w:bidi="yi-Hebr"/>
        </w:rPr>
      </w:pPr>
      <w:r w:rsidRPr="00C65506">
        <w:rPr>
          <w:color w:val="000000"/>
          <w:szCs w:val="24"/>
          <w:lang w:val="fr-FR" w:bidi="yi-Hebr"/>
        </w:rPr>
        <w:t>En l’absence d’études de compatibilité, ce médicament ne doit pas être mélangé avec d’autres médicaments.</w:t>
      </w:r>
    </w:p>
    <w:p w:rsidR="00AD7A57" w:rsidRPr="00C65506" w:rsidRDefault="00AD7A57" w:rsidP="00496272">
      <w:pPr>
        <w:rPr>
          <w:noProof/>
          <w:szCs w:val="22"/>
          <w:lang w:val="fr-FR"/>
        </w:rPr>
      </w:pPr>
    </w:p>
    <w:p w:rsidR="005E1AAE" w:rsidRPr="00C65506" w:rsidRDefault="005E1AAE" w:rsidP="005E1AAE">
      <w:pPr>
        <w:ind w:left="567" w:hanging="567"/>
        <w:outlineLvl w:val="0"/>
        <w:rPr>
          <w:noProof/>
          <w:szCs w:val="24"/>
          <w:lang w:val="fr-FR" w:bidi="yi-Hebr"/>
        </w:rPr>
      </w:pPr>
      <w:r w:rsidRPr="00C65506">
        <w:rPr>
          <w:b/>
          <w:noProof/>
          <w:szCs w:val="24"/>
          <w:lang w:val="fr-FR" w:bidi="yi-Hebr"/>
        </w:rPr>
        <w:t>6.3</w:t>
      </w:r>
      <w:r w:rsidRPr="00C65506">
        <w:rPr>
          <w:b/>
          <w:noProof/>
          <w:szCs w:val="24"/>
          <w:lang w:val="fr-FR" w:bidi="yi-Hebr"/>
        </w:rPr>
        <w:tab/>
      </w:r>
      <w:r w:rsidRPr="00C65506">
        <w:rPr>
          <w:b/>
          <w:szCs w:val="24"/>
          <w:lang w:val="fr-FR" w:bidi="yi-Hebr"/>
        </w:rPr>
        <w:t>Durée de conservation</w:t>
      </w:r>
    </w:p>
    <w:p w:rsidR="00812D16" w:rsidRPr="00C65506" w:rsidRDefault="00812D16" w:rsidP="00496272">
      <w:pPr>
        <w:rPr>
          <w:noProof/>
          <w:szCs w:val="22"/>
          <w:lang w:val="fr-FR"/>
        </w:rPr>
      </w:pPr>
    </w:p>
    <w:p w:rsidR="00CB25CF" w:rsidRPr="00C65506" w:rsidRDefault="001F42AC" w:rsidP="00CB25CF">
      <w:pPr>
        <w:tabs>
          <w:tab w:val="clear" w:pos="567"/>
        </w:tabs>
        <w:rPr>
          <w:noProof/>
          <w:color w:val="000000"/>
          <w:szCs w:val="24"/>
          <w:lang w:val="fr-FR" w:bidi="yi-Hebr"/>
        </w:rPr>
      </w:pPr>
      <w:r w:rsidRPr="001F42AC">
        <w:rPr>
          <w:color w:val="FF0000"/>
          <w:szCs w:val="24"/>
          <w:lang w:val="fr-FR" w:bidi="yi-Hebr"/>
        </w:rPr>
        <w:t>3</w:t>
      </w:r>
      <w:r w:rsidR="00CB25CF" w:rsidRPr="00C65506">
        <w:rPr>
          <w:color w:val="000000"/>
          <w:szCs w:val="24"/>
          <w:lang w:val="fr-FR" w:bidi="yi-Hebr"/>
        </w:rPr>
        <w:t> ans.</w:t>
      </w:r>
    </w:p>
    <w:p w:rsidR="00AD7A57" w:rsidRPr="00C65506" w:rsidRDefault="00AD7A57" w:rsidP="00496272">
      <w:pPr>
        <w:tabs>
          <w:tab w:val="clear" w:pos="567"/>
        </w:tabs>
        <w:rPr>
          <w:noProof/>
          <w:color w:val="000000"/>
          <w:szCs w:val="22"/>
          <w:lang w:val="fr-FR"/>
        </w:rPr>
      </w:pPr>
    </w:p>
    <w:p w:rsidR="00CB25CF" w:rsidRPr="00C65506" w:rsidRDefault="003E50B6" w:rsidP="00CB25CF">
      <w:pPr>
        <w:tabs>
          <w:tab w:val="clear" w:pos="567"/>
        </w:tabs>
        <w:rPr>
          <w:noProof/>
          <w:color w:val="000000"/>
          <w:szCs w:val="24"/>
          <w:u w:val="single"/>
          <w:lang w:val="fr-FR" w:bidi="yi-Hebr"/>
        </w:rPr>
      </w:pPr>
      <w:r w:rsidRPr="00C65506">
        <w:rPr>
          <w:szCs w:val="24"/>
          <w:u w:val="single"/>
          <w:lang w:val="fr-FR" w:bidi="yi-Hebr"/>
        </w:rPr>
        <w:lastRenderedPageBreak/>
        <w:t>D</w:t>
      </w:r>
      <w:r w:rsidR="00CB25CF" w:rsidRPr="00C65506">
        <w:rPr>
          <w:szCs w:val="24"/>
          <w:u w:val="single"/>
          <w:lang w:val="fr-FR" w:bidi="yi-Hebr"/>
        </w:rPr>
        <w:t xml:space="preserve">urée </w:t>
      </w:r>
      <w:r w:rsidRPr="00C65506">
        <w:rPr>
          <w:szCs w:val="24"/>
          <w:u w:val="single"/>
          <w:lang w:val="fr-FR" w:bidi="yi-Hebr"/>
        </w:rPr>
        <w:t xml:space="preserve">et conditions </w:t>
      </w:r>
      <w:r w:rsidR="00CB25CF" w:rsidRPr="00C65506">
        <w:rPr>
          <w:szCs w:val="24"/>
          <w:u w:val="single"/>
          <w:lang w:val="fr-FR" w:bidi="yi-Hebr"/>
        </w:rPr>
        <w:t>de conservation après première ouverture</w:t>
      </w:r>
    </w:p>
    <w:p w:rsidR="00CB25CF" w:rsidRPr="00C65506" w:rsidRDefault="00CB25CF" w:rsidP="003E50B6">
      <w:pPr>
        <w:tabs>
          <w:tab w:val="clear" w:pos="567"/>
        </w:tabs>
        <w:rPr>
          <w:noProof/>
          <w:color w:val="000000"/>
          <w:szCs w:val="24"/>
          <w:lang w:val="fr-FR" w:bidi="yi-Hebr"/>
        </w:rPr>
      </w:pPr>
      <w:r w:rsidRPr="00C65506">
        <w:rPr>
          <w:color w:val="000000"/>
          <w:szCs w:val="24"/>
          <w:lang w:val="fr-FR" w:bidi="yi-Hebr"/>
        </w:rPr>
        <w:t>La cartouche en cours d’utilisation</w:t>
      </w:r>
      <w:r w:rsidR="00087051" w:rsidRPr="00C65506">
        <w:rPr>
          <w:color w:val="000000"/>
          <w:szCs w:val="24"/>
          <w:lang w:val="fr-FR" w:bidi="yi-Hebr"/>
        </w:rPr>
        <w:t xml:space="preserve"> présente</w:t>
      </w:r>
      <w:r w:rsidRPr="00C65506">
        <w:rPr>
          <w:color w:val="000000"/>
          <w:szCs w:val="24"/>
          <w:lang w:val="fr-FR" w:bidi="yi-Hebr"/>
        </w:rPr>
        <w:t xml:space="preserve"> dans le stylo peut être conservée pendant un maximum de 28 jours</w:t>
      </w:r>
      <w:r w:rsidR="003E50B6" w:rsidRPr="00C65506">
        <w:rPr>
          <w:color w:val="000000"/>
          <w:szCs w:val="24"/>
          <w:lang w:val="fr-FR" w:bidi="yi-Hebr"/>
        </w:rPr>
        <w:t>.</w:t>
      </w:r>
      <w:r w:rsidRPr="00C65506">
        <w:rPr>
          <w:color w:val="000000"/>
          <w:szCs w:val="24"/>
          <w:lang w:val="fr-FR" w:bidi="yi-Hebr"/>
        </w:rPr>
        <w:t xml:space="preserve"> </w:t>
      </w:r>
      <w:r w:rsidR="003E50B6" w:rsidRPr="00C65506">
        <w:rPr>
          <w:color w:val="000000"/>
          <w:szCs w:val="24"/>
          <w:lang w:val="fr-FR" w:bidi="yi-Hebr"/>
        </w:rPr>
        <w:t xml:space="preserve">À conserver </w:t>
      </w:r>
      <w:r w:rsidRPr="00C65506">
        <w:rPr>
          <w:color w:val="000000"/>
          <w:szCs w:val="24"/>
          <w:lang w:val="fr-FR" w:bidi="yi-Hebr"/>
        </w:rPr>
        <w:t>à une température ne dépassant pas 25°C.</w:t>
      </w:r>
      <w:r w:rsidR="003E50B6" w:rsidRPr="00C65506">
        <w:rPr>
          <w:color w:val="000000"/>
          <w:szCs w:val="24"/>
          <w:lang w:val="fr-FR" w:bidi="yi-Hebr"/>
        </w:rPr>
        <w:t xml:space="preserve"> </w:t>
      </w:r>
      <w:r w:rsidRPr="00C65506">
        <w:rPr>
          <w:color w:val="000000"/>
          <w:szCs w:val="24"/>
          <w:lang w:val="fr-FR" w:bidi="yi-Hebr"/>
        </w:rPr>
        <w:t>Le patient doit inscrire la date de la première utilisation dans le carnet de suivi fourni avec le stylo Ovaleap</w:t>
      </w:r>
      <w:r w:rsidR="008E4008" w:rsidRPr="00C65506">
        <w:rPr>
          <w:color w:val="000000"/>
          <w:szCs w:val="24"/>
          <w:lang w:val="fr-FR" w:bidi="yi-Hebr"/>
        </w:rPr>
        <w:t xml:space="preserve"> Pen</w:t>
      </w:r>
      <w:r w:rsidRPr="00C65506">
        <w:rPr>
          <w:color w:val="000000"/>
          <w:szCs w:val="24"/>
          <w:lang w:val="fr-FR" w:bidi="yi-Hebr"/>
        </w:rPr>
        <w:t>.</w:t>
      </w:r>
    </w:p>
    <w:p w:rsidR="00AD7A57" w:rsidRPr="00C65506" w:rsidRDefault="00AD7A57" w:rsidP="00496272">
      <w:pPr>
        <w:tabs>
          <w:tab w:val="clear" w:pos="567"/>
        </w:tabs>
        <w:rPr>
          <w:noProof/>
          <w:color w:val="000000"/>
          <w:szCs w:val="22"/>
          <w:lang w:val="fr-FR"/>
        </w:rPr>
      </w:pPr>
    </w:p>
    <w:p w:rsidR="00CB25CF" w:rsidRPr="00C65506" w:rsidRDefault="00CB25CF" w:rsidP="00CB25CF">
      <w:pPr>
        <w:tabs>
          <w:tab w:val="clear" w:pos="567"/>
        </w:tabs>
        <w:rPr>
          <w:noProof/>
          <w:color w:val="000000"/>
          <w:szCs w:val="24"/>
          <w:lang w:val="fr-FR" w:bidi="yi-Hebr"/>
        </w:rPr>
      </w:pPr>
      <w:r w:rsidRPr="00C65506">
        <w:rPr>
          <w:color w:val="000000"/>
          <w:szCs w:val="24"/>
          <w:lang w:val="fr-FR" w:bidi="yi-Hebr"/>
        </w:rPr>
        <w:t>Le capuchon du stylo doit être remis en place sur le stylo après chaque injection afin de maintenir le dispositif à l’abri de la lumière.</w:t>
      </w:r>
    </w:p>
    <w:p w:rsidR="00AD7A57" w:rsidRPr="00C65506" w:rsidRDefault="00AD7A57" w:rsidP="00496272">
      <w:pPr>
        <w:rPr>
          <w:noProof/>
          <w:szCs w:val="22"/>
          <w:lang w:val="fr-FR"/>
        </w:rPr>
      </w:pPr>
    </w:p>
    <w:p w:rsidR="00CB25CF" w:rsidRPr="00C65506" w:rsidRDefault="00CB25CF" w:rsidP="00CB25CF">
      <w:pPr>
        <w:ind w:left="567" w:hanging="567"/>
        <w:outlineLvl w:val="0"/>
        <w:rPr>
          <w:b/>
          <w:noProof/>
          <w:szCs w:val="24"/>
          <w:lang w:val="fr-FR" w:bidi="yi-Hebr"/>
        </w:rPr>
      </w:pPr>
      <w:r w:rsidRPr="00C65506">
        <w:rPr>
          <w:b/>
          <w:noProof/>
          <w:szCs w:val="24"/>
          <w:lang w:val="fr-FR" w:bidi="yi-Hebr"/>
        </w:rPr>
        <w:t>6.4</w:t>
      </w:r>
      <w:r w:rsidRPr="00C65506">
        <w:rPr>
          <w:b/>
          <w:noProof/>
          <w:szCs w:val="24"/>
          <w:lang w:val="fr-FR" w:bidi="yi-Hebr"/>
        </w:rPr>
        <w:tab/>
      </w:r>
      <w:r w:rsidRPr="00C65506">
        <w:rPr>
          <w:b/>
          <w:szCs w:val="24"/>
          <w:lang w:val="fr-FR" w:bidi="yi-Hebr"/>
        </w:rPr>
        <w:t>Précautions particulières de conservation</w:t>
      </w:r>
    </w:p>
    <w:p w:rsidR="005108A3" w:rsidRPr="00C65506" w:rsidRDefault="005108A3" w:rsidP="00496272">
      <w:pPr>
        <w:ind w:left="567" w:hanging="567"/>
        <w:outlineLvl w:val="0"/>
        <w:rPr>
          <w:noProof/>
          <w:szCs w:val="22"/>
          <w:lang w:val="fr-FR"/>
        </w:rPr>
      </w:pPr>
    </w:p>
    <w:p w:rsidR="00CB25CF" w:rsidRPr="00C65506" w:rsidRDefault="00CB25CF" w:rsidP="00CB25CF">
      <w:pPr>
        <w:tabs>
          <w:tab w:val="clear" w:pos="567"/>
        </w:tabs>
        <w:rPr>
          <w:noProof/>
          <w:color w:val="000000"/>
          <w:szCs w:val="24"/>
          <w:lang w:val="fr-FR" w:bidi="yi-Hebr"/>
        </w:rPr>
      </w:pPr>
      <w:r w:rsidRPr="00C65506">
        <w:rPr>
          <w:color w:val="000000"/>
          <w:szCs w:val="24"/>
          <w:lang w:val="fr-FR" w:bidi="yi-Hebr"/>
        </w:rPr>
        <w:t>À conserver au réfrigérateur (entre 2°C et 8°C).</w:t>
      </w:r>
    </w:p>
    <w:p w:rsidR="00AD7A57" w:rsidRPr="00C65506" w:rsidRDefault="00AD7A57" w:rsidP="00496272">
      <w:pPr>
        <w:tabs>
          <w:tab w:val="clear" w:pos="567"/>
        </w:tabs>
        <w:rPr>
          <w:noProof/>
          <w:color w:val="000000"/>
          <w:szCs w:val="22"/>
          <w:lang w:val="fr-FR"/>
        </w:rPr>
      </w:pPr>
    </w:p>
    <w:p w:rsidR="00CB25CF" w:rsidRPr="00C65506" w:rsidRDefault="00CB25CF" w:rsidP="00CB25CF">
      <w:pPr>
        <w:tabs>
          <w:tab w:val="clear" w:pos="567"/>
        </w:tabs>
        <w:rPr>
          <w:noProof/>
          <w:color w:val="000000"/>
          <w:szCs w:val="24"/>
          <w:lang w:val="fr-FR" w:bidi="yi-Hebr"/>
        </w:rPr>
      </w:pPr>
      <w:r w:rsidRPr="00C65506">
        <w:rPr>
          <w:color w:val="000000"/>
          <w:szCs w:val="24"/>
          <w:lang w:val="fr-FR" w:bidi="yi-Hebr"/>
        </w:rPr>
        <w:t>Ne pas congeler.</w:t>
      </w:r>
    </w:p>
    <w:p w:rsidR="00AD7A57" w:rsidRPr="00C65506" w:rsidRDefault="00AD7A57" w:rsidP="00496272">
      <w:pPr>
        <w:tabs>
          <w:tab w:val="clear" w:pos="567"/>
        </w:tabs>
        <w:rPr>
          <w:noProof/>
          <w:color w:val="000000"/>
          <w:szCs w:val="22"/>
          <w:lang w:val="fr-FR"/>
        </w:rPr>
      </w:pPr>
    </w:p>
    <w:p w:rsidR="00CB25CF" w:rsidRPr="00C65506" w:rsidRDefault="00CB25CF" w:rsidP="00CB25CF">
      <w:pPr>
        <w:tabs>
          <w:tab w:val="clear" w:pos="567"/>
        </w:tabs>
        <w:rPr>
          <w:noProof/>
          <w:color w:val="000000"/>
          <w:szCs w:val="24"/>
          <w:lang w:val="fr-FR" w:bidi="yi-Hebr"/>
        </w:rPr>
      </w:pPr>
      <w:r w:rsidRPr="00C65506">
        <w:rPr>
          <w:color w:val="000000"/>
          <w:szCs w:val="24"/>
          <w:lang w:val="fr-FR" w:bidi="yi-Hebr"/>
        </w:rPr>
        <w:t>Conserver la cartouche dans l’emballage extérieur, à l’abri de la lumière.</w:t>
      </w:r>
    </w:p>
    <w:p w:rsidR="00AD7A57" w:rsidRPr="00C65506" w:rsidRDefault="00AD7A57" w:rsidP="00496272">
      <w:pPr>
        <w:tabs>
          <w:tab w:val="clear" w:pos="567"/>
        </w:tabs>
        <w:rPr>
          <w:noProof/>
          <w:color w:val="000000"/>
          <w:szCs w:val="22"/>
          <w:lang w:val="fr-FR"/>
        </w:rPr>
      </w:pPr>
    </w:p>
    <w:p w:rsidR="00CB25CF" w:rsidRPr="00C65506" w:rsidRDefault="00CB25CF" w:rsidP="003E50B6">
      <w:pPr>
        <w:tabs>
          <w:tab w:val="clear" w:pos="567"/>
        </w:tabs>
        <w:rPr>
          <w:noProof/>
          <w:color w:val="000000"/>
          <w:szCs w:val="24"/>
          <w:lang w:val="fr-FR" w:bidi="yi-Hebr"/>
        </w:rPr>
      </w:pPr>
      <w:r w:rsidRPr="00C65506">
        <w:rPr>
          <w:color w:val="000000"/>
          <w:szCs w:val="24"/>
          <w:lang w:val="fr-FR" w:bidi="yi-Hebr"/>
        </w:rPr>
        <w:t>Avant ouverture, et pendant sa durée de conservation, le médicament peut être conservé hors du réfrigérateur</w:t>
      </w:r>
      <w:r w:rsidR="0089471C" w:rsidRPr="00C65506">
        <w:rPr>
          <w:color w:val="000000"/>
          <w:szCs w:val="24"/>
          <w:lang w:val="fr-FR" w:bidi="yi-Hebr"/>
        </w:rPr>
        <w:t>,</w:t>
      </w:r>
      <w:r w:rsidRPr="00C65506">
        <w:rPr>
          <w:color w:val="000000"/>
          <w:szCs w:val="24"/>
          <w:lang w:val="fr-FR" w:bidi="yi-Hebr"/>
        </w:rPr>
        <w:t xml:space="preserve"> pendant un maximum de 3 mois, sans être réfrigéré à nouveau. </w:t>
      </w:r>
      <w:r w:rsidR="003E50B6" w:rsidRPr="00C65506">
        <w:rPr>
          <w:color w:val="000000"/>
          <w:szCs w:val="24"/>
          <w:lang w:val="fr-FR" w:bidi="yi-Hebr"/>
        </w:rPr>
        <w:t xml:space="preserve">À conserver à une température ne dépassant pas 25°C. </w:t>
      </w:r>
      <w:r w:rsidRPr="00C65506">
        <w:rPr>
          <w:color w:val="000000"/>
          <w:szCs w:val="24"/>
          <w:lang w:val="fr-FR" w:bidi="yi-Hebr"/>
        </w:rPr>
        <w:t xml:space="preserve">S’il n’a pas été utilisé au bout de 3 mois, </w:t>
      </w:r>
      <w:r w:rsidR="00360AAA" w:rsidRPr="00C65506">
        <w:rPr>
          <w:color w:val="000000"/>
          <w:szCs w:val="24"/>
          <w:lang w:val="fr-FR" w:bidi="yi-Hebr"/>
        </w:rPr>
        <w:t xml:space="preserve">le </w:t>
      </w:r>
      <w:r w:rsidR="00F74A12" w:rsidRPr="00C65506">
        <w:rPr>
          <w:color w:val="000000"/>
          <w:szCs w:val="24"/>
          <w:lang w:val="fr-FR" w:bidi="yi-Hebr"/>
        </w:rPr>
        <w:t xml:space="preserve">médicament </w:t>
      </w:r>
      <w:r w:rsidRPr="00C65506">
        <w:rPr>
          <w:color w:val="000000"/>
          <w:szCs w:val="24"/>
          <w:lang w:val="fr-FR" w:bidi="yi-Hebr"/>
        </w:rPr>
        <w:t>doit être jeté.</w:t>
      </w:r>
    </w:p>
    <w:p w:rsidR="00AD7A57" w:rsidRPr="00C65506" w:rsidRDefault="00AD7A57" w:rsidP="00496272">
      <w:pPr>
        <w:tabs>
          <w:tab w:val="clear" w:pos="567"/>
        </w:tabs>
        <w:rPr>
          <w:noProof/>
          <w:color w:val="000000"/>
          <w:szCs w:val="22"/>
          <w:lang w:val="fr-FR"/>
        </w:rPr>
      </w:pPr>
    </w:p>
    <w:p w:rsidR="00CB25CF" w:rsidRPr="00C65506" w:rsidRDefault="00CB25CF" w:rsidP="00CB25CF">
      <w:pPr>
        <w:rPr>
          <w:noProof/>
          <w:szCs w:val="24"/>
          <w:lang w:val="fr-FR" w:bidi="yi-Hebr"/>
        </w:rPr>
      </w:pPr>
      <w:r w:rsidRPr="00C65506">
        <w:rPr>
          <w:szCs w:val="24"/>
          <w:lang w:val="fr-FR" w:bidi="yi-Hebr"/>
        </w:rPr>
        <w:t>Pour les conditions de conservation du médicament après première ouverture, voir la rubrique 6.3.</w:t>
      </w:r>
    </w:p>
    <w:p w:rsidR="00E973BE" w:rsidRPr="00C65506" w:rsidRDefault="00E973BE" w:rsidP="00496272">
      <w:pPr>
        <w:rPr>
          <w:noProof/>
          <w:szCs w:val="22"/>
          <w:lang w:val="fr-FR"/>
        </w:rPr>
      </w:pPr>
    </w:p>
    <w:p w:rsidR="00CB25CF" w:rsidRPr="00C65506" w:rsidRDefault="00CB25CF" w:rsidP="00A771E2">
      <w:pPr>
        <w:keepNext/>
        <w:keepLines/>
        <w:outlineLvl w:val="0"/>
        <w:rPr>
          <w:b/>
          <w:noProof/>
          <w:szCs w:val="24"/>
          <w:lang w:val="fr-FR" w:bidi="yi-Hebr"/>
        </w:rPr>
      </w:pPr>
      <w:r w:rsidRPr="00C65506">
        <w:rPr>
          <w:b/>
          <w:noProof/>
          <w:szCs w:val="24"/>
          <w:lang w:val="fr-FR" w:bidi="yi-Hebr"/>
        </w:rPr>
        <w:t>6.5</w:t>
      </w:r>
      <w:r w:rsidRPr="00C65506">
        <w:rPr>
          <w:b/>
          <w:noProof/>
          <w:szCs w:val="24"/>
          <w:lang w:val="fr-FR" w:bidi="yi-Hebr"/>
        </w:rPr>
        <w:tab/>
      </w:r>
      <w:r w:rsidRPr="00C65506">
        <w:rPr>
          <w:b/>
          <w:szCs w:val="24"/>
          <w:lang w:val="fr-FR" w:bidi="yi-Hebr"/>
        </w:rPr>
        <w:t>Nature et contenu de l’emballage extérieur</w:t>
      </w:r>
    </w:p>
    <w:p w:rsidR="00412844" w:rsidRPr="00C65506" w:rsidRDefault="00412844" w:rsidP="00A771E2">
      <w:pPr>
        <w:keepNext/>
        <w:keepLines/>
        <w:rPr>
          <w:noProof/>
          <w:szCs w:val="22"/>
          <w:lang w:val="fr-FR"/>
        </w:rPr>
      </w:pPr>
    </w:p>
    <w:p w:rsidR="00BD72F0" w:rsidRPr="00C65506" w:rsidRDefault="00BD72F0" w:rsidP="00BD72F0">
      <w:pPr>
        <w:autoSpaceDE w:val="0"/>
        <w:autoSpaceDN w:val="0"/>
        <w:adjustRightInd w:val="0"/>
        <w:jc w:val="both"/>
        <w:rPr>
          <w:noProof/>
          <w:color w:val="000000"/>
          <w:szCs w:val="22"/>
          <w:u w:val="single"/>
          <w:lang w:val="fr-FR"/>
        </w:rPr>
      </w:pPr>
      <w:r w:rsidRPr="00C65506">
        <w:rPr>
          <w:noProof/>
          <w:color w:val="000000"/>
          <w:szCs w:val="22"/>
          <w:u w:val="single"/>
          <w:lang w:val="fr-FR"/>
        </w:rPr>
        <w:t>Ovaleap 300 </w:t>
      </w:r>
      <w:r w:rsidR="00AD573C" w:rsidRPr="00C65506">
        <w:rPr>
          <w:noProof/>
          <w:color w:val="000000"/>
          <w:szCs w:val="22"/>
          <w:u w:val="single"/>
          <w:lang w:val="fr-FR"/>
        </w:rPr>
        <w:t>U</w:t>
      </w:r>
      <w:r w:rsidRPr="00C65506">
        <w:rPr>
          <w:noProof/>
          <w:color w:val="000000"/>
          <w:szCs w:val="22"/>
          <w:u w:val="single"/>
          <w:lang w:val="fr-FR"/>
        </w:rPr>
        <w:t>I/0</w:t>
      </w:r>
      <w:r w:rsidR="007D2C1D" w:rsidRPr="00C65506">
        <w:rPr>
          <w:noProof/>
          <w:color w:val="000000"/>
          <w:szCs w:val="22"/>
          <w:u w:val="single"/>
          <w:lang w:val="fr-FR"/>
        </w:rPr>
        <w:t>,</w:t>
      </w:r>
      <w:r w:rsidRPr="00C65506">
        <w:rPr>
          <w:noProof/>
          <w:color w:val="000000"/>
          <w:szCs w:val="22"/>
          <w:u w:val="single"/>
          <w:lang w:val="fr-FR"/>
        </w:rPr>
        <w:t>5 m</w:t>
      </w:r>
      <w:r w:rsidR="00AD573C" w:rsidRPr="00C65506">
        <w:rPr>
          <w:noProof/>
          <w:color w:val="000000"/>
          <w:szCs w:val="22"/>
          <w:u w:val="single"/>
          <w:lang w:val="fr-FR"/>
        </w:rPr>
        <w:t>L</w:t>
      </w:r>
      <w:r w:rsidRPr="00C65506">
        <w:rPr>
          <w:noProof/>
          <w:color w:val="000000"/>
          <w:szCs w:val="22"/>
          <w:u w:val="single"/>
          <w:lang w:val="fr-FR"/>
        </w:rPr>
        <w:t xml:space="preserve"> solution </w:t>
      </w:r>
      <w:r w:rsidR="007D2C1D" w:rsidRPr="00C65506">
        <w:rPr>
          <w:noProof/>
          <w:color w:val="000000"/>
          <w:szCs w:val="22"/>
          <w:u w:val="single"/>
          <w:lang w:val="fr-FR"/>
        </w:rPr>
        <w:t>injectable</w:t>
      </w:r>
    </w:p>
    <w:p w:rsidR="00F65F24" w:rsidRPr="00C65506" w:rsidRDefault="003E50B6" w:rsidP="00A771E2">
      <w:pPr>
        <w:keepNext/>
        <w:keepLines/>
        <w:tabs>
          <w:tab w:val="clear" w:pos="567"/>
        </w:tabs>
        <w:rPr>
          <w:noProof/>
          <w:color w:val="000000"/>
          <w:szCs w:val="24"/>
          <w:lang w:val="fr-FR" w:bidi="yi-Hebr"/>
        </w:rPr>
      </w:pPr>
      <w:r w:rsidRPr="00C65506">
        <w:rPr>
          <w:color w:val="000000"/>
          <w:szCs w:val="24"/>
          <w:lang w:val="fr-FR" w:bidi="yi-Hebr"/>
        </w:rPr>
        <w:t>C</w:t>
      </w:r>
      <w:r w:rsidR="00F65F24" w:rsidRPr="00C65506">
        <w:rPr>
          <w:color w:val="000000"/>
          <w:szCs w:val="24"/>
          <w:lang w:val="fr-FR" w:bidi="yi-Hebr"/>
        </w:rPr>
        <w:t>artouche (verre de type I) munie d’un piston en caoutchouc (caoutchouc de bromobutyle) et d’un opercule de sertissage (aluminium) avec une cloison (caoutchouc de bromobutyle)</w:t>
      </w:r>
      <w:r w:rsidRPr="00C65506">
        <w:rPr>
          <w:color w:val="000000"/>
          <w:szCs w:val="24"/>
          <w:lang w:val="fr-FR" w:bidi="yi-Hebr"/>
        </w:rPr>
        <w:t>, contenant 0,5 </w:t>
      </w:r>
      <w:r w:rsidR="007D2C1D" w:rsidRPr="00C65506">
        <w:rPr>
          <w:color w:val="000000"/>
          <w:szCs w:val="24"/>
          <w:lang w:val="fr-FR" w:bidi="yi-Hebr"/>
        </w:rPr>
        <w:t>m</w:t>
      </w:r>
      <w:r w:rsidR="00AD573C" w:rsidRPr="00C65506">
        <w:rPr>
          <w:color w:val="000000"/>
          <w:szCs w:val="24"/>
          <w:lang w:val="fr-FR" w:bidi="yi-Hebr"/>
        </w:rPr>
        <w:t>L</w:t>
      </w:r>
      <w:r w:rsidR="007D2C1D" w:rsidRPr="00C65506">
        <w:rPr>
          <w:color w:val="000000"/>
          <w:szCs w:val="24"/>
          <w:lang w:val="fr-FR" w:bidi="yi-Hebr"/>
        </w:rPr>
        <w:t xml:space="preserve"> </w:t>
      </w:r>
      <w:r w:rsidRPr="00C65506">
        <w:rPr>
          <w:color w:val="000000"/>
          <w:szCs w:val="24"/>
          <w:lang w:val="fr-FR" w:bidi="yi-Hebr"/>
        </w:rPr>
        <w:t>de solution.</w:t>
      </w:r>
      <w:r w:rsidRPr="00C65506">
        <w:rPr>
          <w:color w:val="000000"/>
          <w:szCs w:val="24"/>
          <w:lang w:val="fr-FR" w:bidi="yi-Hebr"/>
        </w:rPr>
        <w:br/>
        <w:t>A</w:t>
      </w:r>
      <w:r w:rsidR="00F65F24" w:rsidRPr="00C65506">
        <w:rPr>
          <w:color w:val="000000"/>
          <w:szCs w:val="24"/>
          <w:lang w:val="fr-FR" w:bidi="yi-Hebr"/>
        </w:rPr>
        <w:t>iguilles d’injection (acier inoxydable</w:t>
      </w:r>
      <w:r w:rsidR="00C72B6C" w:rsidRPr="00C65506">
        <w:rPr>
          <w:color w:val="000000"/>
          <w:szCs w:val="24"/>
          <w:lang w:val="fr-FR" w:bidi="yi-Hebr"/>
        </w:rPr>
        <w:t xml:space="preserve"> ; </w:t>
      </w:r>
      <w:r w:rsidR="00F65F24" w:rsidRPr="00C65506">
        <w:rPr>
          <w:color w:val="000000"/>
          <w:szCs w:val="24"/>
          <w:lang w:val="fr-FR" w:bidi="yi-Hebr"/>
        </w:rPr>
        <w:t>0,33 mm</w:t>
      </w:r>
      <w:r w:rsidR="00F53471" w:rsidRPr="00C65506">
        <w:rPr>
          <w:color w:val="000000"/>
          <w:szCs w:val="24"/>
          <w:lang w:val="fr-FR" w:bidi="yi-Hebr"/>
        </w:rPr>
        <w:t> × </w:t>
      </w:r>
      <w:r w:rsidR="00F65F24" w:rsidRPr="00C65506">
        <w:rPr>
          <w:color w:val="000000"/>
          <w:szCs w:val="24"/>
          <w:lang w:val="fr-FR" w:bidi="yi-Hebr"/>
        </w:rPr>
        <w:t>12 mm, 29 G</w:t>
      </w:r>
      <w:r w:rsidR="00F53471" w:rsidRPr="00C65506">
        <w:rPr>
          <w:color w:val="000000"/>
          <w:szCs w:val="24"/>
          <w:lang w:val="fr-FR" w:bidi="yi-Hebr"/>
        </w:rPr>
        <w:t> × </w:t>
      </w:r>
      <w:r w:rsidR="00F65F24" w:rsidRPr="00C65506">
        <w:rPr>
          <w:color w:val="000000"/>
          <w:szCs w:val="24"/>
          <w:lang w:val="fr-FR" w:bidi="yi-Hebr"/>
        </w:rPr>
        <w:t>½ po)</w:t>
      </w:r>
    </w:p>
    <w:p w:rsidR="00AD7A57" w:rsidRPr="00C65506" w:rsidRDefault="00AD7A57" w:rsidP="00496272">
      <w:pPr>
        <w:autoSpaceDE w:val="0"/>
        <w:autoSpaceDN w:val="0"/>
        <w:adjustRightInd w:val="0"/>
        <w:jc w:val="both"/>
        <w:rPr>
          <w:noProof/>
          <w:color w:val="000000"/>
          <w:szCs w:val="22"/>
          <w:highlight w:val="lightGray"/>
          <w:lang w:val="fr-FR"/>
        </w:rPr>
      </w:pPr>
    </w:p>
    <w:p w:rsidR="00F65F24" w:rsidRPr="00C65506" w:rsidRDefault="00F65F24" w:rsidP="007950E1">
      <w:pPr>
        <w:tabs>
          <w:tab w:val="clear" w:pos="567"/>
        </w:tabs>
        <w:rPr>
          <w:color w:val="000000"/>
          <w:szCs w:val="24"/>
          <w:lang w:val="fr-FR" w:bidi="yi-Hebr"/>
        </w:rPr>
      </w:pPr>
      <w:r w:rsidRPr="00C65506">
        <w:rPr>
          <w:color w:val="000000"/>
          <w:szCs w:val="24"/>
          <w:lang w:val="fr-FR" w:bidi="yi-Hebr"/>
        </w:rPr>
        <w:t>Boîte de 1 cartouche et 10 aiguilles d’injection.</w:t>
      </w:r>
    </w:p>
    <w:p w:rsidR="007D2C1D" w:rsidRPr="00C65506" w:rsidRDefault="007D2C1D" w:rsidP="007950E1">
      <w:pPr>
        <w:tabs>
          <w:tab w:val="clear" w:pos="567"/>
        </w:tabs>
        <w:rPr>
          <w:color w:val="000000"/>
          <w:szCs w:val="24"/>
          <w:lang w:val="fr-FR" w:bidi="yi-Hebr"/>
        </w:rPr>
      </w:pPr>
    </w:p>
    <w:p w:rsidR="007D2C1D" w:rsidRPr="00C65506" w:rsidRDefault="007D2C1D" w:rsidP="007D2C1D">
      <w:pPr>
        <w:rPr>
          <w:noProof/>
          <w:szCs w:val="24"/>
          <w:lang w:val="fr-FR" w:bidi="yi-Hebr"/>
        </w:rPr>
      </w:pPr>
      <w:r w:rsidRPr="00C65506">
        <w:rPr>
          <w:szCs w:val="24"/>
          <w:lang w:val="fr-FR" w:bidi="yi-Hebr"/>
        </w:rPr>
        <w:t>Toutes les présentations peuvent ne pas être commercialisées.</w:t>
      </w:r>
    </w:p>
    <w:p w:rsidR="007D2C1D" w:rsidRPr="00C65506" w:rsidRDefault="007D2C1D" w:rsidP="007D2C1D">
      <w:pPr>
        <w:keepNext/>
        <w:keepLines/>
        <w:rPr>
          <w:noProof/>
          <w:szCs w:val="22"/>
          <w:lang w:val="fr-FR"/>
        </w:rPr>
      </w:pPr>
    </w:p>
    <w:p w:rsidR="007D2C1D" w:rsidRPr="00C65506" w:rsidRDefault="007D2C1D" w:rsidP="007D2C1D">
      <w:pPr>
        <w:autoSpaceDE w:val="0"/>
        <w:autoSpaceDN w:val="0"/>
        <w:adjustRightInd w:val="0"/>
        <w:jc w:val="both"/>
        <w:rPr>
          <w:noProof/>
          <w:color w:val="000000"/>
          <w:szCs w:val="22"/>
          <w:u w:val="single"/>
          <w:lang w:val="fr-FR"/>
        </w:rPr>
      </w:pPr>
      <w:r w:rsidRPr="00C65506">
        <w:rPr>
          <w:noProof/>
          <w:color w:val="000000"/>
          <w:szCs w:val="22"/>
          <w:u w:val="single"/>
          <w:lang w:val="fr-FR"/>
        </w:rPr>
        <w:t>Ovaleap 450 </w:t>
      </w:r>
      <w:r w:rsidR="00AD573C" w:rsidRPr="00C65506">
        <w:rPr>
          <w:noProof/>
          <w:color w:val="000000"/>
          <w:szCs w:val="22"/>
          <w:u w:val="single"/>
          <w:lang w:val="fr-FR"/>
        </w:rPr>
        <w:t>U</w:t>
      </w:r>
      <w:r w:rsidRPr="00C65506">
        <w:rPr>
          <w:noProof/>
          <w:color w:val="000000"/>
          <w:szCs w:val="22"/>
          <w:u w:val="single"/>
          <w:lang w:val="fr-FR"/>
        </w:rPr>
        <w:t>I/0,75 m</w:t>
      </w:r>
      <w:r w:rsidR="00AD573C" w:rsidRPr="00C65506">
        <w:rPr>
          <w:noProof/>
          <w:color w:val="000000"/>
          <w:szCs w:val="22"/>
          <w:u w:val="single"/>
          <w:lang w:val="fr-FR"/>
        </w:rPr>
        <w:t>L</w:t>
      </w:r>
      <w:r w:rsidRPr="00C65506">
        <w:rPr>
          <w:noProof/>
          <w:color w:val="000000"/>
          <w:szCs w:val="22"/>
          <w:u w:val="single"/>
          <w:lang w:val="fr-FR"/>
        </w:rPr>
        <w:t xml:space="preserve"> solution injectable</w:t>
      </w:r>
    </w:p>
    <w:p w:rsidR="007D2C1D" w:rsidRPr="00C65506" w:rsidRDefault="007D2C1D" w:rsidP="007D2C1D">
      <w:pPr>
        <w:keepNext/>
        <w:keepLines/>
        <w:tabs>
          <w:tab w:val="clear" w:pos="567"/>
        </w:tabs>
        <w:rPr>
          <w:noProof/>
          <w:color w:val="000000"/>
          <w:szCs w:val="24"/>
          <w:lang w:val="fr-FR" w:bidi="yi-Hebr"/>
        </w:rPr>
      </w:pPr>
      <w:r w:rsidRPr="00C65506">
        <w:rPr>
          <w:color w:val="000000"/>
          <w:szCs w:val="24"/>
          <w:lang w:val="fr-FR" w:bidi="yi-Hebr"/>
        </w:rPr>
        <w:t>Cartouche (verre de type I) munie d’un piston en caoutchouc (caoutchouc de bromobutyle) et d’un opercule de sertissage (aluminium) avec une cloison (caoutchouc de bromobutyle), contenant 0,75 m</w:t>
      </w:r>
      <w:r w:rsidR="00AD573C" w:rsidRPr="00C65506">
        <w:rPr>
          <w:color w:val="000000"/>
          <w:szCs w:val="24"/>
          <w:lang w:val="fr-FR" w:bidi="yi-Hebr"/>
        </w:rPr>
        <w:t>L</w:t>
      </w:r>
      <w:r w:rsidRPr="00C65506">
        <w:rPr>
          <w:color w:val="000000"/>
          <w:szCs w:val="24"/>
          <w:lang w:val="fr-FR" w:bidi="yi-Hebr"/>
        </w:rPr>
        <w:t xml:space="preserve"> de solution.</w:t>
      </w:r>
      <w:r w:rsidRPr="00C65506">
        <w:rPr>
          <w:color w:val="000000"/>
          <w:szCs w:val="24"/>
          <w:lang w:val="fr-FR" w:bidi="yi-Hebr"/>
        </w:rPr>
        <w:br/>
        <w:t>Aiguilles d’injection (acier inoxydable ; 0,33 mm × 12 mm, 29 G × ½ po)</w:t>
      </w:r>
    </w:p>
    <w:p w:rsidR="007D2C1D" w:rsidRPr="00C65506" w:rsidRDefault="007D2C1D" w:rsidP="007D2C1D">
      <w:pPr>
        <w:autoSpaceDE w:val="0"/>
        <w:autoSpaceDN w:val="0"/>
        <w:adjustRightInd w:val="0"/>
        <w:jc w:val="both"/>
        <w:rPr>
          <w:noProof/>
          <w:color w:val="000000"/>
          <w:szCs w:val="22"/>
          <w:highlight w:val="lightGray"/>
          <w:lang w:val="fr-FR"/>
        </w:rPr>
      </w:pPr>
    </w:p>
    <w:p w:rsidR="007D2C1D" w:rsidRPr="00C65506" w:rsidRDefault="007D2C1D" w:rsidP="007D2C1D">
      <w:pPr>
        <w:tabs>
          <w:tab w:val="clear" w:pos="567"/>
        </w:tabs>
        <w:rPr>
          <w:noProof/>
          <w:color w:val="000000"/>
          <w:szCs w:val="24"/>
          <w:lang w:val="fr-FR" w:bidi="yi-Hebr"/>
        </w:rPr>
      </w:pPr>
      <w:r w:rsidRPr="00C65506">
        <w:rPr>
          <w:color w:val="000000"/>
          <w:szCs w:val="24"/>
          <w:lang w:val="fr-FR" w:bidi="yi-Hebr"/>
        </w:rPr>
        <w:t>Boîte de 1 cartouche et 10 aiguilles d’injection</w:t>
      </w:r>
    </w:p>
    <w:p w:rsidR="00AD7A57" w:rsidRPr="00C65506" w:rsidRDefault="00AD7A57" w:rsidP="00496272">
      <w:pPr>
        <w:autoSpaceDE w:val="0"/>
        <w:autoSpaceDN w:val="0"/>
        <w:adjustRightInd w:val="0"/>
        <w:jc w:val="both"/>
        <w:rPr>
          <w:noProof/>
          <w:color w:val="000000"/>
          <w:szCs w:val="22"/>
          <w:highlight w:val="lightGray"/>
          <w:lang w:val="fr-FR"/>
        </w:rPr>
      </w:pPr>
    </w:p>
    <w:p w:rsidR="00F65F24" w:rsidRPr="00C65506" w:rsidRDefault="00F65F24" w:rsidP="00F65F24">
      <w:pPr>
        <w:rPr>
          <w:noProof/>
          <w:szCs w:val="24"/>
          <w:lang w:val="fr-FR" w:bidi="yi-Hebr"/>
        </w:rPr>
      </w:pPr>
      <w:r w:rsidRPr="00C65506">
        <w:rPr>
          <w:szCs w:val="24"/>
          <w:lang w:val="fr-FR" w:bidi="yi-Hebr"/>
        </w:rPr>
        <w:t>Toutes les présentations peuvent ne pas être commercialisées.</w:t>
      </w:r>
    </w:p>
    <w:p w:rsidR="00E973BE" w:rsidRPr="00C65506" w:rsidRDefault="00E973BE" w:rsidP="00496272">
      <w:pPr>
        <w:rPr>
          <w:noProof/>
          <w:szCs w:val="22"/>
          <w:lang w:val="fr-FR"/>
        </w:rPr>
      </w:pPr>
    </w:p>
    <w:p w:rsidR="007D2C1D" w:rsidRPr="00C65506" w:rsidRDefault="007D2C1D" w:rsidP="007D2C1D">
      <w:pPr>
        <w:autoSpaceDE w:val="0"/>
        <w:autoSpaceDN w:val="0"/>
        <w:adjustRightInd w:val="0"/>
        <w:jc w:val="both"/>
        <w:rPr>
          <w:noProof/>
          <w:color w:val="000000"/>
          <w:szCs w:val="22"/>
          <w:u w:val="single"/>
          <w:lang w:val="fr-FR"/>
        </w:rPr>
      </w:pPr>
      <w:r w:rsidRPr="00C65506">
        <w:rPr>
          <w:noProof/>
          <w:color w:val="000000"/>
          <w:szCs w:val="22"/>
          <w:u w:val="single"/>
          <w:lang w:val="fr-FR"/>
        </w:rPr>
        <w:t>Ovaleap 900 </w:t>
      </w:r>
      <w:r w:rsidR="00AD573C" w:rsidRPr="00C65506">
        <w:rPr>
          <w:noProof/>
          <w:color w:val="000000"/>
          <w:szCs w:val="22"/>
          <w:u w:val="single"/>
          <w:lang w:val="fr-FR"/>
        </w:rPr>
        <w:t>U</w:t>
      </w:r>
      <w:r w:rsidRPr="00C65506">
        <w:rPr>
          <w:noProof/>
          <w:color w:val="000000"/>
          <w:szCs w:val="22"/>
          <w:u w:val="single"/>
          <w:lang w:val="fr-FR"/>
        </w:rPr>
        <w:t>I/1,5 m</w:t>
      </w:r>
      <w:r w:rsidR="00AD573C" w:rsidRPr="00C65506">
        <w:rPr>
          <w:noProof/>
          <w:color w:val="000000"/>
          <w:szCs w:val="22"/>
          <w:u w:val="single"/>
          <w:lang w:val="fr-FR"/>
        </w:rPr>
        <w:t>L</w:t>
      </w:r>
      <w:r w:rsidRPr="00C65506">
        <w:rPr>
          <w:noProof/>
          <w:color w:val="000000"/>
          <w:szCs w:val="22"/>
          <w:u w:val="single"/>
          <w:lang w:val="fr-FR"/>
        </w:rPr>
        <w:t xml:space="preserve"> solution injectable</w:t>
      </w:r>
    </w:p>
    <w:p w:rsidR="007D2C1D" w:rsidRPr="00C65506" w:rsidRDefault="007D2C1D" w:rsidP="007D2C1D">
      <w:pPr>
        <w:keepNext/>
        <w:keepLines/>
        <w:tabs>
          <w:tab w:val="clear" w:pos="567"/>
        </w:tabs>
        <w:rPr>
          <w:noProof/>
          <w:color w:val="000000"/>
          <w:szCs w:val="24"/>
          <w:lang w:val="fr-FR" w:bidi="yi-Hebr"/>
        </w:rPr>
      </w:pPr>
      <w:r w:rsidRPr="00C65506">
        <w:rPr>
          <w:color w:val="000000"/>
          <w:szCs w:val="24"/>
          <w:lang w:val="fr-FR" w:bidi="yi-Hebr"/>
        </w:rPr>
        <w:t>Cartouche (verre de type I) munie d’un piston en caoutchouc (caoutchouc de bromobutyle) et d’un opercule de sertissage (aluminium) avec une cloison (caoutchouc de bromobutyle), contenant 1,5 m</w:t>
      </w:r>
      <w:r w:rsidR="00AD573C" w:rsidRPr="00C65506">
        <w:rPr>
          <w:color w:val="000000"/>
          <w:szCs w:val="24"/>
          <w:lang w:val="fr-FR" w:bidi="yi-Hebr"/>
        </w:rPr>
        <w:t>L</w:t>
      </w:r>
      <w:r w:rsidRPr="00C65506">
        <w:rPr>
          <w:color w:val="000000"/>
          <w:szCs w:val="24"/>
          <w:lang w:val="fr-FR" w:bidi="yi-Hebr"/>
        </w:rPr>
        <w:t xml:space="preserve"> de solution.</w:t>
      </w:r>
      <w:r w:rsidRPr="00C65506">
        <w:rPr>
          <w:color w:val="000000"/>
          <w:szCs w:val="24"/>
          <w:lang w:val="fr-FR" w:bidi="yi-Hebr"/>
        </w:rPr>
        <w:br/>
        <w:t>Aiguilles d’injection (acier inoxydable ; 0,33 mm × 12 mm, 29 G × ½ po)</w:t>
      </w:r>
    </w:p>
    <w:p w:rsidR="007D2C1D" w:rsidRPr="00C65506" w:rsidRDefault="007D2C1D" w:rsidP="007D2C1D">
      <w:pPr>
        <w:autoSpaceDE w:val="0"/>
        <w:autoSpaceDN w:val="0"/>
        <w:adjustRightInd w:val="0"/>
        <w:jc w:val="both"/>
        <w:rPr>
          <w:noProof/>
          <w:color w:val="000000"/>
          <w:szCs w:val="22"/>
          <w:highlight w:val="lightGray"/>
          <w:lang w:val="fr-FR"/>
        </w:rPr>
      </w:pPr>
    </w:p>
    <w:p w:rsidR="007D2C1D" w:rsidRPr="00C65506" w:rsidRDefault="007D2C1D" w:rsidP="007D2C1D">
      <w:pPr>
        <w:tabs>
          <w:tab w:val="clear" w:pos="567"/>
        </w:tabs>
        <w:rPr>
          <w:noProof/>
          <w:color w:val="000000"/>
          <w:szCs w:val="24"/>
          <w:lang w:val="fr-FR" w:bidi="yi-Hebr"/>
        </w:rPr>
      </w:pPr>
      <w:r w:rsidRPr="00C65506">
        <w:rPr>
          <w:color w:val="000000"/>
          <w:szCs w:val="24"/>
          <w:lang w:val="fr-FR" w:bidi="yi-Hebr"/>
        </w:rPr>
        <w:t xml:space="preserve">Boîte de 1 cartouche et </w:t>
      </w:r>
      <w:r w:rsidR="00AD573C" w:rsidRPr="00C65506">
        <w:rPr>
          <w:color w:val="000000"/>
          <w:szCs w:val="24"/>
          <w:lang w:val="fr-FR" w:bidi="yi-Hebr"/>
        </w:rPr>
        <w:t>2</w:t>
      </w:r>
      <w:r w:rsidRPr="00C65506">
        <w:rPr>
          <w:color w:val="000000"/>
          <w:szCs w:val="24"/>
          <w:lang w:val="fr-FR" w:bidi="yi-Hebr"/>
        </w:rPr>
        <w:t>0 aiguilles d’injection</w:t>
      </w:r>
    </w:p>
    <w:p w:rsidR="007D2C1D" w:rsidRPr="00C65506" w:rsidRDefault="007D2C1D" w:rsidP="007D2C1D">
      <w:pPr>
        <w:autoSpaceDE w:val="0"/>
        <w:autoSpaceDN w:val="0"/>
        <w:adjustRightInd w:val="0"/>
        <w:jc w:val="both"/>
        <w:rPr>
          <w:noProof/>
          <w:color w:val="000000"/>
          <w:szCs w:val="22"/>
          <w:highlight w:val="lightGray"/>
          <w:lang w:val="fr-FR"/>
        </w:rPr>
      </w:pPr>
    </w:p>
    <w:p w:rsidR="007D2C1D" w:rsidRPr="00C65506" w:rsidRDefault="007D2C1D" w:rsidP="007D2C1D">
      <w:pPr>
        <w:rPr>
          <w:noProof/>
          <w:szCs w:val="24"/>
          <w:lang w:val="fr-FR" w:bidi="yi-Hebr"/>
        </w:rPr>
      </w:pPr>
      <w:r w:rsidRPr="00C65506">
        <w:rPr>
          <w:szCs w:val="24"/>
          <w:lang w:val="fr-FR" w:bidi="yi-Hebr"/>
        </w:rPr>
        <w:t>Toutes les présentations peuvent ne pas être commercialisées.</w:t>
      </w:r>
    </w:p>
    <w:p w:rsidR="007D2C1D" w:rsidRPr="00C65506" w:rsidRDefault="007D2C1D" w:rsidP="00496272">
      <w:pPr>
        <w:rPr>
          <w:noProof/>
          <w:szCs w:val="22"/>
          <w:lang w:val="fr-FR"/>
        </w:rPr>
      </w:pPr>
    </w:p>
    <w:p w:rsidR="00F65F24" w:rsidRPr="00C65506" w:rsidRDefault="00F65F24" w:rsidP="00FC6B14">
      <w:pPr>
        <w:keepNext/>
        <w:outlineLvl w:val="0"/>
        <w:rPr>
          <w:noProof/>
          <w:szCs w:val="24"/>
          <w:lang w:val="fr-FR" w:bidi="yi-Hebr"/>
        </w:rPr>
      </w:pPr>
      <w:bookmarkStart w:id="2" w:name="OLE_LINK1"/>
      <w:r w:rsidRPr="00C65506">
        <w:rPr>
          <w:b/>
          <w:noProof/>
          <w:szCs w:val="24"/>
          <w:lang w:val="fr-FR" w:bidi="yi-Hebr"/>
        </w:rPr>
        <w:lastRenderedPageBreak/>
        <w:t>6.6</w:t>
      </w:r>
      <w:r w:rsidRPr="00C65506">
        <w:rPr>
          <w:b/>
          <w:noProof/>
          <w:szCs w:val="24"/>
          <w:lang w:val="fr-FR" w:bidi="yi-Hebr"/>
        </w:rPr>
        <w:tab/>
      </w:r>
      <w:r w:rsidRPr="00C65506">
        <w:rPr>
          <w:b/>
          <w:szCs w:val="24"/>
          <w:lang w:val="fr-FR" w:bidi="yi-Hebr"/>
        </w:rPr>
        <w:t>Précautions particulières d’élimination et manipulation</w:t>
      </w:r>
    </w:p>
    <w:bookmarkEnd w:id="2"/>
    <w:p w:rsidR="00AD7A57" w:rsidRPr="00C65506" w:rsidRDefault="00AD7A57" w:rsidP="00FC6B14">
      <w:pPr>
        <w:keepNext/>
        <w:outlineLvl w:val="0"/>
        <w:rPr>
          <w:noProof/>
          <w:szCs w:val="22"/>
          <w:lang w:val="fr-FR"/>
        </w:rPr>
      </w:pPr>
    </w:p>
    <w:p w:rsidR="007950E1" w:rsidRPr="00C65506" w:rsidRDefault="007950E1" w:rsidP="007950E1">
      <w:pPr>
        <w:tabs>
          <w:tab w:val="clear" w:pos="567"/>
        </w:tabs>
        <w:rPr>
          <w:color w:val="000000"/>
          <w:szCs w:val="24"/>
          <w:lang w:val="fr-FR" w:bidi="yi-Hebr"/>
        </w:rPr>
      </w:pPr>
      <w:r w:rsidRPr="00C65506">
        <w:rPr>
          <w:szCs w:val="24"/>
          <w:lang w:val="fr-FR" w:bidi="yi-Hebr"/>
        </w:rPr>
        <w:t>Pas d’exigences particulières pour l’élimination.</w:t>
      </w:r>
    </w:p>
    <w:p w:rsidR="007950E1" w:rsidRPr="00C65506" w:rsidRDefault="007950E1" w:rsidP="007950E1">
      <w:pPr>
        <w:tabs>
          <w:tab w:val="clear" w:pos="567"/>
        </w:tabs>
        <w:rPr>
          <w:color w:val="000000"/>
          <w:szCs w:val="24"/>
          <w:lang w:val="fr-FR" w:bidi="yi-Hebr"/>
        </w:rPr>
      </w:pPr>
    </w:p>
    <w:p w:rsidR="00F65F24" w:rsidRPr="00C65506" w:rsidRDefault="00F65F24" w:rsidP="007950E1">
      <w:pPr>
        <w:tabs>
          <w:tab w:val="clear" w:pos="567"/>
        </w:tabs>
        <w:rPr>
          <w:noProof/>
          <w:color w:val="000000"/>
          <w:szCs w:val="24"/>
          <w:lang w:val="fr-FR" w:bidi="yi-Hebr"/>
        </w:rPr>
      </w:pPr>
      <w:r w:rsidRPr="00C65506">
        <w:rPr>
          <w:color w:val="000000"/>
          <w:szCs w:val="24"/>
          <w:lang w:val="fr-FR" w:bidi="yi-Hebr"/>
        </w:rPr>
        <w:t>La solution ne doit pas être utilisée si elle contient des particules ou si elle est trouble.</w:t>
      </w:r>
    </w:p>
    <w:p w:rsidR="00AD7A57" w:rsidRPr="00C65506" w:rsidRDefault="00AD7A57" w:rsidP="00496272">
      <w:pPr>
        <w:tabs>
          <w:tab w:val="clear" w:pos="567"/>
        </w:tabs>
        <w:rPr>
          <w:noProof/>
          <w:color w:val="000000"/>
          <w:szCs w:val="22"/>
          <w:lang w:val="fr-FR"/>
        </w:rPr>
      </w:pPr>
    </w:p>
    <w:p w:rsidR="00F65F24" w:rsidRPr="00C65506" w:rsidRDefault="00F65F24" w:rsidP="007950E1">
      <w:pPr>
        <w:tabs>
          <w:tab w:val="clear" w:pos="567"/>
        </w:tabs>
        <w:rPr>
          <w:noProof/>
          <w:color w:val="000000"/>
          <w:szCs w:val="24"/>
          <w:lang w:val="fr-FR" w:bidi="yi-Hebr"/>
        </w:rPr>
      </w:pPr>
      <w:r w:rsidRPr="00C65506">
        <w:rPr>
          <w:color w:val="000000"/>
          <w:szCs w:val="24"/>
          <w:lang w:val="fr-FR" w:bidi="yi-Hebr"/>
        </w:rPr>
        <w:t xml:space="preserve">Ovaleap est conçu pour être utilisé en association avec le stylo Ovaleap </w:t>
      </w:r>
      <w:r w:rsidR="008E4008" w:rsidRPr="00C65506">
        <w:rPr>
          <w:color w:val="000000"/>
          <w:szCs w:val="24"/>
          <w:lang w:val="fr-FR" w:bidi="yi-Hebr"/>
        </w:rPr>
        <w:t xml:space="preserve">Pen </w:t>
      </w:r>
      <w:r w:rsidRPr="00C65506">
        <w:rPr>
          <w:color w:val="000000"/>
          <w:szCs w:val="24"/>
          <w:lang w:val="fr-FR" w:bidi="yi-Hebr"/>
        </w:rPr>
        <w:t>uniquement.</w:t>
      </w:r>
      <w:r w:rsidR="007950E1" w:rsidRPr="00C65506">
        <w:rPr>
          <w:color w:val="000000"/>
          <w:szCs w:val="24"/>
          <w:lang w:val="fr-FR" w:bidi="yi-Hebr"/>
        </w:rPr>
        <w:t xml:space="preserve"> </w:t>
      </w:r>
      <w:r w:rsidRPr="00C65506">
        <w:rPr>
          <w:color w:val="000000"/>
          <w:szCs w:val="24"/>
          <w:lang w:val="fr-FR" w:bidi="yi-Hebr"/>
        </w:rPr>
        <w:t>Les instructions d’utilisation du stylo doivent être scrupuleusement suivies.</w:t>
      </w:r>
    </w:p>
    <w:p w:rsidR="00AD7A57" w:rsidRPr="00C65506" w:rsidRDefault="00AD7A57" w:rsidP="00496272">
      <w:pPr>
        <w:tabs>
          <w:tab w:val="clear" w:pos="567"/>
        </w:tabs>
        <w:rPr>
          <w:noProof/>
          <w:color w:val="000000"/>
          <w:szCs w:val="22"/>
          <w:lang w:val="fr-FR"/>
        </w:rPr>
      </w:pPr>
    </w:p>
    <w:p w:rsidR="00F65F24" w:rsidRPr="00C65506" w:rsidRDefault="00F65F24" w:rsidP="006B4A56">
      <w:pPr>
        <w:tabs>
          <w:tab w:val="clear" w:pos="567"/>
        </w:tabs>
        <w:rPr>
          <w:noProof/>
          <w:color w:val="000000"/>
          <w:szCs w:val="24"/>
          <w:lang w:val="fr-FR" w:bidi="yi-Hebr"/>
        </w:rPr>
      </w:pPr>
      <w:r w:rsidRPr="00C65506">
        <w:rPr>
          <w:color w:val="000000"/>
          <w:szCs w:val="24"/>
          <w:lang w:val="fr-FR" w:bidi="yi-Hebr"/>
        </w:rPr>
        <w:t xml:space="preserve">Chaque cartouche </w:t>
      </w:r>
      <w:r w:rsidR="006B4A56" w:rsidRPr="00C65506">
        <w:rPr>
          <w:color w:val="000000"/>
          <w:szCs w:val="24"/>
          <w:lang w:val="fr-FR" w:bidi="yi-Hebr"/>
        </w:rPr>
        <w:t xml:space="preserve">ne </w:t>
      </w:r>
      <w:r w:rsidRPr="00C65506">
        <w:rPr>
          <w:color w:val="000000"/>
          <w:szCs w:val="24"/>
          <w:lang w:val="fr-FR" w:bidi="yi-Hebr"/>
        </w:rPr>
        <w:t>doit être utilisée</w:t>
      </w:r>
      <w:r w:rsidR="006B4A56" w:rsidRPr="00C65506">
        <w:rPr>
          <w:color w:val="000000"/>
          <w:szCs w:val="24"/>
          <w:lang w:val="fr-FR" w:bidi="yi-Hebr"/>
        </w:rPr>
        <w:t xml:space="preserve"> que</w:t>
      </w:r>
      <w:r w:rsidRPr="00C65506">
        <w:rPr>
          <w:color w:val="000000"/>
          <w:szCs w:val="24"/>
          <w:lang w:val="fr-FR" w:bidi="yi-Hebr"/>
        </w:rPr>
        <w:t xml:space="preserve"> </w:t>
      </w:r>
      <w:r w:rsidR="006B4A56" w:rsidRPr="00C65506">
        <w:rPr>
          <w:color w:val="000000"/>
          <w:szCs w:val="24"/>
          <w:lang w:val="fr-FR" w:bidi="yi-Hebr"/>
        </w:rPr>
        <w:t xml:space="preserve">par </w:t>
      </w:r>
      <w:r w:rsidRPr="00C65506">
        <w:rPr>
          <w:color w:val="000000"/>
          <w:szCs w:val="24"/>
          <w:lang w:val="fr-FR" w:bidi="yi-Hebr"/>
        </w:rPr>
        <w:t>un seul patient.</w:t>
      </w:r>
    </w:p>
    <w:p w:rsidR="00AD7A57" w:rsidRPr="00C65506" w:rsidRDefault="00AD7A57" w:rsidP="00496272">
      <w:pPr>
        <w:tabs>
          <w:tab w:val="clear" w:pos="567"/>
        </w:tabs>
        <w:rPr>
          <w:noProof/>
          <w:color w:val="000000"/>
          <w:szCs w:val="22"/>
          <w:lang w:val="fr-FR"/>
        </w:rPr>
      </w:pPr>
    </w:p>
    <w:p w:rsidR="006B4A56" w:rsidRPr="00C65506" w:rsidRDefault="00467FBD" w:rsidP="00467FBD">
      <w:pPr>
        <w:tabs>
          <w:tab w:val="clear" w:pos="567"/>
        </w:tabs>
        <w:rPr>
          <w:noProof/>
          <w:color w:val="000000"/>
          <w:szCs w:val="24"/>
          <w:lang w:val="fr-FR" w:bidi="yi-Hebr"/>
        </w:rPr>
      </w:pPr>
      <w:r w:rsidRPr="00C65506">
        <w:rPr>
          <w:color w:val="000000"/>
          <w:szCs w:val="24"/>
          <w:lang w:val="fr-FR" w:bidi="yi-Hebr"/>
        </w:rPr>
        <w:t>Les cartouches vides ne doivent pas être à nouveau remplies.</w:t>
      </w:r>
      <w:r w:rsidRPr="00C65506">
        <w:rPr>
          <w:noProof/>
          <w:color w:val="000000"/>
          <w:szCs w:val="24"/>
          <w:lang w:val="fr-FR" w:bidi="yi-Hebr"/>
        </w:rPr>
        <w:t xml:space="preserve"> </w:t>
      </w:r>
      <w:r w:rsidRPr="00C65506">
        <w:rPr>
          <w:color w:val="000000"/>
          <w:szCs w:val="24"/>
          <w:lang w:val="fr-FR" w:bidi="yi-Hebr"/>
        </w:rPr>
        <w:t>Les cartouches d’Ovaleap ne sont pas conçues pour y mélanger d’autres médicaments.</w:t>
      </w:r>
    </w:p>
    <w:p w:rsidR="00467FBD" w:rsidRPr="00C65506" w:rsidRDefault="00467FBD" w:rsidP="00467FBD">
      <w:pPr>
        <w:tabs>
          <w:tab w:val="clear" w:pos="567"/>
        </w:tabs>
        <w:rPr>
          <w:noProof/>
          <w:szCs w:val="24"/>
          <w:lang w:val="fr-FR" w:bidi="yi-Hebr"/>
        </w:rPr>
      </w:pPr>
      <w:r w:rsidRPr="00C65506">
        <w:rPr>
          <w:color w:val="000000"/>
          <w:szCs w:val="24"/>
          <w:lang w:val="fr-FR" w:bidi="yi-Hebr"/>
        </w:rPr>
        <w:t>Jeter les aiguilles utilisées immédiatement après l’injection.</w:t>
      </w:r>
    </w:p>
    <w:p w:rsidR="00AD7A57" w:rsidRPr="00C65506" w:rsidRDefault="00AD7A57" w:rsidP="00496272">
      <w:pPr>
        <w:rPr>
          <w:noProof/>
          <w:szCs w:val="22"/>
          <w:lang w:val="fr-FR"/>
        </w:rPr>
      </w:pPr>
    </w:p>
    <w:p w:rsidR="00812D16" w:rsidRPr="00C65506" w:rsidRDefault="00812D16" w:rsidP="00496272">
      <w:pPr>
        <w:rPr>
          <w:noProof/>
          <w:szCs w:val="22"/>
          <w:lang w:val="fr-FR"/>
        </w:rPr>
      </w:pPr>
    </w:p>
    <w:p w:rsidR="00467FBD" w:rsidRPr="00C65506" w:rsidRDefault="00467FBD" w:rsidP="00467FBD">
      <w:pPr>
        <w:ind w:left="567" w:hanging="567"/>
        <w:rPr>
          <w:noProof/>
          <w:szCs w:val="24"/>
          <w:lang w:val="fr-FR" w:bidi="yi-Hebr"/>
        </w:rPr>
      </w:pPr>
      <w:r w:rsidRPr="00C65506">
        <w:rPr>
          <w:b/>
          <w:noProof/>
          <w:szCs w:val="24"/>
          <w:lang w:val="fr-FR" w:bidi="yi-Hebr"/>
        </w:rPr>
        <w:t>7.</w:t>
      </w:r>
      <w:r w:rsidRPr="00C65506">
        <w:rPr>
          <w:b/>
          <w:noProof/>
          <w:szCs w:val="24"/>
          <w:lang w:val="fr-FR" w:bidi="yi-Hebr"/>
        </w:rPr>
        <w:tab/>
      </w:r>
      <w:r w:rsidRPr="00C65506">
        <w:rPr>
          <w:b/>
          <w:szCs w:val="24"/>
          <w:lang w:val="fr-FR" w:bidi="yi-Hebr"/>
        </w:rPr>
        <w:t>TITULAIRE DE L’AUTORISATION DE MISE SUR LE MARCHÉ</w:t>
      </w:r>
    </w:p>
    <w:p w:rsidR="00812D16" w:rsidRPr="00C65506" w:rsidRDefault="00812D16" w:rsidP="00496272">
      <w:pPr>
        <w:rPr>
          <w:noProof/>
          <w:szCs w:val="22"/>
          <w:lang w:val="fr-FR"/>
        </w:rPr>
      </w:pPr>
    </w:p>
    <w:p w:rsidR="0097179F" w:rsidRPr="00AD584F" w:rsidRDefault="0097179F" w:rsidP="0097179F">
      <w:pPr>
        <w:tabs>
          <w:tab w:val="clear" w:pos="567"/>
        </w:tabs>
        <w:rPr>
          <w:lang w:val="nl-NL"/>
        </w:rPr>
      </w:pPr>
      <w:r w:rsidRPr="00AD584F">
        <w:rPr>
          <w:lang w:val="nl-NL"/>
        </w:rPr>
        <w:t>Theramex Ireland Limited</w:t>
      </w:r>
    </w:p>
    <w:p w:rsidR="0097179F" w:rsidRPr="00AD584F" w:rsidRDefault="00806865" w:rsidP="0097179F">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97179F" w:rsidRPr="00AD584F">
        <w:rPr>
          <w:lang w:val="nl-NL"/>
        </w:rPr>
        <w:t>Kilmore House,</w:t>
      </w:r>
    </w:p>
    <w:p w:rsidR="0097179F" w:rsidRPr="00AD584F" w:rsidRDefault="00605833" w:rsidP="0097179F">
      <w:pPr>
        <w:tabs>
          <w:tab w:val="clear" w:pos="567"/>
        </w:tabs>
        <w:rPr>
          <w:lang w:val="nl-NL"/>
        </w:rPr>
      </w:pPr>
      <w:r>
        <w:rPr>
          <w:lang w:val="nl-NL"/>
        </w:rPr>
        <w:t>Park Lane, Spencer Dock,</w:t>
      </w:r>
    </w:p>
    <w:p w:rsidR="0097179F" w:rsidRPr="00AD584F" w:rsidRDefault="0097179F" w:rsidP="0097179F">
      <w:pPr>
        <w:tabs>
          <w:tab w:val="clear" w:pos="567"/>
        </w:tabs>
        <w:rPr>
          <w:lang w:val="nl-NL"/>
        </w:rPr>
      </w:pPr>
      <w:r w:rsidRPr="00AD584F">
        <w:rPr>
          <w:lang w:val="nl-NL"/>
        </w:rPr>
        <w:t>Dublin 1</w:t>
      </w:r>
    </w:p>
    <w:p w:rsidR="0097179F" w:rsidRPr="00AD584F" w:rsidRDefault="00605833" w:rsidP="0097179F">
      <w:pPr>
        <w:tabs>
          <w:tab w:val="clear" w:pos="567"/>
        </w:tabs>
        <w:rPr>
          <w:lang w:val="nl-NL"/>
        </w:rPr>
      </w:pPr>
      <w:r>
        <w:rPr>
          <w:lang w:val="nl-NL"/>
        </w:rPr>
        <w:t>D01 YE64</w:t>
      </w:r>
    </w:p>
    <w:p w:rsidR="0097179F" w:rsidRPr="00162C74" w:rsidRDefault="0097179F" w:rsidP="00496272">
      <w:pPr>
        <w:rPr>
          <w:lang w:val="fr-FR"/>
        </w:rPr>
      </w:pPr>
      <w:r w:rsidRPr="00162C74">
        <w:rPr>
          <w:lang w:val="fr-FR"/>
        </w:rPr>
        <w:t>Irlande</w:t>
      </w:r>
    </w:p>
    <w:p w:rsidR="00AD7A57" w:rsidRPr="00C65506" w:rsidRDefault="00AD7A57" w:rsidP="00496272">
      <w:pPr>
        <w:rPr>
          <w:noProof/>
          <w:szCs w:val="22"/>
          <w:lang w:val="fr-FR"/>
        </w:rPr>
      </w:pPr>
    </w:p>
    <w:p w:rsidR="00812D16" w:rsidRPr="00C65506" w:rsidRDefault="00812D16" w:rsidP="00496272">
      <w:pPr>
        <w:rPr>
          <w:noProof/>
          <w:szCs w:val="22"/>
          <w:lang w:val="fr-FR"/>
        </w:rPr>
      </w:pPr>
    </w:p>
    <w:p w:rsidR="00467FBD" w:rsidRPr="00C65506" w:rsidRDefault="00467FBD" w:rsidP="00467FBD">
      <w:pPr>
        <w:ind w:left="567" w:hanging="567"/>
        <w:rPr>
          <w:b/>
          <w:noProof/>
          <w:szCs w:val="24"/>
          <w:lang w:val="fr-FR" w:bidi="yi-Hebr"/>
        </w:rPr>
      </w:pPr>
      <w:r w:rsidRPr="00C65506">
        <w:rPr>
          <w:b/>
          <w:noProof/>
          <w:szCs w:val="24"/>
          <w:lang w:val="fr-FR" w:bidi="yi-Hebr"/>
        </w:rPr>
        <w:t>8.</w:t>
      </w:r>
      <w:r w:rsidRPr="00C65506">
        <w:rPr>
          <w:b/>
          <w:noProof/>
          <w:szCs w:val="24"/>
          <w:lang w:val="fr-FR" w:bidi="yi-Hebr"/>
        </w:rPr>
        <w:tab/>
      </w:r>
      <w:r w:rsidRPr="00C65506">
        <w:rPr>
          <w:b/>
          <w:szCs w:val="24"/>
          <w:lang w:val="fr-FR" w:bidi="yi-Hebr"/>
        </w:rPr>
        <w:t>NUMÉRO</w:t>
      </w:r>
      <w:r w:rsidR="00D47426" w:rsidRPr="00C65506">
        <w:rPr>
          <w:b/>
          <w:szCs w:val="24"/>
          <w:lang w:val="fr-FR" w:bidi="yi-Hebr"/>
        </w:rPr>
        <w:t>(</w:t>
      </w:r>
      <w:r w:rsidRPr="00C65506">
        <w:rPr>
          <w:b/>
          <w:szCs w:val="24"/>
          <w:lang w:val="fr-FR" w:bidi="yi-Hebr"/>
        </w:rPr>
        <w:t>S</w:t>
      </w:r>
      <w:r w:rsidR="00D47426" w:rsidRPr="00C65506">
        <w:rPr>
          <w:b/>
          <w:szCs w:val="24"/>
          <w:lang w:val="fr-FR" w:bidi="yi-Hebr"/>
        </w:rPr>
        <w:t>)</w:t>
      </w:r>
      <w:r w:rsidRPr="00C65506">
        <w:rPr>
          <w:b/>
          <w:szCs w:val="24"/>
          <w:lang w:val="fr-FR" w:bidi="yi-Hebr"/>
        </w:rPr>
        <w:t xml:space="preserve"> D’AUTORISATION DE MISE SUR LE MARCHÉ</w:t>
      </w:r>
    </w:p>
    <w:p w:rsidR="00812D16" w:rsidRPr="00C65506" w:rsidRDefault="00812D16" w:rsidP="00496272">
      <w:pPr>
        <w:rPr>
          <w:noProof/>
          <w:szCs w:val="22"/>
          <w:lang w:val="fr-FR"/>
        </w:rPr>
      </w:pPr>
    </w:p>
    <w:p w:rsidR="007D2C1D" w:rsidRPr="00C65506" w:rsidRDefault="007D2C1D" w:rsidP="007D2C1D">
      <w:pPr>
        <w:autoSpaceDE w:val="0"/>
        <w:autoSpaceDN w:val="0"/>
        <w:adjustRightInd w:val="0"/>
        <w:jc w:val="both"/>
        <w:rPr>
          <w:noProof/>
          <w:color w:val="000000"/>
          <w:szCs w:val="22"/>
          <w:u w:val="single"/>
          <w:lang w:val="fr-FR"/>
        </w:rPr>
      </w:pPr>
      <w:r w:rsidRPr="00C65506">
        <w:rPr>
          <w:noProof/>
          <w:color w:val="000000"/>
          <w:szCs w:val="22"/>
          <w:u w:val="single"/>
          <w:lang w:val="fr-FR"/>
        </w:rPr>
        <w:t>Ovaleap 300 </w:t>
      </w:r>
      <w:r w:rsidR="00D47426" w:rsidRPr="00C65506">
        <w:rPr>
          <w:noProof/>
          <w:color w:val="000000"/>
          <w:szCs w:val="22"/>
          <w:u w:val="single"/>
          <w:lang w:val="fr-FR"/>
        </w:rPr>
        <w:t>U</w:t>
      </w:r>
      <w:r w:rsidRPr="00C65506">
        <w:rPr>
          <w:noProof/>
          <w:color w:val="000000"/>
          <w:szCs w:val="22"/>
          <w:u w:val="single"/>
          <w:lang w:val="fr-FR"/>
        </w:rPr>
        <w:t>I/0,5 m</w:t>
      </w:r>
      <w:r w:rsidR="00D47426" w:rsidRPr="00C65506">
        <w:rPr>
          <w:noProof/>
          <w:color w:val="000000"/>
          <w:szCs w:val="22"/>
          <w:u w:val="single"/>
          <w:lang w:val="fr-FR"/>
        </w:rPr>
        <w:t>L</w:t>
      </w:r>
      <w:r w:rsidRPr="00C65506">
        <w:rPr>
          <w:noProof/>
          <w:color w:val="000000"/>
          <w:szCs w:val="22"/>
          <w:u w:val="single"/>
          <w:lang w:val="fr-FR"/>
        </w:rPr>
        <w:t xml:space="preserve"> solution injectable</w:t>
      </w:r>
    </w:p>
    <w:p w:rsidR="00E973BE" w:rsidRPr="00C65506" w:rsidRDefault="00A05962" w:rsidP="00496272">
      <w:pPr>
        <w:rPr>
          <w:noProof/>
          <w:szCs w:val="22"/>
          <w:lang w:val="fr-FR"/>
        </w:rPr>
      </w:pPr>
      <w:r w:rsidRPr="00C65506">
        <w:rPr>
          <w:noProof/>
          <w:szCs w:val="22"/>
          <w:lang w:val="fr-FR"/>
        </w:rPr>
        <w:t>EU/1/13/871/001</w:t>
      </w:r>
    </w:p>
    <w:p w:rsidR="007D2C1D" w:rsidRPr="00C65506" w:rsidRDefault="007D2C1D" w:rsidP="00496272">
      <w:pPr>
        <w:rPr>
          <w:noProof/>
          <w:szCs w:val="22"/>
          <w:lang w:val="fr-FR"/>
        </w:rPr>
      </w:pPr>
    </w:p>
    <w:p w:rsidR="007D2C1D" w:rsidRPr="00C65506" w:rsidRDefault="007D2C1D" w:rsidP="007D2C1D">
      <w:pPr>
        <w:autoSpaceDE w:val="0"/>
        <w:autoSpaceDN w:val="0"/>
        <w:adjustRightInd w:val="0"/>
        <w:jc w:val="both"/>
        <w:rPr>
          <w:noProof/>
          <w:color w:val="000000"/>
          <w:szCs w:val="22"/>
          <w:u w:val="single"/>
          <w:lang w:val="fr-FR"/>
        </w:rPr>
      </w:pPr>
      <w:r w:rsidRPr="00C65506">
        <w:rPr>
          <w:noProof/>
          <w:color w:val="000000"/>
          <w:szCs w:val="22"/>
          <w:u w:val="single"/>
          <w:lang w:val="fr-FR"/>
        </w:rPr>
        <w:t>Ovaleap 450 </w:t>
      </w:r>
      <w:r w:rsidR="00D47426" w:rsidRPr="00C65506">
        <w:rPr>
          <w:noProof/>
          <w:color w:val="000000"/>
          <w:szCs w:val="22"/>
          <w:u w:val="single"/>
          <w:lang w:val="fr-FR"/>
        </w:rPr>
        <w:t>U</w:t>
      </w:r>
      <w:r w:rsidRPr="00C65506">
        <w:rPr>
          <w:noProof/>
          <w:color w:val="000000"/>
          <w:szCs w:val="22"/>
          <w:u w:val="single"/>
          <w:lang w:val="fr-FR"/>
        </w:rPr>
        <w:t>I/0,75 m</w:t>
      </w:r>
      <w:r w:rsidR="00D47426" w:rsidRPr="00C65506">
        <w:rPr>
          <w:noProof/>
          <w:color w:val="000000"/>
          <w:szCs w:val="22"/>
          <w:u w:val="single"/>
          <w:lang w:val="fr-FR"/>
        </w:rPr>
        <w:t>L</w:t>
      </w:r>
      <w:r w:rsidRPr="00C65506">
        <w:rPr>
          <w:noProof/>
          <w:color w:val="000000"/>
          <w:szCs w:val="22"/>
          <w:u w:val="single"/>
          <w:lang w:val="fr-FR"/>
        </w:rPr>
        <w:t xml:space="preserve"> solution injectable</w:t>
      </w:r>
    </w:p>
    <w:p w:rsidR="007D2C1D" w:rsidRPr="00C65506" w:rsidRDefault="007D2C1D" w:rsidP="007D2C1D">
      <w:pPr>
        <w:rPr>
          <w:noProof/>
          <w:szCs w:val="22"/>
          <w:lang w:val="fr-FR"/>
        </w:rPr>
      </w:pPr>
      <w:r w:rsidRPr="00C65506">
        <w:rPr>
          <w:noProof/>
          <w:szCs w:val="22"/>
          <w:lang w:val="fr-FR"/>
        </w:rPr>
        <w:t>EU/1/13/871/002</w:t>
      </w:r>
    </w:p>
    <w:p w:rsidR="007D2C1D" w:rsidRPr="00C65506" w:rsidRDefault="007D2C1D" w:rsidP="00496272">
      <w:pPr>
        <w:rPr>
          <w:noProof/>
          <w:szCs w:val="22"/>
          <w:lang w:val="fr-FR"/>
        </w:rPr>
      </w:pPr>
    </w:p>
    <w:p w:rsidR="007D2C1D" w:rsidRPr="00C65506" w:rsidRDefault="007D2C1D" w:rsidP="007D2C1D">
      <w:pPr>
        <w:autoSpaceDE w:val="0"/>
        <w:autoSpaceDN w:val="0"/>
        <w:adjustRightInd w:val="0"/>
        <w:jc w:val="both"/>
        <w:rPr>
          <w:noProof/>
          <w:color w:val="000000"/>
          <w:szCs w:val="22"/>
          <w:u w:val="single"/>
          <w:lang w:val="fr-FR"/>
        </w:rPr>
      </w:pPr>
      <w:r w:rsidRPr="00C65506">
        <w:rPr>
          <w:noProof/>
          <w:color w:val="000000"/>
          <w:szCs w:val="22"/>
          <w:u w:val="single"/>
          <w:lang w:val="fr-FR"/>
        </w:rPr>
        <w:t>Ovaleap 900 </w:t>
      </w:r>
      <w:r w:rsidR="00D47426" w:rsidRPr="00C65506">
        <w:rPr>
          <w:noProof/>
          <w:color w:val="000000"/>
          <w:szCs w:val="22"/>
          <w:u w:val="single"/>
          <w:lang w:val="fr-FR"/>
        </w:rPr>
        <w:t>U</w:t>
      </w:r>
      <w:r w:rsidRPr="00C65506">
        <w:rPr>
          <w:noProof/>
          <w:color w:val="000000"/>
          <w:szCs w:val="22"/>
          <w:u w:val="single"/>
          <w:lang w:val="fr-FR"/>
        </w:rPr>
        <w:t>I/1,5 m</w:t>
      </w:r>
      <w:r w:rsidR="00D47426" w:rsidRPr="00C65506">
        <w:rPr>
          <w:noProof/>
          <w:color w:val="000000"/>
          <w:szCs w:val="22"/>
          <w:u w:val="single"/>
          <w:lang w:val="fr-FR"/>
        </w:rPr>
        <w:t>L</w:t>
      </w:r>
      <w:r w:rsidRPr="00C65506">
        <w:rPr>
          <w:noProof/>
          <w:color w:val="000000"/>
          <w:szCs w:val="22"/>
          <w:u w:val="single"/>
          <w:lang w:val="fr-FR"/>
        </w:rPr>
        <w:t xml:space="preserve"> solution injectable</w:t>
      </w:r>
    </w:p>
    <w:p w:rsidR="007D2C1D" w:rsidRPr="00C65506" w:rsidRDefault="007D2C1D" w:rsidP="007D2C1D">
      <w:pPr>
        <w:rPr>
          <w:noProof/>
          <w:szCs w:val="22"/>
          <w:lang w:val="fr-FR"/>
        </w:rPr>
      </w:pPr>
      <w:r w:rsidRPr="00C65506">
        <w:rPr>
          <w:noProof/>
          <w:szCs w:val="22"/>
          <w:lang w:val="fr-FR"/>
        </w:rPr>
        <w:t>EU/1/13/871/003</w:t>
      </w:r>
    </w:p>
    <w:p w:rsidR="00DF78C9" w:rsidRPr="00C65506" w:rsidRDefault="00DF78C9" w:rsidP="00496272">
      <w:pPr>
        <w:rPr>
          <w:noProof/>
          <w:szCs w:val="22"/>
          <w:lang w:val="fr-FR"/>
        </w:rPr>
      </w:pPr>
    </w:p>
    <w:p w:rsidR="00812D16" w:rsidRPr="00C65506" w:rsidRDefault="00812D16" w:rsidP="00496272">
      <w:pPr>
        <w:rPr>
          <w:noProof/>
          <w:szCs w:val="22"/>
          <w:lang w:val="fr-FR"/>
        </w:rPr>
      </w:pPr>
    </w:p>
    <w:p w:rsidR="00467FBD" w:rsidRPr="00C65506" w:rsidRDefault="00467FBD" w:rsidP="00467FBD">
      <w:pPr>
        <w:ind w:left="567" w:hanging="567"/>
        <w:rPr>
          <w:noProof/>
          <w:szCs w:val="24"/>
          <w:lang w:val="fr-FR" w:bidi="yi-Hebr"/>
        </w:rPr>
      </w:pPr>
      <w:r w:rsidRPr="00C65506">
        <w:rPr>
          <w:b/>
          <w:noProof/>
          <w:szCs w:val="24"/>
          <w:lang w:val="fr-FR" w:bidi="yi-Hebr"/>
        </w:rPr>
        <w:t>9.</w:t>
      </w:r>
      <w:r w:rsidRPr="00C65506">
        <w:rPr>
          <w:b/>
          <w:noProof/>
          <w:szCs w:val="24"/>
          <w:lang w:val="fr-FR" w:bidi="yi-Hebr"/>
        </w:rPr>
        <w:tab/>
      </w:r>
      <w:r w:rsidRPr="00C65506">
        <w:rPr>
          <w:b/>
          <w:szCs w:val="24"/>
          <w:lang w:val="fr-FR" w:bidi="yi-Hebr"/>
        </w:rPr>
        <w:t>DATE DE PREMIÈRE AUTORISATION/DE RENOUVELLEMENT DE L’AUTORISATION</w:t>
      </w:r>
    </w:p>
    <w:p w:rsidR="00AD7A57" w:rsidRPr="00C65506" w:rsidRDefault="00AD7A57" w:rsidP="00496272">
      <w:pPr>
        <w:rPr>
          <w:noProof/>
          <w:szCs w:val="22"/>
          <w:lang w:val="fr-FR"/>
        </w:rPr>
      </w:pPr>
    </w:p>
    <w:p w:rsidR="00467FBD" w:rsidRPr="00C65506" w:rsidRDefault="00467FBD" w:rsidP="00467FBD">
      <w:pPr>
        <w:tabs>
          <w:tab w:val="clear" w:pos="567"/>
        </w:tabs>
        <w:rPr>
          <w:i/>
          <w:noProof/>
          <w:szCs w:val="24"/>
          <w:lang w:val="fr-FR" w:bidi="yi-Hebr"/>
        </w:rPr>
      </w:pPr>
      <w:r w:rsidRPr="00C65506">
        <w:rPr>
          <w:color w:val="000000"/>
          <w:szCs w:val="24"/>
          <w:lang w:val="fr-FR" w:bidi="yi-Hebr"/>
        </w:rPr>
        <w:t>Date de première autorisation :</w:t>
      </w:r>
      <w:r w:rsidR="007E1024" w:rsidRPr="00C65506">
        <w:rPr>
          <w:color w:val="000000"/>
          <w:szCs w:val="24"/>
          <w:lang w:val="fr-FR" w:bidi="yi-Hebr"/>
        </w:rPr>
        <w:t xml:space="preserve"> 27 septembre 2013.</w:t>
      </w:r>
    </w:p>
    <w:p w:rsidR="00AD7A57" w:rsidRPr="00C65506" w:rsidRDefault="00145011" w:rsidP="00496272">
      <w:pPr>
        <w:rPr>
          <w:noProof/>
          <w:szCs w:val="22"/>
          <w:lang w:val="fr-FR"/>
        </w:rPr>
      </w:pPr>
      <w:r w:rsidRPr="00C65506">
        <w:rPr>
          <w:noProof/>
          <w:szCs w:val="22"/>
          <w:lang w:val="fr-FR"/>
        </w:rPr>
        <w:t>Date d</w:t>
      </w:r>
      <w:r w:rsidR="00A9504E">
        <w:rPr>
          <w:noProof/>
          <w:szCs w:val="22"/>
          <w:lang w:val="fr-FR"/>
        </w:rPr>
        <w:t>e</w:t>
      </w:r>
      <w:r w:rsidRPr="00C65506">
        <w:rPr>
          <w:noProof/>
          <w:szCs w:val="22"/>
          <w:lang w:val="fr-FR"/>
        </w:rPr>
        <w:t xml:space="preserve"> dernier renouvellement :</w:t>
      </w:r>
      <w:r w:rsidR="00E97C30">
        <w:rPr>
          <w:noProof/>
          <w:szCs w:val="22"/>
          <w:lang w:val="fr-FR"/>
        </w:rPr>
        <w:t xml:space="preserve"> </w:t>
      </w:r>
      <w:r w:rsidR="00E97C30" w:rsidRPr="00E97C30">
        <w:rPr>
          <w:noProof/>
          <w:szCs w:val="22"/>
          <w:lang w:val="fr-FR"/>
        </w:rPr>
        <w:t>16 mai 2018</w:t>
      </w:r>
      <w:r w:rsidR="00E97C30">
        <w:rPr>
          <w:noProof/>
          <w:szCs w:val="22"/>
          <w:lang w:val="fr-FR"/>
        </w:rPr>
        <w:t>.</w:t>
      </w:r>
    </w:p>
    <w:p w:rsidR="00812D16" w:rsidRPr="00C65506" w:rsidRDefault="00812D16" w:rsidP="00496272">
      <w:pPr>
        <w:rPr>
          <w:noProof/>
          <w:szCs w:val="22"/>
          <w:lang w:val="fr-FR"/>
        </w:rPr>
      </w:pPr>
    </w:p>
    <w:p w:rsidR="00467FBD" w:rsidRPr="00C65506" w:rsidRDefault="00467FBD" w:rsidP="00467FBD">
      <w:pPr>
        <w:ind w:left="567" w:hanging="567"/>
        <w:rPr>
          <w:b/>
          <w:noProof/>
          <w:szCs w:val="24"/>
          <w:lang w:val="fr-FR" w:bidi="yi-Hebr"/>
        </w:rPr>
      </w:pPr>
      <w:r w:rsidRPr="00C65506">
        <w:rPr>
          <w:b/>
          <w:noProof/>
          <w:szCs w:val="24"/>
          <w:lang w:val="fr-FR" w:bidi="yi-Hebr"/>
        </w:rPr>
        <w:t>10.</w:t>
      </w:r>
      <w:r w:rsidRPr="00C65506">
        <w:rPr>
          <w:b/>
          <w:noProof/>
          <w:szCs w:val="24"/>
          <w:lang w:val="fr-FR" w:bidi="yi-Hebr"/>
        </w:rPr>
        <w:tab/>
      </w:r>
      <w:r w:rsidRPr="00C65506">
        <w:rPr>
          <w:b/>
          <w:szCs w:val="24"/>
          <w:lang w:val="fr-FR" w:bidi="yi-Hebr"/>
        </w:rPr>
        <w:t>DATE DE MISE À JOUR DU TEXTE</w:t>
      </w:r>
    </w:p>
    <w:p w:rsidR="00812D16" w:rsidRPr="00C65506" w:rsidRDefault="00812D16" w:rsidP="00496272">
      <w:pPr>
        <w:numPr>
          <w:ilvl w:val="12"/>
          <w:numId w:val="0"/>
        </w:numPr>
        <w:ind w:right="-2"/>
        <w:rPr>
          <w:iCs/>
          <w:noProof/>
          <w:szCs w:val="22"/>
          <w:highlight w:val="lightGray"/>
          <w:lang w:val="fr-FR"/>
        </w:rPr>
      </w:pPr>
    </w:p>
    <w:p w:rsidR="00467FBD" w:rsidRPr="00C65506" w:rsidRDefault="00467FBD" w:rsidP="00467FBD">
      <w:pPr>
        <w:numPr>
          <w:ilvl w:val="12"/>
          <w:numId w:val="0"/>
        </w:numPr>
        <w:ind w:right="-2"/>
        <w:rPr>
          <w:noProof/>
          <w:szCs w:val="24"/>
          <w:lang w:val="fr-FR" w:bidi="yi-Hebr"/>
        </w:rPr>
      </w:pPr>
      <w:r w:rsidRPr="00C65506">
        <w:rPr>
          <w:szCs w:val="24"/>
          <w:lang w:val="fr-FR" w:bidi="yi-Hebr"/>
        </w:rPr>
        <w:t xml:space="preserve">Des informations détaillées sur ce médicament sont disponibles sur le site internet de l’Agence européenne des médicaments </w:t>
      </w:r>
      <w:hyperlink r:id="rId10" w:history="1">
        <w:r w:rsidRPr="00C65506">
          <w:rPr>
            <w:szCs w:val="24"/>
            <w:lang w:val="fr-FR" w:bidi="yi-Hebr"/>
          </w:rPr>
          <w:t>http://www.ema.europa.eu</w:t>
        </w:r>
      </w:hyperlink>
      <w:r w:rsidR="006B4A56" w:rsidRPr="00C65506">
        <w:rPr>
          <w:szCs w:val="24"/>
          <w:lang w:val="fr-FR" w:bidi="yi-Hebr"/>
        </w:rPr>
        <w:t>/</w:t>
      </w:r>
      <w:r w:rsidRPr="00C65506">
        <w:rPr>
          <w:szCs w:val="24"/>
          <w:lang w:val="fr-FR" w:bidi="yi-Hebr"/>
        </w:rPr>
        <w:t>.</w:t>
      </w:r>
    </w:p>
    <w:p w:rsidR="00812D16" w:rsidRPr="00C65506" w:rsidRDefault="00812D16" w:rsidP="00A21E30">
      <w:pPr>
        <w:widowControl w:val="0"/>
        <w:rPr>
          <w:noProof/>
          <w:szCs w:val="22"/>
          <w:lang w:val="fr-FR"/>
        </w:rPr>
      </w:pPr>
      <w:r w:rsidRPr="00C65506">
        <w:rPr>
          <w:b/>
          <w:noProof/>
          <w:szCs w:val="22"/>
          <w:lang w:val="fr-FR"/>
        </w:rPr>
        <w:br w:type="page"/>
      </w: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7F74FF" w:rsidRPr="00C65506" w:rsidRDefault="007F74FF" w:rsidP="007F74FF">
      <w:pPr>
        <w:jc w:val="center"/>
        <w:rPr>
          <w:noProof/>
          <w:szCs w:val="24"/>
          <w:lang w:val="fr-FR" w:bidi="yi-Hebr"/>
        </w:rPr>
      </w:pPr>
      <w:r w:rsidRPr="00C65506">
        <w:rPr>
          <w:b/>
          <w:szCs w:val="24"/>
          <w:lang w:val="fr-FR" w:bidi="yi-Hebr"/>
        </w:rPr>
        <w:t>ANNEXE II</w:t>
      </w:r>
    </w:p>
    <w:p w:rsidR="00812D16" w:rsidRPr="00C65506" w:rsidRDefault="00812D16" w:rsidP="00496272">
      <w:pPr>
        <w:ind w:left="1701" w:right="1416" w:hanging="567"/>
        <w:rPr>
          <w:noProof/>
          <w:szCs w:val="22"/>
          <w:lang w:val="fr-FR"/>
        </w:rPr>
      </w:pPr>
    </w:p>
    <w:p w:rsidR="007F74FF" w:rsidRPr="00C65506" w:rsidRDefault="007F74FF" w:rsidP="007F74FF">
      <w:pPr>
        <w:ind w:left="1701" w:right="849" w:hanging="708"/>
        <w:rPr>
          <w:noProof/>
          <w:szCs w:val="24"/>
          <w:lang w:val="fr-FR" w:bidi="yi-Hebr"/>
        </w:rPr>
      </w:pPr>
      <w:r w:rsidRPr="00C65506">
        <w:rPr>
          <w:b/>
          <w:szCs w:val="24"/>
          <w:lang w:val="fr-FR" w:bidi="yi-Hebr"/>
        </w:rPr>
        <w:t>A.</w:t>
      </w:r>
      <w:r w:rsidRPr="00C65506">
        <w:rPr>
          <w:b/>
          <w:noProof/>
          <w:szCs w:val="24"/>
          <w:lang w:val="fr-FR" w:bidi="yi-Hebr"/>
        </w:rPr>
        <w:tab/>
      </w:r>
      <w:r w:rsidRPr="00C65506">
        <w:rPr>
          <w:b/>
          <w:szCs w:val="24"/>
          <w:lang w:val="fr-FR" w:bidi="yi-Hebr"/>
        </w:rPr>
        <w:t xml:space="preserve">FABRICANT </w:t>
      </w:r>
      <w:r w:rsidR="00010B4C" w:rsidRPr="00C65506">
        <w:rPr>
          <w:b/>
          <w:szCs w:val="22"/>
          <w:lang w:val="fr-FR"/>
        </w:rPr>
        <w:t xml:space="preserve">DE LA SUBSTANCE ACTIVE </w:t>
      </w:r>
      <w:r w:rsidRPr="00C65506">
        <w:rPr>
          <w:b/>
          <w:szCs w:val="24"/>
          <w:lang w:val="fr-FR" w:bidi="yi-Hebr"/>
        </w:rPr>
        <w:t>D'ORIGINE BIOLOGIQUE ET FABRICANTS RESPONSABLES DE LA LIBÉRATION DES LOTS</w:t>
      </w:r>
    </w:p>
    <w:p w:rsidR="00812D16" w:rsidRPr="00C65506" w:rsidRDefault="00812D16" w:rsidP="00496272">
      <w:pPr>
        <w:ind w:left="567" w:hanging="567"/>
        <w:rPr>
          <w:noProof/>
          <w:szCs w:val="22"/>
          <w:lang w:val="fr-FR"/>
        </w:rPr>
      </w:pPr>
    </w:p>
    <w:p w:rsidR="007F74FF" w:rsidRPr="00C65506" w:rsidRDefault="007F74FF" w:rsidP="007F74FF">
      <w:pPr>
        <w:ind w:left="1701" w:right="849" w:hanging="708"/>
        <w:rPr>
          <w:noProof/>
          <w:szCs w:val="24"/>
          <w:lang w:val="fr-FR" w:bidi="yi-Hebr"/>
        </w:rPr>
      </w:pPr>
      <w:r w:rsidRPr="00C65506">
        <w:rPr>
          <w:b/>
          <w:szCs w:val="24"/>
          <w:lang w:val="fr-FR" w:bidi="yi-Hebr"/>
        </w:rPr>
        <w:t>B.</w:t>
      </w:r>
      <w:r w:rsidRPr="00C65506">
        <w:rPr>
          <w:b/>
          <w:noProof/>
          <w:szCs w:val="24"/>
          <w:lang w:val="fr-FR" w:bidi="yi-Hebr"/>
        </w:rPr>
        <w:tab/>
      </w:r>
      <w:r w:rsidRPr="00C65506">
        <w:rPr>
          <w:b/>
          <w:szCs w:val="24"/>
          <w:lang w:val="fr-FR" w:bidi="yi-Hebr"/>
        </w:rPr>
        <w:t>CONDITIONS OU RESTRICTIONS DE DÉLIVRANCE ET D’UTILISATION</w:t>
      </w:r>
    </w:p>
    <w:p w:rsidR="00812D16" w:rsidRPr="00C65506" w:rsidRDefault="00812D16" w:rsidP="00496272">
      <w:pPr>
        <w:ind w:left="567" w:hanging="567"/>
        <w:rPr>
          <w:noProof/>
          <w:szCs w:val="22"/>
          <w:lang w:val="fr-FR"/>
        </w:rPr>
      </w:pPr>
    </w:p>
    <w:p w:rsidR="007F74FF" w:rsidRPr="00C65506" w:rsidRDefault="007F74FF" w:rsidP="007F74FF">
      <w:pPr>
        <w:ind w:left="1701" w:right="849" w:hanging="708"/>
        <w:rPr>
          <w:noProof/>
          <w:szCs w:val="24"/>
          <w:lang w:val="fr-FR" w:bidi="yi-Hebr"/>
        </w:rPr>
      </w:pPr>
      <w:r w:rsidRPr="00C65506">
        <w:rPr>
          <w:b/>
          <w:szCs w:val="24"/>
          <w:lang w:val="fr-FR" w:bidi="yi-Hebr"/>
        </w:rPr>
        <w:t>C.</w:t>
      </w:r>
      <w:r w:rsidRPr="00C65506">
        <w:rPr>
          <w:b/>
          <w:noProof/>
          <w:szCs w:val="24"/>
          <w:lang w:val="fr-FR" w:bidi="yi-Hebr"/>
        </w:rPr>
        <w:tab/>
      </w:r>
      <w:r w:rsidRPr="00C65506">
        <w:rPr>
          <w:b/>
          <w:szCs w:val="24"/>
          <w:lang w:val="fr-FR" w:bidi="yi-Hebr"/>
        </w:rPr>
        <w:t>AUTRES CONDITIONS ET OBLIGATIONS DE L’AUTORISATION DE MISE SUR LE MARCHÉ</w:t>
      </w:r>
    </w:p>
    <w:p w:rsidR="00D146EF" w:rsidRPr="00C65506" w:rsidRDefault="00D146EF" w:rsidP="00496272">
      <w:pPr>
        <w:ind w:left="1701" w:right="1558" w:hanging="708"/>
        <w:rPr>
          <w:b/>
          <w:noProof/>
          <w:szCs w:val="22"/>
          <w:lang w:val="fr-FR"/>
        </w:rPr>
      </w:pPr>
    </w:p>
    <w:p w:rsidR="007F74FF" w:rsidRPr="00C65506" w:rsidRDefault="007F74FF" w:rsidP="007F74FF">
      <w:pPr>
        <w:suppressLineNumbers/>
        <w:ind w:left="1701" w:right="849" w:hanging="708"/>
        <w:rPr>
          <w:b/>
          <w:noProof/>
          <w:szCs w:val="24"/>
          <w:lang w:val="fr-FR" w:bidi="yi-Hebr"/>
        </w:rPr>
      </w:pPr>
      <w:r w:rsidRPr="00C65506">
        <w:rPr>
          <w:b/>
          <w:szCs w:val="24"/>
          <w:lang w:val="fr-FR" w:bidi="yi-Hebr"/>
        </w:rPr>
        <w:t>D.</w:t>
      </w:r>
      <w:r w:rsidRPr="00C65506">
        <w:rPr>
          <w:b/>
          <w:szCs w:val="24"/>
          <w:lang w:val="fr-FR" w:bidi="yi-Hebr"/>
        </w:rPr>
        <w:tab/>
      </w:r>
      <w:r w:rsidRPr="00C65506">
        <w:rPr>
          <w:b/>
          <w:caps/>
          <w:szCs w:val="24"/>
          <w:lang w:val="fr-FR" w:bidi="yi-Hebr"/>
        </w:rPr>
        <w:t>conditions ou restrictions en vue d’une utilisation sûre et efficace du médicament</w:t>
      </w:r>
    </w:p>
    <w:p w:rsidR="00812D16" w:rsidRPr="00C65506" w:rsidRDefault="00812D16" w:rsidP="00496272">
      <w:pPr>
        <w:ind w:right="-1"/>
        <w:rPr>
          <w:noProof/>
          <w:szCs w:val="22"/>
          <w:lang w:val="fr-FR"/>
        </w:rPr>
      </w:pPr>
    </w:p>
    <w:p w:rsidR="00911276" w:rsidRPr="00C65506" w:rsidRDefault="00911276" w:rsidP="00C95667">
      <w:pPr>
        <w:pStyle w:val="TitleB"/>
        <w:rPr>
          <w:lang w:val="fr-FR"/>
        </w:rPr>
      </w:pPr>
      <w:r w:rsidRPr="00C65506">
        <w:rPr>
          <w:lang w:val="fr-FR" w:bidi="yi-Hebr"/>
        </w:rPr>
        <w:br w:type="page"/>
      </w:r>
      <w:r w:rsidRPr="00C65506">
        <w:rPr>
          <w:lang w:val="fr-FR"/>
        </w:rPr>
        <w:lastRenderedPageBreak/>
        <w:t>A.</w:t>
      </w:r>
      <w:r w:rsidRPr="00C65506">
        <w:rPr>
          <w:lang w:val="fr-FR"/>
        </w:rPr>
        <w:tab/>
        <w:t xml:space="preserve">FABRICANT </w:t>
      </w:r>
      <w:r w:rsidR="00010B4C" w:rsidRPr="00C65506">
        <w:rPr>
          <w:lang w:val="fr-FR"/>
        </w:rPr>
        <w:t xml:space="preserve">DE LA SUBSTANCE ACTIVE </w:t>
      </w:r>
      <w:r w:rsidRPr="00C65506">
        <w:rPr>
          <w:lang w:val="fr-FR"/>
        </w:rPr>
        <w:t>D'ORIGINE BIOLOGIQUE ET FABRICANTS RESPONSABLES DE LA LIBÉRATION DES LOTS</w:t>
      </w:r>
    </w:p>
    <w:p w:rsidR="00812D16" w:rsidRPr="00C65506" w:rsidRDefault="00812D16" w:rsidP="00496272">
      <w:pPr>
        <w:ind w:right="-568"/>
        <w:rPr>
          <w:noProof/>
          <w:szCs w:val="22"/>
          <w:lang w:val="fr-FR"/>
        </w:rPr>
      </w:pPr>
    </w:p>
    <w:p w:rsidR="00911276" w:rsidRPr="00C65506" w:rsidRDefault="00911276" w:rsidP="00911276">
      <w:pPr>
        <w:ind w:right="-568"/>
        <w:outlineLvl w:val="0"/>
        <w:rPr>
          <w:noProof/>
          <w:szCs w:val="24"/>
          <w:u w:val="single"/>
          <w:lang w:val="fr-FR" w:bidi="yi-Hebr"/>
        </w:rPr>
      </w:pPr>
      <w:r w:rsidRPr="00C65506">
        <w:rPr>
          <w:szCs w:val="24"/>
          <w:u w:val="single"/>
          <w:lang w:val="fr-FR" w:bidi="yi-Hebr"/>
        </w:rPr>
        <w:t xml:space="preserve">Nom et adresse du fabricant </w:t>
      </w:r>
      <w:r w:rsidR="00010B4C" w:rsidRPr="00C65506">
        <w:rPr>
          <w:szCs w:val="24"/>
          <w:u w:val="single"/>
          <w:lang w:val="fr-FR" w:bidi="yi-Hebr"/>
        </w:rPr>
        <w:t>de la substance active</w:t>
      </w:r>
      <w:r w:rsidRPr="00C65506">
        <w:rPr>
          <w:szCs w:val="24"/>
          <w:u w:val="single"/>
          <w:lang w:val="fr-FR" w:bidi="yi-Hebr"/>
        </w:rPr>
        <w:t xml:space="preserve"> d’origine biologique</w:t>
      </w:r>
    </w:p>
    <w:p w:rsidR="00812D16" w:rsidRPr="00C65506" w:rsidRDefault="00812D16" w:rsidP="00496272">
      <w:pPr>
        <w:ind w:right="-568"/>
        <w:rPr>
          <w:noProof/>
          <w:szCs w:val="22"/>
          <w:lang w:val="fr-FR"/>
        </w:rPr>
      </w:pPr>
    </w:p>
    <w:p w:rsidR="00277DD8" w:rsidRPr="00162C74" w:rsidRDefault="00DB6B97" w:rsidP="00496272">
      <w:pPr>
        <w:numPr>
          <w:ilvl w:val="12"/>
          <w:numId w:val="0"/>
        </w:numPr>
        <w:tabs>
          <w:tab w:val="clear" w:pos="567"/>
        </w:tabs>
        <w:ind w:right="-568"/>
        <w:rPr>
          <w:bCs/>
          <w:szCs w:val="22"/>
          <w:lang w:val="de-DE"/>
        </w:rPr>
      </w:pPr>
      <w:r w:rsidRPr="00162C74">
        <w:rPr>
          <w:bCs/>
          <w:szCs w:val="22"/>
          <w:lang w:val="de-DE"/>
        </w:rPr>
        <w:t>Teva Biotech GmbH</w:t>
      </w:r>
    </w:p>
    <w:p w:rsidR="00277DD8" w:rsidRPr="00162C74" w:rsidRDefault="00277DD8" w:rsidP="00496272">
      <w:pPr>
        <w:numPr>
          <w:ilvl w:val="12"/>
          <w:numId w:val="0"/>
        </w:numPr>
        <w:tabs>
          <w:tab w:val="clear" w:pos="567"/>
        </w:tabs>
        <w:ind w:right="-568"/>
        <w:rPr>
          <w:bCs/>
          <w:szCs w:val="22"/>
          <w:lang w:val="de-DE"/>
        </w:rPr>
      </w:pPr>
      <w:r w:rsidRPr="00162C74">
        <w:rPr>
          <w:bCs/>
          <w:szCs w:val="22"/>
          <w:lang w:val="de-DE"/>
        </w:rPr>
        <w:t>Dornierstraße 10</w:t>
      </w:r>
    </w:p>
    <w:p w:rsidR="00277DD8" w:rsidRPr="00162C74" w:rsidRDefault="00A05962" w:rsidP="00496272">
      <w:pPr>
        <w:numPr>
          <w:ilvl w:val="12"/>
          <w:numId w:val="0"/>
        </w:numPr>
        <w:tabs>
          <w:tab w:val="clear" w:pos="567"/>
        </w:tabs>
        <w:ind w:right="-568"/>
        <w:rPr>
          <w:bCs/>
          <w:szCs w:val="22"/>
          <w:lang w:val="de-DE"/>
        </w:rPr>
      </w:pPr>
      <w:r w:rsidRPr="00162C74">
        <w:rPr>
          <w:bCs/>
          <w:szCs w:val="22"/>
          <w:lang w:val="de-DE"/>
        </w:rPr>
        <w:t>D-</w:t>
      </w:r>
      <w:r w:rsidR="00277DD8" w:rsidRPr="00162C74">
        <w:rPr>
          <w:bCs/>
          <w:szCs w:val="22"/>
          <w:lang w:val="de-DE"/>
        </w:rPr>
        <w:t>89079 Ulm</w:t>
      </w:r>
    </w:p>
    <w:p w:rsidR="00911276" w:rsidRPr="00C65506" w:rsidRDefault="00911276" w:rsidP="00911276">
      <w:pPr>
        <w:tabs>
          <w:tab w:val="clear" w:pos="567"/>
        </w:tabs>
        <w:ind w:right="-568"/>
        <w:rPr>
          <w:szCs w:val="24"/>
          <w:lang w:val="fr-FR" w:bidi="yi-Hebr"/>
        </w:rPr>
      </w:pPr>
      <w:r w:rsidRPr="00C65506">
        <w:rPr>
          <w:szCs w:val="24"/>
          <w:lang w:val="fr-FR" w:bidi="yi-Hebr"/>
        </w:rPr>
        <w:t>Allemagne</w:t>
      </w:r>
    </w:p>
    <w:p w:rsidR="00812D16" w:rsidRPr="00C65506" w:rsidRDefault="00812D16" w:rsidP="00496272">
      <w:pPr>
        <w:ind w:right="-568"/>
        <w:rPr>
          <w:noProof/>
          <w:szCs w:val="22"/>
          <w:lang w:val="fr-FR"/>
        </w:rPr>
      </w:pPr>
    </w:p>
    <w:p w:rsidR="00911276" w:rsidRPr="00C65506" w:rsidRDefault="00911276" w:rsidP="00911276">
      <w:pPr>
        <w:ind w:right="-568"/>
        <w:outlineLvl w:val="0"/>
        <w:rPr>
          <w:noProof/>
          <w:szCs w:val="24"/>
          <w:lang w:val="fr-FR" w:bidi="yi-Hebr"/>
        </w:rPr>
      </w:pPr>
      <w:r w:rsidRPr="00C65506">
        <w:rPr>
          <w:szCs w:val="24"/>
          <w:u w:val="single"/>
          <w:lang w:val="fr-FR" w:bidi="yi-Hebr"/>
        </w:rPr>
        <w:t>Nom et adresse des fabricants responsables de la libération des lots</w:t>
      </w:r>
    </w:p>
    <w:p w:rsidR="00812D16" w:rsidRPr="00C65506" w:rsidRDefault="00812D16" w:rsidP="00496272">
      <w:pPr>
        <w:ind w:right="-568"/>
        <w:rPr>
          <w:noProof/>
          <w:szCs w:val="22"/>
          <w:lang w:val="fr-FR"/>
        </w:rPr>
      </w:pPr>
    </w:p>
    <w:p w:rsidR="00277DD8" w:rsidRPr="00162C74" w:rsidRDefault="00DB6B97" w:rsidP="00496272">
      <w:pPr>
        <w:numPr>
          <w:ilvl w:val="12"/>
          <w:numId w:val="0"/>
        </w:numPr>
        <w:tabs>
          <w:tab w:val="clear" w:pos="567"/>
        </w:tabs>
        <w:ind w:right="-568"/>
        <w:rPr>
          <w:bCs/>
          <w:szCs w:val="22"/>
          <w:lang w:val="de-DE"/>
        </w:rPr>
      </w:pPr>
      <w:r w:rsidRPr="00162C74">
        <w:rPr>
          <w:bCs/>
          <w:szCs w:val="22"/>
          <w:lang w:val="de-DE"/>
        </w:rPr>
        <w:t>Teva Biotech GmbH</w:t>
      </w:r>
    </w:p>
    <w:p w:rsidR="00277DD8" w:rsidRPr="00162C74" w:rsidRDefault="00277DD8" w:rsidP="00496272">
      <w:pPr>
        <w:numPr>
          <w:ilvl w:val="12"/>
          <w:numId w:val="0"/>
        </w:numPr>
        <w:tabs>
          <w:tab w:val="clear" w:pos="567"/>
        </w:tabs>
        <w:ind w:right="-568"/>
        <w:rPr>
          <w:bCs/>
          <w:szCs w:val="22"/>
          <w:lang w:val="de-DE"/>
        </w:rPr>
      </w:pPr>
      <w:r w:rsidRPr="00162C74">
        <w:rPr>
          <w:bCs/>
          <w:szCs w:val="22"/>
          <w:lang w:val="de-DE"/>
        </w:rPr>
        <w:t>Dornierstraße 10</w:t>
      </w:r>
    </w:p>
    <w:p w:rsidR="00277DD8" w:rsidRPr="00162C74" w:rsidRDefault="00A05962" w:rsidP="00496272">
      <w:pPr>
        <w:numPr>
          <w:ilvl w:val="12"/>
          <w:numId w:val="0"/>
        </w:numPr>
        <w:tabs>
          <w:tab w:val="clear" w:pos="567"/>
        </w:tabs>
        <w:ind w:right="-568"/>
        <w:rPr>
          <w:bCs/>
          <w:szCs w:val="22"/>
          <w:lang w:val="de-DE"/>
        </w:rPr>
      </w:pPr>
      <w:r w:rsidRPr="00162C74">
        <w:rPr>
          <w:bCs/>
          <w:szCs w:val="22"/>
          <w:lang w:val="de-DE"/>
        </w:rPr>
        <w:t>D-</w:t>
      </w:r>
      <w:r w:rsidR="00277DD8" w:rsidRPr="00162C74">
        <w:rPr>
          <w:bCs/>
          <w:szCs w:val="22"/>
          <w:lang w:val="de-DE"/>
        </w:rPr>
        <w:t>89079 Ulm</w:t>
      </w:r>
    </w:p>
    <w:p w:rsidR="00911276" w:rsidRPr="00C65506" w:rsidRDefault="00911276" w:rsidP="00911276">
      <w:pPr>
        <w:tabs>
          <w:tab w:val="clear" w:pos="567"/>
        </w:tabs>
        <w:ind w:right="-568"/>
        <w:rPr>
          <w:szCs w:val="24"/>
          <w:lang w:val="fr-FR" w:bidi="yi-Hebr"/>
        </w:rPr>
      </w:pPr>
      <w:r w:rsidRPr="00C65506">
        <w:rPr>
          <w:szCs w:val="24"/>
          <w:lang w:val="fr-FR" w:bidi="yi-Hebr"/>
        </w:rPr>
        <w:t>Allemagne</w:t>
      </w:r>
    </w:p>
    <w:p w:rsidR="00812D16" w:rsidRPr="00C65506" w:rsidRDefault="00812D16" w:rsidP="00496272">
      <w:pPr>
        <w:ind w:right="-568"/>
        <w:rPr>
          <w:noProof/>
          <w:szCs w:val="22"/>
          <w:lang w:val="fr-FR"/>
        </w:rPr>
      </w:pPr>
    </w:p>
    <w:p w:rsidR="008B100E" w:rsidRPr="00C65506" w:rsidRDefault="008B100E" w:rsidP="00496272">
      <w:pPr>
        <w:ind w:right="-568"/>
        <w:rPr>
          <w:noProof/>
          <w:szCs w:val="22"/>
          <w:lang w:val="fr-FR"/>
        </w:rPr>
      </w:pPr>
      <w:r w:rsidRPr="00C65506">
        <w:rPr>
          <w:noProof/>
          <w:szCs w:val="22"/>
          <w:lang w:val="fr-FR"/>
        </w:rPr>
        <w:t>Teva Pharmaceuticals Europe B.V.</w:t>
      </w:r>
    </w:p>
    <w:p w:rsidR="008B100E" w:rsidRPr="00C65506" w:rsidRDefault="008B100E" w:rsidP="00496272">
      <w:pPr>
        <w:ind w:right="-568"/>
        <w:rPr>
          <w:noProof/>
          <w:szCs w:val="22"/>
          <w:lang w:val="fr-FR"/>
        </w:rPr>
      </w:pPr>
      <w:r w:rsidRPr="00C65506">
        <w:rPr>
          <w:noProof/>
          <w:szCs w:val="22"/>
          <w:lang w:val="fr-FR"/>
        </w:rPr>
        <w:t>Swensweg 5</w:t>
      </w:r>
    </w:p>
    <w:p w:rsidR="008B100E" w:rsidRPr="00C65506" w:rsidRDefault="00A05962" w:rsidP="00496272">
      <w:pPr>
        <w:ind w:right="-568"/>
        <w:rPr>
          <w:noProof/>
          <w:szCs w:val="22"/>
          <w:lang w:val="fr-FR"/>
        </w:rPr>
      </w:pPr>
      <w:r w:rsidRPr="00C65506">
        <w:rPr>
          <w:noProof/>
          <w:szCs w:val="22"/>
          <w:lang w:val="fr-FR"/>
        </w:rPr>
        <w:t>NL-</w:t>
      </w:r>
      <w:r w:rsidR="008B100E" w:rsidRPr="00C65506">
        <w:rPr>
          <w:noProof/>
          <w:szCs w:val="22"/>
          <w:lang w:val="fr-FR"/>
        </w:rPr>
        <w:t>2031 GA Haarlem</w:t>
      </w:r>
    </w:p>
    <w:p w:rsidR="009317B9" w:rsidRPr="00C65506" w:rsidRDefault="00B25621" w:rsidP="009317B9">
      <w:pPr>
        <w:ind w:right="-568"/>
        <w:rPr>
          <w:szCs w:val="24"/>
          <w:lang w:val="fr-FR" w:bidi="yi-Hebr"/>
        </w:rPr>
      </w:pPr>
      <w:r w:rsidRPr="00C65506">
        <w:rPr>
          <w:szCs w:val="24"/>
          <w:lang w:val="fr-FR" w:bidi="yi-Hebr"/>
        </w:rPr>
        <w:t>Pays-Bas</w:t>
      </w:r>
    </w:p>
    <w:p w:rsidR="00142F07" w:rsidRPr="00C65506" w:rsidRDefault="00142F07" w:rsidP="009317B9">
      <w:pPr>
        <w:ind w:right="-568"/>
        <w:rPr>
          <w:rFonts w:eastAsia="Times New Roman"/>
          <w:noProof/>
          <w:szCs w:val="22"/>
          <w:lang w:val="fr-FR"/>
        </w:rPr>
      </w:pPr>
    </w:p>
    <w:p w:rsidR="00142F07" w:rsidRPr="00C65506" w:rsidRDefault="00142F07" w:rsidP="00142F07">
      <w:pPr>
        <w:ind w:right="-568"/>
        <w:rPr>
          <w:noProof/>
          <w:szCs w:val="22"/>
          <w:lang w:val="fr-FR"/>
        </w:rPr>
      </w:pPr>
      <w:r w:rsidRPr="00C65506">
        <w:rPr>
          <w:noProof/>
          <w:szCs w:val="22"/>
          <w:lang w:val="fr-FR"/>
        </w:rPr>
        <w:t>Merckle GmbH</w:t>
      </w:r>
    </w:p>
    <w:p w:rsidR="00142F07" w:rsidRPr="00C65506" w:rsidRDefault="00142F07" w:rsidP="00142F07">
      <w:pPr>
        <w:ind w:right="-568"/>
        <w:rPr>
          <w:noProof/>
          <w:szCs w:val="22"/>
          <w:lang w:val="fr-FR"/>
        </w:rPr>
      </w:pPr>
      <w:r w:rsidRPr="00C65506">
        <w:rPr>
          <w:noProof/>
          <w:szCs w:val="22"/>
          <w:lang w:val="fr-FR"/>
        </w:rPr>
        <w:t>Graf-Arco-Straße 3</w:t>
      </w:r>
    </w:p>
    <w:p w:rsidR="00142F07" w:rsidRPr="00C65506" w:rsidRDefault="00142F07" w:rsidP="00142F07">
      <w:pPr>
        <w:ind w:right="-568"/>
        <w:rPr>
          <w:noProof/>
          <w:szCs w:val="22"/>
          <w:lang w:val="fr-FR"/>
        </w:rPr>
      </w:pPr>
      <w:r w:rsidRPr="00C65506">
        <w:rPr>
          <w:noProof/>
          <w:szCs w:val="22"/>
          <w:lang w:val="fr-FR"/>
        </w:rPr>
        <w:t xml:space="preserve">89079 Ulm, </w:t>
      </w:r>
    </w:p>
    <w:p w:rsidR="00142F07" w:rsidRPr="00C65506" w:rsidRDefault="00142F07" w:rsidP="00142F07">
      <w:pPr>
        <w:tabs>
          <w:tab w:val="clear" w:pos="567"/>
        </w:tabs>
        <w:ind w:right="-568"/>
        <w:rPr>
          <w:szCs w:val="24"/>
          <w:lang w:val="fr-FR" w:bidi="yi-Hebr"/>
        </w:rPr>
      </w:pPr>
      <w:r w:rsidRPr="00C65506">
        <w:rPr>
          <w:szCs w:val="24"/>
          <w:lang w:val="fr-FR" w:bidi="yi-Hebr"/>
        </w:rPr>
        <w:t>Allemagne</w:t>
      </w:r>
    </w:p>
    <w:p w:rsidR="009317B9" w:rsidRPr="00C65506" w:rsidRDefault="009317B9" w:rsidP="009317B9">
      <w:pPr>
        <w:ind w:right="-568"/>
        <w:rPr>
          <w:rFonts w:eastAsia="Times New Roman"/>
          <w:noProof/>
          <w:szCs w:val="22"/>
          <w:lang w:val="fr-FR"/>
        </w:rPr>
      </w:pPr>
    </w:p>
    <w:p w:rsidR="00911276" w:rsidRPr="00C65506" w:rsidRDefault="00911276" w:rsidP="00911276">
      <w:pPr>
        <w:ind w:right="-568"/>
        <w:rPr>
          <w:noProof/>
          <w:szCs w:val="24"/>
          <w:lang w:val="fr-FR" w:bidi="yi-Hebr"/>
        </w:rPr>
      </w:pPr>
      <w:r w:rsidRPr="00C65506">
        <w:rPr>
          <w:szCs w:val="24"/>
          <w:lang w:val="fr-FR" w:bidi="yi-Hebr"/>
        </w:rPr>
        <w:t>Le nom et l’adresse du fabricant responsable de la libération du lot concerné doivent figurer sur la notice du médicament.</w:t>
      </w:r>
    </w:p>
    <w:p w:rsidR="008B100E" w:rsidRPr="00C65506" w:rsidRDefault="008B100E" w:rsidP="00496272">
      <w:pPr>
        <w:ind w:right="-568"/>
        <w:rPr>
          <w:noProof/>
          <w:szCs w:val="22"/>
          <w:lang w:val="fr-FR"/>
        </w:rPr>
      </w:pPr>
    </w:p>
    <w:p w:rsidR="00812D16" w:rsidRPr="00C65506" w:rsidRDefault="00812D16" w:rsidP="00496272">
      <w:pPr>
        <w:ind w:right="-568"/>
        <w:rPr>
          <w:noProof/>
          <w:szCs w:val="22"/>
          <w:lang w:val="fr-FR"/>
        </w:rPr>
      </w:pPr>
    </w:p>
    <w:p w:rsidR="00911276" w:rsidRPr="00C65506" w:rsidRDefault="00911276" w:rsidP="00C95667">
      <w:pPr>
        <w:pStyle w:val="TitleB"/>
        <w:rPr>
          <w:lang w:val="fr-FR"/>
        </w:rPr>
      </w:pPr>
      <w:bookmarkStart w:id="3" w:name="OLE_LINK2"/>
      <w:r w:rsidRPr="00C65506">
        <w:rPr>
          <w:lang w:val="fr-FR"/>
        </w:rPr>
        <w:t>B.</w:t>
      </w:r>
      <w:r w:rsidRPr="00C65506">
        <w:rPr>
          <w:lang w:val="fr-FR"/>
        </w:rPr>
        <w:tab/>
        <w:t>CONDITIONS OU RESTRICTIONS DE DÉLIVRANCE ET D’UTILISATION</w:t>
      </w:r>
    </w:p>
    <w:bookmarkEnd w:id="3"/>
    <w:p w:rsidR="00812D16" w:rsidRPr="00C65506" w:rsidRDefault="00812D16" w:rsidP="00496272">
      <w:pPr>
        <w:ind w:right="-568"/>
        <w:rPr>
          <w:noProof/>
          <w:szCs w:val="22"/>
          <w:lang w:val="fr-FR"/>
        </w:rPr>
      </w:pPr>
    </w:p>
    <w:p w:rsidR="00911276" w:rsidRPr="00C65506" w:rsidRDefault="00911276" w:rsidP="00911276">
      <w:pPr>
        <w:numPr>
          <w:ilvl w:val="12"/>
          <w:numId w:val="0"/>
        </w:numPr>
        <w:ind w:right="-568"/>
        <w:rPr>
          <w:noProof/>
          <w:szCs w:val="24"/>
          <w:lang w:val="fr-FR" w:bidi="yi-Hebr"/>
        </w:rPr>
      </w:pPr>
      <w:r w:rsidRPr="00C65506">
        <w:rPr>
          <w:szCs w:val="24"/>
          <w:lang w:val="fr-FR" w:bidi="yi-Hebr"/>
        </w:rPr>
        <w:t xml:space="preserve">Médicament soumis à prescription médicale restreinte (voir </w:t>
      </w:r>
      <w:r w:rsidR="00010B4C" w:rsidRPr="00C65506">
        <w:rPr>
          <w:szCs w:val="24"/>
          <w:lang w:val="fr-FR" w:bidi="yi-Hebr"/>
        </w:rPr>
        <w:t>annexe </w:t>
      </w:r>
      <w:r w:rsidRPr="00C65506">
        <w:rPr>
          <w:szCs w:val="24"/>
          <w:lang w:val="fr-FR" w:bidi="yi-Hebr"/>
        </w:rPr>
        <w:t>I :</w:t>
      </w:r>
      <w:r w:rsidRPr="00C65506">
        <w:rPr>
          <w:noProof/>
          <w:szCs w:val="24"/>
          <w:lang w:val="fr-FR" w:bidi="yi-Hebr"/>
        </w:rPr>
        <w:t xml:space="preserve"> </w:t>
      </w:r>
      <w:r w:rsidR="000A1E97" w:rsidRPr="00C65506">
        <w:rPr>
          <w:szCs w:val="24"/>
          <w:lang w:val="fr-FR" w:bidi="yi-Hebr"/>
        </w:rPr>
        <w:t>R</w:t>
      </w:r>
      <w:r w:rsidR="00010B4C" w:rsidRPr="00C65506">
        <w:rPr>
          <w:szCs w:val="24"/>
          <w:lang w:val="fr-FR" w:bidi="yi-Hebr"/>
        </w:rPr>
        <w:t xml:space="preserve">ésumé </w:t>
      </w:r>
      <w:r w:rsidRPr="00C65506">
        <w:rPr>
          <w:szCs w:val="24"/>
          <w:lang w:val="fr-FR" w:bidi="yi-Hebr"/>
        </w:rPr>
        <w:t xml:space="preserve">des </w:t>
      </w:r>
      <w:r w:rsidR="000A1E97" w:rsidRPr="00C65506">
        <w:rPr>
          <w:szCs w:val="24"/>
          <w:lang w:val="fr-FR" w:bidi="yi-Hebr"/>
        </w:rPr>
        <w:t>C</w:t>
      </w:r>
      <w:r w:rsidRPr="00C65506">
        <w:rPr>
          <w:szCs w:val="24"/>
          <w:lang w:val="fr-FR" w:bidi="yi-Hebr"/>
        </w:rPr>
        <w:t xml:space="preserve">aractéristiques du </w:t>
      </w:r>
      <w:r w:rsidR="00010B4C" w:rsidRPr="00C65506">
        <w:rPr>
          <w:szCs w:val="24"/>
          <w:lang w:val="fr-FR" w:bidi="yi-Hebr"/>
        </w:rPr>
        <w:t>Produit</w:t>
      </w:r>
      <w:r w:rsidRPr="00C65506">
        <w:rPr>
          <w:szCs w:val="24"/>
          <w:lang w:val="fr-FR" w:bidi="yi-Hebr"/>
        </w:rPr>
        <w:t>, rubrique 4.2).</w:t>
      </w:r>
    </w:p>
    <w:p w:rsidR="00812D16" w:rsidRPr="00C65506" w:rsidRDefault="00812D16" w:rsidP="00496272">
      <w:pPr>
        <w:numPr>
          <w:ilvl w:val="12"/>
          <w:numId w:val="0"/>
        </w:numPr>
        <w:ind w:right="-568"/>
        <w:rPr>
          <w:noProof/>
          <w:szCs w:val="22"/>
          <w:lang w:val="fr-FR"/>
        </w:rPr>
      </w:pPr>
    </w:p>
    <w:p w:rsidR="00C97C7F" w:rsidRPr="00C65506" w:rsidRDefault="00C97C7F" w:rsidP="00496272">
      <w:pPr>
        <w:numPr>
          <w:ilvl w:val="12"/>
          <w:numId w:val="0"/>
        </w:numPr>
        <w:ind w:right="-568"/>
        <w:rPr>
          <w:noProof/>
          <w:szCs w:val="22"/>
          <w:lang w:val="fr-FR"/>
        </w:rPr>
      </w:pPr>
    </w:p>
    <w:p w:rsidR="00911276" w:rsidRPr="00C65506" w:rsidRDefault="00911276" w:rsidP="00C95667">
      <w:pPr>
        <w:pStyle w:val="TitleB"/>
        <w:rPr>
          <w:lang w:val="fr-FR"/>
        </w:rPr>
      </w:pPr>
      <w:r w:rsidRPr="00C65506">
        <w:rPr>
          <w:lang w:val="fr-FR"/>
        </w:rPr>
        <w:t>C.</w:t>
      </w:r>
      <w:r w:rsidRPr="00C65506">
        <w:rPr>
          <w:lang w:val="fr-FR"/>
        </w:rPr>
        <w:tab/>
        <w:t>AUTRES CONDITIONS ET OBLIGATIONS DE L’AUTORISATION DE MISE SUR LE MARCHÉ</w:t>
      </w:r>
    </w:p>
    <w:p w:rsidR="00812D16" w:rsidRPr="00C65506" w:rsidRDefault="00812D16" w:rsidP="00496272">
      <w:pPr>
        <w:ind w:right="-568"/>
        <w:rPr>
          <w:noProof/>
          <w:szCs w:val="22"/>
          <w:lang w:val="fr-FR"/>
        </w:rPr>
      </w:pPr>
    </w:p>
    <w:p w:rsidR="00911276" w:rsidRPr="00C65506" w:rsidRDefault="00911276" w:rsidP="00297FB7">
      <w:pPr>
        <w:numPr>
          <w:ilvl w:val="0"/>
          <w:numId w:val="12"/>
        </w:numPr>
        <w:ind w:left="567" w:hanging="567"/>
        <w:rPr>
          <w:noProof/>
          <w:szCs w:val="24"/>
          <w:lang w:val="fr-FR" w:bidi="yi-Hebr"/>
        </w:rPr>
      </w:pPr>
      <w:r w:rsidRPr="00C65506">
        <w:rPr>
          <w:b/>
          <w:szCs w:val="24"/>
          <w:lang w:val="fr-FR" w:bidi="yi-Hebr"/>
        </w:rPr>
        <w:t>Rapports périodiques actualisés de sécurité (PSUR)</w:t>
      </w:r>
    </w:p>
    <w:p w:rsidR="00D146EF" w:rsidRPr="00C65506" w:rsidRDefault="00D146EF" w:rsidP="00496272">
      <w:pPr>
        <w:ind w:right="-568"/>
        <w:rPr>
          <w:noProof/>
          <w:szCs w:val="22"/>
          <w:lang w:val="fr-FR"/>
        </w:rPr>
      </w:pPr>
    </w:p>
    <w:p w:rsidR="0054510A" w:rsidRPr="00C65506" w:rsidRDefault="00AA76F4" w:rsidP="00ED6E8E">
      <w:pPr>
        <w:ind w:right="-568"/>
        <w:rPr>
          <w:szCs w:val="22"/>
          <w:lang w:val="fr-FR" w:bidi="fr-FR"/>
        </w:rPr>
      </w:pPr>
      <w:r w:rsidRPr="00C65506">
        <w:rPr>
          <w:szCs w:val="22"/>
          <w:lang w:val="fr-FR" w:bidi="fr-FR"/>
        </w:rPr>
        <w:t>Les exigences relatives à la soumission des rapports périodiques actualisés de sécurité pour ce médicament sont définies dans la liste des dates de référence pour l’Union (liste EURD) prévue à l’article 107 quater, paragraphe 7, de la directive 2001/83/CE et ses actualisations publiées sur le portail web européen des médicaments.</w:t>
      </w:r>
    </w:p>
    <w:p w:rsidR="00D146EF" w:rsidRPr="00C65506" w:rsidRDefault="00D146EF" w:rsidP="00496272">
      <w:pPr>
        <w:ind w:right="-568"/>
        <w:rPr>
          <w:noProof/>
          <w:szCs w:val="22"/>
          <w:lang w:val="fr-FR"/>
        </w:rPr>
      </w:pPr>
    </w:p>
    <w:p w:rsidR="00D146EF" w:rsidRPr="00C65506" w:rsidRDefault="00D146EF" w:rsidP="00496272">
      <w:pPr>
        <w:ind w:right="-568"/>
        <w:rPr>
          <w:noProof/>
          <w:szCs w:val="22"/>
          <w:lang w:val="fr-FR"/>
        </w:rPr>
      </w:pPr>
    </w:p>
    <w:p w:rsidR="0058075B" w:rsidRPr="00C65506" w:rsidRDefault="0058075B" w:rsidP="00C95667">
      <w:pPr>
        <w:pStyle w:val="TitleB"/>
        <w:rPr>
          <w:lang w:val="fr-FR"/>
        </w:rPr>
      </w:pPr>
      <w:r w:rsidRPr="00C65506">
        <w:rPr>
          <w:lang w:val="fr-FR"/>
        </w:rPr>
        <w:t>D.</w:t>
      </w:r>
      <w:r w:rsidRPr="00C65506">
        <w:rPr>
          <w:lang w:val="fr-FR"/>
        </w:rPr>
        <w:tab/>
        <w:t>CONDITIONS OU RESTRICTIONS EN VUE D’UNE UTILISATION SÛRE ET EFFICACE DU MÉDICAMENT</w:t>
      </w:r>
    </w:p>
    <w:p w:rsidR="00DC0D79" w:rsidRPr="00C65506" w:rsidRDefault="00DC0D79" w:rsidP="00496272">
      <w:pPr>
        <w:suppressLineNumbers/>
        <w:ind w:left="567" w:right="-568" w:hanging="567"/>
        <w:rPr>
          <w:b/>
          <w:bCs/>
          <w:szCs w:val="22"/>
          <w:lang w:val="fr-FR"/>
        </w:rPr>
      </w:pPr>
    </w:p>
    <w:p w:rsidR="0058075B" w:rsidRPr="00C65506" w:rsidRDefault="0058075B" w:rsidP="00297FB7">
      <w:pPr>
        <w:numPr>
          <w:ilvl w:val="0"/>
          <w:numId w:val="12"/>
        </w:numPr>
        <w:ind w:left="567" w:hanging="567"/>
        <w:rPr>
          <w:b/>
          <w:szCs w:val="24"/>
          <w:lang w:val="fr-FR" w:bidi="yi-Hebr"/>
        </w:rPr>
      </w:pPr>
      <w:r w:rsidRPr="00C65506">
        <w:rPr>
          <w:b/>
          <w:szCs w:val="24"/>
          <w:lang w:val="fr-FR" w:bidi="yi-Hebr"/>
        </w:rPr>
        <w:t>Plan de gestion des risques (PGR)</w:t>
      </w:r>
    </w:p>
    <w:p w:rsidR="00ED6E8E" w:rsidRPr="00C65506" w:rsidRDefault="00ED6E8E" w:rsidP="0058075B">
      <w:pPr>
        <w:tabs>
          <w:tab w:val="clear" w:pos="567"/>
          <w:tab w:val="left" w:pos="0"/>
        </w:tabs>
        <w:ind w:right="567"/>
        <w:rPr>
          <w:szCs w:val="24"/>
          <w:lang w:val="fr-FR" w:bidi="yi-Hebr"/>
        </w:rPr>
      </w:pPr>
    </w:p>
    <w:p w:rsidR="0058075B" w:rsidRPr="00C65506" w:rsidRDefault="0058075B" w:rsidP="0058075B">
      <w:pPr>
        <w:tabs>
          <w:tab w:val="clear" w:pos="567"/>
          <w:tab w:val="left" w:pos="0"/>
        </w:tabs>
        <w:ind w:right="567"/>
        <w:rPr>
          <w:noProof/>
          <w:szCs w:val="24"/>
          <w:lang w:val="fr-FR" w:bidi="yi-Hebr"/>
        </w:rPr>
      </w:pPr>
      <w:r w:rsidRPr="00C65506">
        <w:rPr>
          <w:szCs w:val="24"/>
          <w:lang w:val="fr-FR" w:bidi="yi-Hebr"/>
        </w:rPr>
        <w:t xml:space="preserve">Le titulaire de l’autorisation de mise sur le marché réalise les activités </w:t>
      </w:r>
      <w:r w:rsidR="00AA76F4" w:rsidRPr="00C65506">
        <w:rPr>
          <w:szCs w:val="24"/>
          <w:lang w:val="fr-FR" w:bidi="yi-Hebr"/>
        </w:rPr>
        <w:t xml:space="preserve">de pharmacovigilance </w:t>
      </w:r>
      <w:r w:rsidRPr="00C65506">
        <w:rPr>
          <w:szCs w:val="24"/>
          <w:lang w:val="fr-FR" w:bidi="yi-Hebr"/>
        </w:rPr>
        <w:t>et interventions requises décrites dans le PGR adopté et présenté dans le Module 1.8.2 de l’autorisation de mise sur le marché, ainsi que toutes actualisations ultérieures adoptées du PGR.</w:t>
      </w:r>
    </w:p>
    <w:p w:rsidR="00DC0D79" w:rsidRPr="00C65506" w:rsidRDefault="00DC0D79" w:rsidP="00496272">
      <w:pPr>
        <w:ind w:right="567"/>
        <w:rPr>
          <w:noProof/>
          <w:szCs w:val="22"/>
          <w:lang w:val="fr-FR"/>
        </w:rPr>
      </w:pPr>
    </w:p>
    <w:p w:rsidR="0058075B" w:rsidRPr="00C65506" w:rsidRDefault="0058075B" w:rsidP="0058075B">
      <w:pPr>
        <w:ind w:right="567"/>
        <w:rPr>
          <w:noProof/>
          <w:szCs w:val="24"/>
          <w:lang w:val="fr-FR" w:bidi="yi-Hebr"/>
        </w:rPr>
      </w:pPr>
      <w:r w:rsidRPr="00C65506">
        <w:rPr>
          <w:szCs w:val="24"/>
          <w:lang w:val="fr-FR" w:bidi="yi-Hebr"/>
        </w:rPr>
        <w:lastRenderedPageBreak/>
        <w:t>De plus, un PGR actualisé doit être soumis :</w:t>
      </w:r>
    </w:p>
    <w:p w:rsidR="0058075B" w:rsidRPr="00C65506" w:rsidRDefault="0058075B" w:rsidP="00297FB7">
      <w:pPr>
        <w:numPr>
          <w:ilvl w:val="0"/>
          <w:numId w:val="12"/>
        </w:numPr>
        <w:ind w:left="567" w:right="567" w:hanging="283"/>
        <w:rPr>
          <w:noProof/>
          <w:szCs w:val="24"/>
          <w:lang w:val="fr-FR" w:bidi="yi-Hebr"/>
        </w:rPr>
      </w:pPr>
      <w:r w:rsidRPr="00C65506">
        <w:rPr>
          <w:szCs w:val="24"/>
          <w:lang w:val="fr-FR" w:bidi="yi-Hebr"/>
        </w:rPr>
        <w:t>à la demande de l’Agence européenne des médicaments ;</w:t>
      </w:r>
    </w:p>
    <w:p w:rsidR="0058075B" w:rsidRPr="00C65506" w:rsidRDefault="0058075B" w:rsidP="00297FB7">
      <w:pPr>
        <w:numPr>
          <w:ilvl w:val="0"/>
          <w:numId w:val="12"/>
        </w:numPr>
        <w:ind w:left="567" w:right="567" w:hanging="283"/>
        <w:rPr>
          <w:noProof/>
          <w:szCs w:val="24"/>
          <w:lang w:val="fr-FR" w:bidi="yi-Hebr"/>
        </w:rPr>
      </w:pPr>
      <w:r w:rsidRPr="00C65506">
        <w:rPr>
          <w:szCs w:val="24"/>
          <w:lang w:val="fr-FR" w:bidi="yi-Hebr"/>
        </w:rPr>
        <w:t xml:space="preserve">dès lors que le système de gestion des risques est modifié, notamment en cas de réception de nouvelles informations pouvant entraîner un changement significatif du profil bénéfice/risque, ou lorsqu’une étape importante (pharmacovigilance ou </w:t>
      </w:r>
      <w:r w:rsidR="001B3DBD" w:rsidRPr="00C65506">
        <w:rPr>
          <w:szCs w:val="24"/>
          <w:lang w:val="fr-FR" w:bidi="yi-Hebr"/>
        </w:rPr>
        <w:t>réduction</w:t>
      </w:r>
      <w:r w:rsidR="00AA76F4" w:rsidRPr="00C65506">
        <w:rPr>
          <w:szCs w:val="24"/>
          <w:lang w:val="fr-FR" w:bidi="yi-Hebr"/>
        </w:rPr>
        <w:t xml:space="preserve"> </w:t>
      </w:r>
      <w:r w:rsidRPr="00C65506">
        <w:rPr>
          <w:szCs w:val="24"/>
          <w:lang w:val="fr-FR" w:bidi="yi-Hebr"/>
        </w:rPr>
        <w:t>du risque) est franchie.</w:t>
      </w:r>
    </w:p>
    <w:p w:rsidR="00ED6E8E" w:rsidRPr="00C65506" w:rsidRDefault="00ED6E8E" w:rsidP="00ED6E8E">
      <w:pPr>
        <w:ind w:right="-1"/>
        <w:rPr>
          <w:szCs w:val="22"/>
          <w:lang w:val="fr-FR"/>
        </w:rPr>
      </w:pPr>
    </w:p>
    <w:p w:rsidR="00812D16" w:rsidRPr="00C65506" w:rsidRDefault="00812D16" w:rsidP="00496272">
      <w:pPr>
        <w:ind w:right="-1"/>
        <w:jc w:val="center"/>
        <w:rPr>
          <w:noProof/>
          <w:szCs w:val="22"/>
          <w:lang w:val="fr-FR"/>
        </w:rPr>
      </w:pPr>
      <w:r w:rsidRPr="00C65506">
        <w:rPr>
          <w:b/>
          <w:noProof/>
          <w:szCs w:val="22"/>
          <w:lang w:val="fr-FR"/>
        </w:rPr>
        <w:br w:type="page"/>
      </w: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rPr>
          <w:noProof/>
          <w:szCs w:val="22"/>
          <w:lang w:val="fr-FR"/>
        </w:rPr>
      </w:pPr>
    </w:p>
    <w:p w:rsidR="00812D16" w:rsidRPr="00C65506" w:rsidRDefault="00812D16" w:rsidP="00496272">
      <w:pPr>
        <w:jc w:val="center"/>
        <w:outlineLvl w:val="0"/>
        <w:rPr>
          <w:b/>
          <w:noProof/>
          <w:szCs w:val="22"/>
          <w:lang w:val="fr-FR"/>
        </w:rPr>
      </w:pPr>
    </w:p>
    <w:p w:rsidR="00812D16" w:rsidRPr="00C65506" w:rsidRDefault="00812D16" w:rsidP="00496272">
      <w:pPr>
        <w:jc w:val="center"/>
        <w:outlineLvl w:val="0"/>
        <w:rPr>
          <w:b/>
          <w:noProof/>
          <w:szCs w:val="22"/>
          <w:lang w:val="fr-FR"/>
        </w:rPr>
      </w:pPr>
    </w:p>
    <w:p w:rsidR="00812D16" w:rsidRPr="00C65506" w:rsidRDefault="00812D16" w:rsidP="00496272">
      <w:pPr>
        <w:jc w:val="center"/>
        <w:outlineLvl w:val="0"/>
        <w:rPr>
          <w:b/>
          <w:noProof/>
          <w:szCs w:val="22"/>
          <w:lang w:val="fr-FR"/>
        </w:rPr>
      </w:pPr>
    </w:p>
    <w:p w:rsidR="00812D16" w:rsidRPr="00C65506" w:rsidRDefault="00812D16" w:rsidP="00496272">
      <w:pPr>
        <w:jc w:val="center"/>
        <w:outlineLvl w:val="0"/>
        <w:rPr>
          <w:b/>
          <w:noProof/>
          <w:szCs w:val="22"/>
          <w:lang w:val="fr-FR"/>
        </w:rPr>
      </w:pPr>
    </w:p>
    <w:p w:rsidR="00812D16" w:rsidRPr="00C65506" w:rsidRDefault="00812D16" w:rsidP="00496272">
      <w:pPr>
        <w:jc w:val="center"/>
        <w:outlineLvl w:val="0"/>
        <w:rPr>
          <w:b/>
          <w:noProof/>
          <w:szCs w:val="22"/>
          <w:lang w:val="fr-FR"/>
        </w:rPr>
      </w:pPr>
    </w:p>
    <w:p w:rsidR="00812D16" w:rsidRPr="00C65506" w:rsidRDefault="00812D16" w:rsidP="00496272">
      <w:pPr>
        <w:jc w:val="center"/>
        <w:outlineLvl w:val="0"/>
        <w:rPr>
          <w:b/>
          <w:noProof/>
          <w:szCs w:val="22"/>
          <w:lang w:val="fr-FR"/>
        </w:rPr>
      </w:pPr>
    </w:p>
    <w:p w:rsidR="007756E7" w:rsidRPr="00C65506" w:rsidRDefault="007756E7" w:rsidP="007756E7">
      <w:pPr>
        <w:jc w:val="center"/>
        <w:outlineLvl w:val="0"/>
        <w:rPr>
          <w:b/>
          <w:noProof/>
          <w:szCs w:val="24"/>
          <w:lang w:val="fr-FR" w:bidi="yi-Hebr"/>
        </w:rPr>
      </w:pPr>
      <w:r w:rsidRPr="00C65506">
        <w:rPr>
          <w:b/>
          <w:szCs w:val="24"/>
          <w:lang w:val="fr-FR" w:bidi="yi-Hebr"/>
        </w:rPr>
        <w:t>ANNEXE III</w:t>
      </w:r>
    </w:p>
    <w:p w:rsidR="00812D16" w:rsidRPr="00C65506" w:rsidRDefault="00812D16" w:rsidP="00496272">
      <w:pPr>
        <w:jc w:val="center"/>
        <w:rPr>
          <w:b/>
          <w:noProof/>
          <w:szCs w:val="22"/>
          <w:lang w:val="fr-FR"/>
        </w:rPr>
      </w:pPr>
    </w:p>
    <w:p w:rsidR="007756E7" w:rsidRPr="00C65506" w:rsidRDefault="007756E7" w:rsidP="007756E7">
      <w:pPr>
        <w:jc w:val="center"/>
        <w:outlineLvl w:val="0"/>
        <w:rPr>
          <w:b/>
          <w:noProof/>
          <w:szCs w:val="24"/>
          <w:lang w:val="fr-FR" w:bidi="yi-Hebr"/>
        </w:rPr>
      </w:pPr>
      <w:r w:rsidRPr="00C65506">
        <w:rPr>
          <w:b/>
          <w:szCs w:val="24"/>
          <w:lang w:val="fr-FR" w:bidi="yi-Hebr"/>
        </w:rPr>
        <w:t>ÉTIQUETAGE ET NOTICE</w:t>
      </w:r>
    </w:p>
    <w:p w:rsidR="00812D16" w:rsidRPr="00C65506" w:rsidRDefault="00812D16" w:rsidP="00496272">
      <w:pPr>
        <w:jc w:val="center"/>
        <w:rPr>
          <w:b/>
          <w:noProof/>
          <w:szCs w:val="22"/>
          <w:lang w:val="fr-FR"/>
        </w:rPr>
      </w:pPr>
    </w:p>
    <w:p w:rsidR="00812D16" w:rsidRPr="00C65506" w:rsidRDefault="008F2F99" w:rsidP="00496272">
      <w:pPr>
        <w:jc w:val="center"/>
        <w:rPr>
          <w:noProof/>
          <w:szCs w:val="22"/>
          <w:lang w:val="fr-FR"/>
        </w:rPr>
      </w:pPr>
      <w:r w:rsidRPr="00C65506">
        <w:rPr>
          <w:noProof/>
          <w:szCs w:val="22"/>
          <w:lang w:val="fr-FR"/>
        </w:rPr>
        <w:br w:type="page"/>
      </w:r>
    </w:p>
    <w:p w:rsidR="008F2F99" w:rsidRPr="00C65506" w:rsidRDefault="008F2F99" w:rsidP="00496272">
      <w:pPr>
        <w:jc w:val="center"/>
        <w:rPr>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0166C1" w:rsidRPr="00C65506" w:rsidRDefault="000166C1" w:rsidP="00496272">
      <w:pPr>
        <w:jc w:val="center"/>
        <w:outlineLvl w:val="0"/>
        <w:rPr>
          <w:b/>
          <w:noProof/>
          <w:szCs w:val="22"/>
          <w:lang w:val="fr-FR"/>
        </w:rPr>
      </w:pPr>
    </w:p>
    <w:p w:rsidR="00B64B2F" w:rsidRPr="00C65506" w:rsidRDefault="00B64B2F" w:rsidP="00496272">
      <w:pPr>
        <w:jc w:val="center"/>
        <w:outlineLvl w:val="0"/>
        <w:rPr>
          <w:b/>
          <w:noProof/>
          <w:szCs w:val="22"/>
          <w:lang w:val="fr-FR"/>
        </w:rPr>
      </w:pPr>
    </w:p>
    <w:p w:rsidR="00B64B2F" w:rsidRPr="00C65506" w:rsidRDefault="00B64B2F" w:rsidP="00496272">
      <w:pPr>
        <w:jc w:val="center"/>
        <w:outlineLvl w:val="0"/>
        <w:rPr>
          <w:b/>
          <w:noProof/>
          <w:szCs w:val="22"/>
          <w:lang w:val="fr-FR"/>
        </w:rPr>
      </w:pPr>
    </w:p>
    <w:p w:rsidR="00B64B2F" w:rsidRPr="00C65506" w:rsidRDefault="00B64B2F" w:rsidP="00496272">
      <w:pPr>
        <w:jc w:val="center"/>
        <w:outlineLvl w:val="0"/>
        <w:rPr>
          <w:b/>
          <w:noProof/>
          <w:szCs w:val="22"/>
          <w:lang w:val="fr-FR"/>
        </w:rPr>
      </w:pPr>
    </w:p>
    <w:p w:rsidR="00B64B2F" w:rsidRPr="00C65506" w:rsidRDefault="00B64B2F" w:rsidP="00496272">
      <w:pPr>
        <w:jc w:val="center"/>
        <w:outlineLvl w:val="0"/>
        <w:rPr>
          <w:b/>
          <w:noProof/>
          <w:szCs w:val="22"/>
          <w:lang w:val="fr-FR"/>
        </w:rPr>
      </w:pPr>
    </w:p>
    <w:p w:rsidR="007756E7" w:rsidRPr="00C65506" w:rsidRDefault="007756E7" w:rsidP="009317B9">
      <w:pPr>
        <w:pStyle w:val="TitleA"/>
        <w:rPr>
          <w:lang w:val="fr-FR"/>
        </w:rPr>
      </w:pPr>
      <w:r w:rsidRPr="00C65506">
        <w:rPr>
          <w:lang w:val="fr-FR"/>
        </w:rPr>
        <w:t>A. ÉTIQUETAGE</w:t>
      </w:r>
    </w:p>
    <w:p w:rsidR="00812D16" w:rsidRPr="00C65506" w:rsidRDefault="00812D16" w:rsidP="00496272">
      <w:pPr>
        <w:jc w:val="center"/>
        <w:rPr>
          <w:noProof/>
          <w:szCs w:val="22"/>
          <w:lang w:val="fr-FR"/>
        </w:rPr>
      </w:pPr>
    </w:p>
    <w:p w:rsidR="007756E7" w:rsidRPr="00C65506" w:rsidRDefault="007756E7" w:rsidP="007756E7">
      <w:pPr>
        <w:pBdr>
          <w:top w:val="single" w:sz="4" w:space="1" w:color="auto"/>
          <w:left w:val="single" w:sz="4" w:space="4" w:color="auto"/>
          <w:bottom w:val="single" w:sz="4" w:space="1" w:color="auto"/>
          <w:right w:val="single" w:sz="4" w:space="4" w:color="auto"/>
        </w:pBdr>
        <w:shd w:val="clear" w:color="auto" w:fill="FFFFFF"/>
        <w:rPr>
          <w:noProof/>
          <w:szCs w:val="24"/>
          <w:lang w:val="fr-FR" w:bidi="yi-Hebr"/>
        </w:rPr>
      </w:pPr>
      <w:r w:rsidRPr="00C65506">
        <w:rPr>
          <w:noProof/>
          <w:szCs w:val="24"/>
          <w:lang w:val="fr-FR" w:bidi="yi-Hebr"/>
        </w:rPr>
        <w:br w:type="page"/>
      </w:r>
      <w:r w:rsidRPr="00C65506">
        <w:rPr>
          <w:b/>
          <w:szCs w:val="24"/>
          <w:lang w:val="fr-FR" w:bidi="yi-Hebr"/>
        </w:rPr>
        <w:lastRenderedPageBreak/>
        <w:t>MENTIONS DEVANT FIGURER SUR L’EMBALLAGE EXTÉRIEUR</w:t>
      </w:r>
    </w:p>
    <w:p w:rsidR="00812D16" w:rsidRPr="00C65506" w:rsidRDefault="00812D16" w:rsidP="00496272">
      <w:pPr>
        <w:pBdr>
          <w:top w:val="single" w:sz="4" w:space="1" w:color="auto"/>
          <w:left w:val="single" w:sz="4" w:space="4" w:color="auto"/>
          <w:bottom w:val="single" w:sz="4" w:space="1" w:color="auto"/>
          <w:right w:val="single" w:sz="4" w:space="4" w:color="auto"/>
        </w:pBdr>
        <w:ind w:left="567" w:hanging="567"/>
        <w:rPr>
          <w:bCs/>
          <w:noProof/>
          <w:szCs w:val="22"/>
          <w:lang w:val="fr-FR"/>
        </w:rPr>
      </w:pPr>
    </w:p>
    <w:p w:rsidR="007756E7" w:rsidRPr="00C65506" w:rsidRDefault="007756E7" w:rsidP="007756E7">
      <w:pPr>
        <w:pBdr>
          <w:top w:val="single" w:sz="4" w:space="1" w:color="auto"/>
          <w:left w:val="single" w:sz="4" w:space="4" w:color="auto"/>
          <w:bottom w:val="single" w:sz="4" w:space="1" w:color="auto"/>
          <w:right w:val="single" w:sz="4" w:space="4" w:color="auto"/>
        </w:pBdr>
        <w:rPr>
          <w:b/>
          <w:noProof/>
          <w:szCs w:val="24"/>
          <w:lang w:val="fr-FR" w:bidi="yi-Hebr"/>
        </w:rPr>
      </w:pPr>
      <w:r w:rsidRPr="00C65506">
        <w:rPr>
          <w:b/>
          <w:szCs w:val="24"/>
          <w:lang w:val="fr-FR" w:bidi="yi-Hebr"/>
        </w:rPr>
        <w:t>BOÎTE D’EMBALLAGE EXTÉRIEUR</w:t>
      </w:r>
    </w:p>
    <w:p w:rsidR="00CD4C22" w:rsidRPr="00C65506" w:rsidRDefault="00CD4C22" w:rsidP="00496272">
      <w:pPr>
        <w:rPr>
          <w:noProof/>
          <w:szCs w:val="22"/>
          <w:lang w:val="fr-FR"/>
        </w:rPr>
      </w:pPr>
    </w:p>
    <w:p w:rsidR="00812D16" w:rsidRPr="00C65506" w:rsidRDefault="00812D16" w:rsidP="00496272">
      <w:pPr>
        <w:rPr>
          <w:noProof/>
          <w:szCs w:val="22"/>
          <w:lang w:val="fr-FR"/>
        </w:rPr>
      </w:pPr>
    </w:p>
    <w:p w:rsidR="007756E7" w:rsidRPr="00C65506" w:rsidRDefault="007756E7" w:rsidP="007756E7">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1.</w:t>
      </w:r>
      <w:r w:rsidRPr="00C65506">
        <w:rPr>
          <w:b/>
          <w:noProof/>
          <w:szCs w:val="24"/>
          <w:lang w:val="fr-FR" w:bidi="yi-Hebr"/>
        </w:rPr>
        <w:tab/>
      </w:r>
      <w:r w:rsidRPr="00C65506">
        <w:rPr>
          <w:b/>
          <w:szCs w:val="24"/>
          <w:lang w:val="fr-FR" w:bidi="yi-Hebr"/>
        </w:rPr>
        <w:t>DÉNOMINATION DU MÉDICAMENT</w:t>
      </w:r>
    </w:p>
    <w:p w:rsidR="00812D16" w:rsidRPr="00C65506" w:rsidRDefault="00812D16" w:rsidP="00496272">
      <w:pPr>
        <w:rPr>
          <w:noProof/>
          <w:szCs w:val="22"/>
          <w:lang w:val="fr-FR"/>
        </w:rPr>
      </w:pPr>
    </w:p>
    <w:p w:rsidR="007756E7" w:rsidRPr="00C65506" w:rsidRDefault="007756E7" w:rsidP="007756E7">
      <w:pPr>
        <w:autoSpaceDE w:val="0"/>
        <w:autoSpaceDN w:val="0"/>
        <w:adjustRightInd w:val="0"/>
        <w:jc w:val="both"/>
        <w:rPr>
          <w:noProof/>
          <w:color w:val="000000"/>
          <w:szCs w:val="24"/>
          <w:lang w:val="fr-FR" w:bidi="yi-Hebr"/>
        </w:rPr>
      </w:pPr>
      <w:r w:rsidRPr="00C65506">
        <w:rPr>
          <w:color w:val="000000"/>
          <w:szCs w:val="24"/>
          <w:lang w:val="fr-FR" w:bidi="yi-Hebr"/>
        </w:rPr>
        <w:t>Ovaleap 300 UI/0,5 mL solution injectable</w:t>
      </w:r>
    </w:p>
    <w:p w:rsidR="00812D16" w:rsidRPr="00C65506" w:rsidRDefault="00812D16" w:rsidP="00496272">
      <w:pPr>
        <w:rPr>
          <w:noProof/>
          <w:szCs w:val="22"/>
          <w:lang w:val="fr-FR"/>
        </w:rPr>
      </w:pPr>
    </w:p>
    <w:p w:rsidR="007756E7" w:rsidRPr="00C65506" w:rsidRDefault="00EA2DD4" w:rsidP="007756E7">
      <w:pPr>
        <w:rPr>
          <w:noProof/>
          <w:szCs w:val="24"/>
          <w:lang w:val="fr-FR" w:bidi="yi-Hebr"/>
        </w:rPr>
      </w:pPr>
      <w:r w:rsidRPr="00C65506">
        <w:rPr>
          <w:color w:val="000000"/>
          <w:szCs w:val="24"/>
          <w:lang w:val="fr-FR" w:bidi="yi-Hebr"/>
        </w:rPr>
        <w:t>f</w:t>
      </w:r>
      <w:r w:rsidR="007756E7" w:rsidRPr="00C65506">
        <w:rPr>
          <w:color w:val="000000"/>
          <w:szCs w:val="24"/>
          <w:lang w:val="fr-FR" w:bidi="yi-Hebr"/>
        </w:rPr>
        <w:t>ollitropine alfa</w:t>
      </w:r>
    </w:p>
    <w:p w:rsidR="00812D16" w:rsidRPr="00C65506" w:rsidRDefault="00812D16" w:rsidP="00496272">
      <w:pPr>
        <w:rPr>
          <w:noProof/>
          <w:szCs w:val="22"/>
          <w:lang w:val="fr-FR"/>
        </w:rPr>
      </w:pPr>
    </w:p>
    <w:p w:rsidR="00D43E3D" w:rsidRPr="00C65506" w:rsidRDefault="00D43E3D" w:rsidP="00496272">
      <w:pPr>
        <w:rPr>
          <w:noProof/>
          <w:szCs w:val="22"/>
          <w:lang w:val="fr-FR"/>
        </w:rPr>
      </w:pPr>
    </w:p>
    <w:p w:rsidR="007756E7" w:rsidRPr="00C65506" w:rsidRDefault="007756E7" w:rsidP="007756E7">
      <w:pPr>
        <w:pBdr>
          <w:top w:val="single" w:sz="4" w:space="1" w:color="auto"/>
          <w:left w:val="single" w:sz="4" w:space="4" w:color="auto"/>
          <w:bottom w:val="single" w:sz="4" w:space="1" w:color="auto"/>
          <w:right w:val="single" w:sz="4" w:space="4" w:color="auto"/>
        </w:pBdr>
        <w:ind w:left="567" w:hanging="567"/>
        <w:outlineLvl w:val="0"/>
        <w:rPr>
          <w:b/>
          <w:noProof/>
          <w:szCs w:val="24"/>
          <w:lang w:val="fr-FR" w:bidi="yi-Hebr"/>
        </w:rPr>
      </w:pPr>
      <w:r w:rsidRPr="00C65506">
        <w:rPr>
          <w:b/>
          <w:noProof/>
          <w:szCs w:val="24"/>
          <w:lang w:val="fr-FR" w:bidi="yi-Hebr"/>
        </w:rPr>
        <w:t>2.</w:t>
      </w:r>
      <w:r w:rsidRPr="00C65506">
        <w:rPr>
          <w:b/>
          <w:noProof/>
          <w:szCs w:val="24"/>
          <w:lang w:val="fr-FR" w:bidi="yi-Hebr"/>
        </w:rPr>
        <w:tab/>
      </w:r>
      <w:r w:rsidRPr="00C65506">
        <w:rPr>
          <w:b/>
          <w:szCs w:val="24"/>
          <w:lang w:val="fr-FR" w:bidi="yi-Hebr"/>
        </w:rPr>
        <w:t xml:space="preserve">COMPOSITION EN </w:t>
      </w:r>
      <w:r w:rsidR="00AA76F4" w:rsidRPr="00C65506">
        <w:rPr>
          <w:b/>
          <w:szCs w:val="24"/>
          <w:lang w:val="fr-FR" w:bidi="yi-Hebr"/>
        </w:rPr>
        <w:t>SUBSTANCE(S) ACTIVE(S)</w:t>
      </w:r>
    </w:p>
    <w:p w:rsidR="00812D16" w:rsidRPr="00C65506" w:rsidRDefault="00812D16" w:rsidP="00496272">
      <w:pPr>
        <w:rPr>
          <w:i/>
          <w:noProof/>
          <w:szCs w:val="22"/>
          <w:lang w:val="fr-FR"/>
        </w:rPr>
      </w:pPr>
    </w:p>
    <w:p w:rsidR="007756E7" w:rsidRPr="00C65506" w:rsidRDefault="007756E7" w:rsidP="00A621F8">
      <w:pPr>
        <w:tabs>
          <w:tab w:val="clear" w:pos="567"/>
        </w:tabs>
        <w:rPr>
          <w:noProof/>
          <w:color w:val="000000"/>
          <w:szCs w:val="24"/>
          <w:lang w:val="fr-FR" w:bidi="yi-Hebr"/>
        </w:rPr>
      </w:pPr>
      <w:r w:rsidRPr="00C65506">
        <w:rPr>
          <w:color w:val="000000"/>
          <w:szCs w:val="24"/>
          <w:lang w:val="fr-FR" w:bidi="yi-Hebr"/>
        </w:rPr>
        <w:t xml:space="preserve">Chaque cartouche contient 300 UI </w:t>
      </w:r>
      <w:r w:rsidR="00A621F8" w:rsidRPr="00C65506">
        <w:rPr>
          <w:color w:val="000000"/>
          <w:szCs w:val="24"/>
          <w:lang w:val="fr-FR" w:bidi="yi-Hebr"/>
        </w:rPr>
        <w:t xml:space="preserve">(équivalant à 22 microgrammes) </w:t>
      </w:r>
      <w:r w:rsidRPr="00C65506">
        <w:rPr>
          <w:color w:val="000000"/>
          <w:szCs w:val="24"/>
          <w:lang w:val="fr-FR" w:bidi="yi-Hebr"/>
        </w:rPr>
        <w:t>de follitropine alfa dans 0,5 mL de solution</w:t>
      </w:r>
      <w:r w:rsidR="00A621F8" w:rsidRPr="00C65506">
        <w:rPr>
          <w:color w:val="000000"/>
          <w:szCs w:val="24"/>
          <w:lang w:val="fr-FR" w:bidi="yi-Hebr"/>
        </w:rPr>
        <w:t>.</w:t>
      </w:r>
      <w:r w:rsidRPr="00C65506">
        <w:rPr>
          <w:color w:val="000000"/>
          <w:szCs w:val="24"/>
          <w:lang w:val="fr-FR" w:bidi="yi-Hebr"/>
        </w:rPr>
        <w:t xml:space="preserve"> </w:t>
      </w:r>
      <w:r w:rsidR="00A621F8" w:rsidRPr="00C65506">
        <w:rPr>
          <w:color w:val="000000"/>
          <w:szCs w:val="24"/>
          <w:lang w:val="fr-FR" w:bidi="yi-Hebr"/>
        </w:rPr>
        <w:t xml:space="preserve">Chaque mL de solution contient </w:t>
      </w:r>
      <w:r w:rsidRPr="00C65506">
        <w:rPr>
          <w:color w:val="000000"/>
          <w:szCs w:val="24"/>
          <w:lang w:val="fr-FR" w:bidi="yi-Hebr"/>
        </w:rPr>
        <w:t xml:space="preserve">600 UI </w:t>
      </w:r>
      <w:r w:rsidR="00A621F8" w:rsidRPr="00C65506">
        <w:rPr>
          <w:color w:val="000000"/>
          <w:szCs w:val="24"/>
          <w:lang w:val="fr-FR" w:bidi="yi-Hebr"/>
        </w:rPr>
        <w:t xml:space="preserve">(équivalant à 44 microgrammes) </w:t>
      </w:r>
      <w:r w:rsidRPr="00C65506">
        <w:rPr>
          <w:color w:val="000000"/>
          <w:szCs w:val="24"/>
          <w:lang w:val="fr-FR" w:bidi="yi-Hebr"/>
        </w:rPr>
        <w:t>de follitropine alfa.</w:t>
      </w:r>
    </w:p>
    <w:p w:rsidR="00812D16" w:rsidRPr="00C65506" w:rsidRDefault="00812D16" w:rsidP="00496272">
      <w:pPr>
        <w:rPr>
          <w:noProof/>
          <w:szCs w:val="22"/>
          <w:lang w:val="fr-FR"/>
        </w:rPr>
      </w:pPr>
    </w:p>
    <w:p w:rsidR="00812D16" w:rsidRPr="00C65506" w:rsidRDefault="00812D16" w:rsidP="00496272">
      <w:pPr>
        <w:rPr>
          <w:noProof/>
          <w:szCs w:val="22"/>
          <w:lang w:val="fr-FR"/>
        </w:rPr>
      </w:pPr>
    </w:p>
    <w:p w:rsidR="007756E7" w:rsidRPr="00C65506" w:rsidRDefault="007756E7" w:rsidP="007756E7">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3.</w:t>
      </w:r>
      <w:r w:rsidRPr="00C65506">
        <w:rPr>
          <w:b/>
          <w:noProof/>
          <w:szCs w:val="24"/>
          <w:lang w:val="fr-FR" w:bidi="yi-Hebr"/>
        </w:rPr>
        <w:tab/>
      </w:r>
      <w:r w:rsidRPr="00C65506">
        <w:rPr>
          <w:b/>
          <w:szCs w:val="24"/>
          <w:lang w:val="fr-FR" w:bidi="yi-Hebr"/>
        </w:rPr>
        <w:t>LISTE DES EXCIPIENTS</w:t>
      </w:r>
    </w:p>
    <w:p w:rsidR="00812D16" w:rsidRPr="00C65506" w:rsidRDefault="00812D16" w:rsidP="00496272">
      <w:pPr>
        <w:rPr>
          <w:noProof/>
          <w:szCs w:val="22"/>
          <w:lang w:val="fr-FR"/>
        </w:rPr>
      </w:pPr>
    </w:p>
    <w:p w:rsidR="007756E7" w:rsidRPr="00C65506" w:rsidRDefault="007756E7" w:rsidP="007756E7">
      <w:pPr>
        <w:rPr>
          <w:noProof/>
          <w:szCs w:val="24"/>
          <w:lang w:val="fr-FR" w:bidi="yi-Hebr"/>
        </w:rPr>
      </w:pPr>
      <w:r w:rsidRPr="00C65506">
        <w:rPr>
          <w:szCs w:val="24"/>
          <w:lang w:val="fr-FR" w:bidi="yi-Hebr"/>
        </w:rPr>
        <w:t>Excipients :</w:t>
      </w:r>
      <w:r w:rsidRPr="00C65506">
        <w:rPr>
          <w:noProof/>
          <w:szCs w:val="24"/>
          <w:lang w:val="fr-FR" w:bidi="yi-Hebr"/>
        </w:rPr>
        <w:t xml:space="preserve"> </w:t>
      </w:r>
      <w:r w:rsidRPr="00C65506">
        <w:rPr>
          <w:szCs w:val="24"/>
          <w:lang w:val="fr-FR" w:bidi="yi-Hebr"/>
        </w:rPr>
        <w:t>phosphate monosodique dihydraté, hydroxyde de sodium (2 M) (pour l’ajustement du pH), mannitol, méthionine, polysorbate 20, alcool benzylique, chlorure de benzalkonium, eau pour préparations injectables.</w:t>
      </w:r>
    </w:p>
    <w:p w:rsidR="0090485D" w:rsidRPr="00C65506" w:rsidRDefault="0090485D" w:rsidP="00496272">
      <w:pPr>
        <w:rPr>
          <w:noProof/>
          <w:szCs w:val="22"/>
          <w:lang w:val="fr-FR"/>
        </w:rPr>
      </w:pPr>
    </w:p>
    <w:p w:rsidR="00812D16" w:rsidRPr="00C65506" w:rsidRDefault="00812D16" w:rsidP="00496272">
      <w:pPr>
        <w:rPr>
          <w:noProof/>
          <w:szCs w:val="22"/>
          <w:lang w:val="fr-FR"/>
        </w:rPr>
      </w:pPr>
    </w:p>
    <w:p w:rsidR="007756E7" w:rsidRPr="00C65506" w:rsidRDefault="007756E7" w:rsidP="007756E7">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4.</w:t>
      </w:r>
      <w:r w:rsidRPr="00C65506">
        <w:rPr>
          <w:b/>
          <w:noProof/>
          <w:szCs w:val="24"/>
          <w:lang w:val="fr-FR" w:bidi="yi-Hebr"/>
        </w:rPr>
        <w:tab/>
      </w:r>
      <w:r w:rsidRPr="00C65506">
        <w:rPr>
          <w:b/>
          <w:szCs w:val="24"/>
          <w:lang w:val="fr-FR" w:bidi="yi-Hebr"/>
        </w:rPr>
        <w:t>FORME PHARMACEUTIQUE ET CONTENU</w:t>
      </w:r>
    </w:p>
    <w:p w:rsidR="00FF5033" w:rsidRPr="00C65506" w:rsidRDefault="00FF5033" w:rsidP="00496272">
      <w:pPr>
        <w:rPr>
          <w:noProof/>
          <w:szCs w:val="22"/>
          <w:lang w:val="fr-FR"/>
        </w:rPr>
      </w:pPr>
    </w:p>
    <w:p w:rsidR="007756E7" w:rsidRPr="00C65506" w:rsidRDefault="007756E7" w:rsidP="007756E7">
      <w:pPr>
        <w:rPr>
          <w:noProof/>
          <w:color w:val="000000"/>
          <w:szCs w:val="24"/>
          <w:lang w:val="fr-FR" w:bidi="yi-Hebr"/>
        </w:rPr>
      </w:pPr>
      <w:r w:rsidRPr="00C65506">
        <w:rPr>
          <w:color w:val="000000"/>
          <w:szCs w:val="24"/>
          <w:highlight w:val="lightGray"/>
          <w:lang w:val="fr-FR" w:bidi="yi-Hebr"/>
        </w:rPr>
        <w:t>Solution injectable</w:t>
      </w:r>
    </w:p>
    <w:p w:rsidR="00FF5033" w:rsidRPr="00C65506" w:rsidRDefault="00FF5033" w:rsidP="00496272">
      <w:pPr>
        <w:rPr>
          <w:noProof/>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 xml:space="preserve">1 cartouche </w:t>
      </w:r>
      <w:r w:rsidR="00A621F8" w:rsidRPr="00C65506">
        <w:rPr>
          <w:color w:val="000000"/>
          <w:szCs w:val="24"/>
          <w:lang w:val="fr-FR" w:bidi="yi-Hebr"/>
        </w:rPr>
        <w:t xml:space="preserve">contenant 0,5 mL de solution </w:t>
      </w:r>
      <w:r w:rsidRPr="00C65506">
        <w:rPr>
          <w:color w:val="000000"/>
          <w:szCs w:val="24"/>
          <w:lang w:val="fr-FR" w:bidi="yi-Hebr"/>
        </w:rPr>
        <w:t>et 10 aiguilles d’injection</w:t>
      </w:r>
    </w:p>
    <w:p w:rsidR="002E49C3" w:rsidRPr="00C65506" w:rsidRDefault="002E49C3" w:rsidP="00496272">
      <w:pPr>
        <w:rPr>
          <w:noProof/>
          <w:szCs w:val="22"/>
          <w:lang w:val="fr-FR"/>
        </w:rPr>
      </w:pPr>
    </w:p>
    <w:p w:rsidR="00812D16" w:rsidRPr="00C65506" w:rsidRDefault="00812D16"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5.</w:t>
      </w:r>
      <w:r w:rsidRPr="00C65506">
        <w:rPr>
          <w:b/>
          <w:noProof/>
          <w:szCs w:val="24"/>
          <w:lang w:val="fr-FR" w:bidi="yi-Hebr"/>
        </w:rPr>
        <w:tab/>
      </w:r>
      <w:r w:rsidRPr="00C65506">
        <w:rPr>
          <w:b/>
          <w:szCs w:val="24"/>
          <w:lang w:val="fr-FR" w:bidi="yi-Hebr"/>
        </w:rPr>
        <w:t>MODE ET VOIE(S) D’ADMINISTRATION</w:t>
      </w:r>
    </w:p>
    <w:p w:rsidR="00812D16" w:rsidRPr="00C65506" w:rsidRDefault="00812D16" w:rsidP="00496272">
      <w:pPr>
        <w:rPr>
          <w:noProof/>
          <w:szCs w:val="22"/>
          <w:lang w:val="fr-FR"/>
        </w:rPr>
      </w:pPr>
    </w:p>
    <w:p w:rsidR="008C2D76" w:rsidRPr="00C65506" w:rsidRDefault="008C2D76" w:rsidP="008C2D76">
      <w:pPr>
        <w:tabs>
          <w:tab w:val="left" w:pos="749"/>
        </w:tabs>
        <w:rPr>
          <w:noProof/>
          <w:color w:val="000000"/>
          <w:szCs w:val="24"/>
          <w:lang w:val="fr-FR" w:bidi="yi-Hebr"/>
        </w:rPr>
      </w:pPr>
      <w:r w:rsidRPr="00C65506">
        <w:rPr>
          <w:color w:val="000000"/>
          <w:szCs w:val="24"/>
          <w:lang w:val="fr-FR" w:bidi="yi-Hebr"/>
        </w:rPr>
        <w:t>À utiliser uniquement avec le stylo Ovaleap</w:t>
      </w:r>
      <w:r w:rsidR="008E4008" w:rsidRPr="00C65506">
        <w:rPr>
          <w:color w:val="000000"/>
          <w:szCs w:val="24"/>
          <w:lang w:val="fr-FR" w:bidi="yi-Hebr"/>
        </w:rPr>
        <w:t xml:space="preserve"> Pen</w:t>
      </w:r>
      <w:r w:rsidRPr="00C65506">
        <w:rPr>
          <w:color w:val="000000"/>
          <w:szCs w:val="24"/>
          <w:lang w:val="fr-FR" w:bidi="yi-Hebr"/>
        </w:rPr>
        <w:t>.</w:t>
      </w:r>
    </w:p>
    <w:p w:rsidR="00681083" w:rsidRPr="00C65506" w:rsidRDefault="00681083" w:rsidP="00496272">
      <w:pPr>
        <w:rPr>
          <w:noProof/>
          <w:szCs w:val="22"/>
          <w:lang w:val="fr-FR"/>
        </w:rPr>
      </w:pPr>
    </w:p>
    <w:p w:rsidR="008C2D76" w:rsidRPr="00C65506" w:rsidRDefault="008C2D76" w:rsidP="008C2D76">
      <w:pPr>
        <w:rPr>
          <w:noProof/>
          <w:szCs w:val="24"/>
          <w:lang w:val="fr-FR" w:bidi="yi-Hebr"/>
        </w:rPr>
      </w:pPr>
      <w:r w:rsidRPr="00C65506">
        <w:rPr>
          <w:szCs w:val="24"/>
          <w:lang w:val="fr-FR" w:bidi="yi-Hebr"/>
        </w:rPr>
        <w:t>Lire la notice avant utilisation.</w:t>
      </w:r>
    </w:p>
    <w:p w:rsidR="00B7119F" w:rsidRPr="00C65506" w:rsidRDefault="00B7119F" w:rsidP="00496272">
      <w:pPr>
        <w:tabs>
          <w:tab w:val="left" w:pos="749"/>
        </w:tabs>
        <w:rPr>
          <w:noProof/>
          <w:color w:val="000000"/>
          <w:szCs w:val="22"/>
          <w:lang w:val="fr-FR"/>
        </w:rPr>
      </w:pPr>
    </w:p>
    <w:p w:rsidR="008C2D76" w:rsidRPr="00C65506" w:rsidRDefault="008C2D76" w:rsidP="008C2D76">
      <w:pPr>
        <w:tabs>
          <w:tab w:val="left" w:pos="749"/>
        </w:tabs>
        <w:rPr>
          <w:szCs w:val="24"/>
          <w:lang w:val="fr-FR" w:bidi="yi-Hebr"/>
        </w:rPr>
      </w:pPr>
      <w:r w:rsidRPr="00C65506">
        <w:rPr>
          <w:szCs w:val="24"/>
          <w:lang w:val="fr-FR" w:bidi="yi-Hebr"/>
        </w:rPr>
        <w:t>Voie sous-cutanée</w:t>
      </w:r>
    </w:p>
    <w:p w:rsidR="001444DC" w:rsidRPr="00C65506" w:rsidRDefault="001444DC" w:rsidP="00496272">
      <w:pPr>
        <w:tabs>
          <w:tab w:val="left" w:pos="749"/>
        </w:tabs>
        <w:rPr>
          <w:noProof/>
          <w:szCs w:val="22"/>
          <w:lang w:val="fr-FR"/>
        </w:rPr>
      </w:pPr>
    </w:p>
    <w:p w:rsidR="00F025C2" w:rsidRPr="00C65506" w:rsidRDefault="00F025C2" w:rsidP="00496272">
      <w:pPr>
        <w:tabs>
          <w:tab w:val="left" w:pos="749"/>
        </w:tabs>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6.</w:t>
      </w:r>
      <w:r w:rsidRPr="00C65506">
        <w:rPr>
          <w:b/>
          <w:noProof/>
          <w:szCs w:val="24"/>
          <w:lang w:val="fr-FR" w:bidi="yi-Hebr"/>
        </w:rPr>
        <w:tab/>
      </w:r>
      <w:r w:rsidRPr="00C65506">
        <w:rPr>
          <w:b/>
          <w:szCs w:val="24"/>
          <w:lang w:val="fr-FR" w:bidi="yi-Hebr"/>
        </w:rPr>
        <w:t xml:space="preserve">MISE EN GARDE SPÉCIALE INDIQUANT QUE LE MÉDICAMENT DOIT ÊTRE CONSERVÉ </w:t>
      </w:r>
      <w:r w:rsidR="00AA76F4" w:rsidRPr="00C65506">
        <w:rPr>
          <w:b/>
          <w:szCs w:val="24"/>
          <w:lang w:val="fr-FR" w:bidi="yi-Hebr"/>
        </w:rPr>
        <w:t>HORS DE VUE ET DE PORTÉE DES ENFANTS</w:t>
      </w:r>
    </w:p>
    <w:p w:rsidR="00812D16" w:rsidRPr="00C65506" w:rsidRDefault="00812D16" w:rsidP="00496272">
      <w:pPr>
        <w:rPr>
          <w:noProof/>
          <w:szCs w:val="22"/>
          <w:lang w:val="fr-FR"/>
        </w:rPr>
      </w:pPr>
    </w:p>
    <w:p w:rsidR="008C2D76" w:rsidRPr="00C65506" w:rsidRDefault="008C2D76" w:rsidP="008C2D76">
      <w:pPr>
        <w:outlineLvl w:val="0"/>
        <w:rPr>
          <w:noProof/>
          <w:szCs w:val="24"/>
          <w:lang w:val="fr-FR" w:bidi="yi-Hebr"/>
        </w:rPr>
      </w:pPr>
      <w:r w:rsidRPr="00C65506">
        <w:rPr>
          <w:szCs w:val="24"/>
          <w:lang w:val="fr-FR" w:bidi="yi-Hebr"/>
        </w:rPr>
        <w:t>Tenir hors de la vue et de la portée des enfants.</w:t>
      </w:r>
    </w:p>
    <w:p w:rsidR="00812D16" w:rsidRPr="00C65506" w:rsidRDefault="00812D16" w:rsidP="00496272">
      <w:pPr>
        <w:rPr>
          <w:noProof/>
          <w:szCs w:val="22"/>
          <w:lang w:val="fr-FR"/>
        </w:rPr>
      </w:pPr>
    </w:p>
    <w:p w:rsidR="00812D16" w:rsidRPr="00C65506" w:rsidRDefault="00812D16"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7.</w:t>
      </w:r>
      <w:r w:rsidRPr="00C65506">
        <w:rPr>
          <w:b/>
          <w:noProof/>
          <w:szCs w:val="24"/>
          <w:lang w:val="fr-FR" w:bidi="yi-Hebr"/>
        </w:rPr>
        <w:tab/>
      </w:r>
      <w:r w:rsidRPr="00C65506">
        <w:rPr>
          <w:b/>
          <w:szCs w:val="24"/>
          <w:lang w:val="fr-FR" w:bidi="yi-Hebr"/>
        </w:rPr>
        <w:t>AUTRE(S) MISE(S) EN GARDE SPÉCIALE(S), SI NÉCESSAIRE</w:t>
      </w:r>
    </w:p>
    <w:p w:rsidR="00D43E3D" w:rsidRPr="00C65506" w:rsidRDefault="00D43E3D" w:rsidP="00496272">
      <w:pPr>
        <w:tabs>
          <w:tab w:val="left" w:pos="749"/>
        </w:tabs>
        <w:rPr>
          <w:noProof/>
          <w:szCs w:val="22"/>
          <w:lang w:val="fr-FR"/>
        </w:rPr>
      </w:pPr>
    </w:p>
    <w:p w:rsidR="002E49C3" w:rsidRPr="00C65506" w:rsidRDefault="002E49C3" w:rsidP="00496272">
      <w:pPr>
        <w:tabs>
          <w:tab w:val="left" w:pos="749"/>
        </w:tabs>
        <w:rPr>
          <w:noProof/>
          <w:szCs w:val="22"/>
          <w:lang w:val="fr-FR"/>
        </w:rPr>
      </w:pPr>
    </w:p>
    <w:p w:rsidR="008C2D76" w:rsidRPr="00C65506" w:rsidRDefault="008C2D76" w:rsidP="00D10FFC">
      <w:pPr>
        <w:keepNext/>
        <w:keepLines/>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lastRenderedPageBreak/>
        <w:t>8.</w:t>
      </w:r>
      <w:r w:rsidRPr="00C65506">
        <w:rPr>
          <w:b/>
          <w:noProof/>
          <w:szCs w:val="24"/>
          <w:lang w:val="fr-FR" w:bidi="yi-Hebr"/>
        </w:rPr>
        <w:tab/>
      </w:r>
      <w:r w:rsidRPr="00C65506">
        <w:rPr>
          <w:b/>
          <w:szCs w:val="24"/>
          <w:lang w:val="fr-FR" w:bidi="yi-Hebr"/>
        </w:rPr>
        <w:t>DATE DE PÉREMPTION</w:t>
      </w:r>
    </w:p>
    <w:p w:rsidR="00812D16" w:rsidRPr="00C65506" w:rsidRDefault="00812D16" w:rsidP="00D10FFC">
      <w:pPr>
        <w:keepNext/>
        <w:keepLines/>
        <w:rPr>
          <w:noProof/>
          <w:szCs w:val="22"/>
          <w:lang w:val="fr-FR"/>
        </w:rPr>
      </w:pPr>
    </w:p>
    <w:p w:rsidR="008C2D76" w:rsidRPr="00C65506" w:rsidRDefault="008C2D76" w:rsidP="00D10FFC">
      <w:pPr>
        <w:keepNext/>
        <w:keepLines/>
        <w:rPr>
          <w:noProof/>
          <w:szCs w:val="24"/>
          <w:lang w:val="fr-FR" w:bidi="yi-Hebr"/>
        </w:rPr>
      </w:pPr>
      <w:r w:rsidRPr="00C65506">
        <w:rPr>
          <w:szCs w:val="24"/>
          <w:lang w:val="fr-FR" w:bidi="yi-Hebr"/>
        </w:rPr>
        <w:t>EXP</w:t>
      </w:r>
    </w:p>
    <w:p w:rsidR="008040AD" w:rsidRPr="00C65506" w:rsidRDefault="008040AD" w:rsidP="00D10FFC">
      <w:pPr>
        <w:keepNext/>
        <w:rPr>
          <w:noProof/>
          <w:szCs w:val="22"/>
          <w:lang w:val="fr-FR"/>
        </w:rPr>
      </w:pPr>
    </w:p>
    <w:p w:rsidR="008C2D76" w:rsidRPr="00C65506" w:rsidRDefault="008C2D76" w:rsidP="00D10FFC">
      <w:pPr>
        <w:keepNext/>
        <w:tabs>
          <w:tab w:val="clear" w:pos="567"/>
        </w:tabs>
        <w:rPr>
          <w:noProof/>
          <w:color w:val="000000"/>
          <w:szCs w:val="24"/>
          <w:lang w:val="fr-FR" w:bidi="yi-Hebr"/>
        </w:rPr>
      </w:pPr>
      <w:r w:rsidRPr="00C65506">
        <w:rPr>
          <w:color w:val="000000"/>
          <w:szCs w:val="24"/>
          <w:lang w:val="fr-FR" w:bidi="yi-Hebr"/>
        </w:rPr>
        <w:t xml:space="preserve">La cartouche en cours d’utilisation </w:t>
      </w:r>
      <w:r w:rsidR="009C71C1" w:rsidRPr="00C65506">
        <w:rPr>
          <w:color w:val="000000"/>
          <w:szCs w:val="24"/>
          <w:lang w:val="fr-FR" w:bidi="yi-Hebr"/>
        </w:rPr>
        <w:t xml:space="preserve">présente </w:t>
      </w:r>
      <w:r w:rsidRPr="00C65506">
        <w:rPr>
          <w:color w:val="000000"/>
          <w:szCs w:val="24"/>
          <w:lang w:val="fr-FR" w:bidi="yi-Hebr"/>
        </w:rPr>
        <w:t>dans le stylo peut être conservée pendant un maximum de 28 jours à une température ne dépassant pas 25°C.</w:t>
      </w:r>
    </w:p>
    <w:p w:rsidR="00B7119F" w:rsidRPr="00C65506" w:rsidRDefault="00B7119F" w:rsidP="00496272">
      <w:pPr>
        <w:rPr>
          <w:noProof/>
          <w:szCs w:val="22"/>
          <w:lang w:val="fr-FR"/>
        </w:rPr>
      </w:pPr>
    </w:p>
    <w:p w:rsidR="00812D16" w:rsidRPr="00C65506" w:rsidRDefault="00812D16" w:rsidP="00496272">
      <w:pPr>
        <w:rPr>
          <w:noProof/>
          <w:szCs w:val="22"/>
          <w:lang w:val="fr-FR"/>
        </w:rPr>
      </w:pPr>
    </w:p>
    <w:p w:rsidR="008C2D76" w:rsidRPr="00C65506" w:rsidRDefault="008C2D76" w:rsidP="008C2D76">
      <w:pPr>
        <w:keepNext/>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9.</w:t>
      </w:r>
      <w:r w:rsidRPr="00C65506">
        <w:rPr>
          <w:b/>
          <w:noProof/>
          <w:szCs w:val="24"/>
          <w:lang w:val="fr-FR" w:bidi="yi-Hebr"/>
        </w:rPr>
        <w:tab/>
      </w:r>
      <w:r w:rsidRPr="00C65506">
        <w:rPr>
          <w:b/>
          <w:szCs w:val="24"/>
          <w:lang w:val="fr-FR" w:bidi="yi-Hebr"/>
        </w:rPr>
        <w:t>PRÉCAUTIONS PARTICULIÈRES DE CONSERVATION</w:t>
      </w:r>
    </w:p>
    <w:p w:rsidR="00812D16" w:rsidRPr="00C65506" w:rsidRDefault="00812D16" w:rsidP="00496272">
      <w:pPr>
        <w:rPr>
          <w:noProof/>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À conserver au réfrigérateur.</w:t>
      </w:r>
    </w:p>
    <w:p w:rsidR="00FF5033" w:rsidRPr="00C65506" w:rsidRDefault="00FF5033" w:rsidP="00496272">
      <w:pPr>
        <w:tabs>
          <w:tab w:val="clear" w:pos="567"/>
        </w:tabs>
        <w:rPr>
          <w:noProof/>
          <w:color w:val="000000"/>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Ne pas congeler.</w:t>
      </w:r>
    </w:p>
    <w:p w:rsidR="00FF5033" w:rsidRPr="00C65506" w:rsidRDefault="00FF5033" w:rsidP="00496272">
      <w:pPr>
        <w:tabs>
          <w:tab w:val="clear" w:pos="567"/>
        </w:tabs>
        <w:rPr>
          <w:noProof/>
          <w:color w:val="000000"/>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Conserver la cartouche dans l’emballage extérieur, à l’abri de la lumière.</w:t>
      </w:r>
    </w:p>
    <w:p w:rsidR="002E49C3" w:rsidRPr="00C65506" w:rsidRDefault="002E49C3" w:rsidP="00496272">
      <w:pPr>
        <w:tabs>
          <w:tab w:val="clear" w:pos="567"/>
        </w:tabs>
        <w:rPr>
          <w:noProof/>
          <w:color w:val="000000"/>
          <w:szCs w:val="22"/>
          <w:lang w:val="fr-FR"/>
        </w:rPr>
      </w:pPr>
    </w:p>
    <w:p w:rsidR="008C2D76" w:rsidRPr="00C65506" w:rsidRDefault="008C2D76" w:rsidP="00981094">
      <w:pPr>
        <w:rPr>
          <w:noProof/>
          <w:szCs w:val="24"/>
          <w:lang w:val="fr-FR" w:bidi="yi-Hebr"/>
        </w:rPr>
      </w:pPr>
      <w:r w:rsidRPr="00C65506">
        <w:rPr>
          <w:szCs w:val="24"/>
          <w:lang w:val="fr-FR" w:bidi="yi-Hebr"/>
        </w:rPr>
        <w:t>Avant ouverture, peut être conservé jusqu’à 3 mois à une température ne dépassant pas 25°C</w:t>
      </w:r>
      <w:r w:rsidRPr="00C65506">
        <w:rPr>
          <w:color w:val="000000"/>
          <w:szCs w:val="24"/>
          <w:lang w:val="fr-FR" w:bidi="yi-Hebr"/>
        </w:rPr>
        <w:t>.</w:t>
      </w:r>
      <w:r w:rsidRPr="00C65506">
        <w:rPr>
          <w:noProof/>
          <w:color w:val="000000"/>
          <w:szCs w:val="24"/>
          <w:lang w:val="fr-FR" w:bidi="yi-Hebr"/>
        </w:rPr>
        <w:t xml:space="preserve"> </w:t>
      </w:r>
      <w:r w:rsidR="00981094" w:rsidRPr="00C65506">
        <w:rPr>
          <w:color w:val="000000"/>
          <w:szCs w:val="24"/>
          <w:lang w:val="fr-FR" w:bidi="yi-Hebr"/>
        </w:rPr>
        <w:t xml:space="preserve">Doit </w:t>
      </w:r>
      <w:r w:rsidRPr="00C65506">
        <w:rPr>
          <w:color w:val="000000"/>
          <w:szCs w:val="24"/>
          <w:lang w:val="fr-FR" w:bidi="yi-Hebr"/>
        </w:rPr>
        <w:t>être jeté</w:t>
      </w:r>
      <w:r w:rsidR="00981094" w:rsidRPr="00C65506">
        <w:rPr>
          <w:color w:val="000000"/>
          <w:szCs w:val="24"/>
          <w:lang w:val="fr-FR" w:bidi="yi-Hebr"/>
        </w:rPr>
        <w:t xml:space="preserve"> au bout de 3 mois s’il n’a pas été utilisé</w:t>
      </w:r>
      <w:r w:rsidRPr="00C65506">
        <w:rPr>
          <w:color w:val="000000"/>
          <w:szCs w:val="24"/>
          <w:lang w:val="fr-FR" w:bidi="yi-Hebr"/>
        </w:rPr>
        <w:t>.</w:t>
      </w:r>
    </w:p>
    <w:p w:rsidR="00FF5033" w:rsidRPr="00C65506" w:rsidRDefault="00FF5033" w:rsidP="00496272">
      <w:pPr>
        <w:rPr>
          <w:noProof/>
          <w:szCs w:val="22"/>
          <w:lang w:val="fr-FR"/>
        </w:rPr>
      </w:pPr>
    </w:p>
    <w:p w:rsidR="00E173B0" w:rsidRPr="00C65506" w:rsidRDefault="00E173B0" w:rsidP="00496272">
      <w:pPr>
        <w:rPr>
          <w:noProof/>
          <w:szCs w:val="22"/>
          <w:lang w:val="fr-FR"/>
        </w:rPr>
      </w:pPr>
    </w:p>
    <w:p w:rsidR="008C2D76" w:rsidRPr="00C65506" w:rsidRDefault="008C2D76" w:rsidP="004255BE">
      <w:pPr>
        <w:pBdr>
          <w:top w:val="single" w:sz="4" w:space="1" w:color="auto"/>
          <w:left w:val="single" w:sz="4" w:space="4" w:color="auto"/>
          <w:bottom w:val="single" w:sz="4" w:space="1" w:color="auto"/>
          <w:right w:val="single" w:sz="4" w:space="4" w:color="auto"/>
        </w:pBdr>
        <w:ind w:left="567" w:hanging="567"/>
        <w:outlineLvl w:val="0"/>
        <w:rPr>
          <w:b/>
          <w:noProof/>
          <w:szCs w:val="24"/>
          <w:lang w:val="fr-FR" w:bidi="yi-Hebr"/>
        </w:rPr>
      </w:pPr>
      <w:r w:rsidRPr="00C65506">
        <w:rPr>
          <w:b/>
          <w:noProof/>
          <w:szCs w:val="24"/>
          <w:lang w:val="fr-FR" w:bidi="yi-Hebr"/>
        </w:rPr>
        <w:t>10.</w:t>
      </w:r>
      <w:r w:rsidRPr="00C65506">
        <w:rPr>
          <w:b/>
          <w:noProof/>
          <w:szCs w:val="24"/>
          <w:lang w:val="fr-FR" w:bidi="yi-Hebr"/>
        </w:rPr>
        <w:tab/>
      </w:r>
      <w:r w:rsidRPr="00C65506">
        <w:rPr>
          <w:b/>
          <w:szCs w:val="24"/>
          <w:lang w:val="fr-FR" w:bidi="yi-Hebr"/>
        </w:rPr>
        <w:t>PRÉCAUTIONS PARTICULIÈRES D’ÉLIMINATION DES MÉDICAMENTS NON UTILISÉS OU DES DÉCHETS PROVENANT DE CES MÉDICAMENTS S’IL Y A LIEU</w:t>
      </w:r>
    </w:p>
    <w:p w:rsidR="00812D16" w:rsidRPr="00C65506" w:rsidRDefault="00812D16" w:rsidP="00496272">
      <w:pPr>
        <w:rPr>
          <w:noProof/>
          <w:szCs w:val="22"/>
          <w:lang w:val="fr-FR"/>
        </w:rPr>
      </w:pPr>
    </w:p>
    <w:p w:rsidR="00D43E3D" w:rsidRPr="00C65506" w:rsidRDefault="00D43E3D" w:rsidP="00496272">
      <w:pPr>
        <w:rPr>
          <w:noProof/>
          <w:szCs w:val="22"/>
          <w:lang w:val="fr-FR"/>
        </w:rPr>
      </w:pPr>
    </w:p>
    <w:p w:rsidR="00812D16" w:rsidRPr="00C65506" w:rsidRDefault="00812D16" w:rsidP="00496272">
      <w:pPr>
        <w:rPr>
          <w:noProof/>
          <w:szCs w:val="22"/>
          <w:lang w:val="fr-FR"/>
        </w:rPr>
      </w:pPr>
    </w:p>
    <w:p w:rsidR="008C2D76" w:rsidRPr="00C65506" w:rsidRDefault="008C2D76" w:rsidP="004255BE">
      <w:pPr>
        <w:pBdr>
          <w:top w:val="single" w:sz="4" w:space="1" w:color="auto"/>
          <w:left w:val="single" w:sz="4" w:space="4" w:color="auto"/>
          <w:bottom w:val="single" w:sz="4" w:space="1" w:color="auto"/>
          <w:right w:val="single" w:sz="4" w:space="4" w:color="auto"/>
        </w:pBdr>
        <w:ind w:left="567" w:hanging="567"/>
        <w:outlineLvl w:val="0"/>
        <w:rPr>
          <w:b/>
          <w:noProof/>
          <w:szCs w:val="24"/>
          <w:lang w:val="fr-FR" w:bidi="yi-Hebr"/>
        </w:rPr>
      </w:pPr>
      <w:r w:rsidRPr="00C65506">
        <w:rPr>
          <w:b/>
          <w:noProof/>
          <w:szCs w:val="24"/>
          <w:lang w:val="fr-FR" w:bidi="yi-Hebr"/>
        </w:rPr>
        <w:t>11.</w:t>
      </w:r>
      <w:r w:rsidRPr="00C65506">
        <w:rPr>
          <w:b/>
          <w:noProof/>
          <w:szCs w:val="24"/>
          <w:lang w:val="fr-FR" w:bidi="yi-Hebr"/>
        </w:rPr>
        <w:tab/>
      </w:r>
      <w:r w:rsidRPr="00C65506">
        <w:rPr>
          <w:b/>
          <w:szCs w:val="24"/>
          <w:lang w:val="fr-FR" w:bidi="yi-Hebr"/>
        </w:rPr>
        <w:t>NOM ET ADRESSE DU TITULAIRE DE L’AUTORISATION DE MISE SUR LE MARCHÉ</w:t>
      </w:r>
    </w:p>
    <w:p w:rsidR="00812D16" w:rsidRPr="00C65506" w:rsidRDefault="00812D16" w:rsidP="00496272">
      <w:pPr>
        <w:rPr>
          <w:noProof/>
          <w:szCs w:val="22"/>
          <w:lang w:val="fr-FR"/>
        </w:rPr>
      </w:pPr>
    </w:p>
    <w:p w:rsidR="0097179F" w:rsidRPr="00AD584F" w:rsidRDefault="0097179F" w:rsidP="0097179F">
      <w:pPr>
        <w:tabs>
          <w:tab w:val="clear" w:pos="567"/>
        </w:tabs>
        <w:rPr>
          <w:lang w:val="nl-NL"/>
        </w:rPr>
      </w:pPr>
      <w:r w:rsidRPr="00AD584F">
        <w:rPr>
          <w:lang w:val="nl-NL"/>
        </w:rPr>
        <w:t>Theramex Ireland Limited</w:t>
      </w:r>
    </w:p>
    <w:p w:rsidR="0097179F" w:rsidRPr="00AD584F" w:rsidRDefault="00806865" w:rsidP="0097179F">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97179F" w:rsidRPr="00AD584F">
        <w:rPr>
          <w:lang w:val="nl-NL"/>
        </w:rPr>
        <w:t>Kilmore House,</w:t>
      </w:r>
    </w:p>
    <w:p w:rsidR="0097179F" w:rsidRPr="00AD584F" w:rsidRDefault="0097179F" w:rsidP="0097179F">
      <w:pPr>
        <w:tabs>
          <w:tab w:val="clear" w:pos="567"/>
        </w:tabs>
        <w:rPr>
          <w:lang w:val="nl-NL"/>
        </w:rPr>
      </w:pPr>
      <w:r w:rsidRPr="00AD584F">
        <w:rPr>
          <w:lang w:val="nl-NL"/>
        </w:rPr>
        <w:t>Park Lane, Sp</w:t>
      </w:r>
      <w:r w:rsidR="00605833">
        <w:rPr>
          <w:lang w:val="nl-NL"/>
        </w:rPr>
        <w:t>encer Dock,</w:t>
      </w:r>
    </w:p>
    <w:p w:rsidR="0097179F" w:rsidRPr="00AD584F" w:rsidRDefault="0097179F" w:rsidP="0097179F">
      <w:pPr>
        <w:tabs>
          <w:tab w:val="clear" w:pos="567"/>
        </w:tabs>
        <w:rPr>
          <w:lang w:val="nl-NL"/>
        </w:rPr>
      </w:pPr>
      <w:r w:rsidRPr="00AD584F">
        <w:rPr>
          <w:lang w:val="nl-NL"/>
        </w:rPr>
        <w:t>Dublin 1</w:t>
      </w:r>
    </w:p>
    <w:p w:rsidR="0097179F" w:rsidRPr="00AD584F" w:rsidRDefault="00605833" w:rsidP="0097179F">
      <w:pPr>
        <w:tabs>
          <w:tab w:val="clear" w:pos="567"/>
        </w:tabs>
        <w:rPr>
          <w:lang w:val="nl-NL"/>
        </w:rPr>
      </w:pPr>
      <w:r>
        <w:rPr>
          <w:lang w:val="nl-NL"/>
        </w:rPr>
        <w:t>D01 YE64</w:t>
      </w:r>
    </w:p>
    <w:p w:rsidR="0097179F" w:rsidRPr="00162C74" w:rsidRDefault="0097179F" w:rsidP="0097179F">
      <w:pPr>
        <w:rPr>
          <w:lang w:val="fr-FR"/>
        </w:rPr>
      </w:pPr>
      <w:r w:rsidRPr="00162C74">
        <w:rPr>
          <w:lang w:val="fr-FR"/>
        </w:rPr>
        <w:t>Irlande</w:t>
      </w:r>
    </w:p>
    <w:p w:rsidR="00812D16" w:rsidRPr="00C65506" w:rsidRDefault="00812D16" w:rsidP="00496272">
      <w:pPr>
        <w:rPr>
          <w:noProof/>
          <w:szCs w:val="22"/>
          <w:lang w:val="fr-FR"/>
        </w:rPr>
      </w:pPr>
    </w:p>
    <w:p w:rsidR="00812D16" w:rsidRPr="00C65506" w:rsidRDefault="00812D16"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12.</w:t>
      </w:r>
      <w:r w:rsidRPr="00C65506">
        <w:rPr>
          <w:b/>
          <w:noProof/>
          <w:szCs w:val="24"/>
          <w:lang w:val="fr-FR" w:bidi="yi-Hebr"/>
        </w:rPr>
        <w:tab/>
      </w:r>
      <w:r w:rsidRPr="00C65506">
        <w:rPr>
          <w:b/>
          <w:szCs w:val="24"/>
          <w:lang w:val="fr-FR" w:bidi="yi-Hebr"/>
        </w:rPr>
        <w:t>NUMÉRO(S) D’AUTORISATION DE MISE SUR LE MARCHÉ</w:t>
      </w:r>
    </w:p>
    <w:p w:rsidR="00812D16" w:rsidRPr="00C65506" w:rsidRDefault="00812D16" w:rsidP="00496272">
      <w:pPr>
        <w:rPr>
          <w:noProof/>
          <w:szCs w:val="22"/>
          <w:lang w:val="fr-FR"/>
        </w:rPr>
      </w:pPr>
    </w:p>
    <w:p w:rsidR="00812D16" w:rsidRPr="00C65506" w:rsidRDefault="00A05962" w:rsidP="00496272">
      <w:pPr>
        <w:rPr>
          <w:noProof/>
          <w:szCs w:val="22"/>
          <w:lang w:val="fr-FR"/>
        </w:rPr>
      </w:pPr>
      <w:r w:rsidRPr="00C65506">
        <w:rPr>
          <w:noProof/>
          <w:szCs w:val="22"/>
          <w:lang w:val="fr-FR"/>
        </w:rPr>
        <w:t>EU/1/13/871/001</w:t>
      </w:r>
    </w:p>
    <w:p w:rsidR="00812D16" w:rsidRPr="00C65506" w:rsidRDefault="00812D16" w:rsidP="00496272">
      <w:pPr>
        <w:rPr>
          <w:noProof/>
          <w:szCs w:val="22"/>
          <w:lang w:val="fr-FR"/>
        </w:rPr>
      </w:pPr>
    </w:p>
    <w:p w:rsidR="00DF78C9" w:rsidRPr="00C65506" w:rsidRDefault="00DF78C9"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13.</w:t>
      </w:r>
      <w:r w:rsidRPr="00C65506">
        <w:rPr>
          <w:b/>
          <w:noProof/>
          <w:szCs w:val="24"/>
          <w:lang w:val="fr-FR" w:bidi="yi-Hebr"/>
        </w:rPr>
        <w:tab/>
      </w:r>
      <w:r w:rsidRPr="00C65506">
        <w:rPr>
          <w:b/>
          <w:szCs w:val="24"/>
          <w:lang w:val="fr-FR" w:bidi="yi-Hebr"/>
        </w:rPr>
        <w:t>NUMÉRO DU LOT</w:t>
      </w:r>
    </w:p>
    <w:p w:rsidR="00812D16" w:rsidRPr="00C65506" w:rsidRDefault="00812D16" w:rsidP="00496272">
      <w:pPr>
        <w:rPr>
          <w:noProof/>
          <w:szCs w:val="22"/>
          <w:lang w:val="fr-FR"/>
        </w:rPr>
      </w:pPr>
    </w:p>
    <w:p w:rsidR="008C2D76" w:rsidRPr="00C65506" w:rsidRDefault="008C2D76" w:rsidP="008C2D76">
      <w:pPr>
        <w:rPr>
          <w:noProof/>
          <w:szCs w:val="24"/>
          <w:lang w:val="fr-FR" w:bidi="yi-Hebr"/>
        </w:rPr>
      </w:pPr>
      <w:r w:rsidRPr="00C65506">
        <w:rPr>
          <w:szCs w:val="24"/>
          <w:lang w:val="fr-FR" w:bidi="yi-Hebr"/>
        </w:rPr>
        <w:t>Lot</w:t>
      </w:r>
    </w:p>
    <w:p w:rsidR="008A5C1F" w:rsidRPr="00C65506" w:rsidRDefault="008A5C1F" w:rsidP="00496272">
      <w:pPr>
        <w:rPr>
          <w:noProof/>
          <w:szCs w:val="22"/>
          <w:lang w:val="fr-FR"/>
        </w:rPr>
      </w:pPr>
    </w:p>
    <w:p w:rsidR="00812D16" w:rsidRPr="00C65506" w:rsidRDefault="00812D16"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14.</w:t>
      </w:r>
      <w:r w:rsidRPr="00C65506">
        <w:rPr>
          <w:b/>
          <w:noProof/>
          <w:szCs w:val="24"/>
          <w:lang w:val="fr-FR" w:bidi="yi-Hebr"/>
        </w:rPr>
        <w:tab/>
      </w:r>
      <w:r w:rsidRPr="00C65506">
        <w:rPr>
          <w:b/>
          <w:szCs w:val="24"/>
          <w:lang w:val="fr-FR" w:bidi="yi-Hebr"/>
        </w:rPr>
        <w:t>CONDITIONS DE PRESCRIPTION ET DE DÉLIVRANCE</w:t>
      </w:r>
    </w:p>
    <w:p w:rsidR="00812D16" w:rsidRPr="00C65506" w:rsidRDefault="00812D16" w:rsidP="00496272">
      <w:pPr>
        <w:rPr>
          <w:i/>
          <w:noProof/>
          <w:szCs w:val="22"/>
          <w:lang w:val="fr-FR"/>
        </w:rPr>
      </w:pPr>
    </w:p>
    <w:p w:rsidR="00812D16" w:rsidRPr="00C65506" w:rsidRDefault="00812D16" w:rsidP="00496272">
      <w:pPr>
        <w:rPr>
          <w:noProof/>
          <w:szCs w:val="22"/>
          <w:lang w:val="fr-FR"/>
        </w:rPr>
      </w:pPr>
    </w:p>
    <w:p w:rsidR="008C2D76" w:rsidRPr="00C65506" w:rsidRDefault="008C2D76" w:rsidP="008C2D76">
      <w:pPr>
        <w:pBdr>
          <w:top w:val="single" w:sz="4" w:space="2"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15.</w:t>
      </w:r>
      <w:r w:rsidRPr="00C65506">
        <w:rPr>
          <w:b/>
          <w:noProof/>
          <w:szCs w:val="24"/>
          <w:lang w:val="fr-FR" w:bidi="yi-Hebr"/>
        </w:rPr>
        <w:tab/>
      </w:r>
      <w:r w:rsidRPr="00C65506">
        <w:rPr>
          <w:b/>
          <w:szCs w:val="24"/>
          <w:lang w:val="fr-FR" w:bidi="yi-Hebr"/>
        </w:rPr>
        <w:t>INDICATIONS D’UTILISATION</w:t>
      </w:r>
    </w:p>
    <w:p w:rsidR="00812D16" w:rsidRPr="00C65506" w:rsidRDefault="00812D16" w:rsidP="00496272">
      <w:pPr>
        <w:rPr>
          <w:noProof/>
          <w:szCs w:val="22"/>
          <w:lang w:val="fr-FR"/>
        </w:rPr>
      </w:pPr>
    </w:p>
    <w:p w:rsidR="00812D16" w:rsidRPr="00C65506" w:rsidRDefault="00812D16" w:rsidP="00496272">
      <w:pPr>
        <w:rPr>
          <w:noProof/>
          <w:szCs w:val="22"/>
          <w:lang w:val="fr-FR"/>
        </w:rPr>
      </w:pPr>
    </w:p>
    <w:p w:rsidR="00D43E3D" w:rsidRPr="00C65506" w:rsidRDefault="00D43E3D" w:rsidP="00496272">
      <w:pPr>
        <w:rPr>
          <w:noProof/>
          <w:szCs w:val="22"/>
          <w:lang w:val="fr-FR"/>
        </w:rPr>
      </w:pPr>
    </w:p>
    <w:p w:rsidR="008C2D76" w:rsidRPr="00C65506" w:rsidRDefault="008C2D76" w:rsidP="00011E02">
      <w:pPr>
        <w:keepNext/>
        <w:pBdr>
          <w:top w:val="single" w:sz="4" w:space="1" w:color="auto"/>
          <w:left w:val="single" w:sz="4" w:space="4" w:color="auto"/>
          <w:bottom w:val="single" w:sz="4" w:space="0" w:color="auto"/>
          <w:right w:val="single" w:sz="4" w:space="4" w:color="auto"/>
        </w:pBdr>
        <w:rPr>
          <w:noProof/>
          <w:szCs w:val="24"/>
          <w:lang w:val="fr-FR" w:bidi="yi-Hebr"/>
        </w:rPr>
      </w:pPr>
      <w:r w:rsidRPr="00C65506">
        <w:rPr>
          <w:b/>
          <w:noProof/>
          <w:szCs w:val="24"/>
          <w:lang w:val="fr-FR" w:bidi="yi-Hebr"/>
        </w:rPr>
        <w:lastRenderedPageBreak/>
        <w:t>16.</w:t>
      </w:r>
      <w:r w:rsidRPr="00C65506">
        <w:rPr>
          <w:b/>
          <w:noProof/>
          <w:szCs w:val="24"/>
          <w:lang w:val="fr-FR" w:bidi="yi-Hebr"/>
        </w:rPr>
        <w:tab/>
      </w:r>
      <w:r w:rsidRPr="00C65506">
        <w:rPr>
          <w:b/>
          <w:szCs w:val="24"/>
          <w:lang w:val="fr-FR" w:bidi="yi-Hebr"/>
        </w:rPr>
        <w:t>INFORMATIONS EN BRAILLE</w:t>
      </w:r>
    </w:p>
    <w:p w:rsidR="00812D16" w:rsidRPr="00C65506" w:rsidRDefault="00812D16" w:rsidP="00496272">
      <w:pPr>
        <w:rPr>
          <w:noProof/>
          <w:szCs w:val="22"/>
          <w:lang w:val="fr-FR"/>
        </w:rPr>
      </w:pPr>
    </w:p>
    <w:p w:rsidR="008C2D76" w:rsidRPr="00C65506" w:rsidRDefault="008C2D76" w:rsidP="008C2D76">
      <w:pPr>
        <w:autoSpaceDE w:val="0"/>
        <w:autoSpaceDN w:val="0"/>
        <w:adjustRightInd w:val="0"/>
        <w:jc w:val="both"/>
        <w:rPr>
          <w:noProof/>
          <w:color w:val="000000"/>
          <w:szCs w:val="24"/>
          <w:lang w:val="fr-FR" w:bidi="yi-Hebr"/>
        </w:rPr>
      </w:pPr>
      <w:r w:rsidRPr="00C65506">
        <w:rPr>
          <w:color w:val="000000"/>
          <w:szCs w:val="24"/>
          <w:lang w:val="fr-FR" w:bidi="yi-Hebr"/>
        </w:rPr>
        <w:t>Ovaleap 300 UI/0,5 mL</w:t>
      </w:r>
    </w:p>
    <w:p w:rsidR="00D945AF" w:rsidRPr="00C65506" w:rsidRDefault="00D945AF" w:rsidP="00496272">
      <w:pPr>
        <w:autoSpaceDE w:val="0"/>
        <w:autoSpaceDN w:val="0"/>
        <w:adjustRightInd w:val="0"/>
        <w:jc w:val="both"/>
        <w:rPr>
          <w:noProof/>
          <w:color w:val="000000"/>
          <w:szCs w:val="22"/>
          <w:lang w:val="fr-FR"/>
        </w:rPr>
      </w:pPr>
    </w:p>
    <w:p w:rsidR="00DB6B97" w:rsidRPr="00C65506" w:rsidRDefault="00DB6B97" w:rsidP="00DB6B97">
      <w:pPr>
        <w:rPr>
          <w:rFonts w:eastAsia="Times New Roman"/>
          <w:noProof/>
          <w:szCs w:val="22"/>
          <w:shd w:val="clear" w:color="auto" w:fill="CCCCCC"/>
          <w:lang w:val="fr-FR" w:eastAsia="fr-FR" w:bidi="fr-FR"/>
        </w:rPr>
      </w:pPr>
    </w:p>
    <w:p w:rsidR="00DB6B97" w:rsidRPr="00C65506" w:rsidRDefault="00DB6B97" w:rsidP="00FC6B14">
      <w:pPr>
        <w:keepNext/>
        <w:pBdr>
          <w:top w:val="single" w:sz="4" w:space="1" w:color="auto"/>
          <w:left w:val="single" w:sz="4" w:space="4" w:color="auto"/>
          <w:bottom w:val="single" w:sz="4" w:space="1" w:color="auto"/>
          <w:right w:val="single" w:sz="4" w:space="4" w:color="auto"/>
        </w:pBdr>
        <w:outlineLvl w:val="0"/>
        <w:rPr>
          <w:rFonts w:eastAsia="Times New Roman"/>
          <w:i/>
          <w:noProof/>
          <w:lang w:val="fr-FR" w:eastAsia="fr-FR" w:bidi="fr-FR"/>
        </w:rPr>
      </w:pPr>
      <w:r w:rsidRPr="00C65506">
        <w:rPr>
          <w:rFonts w:eastAsia="Times New Roman"/>
          <w:b/>
          <w:noProof/>
          <w:lang w:val="fr-FR" w:eastAsia="fr-FR" w:bidi="fr-FR"/>
        </w:rPr>
        <w:t>17.</w:t>
      </w:r>
      <w:r w:rsidRPr="00C65506">
        <w:rPr>
          <w:rFonts w:eastAsia="Times New Roman"/>
          <w:b/>
          <w:noProof/>
          <w:lang w:val="fr-FR" w:eastAsia="fr-FR" w:bidi="fr-FR"/>
        </w:rPr>
        <w:tab/>
        <w:t>IDENTIFIANT UNIQUE - CODE-BARRES 2D</w:t>
      </w:r>
    </w:p>
    <w:p w:rsidR="00DB6B97" w:rsidRPr="00C65506" w:rsidRDefault="00DB6B97" w:rsidP="00FC6B14">
      <w:pPr>
        <w:keepNext/>
        <w:tabs>
          <w:tab w:val="clear" w:pos="567"/>
        </w:tabs>
        <w:outlineLvl w:val="0"/>
        <w:rPr>
          <w:rFonts w:eastAsia="Times New Roman"/>
          <w:noProof/>
          <w:lang w:val="fr-FR" w:eastAsia="fr-FR" w:bidi="fr-FR"/>
        </w:rPr>
      </w:pPr>
    </w:p>
    <w:p w:rsidR="00DB6B97" w:rsidRPr="00C65506" w:rsidRDefault="00DB6B97" w:rsidP="00DB6B97">
      <w:pPr>
        <w:rPr>
          <w:rFonts w:eastAsia="Times New Roman"/>
          <w:noProof/>
          <w:szCs w:val="22"/>
          <w:shd w:val="clear" w:color="auto" w:fill="CCCCCC"/>
          <w:lang w:val="fr-FR" w:eastAsia="fr-FR" w:bidi="fr-FR"/>
        </w:rPr>
      </w:pPr>
      <w:r w:rsidRPr="00C65506">
        <w:rPr>
          <w:rFonts w:eastAsia="Times New Roman"/>
          <w:noProof/>
          <w:highlight w:val="lightGray"/>
          <w:lang w:val="fr-FR" w:eastAsia="fr-FR" w:bidi="fr-FR"/>
        </w:rPr>
        <w:t>code-barres 2D portant l'identifiant unique inclus.</w:t>
      </w:r>
    </w:p>
    <w:p w:rsidR="00DB6B97" w:rsidRPr="00C65506" w:rsidRDefault="00DB6B97" w:rsidP="00DB6B97">
      <w:pPr>
        <w:rPr>
          <w:rFonts w:eastAsia="Times New Roman"/>
          <w:noProof/>
          <w:szCs w:val="22"/>
          <w:shd w:val="clear" w:color="auto" w:fill="CCCCCC"/>
          <w:lang w:val="fr-FR" w:eastAsia="fr-FR" w:bidi="fr-FR"/>
        </w:rPr>
      </w:pPr>
    </w:p>
    <w:p w:rsidR="00DB6B97" w:rsidRPr="00C65506" w:rsidRDefault="00DB6B97" w:rsidP="00DB6B97">
      <w:pPr>
        <w:tabs>
          <w:tab w:val="clear" w:pos="567"/>
        </w:tabs>
        <w:rPr>
          <w:rFonts w:eastAsia="Times New Roman"/>
          <w:noProof/>
          <w:lang w:val="fr-FR" w:eastAsia="fr-FR" w:bidi="fr-FR"/>
        </w:rPr>
      </w:pPr>
    </w:p>
    <w:p w:rsidR="00DB6B97" w:rsidRPr="00C65506" w:rsidRDefault="00DB6B97" w:rsidP="00DB6B97">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fr-FR" w:eastAsia="fr-FR" w:bidi="fr-FR"/>
        </w:rPr>
      </w:pPr>
      <w:r w:rsidRPr="00C65506">
        <w:rPr>
          <w:rFonts w:eastAsia="Times New Roman"/>
          <w:b/>
          <w:noProof/>
          <w:lang w:val="fr-FR" w:eastAsia="fr-FR" w:bidi="fr-FR"/>
        </w:rPr>
        <w:t>18.</w:t>
      </w:r>
      <w:r w:rsidRPr="00C65506">
        <w:rPr>
          <w:rFonts w:eastAsia="Times New Roman"/>
          <w:b/>
          <w:noProof/>
          <w:lang w:val="fr-FR" w:eastAsia="fr-FR" w:bidi="fr-FR"/>
        </w:rPr>
        <w:tab/>
        <w:t>IDENTIFIANT UNIQUE - DONNÉES LISIBLES PAR LES HUMAINS</w:t>
      </w:r>
    </w:p>
    <w:p w:rsidR="00DB6B97" w:rsidRPr="00C65506" w:rsidRDefault="00DB6B97" w:rsidP="00DB6B97">
      <w:pPr>
        <w:tabs>
          <w:tab w:val="clear" w:pos="567"/>
        </w:tabs>
        <w:rPr>
          <w:rFonts w:eastAsia="Times New Roman"/>
          <w:noProof/>
          <w:lang w:val="fr-FR" w:eastAsia="fr-FR" w:bidi="fr-FR"/>
        </w:rPr>
      </w:pPr>
    </w:p>
    <w:p w:rsidR="00DB6B97" w:rsidRPr="00C65506" w:rsidRDefault="00DB6B97" w:rsidP="00DB6B97">
      <w:pPr>
        <w:spacing w:line="260" w:lineRule="exact"/>
        <w:rPr>
          <w:rFonts w:eastAsia="Times New Roman"/>
          <w:color w:val="000000"/>
          <w:szCs w:val="22"/>
          <w:lang w:val="fr-FR" w:eastAsia="fr-FR" w:bidi="fr-FR"/>
        </w:rPr>
      </w:pPr>
      <w:r w:rsidRPr="00C65506">
        <w:rPr>
          <w:rFonts w:eastAsia="Times New Roman"/>
          <w:lang w:val="fr-FR" w:eastAsia="fr-FR" w:bidi="fr-FR"/>
        </w:rPr>
        <w:t>PC:</w:t>
      </w:r>
    </w:p>
    <w:p w:rsidR="00DB6B97" w:rsidRPr="00C65506" w:rsidRDefault="00DB6B97" w:rsidP="00DB6B97">
      <w:pPr>
        <w:spacing w:line="260" w:lineRule="exact"/>
        <w:rPr>
          <w:rFonts w:eastAsia="Times New Roman"/>
          <w:szCs w:val="22"/>
          <w:lang w:val="fr-FR" w:eastAsia="fr-FR" w:bidi="fr-FR"/>
        </w:rPr>
      </w:pPr>
      <w:r w:rsidRPr="00C65506">
        <w:rPr>
          <w:rFonts w:eastAsia="Times New Roman"/>
          <w:lang w:val="fr-FR" w:eastAsia="fr-FR" w:bidi="fr-FR"/>
        </w:rPr>
        <w:t>SN:</w:t>
      </w:r>
    </w:p>
    <w:p w:rsidR="00BA4091" w:rsidRPr="00C65506" w:rsidRDefault="00DB6B97" w:rsidP="00DB6B97">
      <w:pPr>
        <w:autoSpaceDE w:val="0"/>
        <w:autoSpaceDN w:val="0"/>
        <w:adjustRightInd w:val="0"/>
        <w:jc w:val="both"/>
        <w:rPr>
          <w:rFonts w:eastAsia="Times New Roman"/>
          <w:lang w:val="fr-FR" w:eastAsia="fr-FR" w:bidi="fr-FR"/>
        </w:rPr>
      </w:pPr>
      <w:r w:rsidRPr="00C65506">
        <w:rPr>
          <w:rFonts w:eastAsia="Times New Roman"/>
          <w:lang w:val="fr-FR" w:eastAsia="fr-FR" w:bidi="fr-FR"/>
        </w:rPr>
        <w:t>NN:</w:t>
      </w:r>
    </w:p>
    <w:p w:rsidR="00DB6B97" w:rsidRPr="00C65506" w:rsidRDefault="00DB6B97" w:rsidP="00DB6B97">
      <w:pPr>
        <w:autoSpaceDE w:val="0"/>
        <w:autoSpaceDN w:val="0"/>
        <w:adjustRightInd w:val="0"/>
        <w:jc w:val="both"/>
        <w:rPr>
          <w:noProof/>
          <w:color w:val="000000"/>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shd w:val="clear" w:color="auto" w:fill="FFFFFF"/>
        <w:rPr>
          <w:b/>
          <w:noProof/>
          <w:szCs w:val="24"/>
          <w:lang w:val="fr-FR" w:bidi="yi-Hebr"/>
        </w:rPr>
      </w:pPr>
      <w:r w:rsidRPr="00C65506">
        <w:rPr>
          <w:noProof/>
          <w:szCs w:val="24"/>
          <w:shd w:val="clear" w:color="auto" w:fill="CCCCCC"/>
          <w:lang w:val="fr-FR" w:bidi="yi-Hebr"/>
        </w:rPr>
        <w:br w:type="page"/>
      </w:r>
      <w:r w:rsidRPr="00C65506">
        <w:rPr>
          <w:b/>
          <w:szCs w:val="24"/>
          <w:lang w:val="fr-FR" w:bidi="yi-Hebr"/>
        </w:rPr>
        <w:lastRenderedPageBreak/>
        <w:t>MENTIONS DEVANT FIGURER SUR L’EMBALLAGE EXTÉRIEUR</w:t>
      </w:r>
    </w:p>
    <w:p w:rsidR="00B0649D" w:rsidRPr="00C65506" w:rsidRDefault="00B0649D" w:rsidP="00496272">
      <w:pPr>
        <w:pBdr>
          <w:top w:val="single" w:sz="4" w:space="1" w:color="auto"/>
          <w:left w:val="single" w:sz="4" w:space="4" w:color="auto"/>
          <w:bottom w:val="single" w:sz="4" w:space="1" w:color="auto"/>
          <w:right w:val="single" w:sz="4" w:space="4" w:color="auto"/>
        </w:pBdr>
        <w:shd w:val="clear" w:color="auto" w:fill="FFFFFF"/>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rPr>
          <w:b/>
          <w:noProof/>
          <w:szCs w:val="24"/>
          <w:lang w:val="fr-FR" w:bidi="yi-Hebr"/>
        </w:rPr>
      </w:pPr>
      <w:r w:rsidRPr="00C65506">
        <w:rPr>
          <w:b/>
          <w:szCs w:val="24"/>
          <w:lang w:val="fr-FR" w:bidi="yi-Hebr"/>
        </w:rPr>
        <w:t>BOÎTE D’EMBALLAGE EXTÉRIEUR</w:t>
      </w:r>
    </w:p>
    <w:p w:rsidR="00EA5BA3" w:rsidRPr="00C65506" w:rsidRDefault="00EA5BA3"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1.</w:t>
      </w:r>
      <w:r w:rsidRPr="00C65506">
        <w:rPr>
          <w:b/>
          <w:noProof/>
          <w:szCs w:val="24"/>
          <w:lang w:val="fr-FR" w:bidi="yi-Hebr"/>
        </w:rPr>
        <w:tab/>
      </w:r>
      <w:r w:rsidRPr="00C65506">
        <w:rPr>
          <w:b/>
          <w:szCs w:val="24"/>
          <w:lang w:val="fr-FR" w:bidi="yi-Hebr"/>
        </w:rPr>
        <w:t>DÉNOMINATION DU MÉDICAMENT</w:t>
      </w:r>
    </w:p>
    <w:p w:rsidR="00D945AF" w:rsidRPr="00C65506" w:rsidRDefault="00D945AF" w:rsidP="00496272">
      <w:pPr>
        <w:rPr>
          <w:noProof/>
          <w:szCs w:val="22"/>
          <w:lang w:val="fr-FR"/>
        </w:rPr>
      </w:pPr>
    </w:p>
    <w:p w:rsidR="008C2D76" w:rsidRPr="00C65506" w:rsidRDefault="008C2D76" w:rsidP="008C2D76">
      <w:pPr>
        <w:autoSpaceDE w:val="0"/>
        <w:autoSpaceDN w:val="0"/>
        <w:adjustRightInd w:val="0"/>
        <w:jc w:val="both"/>
        <w:rPr>
          <w:noProof/>
          <w:color w:val="000000"/>
          <w:szCs w:val="24"/>
          <w:lang w:val="fr-FR" w:bidi="yi-Hebr"/>
        </w:rPr>
      </w:pPr>
      <w:r w:rsidRPr="00C65506">
        <w:rPr>
          <w:color w:val="000000"/>
          <w:szCs w:val="24"/>
          <w:lang w:val="fr-FR" w:bidi="yi-Hebr"/>
        </w:rPr>
        <w:t>Ovaleap 450 UI/0,75 mL solution injectable</w:t>
      </w:r>
    </w:p>
    <w:p w:rsidR="00D945AF" w:rsidRPr="00C65506" w:rsidRDefault="00D945AF" w:rsidP="00496272">
      <w:pPr>
        <w:rPr>
          <w:noProof/>
          <w:szCs w:val="22"/>
          <w:lang w:val="fr-FR"/>
        </w:rPr>
      </w:pPr>
    </w:p>
    <w:p w:rsidR="008C2D76" w:rsidRPr="00C65506" w:rsidRDefault="00944D62" w:rsidP="008C2D76">
      <w:pPr>
        <w:rPr>
          <w:noProof/>
          <w:szCs w:val="24"/>
          <w:lang w:val="fr-FR" w:bidi="yi-Hebr"/>
        </w:rPr>
      </w:pPr>
      <w:r w:rsidRPr="00C65506">
        <w:rPr>
          <w:color w:val="000000"/>
          <w:szCs w:val="24"/>
          <w:lang w:val="fr-FR" w:bidi="yi-Hebr"/>
        </w:rPr>
        <w:t>f</w:t>
      </w:r>
      <w:r w:rsidR="008C2D76" w:rsidRPr="00C65506">
        <w:rPr>
          <w:color w:val="000000"/>
          <w:szCs w:val="24"/>
          <w:lang w:val="fr-FR" w:bidi="yi-Hebr"/>
        </w:rPr>
        <w:t>ollitropine alfa</w:t>
      </w:r>
    </w:p>
    <w:p w:rsidR="00D945AF" w:rsidRPr="00C65506" w:rsidRDefault="00D945AF" w:rsidP="00496272">
      <w:pPr>
        <w:rPr>
          <w:noProof/>
          <w:szCs w:val="22"/>
          <w:lang w:val="fr-FR"/>
        </w:rPr>
      </w:pPr>
    </w:p>
    <w:p w:rsidR="00D43E3D" w:rsidRPr="00C65506" w:rsidRDefault="00D43E3D"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b/>
          <w:noProof/>
          <w:szCs w:val="24"/>
          <w:lang w:val="fr-FR" w:bidi="yi-Hebr"/>
        </w:rPr>
      </w:pPr>
      <w:r w:rsidRPr="00C65506">
        <w:rPr>
          <w:b/>
          <w:noProof/>
          <w:szCs w:val="24"/>
          <w:lang w:val="fr-FR" w:bidi="yi-Hebr"/>
        </w:rPr>
        <w:t>2.</w:t>
      </w:r>
      <w:r w:rsidRPr="00C65506">
        <w:rPr>
          <w:b/>
          <w:noProof/>
          <w:szCs w:val="24"/>
          <w:lang w:val="fr-FR" w:bidi="yi-Hebr"/>
        </w:rPr>
        <w:tab/>
      </w:r>
      <w:r w:rsidRPr="00C65506">
        <w:rPr>
          <w:b/>
          <w:szCs w:val="24"/>
          <w:lang w:val="fr-FR" w:bidi="yi-Hebr"/>
        </w:rPr>
        <w:t xml:space="preserve">COMPOSITION EN </w:t>
      </w:r>
      <w:r w:rsidR="00AA76F4" w:rsidRPr="00C65506">
        <w:rPr>
          <w:b/>
          <w:szCs w:val="24"/>
          <w:lang w:val="fr-FR" w:bidi="yi-Hebr"/>
        </w:rPr>
        <w:t>SUBSTANCE(S) ACTIVE(S)</w:t>
      </w:r>
    </w:p>
    <w:p w:rsidR="00D945AF" w:rsidRPr="00C65506" w:rsidRDefault="00D945AF" w:rsidP="00496272">
      <w:pPr>
        <w:rPr>
          <w:i/>
          <w:noProof/>
          <w:szCs w:val="22"/>
          <w:lang w:val="fr-FR"/>
        </w:rPr>
      </w:pPr>
    </w:p>
    <w:p w:rsidR="008C2D76" w:rsidRPr="00C65506" w:rsidRDefault="008C2D76" w:rsidP="00A621F8">
      <w:pPr>
        <w:tabs>
          <w:tab w:val="clear" w:pos="567"/>
        </w:tabs>
        <w:rPr>
          <w:noProof/>
          <w:color w:val="000000"/>
          <w:szCs w:val="24"/>
          <w:lang w:val="fr-FR" w:bidi="yi-Hebr"/>
        </w:rPr>
      </w:pPr>
      <w:r w:rsidRPr="00C65506">
        <w:rPr>
          <w:color w:val="000000"/>
          <w:szCs w:val="24"/>
          <w:lang w:val="fr-FR" w:bidi="yi-Hebr"/>
        </w:rPr>
        <w:t xml:space="preserve">Chaque cartouche contient 450 UI </w:t>
      </w:r>
      <w:r w:rsidR="00A621F8" w:rsidRPr="00C65506">
        <w:rPr>
          <w:color w:val="000000"/>
          <w:szCs w:val="24"/>
          <w:lang w:val="fr-FR" w:bidi="yi-Hebr"/>
        </w:rPr>
        <w:t xml:space="preserve">(équivalant à 33 microgrammes) </w:t>
      </w:r>
      <w:r w:rsidRPr="00C65506">
        <w:rPr>
          <w:color w:val="000000"/>
          <w:szCs w:val="24"/>
          <w:lang w:val="fr-FR" w:bidi="yi-Hebr"/>
        </w:rPr>
        <w:t>de follitropine alfa dans 0,75 mL de solution</w:t>
      </w:r>
      <w:r w:rsidR="00A621F8" w:rsidRPr="00C65506">
        <w:rPr>
          <w:color w:val="000000"/>
          <w:szCs w:val="24"/>
          <w:lang w:val="fr-FR" w:bidi="yi-Hebr"/>
        </w:rPr>
        <w:t>.</w:t>
      </w:r>
      <w:r w:rsidRPr="00C65506">
        <w:rPr>
          <w:color w:val="000000"/>
          <w:szCs w:val="24"/>
          <w:lang w:val="fr-FR" w:bidi="yi-Hebr"/>
        </w:rPr>
        <w:t xml:space="preserve"> </w:t>
      </w:r>
      <w:r w:rsidR="00A621F8" w:rsidRPr="00C65506">
        <w:rPr>
          <w:color w:val="000000"/>
          <w:szCs w:val="24"/>
          <w:lang w:val="fr-FR" w:bidi="yi-Hebr"/>
        </w:rPr>
        <w:t xml:space="preserve">Chaque mL de solution contient </w:t>
      </w:r>
      <w:r w:rsidRPr="00C65506">
        <w:rPr>
          <w:color w:val="000000"/>
          <w:szCs w:val="24"/>
          <w:lang w:val="fr-FR" w:bidi="yi-Hebr"/>
        </w:rPr>
        <w:t xml:space="preserve">600 UI </w:t>
      </w:r>
      <w:r w:rsidR="00A621F8" w:rsidRPr="00C65506">
        <w:rPr>
          <w:color w:val="000000"/>
          <w:szCs w:val="24"/>
          <w:lang w:val="fr-FR" w:bidi="yi-Hebr"/>
        </w:rPr>
        <w:t xml:space="preserve">(équivalant à 44 microgrammes) </w:t>
      </w:r>
      <w:r w:rsidRPr="00C65506">
        <w:rPr>
          <w:color w:val="000000"/>
          <w:szCs w:val="24"/>
          <w:lang w:val="fr-FR" w:bidi="yi-Hebr"/>
        </w:rPr>
        <w:t>de follitropine alfa.</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3.</w:t>
      </w:r>
      <w:r w:rsidRPr="00C65506">
        <w:rPr>
          <w:b/>
          <w:noProof/>
          <w:szCs w:val="24"/>
          <w:lang w:val="fr-FR" w:bidi="yi-Hebr"/>
        </w:rPr>
        <w:tab/>
      </w:r>
      <w:r w:rsidRPr="00C65506">
        <w:rPr>
          <w:b/>
          <w:szCs w:val="24"/>
          <w:lang w:val="fr-FR" w:bidi="yi-Hebr"/>
        </w:rPr>
        <w:t>LISTE DES EXCIPIENTS</w:t>
      </w:r>
    </w:p>
    <w:p w:rsidR="00D945AF" w:rsidRPr="00C65506" w:rsidRDefault="00D945AF" w:rsidP="00496272">
      <w:pPr>
        <w:rPr>
          <w:noProof/>
          <w:szCs w:val="22"/>
          <w:lang w:val="fr-FR"/>
        </w:rPr>
      </w:pPr>
    </w:p>
    <w:p w:rsidR="008C2D76" w:rsidRPr="00C65506" w:rsidRDefault="008C2D76" w:rsidP="008C2D76">
      <w:pPr>
        <w:rPr>
          <w:noProof/>
          <w:szCs w:val="24"/>
          <w:lang w:val="fr-FR" w:bidi="yi-Hebr"/>
        </w:rPr>
      </w:pPr>
      <w:r w:rsidRPr="00C65506">
        <w:rPr>
          <w:szCs w:val="24"/>
          <w:lang w:val="fr-FR" w:bidi="yi-Hebr"/>
        </w:rPr>
        <w:t>Excipients :</w:t>
      </w:r>
      <w:r w:rsidRPr="00C65506">
        <w:rPr>
          <w:noProof/>
          <w:szCs w:val="24"/>
          <w:lang w:val="fr-FR" w:bidi="yi-Hebr"/>
        </w:rPr>
        <w:t xml:space="preserve"> </w:t>
      </w:r>
      <w:r w:rsidRPr="00C65506">
        <w:rPr>
          <w:szCs w:val="24"/>
          <w:lang w:val="fr-FR" w:bidi="yi-Hebr"/>
        </w:rPr>
        <w:t>phosphate monosodique dihydraté, hydroxyde de sodium (2 M) (pour l’ajustement du pH), mannitol, méthionine, polysorbate 20, alcool benzylique, chlorure de benzalkonium, eau pour préparations injectables.</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4.</w:t>
      </w:r>
      <w:r w:rsidRPr="00C65506">
        <w:rPr>
          <w:b/>
          <w:noProof/>
          <w:szCs w:val="24"/>
          <w:lang w:val="fr-FR" w:bidi="yi-Hebr"/>
        </w:rPr>
        <w:tab/>
      </w:r>
      <w:r w:rsidRPr="00C65506">
        <w:rPr>
          <w:b/>
          <w:szCs w:val="24"/>
          <w:lang w:val="fr-FR" w:bidi="yi-Hebr"/>
        </w:rPr>
        <w:t>FORME PHARMACEUTIQUE ET CONTENU</w:t>
      </w:r>
    </w:p>
    <w:p w:rsidR="00D945AF" w:rsidRPr="00C65506" w:rsidRDefault="00D945AF" w:rsidP="00496272">
      <w:pPr>
        <w:rPr>
          <w:noProof/>
          <w:szCs w:val="22"/>
          <w:lang w:val="fr-FR"/>
        </w:rPr>
      </w:pPr>
    </w:p>
    <w:p w:rsidR="008C2D76" w:rsidRPr="00C65506" w:rsidRDefault="008C2D76" w:rsidP="008C2D76">
      <w:pPr>
        <w:rPr>
          <w:noProof/>
          <w:color w:val="000000"/>
          <w:szCs w:val="24"/>
          <w:lang w:val="fr-FR" w:bidi="yi-Hebr"/>
        </w:rPr>
      </w:pPr>
      <w:r w:rsidRPr="00C65506">
        <w:rPr>
          <w:color w:val="000000"/>
          <w:szCs w:val="24"/>
          <w:highlight w:val="lightGray"/>
          <w:lang w:val="fr-FR" w:bidi="yi-Hebr"/>
        </w:rPr>
        <w:t>Solution injectable</w:t>
      </w:r>
    </w:p>
    <w:p w:rsidR="00D945AF" w:rsidRPr="00C65506" w:rsidRDefault="00D945AF" w:rsidP="00496272">
      <w:pPr>
        <w:rPr>
          <w:noProof/>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 xml:space="preserve">1 cartouche </w:t>
      </w:r>
      <w:r w:rsidR="00A621F8" w:rsidRPr="00C65506">
        <w:rPr>
          <w:color w:val="000000"/>
          <w:szCs w:val="24"/>
          <w:lang w:val="fr-FR" w:bidi="yi-Hebr"/>
        </w:rPr>
        <w:t xml:space="preserve">contenant 0,75 mL de solution </w:t>
      </w:r>
      <w:r w:rsidRPr="00C65506">
        <w:rPr>
          <w:color w:val="000000"/>
          <w:szCs w:val="24"/>
          <w:lang w:val="fr-FR" w:bidi="yi-Hebr"/>
        </w:rPr>
        <w:t>et 10 aiguilles d’injection</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5.</w:t>
      </w:r>
      <w:r w:rsidRPr="00C65506">
        <w:rPr>
          <w:b/>
          <w:noProof/>
          <w:szCs w:val="24"/>
          <w:lang w:val="fr-FR" w:bidi="yi-Hebr"/>
        </w:rPr>
        <w:tab/>
      </w:r>
      <w:r w:rsidRPr="00C65506">
        <w:rPr>
          <w:b/>
          <w:szCs w:val="24"/>
          <w:lang w:val="fr-FR" w:bidi="yi-Hebr"/>
        </w:rPr>
        <w:t>MODE ET VOIE(S) D’ADMINISTRATION</w:t>
      </w:r>
    </w:p>
    <w:p w:rsidR="00D945AF" w:rsidRPr="00C65506" w:rsidRDefault="00D945AF" w:rsidP="00496272">
      <w:pPr>
        <w:rPr>
          <w:noProof/>
          <w:szCs w:val="22"/>
          <w:lang w:val="fr-FR"/>
        </w:rPr>
      </w:pPr>
    </w:p>
    <w:p w:rsidR="008C2D76" w:rsidRPr="00C65506" w:rsidRDefault="008C2D76" w:rsidP="008C2D76">
      <w:pPr>
        <w:tabs>
          <w:tab w:val="left" w:pos="749"/>
        </w:tabs>
        <w:rPr>
          <w:noProof/>
          <w:color w:val="000000"/>
          <w:szCs w:val="24"/>
          <w:lang w:val="fr-FR" w:bidi="yi-Hebr"/>
        </w:rPr>
      </w:pPr>
      <w:r w:rsidRPr="00C65506">
        <w:rPr>
          <w:color w:val="000000"/>
          <w:szCs w:val="24"/>
          <w:lang w:val="fr-FR" w:bidi="yi-Hebr"/>
        </w:rPr>
        <w:t>À utiliser uniquement avec le stylo Ovaleap</w:t>
      </w:r>
      <w:r w:rsidR="008E4008" w:rsidRPr="00C65506">
        <w:rPr>
          <w:color w:val="000000"/>
          <w:szCs w:val="24"/>
          <w:lang w:val="fr-FR" w:bidi="yi-Hebr"/>
        </w:rPr>
        <w:t xml:space="preserve"> Pen</w:t>
      </w:r>
      <w:r w:rsidRPr="00C65506">
        <w:rPr>
          <w:color w:val="000000"/>
          <w:szCs w:val="24"/>
          <w:lang w:val="fr-FR" w:bidi="yi-Hebr"/>
        </w:rPr>
        <w:t>.</w:t>
      </w:r>
    </w:p>
    <w:p w:rsidR="00681083" w:rsidRPr="00C65506" w:rsidRDefault="00681083" w:rsidP="00496272">
      <w:pPr>
        <w:rPr>
          <w:noProof/>
          <w:szCs w:val="22"/>
          <w:highlight w:val="lightGray"/>
          <w:lang w:val="fr-FR"/>
        </w:rPr>
      </w:pPr>
    </w:p>
    <w:p w:rsidR="008C2D76" w:rsidRPr="00C65506" w:rsidRDefault="008C2D76" w:rsidP="008C2D76">
      <w:pPr>
        <w:rPr>
          <w:noProof/>
          <w:szCs w:val="24"/>
          <w:lang w:val="fr-FR" w:bidi="yi-Hebr"/>
        </w:rPr>
      </w:pPr>
      <w:r w:rsidRPr="00C65506">
        <w:rPr>
          <w:szCs w:val="24"/>
          <w:lang w:val="fr-FR" w:bidi="yi-Hebr"/>
        </w:rPr>
        <w:t>Lire la notice avant utilisation.</w:t>
      </w:r>
    </w:p>
    <w:p w:rsidR="00A621F8" w:rsidRPr="00C65506" w:rsidRDefault="00A621F8" w:rsidP="008C2D76">
      <w:pPr>
        <w:tabs>
          <w:tab w:val="left" w:pos="749"/>
        </w:tabs>
        <w:rPr>
          <w:szCs w:val="24"/>
          <w:lang w:val="fr-FR" w:bidi="yi-Hebr"/>
        </w:rPr>
      </w:pPr>
    </w:p>
    <w:p w:rsidR="008C2D76" w:rsidRPr="00C65506" w:rsidRDefault="008C2D76" w:rsidP="008C2D76">
      <w:pPr>
        <w:tabs>
          <w:tab w:val="left" w:pos="749"/>
        </w:tabs>
        <w:rPr>
          <w:szCs w:val="24"/>
          <w:lang w:val="fr-FR" w:bidi="yi-Hebr"/>
        </w:rPr>
      </w:pPr>
      <w:r w:rsidRPr="00C65506">
        <w:rPr>
          <w:szCs w:val="24"/>
          <w:lang w:val="fr-FR" w:bidi="yi-Hebr"/>
        </w:rPr>
        <w:t>Voie sous-cutanée</w:t>
      </w:r>
    </w:p>
    <w:p w:rsidR="00D945AF" w:rsidRPr="00C65506" w:rsidRDefault="00D945AF" w:rsidP="00496272">
      <w:pPr>
        <w:tabs>
          <w:tab w:val="left" w:pos="749"/>
        </w:tabs>
        <w:rPr>
          <w:noProof/>
          <w:szCs w:val="22"/>
          <w:lang w:val="fr-FR"/>
        </w:rPr>
      </w:pPr>
    </w:p>
    <w:p w:rsidR="00D945AF" w:rsidRPr="00C65506" w:rsidRDefault="00D945AF" w:rsidP="00496272">
      <w:pPr>
        <w:tabs>
          <w:tab w:val="left" w:pos="749"/>
        </w:tabs>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6.</w:t>
      </w:r>
      <w:r w:rsidRPr="00C65506">
        <w:rPr>
          <w:b/>
          <w:noProof/>
          <w:szCs w:val="24"/>
          <w:lang w:val="fr-FR" w:bidi="yi-Hebr"/>
        </w:rPr>
        <w:tab/>
      </w:r>
      <w:r w:rsidRPr="00C65506">
        <w:rPr>
          <w:b/>
          <w:szCs w:val="24"/>
          <w:lang w:val="fr-FR" w:bidi="yi-Hebr"/>
        </w:rPr>
        <w:t xml:space="preserve">MISE EN GARDE SPÉCIALE INDIQUANT QUE LE MÉDICAMENT DOIT ÊTRE CONSERVÉ </w:t>
      </w:r>
      <w:r w:rsidR="00AA76F4" w:rsidRPr="00C65506">
        <w:rPr>
          <w:b/>
          <w:szCs w:val="24"/>
          <w:lang w:val="fr-FR" w:bidi="yi-Hebr"/>
        </w:rPr>
        <w:t>HORS DE VUE ET DE PORTÉE DES ENFANTS</w:t>
      </w:r>
    </w:p>
    <w:p w:rsidR="00D945AF" w:rsidRPr="00C65506" w:rsidRDefault="00D945AF" w:rsidP="00496272">
      <w:pPr>
        <w:rPr>
          <w:noProof/>
          <w:szCs w:val="22"/>
          <w:lang w:val="fr-FR"/>
        </w:rPr>
      </w:pPr>
    </w:p>
    <w:p w:rsidR="008C2D76" w:rsidRPr="00C65506" w:rsidRDefault="008C2D76" w:rsidP="008C2D76">
      <w:pPr>
        <w:outlineLvl w:val="0"/>
        <w:rPr>
          <w:noProof/>
          <w:szCs w:val="24"/>
          <w:lang w:val="fr-FR" w:bidi="yi-Hebr"/>
        </w:rPr>
      </w:pPr>
      <w:r w:rsidRPr="00C65506">
        <w:rPr>
          <w:szCs w:val="24"/>
          <w:lang w:val="fr-FR" w:bidi="yi-Hebr"/>
        </w:rPr>
        <w:t>Tenir hors de la vue et de la portée des enfants.</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7.</w:t>
      </w:r>
      <w:r w:rsidRPr="00C65506">
        <w:rPr>
          <w:b/>
          <w:noProof/>
          <w:szCs w:val="24"/>
          <w:lang w:val="fr-FR" w:bidi="yi-Hebr"/>
        </w:rPr>
        <w:tab/>
      </w:r>
      <w:r w:rsidRPr="00C65506">
        <w:rPr>
          <w:b/>
          <w:szCs w:val="24"/>
          <w:lang w:val="fr-FR" w:bidi="yi-Hebr"/>
        </w:rPr>
        <w:t>AUTRE(S) MISE(S) EN GARDE SPÉCIALE(S), SI NÉCESSAIRE</w:t>
      </w:r>
    </w:p>
    <w:p w:rsidR="00D945AF" w:rsidRPr="00C65506" w:rsidRDefault="00D945AF" w:rsidP="00496272">
      <w:pPr>
        <w:tabs>
          <w:tab w:val="left" w:pos="749"/>
        </w:tabs>
        <w:rPr>
          <w:noProof/>
          <w:szCs w:val="22"/>
          <w:lang w:val="fr-FR"/>
        </w:rPr>
      </w:pPr>
    </w:p>
    <w:p w:rsidR="00D43E3D" w:rsidRPr="00C65506" w:rsidRDefault="00D43E3D" w:rsidP="00496272">
      <w:pPr>
        <w:tabs>
          <w:tab w:val="left" w:pos="749"/>
        </w:tabs>
        <w:rPr>
          <w:noProof/>
          <w:szCs w:val="22"/>
          <w:lang w:val="fr-FR"/>
        </w:rPr>
      </w:pPr>
    </w:p>
    <w:p w:rsidR="008C2D76" w:rsidRPr="00C65506" w:rsidRDefault="008C2D76" w:rsidP="00D10FFC">
      <w:pPr>
        <w:keepNext/>
        <w:keepLines/>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lastRenderedPageBreak/>
        <w:t>8.</w:t>
      </w:r>
      <w:r w:rsidRPr="00C65506">
        <w:rPr>
          <w:b/>
          <w:noProof/>
          <w:szCs w:val="24"/>
          <w:lang w:val="fr-FR" w:bidi="yi-Hebr"/>
        </w:rPr>
        <w:tab/>
      </w:r>
      <w:r w:rsidRPr="00C65506">
        <w:rPr>
          <w:b/>
          <w:szCs w:val="24"/>
          <w:lang w:val="fr-FR" w:bidi="yi-Hebr"/>
        </w:rPr>
        <w:t>DATE DE PÉREMPTION</w:t>
      </w:r>
    </w:p>
    <w:p w:rsidR="00D945AF" w:rsidRPr="00C65506" w:rsidRDefault="00D945AF" w:rsidP="00D10FFC">
      <w:pPr>
        <w:keepNext/>
        <w:keepLines/>
        <w:rPr>
          <w:noProof/>
          <w:szCs w:val="22"/>
          <w:lang w:val="fr-FR"/>
        </w:rPr>
      </w:pPr>
    </w:p>
    <w:p w:rsidR="008C2D76" w:rsidRPr="00C65506" w:rsidRDefault="008C2D76" w:rsidP="00D10FFC">
      <w:pPr>
        <w:keepNext/>
        <w:keepLines/>
        <w:rPr>
          <w:noProof/>
          <w:szCs w:val="24"/>
          <w:lang w:val="fr-FR" w:bidi="yi-Hebr"/>
        </w:rPr>
      </w:pPr>
      <w:r w:rsidRPr="00C65506">
        <w:rPr>
          <w:szCs w:val="24"/>
          <w:lang w:val="fr-FR" w:bidi="yi-Hebr"/>
        </w:rPr>
        <w:t>EXP</w:t>
      </w:r>
    </w:p>
    <w:p w:rsidR="00D945AF" w:rsidRPr="00C65506" w:rsidRDefault="00D945AF" w:rsidP="00D10FFC">
      <w:pPr>
        <w:keepNext/>
        <w:rPr>
          <w:noProof/>
          <w:szCs w:val="22"/>
          <w:lang w:val="fr-FR"/>
        </w:rPr>
      </w:pPr>
    </w:p>
    <w:p w:rsidR="008C2D76" w:rsidRPr="00C65506" w:rsidRDefault="008C2D76" w:rsidP="00D10FFC">
      <w:pPr>
        <w:keepNext/>
        <w:tabs>
          <w:tab w:val="clear" w:pos="567"/>
        </w:tabs>
        <w:rPr>
          <w:noProof/>
          <w:color w:val="000000"/>
          <w:szCs w:val="24"/>
          <w:lang w:val="fr-FR" w:bidi="yi-Hebr"/>
        </w:rPr>
      </w:pPr>
      <w:r w:rsidRPr="00C65506">
        <w:rPr>
          <w:color w:val="000000"/>
          <w:szCs w:val="24"/>
          <w:lang w:val="fr-FR" w:bidi="yi-Hebr"/>
        </w:rPr>
        <w:t xml:space="preserve">La cartouche en cours d’utilisation </w:t>
      </w:r>
      <w:r w:rsidR="00EA5BA3" w:rsidRPr="00C65506">
        <w:rPr>
          <w:color w:val="000000"/>
          <w:szCs w:val="24"/>
          <w:lang w:val="fr-FR" w:bidi="yi-Hebr"/>
        </w:rPr>
        <w:t xml:space="preserve">présente </w:t>
      </w:r>
      <w:r w:rsidRPr="00C65506">
        <w:rPr>
          <w:color w:val="000000"/>
          <w:szCs w:val="24"/>
          <w:lang w:val="fr-FR" w:bidi="yi-Hebr"/>
        </w:rPr>
        <w:t>dans le stylo peut être conservée pendant un maximum de 28 jours à une température ne dépassant pas 25°C.</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keepNext/>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9.</w:t>
      </w:r>
      <w:r w:rsidRPr="00C65506">
        <w:rPr>
          <w:b/>
          <w:noProof/>
          <w:szCs w:val="24"/>
          <w:lang w:val="fr-FR" w:bidi="yi-Hebr"/>
        </w:rPr>
        <w:tab/>
      </w:r>
      <w:r w:rsidRPr="00C65506">
        <w:rPr>
          <w:b/>
          <w:szCs w:val="24"/>
          <w:lang w:val="fr-FR" w:bidi="yi-Hebr"/>
        </w:rPr>
        <w:t>PRÉCAUTIONS PARTICULIÈRES DE CONSERVATION</w:t>
      </w:r>
    </w:p>
    <w:p w:rsidR="00D945AF" w:rsidRPr="00C65506" w:rsidRDefault="00D945AF" w:rsidP="00496272">
      <w:pPr>
        <w:rPr>
          <w:noProof/>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À conserver au réfrigérateur.</w:t>
      </w:r>
    </w:p>
    <w:p w:rsidR="00D945AF" w:rsidRPr="00C65506" w:rsidRDefault="00D945AF" w:rsidP="00496272">
      <w:pPr>
        <w:tabs>
          <w:tab w:val="clear" w:pos="567"/>
        </w:tabs>
        <w:rPr>
          <w:noProof/>
          <w:color w:val="000000"/>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Ne pas congeler.</w:t>
      </w:r>
    </w:p>
    <w:p w:rsidR="00D945AF" w:rsidRPr="00C65506" w:rsidRDefault="00D945AF" w:rsidP="00496272">
      <w:pPr>
        <w:tabs>
          <w:tab w:val="clear" w:pos="567"/>
        </w:tabs>
        <w:rPr>
          <w:noProof/>
          <w:color w:val="000000"/>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Conserver la cartouche dans l’emballage extérieur, à l’abri de la lumière.</w:t>
      </w:r>
    </w:p>
    <w:p w:rsidR="00D945AF" w:rsidRPr="00C65506" w:rsidRDefault="00D945AF" w:rsidP="00496272">
      <w:pPr>
        <w:tabs>
          <w:tab w:val="clear" w:pos="567"/>
        </w:tabs>
        <w:rPr>
          <w:noProof/>
          <w:color w:val="000000"/>
          <w:szCs w:val="22"/>
          <w:lang w:val="fr-FR"/>
        </w:rPr>
      </w:pPr>
    </w:p>
    <w:p w:rsidR="008C2D76" w:rsidRPr="00C65506" w:rsidRDefault="008C2D76" w:rsidP="00EA5BA3">
      <w:pPr>
        <w:rPr>
          <w:noProof/>
          <w:szCs w:val="24"/>
          <w:lang w:val="fr-FR" w:bidi="yi-Hebr"/>
        </w:rPr>
      </w:pPr>
      <w:r w:rsidRPr="00C65506">
        <w:rPr>
          <w:szCs w:val="24"/>
          <w:lang w:val="fr-FR" w:bidi="yi-Hebr"/>
        </w:rPr>
        <w:t>Avant ouverture, peut être conservé jusqu’à 3 mois à une température ne dépassant pas 25°C</w:t>
      </w:r>
      <w:r w:rsidRPr="00C65506">
        <w:rPr>
          <w:color w:val="000000"/>
          <w:szCs w:val="24"/>
          <w:lang w:val="fr-FR" w:bidi="yi-Hebr"/>
        </w:rPr>
        <w:t>.</w:t>
      </w:r>
      <w:r w:rsidRPr="00C65506">
        <w:rPr>
          <w:noProof/>
          <w:color w:val="000000"/>
          <w:szCs w:val="24"/>
          <w:lang w:val="fr-FR" w:bidi="yi-Hebr"/>
        </w:rPr>
        <w:t xml:space="preserve"> </w:t>
      </w:r>
      <w:r w:rsidR="00EA5BA3" w:rsidRPr="00C65506">
        <w:rPr>
          <w:color w:val="000000"/>
          <w:szCs w:val="24"/>
          <w:lang w:val="fr-FR" w:bidi="yi-Hebr"/>
        </w:rPr>
        <w:t xml:space="preserve">Doit </w:t>
      </w:r>
      <w:r w:rsidRPr="00C65506">
        <w:rPr>
          <w:color w:val="000000"/>
          <w:szCs w:val="24"/>
          <w:lang w:val="fr-FR" w:bidi="yi-Hebr"/>
        </w:rPr>
        <w:t>être jeté</w:t>
      </w:r>
      <w:r w:rsidR="00EA5BA3" w:rsidRPr="00C65506">
        <w:rPr>
          <w:color w:val="000000"/>
          <w:szCs w:val="24"/>
          <w:lang w:val="fr-FR" w:bidi="yi-Hebr"/>
        </w:rPr>
        <w:t xml:space="preserve"> au bout de 3 mois s’il n’a pas été utilisé</w:t>
      </w:r>
      <w:r w:rsidRPr="00C65506">
        <w:rPr>
          <w:color w:val="000000"/>
          <w:szCs w:val="24"/>
          <w:lang w:val="fr-FR" w:bidi="yi-Hebr"/>
        </w:rPr>
        <w:t>.</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b/>
          <w:noProof/>
          <w:szCs w:val="24"/>
          <w:lang w:val="fr-FR" w:bidi="yi-Hebr"/>
        </w:rPr>
      </w:pPr>
      <w:r w:rsidRPr="00C65506">
        <w:rPr>
          <w:b/>
          <w:noProof/>
          <w:szCs w:val="24"/>
          <w:lang w:val="fr-FR" w:bidi="yi-Hebr"/>
        </w:rPr>
        <w:t>10.</w:t>
      </w:r>
      <w:r w:rsidRPr="00C65506">
        <w:rPr>
          <w:b/>
          <w:noProof/>
          <w:szCs w:val="24"/>
          <w:lang w:val="fr-FR" w:bidi="yi-Hebr"/>
        </w:rPr>
        <w:tab/>
      </w:r>
      <w:r w:rsidRPr="00C65506">
        <w:rPr>
          <w:b/>
          <w:szCs w:val="24"/>
          <w:lang w:val="fr-FR" w:bidi="yi-Hebr"/>
        </w:rPr>
        <w:t>PRÉCAUTIONS PARTICULIÈRES D’ÉLIMINATION DES MÉDICAMENTS NON UTILISÉS OU DES DÉCHETS PROVENANT DE CES MÉDICAMENTS S’IL Y A LIEU</w:t>
      </w:r>
    </w:p>
    <w:p w:rsidR="00D945AF" w:rsidRPr="00C65506" w:rsidRDefault="00D945AF" w:rsidP="00496272">
      <w:pPr>
        <w:rPr>
          <w:noProof/>
          <w:szCs w:val="22"/>
          <w:lang w:val="fr-FR"/>
        </w:rPr>
      </w:pPr>
    </w:p>
    <w:p w:rsidR="00D43E3D" w:rsidRPr="00C65506" w:rsidRDefault="00D43E3D" w:rsidP="00496272">
      <w:pPr>
        <w:rPr>
          <w:noProof/>
          <w:szCs w:val="22"/>
          <w:lang w:val="fr-FR"/>
        </w:rPr>
      </w:pPr>
    </w:p>
    <w:p w:rsidR="00D945AF" w:rsidRPr="00C65506" w:rsidRDefault="00D945AF" w:rsidP="00496272">
      <w:pPr>
        <w:rPr>
          <w:noProof/>
          <w:szCs w:val="22"/>
          <w:lang w:val="fr-FR"/>
        </w:rPr>
      </w:pPr>
    </w:p>
    <w:p w:rsidR="008C2D76" w:rsidRPr="00C65506" w:rsidRDefault="008C2D76" w:rsidP="004255BE">
      <w:pPr>
        <w:pBdr>
          <w:top w:val="single" w:sz="4" w:space="1" w:color="auto"/>
          <w:left w:val="single" w:sz="4" w:space="4" w:color="auto"/>
          <w:bottom w:val="single" w:sz="4" w:space="1" w:color="auto"/>
          <w:right w:val="single" w:sz="4" w:space="4" w:color="auto"/>
        </w:pBdr>
        <w:ind w:left="567" w:hanging="567"/>
        <w:outlineLvl w:val="0"/>
        <w:rPr>
          <w:b/>
          <w:noProof/>
          <w:szCs w:val="24"/>
          <w:lang w:val="fr-FR" w:bidi="yi-Hebr"/>
        </w:rPr>
      </w:pPr>
      <w:r w:rsidRPr="00C65506">
        <w:rPr>
          <w:b/>
          <w:noProof/>
          <w:szCs w:val="24"/>
          <w:lang w:val="fr-FR" w:bidi="yi-Hebr"/>
        </w:rPr>
        <w:t>11.</w:t>
      </w:r>
      <w:r w:rsidRPr="00C65506">
        <w:rPr>
          <w:b/>
          <w:noProof/>
          <w:szCs w:val="24"/>
          <w:lang w:val="fr-FR" w:bidi="yi-Hebr"/>
        </w:rPr>
        <w:tab/>
      </w:r>
      <w:r w:rsidRPr="00C65506">
        <w:rPr>
          <w:b/>
          <w:szCs w:val="24"/>
          <w:lang w:val="fr-FR" w:bidi="yi-Hebr"/>
        </w:rPr>
        <w:t>NOM ET ADRESSE DU TITULAIRE DE L’AUTORISATION DE MISE SUR LE MARCHÉ</w:t>
      </w:r>
    </w:p>
    <w:p w:rsidR="00D945AF" w:rsidRPr="00C65506" w:rsidRDefault="00D945AF" w:rsidP="00496272">
      <w:pPr>
        <w:rPr>
          <w:noProof/>
          <w:szCs w:val="22"/>
          <w:lang w:val="fr-FR"/>
        </w:rPr>
      </w:pPr>
    </w:p>
    <w:p w:rsidR="00634C9E" w:rsidRPr="00AD584F" w:rsidRDefault="00634C9E" w:rsidP="00634C9E">
      <w:pPr>
        <w:tabs>
          <w:tab w:val="clear" w:pos="567"/>
        </w:tabs>
        <w:rPr>
          <w:lang w:val="nl-NL"/>
        </w:rPr>
      </w:pPr>
      <w:r w:rsidRPr="00AD584F">
        <w:rPr>
          <w:lang w:val="nl-NL"/>
        </w:rPr>
        <w:t>Theramex Ireland Limited</w:t>
      </w:r>
    </w:p>
    <w:p w:rsidR="00634C9E" w:rsidRPr="00AD584F" w:rsidRDefault="00806865" w:rsidP="00634C9E">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634C9E" w:rsidRPr="00AD584F">
        <w:rPr>
          <w:lang w:val="nl-NL"/>
        </w:rPr>
        <w:t>Kilmore House,</w:t>
      </w:r>
    </w:p>
    <w:p w:rsidR="00634C9E" w:rsidRPr="00AD584F" w:rsidRDefault="00605833" w:rsidP="00634C9E">
      <w:pPr>
        <w:tabs>
          <w:tab w:val="clear" w:pos="567"/>
        </w:tabs>
        <w:rPr>
          <w:lang w:val="nl-NL"/>
        </w:rPr>
      </w:pPr>
      <w:r>
        <w:rPr>
          <w:lang w:val="nl-NL"/>
        </w:rPr>
        <w:t>Park Lane, Spencer Dock,</w:t>
      </w:r>
    </w:p>
    <w:p w:rsidR="00634C9E" w:rsidRPr="00AD584F" w:rsidRDefault="00634C9E" w:rsidP="00634C9E">
      <w:pPr>
        <w:tabs>
          <w:tab w:val="clear" w:pos="567"/>
        </w:tabs>
        <w:rPr>
          <w:lang w:val="nl-NL"/>
        </w:rPr>
      </w:pPr>
      <w:r w:rsidRPr="00AD584F">
        <w:rPr>
          <w:lang w:val="nl-NL"/>
        </w:rPr>
        <w:t>Dublin 1</w:t>
      </w:r>
    </w:p>
    <w:p w:rsidR="00634C9E" w:rsidRPr="00AD584F" w:rsidRDefault="00605833" w:rsidP="00634C9E">
      <w:pPr>
        <w:tabs>
          <w:tab w:val="clear" w:pos="567"/>
        </w:tabs>
        <w:rPr>
          <w:lang w:val="nl-NL"/>
        </w:rPr>
      </w:pPr>
      <w:r>
        <w:rPr>
          <w:lang w:val="nl-NL"/>
        </w:rPr>
        <w:t>D01 YE64</w:t>
      </w:r>
    </w:p>
    <w:p w:rsidR="008C2D76" w:rsidRPr="00C65506" w:rsidRDefault="00634C9E" w:rsidP="008C2D76">
      <w:pPr>
        <w:tabs>
          <w:tab w:val="clear" w:pos="567"/>
        </w:tabs>
        <w:rPr>
          <w:noProof/>
          <w:color w:val="000000"/>
          <w:szCs w:val="24"/>
          <w:lang w:val="fr-FR" w:bidi="yi-Hebr"/>
        </w:rPr>
      </w:pPr>
      <w:r w:rsidRPr="00162C74">
        <w:rPr>
          <w:lang w:val="fr-FR"/>
        </w:rPr>
        <w:t>Irlande</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12.</w:t>
      </w:r>
      <w:r w:rsidRPr="00C65506">
        <w:rPr>
          <w:b/>
          <w:noProof/>
          <w:szCs w:val="24"/>
          <w:lang w:val="fr-FR" w:bidi="yi-Hebr"/>
        </w:rPr>
        <w:tab/>
      </w:r>
      <w:r w:rsidRPr="00C65506">
        <w:rPr>
          <w:b/>
          <w:szCs w:val="24"/>
          <w:lang w:val="fr-FR" w:bidi="yi-Hebr"/>
        </w:rPr>
        <w:t>NUMÉRO(S) D’AUTORISATION DE MISE SUR LE MARCHÉ</w:t>
      </w:r>
    </w:p>
    <w:p w:rsidR="00D945AF" w:rsidRPr="00C65506" w:rsidRDefault="00D945AF" w:rsidP="00496272">
      <w:pPr>
        <w:rPr>
          <w:noProof/>
          <w:szCs w:val="22"/>
          <w:lang w:val="fr-FR"/>
        </w:rPr>
      </w:pPr>
    </w:p>
    <w:p w:rsidR="00D945AF" w:rsidRPr="00C65506" w:rsidRDefault="00A05962" w:rsidP="00496272">
      <w:pPr>
        <w:rPr>
          <w:noProof/>
          <w:szCs w:val="22"/>
          <w:lang w:val="fr-FR"/>
        </w:rPr>
      </w:pPr>
      <w:r w:rsidRPr="00C65506">
        <w:rPr>
          <w:noProof/>
          <w:szCs w:val="22"/>
          <w:lang w:val="fr-FR"/>
        </w:rPr>
        <w:t>EU/1/13/871/002</w:t>
      </w:r>
    </w:p>
    <w:p w:rsidR="00D945AF" w:rsidRPr="00C65506" w:rsidRDefault="00D945AF" w:rsidP="00496272">
      <w:pPr>
        <w:rPr>
          <w:noProof/>
          <w:szCs w:val="22"/>
          <w:lang w:val="fr-FR"/>
        </w:rPr>
      </w:pPr>
    </w:p>
    <w:p w:rsidR="00DF78C9" w:rsidRPr="00C65506" w:rsidRDefault="00DF78C9"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13.</w:t>
      </w:r>
      <w:r w:rsidRPr="00C65506">
        <w:rPr>
          <w:b/>
          <w:noProof/>
          <w:szCs w:val="24"/>
          <w:lang w:val="fr-FR" w:bidi="yi-Hebr"/>
        </w:rPr>
        <w:tab/>
      </w:r>
      <w:r w:rsidRPr="00C65506">
        <w:rPr>
          <w:b/>
          <w:szCs w:val="24"/>
          <w:lang w:val="fr-FR" w:bidi="yi-Hebr"/>
        </w:rPr>
        <w:t>NUMÉRO DU LOT</w:t>
      </w:r>
    </w:p>
    <w:p w:rsidR="00D945AF" w:rsidRPr="00C65506" w:rsidRDefault="00D945AF" w:rsidP="00496272">
      <w:pPr>
        <w:rPr>
          <w:noProof/>
          <w:szCs w:val="22"/>
          <w:lang w:val="fr-FR"/>
        </w:rPr>
      </w:pPr>
    </w:p>
    <w:p w:rsidR="008C2D76" w:rsidRPr="00C65506" w:rsidRDefault="008C2D76" w:rsidP="008C2D76">
      <w:pPr>
        <w:rPr>
          <w:noProof/>
          <w:szCs w:val="24"/>
          <w:lang w:val="fr-FR" w:bidi="yi-Hebr"/>
        </w:rPr>
      </w:pPr>
      <w:r w:rsidRPr="00C65506">
        <w:rPr>
          <w:szCs w:val="24"/>
          <w:lang w:val="fr-FR" w:bidi="yi-Hebr"/>
        </w:rPr>
        <w:t>Lot</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14.</w:t>
      </w:r>
      <w:r w:rsidRPr="00C65506">
        <w:rPr>
          <w:b/>
          <w:noProof/>
          <w:szCs w:val="24"/>
          <w:lang w:val="fr-FR" w:bidi="yi-Hebr"/>
        </w:rPr>
        <w:tab/>
      </w:r>
      <w:r w:rsidRPr="00C65506">
        <w:rPr>
          <w:b/>
          <w:szCs w:val="24"/>
          <w:lang w:val="fr-FR" w:bidi="yi-Hebr"/>
        </w:rPr>
        <w:t>CONDITIONS DE PRESCRIPTION ET DE DÉLIVRANCE</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2"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15.</w:t>
      </w:r>
      <w:r w:rsidRPr="00C65506">
        <w:rPr>
          <w:b/>
          <w:noProof/>
          <w:szCs w:val="24"/>
          <w:lang w:val="fr-FR" w:bidi="yi-Hebr"/>
        </w:rPr>
        <w:tab/>
      </w:r>
      <w:r w:rsidRPr="00C65506">
        <w:rPr>
          <w:b/>
          <w:szCs w:val="24"/>
          <w:lang w:val="fr-FR" w:bidi="yi-Hebr"/>
        </w:rPr>
        <w:t>INDICATIONS D’UTILISATION</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D43E3D" w:rsidRPr="00C65506" w:rsidRDefault="00D43E3D" w:rsidP="00496272">
      <w:pPr>
        <w:rPr>
          <w:noProof/>
          <w:szCs w:val="22"/>
          <w:lang w:val="fr-FR"/>
        </w:rPr>
      </w:pPr>
    </w:p>
    <w:p w:rsidR="008C2D76" w:rsidRPr="00C65506" w:rsidRDefault="008C2D76" w:rsidP="00011E02">
      <w:pPr>
        <w:keepNext/>
        <w:pBdr>
          <w:top w:val="single" w:sz="4" w:space="1" w:color="auto"/>
          <w:left w:val="single" w:sz="4" w:space="4" w:color="auto"/>
          <w:bottom w:val="single" w:sz="4" w:space="0" w:color="auto"/>
          <w:right w:val="single" w:sz="4" w:space="4" w:color="auto"/>
        </w:pBdr>
        <w:rPr>
          <w:noProof/>
          <w:szCs w:val="24"/>
          <w:lang w:val="fr-FR" w:bidi="yi-Hebr"/>
        </w:rPr>
      </w:pPr>
      <w:r w:rsidRPr="00C65506">
        <w:rPr>
          <w:b/>
          <w:noProof/>
          <w:szCs w:val="24"/>
          <w:lang w:val="fr-FR" w:bidi="yi-Hebr"/>
        </w:rPr>
        <w:lastRenderedPageBreak/>
        <w:t>16.</w:t>
      </w:r>
      <w:r w:rsidRPr="00C65506">
        <w:rPr>
          <w:b/>
          <w:noProof/>
          <w:szCs w:val="24"/>
          <w:lang w:val="fr-FR" w:bidi="yi-Hebr"/>
        </w:rPr>
        <w:tab/>
      </w:r>
      <w:r w:rsidRPr="00C65506">
        <w:rPr>
          <w:b/>
          <w:szCs w:val="24"/>
          <w:lang w:val="fr-FR" w:bidi="yi-Hebr"/>
        </w:rPr>
        <w:t>INFORMATIONS EN BRAILLE</w:t>
      </w:r>
    </w:p>
    <w:p w:rsidR="00D945AF" w:rsidRPr="00C65506" w:rsidRDefault="00D945AF" w:rsidP="00496272">
      <w:pPr>
        <w:rPr>
          <w:noProof/>
          <w:szCs w:val="22"/>
          <w:lang w:val="fr-FR"/>
        </w:rPr>
      </w:pPr>
    </w:p>
    <w:p w:rsidR="008C2D76" w:rsidRPr="00C65506" w:rsidRDefault="008C2D76" w:rsidP="008C2D76">
      <w:pPr>
        <w:autoSpaceDE w:val="0"/>
        <w:autoSpaceDN w:val="0"/>
        <w:adjustRightInd w:val="0"/>
        <w:jc w:val="both"/>
        <w:rPr>
          <w:noProof/>
          <w:color w:val="000000"/>
          <w:szCs w:val="24"/>
          <w:lang w:val="fr-FR" w:bidi="yi-Hebr"/>
        </w:rPr>
      </w:pPr>
      <w:r w:rsidRPr="00C65506">
        <w:rPr>
          <w:color w:val="000000"/>
          <w:szCs w:val="24"/>
          <w:lang w:val="fr-FR" w:bidi="yi-Hebr"/>
        </w:rPr>
        <w:t>Ovaleap 450 UI/0,75 mL</w:t>
      </w:r>
    </w:p>
    <w:p w:rsidR="00D945AF" w:rsidRPr="00C65506" w:rsidRDefault="00D945AF" w:rsidP="00496272">
      <w:pPr>
        <w:rPr>
          <w:noProof/>
          <w:szCs w:val="22"/>
          <w:shd w:val="clear" w:color="auto" w:fill="CCCCCC"/>
          <w:lang w:val="fr-FR"/>
        </w:rPr>
      </w:pPr>
    </w:p>
    <w:p w:rsidR="00DB6B97" w:rsidRPr="00C65506" w:rsidRDefault="00DB6B97" w:rsidP="00DB6B97">
      <w:pPr>
        <w:rPr>
          <w:rFonts w:eastAsia="Times New Roman"/>
          <w:noProof/>
          <w:szCs w:val="22"/>
          <w:shd w:val="clear" w:color="auto" w:fill="CCCCCC"/>
          <w:lang w:val="fr-FR" w:eastAsia="fr-FR" w:bidi="fr-FR"/>
        </w:rPr>
      </w:pPr>
    </w:p>
    <w:p w:rsidR="00DB6B97" w:rsidRPr="00C65506" w:rsidRDefault="00DB6B97" w:rsidP="00DB6B97">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fr-FR" w:eastAsia="fr-FR" w:bidi="fr-FR"/>
        </w:rPr>
      </w:pPr>
      <w:r w:rsidRPr="00C65506">
        <w:rPr>
          <w:rFonts w:eastAsia="Times New Roman"/>
          <w:b/>
          <w:noProof/>
          <w:lang w:val="fr-FR" w:eastAsia="fr-FR" w:bidi="fr-FR"/>
        </w:rPr>
        <w:t>17.</w:t>
      </w:r>
      <w:r w:rsidRPr="00C65506">
        <w:rPr>
          <w:rFonts w:eastAsia="Times New Roman"/>
          <w:b/>
          <w:noProof/>
          <w:lang w:val="fr-FR" w:eastAsia="fr-FR" w:bidi="fr-FR"/>
        </w:rPr>
        <w:tab/>
        <w:t>IDENTIFIANT UNIQUE - CODE-BARRES 2D</w:t>
      </w:r>
    </w:p>
    <w:p w:rsidR="00DB6B97" w:rsidRPr="00C65506" w:rsidRDefault="00DB6B97" w:rsidP="00DB6B97">
      <w:pPr>
        <w:tabs>
          <w:tab w:val="clear" w:pos="567"/>
        </w:tabs>
        <w:rPr>
          <w:rFonts w:eastAsia="Times New Roman"/>
          <w:noProof/>
          <w:lang w:val="fr-FR" w:eastAsia="fr-FR" w:bidi="fr-FR"/>
        </w:rPr>
      </w:pPr>
    </w:p>
    <w:p w:rsidR="00DB6B97" w:rsidRPr="00C65506" w:rsidRDefault="00DB6B97" w:rsidP="00DB6B97">
      <w:pPr>
        <w:rPr>
          <w:rFonts w:eastAsia="Times New Roman"/>
          <w:noProof/>
          <w:szCs w:val="22"/>
          <w:shd w:val="clear" w:color="auto" w:fill="CCCCCC"/>
          <w:lang w:val="fr-FR" w:eastAsia="fr-FR" w:bidi="fr-FR"/>
        </w:rPr>
      </w:pPr>
      <w:r w:rsidRPr="00C65506">
        <w:rPr>
          <w:rFonts w:eastAsia="Times New Roman"/>
          <w:noProof/>
          <w:highlight w:val="lightGray"/>
          <w:lang w:val="fr-FR" w:eastAsia="fr-FR" w:bidi="fr-FR"/>
        </w:rPr>
        <w:t>code-barres 2D portant l'identifiant unique inclus.</w:t>
      </w:r>
    </w:p>
    <w:p w:rsidR="00DB6B97" w:rsidRPr="00C65506" w:rsidRDefault="00DB6B97" w:rsidP="00DB6B97">
      <w:pPr>
        <w:rPr>
          <w:rFonts w:eastAsia="Times New Roman"/>
          <w:noProof/>
          <w:szCs w:val="22"/>
          <w:shd w:val="clear" w:color="auto" w:fill="CCCCCC"/>
          <w:lang w:val="fr-FR" w:eastAsia="fr-FR" w:bidi="fr-FR"/>
        </w:rPr>
      </w:pPr>
    </w:p>
    <w:p w:rsidR="00DB6B97" w:rsidRPr="00C65506" w:rsidRDefault="00DB6B97" w:rsidP="00DB6B97">
      <w:pPr>
        <w:tabs>
          <w:tab w:val="clear" w:pos="567"/>
        </w:tabs>
        <w:rPr>
          <w:rFonts w:eastAsia="Times New Roman"/>
          <w:noProof/>
          <w:lang w:val="fr-FR" w:eastAsia="fr-FR" w:bidi="fr-FR"/>
        </w:rPr>
      </w:pPr>
    </w:p>
    <w:p w:rsidR="00DB6B97" w:rsidRPr="00C65506" w:rsidRDefault="00DB6B97" w:rsidP="00DB6B97">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fr-FR" w:eastAsia="fr-FR" w:bidi="fr-FR"/>
        </w:rPr>
      </w:pPr>
      <w:r w:rsidRPr="00C65506">
        <w:rPr>
          <w:rFonts w:eastAsia="Times New Roman"/>
          <w:b/>
          <w:noProof/>
          <w:lang w:val="fr-FR" w:eastAsia="fr-FR" w:bidi="fr-FR"/>
        </w:rPr>
        <w:t>18.</w:t>
      </w:r>
      <w:r w:rsidRPr="00C65506">
        <w:rPr>
          <w:rFonts w:eastAsia="Times New Roman"/>
          <w:b/>
          <w:noProof/>
          <w:lang w:val="fr-FR" w:eastAsia="fr-FR" w:bidi="fr-FR"/>
        </w:rPr>
        <w:tab/>
        <w:t>IDENTIFIANT UNIQUE - DONNÉES LISIBLES PAR LES HUMAINS</w:t>
      </w:r>
    </w:p>
    <w:p w:rsidR="00DB6B97" w:rsidRPr="00C65506" w:rsidRDefault="00DB6B97" w:rsidP="00DB6B97">
      <w:pPr>
        <w:tabs>
          <w:tab w:val="clear" w:pos="567"/>
        </w:tabs>
        <w:rPr>
          <w:rFonts w:eastAsia="Times New Roman"/>
          <w:noProof/>
          <w:lang w:val="fr-FR" w:eastAsia="fr-FR" w:bidi="fr-FR"/>
        </w:rPr>
      </w:pPr>
    </w:p>
    <w:p w:rsidR="00DB6B97" w:rsidRPr="00C65506" w:rsidRDefault="00DB6B97" w:rsidP="00DB6B97">
      <w:pPr>
        <w:spacing w:line="260" w:lineRule="exact"/>
        <w:rPr>
          <w:rFonts w:eastAsia="Times New Roman"/>
          <w:color w:val="000000"/>
          <w:szCs w:val="22"/>
          <w:lang w:val="fr-FR" w:eastAsia="fr-FR" w:bidi="fr-FR"/>
        </w:rPr>
      </w:pPr>
      <w:r w:rsidRPr="00C65506">
        <w:rPr>
          <w:rFonts w:eastAsia="Times New Roman"/>
          <w:lang w:val="fr-FR" w:eastAsia="fr-FR" w:bidi="fr-FR"/>
        </w:rPr>
        <w:t>PC:</w:t>
      </w:r>
    </w:p>
    <w:p w:rsidR="00DB6B97" w:rsidRPr="00C65506" w:rsidRDefault="00DB6B97" w:rsidP="00DB6B97">
      <w:pPr>
        <w:spacing w:line="260" w:lineRule="exact"/>
        <w:rPr>
          <w:rFonts w:eastAsia="Times New Roman"/>
          <w:szCs w:val="22"/>
          <w:lang w:val="fr-FR" w:eastAsia="fr-FR" w:bidi="fr-FR"/>
        </w:rPr>
      </w:pPr>
      <w:r w:rsidRPr="00C65506">
        <w:rPr>
          <w:rFonts w:eastAsia="Times New Roman"/>
          <w:lang w:val="fr-FR" w:eastAsia="fr-FR" w:bidi="fr-FR"/>
        </w:rPr>
        <w:t>SN:</w:t>
      </w:r>
    </w:p>
    <w:p w:rsidR="00DB6B97" w:rsidRPr="00C65506" w:rsidRDefault="00DB6B97" w:rsidP="00DB6B97">
      <w:pPr>
        <w:autoSpaceDE w:val="0"/>
        <w:autoSpaceDN w:val="0"/>
        <w:adjustRightInd w:val="0"/>
        <w:jc w:val="both"/>
        <w:rPr>
          <w:rFonts w:eastAsia="Times New Roman"/>
          <w:lang w:val="fr-FR" w:eastAsia="fr-FR" w:bidi="fr-FR"/>
        </w:rPr>
      </w:pPr>
      <w:r w:rsidRPr="00C65506">
        <w:rPr>
          <w:rFonts w:eastAsia="Times New Roman"/>
          <w:lang w:val="fr-FR" w:eastAsia="fr-FR" w:bidi="fr-FR"/>
        </w:rPr>
        <w:t>NN:</w:t>
      </w:r>
    </w:p>
    <w:p w:rsidR="00CB3280" w:rsidRPr="00C65506" w:rsidRDefault="00CB3280" w:rsidP="00496272">
      <w:pPr>
        <w:rPr>
          <w:noProof/>
          <w:szCs w:val="22"/>
          <w:shd w:val="clear" w:color="auto" w:fill="CCCCCC"/>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shd w:val="clear" w:color="auto" w:fill="FFFFFF"/>
        <w:rPr>
          <w:noProof/>
          <w:szCs w:val="24"/>
          <w:lang w:val="fr-FR" w:bidi="yi-Hebr"/>
        </w:rPr>
      </w:pPr>
      <w:r w:rsidRPr="00C65506">
        <w:rPr>
          <w:noProof/>
          <w:szCs w:val="24"/>
          <w:shd w:val="clear" w:color="auto" w:fill="CCCCCC"/>
          <w:lang w:val="fr-FR" w:bidi="yi-Hebr"/>
        </w:rPr>
        <w:br w:type="page"/>
      </w:r>
      <w:r w:rsidRPr="00C65506">
        <w:rPr>
          <w:b/>
          <w:szCs w:val="24"/>
          <w:lang w:val="fr-FR" w:bidi="yi-Hebr"/>
        </w:rPr>
        <w:lastRenderedPageBreak/>
        <w:t>MENTIONS DEVANT FIGURER SUR L’EMBALLAGE EXTÉRIEUR</w:t>
      </w:r>
    </w:p>
    <w:p w:rsidR="00D945AF" w:rsidRPr="00C65506" w:rsidRDefault="00D945AF" w:rsidP="00496272">
      <w:pPr>
        <w:pBdr>
          <w:top w:val="single" w:sz="4" w:space="1" w:color="auto"/>
          <w:left w:val="single" w:sz="4" w:space="4" w:color="auto"/>
          <w:bottom w:val="single" w:sz="4" w:space="1" w:color="auto"/>
          <w:right w:val="single" w:sz="4" w:space="4" w:color="auto"/>
        </w:pBdr>
        <w:ind w:left="567" w:hanging="567"/>
        <w:rPr>
          <w:bCs/>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rPr>
          <w:b/>
          <w:noProof/>
          <w:szCs w:val="24"/>
          <w:lang w:val="fr-FR" w:bidi="yi-Hebr"/>
        </w:rPr>
      </w:pPr>
      <w:r w:rsidRPr="00C65506">
        <w:rPr>
          <w:b/>
          <w:szCs w:val="24"/>
          <w:lang w:val="fr-FR" w:bidi="yi-Hebr"/>
        </w:rPr>
        <w:t>BOÎTE D’EMBALLAGE EXTÉRIEUR</w:t>
      </w:r>
    </w:p>
    <w:p w:rsidR="00A14D9A" w:rsidRPr="00C65506" w:rsidRDefault="00A14D9A"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1.</w:t>
      </w:r>
      <w:r w:rsidRPr="00C65506">
        <w:rPr>
          <w:b/>
          <w:noProof/>
          <w:szCs w:val="24"/>
          <w:lang w:val="fr-FR" w:bidi="yi-Hebr"/>
        </w:rPr>
        <w:tab/>
      </w:r>
      <w:r w:rsidRPr="00C65506">
        <w:rPr>
          <w:b/>
          <w:szCs w:val="24"/>
          <w:lang w:val="fr-FR" w:bidi="yi-Hebr"/>
        </w:rPr>
        <w:t>DÉNOMINATION DU MÉDICAMENT</w:t>
      </w:r>
    </w:p>
    <w:p w:rsidR="00D945AF" w:rsidRPr="00C65506" w:rsidRDefault="00D945AF" w:rsidP="00496272">
      <w:pPr>
        <w:rPr>
          <w:noProof/>
          <w:szCs w:val="22"/>
          <w:lang w:val="fr-FR"/>
        </w:rPr>
      </w:pPr>
    </w:p>
    <w:p w:rsidR="008C2D76" w:rsidRPr="00C65506" w:rsidRDefault="008C2D76" w:rsidP="008C2D76">
      <w:pPr>
        <w:autoSpaceDE w:val="0"/>
        <w:autoSpaceDN w:val="0"/>
        <w:adjustRightInd w:val="0"/>
        <w:jc w:val="both"/>
        <w:rPr>
          <w:noProof/>
          <w:color w:val="000000"/>
          <w:szCs w:val="24"/>
          <w:lang w:val="fr-FR" w:bidi="yi-Hebr"/>
        </w:rPr>
      </w:pPr>
      <w:r w:rsidRPr="00C65506">
        <w:rPr>
          <w:color w:val="000000"/>
          <w:szCs w:val="24"/>
          <w:lang w:val="fr-FR" w:bidi="yi-Hebr"/>
        </w:rPr>
        <w:t>Ovaleap 900 UI/1,5 mL solution injectable</w:t>
      </w:r>
    </w:p>
    <w:p w:rsidR="00D945AF" w:rsidRPr="00C65506" w:rsidRDefault="00D945AF" w:rsidP="00496272">
      <w:pPr>
        <w:rPr>
          <w:noProof/>
          <w:szCs w:val="22"/>
          <w:lang w:val="fr-FR"/>
        </w:rPr>
      </w:pPr>
    </w:p>
    <w:p w:rsidR="008C2D76" w:rsidRPr="00C65506" w:rsidRDefault="00944D62" w:rsidP="008C2D76">
      <w:pPr>
        <w:rPr>
          <w:noProof/>
          <w:szCs w:val="24"/>
          <w:lang w:val="fr-FR" w:bidi="yi-Hebr"/>
        </w:rPr>
      </w:pPr>
      <w:r w:rsidRPr="00C65506">
        <w:rPr>
          <w:color w:val="000000"/>
          <w:szCs w:val="24"/>
          <w:lang w:val="fr-FR" w:bidi="yi-Hebr"/>
        </w:rPr>
        <w:t>f</w:t>
      </w:r>
      <w:r w:rsidR="008C2D76" w:rsidRPr="00C65506">
        <w:rPr>
          <w:color w:val="000000"/>
          <w:szCs w:val="24"/>
          <w:lang w:val="fr-FR" w:bidi="yi-Hebr"/>
        </w:rPr>
        <w:t>ollitropine alfa</w:t>
      </w:r>
    </w:p>
    <w:p w:rsidR="00D945AF" w:rsidRPr="00C65506" w:rsidRDefault="00D945AF" w:rsidP="00496272">
      <w:pPr>
        <w:rPr>
          <w:noProof/>
          <w:szCs w:val="22"/>
          <w:lang w:val="fr-FR"/>
        </w:rPr>
      </w:pPr>
    </w:p>
    <w:p w:rsidR="00D43E3D" w:rsidRPr="00C65506" w:rsidRDefault="00D43E3D"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b/>
          <w:noProof/>
          <w:szCs w:val="24"/>
          <w:lang w:val="fr-FR" w:bidi="yi-Hebr"/>
        </w:rPr>
      </w:pPr>
      <w:r w:rsidRPr="00C65506">
        <w:rPr>
          <w:b/>
          <w:noProof/>
          <w:szCs w:val="24"/>
          <w:lang w:val="fr-FR" w:bidi="yi-Hebr"/>
        </w:rPr>
        <w:t>2.</w:t>
      </w:r>
      <w:r w:rsidRPr="00C65506">
        <w:rPr>
          <w:b/>
          <w:noProof/>
          <w:szCs w:val="24"/>
          <w:lang w:val="fr-FR" w:bidi="yi-Hebr"/>
        </w:rPr>
        <w:tab/>
      </w:r>
      <w:r w:rsidRPr="00C65506">
        <w:rPr>
          <w:b/>
          <w:szCs w:val="24"/>
          <w:lang w:val="fr-FR" w:bidi="yi-Hebr"/>
        </w:rPr>
        <w:t xml:space="preserve">COMPOSITION EN </w:t>
      </w:r>
      <w:r w:rsidR="00AA76F4" w:rsidRPr="00C65506">
        <w:rPr>
          <w:b/>
          <w:szCs w:val="24"/>
          <w:lang w:val="fr-FR" w:bidi="yi-Hebr"/>
        </w:rPr>
        <w:t>SUBSTANCE(S) ACTIVE(S)</w:t>
      </w:r>
    </w:p>
    <w:p w:rsidR="00D945AF" w:rsidRPr="00C65506" w:rsidRDefault="00D945AF" w:rsidP="00496272">
      <w:pPr>
        <w:rPr>
          <w:i/>
          <w:noProof/>
          <w:szCs w:val="22"/>
          <w:lang w:val="fr-FR"/>
        </w:rPr>
      </w:pPr>
    </w:p>
    <w:p w:rsidR="008C2D76" w:rsidRPr="00C65506" w:rsidRDefault="008C2D76" w:rsidP="00A621F8">
      <w:pPr>
        <w:tabs>
          <w:tab w:val="clear" w:pos="567"/>
        </w:tabs>
        <w:rPr>
          <w:noProof/>
          <w:color w:val="000000"/>
          <w:szCs w:val="24"/>
          <w:lang w:val="fr-FR" w:bidi="yi-Hebr"/>
        </w:rPr>
      </w:pPr>
      <w:r w:rsidRPr="00C65506">
        <w:rPr>
          <w:color w:val="000000"/>
          <w:szCs w:val="24"/>
          <w:lang w:val="fr-FR" w:bidi="yi-Hebr"/>
        </w:rPr>
        <w:t xml:space="preserve">Chaque cartouche contient 900 UI </w:t>
      </w:r>
      <w:r w:rsidR="00A621F8" w:rsidRPr="00C65506">
        <w:rPr>
          <w:color w:val="000000"/>
          <w:szCs w:val="24"/>
          <w:lang w:val="fr-FR" w:bidi="yi-Hebr"/>
        </w:rPr>
        <w:t xml:space="preserve">(équivalant à 66 microgrammes) </w:t>
      </w:r>
      <w:r w:rsidRPr="00C65506">
        <w:rPr>
          <w:color w:val="000000"/>
          <w:szCs w:val="24"/>
          <w:lang w:val="fr-FR" w:bidi="yi-Hebr"/>
        </w:rPr>
        <w:t>de follitropine alfa dans 1,5 mL de solution</w:t>
      </w:r>
      <w:r w:rsidR="00A621F8" w:rsidRPr="00C65506">
        <w:rPr>
          <w:color w:val="000000"/>
          <w:szCs w:val="24"/>
          <w:lang w:val="fr-FR" w:bidi="yi-Hebr"/>
        </w:rPr>
        <w:t>.</w:t>
      </w:r>
      <w:r w:rsidRPr="00C65506">
        <w:rPr>
          <w:color w:val="000000"/>
          <w:szCs w:val="24"/>
          <w:lang w:val="fr-FR" w:bidi="yi-Hebr"/>
        </w:rPr>
        <w:t xml:space="preserve"> </w:t>
      </w:r>
      <w:r w:rsidR="00A621F8" w:rsidRPr="00C65506">
        <w:rPr>
          <w:color w:val="000000"/>
          <w:szCs w:val="24"/>
          <w:lang w:val="fr-FR" w:bidi="yi-Hebr"/>
        </w:rPr>
        <w:t xml:space="preserve">Chaque mL de solution contient </w:t>
      </w:r>
      <w:r w:rsidRPr="00C65506">
        <w:rPr>
          <w:color w:val="000000"/>
          <w:szCs w:val="24"/>
          <w:lang w:val="fr-FR" w:bidi="yi-Hebr"/>
        </w:rPr>
        <w:t xml:space="preserve">600 UI </w:t>
      </w:r>
      <w:r w:rsidR="00A621F8" w:rsidRPr="00C65506">
        <w:rPr>
          <w:color w:val="000000"/>
          <w:szCs w:val="24"/>
          <w:lang w:val="fr-FR" w:bidi="yi-Hebr"/>
        </w:rPr>
        <w:t xml:space="preserve">(équivalant à 44 microgrammes) </w:t>
      </w:r>
      <w:r w:rsidRPr="00C65506">
        <w:rPr>
          <w:color w:val="000000"/>
          <w:szCs w:val="24"/>
          <w:lang w:val="fr-FR" w:bidi="yi-Hebr"/>
        </w:rPr>
        <w:t>de follitropine alfa.</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3.</w:t>
      </w:r>
      <w:r w:rsidRPr="00C65506">
        <w:rPr>
          <w:b/>
          <w:noProof/>
          <w:szCs w:val="24"/>
          <w:lang w:val="fr-FR" w:bidi="yi-Hebr"/>
        </w:rPr>
        <w:tab/>
      </w:r>
      <w:r w:rsidRPr="00C65506">
        <w:rPr>
          <w:b/>
          <w:szCs w:val="24"/>
          <w:lang w:val="fr-FR" w:bidi="yi-Hebr"/>
        </w:rPr>
        <w:t>LISTE DES EXCIPIENTS</w:t>
      </w:r>
    </w:p>
    <w:p w:rsidR="00D945AF" w:rsidRPr="00C65506" w:rsidRDefault="00D945AF" w:rsidP="00496272">
      <w:pPr>
        <w:rPr>
          <w:noProof/>
          <w:szCs w:val="22"/>
          <w:lang w:val="fr-FR"/>
        </w:rPr>
      </w:pPr>
    </w:p>
    <w:p w:rsidR="008C2D76" w:rsidRPr="00C65506" w:rsidRDefault="008C2D76" w:rsidP="008C2D76">
      <w:pPr>
        <w:rPr>
          <w:noProof/>
          <w:szCs w:val="24"/>
          <w:lang w:val="fr-FR" w:bidi="yi-Hebr"/>
        </w:rPr>
      </w:pPr>
      <w:r w:rsidRPr="00C65506">
        <w:rPr>
          <w:szCs w:val="24"/>
          <w:lang w:val="fr-FR" w:bidi="yi-Hebr"/>
        </w:rPr>
        <w:t>Excipients :</w:t>
      </w:r>
      <w:r w:rsidRPr="00C65506">
        <w:rPr>
          <w:noProof/>
          <w:szCs w:val="24"/>
          <w:lang w:val="fr-FR" w:bidi="yi-Hebr"/>
        </w:rPr>
        <w:t xml:space="preserve"> </w:t>
      </w:r>
      <w:r w:rsidRPr="00C65506">
        <w:rPr>
          <w:szCs w:val="24"/>
          <w:lang w:val="fr-FR" w:bidi="yi-Hebr"/>
        </w:rPr>
        <w:t>phosphate monosodique dihydraté, hydroxyde de sodium (2 M) (pour l’ajustement du pH), mannitol, méthionine, polysorbate 20, alcool benzylique, chlorure de benzalkonium, eau pour préparations injectables.</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4.</w:t>
      </w:r>
      <w:r w:rsidRPr="00C65506">
        <w:rPr>
          <w:b/>
          <w:noProof/>
          <w:szCs w:val="24"/>
          <w:lang w:val="fr-FR" w:bidi="yi-Hebr"/>
        </w:rPr>
        <w:tab/>
      </w:r>
      <w:r w:rsidRPr="00C65506">
        <w:rPr>
          <w:b/>
          <w:szCs w:val="24"/>
          <w:lang w:val="fr-FR" w:bidi="yi-Hebr"/>
        </w:rPr>
        <w:t>FORME PHARMACEUTIQUE ET CONTENU</w:t>
      </w:r>
    </w:p>
    <w:p w:rsidR="00D945AF" w:rsidRPr="00C65506" w:rsidRDefault="00D945AF" w:rsidP="00496272">
      <w:pPr>
        <w:rPr>
          <w:noProof/>
          <w:szCs w:val="22"/>
          <w:lang w:val="fr-FR"/>
        </w:rPr>
      </w:pPr>
    </w:p>
    <w:p w:rsidR="008C2D76" w:rsidRPr="00C65506" w:rsidRDefault="008C2D76" w:rsidP="008C2D76">
      <w:pPr>
        <w:rPr>
          <w:noProof/>
          <w:color w:val="000000"/>
          <w:szCs w:val="24"/>
          <w:lang w:val="fr-FR" w:bidi="yi-Hebr"/>
        </w:rPr>
      </w:pPr>
      <w:r w:rsidRPr="00C65506">
        <w:rPr>
          <w:color w:val="000000"/>
          <w:szCs w:val="24"/>
          <w:highlight w:val="lightGray"/>
          <w:lang w:val="fr-FR" w:bidi="yi-Hebr"/>
        </w:rPr>
        <w:t>Solution injectable</w:t>
      </w:r>
    </w:p>
    <w:p w:rsidR="00D945AF" w:rsidRPr="00C65506" w:rsidRDefault="00D945AF" w:rsidP="00496272">
      <w:pPr>
        <w:rPr>
          <w:noProof/>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 xml:space="preserve">1 cartouche </w:t>
      </w:r>
      <w:r w:rsidR="00A621F8" w:rsidRPr="00C65506">
        <w:rPr>
          <w:color w:val="000000"/>
          <w:szCs w:val="24"/>
          <w:lang w:val="fr-FR" w:bidi="yi-Hebr"/>
        </w:rPr>
        <w:t xml:space="preserve">contenant 1,5 mL de solution </w:t>
      </w:r>
      <w:r w:rsidRPr="00C65506">
        <w:rPr>
          <w:color w:val="000000"/>
          <w:szCs w:val="24"/>
          <w:lang w:val="fr-FR" w:bidi="yi-Hebr"/>
        </w:rPr>
        <w:t>et 20 aiguilles d’injection</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5.</w:t>
      </w:r>
      <w:r w:rsidRPr="00C65506">
        <w:rPr>
          <w:b/>
          <w:noProof/>
          <w:szCs w:val="24"/>
          <w:lang w:val="fr-FR" w:bidi="yi-Hebr"/>
        </w:rPr>
        <w:tab/>
      </w:r>
      <w:r w:rsidRPr="00C65506">
        <w:rPr>
          <w:b/>
          <w:szCs w:val="24"/>
          <w:lang w:val="fr-FR" w:bidi="yi-Hebr"/>
        </w:rPr>
        <w:t>MODE ET VOIE(S) D’ADMINISTRATION</w:t>
      </w:r>
    </w:p>
    <w:p w:rsidR="00D945AF" w:rsidRPr="00C65506" w:rsidRDefault="00D945AF" w:rsidP="00496272">
      <w:pPr>
        <w:rPr>
          <w:noProof/>
          <w:szCs w:val="22"/>
          <w:lang w:val="fr-FR"/>
        </w:rPr>
      </w:pPr>
    </w:p>
    <w:p w:rsidR="008C2D76" w:rsidRPr="00C65506" w:rsidRDefault="008C2D76" w:rsidP="008C2D76">
      <w:pPr>
        <w:tabs>
          <w:tab w:val="left" w:pos="749"/>
        </w:tabs>
        <w:rPr>
          <w:noProof/>
          <w:color w:val="000000"/>
          <w:szCs w:val="24"/>
          <w:lang w:val="fr-FR" w:bidi="yi-Hebr"/>
        </w:rPr>
      </w:pPr>
      <w:r w:rsidRPr="00C65506">
        <w:rPr>
          <w:color w:val="000000"/>
          <w:szCs w:val="24"/>
          <w:lang w:val="fr-FR" w:bidi="yi-Hebr"/>
        </w:rPr>
        <w:t>À utiliser uniquement avec le stylo Ovaleap</w:t>
      </w:r>
      <w:r w:rsidR="008E4008" w:rsidRPr="00C65506">
        <w:rPr>
          <w:color w:val="000000"/>
          <w:szCs w:val="24"/>
          <w:lang w:val="fr-FR" w:bidi="yi-Hebr"/>
        </w:rPr>
        <w:t xml:space="preserve"> Pen</w:t>
      </w:r>
      <w:r w:rsidRPr="00C65506">
        <w:rPr>
          <w:color w:val="000000"/>
          <w:szCs w:val="24"/>
          <w:lang w:val="fr-FR" w:bidi="yi-Hebr"/>
        </w:rPr>
        <w:t>.</w:t>
      </w:r>
    </w:p>
    <w:p w:rsidR="00681083" w:rsidRPr="00C65506" w:rsidRDefault="00681083" w:rsidP="00496272">
      <w:pPr>
        <w:rPr>
          <w:noProof/>
          <w:szCs w:val="22"/>
          <w:highlight w:val="lightGray"/>
          <w:lang w:val="fr-FR"/>
        </w:rPr>
      </w:pPr>
    </w:p>
    <w:p w:rsidR="008C2D76" w:rsidRPr="00C65506" w:rsidRDefault="008C2D76" w:rsidP="008C2D76">
      <w:pPr>
        <w:rPr>
          <w:noProof/>
          <w:szCs w:val="24"/>
          <w:lang w:val="fr-FR" w:bidi="yi-Hebr"/>
        </w:rPr>
      </w:pPr>
      <w:r w:rsidRPr="00C65506">
        <w:rPr>
          <w:szCs w:val="24"/>
          <w:lang w:val="fr-FR" w:bidi="yi-Hebr"/>
        </w:rPr>
        <w:t>Lire la notice avant utilisation.</w:t>
      </w:r>
    </w:p>
    <w:p w:rsidR="00BB7A94" w:rsidRPr="00C65506" w:rsidRDefault="00BB7A94" w:rsidP="008C2D76">
      <w:pPr>
        <w:tabs>
          <w:tab w:val="left" w:pos="749"/>
        </w:tabs>
        <w:rPr>
          <w:szCs w:val="24"/>
          <w:lang w:val="fr-FR" w:bidi="yi-Hebr"/>
        </w:rPr>
      </w:pPr>
    </w:p>
    <w:p w:rsidR="008C2D76" w:rsidRPr="00C65506" w:rsidRDefault="008C2D76" w:rsidP="008C2D76">
      <w:pPr>
        <w:tabs>
          <w:tab w:val="left" w:pos="749"/>
        </w:tabs>
        <w:rPr>
          <w:szCs w:val="24"/>
          <w:lang w:val="fr-FR" w:bidi="yi-Hebr"/>
        </w:rPr>
      </w:pPr>
      <w:r w:rsidRPr="00C65506">
        <w:rPr>
          <w:szCs w:val="24"/>
          <w:lang w:val="fr-FR" w:bidi="yi-Hebr"/>
        </w:rPr>
        <w:t>Voie sous-cutanée</w:t>
      </w:r>
    </w:p>
    <w:p w:rsidR="00D945AF" w:rsidRPr="00C65506" w:rsidRDefault="00D945AF" w:rsidP="00496272">
      <w:pPr>
        <w:tabs>
          <w:tab w:val="left" w:pos="749"/>
        </w:tabs>
        <w:rPr>
          <w:noProof/>
          <w:szCs w:val="22"/>
          <w:lang w:val="fr-FR"/>
        </w:rPr>
      </w:pPr>
    </w:p>
    <w:p w:rsidR="00D945AF" w:rsidRPr="00C65506" w:rsidRDefault="00D945AF" w:rsidP="00496272">
      <w:pPr>
        <w:tabs>
          <w:tab w:val="left" w:pos="749"/>
        </w:tabs>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6.</w:t>
      </w:r>
      <w:r w:rsidRPr="00C65506">
        <w:rPr>
          <w:b/>
          <w:noProof/>
          <w:szCs w:val="24"/>
          <w:lang w:val="fr-FR" w:bidi="yi-Hebr"/>
        </w:rPr>
        <w:tab/>
      </w:r>
      <w:r w:rsidRPr="00C65506">
        <w:rPr>
          <w:b/>
          <w:szCs w:val="24"/>
          <w:lang w:val="fr-FR" w:bidi="yi-Hebr"/>
        </w:rPr>
        <w:t xml:space="preserve">MISE EN GARDE SPÉCIALE INDIQUANT QUE LE MÉDICAMENT DOIT ÊTRE CONSERVÉ </w:t>
      </w:r>
      <w:r w:rsidR="00AA76F4" w:rsidRPr="00C65506">
        <w:rPr>
          <w:b/>
          <w:szCs w:val="24"/>
          <w:lang w:val="fr-FR" w:bidi="yi-Hebr"/>
        </w:rPr>
        <w:t>HORS DE VUE ET DE PORTÉE DES ENFANTS</w:t>
      </w:r>
    </w:p>
    <w:p w:rsidR="00D945AF" w:rsidRPr="00C65506" w:rsidRDefault="00D945AF" w:rsidP="00496272">
      <w:pPr>
        <w:rPr>
          <w:noProof/>
          <w:szCs w:val="22"/>
          <w:lang w:val="fr-FR"/>
        </w:rPr>
      </w:pPr>
    </w:p>
    <w:p w:rsidR="008C2D76" w:rsidRPr="00C65506" w:rsidRDefault="008C2D76" w:rsidP="008C2D76">
      <w:pPr>
        <w:outlineLvl w:val="0"/>
        <w:rPr>
          <w:noProof/>
          <w:szCs w:val="24"/>
          <w:lang w:val="fr-FR" w:bidi="yi-Hebr"/>
        </w:rPr>
      </w:pPr>
      <w:r w:rsidRPr="00C65506">
        <w:rPr>
          <w:szCs w:val="24"/>
          <w:lang w:val="fr-FR" w:bidi="yi-Hebr"/>
        </w:rPr>
        <w:t>Tenir hors de la vue et de la portée des enfants.</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7.</w:t>
      </w:r>
      <w:r w:rsidRPr="00C65506">
        <w:rPr>
          <w:b/>
          <w:noProof/>
          <w:szCs w:val="24"/>
          <w:lang w:val="fr-FR" w:bidi="yi-Hebr"/>
        </w:rPr>
        <w:tab/>
      </w:r>
      <w:r w:rsidRPr="00C65506">
        <w:rPr>
          <w:b/>
          <w:szCs w:val="24"/>
          <w:lang w:val="fr-FR" w:bidi="yi-Hebr"/>
        </w:rPr>
        <w:t>AUTRE(S) MISE(S) EN GARDE SPÉCIALE(S), SI NÉCESSAIRE</w:t>
      </w:r>
    </w:p>
    <w:p w:rsidR="00D945AF" w:rsidRPr="00C65506" w:rsidRDefault="00D945AF" w:rsidP="00496272">
      <w:pPr>
        <w:tabs>
          <w:tab w:val="left" w:pos="749"/>
        </w:tabs>
        <w:rPr>
          <w:noProof/>
          <w:szCs w:val="22"/>
          <w:lang w:val="fr-FR"/>
        </w:rPr>
      </w:pPr>
    </w:p>
    <w:p w:rsidR="00D945AF" w:rsidRPr="00C65506" w:rsidRDefault="00D945AF" w:rsidP="00496272">
      <w:pPr>
        <w:tabs>
          <w:tab w:val="left" w:pos="749"/>
        </w:tabs>
        <w:rPr>
          <w:noProof/>
          <w:szCs w:val="22"/>
          <w:lang w:val="fr-FR"/>
        </w:rPr>
      </w:pPr>
    </w:p>
    <w:p w:rsidR="008C2D76" w:rsidRPr="00C65506" w:rsidRDefault="008C2D76" w:rsidP="00D10FFC">
      <w:pPr>
        <w:keepNext/>
        <w:keepLines/>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lastRenderedPageBreak/>
        <w:t>8.</w:t>
      </w:r>
      <w:r w:rsidRPr="00C65506">
        <w:rPr>
          <w:b/>
          <w:noProof/>
          <w:szCs w:val="24"/>
          <w:lang w:val="fr-FR" w:bidi="yi-Hebr"/>
        </w:rPr>
        <w:tab/>
      </w:r>
      <w:r w:rsidRPr="00C65506">
        <w:rPr>
          <w:b/>
          <w:szCs w:val="24"/>
          <w:lang w:val="fr-FR" w:bidi="yi-Hebr"/>
        </w:rPr>
        <w:t>DATE DE PÉREMPTION</w:t>
      </w:r>
    </w:p>
    <w:p w:rsidR="00D945AF" w:rsidRPr="00C65506" w:rsidRDefault="00D945AF" w:rsidP="00D10FFC">
      <w:pPr>
        <w:keepNext/>
        <w:keepLines/>
        <w:rPr>
          <w:noProof/>
          <w:szCs w:val="22"/>
          <w:lang w:val="fr-FR"/>
        </w:rPr>
      </w:pPr>
    </w:p>
    <w:p w:rsidR="008C2D76" w:rsidRPr="00C65506" w:rsidRDefault="008C2D76" w:rsidP="00D10FFC">
      <w:pPr>
        <w:keepNext/>
        <w:keepLines/>
        <w:rPr>
          <w:noProof/>
          <w:szCs w:val="24"/>
          <w:lang w:val="fr-FR" w:bidi="yi-Hebr"/>
        </w:rPr>
      </w:pPr>
      <w:r w:rsidRPr="00C65506">
        <w:rPr>
          <w:szCs w:val="24"/>
          <w:lang w:val="fr-FR" w:bidi="yi-Hebr"/>
        </w:rPr>
        <w:t>EXP</w:t>
      </w:r>
    </w:p>
    <w:p w:rsidR="00D945AF" w:rsidRPr="00C65506" w:rsidRDefault="00D945AF" w:rsidP="00D10FFC">
      <w:pPr>
        <w:keepNext/>
        <w:rPr>
          <w:noProof/>
          <w:szCs w:val="22"/>
          <w:lang w:val="fr-FR"/>
        </w:rPr>
      </w:pPr>
    </w:p>
    <w:p w:rsidR="008C2D76" w:rsidRPr="00C65506" w:rsidRDefault="008C2D76" w:rsidP="00D10FFC">
      <w:pPr>
        <w:keepNext/>
        <w:tabs>
          <w:tab w:val="clear" w:pos="567"/>
        </w:tabs>
        <w:rPr>
          <w:noProof/>
          <w:color w:val="000000"/>
          <w:szCs w:val="24"/>
          <w:lang w:val="fr-FR" w:bidi="yi-Hebr"/>
        </w:rPr>
      </w:pPr>
      <w:r w:rsidRPr="00C65506">
        <w:rPr>
          <w:color w:val="000000"/>
          <w:szCs w:val="24"/>
          <w:lang w:val="fr-FR" w:bidi="yi-Hebr"/>
        </w:rPr>
        <w:t xml:space="preserve">La cartouche en cours d’utilisation </w:t>
      </w:r>
      <w:r w:rsidR="00A14D9A" w:rsidRPr="00C65506">
        <w:rPr>
          <w:color w:val="000000"/>
          <w:szCs w:val="24"/>
          <w:lang w:val="fr-FR" w:bidi="yi-Hebr"/>
        </w:rPr>
        <w:t xml:space="preserve">présente </w:t>
      </w:r>
      <w:r w:rsidRPr="00C65506">
        <w:rPr>
          <w:color w:val="000000"/>
          <w:szCs w:val="24"/>
          <w:lang w:val="fr-FR" w:bidi="yi-Hebr"/>
        </w:rPr>
        <w:t>dans le stylo peut être conservée pendant un maximum de 28 jours à une température ne dépassant pas 25°C.</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keepNext/>
        <w:pBdr>
          <w:top w:val="single" w:sz="4" w:space="1" w:color="auto"/>
          <w:left w:val="single" w:sz="4" w:space="4" w:color="auto"/>
          <w:bottom w:val="single" w:sz="4" w:space="1" w:color="auto"/>
          <w:right w:val="single" w:sz="4" w:space="4" w:color="auto"/>
        </w:pBdr>
        <w:ind w:left="567" w:hanging="567"/>
        <w:outlineLvl w:val="0"/>
        <w:rPr>
          <w:noProof/>
          <w:szCs w:val="24"/>
          <w:lang w:val="fr-FR" w:bidi="yi-Hebr"/>
        </w:rPr>
      </w:pPr>
      <w:r w:rsidRPr="00C65506">
        <w:rPr>
          <w:b/>
          <w:noProof/>
          <w:szCs w:val="24"/>
          <w:lang w:val="fr-FR" w:bidi="yi-Hebr"/>
        </w:rPr>
        <w:t>9.</w:t>
      </w:r>
      <w:r w:rsidRPr="00C65506">
        <w:rPr>
          <w:b/>
          <w:noProof/>
          <w:szCs w:val="24"/>
          <w:lang w:val="fr-FR" w:bidi="yi-Hebr"/>
        </w:rPr>
        <w:tab/>
      </w:r>
      <w:r w:rsidRPr="00C65506">
        <w:rPr>
          <w:b/>
          <w:szCs w:val="24"/>
          <w:lang w:val="fr-FR" w:bidi="yi-Hebr"/>
        </w:rPr>
        <w:t>PRÉCAUTIONS PARTICULIÈRES DE CONSERVATION</w:t>
      </w:r>
    </w:p>
    <w:p w:rsidR="00D945AF" w:rsidRPr="00C65506" w:rsidRDefault="00D945AF" w:rsidP="00496272">
      <w:pPr>
        <w:rPr>
          <w:noProof/>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À conserver au réfrigérateur.</w:t>
      </w:r>
    </w:p>
    <w:p w:rsidR="00D945AF" w:rsidRPr="00C65506" w:rsidRDefault="00D945AF" w:rsidP="00496272">
      <w:pPr>
        <w:tabs>
          <w:tab w:val="clear" w:pos="567"/>
        </w:tabs>
        <w:rPr>
          <w:noProof/>
          <w:color w:val="000000"/>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Ne pas congeler.</w:t>
      </w:r>
    </w:p>
    <w:p w:rsidR="00D945AF" w:rsidRPr="00C65506" w:rsidRDefault="00D945AF" w:rsidP="00496272">
      <w:pPr>
        <w:tabs>
          <w:tab w:val="clear" w:pos="567"/>
        </w:tabs>
        <w:rPr>
          <w:noProof/>
          <w:color w:val="000000"/>
          <w:szCs w:val="22"/>
          <w:lang w:val="fr-FR"/>
        </w:rPr>
      </w:pPr>
    </w:p>
    <w:p w:rsidR="008C2D76" w:rsidRPr="00C65506" w:rsidRDefault="008C2D76" w:rsidP="008C2D76">
      <w:pPr>
        <w:tabs>
          <w:tab w:val="clear" w:pos="567"/>
        </w:tabs>
        <w:rPr>
          <w:noProof/>
          <w:color w:val="000000"/>
          <w:szCs w:val="24"/>
          <w:lang w:val="fr-FR" w:bidi="yi-Hebr"/>
        </w:rPr>
      </w:pPr>
      <w:r w:rsidRPr="00C65506">
        <w:rPr>
          <w:color w:val="000000"/>
          <w:szCs w:val="24"/>
          <w:lang w:val="fr-FR" w:bidi="yi-Hebr"/>
        </w:rPr>
        <w:t>Conserver la cartouche dans l’emballage extérieur, à l’abri de la lumière.</w:t>
      </w:r>
    </w:p>
    <w:p w:rsidR="00D945AF" w:rsidRPr="00C65506" w:rsidRDefault="00D945AF" w:rsidP="00496272">
      <w:pPr>
        <w:tabs>
          <w:tab w:val="clear" w:pos="567"/>
        </w:tabs>
        <w:rPr>
          <w:noProof/>
          <w:color w:val="000000"/>
          <w:szCs w:val="22"/>
          <w:lang w:val="fr-FR"/>
        </w:rPr>
      </w:pPr>
    </w:p>
    <w:p w:rsidR="008C2D76" w:rsidRPr="00C65506" w:rsidRDefault="008C2D76" w:rsidP="00A14D9A">
      <w:pPr>
        <w:rPr>
          <w:noProof/>
          <w:szCs w:val="24"/>
          <w:lang w:val="fr-FR" w:bidi="yi-Hebr"/>
        </w:rPr>
      </w:pPr>
      <w:r w:rsidRPr="00C65506">
        <w:rPr>
          <w:szCs w:val="24"/>
          <w:lang w:val="fr-FR" w:bidi="yi-Hebr"/>
        </w:rPr>
        <w:t>Avant ouverture, peut être conservé jusqu’à 3 mois à une température ne dépassant pas 25°C</w:t>
      </w:r>
      <w:r w:rsidRPr="00C65506">
        <w:rPr>
          <w:color w:val="000000"/>
          <w:szCs w:val="24"/>
          <w:lang w:val="fr-FR" w:bidi="yi-Hebr"/>
        </w:rPr>
        <w:t>.</w:t>
      </w:r>
      <w:r w:rsidRPr="00C65506">
        <w:rPr>
          <w:noProof/>
          <w:color w:val="000000"/>
          <w:szCs w:val="24"/>
          <w:lang w:val="fr-FR" w:bidi="yi-Hebr"/>
        </w:rPr>
        <w:t xml:space="preserve"> </w:t>
      </w:r>
      <w:r w:rsidR="00A14D9A" w:rsidRPr="00C65506">
        <w:rPr>
          <w:color w:val="000000"/>
          <w:szCs w:val="24"/>
          <w:lang w:val="fr-FR" w:bidi="yi-Hebr"/>
        </w:rPr>
        <w:t xml:space="preserve">Doit </w:t>
      </w:r>
      <w:r w:rsidRPr="00C65506">
        <w:rPr>
          <w:color w:val="000000"/>
          <w:szCs w:val="24"/>
          <w:lang w:val="fr-FR" w:bidi="yi-Hebr"/>
        </w:rPr>
        <w:t>être jeté</w:t>
      </w:r>
      <w:r w:rsidR="00A14D9A" w:rsidRPr="00C65506">
        <w:rPr>
          <w:color w:val="000000"/>
          <w:szCs w:val="24"/>
          <w:lang w:val="fr-FR" w:bidi="yi-Hebr"/>
        </w:rPr>
        <w:t xml:space="preserve"> au bout de 3 mois s’il n’a pas été utilisé</w:t>
      </w:r>
      <w:r w:rsidRPr="00C65506">
        <w:rPr>
          <w:color w:val="000000"/>
          <w:szCs w:val="24"/>
          <w:lang w:val="fr-FR" w:bidi="yi-Hebr"/>
        </w:rPr>
        <w:t>.</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ind w:left="567" w:hanging="567"/>
        <w:outlineLvl w:val="0"/>
        <w:rPr>
          <w:b/>
          <w:noProof/>
          <w:szCs w:val="24"/>
          <w:lang w:val="fr-FR" w:bidi="yi-Hebr"/>
        </w:rPr>
      </w:pPr>
      <w:r w:rsidRPr="00C65506">
        <w:rPr>
          <w:b/>
          <w:noProof/>
          <w:szCs w:val="24"/>
          <w:lang w:val="fr-FR" w:bidi="yi-Hebr"/>
        </w:rPr>
        <w:t>10.</w:t>
      </w:r>
      <w:r w:rsidRPr="00C65506">
        <w:rPr>
          <w:b/>
          <w:noProof/>
          <w:szCs w:val="24"/>
          <w:lang w:val="fr-FR" w:bidi="yi-Hebr"/>
        </w:rPr>
        <w:tab/>
      </w:r>
      <w:r w:rsidRPr="00C65506">
        <w:rPr>
          <w:b/>
          <w:szCs w:val="24"/>
          <w:lang w:val="fr-FR" w:bidi="yi-Hebr"/>
        </w:rPr>
        <w:t>PRÉCAUTIONS PARTICULIÈRES D’ÉLIMINATION DES MÉDICAMENTS NON UTILISÉS OU DES DÉCHETS PROVENANT DE CES MÉDICAMENTS S’IL Y A LIEU</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D43E3D" w:rsidRPr="00C65506" w:rsidRDefault="00D43E3D" w:rsidP="00496272">
      <w:pPr>
        <w:rPr>
          <w:noProof/>
          <w:szCs w:val="22"/>
          <w:lang w:val="fr-FR"/>
        </w:rPr>
      </w:pPr>
    </w:p>
    <w:p w:rsidR="008C2D76" w:rsidRPr="00C65506" w:rsidRDefault="008C2D76" w:rsidP="004255BE">
      <w:pPr>
        <w:pBdr>
          <w:top w:val="single" w:sz="4" w:space="1" w:color="auto"/>
          <w:left w:val="single" w:sz="4" w:space="4" w:color="auto"/>
          <w:bottom w:val="single" w:sz="4" w:space="1" w:color="auto"/>
          <w:right w:val="single" w:sz="4" w:space="4" w:color="auto"/>
        </w:pBdr>
        <w:ind w:left="567" w:hanging="567"/>
        <w:outlineLvl w:val="0"/>
        <w:rPr>
          <w:b/>
          <w:noProof/>
          <w:szCs w:val="24"/>
          <w:lang w:val="fr-FR" w:bidi="yi-Hebr"/>
        </w:rPr>
      </w:pPr>
      <w:r w:rsidRPr="00C65506">
        <w:rPr>
          <w:b/>
          <w:noProof/>
          <w:szCs w:val="24"/>
          <w:lang w:val="fr-FR" w:bidi="yi-Hebr"/>
        </w:rPr>
        <w:t>11.</w:t>
      </w:r>
      <w:r w:rsidRPr="00C65506">
        <w:rPr>
          <w:b/>
          <w:noProof/>
          <w:szCs w:val="24"/>
          <w:lang w:val="fr-FR" w:bidi="yi-Hebr"/>
        </w:rPr>
        <w:tab/>
      </w:r>
      <w:r w:rsidRPr="00C65506">
        <w:rPr>
          <w:b/>
          <w:szCs w:val="24"/>
          <w:lang w:val="fr-FR" w:bidi="yi-Hebr"/>
        </w:rPr>
        <w:t>NOM ET ADRESSE DU TITULAIRE DE L’AUTORISATION DE MISE SUR LE MARCHÉ</w:t>
      </w:r>
    </w:p>
    <w:p w:rsidR="00D945AF" w:rsidRPr="00C65506" w:rsidRDefault="00D945AF" w:rsidP="00496272">
      <w:pPr>
        <w:rPr>
          <w:noProof/>
          <w:szCs w:val="22"/>
          <w:lang w:val="fr-FR"/>
        </w:rPr>
      </w:pPr>
    </w:p>
    <w:p w:rsidR="00634C9E" w:rsidRPr="00AD584F" w:rsidRDefault="00634C9E" w:rsidP="00634C9E">
      <w:pPr>
        <w:tabs>
          <w:tab w:val="clear" w:pos="567"/>
        </w:tabs>
        <w:rPr>
          <w:lang w:val="nl-NL"/>
        </w:rPr>
      </w:pPr>
      <w:r w:rsidRPr="00AD584F">
        <w:rPr>
          <w:lang w:val="nl-NL"/>
        </w:rPr>
        <w:t>Theramex Ireland Limited</w:t>
      </w:r>
    </w:p>
    <w:p w:rsidR="00634C9E" w:rsidRPr="00AD584F" w:rsidRDefault="00806865" w:rsidP="00634C9E">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634C9E" w:rsidRPr="00AD584F">
        <w:rPr>
          <w:lang w:val="nl-NL"/>
        </w:rPr>
        <w:t>Kilmore House,</w:t>
      </w:r>
    </w:p>
    <w:p w:rsidR="00634C9E" w:rsidRPr="00AD584F" w:rsidRDefault="00605833" w:rsidP="00634C9E">
      <w:pPr>
        <w:tabs>
          <w:tab w:val="clear" w:pos="567"/>
        </w:tabs>
        <w:rPr>
          <w:lang w:val="nl-NL"/>
        </w:rPr>
      </w:pPr>
      <w:r>
        <w:rPr>
          <w:lang w:val="nl-NL"/>
        </w:rPr>
        <w:t>Park Lane, Spencer Dock,</w:t>
      </w:r>
    </w:p>
    <w:p w:rsidR="00634C9E" w:rsidRPr="00AD584F" w:rsidRDefault="00634C9E" w:rsidP="00634C9E">
      <w:pPr>
        <w:tabs>
          <w:tab w:val="clear" w:pos="567"/>
        </w:tabs>
        <w:rPr>
          <w:lang w:val="nl-NL"/>
        </w:rPr>
      </w:pPr>
      <w:r w:rsidRPr="00AD584F">
        <w:rPr>
          <w:lang w:val="nl-NL"/>
        </w:rPr>
        <w:t>Dublin 1</w:t>
      </w:r>
    </w:p>
    <w:p w:rsidR="00634C9E" w:rsidRPr="00AD584F" w:rsidRDefault="00605833" w:rsidP="00634C9E">
      <w:pPr>
        <w:tabs>
          <w:tab w:val="clear" w:pos="567"/>
        </w:tabs>
        <w:rPr>
          <w:lang w:val="nl-NL"/>
        </w:rPr>
      </w:pPr>
      <w:r>
        <w:rPr>
          <w:lang w:val="nl-NL"/>
        </w:rPr>
        <w:t>D01 YE64</w:t>
      </w:r>
    </w:p>
    <w:p w:rsidR="008C2D76" w:rsidRPr="00C65506" w:rsidRDefault="00634C9E" w:rsidP="008C2D76">
      <w:pPr>
        <w:tabs>
          <w:tab w:val="clear" w:pos="567"/>
        </w:tabs>
        <w:rPr>
          <w:noProof/>
          <w:color w:val="000000"/>
          <w:szCs w:val="24"/>
          <w:lang w:val="fr-FR" w:bidi="yi-Hebr"/>
        </w:rPr>
      </w:pPr>
      <w:r w:rsidRPr="00162C74">
        <w:rPr>
          <w:lang w:val="fr-FR"/>
        </w:rPr>
        <w:t>Irlande</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12.</w:t>
      </w:r>
      <w:r w:rsidRPr="00C65506">
        <w:rPr>
          <w:b/>
          <w:noProof/>
          <w:szCs w:val="24"/>
          <w:lang w:val="fr-FR" w:bidi="yi-Hebr"/>
        </w:rPr>
        <w:tab/>
      </w:r>
      <w:r w:rsidRPr="00C65506">
        <w:rPr>
          <w:b/>
          <w:szCs w:val="24"/>
          <w:lang w:val="fr-FR" w:bidi="yi-Hebr"/>
        </w:rPr>
        <w:t>NUMÉRO(S) D’AUTORISATION DE MISE SUR LE MARCHÉ</w:t>
      </w:r>
    </w:p>
    <w:p w:rsidR="00D945AF" w:rsidRPr="00C65506" w:rsidRDefault="00D945AF" w:rsidP="00496272">
      <w:pPr>
        <w:rPr>
          <w:noProof/>
          <w:szCs w:val="22"/>
          <w:lang w:val="fr-FR"/>
        </w:rPr>
      </w:pPr>
    </w:p>
    <w:p w:rsidR="00D945AF" w:rsidRPr="00C65506" w:rsidRDefault="00A05962" w:rsidP="00496272">
      <w:pPr>
        <w:rPr>
          <w:noProof/>
          <w:szCs w:val="22"/>
          <w:lang w:val="fr-FR"/>
        </w:rPr>
      </w:pPr>
      <w:r w:rsidRPr="00C65506">
        <w:rPr>
          <w:noProof/>
          <w:szCs w:val="22"/>
          <w:lang w:val="fr-FR"/>
        </w:rPr>
        <w:t>EU/1/13/871/003</w:t>
      </w:r>
    </w:p>
    <w:p w:rsidR="00D945AF" w:rsidRPr="00C65506" w:rsidRDefault="00D945AF" w:rsidP="00496272">
      <w:pPr>
        <w:rPr>
          <w:noProof/>
          <w:szCs w:val="22"/>
          <w:lang w:val="fr-FR"/>
        </w:rPr>
      </w:pPr>
    </w:p>
    <w:p w:rsidR="00DF78C9" w:rsidRPr="00C65506" w:rsidRDefault="00DF78C9"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13.</w:t>
      </w:r>
      <w:r w:rsidRPr="00C65506">
        <w:rPr>
          <w:b/>
          <w:noProof/>
          <w:szCs w:val="24"/>
          <w:lang w:val="fr-FR" w:bidi="yi-Hebr"/>
        </w:rPr>
        <w:tab/>
      </w:r>
      <w:r w:rsidRPr="00C65506">
        <w:rPr>
          <w:b/>
          <w:szCs w:val="24"/>
          <w:lang w:val="fr-FR" w:bidi="yi-Hebr"/>
        </w:rPr>
        <w:t>NUMÉRO DU LOT</w:t>
      </w:r>
    </w:p>
    <w:p w:rsidR="00D945AF" w:rsidRPr="00C65506" w:rsidRDefault="00D945AF" w:rsidP="00496272">
      <w:pPr>
        <w:rPr>
          <w:noProof/>
          <w:szCs w:val="22"/>
          <w:lang w:val="fr-FR"/>
        </w:rPr>
      </w:pPr>
    </w:p>
    <w:p w:rsidR="008C2D76" w:rsidRPr="00C65506" w:rsidRDefault="008C2D76" w:rsidP="008C2D76">
      <w:pPr>
        <w:rPr>
          <w:noProof/>
          <w:szCs w:val="24"/>
          <w:lang w:val="fr-FR" w:bidi="yi-Hebr"/>
        </w:rPr>
      </w:pPr>
      <w:r w:rsidRPr="00C65506">
        <w:rPr>
          <w:szCs w:val="24"/>
          <w:lang w:val="fr-FR" w:bidi="yi-Hebr"/>
        </w:rPr>
        <w:t>Lot</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1"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14.</w:t>
      </w:r>
      <w:r w:rsidRPr="00C65506">
        <w:rPr>
          <w:b/>
          <w:noProof/>
          <w:szCs w:val="24"/>
          <w:lang w:val="fr-FR" w:bidi="yi-Hebr"/>
        </w:rPr>
        <w:tab/>
      </w:r>
      <w:r w:rsidRPr="00C65506">
        <w:rPr>
          <w:b/>
          <w:szCs w:val="24"/>
          <w:lang w:val="fr-FR" w:bidi="yi-Hebr"/>
        </w:rPr>
        <w:t>CONDITIONS DE PRESCRIPTION ET DE DÉLIVRANCE</w:t>
      </w:r>
    </w:p>
    <w:p w:rsidR="00D945AF" w:rsidRPr="00C65506" w:rsidRDefault="00D945AF" w:rsidP="00496272">
      <w:pPr>
        <w:rPr>
          <w:noProof/>
          <w:szCs w:val="22"/>
          <w:lang w:val="fr-FR"/>
        </w:rPr>
      </w:pPr>
    </w:p>
    <w:p w:rsidR="00D945AF" w:rsidRPr="00C65506" w:rsidRDefault="00D945AF" w:rsidP="00496272">
      <w:pPr>
        <w:rPr>
          <w:noProof/>
          <w:szCs w:val="22"/>
          <w:lang w:val="fr-FR"/>
        </w:rPr>
      </w:pPr>
    </w:p>
    <w:p w:rsidR="008C2D76" w:rsidRPr="00C65506" w:rsidRDefault="008C2D76" w:rsidP="008C2D76">
      <w:pPr>
        <w:pBdr>
          <w:top w:val="single" w:sz="4" w:space="2" w:color="auto"/>
          <w:left w:val="single" w:sz="4" w:space="4" w:color="auto"/>
          <w:bottom w:val="single" w:sz="4" w:space="1" w:color="auto"/>
          <w:right w:val="single" w:sz="4" w:space="4" w:color="auto"/>
        </w:pBdr>
        <w:outlineLvl w:val="0"/>
        <w:rPr>
          <w:noProof/>
          <w:szCs w:val="24"/>
          <w:lang w:val="fr-FR" w:bidi="yi-Hebr"/>
        </w:rPr>
      </w:pPr>
      <w:r w:rsidRPr="00C65506">
        <w:rPr>
          <w:b/>
          <w:noProof/>
          <w:szCs w:val="24"/>
          <w:lang w:val="fr-FR" w:bidi="yi-Hebr"/>
        </w:rPr>
        <w:t>15.</w:t>
      </w:r>
      <w:r w:rsidRPr="00C65506">
        <w:rPr>
          <w:b/>
          <w:noProof/>
          <w:szCs w:val="24"/>
          <w:lang w:val="fr-FR" w:bidi="yi-Hebr"/>
        </w:rPr>
        <w:tab/>
      </w:r>
      <w:r w:rsidRPr="00C65506">
        <w:rPr>
          <w:b/>
          <w:szCs w:val="24"/>
          <w:lang w:val="fr-FR" w:bidi="yi-Hebr"/>
        </w:rPr>
        <w:t>INDICATIONS D’UTILISATION</w:t>
      </w:r>
    </w:p>
    <w:p w:rsidR="00D945AF" w:rsidRPr="00C65506" w:rsidRDefault="00D945AF" w:rsidP="00496272">
      <w:pPr>
        <w:rPr>
          <w:noProof/>
          <w:szCs w:val="22"/>
          <w:lang w:val="fr-FR"/>
        </w:rPr>
      </w:pPr>
    </w:p>
    <w:p w:rsidR="00247894" w:rsidRPr="00C65506" w:rsidRDefault="00247894" w:rsidP="00496272">
      <w:pPr>
        <w:rPr>
          <w:noProof/>
          <w:szCs w:val="22"/>
          <w:lang w:val="fr-FR"/>
        </w:rPr>
      </w:pPr>
    </w:p>
    <w:p w:rsidR="00D945AF" w:rsidRPr="00C65506" w:rsidRDefault="00D945AF" w:rsidP="00496272">
      <w:pPr>
        <w:rPr>
          <w:noProof/>
          <w:szCs w:val="22"/>
          <w:lang w:val="fr-FR"/>
        </w:rPr>
      </w:pPr>
    </w:p>
    <w:p w:rsidR="008C2D76" w:rsidRPr="00C65506" w:rsidRDefault="008C2D76" w:rsidP="00011E02">
      <w:pPr>
        <w:keepNext/>
        <w:pBdr>
          <w:top w:val="single" w:sz="4" w:space="1" w:color="auto"/>
          <w:left w:val="single" w:sz="4" w:space="4" w:color="auto"/>
          <w:bottom w:val="single" w:sz="4" w:space="0" w:color="auto"/>
          <w:right w:val="single" w:sz="4" w:space="4" w:color="auto"/>
        </w:pBdr>
        <w:rPr>
          <w:noProof/>
          <w:szCs w:val="24"/>
          <w:lang w:val="fr-FR" w:bidi="yi-Hebr"/>
        </w:rPr>
      </w:pPr>
      <w:r w:rsidRPr="00C65506">
        <w:rPr>
          <w:b/>
          <w:noProof/>
          <w:szCs w:val="24"/>
          <w:lang w:val="fr-FR" w:bidi="yi-Hebr"/>
        </w:rPr>
        <w:lastRenderedPageBreak/>
        <w:t>16.</w:t>
      </w:r>
      <w:r w:rsidRPr="00C65506">
        <w:rPr>
          <w:b/>
          <w:noProof/>
          <w:szCs w:val="24"/>
          <w:lang w:val="fr-FR" w:bidi="yi-Hebr"/>
        </w:rPr>
        <w:tab/>
      </w:r>
      <w:r w:rsidRPr="00C65506">
        <w:rPr>
          <w:b/>
          <w:szCs w:val="24"/>
          <w:lang w:val="fr-FR" w:bidi="yi-Hebr"/>
        </w:rPr>
        <w:t>INFORMATIONS EN BRAILLE</w:t>
      </w:r>
    </w:p>
    <w:p w:rsidR="00D945AF" w:rsidRPr="00C65506" w:rsidRDefault="00D945AF" w:rsidP="00496272">
      <w:pPr>
        <w:rPr>
          <w:noProof/>
          <w:szCs w:val="22"/>
          <w:lang w:val="fr-FR"/>
        </w:rPr>
      </w:pPr>
    </w:p>
    <w:p w:rsidR="008C2D76" w:rsidRPr="00C65506" w:rsidRDefault="008C2D76" w:rsidP="008C2D76">
      <w:pPr>
        <w:autoSpaceDE w:val="0"/>
        <w:autoSpaceDN w:val="0"/>
        <w:adjustRightInd w:val="0"/>
        <w:jc w:val="both"/>
        <w:rPr>
          <w:noProof/>
          <w:color w:val="000000"/>
          <w:szCs w:val="24"/>
          <w:lang w:val="fr-FR" w:bidi="yi-Hebr"/>
        </w:rPr>
      </w:pPr>
      <w:r w:rsidRPr="00C65506">
        <w:rPr>
          <w:color w:val="000000"/>
          <w:szCs w:val="24"/>
          <w:lang w:val="fr-FR" w:bidi="yi-Hebr"/>
        </w:rPr>
        <w:t>Ovaleap 900 UI/1,5 mL</w:t>
      </w:r>
    </w:p>
    <w:p w:rsidR="00D945AF" w:rsidRPr="00C65506" w:rsidRDefault="00D945AF" w:rsidP="00496272">
      <w:pPr>
        <w:autoSpaceDE w:val="0"/>
        <w:autoSpaceDN w:val="0"/>
        <w:adjustRightInd w:val="0"/>
        <w:jc w:val="both"/>
        <w:rPr>
          <w:noProof/>
          <w:color w:val="000000"/>
          <w:szCs w:val="22"/>
          <w:lang w:val="fr-FR"/>
        </w:rPr>
      </w:pPr>
    </w:p>
    <w:p w:rsidR="00DB6B97" w:rsidRPr="00C65506" w:rsidRDefault="00DB6B97" w:rsidP="00DB6B97">
      <w:pPr>
        <w:rPr>
          <w:rFonts w:eastAsia="Times New Roman"/>
          <w:noProof/>
          <w:szCs w:val="22"/>
          <w:shd w:val="clear" w:color="auto" w:fill="CCCCCC"/>
          <w:lang w:val="fr-FR" w:eastAsia="fr-FR" w:bidi="fr-FR"/>
        </w:rPr>
      </w:pPr>
    </w:p>
    <w:p w:rsidR="00DB6B97" w:rsidRPr="00C65506" w:rsidRDefault="00DB6B97" w:rsidP="003F4894">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fr-FR" w:eastAsia="fr-FR" w:bidi="fr-FR"/>
        </w:rPr>
      </w:pPr>
      <w:r w:rsidRPr="00C65506">
        <w:rPr>
          <w:rFonts w:eastAsia="Times New Roman"/>
          <w:b/>
          <w:noProof/>
          <w:lang w:val="fr-FR" w:eastAsia="fr-FR" w:bidi="fr-FR"/>
        </w:rPr>
        <w:t>17.</w:t>
      </w:r>
      <w:r w:rsidRPr="00C65506">
        <w:rPr>
          <w:rFonts w:eastAsia="Times New Roman"/>
          <w:b/>
          <w:noProof/>
          <w:lang w:val="fr-FR" w:eastAsia="fr-FR" w:bidi="fr-FR"/>
        </w:rPr>
        <w:tab/>
        <w:t>IDENTIFIANT UNIQUE - CODE-BARRES 2D</w:t>
      </w:r>
    </w:p>
    <w:p w:rsidR="00DB6B97" w:rsidRPr="00C65506" w:rsidRDefault="00DB6B97" w:rsidP="003F4894">
      <w:pPr>
        <w:keepNext/>
        <w:tabs>
          <w:tab w:val="clear" w:pos="567"/>
        </w:tabs>
        <w:rPr>
          <w:rFonts w:eastAsia="Times New Roman"/>
          <w:noProof/>
          <w:lang w:val="fr-FR" w:eastAsia="fr-FR" w:bidi="fr-FR"/>
        </w:rPr>
      </w:pPr>
    </w:p>
    <w:p w:rsidR="00DB6B97" w:rsidRPr="00C65506" w:rsidRDefault="00DB6B97" w:rsidP="003F4894">
      <w:pPr>
        <w:keepNext/>
        <w:rPr>
          <w:rFonts w:eastAsia="Times New Roman"/>
          <w:noProof/>
          <w:szCs w:val="22"/>
          <w:shd w:val="clear" w:color="auto" w:fill="CCCCCC"/>
          <w:lang w:val="fr-FR" w:eastAsia="fr-FR" w:bidi="fr-FR"/>
        </w:rPr>
      </w:pPr>
      <w:r w:rsidRPr="00C65506">
        <w:rPr>
          <w:rFonts w:eastAsia="Times New Roman"/>
          <w:noProof/>
          <w:highlight w:val="lightGray"/>
          <w:lang w:val="fr-FR" w:eastAsia="fr-FR" w:bidi="fr-FR"/>
        </w:rPr>
        <w:t>code-barres 2D portant l'identifiant unique inclus.</w:t>
      </w:r>
    </w:p>
    <w:p w:rsidR="00DB6B97" w:rsidRPr="00C65506" w:rsidRDefault="00DB6B97" w:rsidP="00DB6B97">
      <w:pPr>
        <w:rPr>
          <w:rFonts w:eastAsia="Times New Roman"/>
          <w:noProof/>
          <w:szCs w:val="22"/>
          <w:shd w:val="clear" w:color="auto" w:fill="CCCCCC"/>
          <w:lang w:val="fr-FR" w:eastAsia="fr-FR" w:bidi="fr-FR"/>
        </w:rPr>
      </w:pPr>
    </w:p>
    <w:p w:rsidR="00DB6B97" w:rsidRPr="00C65506" w:rsidRDefault="00DB6B97" w:rsidP="00DB6B97">
      <w:pPr>
        <w:tabs>
          <w:tab w:val="clear" w:pos="567"/>
        </w:tabs>
        <w:rPr>
          <w:rFonts w:eastAsia="Times New Roman"/>
          <w:noProof/>
          <w:lang w:val="fr-FR" w:eastAsia="fr-FR" w:bidi="fr-FR"/>
        </w:rPr>
      </w:pPr>
    </w:p>
    <w:p w:rsidR="00DB6B97" w:rsidRPr="00C65506" w:rsidRDefault="00DB6B97" w:rsidP="00DB6B97">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fr-FR" w:eastAsia="fr-FR" w:bidi="fr-FR"/>
        </w:rPr>
      </w:pPr>
      <w:r w:rsidRPr="00C65506">
        <w:rPr>
          <w:rFonts w:eastAsia="Times New Roman"/>
          <w:b/>
          <w:noProof/>
          <w:lang w:val="fr-FR" w:eastAsia="fr-FR" w:bidi="fr-FR"/>
        </w:rPr>
        <w:t>18.</w:t>
      </w:r>
      <w:r w:rsidRPr="00C65506">
        <w:rPr>
          <w:rFonts w:eastAsia="Times New Roman"/>
          <w:b/>
          <w:noProof/>
          <w:lang w:val="fr-FR" w:eastAsia="fr-FR" w:bidi="fr-FR"/>
        </w:rPr>
        <w:tab/>
        <w:t>IDENTIFIANT UNIQUE - DONNÉES LISIBLES PAR LES HUMAINS</w:t>
      </w:r>
    </w:p>
    <w:p w:rsidR="00DB6B97" w:rsidRPr="00C65506" w:rsidRDefault="00DB6B97" w:rsidP="00DB6B97">
      <w:pPr>
        <w:tabs>
          <w:tab w:val="clear" w:pos="567"/>
        </w:tabs>
        <w:rPr>
          <w:rFonts w:eastAsia="Times New Roman"/>
          <w:noProof/>
          <w:lang w:val="fr-FR" w:eastAsia="fr-FR" w:bidi="fr-FR"/>
        </w:rPr>
      </w:pPr>
    </w:p>
    <w:p w:rsidR="00DB6B97" w:rsidRPr="00C65506" w:rsidRDefault="00DB6B97" w:rsidP="00DB6B97">
      <w:pPr>
        <w:spacing w:line="260" w:lineRule="exact"/>
        <w:rPr>
          <w:rFonts w:eastAsia="Times New Roman"/>
          <w:color w:val="000000"/>
          <w:szCs w:val="22"/>
          <w:lang w:val="fr-FR" w:eastAsia="fr-FR" w:bidi="fr-FR"/>
        </w:rPr>
      </w:pPr>
      <w:r w:rsidRPr="00C65506">
        <w:rPr>
          <w:rFonts w:eastAsia="Times New Roman"/>
          <w:lang w:val="fr-FR" w:eastAsia="fr-FR" w:bidi="fr-FR"/>
        </w:rPr>
        <w:t>PC:</w:t>
      </w:r>
    </w:p>
    <w:p w:rsidR="00DB6B97" w:rsidRPr="00C65506" w:rsidRDefault="00DB6B97" w:rsidP="00DB6B97">
      <w:pPr>
        <w:spacing w:line="260" w:lineRule="exact"/>
        <w:rPr>
          <w:rFonts w:eastAsia="Times New Roman"/>
          <w:szCs w:val="22"/>
          <w:lang w:val="fr-FR" w:eastAsia="fr-FR" w:bidi="fr-FR"/>
        </w:rPr>
      </w:pPr>
      <w:r w:rsidRPr="00C65506">
        <w:rPr>
          <w:rFonts w:eastAsia="Times New Roman"/>
          <w:lang w:val="fr-FR" w:eastAsia="fr-FR" w:bidi="fr-FR"/>
        </w:rPr>
        <w:t>SN:</w:t>
      </w:r>
    </w:p>
    <w:p w:rsidR="00DB6B97" w:rsidRPr="00C65506" w:rsidRDefault="00DB6B97" w:rsidP="00DB6B97">
      <w:pPr>
        <w:autoSpaceDE w:val="0"/>
        <w:autoSpaceDN w:val="0"/>
        <w:adjustRightInd w:val="0"/>
        <w:jc w:val="both"/>
        <w:rPr>
          <w:rFonts w:eastAsia="Times New Roman"/>
          <w:lang w:val="fr-FR" w:eastAsia="fr-FR" w:bidi="fr-FR"/>
        </w:rPr>
      </w:pPr>
      <w:r w:rsidRPr="00C65506">
        <w:rPr>
          <w:rFonts w:eastAsia="Times New Roman"/>
          <w:lang w:val="fr-FR" w:eastAsia="fr-FR" w:bidi="fr-FR"/>
        </w:rPr>
        <w:t>NN:</w:t>
      </w:r>
    </w:p>
    <w:p w:rsidR="00CB3280" w:rsidRPr="00C65506" w:rsidRDefault="00CB3280" w:rsidP="00496272">
      <w:pPr>
        <w:autoSpaceDE w:val="0"/>
        <w:autoSpaceDN w:val="0"/>
        <w:adjustRightInd w:val="0"/>
        <w:jc w:val="both"/>
        <w:rPr>
          <w:noProof/>
          <w:color w:val="000000"/>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rPr>
          <w:b/>
          <w:noProof/>
          <w:szCs w:val="24"/>
          <w:lang w:val="fr-FR" w:bidi="yi-Hebr"/>
        </w:rPr>
      </w:pPr>
      <w:r w:rsidRPr="00C65506">
        <w:rPr>
          <w:noProof/>
          <w:szCs w:val="24"/>
          <w:shd w:val="clear" w:color="auto" w:fill="CCCCCC"/>
          <w:lang w:val="fr-FR" w:bidi="yi-Hebr"/>
        </w:rPr>
        <w:br w:type="page"/>
      </w:r>
      <w:r w:rsidRPr="00C65506">
        <w:rPr>
          <w:b/>
          <w:szCs w:val="24"/>
          <w:lang w:val="fr-FR" w:bidi="yi-Hebr"/>
        </w:rPr>
        <w:lastRenderedPageBreak/>
        <w:t>MENTIONS MINIMALES DEVANT FIGURER SUR LES PETITS CONDITIONNEMENTS PRIMAIRES</w:t>
      </w:r>
    </w:p>
    <w:p w:rsidR="00812D16" w:rsidRPr="00C65506" w:rsidRDefault="00812D16" w:rsidP="00496272">
      <w:pPr>
        <w:pBdr>
          <w:top w:val="single" w:sz="4" w:space="1" w:color="auto"/>
          <w:left w:val="single" w:sz="4" w:space="4" w:color="auto"/>
          <w:bottom w:val="single" w:sz="4" w:space="1" w:color="auto"/>
          <w:right w:val="single" w:sz="4" w:space="4" w:color="auto"/>
        </w:pBdr>
        <w:rPr>
          <w:b/>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rPr>
          <w:b/>
          <w:noProof/>
          <w:szCs w:val="24"/>
          <w:lang w:val="fr-FR" w:bidi="yi-Hebr"/>
        </w:rPr>
      </w:pPr>
      <w:r w:rsidRPr="00C65506">
        <w:rPr>
          <w:b/>
          <w:szCs w:val="24"/>
          <w:lang w:val="fr-FR" w:bidi="yi-Hebr"/>
        </w:rPr>
        <w:t>CARTOUCHE</w:t>
      </w:r>
    </w:p>
    <w:p w:rsidR="00812D16" w:rsidRPr="00C65506" w:rsidRDefault="00812D16" w:rsidP="00496272">
      <w:pPr>
        <w:rPr>
          <w:noProof/>
          <w:szCs w:val="22"/>
          <w:lang w:val="fr-FR"/>
        </w:rPr>
      </w:pPr>
    </w:p>
    <w:p w:rsidR="00812D16" w:rsidRPr="00C65506" w:rsidRDefault="00812D16"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1.</w:t>
      </w:r>
      <w:r w:rsidRPr="00C65506">
        <w:rPr>
          <w:b/>
          <w:noProof/>
          <w:szCs w:val="24"/>
          <w:lang w:val="fr-FR" w:bidi="yi-Hebr"/>
        </w:rPr>
        <w:tab/>
      </w:r>
      <w:r w:rsidRPr="00C65506">
        <w:rPr>
          <w:b/>
          <w:szCs w:val="24"/>
          <w:lang w:val="fr-FR" w:bidi="yi-Hebr"/>
        </w:rPr>
        <w:t>DÉNOMINATION DU MÉDICAMENT ET VOIE(S) D’ADMINISTRATION</w:t>
      </w:r>
    </w:p>
    <w:p w:rsidR="00812D16" w:rsidRPr="00C65506" w:rsidRDefault="00812D16" w:rsidP="00496272">
      <w:pPr>
        <w:ind w:left="567" w:hanging="567"/>
        <w:rPr>
          <w:noProof/>
          <w:szCs w:val="22"/>
          <w:lang w:val="fr-FR"/>
        </w:rPr>
      </w:pPr>
    </w:p>
    <w:p w:rsidR="001109F3" w:rsidRPr="00C65506" w:rsidRDefault="001109F3" w:rsidP="001109F3">
      <w:pPr>
        <w:autoSpaceDE w:val="0"/>
        <w:autoSpaceDN w:val="0"/>
        <w:adjustRightInd w:val="0"/>
        <w:jc w:val="both"/>
        <w:rPr>
          <w:noProof/>
          <w:color w:val="000000"/>
          <w:szCs w:val="24"/>
          <w:lang w:val="fr-FR" w:bidi="yi-Hebr"/>
        </w:rPr>
      </w:pPr>
      <w:r w:rsidRPr="00C65506">
        <w:rPr>
          <w:color w:val="000000"/>
          <w:szCs w:val="24"/>
          <w:lang w:val="fr-FR" w:bidi="yi-Hebr"/>
        </w:rPr>
        <w:t>Ovaleap 300 UI/0,5 mL pour injection</w:t>
      </w:r>
    </w:p>
    <w:p w:rsidR="006D0A2F" w:rsidRPr="00C65506" w:rsidRDefault="006D0A2F" w:rsidP="00496272">
      <w:pPr>
        <w:rPr>
          <w:noProof/>
          <w:szCs w:val="22"/>
          <w:lang w:val="fr-FR"/>
        </w:rPr>
      </w:pPr>
    </w:p>
    <w:p w:rsidR="001109F3" w:rsidRPr="00C65506" w:rsidRDefault="00D233C1" w:rsidP="001109F3">
      <w:pPr>
        <w:rPr>
          <w:noProof/>
          <w:szCs w:val="24"/>
          <w:lang w:val="fr-FR" w:bidi="yi-Hebr"/>
        </w:rPr>
      </w:pPr>
      <w:r w:rsidRPr="00C65506">
        <w:rPr>
          <w:color w:val="000000"/>
          <w:szCs w:val="24"/>
          <w:lang w:val="fr-FR" w:bidi="yi-Hebr"/>
        </w:rPr>
        <w:t>f</w:t>
      </w:r>
      <w:r w:rsidR="001109F3" w:rsidRPr="00C65506">
        <w:rPr>
          <w:color w:val="000000"/>
          <w:szCs w:val="24"/>
          <w:lang w:val="fr-FR" w:bidi="yi-Hebr"/>
        </w:rPr>
        <w:t>ollitropine alfa</w:t>
      </w:r>
    </w:p>
    <w:p w:rsidR="006D0A2F" w:rsidRPr="00C65506" w:rsidRDefault="006D0A2F" w:rsidP="00496272">
      <w:pPr>
        <w:rPr>
          <w:noProof/>
          <w:szCs w:val="22"/>
          <w:lang w:val="fr-FR"/>
        </w:rPr>
      </w:pPr>
    </w:p>
    <w:p w:rsidR="001109F3" w:rsidRPr="00C65506" w:rsidRDefault="001109F3" w:rsidP="001109F3">
      <w:pPr>
        <w:rPr>
          <w:noProof/>
          <w:szCs w:val="24"/>
          <w:lang w:val="fr-FR" w:bidi="yi-Hebr"/>
        </w:rPr>
      </w:pPr>
      <w:r w:rsidRPr="00C65506">
        <w:rPr>
          <w:szCs w:val="24"/>
          <w:lang w:val="fr-FR" w:bidi="yi-Hebr"/>
        </w:rPr>
        <w:t>SC</w:t>
      </w:r>
    </w:p>
    <w:p w:rsidR="00812D16" w:rsidRPr="00C65506" w:rsidRDefault="00812D16" w:rsidP="00496272">
      <w:pPr>
        <w:rPr>
          <w:noProof/>
          <w:szCs w:val="22"/>
          <w:lang w:val="fr-FR"/>
        </w:rPr>
      </w:pPr>
    </w:p>
    <w:p w:rsidR="00812D16" w:rsidRPr="00C65506" w:rsidRDefault="00812D16"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2.</w:t>
      </w:r>
      <w:r w:rsidRPr="00C65506">
        <w:rPr>
          <w:b/>
          <w:noProof/>
          <w:szCs w:val="24"/>
          <w:lang w:val="fr-FR" w:bidi="yi-Hebr"/>
        </w:rPr>
        <w:tab/>
      </w:r>
      <w:r w:rsidRPr="00C65506">
        <w:rPr>
          <w:b/>
          <w:szCs w:val="24"/>
          <w:lang w:val="fr-FR" w:bidi="yi-Hebr"/>
        </w:rPr>
        <w:t>MODE D’ADMINISTRATION</w:t>
      </w:r>
    </w:p>
    <w:p w:rsidR="006D0A2F" w:rsidRPr="00C65506" w:rsidRDefault="006D0A2F" w:rsidP="00496272">
      <w:pPr>
        <w:rPr>
          <w:noProof/>
          <w:szCs w:val="22"/>
          <w:lang w:val="fr-FR"/>
        </w:rPr>
      </w:pPr>
    </w:p>
    <w:p w:rsidR="00D43E3D" w:rsidRPr="00C65506" w:rsidRDefault="00D43E3D" w:rsidP="00496272">
      <w:pPr>
        <w:rPr>
          <w:noProof/>
          <w:szCs w:val="22"/>
          <w:lang w:val="fr-FR"/>
        </w:rPr>
      </w:pPr>
    </w:p>
    <w:p w:rsidR="00812D16" w:rsidRPr="00C65506" w:rsidRDefault="00812D16"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3.</w:t>
      </w:r>
      <w:r w:rsidRPr="00C65506">
        <w:rPr>
          <w:b/>
          <w:noProof/>
          <w:szCs w:val="24"/>
          <w:lang w:val="fr-FR" w:bidi="yi-Hebr"/>
        </w:rPr>
        <w:tab/>
      </w:r>
      <w:r w:rsidRPr="00C65506">
        <w:rPr>
          <w:b/>
          <w:szCs w:val="24"/>
          <w:lang w:val="fr-FR" w:bidi="yi-Hebr"/>
        </w:rPr>
        <w:t>DATE DE PÉREMPTION</w:t>
      </w:r>
    </w:p>
    <w:p w:rsidR="00812D16" w:rsidRPr="00C65506" w:rsidRDefault="00812D16" w:rsidP="00496272">
      <w:pPr>
        <w:rPr>
          <w:noProof/>
          <w:szCs w:val="22"/>
          <w:lang w:val="fr-FR"/>
        </w:rPr>
      </w:pPr>
    </w:p>
    <w:p w:rsidR="001109F3" w:rsidRPr="00C65506" w:rsidRDefault="001109F3" w:rsidP="001109F3">
      <w:pPr>
        <w:rPr>
          <w:noProof/>
          <w:szCs w:val="24"/>
          <w:lang w:val="fr-FR" w:bidi="yi-Hebr"/>
        </w:rPr>
      </w:pPr>
      <w:r w:rsidRPr="00C65506">
        <w:rPr>
          <w:szCs w:val="24"/>
          <w:lang w:val="fr-FR" w:bidi="yi-Hebr"/>
        </w:rPr>
        <w:t>EXP</w:t>
      </w:r>
    </w:p>
    <w:p w:rsidR="006D0A2F" w:rsidRPr="00C65506" w:rsidRDefault="006D0A2F" w:rsidP="00496272">
      <w:pPr>
        <w:rPr>
          <w:noProof/>
          <w:szCs w:val="22"/>
          <w:lang w:val="fr-FR"/>
        </w:rPr>
      </w:pPr>
    </w:p>
    <w:p w:rsidR="00812D16" w:rsidRPr="00C65506" w:rsidRDefault="00812D16"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4.</w:t>
      </w:r>
      <w:r w:rsidRPr="00C65506">
        <w:rPr>
          <w:b/>
          <w:noProof/>
          <w:szCs w:val="24"/>
          <w:lang w:val="fr-FR" w:bidi="yi-Hebr"/>
        </w:rPr>
        <w:tab/>
      </w:r>
      <w:r w:rsidRPr="00C65506">
        <w:rPr>
          <w:b/>
          <w:szCs w:val="24"/>
          <w:lang w:val="fr-FR" w:bidi="yi-Hebr"/>
        </w:rPr>
        <w:t>NUMÉRO DU LOT</w:t>
      </w:r>
    </w:p>
    <w:p w:rsidR="00812D16" w:rsidRPr="00C65506" w:rsidRDefault="00812D16" w:rsidP="00496272">
      <w:pPr>
        <w:ind w:right="113"/>
        <w:rPr>
          <w:noProof/>
          <w:szCs w:val="22"/>
          <w:lang w:val="fr-FR"/>
        </w:rPr>
      </w:pPr>
    </w:p>
    <w:p w:rsidR="001109F3" w:rsidRPr="00C65506" w:rsidRDefault="001109F3" w:rsidP="001109F3">
      <w:pPr>
        <w:ind w:right="113"/>
        <w:rPr>
          <w:noProof/>
          <w:szCs w:val="24"/>
          <w:lang w:val="fr-FR" w:bidi="yi-Hebr"/>
        </w:rPr>
      </w:pPr>
      <w:r w:rsidRPr="00C65506">
        <w:rPr>
          <w:szCs w:val="24"/>
          <w:lang w:val="fr-FR" w:bidi="yi-Hebr"/>
        </w:rPr>
        <w:t>Lot</w:t>
      </w:r>
    </w:p>
    <w:p w:rsidR="00812D16" w:rsidRPr="00C65506" w:rsidRDefault="00812D16" w:rsidP="00496272">
      <w:pPr>
        <w:ind w:right="113"/>
        <w:rPr>
          <w:noProof/>
          <w:szCs w:val="22"/>
          <w:lang w:val="fr-FR"/>
        </w:rPr>
      </w:pPr>
    </w:p>
    <w:p w:rsidR="006D0A2F" w:rsidRPr="00C65506" w:rsidRDefault="006D0A2F" w:rsidP="00496272">
      <w:pPr>
        <w:ind w:right="113"/>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5.</w:t>
      </w:r>
      <w:r w:rsidRPr="00C65506">
        <w:rPr>
          <w:b/>
          <w:noProof/>
          <w:szCs w:val="24"/>
          <w:lang w:val="fr-FR" w:bidi="yi-Hebr"/>
        </w:rPr>
        <w:tab/>
      </w:r>
      <w:r w:rsidRPr="00C65506">
        <w:rPr>
          <w:b/>
          <w:szCs w:val="24"/>
          <w:lang w:val="fr-FR" w:bidi="yi-Hebr"/>
        </w:rPr>
        <w:t>CONTENU EN POIDS, VOLUME OU UNITÉ</w:t>
      </w:r>
    </w:p>
    <w:p w:rsidR="00812D16" w:rsidRPr="00C65506" w:rsidRDefault="00812D16" w:rsidP="00496272">
      <w:pPr>
        <w:ind w:right="113"/>
        <w:rPr>
          <w:noProof/>
          <w:szCs w:val="22"/>
          <w:lang w:val="fr-FR"/>
        </w:rPr>
      </w:pPr>
    </w:p>
    <w:p w:rsidR="001109F3" w:rsidRPr="00C65506" w:rsidRDefault="001109F3" w:rsidP="001109F3">
      <w:pPr>
        <w:ind w:right="113"/>
        <w:rPr>
          <w:noProof/>
          <w:szCs w:val="24"/>
          <w:lang w:val="fr-FR" w:bidi="yi-Hebr"/>
        </w:rPr>
      </w:pPr>
      <w:r w:rsidRPr="00C65506">
        <w:rPr>
          <w:szCs w:val="24"/>
          <w:lang w:val="fr-FR" w:bidi="yi-Hebr"/>
        </w:rPr>
        <w:t>0,5 mL</w:t>
      </w:r>
    </w:p>
    <w:p w:rsidR="00812D16" w:rsidRPr="00C65506" w:rsidRDefault="00812D16" w:rsidP="00496272">
      <w:pPr>
        <w:ind w:right="113"/>
        <w:rPr>
          <w:noProof/>
          <w:szCs w:val="22"/>
          <w:lang w:val="fr-FR"/>
        </w:rPr>
      </w:pPr>
    </w:p>
    <w:p w:rsidR="006D0A2F" w:rsidRPr="00C65506" w:rsidRDefault="006D0A2F" w:rsidP="00496272">
      <w:pPr>
        <w:ind w:right="113"/>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6.</w:t>
      </w:r>
      <w:r w:rsidRPr="00C65506">
        <w:rPr>
          <w:b/>
          <w:noProof/>
          <w:szCs w:val="24"/>
          <w:lang w:val="fr-FR" w:bidi="yi-Hebr"/>
        </w:rPr>
        <w:tab/>
      </w:r>
      <w:r w:rsidRPr="00C65506">
        <w:rPr>
          <w:b/>
          <w:szCs w:val="24"/>
          <w:lang w:val="fr-FR" w:bidi="yi-Hebr"/>
        </w:rPr>
        <w:t>AUTRE</w:t>
      </w:r>
    </w:p>
    <w:p w:rsidR="00812D16" w:rsidRPr="00C65506" w:rsidRDefault="00812D16" w:rsidP="00496272">
      <w:pPr>
        <w:ind w:right="113"/>
        <w:rPr>
          <w:noProof/>
          <w:szCs w:val="22"/>
          <w:lang w:val="fr-FR"/>
        </w:rPr>
      </w:pPr>
    </w:p>
    <w:p w:rsidR="00CB3280" w:rsidRPr="00C65506" w:rsidRDefault="00CB3280" w:rsidP="00496272">
      <w:pPr>
        <w:ind w:right="113"/>
        <w:rPr>
          <w:noProof/>
          <w:szCs w:val="22"/>
          <w:lang w:val="fr-FR"/>
        </w:rPr>
      </w:pPr>
    </w:p>
    <w:p w:rsidR="00CB3280" w:rsidRPr="00C65506" w:rsidRDefault="00CB3280" w:rsidP="00496272">
      <w:pPr>
        <w:ind w:right="113"/>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rPr>
          <w:b/>
          <w:noProof/>
          <w:szCs w:val="24"/>
          <w:lang w:val="fr-FR" w:bidi="yi-Hebr"/>
        </w:rPr>
      </w:pPr>
      <w:r w:rsidRPr="00C65506">
        <w:rPr>
          <w:noProof/>
          <w:szCs w:val="24"/>
          <w:lang w:val="fr-FR" w:bidi="yi-Hebr"/>
        </w:rPr>
        <w:br w:type="page"/>
      </w:r>
      <w:r w:rsidRPr="00C65506">
        <w:rPr>
          <w:b/>
          <w:szCs w:val="24"/>
          <w:lang w:val="fr-FR" w:bidi="yi-Hebr"/>
        </w:rPr>
        <w:lastRenderedPageBreak/>
        <w:t>MENTIONS MINIMALES DEVANT FIGURER SUR LES PETITS CONDITIONNEMENTS PRIMAIRES</w:t>
      </w:r>
    </w:p>
    <w:p w:rsidR="006D0A2F" w:rsidRPr="00C65506" w:rsidRDefault="006D0A2F" w:rsidP="00496272">
      <w:pPr>
        <w:pBdr>
          <w:top w:val="single" w:sz="4" w:space="1" w:color="auto"/>
          <w:left w:val="single" w:sz="4" w:space="4" w:color="auto"/>
          <w:bottom w:val="single" w:sz="4" w:space="1" w:color="auto"/>
          <w:right w:val="single" w:sz="4" w:space="4" w:color="auto"/>
        </w:pBdr>
        <w:rPr>
          <w:b/>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rPr>
          <w:b/>
          <w:noProof/>
          <w:szCs w:val="24"/>
          <w:lang w:val="fr-FR" w:bidi="yi-Hebr"/>
        </w:rPr>
      </w:pPr>
      <w:r w:rsidRPr="00C65506">
        <w:rPr>
          <w:b/>
          <w:szCs w:val="24"/>
          <w:lang w:val="fr-FR" w:bidi="yi-Hebr"/>
        </w:rPr>
        <w:t>CARTOUCHE</w:t>
      </w:r>
    </w:p>
    <w:p w:rsidR="006D0A2F" w:rsidRPr="00C65506" w:rsidRDefault="006D0A2F" w:rsidP="00496272">
      <w:pPr>
        <w:rPr>
          <w:noProof/>
          <w:szCs w:val="22"/>
          <w:lang w:val="fr-FR"/>
        </w:rPr>
      </w:pPr>
    </w:p>
    <w:p w:rsidR="006D0A2F" w:rsidRPr="00C65506" w:rsidRDefault="006D0A2F"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1.</w:t>
      </w:r>
      <w:r w:rsidRPr="00C65506">
        <w:rPr>
          <w:b/>
          <w:noProof/>
          <w:szCs w:val="24"/>
          <w:lang w:val="fr-FR" w:bidi="yi-Hebr"/>
        </w:rPr>
        <w:tab/>
      </w:r>
      <w:r w:rsidRPr="00C65506">
        <w:rPr>
          <w:b/>
          <w:szCs w:val="24"/>
          <w:lang w:val="fr-FR" w:bidi="yi-Hebr"/>
        </w:rPr>
        <w:t>DÉNOMINATION DU MÉDICAMENT ET VOIE(S) D’ADMINISTRATION</w:t>
      </w:r>
    </w:p>
    <w:p w:rsidR="006D0A2F" w:rsidRPr="00C65506" w:rsidRDefault="006D0A2F" w:rsidP="00496272">
      <w:pPr>
        <w:ind w:left="567" w:hanging="567"/>
        <w:rPr>
          <w:noProof/>
          <w:szCs w:val="22"/>
          <w:lang w:val="fr-FR"/>
        </w:rPr>
      </w:pPr>
    </w:p>
    <w:p w:rsidR="001109F3" w:rsidRPr="00C65506" w:rsidRDefault="001109F3" w:rsidP="001109F3">
      <w:pPr>
        <w:autoSpaceDE w:val="0"/>
        <w:autoSpaceDN w:val="0"/>
        <w:adjustRightInd w:val="0"/>
        <w:jc w:val="both"/>
        <w:rPr>
          <w:noProof/>
          <w:color w:val="000000"/>
          <w:szCs w:val="24"/>
          <w:lang w:val="fr-FR" w:bidi="yi-Hebr"/>
        </w:rPr>
      </w:pPr>
      <w:r w:rsidRPr="00C65506">
        <w:rPr>
          <w:color w:val="000000"/>
          <w:szCs w:val="24"/>
          <w:lang w:val="fr-FR" w:bidi="yi-Hebr"/>
        </w:rPr>
        <w:t>Ovaleap 450 UI/0,75 mL pour injection</w:t>
      </w:r>
    </w:p>
    <w:p w:rsidR="006D0A2F" w:rsidRPr="00C65506" w:rsidRDefault="006D0A2F" w:rsidP="00496272">
      <w:pPr>
        <w:rPr>
          <w:noProof/>
          <w:szCs w:val="22"/>
          <w:lang w:val="fr-FR"/>
        </w:rPr>
      </w:pPr>
    </w:p>
    <w:p w:rsidR="001109F3" w:rsidRPr="00C65506" w:rsidRDefault="00D233C1" w:rsidP="001109F3">
      <w:pPr>
        <w:rPr>
          <w:noProof/>
          <w:szCs w:val="24"/>
          <w:lang w:val="fr-FR" w:bidi="yi-Hebr"/>
        </w:rPr>
      </w:pPr>
      <w:r w:rsidRPr="00C65506">
        <w:rPr>
          <w:color w:val="000000"/>
          <w:szCs w:val="24"/>
          <w:lang w:val="fr-FR" w:bidi="yi-Hebr"/>
        </w:rPr>
        <w:t>f</w:t>
      </w:r>
      <w:r w:rsidR="001109F3" w:rsidRPr="00C65506">
        <w:rPr>
          <w:color w:val="000000"/>
          <w:szCs w:val="24"/>
          <w:lang w:val="fr-FR" w:bidi="yi-Hebr"/>
        </w:rPr>
        <w:t>ollitropine alfa</w:t>
      </w:r>
    </w:p>
    <w:p w:rsidR="006D0A2F" w:rsidRPr="00C65506" w:rsidRDefault="006D0A2F" w:rsidP="00496272">
      <w:pPr>
        <w:rPr>
          <w:noProof/>
          <w:szCs w:val="22"/>
          <w:lang w:val="fr-FR"/>
        </w:rPr>
      </w:pPr>
    </w:p>
    <w:p w:rsidR="001109F3" w:rsidRPr="00C65506" w:rsidRDefault="001109F3" w:rsidP="001109F3">
      <w:pPr>
        <w:rPr>
          <w:noProof/>
          <w:szCs w:val="24"/>
          <w:lang w:val="fr-FR" w:bidi="yi-Hebr"/>
        </w:rPr>
      </w:pPr>
      <w:r w:rsidRPr="00C65506">
        <w:rPr>
          <w:szCs w:val="24"/>
          <w:lang w:val="fr-FR" w:bidi="yi-Hebr"/>
        </w:rPr>
        <w:t>SC</w:t>
      </w:r>
    </w:p>
    <w:p w:rsidR="006D0A2F" w:rsidRPr="00C65506" w:rsidRDefault="006D0A2F" w:rsidP="00496272">
      <w:pPr>
        <w:rPr>
          <w:noProof/>
          <w:szCs w:val="22"/>
          <w:lang w:val="fr-FR"/>
        </w:rPr>
      </w:pPr>
    </w:p>
    <w:p w:rsidR="006D0A2F" w:rsidRPr="00C65506" w:rsidRDefault="006D0A2F"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2.</w:t>
      </w:r>
      <w:r w:rsidRPr="00C65506">
        <w:rPr>
          <w:b/>
          <w:noProof/>
          <w:szCs w:val="24"/>
          <w:lang w:val="fr-FR" w:bidi="yi-Hebr"/>
        </w:rPr>
        <w:tab/>
      </w:r>
      <w:r w:rsidRPr="00C65506">
        <w:rPr>
          <w:b/>
          <w:szCs w:val="24"/>
          <w:lang w:val="fr-FR" w:bidi="yi-Hebr"/>
        </w:rPr>
        <w:t>MODE D’ADMINISTRATION</w:t>
      </w:r>
    </w:p>
    <w:p w:rsidR="006D0A2F" w:rsidRPr="00C65506" w:rsidRDefault="006D0A2F" w:rsidP="00496272">
      <w:pPr>
        <w:rPr>
          <w:noProof/>
          <w:szCs w:val="22"/>
          <w:lang w:val="fr-FR"/>
        </w:rPr>
      </w:pPr>
    </w:p>
    <w:p w:rsidR="00D43E3D" w:rsidRPr="00C65506" w:rsidRDefault="00D43E3D" w:rsidP="00496272">
      <w:pPr>
        <w:rPr>
          <w:noProof/>
          <w:szCs w:val="22"/>
          <w:lang w:val="fr-FR"/>
        </w:rPr>
      </w:pPr>
    </w:p>
    <w:p w:rsidR="006D0A2F" w:rsidRPr="00C65506" w:rsidRDefault="006D0A2F"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3.</w:t>
      </w:r>
      <w:r w:rsidRPr="00C65506">
        <w:rPr>
          <w:b/>
          <w:noProof/>
          <w:szCs w:val="24"/>
          <w:lang w:val="fr-FR" w:bidi="yi-Hebr"/>
        </w:rPr>
        <w:tab/>
      </w:r>
      <w:r w:rsidRPr="00C65506">
        <w:rPr>
          <w:b/>
          <w:szCs w:val="24"/>
          <w:lang w:val="fr-FR" w:bidi="yi-Hebr"/>
        </w:rPr>
        <w:t>DATE DE PÉREMPTION</w:t>
      </w:r>
    </w:p>
    <w:p w:rsidR="006D0A2F" w:rsidRPr="00C65506" w:rsidRDefault="006D0A2F" w:rsidP="00496272">
      <w:pPr>
        <w:rPr>
          <w:noProof/>
          <w:szCs w:val="22"/>
          <w:lang w:val="fr-FR"/>
        </w:rPr>
      </w:pPr>
    </w:p>
    <w:p w:rsidR="001109F3" w:rsidRPr="00C65506" w:rsidRDefault="001109F3" w:rsidP="001109F3">
      <w:pPr>
        <w:rPr>
          <w:noProof/>
          <w:szCs w:val="24"/>
          <w:lang w:val="fr-FR" w:bidi="yi-Hebr"/>
        </w:rPr>
      </w:pPr>
      <w:r w:rsidRPr="00C65506">
        <w:rPr>
          <w:szCs w:val="24"/>
          <w:lang w:val="fr-FR" w:bidi="yi-Hebr"/>
        </w:rPr>
        <w:t>EXP</w:t>
      </w:r>
    </w:p>
    <w:p w:rsidR="006D0A2F" w:rsidRPr="00C65506" w:rsidRDefault="006D0A2F" w:rsidP="00496272">
      <w:pPr>
        <w:rPr>
          <w:noProof/>
          <w:szCs w:val="22"/>
          <w:lang w:val="fr-FR"/>
        </w:rPr>
      </w:pPr>
    </w:p>
    <w:p w:rsidR="006D0A2F" w:rsidRPr="00C65506" w:rsidRDefault="006D0A2F"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4.</w:t>
      </w:r>
      <w:r w:rsidRPr="00C65506">
        <w:rPr>
          <w:b/>
          <w:noProof/>
          <w:szCs w:val="24"/>
          <w:lang w:val="fr-FR" w:bidi="yi-Hebr"/>
        </w:rPr>
        <w:tab/>
      </w:r>
      <w:r w:rsidRPr="00C65506">
        <w:rPr>
          <w:b/>
          <w:szCs w:val="24"/>
          <w:lang w:val="fr-FR" w:bidi="yi-Hebr"/>
        </w:rPr>
        <w:t>NUMÉRO DU LOT</w:t>
      </w:r>
    </w:p>
    <w:p w:rsidR="006D0A2F" w:rsidRPr="00C65506" w:rsidRDefault="006D0A2F" w:rsidP="00496272">
      <w:pPr>
        <w:ind w:right="113"/>
        <w:rPr>
          <w:noProof/>
          <w:szCs w:val="22"/>
          <w:lang w:val="fr-FR"/>
        </w:rPr>
      </w:pPr>
    </w:p>
    <w:p w:rsidR="001109F3" w:rsidRPr="00C65506" w:rsidRDefault="001109F3" w:rsidP="001109F3">
      <w:pPr>
        <w:ind w:right="113"/>
        <w:rPr>
          <w:noProof/>
          <w:szCs w:val="24"/>
          <w:lang w:val="fr-FR" w:bidi="yi-Hebr"/>
        </w:rPr>
      </w:pPr>
      <w:r w:rsidRPr="00C65506">
        <w:rPr>
          <w:szCs w:val="24"/>
          <w:lang w:val="fr-FR" w:bidi="yi-Hebr"/>
        </w:rPr>
        <w:t>Lot</w:t>
      </w:r>
    </w:p>
    <w:p w:rsidR="006D0A2F" w:rsidRPr="00C65506" w:rsidRDefault="006D0A2F" w:rsidP="00496272">
      <w:pPr>
        <w:ind w:right="113"/>
        <w:rPr>
          <w:noProof/>
          <w:szCs w:val="22"/>
          <w:lang w:val="fr-FR"/>
        </w:rPr>
      </w:pPr>
    </w:p>
    <w:p w:rsidR="00D43E3D" w:rsidRPr="00C65506" w:rsidRDefault="00D43E3D" w:rsidP="00496272">
      <w:pPr>
        <w:ind w:right="113"/>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5.</w:t>
      </w:r>
      <w:r w:rsidRPr="00C65506">
        <w:rPr>
          <w:b/>
          <w:noProof/>
          <w:szCs w:val="24"/>
          <w:lang w:val="fr-FR" w:bidi="yi-Hebr"/>
        </w:rPr>
        <w:tab/>
      </w:r>
      <w:r w:rsidRPr="00C65506">
        <w:rPr>
          <w:b/>
          <w:szCs w:val="24"/>
          <w:lang w:val="fr-FR" w:bidi="yi-Hebr"/>
        </w:rPr>
        <w:t>CONTENU EN POIDS, VOLUME OU UNITÉ</w:t>
      </w:r>
    </w:p>
    <w:p w:rsidR="006D0A2F" w:rsidRPr="00C65506" w:rsidRDefault="006D0A2F" w:rsidP="00496272">
      <w:pPr>
        <w:ind w:right="113"/>
        <w:rPr>
          <w:noProof/>
          <w:szCs w:val="22"/>
          <w:lang w:val="fr-FR"/>
        </w:rPr>
      </w:pPr>
    </w:p>
    <w:p w:rsidR="001109F3" w:rsidRPr="00C65506" w:rsidRDefault="001109F3" w:rsidP="001109F3">
      <w:pPr>
        <w:ind w:right="113"/>
        <w:rPr>
          <w:noProof/>
          <w:szCs w:val="24"/>
          <w:lang w:val="fr-FR" w:bidi="yi-Hebr"/>
        </w:rPr>
      </w:pPr>
      <w:r w:rsidRPr="00C65506">
        <w:rPr>
          <w:szCs w:val="24"/>
          <w:lang w:val="fr-FR" w:bidi="yi-Hebr"/>
        </w:rPr>
        <w:t>0,75 mL</w:t>
      </w:r>
    </w:p>
    <w:p w:rsidR="006D0A2F" w:rsidRPr="00C65506" w:rsidRDefault="006D0A2F" w:rsidP="00496272">
      <w:pPr>
        <w:ind w:right="113"/>
        <w:rPr>
          <w:noProof/>
          <w:szCs w:val="22"/>
          <w:lang w:val="fr-FR"/>
        </w:rPr>
      </w:pPr>
    </w:p>
    <w:p w:rsidR="006D0A2F" w:rsidRPr="00C65506" w:rsidRDefault="006D0A2F" w:rsidP="00496272">
      <w:pPr>
        <w:ind w:right="113"/>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6.</w:t>
      </w:r>
      <w:r w:rsidRPr="00C65506">
        <w:rPr>
          <w:b/>
          <w:noProof/>
          <w:szCs w:val="24"/>
          <w:lang w:val="fr-FR" w:bidi="yi-Hebr"/>
        </w:rPr>
        <w:tab/>
      </w:r>
      <w:r w:rsidRPr="00C65506">
        <w:rPr>
          <w:b/>
          <w:szCs w:val="24"/>
          <w:lang w:val="fr-FR" w:bidi="yi-Hebr"/>
        </w:rPr>
        <w:t>AUTRE</w:t>
      </w:r>
    </w:p>
    <w:p w:rsidR="006D0A2F" w:rsidRPr="00C65506" w:rsidRDefault="006D0A2F" w:rsidP="00496272">
      <w:pPr>
        <w:ind w:right="113"/>
        <w:rPr>
          <w:noProof/>
          <w:szCs w:val="22"/>
          <w:lang w:val="fr-FR"/>
        </w:rPr>
      </w:pPr>
    </w:p>
    <w:p w:rsidR="00CB3280" w:rsidRPr="00C65506" w:rsidRDefault="00CB3280" w:rsidP="00496272">
      <w:pPr>
        <w:ind w:right="113"/>
        <w:rPr>
          <w:noProof/>
          <w:szCs w:val="22"/>
          <w:lang w:val="fr-FR"/>
        </w:rPr>
      </w:pPr>
    </w:p>
    <w:p w:rsidR="00CB3280" w:rsidRPr="00C65506" w:rsidRDefault="00CB3280" w:rsidP="00496272">
      <w:pPr>
        <w:ind w:right="113"/>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rPr>
          <w:b/>
          <w:noProof/>
          <w:szCs w:val="24"/>
          <w:lang w:val="fr-FR" w:bidi="yi-Hebr"/>
        </w:rPr>
      </w:pPr>
      <w:r w:rsidRPr="00C65506">
        <w:rPr>
          <w:noProof/>
          <w:szCs w:val="24"/>
          <w:lang w:val="fr-FR" w:bidi="yi-Hebr"/>
        </w:rPr>
        <w:br w:type="page"/>
      </w:r>
      <w:r w:rsidRPr="00C65506">
        <w:rPr>
          <w:b/>
          <w:szCs w:val="24"/>
          <w:lang w:val="fr-FR" w:bidi="yi-Hebr"/>
        </w:rPr>
        <w:lastRenderedPageBreak/>
        <w:t>MENTIONS MINIMALES DEVANT FIGURER SUR LES PETITS CONDITIONNEMENTS PRIMAIRES</w:t>
      </w:r>
    </w:p>
    <w:p w:rsidR="006D0A2F" w:rsidRPr="00C65506" w:rsidRDefault="006D0A2F" w:rsidP="00496272">
      <w:pPr>
        <w:pBdr>
          <w:top w:val="single" w:sz="4" w:space="1" w:color="auto"/>
          <w:left w:val="single" w:sz="4" w:space="4" w:color="auto"/>
          <w:bottom w:val="single" w:sz="4" w:space="1" w:color="auto"/>
          <w:right w:val="single" w:sz="4" w:space="4" w:color="auto"/>
        </w:pBdr>
        <w:rPr>
          <w:b/>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rPr>
          <w:b/>
          <w:noProof/>
          <w:szCs w:val="24"/>
          <w:lang w:val="fr-FR" w:bidi="yi-Hebr"/>
        </w:rPr>
      </w:pPr>
      <w:r w:rsidRPr="00C65506">
        <w:rPr>
          <w:b/>
          <w:szCs w:val="24"/>
          <w:lang w:val="fr-FR" w:bidi="yi-Hebr"/>
        </w:rPr>
        <w:t>CARTOUCHE</w:t>
      </w:r>
    </w:p>
    <w:p w:rsidR="006D0A2F" w:rsidRPr="00C65506" w:rsidRDefault="006D0A2F" w:rsidP="00496272">
      <w:pPr>
        <w:rPr>
          <w:noProof/>
          <w:szCs w:val="22"/>
          <w:lang w:val="fr-FR"/>
        </w:rPr>
      </w:pPr>
    </w:p>
    <w:p w:rsidR="006D0A2F" w:rsidRPr="00C65506" w:rsidRDefault="006D0A2F"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1.</w:t>
      </w:r>
      <w:r w:rsidRPr="00C65506">
        <w:rPr>
          <w:b/>
          <w:noProof/>
          <w:szCs w:val="24"/>
          <w:lang w:val="fr-FR" w:bidi="yi-Hebr"/>
        </w:rPr>
        <w:tab/>
      </w:r>
      <w:r w:rsidRPr="00C65506">
        <w:rPr>
          <w:b/>
          <w:szCs w:val="24"/>
          <w:lang w:val="fr-FR" w:bidi="yi-Hebr"/>
        </w:rPr>
        <w:t>DÉNOMINATION DU MÉDICAMENT ET VOIE(S) D’ADMINISTRATION</w:t>
      </w:r>
    </w:p>
    <w:p w:rsidR="006D0A2F" w:rsidRPr="00C65506" w:rsidRDefault="006D0A2F" w:rsidP="00496272">
      <w:pPr>
        <w:ind w:left="567" w:hanging="567"/>
        <w:rPr>
          <w:noProof/>
          <w:szCs w:val="22"/>
          <w:lang w:val="fr-FR"/>
        </w:rPr>
      </w:pPr>
    </w:p>
    <w:p w:rsidR="001109F3" w:rsidRPr="00C65506" w:rsidRDefault="001109F3" w:rsidP="001109F3">
      <w:pPr>
        <w:autoSpaceDE w:val="0"/>
        <w:autoSpaceDN w:val="0"/>
        <w:adjustRightInd w:val="0"/>
        <w:jc w:val="both"/>
        <w:rPr>
          <w:noProof/>
          <w:color w:val="000000"/>
          <w:szCs w:val="24"/>
          <w:lang w:val="fr-FR" w:bidi="yi-Hebr"/>
        </w:rPr>
      </w:pPr>
      <w:r w:rsidRPr="00C65506">
        <w:rPr>
          <w:color w:val="000000"/>
          <w:szCs w:val="24"/>
          <w:lang w:val="fr-FR" w:bidi="yi-Hebr"/>
        </w:rPr>
        <w:t>Ovaleap 900 UI/1,5 mL pour injection</w:t>
      </w:r>
    </w:p>
    <w:p w:rsidR="006D0A2F" w:rsidRPr="00C65506" w:rsidRDefault="006D0A2F" w:rsidP="00496272">
      <w:pPr>
        <w:rPr>
          <w:noProof/>
          <w:szCs w:val="22"/>
          <w:lang w:val="fr-FR"/>
        </w:rPr>
      </w:pPr>
    </w:p>
    <w:p w:rsidR="001109F3" w:rsidRPr="00C65506" w:rsidRDefault="00EE75A1" w:rsidP="001109F3">
      <w:pPr>
        <w:rPr>
          <w:noProof/>
          <w:szCs w:val="24"/>
          <w:lang w:val="fr-FR" w:bidi="yi-Hebr"/>
        </w:rPr>
      </w:pPr>
      <w:r w:rsidRPr="00C65506">
        <w:rPr>
          <w:color w:val="000000"/>
          <w:szCs w:val="24"/>
          <w:lang w:val="fr-FR" w:bidi="yi-Hebr"/>
        </w:rPr>
        <w:t>f</w:t>
      </w:r>
      <w:r w:rsidR="001109F3" w:rsidRPr="00C65506">
        <w:rPr>
          <w:color w:val="000000"/>
          <w:szCs w:val="24"/>
          <w:lang w:val="fr-FR" w:bidi="yi-Hebr"/>
        </w:rPr>
        <w:t>ollitropine alfa</w:t>
      </w:r>
    </w:p>
    <w:p w:rsidR="006D0A2F" w:rsidRPr="00C65506" w:rsidRDefault="006D0A2F" w:rsidP="00496272">
      <w:pPr>
        <w:rPr>
          <w:noProof/>
          <w:szCs w:val="22"/>
          <w:lang w:val="fr-FR"/>
        </w:rPr>
      </w:pPr>
    </w:p>
    <w:p w:rsidR="001109F3" w:rsidRPr="00C65506" w:rsidRDefault="001109F3" w:rsidP="001109F3">
      <w:pPr>
        <w:rPr>
          <w:noProof/>
          <w:szCs w:val="24"/>
          <w:lang w:val="fr-FR" w:bidi="yi-Hebr"/>
        </w:rPr>
      </w:pPr>
      <w:r w:rsidRPr="00C65506">
        <w:rPr>
          <w:szCs w:val="24"/>
          <w:lang w:val="fr-FR" w:bidi="yi-Hebr"/>
        </w:rPr>
        <w:t>SC</w:t>
      </w:r>
    </w:p>
    <w:p w:rsidR="006D0A2F" w:rsidRPr="00C65506" w:rsidRDefault="006D0A2F" w:rsidP="00496272">
      <w:pPr>
        <w:rPr>
          <w:noProof/>
          <w:szCs w:val="22"/>
          <w:lang w:val="fr-FR"/>
        </w:rPr>
      </w:pPr>
    </w:p>
    <w:p w:rsidR="006D0A2F" w:rsidRPr="00C65506" w:rsidRDefault="006D0A2F"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2.</w:t>
      </w:r>
      <w:r w:rsidRPr="00C65506">
        <w:rPr>
          <w:b/>
          <w:noProof/>
          <w:szCs w:val="24"/>
          <w:lang w:val="fr-FR" w:bidi="yi-Hebr"/>
        </w:rPr>
        <w:tab/>
      </w:r>
      <w:r w:rsidRPr="00C65506">
        <w:rPr>
          <w:b/>
          <w:szCs w:val="24"/>
          <w:lang w:val="fr-FR" w:bidi="yi-Hebr"/>
        </w:rPr>
        <w:t>MODE D’ADMINISTRATION</w:t>
      </w:r>
    </w:p>
    <w:p w:rsidR="006D0A2F" w:rsidRPr="00C65506" w:rsidRDefault="006D0A2F" w:rsidP="00496272">
      <w:pPr>
        <w:rPr>
          <w:noProof/>
          <w:szCs w:val="22"/>
          <w:lang w:val="fr-FR"/>
        </w:rPr>
      </w:pPr>
    </w:p>
    <w:p w:rsidR="00D43E3D" w:rsidRPr="00C65506" w:rsidRDefault="00D43E3D" w:rsidP="00496272">
      <w:pPr>
        <w:rPr>
          <w:noProof/>
          <w:szCs w:val="22"/>
          <w:lang w:val="fr-FR"/>
        </w:rPr>
      </w:pPr>
    </w:p>
    <w:p w:rsidR="006D0A2F" w:rsidRPr="00C65506" w:rsidRDefault="006D0A2F"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3.</w:t>
      </w:r>
      <w:r w:rsidRPr="00C65506">
        <w:rPr>
          <w:b/>
          <w:noProof/>
          <w:szCs w:val="24"/>
          <w:lang w:val="fr-FR" w:bidi="yi-Hebr"/>
        </w:rPr>
        <w:tab/>
      </w:r>
      <w:r w:rsidRPr="00C65506">
        <w:rPr>
          <w:b/>
          <w:szCs w:val="24"/>
          <w:lang w:val="fr-FR" w:bidi="yi-Hebr"/>
        </w:rPr>
        <w:t>DATE DE PÉREMPTION</w:t>
      </w:r>
    </w:p>
    <w:p w:rsidR="006D0A2F" w:rsidRPr="00C65506" w:rsidRDefault="006D0A2F" w:rsidP="00496272">
      <w:pPr>
        <w:rPr>
          <w:noProof/>
          <w:szCs w:val="22"/>
          <w:lang w:val="fr-FR"/>
        </w:rPr>
      </w:pPr>
    </w:p>
    <w:p w:rsidR="001109F3" w:rsidRPr="00C65506" w:rsidRDefault="001109F3" w:rsidP="001109F3">
      <w:pPr>
        <w:rPr>
          <w:noProof/>
          <w:szCs w:val="24"/>
          <w:lang w:val="fr-FR" w:bidi="yi-Hebr"/>
        </w:rPr>
      </w:pPr>
      <w:r w:rsidRPr="00C65506">
        <w:rPr>
          <w:szCs w:val="24"/>
          <w:lang w:val="fr-FR" w:bidi="yi-Hebr"/>
        </w:rPr>
        <w:t>EXP</w:t>
      </w:r>
    </w:p>
    <w:p w:rsidR="006D0A2F" w:rsidRPr="00C65506" w:rsidRDefault="006D0A2F" w:rsidP="00496272">
      <w:pPr>
        <w:rPr>
          <w:noProof/>
          <w:szCs w:val="22"/>
          <w:lang w:val="fr-FR"/>
        </w:rPr>
      </w:pPr>
    </w:p>
    <w:p w:rsidR="006D0A2F" w:rsidRPr="00C65506" w:rsidRDefault="006D0A2F" w:rsidP="00496272">
      <w:pPr>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4.</w:t>
      </w:r>
      <w:r w:rsidRPr="00C65506">
        <w:rPr>
          <w:b/>
          <w:noProof/>
          <w:szCs w:val="24"/>
          <w:lang w:val="fr-FR" w:bidi="yi-Hebr"/>
        </w:rPr>
        <w:tab/>
      </w:r>
      <w:r w:rsidRPr="00C65506">
        <w:rPr>
          <w:b/>
          <w:szCs w:val="24"/>
          <w:lang w:val="fr-FR" w:bidi="yi-Hebr"/>
        </w:rPr>
        <w:t>NUMÉRO DU LOT</w:t>
      </w:r>
    </w:p>
    <w:p w:rsidR="006D0A2F" w:rsidRPr="00C65506" w:rsidRDefault="006D0A2F" w:rsidP="00496272">
      <w:pPr>
        <w:ind w:right="113"/>
        <w:rPr>
          <w:noProof/>
          <w:szCs w:val="22"/>
          <w:lang w:val="fr-FR"/>
        </w:rPr>
      </w:pPr>
    </w:p>
    <w:p w:rsidR="001109F3" w:rsidRPr="00C65506" w:rsidRDefault="001109F3" w:rsidP="001109F3">
      <w:pPr>
        <w:ind w:right="113"/>
        <w:rPr>
          <w:noProof/>
          <w:szCs w:val="24"/>
          <w:lang w:val="fr-FR" w:bidi="yi-Hebr"/>
        </w:rPr>
      </w:pPr>
      <w:r w:rsidRPr="00C65506">
        <w:rPr>
          <w:szCs w:val="24"/>
          <w:lang w:val="fr-FR" w:bidi="yi-Hebr"/>
        </w:rPr>
        <w:t>Lot</w:t>
      </w:r>
    </w:p>
    <w:p w:rsidR="006D0A2F" w:rsidRPr="00C65506" w:rsidRDefault="006D0A2F" w:rsidP="00496272">
      <w:pPr>
        <w:ind w:right="113"/>
        <w:rPr>
          <w:noProof/>
          <w:szCs w:val="22"/>
          <w:lang w:val="fr-FR"/>
        </w:rPr>
      </w:pPr>
    </w:p>
    <w:p w:rsidR="006D0A2F" w:rsidRPr="00C65506" w:rsidRDefault="006D0A2F" w:rsidP="00496272">
      <w:pPr>
        <w:ind w:right="113"/>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5.</w:t>
      </w:r>
      <w:r w:rsidRPr="00C65506">
        <w:rPr>
          <w:b/>
          <w:noProof/>
          <w:szCs w:val="24"/>
          <w:lang w:val="fr-FR" w:bidi="yi-Hebr"/>
        </w:rPr>
        <w:tab/>
      </w:r>
      <w:r w:rsidRPr="00C65506">
        <w:rPr>
          <w:b/>
          <w:szCs w:val="24"/>
          <w:lang w:val="fr-FR" w:bidi="yi-Hebr"/>
        </w:rPr>
        <w:t>CONTENU EN POIDS, VOLUME OU UNITÉ</w:t>
      </w:r>
    </w:p>
    <w:p w:rsidR="006D0A2F" w:rsidRPr="00C65506" w:rsidRDefault="006D0A2F" w:rsidP="00496272">
      <w:pPr>
        <w:ind w:right="113"/>
        <w:rPr>
          <w:noProof/>
          <w:szCs w:val="22"/>
          <w:lang w:val="fr-FR"/>
        </w:rPr>
      </w:pPr>
    </w:p>
    <w:p w:rsidR="001109F3" w:rsidRPr="00C65506" w:rsidRDefault="001109F3" w:rsidP="001109F3">
      <w:pPr>
        <w:ind w:right="113"/>
        <w:rPr>
          <w:noProof/>
          <w:szCs w:val="24"/>
          <w:lang w:val="fr-FR" w:bidi="yi-Hebr"/>
        </w:rPr>
      </w:pPr>
      <w:r w:rsidRPr="00C65506">
        <w:rPr>
          <w:szCs w:val="24"/>
          <w:lang w:val="fr-FR" w:bidi="yi-Hebr"/>
        </w:rPr>
        <w:t>1,5 mL</w:t>
      </w:r>
    </w:p>
    <w:p w:rsidR="006D0A2F" w:rsidRPr="00C65506" w:rsidRDefault="006D0A2F" w:rsidP="00496272">
      <w:pPr>
        <w:ind w:right="113"/>
        <w:rPr>
          <w:noProof/>
          <w:szCs w:val="22"/>
          <w:lang w:val="fr-FR"/>
        </w:rPr>
      </w:pPr>
    </w:p>
    <w:p w:rsidR="006D0A2F" w:rsidRPr="00C65506" w:rsidRDefault="006D0A2F" w:rsidP="00496272">
      <w:pPr>
        <w:ind w:right="113"/>
        <w:rPr>
          <w:noProof/>
          <w:szCs w:val="22"/>
          <w:lang w:val="fr-FR"/>
        </w:rPr>
      </w:pPr>
    </w:p>
    <w:p w:rsidR="001109F3" w:rsidRPr="00C65506" w:rsidRDefault="001109F3" w:rsidP="001109F3">
      <w:pPr>
        <w:pBdr>
          <w:top w:val="single" w:sz="4" w:space="1" w:color="auto"/>
          <w:left w:val="single" w:sz="4" w:space="4" w:color="auto"/>
          <w:bottom w:val="single" w:sz="4" w:space="1" w:color="auto"/>
          <w:right w:val="single" w:sz="4" w:space="4" w:color="auto"/>
        </w:pBdr>
        <w:outlineLvl w:val="0"/>
        <w:rPr>
          <w:b/>
          <w:noProof/>
          <w:szCs w:val="24"/>
          <w:lang w:val="fr-FR" w:bidi="yi-Hebr"/>
        </w:rPr>
      </w:pPr>
      <w:r w:rsidRPr="00C65506">
        <w:rPr>
          <w:b/>
          <w:noProof/>
          <w:szCs w:val="24"/>
          <w:lang w:val="fr-FR" w:bidi="yi-Hebr"/>
        </w:rPr>
        <w:t>6.</w:t>
      </w:r>
      <w:r w:rsidRPr="00C65506">
        <w:rPr>
          <w:b/>
          <w:noProof/>
          <w:szCs w:val="24"/>
          <w:lang w:val="fr-FR" w:bidi="yi-Hebr"/>
        </w:rPr>
        <w:tab/>
      </w:r>
      <w:r w:rsidRPr="00C65506">
        <w:rPr>
          <w:b/>
          <w:szCs w:val="24"/>
          <w:lang w:val="fr-FR" w:bidi="yi-Hebr"/>
        </w:rPr>
        <w:t>AUTRE</w:t>
      </w:r>
    </w:p>
    <w:p w:rsidR="006D0A2F" w:rsidRPr="00C65506" w:rsidRDefault="006D0A2F" w:rsidP="00496272">
      <w:pPr>
        <w:ind w:right="113"/>
        <w:rPr>
          <w:noProof/>
          <w:szCs w:val="22"/>
          <w:lang w:val="fr-FR"/>
        </w:rPr>
      </w:pPr>
    </w:p>
    <w:p w:rsidR="00CB3280" w:rsidRPr="00C65506" w:rsidRDefault="00CB3280" w:rsidP="00496272">
      <w:pPr>
        <w:ind w:right="113"/>
        <w:rPr>
          <w:noProof/>
          <w:szCs w:val="22"/>
          <w:lang w:val="fr-FR"/>
        </w:rPr>
      </w:pPr>
    </w:p>
    <w:p w:rsidR="00CB3280" w:rsidRPr="00C65506" w:rsidRDefault="00CB3280" w:rsidP="00496272">
      <w:pPr>
        <w:ind w:right="113"/>
        <w:rPr>
          <w:noProof/>
          <w:szCs w:val="22"/>
          <w:lang w:val="fr-FR"/>
        </w:rPr>
      </w:pPr>
    </w:p>
    <w:p w:rsidR="00FE401B" w:rsidRPr="00C65506" w:rsidRDefault="0038164A" w:rsidP="00496272">
      <w:pPr>
        <w:jc w:val="center"/>
        <w:rPr>
          <w:b/>
          <w:noProof/>
          <w:lang w:val="fr-FR"/>
        </w:rPr>
      </w:pPr>
      <w:r w:rsidRPr="00C65506">
        <w:rPr>
          <w:noProof/>
          <w:szCs w:val="22"/>
          <w:lang w:val="fr-FR"/>
        </w:rPr>
        <w:br w:type="page"/>
      </w: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FE401B" w:rsidRPr="00C65506" w:rsidRDefault="00FE401B" w:rsidP="00496272">
      <w:pPr>
        <w:jc w:val="center"/>
        <w:outlineLvl w:val="0"/>
        <w:rPr>
          <w:b/>
          <w:noProof/>
          <w:lang w:val="fr-FR"/>
        </w:rPr>
      </w:pPr>
    </w:p>
    <w:p w:rsidR="001109F3" w:rsidRPr="00C65506" w:rsidRDefault="001109F3" w:rsidP="005C2DE9">
      <w:pPr>
        <w:pStyle w:val="TitleA"/>
        <w:rPr>
          <w:lang w:val="fr-FR"/>
        </w:rPr>
      </w:pPr>
      <w:r w:rsidRPr="00C65506">
        <w:rPr>
          <w:lang w:val="fr-FR"/>
        </w:rPr>
        <w:t>B. NOTICE</w:t>
      </w:r>
    </w:p>
    <w:p w:rsidR="003E773E" w:rsidRPr="00C65506" w:rsidRDefault="003E773E" w:rsidP="00496272">
      <w:pPr>
        <w:jc w:val="center"/>
        <w:outlineLvl w:val="0"/>
        <w:rPr>
          <w:b/>
          <w:noProof/>
          <w:lang w:val="fr-FR"/>
        </w:rPr>
      </w:pPr>
    </w:p>
    <w:p w:rsidR="001109F3" w:rsidRPr="00C65506" w:rsidRDefault="001109F3" w:rsidP="001109F3">
      <w:pPr>
        <w:tabs>
          <w:tab w:val="clear" w:pos="567"/>
        </w:tabs>
        <w:jc w:val="center"/>
        <w:outlineLvl w:val="0"/>
        <w:rPr>
          <w:noProof/>
          <w:szCs w:val="24"/>
          <w:lang w:val="fr-FR" w:bidi="yi-Hebr"/>
        </w:rPr>
      </w:pPr>
      <w:r w:rsidRPr="00C65506">
        <w:rPr>
          <w:noProof/>
          <w:szCs w:val="24"/>
          <w:lang w:val="fr-FR" w:bidi="yi-Hebr"/>
        </w:rPr>
        <w:br w:type="page"/>
      </w:r>
      <w:r w:rsidRPr="00C65506">
        <w:rPr>
          <w:b/>
          <w:szCs w:val="24"/>
          <w:lang w:val="fr-FR" w:bidi="yi-Hebr"/>
        </w:rPr>
        <w:lastRenderedPageBreak/>
        <w:t>Notice :</w:t>
      </w:r>
      <w:r w:rsidRPr="00C65506">
        <w:rPr>
          <w:b/>
          <w:noProof/>
          <w:szCs w:val="24"/>
          <w:lang w:val="fr-FR" w:bidi="yi-Hebr"/>
        </w:rPr>
        <w:t xml:space="preserve"> </w:t>
      </w:r>
      <w:r w:rsidR="00E76241" w:rsidRPr="00C65506">
        <w:rPr>
          <w:b/>
          <w:noProof/>
          <w:szCs w:val="24"/>
          <w:lang w:val="fr-FR" w:bidi="yi-Hebr"/>
        </w:rPr>
        <w:t>I</w:t>
      </w:r>
      <w:r w:rsidRPr="00C65506">
        <w:rPr>
          <w:b/>
          <w:szCs w:val="24"/>
          <w:lang w:val="fr-FR" w:bidi="yi-Hebr"/>
        </w:rPr>
        <w:t>nformation de l’utilisateur</w:t>
      </w:r>
    </w:p>
    <w:p w:rsidR="00812D16" w:rsidRPr="00C65506" w:rsidRDefault="00812D16" w:rsidP="00496272">
      <w:pPr>
        <w:numPr>
          <w:ilvl w:val="12"/>
          <w:numId w:val="0"/>
        </w:numPr>
        <w:shd w:val="clear" w:color="auto" w:fill="FFFFFF"/>
        <w:tabs>
          <w:tab w:val="clear" w:pos="567"/>
        </w:tabs>
        <w:jc w:val="center"/>
        <w:rPr>
          <w:noProof/>
          <w:lang w:val="fr-FR"/>
        </w:rPr>
      </w:pPr>
    </w:p>
    <w:p w:rsidR="001109F3" w:rsidRPr="00C65506" w:rsidRDefault="001109F3" w:rsidP="001109F3">
      <w:pPr>
        <w:tabs>
          <w:tab w:val="left" w:pos="993"/>
        </w:tabs>
        <w:jc w:val="center"/>
        <w:outlineLvl w:val="0"/>
        <w:rPr>
          <w:b/>
          <w:noProof/>
          <w:szCs w:val="24"/>
          <w:lang w:val="fr-FR" w:bidi="yi-Hebr"/>
        </w:rPr>
      </w:pPr>
      <w:r w:rsidRPr="00C65506">
        <w:rPr>
          <w:b/>
          <w:szCs w:val="24"/>
          <w:lang w:val="fr-FR" w:bidi="yi-Hebr"/>
        </w:rPr>
        <w:t>Ovaleap 300 UI/0,5 mL solution injectable</w:t>
      </w:r>
    </w:p>
    <w:p w:rsidR="001109F3" w:rsidRPr="00C65506" w:rsidRDefault="001109F3" w:rsidP="001109F3">
      <w:pPr>
        <w:tabs>
          <w:tab w:val="left" w:pos="993"/>
        </w:tabs>
        <w:jc w:val="center"/>
        <w:outlineLvl w:val="0"/>
        <w:rPr>
          <w:b/>
          <w:noProof/>
          <w:szCs w:val="24"/>
          <w:lang w:val="fr-FR" w:bidi="yi-Hebr"/>
        </w:rPr>
      </w:pPr>
      <w:r w:rsidRPr="00C65506">
        <w:rPr>
          <w:b/>
          <w:szCs w:val="24"/>
          <w:lang w:val="fr-FR" w:bidi="yi-Hebr"/>
        </w:rPr>
        <w:t>Ovaleap 450 UI/0,75 mL solution injectable</w:t>
      </w:r>
    </w:p>
    <w:p w:rsidR="001109F3" w:rsidRPr="00C65506" w:rsidRDefault="001109F3" w:rsidP="001109F3">
      <w:pPr>
        <w:tabs>
          <w:tab w:val="left" w:pos="993"/>
        </w:tabs>
        <w:jc w:val="center"/>
        <w:outlineLvl w:val="0"/>
        <w:rPr>
          <w:b/>
          <w:noProof/>
          <w:szCs w:val="24"/>
          <w:lang w:val="fr-FR" w:bidi="yi-Hebr"/>
        </w:rPr>
      </w:pPr>
      <w:r w:rsidRPr="00C65506">
        <w:rPr>
          <w:b/>
          <w:szCs w:val="24"/>
          <w:lang w:val="fr-FR" w:bidi="yi-Hebr"/>
        </w:rPr>
        <w:t>Ovaleap 900 UI/1,5 mL solution injectable</w:t>
      </w:r>
    </w:p>
    <w:p w:rsidR="00812D16" w:rsidRPr="00C65506" w:rsidRDefault="00812D16" w:rsidP="00496272">
      <w:pPr>
        <w:numPr>
          <w:ilvl w:val="12"/>
          <w:numId w:val="0"/>
        </w:numPr>
        <w:tabs>
          <w:tab w:val="clear" w:pos="567"/>
        </w:tabs>
        <w:jc w:val="center"/>
        <w:rPr>
          <w:noProof/>
          <w:lang w:val="fr-FR"/>
        </w:rPr>
      </w:pPr>
    </w:p>
    <w:p w:rsidR="001109F3" w:rsidRPr="00C65506" w:rsidRDefault="00EE75A1" w:rsidP="001109F3">
      <w:pPr>
        <w:numPr>
          <w:ilvl w:val="12"/>
          <w:numId w:val="0"/>
        </w:numPr>
        <w:tabs>
          <w:tab w:val="clear" w:pos="567"/>
        </w:tabs>
        <w:jc w:val="center"/>
        <w:rPr>
          <w:noProof/>
          <w:szCs w:val="24"/>
          <w:lang w:val="fr-FR" w:bidi="yi-Hebr"/>
        </w:rPr>
      </w:pPr>
      <w:r w:rsidRPr="00C65506">
        <w:rPr>
          <w:szCs w:val="24"/>
          <w:lang w:val="fr-FR" w:bidi="yi-Hebr"/>
        </w:rPr>
        <w:t>f</w:t>
      </w:r>
      <w:r w:rsidR="001109F3" w:rsidRPr="00C65506">
        <w:rPr>
          <w:szCs w:val="24"/>
          <w:lang w:val="fr-FR" w:bidi="yi-Hebr"/>
        </w:rPr>
        <w:t>ollitropine alfa</w:t>
      </w:r>
    </w:p>
    <w:p w:rsidR="00812D16" w:rsidRPr="00C65506" w:rsidRDefault="00812D16" w:rsidP="00496272">
      <w:pPr>
        <w:tabs>
          <w:tab w:val="clear" w:pos="567"/>
        </w:tabs>
        <w:rPr>
          <w:noProof/>
          <w:lang w:val="fr-FR"/>
        </w:rPr>
      </w:pPr>
    </w:p>
    <w:p w:rsidR="00CB6333" w:rsidRPr="00C65506" w:rsidRDefault="00CB6333" w:rsidP="00CB6333">
      <w:pPr>
        <w:tabs>
          <w:tab w:val="clear" w:pos="567"/>
        </w:tabs>
        <w:suppressAutoHyphens/>
        <w:rPr>
          <w:noProof/>
          <w:szCs w:val="24"/>
          <w:lang w:val="fr-FR" w:bidi="yi-Hebr"/>
        </w:rPr>
      </w:pPr>
      <w:r w:rsidRPr="00C65506">
        <w:rPr>
          <w:b/>
          <w:szCs w:val="24"/>
          <w:lang w:val="fr-FR" w:bidi="yi-Hebr"/>
        </w:rPr>
        <w:t>Veuillez lire attentivement cette notice avant d’utiliser ce médicament car elle contient des informations importantes pour vous.</w:t>
      </w:r>
    </w:p>
    <w:p w:rsidR="00B43D4C" w:rsidRPr="00C65506" w:rsidRDefault="00B43D4C" w:rsidP="00297FB7">
      <w:pPr>
        <w:numPr>
          <w:ilvl w:val="0"/>
          <w:numId w:val="21"/>
        </w:numPr>
        <w:tabs>
          <w:tab w:val="clear" w:pos="567"/>
        </w:tabs>
        <w:ind w:left="567" w:right="-2" w:hanging="567"/>
        <w:rPr>
          <w:noProof/>
          <w:szCs w:val="24"/>
          <w:lang w:val="fr-FR" w:bidi="yi-Hebr"/>
        </w:rPr>
      </w:pPr>
      <w:r w:rsidRPr="00C65506">
        <w:rPr>
          <w:szCs w:val="24"/>
          <w:lang w:val="fr-FR" w:bidi="yi-Hebr"/>
        </w:rPr>
        <w:t>Gardez cette notice.</w:t>
      </w:r>
      <w:r w:rsidRPr="00C65506">
        <w:rPr>
          <w:noProof/>
          <w:szCs w:val="24"/>
          <w:lang w:val="fr-FR" w:bidi="yi-Hebr"/>
        </w:rPr>
        <w:t xml:space="preserve"> </w:t>
      </w:r>
      <w:r w:rsidRPr="00C65506">
        <w:rPr>
          <w:szCs w:val="24"/>
          <w:lang w:val="fr-FR" w:bidi="yi-Hebr"/>
        </w:rPr>
        <w:t>Vous pourriez avoir besoin de la relire.</w:t>
      </w:r>
    </w:p>
    <w:p w:rsidR="00B43D4C" w:rsidRPr="00C65506" w:rsidRDefault="00B43D4C" w:rsidP="00297FB7">
      <w:pPr>
        <w:numPr>
          <w:ilvl w:val="0"/>
          <w:numId w:val="21"/>
        </w:numPr>
        <w:tabs>
          <w:tab w:val="clear" w:pos="567"/>
        </w:tabs>
        <w:ind w:left="567" w:right="-2" w:hanging="567"/>
        <w:rPr>
          <w:noProof/>
          <w:szCs w:val="24"/>
          <w:lang w:val="fr-FR" w:bidi="yi-Hebr"/>
        </w:rPr>
      </w:pPr>
      <w:r w:rsidRPr="00C65506">
        <w:rPr>
          <w:szCs w:val="24"/>
          <w:lang w:val="fr-FR" w:bidi="yi-Hebr"/>
        </w:rPr>
        <w:t>Si vous avez d’autres questions, interrogez votre médecin, votre pharmacien ou votre infirmier/ère.</w:t>
      </w:r>
    </w:p>
    <w:p w:rsidR="00B43D4C" w:rsidRPr="00C65506" w:rsidRDefault="00B43D4C" w:rsidP="00297FB7">
      <w:pPr>
        <w:numPr>
          <w:ilvl w:val="0"/>
          <w:numId w:val="21"/>
        </w:numPr>
        <w:tabs>
          <w:tab w:val="clear" w:pos="567"/>
        </w:tabs>
        <w:ind w:left="567" w:right="-2" w:hanging="567"/>
        <w:rPr>
          <w:noProof/>
          <w:szCs w:val="24"/>
          <w:lang w:val="fr-FR" w:bidi="yi-Hebr"/>
        </w:rPr>
      </w:pPr>
      <w:r w:rsidRPr="00C65506">
        <w:rPr>
          <w:szCs w:val="24"/>
          <w:lang w:val="fr-FR" w:bidi="yi-Hebr"/>
        </w:rPr>
        <w:t>Ce médicament vous a été personnellement prescrit.</w:t>
      </w:r>
      <w:r w:rsidRPr="00C65506">
        <w:rPr>
          <w:noProof/>
          <w:szCs w:val="24"/>
          <w:lang w:val="fr-FR" w:bidi="yi-Hebr"/>
        </w:rPr>
        <w:t xml:space="preserve"> </w:t>
      </w:r>
      <w:r w:rsidRPr="00C65506">
        <w:rPr>
          <w:szCs w:val="24"/>
          <w:lang w:val="fr-FR" w:bidi="yi-Hebr"/>
        </w:rPr>
        <w:t>Ne le donnez pas à d’autres personnes.</w:t>
      </w:r>
      <w:r w:rsidRPr="00C65506">
        <w:rPr>
          <w:noProof/>
          <w:szCs w:val="24"/>
          <w:lang w:val="fr-FR" w:bidi="yi-Hebr"/>
        </w:rPr>
        <w:t xml:space="preserve"> </w:t>
      </w:r>
      <w:r w:rsidRPr="00C65506">
        <w:rPr>
          <w:szCs w:val="24"/>
          <w:lang w:val="fr-FR" w:bidi="yi-Hebr"/>
        </w:rPr>
        <w:t>Il pourrait leur être nocif, même si les signes de leur maladie sont identiques aux vôtres.</w:t>
      </w:r>
    </w:p>
    <w:p w:rsidR="00B43D4C" w:rsidRPr="00C65506" w:rsidRDefault="00B43D4C" w:rsidP="00297FB7">
      <w:pPr>
        <w:numPr>
          <w:ilvl w:val="0"/>
          <w:numId w:val="21"/>
        </w:numPr>
        <w:ind w:left="567" w:hanging="567"/>
        <w:rPr>
          <w:noProof/>
          <w:szCs w:val="24"/>
          <w:lang w:val="fr-FR" w:bidi="yi-Hebr"/>
        </w:rPr>
      </w:pPr>
      <w:r w:rsidRPr="00C65506">
        <w:rPr>
          <w:szCs w:val="24"/>
          <w:lang w:val="fr-FR" w:bidi="yi-Hebr"/>
        </w:rPr>
        <w:t>Si vous ressentez un quelconque effet indésirable, parlez-en à votre médecin, votre pharmacien ou votre infirmier/ère. Ceci s’applique aussi à tout effet indésirable qui ne serait pas mentionné dans cette notice.</w:t>
      </w:r>
    </w:p>
    <w:p w:rsidR="00812D16" w:rsidRPr="00C65506" w:rsidRDefault="00812D16" w:rsidP="00496272">
      <w:pPr>
        <w:tabs>
          <w:tab w:val="clear" w:pos="567"/>
        </w:tabs>
        <w:ind w:right="-2"/>
        <w:rPr>
          <w:noProof/>
          <w:lang w:val="fr-FR"/>
        </w:rPr>
      </w:pPr>
    </w:p>
    <w:p w:rsidR="00812D16" w:rsidRPr="00C65506" w:rsidRDefault="00812D16" w:rsidP="00496272">
      <w:pPr>
        <w:tabs>
          <w:tab w:val="clear" w:pos="567"/>
        </w:tabs>
        <w:ind w:right="-2"/>
        <w:rPr>
          <w:noProof/>
          <w:lang w:val="fr-FR"/>
        </w:rPr>
      </w:pPr>
    </w:p>
    <w:p w:rsidR="00B43D4C" w:rsidRPr="00C65506" w:rsidRDefault="00B43D4C" w:rsidP="00B43D4C">
      <w:pPr>
        <w:numPr>
          <w:ilvl w:val="12"/>
          <w:numId w:val="0"/>
        </w:numPr>
        <w:tabs>
          <w:tab w:val="clear" w:pos="567"/>
        </w:tabs>
        <w:outlineLvl w:val="0"/>
        <w:rPr>
          <w:b/>
          <w:szCs w:val="24"/>
          <w:lang w:val="fr-FR" w:bidi="yi-Hebr"/>
        </w:rPr>
      </w:pPr>
      <w:r w:rsidRPr="00C65506">
        <w:rPr>
          <w:b/>
          <w:szCs w:val="24"/>
          <w:lang w:val="fr-FR" w:bidi="yi-Hebr"/>
        </w:rPr>
        <w:t>Que contient cette notice ?</w:t>
      </w:r>
    </w:p>
    <w:p w:rsidR="00BB7A94" w:rsidRPr="00C65506" w:rsidRDefault="00BB7A94" w:rsidP="00B43D4C">
      <w:pPr>
        <w:numPr>
          <w:ilvl w:val="12"/>
          <w:numId w:val="0"/>
        </w:numPr>
        <w:tabs>
          <w:tab w:val="clear" w:pos="567"/>
        </w:tabs>
        <w:outlineLvl w:val="0"/>
        <w:rPr>
          <w:noProof/>
          <w:szCs w:val="24"/>
          <w:lang w:val="fr-FR" w:bidi="yi-Hebr"/>
        </w:rPr>
      </w:pPr>
    </w:p>
    <w:p w:rsidR="00B43D4C" w:rsidRPr="00C65506" w:rsidRDefault="00B43D4C" w:rsidP="002302AC">
      <w:pPr>
        <w:numPr>
          <w:ilvl w:val="12"/>
          <w:numId w:val="0"/>
        </w:numPr>
        <w:ind w:right="-29"/>
        <w:rPr>
          <w:noProof/>
          <w:szCs w:val="24"/>
          <w:lang w:val="fr-FR" w:bidi="yi-Hebr"/>
        </w:rPr>
      </w:pPr>
      <w:r w:rsidRPr="00C65506">
        <w:rPr>
          <w:noProof/>
          <w:szCs w:val="24"/>
          <w:lang w:val="fr-FR" w:bidi="yi-Hebr"/>
        </w:rPr>
        <w:t>1.</w:t>
      </w:r>
      <w:r w:rsidRPr="00C65506">
        <w:rPr>
          <w:noProof/>
          <w:szCs w:val="24"/>
          <w:lang w:val="fr-FR" w:bidi="yi-Hebr"/>
        </w:rPr>
        <w:tab/>
      </w:r>
      <w:r w:rsidRPr="00C65506">
        <w:rPr>
          <w:szCs w:val="24"/>
          <w:lang w:val="fr-FR" w:bidi="yi-Hebr"/>
        </w:rPr>
        <w:t>Qu'est-ce qu’Ovaleap et dans quel</w:t>
      </w:r>
      <w:r w:rsidR="00E76241" w:rsidRPr="00C65506">
        <w:rPr>
          <w:szCs w:val="24"/>
          <w:lang w:val="fr-FR" w:bidi="yi-Hebr"/>
        </w:rPr>
        <w:t>s</w:t>
      </w:r>
      <w:r w:rsidRPr="00C65506">
        <w:rPr>
          <w:szCs w:val="24"/>
          <w:lang w:val="fr-FR" w:bidi="yi-Hebr"/>
        </w:rPr>
        <w:t xml:space="preserve"> cas est-il utilisé</w:t>
      </w:r>
    </w:p>
    <w:p w:rsidR="00B43D4C" w:rsidRPr="00C65506" w:rsidRDefault="00B43D4C" w:rsidP="002302AC">
      <w:pPr>
        <w:numPr>
          <w:ilvl w:val="12"/>
          <w:numId w:val="0"/>
        </w:numPr>
        <w:ind w:right="-29"/>
        <w:rPr>
          <w:noProof/>
          <w:szCs w:val="24"/>
          <w:lang w:val="fr-FR" w:bidi="yi-Hebr"/>
        </w:rPr>
      </w:pPr>
      <w:r w:rsidRPr="00C65506">
        <w:rPr>
          <w:noProof/>
          <w:szCs w:val="24"/>
          <w:lang w:val="fr-FR" w:bidi="yi-Hebr"/>
        </w:rPr>
        <w:t>2.</w:t>
      </w:r>
      <w:r w:rsidRPr="00C65506">
        <w:rPr>
          <w:noProof/>
          <w:szCs w:val="24"/>
          <w:lang w:val="fr-FR" w:bidi="yi-Hebr"/>
        </w:rPr>
        <w:tab/>
      </w:r>
      <w:r w:rsidRPr="00C65506">
        <w:rPr>
          <w:szCs w:val="24"/>
          <w:lang w:val="fr-FR" w:bidi="yi-Hebr"/>
        </w:rPr>
        <w:t>Quelles sont les informations à connaître avant d’utiliser Ovaleap</w:t>
      </w:r>
    </w:p>
    <w:p w:rsidR="00B43D4C" w:rsidRPr="00C65506" w:rsidRDefault="00B43D4C" w:rsidP="002302AC">
      <w:pPr>
        <w:numPr>
          <w:ilvl w:val="12"/>
          <w:numId w:val="0"/>
        </w:numPr>
        <w:ind w:right="-29"/>
        <w:rPr>
          <w:noProof/>
          <w:szCs w:val="24"/>
          <w:lang w:val="fr-FR" w:bidi="yi-Hebr"/>
        </w:rPr>
      </w:pPr>
      <w:r w:rsidRPr="00C65506">
        <w:rPr>
          <w:noProof/>
          <w:szCs w:val="24"/>
          <w:lang w:val="fr-FR" w:bidi="yi-Hebr"/>
        </w:rPr>
        <w:t>3.</w:t>
      </w:r>
      <w:r w:rsidRPr="00C65506">
        <w:rPr>
          <w:noProof/>
          <w:szCs w:val="24"/>
          <w:lang w:val="fr-FR" w:bidi="yi-Hebr"/>
        </w:rPr>
        <w:tab/>
      </w:r>
      <w:r w:rsidRPr="00C65506">
        <w:rPr>
          <w:szCs w:val="24"/>
          <w:lang w:val="fr-FR" w:bidi="yi-Hebr"/>
        </w:rPr>
        <w:t>Comment utiliser Ovaleap</w:t>
      </w:r>
    </w:p>
    <w:p w:rsidR="00B43D4C" w:rsidRPr="00C65506" w:rsidRDefault="00B43D4C" w:rsidP="002302AC">
      <w:pPr>
        <w:numPr>
          <w:ilvl w:val="12"/>
          <w:numId w:val="0"/>
        </w:numPr>
        <w:ind w:right="-29"/>
        <w:rPr>
          <w:noProof/>
          <w:szCs w:val="24"/>
          <w:lang w:val="fr-FR" w:bidi="yi-Hebr"/>
        </w:rPr>
      </w:pPr>
      <w:r w:rsidRPr="00C65506">
        <w:rPr>
          <w:noProof/>
          <w:szCs w:val="24"/>
          <w:lang w:val="fr-FR" w:bidi="yi-Hebr"/>
        </w:rPr>
        <w:t>4.</w:t>
      </w:r>
      <w:r w:rsidRPr="00C65506">
        <w:rPr>
          <w:noProof/>
          <w:szCs w:val="24"/>
          <w:lang w:val="fr-FR" w:bidi="yi-Hebr"/>
        </w:rPr>
        <w:tab/>
      </w:r>
      <w:r w:rsidRPr="00C65506">
        <w:rPr>
          <w:szCs w:val="24"/>
          <w:lang w:val="fr-FR" w:bidi="yi-Hebr"/>
        </w:rPr>
        <w:t>Quels sont les effets indésirables éventuels</w:t>
      </w:r>
    </w:p>
    <w:p w:rsidR="00B43D4C" w:rsidRPr="00C65506" w:rsidRDefault="00B43D4C" w:rsidP="002302AC">
      <w:pPr>
        <w:ind w:right="-29"/>
        <w:rPr>
          <w:noProof/>
          <w:szCs w:val="24"/>
          <w:lang w:val="fr-FR" w:bidi="yi-Hebr"/>
        </w:rPr>
      </w:pPr>
      <w:r w:rsidRPr="00C65506">
        <w:rPr>
          <w:noProof/>
          <w:szCs w:val="24"/>
          <w:lang w:val="fr-FR" w:bidi="yi-Hebr"/>
        </w:rPr>
        <w:t>5.</w:t>
      </w:r>
      <w:r w:rsidRPr="00C65506">
        <w:rPr>
          <w:noProof/>
          <w:szCs w:val="24"/>
          <w:lang w:val="fr-FR" w:bidi="yi-Hebr"/>
        </w:rPr>
        <w:tab/>
      </w:r>
      <w:r w:rsidRPr="00C65506">
        <w:rPr>
          <w:szCs w:val="24"/>
          <w:lang w:val="fr-FR" w:bidi="yi-Hebr"/>
        </w:rPr>
        <w:t>Comment conserver Ovaleap</w:t>
      </w:r>
    </w:p>
    <w:p w:rsidR="00B43D4C" w:rsidRPr="00C65506" w:rsidRDefault="00B43D4C" w:rsidP="002302AC">
      <w:pPr>
        <w:ind w:right="-29"/>
        <w:rPr>
          <w:noProof/>
          <w:szCs w:val="24"/>
          <w:lang w:val="fr-FR" w:bidi="yi-Hebr"/>
        </w:rPr>
      </w:pPr>
      <w:r w:rsidRPr="00C65506">
        <w:rPr>
          <w:noProof/>
          <w:szCs w:val="24"/>
          <w:lang w:val="fr-FR" w:bidi="yi-Hebr"/>
        </w:rPr>
        <w:t>6.</w:t>
      </w:r>
      <w:r w:rsidRPr="00C65506">
        <w:rPr>
          <w:noProof/>
          <w:szCs w:val="24"/>
          <w:lang w:val="fr-FR" w:bidi="yi-Hebr"/>
        </w:rPr>
        <w:tab/>
      </w:r>
      <w:r w:rsidRPr="00C65506">
        <w:rPr>
          <w:szCs w:val="24"/>
          <w:lang w:val="fr-FR" w:bidi="yi-Hebr"/>
        </w:rPr>
        <w:t>Contenu de l’emballage et autres informations</w:t>
      </w:r>
    </w:p>
    <w:p w:rsidR="00812D16" w:rsidRPr="00C65506" w:rsidRDefault="00812D16" w:rsidP="00496272">
      <w:pPr>
        <w:numPr>
          <w:ilvl w:val="12"/>
          <w:numId w:val="0"/>
        </w:numPr>
        <w:tabs>
          <w:tab w:val="clear" w:pos="567"/>
        </w:tabs>
        <w:ind w:right="-2"/>
        <w:rPr>
          <w:noProof/>
          <w:lang w:val="fr-FR"/>
        </w:rPr>
      </w:pPr>
    </w:p>
    <w:p w:rsidR="009B6496" w:rsidRPr="00C65506" w:rsidRDefault="009B6496" w:rsidP="00496272">
      <w:pPr>
        <w:numPr>
          <w:ilvl w:val="12"/>
          <w:numId w:val="0"/>
        </w:numPr>
        <w:tabs>
          <w:tab w:val="clear" w:pos="567"/>
        </w:tabs>
        <w:rPr>
          <w:noProof/>
          <w:szCs w:val="22"/>
          <w:lang w:val="fr-FR"/>
        </w:rPr>
      </w:pPr>
    </w:p>
    <w:p w:rsidR="00B43D4C" w:rsidRPr="00C65506" w:rsidRDefault="00B43D4C" w:rsidP="00B43D4C">
      <w:pPr>
        <w:ind w:right="-2"/>
        <w:rPr>
          <w:b/>
          <w:noProof/>
          <w:szCs w:val="24"/>
          <w:lang w:val="fr-FR" w:bidi="yi-Hebr"/>
        </w:rPr>
      </w:pPr>
      <w:r w:rsidRPr="00C65506">
        <w:rPr>
          <w:b/>
          <w:noProof/>
          <w:szCs w:val="24"/>
          <w:lang w:val="fr-FR" w:bidi="yi-Hebr"/>
        </w:rPr>
        <w:t>1.</w:t>
      </w:r>
      <w:r w:rsidRPr="00C65506">
        <w:rPr>
          <w:b/>
          <w:noProof/>
          <w:szCs w:val="24"/>
          <w:lang w:val="fr-FR" w:bidi="yi-Hebr"/>
        </w:rPr>
        <w:tab/>
      </w:r>
      <w:r w:rsidRPr="00C65506">
        <w:rPr>
          <w:b/>
          <w:szCs w:val="24"/>
          <w:lang w:val="fr-FR" w:bidi="yi-Hebr"/>
        </w:rPr>
        <w:t>Qu'est-ce qu’Ovaleap et dans quel</w:t>
      </w:r>
      <w:r w:rsidR="00C14C89" w:rsidRPr="00C65506">
        <w:rPr>
          <w:b/>
          <w:szCs w:val="24"/>
          <w:lang w:val="fr-FR" w:bidi="yi-Hebr"/>
        </w:rPr>
        <w:t>s</w:t>
      </w:r>
      <w:r w:rsidRPr="00C65506">
        <w:rPr>
          <w:b/>
          <w:szCs w:val="24"/>
          <w:lang w:val="fr-FR" w:bidi="yi-Hebr"/>
        </w:rPr>
        <w:t xml:space="preserve"> cas est-il utilisé</w:t>
      </w:r>
    </w:p>
    <w:p w:rsidR="009B6496" w:rsidRPr="00C65506" w:rsidRDefault="009B6496" w:rsidP="00496272">
      <w:pPr>
        <w:numPr>
          <w:ilvl w:val="12"/>
          <w:numId w:val="0"/>
        </w:numPr>
        <w:tabs>
          <w:tab w:val="clear" w:pos="567"/>
        </w:tabs>
        <w:rPr>
          <w:noProof/>
          <w:szCs w:val="22"/>
          <w:lang w:val="fr-FR"/>
        </w:rPr>
      </w:pPr>
    </w:p>
    <w:p w:rsidR="00B43D4C" w:rsidRPr="00C65506" w:rsidRDefault="00B43D4C" w:rsidP="00B43D4C">
      <w:pPr>
        <w:tabs>
          <w:tab w:val="clear" w:pos="567"/>
        </w:tabs>
        <w:ind w:right="-2"/>
        <w:rPr>
          <w:b/>
          <w:noProof/>
          <w:szCs w:val="24"/>
          <w:lang w:val="fr-FR" w:bidi="yi-Hebr"/>
        </w:rPr>
      </w:pPr>
      <w:r w:rsidRPr="00C65506">
        <w:rPr>
          <w:b/>
          <w:szCs w:val="24"/>
          <w:lang w:val="fr-FR" w:bidi="yi-Hebr"/>
        </w:rPr>
        <w:t>Qu’est</w:t>
      </w:r>
      <w:r w:rsidR="007F616F" w:rsidRPr="00C65506">
        <w:rPr>
          <w:b/>
          <w:szCs w:val="24"/>
          <w:lang w:val="fr-FR" w:bidi="yi-Hebr"/>
        </w:rPr>
        <w:t>-</w:t>
      </w:r>
      <w:r w:rsidRPr="00C65506">
        <w:rPr>
          <w:b/>
          <w:szCs w:val="24"/>
          <w:lang w:val="fr-FR" w:bidi="yi-Hebr"/>
        </w:rPr>
        <w:t>ce qu’Ovaleap</w:t>
      </w:r>
    </w:p>
    <w:p w:rsidR="00B43D4C" w:rsidRPr="00C65506" w:rsidRDefault="000259FC" w:rsidP="00B43D4C">
      <w:pPr>
        <w:tabs>
          <w:tab w:val="clear" w:pos="567"/>
        </w:tabs>
        <w:ind w:right="-2"/>
        <w:rPr>
          <w:noProof/>
          <w:szCs w:val="24"/>
          <w:lang w:val="fr-FR" w:bidi="yi-Hebr"/>
        </w:rPr>
      </w:pPr>
      <w:r w:rsidRPr="00C65506">
        <w:rPr>
          <w:szCs w:val="24"/>
          <w:lang w:val="fr-FR" w:bidi="yi-Hebr"/>
        </w:rPr>
        <w:t xml:space="preserve">Ce médicament </w:t>
      </w:r>
      <w:r w:rsidR="00B43D4C" w:rsidRPr="00C65506">
        <w:rPr>
          <w:szCs w:val="24"/>
          <w:lang w:val="fr-FR" w:bidi="yi-Hebr"/>
        </w:rPr>
        <w:t>contient un</w:t>
      </w:r>
      <w:r w:rsidR="00BE6F1E" w:rsidRPr="00C65506">
        <w:rPr>
          <w:szCs w:val="24"/>
          <w:lang w:val="fr-FR" w:bidi="yi-Hebr"/>
        </w:rPr>
        <w:t>e substance</w:t>
      </w:r>
      <w:r w:rsidR="00B43D4C" w:rsidRPr="00C65506">
        <w:rPr>
          <w:szCs w:val="24"/>
          <w:lang w:val="fr-FR" w:bidi="yi-Hebr"/>
        </w:rPr>
        <w:t xml:space="preserve"> acti</w:t>
      </w:r>
      <w:r w:rsidR="00BE6F1E" w:rsidRPr="00C65506">
        <w:rPr>
          <w:szCs w:val="24"/>
          <w:lang w:val="fr-FR" w:bidi="yi-Hebr"/>
        </w:rPr>
        <w:t>ve</w:t>
      </w:r>
      <w:r w:rsidR="00B43D4C" w:rsidRPr="00C65506">
        <w:rPr>
          <w:szCs w:val="24"/>
          <w:lang w:val="fr-FR" w:bidi="yi-Hebr"/>
        </w:rPr>
        <w:t xml:space="preserve">, la follitropine alfa, qui est presque identique à une hormone naturelle produite par l’organisme appelée « hormone folliculo-stimulante » (FSH). La FSH </w:t>
      </w:r>
      <w:r w:rsidR="004A2557" w:rsidRPr="00C65506">
        <w:rPr>
          <w:szCs w:val="24"/>
          <w:lang w:val="fr-FR" w:bidi="yi-Hebr"/>
        </w:rPr>
        <w:t>est une</w:t>
      </w:r>
      <w:r w:rsidR="00B43D4C" w:rsidRPr="00C65506">
        <w:rPr>
          <w:szCs w:val="24"/>
          <w:lang w:val="fr-FR" w:bidi="yi-Hebr"/>
        </w:rPr>
        <w:t xml:space="preserve"> gonadotrophine, </w:t>
      </w:r>
      <w:r w:rsidR="004A2557" w:rsidRPr="00C65506">
        <w:rPr>
          <w:szCs w:val="24"/>
          <w:lang w:val="fr-FR" w:bidi="yi-Hebr"/>
        </w:rPr>
        <w:t xml:space="preserve">un type d’hormone </w:t>
      </w:r>
      <w:r w:rsidR="00B43D4C" w:rsidRPr="00C65506">
        <w:rPr>
          <w:szCs w:val="24"/>
          <w:lang w:val="fr-FR" w:bidi="yi-Hebr"/>
        </w:rPr>
        <w:t>qui joue un rôle important dans la fécondité et la reproduction humaine.</w:t>
      </w:r>
      <w:r w:rsidR="00B43D4C" w:rsidRPr="00C65506">
        <w:rPr>
          <w:noProof/>
          <w:szCs w:val="24"/>
          <w:lang w:val="fr-FR" w:bidi="yi-Hebr"/>
        </w:rPr>
        <w:t xml:space="preserve"> </w:t>
      </w:r>
      <w:r w:rsidR="00B43D4C" w:rsidRPr="00C65506">
        <w:rPr>
          <w:szCs w:val="24"/>
          <w:lang w:val="fr-FR" w:bidi="yi-Hebr"/>
        </w:rPr>
        <w:t>Chez la femme, la FSH est nécessaire à la croissance et au développement des</w:t>
      </w:r>
      <w:r w:rsidR="004A2557" w:rsidRPr="00C65506">
        <w:rPr>
          <w:szCs w:val="24"/>
          <w:lang w:val="fr-FR" w:bidi="yi-Hebr"/>
        </w:rPr>
        <w:t xml:space="preserve"> poches</w:t>
      </w:r>
      <w:r w:rsidR="00B43D4C" w:rsidRPr="00C65506">
        <w:rPr>
          <w:szCs w:val="24"/>
          <w:lang w:val="fr-FR" w:bidi="yi-Hebr"/>
        </w:rPr>
        <w:t xml:space="preserve"> </w:t>
      </w:r>
      <w:r w:rsidR="004A2557" w:rsidRPr="00C65506">
        <w:rPr>
          <w:szCs w:val="24"/>
          <w:lang w:val="fr-FR" w:bidi="yi-Hebr"/>
        </w:rPr>
        <w:t>qui contiennent les ovules (</w:t>
      </w:r>
      <w:r w:rsidR="00B43D4C" w:rsidRPr="00C65506">
        <w:rPr>
          <w:szCs w:val="24"/>
          <w:lang w:val="fr-FR" w:bidi="yi-Hebr"/>
        </w:rPr>
        <w:t>follicules</w:t>
      </w:r>
      <w:r w:rsidR="004A2557" w:rsidRPr="00C65506">
        <w:rPr>
          <w:szCs w:val="24"/>
          <w:lang w:val="fr-FR" w:bidi="yi-Hebr"/>
        </w:rPr>
        <w:t>)</w:t>
      </w:r>
      <w:r w:rsidR="00B43D4C" w:rsidRPr="00C65506">
        <w:rPr>
          <w:szCs w:val="24"/>
          <w:lang w:val="fr-FR" w:bidi="yi-Hebr"/>
        </w:rPr>
        <w:t xml:space="preserve"> dans les ovaires.</w:t>
      </w:r>
      <w:r w:rsidR="00B43D4C" w:rsidRPr="00C65506">
        <w:rPr>
          <w:noProof/>
          <w:szCs w:val="24"/>
          <w:lang w:val="fr-FR" w:bidi="yi-Hebr"/>
        </w:rPr>
        <w:t xml:space="preserve"> </w:t>
      </w:r>
      <w:r w:rsidR="00B43D4C" w:rsidRPr="00C65506">
        <w:rPr>
          <w:szCs w:val="24"/>
          <w:lang w:val="fr-FR" w:bidi="yi-Hebr"/>
        </w:rPr>
        <w:t>Chez l’homme, la FSH est nécessaire à la production du sperme.</w:t>
      </w:r>
    </w:p>
    <w:p w:rsidR="00BC0C26" w:rsidRPr="00C65506" w:rsidRDefault="00BC0C26" w:rsidP="00496272">
      <w:pPr>
        <w:tabs>
          <w:tab w:val="clear" w:pos="567"/>
        </w:tabs>
        <w:ind w:right="-2"/>
        <w:rPr>
          <w:noProof/>
          <w:szCs w:val="22"/>
          <w:lang w:val="fr-FR"/>
        </w:rPr>
      </w:pPr>
    </w:p>
    <w:p w:rsidR="00B43D4C" w:rsidRPr="00C65506" w:rsidRDefault="00B43D4C" w:rsidP="00B43D4C">
      <w:pPr>
        <w:tabs>
          <w:tab w:val="clear" w:pos="567"/>
        </w:tabs>
        <w:ind w:right="-2"/>
        <w:rPr>
          <w:b/>
          <w:noProof/>
          <w:szCs w:val="24"/>
          <w:lang w:val="fr-FR" w:bidi="yi-Hebr"/>
        </w:rPr>
      </w:pPr>
      <w:r w:rsidRPr="00C65506">
        <w:rPr>
          <w:b/>
          <w:szCs w:val="24"/>
          <w:lang w:val="fr-FR" w:bidi="yi-Hebr"/>
        </w:rPr>
        <w:t>Dans quel cas Ovaleap est-il utilisé</w:t>
      </w:r>
    </w:p>
    <w:p w:rsidR="003F1B42" w:rsidRPr="00C65506" w:rsidRDefault="003F1B42" w:rsidP="00496272">
      <w:pPr>
        <w:tabs>
          <w:tab w:val="clear" w:pos="567"/>
        </w:tabs>
        <w:ind w:right="-2"/>
        <w:rPr>
          <w:noProof/>
          <w:szCs w:val="22"/>
          <w:u w:val="single"/>
          <w:lang w:val="fr-FR"/>
        </w:rPr>
      </w:pPr>
    </w:p>
    <w:p w:rsidR="00B43D4C" w:rsidRPr="00C65506" w:rsidRDefault="00B43D4C" w:rsidP="00B43D4C">
      <w:pPr>
        <w:tabs>
          <w:tab w:val="clear" w:pos="567"/>
        </w:tabs>
        <w:ind w:right="-2"/>
        <w:rPr>
          <w:noProof/>
          <w:szCs w:val="24"/>
          <w:u w:val="single"/>
          <w:lang w:val="fr-FR" w:bidi="yi-Hebr"/>
        </w:rPr>
      </w:pPr>
      <w:r w:rsidRPr="00C65506">
        <w:rPr>
          <w:szCs w:val="24"/>
          <w:u w:val="single"/>
          <w:lang w:val="fr-FR" w:bidi="yi-Hebr"/>
        </w:rPr>
        <w:t>Chez les femmes adultes, Ovaleap est utilisé :</w:t>
      </w:r>
    </w:p>
    <w:p w:rsidR="00B43D4C" w:rsidRPr="00C65506" w:rsidRDefault="00B43D4C" w:rsidP="00297FB7">
      <w:pPr>
        <w:numPr>
          <w:ilvl w:val="0"/>
          <w:numId w:val="13"/>
        </w:numPr>
        <w:tabs>
          <w:tab w:val="clear" w:pos="567"/>
        </w:tabs>
        <w:ind w:left="567" w:hanging="567"/>
        <w:rPr>
          <w:noProof/>
          <w:szCs w:val="24"/>
          <w:lang w:val="fr-FR" w:bidi="yi-Hebr"/>
        </w:rPr>
      </w:pPr>
      <w:r w:rsidRPr="00C65506">
        <w:rPr>
          <w:szCs w:val="24"/>
          <w:lang w:val="fr-FR" w:bidi="yi-Hebr"/>
        </w:rPr>
        <w:t xml:space="preserve">pour favoriser l’ovulation </w:t>
      </w:r>
      <w:r w:rsidR="004A2557" w:rsidRPr="00C65506">
        <w:rPr>
          <w:szCs w:val="24"/>
          <w:lang w:val="fr-FR" w:bidi="yi-Hebr"/>
        </w:rPr>
        <w:t xml:space="preserve">(la libération des ovules mâtures à partir des follicules) </w:t>
      </w:r>
      <w:r w:rsidRPr="00C65506">
        <w:rPr>
          <w:szCs w:val="24"/>
          <w:lang w:val="fr-FR" w:bidi="yi-Hebr"/>
        </w:rPr>
        <w:t>chez les femmes qui ne peuvent pas ovuler et qui n’ont pas répondu au traitement par un médicament appelé le «</w:t>
      </w:r>
      <w:r w:rsidR="006223E1" w:rsidRPr="00C65506">
        <w:rPr>
          <w:szCs w:val="24"/>
          <w:lang w:val="fr-FR" w:bidi="yi-Hebr"/>
        </w:rPr>
        <w:t> </w:t>
      </w:r>
      <w:r w:rsidRPr="00C65506">
        <w:rPr>
          <w:szCs w:val="24"/>
          <w:lang w:val="fr-FR" w:bidi="yi-Hebr"/>
        </w:rPr>
        <w:t>citrate de clomifène</w:t>
      </w:r>
      <w:r w:rsidR="006223E1" w:rsidRPr="00C65506">
        <w:rPr>
          <w:szCs w:val="24"/>
          <w:lang w:val="fr-FR" w:bidi="yi-Hebr"/>
        </w:rPr>
        <w:t> </w:t>
      </w:r>
      <w:r w:rsidRPr="00C65506">
        <w:rPr>
          <w:szCs w:val="24"/>
          <w:lang w:val="fr-FR" w:bidi="yi-Hebr"/>
        </w:rPr>
        <w:t>».</w:t>
      </w:r>
    </w:p>
    <w:p w:rsidR="00D05A45" w:rsidRPr="00C65506" w:rsidRDefault="00D05A45" w:rsidP="00297FB7">
      <w:pPr>
        <w:numPr>
          <w:ilvl w:val="0"/>
          <w:numId w:val="13"/>
        </w:numPr>
        <w:tabs>
          <w:tab w:val="clear" w:pos="567"/>
        </w:tabs>
        <w:ind w:left="567" w:hanging="567"/>
        <w:rPr>
          <w:noProof/>
          <w:szCs w:val="24"/>
          <w:lang w:val="fr-FR" w:bidi="yi-Hebr"/>
        </w:rPr>
      </w:pPr>
      <w:r w:rsidRPr="00C65506">
        <w:rPr>
          <w:szCs w:val="24"/>
          <w:lang w:val="fr-FR" w:bidi="yi-Hebr"/>
        </w:rPr>
        <w:t xml:space="preserve">pour favoriser la croissance des follicules chez les femmes ayant recours à une Assistance Médicale à la Procréation (techniques visant à aider à obtenir une grossesse) telle que la « fécondation </w:t>
      </w:r>
      <w:r w:rsidRPr="00C65506">
        <w:rPr>
          <w:i/>
          <w:szCs w:val="24"/>
          <w:lang w:val="fr-FR" w:bidi="yi-Hebr"/>
        </w:rPr>
        <w:t>in</w:t>
      </w:r>
      <w:r w:rsidR="006223E1" w:rsidRPr="00C65506">
        <w:rPr>
          <w:i/>
          <w:szCs w:val="24"/>
          <w:lang w:val="fr-FR" w:bidi="yi-Hebr"/>
        </w:rPr>
        <w:t> </w:t>
      </w:r>
      <w:r w:rsidRPr="00C65506">
        <w:rPr>
          <w:i/>
          <w:szCs w:val="24"/>
          <w:lang w:val="fr-FR" w:bidi="yi-Hebr"/>
        </w:rPr>
        <w:t>vitro </w:t>
      </w:r>
      <w:r w:rsidRPr="00C65506">
        <w:rPr>
          <w:szCs w:val="24"/>
          <w:lang w:val="fr-FR" w:bidi="yi-Hebr"/>
        </w:rPr>
        <w:t>», le « transfert intratubaire de gamètes » ou le « transfert intratubaire de zygotes ».</w:t>
      </w:r>
    </w:p>
    <w:p w:rsidR="00D05A45" w:rsidRPr="00C65506" w:rsidRDefault="00D05A45" w:rsidP="00297FB7">
      <w:pPr>
        <w:numPr>
          <w:ilvl w:val="0"/>
          <w:numId w:val="13"/>
        </w:numPr>
        <w:tabs>
          <w:tab w:val="clear" w:pos="567"/>
        </w:tabs>
        <w:ind w:left="567" w:hanging="567"/>
        <w:rPr>
          <w:noProof/>
          <w:szCs w:val="24"/>
          <w:lang w:val="fr-FR" w:bidi="yi-Hebr"/>
        </w:rPr>
      </w:pPr>
      <w:r w:rsidRPr="00C65506">
        <w:rPr>
          <w:szCs w:val="24"/>
          <w:lang w:val="fr-FR" w:bidi="yi-Hebr"/>
        </w:rPr>
        <w:t>en association avec un médicament appelé « lutropine alfa » (</w:t>
      </w:r>
      <w:r w:rsidR="004A2557" w:rsidRPr="00C65506">
        <w:rPr>
          <w:szCs w:val="24"/>
          <w:lang w:val="fr-FR" w:bidi="yi-Hebr"/>
        </w:rPr>
        <w:t xml:space="preserve">une </w:t>
      </w:r>
      <w:r w:rsidR="00F21791" w:rsidRPr="00C65506">
        <w:rPr>
          <w:szCs w:val="24"/>
          <w:lang w:val="fr-FR" w:bidi="yi-Hebr"/>
        </w:rPr>
        <w:t xml:space="preserve">molécule recombinante similaire à </w:t>
      </w:r>
      <w:r w:rsidR="004A2557" w:rsidRPr="00C65506">
        <w:rPr>
          <w:szCs w:val="24"/>
          <w:lang w:val="fr-FR" w:bidi="yi-Hebr"/>
        </w:rPr>
        <w:t>une autre gonadotro</w:t>
      </w:r>
      <w:r w:rsidR="00187A2F" w:rsidRPr="00C65506">
        <w:rPr>
          <w:szCs w:val="24"/>
          <w:lang w:val="fr-FR" w:bidi="yi-Hebr"/>
        </w:rPr>
        <w:t>p</w:t>
      </w:r>
      <w:r w:rsidR="004A2557" w:rsidRPr="00C65506">
        <w:rPr>
          <w:szCs w:val="24"/>
          <w:lang w:val="fr-FR" w:bidi="yi-Hebr"/>
        </w:rPr>
        <w:t xml:space="preserve">hine, </w:t>
      </w:r>
      <w:r w:rsidR="00EF6921" w:rsidRPr="00C65506">
        <w:rPr>
          <w:szCs w:val="24"/>
          <w:lang w:val="fr-FR" w:bidi="yi-Hebr"/>
        </w:rPr>
        <w:t>l’</w:t>
      </w:r>
      <w:r w:rsidRPr="00C65506">
        <w:rPr>
          <w:szCs w:val="24"/>
          <w:lang w:val="fr-FR" w:bidi="yi-Hebr"/>
        </w:rPr>
        <w:t xml:space="preserve">« hormone lutéinisante » ou LH) pour favoriser l’ovulation chez les femmes qui n’ovulent pas parce que leur organisme produit trop peu de FSH et </w:t>
      </w:r>
      <w:r w:rsidR="00445DAA" w:rsidRPr="00C65506">
        <w:rPr>
          <w:szCs w:val="24"/>
          <w:lang w:val="fr-FR" w:bidi="yi-Hebr"/>
        </w:rPr>
        <w:t xml:space="preserve">de </w:t>
      </w:r>
      <w:r w:rsidRPr="00C65506">
        <w:rPr>
          <w:szCs w:val="24"/>
          <w:lang w:val="fr-FR" w:bidi="yi-Hebr"/>
        </w:rPr>
        <w:t>LH.</w:t>
      </w:r>
    </w:p>
    <w:p w:rsidR="00BC0C26" w:rsidRPr="00C65506" w:rsidRDefault="00BC0C26" w:rsidP="00496272">
      <w:pPr>
        <w:rPr>
          <w:noProof/>
          <w:lang w:val="fr-FR"/>
        </w:rPr>
      </w:pPr>
    </w:p>
    <w:p w:rsidR="00D05A45" w:rsidRPr="00C65506" w:rsidRDefault="00D05A45" w:rsidP="00FC6B14">
      <w:pPr>
        <w:keepNext/>
        <w:rPr>
          <w:noProof/>
          <w:szCs w:val="24"/>
          <w:u w:val="single"/>
          <w:lang w:val="fr-FR" w:bidi="yi-Hebr"/>
        </w:rPr>
      </w:pPr>
      <w:r w:rsidRPr="00C65506">
        <w:rPr>
          <w:szCs w:val="24"/>
          <w:u w:val="single"/>
          <w:lang w:val="fr-FR" w:bidi="yi-Hebr"/>
        </w:rPr>
        <w:lastRenderedPageBreak/>
        <w:t>Chez les hommes adultes, Ovaleap est utilisé :</w:t>
      </w:r>
    </w:p>
    <w:p w:rsidR="00D05A45" w:rsidRPr="00C65506" w:rsidRDefault="00D05A45" w:rsidP="00297FB7">
      <w:pPr>
        <w:numPr>
          <w:ilvl w:val="0"/>
          <w:numId w:val="14"/>
        </w:numPr>
        <w:ind w:left="567" w:hanging="567"/>
        <w:rPr>
          <w:noProof/>
          <w:szCs w:val="24"/>
          <w:lang w:val="fr-FR" w:bidi="yi-Hebr"/>
        </w:rPr>
      </w:pPr>
      <w:r w:rsidRPr="00C65506">
        <w:rPr>
          <w:szCs w:val="24"/>
          <w:lang w:val="fr-FR" w:bidi="yi-Hebr"/>
        </w:rPr>
        <w:t>en association avec un médicament appelé « choriogonadotropine humaine » (hCG) pour favoriser la production de sperme chez les hommes qui sont infertiles en raison d’un déficit de certaines hormones.</w:t>
      </w:r>
    </w:p>
    <w:p w:rsidR="00896658" w:rsidRPr="00C65506" w:rsidRDefault="00896658" w:rsidP="00496272">
      <w:pPr>
        <w:tabs>
          <w:tab w:val="clear" w:pos="567"/>
        </w:tabs>
        <w:ind w:right="-2"/>
        <w:rPr>
          <w:noProof/>
          <w:szCs w:val="22"/>
          <w:highlight w:val="yellow"/>
          <w:lang w:val="fr-FR"/>
        </w:rPr>
      </w:pPr>
    </w:p>
    <w:p w:rsidR="008A66DA" w:rsidRPr="00C65506" w:rsidRDefault="008A66DA" w:rsidP="004255BE">
      <w:pPr>
        <w:rPr>
          <w:b/>
          <w:noProof/>
          <w:szCs w:val="24"/>
          <w:lang w:val="fr-FR" w:bidi="yi-Hebr"/>
        </w:rPr>
      </w:pPr>
    </w:p>
    <w:p w:rsidR="00D05A45" w:rsidRPr="00C65506" w:rsidRDefault="00D05A45" w:rsidP="00D05A45">
      <w:pPr>
        <w:keepNext/>
        <w:keepLines/>
        <w:ind w:right="-2"/>
        <w:rPr>
          <w:b/>
          <w:noProof/>
          <w:szCs w:val="24"/>
          <w:lang w:val="fr-FR" w:bidi="yi-Hebr"/>
        </w:rPr>
      </w:pPr>
      <w:r w:rsidRPr="00C65506">
        <w:rPr>
          <w:b/>
          <w:noProof/>
          <w:szCs w:val="24"/>
          <w:lang w:val="fr-FR" w:bidi="yi-Hebr"/>
        </w:rPr>
        <w:t>2.</w:t>
      </w:r>
      <w:r w:rsidRPr="00C65506">
        <w:rPr>
          <w:b/>
          <w:noProof/>
          <w:szCs w:val="24"/>
          <w:lang w:val="fr-FR" w:bidi="yi-Hebr"/>
        </w:rPr>
        <w:tab/>
      </w:r>
      <w:r w:rsidRPr="00C65506">
        <w:rPr>
          <w:b/>
          <w:szCs w:val="24"/>
          <w:lang w:val="fr-FR" w:bidi="yi-Hebr"/>
        </w:rPr>
        <w:t>Quelles sont les informations à connaître avant d’utiliser Ovaleap</w:t>
      </w:r>
    </w:p>
    <w:p w:rsidR="009B6496" w:rsidRPr="00C65506" w:rsidRDefault="009B6496" w:rsidP="00496272">
      <w:pPr>
        <w:keepNext/>
        <w:keepLines/>
        <w:numPr>
          <w:ilvl w:val="12"/>
          <w:numId w:val="0"/>
        </w:numPr>
        <w:tabs>
          <w:tab w:val="clear" w:pos="567"/>
        </w:tabs>
        <w:outlineLvl w:val="0"/>
        <w:rPr>
          <w:i/>
          <w:noProof/>
          <w:szCs w:val="22"/>
          <w:lang w:val="fr-FR"/>
        </w:rPr>
      </w:pPr>
    </w:p>
    <w:p w:rsidR="00D05A45" w:rsidRPr="00C65506" w:rsidRDefault="00D05A45" w:rsidP="00D05A45">
      <w:pPr>
        <w:keepNext/>
        <w:keepLines/>
        <w:numPr>
          <w:ilvl w:val="12"/>
          <w:numId w:val="0"/>
        </w:numPr>
        <w:tabs>
          <w:tab w:val="clear" w:pos="567"/>
        </w:tabs>
        <w:outlineLvl w:val="0"/>
        <w:rPr>
          <w:noProof/>
          <w:szCs w:val="24"/>
          <w:lang w:val="fr-FR" w:bidi="yi-Hebr"/>
        </w:rPr>
      </w:pPr>
      <w:r w:rsidRPr="00C65506">
        <w:rPr>
          <w:b/>
          <w:szCs w:val="24"/>
          <w:lang w:val="fr-FR" w:bidi="yi-Hebr"/>
        </w:rPr>
        <w:t>N’utilisez jamais Ovaleap :</w:t>
      </w:r>
    </w:p>
    <w:p w:rsidR="00D05A45" w:rsidRPr="00C65506" w:rsidRDefault="00D05A45" w:rsidP="00297FB7">
      <w:pPr>
        <w:numPr>
          <w:ilvl w:val="0"/>
          <w:numId w:val="14"/>
        </w:numPr>
        <w:tabs>
          <w:tab w:val="clear" w:pos="567"/>
        </w:tabs>
        <w:ind w:left="567" w:hanging="567"/>
        <w:rPr>
          <w:noProof/>
          <w:szCs w:val="24"/>
          <w:lang w:val="fr-FR" w:bidi="yi-Hebr"/>
        </w:rPr>
      </w:pPr>
      <w:r w:rsidRPr="00C65506">
        <w:rPr>
          <w:szCs w:val="24"/>
          <w:lang w:val="fr-FR" w:bidi="yi-Hebr"/>
        </w:rPr>
        <w:t xml:space="preserve">si vous êtes allergique à la follitropine alfa, à </w:t>
      </w:r>
      <w:r w:rsidR="00AC639C" w:rsidRPr="00C65506">
        <w:rPr>
          <w:szCs w:val="24"/>
          <w:lang w:val="fr-FR" w:bidi="yi-Hebr"/>
        </w:rPr>
        <w:t>l’hormone folliculo-stimulante (</w:t>
      </w:r>
      <w:r w:rsidRPr="00C65506">
        <w:rPr>
          <w:szCs w:val="24"/>
          <w:lang w:val="fr-FR" w:bidi="yi-Hebr"/>
        </w:rPr>
        <w:t>FSH</w:t>
      </w:r>
      <w:r w:rsidR="00AC639C" w:rsidRPr="00C65506">
        <w:rPr>
          <w:szCs w:val="24"/>
          <w:lang w:val="fr-FR" w:bidi="yi-Hebr"/>
        </w:rPr>
        <w:t>)</w:t>
      </w:r>
      <w:r w:rsidRPr="00C65506">
        <w:rPr>
          <w:szCs w:val="24"/>
          <w:lang w:val="fr-FR" w:bidi="yi-Hebr"/>
        </w:rPr>
        <w:t xml:space="preserve"> ou à l’un des autres composants contenus dans ce médicament (mentionnés dans la rubrique 6).</w:t>
      </w:r>
    </w:p>
    <w:p w:rsidR="00D05A45" w:rsidRPr="00C65506" w:rsidRDefault="00D05A45" w:rsidP="00297FB7">
      <w:pPr>
        <w:numPr>
          <w:ilvl w:val="0"/>
          <w:numId w:val="14"/>
        </w:numPr>
        <w:tabs>
          <w:tab w:val="clear" w:pos="567"/>
        </w:tabs>
        <w:ind w:left="567" w:hanging="567"/>
        <w:rPr>
          <w:noProof/>
          <w:szCs w:val="24"/>
          <w:lang w:val="fr-FR" w:bidi="yi-Hebr"/>
        </w:rPr>
      </w:pPr>
      <w:r w:rsidRPr="00C65506">
        <w:rPr>
          <w:szCs w:val="24"/>
          <w:lang w:val="fr-FR" w:bidi="yi-Hebr"/>
        </w:rPr>
        <w:t>si vous avez une tumeur de l’hypothalamus ou de l’hypophyse</w:t>
      </w:r>
      <w:r w:rsidR="00932AD4" w:rsidRPr="00C65506">
        <w:rPr>
          <w:szCs w:val="24"/>
          <w:lang w:val="fr-FR" w:bidi="yi-Hebr"/>
        </w:rPr>
        <w:t xml:space="preserve"> (des </w:t>
      </w:r>
      <w:r w:rsidR="00291ABC" w:rsidRPr="00C65506">
        <w:rPr>
          <w:szCs w:val="24"/>
          <w:lang w:val="fr-FR" w:bidi="yi-Hebr"/>
        </w:rPr>
        <w:t>régions</w:t>
      </w:r>
      <w:r w:rsidR="00932AD4" w:rsidRPr="00C65506">
        <w:rPr>
          <w:szCs w:val="24"/>
          <w:lang w:val="fr-FR" w:bidi="yi-Hebr"/>
        </w:rPr>
        <w:t xml:space="preserve"> du</w:t>
      </w:r>
      <w:r w:rsidRPr="00C65506">
        <w:rPr>
          <w:szCs w:val="24"/>
          <w:lang w:val="fr-FR" w:bidi="yi-Hebr"/>
        </w:rPr>
        <w:t xml:space="preserve"> cerveau</w:t>
      </w:r>
      <w:r w:rsidR="00932AD4" w:rsidRPr="00C65506">
        <w:rPr>
          <w:szCs w:val="24"/>
          <w:lang w:val="fr-FR" w:bidi="yi-Hebr"/>
        </w:rPr>
        <w:t>)</w:t>
      </w:r>
      <w:r w:rsidRPr="00C65506">
        <w:rPr>
          <w:szCs w:val="24"/>
          <w:lang w:val="fr-FR" w:bidi="yi-Hebr"/>
        </w:rPr>
        <w:t>.</w:t>
      </w:r>
    </w:p>
    <w:p w:rsidR="00D05A45" w:rsidRPr="00C65506" w:rsidRDefault="00D05A45" w:rsidP="00297FB7">
      <w:pPr>
        <w:numPr>
          <w:ilvl w:val="0"/>
          <w:numId w:val="14"/>
        </w:numPr>
        <w:tabs>
          <w:tab w:val="clear" w:pos="567"/>
        </w:tabs>
        <w:ind w:left="567" w:hanging="567"/>
        <w:rPr>
          <w:noProof/>
          <w:szCs w:val="24"/>
          <w:lang w:val="fr-FR" w:bidi="yi-Hebr"/>
        </w:rPr>
      </w:pPr>
      <w:r w:rsidRPr="00C65506">
        <w:rPr>
          <w:szCs w:val="24"/>
          <w:lang w:val="fr-FR" w:bidi="yi-Hebr"/>
        </w:rPr>
        <w:t xml:space="preserve">si vous êtes une </w:t>
      </w:r>
      <w:r w:rsidRPr="00C65506">
        <w:rPr>
          <w:b/>
          <w:i/>
          <w:szCs w:val="24"/>
          <w:lang w:val="fr-FR" w:bidi="yi-Hebr"/>
        </w:rPr>
        <w:t xml:space="preserve">femme </w:t>
      </w:r>
      <w:r w:rsidRPr="00C65506">
        <w:rPr>
          <w:szCs w:val="24"/>
          <w:lang w:val="fr-FR" w:bidi="yi-Hebr"/>
        </w:rPr>
        <w:t>et que vous avez :</w:t>
      </w:r>
    </w:p>
    <w:p w:rsidR="00D05A45" w:rsidRPr="00C65506" w:rsidRDefault="00D05A45" w:rsidP="00297FB7">
      <w:pPr>
        <w:numPr>
          <w:ilvl w:val="0"/>
          <w:numId w:val="15"/>
        </w:numPr>
        <w:tabs>
          <w:tab w:val="clear" w:pos="567"/>
        </w:tabs>
        <w:ind w:left="1418" w:hanging="284"/>
        <w:rPr>
          <w:noProof/>
          <w:szCs w:val="24"/>
          <w:lang w:val="fr-FR" w:bidi="yi-Hebr"/>
        </w:rPr>
      </w:pPr>
      <w:r w:rsidRPr="00C65506">
        <w:rPr>
          <w:szCs w:val="24"/>
          <w:lang w:val="fr-FR" w:bidi="yi-Hebr"/>
        </w:rPr>
        <w:t>des ovaires de grande taille ou des poches de liquide dans les ovaires</w:t>
      </w:r>
      <w:r w:rsidR="00932AD4" w:rsidRPr="00C65506">
        <w:rPr>
          <w:szCs w:val="24"/>
          <w:lang w:val="fr-FR" w:bidi="yi-Hebr"/>
        </w:rPr>
        <w:t xml:space="preserve"> (kystes ovariens</w:t>
      </w:r>
      <w:r w:rsidRPr="00C65506">
        <w:rPr>
          <w:szCs w:val="24"/>
          <w:lang w:val="fr-FR" w:bidi="yi-Hebr"/>
        </w:rPr>
        <w:t>) d’origine inconnue.</w:t>
      </w:r>
    </w:p>
    <w:p w:rsidR="00D05A45" w:rsidRPr="00C65506" w:rsidRDefault="00D05A45" w:rsidP="00297FB7">
      <w:pPr>
        <w:numPr>
          <w:ilvl w:val="0"/>
          <w:numId w:val="15"/>
        </w:numPr>
        <w:tabs>
          <w:tab w:val="clear" w:pos="567"/>
        </w:tabs>
        <w:ind w:left="1418" w:hanging="284"/>
        <w:rPr>
          <w:noProof/>
          <w:szCs w:val="24"/>
          <w:lang w:val="fr-FR" w:bidi="yi-Hebr"/>
        </w:rPr>
      </w:pPr>
      <w:r w:rsidRPr="00C65506">
        <w:rPr>
          <w:szCs w:val="24"/>
          <w:lang w:val="fr-FR" w:bidi="yi-Hebr"/>
        </w:rPr>
        <w:t>des saignements vaginaux inexpliqués.</w:t>
      </w:r>
    </w:p>
    <w:p w:rsidR="00D05A45" w:rsidRPr="00C65506" w:rsidRDefault="00D05A45" w:rsidP="00297FB7">
      <w:pPr>
        <w:numPr>
          <w:ilvl w:val="0"/>
          <w:numId w:val="15"/>
        </w:numPr>
        <w:tabs>
          <w:tab w:val="clear" w:pos="567"/>
        </w:tabs>
        <w:ind w:left="1418" w:hanging="284"/>
        <w:rPr>
          <w:noProof/>
          <w:szCs w:val="24"/>
          <w:lang w:val="fr-FR" w:bidi="yi-Hebr"/>
        </w:rPr>
      </w:pPr>
      <w:r w:rsidRPr="00C65506">
        <w:rPr>
          <w:szCs w:val="24"/>
          <w:lang w:val="fr-FR" w:bidi="yi-Hebr"/>
        </w:rPr>
        <w:t>un cancer de l’ovaire, de l’utérus ou du sein.</w:t>
      </w:r>
    </w:p>
    <w:p w:rsidR="0079196B" w:rsidRPr="00C65506" w:rsidRDefault="0079196B" w:rsidP="00297FB7">
      <w:pPr>
        <w:numPr>
          <w:ilvl w:val="0"/>
          <w:numId w:val="15"/>
        </w:numPr>
        <w:tabs>
          <w:tab w:val="clear" w:pos="567"/>
        </w:tabs>
        <w:ind w:left="1418" w:hanging="284"/>
        <w:rPr>
          <w:noProof/>
          <w:szCs w:val="24"/>
          <w:lang w:val="fr-FR" w:bidi="yi-Hebr"/>
        </w:rPr>
      </w:pPr>
      <w:r w:rsidRPr="00C65506">
        <w:rPr>
          <w:szCs w:val="24"/>
          <w:lang w:val="fr-FR" w:bidi="yi-Hebr"/>
        </w:rPr>
        <w:t xml:space="preserve">tout problème qui rend généralement une grossesse impossible, tel qu’une insuffisance ovarienne (ménopause précoce), </w:t>
      </w:r>
      <w:r w:rsidR="00BA37E8" w:rsidRPr="00C65506">
        <w:rPr>
          <w:szCs w:val="24"/>
          <w:lang w:val="fr-FR" w:bidi="yi-Hebr"/>
        </w:rPr>
        <w:t>un fibrome utérin</w:t>
      </w:r>
      <w:r w:rsidRPr="00C65506">
        <w:rPr>
          <w:szCs w:val="24"/>
          <w:lang w:val="fr-FR" w:bidi="yi-Hebr"/>
        </w:rPr>
        <w:t xml:space="preserve"> ou une malformation des organes de reproduction.</w:t>
      </w:r>
    </w:p>
    <w:p w:rsidR="0079196B" w:rsidRPr="00C65506" w:rsidRDefault="0079196B" w:rsidP="00297FB7">
      <w:pPr>
        <w:numPr>
          <w:ilvl w:val="0"/>
          <w:numId w:val="16"/>
        </w:numPr>
        <w:ind w:left="567" w:hanging="567"/>
        <w:rPr>
          <w:noProof/>
          <w:szCs w:val="24"/>
          <w:lang w:val="fr-FR" w:bidi="yi-Hebr"/>
        </w:rPr>
      </w:pPr>
      <w:r w:rsidRPr="00C65506">
        <w:rPr>
          <w:szCs w:val="24"/>
          <w:lang w:val="fr-FR" w:bidi="yi-Hebr"/>
        </w:rPr>
        <w:t xml:space="preserve">si vous êtes un </w:t>
      </w:r>
      <w:r w:rsidRPr="00C65506">
        <w:rPr>
          <w:b/>
          <w:i/>
          <w:szCs w:val="24"/>
          <w:lang w:val="fr-FR" w:bidi="yi-Hebr"/>
        </w:rPr>
        <w:t xml:space="preserve">homme </w:t>
      </w:r>
      <w:r w:rsidRPr="00C65506">
        <w:rPr>
          <w:szCs w:val="24"/>
          <w:lang w:val="fr-FR" w:bidi="yi-Hebr"/>
        </w:rPr>
        <w:t>et que vous avez :</w:t>
      </w:r>
    </w:p>
    <w:p w:rsidR="0079196B" w:rsidRPr="00C65506" w:rsidRDefault="0079196B" w:rsidP="00297FB7">
      <w:pPr>
        <w:numPr>
          <w:ilvl w:val="0"/>
          <w:numId w:val="15"/>
        </w:numPr>
        <w:tabs>
          <w:tab w:val="clear" w:pos="567"/>
        </w:tabs>
        <w:ind w:left="1491" w:hanging="357"/>
        <w:rPr>
          <w:noProof/>
          <w:szCs w:val="24"/>
          <w:lang w:val="fr-FR" w:bidi="yi-Hebr"/>
        </w:rPr>
      </w:pPr>
      <w:r w:rsidRPr="00C65506">
        <w:rPr>
          <w:szCs w:val="24"/>
          <w:lang w:val="fr-FR" w:bidi="yi-Hebr"/>
        </w:rPr>
        <w:t xml:space="preserve">une </w:t>
      </w:r>
      <w:r w:rsidR="00932AD4" w:rsidRPr="00C65506">
        <w:rPr>
          <w:szCs w:val="24"/>
          <w:lang w:val="fr-FR" w:bidi="yi-Hebr"/>
        </w:rPr>
        <w:t>insuffisance testiculaire</w:t>
      </w:r>
      <w:r w:rsidRPr="00C65506">
        <w:rPr>
          <w:szCs w:val="24"/>
          <w:lang w:val="fr-FR" w:bidi="yi-Hebr"/>
        </w:rPr>
        <w:t xml:space="preserve"> qui ne </w:t>
      </w:r>
      <w:r w:rsidR="00932AD4" w:rsidRPr="00C65506">
        <w:rPr>
          <w:szCs w:val="24"/>
          <w:lang w:val="fr-FR" w:bidi="yi-Hebr"/>
        </w:rPr>
        <w:t>peut</w:t>
      </w:r>
      <w:r w:rsidRPr="00C65506">
        <w:rPr>
          <w:szCs w:val="24"/>
          <w:lang w:val="fr-FR" w:bidi="yi-Hebr"/>
        </w:rPr>
        <w:t xml:space="preserve"> pas</w:t>
      </w:r>
      <w:r w:rsidR="00932AD4" w:rsidRPr="00C65506">
        <w:rPr>
          <w:szCs w:val="24"/>
          <w:lang w:val="fr-FR" w:bidi="yi-Hebr"/>
        </w:rPr>
        <w:t xml:space="preserve"> être traitée</w:t>
      </w:r>
      <w:r w:rsidRPr="00C65506">
        <w:rPr>
          <w:szCs w:val="24"/>
          <w:lang w:val="fr-FR" w:bidi="yi-Hebr"/>
        </w:rPr>
        <w:t>.</w:t>
      </w:r>
    </w:p>
    <w:p w:rsidR="008E6011" w:rsidRPr="00C65506" w:rsidRDefault="008E6011" w:rsidP="00496272">
      <w:pPr>
        <w:rPr>
          <w:noProof/>
          <w:lang w:val="fr-FR"/>
        </w:rPr>
      </w:pPr>
    </w:p>
    <w:p w:rsidR="0079196B" w:rsidRPr="00C65506" w:rsidRDefault="0079196B" w:rsidP="000259FC">
      <w:pPr>
        <w:rPr>
          <w:noProof/>
          <w:szCs w:val="24"/>
          <w:lang w:val="fr-FR" w:bidi="yi-Hebr"/>
        </w:rPr>
      </w:pPr>
      <w:r w:rsidRPr="00C65506">
        <w:rPr>
          <w:szCs w:val="24"/>
          <w:lang w:val="fr-FR" w:bidi="yi-Hebr"/>
        </w:rPr>
        <w:t xml:space="preserve">N’utilisez jamais </w:t>
      </w:r>
      <w:r w:rsidR="000259FC" w:rsidRPr="00C65506">
        <w:rPr>
          <w:szCs w:val="24"/>
          <w:lang w:val="fr-FR" w:bidi="yi-Hebr"/>
        </w:rPr>
        <w:t xml:space="preserve">ce médicament </w:t>
      </w:r>
      <w:r w:rsidRPr="00C65506">
        <w:rPr>
          <w:szCs w:val="24"/>
          <w:lang w:val="fr-FR" w:bidi="yi-Hebr"/>
        </w:rPr>
        <w:t>si vous êtes dans l’une des situations décrites ci-dessus. En cas de doute, consultez votre médecin ou votre pharmacien avant d’utiliser ce médicament.</w:t>
      </w:r>
    </w:p>
    <w:p w:rsidR="00BC0C26" w:rsidRPr="00C65506" w:rsidRDefault="00BC0C26" w:rsidP="00496272">
      <w:pPr>
        <w:numPr>
          <w:ilvl w:val="12"/>
          <w:numId w:val="0"/>
        </w:numPr>
        <w:tabs>
          <w:tab w:val="clear" w:pos="567"/>
        </w:tabs>
        <w:rPr>
          <w:noProof/>
          <w:szCs w:val="22"/>
          <w:lang w:val="fr-FR"/>
        </w:rPr>
      </w:pPr>
    </w:p>
    <w:p w:rsidR="0079196B" w:rsidRPr="00C65506" w:rsidRDefault="0079196B" w:rsidP="0079196B">
      <w:pPr>
        <w:numPr>
          <w:ilvl w:val="12"/>
          <w:numId w:val="0"/>
        </w:numPr>
        <w:tabs>
          <w:tab w:val="clear" w:pos="567"/>
        </w:tabs>
        <w:outlineLvl w:val="0"/>
        <w:rPr>
          <w:b/>
          <w:noProof/>
          <w:szCs w:val="24"/>
          <w:lang w:val="fr-FR" w:bidi="yi-Hebr"/>
        </w:rPr>
      </w:pPr>
      <w:r w:rsidRPr="00C65506">
        <w:rPr>
          <w:b/>
          <w:szCs w:val="24"/>
          <w:lang w:val="fr-FR" w:bidi="yi-Hebr"/>
        </w:rPr>
        <w:t>Avertissements et précautions</w:t>
      </w:r>
    </w:p>
    <w:p w:rsidR="0079196B" w:rsidRPr="00C65506" w:rsidRDefault="0079196B" w:rsidP="0079196B">
      <w:pPr>
        <w:numPr>
          <w:ilvl w:val="12"/>
          <w:numId w:val="0"/>
        </w:numPr>
        <w:tabs>
          <w:tab w:val="clear" w:pos="567"/>
        </w:tabs>
        <w:ind w:right="-2"/>
        <w:rPr>
          <w:noProof/>
          <w:szCs w:val="24"/>
          <w:lang w:val="fr-FR" w:bidi="yi-Hebr"/>
        </w:rPr>
      </w:pPr>
      <w:r w:rsidRPr="00C65506">
        <w:rPr>
          <w:szCs w:val="24"/>
          <w:lang w:val="fr-FR" w:bidi="yi-Hebr"/>
        </w:rPr>
        <w:t xml:space="preserve">Avant le début du traitement, votre </w:t>
      </w:r>
      <w:r w:rsidR="00F235D9" w:rsidRPr="00C65506">
        <w:rPr>
          <w:szCs w:val="24"/>
          <w:lang w:val="fr-FR" w:bidi="yi-Hebr"/>
        </w:rPr>
        <w:t xml:space="preserve">fertilité </w:t>
      </w:r>
      <w:r w:rsidRPr="00C65506">
        <w:rPr>
          <w:szCs w:val="24"/>
          <w:lang w:val="fr-FR" w:bidi="yi-Hebr"/>
        </w:rPr>
        <w:t>et celle de votre partenaire doivent être évaluées par un médecin expérimenté dans le traitement des troubles de la fertilité.</w:t>
      </w:r>
    </w:p>
    <w:p w:rsidR="00D22352" w:rsidRPr="00C65506" w:rsidRDefault="00D22352" w:rsidP="00496272">
      <w:pPr>
        <w:numPr>
          <w:ilvl w:val="12"/>
          <w:numId w:val="0"/>
        </w:numPr>
        <w:tabs>
          <w:tab w:val="clear" w:pos="567"/>
        </w:tabs>
        <w:rPr>
          <w:noProof/>
          <w:szCs w:val="22"/>
          <w:lang w:val="fr-FR"/>
        </w:rPr>
      </w:pPr>
    </w:p>
    <w:p w:rsidR="0079196B" w:rsidRPr="00C65506" w:rsidRDefault="0079196B" w:rsidP="0079196B">
      <w:pPr>
        <w:numPr>
          <w:ilvl w:val="12"/>
          <w:numId w:val="0"/>
        </w:numPr>
        <w:tabs>
          <w:tab w:val="clear" w:pos="567"/>
        </w:tabs>
        <w:rPr>
          <w:noProof/>
          <w:szCs w:val="24"/>
          <w:u w:val="single"/>
          <w:lang w:val="fr-FR" w:bidi="yi-Hebr"/>
        </w:rPr>
      </w:pPr>
      <w:r w:rsidRPr="00C65506">
        <w:rPr>
          <w:szCs w:val="24"/>
          <w:u w:val="single"/>
          <w:lang w:val="fr-FR" w:bidi="yi-Hebr"/>
        </w:rPr>
        <w:t>Porphyrie</w:t>
      </w:r>
    </w:p>
    <w:p w:rsidR="0079196B" w:rsidRPr="00C65506" w:rsidRDefault="0079196B" w:rsidP="0079196B">
      <w:pPr>
        <w:numPr>
          <w:ilvl w:val="12"/>
          <w:numId w:val="0"/>
        </w:numPr>
        <w:tabs>
          <w:tab w:val="clear" w:pos="567"/>
        </w:tabs>
        <w:rPr>
          <w:noProof/>
          <w:szCs w:val="24"/>
          <w:lang w:val="fr-FR" w:bidi="yi-Hebr"/>
        </w:rPr>
      </w:pPr>
      <w:r w:rsidRPr="00C65506">
        <w:rPr>
          <w:szCs w:val="24"/>
          <w:lang w:val="fr-FR" w:bidi="yi-Hebr"/>
        </w:rPr>
        <w:t>Prévenez votre médecin avant de commencer le traitement si vous ou un membre de votre famille présentez une porphyrie. Il s’agit d’une maladie qui peut être transmise aux enfants par les parents et qui entraîne une incapacité à dégrader les porphyrines (des composés organiques).</w:t>
      </w:r>
    </w:p>
    <w:p w:rsidR="0079196B" w:rsidRPr="00C65506" w:rsidRDefault="0079196B" w:rsidP="0079196B">
      <w:pPr>
        <w:numPr>
          <w:ilvl w:val="12"/>
          <w:numId w:val="0"/>
        </w:numPr>
        <w:tabs>
          <w:tab w:val="clear" w:pos="567"/>
        </w:tabs>
        <w:rPr>
          <w:noProof/>
          <w:szCs w:val="24"/>
          <w:lang w:val="fr-FR" w:bidi="yi-Hebr"/>
        </w:rPr>
      </w:pPr>
      <w:r w:rsidRPr="00C65506">
        <w:rPr>
          <w:szCs w:val="24"/>
          <w:lang w:val="fr-FR" w:bidi="yi-Hebr"/>
        </w:rPr>
        <w:t>Informez immédiatement votre médecin si :</w:t>
      </w:r>
    </w:p>
    <w:p w:rsidR="0079196B" w:rsidRPr="00C65506" w:rsidRDefault="0079196B" w:rsidP="00297FB7">
      <w:pPr>
        <w:numPr>
          <w:ilvl w:val="0"/>
          <w:numId w:val="16"/>
        </w:numPr>
        <w:tabs>
          <w:tab w:val="clear" w:pos="567"/>
        </w:tabs>
        <w:ind w:left="567" w:hanging="567"/>
        <w:rPr>
          <w:noProof/>
          <w:szCs w:val="24"/>
          <w:lang w:val="fr-FR" w:bidi="yi-Hebr"/>
        </w:rPr>
      </w:pPr>
      <w:r w:rsidRPr="00C65506">
        <w:rPr>
          <w:szCs w:val="24"/>
          <w:lang w:val="fr-FR" w:bidi="yi-Hebr"/>
        </w:rPr>
        <w:t>votre peau se fragilise ou cloque facilement, en particulier les peaux qui ont été fréquemment exposées au soleil, et/ou</w:t>
      </w:r>
    </w:p>
    <w:p w:rsidR="0079196B" w:rsidRPr="00C65506" w:rsidRDefault="0079196B" w:rsidP="00297FB7">
      <w:pPr>
        <w:numPr>
          <w:ilvl w:val="0"/>
          <w:numId w:val="16"/>
        </w:numPr>
        <w:tabs>
          <w:tab w:val="clear" w:pos="567"/>
        </w:tabs>
        <w:ind w:left="567" w:hanging="567"/>
        <w:rPr>
          <w:noProof/>
          <w:szCs w:val="24"/>
          <w:lang w:val="fr-FR" w:bidi="yi-Hebr"/>
        </w:rPr>
      </w:pPr>
      <w:r w:rsidRPr="00C65506">
        <w:rPr>
          <w:szCs w:val="24"/>
          <w:lang w:val="fr-FR" w:bidi="yi-Hebr"/>
        </w:rPr>
        <w:t>vous ressentez des maux d’estomac, ou des douleurs dans les bras ou les jambes.</w:t>
      </w:r>
    </w:p>
    <w:p w:rsidR="0079196B" w:rsidRPr="00C65506" w:rsidRDefault="0079196B" w:rsidP="0079196B">
      <w:pPr>
        <w:numPr>
          <w:ilvl w:val="12"/>
          <w:numId w:val="0"/>
        </w:numPr>
        <w:tabs>
          <w:tab w:val="clear" w:pos="567"/>
        </w:tabs>
        <w:rPr>
          <w:noProof/>
          <w:szCs w:val="24"/>
          <w:lang w:val="fr-FR" w:bidi="yi-Hebr"/>
        </w:rPr>
      </w:pPr>
      <w:r w:rsidRPr="00C65506">
        <w:rPr>
          <w:szCs w:val="24"/>
          <w:lang w:val="fr-FR" w:bidi="yi-Hebr"/>
        </w:rPr>
        <w:t>Si vous présentez les symptômes ci-dessus, votre médecin pourra vous recommander d’arrêter le traitement.</w:t>
      </w:r>
    </w:p>
    <w:p w:rsidR="00D22352" w:rsidRPr="00C65506" w:rsidRDefault="00D22352" w:rsidP="00496272">
      <w:pPr>
        <w:numPr>
          <w:ilvl w:val="12"/>
          <w:numId w:val="0"/>
        </w:numPr>
        <w:tabs>
          <w:tab w:val="clear" w:pos="567"/>
        </w:tabs>
        <w:rPr>
          <w:noProof/>
          <w:szCs w:val="22"/>
          <w:lang w:val="fr-FR"/>
        </w:rPr>
      </w:pPr>
    </w:p>
    <w:p w:rsidR="0079196B" w:rsidRPr="00C65506" w:rsidRDefault="0079196B" w:rsidP="0079196B">
      <w:pPr>
        <w:numPr>
          <w:ilvl w:val="12"/>
          <w:numId w:val="0"/>
        </w:numPr>
        <w:tabs>
          <w:tab w:val="clear" w:pos="567"/>
        </w:tabs>
        <w:rPr>
          <w:noProof/>
          <w:szCs w:val="24"/>
          <w:u w:val="single"/>
          <w:lang w:val="fr-FR" w:bidi="yi-Hebr"/>
        </w:rPr>
      </w:pPr>
      <w:r w:rsidRPr="00C65506">
        <w:rPr>
          <w:szCs w:val="24"/>
          <w:u w:val="single"/>
          <w:lang w:val="fr-FR" w:bidi="yi-Hebr"/>
        </w:rPr>
        <w:t>Syndrome d’hyperstimulation ovarienne (SHO)</w:t>
      </w:r>
    </w:p>
    <w:p w:rsidR="0079196B" w:rsidRPr="00C65506" w:rsidRDefault="0079196B" w:rsidP="0079196B">
      <w:pPr>
        <w:numPr>
          <w:ilvl w:val="12"/>
          <w:numId w:val="0"/>
        </w:numPr>
        <w:tabs>
          <w:tab w:val="clear" w:pos="567"/>
        </w:tabs>
        <w:rPr>
          <w:noProof/>
          <w:szCs w:val="24"/>
          <w:lang w:val="fr-FR" w:bidi="yi-Hebr"/>
        </w:rPr>
      </w:pPr>
      <w:r w:rsidRPr="00C65506">
        <w:rPr>
          <w:szCs w:val="24"/>
          <w:lang w:val="fr-FR" w:bidi="yi-Hebr"/>
        </w:rPr>
        <w:t>Si vous êtes une femme, ce médicament accroît le risque de développer un SHO. On parle de SHO lorsque vos follicules grossissent trop et se transforment en gros kystes.</w:t>
      </w:r>
    </w:p>
    <w:p w:rsidR="00860595" w:rsidRPr="00C65506" w:rsidRDefault="00860595" w:rsidP="00496272">
      <w:pPr>
        <w:numPr>
          <w:ilvl w:val="12"/>
          <w:numId w:val="0"/>
        </w:numPr>
        <w:tabs>
          <w:tab w:val="clear" w:pos="567"/>
        </w:tabs>
        <w:rPr>
          <w:noProof/>
          <w:szCs w:val="22"/>
          <w:lang w:val="fr-FR"/>
        </w:rPr>
      </w:pPr>
    </w:p>
    <w:p w:rsidR="0079196B" w:rsidRPr="00C65506" w:rsidRDefault="0079196B" w:rsidP="0079196B">
      <w:pPr>
        <w:numPr>
          <w:ilvl w:val="12"/>
          <w:numId w:val="0"/>
        </w:numPr>
        <w:tabs>
          <w:tab w:val="clear" w:pos="567"/>
        </w:tabs>
        <w:rPr>
          <w:noProof/>
          <w:szCs w:val="24"/>
          <w:lang w:val="fr-FR" w:bidi="yi-Hebr"/>
        </w:rPr>
      </w:pPr>
      <w:r w:rsidRPr="00C65506">
        <w:rPr>
          <w:szCs w:val="24"/>
          <w:lang w:val="fr-FR" w:bidi="yi-Hebr"/>
        </w:rPr>
        <w:t>Consultez immédiatement votre médecin si :</w:t>
      </w:r>
    </w:p>
    <w:p w:rsidR="0079196B" w:rsidRPr="00C65506" w:rsidRDefault="0079196B" w:rsidP="00297FB7">
      <w:pPr>
        <w:numPr>
          <w:ilvl w:val="0"/>
          <w:numId w:val="16"/>
        </w:numPr>
        <w:tabs>
          <w:tab w:val="clear" w:pos="567"/>
        </w:tabs>
        <w:ind w:left="567" w:hanging="567"/>
        <w:rPr>
          <w:noProof/>
          <w:szCs w:val="24"/>
          <w:lang w:val="fr-FR" w:bidi="yi-Hebr"/>
        </w:rPr>
      </w:pPr>
      <w:r w:rsidRPr="00C65506">
        <w:rPr>
          <w:szCs w:val="24"/>
          <w:lang w:val="fr-FR" w:bidi="yi-Hebr"/>
        </w:rPr>
        <w:t xml:space="preserve">vous ressentez des douleurs dans le bas </w:t>
      </w:r>
      <w:r w:rsidR="00F83B1C" w:rsidRPr="00C65506">
        <w:rPr>
          <w:szCs w:val="24"/>
          <w:lang w:val="fr-FR" w:bidi="yi-Hebr"/>
        </w:rPr>
        <w:t>de l’abdomen (</w:t>
      </w:r>
      <w:r w:rsidRPr="00C65506">
        <w:rPr>
          <w:szCs w:val="24"/>
          <w:lang w:val="fr-FR" w:bidi="yi-Hebr"/>
        </w:rPr>
        <w:t>ventre</w:t>
      </w:r>
      <w:r w:rsidR="00F83B1C" w:rsidRPr="00C65506">
        <w:rPr>
          <w:szCs w:val="24"/>
          <w:lang w:val="fr-FR" w:bidi="yi-Hebr"/>
        </w:rPr>
        <w:t>)</w:t>
      </w:r>
      <w:r w:rsidRPr="00C65506">
        <w:rPr>
          <w:szCs w:val="24"/>
          <w:lang w:val="fr-FR" w:bidi="yi-Hebr"/>
        </w:rPr>
        <w:t>,</w:t>
      </w:r>
    </w:p>
    <w:p w:rsidR="0079196B" w:rsidRPr="00C65506" w:rsidRDefault="0079196B" w:rsidP="00297FB7">
      <w:pPr>
        <w:numPr>
          <w:ilvl w:val="0"/>
          <w:numId w:val="16"/>
        </w:numPr>
        <w:tabs>
          <w:tab w:val="clear" w:pos="567"/>
        </w:tabs>
        <w:ind w:left="567" w:hanging="567"/>
        <w:rPr>
          <w:noProof/>
          <w:szCs w:val="24"/>
          <w:lang w:val="fr-FR" w:bidi="yi-Hebr"/>
        </w:rPr>
      </w:pPr>
      <w:r w:rsidRPr="00C65506">
        <w:rPr>
          <w:szCs w:val="24"/>
          <w:lang w:val="fr-FR" w:bidi="yi-Hebr"/>
        </w:rPr>
        <w:t>vous prenez du poids rapidement,</w:t>
      </w:r>
    </w:p>
    <w:p w:rsidR="0079196B" w:rsidRPr="00C65506" w:rsidRDefault="0079196B" w:rsidP="00297FB7">
      <w:pPr>
        <w:numPr>
          <w:ilvl w:val="0"/>
          <w:numId w:val="16"/>
        </w:numPr>
        <w:tabs>
          <w:tab w:val="clear" w:pos="567"/>
        </w:tabs>
        <w:ind w:left="567" w:hanging="567"/>
        <w:rPr>
          <w:noProof/>
          <w:szCs w:val="24"/>
          <w:lang w:val="fr-FR" w:bidi="yi-Hebr"/>
        </w:rPr>
      </w:pPr>
      <w:r w:rsidRPr="00C65506">
        <w:rPr>
          <w:szCs w:val="24"/>
          <w:lang w:val="fr-FR" w:bidi="yi-Hebr"/>
        </w:rPr>
        <w:t>vous avez des nausées ou des vomissements,</w:t>
      </w:r>
    </w:p>
    <w:p w:rsidR="00B07A4B" w:rsidRPr="00C65506" w:rsidRDefault="00B07A4B" w:rsidP="00297FB7">
      <w:pPr>
        <w:numPr>
          <w:ilvl w:val="0"/>
          <w:numId w:val="16"/>
        </w:numPr>
        <w:tabs>
          <w:tab w:val="clear" w:pos="567"/>
        </w:tabs>
        <w:ind w:left="567" w:hanging="567"/>
        <w:rPr>
          <w:noProof/>
          <w:szCs w:val="24"/>
          <w:lang w:val="fr-FR" w:bidi="yi-Hebr"/>
        </w:rPr>
      </w:pPr>
      <w:r w:rsidRPr="00C65506">
        <w:rPr>
          <w:szCs w:val="24"/>
          <w:lang w:val="fr-FR" w:bidi="yi-Hebr"/>
        </w:rPr>
        <w:t>vous ressentez des difficultés à respirer.</w:t>
      </w:r>
    </w:p>
    <w:p w:rsidR="00B07A4B" w:rsidRPr="00C65506" w:rsidRDefault="00B07A4B" w:rsidP="00B07A4B">
      <w:pPr>
        <w:numPr>
          <w:ilvl w:val="12"/>
          <w:numId w:val="0"/>
        </w:numPr>
        <w:tabs>
          <w:tab w:val="clear" w:pos="567"/>
        </w:tabs>
        <w:rPr>
          <w:noProof/>
          <w:szCs w:val="24"/>
          <w:lang w:val="fr-FR" w:bidi="yi-Hebr"/>
        </w:rPr>
      </w:pPr>
      <w:r w:rsidRPr="00C65506">
        <w:rPr>
          <w:szCs w:val="24"/>
          <w:lang w:val="fr-FR" w:bidi="yi-Hebr"/>
        </w:rPr>
        <w:t>Si vous présentez les symptômes ci-dessus, votre médecin pourra vous demander d’arrêter d’utiliser ce médicament (voir également « Effets indésirables graves chez la femme » dans la rubrique 4).</w:t>
      </w:r>
    </w:p>
    <w:p w:rsidR="00D22352" w:rsidRPr="00C65506" w:rsidRDefault="00D22352" w:rsidP="00496272">
      <w:pPr>
        <w:numPr>
          <w:ilvl w:val="12"/>
          <w:numId w:val="0"/>
        </w:numPr>
        <w:tabs>
          <w:tab w:val="clear" w:pos="567"/>
        </w:tabs>
        <w:rPr>
          <w:noProof/>
          <w:szCs w:val="22"/>
          <w:lang w:val="fr-FR"/>
        </w:rPr>
      </w:pPr>
    </w:p>
    <w:p w:rsidR="00B07A4B" w:rsidRPr="00C65506" w:rsidRDefault="00B07A4B" w:rsidP="00BA37E8">
      <w:pPr>
        <w:numPr>
          <w:ilvl w:val="12"/>
          <w:numId w:val="0"/>
        </w:numPr>
        <w:tabs>
          <w:tab w:val="clear" w:pos="567"/>
        </w:tabs>
        <w:rPr>
          <w:noProof/>
          <w:szCs w:val="24"/>
          <w:lang w:val="fr-FR" w:bidi="yi-Hebr"/>
        </w:rPr>
      </w:pPr>
      <w:r w:rsidRPr="00C65506">
        <w:rPr>
          <w:szCs w:val="24"/>
          <w:lang w:val="fr-FR" w:bidi="yi-Hebr"/>
        </w:rPr>
        <w:t xml:space="preserve">Dans le cas où vous n’ovulez pas, et si les doses et le </w:t>
      </w:r>
      <w:r w:rsidR="009A2EFA" w:rsidRPr="00C65506">
        <w:rPr>
          <w:szCs w:val="24"/>
          <w:lang w:val="fr-FR" w:bidi="yi-Hebr"/>
        </w:rPr>
        <w:t>calendrier</w:t>
      </w:r>
      <w:r w:rsidRPr="00C65506">
        <w:rPr>
          <w:szCs w:val="24"/>
          <w:lang w:val="fr-FR" w:bidi="yi-Hebr"/>
        </w:rPr>
        <w:t xml:space="preserve"> </w:t>
      </w:r>
      <w:r w:rsidR="00BA37E8" w:rsidRPr="00C65506">
        <w:rPr>
          <w:szCs w:val="24"/>
          <w:lang w:val="fr-FR" w:bidi="yi-Hebr"/>
        </w:rPr>
        <w:t xml:space="preserve">recommandés </w:t>
      </w:r>
      <w:r w:rsidRPr="00C65506">
        <w:rPr>
          <w:szCs w:val="24"/>
          <w:lang w:val="fr-FR" w:bidi="yi-Hebr"/>
        </w:rPr>
        <w:t xml:space="preserve">sont respectés, la survenue d’un SHO est moins probable. Ovaleap déclenche rarement un SHO sévère, à moins que le médicament qui est utilisé pour la maturation folliculaire finale (choriogonadotropine humaine, hCG) </w:t>
      </w:r>
      <w:r w:rsidRPr="00C65506">
        <w:rPr>
          <w:szCs w:val="24"/>
          <w:lang w:val="fr-FR" w:bidi="yi-Hebr"/>
        </w:rPr>
        <w:lastRenderedPageBreak/>
        <w:t>n’ait été administré. Si vous développez un SHO, les recommandations de votre médecin pourront être les suivantes : ne pas prendre de hCG pendant ce cycle de traitement et ne pas avoir de rapport sexuel ou utiliser des moyens contraceptifs mécaniques pendant au moins 4 jours.</w:t>
      </w:r>
    </w:p>
    <w:p w:rsidR="00D22352" w:rsidRPr="00C65506" w:rsidRDefault="00D22352" w:rsidP="00496272">
      <w:pPr>
        <w:numPr>
          <w:ilvl w:val="12"/>
          <w:numId w:val="0"/>
        </w:numPr>
        <w:tabs>
          <w:tab w:val="clear" w:pos="567"/>
        </w:tabs>
        <w:rPr>
          <w:noProof/>
          <w:szCs w:val="22"/>
          <w:lang w:val="fr-FR"/>
        </w:rPr>
      </w:pPr>
    </w:p>
    <w:p w:rsidR="00B07A4B" w:rsidRPr="00C65506" w:rsidRDefault="00B07A4B" w:rsidP="00B07A4B">
      <w:pPr>
        <w:numPr>
          <w:ilvl w:val="12"/>
          <w:numId w:val="0"/>
        </w:numPr>
        <w:tabs>
          <w:tab w:val="clear" w:pos="567"/>
        </w:tabs>
        <w:rPr>
          <w:noProof/>
          <w:szCs w:val="24"/>
          <w:u w:val="single"/>
          <w:lang w:val="fr-FR" w:bidi="yi-Hebr"/>
        </w:rPr>
      </w:pPr>
      <w:r w:rsidRPr="00C65506">
        <w:rPr>
          <w:szCs w:val="24"/>
          <w:u w:val="single"/>
          <w:lang w:val="fr-FR" w:bidi="yi-Hebr"/>
        </w:rPr>
        <w:t>Grossesse multiple</w:t>
      </w:r>
    </w:p>
    <w:p w:rsidR="00B07A4B" w:rsidRPr="00C65506" w:rsidRDefault="00B07A4B" w:rsidP="009F136A">
      <w:pPr>
        <w:numPr>
          <w:ilvl w:val="12"/>
          <w:numId w:val="0"/>
        </w:numPr>
        <w:tabs>
          <w:tab w:val="clear" w:pos="567"/>
        </w:tabs>
        <w:rPr>
          <w:noProof/>
          <w:szCs w:val="24"/>
          <w:lang w:val="fr-FR" w:bidi="yi-Hebr"/>
        </w:rPr>
      </w:pPr>
      <w:r w:rsidRPr="00C65506">
        <w:rPr>
          <w:szCs w:val="24"/>
          <w:lang w:val="fr-FR" w:bidi="yi-Hebr"/>
        </w:rPr>
        <w:t xml:space="preserve">Sous traitement par </w:t>
      </w:r>
      <w:r w:rsidR="009F136A" w:rsidRPr="00C65506">
        <w:rPr>
          <w:szCs w:val="24"/>
          <w:lang w:val="fr-FR" w:bidi="yi-Hebr"/>
        </w:rPr>
        <w:t>ce médicament</w:t>
      </w:r>
      <w:r w:rsidRPr="00C65506">
        <w:rPr>
          <w:szCs w:val="24"/>
          <w:lang w:val="fr-FR" w:bidi="yi-Hebr"/>
        </w:rPr>
        <w:t>, vous présentez un risque plus élevé d’être enceinte de plusieurs enfants (</w:t>
      </w:r>
      <w:r w:rsidR="000A3D10" w:rsidRPr="00C65506">
        <w:rPr>
          <w:szCs w:val="24"/>
          <w:lang w:val="fr-FR" w:bidi="yi-Hebr"/>
        </w:rPr>
        <w:t xml:space="preserve">ce qu’on appelle </w:t>
      </w:r>
      <w:r w:rsidRPr="00C65506">
        <w:rPr>
          <w:szCs w:val="24"/>
          <w:lang w:val="fr-FR" w:bidi="yi-Hebr"/>
        </w:rPr>
        <w:t>« grossesse multiple », généralement des jumeaux) qu’en cas de conception naturelle. Une grossesse multiple peut entraîner des complications médicales pour vous et pour vos bébés. Vous pouvez limiter le risque de grossesse multiple en respectant les doses prescrites et les heures de prise d</w:t>
      </w:r>
      <w:r w:rsidR="009F136A" w:rsidRPr="00C65506">
        <w:rPr>
          <w:szCs w:val="24"/>
          <w:lang w:val="fr-FR" w:bidi="yi-Hebr"/>
        </w:rPr>
        <w:t>e ce médicament</w:t>
      </w:r>
      <w:r w:rsidRPr="00C65506">
        <w:rPr>
          <w:szCs w:val="24"/>
          <w:lang w:val="fr-FR" w:bidi="yi-Hebr"/>
        </w:rPr>
        <w:t>. En cas de recours à une Assistance Médicale à la Procréation, le risque de grossesse multiple est lié à votre âge, à la qualité et au nombre d’ovules fécondés ou d’embryons qui sont transférés dans votre utérus.</w:t>
      </w:r>
    </w:p>
    <w:p w:rsidR="00D22352" w:rsidRPr="00C65506" w:rsidRDefault="00D22352" w:rsidP="00496272">
      <w:pPr>
        <w:numPr>
          <w:ilvl w:val="12"/>
          <w:numId w:val="0"/>
        </w:numPr>
        <w:tabs>
          <w:tab w:val="clear" w:pos="567"/>
        </w:tabs>
        <w:rPr>
          <w:noProof/>
          <w:szCs w:val="22"/>
          <w:lang w:val="fr-FR"/>
        </w:rPr>
      </w:pPr>
    </w:p>
    <w:p w:rsidR="00B07A4B" w:rsidRPr="00C65506" w:rsidRDefault="00B07A4B" w:rsidP="00B07A4B">
      <w:pPr>
        <w:numPr>
          <w:ilvl w:val="12"/>
          <w:numId w:val="0"/>
        </w:numPr>
        <w:tabs>
          <w:tab w:val="clear" w:pos="567"/>
        </w:tabs>
        <w:rPr>
          <w:noProof/>
          <w:szCs w:val="24"/>
          <w:u w:val="single"/>
          <w:lang w:val="fr-FR" w:bidi="yi-Hebr"/>
        </w:rPr>
      </w:pPr>
      <w:r w:rsidRPr="00C65506">
        <w:rPr>
          <w:szCs w:val="24"/>
          <w:u w:val="single"/>
          <w:lang w:val="fr-FR" w:bidi="yi-Hebr"/>
        </w:rPr>
        <w:t>Fausse couche</w:t>
      </w:r>
    </w:p>
    <w:p w:rsidR="00E00A05" w:rsidRPr="00C65506" w:rsidRDefault="00E00A05" w:rsidP="00E00A05">
      <w:pPr>
        <w:numPr>
          <w:ilvl w:val="12"/>
          <w:numId w:val="0"/>
        </w:numPr>
        <w:tabs>
          <w:tab w:val="clear" w:pos="567"/>
        </w:tabs>
        <w:rPr>
          <w:noProof/>
          <w:szCs w:val="24"/>
          <w:lang w:val="fr-FR" w:bidi="yi-Hebr"/>
        </w:rPr>
      </w:pPr>
      <w:r w:rsidRPr="00C65506">
        <w:rPr>
          <w:szCs w:val="24"/>
          <w:lang w:val="fr-FR" w:bidi="yi-Hebr"/>
        </w:rPr>
        <w:t>Vous avez un risque plus élevé de faire une fausse couche que la moyenne des femmes lorsque vous avez recours à une Assistance Médicale à la Procréation ou à une stimulation de vos ovaires en vue de la production d’ovules.</w:t>
      </w:r>
    </w:p>
    <w:p w:rsidR="00D22352" w:rsidRPr="00C65506" w:rsidRDefault="00D22352" w:rsidP="00496272">
      <w:pPr>
        <w:numPr>
          <w:ilvl w:val="12"/>
          <w:numId w:val="0"/>
        </w:numPr>
        <w:tabs>
          <w:tab w:val="clear" w:pos="567"/>
        </w:tabs>
        <w:rPr>
          <w:noProof/>
          <w:szCs w:val="22"/>
          <w:lang w:val="fr-FR"/>
        </w:rPr>
      </w:pPr>
    </w:p>
    <w:p w:rsidR="00E00A05" w:rsidRPr="00C65506" w:rsidRDefault="00E00A05" w:rsidP="00E00A05">
      <w:pPr>
        <w:numPr>
          <w:ilvl w:val="12"/>
          <w:numId w:val="0"/>
        </w:numPr>
        <w:tabs>
          <w:tab w:val="clear" w:pos="567"/>
        </w:tabs>
        <w:rPr>
          <w:noProof/>
          <w:szCs w:val="24"/>
          <w:u w:val="single"/>
          <w:lang w:val="fr-FR" w:bidi="yi-Hebr"/>
        </w:rPr>
      </w:pPr>
      <w:r w:rsidRPr="00C65506">
        <w:rPr>
          <w:szCs w:val="24"/>
          <w:u w:val="single"/>
          <w:lang w:val="fr-FR" w:bidi="yi-Hebr"/>
        </w:rPr>
        <w:t>Grossesse ectopique</w:t>
      </w:r>
    </w:p>
    <w:p w:rsidR="000618FA" w:rsidRPr="00C65506" w:rsidRDefault="00E00A05" w:rsidP="00E00A05">
      <w:pPr>
        <w:numPr>
          <w:ilvl w:val="12"/>
          <w:numId w:val="0"/>
        </w:numPr>
        <w:tabs>
          <w:tab w:val="clear" w:pos="567"/>
        </w:tabs>
        <w:rPr>
          <w:noProof/>
          <w:szCs w:val="24"/>
          <w:lang w:val="fr-FR" w:bidi="yi-Hebr"/>
        </w:rPr>
      </w:pPr>
      <w:r w:rsidRPr="00C65506">
        <w:rPr>
          <w:szCs w:val="24"/>
          <w:lang w:val="fr-FR" w:bidi="yi-Hebr"/>
        </w:rPr>
        <w:t>Vous avez un risque plus élevé de grossesse extra-utérine (ou grossesse ectopique) que la moyenne des femmes lorsque vous avez recours à une Assistance Médicale à la Procréation et si vos trompes de Fallope sont endommagées.</w:t>
      </w:r>
    </w:p>
    <w:p w:rsidR="006D5107" w:rsidRPr="00C65506" w:rsidRDefault="006D5107" w:rsidP="006D5107">
      <w:pPr>
        <w:numPr>
          <w:ilvl w:val="12"/>
          <w:numId w:val="0"/>
        </w:numPr>
        <w:tabs>
          <w:tab w:val="clear" w:pos="567"/>
        </w:tabs>
        <w:rPr>
          <w:szCs w:val="24"/>
          <w:lang w:val="fr-FR" w:bidi="yi-Hebr"/>
        </w:rPr>
      </w:pPr>
    </w:p>
    <w:p w:rsidR="006D5107" w:rsidRPr="00C65506" w:rsidRDefault="006D5107" w:rsidP="006D5107">
      <w:pPr>
        <w:numPr>
          <w:ilvl w:val="12"/>
          <w:numId w:val="0"/>
        </w:numPr>
        <w:tabs>
          <w:tab w:val="clear" w:pos="567"/>
        </w:tabs>
        <w:rPr>
          <w:szCs w:val="24"/>
          <w:u w:val="single"/>
          <w:lang w:val="fr-FR" w:bidi="yi-Hebr"/>
        </w:rPr>
      </w:pPr>
      <w:r w:rsidRPr="00C65506">
        <w:rPr>
          <w:szCs w:val="24"/>
          <w:u w:val="single"/>
          <w:lang w:val="fr-FR" w:bidi="yi-Hebr"/>
        </w:rPr>
        <w:t>Malformations congénitales</w:t>
      </w:r>
    </w:p>
    <w:p w:rsidR="000248CF" w:rsidRPr="00C65506" w:rsidRDefault="006D5107" w:rsidP="006D5107">
      <w:pPr>
        <w:numPr>
          <w:ilvl w:val="12"/>
          <w:numId w:val="0"/>
        </w:numPr>
        <w:tabs>
          <w:tab w:val="clear" w:pos="567"/>
        </w:tabs>
        <w:rPr>
          <w:noProof/>
          <w:szCs w:val="24"/>
          <w:lang w:val="fr-FR" w:bidi="yi-Hebr"/>
        </w:rPr>
      </w:pPr>
      <w:r w:rsidRPr="00C65506">
        <w:rPr>
          <w:noProof/>
          <w:szCs w:val="24"/>
          <w:lang w:val="fr-FR" w:bidi="yi-Hebr"/>
        </w:rPr>
        <w:t>Lorsqu’un bébé est conçu par technologie de procréaction assistée, il existe un risque légèrement plus élevé de malformations congénitales que lorsqu’il est conçu naturellement. Ce risque peut être lié à une grossesse multiple ou aux caractéristiques des parents, telles que l’âge de la mère et les caractéristiques des spermatozoïdes.</w:t>
      </w:r>
    </w:p>
    <w:p w:rsidR="006D5107" w:rsidRPr="00C65506" w:rsidRDefault="006D5107" w:rsidP="006D5107">
      <w:pPr>
        <w:numPr>
          <w:ilvl w:val="12"/>
          <w:numId w:val="0"/>
        </w:numPr>
        <w:tabs>
          <w:tab w:val="clear" w:pos="567"/>
        </w:tabs>
        <w:rPr>
          <w:noProof/>
          <w:szCs w:val="22"/>
          <w:lang w:val="fr-FR"/>
        </w:rPr>
      </w:pPr>
    </w:p>
    <w:p w:rsidR="00E00A05" w:rsidRPr="00C65506" w:rsidRDefault="00E00A05" w:rsidP="00E00A05">
      <w:pPr>
        <w:numPr>
          <w:ilvl w:val="12"/>
          <w:numId w:val="0"/>
        </w:numPr>
        <w:tabs>
          <w:tab w:val="clear" w:pos="567"/>
        </w:tabs>
        <w:rPr>
          <w:noProof/>
          <w:szCs w:val="24"/>
          <w:u w:val="single"/>
          <w:lang w:val="fr-FR" w:bidi="yi-Hebr"/>
        </w:rPr>
      </w:pPr>
      <w:r w:rsidRPr="00C65506">
        <w:rPr>
          <w:szCs w:val="24"/>
          <w:u w:val="single"/>
          <w:lang w:val="fr-FR" w:bidi="yi-Hebr"/>
        </w:rPr>
        <w:t>Problèmes de coagulation sanguine (accidents thromboemboliques)</w:t>
      </w:r>
    </w:p>
    <w:p w:rsidR="00E00A05" w:rsidRPr="00C65506" w:rsidRDefault="00E00A05" w:rsidP="00E00A05">
      <w:pPr>
        <w:numPr>
          <w:ilvl w:val="12"/>
          <w:numId w:val="0"/>
        </w:numPr>
        <w:tabs>
          <w:tab w:val="clear" w:pos="567"/>
        </w:tabs>
        <w:rPr>
          <w:noProof/>
          <w:szCs w:val="24"/>
          <w:lang w:val="fr-FR" w:bidi="yi-Hebr"/>
        </w:rPr>
      </w:pPr>
      <w:r w:rsidRPr="00C65506">
        <w:rPr>
          <w:szCs w:val="24"/>
          <w:lang w:val="fr-FR" w:bidi="yi-Hebr"/>
        </w:rPr>
        <w:t>Si vous avez des antécédents de formation de caillots sanguins dans la jambe ou dans le poumon, de crise cardiaque ou d’accident vasculaire cérébral, ou si cela est arrivé à un membre de votre famille, informez-en votre médecin. Vous pouvez présenter un risque plus important que ce type de problèmes ne survienne ou ne s’aggrave avec le traitement par Ovaleap.</w:t>
      </w:r>
    </w:p>
    <w:p w:rsidR="00D22352" w:rsidRPr="00C65506" w:rsidRDefault="00D22352" w:rsidP="00496272">
      <w:pPr>
        <w:numPr>
          <w:ilvl w:val="12"/>
          <w:numId w:val="0"/>
        </w:numPr>
        <w:tabs>
          <w:tab w:val="clear" w:pos="567"/>
        </w:tabs>
        <w:rPr>
          <w:noProof/>
          <w:szCs w:val="22"/>
          <w:lang w:val="fr-FR"/>
        </w:rPr>
      </w:pPr>
    </w:p>
    <w:p w:rsidR="00E00A05" w:rsidRPr="00C65506" w:rsidRDefault="00E00A05" w:rsidP="00E00A05">
      <w:pPr>
        <w:numPr>
          <w:ilvl w:val="12"/>
          <w:numId w:val="0"/>
        </w:numPr>
        <w:tabs>
          <w:tab w:val="clear" w:pos="567"/>
        </w:tabs>
        <w:rPr>
          <w:noProof/>
          <w:szCs w:val="24"/>
          <w:u w:val="single"/>
          <w:lang w:val="fr-FR" w:bidi="yi-Hebr"/>
        </w:rPr>
      </w:pPr>
      <w:r w:rsidRPr="00C65506">
        <w:rPr>
          <w:szCs w:val="24"/>
          <w:u w:val="single"/>
          <w:lang w:val="fr-FR" w:bidi="yi-Hebr"/>
        </w:rPr>
        <w:t>Hommes présentant un taux sanguin de FSH trop élevé</w:t>
      </w:r>
    </w:p>
    <w:p w:rsidR="00E00A05" w:rsidRPr="00C65506" w:rsidRDefault="00E00A05" w:rsidP="009F136A">
      <w:pPr>
        <w:numPr>
          <w:ilvl w:val="12"/>
          <w:numId w:val="0"/>
        </w:numPr>
        <w:tabs>
          <w:tab w:val="clear" w:pos="567"/>
        </w:tabs>
        <w:rPr>
          <w:noProof/>
          <w:szCs w:val="24"/>
          <w:lang w:val="fr-FR" w:bidi="yi-Hebr"/>
        </w:rPr>
      </w:pPr>
      <w:r w:rsidRPr="00C65506">
        <w:rPr>
          <w:szCs w:val="24"/>
          <w:lang w:val="fr-FR" w:bidi="yi-Hebr"/>
        </w:rPr>
        <w:t xml:space="preserve">Si vous êtes un homme, un taux élevé de FSH </w:t>
      </w:r>
      <w:r w:rsidR="009A2EFA" w:rsidRPr="00C65506">
        <w:rPr>
          <w:szCs w:val="24"/>
          <w:lang w:val="fr-FR" w:bidi="yi-Hebr"/>
        </w:rPr>
        <w:t xml:space="preserve">naturelle </w:t>
      </w:r>
      <w:r w:rsidRPr="00C65506">
        <w:rPr>
          <w:szCs w:val="24"/>
          <w:lang w:val="fr-FR" w:bidi="yi-Hebr"/>
        </w:rPr>
        <w:t xml:space="preserve">peut être un signe d’une atteinte des testicules. Le traitement par </w:t>
      </w:r>
      <w:r w:rsidR="009F136A" w:rsidRPr="00C65506">
        <w:rPr>
          <w:szCs w:val="24"/>
          <w:lang w:val="fr-FR" w:bidi="yi-Hebr"/>
        </w:rPr>
        <w:t xml:space="preserve">ce médicament </w:t>
      </w:r>
      <w:r w:rsidRPr="00C65506">
        <w:rPr>
          <w:szCs w:val="24"/>
          <w:lang w:val="fr-FR" w:bidi="yi-Hebr"/>
        </w:rPr>
        <w:t>ne fonctionne généralement pas si vous avez un tel problème. Si votre médecin décide de tenter le traitement par Ovaleap, il pourra surveiller ce traitement en vous demandant, 4 à 6 mois après le début du traitement, de recueillir votre sperme pour l’analyser.</w:t>
      </w:r>
    </w:p>
    <w:p w:rsidR="00D22352" w:rsidRPr="00C65506" w:rsidRDefault="00D22352" w:rsidP="00496272">
      <w:pPr>
        <w:numPr>
          <w:ilvl w:val="12"/>
          <w:numId w:val="0"/>
        </w:numPr>
        <w:tabs>
          <w:tab w:val="clear" w:pos="567"/>
        </w:tabs>
        <w:rPr>
          <w:noProof/>
          <w:szCs w:val="22"/>
          <w:lang w:val="fr-FR"/>
        </w:rPr>
      </w:pPr>
    </w:p>
    <w:p w:rsidR="00E00A05" w:rsidRPr="00C65506" w:rsidRDefault="00E00A05" w:rsidP="00E00A05">
      <w:pPr>
        <w:numPr>
          <w:ilvl w:val="12"/>
          <w:numId w:val="0"/>
        </w:numPr>
        <w:tabs>
          <w:tab w:val="clear" w:pos="567"/>
        </w:tabs>
        <w:rPr>
          <w:b/>
          <w:noProof/>
          <w:szCs w:val="24"/>
          <w:lang w:val="fr-FR" w:bidi="yi-Hebr"/>
        </w:rPr>
      </w:pPr>
      <w:r w:rsidRPr="00C65506">
        <w:rPr>
          <w:b/>
          <w:szCs w:val="24"/>
          <w:lang w:val="fr-FR" w:bidi="yi-Hebr"/>
        </w:rPr>
        <w:t>Enfants et adolescents</w:t>
      </w:r>
    </w:p>
    <w:p w:rsidR="00E00A05" w:rsidRPr="00C65506" w:rsidRDefault="00E00A05" w:rsidP="009F136A">
      <w:pPr>
        <w:numPr>
          <w:ilvl w:val="12"/>
          <w:numId w:val="0"/>
        </w:numPr>
        <w:tabs>
          <w:tab w:val="clear" w:pos="567"/>
        </w:tabs>
        <w:rPr>
          <w:noProof/>
          <w:szCs w:val="24"/>
          <w:lang w:val="fr-FR" w:bidi="yi-Hebr"/>
        </w:rPr>
      </w:pPr>
      <w:r w:rsidRPr="00C65506">
        <w:rPr>
          <w:szCs w:val="24"/>
          <w:lang w:val="fr-FR" w:bidi="yi-Hebr"/>
        </w:rPr>
        <w:t>L’utilisation d</w:t>
      </w:r>
      <w:r w:rsidR="009F136A" w:rsidRPr="00C65506">
        <w:rPr>
          <w:szCs w:val="24"/>
          <w:lang w:val="fr-FR" w:bidi="yi-Hebr"/>
        </w:rPr>
        <w:t>e ce médicament</w:t>
      </w:r>
      <w:r w:rsidRPr="00C65506">
        <w:rPr>
          <w:szCs w:val="24"/>
          <w:lang w:val="fr-FR" w:bidi="yi-Hebr"/>
        </w:rPr>
        <w:t xml:space="preserve"> n’est pas indiquée chez les enfants et les adolescents âgés de moins de 18 ans.</w:t>
      </w:r>
    </w:p>
    <w:p w:rsidR="003C1CA5" w:rsidRPr="00C65506" w:rsidRDefault="003C1CA5" w:rsidP="00496272">
      <w:pPr>
        <w:numPr>
          <w:ilvl w:val="12"/>
          <w:numId w:val="0"/>
        </w:numPr>
        <w:tabs>
          <w:tab w:val="clear" w:pos="567"/>
        </w:tabs>
        <w:rPr>
          <w:b/>
          <w:bCs/>
          <w:noProof/>
          <w:lang w:val="fr-FR"/>
        </w:rPr>
      </w:pPr>
    </w:p>
    <w:p w:rsidR="00E00A05" w:rsidRPr="00C65506" w:rsidRDefault="00E00A05" w:rsidP="00E00A05">
      <w:pPr>
        <w:numPr>
          <w:ilvl w:val="12"/>
          <w:numId w:val="0"/>
        </w:numPr>
        <w:tabs>
          <w:tab w:val="clear" w:pos="567"/>
        </w:tabs>
        <w:ind w:right="-2"/>
        <w:rPr>
          <w:noProof/>
          <w:szCs w:val="24"/>
          <w:lang w:val="fr-FR" w:bidi="yi-Hebr"/>
        </w:rPr>
      </w:pPr>
      <w:r w:rsidRPr="00C65506">
        <w:rPr>
          <w:b/>
          <w:szCs w:val="24"/>
          <w:lang w:val="fr-FR" w:bidi="yi-Hebr"/>
        </w:rPr>
        <w:t>Autres médicaments et Ovaleap</w:t>
      </w:r>
    </w:p>
    <w:p w:rsidR="00E00A05" w:rsidRPr="00C65506" w:rsidRDefault="00E00A05" w:rsidP="00E00A05">
      <w:pPr>
        <w:numPr>
          <w:ilvl w:val="12"/>
          <w:numId w:val="0"/>
        </w:numPr>
        <w:tabs>
          <w:tab w:val="clear" w:pos="567"/>
        </w:tabs>
        <w:ind w:right="-2"/>
        <w:rPr>
          <w:noProof/>
          <w:szCs w:val="24"/>
          <w:lang w:val="fr-FR" w:bidi="yi-Hebr"/>
        </w:rPr>
      </w:pPr>
      <w:r w:rsidRPr="00C65506">
        <w:rPr>
          <w:szCs w:val="24"/>
          <w:lang w:val="fr-FR" w:bidi="yi-Hebr"/>
        </w:rPr>
        <w:t xml:space="preserve">Informez votre médecin ou pharmacien si vous </w:t>
      </w:r>
      <w:r w:rsidR="009C6BC8" w:rsidRPr="00C65506">
        <w:rPr>
          <w:szCs w:val="24"/>
          <w:lang w:val="fr-FR" w:bidi="yi-Hebr"/>
        </w:rPr>
        <w:t>utilisez</w:t>
      </w:r>
      <w:r w:rsidRPr="00C65506">
        <w:rPr>
          <w:szCs w:val="24"/>
          <w:lang w:val="fr-FR" w:bidi="yi-Hebr"/>
        </w:rPr>
        <w:t xml:space="preserve">, avez récemment </w:t>
      </w:r>
      <w:r w:rsidR="009C6BC8" w:rsidRPr="00C65506">
        <w:rPr>
          <w:szCs w:val="24"/>
          <w:lang w:val="fr-FR" w:bidi="yi-Hebr"/>
        </w:rPr>
        <w:t>utilisé</w:t>
      </w:r>
      <w:r w:rsidR="00C14C89" w:rsidRPr="00C65506">
        <w:rPr>
          <w:szCs w:val="24"/>
          <w:lang w:val="fr-FR" w:bidi="yi-Hebr"/>
        </w:rPr>
        <w:t xml:space="preserve"> </w:t>
      </w:r>
      <w:r w:rsidRPr="00C65506">
        <w:rPr>
          <w:szCs w:val="24"/>
          <w:lang w:val="fr-FR" w:bidi="yi-Hebr"/>
        </w:rPr>
        <w:t xml:space="preserve">ou pourriez </w:t>
      </w:r>
      <w:r w:rsidR="009C6BC8" w:rsidRPr="00C65506">
        <w:rPr>
          <w:szCs w:val="24"/>
          <w:lang w:val="fr-FR" w:bidi="yi-Hebr"/>
        </w:rPr>
        <w:t>utiliser</w:t>
      </w:r>
      <w:r w:rsidR="00C14C89" w:rsidRPr="00C65506">
        <w:rPr>
          <w:szCs w:val="24"/>
          <w:lang w:val="fr-FR" w:bidi="yi-Hebr"/>
        </w:rPr>
        <w:t xml:space="preserve"> </w:t>
      </w:r>
      <w:r w:rsidRPr="00C65506">
        <w:rPr>
          <w:szCs w:val="24"/>
          <w:lang w:val="fr-FR" w:bidi="yi-Hebr"/>
        </w:rPr>
        <w:t>tout autre médicament.</w:t>
      </w:r>
    </w:p>
    <w:p w:rsidR="008004BE" w:rsidRPr="00C65506" w:rsidRDefault="008004BE" w:rsidP="00297FB7">
      <w:pPr>
        <w:numPr>
          <w:ilvl w:val="0"/>
          <w:numId w:val="17"/>
        </w:numPr>
        <w:tabs>
          <w:tab w:val="clear" w:pos="567"/>
        </w:tabs>
        <w:ind w:left="567" w:hanging="567"/>
        <w:rPr>
          <w:noProof/>
          <w:szCs w:val="24"/>
          <w:lang w:val="fr-FR" w:bidi="yi-Hebr"/>
        </w:rPr>
      </w:pPr>
      <w:r w:rsidRPr="00C65506">
        <w:rPr>
          <w:szCs w:val="24"/>
          <w:lang w:val="fr-FR" w:bidi="yi-Hebr"/>
        </w:rPr>
        <w:t>Si vous utilisez Ovaleap avec d’autres médicaments favorisant l’ovulation, tels que la choriogonadotropine humaine (hCG) ou le citrate de clomifène, cela peut augmenter la réponse de vos follicules.</w:t>
      </w:r>
    </w:p>
    <w:p w:rsidR="008004BE" w:rsidRPr="00C65506" w:rsidRDefault="008004BE" w:rsidP="00297FB7">
      <w:pPr>
        <w:numPr>
          <w:ilvl w:val="0"/>
          <w:numId w:val="17"/>
        </w:numPr>
        <w:tabs>
          <w:tab w:val="clear" w:pos="567"/>
        </w:tabs>
        <w:ind w:left="567" w:hanging="567"/>
        <w:rPr>
          <w:noProof/>
          <w:szCs w:val="24"/>
          <w:lang w:val="fr-FR" w:bidi="yi-Hebr"/>
        </w:rPr>
      </w:pPr>
      <w:r w:rsidRPr="00C65506">
        <w:rPr>
          <w:szCs w:val="24"/>
          <w:lang w:val="fr-FR" w:bidi="yi-Hebr"/>
        </w:rPr>
        <w:t>Si vous utilisez Ovaleap en même temps qu’un agoniste ou un antagoniste de la « Gonadotropin-Releasing Hormone » (GnRH) (ces médicaments réduisent vos taux d’hormones sexuelles et empêchent l’ovulation), vous pourriez avoir besoin d’utiliser une dose plus élevée d’Ovaleap pour produire des follicules.</w:t>
      </w:r>
    </w:p>
    <w:p w:rsidR="00D22352" w:rsidRPr="00C65506" w:rsidRDefault="00D22352" w:rsidP="00496272">
      <w:pPr>
        <w:numPr>
          <w:ilvl w:val="12"/>
          <w:numId w:val="0"/>
        </w:numPr>
        <w:tabs>
          <w:tab w:val="clear" w:pos="567"/>
        </w:tabs>
        <w:ind w:right="-2"/>
        <w:rPr>
          <w:noProof/>
          <w:szCs w:val="22"/>
          <w:highlight w:val="yellow"/>
          <w:lang w:val="fr-FR"/>
        </w:rPr>
      </w:pPr>
    </w:p>
    <w:p w:rsidR="008004BE" w:rsidRPr="00C65506" w:rsidRDefault="008004BE" w:rsidP="00FC6B14">
      <w:pPr>
        <w:keepNext/>
        <w:numPr>
          <w:ilvl w:val="12"/>
          <w:numId w:val="0"/>
        </w:numPr>
        <w:tabs>
          <w:tab w:val="clear" w:pos="567"/>
        </w:tabs>
        <w:rPr>
          <w:b/>
          <w:noProof/>
          <w:szCs w:val="24"/>
          <w:lang w:val="fr-FR" w:bidi="yi-Hebr"/>
        </w:rPr>
      </w:pPr>
      <w:r w:rsidRPr="00C65506">
        <w:rPr>
          <w:b/>
          <w:szCs w:val="24"/>
          <w:lang w:val="fr-FR" w:bidi="yi-Hebr"/>
        </w:rPr>
        <w:lastRenderedPageBreak/>
        <w:t>Grossesse et allaitement</w:t>
      </w:r>
    </w:p>
    <w:p w:rsidR="008004BE" w:rsidRPr="00C65506" w:rsidRDefault="008004BE" w:rsidP="009F136A">
      <w:pPr>
        <w:numPr>
          <w:ilvl w:val="12"/>
          <w:numId w:val="0"/>
        </w:numPr>
        <w:tabs>
          <w:tab w:val="clear" w:pos="567"/>
        </w:tabs>
        <w:rPr>
          <w:noProof/>
          <w:szCs w:val="24"/>
          <w:lang w:val="fr-FR" w:bidi="yi-Hebr"/>
        </w:rPr>
      </w:pPr>
      <w:r w:rsidRPr="00C65506">
        <w:rPr>
          <w:szCs w:val="24"/>
          <w:lang w:val="fr-FR" w:bidi="yi-Hebr"/>
        </w:rPr>
        <w:t xml:space="preserve">Vous ne devez pas utiliser </w:t>
      </w:r>
      <w:r w:rsidR="009F136A" w:rsidRPr="00C65506">
        <w:rPr>
          <w:szCs w:val="24"/>
          <w:lang w:val="fr-FR" w:bidi="yi-Hebr"/>
        </w:rPr>
        <w:t xml:space="preserve">ce médicament </w:t>
      </w:r>
      <w:r w:rsidRPr="00C65506">
        <w:rPr>
          <w:szCs w:val="24"/>
          <w:lang w:val="fr-FR" w:bidi="yi-Hebr"/>
        </w:rPr>
        <w:t>si vous êtes enceinte ou si vous allaitez.</w:t>
      </w:r>
    </w:p>
    <w:p w:rsidR="007953F8" w:rsidRPr="00C65506" w:rsidRDefault="007953F8" w:rsidP="00496272">
      <w:pPr>
        <w:numPr>
          <w:ilvl w:val="12"/>
          <w:numId w:val="0"/>
        </w:numPr>
        <w:tabs>
          <w:tab w:val="clear" w:pos="567"/>
        </w:tabs>
        <w:ind w:right="-2"/>
        <w:outlineLvl w:val="0"/>
        <w:rPr>
          <w:b/>
          <w:noProof/>
          <w:szCs w:val="22"/>
          <w:lang w:val="fr-FR"/>
        </w:rPr>
      </w:pPr>
    </w:p>
    <w:p w:rsidR="008004BE" w:rsidRPr="00C65506" w:rsidRDefault="008004BE" w:rsidP="008004BE">
      <w:pPr>
        <w:numPr>
          <w:ilvl w:val="12"/>
          <w:numId w:val="0"/>
        </w:numPr>
        <w:tabs>
          <w:tab w:val="clear" w:pos="567"/>
        </w:tabs>
        <w:ind w:right="-2"/>
        <w:outlineLvl w:val="0"/>
        <w:rPr>
          <w:noProof/>
          <w:szCs w:val="24"/>
          <w:lang w:val="fr-FR" w:bidi="yi-Hebr"/>
        </w:rPr>
      </w:pPr>
      <w:r w:rsidRPr="00C65506">
        <w:rPr>
          <w:b/>
          <w:szCs w:val="24"/>
          <w:lang w:val="fr-FR" w:bidi="yi-Hebr"/>
        </w:rPr>
        <w:t>Conduite de véhicules et utilisation de machines</w:t>
      </w:r>
    </w:p>
    <w:p w:rsidR="008004BE" w:rsidRPr="00C65506" w:rsidRDefault="008004BE" w:rsidP="008004BE">
      <w:pPr>
        <w:numPr>
          <w:ilvl w:val="12"/>
          <w:numId w:val="0"/>
        </w:numPr>
        <w:tabs>
          <w:tab w:val="clear" w:pos="567"/>
        </w:tabs>
        <w:ind w:right="-2"/>
        <w:rPr>
          <w:noProof/>
          <w:szCs w:val="24"/>
          <w:lang w:val="fr-FR" w:bidi="yi-Hebr"/>
        </w:rPr>
      </w:pPr>
      <w:r w:rsidRPr="00C65506">
        <w:rPr>
          <w:szCs w:val="24"/>
          <w:lang w:val="fr-FR" w:bidi="yi-Hebr"/>
        </w:rPr>
        <w:t xml:space="preserve">Ce médicament n’a pas d’effet sur votre </w:t>
      </w:r>
      <w:r w:rsidR="00B25621" w:rsidRPr="00C65506">
        <w:rPr>
          <w:szCs w:val="24"/>
          <w:lang w:val="fr-FR" w:bidi="yi-Hebr"/>
        </w:rPr>
        <w:t>aptitude</w:t>
      </w:r>
      <w:r w:rsidRPr="00C65506">
        <w:rPr>
          <w:szCs w:val="24"/>
          <w:lang w:val="fr-FR" w:bidi="yi-Hebr"/>
        </w:rPr>
        <w:t xml:space="preserve"> à conduire des véhicules et à utiliser des machines.</w:t>
      </w:r>
    </w:p>
    <w:p w:rsidR="007953F8" w:rsidRPr="00C65506" w:rsidRDefault="007953F8" w:rsidP="00496272">
      <w:pPr>
        <w:numPr>
          <w:ilvl w:val="12"/>
          <w:numId w:val="0"/>
        </w:numPr>
        <w:tabs>
          <w:tab w:val="clear" w:pos="567"/>
        </w:tabs>
        <w:ind w:right="-2"/>
        <w:rPr>
          <w:noProof/>
          <w:szCs w:val="22"/>
          <w:lang w:val="fr-FR"/>
        </w:rPr>
      </w:pPr>
    </w:p>
    <w:p w:rsidR="008004BE" w:rsidRPr="00C65506" w:rsidRDefault="008004BE" w:rsidP="008004BE">
      <w:pPr>
        <w:numPr>
          <w:ilvl w:val="12"/>
          <w:numId w:val="0"/>
        </w:numPr>
        <w:tabs>
          <w:tab w:val="clear" w:pos="567"/>
        </w:tabs>
        <w:ind w:right="-2"/>
        <w:outlineLvl w:val="0"/>
        <w:rPr>
          <w:b/>
          <w:noProof/>
          <w:szCs w:val="24"/>
          <w:lang w:val="fr-FR" w:bidi="yi-Hebr"/>
        </w:rPr>
      </w:pPr>
      <w:r w:rsidRPr="00C65506">
        <w:rPr>
          <w:b/>
          <w:szCs w:val="24"/>
          <w:lang w:val="fr-FR" w:bidi="yi-Hebr"/>
        </w:rPr>
        <w:t>Ovaleap</w:t>
      </w:r>
      <w:r w:rsidR="007D2C1D" w:rsidRPr="00C65506">
        <w:rPr>
          <w:b/>
          <w:szCs w:val="24"/>
          <w:lang w:val="fr-FR" w:bidi="yi-Hebr"/>
        </w:rPr>
        <w:t xml:space="preserve"> contient du sodium</w:t>
      </w:r>
      <w:r w:rsidR="00580C6A" w:rsidRPr="00C65506">
        <w:rPr>
          <w:b/>
          <w:szCs w:val="24"/>
          <w:lang w:val="fr-FR" w:bidi="yi-Hebr"/>
        </w:rPr>
        <w:t>, du chlorure de benzalkonium et de l’alcool benzylique</w:t>
      </w:r>
    </w:p>
    <w:p w:rsidR="008004BE" w:rsidRPr="00C65506" w:rsidRDefault="008004BE" w:rsidP="008004BE">
      <w:pPr>
        <w:tabs>
          <w:tab w:val="clear" w:pos="567"/>
        </w:tabs>
        <w:rPr>
          <w:szCs w:val="24"/>
          <w:lang w:val="fr-FR" w:bidi="yi-Hebr"/>
        </w:rPr>
      </w:pPr>
      <w:r w:rsidRPr="00C65506">
        <w:rPr>
          <w:szCs w:val="24"/>
          <w:lang w:val="fr-FR" w:bidi="yi-Hebr"/>
        </w:rPr>
        <w:t xml:space="preserve">Ce médicament contient moins de 1 mmol </w:t>
      </w:r>
      <w:r w:rsidR="001B0945" w:rsidRPr="00C65506">
        <w:rPr>
          <w:szCs w:val="24"/>
          <w:lang w:val="fr-FR" w:bidi="yi-Hebr"/>
        </w:rPr>
        <w:t xml:space="preserve">(23 mg) </w:t>
      </w:r>
      <w:r w:rsidRPr="00C65506">
        <w:rPr>
          <w:szCs w:val="24"/>
          <w:lang w:val="fr-FR" w:bidi="yi-Hebr"/>
        </w:rPr>
        <w:t>de sodium par dose, c.-à-d. qu’il est essentiellement « sans sodium ».</w:t>
      </w:r>
    </w:p>
    <w:p w:rsidR="009B6496" w:rsidRPr="00C65506" w:rsidRDefault="009B6496" w:rsidP="00496272">
      <w:pPr>
        <w:numPr>
          <w:ilvl w:val="12"/>
          <w:numId w:val="0"/>
        </w:numPr>
        <w:tabs>
          <w:tab w:val="clear" w:pos="567"/>
        </w:tabs>
        <w:ind w:right="-2"/>
        <w:rPr>
          <w:noProof/>
          <w:szCs w:val="22"/>
          <w:lang w:val="fr-FR"/>
        </w:rPr>
      </w:pPr>
    </w:p>
    <w:p w:rsidR="002565D7" w:rsidRPr="00C65506" w:rsidRDefault="002565D7" w:rsidP="00BF5671">
      <w:pPr>
        <w:numPr>
          <w:ilvl w:val="12"/>
          <w:numId w:val="0"/>
        </w:numPr>
        <w:tabs>
          <w:tab w:val="clear" w:pos="567"/>
        </w:tabs>
        <w:ind w:right="-2"/>
        <w:rPr>
          <w:noProof/>
          <w:szCs w:val="22"/>
          <w:lang w:val="fr-FR"/>
        </w:rPr>
      </w:pPr>
      <w:r w:rsidRPr="00C65506">
        <w:rPr>
          <w:noProof/>
          <w:szCs w:val="22"/>
          <w:lang w:val="fr-FR"/>
        </w:rPr>
        <w:t>Ce médicament c</w:t>
      </w:r>
      <w:r w:rsidR="00C0430D" w:rsidRPr="00C65506">
        <w:rPr>
          <w:noProof/>
          <w:szCs w:val="22"/>
          <w:lang w:val="fr-FR"/>
        </w:rPr>
        <w:t>ontient également 0,02 mg par mL</w:t>
      </w:r>
      <w:r w:rsidRPr="00C65506">
        <w:rPr>
          <w:noProof/>
          <w:szCs w:val="22"/>
          <w:lang w:val="fr-FR"/>
        </w:rPr>
        <w:t xml:space="preserve"> de chlorure de benzalkonium et 10,0 mg par m</w:t>
      </w:r>
      <w:r w:rsidR="00C0430D" w:rsidRPr="00C65506">
        <w:rPr>
          <w:noProof/>
          <w:szCs w:val="22"/>
          <w:lang w:val="fr-FR"/>
        </w:rPr>
        <w:t>L</w:t>
      </w:r>
      <w:r w:rsidRPr="00C65506">
        <w:rPr>
          <w:noProof/>
          <w:szCs w:val="22"/>
          <w:lang w:val="fr-FR"/>
        </w:rPr>
        <w:t xml:space="preserve"> d’alcool benzylique.</w:t>
      </w:r>
      <w:r w:rsidR="00FC2D33" w:rsidRPr="00C65506">
        <w:rPr>
          <w:noProof/>
          <w:szCs w:val="22"/>
          <w:lang w:val="fr-FR"/>
        </w:rPr>
        <w:t xml:space="preserve"> Demandez conseil à votre médecin si vous souffrez d’une maladie </w:t>
      </w:r>
      <w:r w:rsidR="00BF5671" w:rsidRPr="00C65506">
        <w:rPr>
          <w:noProof/>
          <w:szCs w:val="22"/>
          <w:lang w:val="fr-FR"/>
        </w:rPr>
        <w:t>du foie</w:t>
      </w:r>
      <w:r w:rsidR="00FC2D33" w:rsidRPr="00C65506">
        <w:rPr>
          <w:noProof/>
          <w:szCs w:val="22"/>
          <w:lang w:val="fr-FR"/>
        </w:rPr>
        <w:t xml:space="preserve"> ou </w:t>
      </w:r>
      <w:r w:rsidR="00BF5671" w:rsidRPr="00C65506">
        <w:rPr>
          <w:noProof/>
          <w:szCs w:val="22"/>
          <w:lang w:val="fr-FR"/>
        </w:rPr>
        <w:t>du rein</w:t>
      </w:r>
      <w:r w:rsidR="00FC2D33" w:rsidRPr="00C65506">
        <w:rPr>
          <w:noProof/>
          <w:szCs w:val="22"/>
          <w:lang w:val="fr-FR"/>
        </w:rPr>
        <w:t xml:space="preserve"> et si vous êtes enceinte ou allaitez, car de grandes quantités d’alcool benzylique peuvent s’</w:t>
      </w:r>
      <w:r w:rsidR="00480A1E" w:rsidRPr="00C65506">
        <w:rPr>
          <w:noProof/>
          <w:szCs w:val="22"/>
          <w:lang w:val="fr-FR"/>
        </w:rPr>
        <w:t>accumuler dans votre corp</w:t>
      </w:r>
      <w:r w:rsidR="00FC2D33" w:rsidRPr="00C65506">
        <w:rPr>
          <w:noProof/>
          <w:szCs w:val="22"/>
          <w:lang w:val="fr-FR"/>
        </w:rPr>
        <w:t xml:space="preserve">s et </w:t>
      </w:r>
      <w:r w:rsidR="00BF5671" w:rsidRPr="00C65506">
        <w:rPr>
          <w:noProof/>
          <w:szCs w:val="22"/>
          <w:lang w:val="fr-FR"/>
        </w:rPr>
        <w:t>entraîner des effets secondaires</w:t>
      </w:r>
      <w:r w:rsidR="00FC2D33" w:rsidRPr="00C65506">
        <w:rPr>
          <w:noProof/>
          <w:szCs w:val="22"/>
          <w:lang w:val="fr-FR"/>
        </w:rPr>
        <w:t xml:space="preserve"> (appelés « acidose métabolique »).</w:t>
      </w:r>
    </w:p>
    <w:p w:rsidR="002565D7" w:rsidRPr="00C65506" w:rsidRDefault="002565D7" w:rsidP="00496272">
      <w:pPr>
        <w:numPr>
          <w:ilvl w:val="12"/>
          <w:numId w:val="0"/>
        </w:numPr>
        <w:tabs>
          <w:tab w:val="clear" w:pos="567"/>
        </w:tabs>
        <w:ind w:right="-2"/>
        <w:rPr>
          <w:noProof/>
          <w:szCs w:val="22"/>
          <w:lang w:val="fr-FR"/>
        </w:rPr>
      </w:pPr>
    </w:p>
    <w:p w:rsidR="009B6496" w:rsidRPr="00C65506" w:rsidRDefault="009B6496" w:rsidP="00496272">
      <w:pPr>
        <w:numPr>
          <w:ilvl w:val="12"/>
          <w:numId w:val="0"/>
        </w:numPr>
        <w:tabs>
          <w:tab w:val="clear" w:pos="567"/>
        </w:tabs>
        <w:ind w:right="-2"/>
        <w:rPr>
          <w:noProof/>
          <w:szCs w:val="22"/>
          <w:lang w:val="fr-FR"/>
        </w:rPr>
      </w:pPr>
    </w:p>
    <w:p w:rsidR="008004BE" w:rsidRPr="00C65506" w:rsidRDefault="008004BE" w:rsidP="008004BE">
      <w:pPr>
        <w:ind w:right="-2"/>
        <w:rPr>
          <w:b/>
          <w:noProof/>
          <w:szCs w:val="24"/>
          <w:lang w:val="fr-FR" w:bidi="yi-Hebr"/>
        </w:rPr>
      </w:pPr>
      <w:r w:rsidRPr="00C65506">
        <w:rPr>
          <w:b/>
          <w:noProof/>
          <w:szCs w:val="24"/>
          <w:lang w:val="fr-FR" w:bidi="yi-Hebr"/>
        </w:rPr>
        <w:t>3.</w:t>
      </w:r>
      <w:r w:rsidRPr="00C65506">
        <w:rPr>
          <w:b/>
          <w:noProof/>
          <w:szCs w:val="24"/>
          <w:lang w:val="fr-FR" w:bidi="yi-Hebr"/>
        </w:rPr>
        <w:tab/>
      </w:r>
      <w:r w:rsidRPr="00C65506">
        <w:rPr>
          <w:b/>
          <w:szCs w:val="24"/>
          <w:lang w:val="fr-FR" w:bidi="yi-Hebr"/>
        </w:rPr>
        <w:t>Comment utiliser Ovaleap</w:t>
      </w:r>
    </w:p>
    <w:p w:rsidR="009B6496" w:rsidRPr="00C65506" w:rsidRDefault="009B6496" w:rsidP="00496272">
      <w:pPr>
        <w:numPr>
          <w:ilvl w:val="12"/>
          <w:numId w:val="0"/>
        </w:numPr>
        <w:tabs>
          <w:tab w:val="clear" w:pos="567"/>
        </w:tabs>
        <w:ind w:right="-2"/>
        <w:rPr>
          <w:i/>
          <w:noProof/>
          <w:szCs w:val="22"/>
          <w:lang w:val="fr-FR"/>
        </w:rPr>
      </w:pPr>
    </w:p>
    <w:p w:rsidR="008004BE" w:rsidRPr="00C65506" w:rsidRDefault="008004BE" w:rsidP="008004BE">
      <w:pPr>
        <w:numPr>
          <w:ilvl w:val="12"/>
          <w:numId w:val="0"/>
        </w:numPr>
        <w:tabs>
          <w:tab w:val="clear" w:pos="567"/>
        </w:tabs>
        <w:ind w:right="-2"/>
        <w:rPr>
          <w:szCs w:val="24"/>
          <w:lang w:val="fr-FR" w:bidi="yi-Hebr"/>
        </w:rPr>
      </w:pPr>
      <w:r w:rsidRPr="00C65506">
        <w:rPr>
          <w:szCs w:val="24"/>
          <w:lang w:val="fr-FR" w:bidi="yi-Hebr"/>
        </w:rPr>
        <w:t>Veillez à toujours utiliser ce médicament en suivant exactement les indications de votre médecin ou pharmacien.</w:t>
      </w:r>
      <w:r w:rsidRPr="00C65506">
        <w:rPr>
          <w:noProof/>
          <w:szCs w:val="24"/>
          <w:lang w:val="fr-FR" w:bidi="yi-Hebr"/>
        </w:rPr>
        <w:t xml:space="preserve"> </w:t>
      </w:r>
      <w:r w:rsidRPr="00C65506">
        <w:rPr>
          <w:szCs w:val="24"/>
          <w:lang w:val="fr-FR" w:bidi="yi-Hebr"/>
        </w:rPr>
        <w:t>Vérifiez auprès de votre médecin ou pharmacien en cas de doute.</w:t>
      </w:r>
    </w:p>
    <w:p w:rsidR="0084581A" w:rsidRPr="00C65506" w:rsidRDefault="0084581A" w:rsidP="008004BE">
      <w:pPr>
        <w:numPr>
          <w:ilvl w:val="12"/>
          <w:numId w:val="0"/>
        </w:numPr>
        <w:tabs>
          <w:tab w:val="clear" w:pos="567"/>
        </w:tabs>
        <w:ind w:right="-2"/>
        <w:rPr>
          <w:szCs w:val="24"/>
          <w:lang w:val="fr-FR" w:bidi="yi-Hebr"/>
        </w:rPr>
      </w:pPr>
    </w:p>
    <w:p w:rsidR="0084581A" w:rsidRPr="00C65506" w:rsidRDefault="0084581A" w:rsidP="008004BE">
      <w:pPr>
        <w:numPr>
          <w:ilvl w:val="12"/>
          <w:numId w:val="0"/>
        </w:numPr>
        <w:tabs>
          <w:tab w:val="clear" w:pos="567"/>
        </w:tabs>
        <w:ind w:right="-2"/>
        <w:rPr>
          <w:noProof/>
          <w:szCs w:val="24"/>
          <w:lang w:val="fr-FR" w:bidi="yi-Hebr"/>
        </w:rPr>
      </w:pPr>
      <w:r w:rsidRPr="00C65506">
        <w:rPr>
          <w:szCs w:val="24"/>
          <w:lang w:val="fr-FR" w:bidi="yi-Hebr"/>
        </w:rPr>
        <w:t>Ce médicament est administré par injection dans le tissu situé juste sous la peau (injection sous-cutanée).</w:t>
      </w:r>
      <w:r w:rsidR="00C17F68" w:rsidRPr="00C65506">
        <w:rPr>
          <w:szCs w:val="24"/>
          <w:lang w:val="fr-FR" w:bidi="yi-Hebr"/>
        </w:rPr>
        <w:t xml:space="preserve"> Votre médecin ou infirmier/ère vous montrera comment vous injecter le médicament. Si vous vous injectez le médicament vous-même, veuillez lire </w:t>
      </w:r>
      <w:r w:rsidR="00887A24" w:rsidRPr="00C65506">
        <w:rPr>
          <w:szCs w:val="24"/>
          <w:lang w:val="fr-FR" w:bidi="yi-Hebr"/>
        </w:rPr>
        <w:t xml:space="preserve">et suivre </w:t>
      </w:r>
      <w:r w:rsidR="00C17F68" w:rsidRPr="00C65506">
        <w:rPr>
          <w:szCs w:val="24"/>
          <w:lang w:val="fr-FR" w:bidi="yi-Hebr"/>
        </w:rPr>
        <w:t xml:space="preserve">attentivement </w:t>
      </w:r>
      <w:r w:rsidR="00887A24" w:rsidRPr="00C65506">
        <w:rPr>
          <w:szCs w:val="24"/>
          <w:lang w:val="fr-FR" w:bidi="yi-Hebr"/>
        </w:rPr>
        <w:t>les « Instructions d’utilisation » du stylo.</w:t>
      </w:r>
    </w:p>
    <w:p w:rsidR="00D3545E" w:rsidRPr="00C65506" w:rsidRDefault="00D3545E" w:rsidP="00496272">
      <w:pPr>
        <w:numPr>
          <w:ilvl w:val="12"/>
          <w:numId w:val="0"/>
        </w:numPr>
        <w:tabs>
          <w:tab w:val="clear" w:pos="567"/>
        </w:tabs>
        <w:ind w:right="-2"/>
        <w:rPr>
          <w:noProof/>
          <w:szCs w:val="22"/>
          <w:lang w:val="fr-FR"/>
        </w:rPr>
      </w:pPr>
    </w:p>
    <w:p w:rsidR="008004BE" w:rsidRPr="00C65506" w:rsidRDefault="008004BE" w:rsidP="008004BE">
      <w:pPr>
        <w:numPr>
          <w:ilvl w:val="12"/>
          <w:numId w:val="0"/>
        </w:numPr>
        <w:tabs>
          <w:tab w:val="clear" w:pos="567"/>
        </w:tabs>
        <w:ind w:right="-2"/>
        <w:rPr>
          <w:b/>
          <w:noProof/>
          <w:szCs w:val="24"/>
          <w:lang w:val="fr-FR" w:bidi="yi-Hebr"/>
        </w:rPr>
      </w:pPr>
      <w:r w:rsidRPr="00C65506">
        <w:rPr>
          <w:b/>
          <w:szCs w:val="24"/>
          <w:lang w:val="fr-FR" w:bidi="yi-Hebr"/>
        </w:rPr>
        <w:t>Quelle est la dose recommandée</w:t>
      </w:r>
    </w:p>
    <w:p w:rsidR="008004BE" w:rsidRPr="00C65506" w:rsidRDefault="008004BE" w:rsidP="008004BE">
      <w:pPr>
        <w:rPr>
          <w:szCs w:val="24"/>
          <w:lang w:val="fr-FR" w:bidi="yi-Hebr"/>
        </w:rPr>
      </w:pPr>
      <w:r w:rsidRPr="00C65506">
        <w:rPr>
          <w:szCs w:val="24"/>
          <w:lang w:val="fr-FR" w:bidi="yi-Hebr"/>
        </w:rPr>
        <w:t>Votre médecin déterminera la quantité de médicament et la fréquence à laquelle vous devrez le prendre. Les doses décrites ci-dessous sont exprimées en Unités Internationales (UI).</w:t>
      </w:r>
    </w:p>
    <w:p w:rsidR="002D6ABC" w:rsidRPr="00C65506" w:rsidRDefault="002D6ABC" w:rsidP="00496272">
      <w:pPr>
        <w:rPr>
          <w:lang w:val="fr-FR"/>
        </w:rPr>
      </w:pPr>
    </w:p>
    <w:p w:rsidR="008004BE" w:rsidRPr="00C65506" w:rsidRDefault="008004BE" w:rsidP="008004BE">
      <w:pPr>
        <w:rPr>
          <w:szCs w:val="24"/>
          <w:u w:val="single"/>
          <w:lang w:val="fr-FR" w:bidi="yi-Hebr"/>
        </w:rPr>
      </w:pPr>
      <w:r w:rsidRPr="00C65506">
        <w:rPr>
          <w:szCs w:val="24"/>
          <w:u w:val="single"/>
          <w:lang w:val="fr-FR" w:bidi="yi-Hebr"/>
        </w:rPr>
        <w:t>Femmes</w:t>
      </w:r>
    </w:p>
    <w:p w:rsidR="002D6ABC" w:rsidRPr="00C65506" w:rsidRDefault="002D6ABC" w:rsidP="00496272">
      <w:pPr>
        <w:rPr>
          <w:lang w:val="fr-FR"/>
        </w:rPr>
      </w:pPr>
    </w:p>
    <w:p w:rsidR="008004BE" w:rsidRPr="00C65506" w:rsidRDefault="008004BE" w:rsidP="00A771E2">
      <w:pPr>
        <w:keepNext/>
        <w:keepLines/>
        <w:rPr>
          <w:szCs w:val="24"/>
          <w:u w:val="single"/>
          <w:lang w:val="fr-FR" w:bidi="yi-Hebr"/>
        </w:rPr>
      </w:pPr>
      <w:r w:rsidRPr="00C65506">
        <w:rPr>
          <w:szCs w:val="24"/>
          <w:u w:val="single"/>
          <w:lang w:val="fr-FR" w:bidi="yi-Hebr"/>
        </w:rPr>
        <w:t>Si vous n’ovulez pas ou si vous n’avez pas de règles ou si vous avez des règles irrégulières</w:t>
      </w:r>
    </w:p>
    <w:p w:rsidR="008004BE" w:rsidRPr="00C65506" w:rsidRDefault="009F136A" w:rsidP="00297FB7">
      <w:pPr>
        <w:keepNext/>
        <w:keepLines/>
        <w:numPr>
          <w:ilvl w:val="0"/>
          <w:numId w:val="18"/>
        </w:numPr>
        <w:ind w:left="567" w:hanging="567"/>
        <w:rPr>
          <w:szCs w:val="24"/>
          <w:lang w:val="fr-FR" w:bidi="yi-Hebr"/>
        </w:rPr>
      </w:pPr>
      <w:r w:rsidRPr="00C65506">
        <w:rPr>
          <w:szCs w:val="24"/>
          <w:lang w:val="fr-FR" w:bidi="yi-Hebr"/>
        </w:rPr>
        <w:t xml:space="preserve">Ce médicament </w:t>
      </w:r>
      <w:r w:rsidR="008004BE" w:rsidRPr="00C65506">
        <w:rPr>
          <w:szCs w:val="24"/>
          <w:lang w:val="fr-FR" w:bidi="yi-Hebr"/>
        </w:rPr>
        <w:t>est, en général, injecté chaque jour.</w:t>
      </w:r>
    </w:p>
    <w:p w:rsidR="008004BE" w:rsidRPr="00C65506" w:rsidRDefault="008004BE" w:rsidP="00297FB7">
      <w:pPr>
        <w:numPr>
          <w:ilvl w:val="0"/>
          <w:numId w:val="18"/>
        </w:numPr>
        <w:ind w:left="567" w:hanging="567"/>
        <w:rPr>
          <w:szCs w:val="24"/>
          <w:lang w:val="fr-FR" w:bidi="yi-Hebr"/>
        </w:rPr>
      </w:pPr>
      <w:r w:rsidRPr="00C65506">
        <w:rPr>
          <w:szCs w:val="24"/>
          <w:lang w:val="fr-FR" w:bidi="yi-Hebr"/>
        </w:rPr>
        <w:t xml:space="preserve">Si vous avez des règles irrégulières, commencez à utiliser </w:t>
      </w:r>
      <w:r w:rsidR="009F136A" w:rsidRPr="00C65506">
        <w:rPr>
          <w:szCs w:val="24"/>
          <w:lang w:val="fr-FR" w:bidi="yi-Hebr"/>
        </w:rPr>
        <w:t xml:space="preserve">ce médicament </w:t>
      </w:r>
      <w:r w:rsidRPr="00C65506">
        <w:rPr>
          <w:szCs w:val="24"/>
          <w:lang w:val="fr-FR" w:bidi="yi-Hebr"/>
        </w:rPr>
        <w:t>dans les 7 premiers jours du cycle menstruel. Si vous n’avez pas de règles, vous pouvez commencer à utiliser le médicament le jour qui vous convient.</w:t>
      </w:r>
    </w:p>
    <w:p w:rsidR="002B293F" w:rsidRPr="00C65506" w:rsidRDefault="002B293F" w:rsidP="00297FB7">
      <w:pPr>
        <w:numPr>
          <w:ilvl w:val="0"/>
          <w:numId w:val="18"/>
        </w:numPr>
        <w:ind w:left="567" w:hanging="567"/>
        <w:rPr>
          <w:szCs w:val="24"/>
          <w:lang w:val="fr-FR" w:bidi="yi-Hebr"/>
        </w:rPr>
      </w:pPr>
      <w:r w:rsidRPr="00C65506">
        <w:rPr>
          <w:szCs w:val="24"/>
          <w:lang w:val="fr-FR" w:bidi="yi-Hebr"/>
        </w:rPr>
        <w:t>La dose initiale habituelle d</w:t>
      </w:r>
      <w:r w:rsidR="009F136A" w:rsidRPr="00C65506">
        <w:rPr>
          <w:szCs w:val="24"/>
          <w:lang w:val="fr-FR" w:bidi="yi-Hebr"/>
        </w:rPr>
        <w:t xml:space="preserve">e ce médicament </w:t>
      </w:r>
      <w:r w:rsidRPr="00C65506">
        <w:rPr>
          <w:szCs w:val="24"/>
          <w:lang w:val="fr-FR" w:bidi="yi-Hebr"/>
        </w:rPr>
        <w:t>est de 75 à 150 UI par jour.</w:t>
      </w:r>
    </w:p>
    <w:p w:rsidR="002B293F" w:rsidRPr="00C65506" w:rsidRDefault="002B293F" w:rsidP="00297FB7">
      <w:pPr>
        <w:numPr>
          <w:ilvl w:val="0"/>
          <w:numId w:val="18"/>
        </w:numPr>
        <w:ind w:left="567" w:hanging="567"/>
        <w:rPr>
          <w:szCs w:val="24"/>
          <w:lang w:val="fr-FR" w:bidi="yi-Hebr"/>
        </w:rPr>
      </w:pPr>
      <w:r w:rsidRPr="00C65506">
        <w:rPr>
          <w:szCs w:val="24"/>
          <w:lang w:val="fr-FR" w:bidi="yi-Hebr"/>
        </w:rPr>
        <w:t>Votre dose d</w:t>
      </w:r>
      <w:r w:rsidR="009F136A" w:rsidRPr="00C65506">
        <w:rPr>
          <w:szCs w:val="24"/>
          <w:lang w:val="fr-FR" w:bidi="yi-Hebr"/>
        </w:rPr>
        <w:t xml:space="preserve">e ce médicament </w:t>
      </w:r>
      <w:r w:rsidRPr="00C65506">
        <w:rPr>
          <w:szCs w:val="24"/>
          <w:lang w:val="fr-FR" w:bidi="yi-Hebr"/>
        </w:rPr>
        <w:t>pourra être augmentée tous les 7 ou 14 jours de 37,5 à 75 UI, jusqu’à obtention de la réponse souhaitée.</w:t>
      </w:r>
    </w:p>
    <w:p w:rsidR="002B293F" w:rsidRPr="00C65506" w:rsidRDefault="002B293F" w:rsidP="00297FB7">
      <w:pPr>
        <w:numPr>
          <w:ilvl w:val="0"/>
          <w:numId w:val="18"/>
        </w:numPr>
        <w:ind w:left="567" w:hanging="567"/>
        <w:rPr>
          <w:szCs w:val="24"/>
          <w:lang w:val="fr-FR" w:bidi="yi-Hebr"/>
        </w:rPr>
      </w:pPr>
      <w:r w:rsidRPr="00C65506">
        <w:rPr>
          <w:szCs w:val="24"/>
          <w:lang w:val="fr-FR" w:bidi="yi-Hebr"/>
        </w:rPr>
        <w:t>La dose quotidienne maximale d</w:t>
      </w:r>
      <w:r w:rsidR="009F136A" w:rsidRPr="00C65506">
        <w:rPr>
          <w:szCs w:val="24"/>
          <w:lang w:val="fr-FR" w:bidi="yi-Hebr"/>
        </w:rPr>
        <w:t xml:space="preserve">e ce médicament </w:t>
      </w:r>
      <w:r w:rsidRPr="00C65506">
        <w:rPr>
          <w:szCs w:val="24"/>
          <w:lang w:val="fr-FR" w:bidi="yi-Hebr"/>
        </w:rPr>
        <w:t>ne dépasse habituellement pas 225 UI.</w:t>
      </w:r>
    </w:p>
    <w:p w:rsidR="002B293F" w:rsidRPr="00C65506" w:rsidRDefault="002B293F" w:rsidP="00297FB7">
      <w:pPr>
        <w:numPr>
          <w:ilvl w:val="0"/>
          <w:numId w:val="18"/>
        </w:numPr>
        <w:ind w:left="567" w:hanging="567"/>
        <w:rPr>
          <w:szCs w:val="24"/>
          <w:lang w:val="fr-FR" w:bidi="yi-Hebr"/>
        </w:rPr>
      </w:pPr>
      <w:r w:rsidRPr="00C65506">
        <w:rPr>
          <w:szCs w:val="24"/>
          <w:lang w:val="fr-FR" w:bidi="yi-Hebr"/>
        </w:rPr>
        <w:t>Lorsque la réponse souhaitée est obtenue, vous recevrez de l’hCG ou de la « hCG recombinante » (r-hCG, une hCG fabriquée en laboratoire selon une technique spéciale d’ADN). La dose unique injectée sera de 250 microgrammes de r–hCG ou de 5 000 à 10 000 UI d’hCG 24 à 48 heures après votre dernière injection d’Ovaleap. Le meilleur moment pour avoir un rapport sexuel est le jour même de l’injection d’hCG et le jour suivant.</w:t>
      </w:r>
      <w:r w:rsidR="004B34DA" w:rsidRPr="00C65506">
        <w:rPr>
          <w:szCs w:val="24"/>
          <w:lang w:val="fr-FR" w:bidi="yi-Hebr"/>
        </w:rPr>
        <w:t xml:space="preserve"> Il est également possible de réaliser une insémination intra-utérine en plaçant les spermatozoïdes directement dans la cavité de l’utérus.</w:t>
      </w:r>
    </w:p>
    <w:p w:rsidR="002D6ABC" w:rsidRPr="00C65506" w:rsidRDefault="002D6ABC" w:rsidP="00496272">
      <w:pPr>
        <w:rPr>
          <w:lang w:val="fr-FR"/>
        </w:rPr>
      </w:pPr>
    </w:p>
    <w:p w:rsidR="002B293F" w:rsidRPr="00C65506" w:rsidRDefault="002B293F" w:rsidP="009F136A">
      <w:pPr>
        <w:rPr>
          <w:szCs w:val="24"/>
          <w:lang w:val="fr-FR" w:bidi="yi-Hebr"/>
        </w:rPr>
      </w:pPr>
      <w:r w:rsidRPr="00C65506">
        <w:rPr>
          <w:szCs w:val="24"/>
          <w:lang w:val="fr-FR" w:bidi="yi-Hebr"/>
        </w:rPr>
        <w:t>Si votre médecin n’observe pas la réponse souhaitée après 4 semaines, ce cycle de traitement par Ovaleap doit être arrêté. Pour le cycle de traitement suivant, votre médecin vous prescrira une dose initiale d</w:t>
      </w:r>
      <w:r w:rsidR="009F136A" w:rsidRPr="00C65506">
        <w:rPr>
          <w:szCs w:val="24"/>
          <w:lang w:val="fr-FR" w:bidi="yi-Hebr"/>
        </w:rPr>
        <w:t xml:space="preserve">e ce médicament </w:t>
      </w:r>
      <w:r w:rsidRPr="00C65506">
        <w:rPr>
          <w:szCs w:val="24"/>
          <w:lang w:val="fr-FR" w:bidi="yi-Hebr"/>
        </w:rPr>
        <w:t>plus élevée que la fois précédente.</w:t>
      </w:r>
    </w:p>
    <w:p w:rsidR="002D6ABC" w:rsidRPr="00C65506" w:rsidRDefault="002D6ABC" w:rsidP="00496272">
      <w:pPr>
        <w:rPr>
          <w:lang w:val="fr-FR"/>
        </w:rPr>
      </w:pPr>
    </w:p>
    <w:p w:rsidR="002B293F" w:rsidRPr="00C65506" w:rsidRDefault="002B293F" w:rsidP="002B293F">
      <w:pPr>
        <w:rPr>
          <w:szCs w:val="24"/>
          <w:lang w:val="fr-FR" w:bidi="yi-Hebr"/>
        </w:rPr>
      </w:pPr>
      <w:r w:rsidRPr="00C65506">
        <w:rPr>
          <w:szCs w:val="24"/>
          <w:lang w:val="fr-FR" w:bidi="yi-Hebr"/>
        </w:rPr>
        <w:t>Si votre organisme répond trop fortement, votre traitement sera arrêté et on ne vous donnera pas d’hCG (voir également « Syndrome d’hyperstimulation ovarienne [SHO] » dans la rubrique 2). Pour le cycle de traitement suivant, votre médecin vous prescrira une dose d’Ovaleap plus faible que la fois précédente.</w:t>
      </w:r>
    </w:p>
    <w:p w:rsidR="00F1525C" w:rsidRPr="00C65506" w:rsidRDefault="00F1525C" w:rsidP="00496272">
      <w:pPr>
        <w:rPr>
          <w:highlight w:val="yellow"/>
          <w:lang w:val="fr-FR"/>
        </w:rPr>
      </w:pPr>
    </w:p>
    <w:p w:rsidR="002B293F" w:rsidRPr="00C65506" w:rsidRDefault="002B293F" w:rsidP="002B293F">
      <w:pPr>
        <w:rPr>
          <w:szCs w:val="24"/>
          <w:u w:val="single"/>
          <w:lang w:val="fr-FR" w:bidi="yi-Hebr"/>
        </w:rPr>
      </w:pPr>
      <w:r w:rsidRPr="00C65506">
        <w:rPr>
          <w:szCs w:val="24"/>
          <w:u w:val="single"/>
          <w:lang w:val="fr-FR" w:bidi="yi-Hebr"/>
        </w:rPr>
        <w:t>Si vous devez produire plusieurs ovules à recueillir avant une intervention d’Assistance Médicale à la Procréation</w:t>
      </w:r>
    </w:p>
    <w:p w:rsidR="00640A4E" w:rsidRPr="00C65506" w:rsidRDefault="00640A4E" w:rsidP="00297FB7">
      <w:pPr>
        <w:numPr>
          <w:ilvl w:val="0"/>
          <w:numId w:val="19"/>
        </w:numPr>
        <w:ind w:left="567" w:hanging="567"/>
        <w:rPr>
          <w:szCs w:val="24"/>
          <w:lang w:val="fr-FR" w:bidi="yi-Hebr"/>
        </w:rPr>
      </w:pPr>
      <w:r w:rsidRPr="00C65506">
        <w:rPr>
          <w:szCs w:val="24"/>
          <w:lang w:val="fr-FR" w:bidi="yi-Hebr"/>
        </w:rPr>
        <w:t>La dose initiale habituelle d</w:t>
      </w:r>
      <w:r w:rsidR="009F136A" w:rsidRPr="00C65506">
        <w:rPr>
          <w:szCs w:val="24"/>
          <w:lang w:val="fr-FR" w:bidi="yi-Hebr"/>
        </w:rPr>
        <w:t xml:space="preserve">e ce médicament </w:t>
      </w:r>
      <w:r w:rsidRPr="00C65506">
        <w:rPr>
          <w:szCs w:val="24"/>
          <w:lang w:val="fr-FR" w:bidi="yi-Hebr"/>
        </w:rPr>
        <w:t>est de 150 à 225 UI par jour à partir du 2</w:t>
      </w:r>
      <w:r w:rsidRPr="00C65506">
        <w:rPr>
          <w:szCs w:val="24"/>
          <w:vertAlign w:val="superscript"/>
          <w:lang w:val="fr-FR" w:bidi="yi-Hebr"/>
        </w:rPr>
        <w:t>ème</w:t>
      </w:r>
      <w:r w:rsidRPr="00C65506">
        <w:rPr>
          <w:szCs w:val="24"/>
          <w:lang w:val="fr-FR" w:bidi="yi-Hebr"/>
        </w:rPr>
        <w:t xml:space="preserve"> ou 3</w:t>
      </w:r>
      <w:r w:rsidRPr="00C65506">
        <w:rPr>
          <w:szCs w:val="24"/>
          <w:vertAlign w:val="superscript"/>
          <w:lang w:val="fr-FR" w:bidi="yi-Hebr"/>
        </w:rPr>
        <w:t>ème</w:t>
      </w:r>
      <w:r w:rsidR="006223E1" w:rsidRPr="00C65506">
        <w:rPr>
          <w:szCs w:val="24"/>
          <w:lang w:val="fr-FR" w:bidi="yi-Hebr"/>
        </w:rPr>
        <w:t> </w:t>
      </w:r>
      <w:r w:rsidRPr="00C65506">
        <w:rPr>
          <w:szCs w:val="24"/>
          <w:lang w:val="fr-FR" w:bidi="yi-Hebr"/>
        </w:rPr>
        <w:t>jour de votre cycle menstruel.</w:t>
      </w:r>
    </w:p>
    <w:p w:rsidR="00640A4E" w:rsidRPr="00C65506" w:rsidRDefault="004B34DA" w:rsidP="00297FB7">
      <w:pPr>
        <w:numPr>
          <w:ilvl w:val="0"/>
          <w:numId w:val="19"/>
        </w:numPr>
        <w:ind w:left="567" w:hanging="567"/>
        <w:rPr>
          <w:szCs w:val="24"/>
          <w:lang w:val="fr-FR" w:bidi="yi-Hebr"/>
        </w:rPr>
      </w:pPr>
      <w:r w:rsidRPr="00C65506">
        <w:rPr>
          <w:szCs w:val="24"/>
          <w:lang w:val="fr-FR" w:bidi="yi-Hebr"/>
        </w:rPr>
        <w:t xml:space="preserve">La </w:t>
      </w:r>
      <w:r w:rsidR="00640A4E" w:rsidRPr="00C65506">
        <w:rPr>
          <w:szCs w:val="24"/>
          <w:lang w:val="fr-FR" w:bidi="yi-Hebr"/>
        </w:rPr>
        <w:t>dose pourra être augmentée en fonction de votre réponse au traitement. La dose quotidienne maximale est de 450 UI.</w:t>
      </w:r>
    </w:p>
    <w:p w:rsidR="00640A4E" w:rsidRPr="00C65506" w:rsidRDefault="00640A4E" w:rsidP="00297FB7">
      <w:pPr>
        <w:numPr>
          <w:ilvl w:val="0"/>
          <w:numId w:val="19"/>
        </w:numPr>
        <w:ind w:left="567" w:hanging="567"/>
        <w:rPr>
          <w:szCs w:val="24"/>
          <w:lang w:val="fr-FR" w:bidi="yi-Hebr"/>
        </w:rPr>
      </w:pPr>
      <w:r w:rsidRPr="00C65506">
        <w:rPr>
          <w:szCs w:val="24"/>
          <w:lang w:val="fr-FR" w:bidi="yi-Hebr"/>
        </w:rPr>
        <w:t>Le traitement sera poursuivi jusqu’à ce que vos ovules aient atteint le stade voulu. Cela prend en général environ 10 jours mais peut nécessiter de 5 à 20 jours. Votre médecin réalisera des analyses de sang et/ou des examens échographiques pour vérifier l’évolution.</w:t>
      </w:r>
    </w:p>
    <w:p w:rsidR="00640A4E" w:rsidRPr="00C65506" w:rsidRDefault="00640A4E" w:rsidP="00297FB7">
      <w:pPr>
        <w:numPr>
          <w:ilvl w:val="0"/>
          <w:numId w:val="19"/>
        </w:numPr>
        <w:ind w:left="567" w:hanging="567"/>
        <w:rPr>
          <w:szCs w:val="24"/>
          <w:lang w:val="fr-FR" w:bidi="yi-Hebr"/>
        </w:rPr>
      </w:pPr>
      <w:r w:rsidRPr="00C65506">
        <w:rPr>
          <w:szCs w:val="24"/>
          <w:lang w:val="fr-FR" w:bidi="yi-Hebr"/>
        </w:rPr>
        <w:t>Lorsque vos ovules seront prêts, vous recevrez de l’hCG ou de la r–hCG. La dose unique injectée sera de 250 microgrammes de r–hCG ou de 5 000 à 10 000 UI d’hCG 24 à 48 heures après votre dernière injection d’Ovaleap. Vos ovules seront alors prêts à être ponctionnés.</w:t>
      </w:r>
    </w:p>
    <w:p w:rsidR="000A70A6" w:rsidRPr="00C65506" w:rsidRDefault="000A70A6" w:rsidP="00496272">
      <w:pPr>
        <w:ind w:left="567" w:hanging="567"/>
        <w:rPr>
          <w:lang w:val="fr-FR"/>
        </w:rPr>
      </w:pPr>
    </w:p>
    <w:p w:rsidR="00BE4452" w:rsidRPr="00C65506" w:rsidRDefault="00BE4452" w:rsidP="00BE4452">
      <w:pPr>
        <w:rPr>
          <w:szCs w:val="24"/>
          <w:lang w:val="fr-FR" w:bidi="yi-Hebr"/>
        </w:rPr>
      </w:pPr>
      <w:r w:rsidRPr="00C65506">
        <w:rPr>
          <w:szCs w:val="24"/>
          <w:lang w:val="fr-FR" w:bidi="yi-Hebr"/>
        </w:rPr>
        <w:t>Dans les autres cas, votre médecin peut tout d’abord arrêter votre ovulation à l’aide d’un agoniste ou d’un antagoniste de la « Gonadotropin-Releasing Hormone » (GnRH). Le traitement par Ovaleap est alors administré approximativement 2 semaines après le début du traitement par l’agoniste. Ovaleap et l’agoniste de la GnRH sont ensuite administrés jusqu’à ce que vos follicules se développent comme souhaité.</w:t>
      </w:r>
    </w:p>
    <w:p w:rsidR="000A70A6" w:rsidRPr="00C65506" w:rsidRDefault="000A70A6" w:rsidP="00496272">
      <w:pPr>
        <w:rPr>
          <w:highlight w:val="yellow"/>
          <w:lang w:val="fr-FR"/>
        </w:rPr>
      </w:pPr>
    </w:p>
    <w:p w:rsidR="00BE4452" w:rsidRPr="00C65506" w:rsidRDefault="00BE4452" w:rsidP="00BE4452">
      <w:pPr>
        <w:rPr>
          <w:szCs w:val="24"/>
          <w:u w:val="single"/>
          <w:lang w:val="fr-FR" w:bidi="yi-Hebr"/>
        </w:rPr>
      </w:pPr>
      <w:r w:rsidRPr="00C65506">
        <w:rPr>
          <w:szCs w:val="24"/>
          <w:u w:val="single"/>
          <w:lang w:val="fr-FR" w:bidi="yi-Hebr"/>
        </w:rPr>
        <w:t>Si vous n’ovulez pas, n’avez pas de règles et qu</w:t>
      </w:r>
      <w:r w:rsidR="008B163F" w:rsidRPr="00C65506">
        <w:rPr>
          <w:szCs w:val="24"/>
          <w:u w:val="single"/>
          <w:lang w:val="fr-FR" w:bidi="yi-Hebr"/>
        </w:rPr>
        <w:t>e l</w:t>
      </w:r>
      <w:r w:rsidRPr="00C65506">
        <w:rPr>
          <w:szCs w:val="24"/>
          <w:u w:val="single"/>
          <w:lang w:val="fr-FR" w:bidi="yi-Hebr"/>
        </w:rPr>
        <w:t>’on vous a diagnostiqué des taux très faibles d’hormones FSH et LH</w:t>
      </w:r>
    </w:p>
    <w:p w:rsidR="00BE4452" w:rsidRPr="00C65506" w:rsidRDefault="00BE4452" w:rsidP="002A61CF">
      <w:pPr>
        <w:numPr>
          <w:ilvl w:val="1"/>
          <w:numId w:val="19"/>
        </w:numPr>
        <w:rPr>
          <w:szCs w:val="24"/>
          <w:lang w:val="fr-FR" w:bidi="yi-Hebr"/>
        </w:rPr>
      </w:pPr>
      <w:r w:rsidRPr="00C65506">
        <w:rPr>
          <w:szCs w:val="24"/>
          <w:lang w:val="fr-FR" w:bidi="yi-Hebr"/>
        </w:rPr>
        <w:t>La dose initiale habituelle d’Ovaleap est de 75 à 150 UI en association avec 75 UI de lutropine alfa.</w:t>
      </w:r>
    </w:p>
    <w:p w:rsidR="00BE4452" w:rsidRPr="00C65506" w:rsidRDefault="00BE4452" w:rsidP="002A61CF">
      <w:pPr>
        <w:numPr>
          <w:ilvl w:val="0"/>
          <w:numId w:val="23"/>
        </w:numPr>
        <w:rPr>
          <w:szCs w:val="24"/>
          <w:lang w:val="fr-FR" w:bidi="yi-Hebr"/>
        </w:rPr>
      </w:pPr>
      <w:r w:rsidRPr="00C65506">
        <w:rPr>
          <w:szCs w:val="24"/>
          <w:lang w:val="fr-FR" w:bidi="yi-Hebr"/>
        </w:rPr>
        <w:t>Vous utiliserez ces deux médicaments chaque jour pendant une durée allant jusqu’à 5 semaines.</w:t>
      </w:r>
    </w:p>
    <w:p w:rsidR="00BE4452" w:rsidRPr="00C65506" w:rsidRDefault="00BE4452" w:rsidP="00297FB7">
      <w:pPr>
        <w:numPr>
          <w:ilvl w:val="0"/>
          <w:numId w:val="19"/>
        </w:numPr>
        <w:ind w:left="567" w:hanging="567"/>
        <w:rPr>
          <w:szCs w:val="24"/>
          <w:lang w:val="fr-FR" w:bidi="yi-Hebr"/>
        </w:rPr>
      </w:pPr>
      <w:r w:rsidRPr="00C65506">
        <w:rPr>
          <w:szCs w:val="24"/>
          <w:lang w:val="fr-FR" w:bidi="yi-Hebr"/>
        </w:rPr>
        <w:t>Votre dose d’Ovaleap pourra être augmentée tous les 7 ou 14 jours de 37,5 à 75 UI, jusqu’à obtention de la réponse souhaitée.</w:t>
      </w:r>
    </w:p>
    <w:p w:rsidR="00C437B3" w:rsidRPr="00C65506" w:rsidRDefault="00C437B3" w:rsidP="00297FB7">
      <w:pPr>
        <w:numPr>
          <w:ilvl w:val="0"/>
          <w:numId w:val="19"/>
        </w:numPr>
        <w:ind w:left="567" w:hanging="567"/>
        <w:rPr>
          <w:szCs w:val="24"/>
          <w:lang w:val="fr-FR" w:bidi="yi-Hebr"/>
        </w:rPr>
      </w:pPr>
      <w:r w:rsidRPr="00C65506">
        <w:rPr>
          <w:szCs w:val="24"/>
          <w:lang w:val="fr-FR" w:bidi="yi-Hebr"/>
        </w:rPr>
        <w:t>Lorsque la réponse souhaitée est obtenue, vous recevrez de l’hCG ou de la r–hCG. La dose unique injectée sera de 250 microgrammes de r–hCG ou de 5 000 à 10 000 UI d’hCG 24 à 48 heures après votre dernière injection d’Ovaleap et de lutropine alfa. Le meilleur moment pour avoir un rapport sexuel est le jour même de l’injection d’hCG et le jour suivant. L’insémination intra-utérine peut également être pratiquée par transfert du sperme dans la cavité utérine.</w:t>
      </w:r>
    </w:p>
    <w:p w:rsidR="002D6ABC" w:rsidRPr="00C65506" w:rsidRDefault="002D6ABC" w:rsidP="00496272">
      <w:pPr>
        <w:ind w:left="567" w:hanging="567"/>
        <w:rPr>
          <w:lang w:val="fr-FR"/>
        </w:rPr>
      </w:pPr>
    </w:p>
    <w:p w:rsidR="00C437B3" w:rsidRPr="00C65506" w:rsidRDefault="00C437B3" w:rsidP="009F136A">
      <w:pPr>
        <w:rPr>
          <w:szCs w:val="24"/>
          <w:lang w:val="fr-FR" w:bidi="yi-Hebr"/>
        </w:rPr>
      </w:pPr>
      <w:r w:rsidRPr="00C65506">
        <w:rPr>
          <w:szCs w:val="24"/>
          <w:lang w:val="fr-FR" w:bidi="yi-Hebr"/>
        </w:rPr>
        <w:t>Si votre médecin n’observe pas la réponse souhaitée après 5 semaines, ce cycle de traitement doit être arrêté. Pour le cycle de traitement suivant, votre médecin vous prescrira une dose initiale d</w:t>
      </w:r>
      <w:r w:rsidR="009F136A" w:rsidRPr="00C65506">
        <w:rPr>
          <w:szCs w:val="24"/>
          <w:lang w:val="fr-FR" w:bidi="yi-Hebr"/>
        </w:rPr>
        <w:t xml:space="preserve">e ce médicament </w:t>
      </w:r>
      <w:r w:rsidRPr="00C65506">
        <w:rPr>
          <w:szCs w:val="24"/>
          <w:lang w:val="fr-FR" w:bidi="yi-Hebr"/>
        </w:rPr>
        <w:t>plus élevée que la fois précédente.</w:t>
      </w:r>
    </w:p>
    <w:p w:rsidR="002D6ABC" w:rsidRPr="00C65506" w:rsidRDefault="002D6ABC" w:rsidP="00496272">
      <w:pPr>
        <w:rPr>
          <w:lang w:val="fr-FR"/>
        </w:rPr>
      </w:pPr>
    </w:p>
    <w:p w:rsidR="00C437B3" w:rsidRPr="00C65506" w:rsidRDefault="00C437B3" w:rsidP="00C437B3">
      <w:pPr>
        <w:rPr>
          <w:szCs w:val="24"/>
          <w:lang w:val="fr-FR" w:bidi="yi-Hebr"/>
        </w:rPr>
      </w:pPr>
      <w:r w:rsidRPr="00C65506">
        <w:rPr>
          <w:szCs w:val="24"/>
          <w:lang w:val="fr-FR" w:bidi="yi-Hebr"/>
        </w:rPr>
        <w:t>Si votre organisme répond trop fortement, votre traitement par Ovaleap sera arrêté et on ne vous donnera pas d’hCG (voir également « Syndrome d’hyperstimulation ovarienne [SHO] » dans la rubrique 2). Pour le cycle de traitement suivant, votre médecin vous prescrira une dose d’Ovaleap plus faible que la fois précédente.</w:t>
      </w:r>
    </w:p>
    <w:p w:rsidR="00F31690" w:rsidRPr="00C65506" w:rsidRDefault="00F31690" w:rsidP="00496272">
      <w:pPr>
        <w:rPr>
          <w:highlight w:val="yellow"/>
          <w:lang w:val="fr-FR"/>
        </w:rPr>
      </w:pPr>
    </w:p>
    <w:p w:rsidR="00C437B3" w:rsidRPr="00C65506" w:rsidRDefault="00C437B3" w:rsidP="00A771E2">
      <w:pPr>
        <w:keepNext/>
        <w:keepLines/>
        <w:rPr>
          <w:szCs w:val="24"/>
          <w:u w:val="single"/>
          <w:lang w:val="fr-FR" w:bidi="yi-Hebr"/>
        </w:rPr>
      </w:pPr>
      <w:r w:rsidRPr="00C65506">
        <w:rPr>
          <w:szCs w:val="24"/>
          <w:u w:val="single"/>
          <w:lang w:val="fr-FR" w:bidi="yi-Hebr"/>
        </w:rPr>
        <w:t>Hommes</w:t>
      </w:r>
    </w:p>
    <w:p w:rsidR="00C437B3" w:rsidRPr="00C65506" w:rsidRDefault="00C437B3" w:rsidP="00297FB7">
      <w:pPr>
        <w:keepNext/>
        <w:keepLines/>
        <w:numPr>
          <w:ilvl w:val="0"/>
          <w:numId w:val="19"/>
        </w:numPr>
        <w:ind w:left="567" w:hanging="567"/>
        <w:rPr>
          <w:szCs w:val="24"/>
          <w:lang w:val="fr-FR" w:bidi="yi-Hebr"/>
        </w:rPr>
      </w:pPr>
      <w:r w:rsidRPr="00C65506">
        <w:rPr>
          <w:szCs w:val="24"/>
          <w:lang w:val="fr-FR" w:bidi="yi-Hebr"/>
        </w:rPr>
        <w:t>La dose habituelle d</w:t>
      </w:r>
      <w:r w:rsidR="009F136A" w:rsidRPr="00C65506">
        <w:rPr>
          <w:szCs w:val="24"/>
          <w:lang w:val="fr-FR" w:bidi="yi-Hebr"/>
        </w:rPr>
        <w:t xml:space="preserve">e ce médicament </w:t>
      </w:r>
      <w:r w:rsidRPr="00C65506">
        <w:rPr>
          <w:szCs w:val="24"/>
          <w:lang w:val="fr-FR" w:bidi="yi-Hebr"/>
        </w:rPr>
        <w:t>est de 150 UI en association avec l’hCG.</w:t>
      </w:r>
    </w:p>
    <w:p w:rsidR="00C437B3" w:rsidRPr="00C65506" w:rsidRDefault="00C437B3" w:rsidP="00297FB7">
      <w:pPr>
        <w:numPr>
          <w:ilvl w:val="0"/>
          <w:numId w:val="19"/>
        </w:numPr>
        <w:ind w:left="567" w:hanging="567"/>
        <w:rPr>
          <w:szCs w:val="24"/>
          <w:lang w:val="fr-FR" w:bidi="yi-Hebr"/>
        </w:rPr>
      </w:pPr>
      <w:r w:rsidRPr="00C65506">
        <w:rPr>
          <w:szCs w:val="24"/>
          <w:lang w:val="fr-FR" w:bidi="yi-Hebr"/>
        </w:rPr>
        <w:t>Vous utiliserez ces deux médicaments trois fois par semaine pendant au moins 4 mois</w:t>
      </w:r>
    </w:p>
    <w:p w:rsidR="00C437B3" w:rsidRPr="00C65506" w:rsidRDefault="00C437B3" w:rsidP="00297FB7">
      <w:pPr>
        <w:numPr>
          <w:ilvl w:val="0"/>
          <w:numId w:val="19"/>
        </w:numPr>
        <w:ind w:left="567" w:hanging="567"/>
        <w:rPr>
          <w:szCs w:val="24"/>
          <w:lang w:val="fr-FR" w:bidi="yi-Hebr"/>
        </w:rPr>
      </w:pPr>
      <w:r w:rsidRPr="00C65506">
        <w:rPr>
          <w:szCs w:val="24"/>
          <w:lang w:val="fr-FR" w:bidi="yi-Hebr"/>
        </w:rPr>
        <w:t>Si vous n’avez pas répondu au traitement après 4 mois, votre médecin pourra vous proposer de poursuivre l’utilisation de ces deux médicaments pendant au moins 18 mois.</w:t>
      </w:r>
    </w:p>
    <w:p w:rsidR="0010267A" w:rsidRPr="00C65506" w:rsidRDefault="0010267A" w:rsidP="00496272">
      <w:pPr>
        <w:numPr>
          <w:ilvl w:val="12"/>
          <w:numId w:val="0"/>
        </w:numPr>
        <w:tabs>
          <w:tab w:val="clear" w:pos="567"/>
        </w:tabs>
        <w:ind w:right="-2"/>
        <w:rPr>
          <w:noProof/>
          <w:szCs w:val="22"/>
          <w:lang w:val="fr-FR"/>
        </w:rPr>
      </w:pPr>
    </w:p>
    <w:p w:rsidR="00C437B3" w:rsidRPr="00C65506" w:rsidRDefault="00C437B3" w:rsidP="00A468E8">
      <w:pPr>
        <w:numPr>
          <w:ilvl w:val="12"/>
          <w:numId w:val="0"/>
        </w:numPr>
        <w:tabs>
          <w:tab w:val="clear" w:pos="567"/>
        </w:tabs>
        <w:rPr>
          <w:b/>
          <w:szCs w:val="24"/>
          <w:lang w:val="fr-FR" w:bidi="yi-Hebr"/>
        </w:rPr>
      </w:pPr>
      <w:r w:rsidRPr="00C65506">
        <w:rPr>
          <w:b/>
          <w:szCs w:val="24"/>
          <w:lang w:val="fr-FR" w:bidi="yi-Hebr"/>
        </w:rPr>
        <w:t xml:space="preserve">Comment les injections sont-elles </w:t>
      </w:r>
      <w:r w:rsidR="00A468E8" w:rsidRPr="00C65506">
        <w:rPr>
          <w:b/>
          <w:szCs w:val="24"/>
          <w:lang w:val="fr-FR" w:bidi="yi-Hebr"/>
        </w:rPr>
        <w:t>effectuées </w:t>
      </w:r>
      <w:r w:rsidRPr="00C65506">
        <w:rPr>
          <w:b/>
          <w:szCs w:val="24"/>
          <w:lang w:val="fr-FR" w:bidi="yi-Hebr"/>
        </w:rPr>
        <w:t>?</w:t>
      </w:r>
    </w:p>
    <w:p w:rsidR="00C437B3" w:rsidRPr="00C65506" w:rsidRDefault="00C437B3" w:rsidP="009F136A">
      <w:pPr>
        <w:numPr>
          <w:ilvl w:val="12"/>
          <w:numId w:val="0"/>
        </w:numPr>
        <w:tabs>
          <w:tab w:val="clear" w:pos="567"/>
        </w:tabs>
        <w:rPr>
          <w:szCs w:val="24"/>
          <w:lang w:val="fr-FR" w:bidi="yi-Hebr"/>
        </w:rPr>
      </w:pPr>
      <w:r w:rsidRPr="00C65506">
        <w:rPr>
          <w:szCs w:val="24"/>
          <w:lang w:val="fr-FR" w:bidi="yi-Hebr"/>
        </w:rPr>
        <w:t xml:space="preserve">Ce médicament est administré </w:t>
      </w:r>
      <w:r w:rsidR="003E7C33" w:rsidRPr="00C65506">
        <w:rPr>
          <w:szCs w:val="24"/>
          <w:lang w:val="fr-FR" w:bidi="yi-Hebr"/>
        </w:rPr>
        <w:t xml:space="preserve">par injection dans le tissu </w:t>
      </w:r>
      <w:r w:rsidR="00D040F9" w:rsidRPr="00C65506">
        <w:rPr>
          <w:szCs w:val="24"/>
          <w:lang w:val="fr-FR" w:bidi="yi-Hebr"/>
        </w:rPr>
        <w:t xml:space="preserve">situé </w:t>
      </w:r>
      <w:r w:rsidR="003E7C33" w:rsidRPr="00C65506">
        <w:rPr>
          <w:szCs w:val="24"/>
          <w:lang w:val="fr-FR" w:bidi="yi-Hebr"/>
        </w:rPr>
        <w:t xml:space="preserve">juste sous la peau (injection sous-cutanée) </w:t>
      </w:r>
      <w:r w:rsidRPr="00C65506">
        <w:rPr>
          <w:szCs w:val="24"/>
          <w:lang w:val="fr-FR" w:bidi="yi-Hebr"/>
        </w:rPr>
        <w:t>à l’aide du stylo Ovaleap</w:t>
      </w:r>
      <w:r w:rsidR="008E4008" w:rsidRPr="00C65506">
        <w:rPr>
          <w:szCs w:val="24"/>
          <w:lang w:val="fr-FR" w:bidi="yi-Hebr"/>
        </w:rPr>
        <w:t xml:space="preserve"> Pen</w:t>
      </w:r>
      <w:r w:rsidRPr="00C65506">
        <w:rPr>
          <w:szCs w:val="24"/>
          <w:lang w:val="fr-FR" w:bidi="yi-Hebr"/>
        </w:rPr>
        <w:t>.</w:t>
      </w:r>
      <w:r w:rsidRPr="00C65506">
        <w:rPr>
          <w:noProof/>
          <w:szCs w:val="24"/>
          <w:lang w:val="fr-FR" w:bidi="yi-Hebr"/>
        </w:rPr>
        <w:t xml:space="preserve"> </w:t>
      </w:r>
      <w:r w:rsidRPr="00C65506">
        <w:rPr>
          <w:szCs w:val="24"/>
          <w:lang w:val="fr-FR" w:bidi="yi-Hebr"/>
        </w:rPr>
        <w:t>Le stylo Ovaleap</w:t>
      </w:r>
      <w:r w:rsidR="008E4008" w:rsidRPr="00C65506">
        <w:rPr>
          <w:szCs w:val="24"/>
          <w:lang w:val="fr-FR" w:bidi="yi-Hebr"/>
        </w:rPr>
        <w:t xml:space="preserve"> Pen</w:t>
      </w:r>
      <w:r w:rsidRPr="00C65506">
        <w:rPr>
          <w:szCs w:val="24"/>
          <w:lang w:val="fr-FR" w:bidi="yi-Hebr"/>
        </w:rPr>
        <w:t xml:space="preserve"> est un dispositif </w:t>
      </w:r>
      <w:r w:rsidR="009F136A" w:rsidRPr="00C65506">
        <w:rPr>
          <w:szCs w:val="24"/>
          <w:lang w:val="fr-FR" w:bidi="yi-Hebr"/>
        </w:rPr>
        <w:t xml:space="preserve">(un « stylo ») </w:t>
      </w:r>
      <w:r w:rsidRPr="00C65506">
        <w:rPr>
          <w:szCs w:val="24"/>
          <w:lang w:val="fr-FR" w:bidi="yi-Hebr"/>
        </w:rPr>
        <w:t>utilisé pour effectuer des injections</w:t>
      </w:r>
      <w:r w:rsidR="002524CB" w:rsidRPr="00C65506">
        <w:rPr>
          <w:szCs w:val="24"/>
          <w:lang w:val="fr-FR" w:bidi="yi-Hebr"/>
        </w:rPr>
        <w:t xml:space="preserve"> dans le tissu situé juste sous la peau</w:t>
      </w:r>
      <w:r w:rsidRPr="00C65506">
        <w:rPr>
          <w:szCs w:val="24"/>
          <w:lang w:val="fr-FR" w:bidi="yi-Hebr"/>
        </w:rPr>
        <w:t>.</w:t>
      </w:r>
    </w:p>
    <w:p w:rsidR="0010267A" w:rsidRPr="00C65506" w:rsidRDefault="0010267A" w:rsidP="00496272">
      <w:pPr>
        <w:numPr>
          <w:ilvl w:val="12"/>
          <w:numId w:val="0"/>
        </w:numPr>
        <w:tabs>
          <w:tab w:val="clear" w:pos="567"/>
        </w:tabs>
        <w:rPr>
          <w:szCs w:val="22"/>
          <w:lang w:val="fr-FR"/>
        </w:rPr>
      </w:pPr>
    </w:p>
    <w:p w:rsidR="002524CB" w:rsidRPr="00C65506" w:rsidRDefault="0004620B" w:rsidP="009F136A">
      <w:pPr>
        <w:numPr>
          <w:ilvl w:val="12"/>
          <w:numId w:val="0"/>
        </w:numPr>
        <w:tabs>
          <w:tab w:val="clear" w:pos="567"/>
        </w:tabs>
        <w:ind w:right="-2"/>
        <w:rPr>
          <w:noProof/>
          <w:szCs w:val="24"/>
          <w:lang w:val="fr-FR" w:bidi="yi-Hebr"/>
        </w:rPr>
      </w:pPr>
      <w:r w:rsidRPr="00C65506">
        <w:rPr>
          <w:szCs w:val="24"/>
          <w:lang w:val="fr-FR" w:bidi="yi-Hebr"/>
        </w:rPr>
        <w:t xml:space="preserve">Votre médecin pourra vous proposer d’apprendre à vous injecter vous-même ce médicament. Votre médecin ou infirmier/ère vous fournira des instructions pour cela et vous pourrez également trouver </w:t>
      </w:r>
      <w:r w:rsidRPr="00C65506">
        <w:rPr>
          <w:szCs w:val="24"/>
          <w:lang w:val="fr-FR" w:bidi="yi-Hebr"/>
        </w:rPr>
        <w:lastRenderedPageBreak/>
        <w:t xml:space="preserve">des instructions dans le mode d’emploi du stylo fourni séparément. Ne tentez pas de vous auto-administrer </w:t>
      </w:r>
      <w:r w:rsidR="003E7C33" w:rsidRPr="00C65506">
        <w:rPr>
          <w:szCs w:val="24"/>
          <w:lang w:val="fr-FR" w:bidi="yi-Hebr"/>
        </w:rPr>
        <w:t xml:space="preserve">ce médicament </w:t>
      </w:r>
      <w:r w:rsidRPr="00C65506">
        <w:rPr>
          <w:szCs w:val="24"/>
          <w:lang w:val="fr-FR" w:bidi="yi-Hebr"/>
        </w:rPr>
        <w:t>sans y avoir été formé(e) par votre médecin ou infirmier/ère. La toute première injection d</w:t>
      </w:r>
      <w:r w:rsidR="009F136A" w:rsidRPr="00C65506">
        <w:rPr>
          <w:szCs w:val="24"/>
          <w:lang w:val="fr-FR" w:bidi="yi-Hebr"/>
        </w:rPr>
        <w:t xml:space="preserve">e ce médicament </w:t>
      </w:r>
      <w:r w:rsidRPr="00C65506">
        <w:rPr>
          <w:szCs w:val="24"/>
          <w:lang w:val="fr-FR" w:bidi="yi-Hebr"/>
        </w:rPr>
        <w:t>devra être réalisée en présence d’un médecin ou d’un(e) infirmier/ère.</w:t>
      </w:r>
    </w:p>
    <w:p w:rsidR="002524CB" w:rsidRPr="00C65506" w:rsidRDefault="002524CB" w:rsidP="009F136A">
      <w:pPr>
        <w:numPr>
          <w:ilvl w:val="12"/>
          <w:numId w:val="0"/>
        </w:numPr>
        <w:tabs>
          <w:tab w:val="clear" w:pos="567"/>
        </w:tabs>
        <w:ind w:right="-2"/>
        <w:rPr>
          <w:noProof/>
          <w:szCs w:val="24"/>
          <w:lang w:val="fr-FR" w:bidi="yi-Hebr"/>
        </w:rPr>
      </w:pPr>
    </w:p>
    <w:p w:rsidR="0004620B" w:rsidRPr="00C65506" w:rsidRDefault="0004620B" w:rsidP="009F136A">
      <w:pPr>
        <w:numPr>
          <w:ilvl w:val="12"/>
          <w:numId w:val="0"/>
        </w:numPr>
        <w:tabs>
          <w:tab w:val="clear" w:pos="567"/>
        </w:tabs>
        <w:ind w:right="-2"/>
        <w:rPr>
          <w:szCs w:val="24"/>
          <w:lang w:val="fr-FR" w:bidi="yi-Hebr"/>
        </w:rPr>
      </w:pPr>
      <w:r w:rsidRPr="00C65506">
        <w:rPr>
          <w:szCs w:val="24"/>
          <w:lang w:val="fr-FR" w:bidi="yi-Hebr"/>
        </w:rPr>
        <w:t>La solution injectable d’Ovaleap en cartouche a été conçue pour être utilisée dans le stylo Ovaleap</w:t>
      </w:r>
      <w:r w:rsidR="008E4008" w:rsidRPr="00C65506">
        <w:rPr>
          <w:szCs w:val="24"/>
          <w:lang w:val="fr-FR" w:bidi="yi-Hebr"/>
        </w:rPr>
        <w:t xml:space="preserve"> Pen</w:t>
      </w:r>
      <w:r w:rsidRPr="00C65506">
        <w:rPr>
          <w:szCs w:val="24"/>
          <w:lang w:val="fr-FR" w:bidi="yi-Hebr"/>
        </w:rPr>
        <w:t>.</w:t>
      </w:r>
      <w:r w:rsidRPr="00C65506">
        <w:rPr>
          <w:noProof/>
          <w:szCs w:val="24"/>
          <w:lang w:val="fr-FR" w:bidi="yi-Hebr"/>
        </w:rPr>
        <w:t xml:space="preserve"> </w:t>
      </w:r>
      <w:r w:rsidRPr="00C65506">
        <w:rPr>
          <w:szCs w:val="24"/>
          <w:lang w:val="fr-FR" w:bidi="yi-Hebr"/>
        </w:rPr>
        <w:t xml:space="preserve">Vous devez suivre scrupuleusement les instructions du mode d’emploi du stylo Ovaleap </w:t>
      </w:r>
      <w:r w:rsidR="008E4008" w:rsidRPr="00C65506">
        <w:rPr>
          <w:szCs w:val="24"/>
          <w:lang w:val="fr-FR" w:bidi="yi-Hebr"/>
        </w:rPr>
        <w:t xml:space="preserve">Pen </w:t>
      </w:r>
      <w:r w:rsidRPr="00C65506">
        <w:rPr>
          <w:szCs w:val="24"/>
          <w:lang w:val="fr-FR" w:bidi="yi-Hebr"/>
        </w:rPr>
        <w:t>fourni séparément.</w:t>
      </w:r>
      <w:r w:rsidRPr="00C65506">
        <w:rPr>
          <w:noProof/>
          <w:szCs w:val="24"/>
          <w:lang w:val="fr-FR" w:bidi="yi-Hebr"/>
        </w:rPr>
        <w:t xml:space="preserve"> </w:t>
      </w:r>
      <w:r w:rsidRPr="00C65506">
        <w:rPr>
          <w:szCs w:val="24"/>
          <w:lang w:val="fr-FR" w:bidi="yi-Hebr"/>
        </w:rPr>
        <w:t>Le mode d’emploi du stylo est fourni avec le stylo Ovaleap</w:t>
      </w:r>
      <w:r w:rsidR="008E4008" w:rsidRPr="00C65506">
        <w:rPr>
          <w:szCs w:val="24"/>
          <w:lang w:val="fr-FR" w:bidi="yi-Hebr"/>
        </w:rPr>
        <w:t xml:space="preserve"> Pen</w:t>
      </w:r>
      <w:r w:rsidRPr="00C65506">
        <w:rPr>
          <w:szCs w:val="24"/>
          <w:lang w:val="fr-FR" w:bidi="yi-Hebr"/>
        </w:rPr>
        <w:t>. Votre affection ne pourra toutefois être correctement traitée qu’en étroite et constante coopération avec votre médecin.</w:t>
      </w:r>
    </w:p>
    <w:p w:rsidR="00B6436A" w:rsidRPr="00C65506" w:rsidRDefault="00B6436A" w:rsidP="00496272">
      <w:pPr>
        <w:numPr>
          <w:ilvl w:val="12"/>
          <w:numId w:val="0"/>
        </w:numPr>
        <w:tabs>
          <w:tab w:val="clear" w:pos="567"/>
        </w:tabs>
        <w:ind w:right="-2"/>
        <w:rPr>
          <w:szCs w:val="22"/>
          <w:lang w:val="fr-FR"/>
        </w:rPr>
      </w:pPr>
    </w:p>
    <w:p w:rsidR="0004620B" w:rsidRPr="00C65506" w:rsidRDefault="0004620B" w:rsidP="0004620B">
      <w:pPr>
        <w:numPr>
          <w:ilvl w:val="12"/>
          <w:numId w:val="0"/>
        </w:numPr>
        <w:tabs>
          <w:tab w:val="clear" w:pos="567"/>
        </w:tabs>
        <w:ind w:right="-2"/>
        <w:rPr>
          <w:noProof/>
          <w:szCs w:val="24"/>
          <w:lang w:val="fr-FR" w:bidi="yi-Hebr"/>
        </w:rPr>
      </w:pPr>
      <w:r w:rsidRPr="00C65506">
        <w:rPr>
          <w:szCs w:val="24"/>
          <w:lang w:val="fr-FR" w:bidi="yi-Hebr"/>
        </w:rPr>
        <w:t>Jetez les aiguilles utilisées immédiatement après l’injection.</w:t>
      </w:r>
    </w:p>
    <w:p w:rsidR="0010267A" w:rsidRPr="00C65506" w:rsidRDefault="0010267A" w:rsidP="00496272">
      <w:pPr>
        <w:numPr>
          <w:ilvl w:val="12"/>
          <w:numId w:val="0"/>
        </w:numPr>
        <w:tabs>
          <w:tab w:val="clear" w:pos="567"/>
        </w:tabs>
        <w:ind w:right="-2"/>
        <w:rPr>
          <w:noProof/>
          <w:szCs w:val="22"/>
          <w:lang w:val="fr-FR"/>
        </w:rPr>
      </w:pPr>
    </w:p>
    <w:p w:rsidR="0004620B" w:rsidRPr="00C65506" w:rsidRDefault="0004620B" w:rsidP="0004620B">
      <w:pPr>
        <w:numPr>
          <w:ilvl w:val="12"/>
          <w:numId w:val="0"/>
        </w:numPr>
        <w:tabs>
          <w:tab w:val="clear" w:pos="567"/>
        </w:tabs>
        <w:ind w:right="-2"/>
        <w:outlineLvl w:val="0"/>
        <w:rPr>
          <w:noProof/>
          <w:szCs w:val="24"/>
          <w:lang w:val="fr-FR" w:bidi="yi-Hebr"/>
        </w:rPr>
      </w:pPr>
      <w:r w:rsidRPr="00C65506">
        <w:rPr>
          <w:b/>
          <w:szCs w:val="24"/>
          <w:lang w:val="fr-FR" w:bidi="yi-Hebr"/>
        </w:rPr>
        <w:t>Si vous avez utilisé plus d’Ovaleap que vous n’auriez dû</w:t>
      </w:r>
    </w:p>
    <w:p w:rsidR="0004620B" w:rsidRPr="00C65506" w:rsidRDefault="0004620B" w:rsidP="0004620B">
      <w:pPr>
        <w:numPr>
          <w:ilvl w:val="12"/>
          <w:numId w:val="0"/>
        </w:numPr>
        <w:tabs>
          <w:tab w:val="clear" w:pos="567"/>
        </w:tabs>
        <w:ind w:right="-2"/>
        <w:outlineLvl w:val="0"/>
        <w:rPr>
          <w:noProof/>
          <w:szCs w:val="24"/>
          <w:lang w:val="fr-FR" w:bidi="yi-Hebr"/>
        </w:rPr>
      </w:pPr>
      <w:r w:rsidRPr="00C65506">
        <w:rPr>
          <w:szCs w:val="24"/>
          <w:lang w:val="fr-FR" w:bidi="yi-Hebr"/>
        </w:rPr>
        <w:t>Les effets de l’utilisation d’une quantité excessive d’Ovaleap ne sont pas connus. Néanmoins, chez la femme, on peut s’attendre à la survenue d’un syndrome d’hyperstimulation ovarienne (SHO), dont les symptômes sont décrits en détail dans la rubrique 4, « Effets indésirables graves chez la femme ». Le SHO ne peut toutefois se produire que si l’hCG est également administrée (voir également « Syndrome d’hyperstimulation ovarienne [SHO] » dans la rubrique 2).</w:t>
      </w:r>
    </w:p>
    <w:p w:rsidR="009B3A8F" w:rsidRPr="00C65506" w:rsidRDefault="009B3A8F" w:rsidP="00496272">
      <w:pPr>
        <w:numPr>
          <w:ilvl w:val="12"/>
          <w:numId w:val="0"/>
        </w:numPr>
        <w:tabs>
          <w:tab w:val="clear" w:pos="567"/>
        </w:tabs>
        <w:ind w:right="-2"/>
        <w:outlineLvl w:val="0"/>
        <w:rPr>
          <w:i/>
          <w:noProof/>
          <w:szCs w:val="22"/>
          <w:highlight w:val="yellow"/>
          <w:lang w:val="fr-FR"/>
        </w:rPr>
      </w:pPr>
    </w:p>
    <w:p w:rsidR="0004620B" w:rsidRPr="00C65506" w:rsidRDefault="0004620B" w:rsidP="0004620B">
      <w:pPr>
        <w:numPr>
          <w:ilvl w:val="12"/>
          <w:numId w:val="0"/>
        </w:numPr>
        <w:tabs>
          <w:tab w:val="clear" w:pos="567"/>
        </w:tabs>
        <w:ind w:right="-2"/>
        <w:outlineLvl w:val="0"/>
        <w:rPr>
          <w:noProof/>
          <w:szCs w:val="24"/>
          <w:lang w:val="fr-FR" w:bidi="yi-Hebr"/>
        </w:rPr>
      </w:pPr>
      <w:r w:rsidRPr="00C65506">
        <w:rPr>
          <w:b/>
          <w:szCs w:val="24"/>
          <w:lang w:val="fr-FR" w:bidi="yi-Hebr"/>
        </w:rPr>
        <w:t>Si vous oubliez d’utiliser Ovaleap</w:t>
      </w:r>
    </w:p>
    <w:p w:rsidR="00070123" w:rsidRPr="00C65506" w:rsidRDefault="00070123" w:rsidP="00070123">
      <w:pPr>
        <w:numPr>
          <w:ilvl w:val="12"/>
          <w:numId w:val="0"/>
        </w:numPr>
        <w:tabs>
          <w:tab w:val="clear" w:pos="567"/>
        </w:tabs>
        <w:ind w:right="-2"/>
        <w:rPr>
          <w:noProof/>
          <w:szCs w:val="24"/>
          <w:lang w:val="fr-FR" w:bidi="yi-Hebr"/>
        </w:rPr>
      </w:pPr>
      <w:r w:rsidRPr="00C65506">
        <w:rPr>
          <w:szCs w:val="24"/>
          <w:lang w:val="fr-FR" w:bidi="yi-Hebr"/>
        </w:rPr>
        <w:t>Ne prenez pas de dose double pour compenser la dose que vous avez oublié</w:t>
      </w:r>
      <w:r w:rsidR="00A468E8" w:rsidRPr="00C65506">
        <w:rPr>
          <w:szCs w:val="24"/>
          <w:lang w:val="fr-FR" w:bidi="yi-Hebr"/>
        </w:rPr>
        <w:t>e</w:t>
      </w:r>
      <w:r w:rsidRPr="00C65506">
        <w:rPr>
          <w:szCs w:val="24"/>
          <w:lang w:val="fr-FR" w:bidi="yi-Hebr"/>
        </w:rPr>
        <w:t xml:space="preserve"> de prendre.</w:t>
      </w:r>
      <w:r w:rsidRPr="00C65506">
        <w:rPr>
          <w:noProof/>
          <w:szCs w:val="24"/>
          <w:lang w:val="fr-FR" w:bidi="yi-Hebr"/>
        </w:rPr>
        <w:t xml:space="preserve"> </w:t>
      </w:r>
      <w:r w:rsidRPr="00C65506">
        <w:rPr>
          <w:szCs w:val="24"/>
          <w:lang w:val="fr-FR" w:bidi="yi-Hebr"/>
        </w:rPr>
        <w:t>Consultez votre médecin dès que vous vous apercevez que vous avez oublié une dose.</w:t>
      </w:r>
    </w:p>
    <w:p w:rsidR="009B6496" w:rsidRPr="00C65506" w:rsidRDefault="009B6496" w:rsidP="00496272">
      <w:pPr>
        <w:numPr>
          <w:ilvl w:val="12"/>
          <w:numId w:val="0"/>
        </w:numPr>
        <w:tabs>
          <w:tab w:val="clear" w:pos="567"/>
        </w:tabs>
        <w:ind w:right="-2"/>
        <w:rPr>
          <w:noProof/>
          <w:szCs w:val="22"/>
          <w:highlight w:val="yellow"/>
          <w:lang w:val="fr-FR"/>
        </w:rPr>
      </w:pPr>
    </w:p>
    <w:p w:rsidR="00070123" w:rsidRPr="00C65506" w:rsidRDefault="00070123" w:rsidP="00070123">
      <w:pPr>
        <w:numPr>
          <w:ilvl w:val="12"/>
          <w:numId w:val="0"/>
        </w:numPr>
        <w:tabs>
          <w:tab w:val="clear" w:pos="567"/>
        </w:tabs>
        <w:ind w:right="-29"/>
        <w:rPr>
          <w:noProof/>
          <w:szCs w:val="24"/>
          <w:lang w:val="fr-FR" w:bidi="yi-Hebr"/>
        </w:rPr>
      </w:pPr>
      <w:r w:rsidRPr="00C65506">
        <w:rPr>
          <w:szCs w:val="24"/>
          <w:lang w:val="fr-FR" w:bidi="yi-Hebr"/>
        </w:rPr>
        <w:t>Si vous avez d’autres questions sur l’utilisation de ce médicament, demandez plus d’informations à votre médecin, à votre pharmacien ou à votre infirmier/ère.</w:t>
      </w:r>
    </w:p>
    <w:p w:rsidR="009B6496" w:rsidRPr="00C65506" w:rsidRDefault="009B6496" w:rsidP="00496272">
      <w:pPr>
        <w:numPr>
          <w:ilvl w:val="12"/>
          <w:numId w:val="0"/>
        </w:numPr>
        <w:tabs>
          <w:tab w:val="clear" w:pos="567"/>
        </w:tabs>
        <w:rPr>
          <w:noProof/>
          <w:szCs w:val="22"/>
          <w:lang w:val="fr-FR"/>
        </w:rPr>
      </w:pPr>
    </w:p>
    <w:p w:rsidR="009B6496" w:rsidRPr="00C65506" w:rsidRDefault="009B6496" w:rsidP="00496272">
      <w:pPr>
        <w:numPr>
          <w:ilvl w:val="12"/>
          <w:numId w:val="0"/>
        </w:numPr>
        <w:tabs>
          <w:tab w:val="clear" w:pos="567"/>
        </w:tabs>
        <w:rPr>
          <w:noProof/>
          <w:szCs w:val="22"/>
          <w:lang w:val="fr-FR"/>
        </w:rPr>
      </w:pPr>
    </w:p>
    <w:p w:rsidR="00070123" w:rsidRPr="00C65506" w:rsidRDefault="00070123" w:rsidP="00070123">
      <w:pPr>
        <w:numPr>
          <w:ilvl w:val="12"/>
          <w:numId w:val="0"/>
        </w:numPr>
        <w:tabs>
          <w:tab w:val="clear" w:pos="567"/>
        </w:tabs>
        <w:ind w:left="567" w:right="-2" w:hanging="567"/>
        <w:rPr>
          <w:noProof/>
          <w:szCs w:val="24"/>
          <w:lang w:val="fr-FR" w:bidi="yi-Hebr"/>
        </w:rPr>
      </w:pPr>
      <w:bookmarkStart w:id="4" w:name="OLE_LINK6"/>
      <w:bookmarkStart w:id="5" w:name="OLE_LINK7"/>
      <w:r w:rsidRPr="00C65506">
        <w:rPr>
          <w:b/>
          <w:noProof/>
          <w:szCs w:val="24"/>
          <w:lang w:val="fr-FR" w:bidi="yi-Hebr"/>
        </w:rPr>
        <w:t>4.</w:t>
      </w:r>
      <w:r w:rsidRPr="00C65506">
        <w:rPr>
          <w:b/>
          <w:noProof/>
          <w:szCs w:val="24"/>
          <w:lang w:val="fr-FR" w:bidi="yi-Hebr"/>
        </w:rPr>
        <w:tab/>
      </w:r>
      <w:r w:rsidRPr="00C65506">
        <w:rPr>
          <w:b/>
          <w:szCs w:val="24"/>
          <w:lang w:val="fr-FR" w:bidi="yi-Hebr"/>
        </w:rPr>
        <w:t>Quels sont les effets indésirables éventuels</w:t>
      </w:r>
    </w:p>
    <w:bookmarkEnd w:id="4"/>
    <w:bookmarkEnd w:id="5"/>
    <w:p w:rsidR="009B6496" w:rsidRPr="00C65506" w:rsidRDefault="009B6496" w:rsidP="00496272">
      <w:pPr>
        <w:numPr>
          <w:ilvl w:val="12"/>
          <w:numId w:val="0"/>
        </w:numPr>
        <w:tabs>
          <w:tab w:val="clear" w:pos="567"/>
        </w:tabs>
        <w:rPr>
          <w:noProof/>
          <w:szCs w:val="22"/>
          <w:lang w:val="fr-FR"/>
        </w:rPr>
      </w:pPr>
    </w:p>
    <w:p w:rsidR="00070123" w:rsidRPr="00C65506" w:rsidRDefault="00070123" w:rsidP="00070123">
      <w:pPr>
        <w:numPr>
          <w:ilvl w:val="12"/>
          <w:numId w:val="0"/>
        </w:numPr>
        <w:tabs>
          <w:tab w:val="clear" w:pos="567"/>
        </w:tabs>
        <w:ind w:right="-29"/>
        <w:rPr>
          <w:noProof/>
          <w:szCs w:val="24"/>
          <w:lang w:val="fr-FR" w:bidi="yi-Hebr"/>
        </w:rPr>
      </w:pPr>
      <w:r w:rsidRPr="00C65506">
        <w:rPr>
          <w:szCs w:val="24"/>
          <w:lang w:val="fr-FR" w:bidi="yi-Hebr"/>
        </w:rPr>
        <w:t>Comme tous les médicaments, ce médicament peut provoquer des effets indésirables, mais ils ne surviennent pas systématiquement chez tout le monde.</w:t>
      </w:r>
    </w:p>
    <w:p w:rsidR="009B6496" w:rsidRPr="00C65506" w:rsidRDefault="009B6496" w:rsidP="00496272">
      <w:pPr>
        <w:numPr>
          <w:ilvl w:val="12"/>
          <w:numId w:val="0"/>
        </w:numPr>
        <w:tabs>
          <w:tab w:val="clear" w:pos="567"/>
        </w:tabs>
        <w:ind w:right="-29"/>
        <w:rPr>
          <w:noProof/>
          <w:szCs w:val="22"/>
          <w:lang w:val="fr-FR"/>
        </w:rPr>
      </w:pPr>
    </w:p>
    <w:p w:rsidR="00070123" w:rsidRPr="00C65506" w:rsidRDefault="00070123" w:rsidP="00070123">
      <w:pPr>
        <w:numPr>
          <w:ilvl w:val="12"/>
          <w:numId w:val="0"/>
        </w:numPr>
        <w:tabs>
          <w:tab w:val="clear" w:pos="567"/>
        </w:tabs>
        <w:ind w:right="-29"/>
        <w:rPr>
          <w:b/>
          <w:noProof/>
          <w:szCs w:val="24"/>
          <w:lang w:val="fr-FR" w:bidi="yi-Hebr"/>
        </w:rPr>
      </w:pPr>
      <w:r w:rsidRPr="00C65506">
        <w:rPr>
          <w:b/>
          <w:szCs w:val="24"/>
          <w:lang w:val="fr-FR" w:bidi="yi-Hebr"/>
        </w:rPr>
        <w:t>Effets indésirables importants</w:t>
      </w:r>
    </w:p>
    <w:p w:rsidR="00786252" w:rsidRPr="00C65506" w:rsidRDefault="00786252" w:rsidP="00496272">
      <w:pPr>
        <w:numPr>
          <w:ilvl w:val="12"/>
          <w:numId w:val="0"/>
        </w:numPr>
        <w:tabs>
          <w:tab w:val="clear" w:pos="567"/>
        </w:tabs>
        <w:ind w:right="-29"/>
        <w:rPr>
          <w:noProof/>
          <w:szCs w:val="22"/>
          <w:lang w:val="fr-FR"/>
        </w:rPr>
      </w:pPr>
    </w:p>
    <w:p w:rsidR="00070123" w:rsidRPr="00C65506" w:rsidRDefault="00070123" w:rsidP="00070123">
      <w:pPr>
        <w:numPr>
          <w:ilvl w:val="12"/>
          <w:numId w:val="0"/>
        </w:numPr>
        <w:tabs>
          <w:tab w:val="clear" w:pos="567"/>
        </w:tabs>
        <w:ind w:right="-29"/>
        <w:rPr>
          <w:noProof/>
          <w:szCs w:val="24"/>
          <w:u w:val="single"/>
          <w:lang w:val="fr-FR" w:bidi="yi-Hebr"/>
        </w:rPr>
      </w:pPr>
      <w:r w:rsidRPr="00C65506">
        <w:rPr>
          <w:szCs w:val="24"/>
          <w:u w:val="single"/>
          <w:lang w:val="fr-FR" w:bidi="yi-Hebr"/>
        </w:rPr>
        <w:t>Effets indésirables graves chez l’homme et la femme</w:t>
      </w:r>
    </w:p>
    <w:p w:rsidR="00070123" w:rsidRPr="00C65506" w:rsidRDefault="00070123" w:rsidP="00297FB7">
      <w:pPr>
        <w:numPr>
          <w:ilvl w:val="0"/>
          <w:numId w:val="20"/>
        </w:numPr>
        <w:tabs>
          <w:tab w:val="clear" w:pos="567"/>
        </w:tabs>
        <w:ind w:left="567" w:right="-28" w:hanging="567"/>
        <w:rPr>
          <w:noProof/>
          <w:szCs w:val="24"/>
          <w:lang w:val="fr-FR" w:bidi="yi-Hebr"/>
        </w:rPr>
      </w:pPr>
      <w:r w:rsidRPr="00C65506">
        <w:rPr>
          <w:szCs w:val="24"/>
          <w:lang w:val="fr-FR" w:bidi="yi-Hebr"/>
        </w:rPr>
        <w:t xml:space="preserve">Des réactions allergiques telles qu’une éruption cutanée, des plaques </w:t>
      </w:r>
      <w:r w:rsidR="001863B7" w:rsidRPr="00C65506">
        <w:rPr>
          <w:szCs w:val="24"/>
          <w:lang w:val="fr-FR" w:bidi="yi-Hebr"/>
        </w:rPr>
        <w:t xml:space="preserve">en relief </w:t>
      </w:r>
      <w:r w:rsidRPr="00C65506">
        <w:rPr>
          <w:szCs w:val="24"/>
          <w:lang w:val="fr-FR" w:bidi="yi-Hebr"/>
        </w:rPr>
        <w:t>sur la peau accompagnées de démangeaisons et des réactions allergiques sévères associées à une faiblesse, une chute de la tension artérielle, une difficulté à respirer et un gonflement du visage ont été signalées de façon très rare (peuvent survenir chez 1 personne sur 10 000 au maximum).</w:t>
      </w:r>
      <w:r w:rsidRPr="00C65506">
        <w:rPr>
          <w:noProof/>
          <w:szCs w:val="24"/>
          <w:lang w:val="fr-FR" w:bidi="yi-Hebr"/>
        </w:rPr>
        <w:t xml:space="preserve"> </w:t>
      </w:r>
      <w:r w:rsidRPr="00C65506">
        <w:rPr>
          <w:szCs w:val="24"/>
          <w:lang w:val="fr-FR" w:bidi="yi-Hebr"/>
        </w:rPr>
        <w:t>Si vous pensez présenter ce type de réaction, vous devez immédiatement</w:t>
      </w:r>
      <w:r w:rsidRPr="00C65506">
        <w:rPr>
          <w:smallCaps/>
          <w:szCs w:val="24"/>
          <w:lang w:val="fr-FR" w:bidi="yi-Hebr"/>
        </w:rPr>
        <w:t xml:space="preserve"> </w:t>
      </w:r>
      <w:r w:rsidRPr="00C65506">
        <w:rPr>
          <w:szCs w:val="24"/>
          <w:lang w:val="fr-FR" w:bidi="yi-Hebr"/>
        </w:rPr>
        <w:t>arrêter les injections d’Ovaleap et consulter un médecin.</w:t>
      </w:r>
    </w:p>
    <w:p w:rsidR="00786252" w:rsidRPr="00C65506" w:rsidRDefault="00786252" w:rsidP="00496272">
      <w:pPr>
        <w:numPr>
          <w:ilvl w:val="12"/>
          <w:numId w:val="0"/>
        </w:numPr>
        <w:tabs>
          <w:tab w:val="clear" w:pos="567"/>
        </w:tabs>
        <w:ind w:right="-29"/>
        <w:rPr>
          <w:noProof/>
          <w:szCs w:val="22"/>
          <w:lang w:val="fr-FR"/>
        </w:rPr>
      </w:pPr>
    </w:p>
    <w:p w:rsidR="00070123" w:rsidRPr="00C65506" w:rsidRDefault="00070123" w:rsidP="00070123">
      <w:pPr>
        <w:numPr>
          <w:ilvl w:val="12"/>
          <w:numId w:val="0"/>
        </w:numPr>
        <w:tabs>
          <w:tab w:val="clear" w:pos="567"/>
        </w:tabs>
        <w:ind w:right="-29"/>
        <w:rPr>
          <w:noProof/>
          <w:szCs w:val="24"/>
          <w:u w:val="single"/>
          <w:lang w:val="fr-FR" w:bidi="yi-Hebr"/>
        </w:rPr>
      </w:pPr>
      <w:r w:rsidRPr="00C65506">
        <w:rPr>
          <w:szCs w:val="24"/>
          <w:u w:val="single"/>
          <w:lang w:val="fr-FR" w:bidi="yi-Hebr"/>
        </w:rPr>
        <w:t>Effets indésirables graves chez la femme</w:t>
      </w:r>
    </w:p>
    <w:p w:rsidR="00070123" w:rsidRPr="00C65506" w:rsidRDefault="00070123" w:rsidP="00297FB7">
      <w:pPr>
        <w:numPr>
          <w:ilvl w:val="0"/>
          <w:numId w:val="20"/>
        </w:numPr>
        <w:tabs>
          <w:tab w:val="clear" w:pos="567"/>
        </w:tabs>
        <w:ind w:left="567" w:right="-28" w:hanging="567"/>
        <w:rPr>
          <w:noProof/>
          <w:szCs w:val="24"/>
          <w:lang w:val="fr-FR" w:bidi="yi-Hebr"/>
        </w:rPr>
      </w:pPr>
      <w:r w:rsidRPr="00C65506">
        <w:rPr>
          <w:szCs w:val="24"/>
          <w:lang w:val="fr-FR" w:bidi="yi-Hebr"/>
        </w:rPr>
        <w:t>Des douleurs dans le bas ventre associées à des nausées ou à des vomissements peuvent être les symptômes d’un syndrome d’hyperstimulation ovarienne (SHO). Cela peut indiquer que les ovaires ont réagi de manière excessive au traitement et que des kystes ovariens volumineux se sont développés (voir également « Syndrome d’hyperstimulation ovarienne » dans la rubrique 2). Cet effet indésirable est fréquent (peut survenir chez 1 personne sur 10 au maximum).</w:t>
      </w:r>
    </w:p>
    <w:p w:rsidR="00070123" w:rsidRPr="00C65506" w:rsidRDefault="00070123" w:rsidP="00297FB7">
      <w:pPr>
        <w:numPr>
          <w:ilvl w:val="0"/>
          <w:numId w:val="20"/>
        </w:numPr>
        <w:tabs>
          <w:tab w:val="clear" w:pos="567"/>
        </w:tabs>
        <w:ind w:left="567" w:right="-28" w:hanging="567"/>
        <w:rPr>
          <w:noProof/>
          <w:szCs w:val="24"/>
          <w:lang w:val="fr-FR" w:bidi="yi-Hebr"/>
        </w:rPr>
      </w:pPr>
      <w:r w:rsidRPr="00C65506">
        <w:rPr>
          <w:szCs w:val="24"/>
          <w:lang w:val="fr-FR" w:bidi="yi-Hebr"/>
        </w:rPr>
        <w:t>Le SHO peut devenir sévère, avec une augmentation nette du volume des ovaires, une réduction de la production d’urine, une prise de poids, une gêne respiratoire et/ou une accumulation éventuelle de liquides dans l’estomac ou le thorax. Cet effet indésirable est peu fréquent (peut survenir chez 1 personne sur 100 au maximum).</w:t>
      </w:r>
    </w:p>
    <w:p w:rsidR="00B238C2" w:rsidRPr="00C65506" w:rsidRDefault="00B238C2" w:rsidP="00297FB7">
      <w:pPr>
        <w:numPr>
          <w:ilvl w:val="0"/>
          <w:numId w:val="20"/>
        </w:numPr>
        <w:tabs>
          <w:tab w:val="clear" w:pos="567"/>
        </w:tabs>
        <w:ind w:left="567" w:right="-28" w:hanging="567"/>
        <w:rPr>
          <w:noProof/>
          <w:szCs w:val="24"/>
          <w:lang w:val="fr-FR" w:bidi="yi-Hebr"/>
        </w:rPr>
      </w:pPr>
      <w:r w:rsidRPr="00C65506">
        <w:rPr>
          <w:szCs w:val="24"/>
          <w:lang w:val="fr-FR" w:bidi="yi-Hebr"/>
        </w:rPr>
        <w:t>Rarement, des complications du SHO, telles qu’une torsion ovarienne ou la formation de caillots sanguins, peuvent survenir (chez 1 personne sur 1 000 au maximum).</w:t>
      </w:r>
    </w:p>
    <w:p w:rsidR="00B238C2" w:rsidRPr="00C65506" w:rsidRDefault="00B238C2" w:rsidP="00297FB7">
      <w:pPr>
        <w:numPr>
          <w:ilvl w:val="0"/>
          <w:numId w:val="20"/>
        </w:numPr>
        <w:tabs>
          <w:tab w:val="clear" w:pos="567"/>
        </w:tabs>
        <w:ind w:left="567" w:right="-28" w:hanging="567"/>
        <w:rPr>
          <w:noProof/>
          <w:szCs w:val="24"/>
          <w:lang w:val="fr-FR" w:bidi="yi-Hebr"/>
        </w:rPr>
      </w:pPr>
      <w:r w:rsidRPr="00C65506">
        <w:rPr>
          <w:szCs w:val="24"/>
          <w:lang w:val="fr-FR" w:bidi="yi-Hebr"/>
        </w:rPr>
        <w:t>Des complications graves en termes de coagulation sanguine (accidents thromboemboliques), parfois indépendant</w:t>
      </w:r>
      <w:r w:rsidR="00A85B4A" w:rsidRPr="00C65506">
        <w:rPr>
          <w:szCs w:val="24"/>
          <w:lang w:val="fr-FR" w:bidi="yi-Hebr"/>
        </w:rPr>
        <w:t>e</w:t>
      </w:r>
      <w:r w:rsidRPr="00C65506">
        <w:rPr>
          <w:szCs w:val="24"/>
          <w:lang w:val="fr-FR" w:bidi="yi-Hebr"/>
        </w:rPr>
        <w:t xml:space="preserve">s du SHO, ont été observées dans de très rares cas (peuvent survenir chez </w:t>
      </w:r>
      <w:r w:rsidRPr="00C65506">
        <w:rPr>
          <w:szCs w:val="24"/>
          <w:lang w:val="fr-FR" w:bidi="yi-Hebr"/>
        </w:rPr>
        <w:lastRenderedPageBreak/>
        <w:t>1 personne sur 10 000 au maximum). Cela peut provoquer des douleurs thoraciques, un essoufflement, un accident vasculaire cérébral ou une crise cardiaque (voir également « Problèmes de coagulation sanguine [accidents thromboemboliques] » dans la rubrique 2).</w:t>
      </w:r>
    </w:p>
    <w:p w:rsidR="00486206" w:rsidRPr="00C65506" w:rsidRDefault="00486206" w:rsidP="00B238C2">
      <w:pPr>
        <w:numPr>
          <w:ilvl w:val="12"/>
          <w:numId w:val="0"/>
        </w:numPr>
        <w:tabs>
          <w:tab w:val="clear" w:pos="567"/>
        </w:tabs>
        <w:ind w:right="-29"/>
        <w:rPr>
          <w:szCs w:val="24"/>
          <w:lang w:val="fr-FR" w:bidi="yi-Hebr"/>
        </w:rPr>
      </w:pPr>
    </w:p>
    <w:p w:rsidR="00B238C2" w:rsidRPr="00C65506" w:rsidRDefault="00B238C2" w:rsidP="00B238C2">
      <w:pPr>
        <w:numPr>
          <w:ilvl w:val="12"/>
          <w:numId w:val="0"/>
        </w:numPr>
        <w:tabs>
          <w:tab w:val="clear" w:pos="567"/>
        </w:tabs>
        <w:ind w:right="-29"/>
        <w:rPr>
          <w:noProof/>
          <w:szCs w:val="24"/>
          <w:lang w:val="fr-FR" w:bidi="yi-Hebr"/>
        </w:rPr>
      </w:pPr>
      <w:r w:rsidRPr="00C65506">
        <w:rPr>
          <w:szCs w:val="24"/>
          <w:lang w:val="fr-FR" w:bidi="yi-Hebr"/>
        </w:rPr>
        <w:t>Si vous ressentez l’un des effets indésirables mentionnés ci-dessus, contactez immédiatement votre médecin ; il/elle pourra vous demander d’arrêter d’utiliser Ovaleap.</w:t>
      </w:r>
    </w:p>
    <w:p w:rsidR="007F2F27" w:rsidRPr="00C65506" w:rsidRDefault="007F2F27" w:rsidP="00496272">
      <w:pPr>
        <w:numPr>
          <w:ilvl w:val="12"/>
          <w:numId w:val="0"/>
        </w:numPr>
        <w:tabs>
          <w:tab w:val="clear" w:pos="567"/>
        </w:tabs>
        <w:ind w:right="-29"/>
        <w:rPr>
          <w:noProof/>
          <w:szCs w:val="22"/>
          <w:highlight w:val="yellow"/>
          <w:lang w:val="fr-FR"/>
        </w:rPr>
      </w:pPr>
    </w:p>
    <w:p w:rsidR="00B238C2" w:rsidRPr="00C65506" w:rsidRDefault="00B238C2" w:rsidP="00B238C2">
      <w:pPr>
        <w:numPr>
          <w:ilvl w:val="12"/>
          <w:numId w:val="0"/>
        </w:numPr>
        <w:tabs>
          <w:tab w:val="clear" w:pos="567"/>
        </w:tabs>
        <w:ind w:right="-2"/>
        <w:rPr>
          <w:b/>
          <w:szCs w:val="24"/>
          <w:lang w:val="fr-FR" w:bidi="yi-Hebr"/>
        </w:rPr>
      </w:pPr>
      <w:r w:rsidRPr="00C65506">
        <w:rPr>
          <w:b/>
          <w:szCs w:val="24"/>
          <w:lang w:val="fr-FR" w:bidi="yi-Hebr"/>
        </w:rPr>
        <w:t>Autres effets indésirables chez la femme</w:t>
      </w:r>
    </w:p>
    <w:p w:rsidR="007F2F27" w:rsidRPr="00C65506" w:rsidRDefault="007F2F27" w:rsidP="00496272">
      <w:pPr>
        <w:numPr>
          <w:ilvl w:val="12"/>
          <w:numId w:val="0"/>
        </w:numPr>
        <w:tabs>
          <w:tab w:val="clear" w:pos="567"/>
        </w:tabs>
        <w:ind w:right="-29"/>
        <w:rPr>
          <w:noProof/>
          <w:szCs w:val="22"/>
          <w:highlight w:val="yellow"/>
          <w:lang w:val="fr-FR"/>
        </w:rPr>
      </w:pPr>
    </w:p>
    <w:p w:rsidR="00B238C2" w:rsidRPr="00C65506" w:rsidRDefault="00B238C2" w:rsidP="00B238C2">
      <w:pPr>
        <w:numPr>
          <w:ilvl w:val="12"/>
          <w:numId w:val="0"/>
        </w:numPr>
        <w:tabs>
          <w:tab w:val="clear" w:pos="567"/>
        </w:tabs>
        <w:ind w:right="-2"/>
        <w:rPr>
          <w:szCs w:val="24"/>
          <w:u w:val="single"/>
          <w:lang w:val="fr-FR" w:bidi="yi-Hebr"/>
        </w:rPr>
      </w:pPr>
      <w:r w:rsidRPr="00C65506">
        <w:rPr>
          <w:szCs w:val="24"/>
          <w:u w:val="single"/>
          <w:lang w:val="fr-FR" w:bidi="yi-Hebr"/>
        </w:rPr>
        <w:t>Très fréquent</w:t>
      </w:r>
      <w:r w:rsidRPr="00C65506">
        <w:rPr>
          <w:szCs w:val="24"/>
          <w:lang w:val="fr-FR" w:bidi="yi-Hebr"/>
        </w:rPr>
        <w:t xml:space="preserve"> (pouvant survenir chez plus de 1 personne sur 10)</w:t>
      </w:r>
    </w:p>
    <w:p w:rsidR="00B238C2" w:rsidRPr="00C65506" w:rsidRDefault="00B238C2" w:rsidP="00297FB7">
      <w:pPr>
        <w:numPr>
          <w:ilvl w:val="0"/>
          <w:numId w:val="20"/>
        </w:numPr>
        <w:tabs>
          <w:tab w:val="clear" w:pos="567"/>
        </w:tabs>
        <w:ind w:left="567" w:right="-28" w:hanging="567"/>
        <w:rPr>
          <w:szCs w:val="24"/>
          <w:lang w:val="fr-FR" w:bidi="yi-Hebr"/>
        </w:rPr>
      </w:pPr>
      <w:r w:rsidRPr="00C65506">
        <w:rPr>
          <w:szCs w:val="24"/>
          <w:lang w:val="fr-FR" w:bidi="yi-Hebr"/>
        </w:rPr>
        <w:t>Réactions locales au site d’injection, telles que douleur, rougeur, hématome, œdème et/ou irritation</w:t>
      </w:r>
    </w:p>
    <w:p w:rsidR="00B238C2" w:rsidRPr="00C65506" w:rsidRDefault="00B238C2" w:rsidP="00297FB7">
      <w:pPr>
        <w:numPr>
          <w:ilvl w:val="0"/>
          <w:numId w:val="20"/>
        </w:numPr>
        <w:tabs>
          <w:tab w:val="clear" w:pos="567"/>
        </w:tabs>
        <w:ind w:left="567" w:right="-28" w:hanging="567"/>
        <w:rPr>
          <w:szCs w:val="24"/>
          <w:lang w:val="fr-FR" w:bidi="yi-Hebr"/>
        </w:rPr>
      </w:pPr>
      <w:r w:rsidRPr="00C65506">
        <w:rPr>
          <w:szCs w:val="24"/>
          <w:lang w:val="fr-FR" w:bidi="yi-Hebr"/>
        </w:rPr>
        <w:t>Maux de tête</w:t>
      </w:r>
    </w:p>
    <w:p w:rsidR="00B238C2" w:rsidRPr="00C65506" w:rsidRDefault="008C7966" w:rsidP="00297FB7">
      <w:pPr>
        <w:numPr>
          <w:ilvl w:val="0"/>
          <w:numId w:val="20"/>
        </w:numPr>
        <w:tabs>
          <w:tab w:val="clear" w:pos="567"/>
        </w:tabs>
        <w:ind w:left="567" w:right="-28" w:hanging="567"/>
        <w:rPr>
          <w:szCs w:val="24"/>
          <w:lang w:val="fr-FR" w:bidi="yi-Hebr"/>
        </w:rPr>
      </w:pPr>
      <w:r w:rsidRPr="00C65506">
        <w:rPr>
          <w:szCs w:val="24"/>
          <w:lang w:val="fr-FR" w:bidi="yi-Hebr"/>
        </w:rPr>
        <w:t>P</w:t>
      </w:r>
      <w:r w:rsidR="00B238C2" w:rsidRPr="00C65506">
        <w:rPr>
          <w:szCs w:val="24"/>
          <w:lang w:val="fr-FR" w:bidi="yi-Hebr"/>
        </w:rPr>
        <w:t>oches de liquide dans les ovaires</w:t>
      </w:r>
      <w:r w:rsidRPr="00C65506">
        <w:rPr>
          <w:szCs w:val="24"/>
          <w:lang w:val="fr-FR" w:bidi="yi-Hebr"/>
        </w:rPr>
        <w:t xml:space="preserve"> (kystes ovariens</w:t>
      </w:r>
      <w:r w:rsidR="00B238C2" w:rsidRPr="00C65506">
        <w:rPr>
          <w:szCs w:val="24"/>
          <w:lang w:val="fr-FR" w:bidi="yi-Hebr"/>
        </w:rPr>
        <w:t>)</w:t>
      </w:r>
    </w:p>
    <w:p w:rsidR="00B238C2" w:rsidRPr="00C65506" w:rsidRDefault="00B238C2" w:rsidP="00B238C2">
      <w:pPr>
        <w:numPr>
          <w:ilvl w:val="12"/>
          <w:numId w:val="0"/>
        </w:numPr>
        <w:tabs>
          <w:tab w:val="clear" w:pos="567"/>
        </w:tabs>
        <w:ind w:left="567" w:right="-2" w:hanging="567"/>
        <w:rPr>
          <w:szCs w:val="24"/>
          <w:u w:val="single"/>
          <w:lang w:val="fr-FR" w:bidi="yi-Hebr"/>
        </w:rPr>
      </w:pPr>
      <w:r w:rsidRPr="00C65506">
        <w:rPr>
          <w:szCs w:val="24"/>
          <w:u w:val="single"/>
          <w:lang w:val="fr-FR" w:bidi="yi-Hebr"/>
        </w:rPr>
        <w:t>Fréquent</w:t>
      </w:r>
      <w:r w:rsidRPr="00C65506">
        <w:rPr>
          <w:szCs w:val="24"/>
          <w:lang w:val="fr-FR" w:bidi="yi-Hebr"/>
        </w:rPr>
        <w:t xml:space="preserve"> (pouvant survenir chez 1 personne sur 10 au maximum)</w:t>
      </w:r>
    </w:p>
    <w:p w:rsidR="00B238C2" w:rsidRPr="00C65506" w:rsidRDefault="00B238C2" w:rsidP="00297FB7">
      <w:pPr>
        <w:numPr>
          <w:ilvl w:val="0"/>
          <w:numId w:val="20"/>
        </w:numPr>
        <w:tabs>
          <w:tab w:val="clear" w:pos="567"/>
        </w:tabs>
        <w:ind w:left="567" w:right="-28" w:hanging="567"/>
        <w:rPr>
          <w:szCs w:val="24"/>
          <w:lang w:val="fr-FR" w:bidi="yi-Hebr"/>
        </w:rPr>
      </w:pPr>
      <w:r w:rsidRPr="00C65506">
        <w:rPr>
          <w:szCs w:val="24"/>
          <w:lang w:val="fr-FR" w:bidi="yi-Hebr"/>
        </w:rPr>
        <w:t>Maux d’estomac</w:t>
      </w:r>
    </w:p>
    <w:p w:rsidR="00B238C2" w:rsidRPr="00C65506" w:rsidRDefault="00B238C2" w:rsidP="00297FB7">
      <w:pPr>
        <w:numPr>
          <w:ilvl w:val="0"/>
          <w:numId w:val="20"/>
        </w:numPr>
        <w:tabs>
          <w:tab w:val="clear" w:pos="567"/>
        </w:tabs>
        <w:ind w:left="567" w:right="-28" w:hanging="567"/>
        <w:rPr>
          <w:szCs w:val="24"/>
          <w:lang w:val="fr-FR" w:bidi="yi-Hebr"/>
        </w:rPr>
      </w:pPr>
      <w:r w:rsidRPr="00C65506">
        <w:rPr>
          <w:szCs w:val="24"/>
          <w:lang w:val="fr-FR" w:bidi="yi-Hebr"/>
        </w:rPr>
        <w:t>Ballonnements</w:t>
      </w:r>
    </w:p>
    <w:p w:rsidR="00B238C2" w:rsidRPr="00C65506" w:rsidRDefault="00B238C2" w:rsidP="00297FB7">
      <w:pPr>
        <w:numPr>
          <w:ilvl w:val="0"/>
          <w:numId w:val="20"/>
        </w:numPr>
        <w:tabs>
          <w:tab w:val="clear" w:pos="567"/>
        </w:tabs>
        <w:ind w:left="567" w:right="-28" w:hanging="567"/>
        <w:rPr>
          <w:szCs w:val="24"/>
          <w:lang w:val="fr-FR" w:bidi="yi-Hebr"/>
        </w:rPr>
      </w:pPr>
      <w:r w:rsidRPr="00C65506">
        <w:rPr>
          <w:szCs w:val="24"/>
          <w:lang w:val="fr-FR" w:bidi="yi-Hebr"/>
        </w:rPr>
        <w:t>Crampes abdominales</w:t>
      </w:r>
    </w:p>
    <w:p w:rsidR="00B238C2" w:rsidRPr="00C65506" w:rsidRDefault="00B238C2" w:rsidP="00297FB7">
      <w:pPr>
        <w:numPr>
          <w:ilvl w:val="0"/>
          <w:numId w:val="20"/>
        </w:numPr>
        <w:tabs>
          <w:tab w:val="clear" w:pos="567"/>
        </w:tabs>
        <w:ind w:left="567" w:right="-28" w:hanging="567"/>
        <w:rPr>
          <w:szCs w:val="24"/>
          <w:lang w:val="fr-FR" w:bidi="yi-Hebr"/>
        </w:rPr>
      </w:pPr>
      <w:r w:rsidRPr="00C65506">
        <w:rPr>
          <w:szCs w:val="24"/>
          <w:lang w:val="fr-FR" w:bidi="yi-Hebr"/>
        </w:rPr>
        <w:t>Nausées</w:t>
      </w:r>
    </w:p>
    <w:p w:rsidR="00B238C2" w:rsidRPr="00C65506" w:rsidRDefault="00B238C2" w:rsidP="00297FB7">
      <w:pPr>
        <w:numPr>
          <w:ilvl w:val="0"/>
          <w:numId w:val="20"/>
        </w:numPr>
        <w:tabs>
          <w:tab w:val="clear" w:pos="567"/>
        </w:tabs>
        <w:ind w:left="567" w:right="-28" w:hanging="567"/>
        <w:rPr>
          <w:szCs w:val="24"/>
          <w:lang w:val="fr-FR" w:bidi="yi-Hebr"/>
        </w:rPr>
      </w:pPr>
      <w:r w:rsidRPr="00C65506">
        <w:rPr>
          <w:szCs w:val="24"/>
          <w:lang w:val="fr-FR" w:bidi="yi-Hebr"/>
        </w:rPr>
        <w:t>Vomissements</w:t>
      </w:r>
    </w:p>
    <w:p w:rsidR="00B238C2" w:rsidRPr="00C65506" w:rsidRDefault="00B238C2" w:rsidP="00297FB7">
      <w:pPr>
        <w:numPr>
          <w:ilvl w:val="0"/>
          <w:numId w:val="20"/>
        </w:numPr>
        <w:tabs>
          <w:tab w:val="clear" w:pos="567"/>
        </w:tabs>
        <w:ind w:left="567" w:right="-28" w:hanging="567"/>
        <w:rPr>
          <w:szCs w:val="24"/>
          <w:lang w:val="fr-FR" w:bidi="yi-Hebr"/>
        </w:rPr>
      </w:pPr>
      <w:r w:rsidRPr="00C65506">
        <w:rPr>
          <w:szCs w:val="24"/>
          <w:lang w:val="fr-FR" w:bidi="yi-Hebr"/>
        </w:rPr>
        <w:t>Diarrhée</w:t>
      </w:r>
    </w:p>
    <w:p w:rsidR="00B238C2" w:rsidRPr="00C65506" w:rsidRDefault="00B238C2" w:rsidP="00B238C2">
      <w:pPr>
        <w:numPr>
          <w:ilvl w:val="12"/>
          <w:numId w:val="0"/>
        </w:numPr>
        <w:tabs>
          <w:tab w:val="clear" w:pos="567"/>
        </w:tabs>
        <w:ind w:left="567" w:right="-2" w:hanging="567"/>
        <w:rPr>
          <w:szCs w:val="24"/>
          <w:u w:val="single"/>
          <w:lang w:val="fr-FR" w:bidi="yi-Hebr"/>
        </w:rPr>
      </w:pPr>
      <w:r w:rsidRPr="00C65506">
        <w:rPr>
          <w:szCs w:val="24"/>
          <w:u w:val="single"/>
          <w:lang w:val="fr-FR" w:bidi="yi-Hebr"/>
        </w:rPr>
        <w:t>Très rare</w:t>
      </w:r>
      <w:r w:rsidRPr="00C65506">
        <w:rPr>
          <w:szCs w:val="24"/>
          <w:lang w:val="fr-FR" w:bidi="yi-Hebr"/>
        </w:rPr>
        <w:t xml:space="preserve"> (pouvant survenir chez 1 personne sur 10 000 au maximum)</w:t>
      </w:r>
    </w:p>
    <w:p w:rsidR="006E1834" w:rsidRPr="00C65506" w:rsidRDefault="006E1834" w:rsidP="00297FB7">
      <w:pPr>
        <w:numPr>
          <w:ilvl w:val="0"/>
          <w:numId w:val="20"/>
        </w:numPr>
        <w:tabs>
          <w:tab w:val="clear" w:pos="567"/>
        </w:tabs>
        <w:ind w:left="567" w:right="-28" w:hanging="567"/>
        <w:rPr>
          <w:szCs w:val="24"/>
          <w:lang w:val="fr-FR" w:bidi="yi-Hebr"/>
        </w:rPr>
      </w:pPr>
      <w:r w:rsidRPr="00C65506">
        <w:rPr>
          <w:szCs w:val="24"/>
          <w:lang w:val="fr-FR" w:bidi="yi-Hebr"/>
        </w:rPr>
        <w:t>Votre asthme peut s’aggraver.</w:t>
      </w:r>
    </w:p>
    <w:p w:rsidR="00786252" w:rsidRPr="00C65506" w:rsidRDefault="00786252" w:rsidP="00496272">
      <w:pPr>
        <w:numPr>
          <w:ilvl w:val="12"/>
          <w:numId w:val="0"/>
        </w:numPr>
        <w:tabs>
          <w:tab w:val="clear" w:pos="567"/>
        </w:tabs>
        <w:ind w:left="567" w:right="-2" w:hanging="567"/>
        <w:rPr>
          <w:lang w:val="fr-FR"/>
        </w:rPr>
      </w:pPr>
    </w:p>
    <w:p w:rsidR="006E1834" w:rsidRPr="00C65506" w:rsidRDefault="006E1834" w:rsidP="006E1834">
      <w:pPr>
        <w:numPr>
          <w:ilvl w:val="12"/>
          <w:numId w:val="0"/>
        </w:numPr>
        <w:tabs>
          <w:tab w:val="clear" w:pos="567"/>
        </w:tabs>
        <w:ind w:left="567" w:right="-2" w:hanging="567"/>
        <w:rPr>
          <w:b/>
          <w:szCs w:val="24"/>
          <w:lang w:val="fr-FR" w:bidi="yi-Hebr"/>
        </w:rPr>
      </w:pPr>
      <w:r w:rsidRPr="00C65506">
        <w:rPr>
          <w:b/>
          <w:szCs w:val="24"/>
          <w:lang w:val="fr-FR" w:bidi="yi-Hebr"/>
        </w:rPr>
        <w:t>Autres effets indésirables chez l’homme</w:t>
      </w:r>
    </w:p>
    <w:p w:rsidR="00DC2621" w:rsidRPr="00C65506" w:rsidRDefault="00DC2621" w:rsidP="00496272">
      <w:pPr>
        <w:numPr>
          <w:ilvl w:val="12"/>
          <w:numId w:val="0"/>
        </w:numPr>
        <w:tabs>
          <w:tab w:val="clear" w:pos="567"/>
        </w:tabs>
        <w:ind w:left="567" w:right="-2" w:hanging="567"/>
        <w:rPr>
          <w:lang w:val="fr-FR"/>
        </w:rPr>
      </w:pPr>
    </w:p>
    <w:p w:rsidR="006E1834" w:rsidRPr="00C65506" w:rsidRDefault="006E1834" w:rsidP="006E1834">
      <w:pPr>
        <w:numPr>
          <w:ilvl w:val="12"/>
          <w:numId w:val="0"/>
        </w:numPr>
        <w:tabs>
          <w:tab w:val="clear" w:pos="567"/>
        </w:tabs>
        <w:ind w:left="567" w:right="-2" w:hanging="567"/>
        <w:rPr>
          <w:szCs w:val="24"/>
          <w:u w:val="single"/>
          <w:lang w:val="fr-FR" w:bidi="yi-Hebr"/>
        </w:rPr>
      </w:pPr>
      <w:r w:rsidRPr="00C65506">
        <w:rPr>
          <w:szCs w:val="24"/>
          <w:u w:val="single"/>
          <w:lang w:val="fr-FR" w:bidi="yi-Hebr"/>
        </w:rPr>
        <w:t>Très fréquent</w:t>
      </w:r>
      <w:r w:rsidRPr="00C65506">
        <w:rPr>
          <w:szCs w:val="24"/>
          <w:lang w:val="fr-FR" w:bidi="yi-Hebr"/>
        </w:rPr>
        <w:t xml:space="preserve"> (pouvant survenir chez plus de 1 personne sur 10)</w:t>
      </w:r>
    </w:p>
    <w:p w:rsidR="006E1834" w:rsidRPr="00C65506" w:rsidRDefault="006E1834" w:rsidP="00297FB7">
      <w:pPr>
        <w:numPr>
          <w:ilvl w:val="0"/>
          <w:numId w:val="20"/>
        </w:numPr>
        <w:tabs>
          <w:tab w:val="clear" w:pos="567"/>
        </w:tabs>
        <w:ind w:left="567" w:right="-28" w:hanging="567"/>
        <w:rPr>
          <w:szCs w:val="24"/>
          <w:lang w:val="fr-FR" w:bidi="yi-Hebr"/>
        </w:rPr>
      </w:pPr>
      <w:r w:rsidRPr="00C65506">
        <w:rPr>
          <w:szCs w:val="24"/>
          <w:lang w:val="fr-FR" w:bidi="yi-Hebr"/>
        </w:rPr>
        <w:t>Réactions locales au site d’injection, telles que douleur, rougeur, hématome, œdème et/ou irritation</w:t>
      </w:r>
    </w:p>
    <w:p w:rsidR="006E1834" w:rsidRPr="00C65506" w:rsidRDefault="006E1834" w:rsidP="006E1834">
      <w:pPr>
        <w:numPr>
          <w:ilvl w:val="12"/>
          <w:numId w:val="0"/>
        </w:numPr>
        <w:tabs>
          <w:tab w:val="clear" w:pos="567"/>
        </w:tabs>
        <w:ind w:left="567" w:right="-2" w:hanging="567"/>
        <w:rPr>
          <w:szCs w:val="24"/>
          <w:u w:val="single"/>
          <w:lang w:val="fr-FR" w:bidi="yi-Hebr"/>
        </w:rPr>
      </w:pPr>
      <w:r w:rsidRPr="00C65506">
        <w:rPr>
          <w:szCs w:val="24"/>
          <w:u w:val="single"/>
          <w:lang w:val="fr-FR" w:bidi="yi-Hebr"/>
        </w:rPr>
        <w:t>Fréquent</w:t>
      </w:r>
      <w:r w:rsidRPr="00C65506">
        <w:rPr>
          <w:szCs w:val="24"/>
          <w:lang w:val="fr-FR" w:bidi="yi-Hebr"/>
        </w:rPr>
        <w:t xml:space="preserve"> (pouvant survenir chez 1 personne sur 10 au maximum)</w:t>
      </w:r>
    </w:p>
    <w:p w:rsidR="006E1834" w:rsidRPr="00C65506" w:rsidRDefault="006E1834" w:rsidP="00297FB7">
      <w:pPr>
        <w:numPr>
          <w:ilvl w:val="0"/>
          <w:numId w:val="20"/>
        </w:numPr>
        <w:tabs>
          <w:tab w:val="clear" w:pos="567"/>
        </w:tabs>
        <w:ind w:left="567" w:right="-28" w:hanging="567"/>
        <w:rPr>
          <w:szCs w:val="24"/>
          <w:lang w:val="fr-FR" w:bidi="yi-Hebr"/>
        </w:rPr>
      </w:pPr>
      <w:r w:rsidRPr="00C65506">
        <w:rPr>
          <w:szCs w:val="24"/>
          <w:lang w:val="fr-FR" w:bidi="yi-Hebr"/>
        </w:rPr>
        <w:t>Gonflement des veines situées au-dessus et à l’arrière des testicules (varicocèle)</w:t>
      </w:r>
    </w:p>
    <w:p w:rsidR="006E1834" w:rsidRPr="00C65506" w:rsidRDefault="006E1834" w:rsidP="00297FB7">
      <w:pPr>
        <w:numPr>
          <w:ilvl w:val="0"/>
          <w:numId w:val="20"/>
        </w:numPr>
        <w:tabs>
          <w:tab w:val="clear" w:pos="567"/>
        </w:tabs>
        <w:ind w:left="567" w:right="-28" w:hanging="567"/>
        <w:rPr>
          <w:szCs w:val="24"/>
          <w:lang w:val="fr-FR" w:bidi="yi-Hebr"/>
        </w:rPr>
      </w:pPr>
      <w:r w:rsidRPr="00C65506">
        <w:rPr>
          <w:szCs w:val="24"/>
          <w:lang w:val="fr-FR" w:bidi="yi-Hebr"/>
        </w:rPr>
        <w:t>Développement des seins</w:t>
      </w:r>
    </w:p>
    <w:p w:rsidR="006E1834" w:rsidRPr="00C65506" w:rsidRDefault="006E1834" w:rsidP="00297FB7">
      <w:pPr>
        <w:numPr>
          <w:ilvl w:val="0"/>
          <w:numId w:val="20"/>
        </w:numPr>
        <w:tabs>
          <w:tab w:val="clear" w:pos="567"/>
        </w:tabs>
        <w:ind w:left="567" w:right="-28" w:hanging="567"/>
        <w:rPr>
          <w:szCs w:val="24"/>
          <w:lang w:val="fr-FR" w:bidi="yi-Hebr"/>
        </w:rPr>
      </w:pPr>
      <w:r w:rsidRPr="00C65506">
        <w:rPr>
          <w:szCs w:val="24"/>
          <w:lang w:val="fr-FR" w:bidi="yi-Hebr"/>
        </w:rPr>
        <w:t>Acné</w:t>
      </w:r>
    </w:p>
    <w:p w:rsidR="006E1834" w:rsidRPr="00C65506" w:rsidRDefault="006E1834" w:rsidP="00297FB7">
      <w:pPr>
        <w:numPr>
          <w:ilvl w:val="0"/>
          <w:numId w:val="20"/>
        </w:numPr>
        <w:tabs>
          <w:tab w:val="clear" w:pos="567"/>
        </w:tabs>
        <w:ind w:left="567" w:right="-28" w:hanging="567"/>
        <w:rPr>
          <w:szCs w:val="24"/>
          <w:lang w:val="fr-FR" w:bidi="yi-Hebr"/>
        </w:rPr>
      </w:pPr>
      <w:r w:rsidRPr="00C65506">
        <w:rPr>
          <w:szCs w:val="24"/>
          <w:lang w:val="fr-FR" w:bidi="yi-Hebr"/>
        </w:rPr>
        <w:t>Prise de poids</w:t>
      </w:r>
    </w:p>
    <w:p w:rsidR="006E1834" w:rsidRPr="00C65506" w:rsidRDefault="006E1834" w:rsidP="006E1834">
      <w:pPr>
        <w:numPr>
          <w:ilvl w:val="12"/>
          <w:numId w:val="0"/>
        </w:numPr>
        <w:tabs>
          <w:tab w:val="clear" w:pos="567"/>
        </w:tabs>
        <w:ind w:left="567" w:right="-2" w:hanging="567"/>
        <w:rPr>
          <w:szCs w:val="24"/>
          <w:u w:val="single"/>
          <w:lang w:val="fr-FR" w:bidi="yi-Hebr"/>
        </w:rPr>
      </w:pPr>
      <w:r w:rsidRPr="00C65506">
        <w:rPr>
          <w:szCs w:val="24"/>
          <w:u w:val="single"/>
          <w:lang w:val="fr-FR" w:bidi="yi-Hebr"/>
        </w:rPr>
        <w:t>Très rare</w:t>
      </w:r>
      <w:r w:rsidRPr="00C65506">
        <w:rPr>
          <w:szCs w:val="24"/>
          <w:lang w:val="fr-FR" w:bidi="yi-Hebr"/>
        </w:rPr>
        <w:t xml:space="preserve"> (pouvant survenir chez 1 personne sur 10 000 au maximum)</w:t>
      </w:r>
    </w:p>
    <w:p w:rsidR="006E1834" w:rsidRPr="00C65506" w:rsidRDefault="006E1834" w:rsidP="00297FB7">
      <w:pPr>
        <w:numPr>
          <w:ilvl w:val="0"/>
          <w:numId w:val="20"/>
        </w:numPr>
        <w:tabs>
          <w:tab w:val="clear" w:pos="567"/>
        </w:tabs>
        <w:ind w:left="567" w:right="-28" w:hanging="567"/>
        <w:rPr>
          <w:szCs w:val="24"/>
          <w:lang w:val="fr-FR" w:bidi="yi-Hebr"/>
        </w:rPr>
      </w:pPr>
      <w:r w:rsidRPr="00C65506">
        <w:rPr>
          <w:szCs w:val="24"/>
          <w:lang w:val="fr-FR" w:bidi="yi-Hebr"/>
        </w:rPr>
        <w:t>Votre asthme peut s’aggraver.</w:t>
      </w:r>
    </w:p>
    <w:p w:rsidR="00DC5A3E" w:rsidRPr="00C65506" w:rsidRDefault="00DC5A3E" w:rsidP="00496272">
      <w:pPr>
        <w:numPr>
          <w:ilvl w:val="12"/>
          <w:numId w:val="0"/>
        </w:numPr>
        <w:tabs>
          <w:tab w:val="clear" w:pos="567"/>
        </w:tabs>
        <w:ind w:right="-2"/>
        <w:rPr>
          <w:lang w:val="fr-FR"/>
        </w:rPr>
      </w:pPr>
    </w:p>
    <w:p w:rsidR="009F136A" w:rsidRPr="00C65506" w:rsidRDefault="009F136A" w:rsidP="009F136A">
      <w:pPr>
        <w:numPr>
          <w:ilvl w:val="12"/>
          <w:numId w:val="0"/>
        </w:numPr>
        <w:tabs>
          <w:tab w:val="clear" w:pos="567"/>
        </w:tabs>
        <w:ind w:right="-2"/>
        <w:rPr>
          <w:b/>
          <w:szCs w:val="22"/>
          <w:lang w:val="fr-FR"/>
        </w:rPr>
      </w:pPr>
      <w:r w:rsidRPr="00C65506">
        <w:rPr>
          <w:b/>
          <w:szCs w:val="22"/>
          <w:lang w:val="fr-FR"/>
        </w:rPr>
        <w:t>Déclaration des effets secondaires</w:t>
      </w:r>
    </w:p>
    <w:p w:rsidR="009F136A" w:rsidRPr="00C65506" w:rsidRDefault="009F136A" w:rsidP="00B472F1">
      <w:pPr>
        <w:numPr>
          <w:ilvl w:val="12"/>
          <w:numId w:val="0"/>
        </w:numPr>
        <w:tabs>
          <w:tab w:val="clear" w:pos="567"/>
        </w:tabs>
        <w:rPr>
          <w:szCs w:val="22"/>
          <w:lang w:val="fr-FR"/>
        </w:rPr>
      </w:pPr>
      <w:r w:rsidRPr="00C65506">
        <w:rPr>
          <w:szCs w:val="22"/>
          <w:lang w:val="fr-FR"/>
        </w:rPr>
        <w:t>Si vous ressentez un quelconque effet indésirable, parlez-en à votre médecin</w:t>
      </w:r>
      <w:r w:rsidRPr="00C65506">
        <w:rPr>
          <w:lang w:val="fr-FR"/>
        </w:rPr>
        <w:t>, votre pharmacien ou à votre infirmier/ère.</w:t>
      </w:r>
      <w:r w:rsidRPr="00C65506">
        <w:rPr>
          <w:szCs w:val="22"/>
          <w:lang w:val="fr-FR"/>
        </w:rPr>
        <w:t xml:space="preserve"> Ceci s’applique aussi à tout effet indésirable qui ne serait pas mentionné dans cette notice. Vous pouvez également déclarer les effets indésirables directement via </w:t>
      </w:r>
      <w:r w:rsidRPr="00C65506">
        <w:rPr>
          <w:szCs w:val="22"/>
          <w:highlight w:val="lightGray"/>
          <w:lang w:val="fr-FR"/>
        </w:rPr>
        <w:t xml:space="preserve">le système national de déclaration décrit en </w:t>
      </w:r>
      <w:hyperlink r:id="rId11" w:history="1">
        <w:r w:rsidR="00B472F1" w:rsidRPr="00C65506">
          <w:rPr>
            <w:rStyle w:val="Hyperlink"/>
            <w:szCs w:val="22"/>
            <w:highlight w:val="lightGray"/>
            <w:lang w:val="fr-FR"/>
          </w:rPr>
          <w:t>annexe V</w:t>
        </w:r>
      </w:hyperlink>
      <w:r w:rsidRPr="00C65506">
        <w:rPr>
          <w:szCs w:val="22"/>
          <w:lang w:val="fr-FR"/>
        </w:rPr>
        <w:t>. En signalant les effets indésirables, vous contribuez à fournir davantage d’informations sur la sécurité du médicament.</w:t>
      </w:r>
    </w:p>
    <w:p w:rsidR="009B6496" w:rsidRPr="00C65506" w:rsidRDefault="009B6496" w:rsidP="00496272">
      <w:pPr>
        <w:numPr>
          <w:ilvl w:val="12"/>
          <w:numId w:val="0"/>
        </w:numPr>
        <w:tabs>
          <w:tab w:val="clear" w:pos="567"/>
        </w:tabs>
        <w:ind w:right="-2"/>
        <w:rPr>
          <w:noProof/>
          <w:szCs w:val="22"/>
          <w:lang w:val="fr-FR"/>
        </w:rPr>
      </w:pPr>
    </w:p>
    <w:p w:rsidR="009B6496" w:rsidRPr="00C65506" w:rsidRDefault="009B6496" w:rsidP="00496272">
      <w:pPr>
        <w:numPr>
          <w:ilvl w:val="12"/>
          <w:numId w:val="0"/>
        </w:numPr>
        <w:tabs>
          <w:tab w:val="clear" w:pos="567"/>
        </w:tabs>
        <w:ind w:right="-2"/>
        <w:rPr>
          <w:noProof/>
          <w:szCs w:val="22"/>
          <w:lang w:val="fr-FR"/>
        </w:rPr>
      </w:pPr>
    </w:p>
    <w:p w:rsidR="006E1834" w:rsidRPr="00C65506" w:rsidRDefault="006E1834" w:rsidP="006E1834">
      <w:pPr>
        <w:numPr>
          <w:ilvl w:val="12"/>
          <w:numId w:val="0"/>
        </w:numPr>
        <w:tabs>
          <w:tab w:val="clear" w:pos="567"/>
        </w:tabs>
        <w:ind w:left="567" w:right="-2" w:hanging="567"/>
        <w:rPr>
          <w:b/>
          <w:noProof/>
          <w:szCs w:val="24"/>
          <w:lang w:val="fr-FR" w:bidi="yi-Hebr"/>
        </w:rPr>
      </w:pPr>
      <w:r w:rsidRPr="00C65506">
        <w:rPr>
          <w:b/>
          <w:noProof/>
          <w:szCs w:val="24"/>
          <w:lang w:val="fr-FR" w:bidi="yi-Hebr"/>
        </w:rPr>
        <w:t>5.</w:t>
      </w:r>
      <w:r w:rsidRPr="00C65506">
        <w:rPr>
          <w:b/>
          <w:noProof/>
          <w:szCs w:val="24"/>
          <w:lang w:val="fr-FR" w:bidi="yi-Hebr"/>
        </w:rPr>
        <w:tab/>
      </w:r>
      <w:r w:rsidRPr="00C65506">
        <w:rPr>
          <w:b/>
          <w:szCs w:val="24"/>
          <w:lang w:val="fr-FR" w:bidi="yi-Hebr"/>
        </w:rPr>
        <w:t>Comment conserver Ovaleap</w:t>
      </w:r>
    </w:p>
    <w:p w:rsidR="009B6496" w:rsidRPr="00C65506" w:rsidRDefault="009B6496" w:rsidP="00496272">
      <w:pPr>
        <w:numPr>
          <w:ilvl w:val="12"/>
          <w:numId w:val="0"/>
        </w:numPr>
        <w:tabs>
          <w:tab w:val="clear" w:pos="567"/>
        </w:tabs>
        <w:ind w:right="-2"/>
        <w:rPr>
          <w:noProof/>
          <w:szCs w:val="22"/>
          <w:lang w:val="fr-FR"/>
        </w:rPr>
      </w:pPr>
    </w:p>
    <w:p w:rsidR="006E1834" w:rsidRPr="00C65506" w:rsidRDefault="006E1834" w:rsidP="006E1834">
      <w:pPr>
        <w:numPr>
          <w:ilvl w:val="12"/>
          <w:numId w:val="0"/>
        </w:numPr>
        <w:tabs>
          <w:tab w:val="clear" w:pos="567"/>
        </w:tabs>
        <w:ind w:right="-2"/>
        <w:rPr>
          <w:noProof/>
          <w:szCs w:val="24"/>
          <w:lang w:val="fr-FR" w:bidi="yi-Hebr"/>
        </w:rPr>
      </w:pPr>
      <w:r w:rsidRPr="00C65506">
        <w:rPr>
          <w:szCs w:val="24"/>
          <w:lang w:val="fr-FR" w:bidi="yi-Hebr"/>
        </w:rPr>
        <w:t>Tenir ce médicament hors de la vue et de la portée des enfants.</w:t>
      </w:r>
    </w:p>
    <w:p w:rsidR="009B6496" w:rsidRPr="00C65506" w:rsidRDefault="009B6496" w:rsidP="00496272">
      <w:pPr>
        <w:numPr>
          <w:ilvl w:val="12"/>
          <w:numId w:val="0"/>
        </w:numPr>
        <w:tabs>
          <w:tab w:val="clear" w:pos="567"/>
        </w:tabs>
        <w:ind w:right="-2"/>
        <w:rPr>
          <w:noProof/>
          <w:szCs w:val="22"/>
          <w:lang w:val="fr-FR"/>
        </w:rPr>
      </w:pPr>
    </w:p>
    <w:p w:rsidR="006E1834" w:rsidRPr="00C65506" w:rsidRDefault="006E1834" w:rsidP="002D2B53">
      <w:pPr>
        <w:numPr>
          <w:ilvl w:val="12"/>
          <w:numId w:val="0"/>
        </w:numPr>
        <w:tabs>
          <w:tab w:val="clear" w:pos="567"/>
        </w:tabs>
        <w:ind w:right="-2"/>
        <w:rPr>
          <w:noProof/>
          <w:szCs w:val="24"/>
          <w:lang w:val="fr-FR" w:bidi="yi-Hebr"/>
        </w:rPr>
      </w:pPr>
      <w:r w:rsidRPr="00C65506">
        <w:rPr>
          <w:szCs w:val="24"/>
          <w:lang w:val="fr-FR" w:bidi="yi-Hebr"/>
        </w:rPr>
        <w:t xml:space="preserve">N’utilisez pas ce médicament après la date de péremption indiquée sur l’étiquette et </w:t>
      </w:r>
      <w:r w:rsidR="002D2B53" w:rsidRPr="00C65506">
        <w:rPr>
          <w:lang w:val="fr-FR"/>
        </w:rPr>
        <w:t>l’emballage</w:t>
      </w:r>
      <w:r w:rsidRPr="00C65506">
        <w:rPr>
          <w:szCs w:val="24"/>
          <w:lang w:val="fr-FR" w:bidi="yi-Hebr"/>
        </w:rPr>
        <w:t xml:space="preserve"> extérieur après EXP.</w:t>
      </w:r>
      <w:r w:rsidRPr="00C65506">
        <w:rPr>
          <w:noProof/>
          <w:szCs w:val="24"/>
          <w:lang w:val="fr-FR" w:bidi="yi-Hebr"/>
        </w:rPr>
        <w:t xml:space="preserve"> </w:t>
      </w:r>
      <w:r w:rsidRPr="00C65506">
        <w:rPr>
          <w:szCs w:val="24"/>
          <w:lang w:val="fr-FR" w:bidi="yi-Hebr"/>
        </w:rPr>
        <w:t>La date de péremption fait référence au dernier jour de ce mois.</w:t>
      </w:r>
    </w:p>
    <w:p w:rsidR="009B6496" w:rsidRPr="00C65506" w:rsidRDefault="009B6496" w:rsidP="00496272">
      <w:pPr>
        <w:numPr>
          <w:ilvl w:val="12"/>
          <w:numId w:val="0"/>
        </w:numPr>
        <w:tabs>
          <w:tab w:val="clear" w:pos="567"/>
        </w:tabs>
        <w:ind w:right="-2"/>
        <w:rPr>
          <w:noProof/>
          <w:szCs w:val="22"/>
          <w:lang w:val="fr-FR"/>
        </w:rPr>
      </w:pPr>
    </w:p>
    <w:p w:rsidR="006E1834" w:rsidRPr="00C65506" w:rsidRDefault="006E1834" w:rsidP="006E1834">
      <w:pPr>
        <w:tabs>
          <w:tab w:val="clear" w:pos="567"/>
        </w:tabs>
        <w:rPr>
          <w:noProof/>
          <w:color w:val="000000"/>
          <w:szCs w:val="24"/>
          <w:lang w:val="fr-FR" w:bidi="yi-Hebr"/>
        </w:rPr>
      </w:pPr>
      <w:r w:rsidRPr="00C65506">
        <w:rPr>
          <w:color w:val="000000"/>
          <w:szCs w:val="24"/>
          <w:lang w:val="fr-FR" w:bidi="yi-Hebr"/>
        </w:rPr>
        <w:t>À conserver au réfrigérateur (entre 2°C et 8°C).</w:t>
      </w:r>
    </w:p>
    <w:p w:rsidR="007A27B0" w:rsidRPr="00C65506" w:rsidRDefault="007A27B0" w:rsidP="00496272">
      <w:pPr>
        <w:tabs>
          <w:tab w:val="clear" w:pos="567"/>
        </w:tabs>
        <w:rPr>
          <w:noProof/>
          <w:color w:val="000000"/>
          <w:szCs w:val="22"/>
          <w:lang w:val="fr-FR"/>
        </w:rPr>
      </w:pPr>
    </w:p>
    <w:p w:rsidR="006E1834" w:rsidRPr="00C65506" w:rsidRDefault="006E1834" w:rsidP="006E1834">
      <w:pPr>
        <w:tabs>
          <w:tab w:val="clear" w:pos="567"/>
        </w:tabs>
        <w:rPr>
          <w:noProof/>
          <w:color w:val="000000"/>
          <w:szCs w:val="24"/>
          <w:lang w:val="fr-FR" w:bidi="yi-Hebr"/>
        </w:rPr>
      </w:pPr>
      <w:r w:rsidRPr="00C65506">
        <w:rPr>
          <w:color w:val="000000"/>
          <w:szCs w:val="24"/>
          <w:lang w:val="fr-FR" w:bidi="yi-Hebr"/>
        </w:rPr>
        <w:t>Ne pas congeler.</w:t>
      </w:r>
    </w:p>
    <w:p w:rsidR="007A27B0" w:rsidRPr="00C65506" w:rsidRDefault="007A27B0" w:rsidP="00496272">
      <w:pPr>
        <w:tabs>
          <w:tab w:val="clear" w:pos="567"/>
        </w:tabs>
        <w:rPr>
          <w:noProof/>
          <w:color w:val="000000"/>
          <w:szCs w:val="22"/>
          <w:lang w:val="fr-FR"/>
        </w:rPr>
      </w:pPr>
    </w:p>
    <w:p w:rsidR="006E1834" w:rsidRPr="00C65506" w:rsidRDefault="006E1834" w:rsidP="006E1834">
      <w:pPr>
        <w:tabs>
          <w:tab w:val="clear" w:pos="567"/>
        </w:tabs>
        <w:rPr>
          <w:noProof/>
          <w:color w:val="000000"/>
          <w:szCs w:val="24"/>
          <w:lang w:val="fr-FR" w:bidi="yi-Hebr"/>
        </w:rPr>
      </w:pPr>
      <w:r w:rsidRPr="00C65506">
        <w:rPr>
          <w:color w:val="000000"/>
          <w:szCs w:val="24"/>
          <w:lang w:val="fr-FR" w:bidi="yi-Hebr"/>
        </w:rPr>
        <w:lastRenderedPageBreak/>
        <w:t>Conserver la cartouche dans l’emballage extérieur, à l’abri de la lumière.</w:t>
      </w:r>
    </w:p>
    <w:p w:rsidR="007A27B0" w:rsidRPr="00C65506" w:rsidRDefault="007A27B0" w:rsidP="00496272">
      <w:pPr>
        <w:numPr>
          <w:ilvl w:val="12"/>
          <w:numId w:val="0"/>
        </w:numPr>
        <w:tabs>
          <w:tab w:val="clear" w:pos="567"/>
        </w:tabs>
        <w:ind w:right="-2"/>
        <w:rPr>
          <w:noProof/>
          <w:szCs w:val="22"/>
          <w:lang w:val="fr-FR"/>
        </w:rPr>
      </w:pPr>
    </w:p>
    <w:p w:rsidR="006E1834" w:rsidRPr="00C65506" w:rsidRDefault="006E1834" w:rsidP="00B5074A">
      <w:pPr>
        <w:tabs>
          <w:tab w:val="clear" w:pos="567"/>
        </w:tabs>
        <w:rPr>
          <w:noProof/>
          <w:color w:val="000000"/>
          <w:szCs w:val="24"/>
          <w:lang w:val="fr-FR" w:bidi="yi-Hebr"/>
        </w:rPr>
      </w:pPr>
      <w:r w:rsidRPr="00C65506">
        <w:rPr>
          <w:color w:val="000000"/>
          <w:szCs w:val="24"/>
          <w:lang w:val="fr-FR" w:bidi="yi-Hebr"/>
        </w:rPr>
        <w:t>Avant ouverture, et pendant sa durée de conservation, vous pouvez conserver ce médicament hors du réfrigérateur</w:t>
      </w:r>
      <w:r w:rsidR="00486206" w:rsidRPr="00C65506">
        <w:rPr>
          <w:color w:val="000000"/>
          <w:szCs w:val="24"/>
          <w:lang w:val="fr-FR" w:bidi="yi-Hebr"/>
        </w:rPr>
        <w:t>,</w:t>
      </w:r>
      <w:r w:rsidRPr="00C65506">
        <w:rPr>
          <w:color w:val="000000"/>
          <w:szCs w:val="24"/>
          <w:lang w:val="fr-FR" w:bidi="yi-Hebr"/>
        </w:rPr>
        <w:t xml:space="preserve"> pendant un maximum de 3 mois, sans le réfrigérer à nouveau. </w:t>
      </w:r>
      <w:r w:rsidR="00B5074A" w:rsidRPr="00C65506">
        <w:rPr>
          <w:color w:val="000000"/>
          <w:szCs w:val="24"/>
          <w:lang w:val="fr-FR" w:bidi="yi-Hebr"/>
        </w:rPr>
        <w:t xml:space="preserve">À conserver à une température ne dépassant pas 25°C. </w:t>
      </w:r>
      <w:r w:rsidRPr="00C65506">
        <w:rPr>
          <w:color w:val="000000"/>
          <w:szCs w:val="24"/>
          <w:lang w:val="fr-FR" w:bidi="yi-Hebr"/>
        </w:rPr>
        <w:t>Vous devez jeter ce médicament s’il n’a pas été utilisé au bout de 3 mois.</w:t>
      </w:r>
    </w:p>
    <w:p w:rsidR="007A27B0" w:rsidRPr="00C65506" w:rsidRDefault="007A27B0" w:rsidP="00496272">
      <w:pPr>
        <w:numPr>
          <w:ilvl w:val="12"/>
          <w:numId w:val="0"/>
        </w:numPr>
        <w:tabs>
          <w:tab w:val="clear" w:pos="567"/>
        </w:tabs>
        <w:ind w:right="-2"/>
        <w:rPr>
          <w:noProof/>
          <w:szCs w:val="22"/>
          <w:lang w:val="fr-FR"/>
        </w:rPr>
      </w:pPr>
    </w:p>
    <w:p w:rsidR="006E1834" w:rsidRPr="00C65506" w:rsidRDefault="00B5074A" w:rsidP="00B5074A">
      <w:pPr>
        <w:tabs>
          <w:tab w:val="clear" w:pos="567"/>
        </w:tabs>
        <w:rPr>
          <w:noProof/>
          <w:color w:val="000000"/>
          <w:szCs w:val="24"/>
          <w:highlight w:val="yellow"/>
          <w:lang w:val="fr-FR" w:bidi="yi-Hebr"/>
        </w:rPr>
      </w:pPr>
      <w:r w:rsidRPr="00C65506">
        <w:rPr>
          <w:color w:val="000000"/>
          <w:szCs w:val="24"/>
          <w:lang w:val="fr-FR" w:bidi="yi-Hebr"/>
        </w:rPr>
        <w:t>Après ouverture, l</w:t>
      </w:r>
      <w:r w:rsidR="006E1834" w:rsidRPr="00C65506">
        <w:rPr>
          <w:color w:val="000000"/>
          <w:szCs w:val="24"/>
          <w:lang w:val="fr-FR" w:bidi="yi-Hebr"/>
        </w:rPr>
        <w:t xml:space="preserve">a cartouche en cours d’utilisation </w:t>
      </w:r>
      <w:r w:rsidR="0088203A" w:rsidRPr="00C65506">
        <w:rPr>
          <w:color w:val="000000"/>
          <w:szCs w:val="24"/>
          <w:lang w:val="fr-FR" w:bidi="yi-Hebr"/>
        </w:rPr>
        <w:t xml:space="preserve">présente </w:t>
      </w:r>
      <w:r w:rsidR="006E1834" w:rsidRPr="00C65506">
        <w:rPr>
          <w:color w:val="000000"/>
          <w:szCs w:val="24"/>
          <w:lang w:val="fr-FR" w:bidi="yi-Hebr"/>
        </w:rPr>
        <w:t>dans le stylo peut être conservée pendant un maximum de 28 jours</w:t>
      </w:r>
      <w:r w:rsidRPr="00C65506">
        <w:rPr>
          <w:color w:val="000000"/>
          <w:szCs w:val="24"/>
          <w:lang w:val="fr-FR" w:bidi="yi-Hebr"/>
        </w:rPr>
        <w:t>.</w:t>
      </w:r>
      <w:r w:rsidR="006E1834" w:rsidRPr="00C65506">
        <w:rPr>
          <w:color w:val="000000"/>
          <w:szCs w:val="24"/>
          <w:lang w:val="fr-FR" w:bidi="yi-Hebr"/>
        </w:rPr>
        <w:t xml:space="preserve"> </w:t>
      </w:r>
      <w:r w:rsidRPr="00C65506">
        <w:rPr>
          <w:color w:val="000000"/>
          <w:szCs w:val="24"/>
          <w:lang w:val="fr-FR" w:bidi="yi-Hebr"/>
        </w:rPr>
        <w:t xml:space="preserve">À conserver </w:t>
      </w:r>
      <w:r w:rsidR="006E1834" w:rsidRPr="00C65506">
        <w:rPr>
          <w:color w:val="000000"/>
          <w:szCs w:val="24"/>
          <w:lang w:val="fr-FR" w:bidi="yi-Hebr"/>
        </w:rPr>
        <w:t>à une température ne dépassant pas 25°C.</w:t>
      </w:r>
      <w:r w:rsidR="006E1834" w:rsidRPr="00C65506">
        <w:rPr>
          <w:noProof/>
          <w:szCs w:val="24"/>
          <w:lang w:val="fr-FR" w:bidi="yi-Hebr"/>
        </w:rPr>
        <w:t xml:space="preserve"> </w:t>
      </w:r>
      <w:r w:rsidR="006E1834" w:rsidRPr="00C65506">
        <w:rPr>
          <w:szCs w:val="24"/>
          <w:lang w:val="fr-FR" w:bidi="yi-Hebr"/>
        </w:rPr>
        <w:t xml:space="preserve">Notez </w:t>
      </w:r>
      <w:r w:rsidRPr="00C65506">
        <w:rPr>
          <w:szCs w:val="24"/>
          <w:lang w:val="fr-FR" w:bidi="yi-Hebr"/>
        </w:rPr>
        <w:t xml:space="preserve">la date </w:t>
      </w:r>
      <w:r w:rsidR="006E1834" w:rsidRPr="00C65506">
        <w:rPr>
          <w:szCs w:val="24"/>
          <w:lang w:val="fr-FR" w:bidi="yi-Hebr"/>
        </w:rPr>
        <w:t>de la première utilisation dans le carnet de suivi qui vous sera fourni avec le stylo Ovaleap</w:t>
      </w:r>
      <w:r w:rsidR="008E4008" w:rsidRPr="00C65506">
        <w:rPr>
          <w:szCs w:val="24"/>
          <w:lang w:val="fr-FR" w:bidi="yi-Hebr"/>
        </w:rPr>
        <w:t xml:space="preserve"> Pen</w:t>
      </w:r>
      <w:r w:rsidR="006E1834" w:rsidRPr="00C65506">
        <w:rPr>
          <w:szCs w:val="24"/>
          <w:lang w:val="fr-FR" w:bidi="yi-Hebr"/>
        </w:rPr>
        <w:t>.</w:t>
      </w:r>
    </w:p>
    <w:p w:rsidR="007A27B0" w:rsidRPr="00C65506" w:rsidRDefault="007A27B0" w:rsidP="00496272">
      <w:pPr>
        <w:numPr>
          <w:ilvl w:val="12"/>
          <w:numId w:val="0"/>
        </w:numPr>
        <w:tabs>
          <w:tab w:val="clear" w:pos="567"/>
        </w:tabs>
        <w:ind w:right="-2"/>
        <w:rPr>
          <w:noProof/>
          <w:szCs w:val="22"/>
          <w:highlight w:val="yellow"/>
          <w:lang w:val="fr-FR"/>
        </w:rPr>
      </w:pPr>
    </w:p>
    <w:p w:rsidR="006E1834" w:rsidRPr="00C65506" w:rsidRDefault="006E1834" w:rsidP="006E1834">
      <w:pPr>
        <w:numPr>
          <w:ilvl w:val="12"/>
          <w:numId w:val="0"/>
        </w:numPr>
        <w:tabs>
          <w:tab w:val="clear" w:pos="567"/>
        </w:tabs>
        <w:ind w:right="-2"/>
        <w:rPr>
          <w:noProof/>
          <w:szCs w:val="24"/>
          <w:lang w:val="fr-FR" w:bidi="yi-Hebr"/>
        </w:rPr>
      </w:pPr>
      <w:r w:rsidRPr="00C65506">
        <w:rPr>
          <w:szCs w:val="24"/>
          <w:lang w:val="fr-FR" w:bidi="yi-Hebr"/>
        </w:rPr>
        <w:t>Remettez le capuchon du stylo en place sur le stylo </w:t>
      </w:r>
      <w:r w:rsidRPr="00C65506">
        <w:rPr>
          <w:color w:val="000000"/>
          <w:szCs w:val="24"/>
          <w:lang w:val="fr-FR" w:bidi="yi-Hebr"/>
        </w:rPr>
        <w:t xml:space="preserve">Ovaleap </w:t>
      </w:r>
      <w:r w:rsidR="008E4008" w:rsidRPr="00C65506">
        <w:rPr>
          <w:color w:val="000000"/>
          <w:szCs w:val="24"/>
          <w:lang w:val="fr-FR" w:bidi="yi-Hebr"/>
        </w:rPr>
        <w:t xml:space="preserve">Pen </w:t>
      </w:r>
      <w:r w:rsidRPr="00C65506">
        <w:rPr>
          <w:color w:val="000000"/>
          <w:szCs w:val="24"/>
          <w:lang w:val="fr-FR" w:bidi="yi-Hebr"/>
        </w:rPr>
        <w:t xml:space="preserve">après chaque </w:t>
      </w:r>
      <w:r w:rsidRPr="00C65506">
        <w:rPr>
          <w:szCs w:val="24"/>
          <w:lang w:val="fr-FR" w:bidi="yi-Hebr"/>
        </w:rPr>
        <w:t>injection afin de maintenir la cartouche à l’abri de la lumière</w:t>
      </w:r>
      <w:r w:rsidRPr="00C65506">
        <w:rPr>
          <w:color w:val="000000"/>
          <w:szCs w:val="24"/>
          <w:lang w:val="fr-FR" w:bidi="yi-Hebr"/>
        </w:rPr>
        <w:t>.</w:t>
      </w:r>
    </w:p>
    <w:p w:rsidR="00A06EC2" w:rsidRPr="00C65506" w:rsidRDefault="00A06EC2" w:rsidP="00496272">
      <w:pPr>
        <w:numPr>
          <w:ilvl w:val="12"/>
          <w:numId w:val="0"/>
        </w:numPr>
        <w:tabs>
          <w:tab w:val="clear" w:pos="567"/>
        </w:tabs>
        <w:ind w:right="-2"/>
        <w:rPr>
          <w:noProof/>
          <w:szCs w:val="22"/>
          <w:lang w:val="fr-FR"/>
        </w:rPr>
      </w:pPr>
    </w:p>
    <w:p w:rsidR="006E1834" w:rsidRPr="00C65506" w:rsidRDefault="006E1834" w:rsidP="006E1834">
      <w:pPr>
        <w:numPr>
          <w:ilvl w:val="12"/>
          <w:numId w:val="0"/>
        </w:numPr>
        <w:tabs>
          <w:tab w:val="clear" w:pos="567"/>
        </w:tabs>
        <w:ind w:right="-2"/>
        <w:rPr>
          <w:noProof/>
          <w:szCs w:val="24"/>
          <w:lang w:val="fr-FR" w:bidi="yi-Hebr"/>
        </w:rPr>
      </w:pPr>
      <w:r w:rsidRPr="00C65506">
        <w:rPr>
          <w:szCs w:val="24"/>
          <w:lang w:val="fr-FR" w:bidi="yi-Hebr"/>
        </w:rPr>
        <w:t>N’utilisez pas ce médicament si vous remarquez que la solution est trouble ou contient des particules.</w:t>
      </w:r>
    </w:p>
    <w:p w:rsidR="007A27B0" w:rsidRPr="00C65506" w:rsidRDefault="007A27B0" w:rsidP="00496272">
      <w:pPr>
        <w:numPr>
          <w:ilvl w:val="12"/>
          <w:numId w:val="0"/>
        </w:numPr>
        <w:tabs>
          <w:tab w:val="clear" w:pos="567"/>
        </w:tabs>
        <w:ind w:right="-2"/>
        <w:rPr>
          <w:noProof/>
          <w:szCs w:val="22"/>
          <w:lang w:val="fr-FR"/>
        </w:rPr>
      </w:pPr>
    </w:p>
    <w:p w:rsidR="00A23548" w:rsidRPr="00C65506" w:rsidRDefault="00A23548" w:rsidP="00A23548">
      <w:pPr>
        <w:numPr>
          <w:ilvl w:val="12"/>
          <w:numId w:val="0"/>
        </w:numPr>
        <w:tabs>
          <w:tab w:val="clear" w:pos="567"/>
        </w:tabs>
        <w:ind w:right="-2"/>
        <w:rPr>
          <w:i/>
          <w:noProof/>
          <w:szCs w:val="24"/>
          <w:lang w:val="fr-FR" w:bidi="yi-Hebr"/>
        </w:rPr>
      </w:pPr>
      <w:r w:rsidRPr="00C65506">
        <w:rPr>
          <w:szCs w:val="24"/>
          <w:lang w:val="fr-FR" w:bidi="yi-Hebr"/>
        </w:rPr>
        <w:t>Ne jetez aucun médicament au tout-à-l’égout.</w:t>
      </w:r>
      <w:r w:rsidRPr="00C65506">
        <w:rPr>
          <w:noProof/>
          <w:szCs w:val="24"/>
          <w:lang w:val="fr-FR" w:bidi="yi-Hebr"/>
        </w:rPr>
        <w:t xml:space="preserve"> </w:t>
      </w:r>
      <w:r w:rsidRPr="00C65506">
        <w:rPr>
          <w:szCs w:val="24"/>
          <w:lang w:val="fr-FR" w:bidi="yi-Hebr"/>
        </w:rPr>
        <w:t>Demandez à votre pharmacien d’éliminer les médicaments que vous n’utilisez plus.</w:t>
      </w:r>
      <w:r w:rsidRPr="00C65506">
        <w:rPr>
          <w:noProof/>
          <w:szCs w:val="24"/>
          <w:lang w:val="fr-FR" w:bidi="yi-Hebr"/>
        </w:rPr>
        <w:t xml:space="preserve"> </w:t>
      </w:r>
      <w:r w:rsidRPr="00C65506">
        <w:rPr>
          <w:szCs w:val="24"/>
          <w:lang w:val="fr-FR" w:bidi="yi-Hebr"/>
        </w:rPr>
        <w:t>Ces mesures contribueront à protéger l’environnement.</w:t>
      </w:r>
    </w:p>
    <w:p w:rsidR="009B6496" w:rsidRPr="00C65506" w:rsidRDefault="009B6496" w:rsidP="00496272">
      <w:pPr>
        <w:numPr>
          <w:ilvl w:val="12"/>
          <w:numId w:val="0"/>
        </w:numPr>
        <w:tabs>
          <w:tab w:val="clear" w:pos="567"/>
        </w:tabs>
        <w:ind w:right="-2"/>
        <w:rPr>
          <w:noProof/>
          <w:szCs w:val="22"/>
          <w:lang w:val="fr-FR"/>
        </w:rPr>
      </w:pPr>
    </w:p>
    <w:p w:rsidR="009B6496" w:rsidRPr="00C65506" w:rsidRDefault="009B6496" w:rsidP="00496272">
      <w:pPr>
        <w:numPr>
          <w:ilvl w:val="12"/>
          <w:numId w:val="0"/>
        </w:numPr>
        <w:tabs>
          <w:tab w:val="clear" w:pos="567"/>
        </w:tabs>
        <w:ind w:right="-2"/>
        <w:rPr>
          <w:noProof/>
          <w:szCs w:val="22"/>
          <w:lang w:val="fr-FR"/>
        </w:rPr>
      </w:pPr>
    </w:p>
    <w:p w:rsidR="00A23548" w:rsidRPr="00C65506" w:rsidRDefault="00A23548" w:rsidP="00A23548">
      <w:pPr>
        <w:numPr>
          <w:ilvl w:val="12"/>
          <w:numId w:val="0"/>
        </w:numPr>
        <w:ind w:right="-2"/>
        <w:rPr>
          <w:b/>
          <w:noProof/>
          <w:szCs w:val="24"/>
          <w:lang w:val="fr-FR" w:bidi="yi-Hebr"/>
        </w:rPr>
      </w:pPr>
      <w:r w:rsidRPr="00C65506">
        <w:rPr>
          <w:b/>
          <w:noProof/>
          <w:szCs w:val="24"/>
          <w:lang w:val="fr-FR" w:bidi="yi-Hebr"/>
        </w:rPr>
        <w:t>6.</w:t>
      </w:r>
      <w:r w:rsidRPr="00C65506">
        <w:rPr>
          <w:b/>
          <w:noProof/>
          <w:szCs w:val="24"/>
          <w:lang w:val="fr-FR" w:bidi="yi-Hebr"/>
        </w:rPr>
        <w:tab/>
      </w:r>
      <w:r w:rsidRPr="00C65506">
        <w:rPr>
          <w:b/>
          <w:szCs w:val="24"/>
          <w:lang w:val="fr-FR" w:bidi="yi-Hebr"/>
        </w:rPr>
        <w:t>Contenu de l’emballage et autres informations</w:t>
      </w:r>
    </w:p>
    <w:p w:rsidR="009B6496" w:rsidRPr="00C65506" w:rsidRDefault="009B6496" w:rsidP="00496272">
      <w:pPr>
        <w:numPr>
          <w:ilvl w:val="12"/>
          <w:numId w:val="0"/>
        </w:numPr>
        <w:tabs>
          <w:tab w:val="clear" w:pos="567"/>
        </w:tabs>
        <w:rPr>
          <w:noProof/>
          <w:szCs w:val="22"/>
          <w:lang w:val="fr-FR"/>
        </w:rPr>
      </w:pPr>
    </w:p>
    <w:p w:rsidR="00A23548" w:rsidRPr="00C65506" w:rsidRDefault="00A23548" w:rsidP="00A23548">
      <w:pPr>
        <w:numPr>
          <w:ilvl w:val="12"/>
          <w:numId w:val="0"/>
        </w:numPr>
        <w:tabs>
          <w:tab w:val="clear" w:pos="567"/>
        </w:tabs>
        <w:ind w:right="-2"/>
        <w:rPr>
          <w:noProof/>
          <w:szCs w:val="24"/>
          <w:lang w:val="fr-FR" w:bidi="yi-Hebr"/>
        </w:rPr>
      </w:pPr>
      <w:r w:rsidRPr="00C65506">
        <w:rPr>
          <w:b/>
          <w:szCs w:val="24"/>
          <w:lang w:val="fr-FR" w:bidi="yi-Hebr"/>
        </w:rPr>
        <w:t>Ce que contient Ovaleap</w:t>
      </w:r>
    </w:p>
    <w:p w:rsidR="0083475C" w:rsidRPr="00C65506" w:rsidRDefault="00593EEB" w:rsidP="00297FB7">
      <w:pPr>
        <w:numPr>
          <w:ilvl w:val="0"/>
          <w:numId w:val="22"/>
        </w:numPr>
        <w:tabs>
          <w:tab w:val="clear" w:pos="567"/>
        </w:tabs>
        <w:ind w:left="567" w:hanging="567"/>
        <w:rPr>
          <w:noProof/>
          <w:szCs w:val="24"/>
          <w:lang w:val="fr-FR" w:bidi="yi-Hebr"/>
        </w:rPr>
      </w:pPr>
      <w:r w:rsidRPr="00C65506">
        <w:rPr>
          <w:szCs w:val="24"/>
          <w:lang w:val="fr-FR" w:bidi="yi-Hebr"/>
        </w:rPr>
        <w:t>La substance active</w:t>
      </w:r>
      <w:r w:rsidR="00A23548" w:rsidRPr="00C65506">
        <w:rPr>
          <w:szCs w:val="24"/>
          <w:lang w:val="fr-FR" w:bidi="yi-Hebr"/>
        </w:rPr>
        <w:t xml:space="preserve"> est la follitropine alfa.</w:t>
      </w:r>
    </w:p>
    <w:p w:rsidR="0083475C" w:rsidRPr="00C65506" w:rsidRDefault="00A23548" w:rsidP="00B5074A">
      <w:pPr>
        <w:tabs>
          <w:tab w:val="clear" w:pos="567"/>
        </w:tabs>
        <w:ind w:left="567"/>
        <w:rPr>
          <w:noProof/>
          <w:szCs w:val="24"/>
          <w:lang w:val="fr-FR" w:bidi="yi-Hebr"/>
        </w:rPr>
      </w:pPr>
      <w:r w:rsidRPr="00C65506">
        <w:rPr>
          <w:szCs w:val="24"/>
          <w:lang w:val="fr-FR" w:bidi="yi-Hebr"/>
        </w:rPr>
        <w:t>Ovaleap 300 UI/0,5 mL :</w:t>
      </w:r>
      <w:r w:rsidRPr="00C65506">
        <w:rPr>
          <w:noProof/>
          <w:szCs w:val="24"/>
          <w:lang w:val="fr-FR" w:bidi="yi-Hebr"/>
        </w:rPr>
        <w:t xml:space="preserve"> </w:t>
      </w:r>
      <w:r w:rsidRPr="00C65506">
        <w:rPr>
          <w:szCs w:val="24"/>
          <w:lang w:val="fr-FR" w:bidi="yi-Hebr"/>
        </w:rPr>
        <w:t xml:space="preserve">Chaque cartouche contient 300 UI </w:t>
      </w:r>
      <w:r w:rsidR="00B5074A" w:rsidRPr="00C65506">
        <w:rPr>
          <w:szCs w:val="24"/>
          <w:lang w:val="fr-FR" w:bidi="yi-Hebr"/>
        </w:rPr>
        <w:t xml:space="preserve">(équivalant à 22 microgrammes) </w:t>
      </w:r>
      <w:r w:rsidRPr="00C65506">
        <w:rPr>
          <w:szCs w:val="24"/>
          <w:lang w:val="fr-FR" w:bidi="yi-Hebr"/>
        </w:rPr>
        <w:t>de follitropine alfa dans 0,5 mL de solution.</w:t>
      </w:r>
    </w:p>
    <w:p w:rsidR="0083475C" w:rsidRPr="00C65506" w:rsidRDefault="00A23548" w:rsidP="00B5074A">
      <w:pPr>
        <w:tabs>
          <w:tab w:val="clear" w:pos="567"/>
        </w:tabs>
        <w:ind w:left="567"/>
        <w:rPr>
          <w:noProof/>
          <w:szCs w:val="24"/>
          <w:lang w:val="fr-FR" w:bidi="yi-Hebr"/>
        </w:rPr>
      </w:pPr>
      <w:r w:rsidRPr="00C65506">
        <w:rPr>
          <w:szCs w:val="24"/>
          <w:lang w:val="fr-FR" w:bidi="yi-Hebr"/>
        </w:rPr>
        <w:t>Ovaleap 450 UI/0,75 mL :</w:t>
      </w:r>
      <w:r w:rsidRPr="00C65506">
        <w:rPr>
          <w:noProof/>
          <w:szCs w:val="24"/>
          <w:lang w:val="fr-FR" w:bidi="yi-Hebr"/>
        </w:rPr>
        <w:t xml:space="preserve"> </w:t>
      </w:r>
      <w:r w:rsidRPr="00C65506">
        <w:rPr>
          <w:szCs w:val="24"/>
          <w:lang w:val="fr-FR" w:bidi="yi-Hebr"/>
        </w:rPr>
        <w:t xml:space="preserve">Chaque cartouche contient 450 UI </w:t>
      </w:r>
      <w:r w:rsidR="00B5074A" w:rsidRPr="00C65506">
        <w:rPr>
          <w:szCs w:val="24"/>
          <w:lang w:val="fr-FR" w:bidi="yi-Hebr"/>
        </w:rPr>
        <w:t xml:space="preserve">(équivalant à 33 microgrammes) </w:t>
      </w:r>
      <w:r w:rsidRPr="00C65506">
        <w:rPr>
          <w:szCs w:val="24"/>
          <w:lang w:val="fr-FR" w:bidi="yi-Hebr"/>
        </w:rPr>
        <w:t>de follitropine alfa dans 0,75 mL de solution.</w:t>
      </w:r>
    </w:p>
    <w:p w:rsidR="00A23548" w:rsidRPr="00C65506" w:rsidRDefault="00A23548" w:rsidP="00B5074A">
      <w:pPr>
        <w:tabs>
          <w:tab w:val="clear" w:pos="567"/>
        </w:tabs>
        <w:ind w:left="567"/>
        <w:rPr>
          <w:noProof/>
          <w:szCs w:val="24"/>
          <w:lang w:val="fr-FR" w:bidi="yi-Hebr"/>
        </w:rPr>
      </w:pPr>
      <w:r w:rsidRPr="00C65506">
        <w:rPr>
          <w:szCs w:val="24"/>
          <w:lang w:val="fr-FR" w:bidi="yi-Hebr"/>
        </w:rPr>
        <w:t>Ovaleap 900 UI/1,5 mL :</w:t>
      </w:r>
      <w:r w:rsidRPr="00C65506">
        <w:rPr>
          <w:noProof/>
          <w:szCs w:val="24"/>
          <w:lang w:val="fr-FR" w:bidi="yi-Hebr"/>
        </w:rPr>
        <w:t xml:space="preserve"> </w:t>
      </w:r>
      <w:r w:rsidRPr="00C65506">
        <w:rPr>
          <w:szCs w:val="24"/>
          <w:lang w:val="fr-FR" w:bidi="yi-Hebr"/>
        </w:rPr>
        <w:t xml:space="preserve">Chaque cartouche contient 900 UI </w:t>
      </w:r>
      <w:r w:rsidR="00B5074A" w:rsidRPr="00C65506">
        <w:rPr>
          <w:szCs w:val="24"/>
          <w:lang w:val="fr-FR" w:bidi="yi-Hebr"/>
        </w:rPr>
        <w:t xml:space="preserve">(équivalant à 66 microgrammes) </w:t>
      </w:r>
      <w:r w:rsidRPr="00C65506">
        <w:rPr>
          <w:szCs w:val="24"/>
          <w:lang w:val="fr-FR" w:bidi="yi-Hebr"/>
        </w:rPr>
        <w:t>de follitropine alfa dans 1,5 mL de solution.</w:t>
      </w:r>
      <w:r w:rsidR="00B5074A" w:rsidRPr="00C65506">
        <w:rPr>
          <w:szCs w:val="24"/>
          <w:lang w:val="fr-FR" w:bidi="yi-Hebr"/>
        </w:rPr>
        <w:br/>
        <w:t>Chaque mL de solution contient 600 UI (équivalant à 44 microgrammes) de follitropine alfa.</w:t>
      </w:r>
    </w:p>
    <w:p w:rsidR="00A23548" w:rsidRPr="00C65506" w:rsidRDefault="00A23548" w:rsidP="00297FB7">
      <w:pPr>
        <w:numPr>
          <w:ilvl w:val="0"/>
          <w:numId w:val="22"/>
        </w:numPr>
        <w:tabs>
          <w:tab w:val="clear" w:pos="567"/>
        </w:tabs>
        <w:ind w:left="567" w:hanging="567"/>
        <w:rPr>
          <w:noProof/>
          <w:szCs w:val="24"/>
          <w:lang w:val="fr-FR" w:bidi="yi-Hebr"/>
        </w:rPr>
      </w:pPr>
      <w:r w:rsidRPr="00C65506">
        <w:rPr>
          <w:szCs w:val="24"/>
          <w:lang w:val="fr-FR" w:bidi="yi-Hebr"/>
        </w:rPr>
        <w:t>Les autres composants sont : phosphate monosodique dihydraté, hydroxyde de sodium (2 M) (pour l’ajustement du pH), mannitol, méthionine, polysorbate 20, alcool benzylique, chlorure de benzalkonium et eau pour préparations injectables.</w:t>
      </w:r>
      <w:r w:rsidR="005F1152" w:rsidRPr="00C65506">
        <w:rPr>
          <w:szCs w:val="24"/>
          <w:lang w:val="fr-FR" w:bidi="yi-Hebr"/>
        </w:rPr>
        <w:tab/>
      </w:r>
      <w:r w:rsidR="005F1152" w:rsidRPr="00C65506">
        <w:rPr>
          <w:szCs w:val="24"/>
          <w:lang w:val="fr-FR" w:bidi="yi-Hebr"/>
        </w:rPr>
        <w:br/>
        <w:t>Tous les dosages cités ci-dessus contiennent les autres composants.</w:t>
      </w:r>
    </w:p>
    <w:p w:rsidR="009B6496" w:rsidRPr="00C65506" w:rsidRDefault="009B6496" w:rsidP="00496272">
      <w:pPr>
        <w:tabs>
          <w:tab w:val="clear" w:pos="567"/>
        </w:tabs>
        <w:rPr>
          <w:noProof/>
          <w:szCs w:val="22"/>
          <w:lang w:val="fr-FR"/>
        </w:rPr>
      </w:pPr>
    </w:p>
    <w:p w:rsidR="00A23548" w:rsidRPr="00C65506" w:rsidRDefault="00885886" w:rsidP="00A23548">
      <w:pPr>
        <w:numPr>
          <w:ilvl w:val="12"/>
          <w:numId w:val="0"/>
        </w:numPr>
        <w:tabs>
          <w:tab w:val="clear" w:pos="567"/>
        </w:tabs>
        <w:ind w:right="-2"/>
        <w:rPr>
          <w:b/>
          <w:noProof/>
          <w:szCs w:val="24"/>
          <w:lang w:val="fr-FR" w:bidi="yi-Hebr"/>
        </w:rPr>
      </w:pPr>
      <w:r w:rsidRPr="00C65506">
        <w:rPr>
          <w:b/>
          <w:szCs w:val="24"/>
          <w:lang w:val="fr-FR" w:bidi="yi-Hebr"/>
        </w:rPr>
        <w:t xml:space="preserve">Comment se présente </w:t>
      </w:r>
      <w:r w:rsidR="00A23548" w:rsidRPr="00C65506">
        <w:rPr>
          <w:b/>
          <w:szCs w:val="24"/>
          <w:lang w:val="fr-FR" w:bidi="yi-Hebr"/>
        </w:rPr>
        <w:t>Ovaleap et contenu de l’emballage extérieur</w:t>
      </w:r>
    </w:p>
    <w:p w:rsidR="00A23548" w:rsidRPr="00C65506" w:rsidRDefault="00A23548" w:rsidP="00A23548">
      <w:pPr>
        <w:tabs>
          <w:tab w:val="clear" w:pos="567"/>
        </w:tabs>
        <w:rPr>
          <w:szCs w:val="24"/>
          <w:lang w:val="fr-FR" w:bidi="yi-Hebr"/>
        </w:rPr>
      </w:pPr>
      <w:r w:rsidRPr="00C65506">
        <w:rPr>
          <w:szCs w:val="24"/>
          <w:lang w:val="fr-FR" w:bidi="yi-Hebr"/>
        </w:rPr>
        <w:t>Ovaleap est une solution injectable (pour injection). Ovaleap est une solution limpide et incolore.</w:t>
      </w:r>
    </w:p>
    <w:p w:rsidR="0098712D" w:rsidRPr="00C65506" w:rsidRDefault="0098712D" w:rsidP="00496272">
      <w:pPr>
        <w:tabs>
          <w:tab w:val="clear" w:pos="567"/>
        </w:tabs>
        <w:rPr>
          <w:szCs w:val="22"/>
          <w:lang w:val="fr-FR"/>
        </w:rPr>
      </w:pPr>
    </w:p>
    <w:p w:rsidR="0083475C" w:rsidRPr="00C65506" w:rsidRDefault="00A23548" w:rsidP="0083475C">
      <w:pPr>
        <w:tabs>
          <w:tab w:val="clear" w:pos="567"/>
        </w:tabs>
        <w:rPr>
          <w:szCs w:val="24"/>
          <w:lang w:val="fr-FR" w:bidi="yi-Hebr"/>
        </w:rPr>
      </w:pPr>
      <w:r w:rsidRPr="00C65506">
        <w:rPr>
          <w:szCs w:val="24"/>
          <w:lang w:val="fr-FR" w:bidi="yi-Hebr"/>
        </w:rPr>
        <w:t xml:space="preserve">Ovaleap 300 UI/0,5 mL est disponible </w:t>
      </w:r>
      <w:r w:rsidR="0088203A" w:rsidRPr="00C65506">
        <w:rPr>
          <w:szCs w:val="24"/>
          <w:lang w:val="fr-FR" w:bidi="yi-Hebr"/>
        </w:rPr>
        <w:t xml:space="preserve">en </w:t>
      </w:r>
      <w:r w:rsidRPr="00C65506">
        <w:rPr>
          <w:szCs w:val="24"/>
          <w:lang w:val="fr-FR" w:bidi="yi-Hebr"/>
        </w:rPr>
        <w:t>boîtes de 1 cartouche et 10 aiguilles d’injection.</w:t>
      </w:r>
    </w:p>
    <w:p w:rsidR="0083475C" w:rsidRPr="00C65506" w:rsidRDefault="00A23548" w:rsidP="0083475C">
      <w:pPr>
        <w:tabs>
          <w:tab w:val="clear" w:pos="567"/>
        </w:tabs>
        <w:rPr>
          <w:szCs w:val="24"/>
          <w:lang w:val="fr-FR" w:bidi="yi-Hebr"/>
        </w:rPr>
      </w:pPr>
      <w:r w:rsidRPr="00C65506">
        <w:rPr>
          <w:szCs w:val="24"/>
          <w:lang w:val="fr-FR" w:bidi="yi-Hebr"/>
        </w:rPr>
        <w:t xml:space="preserve">Ovaleap 450 UI/0,75 mL est disponible </w:t>
      </w:r>
      <w:r w:rsidR="0088203A" w:rsidRPr="00C65506">
        <w:rPr>
          <w:szCs w:val="24"/>
          <w:lang w:val="fr-FR" w:bidi="yi-Hebr"/>
        </w:rPr>
        <w:t xml:space="preserve">en </w:t>
      </w:r>
      <w:r w:rsidRPr="00C65506">
        <w:rPr>
          <w:szCs w:val="24"/>
          <w:lang w:val="fr-FR" w:bidi="yi-Hebr"/>
        </w:rPr>
        <w:t>boîtes de 1 cartouche et 10 aiguilles d’injection.</w:t>
      </w:r>
    </w:p>
    <w:p w:rsidR="00A23548" w:rsidRPr="00C65506" w:rsidRDefault="00A23548" w:rsidP="0083475C">
      <w:pPr>
        <w:tabs>
          <w:tab w:val="clear" w:pos="567"/>
        </w:tabs>
        <w:rPr>
          <w:noProof/>
          <w:szCs w:val="24"/>
          <w:lang w:val="fr-FR" w:bidi="yi-Hebr"/>
        </w:rPr>
      </w:pPr>
      <w:r w:rsidRPr="00C65506">
        <w:rPr>
          <w:szCs w:val="24"/>
          <w:lang w:val="fr-FR" w:bidi="yi-Hebr"/>
        </w:rPr>
        <w:t xml:space="preserve">Ovaleap 900 UI/1,5 mL est disponible </w:t>
      </w:r>
      <w:r w:rsidR="0088203A" w:rsidRPr="00C65506">
        <w:rPr>
          <w:szCs w:val="24"/>
          <w:lang w:val="fr-FR" w:bidi="yi-Hebr"/>
        </w:rPr>
        <w:t xml:space="preserve">en </w:t>
      </w:r>
      <w:r w:rsidRPr="00C65506">
        <w:rPr>
          <w:szCs w:val="24"/>
          <w:lang w:val="fr-FR" w:bidi="yi-Hebr"/>
        </w:rPr>
        <w:t>boîtes de 1 cartouche et 20 aiguilles d’injection.</w:t>
      </w:r>
    </w:p>
    <w:p w:rsidR="0098712D" w:rsidRPr="00C65506" w:rsidRDefault="0098712D" w:rsidP="00496272">
      <w:pPr>
        <w:tabs>
          <w:tab w:val="clear" w:pos="567"/>
        </w:tabs>
        <w:rPr>
          <w:szCs w:val="22"/>
          <w:lang w:val="fr-FR"/>
        </w:rPr>
      </w:pPr>
    </w:p>
    <w:p w:rsidR="00A23548" w:rsidRPr="00C65506" w:rsidRDefault="00A23548" w:rsidP="00A23548">
      <w:pPr>
        <w:tabs>
          <w:tab w:val="clear" w:pos="567"/>
        </w:tabs>
        <w:rPr>
          <w:szCs w:val="24"/>
          <w:lang w:val="fr-FR" w:bidi="yi-Hebr"/>
        </w:rPr>
      </w:pPr>
      <w:r w:rsidRPr="00C65506">
        <w:rPr>
          <w:szCs w:val="24"/>
          <w:lang w:val="fr-FR" w:bidi="yi-Hebr"/>
        </w:rPr>
        <w:t>Toutes les présentations peuvent ne pas être commercialisées.</w:t>
      </w:r>
    </w:p>
    <w:p w:rsidR="009B6496" w:rsidRPr="00C65506" w:rsidRDefault="009B6496" w:rsidP="00496272">
      <w:pPr>
        <w:numPr>
          <w:ilvl w:val="12"/>
          <w:numId w:val="0"/>
        </w:numPr>
        <w:tabs>
          <w:tab w:val="clear" w:pos="567"/>
        </w:tabs>
        <w:rPr>
          <w:noProof/>
          <w:szCs w:val="22"/>
          <w:lang w:val="fr-FR"/>
        </w:rPr>
      </w:pPr>
    </w:p>
    <w:p w:rsidR="00A23548" w:rsidRPr="00C65506" w:rsidRDefault="00A23548" w:rsidP="00A23548">
      <w:pPr>
        <w:numPr>
          <w:ilvl w:val="12"/>
          <w:numId w:val="0"/>
        </w:numPr>
        <w:tabs>
          <w:tab w:val="clear" w:pos="567"/>
        </w:tabs>
        <w:ind w:right="-2"/>
        <w:rPr>
          <w:b/>
          <w:noProof/>
          <w:szCs w:val="24"/>
          <w:lang w:val="fr-FR" w:bidi="yi-Hebr"/>
        </w:rPr>
      </w:pPr>
      <w:r w:rsidRPr="00C65506">
        <w:rPr>
          <w:b/>
          <w:szCs w:val="24"/>
          <w:lang w:val="fr-FR" w:bidi="yi-Hebr"/>
        </w:rPr>
        <w:t>Titulaire de l’Autorisation de mise sur le marché</w:t>
      </w:r>
    </w:p>
    <w:p w:rsidR="00634C9E" w:rsidRPr="00AD584F" w:rsidRDefault="00634C9E" w:rsidP="00634C9E">
      <w:pPr>
        <w:tabs>
          <w:tab w:val="clear" w:pos="567"/>
        </w:tabs>
        <w:rPr>
          <w:lang w:val="nl-NL"/>
        </w:rPr>
      </w:pPr>
      <w:r w:rsidRPr="00AD584F">
        <w:rPr>
          <w:lang w:val="nl-NL"/>
        </w:rPr>
        <w:t>Theramex Ireland Limited</w:t>
      </w:r>
    </w:p>
    <w:p w:rsidR="00634C9E" w:rsidRPr="00AD584F" w:rsidRDefault="000C76EC" w:rsidP="00634C9E">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634C9E" w:rsidRPr="00AD584F">
        <w:rPr>
          <w:lang w:val="nl-NL"/>
        </w:rPr>
        <w:t>Kilmore House,</w:t>
      </w:r>
    </w:p>
    <w:p w:rsidR="00634C9E" w:rsidRPr="00AD584F" w:rsidRDefault="00605833" w:rsidP="00634C9E">
      <w:pPr>
        <w:tabs>
          <w:tab w:val="clear" w:pos="567"/>
        </w:tabs>
        <w:rPr>
          <w:lang w:val="nl-NL"/>
        </w:rPr>
      </w:pPr>
      <w:r>
        <w:rPr>
          <w:lang w:val="nl-NL"/>
        </w:rPr>
        <w:t>Park Lane, Spencer Dock,</w:t>
      </w:r>
    </w:p>
    <w:p w:rsidR="00634C9E" w:rsidRPr="00AD584F" w:rsidRDefault="00634C9E" w:rsidP="00634C9E">
      <w:pPr>
        <w:tabs>
          <w:tab w:val="clear" w:pos="567"/>
        </w:tabs>
        <w:rPr>
          <w:lang w:val="nl-NL"/>
        </w:rPr>
      </w:pPr>
      <w:r w:rsidRPr="00AD584F">
        <w:rPr>
          <w:lang w:val="nl-NL"/>
        </w:rPr>
        <w:t>Dublin 1</w:t>
      </w:r>
    </w:p>
    <w:p w:rsidR="00634C9E" w:rsidRPr="00AD584F" w:rsidRDefault="00605833" w:rsidP="00634C9E">
      <w:pPr>
        <w:tabs>
          <w:tab w:val="clear" w:pos="567"/>
        </w:tabs>
        <w:rPr>
          <w:lang w:val="nl-NL"/>
        </w:rPr>
      </w:pPr>
      <w:r>
        <w:rPr>
          <w:lang w:val="nl-NL"/>
        </w:rPr>
        <w:t>D01 YE64</w:t>
      </w:r>
    </w:p>
    <w:p w:rsidR="00F962C9" w:rsidRPr="00162C74" w:rsidRDefault="00634C9E" w:rsidP="00496272">
      <w:pPr>
        <w:numPr>
          <w:ilvl w:val="12"/>
          <w:numId w:val="0"/>
        </w:numPr>
        <w:tabs>
          <w:tab w:val="clear" w:pos="567"/>
        </w:tabs>
        <w:ind w:right="-2"/>
        <w:rPr>
          <w:noProof/>
          <w:szCs w:val="22"/>
          <w:lang w:val="nl-NL"/>
        </w:rPr>
      </w:pPr>
      <w:r w:rsidRPr="00162C74">
        <w:rPr>
          <w:lang w:val="nl-NL"/>
        </w:rPr>
        <w:t>Irlande</w:t>
      </w:r>
    </w:p>
    <w:p w:rsidR="00FC6B14" w:rsidRPr="00162C74" w:rsidRDefault="00FC6B14">
      <w:pPr>
        <w:tabs>
          <w:tab w:val="clear" w:pos="567"/>
        </w:tabs>
        <w:rPr>
          <w:szCs w:val="24"/>
          <w:lang w:val="nl-NL" w:bidi="yi-Hebr"/>
        </w:rPr>
      </w:pPr>
      <w:bookmarkStart w:id="6" w:name="OLE_LINK8"/>
      <w:bookmarkStart w:id="7" w:name="OLE_LINK9"/>
    </w:p>
    <w:p w:rsidR="00A23548" w:rsidRPr="00162C74" w:rsidRDefault="00A23548" w:rsidP="00634C9E">
      <w:pPr>
        <w:keepNext/>
        <w:keepLines/>
        <w:numPr>
          <w:ilvl w:val="12"/>
          <w:numId w:val="0"/>
        </w:numPr>
        <w:tabs>
          <w:tab w:val="clear" w:pos="567"/>
        </w:tabs>
        <w:ind w:right="-2"/>
        <w:rPr>
          <w:b/>
          <w:noProof/>
          <w:szCs w:val="24"/>
          <w:lang w:val="nl-NL" w:bidi="yi-Hebr"/>
        </w:rPr>
      </w:pPr>
      <w:r w:rsidRPr="00162C74">
        <w:rPr>
          <w:b/>
          <w:szCs w:val="24"/>
          <w:lang w:val="nl-NL" w:bidi="yi-Hebr"/>
        </w:rPr>
        <w:lastRenderedPageBreak/>
        <w:t>Fabricant</w:t>
      </w:r>
    </w:p>
    <w:bookmarkEnd w:id="6"/>
    <w:bookmarkEnd w:id="7"/>
    <w:p w:rsidR="00F962C9" w:rsidRPr="00162C74" w:rsidRDefault="00DB6B97" w:rsidP="00634C9E">
      <w:pPr>
        <w:keepNext/>
        <w:keepLines/>
        <w:numPr>
          <w:ilvl w:val="12"/>
          <w:numId w:val="0"/>
        </w:numPr>
        <w:tabs>
          <w:tab w:val="clear" w:pos="567"/>
        </w:tabs>
        <w:rPr>
          <w:bCs/>
          <w:szCs w:val="22"/>
          <w:lang w:val="nl-NL"/>
        </w:rPr>
      </w:pPr>
      <w:r w:rsidRPr="00162C74">
        <w:rPr>
          <w:bCs/>
          <w:szCs w:val="22"/>
          <w:lang w:val="nl-NL"/>
        </w:rPr>
        <w:t>Teva Biotech GmbH</w:t>
      </w:r>
    </w:p>
    <w:p w:rsidR="00F962C9" w:rsidRPr="00162C74" w:rsidRDefault="00F962C9" w:rsidP="00634C9E">
      <w:pPr>
        <w:keepNext/>
        <w:keepLines/>
        <w:numPr>
          <w:ilvl w:val="12"/>
          <w:numId w:val="0"/>
        </w:numPr>
        <w:tabs>
          <w:tab w:val="clear" w:pos="567"/>
        </w:tabs>
        <w:rPr>
          <w:bCs/>
          <w:szCs w:val="22"/>
          <w:lang w:val="nl-NL"/>
        </w:rPr>
      </w:pPr>
      <w:r w:rsidRPr="00162C74">
        <w:rPr>
          <w:bCs/>
          <w:szCs w:val="22"/>
          <w:lang w:val="nl-NL"/>
        </w:rPr>
        <w:t>Dornierstraße 10</w:t>
      </w:r>
    </w:p>
    <w:p w:rsidR="00F962C9" w:rsidRPr="00162C74" w:rsidRDefault="00F962C9" w:rsidP="00634C9E">
      <w:pPr>
        <w:keepNext/>
        <w:keepLines/>
        <w:numPr>
          <w:ilvl w:val="12"/>
          <w:numId w:val="0"/>
        </w:numPr>
        <w:tabs>
          <w:tab w:val="clear" w:pos="567"/>
        </w:tabs>
        <w:rPr>
          <w:bCs/>
          <w:szCs w:val="22"/>
          <w:lang w:val="nl-NL"/>
        </w:rPr>
      </w:pPr>
      <w:r w:rsidRPr="00162C74">
        <w:rPr>
          <w:bCs/>
          <w:szCs w:val="22"/>
          <w:lang w:val="nl-NL"/>
        </w:rPr>
        <w:t>89079 Ulm</w:t>
      </w:r>
    </w:p>
    <w:p w:rsidR="00A23548" w:rsidRPr="00162C74" w:rsidRDefault="00A23548" w:rsidP="00634C9E">
      <w:pPr>
        <w:keepNext/>
        <w:keepLines/>
        <w:tabs>
          <w:tab w:val="clear" w:pos="567"/>
        </w:tabs>
        <w:rPr>
          <w:szCs w:val="24"/>
          <w:lang w:val="nl-NL" w:bidi="yi-Hebr"/>
        </w:rPr>
      </w:pPr>
      <w:r w:rsidRPr="00162C74">
        <w:rPr>
          <w:szCs w:val="24"/>
          <w:lang w:val="nl-NL" w:bidi="yi-Hebr"/>
        </w:rPr>
        <w:t>Allemagne</w:t>
      </w:r>
    </w:p>
    <w:p w:rsidR="002F07C4" w:rsidRPr="00162C74" w:rsidRDefault="002F07C4" w:rsidP="00496272">
      <w:pPr>
        <w:tabs>
          <w:tab w:val="clear" w:pos="567"/>
        </w:tabs>
        <w:rPr>
          <w:szCs w:val="22"/>
          <w:lang w:val="nl-NL"/>
        </w:rPr>
      </w:pPr>
    </w:p>
    <w:p w:rsidR="002F07C4" w:rsidRPr="00162C74" w:rsidRDefault="002F07C4" w:rsidP="00496272">
      <w:pPr>
        <w:shd w:val="clear" w:color="auto" w:fill="C0C0C0"/>
        <w:tabs>
          <w:tab w:val="clear" w:pos="567"/>
        </w:tabs>
        <w:rPr>
          <w:szCs w:val="22"/>
          <w:lang w:val="nl-NL"/>
        </w:rPr>
      </w:pPr>
      <w:r w:rsidRPr="00162C74">
        <w:rPr>
          <w:szCs w:val="22"/>
          <w:lang w:val="nl-NL"/>
        </w:rPr>
        <w:t>Teva Pharmaceuticals Europe B.V.</w:t>
      </w:r>
    </w:p>
    <w:p w:rsidR="002F07C4" w:rsidRPr="00162C74" w:rsidRDefault="002F07C4" w:rsidP="00496272">
      <w:pPr>
        <w:shd w:val="clear" w:color="auto" w:fill="C0C0C0"/>
        <w:tabs>
          <w:tab w:val="clear" w:pos="567"/>
        </w:tabs>
        <w:rPr>
          <w:szCs w:val="22"/>
          <w:lang w:val="nl-NL"/>
        </w:rPr>
      </w:pPr>
      <w:r w:rsidRPr="00162C74">
        <w:rPr>
          <w:szCs w:val="22"/>
          <w:lang w:val="nl-NL"/>
        </w:rPr>
        <w:t>Swensweg 5</w:t>
      </w:r>
    </w:p>
    <w:p w:rsidR="002F07C4" w:rsidRPr="00C65506" w:rsidRDefault="002F07C4" w:rsidP="00496272">
      <w:pPr>
        <w:shd w:val="clear" w:color="auto" w:fill="C0C0C0"/>
        <w:tabs>
          <w:tab w:val="clear" w:pos="567"/>
        </w:tabs>
        <w:rPr>
          <w:szCs w:val="22"/>
          <w:lang w:val="fr-FR"/>
        </w:rPr>
      </w:pPr>
      <w:r w:rsidRPr="00C65506">
        <w:rPr>
          <w:szCs w:val="22"/>
          <w:lang w:val="fr-FR"/>
        </w:rPr>
        <w:t>2031 GA Haarlem</w:t>
      </w:r>
    </w:p>
    <w:p w:rsidR="009317B9" w:rsidRPr="00C65506" w:rsidRDefault="00B25621" w:rsidP="009317B9">
      <w:pPr>
        <w:shd w:val="clear" w:color="auto" w:fill="C0C0C0"/>
        <w:tabs>
          <w:tab w:val="clear" w:pos="567"/>
        </w:tabs>
        <w:rPr>
          <w:szCs w:val="22"/>
          <w:lang w:val="fr-FR"/>
        </w:rPr>
      </w:pPr>
      <w:r w:rsidRPr="00C65506">
        <w:rPr>
          <w:szCs w:val="22"/>
          <w:lang w:val="fr-FR"/>
        </w:rPr>
        <w:t>Pays-Bas</w:t>
      </w:r>
    </w:p>
    <w:p w:rsidR="00142F07" w:rsidRPr="00C65506" w:rsidRDefault="00142F07" w:rsidP="00142F07">
      <w:pPr>
        <w:ind w:right="-568"/>
        <w:rPr>
          <w:rFonts w:eastAsia="Times New Roman"/>
          <w:noProof/>
          <w:szCs w:val="22"/>
          <w:lang w:val="fr-FR"/>
        </w:rPr>
      </w:pPr>
    </w:p>
    <w:p w:rsidR="00142F07" w:rsidRPr="00C65506" w:rsidRDefault="00142F07" w:rsidP="00142F07">
      <w:pPr>
        <w:shd w:val="clear" w:color="auto" w:fill="C0C0C0"/>
        <w:tabs>
          <w:tab w:val="clear" w:pos="567"/>
        </w:tabs>
        <w:rPr>
          <w:szCs w:val="22"/>
          <w:lang w:val="fr-FR"/>
        </w:rPr>
      </w:pPr>
      <w:r w:rsidRPr="00C65506">
        <w:rPr>
          <w:szCs w:val="22"/>
          <w:lang w:val="fr-FR"/>
        </w:rPr>
        <w:t>Merckle GmbH</w:t>
      </w:r>
    </w:p>
    <w:p w:rsidR="00142F07" w:rsidRPr="00C65506" w:rsidRDefault="00142F07" w:rsidP="00142F07">
      <w:pPr>
        <w:shd w:val="clear" w:color="auto" w:fill="C0C0C0"/>
        <w:tabs>
          <w:tab w:val="clear" w:pos="567"/>
        </w:tabs>
        <w:rPr>
          <w:szCs w:val="22"/>
          <w:lang w:val="fr-FR"/>
        </w:rPr>
      </w:pPr>
      <w:r w:rsidRPr="00C65506">
        <w:rPr>
          <w:szCs w:val="22"/>
          <w:lang w:val="fr-FR"/>
        </w:rPr>
        <w:t>Graf-Arco-Straße 3</w:t>
      </w:r>
    </w:p>
    <w:p w:rsidR="00142F07" w:rsidRPr="00C65506" w:rsidRDefault="00142F07" w:rsidP="00142F07">
      <w:pPr>
        <w:shd w:val="clear" w:color="auto" w:fill="C0C0C0"/>
        <w:tabs>
          <w:tab w:val="clear" w:pos="567"/>
        </w:tabs>
        <w:rPr>
          <w:szCs w:val="22"/>
          <w:lang w:val="fr-FR"/>
        </w:rPr>
      </w:pPr>
      <w:r w:rsidRPr="00C65506">
        <w:rPr>
          <w:szCs w:val="22"/>
          <w:lang w:val="fr-FR"/>
        </w:rPr>
        <w:t xml:space="preserve">89079 Ulm, </w:t>
      </w:r>
    </w:p>
    <w:p w:rsidR="00142F07" w:rsidRPr="00C65506" w:rsidRDefault="00142F07" w:rsidP="00142F07">
      <w:pPr>
        <w:shd w:val="clear" w:color="auto" w:fill="C0C0C0"/>
        <w:tabs>
          <w:tab w:val="clear" w:pos="567"/>
        </w:tabs>
        <w:rPr>
          <w:szCs w:val="22"/>
          <w:lang w:val="fr-FR"/>
        </w:rPr>
      </w:pPr>
      <w:r w:rsidRPr="00C65506">
        <w:rPr>
          <w:szCs w:val="22"/>
          <w:lang w:val="fr-FR"/>
        </w:rPr>
        <w:t>Allemagne</w:t>
      </w:r>
    </w:p>
    <w:p w:rsidR="00F962C9" w:rsidRPr="00C65506" w:rsidRDefault="00F962C9" w:rsidP="00496272">
      <w:pPr>
        <w:numPr>
          <w:ilvl w:val="12"/>
          <w:numId w:val="0"/>
        </w:numPr>
        <w:tabs>
          <w:tab w:val="clear" w:pos="567"/>
        </w:tabs>
        <w:ind w:right="-2"/>
        <w:rPr>
          <w:noProof/>
          <w:szCs w:val="22"/>
          <w:lang w:val="fr-FR"/>
        </w:rPr>
      </w:pPr>
    </w:p>
    <w:p w:rsidR="00A23548" w:rsidRPr="00C65506" w:rsidRDefault="00A23548" w:rsidP="00A23548">
      <w:pPr>
        <w:numPr>
          <w:ilvl w:val="12"/>
          <w:numId w:val="0"/>
        </w:numPr>
        <w:tabs>
          <w:tab w:val="clear" w:pos="567"/>
        </w:tabs>
        <w:ind w:right="-2"/>
        <w:outlineLvl w:val="0"/>
        <w:rPr>
          <w:noProof/>
          <w:szCs w:val="24"/>
          <w:lang w:val="fr-FR" w:bidi="yi-Hebr"/>
        </w:rPr>
      </w:pPr>
      <w:r w:rsidRPr="00C65506">
        <w:rPr>
          <w:b/>
          <w:szCs w:val="24"/>
          <w:lang w:val="fr-FR" w:bidi="yi-Hebr"/>
        </w:rPr>
        <w:t>La dernière date à laquelle cette notice a été révisée est {mois AAAA}.</w:t>
      </w:r>
    </w:p>
    <w:p w:rsidR="009B6496" w:rsidRPr="00C65506" w:rsidRDefault="009B6496" w:rsidP="00496272">
      <w:pPr>
        <w:numPr>
          <w:ilvl w:val="12"/>
          <w:numId w:val="0"/>
        </w:numPr>
        <w:ind w:right="-2"/>
        <w:rPr>
          <w:iCs/>
          <w:noProof/>
          <w:szCs w:val="22"/>
          <w:lang w:val="fr-FR"/>
        </w:rPr>
      </w:pPr>
    </w:p>
    <w:p w:rsidR="00812D16" w:rsidRPr="00C65506" w:rsidRDefault="00A23548" w:rsidP="00A23548">
      <w:pPr>
        <w:numPr>
          <w:ilvl w:val="12"/>
          <w:numId w:val="0"/>
        </w:numPr>
        <w:ind w:right="-2"/>
        <w:rPr>
          <w:noProof/>
          <w:szCs w:val="22"/>
          <w:lang w:val="fr-FR"/>
        </w:rPr>
      </w:pPr>
      <w:r w:rsidRPr="00C65506">
        <w:rPr>
          <w:szCs w:val="24"/>
          <w:lang w:val="fr-FR" w:bidi="yi-Hebr"/>
        </w:rPr>
        <w:t>Des informations détaillées sur ce médicament sont disponibles sur le site internet de l’Agence européenne des médicaments</w:t>
      </w:r>
      <w:r w:rsidRPr="00C65506">
        <w:rPr>
          <w:i/>
          <w:noProof/>
          <w:szCs w:val="24"/>
          <w:lang w:val="fr-FR" w:bidi="yi-Hebr"/>
        </w:rPr>
        <w:t xml:space="preserve"> </w:t>
      </w:r>
      <w:hyperlink r:id="rId12" w:history="1">
        <w:r w:rsidRPr="00C65506">
          <w:rPr>
            <w:szCs w:val="24"/>
            <w:lang w:val="fr-FR" w:bidi="yi-Hebr"/>
          </w:rPr>
          <w:t>http://www.ema.europa.eu</w:t>
        </w:r>
      </w:hyperlink>
      <w:r w:rsidRPr="00C65506">
        <w:rPr>
          <w:noProof/>
          <w:szCs w:val="24"/>
          <w:lang w:val="fr-FR" w:bidi="yi-Hebr"/>
        </w:rPr>
        <w:t>.</w:t>
      </w:r>
    </w:p>
    <w:sectPr w:rsidR="00812D16" w:rsidRPr="00C65506" w:rsidSect="0085753C">
      <w:footerReference w:type="default" r:id="rId13"/>
      <w:footerReference w:type="first" r:id="rId14"/>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865" w:rsidRDefault="00806865">
      <w:r>
        <w:separator/>
      </w:r>
    </w:p>
  </w:endnote>
  <w:endnote w:type="continuationSeparator" w:id="0">
    <w:p w:rsidR="00806865" w:rsidRDefault="00806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865" w:rsidRDefault="00806865">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62C74">
      <w:rPr>
        <w:rStyle w:val="PageNumber"/>
        <w:rFonts w:cs="Arial"/>
      </w:rPr>
      <w:t>14</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865" w:rsidRDefault="00806865">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62C74">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865" w:rsidRDefault="00806865">
      <w:r>
        <w:separator/>
      </w:r>
    </w:p>
  </w:footnote>
  <w:footnote w:type="continuationSeparator" w:id="0">
    <w:p w:rsidR="00806865" w:rsidRDefault="00806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 o:bullet="t">
        <v:imagedata r:id="rId1" o:title=""/>
      </v:shape>
    </w:pict>
  </w:numPicBullet>
  <w:abstractNum w:abstractNumId="0" w15:restartNumberingAfterBreak="0">
    <w:nsid w:val="FFFFFF7C"/>
    <w:multiLevelType w:val="singleLevel"/>
    <w:tmpl w:val="74929B18"/>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4F0E0B6"/>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3D2C8EC"/>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6D667B0A"/>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A622126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B6834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8CCA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FE68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842F2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64AC716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116B5AA6"/>
    <w:multiLevelType w:val="hybridMultilevel"/>
    <w:tmpl w:val="966AC9BA"/>
    <w:lvl w:ilvl="0" w:tplc="01741514">
      <w:start w:val="1"/>
      <w:numFmt w:val="bullet"/>
      <w:lvlText w:val=""/>
      <w:lvlJc w:val="left"/>
      <w:pPr>
        <w:tabs>
          <w:tab w:val="num" w:pos="567"/>
        </w:tabs>
        <w:ind w:left="567" w:hanging="567"/>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5533E8"/>
    <w:multiLevelType w:val="hybridMultilevel"/>
    <w:tmpl w:val="21A29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2216D4"/>
    <w:multiLevelType w:val="hybridMultilevel"/>
    <w:tmpl w:val="85A23B88"/>
    <w:lvl w:ilvl="0" w:tplc="04070001">
      <w:start w:val="1"/>
      <w:numFmt w:val="bullet"/>
      <w:lvlText w:val=""/>
      <w:lvlJc w:val="left"/>
      <w:pPr>
        <w:ind w:left="720" w:hanging="360"/>
      </w:pPr>
      <w:rPr>
        <w:rFonts w:ascii="Symbol" w:hAnsi="Symbol" w:hint="default"/>
      </w:rPr>
    </w:lvl>
    <w:lvl w:ilvl="1" w:tplc="99C24C2C">
      <w:start w:val="1"/>
      <w:numFmt w:val="bullet"/>
      <w:lvlText w:val=""/>
      <w:lvlJc w:val="left"/>
      <w:pPr>
        <w:tabs>
          <w:tab w:val="num" w:pos="567"/>
        </w:tabs>
        <w:ind w:left="567" w:hanging="567"/>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7C47A1"/>
    <w:multiLevelType w:val="hybridMultilevel"/>
    <w:tmpl w:val="D7E03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07F0EAA"/>
    <w:multiLevelType w:val="hybridMultilevel"/>
    <w:tmpl w:val="9B4409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C538C2"/>
    <w:multiLevelType w:val="hybridMultilevel"/>
    <w:tmpl w:val="3E12C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126F8D"/>
    <w:multiLevelType w:val="hybridMultilevel"/>
    <w:tmpl w:val="FFD4F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D1D18DB"/>
    <w:multiLevelType w:val="hybridMultilevel"/>
    <w:tmpl w:val="06E01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0B52D41"/>
    <w:multiLevelType w:val="hybridMultilevel"/>
    <w:tmpl w:val="67523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1" w15:restartNumberingAfterBreak="0">
    <w:nsid w:val="7C343072"/>
    <w:multiLevelType w:val="hybridMultilevel"/>
    <w:tmpl w:val="A18AD746"/>
    <w:lvl w:ilvl="0" w:tplc="FFFFFFFF">
      <w:start w:val="1"/>
      <w:numFmt w:val="bullet"/>
      <w:lvlText w:val="-"/>
      <w:lvlJc w:val="left"/>
      <w:pPr>
        <w:ind w:left="1854" w:hanging="360"/>
      </w:pPr>
    </w:lvl>
    <w:lvl w:ilvl="1" w:tplc="04070003" w:tentative="1">
      <w:start w:val="1"/>
      <w:numFmt w:val="bullet"/>
      <w:lvlText w:val="o"/>
      <w:lvlJc w:val="left"/>
      <w:pPr>
        <w:ind w:left="2574" w:hanging="360"/>
      </w:pPr>
      <w:rPr>
        <w:rFonts w:ascii="Courier New" w:hAnsi="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2" w15:restartNumberingAfterBreak="0">
    <w:nsid w:val="7F1B7E85"/>
    <w:multiLevelType w:val="hybridMultilevel"/>
    <w:tmpl w:val="255EF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22"/>
  </w:num>
  <w:num w:numId="14">
    <w:abstractNumId w:val="17"/>
  </w:num>
  <w:num w:numId="15">
    <w:abstractNumId w:val="21"/>
  </w:num>
  <w:num w:numId="16">
    <w:abstractNumId w:val="18"/>
  </w:num>
  <w:num w:numId="17">
    <w:abstractNumId w:val="12"/>
  </w:num>
  <w:num w:numId="18">
    <w:abstractNumId w:val="15"/>
  </w:num>
  <w:num w:numId="19">
    <w:abstractNumId w:val="13"/>
  </w:num>
  <w:num w:numId="20">
    <w:abstractNumId w:val="16"/>
  </w:num>
  <w:num w:numId="21">
    <w:abstractNumId w:val="10"/>
    <w:lvlOverride w:ilvl="0">
      <w:lvl w:ilvl="0">
        <w:start w:val="1"/>
        <w:numFmt w:val="bullet"/>
        <w:lvlText w:val="-"/>
        <w:lvlJc w:val="left"/>
        <w:pPr>
          <w:ind w:left="360" w:hanging="360"/>
        </w:pPr>
      </w:lvl>
    </w:lvlOverride>
  </w:num>
  <w:num w:numId="22">
    <w:abstractNumId w:val="10"/>
    <w:lvlOverride w:ilvl="0">
      <w:lvl w:ilvl="0">
        <w:start w:val="1"/>
        <w:numFmt w:val="bullet"/>
        <w:lvlText w:val="-"/>
        <w:lvlJc w:val="left"/>
        <w:pPr>
          <w:ind w:left="360" w:hanging="360"/>
        </w:pPr>
      </w:lvl>
    </w:lvlOverride>
  </w:num>
  <w:num w:numId="23">
    <w:abstractNumId w:val="11"/>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521"/>
    <w:rsid w:val="00000D62"/>
    <w:rsid w:val="00001587"/>
    <w:rsid w:val="0000362A"/>
    <w:rsid w:val="00005701"/>
    <w:rsid w:val="000069E7"/>
    <w:rsid w:val="00007528"/>
    <w:rsid w:val="00010B4C"/>
    <w:rsid w:val="0001164F"/>
    <w:rsid w:val="00011A9A"/>
    <w:rsid w:val="00011E02"/>
    <w:rsid w:val="00013D91"/>
    <w:rsid w:val="000140B8"/>
    <w:rsid w:val="00014869"/>
    <w:rsid w:val="000150D3"/>
    <w:rsid w:val="00015FE6"/>
    <w:rsid w:val="000166C1"/>
    <w:rsid w:val="00017587"/>
    <w:rsid w:val="0002006B"/>
    <w:rsid w:val="00020AE8"/>
    <w:rsid w:val="000248CF"/>
    <w:rsid w:val="000259FC"/>
    <w:rsid w:val="00025EBE"/>
    <w:rsid w:val="00026BF2"/>
    <w:rsid w:val="000271F6"/>
    <w:rsid w:val="00030445"/>
    <w:rsid w:val="00031425"/>
    <w:rsid w:val="000318C7"/>
    <w:rsid w:val="0003335D"/>
    <w:rsid w:val="00033FDB"/>
    <w:rsid w:val="000344F6"/>
    <w:rsid w:val="00040693"/>
    <w:rsid w:val="00040A79"/>
    <w:rsid w:val="00042263"/>
    <w:rsid w:val="000425A6"/>
    <w:rsid w:val="00042D0C"/>
    <w:rsid w:val="00043505"/>
    <w:rsid w:val="00044042"/>
    <w:rsid w:val="0004620B"/>
    <w:rsid w:val="000464ED"/>
    <w:rsid w:val="000474D2"/>
    <w:rsid w:val="000479C5"/>
    <w:rsid w:val="00050DFD"/>
    <w:rsid w:val="00051019"/>
    <w:rsid w:val="00052992"/>
    <w:rsid w:val="00053809"/>
    <w:rsid w:val="00053914"/>
    <w:rsid w:val="00054756"/>
    <w:rsid w:val="000560C5"/>
    <w:rsid w:val="00056C49"/>
    <w:rsid w:val="00056CC4"/>
    <w:rsid w:val="00056FE0"/>
    <w:rsid w:val="000603C8"/>
    <w:rsid w:val="000608A4"/>
    <w:rsid w:val="00060AA1"/>
    <w:rsid w:val="000618FA"/>
    <w:rsid w:val="000631FD"/>
    <w:rsid w:val="00070123"/>
    <w:rsid w:val="00071F8A"/>
    <w:rsid w:val="0007353E"/>
    <w:rsid w:val="00073E04"/>
    <w:rsid w:val="0007628D"/>
    <w:rsid w:val="00081738"/>
    <w:rsid w:val="0008193D"/>
    <w:rsid w:val="00081DAB"/>
    <w:rsid w:val="00082E8E"/>
    <w:rsid w:val="00083980"/>
    <w:rsid w:val="000860C4"/>
    <w:rsid w:val="00087051"/>
    <w:rsid w:val="0009351E"/>
    <w:rsid w:val="00094782"/>
    <w:rsid w:val="0009479A"/>
    <w:rsid w:val="000947CC"/>
    <w:rsid w:val="00095E44"/>
    <w:rsid w:val="00096D8D"/>
    <w:rsid w:val="00096DBB"/>
    <w:rsid w:val="0009755A"/>
    <w:rsid w:val="00097A76"/>
    <w:rsid w:val="000A1232"/>
    <w:rsid w:val="000A1E97"/>
    <w:rsid w:val="000A3D10"/>
    <w:rsid w:val="000A70A6"/>
    <w:rsid w:val="000B0097"/>
    <w:rsid w:val="000B101F"/>
    <w:rsid w:val="000B1F4B"/>
    <w:rsid w:val="000B2834"/>
    <w:rsid w:val="000B2F27"/>
    <w:rsid w:val="000B2F58"/>
    <w:rsid w:val="000B37A8"/>
    <w:rsid w:val="000B51D9"/>
    <w:rsid w:val="000C0A12"/>
    <w:rsid w:val="000C0A5F"/>
    <w:rsid w:val="000C2B4A"/>
    <w:rsid w:val="000C308F"/>
    <w:rsid w:val="000C309C"/>
    <w:rsid w:val="000C3EA7"/>
    <w:rsid w:val="000C5A4E"/>
    <w:rsid w:val="000C635D"/>
    <w:rsid w:val="000C76EC"/>
    <w:rsid w:val="000C7F49"/>
    <w:rsid w:val="000D02B6"/>
    <w:rsid w:val="000D18DD"/>
    <w:rsid w:val="000D1AEE"/>
    <w:rsid w:val="000D1F4F"/>
    <w:rsid w:val="000D2F7F"/>
    <w:rsid w:val="000D2FA9"/>
    <w:rsid w:val="000D3717"/>
    <w:rsid w:val="000D37D8"/>
    <w:rsid w:val="000D4D07"/>
    <w:rsid w:val="000D7535"/>
    <w:rsid w:val="000E165D"/>
    <w:rsid w:val="000E16BF"/>
    <w:rsid w:val="000E1BAF"/>
    <w:rsid w:val="000E223E"/>
    <w:rsid w:val="000E2491"/>
    <w:rsid w:val="000E2EA9"/>
    <w:rsid w:val="000E3C68"/>
    <w:rsid w:val="000E46A3"/>
    <w:rsid w:val="000E4E88"/>
    <w:rsid w:val="000E4F2D"/>
    <w:rsid w:val="000E5291"/>
    <w:rsid w:val="000E5726"/>
    <w:rsid w:val="000E6C94"/>
    <w:rsid w:val="000E724D"/>
    <w:rsid w:val="000F0222"/>
    <w:rsid w:val="000F1BB2"/>
    <w:rsid w:val="000F3F94"/>
    <w:rsid w:val="000F4009"/>
    <w:rsid w:val="00100BA0"/>
    <w:rsid w:val="0010267A"/>
    <w:rsid w:val="00103501"/>
    <w:rsid w:val="00103B2D"/>
    <w:rsid w:val="00103CD2"/>
    <w:rsid w:val="00104061"/>
    <w:rsid w:val="00105FCE"/>
    <w:rsid w:val="00107236"/>
    <w:rsid w:val="0010777E"/>
    <w:rsid w:val="001079EA"/>
    <w:rsid w:val="001101A2"/>
    <w:rsid w:val="001106F7"/>
    <w:rsid w:val="001108A9"/>
    <w:rsid w:val="00110926"/>
    <w:rsid w:val="001109F3"/>
    <w:rsid w:val="00112EDA"/>
    <w:rsid w:val="001136C0"/>
    <w:rsid w:val="001139C2"/>
    <w:rsid w:val="00114174"/>
    <w:rsid w:val="00116BF6"/>
    <w:rsid w:val="00117C1D"/>
    <w:rsid w:val="00123688"/>
    <w:rsid w:val="00125548"/>
    <w:rsid w:val="001274F9"/>
    <w:rsid w:val="00127F47"/>
    <w:rsid w:val="00130974"/>
    <w:rsid w:val="00133572"/>
    <w:rsid w:val="00134156"/>
    <w:rsid w:val="00136654"/>
    <w:rsid w:val="00136D7A"/>
    <w:rsid w:val="00137311"/>
    <w:rsid w:val="001411D0"/>
    <w:rsid w:val="00141470"/>
    <w:rsid w:val="00141540"/>
    <w:rsid w:val="00142F07"/>
    <w:rsid w:val="0014346A"/>
    <w:rsid w:val="001444DC"/>
    <w:rsid w:val="001449DF"/>
    <w:rsid w:val="00145011"/>
    <w:rsid w:val="0014518F"/>
    <w:rsid w:val="0014569B"/>
    <w:rsid w:val="00146329"/>
    <w:rsid w:val="001470E0"/>
    <w:rsid w:val="00147CEF"/>
    <w:rsid w:val="00150060"/>
    <w:rsid w:val="001514F4"/>
    <w:rsid w:val="0015158F"/>
    <w:rsid w:val="00151CF2"/>
    <w:rsid w:val="00153CFC"/>
    <w:rsid w:val="00154973"/>
    <w:rsid w:val="00154C69"/>
    <w:rsid w:val="0015704C"/>
    <w:rsid w:val="001572A3"/>
    <w:rsid w:val="001572C4"/>
    <w:rsid w:val="00161701"/>
    <w:rsid w:val="00161AFE"/>
    <w:rsid w:val="00161E87"/>
    <w:rsid w:val="00162B6F"/>
    <w:rsid w:val="00162C74"/>
    <w:rsid w:val="00163BE2"/>
    <w:rsid w:val="0016566C"/>
    <w:rsid w:val="00170D0A"/>
    <w:rsid w:val="001727F0"/>
    <w:rsid w:val="00172B06"/>
    <w:rsid w:val="0017347E"/>
    <w:rsid w:val="001752D8"/>
    <w:rsid w:val="00175931"/>
    <w:rsid w:val="00176B25"/>
    <w:rsid w:val="00181676"/>
    <w:rsid w:val="001822AE"/>
    <w:rsid w:val="0018238B"/>
    <w:rsid w:val="00182E7F"/>
    <w:rsid w:val="00183419"/>
    <w:rsid w:val="0018394A"/>
    <w:rsid w:val="00184DCC"/>
    <w:rsid w:val="001863B7"/>
    <w:rsid w:val="00186A9D"/>
    <w:rsid w:val="001874A6"/>
    <w:rsid w:val="0018765B"/>
    <w:rsid w:val="00187A2F"/>
    <w:rsid w:val="00190913"/>
    <w:rsid w:val="0019164F"/>
    <w:rsid w:val="00193DD3"/>
    <w:rsid w:val="001950DE"/>
    <w:rsid w:val="00195F65"/>
    <w:rsid w:val="001A07E2"/>
    <w:rsid w:val="001A1F72"/>
    <w:rsid w:val="001A2018"/>
    <w:rsid w:val="001A2298"/>
    <w:rsid w:val="001A2489"/>
    <w:rsid w:val="001A56F1"/>
    <w:rsid w:val="001A5F7B"/>
    <w:rsid w:val="001B01C8"/>
    <w:rsid w:val="001B0945"/>
    <w:rsid w:val="001B0B52"/>
    <w:rsid w:val="001B13F6"/>
    <w:rsid w:val="001B1747"/>
    <w:rsid w:val="001B2D44"/>
    <w:rsid w:val="001B3DBD"/>
    <w:rsid w:val="001B752A"/>
    <w:rsid w:val="001C12FB"/>
    <w:rsid w:val="001C35E9"/>
    <w:rsid w:val="001C36BD"/>
    <w:rsid w:val="001C3733"/>
    <w:rsid w:val="001C3C1E"/>
    <w:rsid w:val="001C4822"/>
    <w:rsid w:val="001C49B3"/>
    <w:rsid w:val="001C5B30"/>
    <w:rsid w:val="001C66DB"/>
    <w:rsid w:val="001D188C"/>
    <w:rsid w:val="001D1B11"/>
    <w:rsid w:val="001D3C05"/>
    <w:rsid w:val="001D4C75"/>
    <w:rsid w:val="001D6AF4"/>
    <w:rsid w:val="001E0CC1"/>
    <w:rsid w:val="001E183A"/>
    <w:rsid w:val="001E1C10"/>
    <w:rsid w:val="001E1FB0"/>
    <w:rsid w:val="001E2D07"/>
    <w:rsid w:val="001E3CC0"/>
    <w:rsid w:val="001E4C9A"/>
    <w:rsid w:val="001E77C3"/>
    <w:rsid w:val="001E7A89"/>
    <w:rsid w:val="001F090B"/>
    <w:rsid w:val="001F180A"/>
    <w:rsid w:val="001F1A28"/>
    <w:rsid w:val="001F1AD0"/>
    <w:rsid w:val="001F35E8"/>
    <w:rsid w:val="001F4014"/>
    <w:rsid w:val="001F42AC"/>
    <w:rsid w:val="001F445E"/>
    <w:rsid w:val="00200BDA"/>
    <w:rsid w:val="00201213"/>
    <w:rsid w:val="0020165E"/>
    <w:rsid w:val="00201D60"/>
    <w:rsid w:val="00202E50"/>
    <w:rsid w:val="002033C1"/>
    <w:rsid w:val="00205180"/>
    <w:rsid w:val="00207F81"/>
    <w:rsid w:val="00210885"/>
    <w:rsid w:val="002109F4"/>
    <w:rsid w:val="00211554"/>
    <w:rsid w:val="00211DE3"/>
    <w:rsid w:val="00211FDA"/>
    <w:rsid w:val="002160C2"/>
    <w:rsid w:val="00217FCB"/>
    <w:rsid w:val="00222BB9"/>
    <w:rsid w:val="002258D6"/>
    <w:rsid w:val="0022592B"/>
    <w:rsid w:val="002274FB"/>
    <w:rsid w:val="002302AC"/>
    <w:rsid w:val="002309D2"/>
    <w:rsid w:val="00231DBD"/>
    <w:rsid w:val="0023315B"/>
    <w:rsid w:val="002347FE"/>
    <w:rsid w:val="0024178D"/>
    <w:rsid w:val="00243305"/>
    <w:rsid w:val="0024392B"/>
    <w:rsid w:val="0024487B"/>
    <w:rsid w:val="002450C6"/>
    <w:rsid w:val="00245786"/>
    <w:rsid w:val="00245DCF"/>
    <w:rsid w:val="00246C65"/>
    <w:rsid w:val="00246CB6"/>
    <w:rsid w:val="00247894"/>
    <w:rsid w:val="002524CB"/>
    <w:rsid w:val="002542A8"/>
    <w:rsid w:val="002565D7"/>
    <w:rsid w:val="00257304"/>
    <w:rsid w:val="00260A11"/>
    <w:rsid w:val="0026169A"/>
    <w:rsid w:val="00262763"/>
    <w:rsid w:val="00262A7E"/>
    <w:rsid w:val="00264BEA"/>
    <w:rsid w:val="00264CDF"/>
    <w:rsid w:val="00265650"/>
    <w:rsid w:val="00267E10"/>
    <w:rsid w:val="0027004B"/>
    <w:rsid w:val="00271032"/>
    <w:rsid w:val="00273E3E"/>
    <w:rsid w:val="00274147"/>
    <w:rsid w:val="00275189"/>
    <w:rsid w:val="002756DC"/>
    <w:rsid w:val="00276437"/>
    <w:rsid w:val="00277BD6"/>
    <w:rsid w:val="00277DD8"/>
    <w:rsid w:val="0028063F"/>
    <w:rsid w:val="00280740"/>
    <w:rsid w:val="002827F2"/>
    <w:rsid w:val="00283B02"/>
    <w:rsid w:val="00283C5D"/>
    <w:rsid w:val="002844B0"/>
    <w:rsid w:val="00284C22"/>
    <w:rsid w:val="00286322"/>
    <w:rsid w:val="00291ABC"/>
    <w:rsid w:val="0029288C"/>
    <w:rsid w:val="00293DAA"/>
    <w:rsid w:val="002959FF"/>
    <w:rsid w:val="00296C1F"/>
    <w:rsid w:val="00297D71"/>
    <w:rsid w:val="00297FB7"/>
    <w:rsid w:val="002A08D4"/>
    <w:rsid w:val="002A14B1"/>
    <w:rsid w:val="002A2B4B"/>
    <w:rsid w:val="002A41E6"/>
    <w:rsid w:val="002A44C8"/>
    <w:rsid w:val="002A5B88"/>
    <w:rsid w:val="002A5E48"/>
    <w:rsid w:val="002A61CF"/>
    <w:rsid w:val="002A6BB8"/>
    <w:rsid w:val="002B0455"/>
    <w:rsid w:val="002B293F"/>
    <w:rsid w:val="002B2BEE"/>
    <w:rsid w:val="002B35C5"/>
    <w:rsid w:val="002B3935"/>
    <w:rsid w:val="002B406A"/>
    <w:rsid w:val="002B41D4"/>
    <w:rsid w:val="002B4CEA"/>
    <w:rsid w:val="002B543F"/>
    <w:rsid w:val="002B7135"/>
    <w:rsid w:val="002B7C76"/>
    <w:rsid w:val="002B7D73"/>
    <w:rsid w:val="002C06E3"/>
    <w:rsid w:val="002C0801"/>
    <w:rsid w:val="002C1C57"/>
    <w:rsid w:val="002C2915"/>
    <w:rsid w:val="002C33B3"/>
    <w:rsid w:val="002C44B0"/>
    <w:rsid w:val="002C4E07"/>
    <w:rsid w:val="002C68E0"/>
    <w:rsid w:val="002C713F"/>
    <w:rsid w:val="002D0586"/>
    <w:rsid w:val="002D1023"/>
    <w:rsid w:val="002D1459"/>
    <w:rsid w:val="002D1470"/>
    <w:rsid w:val="002D1B6D"/>
    <w:rsid w:val="002D21CF"/>
    <w:rsid w:val="002D2701"/>
    <w:rsid w:val="002D27F6"/>
    <w:rsid w:val="002D2B53"/>
    <w:rsid w:val="002D4705"/>
    <w:rsid w:val="002D4E3A"/>
    <w:rsid w:val="002D5B65"/>
    <w:rsid w:val="002D6396"/>
    <w:rsid w:val="002D6ABC"/>
    <w:rsid w:val="002D728A"/>
    <w:rsid w:val="002D7CFA"/>
    <w:rsid w:val="002D7E5E"/>
    <w:rsid w:val="002E0527"/>
    <w:rsid w:val="002E07EF"/>
    <w:rsid w:val="002E0D06"/>
    <w:rsid w:val="002E1810"/>
    <w:rsid w:val="002E2B53"/>
    <w:rsid w:val="002E49C3"/>
    <w:rsid w:val="002E4E94"/>
    <w:rsid w:val="002F07A9"/>
    <w:rsid w:val="002F07C4"/>
    <w:rsid w:val="002F08DC"/>
    <w:rsid w:val="002F1F28"/>
    <w:rsid w:val="002F20DE"/>
    <w:rsid w:val="002F2921"/>
    <w:rsid w:val="002F33D9"/>
    <w:rsid w:val="002F43CA"/>
    <w:rsid w:val="002F57AA"/>
    <w:rsid w:val="002F714C"/>
    <w:rsid w:val="002F77BF"/>
    <w:rsid w:val="003004A2"/>
    <w:rsid w:val="00302107"/>
    <w:rsid w:val="00303DD5"/>
    <w:rsid w:val="00304522"/>
    <w:rsid w:val="00305EE6"/>
    <w:rsid w:val="00307B74"/>
    <w:rsid w:val="00310764"/>
    <w:rsid w:val="0031498F"/>
    <w:rsid w:val="00320203"/>
    <w:rsid w:val="00322002"/>
    <w:rsid w:val="003247B0"/>
    <w:rsid w:val="00325E81"/>
    <w:rsid w:val="00326948"/>
    <w:rsid w:val="00326CD4"/>
    <w:rsid w:val="00331AF7"/>
    <w:rsid w:val="00332B8A"/>
    <w:rsid w:val="003339D0"/>
    <w:rsid w:val="0033486D"/>
    <w:rsid w:val="00334E4D"/>
    <w:rsid w:val="003367C4"/>
    <w:rsid w:val="00336D8E"/>
    <w:rsid w:val="003376B3"/>
    <w:rsid w:val="00343965"/>
    <w:rsid w:val="00345F9C"/>
    <w:rsid w:val="003464CB"/>
    <w:rsid w:val="00347776"/>
    <w:rsid w:val="00351A91"/>
    <w:rsid w:val="003520C4"/>
    <w:rsid w:val="003533AE"/>
    <w:rsid w:val="00354547"/>
    <w:rsid w:val="00355217"/>
    <w:rsid w:val="00355E14"/>
    <w:rsid w:val="00356B23"/>
    <w:rsid w:val="00360AAA"/>
    <w:rsid w:val="00361280"/>
    <w:rsid w:val="003615F1"/>
    <w:rsid w:val="00361937"/>
    <w:rsid w:val="00361A6E"/>
    <w:rsid w:val="00362996"/>
    <w:rsid w:val="00363D7F"/>
    <w:rsid w:val="00367C66"/>
    <w:rsid w:val="003700B2"/>
    <w:rsid w:val="003709D8"/>
    <w:rsid w:val="0037233D"/>
    <w:rsid w:val="00373027"/>
    <w:rsid w:val="003736EF"/>
    <w:rsid w:val="003737E3"/>
    <w:rsid w:val="00373C9B"/>
    <w:rsid w:val="00380490"/>
    <w:rsid w:val="00380A1A"/>
    <w:rsid w:val="00380D80"/>
    <w:rsid w:val="0038164A"/>
    <w:rsid w:val="003833B8"/>
    <w:rsid w:val="00383786"/>
    <w:rsid w:val="0038761D"/>
    <w:rsid w:val="00387A1C"/>
    <w:rsid w:val="003906F8"/>
    <w:rsid w:val="003935EE"/>
    <w:rsid w:val="0039408A"/>
    <w:rsid w:val="0039673D"/>
    <w:rsid w:val="00396ABC"/>
    <w:rsid w:val="003975DA"/>
    <w:rsid w:val="003975DB"/>
    <w:rsid w:val="00397893"/>
    <w:rsid w:val="003A0255"/>
    <w:rsid w:val="003A2407"/>
    <w:rsid w:val="003A2CF0"/>
    <w:rsid w:val="003A33D3"/>
    <w:rsid w:val="003A3880"/>
    <w:rsid w:val="003A5778"/>
    <w:rsid w:val="003A5BC5"/>
    <w:rsid w:val="003A5D55"/>
    <w:rsid w:val="003A75E6"/>
    <w:rsid w:val="003B255B"/>
    <w:rsid w:val="003B3265"/>
    <w:rsid w:val="003B3317"/>
    <w:rsid w:val="003B52D4"/>
    <w:rsid w:val="003C1CA5"/>
    <w:rsid w:val="003C1EC7"/>
    <w:rsid w:val="003C3075"/>
    <w:rsid w:val="003C3D8E"/>
    <w:rsid w:val="003C64A0"/>
    <w:rsid w:val="003C6F0B"/>
    <w:rsid w:val="003C7BA3"/>
    <w:rsid w:val="003D0C9B"/>
    <w:rsid w:val="003D1C3F"/>
    <w:rsid w:val="003D4DB7"/>
    <w:rsid w:val="003D4E9C"/>
    <w:rsid w:val="003D50E8"/>
    <w:rsid w:val="003E0D78"/>
    <w:rsid w:val="003E1CB1"/>
    <w:rsid w:val="003E2E0C"/>
    <w:rsid w:val="003E3A1D"/>
    <w:rsid w:val="003E50B6"/>
    <w:rsid w:val="003E50DA"/>
    <w:rsid w:val="003E5A40"/>
    <w:rsid w:val="003E6CA0"/>
    <w:rsid w:val="003E773E"/>
    <w:rsid w:val="003E7C33"/>
    <w:rsid w:val="003F1B42"/>
    <w:rsid w:val="003F2FDE"/>
    <w:rsid w:val="003F330B"/>
    <w:rsid w:val="003F3DA2"/>
    <w:rsid w:val="003F454C"/>
    <w:rsid w:val="003F4894"/>
    <w:rsid w:val="003F64A4"/>
    <w:rsid w:val="003F6FDF"/>
    <w:rsid w:val="00400366"/>
    <w:rsid w:val="004016F5"/>
    <w:rsid w:val="0040215D"/>
    <w:rsid w:val="004045AA"/>
    <w:rsid w:val="0040549A"/>
    <w:rsid w:val="00405AB7"/>
    <w:rsid w:val="00405CC9"/>
    <w:rsid w:val="00407367"/>
    <w:rsid w:val="00407D67"/>
    <w:rsid w:val="00407FA5"/>
    <w:rsid w:val="00412844"/>
    <w:rsid w:val="004138DE"/>
    <w:rsid w:val="00414B2F"/>
    <w:rsid w:val="00415E58"/>
    <w:rsid w:val="00416231"/>
    <w:rsid w:val="00416F69"/>
    <w:rsid w:val="004208AB"/>
    <w:rsid w:val="004219EF"/>
    <w:rsid w:val="00423ABA"/>
    <w:rsid w:val="004255BE"/>
    <w:rsid w:val="00426CD9"/>
    <w:rsid w:val="0043085C"/>
    <w:rsid w:val="00430FEB"/>
    <w:rsid w:val="004310EE"/>
    <w:rsid w:val="00433677"/>
    <w:rsid w:val="004340D5"/>
    <w:rsid w:val="00434880"/>
    <w:rsid w:val="0043526D"/>
    <w:rsid w:val="00443971"/>
    <w:rsid w:val="004439AF"/>
    <w:rsid w:val="0044466B"/>
    <w:rsid w:val="00445DAA"/>
    <w:rsid w:val="004460E9"/>
    <w:rsid w:val="00447B6F"/>
    <w:rsid w:val="00450827"/>
    <w:rsid w:val="00453C11"/>
    <w:rsid w:val="00454FFF"/>
    <w:rsid w:val="004557B0"/>
    <w:rsid w:val="00457946"/>
    <w:rsid w:val="00457D8B"/>
    <w:rsid w:val="00460A17"/>
    <w:rsid w:val="00463ECE"/>
    <w:rsid w:val="00466143"/>
    <w:rsid w:val="00467FBD"/>
    <w:rsid w:val="00470CB5"/>
    <w:rsid w:val="00471EAB"/>
    <w:rsid w:val="004723EE"/>
    <w:rsid w:val="00473AF5"/>
    <w:rsid w:val="004747A9"/>
    <w:rsid w:val="00475A92"/>
    <w:rsid w:val="00477BB9"/>
    <w:rsid w:val="0048091C"/>
    <w:rsid w:val="00480A1E"/>
    <w:rsid w:val="00482CC3"/>
    <w:rsid w:val="004844EA"/>
    <w:rsid w:val="004857D4"/>
    <w:rsid w:val="00486206"/>
    <w:rsid w:val="00486756"/>
    <w:rsid w:val="00487366"/>
    <w:rsid w:val="004873E4"/>
    <w:rsid w:val="0049072C"/>
    <w:rsid w:val="004909BE"/>
    <w:rsid w:val="00490FD1"/>
    <w:rsid w:val="00491AD2"/>
    <w:rsid w:val="004935C0"/>
    <w:rsid w:val="00493B43"/>
    <w:rsid w:val="00494EB1"/>
    <w:rsid w:val="00496272"/>
    <w:rsid w:val="00496414"/>
    <w:rsid w:val="0049683A"/>
    <w:rsid w:val="00497A38"/>
    <w:rsid w:val="004A063B"/>
    <w:rsid w:val="004A1667"/>
    <w:rsid w:val="004A2557"/>
    <w:rsid w:val="004A45BD"/>
    <w:rsid w:val="004A4656"/>
    <w:rsid w:val="004A77B0"/>
    <w:rsid w:val="004B0B24"/>
    <w:rsid w:val="004B0C31"/>
    <w:rsid w:val="004B0D7C"/>
    <w:rsid w:val="004B1CED"/>
    <w:rsid w:val="004B34A7"/>
    <w:rsid w:val="004B34DA"/>
    <w:rsid w:val="004B36B9"/>
    <w:rsid w:val="004B3B06"/>
    <w:rsid w:val="004B43B5"/>
    <w:rsid w:val="004B4643"/>
    <w:rsid w:val="004B4797"/>
    <w:rsid w:val="004B7F67"/>
    <w:rsid w:val="004C1994"/>
    <w:rsid w:val="004D065F"/>
    <w:rsid w:val="004D3C54"/>
    <w:rsid w:val="004D4080"/>
    <w:rsid w:val="004D7149"/>
    <w:rsid w:val="004D7A6C"/>
    <w:rsid w:val="004D7F24"/>
    <w:rsid w:val="004E05FD"/>
    <w:rsid w:val="004E1A0D"/>
    <w:rsid w:val="004E23F5"/>
    <w:rsid w:val="004E3673"/>
    <w:rsid w:val="004E4521"/>
    <w:rsid w:val="004E5956"/>
    <w:rsid w:val="004E63E5"/>
    <w:rsid w:val="004E6B76"/>
    <w:rsid w:val="004F054F"/>
    <w:rsid w:val="004F1C8A"/>
    <w:rsid w:val="004F2297"/>
    <w:rsid w:val="004F2A29"/>
    <w:rsid w:val="004F3462"/>
    <w:rsid w:val="004F3540"/>
    <w:rsid w:val="004F52DB"/>
    <w:rsid w:val="004F5624"/>
    <w:rsid w:val="004F5DA4"/>
    <w:rsid w:val="004F62B2"/>
    <w:rsid w:val="004F6424"/>
    <w:rsid w:val="005040CD"/>
    <w:rsid w:val="0050420D"/>
    <w:rsid w:val="00505229"/>
    <w:rsid w:val="00506D05"/>
    <w:rsid w:val="00507F98"/>
    <w:rsid w:val="005108A3"/>
    <w:rsid w:val="00510F6E"/>
    <w:rsid w:val="00511054"/>
    <w:rsid w:val="005118AE"/>
    <w:rsid w:val="00512F84"/>
    <w:rsid w:val="0051587A"/>
    <w:rsid w:val="005158FA"/>
    <w:rsid w:val="005169AD"/>
    <w:rsid w:val="00516DF8"/>
    <w:rsid w:val="00516FD9"/>
    <w:rsid w:val="005208B9"/>
    <w:rsid w:val="005221F0"/>
    <w:rsid w:val="00524807"/>
    <w:rsid w:val="00525FF9"/>
    <w:rsid w:val="00532C41"/>
    <w:rsid w:val="00532D1D"/>
    <w:rsid w:val="00532D3F"/>
    <w:rsid w:val="0053386D"/>
    <w:rsid w:val="00533962"/>
    <w:rsid w:val="00534700"/>
    <w:rsid w:val="0053791F"/>
    <w:rsid w:val="00540447"/>
    <w:rsid w:val="00542531"/>
    <w:rsid w:val="00543E16"/>
    <w:rsid w:val="0054510A"/>
    <w:rsid w:val="00547538"/>
    <w:rsid w:val="005501C0"/>
    <w:rsid w:val="0055252D"/>
    <w:rsid w:val="00553238"/>
    <w:rsid w:val="00553BFA"/>
    <w:rsid w:val="005540E2"/>
    <w:rsid w:val="00554A9D"/>
    <w:rsid w:val="00554D05"/>
    <w:rsid w:val="00557EF1"/>
    <w:rsid w:val="0056077E"/>
    <w:rsid w:val="00560C91"/>
    <w:rsid w:val="00560EDA"/>
    <w:rsid w:val="005629EE"/>
    <w:rsid w:val="005648FA"/>
    <w:rsid w:val="00564D50"/>
    <w:rsid w:val="005658A2"/>
    <w:rsid w:val="00567346"/>
    <w:rsid w:val="0057371B"/>
    <w:rsid w:val="00574B29"/>
    <w:rsid w:val="00574CAC"/>
    <w:rsid w:val="00575EB8"/>
    <w:rsid w:val="005771F7"/>
    <w:rsid w:val="00577F76"/>
    <w:rsid w:val="0058075B"/>
    <w:rsid w:val="00580C6A"/>
    <w:rsid w:val="005827B8"/>
    <w:rsid w:val="00582A9B"/>
    <w:rsid w:val="005832AB"/>
    <w:rsid w:val="0058437C"/>
    <w:rsid w:val="00584C1D"/>
    <w:rsid w:val="00586F05"/>
    <w:rsid w:val="00592935"/>
    <w:rsid w:val="005935F4"/>
    <w:rsid w:val="00593E0A"/>
    <w:rsid w:val="00593EEB"/>
    <w:rsid w:val="005A132A"/>
    <w:rsid w:val="005A167F"/>
    <w:rsid w:val="005A346E"/>
    <w:rsid w:val="005A3537"/>
    <w:rsid w:val="005A6732"/>
    <w:rsid w:val="005A6915"/>
    <w:rsid w:val="005A73CF"/>
    <w:rsid w:val="005B0F42"/>
    <w:rsid w:val="005B3F6F"/>
    <w:rsid w:val="005B56E7"/>
    <w:rsid w:val="005B798B"/>
    <w:rsid w:val="005C1FAE"/>
    <w:rsid w:val="005C226D"/>
    <w:rsid w:val="005C2DE9"/>
    <w:rsid w:val="005C39E8"/>
    <w:rsid w:val="005C5660"/>
    <w:rsid w:val="005D17B6"/>
    <w:rsid w:val="005D4B68"/>
    <w:rsid w:val="005D6FD3"/>
    <w:rsid w:val="005E077A"/>
    <w:rsid w:val="005E11C1"/>
    <w:rsid w:val="005E1AAE"/>
    <w:rsid w:val="005E2563"/>
    <w:rsid w:val="005E394C"/>
    <w:rsid w:val="005E42BF"/>
    <w:rsid w:val="005E4E70"/>
    <w:rsid w:val="005E65BB"/>
    <w:rsid w:val="005E6661"/>
    <w:rsid w:val="005E7649"/>
    <w:rsid w:val="005F0DA0"/>
    <w:rsid w:val="005F1152"/>
    <w:rsid w:val="005F489D"/>
    <w:rsid w:val="005F4914"/>
    <w:rsid w:val="005F5D9A"/>
    <w:rsid w:val="005F62B7"/>
    <w:rsid w:val="005F6869"/>
    <w:rsid w:val="005F6BB9"/>
    <w:rsid w:val="00600E8C"/>
    <w:rsid w:val="00603148"/>
    <w:rsid w:val="00605833"/>
    <w:rsid w:val="0060595B"/>
    <w:rsid w:val="00605A02"/>
    <w:rsid w:val="00606FC7"/>
    <w:rsid w:val="00607031"/>
    <w:rsid w:val="00610456"/>
    <w:rsid w:val="006110FE"/>
    <w:rsid w:val="00611473"/>
    <w:rsid w:val="00611B36"/>
    <w:rsid w:val="00613370"/>
    <w:rsid w:val="00613A34"/>
    <w:rsid w:val="00614040"/>
    <w:rsid w:val="006150F0"/>
    <w:rsid w:val="00615ADA"/>
    <w:rsid w:val="0061653F"/>
    <w:rsid w:val="00617B9E"/>
    <w:rsid w:val="0062161A"/>
    <w:rsid w:val="006221CD"/>
    <w:rsid w:val="006223E1"/>
    <w:rsid w:val="006266A9"/>
    <w:rsid w:val="00630426"/>
    <w:rsid w:val="006316C1"/>
    <w:rsid w:val="00631ED4"/>
    <w:rsid w:val="00633B05"/>
    <w:rsid w:val="00633BC7"/>
    <w:rsid w:val="00633F30"/>
    <w:rsid w:val="00634C9E"/>
    <w:rsid w:val="00634E7F"/>
    <w:rsid w:val="00635E9C"/>
    <w:rsid w:val="00637B41"/>
    <w:rsid w:val="00640A4E"/>
    <w:rsid w:val="006414EE"/>
    <w:rsid w:val="00642524"/>
    <w:rsid w:val="00642D0A"/>
    <w:rsid w:val="00645EF0"/>
    <w:rsid w:val="00646FE1"/>
    <w:rsid w:val="0065130A"/>
    <w:rsid w:val="0065491B"/>
    <w:rsid w:val="00655C2F"/>
    <w:rsid w:val="00661140"/>
    <w:rsid w:val="00661CD6"/>
    <w:rsid w:val="00665DC3"/>
    <w:rsid w:val="006710DD"/>
    <w:rsid w:val="00673200"/>
    <w:rsid w:val="0067501E"/>
    <w:rsid w:val="00676586"/>
    <w:rsid w:val="006773D2"/>
    <w:rsid w:val="00680581"/>
    <w:rsid w:val="00681083"/>
    <w:rsid w:val="00681A41"/>
    <w:rsid w:val="006821B2"/>
    <w:rsid w:val="0068308D"/>
    <w:rsid w:val="006838C0"/>
    <w:rsid w:val="00685849"/>
    <w:rsid w:val="00685901"/>
    <w:rsid w:val="00685BB9"/>
    <w:rsid w:val="00690127"/>
    <w:rsid w:val="00691BFF"/>
    <w:rsid w:val="00693EC5"/>
    <w:rsid w:val="006953C1"/>
    <w:rsid w:val="00696EB2"/>
    <w:rsid w:val="00697E30"/>
    <w:rsid w:val="006A16E9"/>
    <w:rsid w:val="006A2FA9"/>
    <w:rsid w:val="006A3A89"/>
    <w:rsid w:val="006A5450"/>
    <w:rsid w:val="006A5D77"/>
    <w:rsid w:val="006A7BDC"/>
    <w:rsid w:val="006B0199"/>
    <w:rsid w:val="006B0A32"/>
    <w:rsid w:val="006B0BD8"/>
    <w:rsid w:val="006B4A56"/>
    <w:rsid w:val="006C0251"/>
    <w:rsid w:val="006C2B9A"/>
    <w:rsid w:val="006C39BB"/>
    <w:rsid w:val="006C3D62"/>
    <w:rsid w:val="006C3DAC"/>
    <w:rsid w:val="006C4502"/>
    <w:rsid w:val="006C4DE0"/>
    <w:rsid w:val="006C6C1E"/>
    <w:rsid w:val="006D0A2F"/>
    <w:rsid w:val="006D5107"/>
    <w:rsid w:val="006D5E91"/>
    <w:rsid w:val="006E076F"/>
    <w:rsid w:val="006E14E6"/>
    <w:rsid w:val="006E1834"/>
    <w:rsid w:val="006E1AEE"/>
    <w:rsid w:val="006E2504"/>
    <w:rsid w:val="006E3B9C"/>
    <w:rsid w:val="006E51A2"/>
    <w:rsid w:val="006E668F"/>
    <w:rsid w:val="006E7F9E"/>
    <w:rsid w:val="006F0C83"/>
    <w:rsid w:val="006F0DE2"/>
    <w:rsid w:val="006F3495"/>
    <w:rsid w:val="006F3C40"/>
    <w:rsid w:val="006F417D"/>
    <w:rsid w:val="006F52EC"/>
    <w:rsid w:val="006F59CD"/>
    <w:rsid w:val="006F5C83"/>
    <w:rsid w:val="006F67CC"/>
    <w:rsid w:val="006F7315"/>
    <w:rsid w:val="006F77BA"/>
    <w:rsid w:val="00700407"/>
    <w:rsid w:val="00701C2D"/>
    <w:rsid w:val="007020B7"/>
    <w:rsid w:val="00702162"/>
    <w:rsid w:val="00703930"/>
    <w:rsid w:val="00703C65"/>
    <w:rsid w:val="0070610E"/>
    <w:rsid w:val="00707759"/>
    <w:rsid w:val="00710081"/>
    <w:rsid w:val="00710B0D"/>
    <w:rsid w:val="00712EE4"/>
    <w:rsid w:val="00713CB5"/>
    <w:rsid w:val="0071558B"/>
    <w:rsid w:val="00715E0D"/>
    <w:rsid w:val="00720097"/>
    <w:rsid w:val="00720162"/>
    <w:rsid w:val="00721189"/>
    <w:rsid w:val="007221C3"/>
    <w:rsid w:val="00722786"/>
    <w:rsid w:val="00722F2C"/>
    <w:rsid w:val="00724C4A"/>
    <w:rsid w:val="007254D1"/>
    <w:rsid w:val="00725B32"/>
    <w:rsid w:val="00725B3C"/>
    <w:rsid w:val="007273CA"/>
    <w:rsid w:val="00731805"/>
    <w:rsid w:val="007335C1"/>
    <w:rsid w:val="00733D54"/>
    <w:rsid w:val="00736038"/>
    <w:rsid w:val="00736773"/>
    <w:rsid w:val="00736A4F"/>
    <w:rsid w:val="00737753"/>
    <w:rsid w:val="00740CE9"/>
    <w:rsid w:val="007411B2"/>
    <w:rsid w:val="00741C80"/>
    <w:rsid w:val="007428E3"/>
    <w:rsid w:val="0074394E"/>
    <w:rsid w:val="007467D8"/>
    <w:rsid w:val="00747C94"/>
    <w:rsid w:val="00750D0A"/>
    <w:rsid w:val="00751386"/>
    <w:rsid w:val="00751D93"/>
    <w:rsid w:val="00752300"/>
    <w:rsid w:val="00752F31"/>
    <w:rsid w:val="0075461D"/>
    <w:rsid w:val="007546F8"/>
    <w:rsid w:val="00755219"/>
    <w:rsid w:val="00755BAB"/>
    <w:rsid w:val="00756EDA"/>
    <w:rsid w:val="00757711"/>
    <w:rsid w:val="0076080E"/>
    <w:rsid w:val="0076411D"/>
    <w:rsid w:val="007670F8"/>
    <w:rsid w:val="007671D4"/>
    <w:rsid w:val="00770A85"/>
    <w:rsid w:val="00771F02"/>
    <w:rsid w:val="00773DC9"/>
    <w:rsid w:val="007756E7"/>
    <w:rsid w:val="0077572E"/>
    <w:rsid w:val="007762E0"/>
    <w:rsid w:val="00776998"/>
    <w:rsid w:val="0078031B"/>
    <w:rsid w:val="00782DCD"/>
    <w:rsid w:val="00784E45"/>
    <w:rsid w:val="00784F44"/>
    <w:rsid w:val="00786252"/>
    <w:rsid w:val="00786672"/>
    <w:rsid w:val="00786FCB"/>
    <w:rsid w:val="007872CF"/>
    <w:rsid w:val="0079164F"/>
    <w:rsid w:val="0079196B"/>
    <w:rsid w:val="0079201C"/>
    <w:rsid w:val="0079307F"/>
    <w:rsid w:val="00793C6E"/>
    <w:rsid w:val="007940C5"/>
    <w:rsid w:val="007947C4"/>
    <w:rsid w:val="007950E1"/>
    <w:rsid w:val="007953F8"/>
    <w:rsid w:val="00795CE1"/>
    <w:rsid w:val="007961D8"/>
    <w:rsid w:val="007A06AC"/>
    <w:rsid w:val="007A27B0"/>
    <w:rsid w:val="007A5338"/>
    <w:rsid w:val="007A729B"/>
    <w:rsid w:val="007B1014"/>
    <w:rsid w:val="007B103F"/>
    <w:rsid w:val="007B1484"/>
    <w:rsid w:val="007B149B"/>
    <w:rsid w:val="007B1A10"/>
    <w:rsid w:val="007B1EE6"/>
    <w:rsid w:val="007B2EC0"/>
    <w:rsid w:val="007B3A5E"/>
    <w:rsid w:val="007B4DA7"/>
    <w:rsid w:val="007B57CC"/>
    <w:rsid w:val="007B6659"/>
    <w:rsid w:val="007B76AB"/>
    <w:rsid w:val="007B7DBD"/>
    <w:rsid w:val="007C124E"/>
    <w:rsid w:val="007C27C9"/>
    <w:rsid w:val="007C30A1"/>
    <w:rsid w:val="007C3E57"/>
    <w:rsid w:val="007C45D3"/>
    <w:rsid w:val="007C597B"/>
    <w:rsid w:val="007C59FF"/>
    <w:rsid w:val="007C6768"/>
    <w:rsid w:val="007C760C"/>
    <w:rsid w:val="007D08FD"/>
    <w:rsid w:val="007D1584"/>
    <w:rsid w:val="007D1C6E"/>
    <w:rsid w:val="007D1F65"/>
    <w:rsid w:val="007D2044"/>
    <w:rsid w:val="007D2C1D"/>
    <w:rsid w:val="007D2E08"/>
    <w:rsid w:val="007D2EBC"/>
    <w:rsid w:val="007D36DB"/>
    <w:rsid w:val="007D4648"/>
    <w:rsid w:val="007D4F33"/>
    <w:rsid w:val="007D65C7"/>
    <w:rsid w:val="007D74D2"/>
    <w:rsid w:val="007D79B5"/>
    <w:rsid w:val="007E1024"/>
    <w:rsid w:val="007E16FD"/>
    <w:rsid w:val="007E22AB"/>
    <w:rsid w:val="007E2334"/>
    <w:rsid w:val="007E23CE"/>
    <w:rsid w:val="007E2CE7"/>
    <w:rsid w:val="007E43D0"/>
    <w:rsid w:val="007E4F00"/>
    <w:rsid w:val="007E54F8"/>
    <w:rsid w:val="007E5525"/>
    <w:rsid w:val="007E5987"/>
    <w:rsid w:val="007E5BD8"/>
    <w:rsid w:val="007E7BF9"/>
    <w:rsid w:val="007F02BC"/>
    <w:rsid w:val="007F17A5"/>
    <w:rsid w:val="007F1D17"/>
    <w:rsid w:val="007F21CB"/>
    <w:rsid w:val="007F2E65"/>
    <w:rsid w:val="007F2F27"/>
    <w:rsid w:val="007F43BA"/>
    <w:rsid w:val="007F45D1"/>
    <w:rsid w:val="007F616F"/>
    <w:rsid w:val="007F64BE"/>
    <w:rsid w:val="007F6DC3"/>
    <w:rsid w:val="007F7471"/>
    <w:rsid w:val="007F74FF"/>
    <w:rsid w:val="008004BE"/>
    <w:rsid w:val="008006B4"/>
    <w:rsid w:val="008015B6"/>
    <w:rsid w:val="00803FD4"/>
    <w:rsid w:val="008040AD"/>
    <w:rsid w:val="0080481C"/>
    <w:rsid w:val="00804C54"/>
    <w:rsid w:val="00805210"/>
    <w:rsid w:val="008056DD"/>
    <w:rsid w:val="00806865"/>
    <w:rsid w:val="0081104C"/>
    <w:rsid w:val="00811F79"/>
    <w:rsid w:val="00812D16"/>
    <w:rsid w:val="00814494"/>
    <w:rsid w:val="00816B68"/>
    <w:rsid w:val="00821665"/>
    <w:rsid w:val="00821865"/>
    <w:rsid w:val="0082327D"/>
    <w:rsid w:val="0082433D"/>
    <w:rsid w:val="00826509"/>
    <w:rsid w:val="00827292"/>
    <w:rsid w:val="0083016E"/>
    <w:rsid w:val="008305EC"/>
    <w:rsid w:val="0083354D"/>
    <w:rsid w:val="008337BE"/>
    <w:rsid w:val="00833B1A"/>
    <w:rsid w:val="0083475C"/>
    <w:rsid w:val="0083561B"/>
    <w:rsid w:val="0083598A"/>
    <w:rsid w:val="00835BF6"/>
    <w:rsid w:val="0083721C"/>
    <w:rsid w:val="00837D78"/>
    <w:rsid w:val="00840D79"/>
    <w:rsid w:val="00842A21"/>
    <w:rsid w:val="008432DB"/>
    <w:rsid w:val="0084581A"/>
    <w:rsid w:val="00845DAD"/>
    <w:rsid w:val="008501BF"/>
    <w:rsid w:val="008506BD"/>
    <w:rsid w:val="00852977"/>
    <w:rsid w:val="00854B2F"/>
    <w:rsid w:val="00854EEB"/>
    <w:rsid w:val="00855481"/>
    <w:rsid w:val="00856354"/>
    <w:rsid w:val="00856478"/>
    <w:rsid w:val="008568E1"/>
    <w:rsid w:val="00856AB2"/>
    <w:rsid w:val="00856BE9"/>
    <w:rsid w:val="0085753C"/>
    <w:rsid w:val="008578F8"/>
    <w:rsid w:val="00860566"/>
    <w:rsid w:val="00860595"/>
    <w:rsid w:val="0086075C"/>
    <w:rsid w:val="0086165C"/>
    <w:rsid w:val="00861B26"/>
    <w:rsid w:val="008623A6"/>
    <w:rsid w:val="00862EED"/>
    <w:rsid w:val="008643FC"/>
    <w:rsid w:val="008649B9"/>
    <w:rsid w:val="0086548A"/>
    <w:rsid w:val="008663CB"/>
    <w:rsid w:val="0086784F"/>
    <w:rsid w:val="00870394"/>
    <w:rsid w:val="008704C7"/>
    <w:rsid w:val="0087073B"/>
    <w:rsid w:val="00872207"/>
    <w:rsid w:val="00873C19"/>
    <w:rsid w:val="008765D6"/>
    <w:rsid w:val="008767DC"/>
    <w:rsid w:val="00876D96"/>
    <w:rsid w:val="008770D4"/>
    <w:rsid w:val="0088127F"/>
    <w:rsid w:val="008815EF"/>
    <w:rsid w:val="0088203A"/>
    <w:rsid w:val="00882665"/>
    <w:rsid w:val="0088370E"/>
    <w:rsid w:val="00883C50"/>
    <w:rsid w:val="00885273"/>
    <w:rsid w:val="00885886"/>
    <w:rsid w:val="008859EE"/>
    <w:rsid w:val="00885F2C"/>
    <w:rsid w:val="00886386"/>
    <w:rsid w:val="0088701C"/>
    <w:rsid w:val="00887A24"/>
    <w:rsid w:val="00892AA5"/>
    <w:rsid w:val="0089471C"/>
    <w:rsid w:val="0089499B"/>
    <w:rsid w:val="00894ACA"/>
    <w:rsid w:val="00894EC5"/>
    <w:rsid w:val="00895C0D"/>
    <w:rsid w:val="00896653"/>
    <w:rsid w:val="00896658"/>
    <w:rsid w:val="008967B5"/>
    <w:rsid w:val="008A03AC"/>
    <w:rsid w:val="008A345A"/>
    <w:rsid w:val="008A3DB9"/>
    <w:rsid w:val="008A4667"/>
    <w:rsid w:val="008A519E"/>
    <w:rsid w:val="008A5C1F"/>
    <w:rsid w:val="008A5FCB"/>
    <w:rsid w:val="008A61B2"/>
    <w:rsid w:val="008A66DA"/>
    <w:rsid w:val="008A6A5C"/>
    <w:rsid w:val="008A7316"/>
    <w:rsid w:val="008B100E"/>
    <w:rsid w:val="008B15DD"/>
    <w:rsid w:val="008B163F"/>
    <w:rsid w:val="008B3A88"/>
    <w:rsid w:val="008B500A"/>
    <w:rsid w:val="008B7135"/>
    <w:rsid w:val="008C0CC5"/>
    <w:rsid w:val="008C1610"/>
    <w:rsid w:val="008C1B85"/>
    <w:rsid w:val="008C2D76"/>
    <w:rsid w:val="008C2F1E"/>
    <w:rsid w:val="008C30E5"/>
    <w:rsid w:val="008C3B5B"/>
    <w:rsid w:val="008C409F"/>
    <w:rsid w:val="008C5DF7"/>
    <w:rsid w:val="008C602D"/>
    <w:rsid w:val="008C6BCC"/>
    <w:rsid w:val="008C6F57"/>
    <w:rsid w:val="008C7966"/>
    <w:rsid w:val="008D098D"/>
    <w:rsid w:val="008D135A"/>
    <w:rsid w:val="008D2205"/>
    <w:rsid w:val="008D2331"/>
    <w:rsid w:val="008D36CD"/>
    <w:rsid w:val="008D4380"/>
    <w:rsid w:val="008D48D1"/>
    <w:rsid w:val="008D6BE8"/>
    <w:rsid w:val="008E0215"/>
    <w:rsid w:val="008E0FF6"/>
    <w:rsid w:val="008E4008"/>
    <w:rsid w:val="008E591E"/>
    <w:rsid w:val="008E6011"/>
    <w:rsid w:val="008E623A"/>
    <w:rsid w:val="008E79D6"/>
    <w:rsid w:val="008F2C49"/>
    <w:rsid w:val="008F2F99"/>
    <w:rsid w:val="008F36F0"/>
    <w:rsid w:val="008F65F7"/>
    <w:rsid w:val="008F723F"/>
    <w:rsid w:val="008F7CFF"/>
    <w:rsid w:val="008F7ED1"/>
    <w:rsid w:val="00901C8D"/>
    <w:rsid w:val="00903B5A"/>
    <w:rsid w:val="0090485D"/>
    <w:rsid w:val="00904A4D"/>
    <w:rsid w:val="00905EE9"/>
    <w:rsid w:val="009065F4"/>
    <w:rsid w:val="009075A7"/>
    <w:rsid w:val="00907AB6"/>
    <w:rsid w:val="00910FBA"/>
    <w:rsid w:val="00911276"/>
    <w:rsid w:val="00911D39"/>
    <w:rsid w:val="00912B9F"/>
    <w:rsid w:val="00914545"/>
    <w:rsid w:val="0091520F"/>
    <w:rsid w:val="00916E65"/>
    <w:rsid w:val="00917C0F"/>
    <w:rsid w:val="0092040E"/>
    <w:rsid w:val="00920C6C"/>
    <w:rsid w:val="00921C6D"/>
    <w:rsid w:val="009227D9"/>
    <w:rsid w:val="00923C44"/>
    <w:rsid w:val="00927791"/>
    <w:rsid w:val="00930607"/>
    <w:rsid w:val="00930D0A"/>
    <w:rsid w:val="009317B9"/>
    <w:rsid w:val="009329BA"/>
    <w:rsid w:val="00932AD4"/>
    <w:rsid w:val="0093304D"/>
    <w:rsid w:val="00936939"/>
    <w:rsid w:val="0094053B"/>
    <w:rsid w:val="00941BA8"/>
    <w:rsid w:val="00942040"/>
    <w:rsid w:val="00942C9F"/>
    <w:rsid w:val="00944D62"/>
    <w:rsid w:val="00945349"/>
    <w:rsid w:val="00945631"/>
    <w:rsid w:val="00945E15"/>
    <w:rsid w:val="00947549"/>
    <w:rsid w:val="009512E7"/>
    <w:rsid w:val="00952E25"/>
    <w:rsid w:val="00954967"/>
    <w:rsid w:val="0095793C"/>
    <w:rsid w:val="0096111E"/>
    <w:rsid w:val="00961125"/>
    <w:rsid w:val="00963362"/>
    <w:rsid w:val="00963BD1"/>
    <w:rsid w:val="00966B1F"/>
    <w:rsid w:val="0097116E"/>
    <w:rsid w:val="0097179F"/>
    <w:rsid w:val="00974518"/>
    <w:rsid w:val="00976C13"/>
    <w:rsid w:val="00977176"/>
    <w:rsid w:val="00977658"/>
    <w:rsid w:val="00980247"/>
    <w:rsid w:val="00980FE0"/>
    <w:rsid w:val="00981094"/>
    <w:rsid w:val="00981134"/>
    <w:rsid w:val="00984F36"/>
    <w:rsid w:val="0098712D"/>
    <w:rsid w:val="0098793C"/>
    <w:rsid w:val="009902E6"/>
    <w:rsid w:val="00990C3B"/>
    <w:rsid w:val="009928B7"/>
    <w:rsid w:val="00992C06"/>
    <w:rsid w:val="00992FCF"/>
    <w:rsid w:val="0099321A"/>
    <w:rsid w:val="00995EB6"/>
    <w:rsid w:val="009960B7"/>
    <w:rsid w:val="0099635E"/>
    <w:rsid w:val="009972FE"/>
    <w:rsid w:val="009A0CAE"/>
    <w:rsid w:val="009A2A3F"/>
    <w:rsid w:val="009A2EFA"/>
    <w:rsid w:val="009A5B8B"/>
    <w:rsid w:val="009A5DAB"/>
    <w:rsid w:val="009A76DA"/>
    <w:rsid w:val="009B3A8F"/>
    <w:rsid w:val="009B536C"/>
    <w:rsid w:val="009B5783"/>
    <w:rsid w:val="009B6496"/>
    <w:rsid w:val="009B72AF"/>
    <w:rsid w:val="009C01DA"/>
    <w:rsid w:val="009C1528"/>
    <w:rsid w:val="009C20CC"/>
    <w:rsid w:val="009C3558"/>
    <w:rsid w:val="009C4D6E"/>
    <w:rsid w:val="009C532A"/>
    <w:rsid w:val="009C562E"/>
    <w:rsid w:val="009C60AA"/>
    <w:rsid w:val="009C6BC8"/>
    <w:rsid w:val="009C71C1"/>
    <w:rsid w:val="009C7531"/>
    <w:rsid w:val="009D220C"/>
    <w:rsid w:val="009D221F"/>
    <w:rsid w:val="009E0575"/>
    <w:rsid w:val="009E09F0"/>
    <w:rsid w:val="009E19E8"/>
    <w:rsid w:val="009E377C"/>
    <w:rsid w:val="009E411C"/>
    <w:rsid w:val="009E458A"/>
    <w:rsid w:val="009E51E2"/>
    <w:rsid w:val="009E5316"/>
    <w:rsid w:val="009E54C7"/>
    <w:rsid w:val="009E5D7C"/>
    <w:rsid w:val="009E5DFC"/>
    <w:rsid w:val="009F136A"/>
    <w:rsid w:val="009F1789"/>
    <w:rsid w:val="009F2E3B"/>
    <w:rsid w:val="009F36D2"/>
    <w:rsid w:val="009F3B6B"/>
    <w:rsid w:val="009F4504"/>
    <w:rsid w:val="009F502C"/>
    <w:rsid w:val="009F603B"/>
    <w:rsid w:val="009F6987"/>
    <w:rsid w:val="009F720F"/>
    <w:rsid w:val="00A010E7"/>
    <w:rsid w:val="00A01759"/>
    <w:rsid w:val="00A01A17"/>
    <w:rsid w:val="00A01A60"/>
    <w:rsid w:val="00A05962"/>
    <w:rsid w:val="00A05BB7"/>
    <w:rsid w:val="00A06788"/>
    <w:rsid w:val="00A06EC2"/>
    <w:rsid w:val="00A076F9"/>
    <w:rsid w:val="00A07997"/>
    <w:rsid w:val="00A07F87"/>
    <w:rsid w:val="00A1169C"/>
    <w:rsid w:val="00A14D9A"/>
    <w:rsid w:val="00A14EFD"/>
    <w:rsid w:val="00A16237"/>
    <w:rsid w:val="00A206ED"/>
    <w:rsid w:val="00A20806"/>
    <w:rsid w:val="00A20C7F"/>
    <w:rsid w:val="00A21E30"/>
    <w:rsid w:val="00A222F9"/>
    <w:rsid w:val="00A22DBA"/>
    <w:rsid w:val="00A23548"/>
    <w:rsid w:val="00A2389A"/>
    <w:rsid w:val="00A25BFF"/>
    <w:rsid w:val="00A27522"/>
    <w:rsid w:val="00A301C4"/>
    <w:rsid w:val="00A3282E"/>
    <w:rsid w:val="00A32F9B"/>
    <w:rsid w:val="00A34D0C"/>
    <w:rsid w:val="00A34D76"/>
    <w:rsid w:val="00A365D0"/>
    <w:rsid w:val="00A402B8"/>
    <w:rsid w:val="00A43F91"/>
    <w:rsid w:val="00A443A6"/>
    <w:rsid w:val="00A45A1A"/>
    <w:rsid w:val="00A45E61"/>
    <w:rsid w:val="00A46688"/>
    <w:rsid w:val="00A468E8"/>
    <w:rsid w:val="00A47F32"/>
    <w:rsid w:val="00A50E98"/>
    <w:rsid w:val="00A53220"/>
    <w:rsid w:val="00A538E6"/>
    <w:rsid w:val="00A56102"/>
    <w:rsid w:val="00A56800"/>
    <w:rsid w:val="00A56D7E"/>
    <w:rsid w:val="00A57404"/>
    <w:rsid w:val="00A575BD"/>
    <w:rsid w:val="00A60EEC"/>
    <w:rsid w:val="00A621F8"/>
    <w:rsid w:val="00A63732"/>
    <w:rsid w:val="00A65BD9"/>
    <w:rsid w:val="00A66718"/>
    <w:rsid w:val="00A67A61"/>
    <w:rsid w:val="00A70B31"/>
    <w:rsid w:val="00A718BF"/>
    <w:rsid w:val="00A73A74"/>
    <w:rsid w:val="00A759FE"/>
    <w:rsid w:val="00A76D67"/>
    <w:rsid w:val="00A771E2"/>
    <w:rsid w:val="00A776B8"/>
    <w:rsid w:val="00A80228"/>
    <w:rsid w:val="00A81EB6"/>
    <w:rsid w:val="00A837FE"/>
    <w:rsid w:val="00A839E3"/>
    <w:rsid w:val="00A85357"/>
    <w:rsid w:val="00A85B4A"/>
    <w:rsid w:val="00A85DA1"/>
    <w:rsid w:val="00A877B3"/>
    <w:rsid w:val="00A902DD"/>
    <w:rsid w:val="00A91617"/>
    <w:rsid w:val="00A94919"/>
    <w:rsid w:val="00A9504E"/>
    <w:rsid w:val="00A96FA8"/>
    <w:rsid w:val="00A9770A"/>
    <w:rsid w:val="00AA0A43"/>
    <w:rsid w:val="00AA0DD3"/>
    <w:rsid w:val="00AA1C07"/>
    <w:rsid w:val="00AA3138"/>
    <w:rsid w:val="00AA3688"/>
    <w:rsid w:val="00AA513C"/>
    <w:rsid w:val="00AA5887"/>
    <w:rsid w:val="00AA76F4"/>
    <w:rsid w:val="00AB19F8"/>
    <w:rsid w:val="00AB1E30"/>
    <w:rsid w:val="00AB2A61"/>
    <w:rsid w:val="00AB334E"/>
    <w:rsid w:val="00AB355D"/>
    <w:rsid w:val="00AB3A12"/>
    <w:rsid w:val="00AB4F86"/>
    <w:rsid w:val="00AB5654"/>
    <w:rsid w:val="00AB5760"/>
    <w:rsid w:val="00AB5A8D"/>
    <w:rsid w:val="00AB6642"/>
    <w:rsid w:val="00AC09B7"/>
    <w:rsid w:val="00AC21E9"/>
    <w:rsid w:val="00AC2EFE"/>
    <w:rsid w:val="00AC3930"/>
    <w:rsid w:val="00AC3AB1"/>
    <w:rsid w:val="00AC568B"/>
    <w:rsid w:val="00AC639C"/>
    <w:rsid w:val="00AC68C6"/>
    <w:rsid w:val="00AC79C1"/>
    <w:rsid w:val="00AC7CA4"/>
    <w:rsid w:val="00AD1495"/>
    <w:rsid w:val="00AD1557"/>
    <w:rsid w:val="00AD2208"/>
    <w:rsid w:val="00AD2AE1"/>
    <w:rsid w:val="00AD4A64"/>
    <w:rsid w:val="00AD573C"/>
    <w:rsid w:val="00AD598F"/>
    <w:rsid w:val="00AD6D09"/>
    <w:rsid w:val="00AD7A57"/>
    <w:rsid w:val="00AE07DA"/>
    <w:rsid w:val="00AE098E"/>
    <w:rsid w:val="00AE0BBA"/>
    <w:rsid w:val="00AE2291"/>
    <w:rsid w:val="00AE25C8"/>
    <w:rsid w:val="00AE4113"/>
    <w:rsid w:val="00AE4380"/>
    <w:rsid w:val="00AE46AC"/>
    <w:rsid w:val="00AE5525"/>
    <w:rsid w:val="00AE6381"/>
    <w:rsid w:val="00AE656D"/>
    <w:rsid w:val="00AE656F"/>
    <w:rsid w:val="00AE6A30"/>
    <w:rsid w:val="00AE7D78"/>
    <w:rsid w:val="00AE7F38"/>
    <w:rsid w:val="00AF0F81"/>
    <w:rsid w:val="00AF2643"/>
    <w:rsid w:val="00AF41F6"/>
    <w:rsid w:val="00AF438E"/>
    <w:rsid w:val="00AF45CA"/>
    <w:rsid w:val="00AF4DB0"/>
    <w:rsid w:val="00AF5CEE"/>
    <w:rsid w:val="00AF6D40"/>
    <w:rsid w:val="00AF70B6"/>
    <w:rsid w:val="00AF7506"/>
    <w:rsid w:val="00AF7E16"/>
    <w:rsid w:val="00B007DD"/>
    <w:rsid w:val="00B0098A"/>
    <w:rsid w:val="00B009A3"/>
    <w:rsid w:val="00B01016"/>
    <w:rsid w:val="00B0146E"/>
    <w:rsid w:val="00B02160"/>
    <w:rsid w:val="00B027CB"/>
    <w:rsid w:val="00B0352B"/>
    <w:rsid w:val="00B05408"/>
    <w:rsid w:val="00B0649D"/>
    <w:rsid w:val="00B073E6"/>
    <w:rsid w:val="00B074F8"/>
    <w:rsid w:val="00B07A4B"/>
    <w:rsid w:val="00B07E07"/>
    <w:rsid w:val="00B121B0"/>
    <w:rsid w:val="00B125E4"/>
    <w:rsid w:val="00B16F86"/>
    <w:rsid w:val="00B17FAB"/>
    <w:rsid w:val="00B22C5F"/>
    <w:rsid w:val="00B23687"/>
    <w:rsid w:val="00B238C2"/>
    <w:rsid w:val="00B25621"/>
    <w:rsid w:val="00B25710"/>
    <w:rsid w:val="00B27B03"/>
    <w:rsid w:val="00B30E3D"/>
    <w:rsid w:val="00B31B62"/>
    <w:rsid w:val="00B32C08"/>
    <w:rsid w:val="00B33711"/>
    <w:rsid w:val="00B34889"/>
    <w:rsid w:val="00B372D5"/>
    <w:rsid w:val="00B37550"/>
    <w:rsid w:val="00B37C16"/>
    <w:rsid w:val="00B402C6"/>
    <w:rsid w:val="00B41DC1"/>
    <w:rsid w:val="00B43D4C"/>
    <w:rsid w:val="00B44A00"/>
    <w:rsid w:val="00B4566C"/>
    <w:rsid w:val="00B46EC7"/>
    <w:rsid w:val="00B472F1"/>
    <w:rsid w:val="00B47CAE"/>
    <w:rsid w:val="00B5074A"/>
    <w:rsid w:val="00B5084C"/>
    <w:rsid w:val="00B50A91"/>
    <w:rsid w:val="00B51761"/>
    <w:rsid w:val="00B52022"/>
    <w:rsid w:val="00B52187"/>
    <w:rsid w:val="00B54691"/>
    <w:rsid w:val="00B60CCD"/>
    <w:rsid w:val="00B62854"/>
    <w:rsid w:val="00B62EF1"/>
    <w:rsid w:val="00B63DDD"/>
    <w:rsid w:val="00B640CC"/>
    <w:rsid w:val="00B6436A"/>
    <w:rsid w:val="00B645B6"/>
    <w:rsid w:val="00B64B2F"/>
    <w:rsid w:val="00B64C61"/>
    <w:rsid w:val="00B667BF"/>
    <w:rsid w:val="00B6797D"/>
    <w:rsid w:val="00B7119F"/>
    <w:rsid w:val="00B735B8"/>
    <w:rsid w:val="00B74858"/>
    <w:rsid w:val="00B752EB"/>
    <w:rsid w:val="00B77BE4"/>
    <w:rsid w:val="00B812BE"/>
    <w:rsid w:val="00B82251"/>
    <w:rsid w:val="00B83864"/>
    <w:rsid w:val="00B848B2"/>
    <w:rsid w:val="00B86608"/>
    <w:rsid w:val="00B87847"/>
    <w:rsid w:val="00B90477"/>
    <w:rsid w:val="00B92AA5"/>
    <w:rsid w:val="00B955FE"/>
    <w:rsid w:val="00B96744"/>
    <w:rsid w:val="00BA0B9F"/>
    <w:rsid w:val="00BA37E8"/>
    <w:rsid w:val="00BA4091"/>
    <w:rsid w:val="00BA6419"/>
    <w:rsid w:val="00BA6550"/>
    <w:rsid w:val="00BA6EB6"/>
    <w:rsid w:val="00BB2693"/>
    <w:rsid w:val="00BB32E7"/>
    <w:rsid w:val="00BB35C6"/>
    <w:rsid w:val="00BB3642"/>
    <w:rsid w:val="00BB66AB"/>
    <w:rsid w:val="00BB6F82"/>
    <w:rsid w:val="00BB7A94"/>
    <w:rsid w:val="00BC0AD6"/>
    <w:rsid w:val="00BC0ADD"/>
    <w:rsid w:val="00BC0C26"/>
    <w:rsid w:val="00BC122E"/>
    <w:rsid w:val="00BC1DB7"/>
    <w:rsid w:val="00BC2BE0"/>
    <w:rsid w:val="00BC327C"/>
    <w:rsid w:val="00BC3584"/>
    <w:rsid w:val="00BC411B"/>
    <w:rsid w:val="00BD027D"/>
    <w:rsid w:val="00BD72F0"/>
    <w:rsid w:val="00BD7BDE"/>
    <w:rsid w:val="00BE0C68"/>
    <w:rsid w:val="00BE1B9D"/>
    <w:rsid w:val="00BE4452"/>
    <w:rsid w:val="00BE4998"/>
    <w:rsid w:val="00BE4ED6"/>
    <w:rsid w:val="00BE539A"/>
    <w:rsid w:val="00BE54F3"/>
    <w:rsid w:val="00BE5F67"/>
    <w:rsid w:val="00BE6F1E"/>
    <w:rsid w:val="00BE7920"/>
    <w:rsid w:val="00BF0374"/>
    <w:rsid w:val="00BF0842"/>
    <w:rsid w:val="00BF09A2"/>
    <w:rsid w:val="00BF1E46"/>
    <w:rsid w:val="00BF2CD1"/>
    <w:rsid w:val="00BF4B6A"/>
    <w:rsid w:val="00BF5135"/>
    <w:rsid w:val="00BF5671"/>
    <w:rsid w:val="00C009F5"/>
    <w:rsid w:val="00C01129"/>
    <w:rsid w:val="00C019E9"/>
    <w:rsid w:val="00C01FEE"/>
    <w:rsid w:val="00C02239"/>
    <w:rsid w:val="00C022E1"/>
    <w:rsid w:val="00C0398D"/>
    <w:rsid w:val="00C0430D"/>
    <w:rsid w:val="00C04471"/>
    <w:rsid w:val="00C1042B"/>
    <w:rsid w:val="00C11E4C"/>
    <w:rsid w:val="00C148D7"/>
    <w:rsid w:val="00C14954"/>
    <w:rsid w:val="00C14C89"/>
    <w:rsid w:val="00C15A81"/>
    <w:rsid w:val="00C176C7"/>
    <w:rsid w:val="00C179B0"/>
    <w:rsid w:val="00C17F68"/>
    <w:rsid w:val="00C20CA6"/>
    <w:rsid w:val="00C20E31"/>
    <w:rsid w:val="00C226F9"/>
    <w:rsid w:val="00C23398"/>
    <w:rsid w:val="00C23B23"/>
    <w:rsid w:val="00C26C22"/>
    <w:rsid w:val="00C277A0"/>
    <w:rsid w:val="00C27B03"/>
    <w:rsid w:val="00C3089B"/>
    <w:rsid w:val="00C33815"/>
    <w:rsid w:val="00C34B40"/>
    <w:rsid w:val="00C34F96"/>
    <w:rsid w:val="00C35836"/>
    <w:rsid w:val="00C37CEB"/>
    <w:rsid w:val="00C37E5B"/>
    <w:rsid w:val="00C41CD3"/>
    <w:rsid w:val="00C43438"/>
    <w:rsid w:val="00C437B3"/>
    <w:rsid w:val="00C44264"/>
    <w:rsid w:val="00C45C9C"/>
    <w:rsid w:val="00C46251"/>
    <w:rsid w:val="00C4790F"/>
    <w:rsid w:val="00C47FC0"/>
    <w:rsid w:val="00C50283"/>
    <w:rsid w:val="00C528CC"/>
    <w:rsid w:val="00C53ABD"/>
    <w:rsid w:val="00C53AD3"/>
    <w:rsid w:val="00C53C94"/>
    <w:rsid w:val="00C55F64"/>
    <w:rsid w:val="00C5601F"/>
    <w:rsid w:val="00C57397"/>
    <w:rsid w:val="00C57741"/>
    <w:rsid w:val="00C6074F"/>
    <w:rsid w:val="00C62568"/>
    <w:rsid w:val="00C64143"/>
    <w:rsid w:val="00C6434D"/>
    <w:rsid w:val="00C652E5"/>
    <w:rsid w:val="00C65506"/>
    <w:rsid w:val="00C6574D"/>
    <w:rsid w:val="00C67446"/>
    <w:rsid w:val="00C675CE"/>
    <w:rsid w:val="00C70EBA"/>
    <w:rsid w:val="00C71680"/>
    <w:rsid w:val="00C722E5"/>
    <w:rsid w:val="00C72B6C"/>
    <w:rsid w:val="00C752BC"/>
    <w:rsid w:val="00C7697F"/>
    <w:rsid w:val="00C76AD3"/>
    <w:rsid w:val="00C8136C"/>
    <w:rsid w:val="00C82FFA"/>
    <w:rsid w:val="00C83DCF"/>
    <w:rsid w:val="00C85521"/>
    <w:rsid w:val="00C863EE"/>
    <w:rsid w:val="00C868D4"/>
    <w:rsid w:val="00C91E41"/>
    <w:rsid w:val="00C92646"/>
    <w:rsid w:val="00C9316A"/>
    <w:rsid w:val="00C93B5E"/>
    <w:rsid w:val="00C95667"/>
    <w:rsid w:val="00C95D8D"/>
    <w:rsid w:val="00C97C7F"/>
    <w:rsid w:val="00CA2283"/>
    <w:rsid w:val="00CA2885"/>
    <w:rsid w:val="00CA2AEF"/>
    <w:rsid w:val="00CA325F"/>
    <w:rsid w:val="00CA33B8"/>
    <w:rsid w:val="00CA3DC5"/>
    <w:rsid w:val="00CA73FA"/>
    <w:rsid w:val="00CB1582"/>
    <w:rsid w:val="00CB1820"/>
    <w:rsid w:val="00CB22B7"/>
    <w:rsid w:val="00CB25CF"/>
    <w:rsid w:val="00CB3280"/>
    <w:rsid w:val="00CB5032"/>
    <w:rsid w:val="00CB5D4F"/>
    <w:rsid w:val="00CB6000"/>
    <w:rsid w:val="00CB6333"/>
    <w:rsid w:val="00CB7DF6"/>
    <w:rsid w:val="00CC210B"/>
    <w:rsid w:val="00CC303F"/>
    <w:rsid w:val="00CC3C96"/>
    <w:rsid w:val="00CC5F77"/>
    <w:rsid w:val="00CC6360"/>
    <w:rsid w:val="00CC6777"/>
    <w:rsid w:val="00CC771F"/>
    <w:rsid w:val="00CD077C"/>
    <w:rsid w:val="00CD2A3D"/>
    <w:rsid w:val="00CD342A"/>
    <w:rsid w:val="00CD3940"/>
    <w:rsid w:val="00CD4C22"/>
    <w:rsid w:val="00CD54A2"/>
    <w:rsid w:val="00CD6B6B"/>
    <w:rsid w:val="00CE2761"/>
    <w:rsid w:val="00CE54CA"/>
    <w:rsid w:val="00CE6A0B"/>
    <w:rsid w:val="00CF0950"/>
    <w:rsid w:val="00CF3B07"/>
    <w:rsid w:val="00CF4C13"/>
    <w:rsid w:val="00CF4F45"/>
    <w:rsid w:val="00CF6384"/>
    <w:rsid w:val="00CF6902"/>
    <w:rsid w:val="00D03347"/>
    <w:rsid w:val="00D040F9"/>
    <w:rsid w:val="00D05A45"/>
    <w:rsid w:val="00D06E88"/>
    <w:rsid w:val="00D07116"/>
    <w:rsid w:val="00D0760A"/>
    <w:rsid w:val="00D07E30"/>
    <w:rsid w:val="00D10FFC"/>
    <w:rsid w:val="00D11F90"/>
    <w:rsid w:val="00D12840"/>
    <w:rsid w:val="00D13527"/>
    <w:rsid w:val="00D146EF"/>
    <w:rsid w:val="00D15346"/>
    <w:rsid w:val="00D15E4E"/>
    <w:rsid w:val="00D172EB"/>
    <w:rsid w:val="00D17314"/>
    <w:rsid w:val="00D17601"/>
    <w:rsid w:val="00D20D6E"/>
    <w:rsid w:val="00D21300"/>
    <w:rsid w:val="00D22352"/>
    <w:rsid w:val="00D22F7B"/>
    <w:rsid w:val="00D230DC"/>
    <w:rsid w:val="00D233C1"/>
    <w:rsid w:val="00D23E44"/>
    <w:rsid w:val="00D24645"/>
    <w:rsid w:val="00D2476C"/>
    <w:rsid w:val="00D26C9A"/>
    <w:rsid w:val="00D303E8"/>
    <w:rsid w:val="00D31BA6"/>
    <w:rsid w:val="00D335E1"/>
    <w:rsid w:val="00D34FFF"/>
    <w:rsid w:val="00D3545E"/>
    <w:rsid w:val="00D35FEA"/>
    <w:rsid w:val="00D366E4"/>
    <w:rsid w:val="00D423AC"/>
    <w:rsid w:val="00D423D7"/>
    <w:rsid w:val="00D43E3D"/>
    <w:rsid w:val="00D44DC6"/>
    <w:rsid w:val="00D45787"/>
    <w:rsid w:val="00D45F90"/>
    <w:rsid w:val="00D47426"/>
    <w:rsid w:val="00D47DFD"/>
    <w:rsid w:val="00D514E5"/>
    <w:rsid w:val="00D53589"/>
    <w:rsid w:val="00D539D5"/>
    <w:rsid w:val="00D544D5"/>
    <w:rsid w:val="00D602DE"/>
    <w:rsid w:val="00D6096A"/>
    <w:rsid w:val="00D60ABE"/>
    <w:rsid w:val="00D60CE5"/>
    <w:rsid w:val="00D60E65"/>
    <w:rsid w:val="00D61811"/>
    <w:rsid w:val="00D6315D"/>
    <w:rsid w:val="00D63F9F"/>
    <w:rsid w:val="00D646D3"/>
    <w:rsid w:val="00D662F2"/>
    <w:rsid w:val="00D665F1"/>
    <w:rsid w:val="00D6711E"/>
    <w:rsid w:val="00D678D1"/>
    <w:rsid w:val="00D67F0B"/>
    <w:rsid w:val="00D70D3D"/>
    <w:rsid w:val="00D73B08"/>
    <w:rsid w:val="00D77FE8"/>
    <w:rsid w:val="00D80127"/>
    <w:rsid w:val="00D801ED"/>
    <w:rsid w:val="00D805D1"/>
    <w:rsid w:val="00D82125"/>
    <w:rsid w:val="00D82249"/>
    <w:rsid w:val="00D82FD7"/>
    <w:rsid w:val="00D84FA6"/>
    <w:rsid w:val="00D85C5F"/>
    <w:rsid w:val="00D85ECC"/>
    <w:rsid w:val="00D864C7"/>
    <w:rsid w:val="00D86EB7"/>
    <w:rsid w:val="00D8792E"/>
    <w:rsid w:val="00D92B5E"/>
    <w:rsid w:val="00D93388"/>
    <w:rsid w:val="00D945AF"/>
    <w:rsid w:val="00D94AA8"/>
    <w:rsid w:val="00D95457"/>
    <w:rsid w:val="00D96E6B"/>
    <w:rsid w:val="00D97A7B"/>
    <w:rsid w:val="00DA1259"/>
    <w:rsid w:val="00DA1AAD"/>
    <w:rsid w:val="00DA1E08"/>
    <w:rsid w:val="00DA214A"/>
    <w:rsid w:val="00DA4A52"/>
    <w:rsid w:val="00DA4FBC"/>
    <w:rsid w:val="00DA7457"/>
    <w:rsid w:val="00DB1083"/>
    <w:rsid w:val="00DB2995"/>
    <w:rsid w:val="00DB2ED0"/>
    <w:rsid w:val="00DB38F0"/>
    <w:rsid w:val="00DB3EE8"/>
    <w:rsid w:val="00DB4701"/>
    <w:rsid w:val="00DB59C0"/>
    <w:rsid w:val="00DB6B97"/>
    <w:rsid w:val="00DC0146"/>
    <w:rsid w:val="00DC03EE"/>
    <w:rsid w:val="00DC0D79"/>
    <w:rsid w:val="00DC2621"/>
    <w:rsid w:val="00DC36B8"/>
    <w:rsid w:val="00DC49C4"/>
    <w:rsid w:val="00DC53F2"/>
    <w:rsid w:val="00DC5A3E"/>
    <w:rsid w:val="00DC6B01"/>
    <w:rsid w:val="00DC7797"/>
    <w:rsid w:val="00DC7F67"/>
    <w:rsid w:val="00DD0786"/>
    <w:rsid w:val="00DD078A"/>
    <w:rsid w:val="00DD1737"/>
    <w:rsid w:val="00DD18D9"/>
    <w:rsid w:val="00DD34E1"/>
    <w:rsid w:val="00DD3B9B"/>
    <w:rsid w:val="00DD4A81"/>
    <w:rsid w:val="00DD6349"/>
    <w:rsid w:val="00DD7667"/>
    <w:rsid w:val="00DD777C"/>
    <w:rsid w:val="00DE0D2F"/>
    <w:rsid w:val="00DE0D75"/>
    <w:rsid w:val="00DE0EDC"/>
    <w:rsid w:val="00DE19EB"/>
    <w:rsid w:val="00DE3908"/>
    <w:rsid w:val="00DE563B"/>
    <w:rsid w:val="00DE5B0F"/>
    <w:rsid w:val="00DE7E1C"/>
    <w:rsid w:val="00DF0FE3"/>
    <w:rsid w:val="00DF2CB1"/>
    <w:rsid w:val="00DF69F9"/>
    <w:rsid w:val="00DF72F8"/>
    <w:rsid w:val="00DF78C9"/>
    <w:rsid w:val="00E00A05"/>
    <w:rsid w:val="00E02B50"/>
    <w:rsid w:val="00E038DB"/>
    <w:rsid w:val="00E03C27"/>
    <w:rsid w:val="00E04429"/>
    <w:rsid w:val="00E04B3F"/>
    <w:rsid w:val="00E060C1"/>
    <w:rsid w:val="00E06B1E"/>
    <w:rsid w:val="00E06F68"/>
    <w:rsid w:val="00E07787"/>
    <w:rsid w:val="00E07E4A"/>
    <w:rsid w:val="00E10AAF"/>
    <w:rsid w:val="00E147D5"/>
    <w:rsid w:val="00E14C0E"/>
    <w:rsid w:val="00E15F3A"/>
    <w:rsid w:val="00E16642"/>
    <w:rsid w:val="00E167E5"/>
    <w:rsid w:val="00E173B0"/>
    <w:rsid w:val="00E1787C"/>
    <w:rsid w:val="00E21118"/>
    <w:rsid w:val="00E217DC"/>
    <w:rsid w:val="00E2249E"/>
    <w:rsid w:val="00E22B76"/>
    <w:rsid w:val="00E234F1"/>
    <w:rsid w:val="00E249F8"/>
    <w:rsid w:val="00E25AF8"/>
    <w:rsid w:val="00E264B4"/>
    <w:rsid w:val="00E26C55"/>
    <w:rsid w:val="00E26F6C"/>
    <w:rsid w:val="00E27B4A"/>
    <w:rsid w:val="00E34CA3"/>
    <w:rsid w:val="00E3514C"/>
    <w:rsid w:val="00E35161"/>
    <w:rsid w:val="00E37D29"/>
    <w:rsid w:val="00E37DA6"/>
    <w:rsid w:val="00E37FE3"/>
    <w:rsid w:val="00E41065"/>
    <w:rsid w:val="00E43AAA"/>
    <w:rsid w:val="00E44C62"/>
    <w:rsid w:val="00E47206"/>
    <w:rsid w:val="00E50634"/>
    <w:rsid w:val="00E510FB"/>
    <w:rsid w:val="00E517A2"/>
    <w:rsid w:val="00E520D0"/>
    <w:rsid w:val="00E54EF2"/>
    <w:rsid w:val="00E555BF"/>
    <w:rsid w:val="00E60DC5"/>
    <w:rsid w:val="00E615CD"/>
    <w:rsid w:val="00E63559"/>
    <w:rsid w:val="00E66CD1"/>
    <w:rsid w:val="00E67180"/>
    <w:rsid w:val="00E676E2"/>
    <w:rsid w:val="00E70226"/>
    <w:rsid w:val="00E705BA"/>
    <w:rsid w:val="00E74FA5"/>
    <w:rsid w:val="00E756A8"/>
    <w:rsid w:val="00E76032"/>
    <w:rsid w:val="00E76241"/>
    <w:rsid w:val="00E764B7"/>
    <w:rsid w:val="00E768F2"/>
    <w:rsid w:val="00E77787"/>
    <w:rsid w:val="00E77E9E"/>
    <w:rsid w:val="00E81DED"/>
    <w:rsid w:val="00E82316"/>
    <w:rsid w:val="00E825B3"/>
    <w:rsid w:val="00E83231"/>
    <w:rsid w:val="00E849DE"/>
    <w:rsid w:val="00E85948"/>
    <w:rsid w:val="00E86116"/>
    <w:rsid w:val="00E86536"/>
    <w:rsid w:val="00E86D79"/>
    <w:rsid w:val="00E9167E"/>
    <w:rsid w:val="00E916C8"/>
    <w:rsid w:val="00E922A4"/>
    <w:rsid w:val="00E925CE"/>
    <w:rsid w:val="00E93F3F"/>
    <w:rsid w:val="00E94FA6"/>
    <w:rsid w:val="00E973BE"/>
    <w:rsid w:val="00E97C30"/>
    <w:rsid w:val="00EA05D9"/>
    <w:rsid w:val="00EA1104"/>
    <w:rsid w:val="00EA2DD4"/>
    <w:rsid w:val="00EA5257"/>
    <w:rsid w:val="00EA59B6"/>
    <w:rsid w:val="00EA5BA3"/>
    <w:rsid w:val="00EA62E2"/>
    <w:rsid w:val="00EA6397"/>
    <w:rsid w:val="00EB00B1"/>
    <w:rsid w:val="00EB0433"/>
    <w:rsid w:val="00EB059A"/>
    <w:rsid w:val="00EB1B8B"/>
    <w:rsid w:val="00EB25C4"/>
    <w:rsid w:val="00EB3C54"/>
    <w:rsid w:val="00EB4951"/>
    <w:rsid w:val="00EC098E"/>
    <w:rsid w:val="00EC0BCB"/>
    <w:rsid w:val="00EC0E71"/>
    <w:rsid w:val="00EC1025"/>
    <w:rsid w:val="00EC1600"/>
    <w:rsid w:val="00ED613A"/>
    <w:rsid w:val="00ED6CFA"/>
    <w:rsid w:val="00ED6D53"/>
    <w:rsid w:val="00ED6E8E"/>
    <w:rsid w:val="00EE1855"/>
    <w:rsid w:val="00EE2B68"/>
    <w:rsid w:val="00EE3987"/>
    <w:rsid w:val="00EE5E76"/>
    <w:rsid w:val="00EE6D70"/>
    <w:rsid w:val="00EE75A1"/>
    <w:rsid w:val="00EF1386"/>
    <w:rsid w:val="00EF2491"/>
    <w:rsid w:val="00EF256B"/>
    <w:rsid w:val="00EF362A"/>
    <w:rsid w:val="00EF37FD"/>
    <w:rsid w:val="00EF49E4"/>
    <w:rsid w:val="00EF5277"/>
    <w:rsid w:val="00EF5CAD"/>
    <w:rsid w:val="00EF611F"/>
    <w:rsid w:val="00EF6921"/>
    <w:rsid w:val="00EF76E1"/>
    <w:rsid w:val="00EF7724"/>
    <w:rsid w:val="00F01DE4"/>
    <w:rsid w:val="00F025C2"/>
    <w:rsid w:val="00F03A13"/>
    <w:rsid w:val="00F1030E"/>
    <w:rsid w:val="00F10925"/>
    <w:rsid w:val="00F12F6C"/>
    <w:rsid w:val="00F13DAE"/>
    <w:rsid w:val="00F1525C"/>
    <w:rsid w:val="00F157D8"/>
    <w:rsid w:val="00F201AD"/>
    <w:rsid w:val="00F21481"/>
    <w:rsid w:val="00F21791"/>
    <w:rsid w:val="00F21B21"/>
    <w:rsid w:val="00F222BB"/>
    <w:rsid w:val="00F235D9"/>
    <w:rsid w:val="00F2491A"/>
    <w:rsid w:val="00F24EF6"/>
    <w:rsid w:val="00F25477"/>
    <w:rsid w:val="00F254E4"/>
    <w:rsid w:val="00F25535"/>
    <w:rsid w:val="00F25768"/>
    <w:rsid w:val="00F27C42"/>
    <w:rsid w:val="00F31690"/>
    <w:rsid w:val="00F35118"/>
    <w:rsid w:val="00F35D19"/>
    <w:rsid w:val="00F36D66"/>
    <w:rsid w:val="00F40A84"/>
    <w:rsid w:val="00F40D22"/>
    <w:rsid w:val="00F41269"/>
    <w:rsid w:val="00F41319"/>
    <w:rsid w:val="00F44B13"/>
    <w:rsid w:val="00F45BE7"/>
    <w:rsid w:val="00F463D7"/>
    <w:rsid w:val="00F4749D"/>
    <w:rsid w:val="00F50163"/>
    <w:rsid w:val="00F508A0"/>
    <w:rsid w:val="00F510E2"/>
    <w:rsid w:val="00F515F1"/>
    <w:rsid w:val="00F520F8"/>
    <w:rsid w:val="00F5273A"/>
    <w:rsid w:val="00F52D6B"/>
    <w:rsid w:val="00F52E18"/>
    <w:rsid w:val="00F53471"/>
    <w:rsid w:val="00F546FB"/>
    <w:rsid w:val="00F55335"/>
    <w:rsid w:val="00F57D1C"/>
    <w:rsid w:val="00F6086A"/>
    <w:rsid w:val="00F62824"/>
    <w:rsid w:val="00F62D7C"/>
    <w:rsid w:val="00F634C8"/>
    <w:rsid w:val="00F65F24"/>
    <w:rsid w:val="00F67155"/>
    <w:rsid w:val="00F7058F"/>
    <w:rsid w:val="00F70AAD"/>
    <w:rsid w:val="00F70D21"/>
    <w:rsid w:val="00F70FEF"/>
    <w:rsid w:val="00F72A96"/>
    <w:rsid w:val="00F74A12"/>
    <w:rsid w:val="00F74F3A"/>
    <w:rsid w:val="00F74F67"/>
    <w:rsid w:val="00F75C02"/>
    <w:rsid w:val="00F77ECB"/>
    <w:rsid w:val="00F81791"/>
    <w:rsid w:val="00F81E47"/>
    <w:rsid w:val="00F824EF"/>
    <w:rsid w:val="00F83B1C"/>
    <w:rsid w:val="00F856EE"/>
    <w:rsid w:val="00F863C9"/>
    <w:rsid w:val="00F86474"/>
    <w:rsid w:val="00F868B4"/>
    <w:rsid w:val="00F8730A"/>
    <w:rsid w:val="00F9016F"/>
    <w:rsid w:val="00F903C9"/>
    <w:rsid w:val="00F904F1"/>
    <w:rsid w:val="00F9053A"/>
    <w:rsid w:val="00F90601"/>
    <w:rsid w:val="00F948A0"/>
    <w:rsid w:val="00F94EFA"/>
    <w:rsid w:val="00F9626A"/>
    <w:rsid w:val="00F962C9"/>
    <w:rsid w:val="00F97592"/>
    <w:rsid w:val="00FA21C6"/>
    <w:rsid w:val="00FA286D"/>
    <w:rsid w:val="00FA44EE"/>
    <w:rsid w:val="00FA6C92"/>
    <w:rsid w:val="00FA78FD"/>
    <w:rsid w:val="00FB11BE"/>
    <w:rsid w:val="00FB1357"/>
    <w:rsid w:val="00FB1B56"/>
    <w:rsid w:val="00FB1C15"/>
    <w:rsid w:val="00FB4C6F"/>
    <w:rsid w:val="00FB5EBE"/>
    <w:rsid w:val="00FB63EA"/>
    <w:rsid w:val="00FB7FC3"/>
    <w:rsid w:val="00FC2D33"/>
    <w:rsid w:val="00FC5E76"/>
    <w:rsid w:val="00FC5E80"/>
    <w:rsid w:val="00FC69CF"/>
    <w:rsid w:val="00FC6B14"/>
    <w:rsid w:val="00FC7214"/>
    <w:rsid w:val="00FC76B8"/>
    <w:rsid w:val="00FD0B70"/>
    <w:rsid w:val="00FD11B8"/>
    <w:rsid w:val="00FD1440"/>
    <w:rsid w:val="00FD1489"/>
    <w:rsid w:val="00FD17D7"/>
    <w:rsid w:val="00FD2298"/>
    <w:rsid w:val="00FD2DA9"/>
    <w:rsid w:val="00FD59F1"/>
    <w:rsid w:val="00FD6FE2"/>
    <w:rsid w:val="00FD74CB"/>
    <w:rsid w:val="00FD7543"/>
    <w:rsid w:val="00FD7BF5"/>
    <w:rsid w:val="00FE185C"/>
    <w:rsid w:val="00FE381A"/>
    <w:rsid w:val="00FE3C5F"/>
    <w:rsid w:val="00FE401B"/>
    <w:rsid w:val="00FE4705"/>
    <w:rsid w:val="00FE557C"/>
    <w:rsid w:val="00FF03E5"/>
    <w:rsid w:val="00FF12F3"/>
    <w:rsid w:val="00FF4C31"/>
    <w:rsid w:val="00FF4C3A"/>
    <w:rsid w:val="00FF5033"/>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E6C4B5-7876-418D-9C46-30AA78C9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52"/>
    <w:pPr>
      <w:tabs>
        <w:tab w:val="left" w:pos="567"/>
      </w:tabs>
    </w:pPr>
    <w:rPr>
      <w:sz w:val="22"/>
      <w:lang w:val="en-GB" w:eastAsia="en-US"/>
    </w:rPr>
  </w:style>
  <w:style w:type="paragraph" w:styleId="Heading1">
    <w:name w:val="heading 1"/>
    <w:basedOn w:val="Normal"/>
    <w:next w:val="Normal"/>
    <w:link w:val="Heading1Char"/>
    <w:uiPriority w:val="99"/>
    <w:qFormat/>
    <w:rsid w:val="0043085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3085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43085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43085C"/>
    <w:pPr>
      <w:keepNext/>
      <w:spacing w:before="240" w:after="60"/>
      <w:outlineLvl w:val="3"/>
    </w:pPr>
    <w:rPr>
      <w:b/>
      <w:bCs/>
      <w:sz w:val="28"/>
      <w:szCs w:val="28"/>
    </w:rPr>
  </w:style>
  <w:style w:type="paragraph" w:styleId="Heading5">
    <w:name w:val="heading 5"/>
    <w:basedOn w:val="Normal"/>
    <w:next w:val="Normal"/>
    <w:link w:val="Heading5Char"/>
    <w:uiPriority w:val="99"/>
    <w:qFormat/>
    <w:rsid w:val="0043085C"/>
    <w:pPr>
      <w:spacing w:before="240" w:after="60"/>
      <w:outlineLvl w:val="4"/>
    </w:pPr>
    <w:rPr>
      <w:b/>
      <w:bCs/>
      <w:i/>
      <w:iCs/>
      <w:sz w:val="26"/>
      <w:szCs w:val="26"/>
    </w:rPr>
  </w:style>
  <w:style w:type="paragraph" w:styleId="Heading6">
    <w:name w:val="heading 6"/>
    <w:basedOn w:val="Normal"/>
    <w:next w:val="Normal"/>
    <w:link w:val="Heading6Char"/>
    <w:uiPriority w:val="99"/>
    <w:qFormat/>
    <w:rsid w:val="0043085C"/>
    <w:pPr>
      <w:spacing w:before="240" w:after="60"/>
      <w:outlineLvl w:val="5"/>
    </w:pPr>
    <w:rPr>
      <w:b/>
      <w:bCs/>
      <w:szCs w:val="22"/>
    </w:rPr>
  </w:style>
  <w:style w:type="paragraph" w:styleId="Heading7">
    <w:name w:val="heading 7"/>
    <w:basedOn w:val="Normal"/>
    <w:next w:val="Normal"/>
    <w:link w:val="Heading7Char"/>
    <w:uiPriority w:val="99"/>
    <w:qFormat/>
    <w:rsid w:val="0043085C"/>
    <w:pPr>
      <w:spacing w:before="240" w:after="60"/>
      <w:outlineLvl w:val="6"/>
    </w:pPr>
    <w:rPr>
      <w:sz w:val="24"/>
      <w:szCs w:val="24"/>
    </w:rPr>
  </w:style>
  <w:style w:type="paragraph" w:styleId="Heading8">
    <w:name w:val="heading 8"/>
    <w:basedOn w:val="Normal"/>
    <w:next w:val="Normal"/>
    <w:link w:val="Heading8Char"/>
    <w:uiPriority w:val="99"/>
    <w:qFormat/>
    <w:rsid w:val="0043085C"/>
    <w:pPr>
      <w:spacing w:before="240" w:after="60"/>
      <w:outlineLvl w:val="7"/>
    </w:pPr>
    <w:rPr>
      <w:i/>
      <w:iCs/>
      <w:sz w:val="24"/>
      <w:szCs w:val="24"/>
    </w:rPr>
  </w:style>
  <w:style w:type="paragraph" w:styleId="Heading9">
    <w:name w:val="heading 9"/>
    <w:basedOn w:val="Normal"/>
    <w:next w:val="Normal"/>
    <w:link w:val="Heading9Char"/>
    <w:uiPriority w:val="99"/>
    <w:qFormat/>
    <w:rsid w:val="0043085C"/>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SimSun" w:hAnsi="Cambria" w:cs="Times New Roman"/>
      <w:b/>
      <w:bCs/>
      <w:kern w:val="32"/>
      <w:sz w:val="32"/>
      <w:szCs w:val="32"/>
      <w:lang w:val="en-GB" w:eastAsia="en-US"/>
    </w:rPr>
  </w:style>
  <w:style w:type="character" w:customStyle="1" w:styleId="Heading2Char">
    <w:name w:val="Heading 2 Char"/>
    <w:link w:val="Heading2"/>
    <w:uiPriority w:val="9"/>
    <w:semiHidden/>
    <w:rPr>
      <w:rFonts w:ascii="Cambria" w:eastAsia="SimSun" w:hAnsi="Cambria" w:cs="Times New Roman"/>
      <w:b/>
      <w:bCs/>
      <w:i/>
      <w:iCs/>
      <w:sz w:val="28"/>
      <w:szCs w:val="28"/>
      <w:lang w:val="en-GB" w:eastAsia="en-US"/>
    </w:rPr>
  </w:style>
  <w:style w:type="character" w:customStyle="1" w:styleId="Heading3Char">
    <w:name w:val="Heading 3 Char"/>
    <w:link w:val="Heading3"/>
    <w:uiPriority w:val="9"/>
    <w:semiHidden/>
    <w:rPr>
      <w:rFonts w:ascii="Cambria" w:eastAsia="SimSun" w:hAnsi="Cambria" w:cs="Times New Roman"/>
      <w:b/>
      <w:bCs/>
      <w:sz w:val="26"/>
      <w:szCs w:val="26"/>
      <w:lang w:val="en-GB" w:eastAsia="en-US"/>
    </w:rPr>
  </w:style>
  <w:style w:type="character" w:customStyle="1" w:styleId="Heading4Char">
    <w:name w:val="Heading 4 Char"/>
    <w:link w:val="Heading4"/>
    <w:uiPriority w:val="9"/>
    <w:semiHidden/>
    <w:rPr>
      <w:rFonts w:ascii="Calibri" w:eastAsia="SimSun" w:hAnsi="Calibri" w:cs="Arial"/>
      <w:b/>
      <w:bCs/>
      <w:sz w:val="28"/>
      <w:szCs w:val="28"/>
      <w:lang w:val="en-GB" w:eastAsia="en-US"/>
    </w:rPr>
  </w:style>
  <w:style w:type="character" w:customStyle="1" w:styleId="Heading5Char">
    <w:name w:val="Heading 5 Char"/>
    <w:link w:val="Heading5"/>
    <w:uiPriority w:val="9"/>
    <w:semiHidden/>
    <w:rPr>
      <w:rFonts w:ascii="Calibri" w:eastAsia="SimSun" w:hAnsi="Calibri" w:cs="Arial"/>
      <w:b/>
      <w:bCs/>
      <w:i/>
      <w:iCs/>
      <w:sz w:val="26"/>
      <w:szCs w:val="26"/>
      <w:lang w:val="en-GB" w:eastAsia="en-US"/>
    </w:rPr>
  </w:style>
  <w:style w:type="character" w:customStyle="1" w:styleId="Heading6Char">
    <w:name w:val="Heading 6 Char"/>
    <w:link w:val="Heading6"/>
    <w:uiPriority w:val="9"/>
    <w:semiHidden/>
    <w:rPr>
      <w:rFonts w:ascii="Calibri" w:eastAsia="SimSun" w:hAnsi="Calibri" w:cs="Arial"/>
      <w:b/>
      <w:bCs/>
      <w:lang w:val="en-GB" w:eastAsia="en-US"/>
    </w:rPr>
  </w:style>
  <w:style w:type="character" w:customStyle="1" w:styleId="Heading7Char">
    <w:name w:val="Heading 7 Char"/>
    <w:link w:val="Heading7"/>
    <w:uiPriority w:val="9"/>
    <w:semiHidden/>
    <w:rPr>
      <w:rFonts w:ascii="Calibri" w:eastAsia="SimSun" w:hAnsi="Calibri" w:cs="Arial"/>
      <w:sz w:val="24"/>
      <w:szCs w:val="24"/>
      <w:lang w:val="en-GB" w:eastAsia="en-US"/>
    </w:rPr>
  </w:style>
  <w:style w:type="character" w:customStyle="1" w:styleId="Heading8Char">
    <w:name w:val="Heading 8 Char"/>
    <w:link w:val="Heading8"/>
    <w:uiPriority w:val="9"/>
    <w:semiHidden/>
    <w:rPr>
      <w:rFonts w:ascii="Calibri" w:eastAsia="SimSun" w:hAnsi="Calibri" w:cs="Arial"/>
      <w:i/>
      <w:iCs/>
      <w:sz w:val="24"/>
      <w:szCs w:val="24"/>
      <w:lang w:val="en-GB" w:eastAsia="en-US"/>
    </w:rPr>
  </w:style>
  <w:style w:type="character" w:customStyle="1" w:styleId="Heading9Char">
    <w:name w:val="Heading 9 Char"/>
    <w:link w:val="Heading9"/>
    <w:uiPriority w:val="9"/>
    <w:semiHidden/>
    <w:rPr>
      <w:rFonts w:ascii="Cambria" w:eastAsia="SimSun" w:hAnsi="Cambria" w:cs="Times New Roman"/>
      <w:lang w:val="en-GB" w:eastAsia="en-US"/>
    </w:rPr>
  </w:style>
  <w:style w:type="paragraph" w:styleId="Footer">
    <w:name w:val="footer"/>
    <w:basedOn w:val="Normal"/>
    <w:link w:val="FooterChar"/>
    <w:uiPriority w:val="99"/>
    <w:pPr>
      <w:tabs>
        <w:tab w:val="center" w:pos="4536"/>
        <w:tab w:val="right" w:pos="8306"/>
      </w:tabs>
    </w:pPr>
    <w:rPr>
      <w:rFonts w:ascii="Arial" w:hAnsi="Arial"/>
      <w:noProof/>
      <w:sz w:val="16"/>
    </w:rPr>
  </w:style>
  <w:style w:type="character" w:customStyle="1" w:styleId="FooterChar">
    <w:name w:val="Footer Char"/>
    <w:link w:val="Footer"/>
    <w:uiPriority w:val="99"/>
    <w:semiHidden/>
    <w:rPr>
      <w:szCs w:val="20"/>
      <w:lang w:val="en-GB" w:eastAsia="en-US"/>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link w:val="Header"/>
    <w:uiPriority w:val="99"/>
    <w:semiHidden/>
    <w:rPr>
      <w:szCs w:val="20"/>
      <w:lang w:val="en-GB" w:eastAsia="en-US"/>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uiPriority w:val="99"/>
    <w:rsid w:val="00812D16"/>
    <w:rPr>
      <w:rFonts w:cs="Times New Roman"/>
    </w:rPr>
  </w:style>
  <w:style w:type="paragraph" w:styleId="BodyText">
    <w:name w:val="Body Text"/>
    <w:basedOn w:val="Normal"/>
    <w:link w:val="BodyTextChar"/>
    <w:uiPriority w:val="99"/>
    <w:rsid w:val="00812D16"/>
    <w:pPr>
      <w:tabs>
        <w:tab w:val="clear" w:pos="567"/>
      </w:tabs>
    </w:pPr>
    <w:rPr>
      <w:i/>
      <w:color w:val="008000"/>
    </w:rPr>
  </w:style>
  <w:style w:type="character" w:customStyle="1" w:styleId="BodyTextChar">
    <w:name w:val="Body Text Char"/>
    <w:link w:val="BodyText"/>
    <w:uiPriority w:val="99"/>
    <w:semiHidden/>
    <w:rPr>
      <w:szCs w:val="20"/>
      <w:lang w:val="en-GB" w:eastAsia="en-US"/>
    </w:rPr>
  </w:style>
  <w:style w:type="paragraph" w:styleId="CommentText">
    <w:name w:val="annotation text"/>
    <w:basedOn w:val="Normal"/>
    <w:link w:val="CommentTextChar"/>
    <w:semiHidden/>
    <w:rsid w:val="00812D16"/>
    <w:rPr>
      <w:sz w:val="20"/>
      <w:lang w:bidi="yi-Hebr"/>
    </w:rPr>
  </w:style>
  <w:style w:type="table" w:styleId="TableGrid">
    <w:name w:val="Table Grid"/>
    <w:basedOn w:val="TableNormal"/>
    <w:uiPriority w:val="99"/>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812D16"/>
    <w:rPr>
      <w:color w:val="0000FF"/>
      <w:u w:val="single"/>
    </w:rPr>
  </w:style>
  <w:style w:type="paragraph" w:customStyle="1" w:styleId="EMEAEnBodyText">
    <w:name w:val="EMEA En Body Text"/>
    <w:basedOn w:val="Normal"/>
    <w:uiPriority w:val="99"/>
    <w:rsid w:val="00812D16"/>
    <w:pPr>
      <w:tabs>
        <w:tab w:val="clear" w:pos="567"/>
      </w:tabs>
      <w:spacing w:before="120" w:after="120"/>
      <w:jc w:val="both"/>
    </w:pPr>
    <w:rPr>
      <w:lang w:val="en-US"/>
    </w:rPr>
  </w:style>
  <w:style w:type="paragraph" w:styleId="BalloonText">
    <w:name w:val="Balloon Text"/>
    <w:basedOn w:val="Normal"/>
    <w:link w:val="BalloonTextChar"/>
    <w:uiPriority w:val="99"/>
    <w:semiHidden/>
    <w:rsid w:val="00A20C7F"/>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eastAsia="Times New Roman" w:hAnsi="Verdana" w:cs="Verdana"/>
      <w:sz w:val="18"/>
      <w:szCs w:val="18"/>
      <w:lang w:eastAsia="en-GB"/>
    </w:rPr>
  </w:style>
  <w:style w:type="character" w:customStyle="1" w:styleId="BodytextAgencyChar">
    <w:name w:val="Body text (Agency) Char"/>
    <w:link w:val="BodytextAgency"/>
    <w:uiPriority w:val="99"/>
    <w:locked/>
    <w:rsid w:val="00345F9C"/>
    <w:rPr>
      <w:rFonts w:ascii="Verdana" w:eastAsia="Times New Roman" w:hAnsi="Verdana"/>
      <w:sz w:val="18"/>
      <w:lang w:val="en-GB" w:eastAsia="en-GB"/>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eastAsia="Times New Roman" w:hAnsi="Courier New"/>
      <w:i/>
      <w:color w:val="339966"/>
      <w:szCs w:val="18"/>
      <w:lang w:eastAsia="en-GB"/>
    </w:rPr>
  </w:style>
  <w:style w:type="character" w:customStyle="1" w:styleId="DraftingNotesAgencyChar">
    <w:name w:val="Drafting Notes (Agency) Char"/>
    <w:link w:val="DraftingNotesAgency"/>
    <w:uiPriority w:val="99"/>
    <w:locked/>
    <w:rsid w:val="00345F9C"/>
    <w:rPr>
      <w:rFonts w:ascii="Courier New" w:eastAsia="Times New Roman" w:hAnsi="Courier New"/>
      <w:i/>
      <w:color w:val="339966"/>
      <w:sz w:val="18"/>
      <w:lang w:val="en-GB" w:eastAsia="en-GB"/>
    </w:rPr>
  </w:style>
  <w:style w:type="paragraph" w:customStyle="1" w:styleId="NormalAgency">
    <w:name w:val="Normal (Agency)"/>
    <w:link w:val="NormalAgencyChar"/>
    <w:uiPriority w:val="99"/>
    <w:rsid w:val="00C179B0"/>
    <w:rPr>
      <w:rFonts w:ascii="Verdana" w:eastAsia="Times New Roman" w:hAnsi="Verdana" w:cs="Verdana"/>
      <w:sz w:val="18"/>
      <w:szCs w:val="18"/>
      <w:lang w:val="en-GB" w:eastAsia="en-GB"/>
    </w:rPr>
  </w:style>
  <w:style w:type="table" w:customStyle="1" w:styleId="TablegridAgencyblack">
    <w:name w:val="Table grid (Agency) black"/>
    <w:basedOn w:val="TableNormal"/>
    <w:uiPriority w:val="99"/>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uiPriority w:val="99"/>
    <w:rsid w:val="00C179B0"/>
    <w:pPr>
      <w:keepNext/>
    </w:pPr>
    <w:rPr>
      <w:rFonts w:eastAsia="SimSu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C179B0"/>
    <w:rPr>
      <w:rFonts w:ascii="Verdana" w:eastAsia="Times New Roman" w:hAnsi="Verdana"/>
      <w:sz w:val="18"/>
      <w:lang w:val="en-GB" w:eastAsia="en-GB"/>
    </w:rPr>
  </w:style>
  <w:style w:type="paragraph" w:customStyle="1" w:styleId="TitleA">
    <w:name w:val="Title A"/>
    <w:basedOn w:val="Normal"/>
    <w:uiPriority w:val="99"/>
    <w:rsid w:val="007E5525"/>
    <w:pPr>
      <w:tabs>
        <w:tab w:val="left" w:pos="-1440"/>
        <w:tab w:val="left" w:pos="-720"/>
      </w:tabs>
      <w:jc w:val="center"/>
    </w:pPr>
    <w:rPr>
      <w:b/>
      <w:noProof/>
      <w:szCs w:val="22"/>
    </w:rPr>
  </w:style>
  <w:style w:type="paragraph" w:customStyle="1" w:styleId="TitleB">
    <w:name w:val="Title B"/>
    <w:basedOn w:val="Normal"/>
    <w:uiPriority w:val="99"/>
    <w:rsid w:val="00F03A13"/>
    <w:pPr>
      <w:ind w:left="567" w:hanging="567"/>
    </w:pPr>
    <w:rPr>
      <w:b/>
      <w:noProof/>
      <w:szCs w:val="22"/>
    </w:rPr>
  </w:style>
  <w:style w:type="character" w:styleId="CommentReference">
    <w:name w:val="annotation reference"/>
    <w:rsid w:val="00E249F8"/>
    <w:rPr>
      <w:sz w:val="16"/>
    </w:rPr>
  </w:style>
  <w:style w:type="paragraph" w:styleId="CommentSubject">
    <w:name w:val="annotation subject"/>
    <w:basedOn w:val="CommentText"/>
    <w:next w:val="CommentText"/>
    <w:link w:val="CommentSubjectChar"/>
    <w:uiPriority w:val="99"/>
    <w:rsid w:val="00E249F8"/>
    <w:rPr>
      <w:b/>
      <w:bCs/>
    </w:rPr>
  </w:style>
  <w:style w:type="character" w:customStyle="1" w:styleId="CommentSubjectChar">
    <w:name w:val="Comment Subject Char"/>
    <w:link w:val="CommentSubject"/>
    <w:uiPriority w:val="99"/>
    <w:locked/>
    <w:rsid w:val="00E249F8"/>
    <w:rPr>
      <w:rFonts w:eastAsia="Times New Roman" w:cs="Times New Roman"/>
      <w:lang w:val="en-GB" w:eastAsia="en-US"/>
    </w:rPr>
  </w:style>
  <w:style w:type="character" w:customStyle="1" w:styleId="CommentTextChar">
    <w:name w:val="Comment Text Char"/>
    <w:link w:val="CommentText"/>
    <w:semiHidden/>
    <w:locked/>
    <w:rsid w:val="00E249F8"/>
    <w:rPr>
      <w:rFonts w:eastAsia="Times New Roman"/>
      <w:lang w:val="en-GB" w:eastAsia="en-US"/>
    </w:rPr>
  </w:style>
  <w:style w:type="character" w:customStyle="1" w:styleId="tw4winMark">
    <w:name w:val="tw4winMark"/>
    <w:uiPriority w:val="99"/>
    <w:rsid w:val="00A46688"/>
    <w:rPr>
      <w:rFonts w:ascii="Courier New" w:hAnsi="Courier New"/>
      <w:vanish/>
      <w:color w:val="800080"/>
      <w:vertAlign w:val="subscript"/>
    </w:rPr>
  </w:style>
  <w:style w:type="paragraph" w:styleId="TableofFigures">
    <w:name w:val="table of figures"/>
    <w:basedOn w:val="Normal"/>
    <w:next w:val="Normal"/>
    <w:uiPriority w:val="99"/>
    <w:semiHidden/>
    <w:rsid w:val="0043085C"/>
    <w:pPr>
      <w:tabs>
        <w:tab w:val="clear" w:pos="567"/>
      </w:tabs>
    </w:pPr>
  </w:style>
  <w:style w:type="paragraph" w:styleId="Salutation">
    <w:name w:val="Salutation"/>
    <w:basedOn w:val="Normal"/>
    <w:next w:val="Normal"/>
    <w:link w:val="SalutationChar"/>
    <w:uiPriority w:val="99"/>
    <w:rsid w:val="0043085C"/>
  </w:style>
  <w:style w:type="character" w:customStyle="1" w:styleId="SalutationChar">
    <w:name w:val="Salutation Char"/>
    <w:link w:val="Salutation"/>
    <w:uiPriority w:val="99"/>
    <w:semiHidden/>
    <w:rPr>
      <w:szCs w:val="20"/>
      <w:lang w:val="en-GB" w:eastAsia="en-US"/>
    </w:rPr>
  </w:style>
  <w:style w:type="paragraph" w:styleId="ListBullet">
    <w:name w:val="List Bullet"/>
    <w:basedOn w:val="Normal"/>
    <w:uiPriority w:val="99"/>
    <w:rsid w:val="0043085C"/>
    <w:pPr>
      <w:numPr>
        <w:numId w:val="24"/>
      </w:numPr>
    </w:pPr>
  </w:style>
  <w:style w:type="paragraph" w:styleId="ListBullet2">
    <w:name w:val="List Bullet 2"/>
    <w:basedOn w:val="Normal"/>
    <w:uiPriority w:val="99"/>
    <w:rsid w:val="0043085C"/>
    <w:pPr>
      <w:numPr>
        <w:numId w:val="25"/>
      </w:numPr>
    </w:pPr>
  </w:style>
  <w:style w:type="paragraph" w:styleId="ListBullet3">
    <w:name w:val="List Bullet 3"/>
    <w:basedOn w:val="Normal"/>
    <w:uiPriority w:val="99"/>
    <w:rsid w:val="0043085C"/>
    <w:pPr>
      <w:numPr>
        <w:numId w:val="26"/>
      </w:numPr>
    </w:pPr>
  </w:style>
  <w:style w:type="paragraph" w:styleId="ListBullet4">
    <w:name w:val="List Bullet 4"/>
    <w:basedOn w:val="Normal"/>
    <w:uiPriority w:val="99"/>
    <w:rsid w:val="0043085C"/>
    <w:pPr>
      <w:numPr>
        <w:numId w:val="27"/>
      </w:numPr>
    </w:pPr>
  </w:style>
  <w:style w:type="paragraph" w:styleId="ListBullet5">
    <w:name w:val="List Bullet 5"/>
    <w:basedOn w:val="Normal"/>
    <w:uiPriority w:val="99"/>
    <w:rsid w:val="0043085C"/>
    <w:pPr>
      <w:numPr>
        <w:numId w:val="28"/>
      </w:numPr>
    </w:pPr>
  </w:style>
  <w:style w:type="paragraph" w:styleId="Caption">
    <w:name w:val="caption"/>
    <w:basedOn w:val="Normal"/>
    <w:next w:val="Normal"/>
    <w:uiPriority w:val="99"/>
    <w:qFormat/>
    <w:rsid w:val="0043085C"/>
    <w:rPr>
      <w:b/>
      <w:bCs/>
      <w:sz w:val="20"/>
    </w:rPr>
  </w:style>
  <w:style w:type="paragraph" w:styleId="BlockText">
    <w:name w:val="Block Text"/>
    <w:basedOn w:val="Normal"/>
    <w:uiPriority w:val="99"/>
    <w:rsid w:val="0043085C"/>
    <w:pPr>
      <w:spacing w:after="120"/>
      <w:ind w:left="1440" w:right="1440"/>
    </w:pPr>
  </w:style>
  <w:style w:type="paragraph" w:styleId="Date">
    <w:name w:val="Date"/>
    <w:basedOn w:val="Normal"/>
    <w:next w:val="Normal"/>
    <w:link w:val="DateChar"/>
    <w:uiPriority w:val="99"/>
    <w:rsid w:val="0043085C"/>
  </w:style>
  <w:style w:type="character" w:customStyle="1" w:styleId="DateChar">
    <w:name w:val="Date Char"/>
    <w:link w:val="Date"/>
    <w:uiPriority w:val="99"/>
    <w:semiHidden/>
    <w:rPr>
      <w:szCs w:val="20"/>
      <w:lang w:val="en-GB" w:eastAsia="en-US"/>
    </w:rPr>
  </w:style>
  <w:style w:type="paragraph" w:styleId="DocumentMap">
    <w:name w:val="Document Map"/>
    <w:basedOn w:val="Normal"/>
    <w:link w:val="DocumentMapChar"/>
    <w:uiPriority w:val="99"/>
    <w:semiHidden/>
    <w:rsid w:val="0043085C"/>
    <w:pPr>
      <w:shd w:val="clear" w:color="auto" w:fill="000080"/>
    </w:pPr>
    <w:rPr>
      <w:rFonts w:ascii="Tahoma" w:hAnsi="Tahoma" w:cs="Tahoma"/>
      <w:sz w:val="20"/>
    </w:rPr>
  </w:style>
  <w:style w:type="character" w:customStyle="1" w:styleId="DocumentMapChar">
    <w:name w:val="Document Map Char"/>
    <w:link w:val="DocumentMap"/>
    <w:uiPriority w:val="99"/>
    <w:semiHidden/>
    <w:rPr>
      <w:rFonts w:ascii="Tahoma" w:hAnsi="Tahoma" w:cs="Tahoma"/>
      <w:sz w:val="16"/>
      <w:szCs w:val="16"/>
      <w:lang w:val="en-GB" w:eastAsia="en-US"/>
    </w:rPr>
  </w:style>
  <w:style w:type="paragraph" w:styleId="E-mailSignature">
    <w:name w:val="E-mail Signature"/>
    <w:basedOn w:val="Normal"/>
    <w:link w:val="E-mailSignatureChar"/>
    <w:uiPriority w:val="99"/>
    <w:rsid w:val="0043085C"/>
  </w:style>
  <w:style w:type="character" w:customStyle="1" w:styleId="E-mailSignatureChar">
    <w:name w:val="E-mail Signature Char"/>
    <w:link w:val="E-mailSignature"/>
    <w:uiPriority w:val="99"/>
    <w:semiHidden/>
    <w:rPr>
      <w:szCs w:val="20"/>
      <w:lang w:val="en-GB" w:eastAsia="en-US"/>
    </w:rPr>
  </w:style>
  <w:style w:type="paragraph" w:styleId="EndnoteText">
    <w:name w:val="endnote text"/>
    <w:basedOn w:val="Normal"/>
    <w:link w:val="EndnoteTextChar"/>
    <w:uiPriority w:val="99"/>
    <w:semiHidden/>
    <w:rsid w:val="0043085C"/>
    <w:rPr>
      <w:sz w:val="20"/>
    </w:rPr>
  </w:style>
  <w:style w:type="character" w:customStyle="1" w:styleId="EndnoteTextChar">
    <w:name w:val="Endnote Text Char"/>
    <w:link w:val="EndnoteText"/>
    <w:uiPriority w:val="99"/>
    <w:semiHidden/>
    <w:rPr>
      <w:sz w:val="20"/>
      <w:szCs w:val="20"/>
      <w:lang w:val="en-GB" w:eastAsia="en-US"/>
    </w:rPr>
  </w:style>
  <w:style w:type="paragraph" w:styleId="NoteHeading">
    <w:name w:val="Note Heading"/>
    <w:basedOn w:val="Normal"/>
    <w:next w:val="Normal"/>
    <w:link w:val="NoteHeadingChar"/>
    <w:uiPriority w:val="99"/>
    <w:rsid w:val="0043085C"/>
  </w:style>
  <w:style w:type="character" w:customStyle="1" w:styleId="NoteHeadingChar">
    <w:name w:val="Note Heading Char"/>
    <w:link w:val="NoteHeading"/>
    <w:uiPriority w:val="99"/>
    <w:semiHidden/>
    <w:rPr>
      <w:szCs w:val="20"/>
      <w:lang w:val="en-GB" w:eastAsia="en-US"/>
    </w:rPr>
  </w:style>
  <w:style w:type="paragraph" w:styleId="FootnoteText">
    <w:name w:val="footnote text"/>
    <w:basedOn w:val="Normal"/>
    <w:link w:val="FootnoteTextChar"/>
    <w:uiPriority w:val="99"/>
    <w:semiHidden/>
    <w:rsid w:val="0043085C"/>
    <w:rPr>
      <w:sz w:val="20"/>
    </w:rPr>
  </w:style>
  <w:style w:type="character" w:customStyle="1" w:styleId="FootnoteTextChar">
    <w:name w:val="Footnote Text Char"/>
    <w:link w:val="FootnoteText"/>
    <w:uiPriority w:val="99"/>
    <w:semiHidden/>
    <w:rPr>
      <w:sz w:val="20"/>
      <w:szCs w:val="20"/>
      <w:lang w:val="en-GB" w:eastAsia="en-US"/>
    </w:rPr>
  </w:style>
  <w:style w:type="paragraph" w:styleId="Closing">
    <w:name w:val="Closing"/>
    <w:basedOn w:val="Normal"/>
    <w:link w:val="ClosingChar"/>
    <w:uiPriority w:val="99"/>
    <w:rsid w:val="0043085C"/>
    <w:pPr>
      <w:ind w:left="4252"/>
    </w:pPr>
  </w:style>
  <w:style w:type="character" w:customStyle="1" w:styleId="ClosingChar">
    <w:name w:val="Closing Char"/>
    <w:link w:val="Closing"/>
    <w:uiPriority w:val="99"/>
    <w:semiHidden/>
    <w:rPr>
      <w:szCs w:val="20"/>
      <w:lang w:val="en-GB" w:eastAsia="en-US"/>
    </w:rPr>
  </w:style>
  <w:style w:type="paragraph" w:styleId="HTMLAddress">
    <w:name w:val="HTML Address"/>
    <w:basedOn w:val="Normal"/>
    <w:link w:val="HTMLAddressChar"/>
    <w:uiPriority w:val="99"/>
    <w:rsid w:val="0043085C"/>
    <w:rPr>
      <w:i/>
      <w:iCs/>
    </w:rPr>
  </w:style>
  <w:style w:type="character" w:customStyle="1" w:styleId="HTMLAddressChar">
    <w:name w:val="HTML Address Char"/>
    <w:link w:val="HTMLAddress"/>
    <w:uiPriority w:val="99"/>
    <w:semiHidden/>
    <w:rPr>
      <w:i/>
      <w:iCs/>
      <w:szCs w:val="20"/>
      <w:lang w:val="en-GB" w:eastAsia="en-US"/>
    </w:rPr>
  </w:style>
  <w:style w:type="paragraph" w:styleId="HTMLPreformatted">
    <w:name w:val="HTML Preformatted"/>
    <w:basedOn w:val="Normal"/>
    <w:link w:val="HTMLPreformattedChar"/>
    <w:uiPriority w:val="99"/>
    <w:rsid w:val="0043085C"/>
    <w:rPr>
      <w:rFonts w:ascii="Courier New" w:hAnsi="Courier New" w:cs="Courier New"/>
      <w:sz w:val="20"/>
    </w:rPr>
  </w:style>
  <w:style w:type="character" w:customStyle="1" w:styleId="HTMLPreformattedChar">
    <w:name w:val="HTML Preformatted Char"/>
    <w:link w:val="HTMLPreformatted"/>
    <w:uiPriority w:val="99"/>
    <w:semiHidden/>
    <w:rPr>
      <w:rFonts w:ascii="Courier New" w:hAnsi="Courier New" w:cs="Courier New"/>
      <w:sz w:val="20"/>
      <w:szCs w:val="20"/>
      <w:lang w:val="en-GB" w:eastAsia="en-US"/>
    </w:rPr>
  </w:style>
  <w:style w:type="paragraph" w:styleId="Index1">
    <w:name w:val="index 1"/>
    <w:basedOn w:val="Normal"/>
    <w:next w:val="Normal"/>
    <w:autoRedefine/>
    <w:uiPriority w:val="99"/>
    <w:semiHidden/>
    <w:rsid w:val="0043085C"/>
    <w:pPr>
      <w:tabs>
        <w:tab w:val="clear" w:pos="567"/>
      </w:tabs>
      <w:ind w:left="220" w:hanging="220"/>
    </w:pPr>
  </w:style>
  <w:style w:type="paragraph" w:styleId="Index2">
    <w:name w:val="index 2"/>
    <w:basedOn w:val="Normal"/>
    <w:next w:val="Normal"/>
    <w:autoRedefine/>
    <w:uiPriority w:val="99"/>
    <w:semiHidden/>
    <w:rsid w:val="0043085C"/>
    <w:pPr>
      <w:tabs>
        <w:tab w:val="clear" w:pos="567"/>
      </w:tabs>
      <w:ind w:left="440" w:hanging="220"/>
    </w:pPr>
  </w:style>
  <w:style w:type="paragraph" w:styleId="Index3">
    <w:name w:val="index 3"/>
    <w:basedOn w:val="Normal"/>
    <w:next w:val="Normal"/>
    <w:autoRedefine/>
    <w:uiPriority w:val="99"/>
    <w:semiHidden/>
    <w:rsid w:val="0043085C"/>
    <w:pPr>
      <w:tabs>
        <w:tab w:val="clear" w:pos="567"/>
      </w:tabs>
      <w:ind w:left="660" w:hanging="220"/>
    </w:pPr>
  </w:style>
  <w:style w:type="paragraph" w:styleId="Index4">
    <w:name w:val="index 4"/>
    <w:basedOn w:val="Normal"/>
    <w:next w:val="Normal"/>
    <w:autoRedefine/>
    <w:uiPriority w:val="99"/>
    <w:semiHidden/>
    <w:rsid w:val="0043085C"/>
    <w:pPr>
      <w:tabs>
        <w:tab w:val="clear" w:pos="567"/>
      </w:tabs>
      <w:ind w:left="880" w:hanging="220"/>
    </w:pPr>
  </w:style>
  <w:style w:type="paragraph" w:styleId="Index5">
    <w:name w:val="index 5"/>
    <w:basedOn w:val="Normal"/>
    <w:next w:val="Normal"/>
    <w:autoRedefine/>
    <w:uiPriority w:val="99"/>
    <w:semiHidden/>
    <w:rsid w:val="0043085C"/>
    <w:pPr>
      <w:tabs>
        <w:tab w:val="clear" w:pos="567"/>
      </w:tabs>
      <w:ind w:left="1100" w:hanging="220"/>
    </w:pPr>
  </w:style>
  <w:style w:type="paragraph" w:styleId="Index6">
    <w:name w:val="index 6"/>
    <w:basedOn w:val="Normal"/>
    <w:next w:val="Normal"/>
    <w:autoRedefine/>
    <w:uiPriority w:val="99"/>
    <w:semiHidden/>
    <w:rsid w:val="0043085C"/>
    <w:pPr>
      <w:tabs>
        <w:tab w:val="clear" w:pos="567"/>
      </w:tabs>
      <w:ind w:left="1320" w:hanging="220"/>
    </w:pPr>
  </w:style>
  <w:style w:type="paragraph" w:styleId="Index7">
    <w:name w:val="index 7"/>
    <w:basedOn w:val="Normal"/>
    <w:next w:val="Normal"/>
    <w:autoRedefine/>
    <w:uiPriority w:val="99"/>
    <w:semiHidden/>
    <w:rsid w:val="0043085C"/>
    <w:pPr>
      <w:tabs>
        <w:tab w:val="clear" w:pos="567"/>
      </w:tabs>
      <w:ind w:left="1540" w:hanging="220"/>
    </w:pPr>
  </w:style>
  <w:style w:type="paragraph" w:styleId="Index8">
    <w:name w:val="index 8"/>
    <w:basedOn w:val="Normal"/>
    <w:next w:val="Normal"/>
    <w:autoRedefine/>
    <w:uiPriority w:val="99"/>
    <w:semiHidden/>
    <w:rsid w:val="0043085C"/>
    <w:pPr>
      <w:tabs>
        <w:tab w:val="clear" w:pos="567"/>
      </w:tabs>
      <w:ind w:left="1760" w:hanging="220"/>
    </w:pPr>
  </w:style>
  <w:style w:type="paragraph" w:styleId="Index9">
    <w:name w:val="index 9"/>
    <w:basedOn w:val="Normal"/>
    <w:next w:val="Normal"/>
    <w:autoRedefine/>
    <w:uiPriority w:val="99"/>
    <w:semiHidden/>
    <w:rsid w:val="0043085C"/>
    <w:pPr>
      <w:tabs>
        <w:tab w:val="clear" w:pos="567"/>
      </w:tabs>
      <w:ind w:left="1980" w:hanging="220"/>
    </w:pPr>
  </w:style>
  <w:style w:type="paragraph" w:styleId="IndexHeading">
    <w:name w:val="index heading"/>
    <w:basedOn w:val="Normal"/>
    <w:next w:val="Index1"/>
    <w:uiPriority w:val="99"/>
    <w:semiHidden/>
    <w:rsid w:val="0043085C"/>
    <w:rPr>
      <w:rFonts w:ascii="Arial" w:hAnsi="Arial" w:cs="Arial"/>
      <w:b/>
      <w:bCs/>
    </w:rPr>
  </w:style>
  <w:style w:type="paragraph" w:styleId="List">
    <w:name w:val="List"/>
    <w:basedOn w:val="Normal"/>
    <w:uiPriority w:val="99"/>
    <w:rsid w:val="0043085C"/>
    <w:pPr>
      <w:ind w:left="283" w:hanging="283"/>
    </w:pPr>
  </w:style>
  <w:style w:type="paragraph" w:styleId="List2">
    <w:name w:val="List 2"/>
    <w:basedOn w:val="Normal"/>
    <w:uiPriority w:val="99"/>
    <w:rsid w:val="0043085C"/>
    <w:pPr>
      <w:ind w:left="566" w:hanging="283"/>
    </w:pPr>
  </w:style>
  <w:style w:type="paragraph" w:styleId="List3">
    <w:name w:val="List 3"/>
    <w:basedOn w:val="Normal"/>
    <w:uiPriority w:val="99"/>
    <w:rsid w:val="0043085C"/>
    <w:pPr>
      <w:ind w:left="849" w:hanging="283"/>
    </w:pPr>
  </w:style>
  <w:style w:type="paragraph" w:styleId="List4">
    <w:name w:val="List 4"/>
    <w:basedOn w:val="Normal"/>
    <w:uiPriority w:val="99"/>
    <w:rsid w:val="0043085C"/>
    <w:pPr>
      <w:ind w:left="1132" w:hanging="283"/>
    </w:pPr>
  </w:style>
  <w:style w:type="paragraph" w:styleId="List5">
    <w:name w:val="List 5"/>
    <w:basedOn w:val="Normal"/>
    <w:uiPriority w:val="99"/>
    <w:rsid w:val="0043085C"/>
    <w:pPr>
      <w:ind w:left="1415" w:hanging="283"/>
    </w:pPr>
  </w:style>
  <w:style w:type="paragraph" w:styleId="ListContinue">
    <w:name w:val="List Continue"/>
    <w:basedOn w:val="Normal"/>
    <w:uiPriority w:val="99"/>
    <w:rsid w:val="0043085C"/>
    <w:pPr>
      <w:spacing w:after="120"/>
      <w:ind w:left="283"/>
    </w:pPr>
  </w:style>
  <w:style w:type="paragraph" w:styleId="ListContinue2">
    <w:name w:val="List Continue 2"/>
    <w:basedOn w:val="Normal"/>
    <w:uiPriority w:val="99"/>
    <w:rsid w:val="0043085C"/>
    <w:pPr>
      <w:spacing w:after="120"/>
      <w:ind w:left="566"/>
    </w:pPr>
  </w:style>
  <w:style w:type="paragraph" w:styleId="ListContinue3">
    <w:name w:val="List Continue 3"/>
    <w:basedOn w:val="Normal"/>
    <w:uiPriority w:val="99"/>
    <w:rsid w:val="0043085C"/>
    <w:pPr>
      <w:spacing w:after="120"/>
      <w:ind w:left="849"/>
    </w:pPr>
  </w:style>
  <w:style w:type="paragraph" w:styleId="ListContinue4">
    <w:name w:val="List Continue 4"/>
    <w:basedOn w:val="Normal"/>
    <w:uiPriority w:val="99"/>
    <w:rsid w:val="0043085C"/>
    <w:pPr>
      <w:spacing w:after="120"/>
      <w:ind w:left="1132"/>
    </w:pPr>
  </w:style>
  <w:style w:type="paragraph" w:styleId="ListContinue5">
    <w:name w:val="List Continue 5"/>
    <w:basedOn w:val="Normal"/>
    <w:uiPriority w:val="99"/>
    <w:rsid w:val="0043085C"/>
    <w:pPr>
      <w:spacing w:after="120"/>
      <w:ind w:left="1415"/>
    </w:pPr>
  </w:style>
  <w:style w:type="paragraph" w:styleId="ListNumber">
    <w:name w:val="List Number"/>
    <w:basedOn w:val="Normal"/>
    <w:uiPriority w:val="99"/>
    <w:rsid w:val="0043085C"/>
    <w:pPr>
      <w:numPr>
        <w:numId w:val="29"/>
      </w:numPr>
    </w:pPr>
  </w:style>
  <w:style w:type="paragraph" w:styleId="ListNumber2">
    <w:name w:val="List Number 2"/>
    <w:basedOn w:val="Normal"/>
    <w:uiPriority w:val="99"/>
    <w:rsid w:val="0043085C"/>
    <w:pPr>
      <w:numPr>
        <w:numId w:val="30"/>
      </w:numPr>
    </w:pPr>
  </w:style>
  <w:style w:type="paragraph" w:styleId="ListNumber3">
    <w:name w:val="List Number 3"/>
    <w:basedOn w:val="Normal"/>
    <w:uiPriority w:val="99"/>
    <w:rsid w:val="0043085C"/>
    <w:pPr>
      <w:numPr>
        <w:numId w:val="31"/>
      </w:numPr>
    </w:pPr>
  </w:style>
  <w:style w:type="paragraph" w:styleId="ListNumber4">
    <w:name w:val="List Number 4"/>
    <w:basedOn w:val="Normal"/>
    <w:uiPriority w:val="99"/>
    <w:rsid w:val="0043085C"/>
    <w:pPr>
      <w:numPr>
        <w:numId w:val="32"/>
      </w:numPr>
    </w:pPr>
  </w:style>
  <w:style w:type="paragraph" w:styleId="ListNumber5">
    <w:name w:val="List Number 5"/>
    <w:basedOn w:val="Normal"/>
    <w:uiPriority w:val="99"/>
    <w:rsid w:val="0043085C"/>
    <w:pPr>
      <w:numPr>
        <w:numId w:val="33"/>
      </w:numPr>
    </w:pPr>
  </w:style>
  <w:style w:type="paragraph" w:styleId="MacroText">
    <w:name w:val="macro"/>
    <w:link w:val="MacroTextChar"/>
    <w:uiPriority w:val="99"/>
    <w:semiHidden/>
    <w:rsid w:val="0043085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uiPriority w:val="99"/>
    <w:semiHidden/>
    <w:rPr>
      <w:rFonts w:ascii="Courier New" w:hAnsi="Courier New" w:cs="Courier New"/>
      <w:sz w:val="20"/>
      <w:szCs w:val="20"/>
      <w:lang w:val="en-GB" w:eastAsia="en-US"/>
    </w:rPr>
  </w:style>
  <w:style w:type="paragraph" w:styleId="MessageHeader">
    <w:name w:val="Message Header"/>
    <w:basedOn w:val="Normal"/>
    <w:link w:val="MessageHeaderChar"/>
    <w:uiPriority w:val="99"/>
    <w:rsid w:val="0043085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SimSun" w:hAnsi="Cambria" w:cs="Times New Roman"/>
      <w:sz w:val="24"/>
      <w:szCs w:val="24"/>
      <w:shd w:val="pct20" w:color="auto" w:fill="auto"/>
      <w:lang w:val="en-GB" w:eastAsia="en-US"/>
    </w:rPr>
  </w:style>
  <w:style w:type="paragraph" w:styleId="PlainText">
    <w:name w:val="Plain Text"/>
    <w:basedOn w:val="Normal"/>
    <w:link w:val="PlainTextChar"/>
    <w:uiPriority w:val="99"/>
    <w:rsid w:val="0043085C"/>
    <w:rPr>
      <w:rFonts w:ascii="Courier New" w:hAnsi="Courier New" w:cs="Courier New"/>
      <w:sz w:val="20"/>
    </w:rPr>
  </w:style>
  <w:style w:type="character" w:customStyle="1" w:styleId="PlainTextChar">
    <w:name w:val="Plain Text Char"/>
    <w:link w:val="PlainText"/>
    <w:uiPriority w:val="99"/>
    <w:semiHidden/>
    <w:rPr>
      <w:rFonts w:ascii="Courier New" w:hAnsi="Courier New" w:cs="Courier New"/>
      <w:sz w:val="20"/>
      <w:szCs w:val="20"/>
      <w:lang w:val="en-GB" w:eastAsia="en-US"/>
    </w:rPr>
  </w:style>
  <w:style w:type="paragraph" w:styleId="TableofAuthorities">
    <w:name w:val="table of authorities"/>
    <w:basedOn w:val="Normal"/>
    <w:next w:val="Normal"/>
    <w:uiPriority w:val="99"/>
    <w:semiHidden/>
    <w:rsid w:val="0043085C"/>
    <w:pPr>
      <w:tabs>
        <w:tab w:val="clear" w:pos="567"/>
      </w:tabs>
      <w:ind w:left="220" w:hanging="220"/>
    </w:pPr>
  </w:style>
  <w:style w:type="paragraph" w:styleId="TOAHeading">
    <w:name w:val="toa heading"/>
    <w:basedOn w:val="Normal"/>
    <w:next w:val="Normal"/>
    <w:uiPriority w:val="99"/>
    <w:semiHidden/>
    <w:rsid w:val="0043085C"/>
    <w:pPr>
      <w:spacing w:before="120"/>
    </w:pPr>
    <w:rPr>
      <w:rFonts w:ascii="Arial" w:hAnsi="Arial" w:cs="Arial"/>
      <w:b/>
      <w:bCs/>
      <w:sz w:val="24"/>
      <w:szCs w:val="24"/>
    </w:rPr>
  </w:style>
  <w:style w:type="paragraph" w:styleId="NormalWeb">
    <w:name w:val="Normal (Web)"/>
    <w:basedOn w:val="Normal"/>
    <w:uiPriority w:val="99"/>
    <w:rsid w:val="0043085C"/>
    <w:rPr>
      <w:sz w:val="24"/>
      <w:szCs w:val="24"/>
    </w:rPr>
  </w:style>
  <w:style w:type="paragraph" w:styleId="NormalIndent">
    <w:name w:val="Normal Indent"/>
    <w:basedOn w:val="Normal"/>
    <w:uiPriority w:val="99"/>
    <w:rsid w:val="0043085C"/>
    <w:pPr>
      <w:ind w:left="708"/>
    </w:pPr>
  </w:style>
  <w:style w:type="paragraph" w:styleId="BodyText2">
    <w:name w:val="Body Text 2"/>
    <w:basedOn w:val="Normal"/>
    <w:link w:val="BodyText2Char"/>
    <w:uiPriority w:val="99"/>
    <w:rsid w:val="0043085C"/>
    <w:pPr>
      <w:spacing w:after="120" w:line="480" w:lineRule="auto"/>
    </w:pPr>
  </w:style>
  <w:style w:type="character" w:customStyle="1" w:styleId="BodyText2Char">
    <w:name w:val="Body Text 2 Char"/>
    <w:link w:val="BodyText2"/>
    <w:uiPriority w:val="99"/>
    <w:semiHidden/>
    <w:rPr>
      <w:szCs w:val="20"/>
      <w:lang w:val="en-GB" w:eastAsia="en-US"/>
    </w:rPr>
  </w:style>
  <w:style w:type="paragraph" w:styleId="BodyText3">
    <w:name w:val="Body Text 3"/>
    <w:basedOn w:val="Normal"/>
    <w:link w:val="BodyText3Char"/>
    <w:uiPriority w:val="99"/>
    <w:rsid w:val="0043085C"/>
    <w:pPr>
      <w:spacing w:after="120"/>
    </w:pPr>
    <w:rPr>
      <w:sz w:val="16"/>
      <w:szCs w:val="16"/>
    </w:rPr>
  </w:style>
  <w:style w:type="character" w:customStyle="1" w:styleId="BodyText3Char">
    <w:name w:val="Body Text 3 Char"/>
    <w:link w:val="BodyText3"/>
    <w:uiPriority w:val="99"/>
    <w:semiHidden/>
    <w:rPr>
      <w:sz w:val="16"/>
      <w:szCs w:val="16"/>
      <w:lang w:val="en-GB" w:eastAsia="en-US"/>
    </w:rPr>
  </w:style>
  <w:style w:type="paragraph" w:styleId="BodyTextIndent2">
    <w:name w:val="Body Text Indent 2"/>
    <w:basedOn w:val="Normal"/>
    <w:link w:val="BodyTextIndent2Char"/>
    <w:uiPriority w:val="99"/>
    <w:rsid w:val="0043085C"/>
    <w:pPr>
      <w:spacing w:after="120" w:line="480" w:lineRule="auto"/>
      <w:ind w:left="283"/>
    </w:pPr>
  </w:style>
  <w:style w:type="character" w:customStyle="1" w:styleId="BodyTextIndent2Char">
    <w:name w:val="Body Text Indent 2 Char"/>
    <w:link w:val="BodyTextIndent2"/>
    <w:uiPriority w:val="99"/>
    <w:semiHidden/>
    <w:rPr>
      <w:szCs w:val="20"/>
      <w:lang w:val="en-GB" w:eastAsia="en-US"/>
    </w:rPr>
  </w:style>
  <w:style w:type="paragraph" w:styleId="BodyTextIndent3">
    <w:name w:val="Body Text Indent 3"/>
    <w:basedOn w:val="Normal"/>
    <w:link w:val="BodyTextIndent3Char"/>
    <w:uiPriority w:val="99"/>
    <w:rsid w:val="0043085C"/>
    <w:pPr>
      <w:spacing w:after="120"/>
      <w:ind w:left="283"/>
    </w:pPr>
    <w:rPr>
      <w:sz w:val="16"/>
      <w:szCs w:val="16"/>
    </w:rPr>
  </w:style>
  <w:style w:type="character" w:customStyle="1" w:styleId="BodyTextIndent3Char">
    <w:name w:val="Body Text Indent 3 Char"/>
    <w:link w:val="BodyTextIndent3"/>
    <w:uiPriority w:val="99"/>
    <w:semiHidden/>
    <w:rPr>
      <w:sz w:val="16"/>
      <w:szCs w:val="16"/>
      <w:lang w:val="en-GB" w:eastAsia="en-US"/>
    </w:rPr>
  </w:style>
  <w:style w:type="paragraph" w:styleId="BodyTextFirstIndent">
    <w:name w:val="Body Text First Indent"/>
    <w:basedOn w:val="BodyText"/>
    <w:link w:val="BodyTextFirstIndentChar"/>
    <w:uiPriority w:val="99"/>
    <w:rsid w:val="0043085C"/>
    <w:pPr>
      <w:tabs>
        <w:tab w:val="left" w:pos="567"/>
      </w:tabs>
      <w:spacing w:after="120"/>
      <w:ind w:firstLine="210"/>
    </w:pPr>
    <w:rPr>
      <w:i w:val="0"/>
      <w:color w:val="auto"/>
    </w:rPr>
  </w:style>
  <w:style w:type="character" w:customStyle="1" w:styleId="BodyTextFirstIndentChar">
    <w:name w:val="Body Text First Indent Char"/>
    <w:link w:val="BodyTextFirstIndent"/>
    <w:uiPriority w:val="99"/>
    <w:semiHidden/>
  </w:style>
  <w:style w:type="paragraph" w:styleId="BodyTextIndent">
    <w:name w:val="Body Text Indent"/>
    <w:basedOn w:val="Normal"/>
    <w:link w:val="BodyTextIndentChar"/>
    <w:uiPriority w:val="99"/>
    <w:rsid w:val="0043085C"/>
    <w:pPr>
      <w:spacing w:after="120"/>
      <w:ind w:left="283"/>
    </w:pPr>
  </w:style>
  <w:style w:type="character" w:customStyle="1" w:styleId="BodyTextIndentChar">
    <w:name w:val="Body Text Indent Char"/>
    <w:link w:val="BodyTextIndent"/>
    <w:uiPriority w:val="99"/>
    <w:semiHidden/>
    <w:rPr>
      <w:szCs w:val="20"/>
      <w:lang w:val="en-GB" w:eastAsia="en-US"/>
    </w:rPr>
  </w:style>
  <w:style w:type="paragraph" w:styleId="BodyTextFirstIndent2">
    <w:name w:val="Body Text First Indent 2"/>
    <w:basedOn w:val="BodyTextIndent"/>
    <w:link w:val="BodyTextFirstIndent2Char"/>
    <w:uiPriority w:val="99"/>
    <w:rsid w:val="0043085C"/>
    <w:pPr>
      <w:ind w:firstLine="210"/>
    </w:pPr>
  </w:style>
  <w:style w:type="character" w:customStyle="1" w:styleId="BodyTextFirstIndent2Char">
    <w:name w:val="Body Text First Indent 2 Char"/>
    <w:link w:val="BodyTextFirstIndent2"/>
    <w:uiPriority w:val="99"/>
    <w:semiHidden/>
  </w:style>
  <w:style w:type="paragraph" w:styleId="Title">
    <w:name w:val="Title"/>
    <w:basedOn w:val="Normal"/>
    <w:link w:val="TitleChar"/>
    <w:uiPriority w:val="99"/>
    <w:qFormat/>
    <w:rsid w:val="0043085C"/>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Pr>
      <w:rFonts w:ascii="Cambria" w:eastAsia="SimSun" w:hAnsi="Cambria" w:cs="Times New Roman"/>
      <w:b/>
      <w:bCs/>
      <w:kern w:val="28"/>
      <w:sz w:val="32"/>
      <w:szCs w:val="32"/>
      <w:lang w:val="en-GB" w:eastAsia="en-US"/>
    </w:rPr>
  </w:style>
  <w:style w:type="paragraph" w:styleId="EnvelopeReturn">
    <w:name w:val="envelope return"/>
    <w:basedOn w:val="Normal"/>
    <w:uiPriority w:val="99"/>
    <w:rsid w:val="0043085C"/>
    <w:rPr>
      <w:rFonts w:ascii="Arial" w:hAnsi="Arial" w:cs="Arial"/>
      <w:sz w:val="20"/>
    </w:rPr>
  </w:style>
  <w:style w:type="paragraph" w:styleId="EnvelopeAddress">
    <w:name w:val="envelope address"/>
    <w:basedOn w:val="Normal"/>
    <w:uiPriority w:val="99"/>
    <w:rsid w:val="0043085C"/>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43085C"/>
    <w:pPr>
      <w:ind w:left="4252"/>
    </w:pPr>
  </w:style>
  <w:style w:type="character" w:customStyle="1" w:styleId="SignatureChar">
    <w:name w:val="Signature Char"/>
    <w:link w:val="Signature"/>
    <w:uiPriority w:val="99"/>
    <w:semiHidden/>
    <w:rPr>
      <w:szCs w:val="20"/>
      <w:lang w:val="en-GB" w:eastAsia="en-US"/>
    </w:rPr>
  </w:style>
  <w:style w:type="paragraph" w:styleId="Subtitle">
    <w:name w:val="Subtitle"/>
    <w:basedOn w:val="Normal"/>
    <w:link w:val="SubtitleChar"/>
    <w:uiPriority w:val="99"/>
    <w:qFormat/>
    <w:rsid w:val="0043085C"/>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SimSun" w:hAnsi="Cambria" w:cs="Times New Roman"/>
      <w:sz w:val="24"/>
      <w:szCs w:val="24"/>
      <w:lang w:val="en-GB" w:eastAsia="en-US"/>
    </w:rPr>
  </w:style>
  <w:style w:type="paragraph" w:styleId="TOC1">
    <w:name w:val="toc 1"/>
    <w:basedOn w:val="Normal"/>
    <w:next w:val="Normal"/>
    <w:autoRedefine/>
    <w:uiPriority w:val="99"/>
    <w:semiHidden/>
    <w:rsid w:val="0043085C"/>
    <w:pPr>
      <w:tabs>
        <w:tab w:val="clear" w:pos="567"/>
      </w:tabs>
    </w:pPr>
  </w:style>
  <w:style w:type="paragraph" w:styleId="TOC2">
    <w:name w:val="toc 2"/>
    <w:basedOn w:val="Normal"/>
    <w:next w:val="Normal"/>
    <w:autoRedefine/>
    <w:uiPriority w:val="99"/>
    <w:semiHidden/>
    <w:rsid w:val="0043085C"/>
    <w:pPr>
      <w:tabs>
        <w:tab w:val="clear" w:pos="567"/>
      </w:tabs>
      <w:ind w:left="220"/>
    </w:pPr>
  </w:style>
  <w:style w:type="paragraph" w:styleId="TOC3">
    <w:name w:val="toc 3"/>
    <w:basedOn w:val="Normal"/>
    <w:next w:val="Normal"/>
    <w:autoRedefine/>
    <w:uiPriority w:val="99"/>
    <w:semiHidden/>
    <w:rsid w:val="0043085C"/>
    <w:pPr>
      <w:tabs>
        <w:tab w:val="clear" w:pos="567"/>
      </w:tabs>
      <w:ind w:left="440"/>
    </w:pPr>
  </w:style>
  <w:style w:type="paragraph" w:styleId="TOC4">
    <w:name w:val="toc 4"/>
    <w:basedOn w:val="Normal"/>
    <w:next w:val="Normal"/>
    <w:autoRedefine/>
    <w:uiPriority w:val="99"/>
    <w:semiHidden/>
    <w:rsid w:val="0043085C"/>
    <w:pPr>
      <w:tabs>
        <w:tab w:val="clear" w:pos="567"/>
      </w:tabs>
      <w:ind w:left="660"/>
    </w:pPr>
  </w:style>
  <w:style w:type="paragraph" w:styleId="TOC5">
    <w:name w:val="toc 5"/>
    <w:basedOn w:val="Normal"/>
    <w:next w:val="Normal"/>
    <w:autoRedefine/>
    <w:uiPriority w:val="99"/>
    <w:semiHidden/>
    <w:rsid w:val="0043085C"/>
    <w:pPr>
      <w:tabs>
        <w:tab w:val="clear" w:pos="567"/>
      </w:tabs>
      <w:ind w:left="880"/>
    </w:pPr>
  </w:style>
  <w:style w:type="paragraph" w:styleId="TOC6">
    <w:name w:val="toc 6"/>
    <w:basedOn w:val="Normal"/>
    <w:next w:val="Normal"/>
    <w:autoRedefine/>
    <w:uiPriority w:val="99"/>
    <w:semiHidden/>
    <w:rsid w:val="0043085C"/>
    <w:pPr>
      <w:tabs>
        <w:tab w:val="clear" w:pos="567"/>
      </w:tabs>
      <w:ind w:left="1100"/>
    </w:pPr>
  </w:style>
  <w:style w:type="paragraph" w:styleId="TOC7">
    <w:name w:val="toc 7"/>
    <w:basedOn w:val="Normal"/>
    <w:next w:val="Normal"/>
    <w:autoRedefine/>
    <w:uiPriority w:val="99"/>
    <w:semiHidden/>
    <w:rsid w:val="0043085C"/>
    <w:pPr>
      <w:tabs>
        <w:tab w:val="clear" w:pos="567"/>
      </w:tabs>
      <w:ind w:left="1320"/>
    </w:pPr>
  </w:style>
  <w:style w:type="paragraph" w:styleId="TOC8">
    <w:name w:val="toc 8"/>
    <w:basedOn w:val="Normal"/>
    <w:next w:val="Normal"/>
    <w:autoRedefine/>
    <w:uiPriority w:val="99"/>
    <w:semiHidden/>
    <w:rsid w:val="0043085C"/>
    <w:pPr>
      <w:tabs>
        <w:tab w:val="clear" w:pos="567"/>
      </w:tabs>
      <w:ind w:left="1540"/>
    </w:pPr>
  </w:style>
  <w:style w:type="paragraph" w:styleId="TOC9">
    <w:name w:val="toc 9"/>
    <w:basedOn w:val="Normal"/>
    <w:next w:val="Normal"/>
    <w:autoRedefine/>
    <w:uiPriority w:val="99"/>
    <w:semiHidden/>
    <w:rsid w:val="0043085C"/>
    <w:pPr>
      <w:tabs>
        <w:tab w:val="clear" w:pos="567"/>
      </w:tabs>
      <w:ind w:left="1760"/>
    </w:pPr>
  </w:style>
  <w:style w:type="paragraph" w:styleId="TOCHeading">
    <w:name w:val="TOC Heading"/>
    <w:basedOn w:val="Heading1"/>
    <w:next w:val="Normal"/>
    <w:uiPriority w:val="39"/>
    <w:semiHidden/>
    <w:unhideWhenUsed/>
    <w:qFormat/>
    <w:rsid w:val="00454FFF"/>
    <w:pPr>
      <w:outlineLvl w:val="9"/>
    </w:pPr>
    <w:rPr>
      <w:rFonts w:ascii="Cambria" w:eastAsia="Times New Roman" w:hAnsi="Cambria" w:cs="Times New Roman"/>
    </w:rPr>
  </w:style>
  <w:style w:type="paragraph" w:styleId="IntenseQuote">
    <w:name w:val="Intense Quote"/>
    <w:basedOn w:val="Normal"/>
    <w:next w:val="Normal"/>
    <w:link w:val="IntenseQuoteChar"/>
    <w:uiPriority w:val="30"/>
    <w:qFormat/>
    <w:rsid w:val="00454FF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54FFF"/>
    <w:rPr>
      <w:b/>
      <w:bCs/>
      <w:i/>
      <w:iCs/>
      <w:color w:val="4F81BD"/>
      <w:sz w:val="22"/>
      <w:lang w:val="en-GB" w:eastAsia="en-US"/>
    </w:rPr>
  </w:style>
  <w:style w:type="paragraph" w:styleId="NoSpacing">
    <w:name w:val="No Spacing"/>
    <w:uiPriority w:val="1"/>
    <w:qFormat/>
    <w:rsid w:val="00454FFF"/>
    <w:pPr>
      <w:tabs>
        <w:tab w:val="left" w:pos="567"/>
      </w:tabs>
    </w:pPr>
    <w:rPr>
      <w:sz w:val="22"/>
      <w:lang w:val="en-GB" w:eastAsia="en-US"/>
    </w:rPr>
  </w:style>
  <w:style w:type="paragraph" w:styleId="ListParagraph">
    <w:name w:val="List Paragraph"/>
    <w:basedOn w:val="Normal"/>
    <w:uiPriority w:val="34"/>
    <w:qFormat/>
    <w:rsid w:val="00454FFF"/>
    <w:pPr>
      <w:ind w:left="708"/>
    </w:pPr>
  </w:style>
  <w:style w:type="paragraph" w:styleId="Bibliography">
    <w:name w:val="Bibliography"/>
    <w:basedOn w:val="Normal"/>
    <w:next w:val="Normal"/>
    <w:uiPriority w:val="37"/>
    <w:semiHidden/>
    <w:unhideWhenUsed/>
    <w:rsid w:val="00454FFF"/>
  </w:style>
  <w:style w:type="paragraph" w:styleId="Quote">
    <w:name w:val="Quote"/>
    <w:basedOn w:val="Normal"/>
    <w:next w:val="Normal"/>
    <w:link w:val="QuoteChar"/>
    <w:uiPriority w:val="29"/>
    <w:qFormat/>
    <w:rsid w:val="00454FFF"/>
    <w:rPr>
      <w:i/>
      <w:iCs/>
      <w:color w:val="000000"/>
    </w:rPr>
  </w:style>
  <w:style w:type="character" w:customStyle="1" w:styleId="QuoteChar">
    <w:name w:val="Quote Char"/>
    <w:link w:val="Quote"/>
    <w:uiPriority w:val="29"/>
    <w:rsid w:val="00454FFF"/>
    <w:rPr>
      <w:i/>
      <w:iCs/>
      <w:color w:val="000000"/>
      <w:sz w:val="22"/>
      <w:lang w:val="en-GB" w:eastAsia="en-US"/>
    </w:rPr>
  </w:style>
  <w:style w:type="paragraph" w:styleId="Revision">
    <w:name w:val="Revision"/>
    <w:hidden/>
    <w:uiPriority w:val="99"/>
    <w:semiHidden/>
    <w:rsid w:val="00903B5A"/>
    <w:rPr>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a.europa.eu"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ma.europa.eu"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88470A-2B25-47C1-84D9-B60B8147765F}">
  <ds:schemaRefs>
    <ds:schemaRef ds:uri="http://schemas.openxmlformats.org/officeDocument/2006/bibliography"/>
  </ds:schemaRefs>
</ds:datastoreItem>
</file>

<file path=customXml/itemProps2.xml><?xml version="1.0" encoding="utf-8"?>
<ds:datastoreItem xmlns:ds="http://schemas.openxmlformats.org/officeDocument/2006/customXml" ds:itemID="{F5C27DF2-0803-4337-A99F-7F807276483A}"/>
</file>

<file path=customXml/itemProps3.xml><?xml version="1.0" encoding="utf-8"?>
<ds:datastoreItem xmlns:ds="http://schemas.openxmlformats.org/officeDocument/2006/customXml" ds:itemID="{7A7BF149-F70F-4A3B-B52D-ED511E72120D}"/>
</file>

<file path=customXml/itemProps4.xml><?xml version="1.0" encoding="utf-8"?>
<ds:datastoreItem xmlns:ds="http://schemas.openxmlformats.org/officeDocument/2006/customXml" ds:itemID="{B3F29B02-DA0B-49B4-9881-39817AA7EACB}"/>
</file>

<file path=docProps/app.xml><?xml version="1.0" encoding="utf-8"?>
<Properties xmlns="http://schemas.openxmlformats.org/officeDocument/2006/extended-properties" xmlns:vt="http://schemas.openxmlformats.org/officeDocument/2006/docPropsVTypes">
  <Template>Normal</Template>
  <TotalTime>0</TotalTime>
  <Pages>41</Pages>
  <Words>10656</Words>
  <Characters>61003</Characters>
  <Application>Microsoft Office Word</Application>
  <DocSecurity>0</DocSecurity>
  <Lines>508</Lines>
  <Paragraphs>143</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71516</CharactersWithSpaces>
  <SharedDoc>false</SharedDoc>
  <HLinks>
    <vt:vector size="30" baseType="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2019-04-23T10:07:00Z</dcterms:created>
  <dcterms:modified xsi:type="dcterms:W3CDTF">2021-05-18T11:52:00Z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2021-05-18T11:52:08Z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60c6503e-a6f9-47d9-b988-beb8ed2504f1</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