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FB01EF" w:rsidRDefault="00D86EB7" w:rsidP="00496272">
      <w:pPr>
        <w:widowControl w:val="0"/>
        <w:tabs>
          <w:tab w:val="clear" w:pos="567"/>
        </w:tabs>
        <w:jc w:val="center"/>
        <w:rPr>
          <w:b/>
          <w:noProof/>
          <w:szCs w:val="22"/>
          <w:lang w:val="it-IT"/>
        </w:rPr>
      </w:pPr>
      <w:bookmarkStart w:id="0" w:name="_GoBack"/>
      <w:bookmarkEnd w:id="0"/>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812D16" w:rsidRPr="00FB01EF" w:rsidRDefault="00812D16" w:rsidP="00496272">
      <w:pPr>
        <w:tabs>
          <w:tab w:val="left" w:pos="-1440"/>
          <w:tab w:val="left" w:pos="-720"/>
        </w:tabs>
        <w:jc w:val="center"/>
        <w:rPr>
          <w:b/>
          <w:noProof/>
          <w:szCs w:val="22"/>
          <w:lang w:val="it-IT"/>
        </w:rPr>
      </w:pPr>
    </w:p>
    <w:p w:rsidR="00AF53F8" w:rsidRPr="00FB01EF" w:rsidRDefault="00AF53F8" w:rsidP="00AF53F8">
      <w:pPr>
        <w:ind w:left="3549" w:right="3516"/>
        <w:jc w:val="center"/>
        <w:rPr>
          <w:szCs w:val="22"/>
          <w:lang w:val="it-IT"/>
        </w:rPr>
      </w:pPr>
      <w:r w:rsidRPr="00FB01EF">
        <w:rPr>
          <w:b/>
          <w:bCs/>
          <w:szCs w:val="22"/>
          <w:lang w:val="it-IT"/>
        </w:rPr>
        <w:t>ALLEGATO I</w:t>
      </w:r>
    </w:p>
    <w:p w:rsidR="00AF53F8" w:rsidRPr="00FB01EF" w:rsidRDefault="00AF53F8" w:rsidP="00AF53F8">
      <w:pPr>
        <w:rPr>
          <w:szCs w:val="22"/>
          <w:lang w:val="it-IT"/>
        </w:rPr>
      </w:pPr>
    </w:p>
    <w:p w:rsidR="00AF53F8" w:rsidRPr="00FB01EF" w:rsidRDefault="00AF53F8" w:rsidP="00FB17A2">
      <w:pPr>
        <w:pStyle w:val="TitleA"/>
        <w:rPr>
          <w:lang w:val="it-IT"/>
        </w:rPr>
      </w:pPr>
      <w:r w:rsidRPr="00FB01EF">
        <w:rPr>
          <w:lang w:val="it-IT"/>
        </w:rPr>
        <w:t>RIASSUNTO DELLE CARATTERISTICHE DEL PRODOTTO</w:t>
      </w:r>
    </w:p>
    <w:p w:rsidR="00812D16" w:rsidRPr="00FB01EF" w:rsidRDefault="00812D16" w:rsidP="00496272">
      <w:pPr>
        <w:tabs>
          <w:tab w:val="left" w:pos="-1440"/>
          <w:tab w:val="left" w:pos="-720"/>
        </w:tabs>
        <w:jc w:val="center"/>
        <w:rPr>
          <w:noProof/>
          <w:szCs w:val="22"/>
          <w:lang w:val="it-IT"/>
        </w:rPr>
      </w:pPr>
    </w:p>
    <w:p w:rsidR="00EF2483" w:rsidRPr="00FB01EF" w:rsidRDefault="00812D16" w:rsidP="00496272">
      <w:pPr>
        <w:widowControl w:val="0"/>
        <w:rPr>
          <w:noProof/>
          <w:szCs w:val="22"/>
          <w:lang w:val="it-IT"/>
        </w:rPr>
      </w:pPr>
      <w:r w:rsidRPr="00FB01EF">
        <w:rPr>
          <w:noProof/>
          <w:szCs w:val="22"/>
          <w:lang w:val="it-IT"/>
        </w:rPr>
        <w:br w:type="page"/>
      </w:r>
    </w:p>
    <w:p w:rsidR="00EF2483" w:rsidRPr="00FB01EF" w:rsidRDefault="00EF2483" w:rsidP="00496272">
      <w:pPr>
        <w:widowControl w:val="0"/>
        <w:rPr>
          <w:noProof/>
          <w:szCs w:val="22"/>
          <w:lang w:val="it-IT"/>
        </w:rPr>
      </w:pPr>
    </w:p>
    <w:p w:rsidR="00812D16" w:rsidRPr="00FB01EF" w:rsidRDefault="00812D16" w:rsidP="00496272">
      <w:pPr>
        <w:widowControl w:val="0"/>
        <w:rPr>
          <w:noProof/>
          <w:szCs w:val="22"/>
          <w:lang w:val="it-IT"/>
        </w:rPr>
      </w:pPr>
      <w:r w:rsidRPr="00FB01EF">
        <w:rPr>
          <w:b/>
          <w:noProof/>
          <w:szCs w:val="22"/>
          <w:lang w:val="it-IT"/>
        </w:rPr>
        <w:t>1.</w:t>
      </w:r>
      <w:r w:rsidRPr="00FB01EF">
        <w:rPr>
          <w:b/>
          <w:noProof/>
          <w:szCs w:val="22"/>
          <w:lang w:val="it-IT"/>
        </w:rPr>
        <w:tab/>
      </w:r>
      <w:r w:rsidR="00AF53F8" w:rsidRPr="00FB01EF">
        <w:rPr>
          <w:b/>
          <w:bCs/>
          <w:szCs w:val="22"/>
          <w:lang w:val="it-IT"/>
        </w:rPr>
        <w:t>DENOMINAZIONE DEL MEDICINALE</w:t>
      </w:r>
    </w:p>
    <w:p w:rsidR="00F25477" w:rsidRPr="00FB01EF" w:rsidRDefault="00F25477" w:rsidP="00496272">
      <w:pPr>
        <w:widowControl w:val="0"/>
        <w:rPr>
          <w:noProof/>
          <w:szCs w:val="22"/>
          <w:lang w:val="it-IT"/>
        </w:rPr>
      </w:pPr>
    </w:p>
    <w:p w:rsidR="00AF53F8" w:rsidRPr="00FB01EF" w:rsidRDefault="00626B93" w:rsidP="00BE4871">
      <w:pPr>
        <w:ind w:right="-20"/>
        <w:rPr>
          <w:szCs w:val="22"/>
          <w:lang w:val="it-IT"/>
        </w:rPr>
      </w:pPr>
      <w:r w:rsidRPr="00FB01EF">
        <w:rPr>
          <w:szCs w:val="22"/>
          <w:lang w:val="it-IT"/>
        </w:rPr>
        <w:t>Ovaleap</w:t>
      </w:r>
      <w:r w:rsidR="00AF53F8" w:rsidRPr="00FB01EF">
        <w:rPr>
          <w:szCs w:val="22"/>
          <w:lang w:val="it-IT"/>
        </w:rPr>
        <w:t xml:space="preserve"> 300</w:t>
      </w:r>
      <w:r w:rsidRPr="00FB01EF">
        <w:rPr>
          <w:szCs w:val="22"/>
          <w:lang w:val="it-IT"/>
        </w:rPr>
        <w:t> </w:t>
      </w:r>
      <w:r w:rsidR="00AF53F8" w:rsidRPr="00FB01EF">
        <w:rPr>
          <w:szCs w:val="22"/>
          <w:lang w:val="it-IT"/>
        </w:rPr>
        <w:t>UI/0,</w:t>
      </w:r>
      <w:r w:rsidRPr="00FB01EF">
        <w:rPr>
          <w:szCs w:val="22"/>
          <w:lang w:val="it-IT"/>
        </w:rPr>
        <w:t>5 mL</w:t>
      </w:r>
      <w:r w:rsidR="00871F0F" w:rsidRPr="00FB01EF">
        <w:rPr>
          <w:szCs w:val="22"/>
          <w:lang w:val="it-IT"/>
        </w:rPr>
        <w:t xml:space="preserve"> </w:t>
      </w:r>
      <w:r w:rsidR="00AF53F8" w:rsidRPr="00FB01EF">
        <w:rPr>
          <w:szCs w:val="22"/>
          <w:lang w:val="it-IT"/>
        </w:rPr>
        <w:t>soluzione iniettabile</w:t>
      </w:r>
    </w:p>
    <w:p w:rsidR="00B515C1" w:rsidRPr="00FB01EF" w:rsidRDefault="00B515C1" w:rsidP="00BE4871">
      <w:pPr>
        <w:ind w:right="-20"/>
        <w:rPr>
          <w:szCs w:val="22"/>
          <w:lang w:val="it-IT"/>
        </w:rPr>
      </w:pPr>
      <w:r w:rsidRPr="00FB01EF">
        <w:rPr>
          <w:szCs w:val="22"/>
          <w:lang w:val="it-IT"/>
        </w:rPr>
        <w:t>Ovaleap 450 UI/0,75 mL soluzione iniettabile</w:t>
      </w:r>
    </w:p>
    <w:p w:rsidR="00B515C1" w:rsidRPr="00FB01EF" w:rsidRDefault="00B515C1" w:rsidP="00BE4871">
      <w:pPr>
        <w:ind w:right="-20"/>
        <w:rPr>
          <w:szCs w:val="22"/>
          <w:lang w:val="it-IT"/>
        </w:rPr>
      </w:pPr>
      <w:r w:rsidRPr="00FB01EF">
        <w:rPr>
          <w:szCs w:val="22"/>
          <w:lang w:val="it-IT"/>
        </w:rPr>
        <w:t>Ovaleap 900 UI/1,5 mL soluzione iniettabile</w:t>
      </w:r>
    </w:p>
    <w:p w:rsidR="00626B93" w:rsidRPr="00FB01EF" w:rsidRDefault="00626B93" w:rsidP="00BE4871">
      <w:pPr>
        <w:ind w:right="-20"/>
        <w:rPr>
          <w:szCs w:val="22"/>
          <w:lang w:val="it-IT"/>
        </w:rPr>
      </w:pPr>
    </w:p>
    <w:p w:rsidR="00812D16" w:rsidRPr="00FB01EF" w:rsidRDefault="00812D16" w:rsidP="00496272">
      <w:pPr>
        <w:rPr>
          <w:iCs/>
          <w:noProof/>
          <w:szCs w:val="22"/>
          <w:lang w:val="it-IT"/>
        </w:rPr>
      </w:pPr>
    </w:p>
    <w:p w:rsidR="00812D16" w:rsidRPr="00FB01EF" w:rsidRDefault="00812D16" w:rsidP="00496272">
      <w:pPr>
        <w:widowControl w:val="0"/>
        <w:rPr>
          <w:noProof/>
          <w:szCs w:val="22"/>
          <w:lang w:val="it-IT"/>
        </w:rPr>
      </w:pPr>
      <w:r w:rsidRPr="00FB01EF">
        <w:rPr>
          <w:b/>
          <w:noProof/>
          <w:szCs w:val="22"/>
          <w:lang w:val="it-IT"/>
        </w:rPr>
        <w:t>2.</w:t>
      </w:r>
      <w:r w:rsidRPr="00FB01EF">
        <w:rPr>
          <w:b/>
          <w:noProof/>
          <w:szCs w:val="22"/>
          <w:lang w:val="it-IT"/>
        </w:rPr>
        <w:tab/>
      </w:r>
      <w:r w:rsidR="00AF53F8" w:rsidRPr="00FB01EF">
        <w:rPr>
          <w:b/>
          <w:bCs/>
          <w:szCs w:val="22"/>
          <w:lang w:val="it-IT"/>
        </w:rPr>
        <w:t>COMPOSIZIONE QUALITATIVA E QUANTITATIVA</w:t>
      </w:r>
    </w:p>
    <w:p w:rsidR="0003335D" w:rsidRPr="00FB01EF" w:rsidRDefault="0003335D" w:rsidP="00496272">
      <w:pPr>
        <w:rPr>
          <w:noProof/>
          <w:szCs w:val="22"/>
          <w:lang w:val="it-IT"/>
        </w:rPr>
      </w:pPr>
    </w:p>
    <w:p w:rsidR="00626B93" w:rsidRPr="00FB01EF" w:rsidRDefault="00D97CC7" w:rsidP="00BE4871">
      <w:pPr>
        <w:tabs>
          <w:tab w:val="clear" w:pos="567"/>
        </w:tabs>
        <w:ind w:right="544"/>
        <w:rPr>
          <w:szCs w:val="22"/>
          <w:lang w:val="it-IT"/>
        </w:rPr>
      </w:pPr>
      <w:r w:rsidRPr="00FB01EF">
        <w:rPr>
          <w:szCs w:val="22"/>
          <w:lang w:val="it-IT"/>
        </w:rPr>
        <w:t>Ogni</w:t>
      </w:r>
      <w:r w:rsidR="00AF53F8" w:rsidRPr="00FB01EF">
        <w:rPr>
          <w:szCs w:val="22"/>
          <w:lang w:val="it-IT"/>
        </w:rPr>
        <w:t xml:space="preserve"> m</w:t>
      </w:r>
      <w:r w:rsidR="00626B93" w:rsidRPr="00FB01EF">
        <w:rPr>
          <w:szCs w:val="22"/>
          <w:lang w:val="it-IT"/>
        </w:rPr>
        <w:t>L</w:t>
      </w:r>
      <w:r w:rsidR="00AF53F8" w:rsidRPr="00FB01EF">
        <w:rPr>
          <w:szCs w:val="22"/>
          <w:lang w:val="it-IT"/>
        </w:rPr>
        <w:t xml:space="preserve"> della soluzione contiene </w:t>
      </w:r>
      <w:r w:rsidR="00626B93" w:rsidRPr="00FB01EF">
        <w:rPr>
          <w:szCs w:val="22"/>
          <w:lang w:val="it-IT"/>
        </w:rPr>
        <w:t>600 </w:t>
      </w:r>
      <w:r w:rsidR="00AF53F8" w:rsidRPr="00FB01EF">
        <w:rPr>
          <w:szCs w:val="22"/>
          <w:lang w:val="it-IT"/>
        </w:rPr>
        <w:t xml:space="preserve">UI </w:t>
      </w:r>
      <w:r w:rsidR="00EF2483" w:rsidRPr="00FB01EF">
        <w:rPr>
          <w:noProof/>
          <w:color w:val="000000"/>
          <w:szCs w:val="22"/>
          <w:lang w:val="it-IT"/>
        </w:rPr>
        <w:t xml:space="preserve">(equivalenti a 44 microgrammi) </w:t>
      </w:r>
      <w:r w:rsidR="00AF53F8" w:rsidRPr="00FB01EF">
        <w:rPr>
          <w:szCs w:val="22"/>
          <w:lang w:val="it-IT"/>
        </w:rPr>
        <w:t>di follitropina alfa</w:t>
      </w:r>
      <w:r w:rsidR="00EF2483" w:rsidRPr="00FB01EF">
        <w:rPr>
          <w:szCs w:val="22"/>
          <w:lang w:val="it-IT"/>
        </w:rPr>
        <w:t>*.</w:t>
      </w:r>
    </w:p>
    <w:p w:rsidR="00B515C1" w:rsidRPr="00FB01EF" w:rsidRDefault="00B515C1" w:rsidP="00BE4871">
      <w:pPr>
        <w:tabs>
          <w:tab w:val="clear" w:pos="567"/>
        </w:tabs>
        <w:ind w:right="544"/>
        <w:rPr>
          <w:szCs w:val="22"/>
          <w:lang w:val="it-IT"/>
        </w:rPr>
      </w:pPr>
    </w:p>
    <w:p w:rsidR="00B515C1" w:rsidRPr="00FB01EF" w:rsidRDefault="00B515C1" w:rsidP="00BE4871">
      <w:pPr>
        <w:tabs>
          <w:tab w:val="clear" w:pos="567"/>
        </w:tabs>
        <w:ind w:right="544"/>
        <w:rPr>
          <w:szCs w:val="22"/>
          <w:u w:val="single"/>
          <w:lang w:val="it-IT"/>
        </w:rPr>
      </w:pPr>
      <w:r w:rsidRPr="00FB01EF">
        <w:rPr>
          <w:szCs w:val="22"/>
          <w:u w:val="single"/>
          <w:lang w:val="it-IT"/>
        </w:rPr>
        <w:t>Ovaleap 300 UI/0,5 mL soluzione iniettabile</w:t>
      </w:r>
    </w:p>
    <w:p w:rsidR="00626B93" w:rsidRPr="00FB01EF" w:rsidRDefault="00D97CC7" w:rsidP="00BE4871">
      <w:pPr>
        <w:tabs>
          <w:tab w:val="clear" w:pos="567"/>
        </w:tabs>
        <w:ind w:right="544"/>
        <w:rPr>
          <w:szCs w:val="22"/>
          <w:lang w:val="it-IT"/>
        </w:rPr>
      </w:pPr>
      <w:r w:rsidRPr="00FB01EF">
        <w:rPr>
          <w:szCs w:val="22"/>
          <w:lang w:val="it-IT"/>
        </w:rPr>
        <w:t>Ogni</w:t>
      </w:r>
      <w:r w:rsidR="00626B93" w:rsidRPr="00FB01EF">
        <w:rPr>
          <w:szCs w:val="22"/>
          <w:lang w:val="it-IT"/>
        </w:rPr>
        <w:t xml:space="preserve"> cartuccia contiene 300 UI </w:t>
      </w:r>
      <w:r w:rsidR="00EF2483" w:rsidRPr="00FB01EF">
        <w:rPr>
          <w:noProof/>
          <w:color w:val="000000"/>
          <w:szCs w:val="22"/>
          <w:lang w:val="it-IT"/>
        </w:rPr>
        <w:t xml:space="preserve">(equivalenti a 22 microgrammi) </w:t>
      </w:r>
      <w:r w:rsidR="00626B93" w:rsidRPr="00FB01EF">
        <w:rPr>
          <w:szCs w:val="22"/>
          <w:lang w:val="it-IT"/>
        </w:rPr>
        <w:t>di follitropina alfa in 0,5 mL di soluzione iniettabile.</w:t>
      </w:r>
    </w:p>
    <w:p w:rsidR="00B515C1" w:rsidRPr="00FB01EF" w:rsidRDefault="00B515C1" w:rsidP="00BE4871">
      <w:pPr>
        <w:tabs>
          <w:tab w:val="clear" w:pos="567"/>
        </w:tabs>
        <w:ind w:right="544"/>
        <w:rPr>
          <w:szCs w:val="22"/>
          <w:lang w:val="it-IT"/>
        </w:rPr>
      </w:pPr>
    </w:p>
    <w:p w:rsidR="00B515C1" w:rsidRPr="00FB01EF" w:rsidRDefault="00B515C1" w:rsidP="00BE4871">
      <w:pPr>
        <w:tabs>
          <w:tab w:val="clear" w:pos="567"/>
        </w:tabs>
        <w:ind w:right="544"/>
        <w:rPr>
          <w:szCs w:val="22"/>
          <w:u w:val="single"/>
          <w:lang w:val="it-IT"/>
        </w:rPr>
      </w:pPr>
      <w:r w:rsidRPr="00FB01EF">
        <w:rPr>
          <w:szCs w:val="22"/>
          <w:u w:val="single"/>
          <w:lang w:val="it-IT"/>
        </w:rPr>
        <w:t>Ovaleap 450 UI/0,75 mL soluzione iniettabile</w:t>
      </w:r>
    </w:p>
    <w:p w:rsidR="00B515C1" w:rsidRPr="00FB01EF" w:rsidRDefault="00B515C1" w:rsidP="00BE4871">
      <w:pPr>
        <w:tabs>
          <w:tab w:val="clear" w:pos="567"/>
        </w:tabs>
        <w:ind w:right="544"/>
        <w:rPr>
          <w:szCs w:val="22"/>
          <w:lang w:val="it-IT"/>
        </w:rPr>
      </w:pPr>
      <w:r w:rsidRPr="00FB01EF">
        <w:rPr>
          <w:szCs w:val="22"/>
          <w:lang w:val="it-IT"/>
        </w:rPr>
        <w:t>Ogni cartuccia contiene 450 UI (equivalenti a 33 microgrammi) di follitropina alfa in 0,75 mL di soluzione iniettabile.</w:t>
      </w:r>
    </w:p>
    <w:p w:rsidR="00B515C1" w:rsidRPr="00FB01EF" w:rsidRDefault="00B515C1" w:rsidP="00BE4871">
      <w:pPr>
        <w:tabs>
          <w:tab w:val="clear" w:pos="567"/>
        </w:tabs>
        <w:ind w:right="544"/>
        <w:rPr>
          <w:szCs w:val="22"/>
          <w:lang w:val="it-IT"/>
        </w:rPr>
      </w:pPr>
    </w:p>
    <w:p w:rsidR="00B515C1" w:rsidRPr="00FB01EF" w:rsidRDefault="00B515C1" w:rsidP="00BE4871">
      <w:pPr>
        <w:tabs>
          <w:tab w:val="clear" w:pos="567"/>
        </w:tabs>
        <w:ind w:right="544"/>
        <w:rPr>
          <w:szCs w:val="22"/>
          <w:u w:val="single"/>
          <w:lang w:val="it-IT"/>
        </w:rPr>
      </w:pPr>
      <w:r w:rsidRPr="00FB01EF">
        <w:rPr>
          <w:szCs w:val="22"/>
          <w:u w:val="single"/>
          <w:lang w:val="it-IT"/>
        </w:rPr>
        <w:t>Ovaleap 900 UI/1,5 mL soluzione iniettabile</w:t>
      </w:r>
    </w:p>
    <w:p w:rsidR="00626B93" w:rsidRPr="00FB01EF" w:rsidRDefault="00B515C1" w:rsidP="00BE4871">
      <w:pPr>
        <w:tabs>
          <w:tab w:val="clear" w:pos="567"/>
        </w:tabs>
        <w:ind w:right="544"/>
        <w:rPr>
          <w:szCs w:val="22"/>
          <w:lang w:val="it-IT"/>
        </w:rPr>
      </w:pPr>
      <w:r w:rsidRPr="00FB01EF">
        <w:rPr>
          <w:szCs w:val="22"/>
          <w:lang w:val="it-IT"/>
        </w:rPr>
        <w:t>Ogni cartuccia contiene 900 UI (equivalenti a 66 microgrammi) di follitropina alfa in 1,5 mL di soluzione iniettabile.</w:t>
      </w:r>
    </w:p>
    <w:p w:rsidR="00B515C1" w:rsidRPr="00FB01EF" w:rsidRDefault="00B515C1" w:rsidP="00BE4871">
      <w:pPr>
        <w:tabs>
          <w:tab w:val="clear" w:pos="567"/>
        </w:tabs>
        <w:ind w:right="544"/>
        <w:rPr>
          <w:szCs w:val="22"/>
          <w:lang w:val="it-IT"/>
        </w:rPr>
      </w:pPr>
    </w:p>
    <w:p w:rsidR="00AF53F8" w:rsidRPr="00FB01EF" w:rsidRDefault="00EF2483" w:rsidP="00BE4871">
      <w:pPr>
        <w:tabs>
          <w:tab w:val="clear" w:pos="567"/>
        </w:tabs>
        <w:ind w:right="61"/>
        <w:rPr>
          <w:szCs w:val="22"/>
          <w:lang w:val="it-IT"/>
        </w:rPr>
      </w:pPr>
      <w:r w:rsidRPr="00FB01EF">
        <w:rPr>
          <w:szCs w:val="22"/>
          <w:lang w:val="it-IT"/>
        </w:rPr>
        <w:t>*</w:t>
      </w:r>
      <w:r w:rsidR="00626B93" w:rsidRPr="00FB01EF">
        <w:rPr>
          <w:szCs w:val="22"/>
          <w:lang w:val="it-IT"/>
        </w:rPr>
        <w:t>La follitropina alfa (</w:t>
      </w:r>
      <w:r w:rsidR="00AF53F8" w:rsidRPr="00FB01EF">
        <w:rPr>
          <w:szCs w:val="22"/>
          <w:lang w:val="it-IT"/>
        </w:rPr>
        <w:t xml:space="preserve">ormone follicolostimolante ricombinante umano </w:t>
      </w:r>
      <w:r w:rsidR="00AB07F7" w:rsidRPr="00FB01EF">
        <w:rPr>
          <w:szCs w:val="22"/>
          <w:lang w:val="it-IT"/>
        </w:rPr>
        <w:t>[</w:t>
      </w:r>
      <w:r w:rsidR="00024F5E" w:rsidRPr="00FB01EF">
        <w:rPr>
          <w:bCs/>
          <w:i/>
          <w:color w:val="000000"/>
          <w:szCs w:val="22"/>
          <w:lang w:val="it-IT"/>
        </w:rPr>
        <w:t>recombinant human follicle</w:t>
      </w:r>
      <w:r w:rsidR="00024F5E" w:rsidRPr="00FB01EF">
        <w:rPr>
          <w:bCs/>
          <w:i/>
          <w:color w:val="000000"/>
          <w:szCs w:val="22"/>
          <w:lang w:val="it-IT"/>
        </w:rPr>
        <w:noBreakHyphen/>
        <w:t>stimulating hormone</w:t>
      </w:r>
      <w:r w:rsidR="00024F5E" w:rsidRPr="00FB01EF">
        <w:rPr>
          <w:bCs/>
          <w:color w:val="000000"/>
          <w:szCs w:val="22"/>
          <w:lang w:val="it-IT"/>
        </w:rPr>
        <w:t xml:space="preserve">, </w:t>
      </w:r>
      <w:r w:rsidR="00AF53F8" w:rsidRPr="00FB01EF">
        <w:rPr>
          <w:szCs w:val="22"/>
          <w:lang w:val="it-IT"/>
        </w:rPr>
        <w:t>r-hFSH</w:t>
      </w:r>
      <w:r w:rsidR="00626B93" w:rsidRPr="00FB01EF">
        <w:rPr>
          <w:szCs w:val="22"/>
          <w:lang w:val="it-IT"/>
        </w:rPr>
        <w:t>]</w:t>
      </w:r>
      <w:r w:rsidR="00AF53F8" w:rsidRPr="00FB01EF">
        <w:rPr>
          <w:szCs w:val="22"/>
          <w:lang w:val="it-IT"/>
        </w:rPr>
        <w:t xml:space="preserve">) </w:t>
      </w:r>
      <w:r w:rsidR="00626B93" w:rsidRPr="00FB01EF">
        <w:rPr>
          <w:szCs w:val="22"/>
          <w:lang w:val="it-IT"/>
        </w:rPr>
        <w:t xml:space="preserve">è prodotta </w:t>
      </w:r>
      <w:r w:rsidR="00AF53F8" w:rsidRPr="00FB01EF">
        <w:rPr>
          <w:szCs w:val="22"/>
          <w:lang w:val="it-IT"/>
        </w:rPr>
        <w:t>da cellule ovariche di criceto cinese (CHO</w:t>
      </w:r>
      <w:r w:rsidR="00626B93" w:rsidRPr="00FB01EF">
        <w:rPr>
          <w:szCs w:val="22"/>
          <w:lang w:val="it-IT"/>
        </w:rPr>
        <w:t> DHFR</w:t>
      </w:r>
      <w:r w:rsidR="00AF53F8" w:rsidRPr="00FB01EF">
        <w:rPr>
          <w:szCs w:val="22"/>
          <w:lang w:val="it-IT"/>
        </w:rPr>
        <w:t>) con la tecnologia del DNA ricombinante</w:t>
      </w:r>
      <w:r w:rsidR="00626B93" w:rsidRPr="00FB01EF">
        <w:rPr>
          <w:szCs w:val="22"/>
          <w:lang w:val="it-IT"/>
        </w:rPr>
        <w:t>.</w:t>
      </w:r>
    </w:p>
    <w:p w:rsidR="00AF53F8" w:rsidRPr="00FB01EF" w:rsidRDefault="00AF53F8" w:rsidP="00AF53F8">
      <w:pPr>
        <w:rPr>
          <w:szCs w:val="22"/>
          <w:lang w:val="it-IT"/>
        </w:rPr>
      </w:pPr>
    </w:p>
    <w:p w:rsidR="00C2259A" w:rsidRPr="00FB01EF" w:rsidRDefault="00C2259A" w:rsidP="00BE4871">
      <w:pPr>
        <w:ind w:right="-20"/>
        <w:rPr>
          <w:szCs w:val="22"/>
          <w:u w:val="single"/>
          <w:lang w:val="it-IT" w:bidi="it-IT"/>
        </w:rPr>
      </w:pPr>
      <w:r w:rsidRPr="00FB01EF">
        <w:rPr>
          <w:szCs w:val="22"/>
          <w:u w:val="single"/>
          <w:lang w:val="it-IT" w:bidi="it-IT"/>
        </w:rPr>
        <w:t>Eccipiente(i) con effetti noti</w:t>
      </w:r>
      <w:r w:rsidR="0063224B" w:rsidRPr="00FB01EF">
        <w:rPr>
          <w:szCs w:val="22"/>
          <w:u w:val="single"/>
          <w:lang w:val="it-IT" w:bidi="it-IT"/>
        </w:rPr>
        <w:t>:</w:t>
      </w:r>
    </w:p>
    <w:p w:rsidR="00C2259A" w:rsidRPr="00FB01EF" w:rsidRDefault="00C2259A" w:rsidP="00BE4871">
      <w:pPr>
        <w:ind w:right="-20"/>
        <w:rPr>
          <w:szCs w:val="22"/>
          <w:lang w:val="it-IT"/>
        </w:rPr>
      </w:pPr>
      <w:r w:rsidRPr="00FB01EF">
        <w:rPr>
          <w:szCs w:val="22"/>
          <w:lang w:val="it-IT"/>
        </w:rPr>
        <w:t>Ovaleap contiene 0,02 mg per mL di benzalconio cloruro</w:t>
      </w:r>
    </w:p>
    <w:p w:rsidR="00C2259A" w:rsidRPr="00FB01EF" w:rsidRDefault="00C2259A" w:rsidP="00BE4871">
      <w:pPr>
        <w:ind w:right="-20"/>
        <w:rPr>
          <w:szCs w:val="22"/>
          <w:lang w:val="it-IT"/>
        </w:rPr>
      </w:pPr>
      <w:r w:rsidRPr="00FB01EF">
        <w:rPr>
          <w:szCs w:val="22"/>
          <w:lang w:val="it-IT"/>
        </w:rPr>
        <w:t>Ovaleap contiene 10,0 mg per mL di alco</w:t>
      </w:r>
      <w:r w:rsidR="00D618EF" w:rsidRPr="00FB01EF">
        <w:rPr>
          <w:szCs w:val="22"/>
          <w:lang w:val="it-IT"/>
        </w:rPr>
        <w:t>o</w:t>
      </w:r>
      <w:r w:rsidRPr="00FB01EF">
        <w:rPr>
          <w:szCs w:val="22"/>
          <w:lang w:val="it-IT"/>
        </w:rPr>
        <w:t>l benzilico</w:t>
      </w:r>
    </w:p>
    <w:p w:rsidR="00C2259A" w:rsidRPr="00FB01EF" w:rsidRDefault="00C2259A" w:rsidP="00BE4871">
      <w:pPr>
        <w:ind w:right="-20"/>
        <w:rPr>
          <w:szCs w:val="22"/>
          <w:lang w:val="it-IT"/>
        </w:rPr>
      </w:pPr>
    </w:p>
    <w:p w:rsidR="00AF53F8" w:rsidRPr="00FB01EF" w:rsidRDefault="00AF53F8" w:rsidP="00BE4871">
      <w:pPr>
        <w:ind w:right="-20"/>
        <w:rPr>
          <w:szCs w:val="22"/>
          <w:lang w:val="it-IT"/>
        </w:rPr>
      </w:pPr>
      <w:r w:rsidRPr="00FB01EF">
        <w:rPr>
          <w:szCs w:val="22"/>
          <w:lang w:val="it-IT"/>
        </w:rPr>
        <w:t xml:space="preserve">Per l’elenco completo degli eccipienti, vedere </w:t>
      </w:r>
      <w:r w:rsidR="00013772" w:rsidRPr="00FB01EF">
        <w:rPr>
          <w:szCs w:val="22"/>
          <w:lang w:val="it-IT"/>
        </w:rPr>
        <w:t>paragrafo </w:t>
      </w:r>
      <w:r w:rsidRPr="00FB01EF">
        <w:rPr>
          <w:szCs w:val="22"/>
          <w:lang w:val="it-IT"/>
        </w:rPr>
        <w:t>6.1.</w:t>
      </w:r>
    </w:p>
    <w:p w:rsidR="00AF53F8" w:rsidRPr="00FB01EF" w:rsidRDefault="00AF53F8" w:rsidP="00AF53F8">
      <w:pPr>
        <w:rPr>
          <w:szCs w:val="22"/>
          <w:lang w:val="it-IT"/>
        </w:rPr>
      </w:pPr>
    </w:p>
    <w:p w:rsidR="00812D16" w:rsidRPr="00FB01EF" w:rsidRDefault="00812D16" w:rsidP="00AF53F8">
      <w:pPr>
        <w:tabs>
          <w:tab w:val="clear" w:pos="567"/>
        </w:tabs>
        <w:rPr>
          <w:noProof/>
          <w:szCs w:val="22"/>
          <w:lang w:val="it-IT"/>
        </w:rPr>
      </w:pPr>
    </w:p>
    <w:p w:rsidR="00BE4871" w:rsidRPr="00FB01EF" w:rsidRDefault="00AF53F8" w:rsidP="00BE4871">
      <w:pPr>
        <w:tabs>
          <w:tab w:val="left" w:pos="680"/>
        </w:tabs>
        <w:ind w:right="5382"/>
        <w:rPr>
          <w:b/>
          <w:bCs/>
          <w:szCs w:val="22"/>
          <w:lang w:val="it-IT"/>
        </w:rPr>
      </w:pPr>
      <w:r w:rsidRPr="00FB01EF">
        <w:rPr>
          <w:b/>
          <w:bCs/>
          <w:szCs w:val="22"/>
          <w:lang w:val="it-IT"/>
        </w:rPr>
        <w:t>3.</w:t>
      </w:r>
      <w:r w:rsidRPr="00FB01EF">
        <w:rPr>
          <w:b/>
          <w:bCs/>
          <w:szCs w:val="22"/>
          <w:lang w:val="it-IT"/>
        </w:rPr>
        <w:tab/>
        <w:t xml:space="preserve">FORMA FARMACEUTICA </w:t>
      </w:r>
    </w:p>
    <w:p w:rsidR="00BE4871" w:rsidRPr="00FB01EF" w:rsidRDefault="00BE4871" w:rsidP="00BE4871">
      <w:pPr>
        <w:tabs>
          <w:tab w:val="left" w:pos="680"/>
        </w:tabs>
        <w:ind w:right="5382"/>
        <w:rPr>
          <w:szCs w:val="22"/>
          <w:lang w:val="it-IT"/>
        </w:rPr>
      </w:pPr>
    </w:p>
    <w:p w:rsidR="00BE4871" w:rsidRPr="00FB01EF" w:rsidRDefault="00AF53F8" w:rsidP="00BE4871">
      <w:pPr>
        <w:tabs>
          <w:tab w:val="left" w:pos="680"/>
        </w:tabs>
        <w:ind w:right="1841"/>
        <w:rPr>
          <w:szCs w:val="22"/>
          <w:lang w:val="it-IT"/>
        </w:rPr>
      </w:pPr>
      <w:r w:rsidRPr="00FB01EF">
        <w:rPr>
          <w:szCs w:val="22"/>
          <w:lang w:val="it-IT"/>
        </w:rPr>
        <w:t xml:space="preserve">Soluzione iniettabile </w:t>
      </w:r>
      <w:r w:rsidR="00626B93" w:rsidRPr="00FB01EF">
        <w:rPr>
          <w:szCs w:val="22"/>
          <w:lang w:val="it-IT"/>
        </w:rPr>
        <w:t>(</w:t>
      </w:r>
      <w:r w:rsidR="00FD3B2E" w:rsidRPr="00FB01EF">
        <w:rPr>
          <w:szCs w:val="22"/>
          <w:lang w:val="it-IT"/>
        </w:rPr>
        <w:t>preparazione iniettabile</w:t>
      </w:r>
      <w:r w:rsidR="00626B93" w:rsidRPr="00FB01EF">
        <w:rPr>
          <w:szCs w:val="22"/>
          <w:lang w:val="it-IT"/>
        </w:rPr>
        <w:t>)</w:t>
      </w:r>
      <w:r w:rsidRPr="00FB01EF">
        <w:rPr>
          <w:szCs w:val="22"/>
          <w:lang w:val="it-IT"/>
        </w:rPr>
        <w:t>.</w:t>
      </w:r>
    </w:p>
    <w:p w:rsidR="00BE4871" w:rsidRPr="00FB01EF" w:rsidRDefault="00BE4871" w:rsidP="00BE4871">
      <w:pPr>
        <w:tabs>
          <w:tab w:val="left" w:pos="680"/>
        </w:tabs>
        <w:ind w:right="1841"/>
        <w:rPr>
          <w:szCs w:val="22"/>
          <w:lang w:val="it-IT"/>
        </w:rPr>
      </w:pPr>
    </w:p>
    <w:p w:rsidR="00AF53F8" w:rsidRPr="00FB01EF" w:rsidRDefault="00AF53F8" w:rsidP="00BE4871">
      <w:pPr>
        <w:tabs>
          <w:tab w:val="left" w:pos="680"/>
        </w:tabs>
        <w:ind w:right="1841"/>
        <w:rPr>
          <w:szCs w:val="22"/>
          <w:lang w:val="it-IT"/>
        </w:rPr>
      </w:pPr>
      <w:r w:rsidRPr="00FB01EF">
        <w:rPr>
          <w:szCs w:val="22"/>
          <w:lang w:val="it-IT"/>
        </w:rPr>
        <w:t>Soluzione limpida</w:t>
      </w:r>
      <w:r w:rsidR="00626B93" w:rsidRPr="00FB01EF">
        <w:rPr>
          <w:szCs w:val="22"/>
          <w:lang w:val="it-IT"/>
        </w:rPr>
        <w:t>,</w:t>
      </w:r>
      <w:r w:rsidRPr="00FB01EF">
        <w:rPr>
          <w:szCs w:val="22"/>
          <w:lang w:val="it-IT"/>
        </w:rPr>
        <w:t xml:space="preserve"> incolore.</w:t>
      </w:r>
    </w:p>
    <w:p w:rsidR="00BE4871" w:rsidRPr="00FB01EF" w:rsidRDefault="00BE4871" w:rsidP="00BE4871">
      <w:pPr>
        <w:ind w:right="-20"/>
        <w:rPr>
          <w:szCs w:val="22"/>
          <w:lang w:val="it-IT"/>
        </w:rPr>
      </w:pPr>
    </w:p>
    <w:p w:rsidR="00AF53F8" w:rsidRPr="00FB01EF" w:rsidRDefault="00AF53F8" w:rsidP="00BE4871">
      <w:pPr>
        <w:ind w:right="-20"/>
        <w:rPr>
          <w:szCs w:val="22"/>
          <w:lang w:val="it-IT"/>
        </w:rPr>
      </w:pPr>
      <w:r w:rsidRPr="00FB01EF">
        <w:rPr>
          <w:szCs w:val="22"/>
          <w:lang w:val="it-IT"/>
        </w:rPr>
        <w:t>Il pH della soluzione è 6,</w:t>
      </w:r>
      <w:r w:rsidR="00626B93" w:rsidRPr="00FB01EF">
        <w:rPr>
          <w:szCs w:val="22"/>
          <w:lang w:val="it-IT"/>
        </w:rPr>
        <w:t>8</w:t>
      </w:r>
      <w:r w:rsidR="00325112" w:rsidRPr="00FB01EF">
        <w:rPr>
          <w:szCs w:val="22"/>
          <w:lang w:val="it-IT"/>
        </w:rPr>
        <w:noBreakHyphen/>
      </w:r>
      <w:r w:rsidRPr="00FB01EF">
        <w:rPr>
          <w:szCs w:val="22"/>
          <w:lang w:val="it-IT"/>
        </w:rPr>
        <w:t>7,</w:t>
      </w:r>
      <w:r w:rsidR="00A91BAC" w:rsidRPr="00FB01EF">
        <w:rPr>
          <w:szCs w:val="22"/>
          <w:lang w:val="it-IT"/>
        </w:rPr>
        <w:t>2</w:t>
      </w:r>
      <w:r w:rsidRPr="00FB01EF">
        <w:rPr>
          <w:szCs w:val="22"/>
          <w:lang w:val="it-IT"/>
        </w:rPr>
        <w:t>.</w:t>
      </w:r>
    </w:p>
    <w:p w:rsidR="0003335D" w:rsidRPr="00FB01EF" w:rsidRDefault="0003335D" w:rsidP="00496272">
      <w:pPr>
        <w:autoSpaceDE w:val="0"/>
        <w:autoSpaceDN w:val="0"/>
        <w:adjustRightInd w:val="0"/>
        <w:jc w:val="both"/>
        <w:rPr>
          <w:noProof/>
          <w:szCs w:val="22"/>
          <w:lang w:val="it-IT"/>
        </w:rPr>
      </w:pPr>
    </w:p>
    <w:p w:rsidR="00812D16" w:rsidRPr="00FB01EF" w:rsidRDefault="00812D16" w:rsidP="00496272">
      <w:pPr>
        <w:rPr>
          <w:noProof/>
          <w:szCs w:val="22"/>
          <w:lang w:val="it-IT"/>
        </w:rPr>
      </w:pPr>
    </w:p>
    <w:p w:rsidR="00AF53F8" w:rsidRPr="00FB01EF" w:rsidRDefault="00AF53F8" w:rsidP="006C3E86">
      <w:pPr>
        <w:keepNext/>
        <w:tabs>
          <w:tab w:val="left" w:pos="680"/>
        </w:tabs>
        <w:ind w:right="-20"/>
        <w:rPr>
          <w:szCs w:val="22"/>
          <w:lang w:val="it-IT"/>
        </w:rPr>
      </w:pPr>
      <w:r w:rsidRPr="00FB01EF">
        <w:rPr>
          <w:b/>
          <w:bCs/>
          <w:szCs w:val="22"/>
          <w:lang w:val="it-IT"/>
        </w:rPr>
        <w:t>4.</w:t>
      </w:r>
      <w:r w:rsidRPr="00FB01EF">
        <w:rPr>
          <w:b/>
          <w:bCs/>
          <w:szCs w:val="22"/>
          <w:lang w:val="it-IT"/>
        </w:rPr>
        <w:tab/>
        <w:t>INFORMAZIONI CLINICHE</w:t>
      </w:r>
    </w:p>
    <w:p w:rsidR="00812D16" w:rsidRPr="00FB01EF" w:rsidRDefault="00812D16" w:rsidP="006C3E86">
      <w:pPr>
        <w:keepNext/>
        <w:rPr>
          <w:noProof/>
          <w:szCs w:val="22"/>
          <w:lang w:val="it-IT"/>
        </w:rPr>
      </w:pPr>
    </w:p>
    <w:p w:rsidR="00AF53F8" w:rsidRPr="00FB01EF" w:rsidRDefault="00AF53F8" w:rsidP="006C3E86">
      <w:pPr>
        <w:keepNext/>
        <w:tabs>
          <w:tab w:val="left" w:pos="680"/>
        </w:tabs>
        <w:ind w:right="-20"/>
        <w:rPr>
          <w:szCs w:val="22"/>
          <w:lang w:val="it-IT"/>
        </w:rPr>
      </w:pPr>
      <w:r w:rsidRPr="00FB01EF">
        <w:rPr>
          <w:b/>
          <w:bCs/>
          <w:szCs w:val="22"/>
          <w:lang w:val="it-IT"/>
        </w:rPr>
        <w:t>4.1</w:t>
      </w:r>
      <w:r w:rsidRPr="00FB01EF">
        <w:rPr>
          <w:b/>
          <w:bCs/>
          <w:szCs w:val="22"/>
          <w:lang w:val="it-IT"/>
        </w:rPr>
        <w:tab/>
        <w:t>Indicazioni terapeutiche</w:t>
      </w:r>
    </w:p>
    <w:p w:rsidR="00F25477" w:rsidRPr="00FB01EF" w:rsidRDefault="00F25477" w:rsidP="006C3E86">
      <w:pPr>
        <w:keepNext/>
        <w:tabs>
          <w:tab w:val="clear" w:pos="567"/>
        </w:tabs>
        <w:rPr>
          <w:noProof/>
          <w:color w:val="000000"/>
          <w:szCs w:val="22"/>
          <w:lang w:val="it-IT"/>
        </w:rPr>
      </w:pPr>
    </w:p>
    <w:p w:rsidR="00AF53F8" w:rsidRPr="00FB01EF" w:rsidRDefault="00AF53F8" w:rsidP="00F97DD8">
      <w:pPr>
        <w:keepNext/>
        <w:ind w:right="-20"/>
        <w:rPr>
          <w:szCs w:val="22"/>
          <w:lang w:val="it-IT"/>
        </w:rPr>
      </w:pPr>
      <w:r w:rsidRPr="00FB01EF">
        <w:rPr>
          <w:szCs w:val="22"/>
          <w:u w:val="single" w:color="000000"/>
          <w:lang w:val="it-IT"/>
        </w:rPr>
        <w:t>Nell</w:t>
      </w:r>
      <w:r w:rsidR="00C16524" w:rsidRPr="00FB01EF">
        <w:rPr>
          <w:szCs w:val="22"/>
          <w:u w:val="single" w:color="000000"/>
          <w:lang w:val="it-IT"/>
        </w:rPr>
        <w:t>e</w:t>
      </w:r>
      <w:r w:rsidRPr="00FB01EF">
        <w:rPr>
          <w:szCs w:val="22"/>
          <w:u w:val="single" w:color="000000"/>
          <w:lang w:val="it-IT"/>
        </w:rPr>
        <w:t xml:space="preserve"> donn</w:t>
      </w:r>
      <w:r w:rsidR="002F292E" w:rsidRPr="00FB01EF">
        <w:rPr>
          <w:szCs w:val="22"/>
          <w:u w:val="single" w:color="000000"/>
          <w:lang w:val="it-IT"/>
        </w:rPr>
        <w:t>e</w:t>
      </w:r>
      <w:r w:rsidRPr="00FB01EF">
        <w:rPr>
          <w:szCs w:val="22"/>
          <w:u w:val="single" w:color="000000"/>
          <w:lang w:val="it-IT"/>
        </w:rPr>
        <w:t xml:space="preserve"> adult</w:t>
      </w:r>
      <w:r w:rsidR="002F292E" w:rsidRPr="00FB01EF">
        <w:rPr>
          <w:szCs w:val="22"/>
          <w:u w:val="single" w:color="000000"/>
          <w:lang w:val="it-IT"/>
        </w:rPr>
        <w:t>e</w:t>
      </w:r>
    </w:p>
    <w:p w:rsidR="00A67A61" w:rsidRPr="00FB01EF" w:rsidRDefault="00A67A61" w:rsidP="009F580C">
      <w:pPr>
        <w:keepNext/>
        <w:tabs>
          <w:tab w:val="clear" w:pos="567"/>
        </w:tabs>
        <w:ind w:left="567" w:hanging="567"/>
        <w:rPr>
          <w:noProof/>
          <w:color w:val="000000"/>
          <w:szCs w:val="22"/>
          <w:lang w:val="it-IT"/>
        </w:rPr>
      </w:pPr>
    </w:p>
    <w:p w:rsidR="00A44BDD" w:rsidRPr="00FB01EF" w:rsidRDefault="00AF53F8" w:rsidP="00CC7997">
      <w:pPr>
        <w:keepNext/>
        <w:numPr>
          <w:ilvl w:val="0"/>
          <w:numId w:val="5"/>
        </w:numPr>
        <w:tabs>
          <w:tab w:val="clear" w:pos="567"/>
        </w:tabs>
        <w:ind w:left="567" w:right="671" w:hanging="567"/>
        <w:rPr>
          <w:szCs w:val="22"/>
          <w:lang w:val="it-IT"/>
        </w:rPr>
      </w:pPr>
      <w:r w:rsidRPr="00FB01EF">
        <w:rPr>
          <w:szCs w:val="22"/>
          <w:lang w:val="it-IT"/>
        </w:rPr>
        <w:t>Anovulazione (inclusa la sindrome dell’ovaio policistico) in donne che non rispondono al trattamento con clomifene citrato.</w:t>
      </w:r>
    </w:p>
    <w:p w:rsidR="00A44BDD" w:rsidRPr="00FB01EF" w:rsidRDefault="00AF53F8" w:rsidP="00CC7997">
      <w:pPr>
        <w:keepNext/>
        <w:numPr>
          <w:ilvl w:val="0"/>
          <w:numId w:val="5"/>
        </w:numPr>
        <w:tabs>
          <w:tab w:val="clear" w:pos="567"/>
        </w:tabs>
        <w:ind w:left="567" w:right="241" w:hanging="567"/>
        <w:rPr>
          <w:szCs w:val="22"/>
          <w:lang w:val="it-IT"/>
        </w:rPr>
      </w:pPr>
      <w:r w:rsidRPr="00FB01EF">
        <w:rPr>
          <w:szCs w:val="22"/>
          <w:lang w:val="it-IT"/>
        </w:rPr>
        <w:t>Stimolazione dello sviluppo follicolare multiplo in donne sottoposte a tecniche di riproduzione assistita (</w:t>
      </w:r>
      <w:r w:rsidRPr="00FB01EF">
        <w:rPr>
          <w:i/>
          <w:szCs w:val="22"/>
          <w:lang w:val="it-IT"/>
        </w:rPr>
        <w:t>Assisted Reproductive Technology</w:t>
      </w:r>
      <w:r w:rsidRPr="00FB01EF">
        <w:rPr>
          <w:szCs w:val="22"/>
          <w:lang w:val="it-IT"/>
        </w:rPr>
        <w:t xml:space="preserve">, ART), come la fertilizzazione </w:t>
      </w:r>
      <w:r w:rsidRPr="00FB01EF">
        <w:rPr>
          <w:i/>
          <w:szCs w:val="22"/>
          <w:lang w:val="it-IT"/>
        </w:rPr>
        <w:t xml:space="preserve">in </w:t>
      </w:r>
      <w:r w:rsidRPr="00FB01EF">
        <w:rPr>
          <w:i/>
          <w:szCs w:val="22"/>
          <w:lang w:val="it-IT"/>
        </w:rPr>
        <w:lastRenderedPageBreak/>
        <w:t xml:space="preserve">vitro </w:t>
      </w:r>
      <w:r w:rsidRPr="00FB01EF">
        <w:rPr>
          <w:szCs w:val="22"/>
          <w:lang w:val="it-IT"/>
        </w:rPr>
        <w:t>(</w:t>
      </w:r>
      <w:r w:rsidRPr="00FB01EF">
        <w:rPr>
          <w:i/>
          <w:szCs w:val="22"/>
          <w:lang w:val="it-IT"/>
        </w:rPr>
        <w:t>In Vitro Fertilisation</w:t>
      </w:r>
      <w:r w:rsidRPr="00FB01EF">
        <w:rPr>
          <w:szCs w:val="22"/>
          <w:lang w:val="it-IT"/>
        </w:rPr>
        <w:t>,</w:t>
      </w:r>
      <w:r w:rsidR="00A91BAC" w:rsidRPr="00FB01EF">
        <w:rPr>
          <w:szCs w:val="22"/>
          <w:lang w:val="it-IT"/>
        </w:rPr>
        <w:t xml:space="preserve"> </w:t>
      </w:r>
      <w:r w:rsidRPr="00FB01EF">
        <w:rPr>
          <w:szCs w:val="22"/>
          <w:lang w:val="it-IT"/>
        </w:rPr>
        <w:t>IVF), trasferimento di gameti all’interno delle tube o trasferimento di zigoti all’interno delle tube.</w:t>
      </w:r>
    </w:p>
    <w:p w:rsidR="00AF53F8" w:rsidRPr="00FB01EF" w:rsidRDefault="00A91BAC" w:rsidP="00CC7997">
      <w:pPr>
        <w:keepNext/>
        <w:numPr>
          <w:ilvl w:val="0"/>
          <w:numId w:val="5"/>
        </w:numPr>
        <w:tabs>
          <w:tab w:val="clear" w:pos="567"/>
        </w:tabs>
        <w:ind w:left="567" w:right="241" w:hanging="567"/>
        <w:rPr>
          <w:szCs w:val="22"/>
          <w:lang w:val="it-IT"/>
        </w:rPr>
      </w:pPr>
      <w:r w:rsidRPr="00FB01EF">
        <w:rPr>
          <w:szCs w:val="22"/>
          <w:lang w:val="it-IT"/>
        </w:rPr>
        <w:t>Ovaleap</w:t>
      </w:r>
      <w:r w:rsidR="00AF53F8" w:rsidRPr="00FB01EF">
        <w:rPr>
          <w:szCs w:val="22"/>
          <w:lang w:val="it-IT"/>
        </w:rPr>
        <w:t>, in associazione ad una preparazione a base di ormone luteinizzante (</w:t>
      </w:r>
      <w:r w:rsidR="00AF53F8" w:rsidRPr="00FB01EF">
        <w:rPr>
          <w:i/>
          <w:szCs w:val="22"/>
          <w:lang w:val="it-IT"/>
        </w:rPr>
        <w:t>Luteinising Hormone</w:t>
      </w:r>
      <w:r w:rsidR="00AF53F8" w:rsidRPr="00FB01EF">
        <w:rPr>
          <w:szCs w:val="22"/>
          <w:lang w:val="it-IT"/>
        </w:rPr>
        <w:t>,</w:t>
      </w:r>
      <w:r w:rsidRPr="00FB01EF">
        <w:rPr>
          <w:szCs w:val="22"/>
          <w:lang w:val="it-IT"/>
        </w:rPr>
        <w:t xml:space="preserve"> </w:t>
      </w:r>
      <w:r w:rsidR="00AF53F8" w:rsidRPr="00FB01EF">
        <w:rPr>
          <w:szCs w:val="22"/>
          <w:lang w:val="it-IT"/>
        </w:rPr>
        <w:t>LH), è raccomandato per la stimolazione dello sviluppo follicolare in donne con grave insufficienza di LH ed FSH. Negli studi clinici tali pazienti venivano identificate in base a livelli sierici di LH endogeno &lt;1,</w:t>
      </w:r>
      <w:r w:rsidRPr="00FB01EF">
        <w:rPr>
          <w:szCs w:val="22"/>
          <w:lang w:val="it-IT"/>
        </w:rPr>
        <w:t>2 </w:t>
      </w:r>
      <w:r w:rsidR="00AF53F8" w:rsidRPr="00FB01EF">
        <w:rPr>
          <w:szCs w:val="22"/>
          <w:lang w:val="it-IT"/>
        </w:rPr>
        <w:t>UI/</w:t>
      </w:r>
      <w:r w:rsidRPr="00FB01EF">
        <w:rPr>
          <w:szCs w:val="22"/>
          <w:lang w:val="it-IT"/>
        </w:rPr>
        <w:t>L</w:t>
      </w:r>
      <w:r w:rsidR="00AF53F8" w:rsidRPr="00FB01EF">
        <w:rPr>
          <w:szCs w:val="22"/>
          <w:lang w:val="it-IT"/>
        </w:rPr>
        <w:t>.</w:t>
      </w:r>
    </w:p>
    <w:p w:rsidR="00AF53F8" w:rsidRPr="00FB01EF" w:rsidRDefault="00AF53F8" w:rsidP="00AF53F8">
      <w:pPr>
        <w:rPr>
          <w:szCs w:val="22"/>
          <w:lang w:val="it-IT"/>
        </w:rPr>
      </w:pPr>
    </w:p>
    <w:p w:rsidR="00AF53F8" w:rsidRPr="00FB01EF" w:rsidRDefault="00AF53F8" w:rsidP="00F97DD8">
      <w:pPr>
        <w:keepNext/>
        <w:ind w:right="-20"/>
        <w:rPr>
          <w:szCs w:val="22"/>
          <w:lang w:val="it-IT"/>
        </w:rPr>
      </w:pPr>
      <w:r w:rsidRPr="00FB01EF">
        <w:rPr>
          <w:szCs w:val="22"/>
          <w:u w:val="single" w:color="000000"/>
          <w:lang w:val="it-IT"/>
        </w:rPr>
        <w:t>Ne</w:t>
      </w:r>
      <w:r w:rsidR="002F292E" w:rsidRPr="00FB01EF">
        <w:rPr>
          <w:szCs w:val="22"/>
          <w:u w:val="single" w:color="000000"/>
          <w:lang w:val="it-IT"/>
        </w:rPr>
        <w:t>gli uomini</w:t>
      </w:r>
      <w:r w:rsidRPr="00FB01EF">
        <w:rPr>
          <w:szCs w:val="22"/>
          <w:u w:val="single" w:color="000000"/>
          <w:lang w:val="it-IT"/>
        </w:rPr>
        <w:t xml:space="preserve"> adult</w:t>
      </w:r>
      <w:r w:rsidR="002F292E" w:rsidRPr="00FB01EF">
        <w:rPr>
          <w:szCs w:val="22"/>
          <w:u w:val="single" w:color="000000"/>
          <w:lang w:val="it-IT"/>
        </w:rPr>
        <w:t>i</w:t>
      </w:r>
    </w:p>
    <w:p w:rsidR="00A67A61" w:rsidRPr="00FB01EF" w:rsidRDefault="00A67A61" w:rsidP="009F580C">
      <w:pPr>
        <w:keepNext/>
        <w:tabs>
          <w:tab w:val="clear" w:pos="567"/>
        </w:tabs>
        <w:ind w:left="567" w:hanging="567"/>
        <w:rPr>
          <w:noProof/>
          <w:color w:val="000000"/>
          <w:szCs w:val="22"/>
          <w:lang w:val="it-IT"/>
        </w:rPr>
      </w:pPr>
    </w:p>
    <w:p w:rsidR="00AF53F8" w:rsidRPr="00FB01EF" w:rsidRDefault="00A91BAC" w:rsidP="00CC7997">
      <w:pPr>
        <w:keepNext/>
        <w:numPr>
          <w:ilvl w:val="0"/>
          <w:numId w:val="5"/>
        </w:numPr>
        <w:tabs>
          <w:tab w:val="clear" w:pos="567"/>
        </w:tabs>
        <w:ind w:left="567" w:right="241" w:hanging="567"/>
        <w:rPr>
          <w:szCs w:val="22"/>
          <w:lang w:val="it-IT"/>
        </w:rPr>
      </w:pPr>
      <w:r w:rsidRPr="00FB01EF">
        <w:rPr>
          <w:szCs w:val="22"/>
          <w:lang w:val="it-IT"/>
        </w:rPr>
        <w:t>Ovaleap</w:t>
      </w:r>
      <w:r w:rsidR="00AF53F8" w:rsidRPr="00FB01EF">
        <w:rPr>
          <w:szCs w:val="22"/>
          <w:lang w:val="it-IT"/>
        </w:rPr>
        <w:t xml:space="preserve"> è indicato nella induzione della spermatogenesi in uomini affetti da ipogonadismo ipogonadotropo congenito o acquisito, in associazione alla </w:t>
      </w:r>
      <w:r w:rsidRPr="00FB01EF">
        <w:rPr>
          <w:szCs w:val="22"/>
          <w:lang w:val="it-IT"/>
        </w:rPr>
        <w:t xml:space="preserve">gonadotropina corionica </w:t>
      </w:r>
      <w:r w:rsidR="00AF53F8" w:rsidRPr="00FB01EF">
        <w:rPr>
          <w:szCs w:val="22"/>
          <w:lang w:val="it-IT"/>
        </w:rPr>
        <w:t>umana (</w:t>
      </w:r>
      <w:r w:rsidR="00AF53F8" w:rsidRPr="00FB01EF">
        <w:rPr>
          <w:i/>
          <w:szCs w:val="22"/>
          <w:lang w:val="it-IT"/>
        </w:rPr>
        <w:t xml:space="preserve">human Chorionic Gonadotropin, </w:t>
      </w:r>
      <w:r w:rsidR="00AF53F8" w:rsidRPr="00FB01EF">
        <w:rPr>
          <w:szCs w:val="22"/>
          <w:lang w:val="it-IT"/>
        </w:rPr>
        <w:t>hCG).</w:t>
      </w:r>
    </w:p>
    <w:p w:rsidR="0003335D" w:rsidRPr="00FB01EF" w:rsidRDefault="0003335D" w:rsidP="00496272">
      <w:pPr>
        <w:rPr>
          <w:noProof/>
          <w:szCs w:val="22"/>
          <w:lang w:val="it-IT"/>
        </w:rPr>
      </w:pPr>
    </w:p>
    <w:p w:rsidR="00AF53F8" w:rsidRPr="00FB01EF" w:rsidRDefault="00AF53F8" w:rsidP="00F97DD8">
      <w:pPr>
        <w:keepNext/>
        <w:tabs>
          <w:tab w:val="left" w:pos="680"/>
        </w:tabs>
        <w:ind w:right="-20"/>
        <w:rPr>
          <w:szCs w:val="22"/>
          <w:lang w:val="it-IT"/>
        </w:rPr>
      </w:pPr>
      <w:r w:rsidRPr="00FB01EF">
        <w:rPr>
          <w:b/>
          <w:bCs/>
          <w:szCs w:val="22"/>
          <w:lang w:val="it-IT"/>
        </w:rPr>
        <w:t>4.2</w:t>
      </w:r>
      <w:r w:rsidRPr="00FB01EF">
        <w:rPr>
          <w:b/>
          <w:bCs/>
          <w:szCs w:val="22"/>
          <w:lang w:val="it-IT"/>
        </w:rPr>
        <w:tab/>
        <w:t>Posologia e modo di somministrazione</w:t>
      </w:r>
    </w:p>
    <w:p w:rsidR="00F25477" w:rsidRPr="00FB01EF" w:rsidRDefault="00F25477" w:rsidP="009F580C">
      <w:pPr>
        <w:keepNext/>
        <w:keepLines/>
        <w:rPr>
          <w:i/>
          <w:noProof/>
          <w:szCs w:val="22"/>
          <w:lang w:val="it-IT"/>
        </w:rPr>
      </w:pPr>
    </w:p>
    <w:p w:rsidR="00AF53F8" w:rsidRPr="00FB01EF" w:rsidRDefault="00AF53F8" w:rsidP="00F97DD8">
      <w:pPr>
        <w:keepNext/>
        <w:ind w:right="732"/>
        <w:rPr>
          <w:szCs w:val="22"/>
          <w:lang w:val="it-IT"/>
        </w:rPr>
      </w:pPr>
      <w:r w:rsidRPr="00FB01EF">
        <w:rPr>
          <w:szCs w:val="22"/>
          <w:lang w:val="it-IT"/>
        </w:rPr>
        <w:t xml:space="preserve">Il trattamento con </w:t>
      </w:r>
      <w:r w:rsidR="00A91BAC" w:rsidRPr="00FB01EF">
        <w:rPr>
          <w:szCs w:val="22"/>
          <w:lang w:val="it-IT"/>
        </w:rPr>
        <w:t>follitropina alfa</w:t>
      </w:r>
      <w:r w:rsidRPr="00FB01EF">
        <w:rPr>
          <w:szCs w:val="22"/>
          <w:lang w:val="it-IT"/>
        </w:rPr>
        <w:t xml:space="preserve"> deve essere iniziato sotto la supervisione di un medico esperto nel trattamento dei disturbi della fertilità.</w:t>
      </w:r>
    </w:p>
    <w:p w:rsidR="00AF53F8" w:rsidRPr="00FB01EF" w:rsidRDefault="00AF53F8" w:rsidP="00BE4871">
      <w:pPr>
        <w:rPr>
          <w:szCs w:val="22"/>
          <w:lang w:val="it-IT"/>
        </w:rPr>
      </w:pPr>
    </w:p>
    <w:p w:rsidR="00AF53F8" w:rsidRPr="00FB01EF" w:rsidRDefault="00AF53F8" w:rsidP="00BE4871">
      <w:pPr>
        <w:ind w:right="-20"/>
        <w:rPr>
          <w:szCs w:val="22"/>
          <w:lang w:val="it-IT"/>
        </w:rPr>
      </w:pPr>
      <w:r w:rsidRPr="00FB01EF">
        <w:rPr>
          <w:szCs w:val="22"/>
          <w:u w:val="single" w:color="000000"/>
          <w:lang w:val="it-IT"/>
        </w:rPr>
        <w:t>Posologia</w:t>
      </w:r>
    </w:p>
    <w:p w:rsidR="0003335D" w:rsidRPr="00FB01EF" w:rsidRDefault="0003335D" w:rsidP="00BE4871">
      <w:pPr>
        <w:tabs>
          <w:tab w:val="clear" w:pos="567"/>
        </w:tabs>
        <w:outlineLvl w:val="0"/>
        <w:rPr>
          <w:noProof/>
          <w:color w:val="000000"/>
          <w:szCs w:val="22"/>
          <w:lang w:val="it-IT"/>
        </w:rPr>
      </w:pPr>
    </w:p>
    <w:p w:rsidR="00AF53F8" w:rsidRPr="00FB01EF" w:rsidRDefault="00AF53F8" w:rsidP="00BE4871">
      <w:pPr>
        <w:ind w:right="235"/>
        <w:rPr>
          <w:szCs w:val="22"/>
          <w:lang w:val="it-IT"/>
        </w:rPr>
      </w:pPr>
      <w:r w:rsidRPr="00FB01EF">
        <w:rPr>
          <w:szCs w:val="22"/>
          <w:lang w:val="it-IT"/>
        </w:rPr>
        <w:t xml:space="preserve">Le dosi raccomandate per </w:t>
      </w:r>
      <w:r w:rsidR="00A91BAC" w:rsidRPr="00FB01EF">
        <w:rPr>
          <w:szCs w:val="22"/>
          <w:lang w:val="it-IT"/>
        </w:rPr>
        <w:t>follitropina alfa</w:t>
      </w:r>
      <w:r w:rsidRPr="00FB01EF">
        <w:rPr>
          <w:szCs w:val="22"/>
          <w:lang w:val="it-IT"/>
        </w:rPr>
        <w:t xml:space="preserve"> sono quelle utilizzate per l’FSH urinario. La valutazione clinica di </w:t>
      </w:r>
      <w:r w:rsidR="00A91BAC" w:rsidRPr="00FB01EF">
        <w:rPr>
          <w:szCs w:val="22"/>
          <w:lang w:val="it-IT"/>
        </w:rPr>
        <w:t>follitropina alfa</w:t>
      </w:r>
      <w:r w:rsidRPr="00FB01EF">
        <w:rPr>
          <w:szCs w:val="22"/>
          <w:lang w:val="it-IT"/>
        </w:rPr>
        <w:t xml:space="preserve"> indica che le sue dosi giornaliere, i regimi di somministrazione e i metodi di monitoraggio del trattamento non devono essere diversi da quelli normalmente usati per i medicinali contenenti FSH urinario. Si consiglia di seguire le dosi iniziali raccomandate sotto indicate.</w:t>
      </w:r>
    </w:p>
    <w:p w:rsidR="00A91BAC" w:rsidRPr="00FB01EF" w:rsidRDefault="00A91BAC" w:rsidP="00BE4871">
      <w:pPr>
        <w:ind w:right="233"/>
        <w:rPr>
          <w:szCs w:val="22"/>
          <w:lang w:val="it-IT"/>
        </w:rPr>
      </w:pPr>
    </w:p>
    <w:p w:rsidR="00AF53F8" w:rsidRPr="00FB01EF" w:rsidRDefault="00AF53F8" w:rsidP="00BE4871">
      <w:pPr>
        <w:ind w:right="233"/>
        <w:rPr>
          <w:szCs w:val="22"/>
          <w:lang w:val="it-IT"/>
        </w:rPr>
      </w:pPr>
      <w:r w:rsidRPr="00FB01EF">
        <w:rPr>
          <w:szCs w:val="22"/>
          <w:lang w:val="it-IT"/>
        </w:rPr>
        <w:t xml:space="preserve">Studi clinici comparativi hanno dimostrato che i pazienti in media richiedono una dose cumulativa di </w:t>
      </w:r>
      <w:r w:rsidR="00A91BAC" w:rsidRPr="00FB01EF">
        <w:rPr>
          <w:szCs w:val="22"/>
          <w:lang w:val="it-IT"/>
        </w:rPr>
        <w:t>follitropina alfa</w:t>
      </w:r>
      <w:r w:rsidRPr="00FB01EF">
        <w:rPr>
          <w:szCs w:val="22"/>
          <w:lang w:val="it-IT"/>
        </w:rPr>
        <w:t xml:space="preserve"> più bassa e una durata del trattamento più breve rispetto all’FSH urinario. Si considera pertanto corretto somministrare una dose totale di </w:t>
      </w:r>
      <w:r w:rsidR="00A91BAC" w:rsidRPr="00FB01EF">
        <w:rPr>
          <w:szCs w:val="22"/>
          <w:lang w:val="it-IT"/>
        </w:rPr>
        <w:t>follitropina alfa</w:t>
      </w:r>
      <w:r w:rsidRPr="00FB01EF">
        <w:rPr>
          <w:szCs w:val="22"/>
          <w:lang w:val="it-IT"/>
        </w:rPr>
        <w:t xml:space="preserve"> più bassa di quella generalmente utilizzata con l’FSH urinario, non solo per ottimizzare lo sviluppo follicolare ma anche per ridurre il rischio di una iperstimolazione ovarica indesiderata (vedere paragrafo</w:t>
      </w:r>
      <w:r w:rsidR="00A44BDD" w:rsidRPr="00FB01EF">
        <w:rPr>
          <w:szCs w:val="22"/>
          <w:lang w:val="it-IT"/>
        </w:rPr>
        <w:t> </w:t>
      </w:r>
      <w:r w:rsidRPr="00FB01EF">
        <w:rPr>
          <w:szCs w:val="22"/>
          <w:lang w:val="it-IT"/>
        </w:rPr>
        <w:t>5.1).</w:t>
      </w:r>
    </w:p>
    <w:p w:rsidR="0003335D" w:rsidRPr="00FB01EF" w:rsidRDefault="0003335D" w:rsidP="00BE4871">
      <w:pPr>
        <w:tabs>
          <w:tab w:val="clear" w:pos="567"/>
        </w:tabs>
        <w:outlineLvl w:val="0"/>
        <w:rPr>
          <w:noProof/>
          <w:color w:val="000000"/>
          <w:szCs w:val="22"/>
          <w:lang w:val="it-IT"/>
        </w:rPr>
      </w:pPr>
    </w:p>
    <w:p w:rsidR="00AF53F8" w:rsidRPr="00FB01EF" w:rsidRDefault="00AF53F8" w:rsidP="00BE4871">
      <w:pPr>
        <w:ind w:right="-20"/>
        <w:rPr>
          <w:szCs w:val="22"/>
          <w:u w:val="single"/>
          <w:lang w:val="it-IT"/>
        </w:rPr>
      </w:pPr>
      <w:r w:rsidRPr="00FB01EF">
        <w:rPr>
          <w:i/>
          <w:szCs w:val="22"/>
          <w:u w:val="single"/>
          <w:lang w:val="it-IT"/>
        </w:rPr>
        <w:t>Donne con anovulazione (inclusa la sindrome dell’ovaio policistico)</w:t>
      </w:r>
    </w:p>
    <w:p w:rsidR="00AF53F8" w:rsidRPr="00FB01EF" w:rsidRDefault="00AF53F8" w:rsidP="00BE4871">
      <w:pPr>
        <w:ind w:right="958"/>
        <w:rPr>
          <w:szCs w:val="22"/>
          <w:lang w:val="it-IT"/>
        </w:rPr>
      </w:pPr>
      <w:r w:rsidRPr="00FB01EF">
        <w:rPr>
          <w:szCs w:val="22"/>
          <w:lang w:val="it-IT"/>
        </w:rPr>
        <w:t xml:space="preserve">Il trattamento con </w:t>
      </w:r>
      <w:r w:rsidR="00A91BAC" w:rsidRPr="00FB01EF">
        <w:rPr>
          <w:szCs w:val="22"/>
          <w:lang w:val="it-IT"/>
        </w:rPr>
        <w:t>follitropina alfa</w:t>
      </w:r>
      <w:r w:rsidRPr="00FB01EF">
        <w:rPr>
          <w:szCs w:val="22"/>
          <w:lang w:val="it-IT"/>
        </w:rPr>
        <w:t xml:space="preserve"> può essere effettuato con iniezioni giornaliere. Nelle donne con mestruazioni la terapia deve iniziare entro i primi 7</w:t>
      </w:r>
      <w:r w:rsidR="00A91BAC" w:rsidRPr="00FB01EF">
        <w:rPr>
          <w:szCs w:val="22"/>
          <w:lang w:val="it-IT"/>
        </w:rPr>
        <w:t> </w:t>
      </w:r>
      <w:r w:rsidRPr="00FB01EF">
        <w:rPr>
          <w:szCs w:val="22"/>
          <w:lang w:val="it-IT"/>
        </w:rPr>
        <w:t>giorni del ciclo mestruale.</w:t>
      </w:r>
    </w:p>
    <w:p w:rsidR="0003335D" w:rsidRPr="00FB01EF" w:rsidRDefault="0003335D" w:rsidP="00BE4871">
      <w:pPr>
        <w:tabs>
          <w:tab w:val="clear" w:pos="567"/>
        </w:tabs>
        <w:outlineLvl w:val="0"/>
        <w:rPr>
          <w:noProof/>
          <w:color w:val="000000"/>
          <w:szCs w:val="22"/>
          <w:lang w:val="it-IT"/>
        </w:rPr>
      </w:pPr>
    </w:p>
    <w:p w:rsidR="00AF53F8" w:rsidRPr="00FB01EF" w:rsidRDefault="00AF53F8" w:rsidP="00BE4871">
      <w:pPr>
        <w:ind w:right="184"/>
        <w:rPr>
          <w:szCs w:val="22"/>
          <w:lang w:val="it-IT"/>
        </w:rPr>
      </w:pPr>
      <w:r w:rsidRPr="00FB01EF">
        <w:rPr>
          <w:szCs w:val="22"/>
          <w:lang w:val="it-IT"/>
        </w:rPr>
        <w:t>Lo schema posologico più comune prevede iniezioni giornaliere di 75</w:t>
      </w:r>
      <w:r w:rsidR="00A44BDD" w:rsidRPr="00FB01EF">
        <w:rPr>
          <w:szCs w:val="22"/>
          <w:lang w:val="it-IT"/>
        </w:rPr>
        <w:noBreakHyphen/>
      </w:r>
      <w:r w:rsidR="00013772" w:rsidRPr="00FB01EF">
        <w:rPr>
          <w:szCs w:val="22"/>
          <w:lang w:val="it-IT"/>
        </w:rPr>
        <w:t>150 </w:t>
      </w:r>
      <w:r w:rsidRPr="00FB01EF">
        <w:rPr>
          <w:szCs w:val="22"/>
          <w:lang w:val="it-IT"/>
        </w:rPr>
        <w:t xml:space="preserve">UI di FSH che possono essere aumentate, se necessario, di 37,5 o </w:t>
      </w:r>
      <w:r w:rsidR="00013772" w:rsidRPr="00FB01EF">
        <w:rPr>
          <w:szCs w:val="22"/>
          <w:lang w:val="it-IT"/>
        </w:rPr>
        <w:t>75 </w:t>
      </w:r>
      <w:r w:rsidRPr="00FB01EF">
        <w:rPr>
          <w:szCs w:val="22"/>
          <w:lang w:val="it-IT"/>
        </w:rPr>
        <w:t xml:space="preserve">UI ad intervalli di 7 o </w:t>
      </w:r>
      <w:r w:rsidR="00013772" w:rsidRPr="00FB01EF">
        <w:rPr>
          <w:szCs w:val="22"/>
          <w:lang w:val="it-IT"/>
        </w:rPr>
        <w:t>14 </w:t>
      </w:r>
      <w:r w:rsidRPr="00FB01EF">
        <w:rPr>
          <w:szCs w:val="22"/>
          <w:lang w:val="it-IT"/>
        </w:rPr>
        <w:t xml:space="preserve">giorni per ottenere una risposta adeguata ma non eccessiva. Il trattamento va adattato in base alla risposta individuale della paziente, che va valutata misurando le dimensioni del follicolo mediante esame ecografico e/o mediante il dosaggio degli estrogeni. La dose massima giornaliera non supera generalmente </w:t>
      </w:r>
      <w:r w:rsidR="00013772" w:rsidRPr="00FB01EF">
        <w:rPr>
          <w:szCs w:val="22"/>
          <w:lang w:val="it-IT"/>
        </w:rPr>
        <w:t>225 </w:t>
      </w:r>
      <w:r w:rsidRPr="00FB01EF">
        <w:rPr>
          <w:szCs w:val="22"/>
          <w:lang w:val="it-IT"/>
        </w:rPr>
        <w:t>UI di FSH. Se la paziente non risponde adeguatamente dopo 4</w:t>
      </w:r>
      <w:r w:rsidR="00013772" w:rsidRPr="00FB01EF">
        <w:rPr>
          <w:szCs w:val="22"/>
          <w:lang w:val="it-IT"/>
        </w:rPr>
        <w:t> </w:t>
      </w:r>
      <w:r w:rsidRPr="00FB01EF">
        <w:rPr>
          <w:szCs w:val="22"/>
          <w:lang w:val="it-IT"/>
        </w:rPr>
        <w:t>settimane di trattamento il ciclo di terapia deve essere interrotto; la paziente dovrà essere sottoposta a ulteriori accertamenti, al termine dei quali potrà iniziare il ciclo terapeutico seguente con una dose superiore a quella del ciclo precedentemente interrotto.</w:t>
      </w:r>
    </w:p>
    <w:p w:rsidR="00AF53F8" w:rsidRPr="00FB01EF" w:rsidRDefault="00AF53F8" w:rsidP="00BE4871">
      <w:pPr>
        <w:rPr>
          <w:szCs w:val="22"/>
          <w:lang w:val="it-IT"/>
        </w:rPr>
      </w:pPr>
    </w:p>
    <w:p w:rsidR="00AF53F8" w:rsidRPr="00FB01EF" w:rsidRDefault="00AF53F8" w:rsidP="00BE4871">
      <w:pPr>
        <w:ind w:right="90"/>
        <w:rPr>
          <w:szCs w:val="22"/>
          <w:lang w:val="it-IT"/>
        </w:rPr>
      </w:pPr>
      <w:r w:rsidRPr="00FB01EF">
        <w:rPr>
          <w:szCs w:val="22"/>
          <w:lang w:val="it-IT"/>
        </w:rPr>
        <w:t>Una volta ottenuta la risposta ottimale, 24</w:t>
      </w:r>
      <w:r w:rsidR="00E25CAF" w:rsidRPr="00FB01EF">
        <w:rPr>
          <w:szCs w:val="22"/>
          <w:lang w:val="it-IT"/>
        </w:rPr>
        <w:noBreakHyphen/>
      </w:r>
      <w:r w:rsidRPr="00FB01EF">
        <w:rPr>
          <w:szCs w:val="22"/>
          <w:lang w:val="it-IT"/>
        </w:rPr>
        <w:t>48</w:t>
      </w:r>
      <w:r w:rsidR="00013772" w:rsidRPr="00FB01EF">
        <w:rPr>
          <w:szCs w:val="22"/>
          <w:lang w:val="it-IT"/>
        </w:rPr>
        <w:t> </w:t>
      </w:r>
      <w:r w:rsidRPr="00FB01EF">
        <w:rPr>
          <w:szCs w:val="22"/>
          <w:lang w:val="it-IT"/>
        </w:rPr>
        <w:t xml:space="preserve">ore dopo l’ultima iniezione di </w:t>
      </w:r>
      <w:r w:rsidR="00013772" w:rsidRPr="00FB01EF">
        <w:rPr>
          <w:szCs w:val="22"/>
          <w:lang w:val="it-IT"/>
        </w:rPr>
        <w:t>follitropina alfa</w:t>
      </w:r>
      <w:r w:rsidRPr="00FB01EF">
        <w:rPr>
          <w:szCs w:val="22"/>
          <w:lang w:val="it-IT"/>
        </w:rPr>
        <w:t xml:space="preserve"> è necessario somministrare </w:t>
      </w:r>
      <w:r w:rsidR="00013772" w:rsidRPr="00FB01EF">
        <w:rPr>
          <w:szCs w:val="22"/>
          <w:lang w:val="it-IT"/>
        </w:rPr>
        <w:t>250 </w:t>
      </w:r>
      <w:r w:rsidRPr="00FB01EF">
        <w:rPr>
          <w:szCs w:val="22"/>
          <w:lang w:val="it-IT"/>
        </w:rPr>
        <w:t xml:space="preserve">microgrammi di coriogonadotropina alfa umana ricombinante (r-hCG) o da </w:t>
      </w:r>
      <w:smartTag w:uri="urn:schemas-microsoft-com:office:smarttags" w:element="metricconverter">
        <w:smartTagPr>
          <w:attr w:name="ProductID" w:val="5.000 a"/>
        </w:smartTagPr>
        <w:r w:rsidRPr="00FB01EF">
          <w:rPr>
            <w:szCs w:val="22"/>
            <w:lang w:val="it-IT"/>
          </w:rPr>
          <w:t>5.000 a</w:t>
        </w:r>
      </w:smartTag>
      <w:r w:rsidR="00BE4871" w:rsidRPr="00FB01EF">
        <w:rPr>
          <w:szCs w:val="22"/>
          <w:lang w:val="it-IT"/>
        </w:rPr>
        <w:t xml:space="preserve"> </w:t>
      </w:r>
      <w:r w:rsidRPr="00FB01EF">
        <w:rPr>
          <w:szCs w:val="22"/>
          <w:lang w:val="it-IT"/>
        </w:rPr>
        <w:t>10.</w:t>
      </w:r>
      <w:r w:rsidR="00013772" w:rsidRPr="00FB01EF">
        <w:rPr>
          <w:szCs w:val="22"/>
          <w:lang w:val="it-IT"/>
        </w:rPr>
        <w:t>000 </w:t>
      </w:r>
      <w:r w:rsidRPr="00FB01EF">
        <w:rPr>
          <w:szCs w:val="22"/>
          <w:lang w:val="it-IT"/>
        </w:rPr>
        <w:t>UI di hCG in unica somministrazione. È preferibile che la paziente abbia rapporti sessuali a scopo procreativo sia il giorno della somministrazione di hCG sia quello successivo. In alternativa, potrà essere eseguita una inseminazione intrauterina (</w:t>
      </w:r>
      <w:r w:rsidRPr="00FB01EF">
        <w:rPr>
          <w:i/>
          <w:szCs w:val="22"/>
          <w:lang w:val="it-IT"/>
        </w:rPr>
        <w:t>Intra Uterine Insemination</w:t>
      </w:r>
      <w:r w:rsidRPr="00FB01EF">
        <w:rPr>
          <w:szCs w:val="22"/>
          <w:lang w:val="it-IT"/>
        </w:rPr>
        <w:t>, IUI).</w:t>
      </w:r>
    </w:p>
    <w:p w:rsidR="00AF53F8" w:rsidRPr="00FB01EF" w:rsidRDefault="00AF53F8" w:rsidP="00BE4871">
      <w:pPr>
        <w:rPr>
          <w:szCs w:val="22"/>
          <w:lang w:val="it-IT"/>
        </w:rPr>
      </w:pPr>
    </w:p>
    <w:p w:rsidR="00AF53F8" w:rsidRPr="00FB01EF" w:rsidRDefault="00AF53F8" w:rsidP="00BE4871">
      <w:pPr>
        <w:ind w:right="86"/>
        <w:rPr>
          <w:szCs w:val="22"/>
          <w:lang w:val="it-IT"/>
        </w:rPr>
      </w:pPr>
      <w:r w:rsidRPr="00FB01EF">
        <w:rPr>
          <w:szCs w:val="22"/>
          <w:lang w:val="it-IT"/>
        </w:rPr>
        <w:t>Se si ottiene una risposta eccessiva, si deve interrompere il trattamento e rinunciare alla somministrazione di hCG (vedere paragrafo</w:t>
      </w:r>
      <w:r w:rsidR="00E25CAF" w:rsidRPr="00FB01EF">
        <w:rPr>
          <w:szCs w:val="22"/>
          <w:lang w:val="it-IT"/>
        </w:rPr>
        <w:t> </w:t>
      </w:r>
      <w:r w:rsidRPr="00FB01EF">
        <w:rPr>
          <w:szCs w:val="22"/>
          <w:lang w:val="it-IT"/>
        </w:rPr>
        <w:t>4.4). Nel ciclo successivo il trattamento deve essere ripreso con una dose più bassa.</w:t>
      </w:r>
    </w:p>
    <w:p w:rsidR="00AF53F8" w:rsidRPr="00FB01EF" w:rsidRDefault="00AF53F8" w:rsidP="00AF53F8">
      <w:pPr>
        <w:rPr>
          <w:szCs w:val="22"/>
          <w:lang w:val="it-IT"/>
        </w:rPr>
      </w:pPr>
    </w:p>
    <w:p w:rsidR="00AF53F8" w:rsidRPr="00FB01EF" w:rsidRDefault="00AF53F8" w:rsidP="00F97DD8">
      <w:pPr>
        <w:keepNext/>
        <w:ind w:right="1064"/>
        <w:rPr>
          <w:szCs w:val="22"/>
          <w:u w:val="single"/>
          <w:lang w:val="it-IT"/>
        </w:rPr>
      </w:pPr>
      <w:r w:rsidRPr="00FB01EF">
        <w:rPr>
          <w:i/>
          <w:szCs w:val="22"/>
          <w:u w:val="single"/>
          <w:lang w:val="it-IT"/>
        </w:rPr>
        <w:lastRenderedPageBreak/>
        <w:t xml:space="preserve">Donne sottoposte a stimolazione ovarica per lo sviluppo follicolare multiplo che precede la fertilizzazione in vitro o altre </w:t>
      </w:r>
      <w:r w:rsidR="00013772" w:rsidRPr="00FB01EF">
        <w:rPr>
          <w:i/>
          <w:szCs w:val="22"/>
          <w:u w:val="single"/>
          <w:lang w:val="it-IT"/>
        </w:rPr>
        <w:t>ART</w:t>
      </w:r>
    </w:p>
    <w:p w:rsidR="00AF53F8" w:rsidRPr="00FB01EF" w:rsidRDefault="00AF53F8" w:rsidP="00F97DD8">
      <w:pPr>
        <w:keepNext/>
        <w:ind w:right="46"/>
        <w:rPr>
          <w:szCs w:val="22"/>
          <w:lang w:val="it-IT"/>
        </w:rPr>
      </w:pPr>
      <w:r w:rsidRPr="00FB01EF">
        <w:rPr>
          <w:szCs w:val="22"/>
          <w:lang w:val="it-IT"/>
        </w:rPr>
        <w:t>Il regime comunemente adottato nella superovulazione prevede la somministrazione di 150</w:t>
      </w:r>
      <w:r w:rsidR="005D5C11" w:rsidRPr="00FB01EF">
        <w:rPr>
          <w:szCs w:val="22"/>
          <w:lang w:val="it-IT"/>
        </w:rPr>
        <w:noBreakHyphen/>
      </w:r>
      <w:r w:rsidR="00013772" w:rsidRPr="00FB01EF">
        <w:rPr>
          <w:szCs w:val="22"/>
          <w:lang w:val="it-IT"/>
        </w:rPr>
        <w:t>225 </w:t>
      </w:r>
      <w:r w:rsidRPr="00FB01EF">
        <w:rPr>
          <w:szCs w:val="22"/>
          <w:lang w:val="it-IT"/>
        </w:rPr>
        <w:t xml:space="preserve">UI di </w:t>
      </w:r>
      <w:r w:rsidR="00013772" w:rsidRPr="00FB01EF">
        <w:rPr>
          <w:szCs w:val="22"/>
          <w:lang w:val="it-IT"/>
        </w:rPr>
        <w:t>follitropina alfa</w:t>
      </w:r>
      <w:r w:rsidRPr="00FB01EF">
        <w:rPr>
          <w:szCs w:val="22"/>
          <w:lang w:val="it-IT"/>
        </w:rPr>
        <w:t xml:space="preserve"> al giorno iniziando il 2°o 3°giorno del ciclo. Il trattamento viene continuato finché non viene raggiunto un adeguato sviluppo follicolare (valutato mediante monitoraggio della concentrazione degli estrogeni e/o mediante monitoraggio ecografico) adattando la dose in base alla risposta della paziente fino ad un massimo generalmente di </w:t>
      </w:r>
      <w:r w:rsidR="00013772" w:rsidRPr="00FB01EF">
        <w:rPr>
          <w:szCs w:val="22"/>
          <w:lang w:val="it-IT"/>
        </w:rPr>
        <w:t>450 </w:t>
      </w:r>
      <w:r w:rsidRPr="00FB01EF">
        <w:rPr>
          <w:szCs w:val="22"/>
          <w:lang w:val="it-IT"/>
        </w:rPr>
        <w:t xml:space="preserve">UI al giorno. In genere un adeguato sviluppo follicolare viene raggiunto intorno al decimo giorno di trattamento (intervallo compreso tra 5 e </w:t>
      </w:r>
      <w:r w:rsidR="00013772" w:rsidRPr="00FB01EF">
        <w:rPr>
          <w:szCs w:val="22"/>
          <w:lang w:val="it-IT"/>
        </w:rPr>
        <w:t>20 </w:t>
      </w:r>
      <w:r w:rsidRPr="00FB01EF">
        <w:rPr>
          <w:szCs w:val="22"/>
          <w:lang w:val="it-IT"/>
        </w:rPr>
        <w:t>giorni).</w:t>
      </w:r>
    </w:p>
    <w:p w:rsidR="0003335D" w:rsidRPr="00FB01EF" w:rsidRDefault="0003335D" w:rsidP="00BE4871">
      <w:pPr>
        <w:tabs>
          <w:tab w:val="clear" w:pos="567"/>
        </w:tabs>
        <w:outlineLvl w:val="0"/>
        <w:rPr>
          <w:noProof/>
          <w:color w:val="000000"/>
          <w:szCs w:val="22"/>
          <w:lang w:val="it-IT"/>
        </w:rPr>
      </w:pPr>
    </w:p>
    <w:p w:rsidR="00AF53F8" w:rsidRPr="00FB01EF" w:rsidRDefault="00AF53F8" w:rsidP="00BE4871">
      <w:pPr>
        <w:ind w:right="-20"/>
        <w:rPr>
          <w:szCs w:val="22"/>
          <w:lang w:val="it-IT"/>
        </w:rPr>
      </w:pPr>
      <w:r w:rsidRPr="00FB01EF">
        <w:rPr>
          <w:szCs w:val="22"/>
          <w:lang w:val="it-IT"/>
        </w:rPr>
        <w:t>Per indurre la maturazione follicolare finale devono essere somministrati 250</w:t>
      </w:r>
      <w:r w:rsidR="00013772" w:rsidRPr="00FB01EF">
        <w:rPr>
          <w:szCs w:val="22"/>
          <w:lang w:val="it-IT"/>
        </w:rPr>
        <w:t> </w:t>
      </w:r>
      <w:r w:rsidRPr="00FB01EF">
        <w:rPr>
          <w:szCs w:val="22"/>
          <w:lang w:val="it-IT"/>
        </w:rPr>
        <w:t>microgrammi di r</w:t>
      </w:r>
      <w:r w:rsidR="005D5C11" w:rsidRPr="00FB01EF">
        <w:rPr>
          <w:szCs w:val="22"/>
          <w:lang w:val="it-IT"/>
        </w:rPr>
        <w:noBreakHyphen/>
      </w:r>
      <w:r w:rsidRPr="00FB01EF">
        <w:rPr>
          <w:szCs w:val="22"/>
          <w:lang w:val="it-IT"/>
        </w:rPr>
        <w:t xml:space="preserve">hCG o </w:t>
      </w:r>
      <w:r w:rsidR="00013772" w:rsidRPr="00FB01EF">
        <w:rPr>
          <w:szCs w:val="22"/>
          <w:lang w:val="it-IT"/>
        </w:rPr>
        <w:t xml:space="preserve">da </w:t>
      </w:r>
      <w:r w:rsidRPr="00FB01EF">
        <w:rPr>
          <w:szCs w:val="22"/>
          <w:lang w:val="it-IT"/>
        </w:rPr>
        <w:t>5.000</w:t>
      </w:r>
      <w:r w:rsidR="00013772" w:rsidRPr="00FB01EF">
        <w:rPr>
          <w:szCs w:val="22"/>
          <w:lang w:val="it-IT"/>
        </w:rPr>
        <w:t> </w:t>
      </w:r>
      <w:r w:rsidRPr="00FB01EF">
        <w:rPr>
          <w:szCs w:val="22"/>
          <w:lang w:val="it-IT"/>
        </w:rPr>
        <w:t>UI fino a 10.000</w:t>
      </w:r>
      <w:r w:rsidR="00013772" w:rsidRPr="00FB01EF">
        <w:rPr>
          <w:szCs w:val="22"/>
          <w:lang w:val="it-IT"/>
        </w:rPr>
        <w:t> </w:t>
      </w:r>
      <w:r w:rsidRPr="00FB01EF">
        <w:rPr>
          <w:szCs w:val="22"/>
          <w:lang w:val="it-IT"/>
        </w:rPr>
        <w:t>UI di gonadotropina corionica (hCG), in unica somministrazione, 24-48</w:t>
      </w:r>
      <w:r w:rsidR="00013772" w:rsidRPr="00FB01EF">
        <w:rPr>
          <w:szCs w:val="22"/>
          <w:lang w:val="it-IT"/>
        </w:rPr>
        <w:t> </w:t>
      </w:r>
      <w:r w:rsidRPr="00FB01EF">
        <w:rPr>
          <w:szCs w:val="22"/>
          <w:lang w:val="it-IT"/>
        </w:rPr>
        <w:t xml:space="preserve">ore dopo l’ultima somministrazione di </w:t>
      </w:r>
      <w:r w:rsidR="00013772" w:rsidRPr="00FB01EF">
        <w:rPr>
          <w:szCs w:val="22"/>
          <w:lang w:val="it-IT"/>
        </w:rPr>
        <w:t>follitropina alfa</w:t>
      </w:r>
      <w:r w:rsidRPr="00FB01EF">
        <w:rPr>
          <w:szCs w:val="22"/>
          <w:lang w:val="it-IT"/>
        </w:rPr>
        <w:t>.</w:t>
      </w:r>
    </w:p>
    <w:p w:rsidR="0003335D" w:rsidRPr="00FB01EF" w:rsidRDefault="0003335D" w:rsidP="00BE4871">
      <w:pPr>
        <w:tabs>
          <w:tab w:val="clear" w:pos="567"/>
        </w:tabs>
        <w:outlineLvl w:val="0"/>
        <w:rPr>
          <w:noProof/>
          <w:color w:val="000000"/>
          <w:szCs w:val="22"/>
          <w:lang w:val="it-IT"/>
        </w:rPr>
      </w:pPr>
    </w:p>
    <w:p w:rsidR="00AF53F8" w:rsidRPr="00FB01EF" w:rsidRDefault="00AF53F8" w:rsidP="00F97DD8">
      <w:pPr>
        <w:ind w:right="-20"/>
        <w:rPr>
          <w:szCs w:val="22"/>
          <w:lang w:val="it-IT"/>
        </w:rPr>
      </w:pPr>
      <w:r w:rsidRPr="00FB01EF">
        <w:rPr>
          <w:szCs w:val="22"/>
          <w:lang w:val="it-IT"/>
        </w:rPr>
        <w:t xml:space="preserve">Comunemente si provoca una </w:t>
      </w:r>
      <w:r w:rsidR="002F292E" w:rsidRPr="00FB01EF">
        <w:rPr>
          <w:szCs w:val="22"/>
          <w:lang w:val="it-IT"/>
        </w:rPr>
        <w:t>soppressione ipofisaria (</w:t>
      </w:r>
      <w:r w:rsidRPr="00FB01EF">
        <w:rPr>
          <w:i/>
          <w:szCs w:val="22"/>
          <w:lang w:val="it-IT"/>
        </w:rPr>
        <w:t>down-regulation</w:t>
      </w:r>
      <w:r w:rsidR="002F292E" w:rsidRPr="00FB01EF">
        <w:rPr>
          <w:szCs w:val="22"/>
          <w:lang w:val="it-IT"/>
        </w:rPr>
        <w:t>)</w:t>
      </w:r>
      <w:r w:rsidRPr="00FB01EF">
        <w:rPr>
          <w:szCs w:val="22"/>
          <w:lang w:val="it-IT"/>
        </w:rPr>
        <w:t xml:space="preserve"> con un agonista o antagonista dell’ormone che rilascia la gonadotropina (GnRH) al fine di sopprimere il picco dell’LH endogeno e di controllarne la secrezione tonica. Lo schema di trattamento più comune prevede l’utilizzo di </w:t>
      </w:r>
      <w:r w:rsidR="00013772" w:rsidRPr="00FB01EF">
        <w:rPr>
          <w:szCs w:val="22"/>
          <w:lang w:val="it-IT"/>
        </w:rPr>
        <w:t>follitropina alfa</w:t>
      </w:r>
      <w:r w:rsidRPr="00FB01EF">
        <w:rPr>
          <w:szCs w:val="22"/>
          <w:lang w:val="it-IT"/>
        </w:rPr>
        <w:t xml:space="preserve"> circa</w:t>
      </w:r>
      <w:r w:rsidR="005D5C11" w:rsidRPr="00FB01EF">
        <w:rPr>
          <w:szCs w:val="22"/>
          <w:lang w:val="it-IT"/>
        </w:rPr>
        <w:t xml:space="preserve"> </w:t>
      </w:r>
      <w:r w:rsidRPr="00FB01EF">
        <w:rPr>
          <w:szCs w:val="22"/>
          <w:lang w:val="it-IT"/>
        </w:rPr>
        <w:t>2</w:t>
      </w:r>
      <w:r w:rsidR="00013772" w:rsidRPr="00FB01EF">
        <w:rPr>
          <w:szCs w:val="22"/>
          <w:lang w:val="it-IT"/>
        </w:rPr>
        <w:t> </w:t>
      </w:r>
      <w:r w:rsidRPr="00FB01EF">
        <w:rPr>
          <w:szCs w:val="22"/>
          <w:lang w:val="it-IT"/>
        </w:rPr>
        <w:t>settimane dopo l’inizio della terapia con l’agonista; entrambi i trattamenti vengono continuati fino a quando si raggiunge un adeguato sviluppo follicolare. Per esempio dopo 2</w:t>
      </w:r>
      <w:r w:rsidR="00013772" w:rsidRPr="00FB01EF">
        <w:rPr>
          <w:szCs w:val="22"/>
          <w:lang w:val="it-IT"/>
        </w:rPr>
        <w:t> </w:t>
      </w:r>
      <w:r w:rsidRPr="00FB01EF">
        <w:rPr>
          <w:szCs w:val="22"/>
          <w:lang w:val="it-IT"/>
        </w:rPr>
        <w:t>settimane di trattamento con l’agonista, somministrare 150</w:t>
      </w:r>
      <w:r w:rsidR="005D5C11" w:rsidRPr="00FB01EF">
        <w:rPr>
          <w:szCs w:val="22"/>
          <w:lang w:val="it-IT"/>
        </w:rPr>
        <w:noBreakHyphen/>
      </w:r>
      <w:r w:rsidRPr="00FB01EF">
        <w:rPr>
          <w:szCs w:val="22"/>
          <w:lang w:val="it-IT"/>
        </w:rPr>
        <w:t>225</w:t>
      </w:r>
      <w:r w:rsidR="00013772" w:rsidRPr="00FB01EF">
        <w:rPr>
          <w:szCs w:val="22"/>
          <w:lang w:val="it-IT"/>
        </w:rPr>
        <w:t> </w:t>
      </w:r>
      <w:r w:rsidRPr="00FB01EF">
        <w:rPr>
          <w:szCs w:val="22"/>
          <w:lang w:val="it-IT"/>
        </w:rPr>
        <w:t xml:space="preserve">UI di </w:t>
      </w:r>
      <w:r w:rsidR="00013772" w:rsidRPr="00FB01EF">
        <w:rPr>
          <w:szCs w:val="22"/>
          <w:lang w:val="it-IT"/>
        </w:rPr>
        <w:t>follitropina alfa</w:t>
      </w:r>
      <w:r w:rsidRPr="00FB01EF">
        <w:rPr>
          <w:szCs w:val="22"/>
          <w:lang w:val="it-IT"/>
        </w:rPr>
        <w:t xml:space="preserve"> per i primi 7</w:t>
      </w:r>
      <w:r w:rsidR="00013772" w:rsidRPr="00FB01EF">
        <w:rPr>
          <w:szCs w:val="22"/>
          <w:lang w:val="it-IT"/>
        </w:rPr>
        <w:t> </w:t>
      </w:r>
      <w:r w:rsidRPr="00FB01EF">
        <w:rPr>
          <w:szCs w:val="22"/>
          <w:lang w:val="it-IT"/>
        </w:rPr>
        <w:t>giorni. La dose viene poi aggiustata secondo la risposta ovarica.</w:t>
      </w:r>
    </w:p>
    <w:p w:rsidR="00AF53F8" w:rsidRPr="00FB01EF" w:rsidRDefault="00AF53F8" w:rsidP="00BE4871">
      <w:pPr>
        <w:rPr>
          <w:szCs w:val="22"/>
          <w:lang w:val="it-IT"/>
        </w:rPr>
      </w:pPr>
    </w:p>
    <w:p w:rsidR="00AF53F8" w:rsidRPr="00FB01EF" w:rsidRDefault="00AF53F8" w:rsidP="00BE4871">
      <w:pPr>
        <w:ind w:right="128"/>
        <w:rPr>
          <w:szCs w:val="22"/>
          <w:lang w:val="it-IT"/>
        </w:rPr>
      </w:pPr>
      <w:r w:rsidRPr="00FB01EF">
        <w:rPr>
          <w:szCs w:val="22"/>
          <w:lang w:val="it-IT"/>
        </w:rPr>
        <w:t>L’esperienza acquisita nella IVF indica che in genere la percentuale di successi rimane stabile durante i primi quattro tentativi, per poi diminuire successivamente in maniera graduale.</w:t>
      </w:r>
    </w:p>
    <w:p w:rsidR="0003335D" w:rsidRPr="00FB01EF" w:rsidRDefault="0003335D" w:rsidP="00BE4871">
      <w:pPr>
        <w:ind w:right="162"/>
        <w:rPr>
          <w:i/>
          <w:iCs/>
          <w:noProof/>
          <w:color w:val="000000"/>
          <w:szCs w:val="22"/>
          <w:lang w:val="it-IT"/>
        </w:rPr>
      </w:pPr>
    </w:p>
    <w:p w:rsidR="00AF53F8" w:rsidRPr="00FB01EF" w:rsidRDefault="00AF53F8" w:rsidP="00496272">
      <w:pPr>
        <w:tabs>
          <w:tab w:val="clear" w:pos="567"/>
        </w:tabs>
        <w:outlineLvl w:val="0"/>
        <w:rPr>
          <w:i/>
          <w:szCs w:val="22"/>
          <w:u w:val="single"/>
          <w:lang w:val="it-IT"/>
        </w:rPr>
      </w:pPr>
      <w:r w:rsidRPr="00FB01EF">
        <w:rPr>
          <w:i/>
          <w:szCs w:val="22"/>
          <w:u w:val="single"/>
          <w:lang w:val="it-IT"/>
        </w:rPr>
        <w:t>Donne con anovulazione dovuta a grave insufficienza di LH ed FSH</w:t>
      </w:r>
    </w:p>
    <w:p w:rsidR="00AF53F8" w:rsidRPr="00FB01EF" w:rsidRDefault="00AF53F8" w:rsidP="001437AF">
      <w:pPr>
        <w:ind w:right="211"/>
        <w:rPr>
          <w:szCs w:val="22"/>
          <w:lang w:val="it-IT"/>
        </w:rPr>
      </w:pPr>
      <w:r w:rsidRPr="00FB01EF">
        <w:rPr>
          <w:szCs w:val="22"/>
          <w:lang w:val="it-IT"/>
        </w:rPr>
        <w:t xml:space="preserve">Nelle donne carenti di LH ed FSH (ipogonadismo ipogonadotropo), l’obiettivo della terapia con </w:t>
      </w:r>
      <w:r w:rsidR="00013772" w:rsidRPr="00FB01EF">
        <w:rPr>
          <w:szCs w:val="22"/>
          <w:lang w:val="it-IT"/>
        </w:rPr>
        <w:t>follitropina alfa</w:t>
      </w:r>
      <w:r w:rsidRPr="00FB01EF">
        <w:rPr>
          <w:szCs w:val="22"/>
          <w:lang w:val="it-IT"/>
        </w:rPr>
        <w:t xml:space="preserve"> in associazione alla lutropina alfa è lo sviluppo di un singolo follicolo di Graaf maturo dal quale verrà liberato l’ovocita dopo la somministrazione di hCG. </w:t>
      </w:r>
      <w:r w:rsidR="00013772" w:rsidRPr="00FB01EF">
        <w:rPr>
          <w:szCs w:val="22"/>
          <w:lang w:val="it-IT"/>
        </w:rPr>
        <w:t>Follitropina alfa</w:t>
      </w:r>
      <w:r w:rsidRPr="00FB01EF">
        <w:rPr>
          <w:szCs w:val="22"/>
          <w:lang w:val="it-IT"/>
        </w:rPr>
        <w:t xml:space="preserve"> deve essere </w:t>
      </w:r>
      <w:r w:rsidR="00013772" w:rsidRPr="00FB01EF">
        <w:rPr>
          <w:szCs w:val="22"/>
          <w:lang w:val="it-IT"/>
        </w:rPr>
        <w:t xml:space="preserve">somministrata </w:t>
      </w:r>
      <w:r w:rsidRPr="00FB01EF">
        <w:rPr>
          <w:szCs w:val="22"/>
          <w:lang w:val="it-IT"/>
        </w:rPr>
        <w:t>con iniezioni giornaliere contemporaneamente a lutropina alfa. Poiché tali pazienti sono amenorroiche ed hanno una bassa secrezione endogena di estrogeni, il trattamento può iniziare in qualsiasi giorno.</w:t>
      </w:r>
    </w:p>
    <w:p w:rsidR="0003335D" w:rsidRPr="00FB01EF" w:rsidRDefault="0003335D" w:rsidP="001437AF">
      <w:pPr>
        <w:tabs>
          <w:tab w:val="clear" w:pos="567"/>
        </w:tabs>
        <w:outlineLvl w:val="0"/>
        <w:rPr>
          <w:noProof/>
          <w:color w:val="000000"/>
          <w:szCs w:val="22"/>
          <w:lang w:val="it-IT"/>
        </w:rPr>
      </w:pPr>
    </w:p>
    <w:p w:rsidR="00AF53F8" w:rsidRPr="00FB01EF" w:rsidRDefault="00AF53F8" w:rsidP="001437AF">
      <w:pPr>
        <w:ind w:right="278"/>
        <w:rPr>
          <w:szCs w:val="22"/>
          <w:lang w:val="it-IT"/>
        </w:rPr>
      </w:pPr>
      <w:r w:rsidRPr="00FB01EF">
        <w:rPr>
          <w:szCs w:val="22"/>
          <w:lang w:val="it-IT"/>
        </w:rPr>
        <w:t xml:space="preserve">Uno schema posologico raccomandato comincia con </w:t>
      </w:r>
      <w:r w:rsidR="00013772" w:rsidRPr="00FB01EF">
        <w:rPr>
          <w:szCs w:val="22"/>
          <w:lang w:val="it-IT"/>
        </w:rPr>
        <w:t>75 </w:t>
      </w:r>
      <w:r w:rsidRPr="00FB01EF">
        <w:rPr>
          <w:szCs w:val="22"/>
          <w:lang w:val="it-IT"/>
        </w:rPr>
        <w:t>UI di lutropina alfa al giorno e 75</w:t>
      </w:r>
      <w:r w:rsidR="002F292E" w:rsidRPr="00FB01EF">
        <w:rPr>
          <w:szCs w:val="22"/>
          <w:lang w:val="it-IT"/>
        </w:rPr>
        <w:noBreakHyphen/>
      </w:r>
      <w:r w:rsidR="00013772" w:rsidRPr="00FB01EF">
        <w:rPr>
          <w:szCs w:val="22"/>
          <w:lang w:val="it-IT"/>
        </w:rPr>
        <w:t>150 </w:t>
      </w:r>
      <w:r w:rsidRPr="00FB01EF">
        <w:rPr>
          <w:szCs w:val="22"/>
          <w:lang w:val="it-IT"/>
        </w:rPr>
        <w:t>UI di FSH. Il trattamento va adattato in base alla risposta individuale della paziente, che va valutata misurando le dimensioni del follicolo mediante esame ecografico e mediante il dosaggio degli estrogeni.</w:t>
      </w:r>
    </w:p>
    <w:p w:rsidR="0003335D" w:rsidRPr="00FB01EF" w:rsidRDefault="0003335D" w:rsidP="001437AF">
      <w:pPr>
        <w:tabs>
          <w:tab w:val="clear" w:pos="567"/>
        </w:tabs>
        <w:outlineLvl w:val="0"/>
        <w:rPr>
          <w:noProof/>
          <w:color w:val="000000"/>
          <w:szCs w:val="22"/>
          <w:lang w:val="it-IT"/>
        </w:rPr>
      </w:pPr>
    </w:p>
    <w:p w:rsidR="00AF53F8" w:rsidRPr="00FB01EF" w:rsidRDefault="00AF53F8" w:rsidP="001437AF">
      <w:pPr>
        <w:ind w:right="759"/>
        <w:rPr>
          <w:szCs w:val="22"/>
          <w:lang w:val="it-IT"/>
        </w:rPr>
      </w:pPr>
      <w:r w:rsidRPr="00FB01EF">
        <w:rPr>
          <w:szCs w:val="22"/>
          <w:lang w:val="it-IT"/>
        </w:rPr>
        <w:t>Se si ritiene opportuno un aumento della dose di FSH, l’adattamento del dosaggio dovrà essere effettuato preferibilmente con incrementi di 37,5 UI</w:t>
      </w:r>
      <w:r w:rsidR="005D5C11" w:rsidRPr="00FB01EF">
        <w:rPr>
          <w:szCs w:val="22"/>
          <w:lang w:val="it-IT"/>
        </w:rPr>
        <w:noBreakHyphen/>
      </w:r>
      <w:r w:rsidR="00013772" w:rsidRPr="00FB01EF">
        <w:rPr>
          <w:szCs w:val="22"/>
          <w:lang w:val="it-IT"/>
        </w:rPr>
        <w:t>75 </w:t>
      </w:r>
      <w:r w:rsidRPr="00FB01EF">
        <w:rPr>
          <w:szCs w:val="22"/>
          <w:lang w:val="it-IT"/>
        </w:rPr>
        <w:t>UI ad intervalli di 7</w:t>
      </w:r>
      <w:r w:rsidR="005D5C11" w:rsidRPr="00FB01EF">
        <w:rPr>
          <w:szCs w:val="22"/>
          <w:lang w:val="it-IT"/>
        </w:rPr>
        <w:noBreakHyphen/>
      </w:r>
      <w:r w:rsidR="00013772" w:rsidRPr="00FB01EF">
        <w:rPr>
          <w:szCs w:val="22"/>
          <w:lang w:val="it-IT"/>
        </w:rPr>
        <w:t>14 </w:t>
      </w:r>
      <w:r w:rsidRPr="00FB01EF">
        <w:rPr>
          <w:szCs w:val="22"/>
          <w:lang w:val="it-IT"/>
        </w:rPr>
        <w:t>giorni.</w:t>
      </w:r>
    </w:p>
    <w:p w:rsidR="00AF53F8" w:rsidRPr="00FB01EF" w:rsidRDefault="00AF53F8" w:rsidP="001437AF">
      <w:pPr>
        <w:ind w:right="-20"/>
        <w:rPr>
          <w:szCs w:val="22"/>
          <w:lang w:val="it-IT"/>
        </w:rPr>
      </w:pPr>
      <w:r w:rsidRPr="00FB01EF">
        <w:rPr>
          <w:szCs w:val="22"/>
          <w:lang w:val="it-IT"/>
        </w:rPr>
        <w:t xml:space="preserve">La durata della stimolazione di un ciclo può essere estesa fino a </w:t>
      </w:r>
      <w:r w:rsidR="00013772" w:rsidRPr="00FB01EF">
        <w:rPr>
          <w:szCs w:val="22"/>
          <w:lang w:val="it-IT"/>
        </w:rPr>
        <w:t>5 </w:t>
      </w:r>
      <w:r w:rsidRPr="00FB01EF">
        <w:rPr>
          <w:szCs w:val="22"/>
          <w:lang w:val="it-IT"/>
        </w:rPr>
        <w:t>settimane.</w:t>
      </w:r>
    </w:p>
    <w:p w:rsidR="0003335D" w:rsidRPr="00FB01EF" w:rsidRDefault="0003335D" w:rsidP="001437AF">
      <w:pPr>
        <w:tabs>
          <w:tab w:val="clear" w:pos="567"/>
        </w:tabs>
        <w:outlineLvl w:val="0"/>
        <w:rPr>
          <w:noProof/>
          <w:color w:val="000000"/>
          <w:szCs w:val="22"/>
          <w:lang w:val="it-IT"/>
        </w:rPr>
      </w:pPr>
    </w:p>
    <w:p w:rsidR="0003335D" w:rsidRPr="00FB01EF" w:rsidRDefault="00AF53F8" w:rsidP="00F97DD8">
      <w:pPr>
        <w:ind w:right="47"/>
        <w:rPr>
          <w:szCs w:val="22"/>
          <w:lang w:val="it-IT"/>
        </w:rPr>
      </w:pPr>
      <w:r w:rsidRPr="00FB01EF">
        <w:rPr>
          <w:szCs w:val="22"/>
          <w:lang w:val="it-IT"/>
        </w:rPr>
        <w:t>Una volta ottenuta la risposta ottimale, 24-</w:t>
      </w:r>
      <w:r w:rsidR="00013772" w:rsidRPr="00FB01EF">
        <w:rPr>
          <w:szCs w:val="22"/>
          <w:lang w:val="it-IT"/>
        </w:rPr>
        <w:t>48 </w:t>
      </w:r>
      <w:r w:rsidRPr="00FB01EF">
        <w:rPr>
          <w:szCs w:val="22"/>
          <w:lang w:val="it-IT"/>
        </w:rPr>
        <w:t xml:space="preserve">ore dopo l’ultima iniezione di </w:t>
      </w:r>
      <w:r w:rsidR="00013772" w:rsidRPr="00FB01EF">
        <w:rPr>
          <w:szCs w:val="22"/>
          <w:lang w:val="it-IT"/>
        </w:rPr>
        <w:t>follitropina alfa</w:t>
      </w:r>
      <w:r w:rsidRPr="00FB01EF">
        <w:rPr>
          <w:szCs w:val="22"/>
          <w:lang w:val="it-IT"/>
        </w:rPr>
        <w:t xml:space="preserve"> e lutropina alfa, è necessario somministrare </w:t>
      </w:r>
      <w:r w:rsidR="00013772" w:rsidRPr="00FB01EF">
        <w:rPr>
          <w:szCs w:val="22"/>
          <w:lang w:val="it-IT"/>
        </w:rPr>
        <w:t>250 </w:t>
      </w:r>
      <w:r w:rsidRPr="00FB01EF">
        <w:rPr>
          <w:szCs w:val="22"/>
          <w:lang w:val="it-IT"/>
        </w:rPr>
        <w:t xml:space="preserve">microgrammi di r-hCG o da </w:t>
      </w:r>
      <w:smartTag w:uri="urn:schemas-microsoft-com:office:smarttags" w:element="metricconverter">
        <w:smartTagPr>
          <w:attr w:name="ProductID" w:val="5.000 a"/>
        </w:smartTagPr>
        <w:r w:rsidRPr="00FB01EF">
          <w:rPr>
            <w:szCs w:val="22"/>
            <w:lang w:val="it-IT"/>
          </w:rPr>
          <w:t>5.000 a</w:t>
        </w:r>
      </w:smartTag>
      <w:r w:rsidRPr="00FB01EF">
        <w:rPr>
          <w:szCs w:val="22"/>
          <w:lang w:val="it-IT"/>
        </w:rPr>
        <w:t xml:space="preserve"> 10.</w:t>
      </w:r>
      <w:r w:rsidR="00013772" w:rsidRPr="00FB01EF">
        <w:rPr>
          <w:szCs w:val="22"/>
          <w:lang w:val="it-IT"/>
        </w:rPr>
        <w:t>000 </w:t>
      </w:r>
      <w:r w:rsidRPr="00FB01EF">
        <w:rPr>
          <w:szCs w:val="22"/>
          <w:lang w:val="it-IT"/>
        </w:rPr>
        <w:t>UI di hCG in dose unica.</w:t>
      </w:r>
      <w:r w:rsidR="001437AF" w:rsidRPr="00FB01EF">
        <w:rPr>
          <w:szCs w:val="22"/>
          <w:lang w:val="it-IT"/>
        </w:rPr>
        <w:t xml:space="preserve"> </w:t>
      </w:r>
      <w:r w:rsidRPr="00FB01EF">
        <w:rPr>
          <w:szCs w:val="22"/>
          <w:lang w:val="it-IT"/>
        </w:rPr>
        <w:t>Si raccomanda alla paziente di avere rapporti sessuali a scopi procreativi il giorno della somministrazione dell’hCG e il giorno successivo.</w:t>
      </w:r>
      <w:r w:rsidR="00013772" w:rsidRPr="00FB01EF">
        <w:rPr>
          <w:szCs w:val="22"/>
          <w:lang w:val="it-IT"/>
        </w:rPr>
        <w:t xml:space="preserve"> </w:t>
      </w:r>
      <w:r w:rsidRPr="00FB01EF">
        <w:rPr>
          <w:szCs w:val="22"/>
          <w:lang w:val="it-IT"/>
        </w:rPr>
        <w:t>In alternativa, può essere eseguita una IUI.</w:t>
      </w:r>
    </w:p>
    <w:p w:rsidR="00AF53F8" w:rsidRPr="00FB01EF" w:rsidRDefault="00AF53F8" w:rsidP="006C3E86">
      <w:pPr>
        <w:tabs>
          <w:tab w:val="clear" w:pos="567"/>
        </w:tabs>
        <w:outlineLvl w:val="0"/>
        <w:rPr>
          <w:noProof/>
          <w:color w:val="000000"/>
          <w:szCs w:val="22"/>
          <w:lang w:val="it-IT"/>
        </w:rPr>
      </w:pPr>
    </w:p>
    <w:p w:rsidR="00AF53F8" w:rsidRPr="00FB01EF" w:rsidRDefault="00AF53F8" w:rsidP="006C3E86">
      <w:pPr>
        <w:ind w:right="226"/>
        <w:rPr>
          <w:szCs w:val="22"/>
          <w:lang w:val="it-IT"/>
        </w:rPr>
      </w:pPr>
      <w:r w:rsidRPr="00FB01EF">
        <w:rPr>
          <w:szCs w:val="22"/>
          <w:lang w:val="it-IT"/>
        </w:rPr>
        <w:t>Al fine di evitare una insufficienza precoce del corpo luteo dopo l’ovulazione, dovuta alla carenza di sostanze ad attività luteotropa (LH/hCG), deve essere valutata l’opportunità di un supporto della fase luteale.</w:t>
      </w:r>
    </w:p>
    <w:p w:rsidR="0003335D" w:rsidRPr="00FB01EF" w:rsidRDefault="0003335D" w:rsidP="006C3E86">
      <w:pPr>
        <w:tabs>
          <w:tab w:val="clear" w:pos="567"/>
        </w:tabs>
        <w:outlineLvl w:val="0"/>
        <w:rPr>
          <w:noProof/>
          <w:color w:val="000000"/>
          <w:szCs w:val="22"/>
          <w:lang w:val="it-IT"/>
        </w:rPr>
      </w:pPr>
    </w:p>
    <w:p w:rsidR="00AF53F8" w:rsidRPr="00FB01EF" w:rsidRDefault="00AF53F8" w:rsidP="006C3E86">
      <w:pPr>
        <w:ind w:right="354"/>
        <w:rPr>
          <w:szCs w:val="22"/>
          <w:lang w:val="it-IT"/>
        </w:rPr>
      </w:pPr>
      <w:r w:rsidRPr="00FB01EF">
        <w:rPr>
          <w:szCs w:val="22"/>
          <w:lang w:val="it-IT"/>
        </w:rPr>
        <w:t>In caso di risposta eccessiva, il trattamento deve essere interrotto e l’hCG non deve essere somministrato. Nel ciclo successivo il trattamento deve essere ripreso con dosaggi di FSH più bassi rispetto al ciclo precedente.</w:t>
      </w:r>
    </w:p>
    <w:p w:rsidR="0003335D" w:rsidRPr="00FB01EF" w:rsidRDefault="0003335D" w:rsidP="001437AF">
      <w:pPr>
        <w:tabs>
          <w:tab w:val="clear" w:pos="567"/>
        </w:tabs>
        <w:outlineLvl w:val="0"/>
        <w:rPr>
          <w:i/>
          <w:iCs/>
          <w:noProof/>
          <w:color w:val="000000"/>
          <w:szCs w:val="22"/>
          <w:lang w:val="it-IT"/>
        </w:rPr>
      </w:pPr>
    </w:p>
    <w:p w:rsidR="00AF53F8" w:rsidRPr="00FB01EF" w:rsidRDefault="00AF53F8" w:rsidP="00496272">
      <w:pPr>
        <w:tabs>
          <w:tab w:val="clear" w:pos="567"/>
        </w:tabs>
        <w:outlineLvl w:val="0"/>
        <w:rPr>
          <w:i/>
          <w:szCs w:val="22"/>
          <w:u w:val="single"/>
          <w:lang w:val="it-IT"/>
        </w:rPr>
      </w:pPr>
      <w:r w:rsidRPr="00FB01EF">
        <w:rPr>
          <w:i/>
          <w:szCs w:val="22"/>
          <w:u w:val="single"/>
          <w:lang w:val="it-IT"/>
        </w:rPr>
        <w:t>Uomini con ipogonadismo ipogonadotropo</w:t>
      </w:r>
    </w:p>
    <w:p w:rsidR="00AF53F8" w:rsidRPr="00FB01EF" w:rsidRDefault="00E34A42" w:rsidP="001437AF">
      <w:pPr>
        <w:ind w:right="83"/>
        <w:rPr>
          <w:szCs w:val="22"/>
          <w:lang w:val="it-IT"/>
        </w:rPr>
      </w:pPr>
      <w:r w:rsidRPr="00FB01EF">
        <w:rPr>
          <w:szCs w:val="22"/>
          <w:lang w:val="it-IT"/>
        </w:rPr>
        <w:lastRenderedPageBreak/>
        <w:t>Follitropina</w:t>
      </w:r>
      <w:r w:rsidR="00A33EB1" w:rsidRPr="00FB01EF">
        <w:rPr>
          <w:szCs w:val="22"/>
          <w:lang w:val="it-IT"/>
        </w:rPr>
        <w:t xml:space="preserve"> </w:t>
      </w:r>
      <w:r w:rsidR="003E5C6D" w:rsidRPr="00FB01EF">
        <w:rPr>
          <w:szCs w:val="22"/>
          <w:lang w:val="it-IT"/>
        </w:rPr>
        <w:t>alfa</w:t>
      </w:r>
      <w:r w:rsidR="00AF53F8" w:rsidRPr="00FB01EF">
        <w:rPr>
          <w:szCs w:val="22"/>
          <w:lang w:val="it-IT"/>
        </w:rPr>
        <w:t xml:space="preserve"> deve essere </w:t>
      </w:r>
      <w:r w:rsidR="003E5C6D" w:rsidRPr="00FB01EF">
        <w:rPr>
          <w:szCs w:val="22"/>
          <w:lang w:val="it-IT"/>
        </w:rPr>
        <w:t xml:space="preserve">somministrata </w:t>
      </w:r>
      <w:r w:rsidR="00AF53F8" w:rsidRPr="00FB01EF">
        <w:rPr>
          <w:szCs w:val="22"/>
          <w:lang w:val="it-IT"/>
        </w:rPr>
        <w:t xml:space="preserve">ad una dose di </w:t>
      </w:r>
      <w:r w:rsidR="003E5C6D" w:rsidRPr="00FB01EF">
        <w:rPr>
          <w:szCs w:val="22"/>
          <w:lang w:val="it-IT"/>
        </w:rPr>
        <w:t>150 </w:t>
      </w:r>
      <w:r w:rsidR="00AF53F8" w:rsidRPr="00FB01EF">
        <w:rPr>
          <w:szCs w:val="22"/>
          <w:lang w:val="it-IT"/>
        </w:rPr>
        <w:t>UI tre volte la settimana, in associazione con l’hCG, per almeno 4</w:t>
      </w:r>
      <w:r w:rsidR="005D5C11" w:rsidRPr="00FB01EF">
        <w:rPr>
          <w:szCs w:val="22"/>
          <w:lang w:val="it-IT"/>
        </w:rPr>
        <w:t> </w:t>
      </w:r>
      <w:r w:rsidR="00AF53F8" w:rsidRPr="00FB01EF">
        <w:rPr>
          <w:szCs w:val="22"/>
          <w:lang w:val="it-IT"/>
        </w:rPr>
        <w:t xml:space="preserve">mesi. Se dopo tale periodo il paziente non risponde, il trattamento combinato può ulteriormente continuare; l’esperienza clinica corrente indica che il trattamento per almeno </w:t>
      </w:r>
      <w:r w:rsidR="003E5C6D" w:rsidRPr="00FB01EF">
        <w:rPr>
          <w:szCs w:val="22"/>
          <w:lang w:val="it-IT"/>
        </w:rPr>
        <w:t>18 </w:t>
      </w:r>
      <w:r w:rsidR="00AF53F8" w:rsidRPr="00FB01EF">
        <w:rPr>
          <w:szCs w:val="22"/>
          <w:lang w:val="it-IT"/>
        </w:rPr>
        <w:t>mesi può essere necessario per indurre la spermatogenesi.</w:t>
      </w:r>
    </w:p>
    <w:p w:rsidR="0003335D" w:rsidRPr="00FB01EF" w:rsidRDefault="0003335D" w:rsidP="001437AF">
      <w:pPr>
        <w:tabs>
          <w:tab w:val="clear" w:pos="567"/>
        </w:tabs>
        <w:outlineLvl w:val="0"/>
        <w:rPr>
          <w:noProof/>
          <w:color w:val="000000"/>
          <w:szCs w:val="22"/>
          <w:lang w:val="it-IT"/>
        </w:rPr>
      </w:pPr>
    </w:p>
    <w:p w:rsidR="00AF53F8" w:rsidRPr="00FB01EF" w:rsidRDefault="00AF53F8" w:rsidP="00F97DD8">
      <w:pPr>
        <w:keepNext/>
        <w:ind w:right="-20"/>
        <w:rPr>
          <w:i/>
          <w:szCs w:val="22"/>
          <w:u w:val="single"/>
          <w:lang w:val="it-IT"/>
        </w:rPr>
      </w:pPr>
      <w:r w:rsidRPr="00FB01EF">
        <w:rPr>
          <w:i/>
          <w:szCs w:val="22"/>
          <w:u w:val="single"/>
          <w:lang w:val="it-IT"/>
        </w:rPr>
        <w:t>Popolazioni particolari</w:t>
      </w:r>
    </w:p>
    <w:p w:rsidR="0003335D" w:rsidRPr="00FB01EF" w:rsidRDefault="0003335D" w:rsidP="009F580C">
      <w:pPr>
        <w:keepNext/>
        <w:tabs>
          <w:tab w:val="clear" w:pos="567"/>
        </w:tabs>
        <w:outlineLvl w:val="0"/>
        <w:rPr>
          <w:i/>
          <w:iCs/>
          <w:noProof/>
          <w:color w:val="000000"/>
          <w:szCs w:val="22"/>
          <w:lang w:val="it-IT"/>
        </w:rPr>
      </w:pPr>
    </w:p>
    <w:p w:rsidR="00AF53F8" w:rsidRPr="00FB01EF" w:rsidRDefault="00AF53F8" w:rsidP="00F97DD8">
      <w:pPr>
        <w:keepNext/>
        <w:ind w:right="-20"/>
        <w:rPr>
          <w:szCs w:val="22"/>
          <w:lang w:val="it-IT"/>
        </w:rPr>
      </w:pPr>
      <w:r w:rsidRPr="00FB01EF">
        <w:rPr>
          <w:szCs w:val="22"/>
          <w:u w:val="single" w:color="000000"/>
          <w:lang w:val="it-IT"/>
        </w:rPr>
        <w:t>Popolazione anziana</w:t>
      </w:r>
    </w:p>
    <w:p w:rsidR="00AF53F8" w:rsidRPr="00FB01EF" w:rsidRDefault="00AF53F8" w:rsidP="001437AF">
      <w:pPr>
        <w:ind w:right="785"/>
        <w:rPr>
          <w:szCs w:val="22"/>
          <w:lang w:val="it-IT"/>
        </w:rPr>
      </w:pPr>
      <w:r w:rsidRPr="00FB01EF">
        <w:rPr>
          <w:szCs w:val="22"/>
          <w:lang w:val="it-IT"/>
        </w:rPr>
        <w:t xml:space="preserve">Non esiste alcuna indicazione per un uso specifico di </w:t>
      </w:r>
      <w:r w:rsidR="003E5C6D" w:rsidRPr="00FB01EF">
        <w:rPr>
          <w:szCs w:val="22"/>
          <w:lang w:val="it-IT"/>
        </w:rPr>
        <w:t>follitropina alfa</w:t>
      </w:r>
      <w:r w:rsidRPr="00FB01EF">
        <w:rPr>
          <w:szCs w:val="22"/>
          <w:lang w:val="it-IT"/>
        </w:rPr>
        <w:t xml:space="preserve"> nella popolazione anziana. La sicurezza e l’efficacia di </w:t>
      </w:r>
      <w:r w:rsidR="003E5C6D" w:rsidRPr="00FB01EF">
        <w:rPr>
          <w:szCs w:val="22"/>
          <w:lang w:val="it-IT"/>
        </w:rPr>
        <w:t>follitropina alfa</w:t>
      </w:r>
      <w:r w:rsidRPr="00FB01EF">
        <w:rPr>
          <w:szCs w:val="22"/>
          <w:lang w:val="it-IT"/>
        </w:rPr>
        <w:t xml:space="preserve"> nei pazienti anziani non sono state stabilite.</w:t>
      </w:r>
    </w:p>
    <w:p w:rsidR="0003335D" w:rsidRPr="00FB01EF" w:rsidRDefault="0003335D" w:rsidP="00496272">
      <w:pPr>
        <w:tabs>
          <w:tab w:val="clear" w:pos="567"/>
        </w:tabs>
        <w:outlineLvl w:val="0"/>
        <w:rPr>
          <w:i/>
          <w:iCs/>
          <w:noProof/>
          <w:color w:val="000000"/>
          <w:szCs w:val="22"/>
          <w:lang w:val="it-IT"/>
        </w:rPr>
      </w:pPr>
    </w:p>
    <w:p w:rsidR="00AF53F8" w:rsidRPr="00FB01EF" w:rsidRDefault="00AF53F8" w:rsidP="001437AF">
      <w:pPr>
        <w:ind w:right="-20"/>
        <w:rPr>
          <w:szCs w:val="22"/>
          <w:lang w:val="it-IT"/>
        </w:rPr>
      </w:pPr>
      <w:r w:rsidRPr="00FB01EF">
        <w:rPr>
          <w:szCs w:val="22"/>
          <w:u w:val="single" w:color="000000"/>
          <w:lang w:val="it-IT"/>
        </w:rPr>
        <w:t>Compromissione renale o epatica</w:t>
      </w:r>
    </w:p>
    <w:p w:rsidR="0003335D" w:rsidRPr="00FB01EF" w:rsidRDefault="00AF53F8" w:rsidP="00496272">
      <w:pPr>
        <w:tabs>
          <w:tab w:val="clear" w:pos="567"/>
        </w:tabs>
        <w:outlineLvl w:val="0"/>
        <w:rPr>
          <w:noProof/>
          <w:color w:val="000000"/>
          <w:szCs w:val="22"/>
          <w:lang w:val="it-IT"/>
        </w:rPr>
      </w:pPr>
      <w:r w:rsidRPr="00FB01EF">
        <w:rPr>
          <w:szCs w:val="22"/>
          <w:lang w:val="it-IT"/>
        </w:rPr>
        <w:t xml:space="preserve">La sicurezza, l’efficacia e la farmacocinetica di </w:t>
      </w:r>
      <w:r w:rsidR="00614F43" w:rsidRPr="00FB01EF">
        <w:rPr>
          <w:szCs w:val="22"/>
          <w:lang w:val="it-IT"/>
        </w:rPr>
        <w:t>follitropina</w:t>
      </w:r>
      <w:r w:rsidR="003E5C6D" w:rsidRPr="00FB01EF">
        <w:rPr>
          <w:szCs w:val="22"/>
          <w:lang w:val="it-IT"/>
        </w:rPr>
        <w:t xml:space="preserve"> alfa</w:t>
      </w:r>
      <w:r w:rsidRPr="00FB01EF">
        <w:rPr>
          <w:szCs w:val="22"/>
          <w:lang w:val="it-IT"/>
        </w:rPr>
        <w:t xml:space="preserve"> nei pazienti con compromissione renale o epatica non sono state stabilite</w:t>
      </w:r>
      <w:r w:rsidR="0003335D" w:rsidRPr="00FB01EF">
        <w:rPr>
          <w:noProof/>
          <w:color w:val="000000"/>
          <w:szCs w:val="22"/>
          <w:lang w:val="it-IT"/>
        </w:rPr>
        <w:t>.</w:t>
      </w:r>
    </w:p>
    <w:p w:rsidR="0003335D" w:rsidRPr="00FB01EF" w:rsidRDefault="0003335D" w:rsidP="00496272">
      <w:pPr>
        <w:tabs>
          <w:tab w:val="clear" w:pos="567"/>
        </w:tabs>
        <w:outlineLvl w:val="0"/>
        <w:rPr>
          <w:noProof/>
          <w:color w:val="000000"/>
          <w:szCs w:val="22"/>
          <w:lang w:val="it-IT"/>
        </w:rPr>
      </w:pPr>
    </w:p>
    <w:p w:rsidR="00AF53F8" w:rsidRPr="00FB01EF" w:rsidRDefault="00AF53F8" w:rsidP="00496272">
      <w:pPr>
        <w:keepNext/>
        <w:keepLines/>
        <w:tabs>
          <w:tab w:val="clear" w:pos="567"/>
        </w:tabs>
        <w:outlineLvl w:val="0"/>
        <w:rPr>
          <w:szCs w:val="22"/>
          <w:u w:val="single" w:color="000000"/>
          <w:lang w:val="it-IT"/>
        </w:rPr>
      </w:pPr>
      <w:r w:rsidRPr="00FB01EF">
        <w:rPr>
          <w:szCs w:val="22"/>
          <w:u w:val="single" w:color="000000"/>
          <w:lang w:val="it-IT"/>
        </w:rPr>
        <w:t>Popolazione pediatrica</w:t>
      </w:r>
    </w:p>
    <w:p w:rsidR="0003335D" w:rsidRPr="00FB01EF" w:rsidRDefault="00AF53F8" w:rsidP="00496272">
      <w:pPr>
        <w:keepNext/>
        <w:keepLines/>
        <w:tabs>
          <w:tab w:val="clear" w:pos="567"/>
        </w:tabs>
        <w:outlineLvl w:val="0"/>
        <w:rPr>
          <w:noProof/>
          <w:color w:val="000000"/>
          <w:szCs w:val="22"/>
          <w:lang w:val="it-IT"/>
        </w:rPr>
      </w:pPr>
      <w:r w:rsidRPr="00FB01EF">
        <w:rPr>
          <w:szCs w:val="22"/>
          <w:lang w:val="it-IT"/>
        </w:rPr>
        <w:t xml:space="preserve">Non esiste alcuna indicazione per un uso specifico di </w:t>
      </w:r>
      <w:r w:rsidR="003E5C6D" w:rsidRPr="00FB01EF">
        <w:rPr>
          <w:szCs w:val="22"/>
          <w:lang w:val="it-IT"/>
        </w:rPr>
        <w:t>follitropina alfa</w:t>
      </w:r>
      <w:r w:rsidRPr="00FB01EF">
        <w:rPr>
          <w:szCs w:val="22"/>
          <w:lang w:val="it-IT"/>
        </w:rPr>
        <w:t xml:space="preserve"> nella popolazione pediatrica</w:t>
      </w:r>
      <w:r w:rsidR="0003335D" w:rsidRPr="00FB01EF">
        <w:rPr>
          <w:noProof/>
          <w:color w:val="000000"/>
          <w:szCs w:val="22"/>
          <w:lang w:val="it-IT"/>
        </w:rPr>
        <w:t>.</w:t>
      </w:r>
    </w:p>
    <w:p w:rsidR="0003335D" w:rsidRPr="00FB01EF" w:rsidRDefault="0003335D" w:rsidP="00496272">
      <w:pPr>
        <w:tabs>
          <w:tab w:val="clear" w:pos="567"/>
        </w:tabs>
        <w:outlineLvl w:val="0"/>
        <w:rPr>
          <w:noProof/>
          <w:color w:val="000000"/>
          <w:szCs w:val="22"/>
          <w:lang w:val="it-IT"/>
        </w:rPr>
      </w:pPr>
    </w:p>
    <w:p w:rsidR="0003335D" w:rsidRPr="00FB01EF" w:rsidRDefault="00AF53F8" w:rsidP="00496272">
      <w:pPr>
        <w:tabs>
          <w:tab w:val="clear" w:pos="567"/>
        </w:tabs>
        <w:outlineLvl w:val="0"/>
        <w:rPr>
          <w:i/>
          <w:noProof/>
          <w:color w:val="000000"/>
          <w:szCs w:val="22"/>
          <w:u w:val="single"/>
          <w:lang w:val="it-IT"/>
        </w:rPr>
      </w:pPr>
      <w:r w:rsidRPr="00FB01EF">
        <w:rPr>
          <w:i/>
          <w:szCs w:val="22"/>
          <w:u w:val="single" w:color="000000"/>
          <w:lang w:val="it-IT"/>
        </w:rPr>
        <w:t>Modo di somministrazione</w:t>
      </w:r>
    </w:p>
    <w:p w:rsidR="0003335D" w:rsidRPr="00FB01EF" w:rsidRDefault="0003335D" w:rsidP="00496272">
      <w:pPr>
        <w:tabs>
          <w:tab w:val="clear" w:pos="567"/>
        </w:tabs>
        <w:outlineLvl w:val="0"/>
        <w:rPr>
          <w:noProof/>
          <w:color w:val="000000"/>
          <w:szCs w:val="22"/>
          <w:lang w:val="it-IT"/>
        </w:rPr>
      </w:pPr>
    </w:p>
    <w:p w:rsidR="0003335D" w:rsidRPr="00FB01EF" w:rsidRDefault="003E5C6D" w:rsidP="00496272">
      <w:pPr>
        <w:tabs>
          <w:tab w:val="clear" w:pos="567"/>
        </w:tabs>
        <w:outlineLvl w:val="0"/>
        <w:rPr>
          <w:noProof/>
          <w:color w:val="000000"/>
          <w:szCs w:val="22"/>
          <w:lang w:val="it-IT"/>
        </w:rPr>
      </w:pPr>
      <w:r w:rsidRPr="00FB01EF">
        <w:rPr>
          <w:szCs w:val="22"/>
          <w:lang w:val="it-IT"/>
        </w:rPr>
        <w:t>Ovalea</w:t>
      </w:r>
      <w:r w:rsidR="00614F43" w:rsidRPr="00FB01EF">
        <w:rPr>
          <w:szCs w:val="22"/>
          <w:lang w:val="it-IT"/>
        </w:rPr>
        <w:t>p</w:t>
      </w:r>
      <w:r w:rsidR="00AF53F8" w:rsidRPr="00FB01EF">
        <w:rPr>
          <w:szCs w:val="22"/>
          <w:lang w:val="it-IT"/>
        </w:rPr>
        <w:t xml:space="preserve"> </w:t>
      </w:r>
      <w:r w:rsidR="0063224B" w:rsidRPr="00FB01EF">
        <w:rPr>
          <w:szCs w:val="22"/>
          <w:lang w:val="it-IT"/>
        </w:rPr>
        <w:t>è</w:t>
      </w:r>
      <w:r w:rsidR="00AF53F8" w:rsidRPr="00FB01EF">
        <w:rPr>
          <w:szCs w:val="22"/>
          <w:lang w:val="it-IT"/>
        </w:rPr>
        <w:t xml:space="preserve"> per </w:t>
      </w:r>
      <w:r w:rsidR="0063224B" w:rsidRPr="00FB01EF">
        <w:rPr>
          <w:szCs w:val="22"/>
          <w:lang w:val="it-IT"/>
        </w:rPr>
        <w:t>uso</w:t>
      </w:r>
      <w:r w:rsidR="00AF53F8" w:rsidRPr="00FB01EF">
        <w:rPr>
          <w:szCs w:val="22"/>
          <w:lang w:val="it-IT"/>
        </w:rPr>
        <w:t xml:space="preserve"> sottocutane</w:t>
      </w:r>
      <w:r w:rsidR="0063224B" w:rsidRPr="00FB01EF">
        <w:rPr>
          <w:szCs w:val="22"/>
          <w:lang w:val="it-IT"/>
        </w:rPr>
        <w:t>o</w:t>
      </w:r>
      <w:r w:rsidR="00AF53F8" w:rsidRPr="00FB01EF">
        <w:rPr>
          <w:szCs w:val="22"/>
          <w:lang w:val="it-IT"/>
        </w:rPr>
        <w:t>. La prima iniezione deve essere effettuata sotto diretta supervisione medica. L’autosomministrazione deve essere effettuata unicamente da pazienti ben motivati, opportunamente addestrati e che abbiano la possibilità di consultare un esperto</w:t>
      </w:r>
      <w:r w:rsidR="0003335D" w:rsidRPr="00FB01EF">
        <w:rPr>
          <w:noProof/>
          <w:color w:val="000000"/>
          <w:szCs w:val="22"/>
          <w:lang w:val="it-IT"/>
        </w:rPr>
        <w:t>.</w:t>
      </w:r>
    </w:p>
    <w:p w:rsidR="0003335D" w:rsidRPr="00FB01EF" w:rsidRDefault="0003335D" w:rsidP="00496272">
      <w:pPr>
        <w:tabs>
          <w:tab w:val="clear" w:pos="567"/>
        </w:tabs>
        <w:outlineLvl w:val="0"/>
        <w:rPr>
          <w:noProof/>
          <w:color w:val="000000"/>
          <w:szCs w:val="22"/>
          <w:lang w:val="it-IT"/>
        </w:rPr>
      </w:pPr>
    </w:p>
    <w:p w:rsidR="0003335D" w:rsidRPr="00FB01EF" w:rsidRDefault="00AF53F8" w:rsidP="00496272">
      <w:pPr>
        <w:tabs>
          <w:tab w:val="clear" w:pos="567"/>
        </w:tabs>
        <w:outlineLvl w:val="0"/>
        <w:rPr>
          <w:noProof/>
          <w:color w:val="000000"/>
          <w:szCs w:val="22"/>
          <w:lang w:val="it-IT"/>
        </w:rPr>
      </w:pPr>
      <w:r w:rsidRPr="00FB01EF">
        <w:rPr>
          <w:szCs w:val="22"/>
          <w:lang w:val="it-IT"/>
        </w:rPr>
        <w:t xml:space="preserve">Poiché </w:t>
      </w:r>
      <w:r w:rsidR="00614F43" w:rsidRPr="00FB01EF">
        <w:rPr>
          <w:szCs w:val="22"/>
          <w:lang w:val="it-IT"/>
        </w:rPr>
        <w:t xml:space="preserve">la </w:t>
      </w:r>
      <w:r w:rsidRPr="00FB01EF">
        <w:rPr>
          <w:szCs w:val="22"/>
          <w:lang w:val="it-IT"/>
        </w:rPr>
        <w:t xml:space="preserve">cartuccia multidose è destinata a più iniezioni, </w:t>
      </w:r>
      <w:r w:rsidR="003E5C6D" w:rsidRPr="00FB01EF">
        <w:rPr>
          <w:szCs w:val="22"/>
          <w:lang w:val="it-IT"/>
        </w:rPr>
        <w:t>a</w:t>
      </w:r>
      <w:r w:rsidRPr="00FB01EF">
        <w:rPr>
          <w:szCs w:val="22"/>
          <w:lang w:val="it-IT"/>
        </w:rPr>
        <w:t xml:space="preserve">i pazienti devono </w:t>
      </w:r>
      <w:r w:rsidR="003E5C6D" w:rsidRPr="00FB01EF">
        <w:rPr>
          <w:szCs w:val="22"/>
          <w:lang w:val="it-IT"/>
        </w:rPr>
        <w:t xml:space="preserve">essere fornite </w:t>
      </w:r>
      <w:r w:rsidRPr="00FB01EF">
        <w:rPr>
          <w:szCs w:val="22"/>
          <w:lang w:val="it-IT"/>
        </w:rPr>
        <w:t>istruzioni chiare per evitare l’uso scorretto del</w:t>
      </w:r>
      <w:r w:rsidR="0063224B" w:rsidRPr="00FB01EF">
        <w:rPr>
          <w:szCs w:val="22"/>
          <w:lang w:val="it-IT"/>
        </w:rPr>
        <w:t xml:space="preserve"> medicinale</w:t>
      </w:r>
      <w:r w:rsidR="0003335D" w:rsidRPr="00FB01EF">
        <w:rPr>
          <w:noProof/>
          <w:color w:val="000000"/>
          <w:szCs w:val="22"/>
          <w:lang w:val="it-IT"/>
        </w:rPr>
        <w:t>.</w:t>
      </w:r>
    </w:p>
    <w:p w:rsidR="0003335D" w:rsidRPr="00FB01EF" w:rsidRDefault="0003335D" w:rsidP="00496272">
      <w:pPr>
        <w:tabs>
          <w:tab w:val="clear" w:pos="567"/>
        </w:tabs>
        <w:outlineLvl w:val="0"/>
        <w:rPr>
          <w:noProof/>
          <w:color w:val="000000"/>
          <w:szCs w:val="22"/>
          <w:lang w:val="it-IT"/>
        </w:rPr>
      </w:pPr>
    </w:p>
    <w:p w:rsidR="0003335D" w:rsidRPr="00FB01EF" w:rsidRDefault="003E5C6D" w:rsidP="00F97DD8">
      <w:pPr>
        <w:ind w:right="-20"/>
        <w:rPr>
          <w:noProof/>
          <w:color w:val="000000"/>
          <w:szCs w:val="22"/>
          <w:lang w:val="it-IT"/>
        </w:rPr>
      </w:pPr>
      <w:r w:rsidRPr="00FB01EF">
        <w:rPr>
          <w:szCs w:val="22"/>
          <w:lang w:val="it-IT"/>
        </w:rPr>
        <w:t xml:space="preserve">La cartuccia di Ovaleap è </w:t>
      </w:r>
      <w:r w:rsidR="007336C3" w:rsidRPr="00FB01EF">
        <w:rPr>
          <w:szCs w:val="22"/>
          <w:lang w:val="it-IT"/>
        </w:rPr>
        <w:t xml:space="preserve">progettata </w:t>
      </w:r>
      <w:r w:rsidR="00950931" w:rsidRPr="00FB01EF">
        <w:rPr>
          <w:szCs w:val="22"/>
          <w:lang w:val="it-IT"/>
        </w:rPr>
        <w:t>per essere utilizzata esclusivamente</w:t>
      </w:r>
      <w:r w:rsidR="00950931" w:rsidRPr="00FB01EF" w:rsidDel="007336C3">
        <w:rPr>
          <w:szCs w:val="22"/>
          <w:lang w:val="it-IT"/>
        </w:rPr>
        <w:t xml:space="preserve"> </w:t>
      </w:r>
      <w:r w:rsidR="00950931" w:rsidRPr="00FB01EF">
        <w:rPr>
          <w:szCs w:val="22"/>
          <w:lang w:val="it-IT"/>
        </w:rPr>
        <w:t xml:space="preserve">con </w:t>
      </w:r>
      <w:r w:rsidRPr="00FB01EF">
        <w:rPr>
          <w:szCs w:val="22"/>
          <w:lang w:val="it-IT"/>
        </w:rPr>
        <w:t>la Ovaleap</w:t>
      </w:r>
      <w:r w:rsidR="00873F98" w:rsidRPr="00FB01EF">
        <w:rPr>
          <w:szCs w:val="22"/>
          <w:lang w:val="it-IT"/>
        </w:rPr>
        <w:t xml:space="preserve"> Pen</w:t>
      </w:r>
      <w:r w:rsidRPr="00FB01EF">
        <w:rPr>
          <w:szCs w:val="22"/>
          <w:lang w:val="it-IT"/>
        </w:rPr>
        <w:t xml:space="preserve">, che è venduta separatamente. </w:t>
      </w:r>
      <w:r w:rsidR="00AF53F8" w:rsidRPr="00FB01EF">
        <w:rPr>
          <w:szCs w:val="22"/>
          <w:lang w:val="it-IT"/>
        </w:rPr>
        <w:t>Per le istruzioni sulla somministrazione</w:t>
      </w:r>
      <w:r w:rsidR="00FD3B2E" w:rsidRPr="00FB01EF">
        <w:rPr>
          <w:szCs w:val="22"/>
          <w:lang w:val="it-IT"/>
        </w:rPr>
        <w:t xml:space="preserve"> con Ovaleap</w:t>
      </w:r>
      <w:r w:rsidR="00873F98" w:rsidRPr="00FB01EF">
        <w:rPr>
          <w:szCs w:val="22"/>
          <w:lang w:val="it-IT"/>
        </w:rPr>
        <w:t xml:space="preserve"> Pen</w:t>
      </w:r>
      <w:r w:rsidR="00AF53F8" w:rsidRPr="00FB01EF">
        <w:rPr>
          <w:szCs w:val="22"/>
          <w:lang w:val="it-IT"/>
        </w:rPr>
        <w:t xml:space="preserve">, vedere il </w:t>
      </w:r>
      <w:r w:rsidRPr="00FB01EF">
        <w:rPr>
          <w:szCs w:val="22"/>
          <w:lang w:val="it-IT"/>
        </w:rPr>
        <w:t>paragrafo </w:t>
      </w:r>
      <w:r w:rsidR="00AF53F8" w:rsidRPr="00FB01EF">
        <w:rPr>
          <w:szCs w:val="22"/>
          <w:lang w:val="it-IT"/>
        </w:rPr>
        <w:t>6.6</w:t>
      </w:r>
      <w:r w:rsidRPr="00FB01EF">
        <w:rPr>
          <w:szCs w:val="22"/>
          <w:lang w:val="it-IT"/>
        </w:rPr>
        <w:t>.</w:t>
      </w:r>
    </w:p>
    <w:p w:rsidR="0083598A" w:rsidRPr="00FB01EF" w:rsidRDefault="0083598A" w:rsidP="00496272">
      <w:pPr>
        <w:tabs>
          <w:tab w:val="clear" w:pos="567"/>
        </w:tabs>
        <w:outlineLvl w:val="0"/>
        <w:rPr>
          <w:noProof/>
          <w:color w:val="000000"/>
          <w:szCs w:val="22"/>
          <w:lang w:val="it-IT"/>
        </w:rPr>
      </w:pPr>
    </w:p>
    <w:p w:rsidR="00812D16" w:rsidRPr="00FB01EF" w:rsidRDefault="00AF53F8" w:rsidP="00496272">
      <w:pPr>
        <w:ind w:left="567" w:hanging="567"/>
        <w:rPr>
          <w:noProof/>
          <w:szCs w:val="22"/>
          <w:lang w:val="it-IT"/>
        </w:rPr>
      </w:pPr>
      <w:r w:rsidRPr="00FB01EF">
        <w:rPr>
          <w:b/>
          <w:bCs/>
          <w:szCs w:val="22"/>
          <w:lang w:val="it-IT"/>
        </w:rPr>
        <w:t>4.3</w:t>
      </w:r>
      <w:r w:rsidRPr="00FB01EF">
        <w:rPr>
          <w:b/>
          <w:bCs/>
          <w:szCs w:val="22"/>
          <w:lang w:val="it-IT"/>
        </w:rPr>
        <w:tab/>
        <w:t>Controindicazioni</w:t>
      </w:r>
    </w:p>
    <w:p w:rsidR="00F25477" w:rsidRPr="00FB01EF" w:rsidRDefault="00F25477" w:rsidP="00496272">
      <w:pPr>
        <w:rPr>
          <w:noProof/>
          <w:szCs w:val="22"/>
          <w:lang w:val="it-IT"/>
        </w:rPr>
      </w:pPr>
    </w:p>
    <w:p w:rsidR="008D1BB1" w:rsidRPr="00FB01EF" w:rsidRDefault="003E5C6D" w:rsidP="00CC7997">
      <w:pPr>
        <w:numPr>
          <w:ilvl w:val="0"/>
          <w:numId w:val="8"/>
        </w:numPr>
        <w:tabs>
          <w:tab w:val="left" w:pos="680"/>
        </w:tabs>
        <w:ind w:left="567" w:hanging="567"/>
        <w:rPr>
          <w:szCs w:val="22"/>
          <w:lang w:val="it-IT"/>
        </w:rPr>
      </w:pPr>
      <w:r w:rsidRPr="00FB01EF">
        <w:rPr>
          <w:szCs w:val="22"/>
          <w:lang w:val="it-IT"/>
        </w:rPr>
        <w:t>I</w:t>
      </w:r>
      <w:r w:rsidR="00AF53F8" w:rsidRPr="00FB01EF">
        <w:rPr>
          <w:szCs w:val="22"/>
          <w:lang w:val="it-IT"/>
        </w:rPr>
        <w:t>persensibilità al principio attivo follitropina alfa, all’FSH o ad uno qualsiasi degli eccipienti</w:t>
      </w:r>
      <w:r w:rsidRPr="00FB01EF">
        <w:rPr>
          <w:szCs w:val="22"/>
          <w:lang w:val="it-IT"/>
        </w:rPr>
        <w:t xml:space="preserve"> elencati al paragrafo 6.1;</w:t>
      </w:r>
    </w:p>
    <w:p w:rsidR="008D1BB1" w:rsidRPr="00FB01EF" w:rsidRDefault="00AF53F8" w:rsidP="00CC7997">
      <w:pPr>
        <w:numPr>
          <w:ilvl w:val="0"/>
          <w:numId w:val="8"/>
        </w:numPr>
        <w:tabs>
          <w:tab w:val="left" w:pos="680"/>
        </w:tabs>
        <w:ind w:left="567" w:hanging="567"/>
        <w:rPr>
          <w:szCs w:val="22"/>
          <w:lang w:val="it-IT"/>
        </w:rPr>
      </w:pPr>
      <w:r w:rsidRPr="00FB01EF">
        <w:rPr>
          <w:szCs w:val="22"/>
          <w:lang w:val="it-IT"/>
        </w:rPr>
        <w:t>tumori dell’ipotalamo o della ghiandola ipofisaria</w:t>
      </w:r>
      <w:r w:rsidR="003E5C6D" w:rsidRPr="00FB01EF">
        <w:rPr>
          <w:szCs w:val="22"/>
          <w:lang w:val="it-IT"/>
        </w:rPr>
        <w:t>;</w:t>
      </w:r>
    </w:p>
    <w:p w:rsidR="008D1BB1" w:rsidRPr="00FB01EF" w:rsidRDefault="00AF53F8" w:rsidP="00CC7997">
      <w:pPr>
        <w:numPr>
          <w:ilvl w:val="0"/>
          <w:numId w:val="8"/>
        </w:numPr>
        <w:tabs>
          <w:tab w:val="left" w:pos="680"/>
        </w:tabs>
        <w:ind w:left="567" w:hanging="567"/>
        <w:rPr>
          <w:szCs w:val="22"/>
          <w:lang w:val="it-IT"/>
        </w:rPr>
      </w:pPr>
      <w:r w:rsidRPr="00FB01EF">
        <w:rPr>
          <w:szCs w:val="22"/>
          <w:lang w:val="it-IT"/>
        </w:rPr>
        <w:t>ingrossamento ovarico o cisti ovarica non dovuta a sindrome dell’ovaio policistico</w:t>
      </w:r>
      <w:r w:rsidR="003E5C6D" w:rsidRPr="00FB01EF">
        <w:rPr>
          <w:szCs w:val="22"/>
          <w:lang w:val="it-IT"/>
        </w:rPr>
        <w:t>;</w:t>
      </w:r>
    </w:p>
    <w:p w:rsidR="008D1BB1" w:rsidRPr="00FB01EF" w:rsidRDefault="00AF53F8" w:rsidP="00CC7997">
      <w:pPr>
        <w:numPr>
          <w:ilvl w:val="0"/>
          <w:numId w:val="8"/>
        </w:numPr>
        <w:tabs>
          <w:tab w:val="left" w:pos="680"/>
        </w:tabs>
        <w:ind w:left="567" w:hanging="567"/>
        <w:rPr>
          <w:szCs w:val="22"/>
          <w:lang w:val="it-IT"/>
        </w:rPr>
      </w:pPr>
      <w:r w:rsidRPr="00FB01EF">
        <w:rPr>
          <w:szCs w:val="22"/>
          <w:lang w:val="it-IT"/>
        </w:rPr>
        <w:t>emorragie ginecologiche ad eziologia sconosciuta</w:t>
      </w:r>
      <w:r w:rsidR="003E5C6D" w:rsidRPr="00FB01EF">
        <w:rPr>
          <w:szCs w:val="22"/>
          <w:lang w:val="it-IT"/>
        </w:rPr>
        <w:t>;</w:t>
      </w:r>
    </w:p>
    <w:p w:rsidR="00AF53F8" w:rsidRPr="00FB01EF" w:rsidRDefault="00AF53F8" w:rsidP="00CC7997">
      <w:pPr>
        <w:numPr>
          <w:ilvl w:val="0"/>
          <w:numId w:val="8"/>
        </w:numPr>
        <w:tabs>
          <w:tab w:val="left" w:pos="680"/>
        </w:tabs>
        <w:ind w:left="567" w:hanging="567"/>
        <w:rPr>
          <w:szCs w:val="22"/>
          <w:lang w:val="it-IT"/>
        </w:rPr>
      </w:pPr>
      <w:r w:rsidRPr="00FB01EF">
        <w:rPr>
          <w:szCs w:val="22"/>
          <w:lang w:val="it-IT"/>
        </w:rPr>
        <w:t>carcinoma dell’ovaio, dell’utero o della mammella</w:t>
      </w:r>
      <w:r w:rsidR="003E5C6D" w:rsidRPr="00FB01EF">
        <w:rPr>
          <w:szCs w:val="22"/>
          <w:lang w:val="it-IT"/>
        </w:rPr>
        <w:t>.</w:t>
      </w:r>
    </w:p>
    <w:p w:rsidR="0003335D" w:rsidRPr="00FB01EF" w:rsidRDefault="0003335D" w:rsidP="00B000F9">
      <w:pPr>
        <w:tabs>
          <w:tab w:val="clear" w:pos="567"/>
        </w:tabs>
        <w:rPr>
          <w:noProof/>
          <w:color w:val="000000"/>
          <w:szCs w:val="22"/>
          <w:lang w:val="it-IT"/>
        </w:rPr>
      </w:pPr>
    </w:p>
    <w:p w:rsidR="0003335D" w:rsidRPr="00FB01EF" w:rsidRDefault="003E5C6D" w:rsidP="00B24144">
      <w:pPr>
        <w:tabs>
          <w:tab w:val="clear" w:pos="567"/>
        </w:tabs>
        <w:rPr>
          <w:noProof/>
          <w:color w:val="000000"/>
          <w:szCs w:val="22"/>
          <w:lang w:val="it-IT"/>
        </w:rPr>
      </w:pPr>
      <w:r w:rsidRPr="00FB01EF">
        <w:rPr>
          <w:szCs w:val="22"/>
          <w:lang w:val="it-IT"/>
        </w:rPr>
        <w:t>Ovaleap</w:t>
      </w:r>
      <w:r w:rsidR="00AF53F8" w:rsidRPr="00FB01EF">
        <w:rPr>
          <w:szCs w:val="22"/>
          <w:lang w:val="it-IT"/>
        </w:rPr>
        <w:t xml:space="preserve"> non deve essere usato quando non </w:t>
      </w:r>
      <w:r w:rsidR="002F292E" w:rsidRPr="00FB01EF">
        <w:rPr>
          <w:szCs w:val="22"/>
          <w:lang w:val="it-IT"/>
        </w:rPr>
        <w:t>può essere</w:t>
      </w:r>
      <w:r w:rsidR="00855C80" w:rsidRPr="00FB01EF">
        <w:rPr>
          <w:szCs w:val="22"/>
          <w:lang w:val="it-IT"/>
        </w:rPr>
        <w:t xml:space="preserve"> </w:t>
      </w:r>
      <w:r w:rsidR="00AF53F8" w:rsidRPr="00FB01EF">
        <w:rPr>
          <w:szCs w:val="22"/>
          <w:lang w:val="it-IT"/>
        </w:rPr>
        <w:t>otten</w:t>
      </w:r>
      <w:r w:rsidR="002F292E" w:rsidRPr="00FB01EF">
        <w:rPr>
          <w:szCs w:val="22"/>
          <w:lang w:val="it-IT"/>
        </w:rPr>
        <w:t>uta</w:t>
      </w:r>
      <w:r w:rsidR="00AF53F8" w:rsidRPr="00FB01EF">
        <w:rPr>
          <w:szCs w:val="22"/>
          <w:lang w:val="it-IT"/>
        </w:rPr>
        <w:t xml:space="preserve"> una risposta efficace a causa di</w:t>
      </w:r>
      <w:r w:rsidR="0003335D" w:rsidRPr="00FB01EF">
        <w:rPr>
          <w:noProof/>
          <w:color w:val="000000"/>
          <w:szCs w:val="22"/>
          <w:lang w:val="it-IT"/>
        </w:rPr>
        <w:t>:</w:t>
      </w:r>
    </w:p>
    <w:p w:rsidR="008D1BB1" w:rsidRPr="00FB01EF" w:rsidRDefault="00AF53F8" w:rsidP="00CC7997">
      <w:pPr>
        <w:numPr>
          <w:ilvl w:val="0"/>
          <w:numId w:val="5"/>
        </w:numPr>
        <w:tabs>
          <w:tab w:val="clear" w:pos="567"/>
        </w:tabs>
        <w:ind w:left="567" w:right="-20" w:hanging="567"/>
        <w:rPr>
          <w:szCs w:val="22"/>
          <w:lang w:val="it-IT"/>
        </w:rPr>
      </w:pPr>
      <w:r w:rsidRPr="00FB01EF">
        <w:rPr>
          <w:szCs w:val="22"/>
          <w:lang w:val="it-IT"/>
        </w:rPr>
        <w:t>insufficienza ovarica primitiva</w:t>
      </w:r>
      <w:r w:rsidR="003E5C6D" w:rsidRPr="00FB01EF">
        <w:rPr>
          <w:szCs w:val="22"/>
          <w:lang w:val="it-IT"/>
        </w:rPr>
        <w:t>;</w:t>
      </w:r>
    </w:p>
    <w:p w:rsidR="008D1BB1" w:rsidRPr="00FB01EF" w:rsidRDefault="00AF53F8" w:rsidP="00CC7997">
      <w:pPr>
        <w:numPr>
          <w:ilvl w:val="0"/>
          <w:numId w:val="5"/>
        </w:numPr>
        <w:tabs>
          <w:tab w:val="clear" w:pos="567"/>
        </w:tabs>
        <w:ind w:left="567" w:right="-20" w:hanging="567"/>
        <w:rPr>
          <w:szCs w:val="22"/>
          <w:lang w:val="it-IT"/>
        </w:rPr>
      </w:pPr>
      <w:r w:rsidRPr="00FB01EF">
        <w:rPr>
          <w:szCs w:val="22"/>
          <w:lang w:val="it-IT"/>
        </w:rPr>
        <w:t>malformazioni degli organi sessuali incompatibili con la gravidanza</w:t>
      </w:r>
      <w:r w:rsidR="003E5C6D" w:rsidRPr="00FB01EF">
        <w:rPr>
          <w:szCs w:val="22"/>
          <w:lang w:val="it-IT"/>
        </w:rPr>
        <w:t>;</w:t>
      </w:r>
    </w:p>
    <w:p w:rsidR="008D1BB1" w:rsidRPr="00FB01EF" w:rsidRDefault="00AF53F8" w:rsidP="00CC7997">
      <w:pPr>
        <w:numPr>
          <w:ilvl w:val="0"/>
          <w:numId w:val="5"/>
        </w:numPr>
        <w:tabs>
          <w:tab w:val="clear" w:pos="567"/>
        </w:tabs>
        <w:ind w:left="567" w:right="-20" w:hanging="567"/>
        <w:rPr>
          <w:szCs w:val="22"/>
          <w:lang w:val="it-IT"/>
        </w:rPr>
      </w:pPr>
      <w:r w:rsidRPr="00FB01EF">
        <w:rPr>
          <w:szCs w:val="22"/>
          <w:lang w:val="it-IT"/>
        </w:rPr>
        <w:t>fibromi dell’utero incompatibili con la gravidanza</w:t>
      </w:r>
      <w:r w:rsidR="003E5C6D" w:rsidRPr="00FB01EF">
        <w:rPr>
          <w:szCs w:val="22"/>
          <w:lang w:val="it-IT"/>
        </w:rPr>
        <w:t>;</w:t>
      </w:r>
    </w:p>
    <w:p w:rsidR="00AF53F8" w:rsidRPr="00FB01EF" w:rsidRDefault="00AF53F8" w:rsidP="00CC7997">
      <w:pPr>
        <w:numPr>
          <w:ilvl w:val="0"/>
          <w:numId w:val="5"/>
        </w:numPr>
        <w:tabs>
          <w:tab w:val="clear" w:pos="567"/>
        </w:tabs>
        <w:ind w:left="567" w:right="-20" w:hanging="567"/>
        <w:rPr>
          <w:szCs w:val="22"/>
          <w:lang w:val="it-IT"/>
        </w:rPr>
      </w:pPr>
      <w:r w:rsidRPr="00FB01EF">
        <w:rPr>
          <w:szCs w:val="22"/>
          <w:lang w:val="it-IT"/>
        </w:rPr>
        <w:t>insufficienza testicolare primaria</w:t>
      </w:r>
      <w:r w:rsidR="003E5C6D" w:rsidRPr="00FB01EF">
        <w:rPr>
          <w:szCs w:val="22"/>
          <w:lang w:val="it-IT"/>
        </w:rPr>
        <w:t>.</w:t>
      </w:r>
    </w:p>
    <w:p w:rsidR="0003335D" w:rsidRPr="00FB01EF" w:rsidRDefault="0003335D" w:rsidP="001437AF">
      <w:pPr>
        <w:ind w:left="567" w:hanging="567"/>
        <w:rPr>
          <w:noProof/>
          <w:szCs w:val="22"/>
          <w:lang w:val="it-IT"/>
        </w:rPr>
      </w:pPr>
    </w:p>
    <w:p w:rsidR="00812D16" w:rsidRPr="00FB01EF" w:rsidRDefault="00AF53F8" w:rsidP="00CA2F0A">
      <w:pPr>
        <w:keepNext/>
        <w:ind w:left="567" w:hanging="567"/>
        <w:rPr>
          <w:b/>
          <w:noProof/>
          <w:szCs w:val="22"/>
          <w:lang w:val="it-IT"/>
        </w:rPr>
      </w:pPr>
      <w:r w:rsidRPr="00FB01EF">
        <w:rPr>
          <w:b/>
          <w:bCs/>
          <w:szCs w:val="22"/>
          <w:lang w:val="it-IT"/>
        </w:rPr>
        <w:t>4.4</w:t>
      </w:r>
      <w:r w:rsidRPr="00FB01EF">
        <w:rPr>
          <w:b/>
          <w:bCs/>
          <w:szCs w:val="22"/>
          <w:lang w:val="it-IT"/>
        </w:rPr>
        <w:tab/>
        <w:t>Avvertenze speciali e precauzioni d</w:t>
      </w:r>
      <w:r w:rsidR="00AB4697" w:rsidRPr="00FB01EF">
        <w:rPr>
          <w:b/>
          <w:bCs/>
          <w:szCs w:val="22"/>
          <w:lang w:val="it-IT"/>
        </w:rPr>
        <w:t>’</w:t>
      </w:r>
      <w:r w:rsidRPr="00FB01EF">
        <w:rPr>
          <w:b/>
          <w:bCs/>
          <w:szCs w:val="22"/>
          <w:lang w:val="it-IT"/>
        </w:rPr>
        <w:t>impiego</w:t>
      </w:r>
    </w:p>
    <w:p w:rsidR="00812D16" w:rsidRPr="00FB01EF" w:rsidRDefault="00812D16" w:rsidP="00CA2F0A">
      <w:pPr>
        <w:keepNext/>
        <w:ind w:left="567" w:hanging="567"/>
        <w:rPr>
          <w:bCs/>
          <w:noProof/>
          <w:szCs w:val="22"/>
          <w:lang w:val="it-IT"/>
        </w:rPr>
      </w:pPr>
    </w:p>
    <w:p w:rsidR="00A41E22" w:rsidRPr="00FB01EF" w:rsidRDefault="00A41E22" w:rsidP="00A41E22">
      <w:pPr>
        <w:tabs>
          <w:tab w:val="clear" w:pos="567"/>
        </w:tabs>
        <w:rPr>
          <w:i/>
          <w:szCs w:val="22"/>
          <w:u w:val="single"/>
          <w:lang w:val="it-IT"/>
        </w:rPr>
      </w:pPr>
      <w:r w:rsidRPr="00FB01EF">
        <w:rPr>
          <w:i/>
          <w:szCs w:val="22"/>
          <w:u w:val="single"/>
          <w:lang w:val="it-IT"/>
        </w:rPr>
        <w:t>Tracciabilità</w:t>
      </w:r>
    </w:p>
    <w:p w:rsidR="00A41E22" w:rsidRPr="00FB01EF" w:rsidRDefault="00A41E22" w:rsidP="00A41E22">
      <w:pPr>
        <w:tabs>
          <w:tab w:val="clear" w:pos="567"/>
        </w:tabs>
        <w:rPr>
          <w:szCs w:val="22"/>
          <w:lang w:val="it-IT"/>
        </w:rPr>
      </w:pPr>
      <w:r w:rsidRPr="00FB01EF">
        <w:rPr>
          <w:szCs w:val="22"/>
          <w:lang w:val="it-IT"/>
        </w:rPr>
        <w:t>Per migliorare la tracciabilità dei medicinali biologici, il nome commerciale e il numero di lotto del medicinale somministrato devono essere chiaramente registrati nella cartella clinica del paziente.</w:t>
      </w:r>
    </w:p>
    <w:p w:rsidR="00A41E22" w:rsidRPr="00FB01EF" w:rsidRDefault="00A41E22" w:rsidP="00496272">
      <w:pPr>
        <w:tabs>
          <w:tab w:val="clear" w:pos="567"/>
        </w:tabs>
        <w:rPr>
          <w:szCs w:val="22"/>
          <w:lang w:val="it-IT"/>
        </w:rPr>
      </w:pPr>
    </w:p>
    <w:p w:rsidR="00A41E22" w:rsidRPr="00FB01EF" w:rsidRDefault="00A41E22" w:rsidP="00496272">
      <w:pPr>
        <w:tabs>
          <w:tab w:val="clear" w:pos="567"/>
        </w:tabs>
        <w:rPr>
          <w:i/>
          <w:szCs w:val="22"/>
          <w:u w:val="single"/>
          <w:lang w:val="it-IT"/>
        </w:rPr>
      </w:pPr>
      <w:r w:rsidRPr="00FB01EF">
        <w:rPr>
          <w:i/>
          <w:szCs w:val="22"/>
          <w:u w:val="single"/>
          <w:lang w:val="it-IT"/>
        </w:rPr>
        <w:t>Informazioni generali</w:t>
      </w:r>
    </w:p>
    <w:p w:rsidR="0003335D" w:rsidRPr="00FB01EF" w:rsidRDefault="003E5C6D" w:rsidP="00496272">
      <w:pPr>
        <w:tabs>
          <w:tab w:val="clear" w:pos="567"/>
        </w:tabs>
        <w:rPr>
          <w:noProof/>
          <w:color w:val="000000"/>
          <w:szCs w:val="22"/>
          <w:lang w:val="it-IT"/>
        </w:rPr>
      </w:pPr>
      <w:r w:rsidRPr="00FB01EF">
        <w:rPr>
          <w:szCs w:val="22"/>
          <w:lang w:val="it-IT"/>
        </w:rPr>
        <w:t>Follitropina alfa</w:t>
      </w:r>
      <w:r w:rsidR="00AF53F8" w:rsidRPr="00FB01EF">
        <w:rPr>
          <w:szCs w:val="22"/>
          <w:lang w:val="it-IT"/>
        </w:rPr>
        <w:t xml:space="preserve"> è una potente gonadotropina in grado di causare reazioni avverse da lievi a gravi e deve essere </w:t>
      </w:r>
      <w:r w:rsidRPr="00FB01EF">
        <w:rPr>
          <w:szCs w:val="22"/>
          <w:lang w:val="it-IT"/>
        </w:rPr>
        <w:t xml:space="preserve">usata </w:t>
      </w:r>
      <w:r w:rsidR="00AF53F8" w:rsidRPr="00FB01EF">
        <w:rPr>
          <w:szCs w:val="22"/>
          <w:lang w:val="it-IT"/>
        </w:rPr>
        <w:t>solo da medici esperti nei problemi di infertilità e nel loro trattamento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AF53F8" w:rsidP="00496272">
      <w:pPr>
        <w:tabs>
          <w:tab w:val="clear" w:pos="567"/>
        </w:tabs>
        <w:rPr>
          <w:noProof/>
          <w:color w:val="000000"/>
          <w:szCs w:val="22"/>
          <w:lang w:val="it-IT"/>
        </w:rPr>
      </w:pPr>
      <w:r w:rsidRPr="00FB01EF">
        <w:rPr>
          <w:szCs w:val="22"/>
          <w:lang w:val="it-IT"/>
        </w:rPr>
        <w:lastRenderedPageBreak/>
        <w:t xml:space="preserve">La terapia con gonadotropine richiede un certo impegno da parte del medico, il supporto di personale infermieristico e la disponibilità di adeguate attrezzature per il monitoraggio. Nelle donne, l’uso sicuro ed efficace di </w:t>
      </w:r>
      <w:r w:rsidR="003E5C6D" w:rsidRPr="00FB01EF">
        <w:rPr>
          <w:szCs w:val="22"/>
          <w:lang w:val="it-IT"/>
        </w:rPr>
        <w:t>follitropina alfa</w:t>
      </w:r>
      <w:r w:rsidRPr="00FB01EF">
        <w:rPr>
          <w:szCs w:val="22"/>
          <w:lang w:val="it-IT"/>
        </w:rPr>
        <w:t xml:space="preserve"> prevede il monitoraggio della risposta ovarica tramite ecografia, associata preferibilmente al dosaggio dei livelli sierici di estradiolo, eseguiti regolarmente. Può verificarsi un certo grado di variabilità individuale nella risposta all’FSH, e in alcuni pazienti la risposta può essere scarsa, in altri eccessiva. Sia nelle donne che negli uomini deve essere utilizzata la dose minima efficace in relazione agli obiettivi del trattamento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AF53F8" w:rsidP="00496272">
      <w:pPr>
        <w:keepNext/>
        <w:tabs>
          <w:tab w:val="clear" w:pos="567"/>
        </w:tabs>
        <w:rPr>
          <w:i/>
          <w:szCs w:val="22"/>
          <w:u w:val="single" w:color="000000"/>
          <w:lang w:val="it-IT"/>
        </w:rPr>
      </w:pPr>
      <w:r w:rsidRPr="00FB01EF">
        <w:rPr>
          <w:i/>
          <w:szCs w:val="22"/>
          <w:u w:val="single" w:color="000000"/>
          <w:lang w:val="it-IT"/>
        </w:rPr>
        <w:t>Porfiria</w:t>
      </w:r>
    </w:p>
    <w:p w:rsidR="00AF53F8" w:rsidRPr="00FB01EF" w:rsidRDefault="00AF53F8" w:rsidP="00496272">
      <w:pPr>
        <w:keepNext/>
        <w:tabs>
          <w:tab w:val="clear" w:pos="567"/>
        </w:tabs>
        <w:rPr>
          <w:noProof/>
          <w:color w:val="000000"/>
          <w:szCs w:val="22"/>
          <w:lang w:val="it-IT"/>
        </w:rPr>
      </w:pPr>
    </w:p>
    <w:p w:rsidR="0003335D" w:rsidRPr="00FB01EF" w:rsidRDefault="00AF53F8" w:rsidP="00496272">
      <w:pPr>
        <w:keepNext/>
        <w:tabs>
          <w:tab w:val="clear" w:pos="567"/>
        </w:tabs>
        <w:rPr>
          <w:noProof/>
          <w:color w:val="000000"/>
          <w:szCs w:val="22"/>
          <w:lang w:val="it-IT"/>
        </w:rPr>
      </w:pPr>
      <w:r w:rsidRPr="00FB01EF">
        <w:rPr>
          <w:szCs w:val="22"/>
          <w:lang w:val="it-IT"/>
        </w:rPr>
        <w:t xml:space="preserve">I pazienti affetti da porfiria o con familiarità per porfiria devono essere attentamente controllati durante il trattamento con </w:t>
      </w:r>
      <w:r w:rsidR="003E5C6D" w:rsidRPr="00FB01EF">
        <w:rPr>
          <w:szCs w:val="22"/>
          <w:lang w:val="it-IT"/>
        </w:rPr>
        <w:t>follitropina alfa</w:t>
      </w:r>
      <w:r w:rsidRPr="00FB01EF">
        <w:rPr>
          <w:szCs w:val="22"/>
          <w:lang w:val="it-IT"/>
        </w:rPr>
        <w:t>. L’aggravamento o l'insorgenza di questa condizione può richiedere l'interruzione della terapia</w:t>
      </w:r>
      <w:r w:rsidR="0003335D" w:rsidRPr="00FB01EF">
        <w:rPr>
          <w:noProof/>
          <w:color w:val="000000"/>
          <w:szCs w:val="22"/>
          <w:lang w:val="it-IT"/>
        </w:rPr>
        <w:t>.</w:t>
      </w:r>
    </w:p>
    <w:p w:rsidR="0003335D" w:rsidRPr="00FB01EF" w:rsidRDefault="0003335D" w:rsidP="00496272">
      <w:pPr>
        <w:tabs>
          <w:tab w:val="clear" w:pos="567"/>
        </w:tabs>
        <w:rPr>
          <w:noProof/>
          <w:color w:val="000000"/>
          <w:szCs w:val="22"/>
          <w:u w:val="single"/>
          <w:lang w:val="it-IT"/>
        </w:rPr>
      </w:pPr>
    </w:p>
    <w:p w:rsidR="0003335D" w:rsidRPr="00FB01EF" w:rsidRDefault="00AF53F8" w:rsidP="00496272">
      <w:pPr>
        <w:tabs>
          <w:tab w:val="clear" w:pos="567"/>
        </w:tabs>
        <w:rPr>
          <w:i/>
          <w:noProof/>
          <w:color w:val="000000"/>
          <w:szCs w:val="22"/>
          <w:u w:val="single"/>
          <w:lang w:val="it-IT"/>
        </w:rPr>
      </w:pPr>
      <w:r w:rsidRPr="00FB01EF">
        <w:rPr>
          <w:i/>
          <w:szCs w:val="22"/>
          <w:u w:val="single" w:color="000000"/>
          <w:lang w:val="it-IT"/>
        </w:rPr>
        <w:t>Trattamento nelle donne</w:t>
      </w:r>
    </w:p>
    <w:p w:rsidR="0003335D" w:rsidRPr="00FB01EF" w:rsidRDefault="0003335D" w:rsidP="00496272">
      <w:pPr>
        <w:tabs>
          <w:tab w:val="clear" w:pos="567"/>
        </w:tabs>
        <w:rPr>
          <w:noProof/>
          <w:color w:val="000000"/>
          <w:szCs w:val="22"/>
          <w:lang w:val="it-IT"/>
        </w:rPr>
      </w:pPr>
    </w:p>
    <w:p w:rsidR="0003335D" w:rsidRPr="00FB01EF" w:rsidRDefault="00AF53F8" w:rsidP="00496272">
      <w:pPr>
        <w:tabs>
          <w:tab w:val="clear" w:pos="567"/>
        </w:tabs>
        <w:rPr>
          <w:noProof/>
          <w:color w:val="000000"/>
          <w:szCs w:val="22"/>
          <w:lang w:val="it-IT"/>
        </w:rPr>
      </w:pPr>
      <w:r w:rsidRPr="00FB01EF">
        <w:rPr>
          <w:szCs w:val="22"/>
          <w:lang w:val="it-IT"/>
        </w:rPr>
        <w:t>Prima di iniziare il trattamento deve essere adeguatamente studiata l’infertilità di coppia e devono essere valutate eventuali controindicazioni per la gravidanza. In particolare le pazienti devono essere esaminate per verificare l’eventuale presenza di ipotiroidismo, insufficienza corticosurrenalica, iperprolattinemia ed effettuata la terapia del caso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AF53F8" w:rsidP="00496272">
      <w:pPr>
        <w:tabs>
          <w:tab w:val="clear" w:pos="567"/>
        </w:tabs>
        <w:rPr>
          <w:noProof/>
          <w:color w:val="000000"/>
          <w:szCs w:val="22"/>
          <w:lang w:val="it-IT"/>
        </w:rPr>
      </w:pPr>
      <w:r w:rsidRPr="00FB01EF">
        <w:rPr>
          <w:szCs w:val="22"/>
          <w:lang w:val="it-IT"/>
        </w:rPr>
        <w:t xml:space="preserve">Le pazienti che si sottopongono a stimolazione della crescita follicolare come trattamento dell’infertilità anovulatoria o per tecniche di riproduzione assistita, possono sviluppare ingrossamento ovarico o iperstimolazione. L’aderenza alla dose di </w:t>
      </w:r>
      <w:r w:rsidR="003E5C6D" w:rsidRPr="00FB01EF">
        <w:rPr>
          <w:szCs w:val="22"/>
          <w:lang w:val="it-IT"/>
        </w:rPr>
        <w:t>follitropina alfa</w:t>
      </w:r>
      <w:r w:rsidRPr="00FB01EF">
        <w:rPr>
          <w:szCs w:val="22"/>
          <w:lang w:val="it-IT"/>
        </w:rPr>
        <w:t xml:space="preserve"> raccomandata, alle modalità di somministrazione ed un attento monitoraggio della terapia minimizzeranno l’incidenza di tali eventi. Per l’interpretazione esatta degli indici dello sviluppo e della maturazione follicolare, il medico deve essere specializzato nella loro interpretazione</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AF53F8" w:rsidP="00496272">
      <w:pPr>
        <w:tabs>
          <w:tab w:val="clear" w:pos="567"/>
        </w:tabs>
        <w:rPr>
          <w:noProof/>
          <w:color w:val="000000"/>
          <w:szCs w:val="22"/>
          <w:lang w:val="it-IT"/>
        </w:rPr>
      </w:pPr>
      <w:r w:rsidRPr="00FB01EF">
        <w:rPr>
          <w:szCs w:val="22"/>
          <w:lang w:val="it-IT"/>
        </w:rPr>
        <w:t xml:space="preserve">Negli studi clinici si manifestava un incremento della sensibilità ovarica </w:t>
      </w:r>
      <w:r w:rsidR="003E5C6D" w:rsidRPr="00FB01EF">
        <w:rPr>
          <w:szCs w:val="22"/>
          <w:lang w:val="it-IT"/>
        </w:rPr>
        <w:t>a follitropina alfa</w:t>
      </w:r>
      <w:r w:rsidRPr="00FB01EF">
        <w:rPr>
          <w:szCs w:val="22"/>
          <w:lang w:val="it-IT"/>
        </w:rPr>
        <w:t xml:space="preserve"> quando veniva somministrat</w:t>
      </w:r>
      <w:r w:rsidR="003E5C6D" w:rsidRPr="00FB01EF">
        <w:rPr>
          <w:szCs w:val="22"/>
          <w:lang w:val="it-IT"/>
        </w:rPr>
        <w:t>a</w:t>
      </w:r>
      <w:r w:rsidRPr="00FB01EF">
        <w:rPr>
          <w:szCs w:val="22"/>
          <w:lang w:val="it-IT"/>
        </w:rPr>
        <w:t xml:space="preserve"> in associazione a lutropina alfa. Se si ritiene opportuno un aumento della dose di FSH, l’adattamento del dosaggio dovrà essere effettuato preferibilmente con incrementi di 37,5</w:t>
      </w:r>
      <w:r w:rsidR="008D1BB1" w:rsidRPr="00FB01EF">
        <w:rPr>
          <w:szCs w:val="22"/>
          <w:lang w:val="it-IT"/>
        </w:rPr>
        <w:noBreakHyphen/>
      </w:r>
      <w:r w:rsidR="003E5C6D" w:rsidRPr="00FB01EF">
        <w:rPr>
          <w:szCs w:val="22"/>
          <w:lang w:val="it-IT"/>
        </w:rPr>
        <w:t>75 </w:t>
      </w:r>
      <w:r w:rsidRPr="00FB01EF">
        <w:rPr>
          <w:szCs w:val="22"/>
          <w:lang w:val="it-IT"/>
        </w:rPr>
        <w:t>UI ad intervalli di 7</w:t>
      </w:r>
      <w:r w:rsidR="008D1BB1" w:rsidRPr="00FB01EF">
        <w:rPr>
          <w:szCs w:val="22"/>
          <w:lang w:val="it-IT"/>
        </w:rPr>
        <w:noBreakHyphen/>
      </w:r>
      <w:r w:rsidR="003E5C6D" w:rsidRPr="00FB01EF">
        <w:rPr>
          <w:szCs w:val="22"/>
          <w:lang w:val="it-IT"/>
        </w:rPr>
        <w:t>14 </w:t>
      </w:r>
      <w:r w:rsidRPr="00FB01EF">
        <w:rPr>
          <w:szCs w:val="22"/>
          <w:lang w:val="it-IT"/>
        </w:rPr>
        <w:t>giorni</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AF53F8" w:rsidP="001437AF">
      <w:pPr>
        <w:ind w:right="-20"/>
        <w:rPr>
          <w:noProof/>
          <w:color w:val="000000"/>
          <w:szCs w:val="22"/>
          <w:lang w:val="it-IT"/>
        </w:rPr>
      </w:pPr>
      <w:r w:rsidRPr="00FB01EF">
        <w:rPr>
          <w:szCs w:val="22"/>
          <w:lang w:val="it-IT"/>
        </w:rPr>
        <w:t xml:space="preserve">Non è stata eseguita una comparazione diretta tra </w:t>
      </w:r>
      <w:r w:rsidR="003E5C6D" w:rsidRPr="00FB01EF">
        <w:rPr>
          <w:szCs w:val="22"/>
          <w:lang w:val="it-IT"/>
        </w:rPr>
        <w:t>follitropina alfa</w:t>
      </w:r>
      <w:r w:rsidRPr="00FB01EF">
        <w:rPr>
          <w:szCs w:val="22"/>
          <w:lang w:val="it-IT"/>
        </w:rPr>
        <w:t>/LH e gonadotropina umana menopausale</w:t>
      </w:r>
      <w:r w:rsidR="003A6CDA" w:rsidRPr="00FB01EF">
        <w:rPr>
          <w:szCs w:val="22"/>
          <w:lang w:val="it-IT"/>
        </w:rPr>
        <w:t xml:space="preserve"> </w:t>
      </w:r>
      <w:r w:rsidRPr="00FB01EF">
        <w:rPr>
          <w:szCs w:val="22"/>
          <w:lang w:val="it-IT"/>
        </w:rPr>
        <w:t>(hMG). Un confronto eseguito su dati storici indica che il tasso di ovulazione ottenuto con</w:t>
      </w:r>
      <w:r w:rsidR="003A6CDA" w:rsidRPr="00FB01EF">
        <w:rPr>
          <w:szCs w:val="22"/>
          <w:lang w:val="it-IT"/>
        </w:rPr>
        <w:t xml:space="preserve"> </w:t>
      </w:r>
      <w:r w:rsidR="00BB69BB" w:rsidRPr="00FB01EF">
        <w:rPr>
          <w:szCs w:val="22"/>
          <w:lang w:val="it-IT"/>
        </w:rPr>
        <w:t>follitropina alfa</w:t>
      </w:r>
      <w:r w:rsidRPr="00FB01EF">
        <w:rPr>
          <w:szCs w:val="22"/>
          <w:lang w:val="it-IT"/>
        </w:rPr>
        <w:t>/LH sia simile a quello ottenuto con hMG</w:t>
      </w:r>
      <w:r w:rsidR="0003335D" w:rsidRPr="00FB01EF">
        <w:rPr>
          <w:noProof/>
          <w:color w:val="000000"/>
          <w:szCs w:val="22"/>
          <w:lang w:val="it-IT"/>
        </w:rPr>
        <w:t>.</w:t>
      </w:r>
    </w:p>
    <w:p w:rsidR="0003335D" w:rsidRPr="00FB01EF" w:rsidRDefault="0003335D" w:rsidP="00496272">
      <w:pPr>
        <w:tabs>
          <w:tab w:val="clear" w:pos="567"/>
        </w:tabs>
        <w:rPr>
          <w:i/>
          <w:iCs/>
          <w:noProof/>
          <w:color w:val="000000"/>
          <w:szCs w:val="22"/>
          <w:lang w:val="it-IT"/>
        </w:rPr>
      </w:pPr>
    </w:p>
    <w:p w:rsidR="0003335D" w:rsidRPr="00FB01EF" w:rsidRDefault="003A6CDA" w:rsidP="00496272">
      <w:pPr>
        <w:tabs>
          <w:tab w:val="clear" w:pos="567"/>
        </w:tabs>
        <w:rPr>
          <w:i/>
          <w:iCs/>
          <w:noProof/>
          <w:color w:val="000000"/>
          <w:szCs w:val="22"/>
          <w:lang w:val="it-IT"/>
        </w:rPr>
      </w:pPr>
      <w:r w:rsidRPr="00FB01EF">
        <w:rPr>
          <w:i/>
          <w:szCs w:val="22"/>
          <w:lang w:val="it-IT"/>
        </w:rPr>
        <w:t xml:space="preserve">Sindrome da </w:t>
      </w:r>
      <w:r w:rsidR="00BB69BB" w:rsidRPr="00FB01EF">
        <w:rPr>
          <w:i/>
          <w:szCs w:val="22"/>
          <w:lang w:val="it-IT"/>
        </w:rPr>
        <w:t xml:space="preserve">iperstimolazione ovarica </w:t>
      </w:r>
      <w:r w:rsidRPr="00FB01EF">
        <w:rPr>
          <w:i/>
          <w:szCs w:val="22"/>
          <w:lang w:val="it-IT"/>
        </w:rPr>
        <w:t>(Ovarian Hyperstimulation Syndrome</w:t>
      </w:r>
      <w:r w:rsidRPr="00FB01EF">
        <w:rPr>
          <w:szCs w:val="22"/>
          <w:lang w:val="it-IT"/>
        </w:rPr>
        <w:t xml:space="preserve">, </w:t>
      </w:r>
      <w:r w:rsidRPr="00FB01EF">
        <w:rPr>
          <w:i/>
          <w:szCs w:val="22"/>
          <w:lang w:val="it-IT"/>
        </w:rPr>
        <w:t>OHSS</w:t>
      </w:r>
      <w:r w:rsidR="0003335D" w:rsidRPr="00FB01EF">
        <w:rPr>
          <w:i/>
          <w:iCs/>
          <w:noProof/>
          <w:color w:val="000000"/>
          <w:szCs w:val="22"/>
          <w:lang w:val="it-IT"/>
        </w:rPr>
        <w:t>)</w:t>
      </w:r>
    </w:p>
    <w:p w:rsidR="0003335D" w:rsidRPr="00FB01EF" w:rsidRDefault="003A6CDA" w:rsidP="00496272">
      <w:pPr>
        <w:tabs>
          <w:tab w:val="clear" w:pos="567"/>
        </w:tabs>
        <w:rPr>
          <w:noProof/>
          <w:color w:val="000000"/>
          <w:szCs w:val="22"/>
          <w:lang w:val="it-IT"/>
        </w:rPr>
      </w:pPr>
      <w:r w:rsidRPr="00FB01EF">
        <w:rPr>
          <w:szCs w:val="22"/>
          <w:lang w:val="it-IT"/>
        </w:rPr>
        <w:t>Un certo grado di ingrossamento ovarico è un effetto atteso della stimolazione ovarica controllata. È più comune nelle donne con sindrome dell’ovaio policistico e regredisce, in genere, senza alcun trattamento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 xml:space="preserve">Al contrario dell’ingrossamento ovarico privo di complicazioni, OHSS è una condizione che può manifestarsi con diversi gradi di gravità. Essa comprende un ingrossamento ovarico marcato, alti livelli sierici di ormoni steroidei e un incremento della permeabilità vascolare che può evolversi in un accumulo di liquidi nel peritoneo, nella </w:t>
      </w:r>
      <w:r w:rsidR="00BB69BB" w:rsidRPr="00FB01EF">
        <w:rPr>
          <w:szCs w:val="22"/>
          <w:lang w:val="it-IT"/>
        </w:rPr>
        <w:t xml:space="preserve">pleura </w:t>
      </w:r>
      <w:r w:rsidRPr="00FB01EF">
        <w:rPr>
          <w:szCs w:val="22"/>
          <w:lang w:val="it-IT"/>
        </w:rPr>
        <w:t>e, raramente, nelle cavità pericardiache</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In casi gravi di OHSS può essere osservata la seguente sintomatologia: dolore addominale, distensione addominale, ingrossamento ovarico di grado severo, aumento di peso, dispnea, oliguria e sintomi gastrointestinali quali nausea, vomito e diarrea. La valutazione clinica può rivelare ipovolemia, emoconcentrazione, sbilancio elettrolitico, ascite, emoperitoneo, versamenti pleurici</w:t>
      </w:r>
      <w:r w:rsidR="00BB69BB" w:rsidRPr="00FB01EF">
        <w:rPr>
          <w:szCs w:val="22"/>
          <w:lang w:val="it-IT"/>
        </w:rPr>
        <w:t>,</w:t>
      </w:r>
      <w:r w:rsidRPr="00FB01EF">
        <w:rPr>
          <w:szCs w:val="22"/>
          <w:lang w:val="it-IT"/>
        </w:rPr>
        <w:t xml:space="preserve"> idrotorace</w:t>
      </w:r>
      <w:r w:rsidR="00BB69BB" w:rsidRPr="00FB01EF">
        <w:rPr>
          <w:szCs w:val="22"/>
          <w:lang w:val="it-IT"/>
        </w:rPr>
        <w:t xml:space="preserve"> o</w:t>
      </w:r>
      <w:r w:rsidRPr="00FB01EF">
        <w:rPr>
          <w:szCs w:val="22"/>
          <w:lang w:val="it-IT"/>
        </w:rPr>
        <w:t xml:space="preserve"> insufficienza polmonare acuta. Molto raramente, una severa OHSS può essere complicata da torsione ovarica o eventi tromboembolici come embolia polmonare, ictus ischemico o infarto del miocardio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1437AF">
      <w:pPr>
        <w:ind w:right="412"/>
        <w:rPr>
          <w:noProof/>
          <w:color w:val="000000"/>
          <w:szCs w:val="22"/>
          <w:lang w:val="it-IT"/>
        </w:rPr>
      </w:pPr>
      <w:r w:rsidRPr="00FB01EF">
        <w:rPr>
          <w:szCs w:val="22"/>
          <w:lang w:val="it-IT"/>
        </w:rPr>
        <w:t xml:space="preserve">I fattori di rischio indipendenti per lo sviluppo di OHSS comprendono la sindrome dell’ovaio policistico, livelli sierici di estradiolo elevati in assoluto o in rapido aumento (ad es. </w:t>
      </w:r>
      <w:r w:rsidR="00BB69BB" w:rsidRPr="00FB01EF">
        <w:rPr>
          <w:szCs w:val="22"/>
          <w:lang w:val="it-IT"/>
        </w:rPr>
        <w:t>&gt; 900 </w:t>
      </w:r>
      <w:r w:rsidRPr="00FB01EF">
        <w:rPr>
          <w:szCs w:val="22"/>
          <w:lang w:val="it-IT"/>
        </w:rPr>
        <w:t>pg/m</w:t>
      </w:r>
      <w:r w:rsidR="00BB69BB" w:rsidRPr="00FB01EF">
        <w:rPr>
          <w:szCs w:val="22"/>
          <w:lang w:val="it-IT"/>
        </w:rPr>
        <w:t>L</w:t>
      </w:r>
      <w:r w:rsidRPr="00FB01EF">
        <w:rPr>
          <w:szCs w:val="22"/>
          <w:lang w:val="it-IT"/>
        </w:rPr>
        <w:t xml:space="preserve"> o </w:t>
      </w:r>
      <w:r w:rsidR="00BB69BB" w:rsidRPr="00FB01EF">
        <w:rPr>
          <w:szCs w:val="22"/>
          <w:lang w:val="it-IT"/>
        </w:rPr>
        <w:t>&gt; </w:t>
      </w:r>
      <w:r w:rsidRPr="00FB01EF">
        <w:rPr>
          <w:szCs w:val="22"/>
          <w:lang w:val="it-IT"/>
        </w:rPr>
        <w:t>3.</w:t>
      </w:r>
      <w:r w:rsidR="00BB69BB" w:rsidRPr="00FB01EF">
        <w:rPr>
          <w:szCs w:val="22"/>
          <w:lang w:val="it-IT"/>
        </w:rPr>
        <w:t>300 </w:t>
      </w:r>
      <w:r w:rsidRPr="00FB01EF">
        <w:rPr>
          <w:szCs w:val="22"/>
          <w:lang w:val="it-IT"/>
        </w:rPr>
        <w:t>pmol/</w:t>
      </w:r>
      <w:r w:rsidR="00BB69BB" w:rsidRPr="00FB01EF">
        <w:rPr>
          <w:szCs w:val="22"/>
          <w:lang w:val="it-IT"/>
        </w:rPr>
        <w:t>L</w:t>
      </w:r>
      <w:r w:rsidRPr="00FB01EF">
        <w:rPr>
          <w:szCs w:val="22"/>
          <w:lang w:val="it-IT"/>
        </w:rPr>
        <w:t xml:space="preserve"> in caso di anovulazione; </w:t>
      </w:r>
      <w:r w:rsidR="00BB69BB" w:rsidRPr="00FB01EF">
        <w:rPr>
          <w:szCs w:val="22"/>
          <w:lang w:val="it-IT"/>
        </w:rPr>
        <w:t>&gt; </w:t>
      </w:r>
      <w:r w:rsidRPr="00FB01EF">
        <w:rPr>
          <w:szCs w:val="22"/>
          <w:lang w:val="it-IT"/>
        </w:rPr>
        <w:t>3.</w:t>
      </w:r>
      <w:r w:rsidR="00BB69BB" w:rsidRPr="00FB01EF">
        <w:rPr>
          <w:szCs w:val="22"/>
          <w:lang w:val="it-IT"/>
        </w:rPr>
        <w:t>000 </w:t>
      </w:r>
      <w:r w:rsidRPr="00FB01EF">
        <w:rPr>
          <w:szCs w:val="22"/>
          <w:lang w:val="it-IT"/>
        </w:rPr>
        <w:t>pg/m</w:t>
      </w:r>
      <w:r w:rsidR="00BB69BB" w:rsidRPr="00FB01EF">
        <w:rPr>
          <w:szCs w:val="22"/>
          <w:lang w:val="it-IT"/>
        </w:rPr>
        <w:t>L</w:t>
      </w:r>
      <w:r w:rsidRPr="00FB01EF">
        <w:rPr>
          <w:szCs w:val="22"/>
          <w:lang w:val="it-IT"/>
        </w:rPr>
        <w:t xml:space="preserve"> o </w:t>
      </w:r>
      <w:r w:rsidR="00BB69BB" w:rsidRPr="00FB01EF">
        <w:rPr>
          <w:szCs w:val="22"/>
          <w:lang w:val="it-IT"/>
        </w:rPr>
        <w:t>&gt; </w:t>
      </w:r>
      <w:r w:rsidRPr="00FB01EF">
        <w:rPr>
          <w:szCs w:val="22"/>
          <w:lang w:val="it-IT"/>
        </w:rPr>
        <w:t>11.</w:t>
      </w:r>
      <w:r w:rsidR="00BB69BB" w:rsidRPr="00FB01EF">
        <w:rPr>
          <w:szCs w:val="22"/>
          <w:lang w:val="it-IT"/>
        </w:rPr>
        <w:t>000 </w:t>
      </w:r>
      <w:r w:rsidRPr="00FB01EF">
        <w:rPr>
          <w:szCs w:val="22"/>
          <w:lang w:val="it-IT"/>
        </w:rPr>
        <w:t>pmol/</w:t>
      </w:r>
      <w:r w:rsidR="00BB69BB" w:rsidRPr="00FB01EF">
        <w:rPr>
          <w:szCs w:val="22"/>
          <w:lang w:val="it-IT"/>
        </w:rPr>
        <w:t>L</w:t>
      </w:r>
      <w:r w:rsidRPr="00FB01EF">
        <w:rPr>
          <w:szCs w:val="22"/>
          <w:lang w:val="it-IT"/>
        </w:rPr>
        <w:t xml:space="preserve"> nell’ART) e un gran </w:t>
      </w:r>
      <w:r w:rsidRPr="00FB01EF">
        <w:rPr>
          <w:szCs w:val="22"/>
          <w:lang w:val="it-IT"/>
        </w:rPr>
        <w:lastRenderedPageBreak/>
        <w:t xml:space="preserve">numero di follicoli ovarici in fase di sviluppo (ad es. </w:t>
      </w:r>
      <w:r w:rsidR="00BB69BB" w:rsidRPr="00FB01EF">
        <w:rPr>
          <w:szCs w:val="22"/>
          <w:lang w:val="it-IT"/>
        </w:rPr>
        <w:t>&gt; 3 </w:t>
      </w:r>
      <w:r w:rsidRPr="00FB01EF">
        <w:rPr>
          <w:szCs w:val="22"/>
          <w:lang w:val="it-IT"/>
        </w:rPr>
        <w:t>follicoli di diametro ≥</w:t>
      </w:r>
      <w:r w:rsidR="00BB69BB" w:rsidRPr="00FB01EF">
        <w:rPr>
          <w:szCs w:val="22"/>
          <w:lang w:val="it-IT"/>
        </w:rPr>
        <w:t> 14 </w:t>
      </w:r>
      <w:r w:rsidRPr="00FB01EF">
        <w:rPr>
          <w:szCs w:val="22"/>
          <w:lang w:val="it-IT"/>
        </w:rPr>
        <w:t xml:space="preserve">mm in caso di anovulazione; </w:t>
      </w:r>
      <w:r w:rsidR="00BB69BB" w:rsidRPr="00FB01EF">
        <w:rPr>
          <w:szCs w:val="22"/>
          <w:lang w:val="it-IT"/>
        </w:rPr>
        <w:t>≥ 20 </w:t>
      </w:r>
      <w:r w:rsidRPr="00FB01EF">
        <w:rPr>
          <w:szCs w:val="22"/>
          <w:lang w:val="it-IT"/>
        </w:rPr>
        <w:t xml:space="preserve">follicoli di diametro </w:t>
      </w:r>
      <w:r w:rsidR="00BB69BB" w:rsidRPr="00FB01EF">
        <w:rPr>
          <w:szCs w:val="22"/>
          <w:lang w:val="it-IT"/>
        </w:rPr>
        <w:t>≥ 12 </w:t>
      </w:r>
      <w:r w:rsidRPr="00FB01EF">
        <w:rPr>
          <w:szCs w:val="22"/>
          <w:lang w:val="it-IT"/>
        </w:rPr>
        <w:t>mm nell’ART</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 xml:space="preserve">L’aderenza alla dose e al regime terapeutico raccomandati di </w:t>
      </w:r>
      <w:r w:rsidR="00BB69BB" w:rsidRPr="00FB01EF">
        <w:rPr>
          <w:szCs w:val="22"/>
          <w:lang w:val="it-IT"/>
        </w:rPr>
        <w:t>follitropina alfa</w:t>
      </w:r>
      <w:r w:rsidRPr="00FB01EF">
        <w:rPr>
          <w:szCs w:val="22"/>
          <w:lang w:val="it-IT"/>
        </w:rPr>
        <w:t xml:space="preserve"> può ridurre al minimo il rischio di iperstimolazione ovarica (vedere paragrafi</w:t>
      </w:r>
      <w:r w:rsidR="008D1BB1" w:rsidRPr="00FB01EF">
        <w:rPr>
          <w:szCs w:val="22"/>
          <w:lang w:val="it-IT"/>
        </w:rPr>
        <w:t> </w:t>
      </w:r>
      <w:r w:rsidRPr="00FB01EF">
        <w:rPr>
          <w:szCs w:val="22"/>
          <w:lang w:val="it-IT"/>
        </w:rPr>
        <w:t>4.2 e 4.8). Si raccomandano il monitoraggio ecografico dei cicli di stimolazione e la determinazione dei livelli di estradiolo per identificare tempestivamente i fattori di rischio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 xml:space="preserve">Le evidenze suggeriscono che l’hCG svolga un ruolo chiave nell’induzione dell’OHSS e che la sindrome possa essere più grave e protratta in caso di gravidanza. Pertanto, in presenza di segni di iperstimolazione ovarica, come livelli sierici di estradiolo </w:t>
      </w:r>
      <w:r w:rsidR="00BB69BB" w:rsidRPr="00FB01EF">
        <w:rPr>
          <w:szCs w:val="22"/>
          <w:lang w:val="it-IT"/>
        </w:rPr>
        <w:t>&gt; </w:t>
      </w:r>
      <w:r w:rsidRPr="00FB01EF">
        <w:rPr>
          <w:szCs w:val="22"/>
          <w:lang w:val="it-IT"/>
        </w:rPr>
        <w:t>5.</w:t>
      </w:r>
      <w:r w:rsidR="00BB69BB" w:rsidRPr="00FB01EF">
        <w:rPr>
          <w:szCs w:val="22"/>
          <w:lang w:val="it-IT"/>
        </w:rPr>
        <w:t>500 </w:t>
      </w:r>
      <w:r w:rsidRPr="00FB01EF">
        <w:rPr>
          <w:szCs w:val="22"/>
          <w:lang w:val="it-IT"/>
        </w:rPr>
        <w:t>pg/m</w:t>
      </w:r>
      <w:r w:rsidR="00BB69BB" w:rsidRPr="00FB01EF">
        <w:rPr>
          <w:szCs w:val="22"/>
          <w:lang w:val="it-IT"/>
        </w:rPr>
        <w:t>L</w:t>
      </w:r>
      <w:r w:rsidRPr="00FB01EF">
        <w:rPr>
          <w:szCs w:val="22"/>
          <w:lang w:val="it-IT"/>
        </w:rPr>
        <w:t xml:space="preserve"> o </w:t>
      </w:r>
      <w:r w:rsidR="00BB69BB" w:rsidRPr="00FB01EF">
        <w:rPr>
          <w:szCs w:val="22"/>
          <w:lang w:val="it-IT"/>
        </w:rPr>
        <w:t>&gt; </w:t>
      </w:r>
      <w:r w:rsidRPr="00FB01EF">
        <w:rPr>
          <w:szCs w:val="22"/>
          <w:lang w:val="it-IT"/>
        </w:rPr>
        <w:t>20.</w:t>
      </w:r>
      <w:r w:rsidR="00BB69BB" w:rsidRPr="00FB01EF">
        <w:rPr>
          <w:szCs w:val="22"/>
          <w:lang w:val="it-IT"/>
        </w:rPr>
        <w:t>200 </w:t>
      </w:r>
      <w:r w:rsidRPr="00FB01EF">
        <w:rPr>
          <w:szCs w:val="22"/>
          <w:lang w:val="it-IT"/>
        </w:rPr>
        <w:t>pmol/</w:t>
      </w:r>
      <w:r w:rsidR="00BB69BB" w:rsidRPr="00FB01EF">
        <w:rPr>
          <w:szCs w:val="22"/>
          <w:lang w:val="it-IT"/>
        </w:rPr>
        <w:t xml:space="preserve">L </w:t>
      </w:r>
      <w:r w:rsidRPr="00FB01EF">
        <w:rPr>
          <w:szCs w:val="22"/>
          <w:lang w:val="it-IT"/>
        </w:rPr>
        <w:t xml:space="preserve">e/o </w:t>
      </w:r>
      <w:r w:rsidR="00BB69BB" w:rsidRPr="00FB01EF">
        <w:rPr>
          <w:szCs w:val="22"/>
          <w:lang w:val="it-IT"/>
        </w:rPr>
        <w:t>≥ </w:t>
      </w:r>
      <w:r w:rsidRPr="00FB01EF">
        <w:rPr>
          <w:szCs w:val="22"/>
          <w:lang w:val="it-IT"/>
        </w:rPr>
        <w:t>40</w:t>
      </w:r>
      <w:r w:rsidR="00BB69BB" w:rsidRPr="00FB01EF">
        <w:rPr>
          <w:szCs w:val="22"/>
          <w:lang w:val="it-IT"/>
        </w:rPr>
        <w:t> </w:t>
      </w:r>
      <w:r w:rsidRPr="00FB01EF">
        <w:rPr>
          <w:szCs w:val="22"/>
          <w:lang w:val="it-IT"/>
        </w:rPr>
        <w:t xml:space="preserve">follicoli in totale, si raccomanda di astenersi dalla somministrazione di hCG e di istruire la paziente ad astenersi dai rapporti sessuali o a usare metodi barriera di contraccezione per almeno </w:t>
      </w:r>
      <w:r w:rsidR="00BB69BB" w:rsidRPr="00FB01EF">
        <w:rPr>
          <w:szCs w:val="22"/>
          <w:lang w:val="it-IT"/>
        </w:rPr>
        <w:t>4 </w:t>
      </w:r>
      <w:r w:rsidRPr="00FB01EF">
        <w:rPr>
          <w:szCs w:val="22"/>
          <w:lang w:val="it-IT"/>
        </w:rPr>
        <w:t xml:space="preserve">giorni. L’OHSS può evolversi rapidamente (entro le </w:t>
      </w:r>
      <w:r w:rsidR="00BB69BB" w:rsidRPr="00FB01EF">
        <w:rPr>
          <w:szCs w:val="22"/>
          <w:lang w:val="it-IT"/>
        </w:rPr>
        <w:t>24 </w:t>
      </w:r>
      <w:r w:rsidRPr="00FB01EF">
        <w:rPr>
          <w:szCs w:val="22"/>
          <w:lang w:val="it-IT"/>
        </w:rPr>
        <w:t>ore) o nell’arco di diversi giorni e diventare un evento clinico serio. Essa compare più frequentemente dopo sospensione del trattamento ormonale e raggiunge il suo massimo a circa 7</w:t>
      </w:r>
      <w:r w:rsidR="005773BE" w:rsidRPr="00FB01EF">
        <w:rPr>
          <w:szCs w:val="22"/>
          <w:lang w:val="it-IT"/>
        </w:rPr>
        <w:noBreakHyphen/>
      </w:r>
      <w:r w:rsidR="00BB69BB" w:rsidRPr="00FB01EF">
        <w:rPr>
          <w:szCs w:val="22"/>
          <w:lang w:val="it-IT"/>
        </w:rPr>
        <w:t>10 </w:t>
      </w:r>
      <w:r w:rsidRPr="00FB01EF">
        <w:rPr>
          <w:szCs w:val="22"/>
          <w:lang w:val="it-IT"/>
        </w:rPr>
        <w:t>giorni dal trattamento. Pertanto</w:t>
      </w:r>
      <w:r w:rsidR="00EF2483" w:rsidRPr="00FB01EF">
        <w:rPr>
          <w:szCs w:val="22"/>
          <w:lang w:val="it-IT"/>
        </w:rPr>
        <w:t>,</w:t>
      </w:r>
      <w:r w:rsidR="00BB69BB" w:rsidRPr="00FB01EF">
        <w:rPr>
          <w:szCs w:val="22"/>
          <w:lang w:val="it-IT"/>
        </w:rPr>
        <w:t xml:space="preserve"> </w:t>
      </w:r>
      <w:r w:rsidRPr="00FB01EF">
        <w:rPr>
          <w:szCs w:val="22"/>
          <w:lang w:val="it-IT"/>
        </w:rPr>
        <w:t xml:space="preserve">le pazienti devono essere tenute sotto controllo per almeno </w:t>
      </w:r>
      <w:r w:rsidR="00BB69BB" w:rsidRPr="00FB01EF">
        <w:rPr>
          <w:szCs w:val="22"/>
          <w:lang w:val="it-IT"/>
        </w:rPr>
        <w:t>2 </w:t>
      </w:r>
      <w:r w:rsidRPr="00FB01EF">
        <w:rPr>
          <w:szCs w:val="22"/>
          <w:lang w:val="it-IT"/>
        </w:rPr>
        <w:t>settimane dopo la somministrazione di hCG</w:t>
      </w:r>
      <w:r w:rsidR="0003335D" w:rsidRPr="00FB01EF">
        <w:rPr>
          <w:noProof/>
          <w:color w:val="000000"/>
          <w:szCs w:val="22"/>
          <w:lang w:val="it-IT"/>
        </w:rPr>
        <w:t>.</w:t>
      </w:r>
    </w:p>
    <w:p w:rsidR="003A6CDA" w:rsidRPr="00FB01EF" w:rsidRDefault="003A6CDA"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Nella ART, l’aspirazione di tutti i follicoli prima dell’ovulazione può evitare il verificarsi di iperstimolazione</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La OHSS lieve o moderata regredisce in genere spontaneamente. Se si verifica una OHSS grave si raccomanda di sospendere il trattamento con gonadotropine, se ancora in corso, ricoverare la paziente e iniziare la terapia appropriata</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keepNext/>
        <w:keepLines/>
        <w:tabs>
          <w:tab w:val="clear" w:pos="567"/>
        </w:tabs>
        <w:rPr>
          <w:i/>
          <w:iCs/>
          <w:noProof/>
          <w:color w:val="000000"/>
          <w:szCs w:val="22"/>
          <w:lang w:val="it-IT"/>
        </w:rPr>
      </w:pPr>
      <w:r w:rsidRPr="00FB01EF">
        <w:rPr>
          <w:i/>
          <w:szCs w:val="22"/>
          <w:lang w:val="it-IT"/>
        </w:rPr>
        <w:t>Gravidanza multipla</w:t>
      </w:r>
    </w:p>
    <w:p w:rsidR="0003335D" w:rsidRPr="00FB01EF" w:rsidRDefault="003A6CDA" w:rsidP="00496272">
      <w:pPr>
        <w:keepNext/>
        <w:keepLines/>
        <w:tabs>
          <w:tab w:val="clear" w:pos="567"/>
        </w:tabs>
        <w:rPr>
          <w:noProof/>
          <w:color w:val="000000"/>
          <w:szCs w:val="22"/>
          <w:lang w:val="it-IT"/>
        </w:rPr>
      </w:pPr>
      <w:r w:rsidRPr="00FB01EF">
        <w:rPr>
          <w:szCs w:val="22"/>
          <w:lang w:val="it-IT"/>
        </w:rPr>
        <w:t>Nelle pazienti che si sottopongono ad induzione dell’ovulazione, l’incidenza di gravidanze multiple è aumentata rispetto ai concepimenti naturali. La maggior</w:t>
      </w:r>
      <w:r w:rsidR="002F292E" w:rsidRPr="00FB01EF">
        <w:rPr>
          <w:szCs w:val="22"/>
          <w:lang w:val="it-IT"/>
        </w:rPr>
        <w:t xml:space="preserve"> parte</w:t>
      </w:r>
      <w:r w:rsidRPr="00FB01EF">
        <w:rPr>
          <w:szCs w:val="22"/>
          <w:lang w:val="it-IT"/>
        </w:rPr>
        <w:t xml:space="preserve"> dei concepimenti multipli sono gemellari. La gravidanza multipla, in particolare se di ordine elevato, comporta un aumento del rischio di esiti avversi materni e perinatali</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Per minimizzare il rischio di gravidanze multiple, si raccomanda un attento monitoraggio della risposta ovarica</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Nelle pazienti sottoposte a tecniche di riproduzione assistita il rischio di gravidanze multiple è correlato principalmente al numero di embrioni trasferiti, alla loro qualità e all’età della paziente</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Prima di iniziare il trattamento le pazienti devono essere informate del rischio potenziale di nascite multiple</w:t>
      </w:r>
      <w:r w:rsidR="0003335D" w:rsidRPr="00FB01EF">
        <w:rPr>
          <w:noProof/>
          <w:color w:val="000000"/>
          <w:szCs w:val="22"/>
          <w:lang w:val="it-IT"/>
        </w:rPr>
        <w:t>.</w:t>
      </w:r>
    </w:p>
    <w:p w:rsidR="0003335D" w:rsidRPr="00FB01EF" w:rsidRDefault="0003335D" w:rsidP="00496272">
      <w:pPr>
        <w:tabs>
          <w:tab w:val="clear" w:pos="567"/>
        </w:tabs>
        <w:rPr>
          <w:i/>
          <w:iCs/>
          <w:noProof/>
          <w:color w:val="000000"/>
          <w:szCs w:val="22"/>
          <w:lang w:val="it-IT"/>
        </w:rPr>
      </w:pPr>
    </w:p>
    <w:p w:rsidR="0003335D" w:rsidRPr="00FB01EF" w:rsidRDefault="003A6CDA" w:rsidP="00496272">
      <w:pPr>
        <w:tabs>
          <w:tab w:val="clear" w:pos="567"/>
        </w:tabs>
        <w:rPr>
          <w:i/>
          <w:iCs/>
          <w:noProof/>
          <w:color w:val="000000"/>
          <w:szCs w:val="22"/>
          <w:lang w:val="it-IT"/>
        </w:rPr>
      </w:pPr>
      <w:r w:rsidRPr="00FB01EF">
        <w:rPr>
          <w:i/>
          <w:szCs w:val="22"/>
          <w:lang w:val="it-IT"/>
        </w:rPr>
        <w:t>Interruzione della gravidanza</w:t>
      </w:r>
    </w:p>
    <w:p w:rsidR="0003335D" w:rsidRPr="00FB01EF" w:rsidRDefault="003A6CDA" w:rsidP="00496272">
      <w:pPr>
        <w:tabs>
          <w:tab w:val="clear" w:pos="567"/>
        </w:tabs>
        <w:rPr>
          <w:noProof/>
          <w:color w:val="000000"/>
          <w:szCs w:val="22"/>
          <w:lang w:val="it-IT"/>
        </w:rPr>
      </w:pPr>
      <w:r w:rsidRPr="00FB01EF">
        <w:rPr>
          <w:szCs w:val="22"/>
          <w:lang w:val="it-IT"/>
        </w:rPr>
        <w:t>L’incidenza di interruzione della gravidanza per aborto spontaneo prima o dopo il primo trimestre è maggiore nelle pazienti che si sottopongono a stimolazione dello sviluppo follicolare per indurre l’ovulazione o per le ART rispetto a quanto avviene dopo un concepimento naturale</w:t>
      </w:r>
      <w:r w:rsidR="0003335D" w:rsidRPr="00FB01EF">
        <w:rPr>
          <w:noProof/>
          <w:color w:val="000000"/>
          <w:szCs w:val="22"/>
          <w:lang w:val="it-IT"/>
        </w:rPr>
        <w:t>.</w:t>
      </w:r>
    </w:p>
    <w:p w:rsidR="0003335D" w:rsidRPr="00FB01EF" w:rsidRDefault="0003335D" w:rsidP="00496272">
      <w:pPr>
        <w:tabs>
          <w:tab w:val="clear" w:pos="567"/>
        </w:tabs>
        <w:rPr>
          <w:i/>
          <w:iCs/>
          <w:noProof/>
          <w:color w:val="000000"/>
          <w:szCs w:val="22"/>
          <w:lang w:val="it-IT"/>
        </w:rPr>
      </w:pPr>
    </w:p>
    <w:p w:rsidR="0003335D" w:rsidRPr="00FB01EF" w:rsidRDefault="003A6CDA" w:rsidP="004A0DFB">
      <w:pPr>
        <w:keepNext/>
        <w:tabs>
          <w:tab w:val="clear" w:pos="567"/>
        </w:tabs>
        <w:rPr>
          <w:i/>
          <w:iCs/>
          <w:noProof/>
          <w:color w:val="000000"/>
          <w:szCs w:val="22"/>
          <w:lang w:val="it-IT"/>
        </w:rPr>
      </w:pPr>
      <w:r w:rsidRPr="00FB01EF">
        <w:rPr>
          <w:i/>
          <w:szCs w:val="22"/>
          <w:lang w:val="it-IT"/>
        </w:rPr>
        <w:t>Gravidanze ectopiche</w:t>
      </w:r>
    </w:p>
    <w:p w:rsidR="0003335D" w:rsidRPr="00FB01EF" w:rsidRDefault="003A6CDA" w:rsidP="00496272">
      <w:pPr>
        <w:tabs>
          <w:tab w:val="clear" w:pos="567"/>
        </w:tabs>
        <w:rPr>
          <w:noProof/>
          <w:color w:val="000000"/>
          <w:szCs w:val="22"/>
          <w:lang w:val="it-IT"/>
        </w:rPr>
      </w:pPr>
      <w:r w:rsidRPr="00FB01EF">
        <w:rPr>
          <w:szCs w:val="22"/>
          <w:lang w:val="it-IT"/>
        </w:rPr>
        <w:t>Le donne con storia di precedenti disturbi alle tube sono a rischio di gravidanze ectopiche, sia se la gravidanza è ottenuta con concepimento spontaneo che con trattamenti per l’infertilità. Dopo le ART è stata riportata una prevalenza di gravidanze ectopiche maggiore rispetto alla popolazione generale</w:t>
      </w:r>
      <w:r w:rsidR="0003335D" w:rsidRPr="00FB01EF">
        <w:rPr>
          <w:noProof/>
          <w:color w:val="000000"/>
          <w:szCs w:val="22"/>
          <w:lang w:val="it-IT"/>
        </w:rPr>
        <w:t>.</w:t>
      </w:r>
    </w:p>
    <w:p w:rsidR="0003335D" w:rsidRPr="00FB01EF" w:rsidRDefault="0003335D" w:rsidP="00496272">
      <w:pPr>
        <w:tabs>
          <w:tab w:val="clear" w:pos="567"/>
        </w:tabs>
        <w:rPr>
          <w:i/>
          <w:iCs/>
          <w:noProof/>
          <w:color w:val="000000"/>
          <w:szCs w:val="22"/>
          <w:lang w:val="it-IT"/>
        </w:rPr>
      </w:pPr>
    </w:p>
    <w:p w:rsidR="0003335D" w:rsidRPr="00FB01EF" w:rsidRDefault="003A6CDA" w:rsidP="00D04828">
      <w:pPr>
        <w:keepNext/>
        <w:tabs>
          <w:tab w:val="clear" w:pos="567"/>
        </w:tabs>
        <w:rPr>
          <w:i/>
          <w:iCs/>
          <w:noProof/>
          <w:color w:val="000000"/>
          <w:szCs w:val="22"/>
          <w:lang w:val="it-IT"/>
        </w:rPr>
      </w:pPr>
      <w:r w:rsidRPr="00FB01EF">
        <w:rPr>
          <w:i/>
          <w:szCs w:val="22"/>
          <w:lang w:val="it-IT"/>
        </w:rPr>
        <w:t>Neoplasie del sistema riproduttivo</w:t>
      </w:r>
    </w:p>
    <w:p w:rsidR="0003335D" w:rsidRPr="00FB01EF" w:rsidRDefault="003A6CDA" w:rsidP="00496272">
      <w:pPr>
        <w:tabs>
          <w:tab w:val="clear" w:pos="567"/>
        </w:tabs>
        <w:rPr>
          <w:noProof/>
          <w:color w:val="000000"/>
          <w:szCs w:val="22"/>
          <w:lang w:val="it-IT"/>
        </w:rPr>
      </w:pPr>
      <w:r w:rsidRPr="00FB01EF">
        <w:rPr>
          <w:szCs w:val="22"/>
          <w:lang w:val="it-IT"/>
        </w:rPr>
        <w:t>Sono stati segnalati casi di neoplasie, sia benigne che maligne, dell’ovaio o altre neoplasie dell’apparato riproduttivo in donne sottoposte a ripetuti cicli di terapia per il trattamento dell’infertilità. Non è stato ancora stabilito se il trattamento con gonadotropine incrementi o meno il rischio di questi tumori nelle donne infertili</w:t>
      </w:r>
      <w:r w:rsidR="0003335D" w:rsidRPr="00FB01EF">
        <w:rPr>
          <w:noProof/>
          <w:color w:val="000000"/>
          <w:szCs w:val="22"/>
          <w:lang w:val="it-IT"/>
        </w:rPr>
        <w:t>.</w:t>
      </w:r>
    </w:p>
    <w:p w:rsidR="0003335D" w:rsidRPr="00FB01EF" w:rsidRDefault="0003335D" w:rsidP="00496272">
      <w:pPr>
        <w:tabs>
          <w:tab w:val="clear" w:pos="567"/>
        </w:tabs>
        <w:rPr>
          <w:i/>
          <w:iCs/>
          <w:noProof/>
          <w:color w:val="000000"/>
          <w:szCs w:val="22"/>
          <w:lang w:val="it-IT"/>
        </w:rPr>
      </w:pPr>
    </w:p>
    <w:p w:rsidR="0003335D" w:rsidRPr="00FB01EF" w:rsidRDefault="003A6CDA" w:rsidP="00496272">
      <w:pPr>
        <w:tabs>
          <w:tab w:val="clear" w:pos="567"/>
        </w:tabs>
        <w:rPr>
          <w:i/>
          <w:iCs/>
          <w:noProof/>
          <w:color w:val="000000"/>
          <w:szCs w:val="22"/>
          <w:lang w:val="it-IT"/>
        </w:rPr>
      </w:pPr>
      <w:r w:rsidRPr="00FB01EF">
        <w:rPr>
          <w:i/>
          <w:szCs w:val="22"/>
          <w:lang w:val="it-IT"/>
        </w:rPr>
        <w:t>Malformazioni congenite</w:t>
      </w:r>
    </w:p>
    <w:p w:rsidR="0003335D" w:rsidRPr="00FB01EF" w:rsidRDefault="003A6CDA" w:rsidP="00496272">
      <w:pPr>
        <w:tabs>
          <w:tab w:val="clear" w:pos="567"/>
        </w:tabs>
        <w:rPr>
          <w:noProof/>
          <w:color w:val="000000"/>
          <w:szCs w:val="22"/>
          <w:lang w:val="it-IT"/>
        </w:rPr>
      </w:pPr>
      <w:r w:rsidRPr="00FB01EF">
        <w:rPr>
          <w:szCs w:val="22"/>
          <w:lang w:val="it-IT"/>
        </w:rPr>
        <w:lastRenderedPageBreak/>
        <w:t>La prevalenza di malformazioni congenite a seguito di ART può essere leggermente superiore rispetto ai concepimenti naturali. Ciò si pensa sia dovuto a differenti caratteristiche dei genitori (es. età materna, caratteristiche del liquido seminale) ed alle gravidanze multiple</w:t>
      </w:r>
      <w:r w:rsidR="0003335D" w:rsidRPr="00FB01EF">
        <w:rPr>
          <w:noProof/>
          <w:color w:val="000000"/>
          <w:szCs w:val="22"/>
          <w:lang w:val="it-IT"/>
        </w:rPr>
        <w:t>.</w:t>
      </w:r>
    </w:p>
    <w:p w:rsidR="0003335D" w:rsidRPr="00FB01EF" w:rsidRDefault="0003335D" w:rsidP="00496272">
      <w:pPr>
        <w:tabs>
          <w:tab w:val="clear" w:pos="567"/>
        </w:tabs>
        <w:rPr>
          <w:i/>
          <w:iCs/>
          <w:noProof/>
          <w:color w:val="000000"/>
          <w:szCs w:val="22"/>
          <w:lang w:val="it-IT"/>
        </w:rPr>
      </w:pPr>
    </w:p>
    <w:p w:rsidR="0003335D" w:rsidRPr="00FB01EF" w:rsidRDefault="003A6CDA" w:rsidP="00496272">
      <w:pPr>
        <w:tabs>
          <w:tab w:val="clear" w:pos="567"/>
        </w:tabs>
        <w:rPr>
          <w:i/>
          <w:iCs/>
          <w:noProof/>
          <w:color w:val="000000"/>
          <w:szCs w:val="22"/>
          <w:lang w:val="it-IT"/>
        </w:rPr>
      </w:pPr>
      <w:r w:rsidRPr="00FB01EF">
        <w:rPr>
          <w:i/>
          <w:szCs w:val="22"/>
          <w:lang w:val="it-IT"/>
        </w:rPr>
        <w:t>Eventi tromboembolici</w:t>
      </w:r>
    </w:p>
    <w:p w:rsidR="0003335D" w:rsidRPr="00FB01EF" w:rsidRDefault="003A6CDA" w:rsidP="00496272">
      <w:pPr>
        <w:tabs>
          <w:tab w:val="clear" w:pos="567"/>
        </w:tabs>
        <w:rPr>
          <w:noProof/>
          <w:color w:val="000000"/>
          <w:szCs w:val="22"/>
          <w:lang w:val="it-IT"/>
        </w:rPr>
      </w:pPr>
      <w:r w:rsidRPr="00FB01EF">
        <w:rPr>
          <w:szCs w:val="22"/>
          <w:lang w:val="it-IT"/>
        </w:rPr>
        <w:t>Nelle donne con malattia tromboembolica recente o in corso o nelle donne che presentano fattori di rischio per eventi tromboembolici generalmente riconosciuti, sia personali che familiari, il trattamento con gonadotropine può ulteriormente aumentare il rischio di peggioramento o di comparsa di tali eventi. In tali pazienti deve essere valutato il beneficio della somministrazione di gonadotropine in rapporto al rischio. Tuttavia va notato che la gravidanza stessa e la OHSS inducono un incremento del rischio di eventi tromboembolici</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i/>
          <w:noProof/>
          <w:color w:val="000000"/>
          <w:szCs w:val="22"/>
          <w:u w:val="single"/>
          <w:lang w:val="it-IT"/>
        </w:rPr>
      </w:pPr>
      <w:r w:rsidRPr="00FB01EF">
        <w:rPr>
          <w:i/>
          <w:szCs w:val="22"/>
          <w:u w:val="single" w:color="000000"/>
          <w:lang w:val="it-IT"/>
        </w:rPr>
        <w:t>Trattamento negli uomini</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 xml:space="preserve">Tassi endogeni elevati di FSH sono indicativi di insufficienza testicolare primitiva. Tali pazienti non rispondono alla terapia con </w:t>
      </w:r>
      <w:r w:rsidR="005B6330" w:rsidRPr="00FB01EF">
        <w:rPr>
          <w:szCs w:val="22"/>
          <w:lang w:val="it-IT"/>
        </w:rPr>
        <w:t>follitropina alfa</w:t>
      </w:r>
      <w:r w:rsidRPr="00FB01EF">
        <w:rPr>
          <w:szCs w:val="22"/>
          <w:lang w:val="it-IT"/>
        </w:rPr>
        <w:t xml:space="preserve">/ hCG. </w:t>
      </w:r>
      <w:r w:rsidR="005B6330" w:rsidRPr="00FB01EF">
        <w:rPr>
          <w:szCs w:val="22"/>
          <w:lang w:val="it-IT"/>
        </w:rPr>
        <w:t>Follitropina alfa</w:t>
      </w:r>
      <w:r w:rsidRPr="00FB01EF">
        <w:rPr>
          <w:szCs w:val="22"/>
          <w:lang w:val="it-IT"/>
        </w:rPr>
        <w:t xml:space="preserve"> non deve essere </w:t>
      </w:r>
      <w:r w:rsidR="005B6330" w:rsidRPr="00FB01EF">
        <w:rPr>
          <w:szCs w:val="22"/>
          <w:lang w:val="it-IT"/>
        </w:rPr>
        <w:t xml:space="preserve">utilizzata </w:t>
      </w:r>
      <w:r w:rsidRPr="00FB01EF">
        <w:rPr>
          <w:szCs w:val="22"/>
          <w:lang w:val="it-IT"/>
        </w:rPr>
        <w:t>quando non è possibile ottenere una risposta efficace</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3335D" w:rsidRPr="00FB01EF" w:rsidRDefault="003A6CDA" w:rsidP="00496272">
      <w:pPr>
        <w:tabs>
          <w:tab w:val="clear" w:pos="567"/>
        </w:tabs>
        <w:rPr>
          <w:noProof/>
          <w:color w:val="000000"/>
          <w:szCs w:val="22"/>
          <w:lang w:val="it-IT"/>
        </w:rPr>
      </w:pPr>
      <w:r w:rsidRPr="00FB01EF">
        <w:rPr>
          <w:szCs w:val="22"/>
          <w:lang w:val="it-IT"/>
        </w:rPr>
        <w:t>Nell’ambito della valutazione della risposta, si raccomanda l’analisi del liquido seminale 4-</w:t>
      </w:r>
      <w:r w:rsidR="005B6330" w:rsidRPr="00FB01EF">
        <w:rPr>
          <w:szCs w:val="22"/>
          <w:lang w:val="it-IT"/>
        </w:rPr>
        <w:t>6 </w:t>
      </w:r>
      <w:r w:rsidRPr="00FB01EF">
        <w:rPr>
          <w:szCs w:val="22"/>
          <w:lang w:val="it-IT"/>
        </w:rPr>
        <w:t>mesi dopo l’inizio del trattamento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0E36D6" w:rsidRPr="00FB01EF" w:rsidRDefault="000E36D6" w:rsidP="000E36D6">
      <w:pPr>
        <w:keepNext/>
        <w:keepLines/>
        <w:tabs>
          <w:tab w:val="clear" w:pos="567"/>
        </w:tabs>
        <w:rPr>
          <w:i/>
          <w:noProof/>
          <w:color w:val="000000"/>
          <w:szCs w:val="22"/>
          <w:u w:val="single"/>
          <w:lang w:val="it-IT"/>
        </w:rPr>
      </w:pPr>
      <w:r w:rsidRPr="00FB01EF">
        <w:rPr>
          <w:bCs/>
          <w:i/>
          <w:noProof/>
          <w:szCs w:val="22"/>
          <w:u w:val="single"/>
          <w:lang w:val="it-IT"/>
        </w:rPr>
        <w:t>Contenuto in benzalconio cloruro</w:t>
      </w:r>
    </w:p>
    <w:p w:rsidR="000E36D6" w:rsidRPr="00FB01EF" w:rsidRDefault="000E36D6" w:rsidP="000E36D6">
      <w:pPr>
        <w:keepNext/>
        <w:keepLines/>
        <w:tabs>
          <w:tab w:val="clear" w:pos="567"/>
        </w:tabs>
        <w:rPr>
          <w:noProof/>
          <w:color w:val="000000"/>
          <w:szCs w:val="22"/>
          <w:lang w:val="it-IT"/>
        </w:rPr>
      </w:pPr>
      <w:r w:rsidRPr="00FB01EF">
        <w:rPr>
          <w:noProof/>
          <w:color w:val="000000"/>
          <w:szCs w:val="22"/>
          <w:lang w:val="it-IT"/>
        </w:rPr>
        <w:t>Ovaleap contiene 0,02 mg/mL di benzalconio cloruro</w:t>
      </w:r>
    </w:p>
    <w:p w:rsidR="000E36D6" w:rsidRPr="00FB01EF" w:rsidRDefault="000E36D6" w:rsidP="000E36D6">
      <w:pPr>
        <w:keepNext/>
        <w:keepLines/>
        <w:tabs>
          <w:tab w:val="clear" w:pos="567"/>
        </w:tabs>
        <w:rPr>
          <w:bCs/>
          <w:i/>
          <w:noProof/>
          <w:szCs w:val="22"/>
          <w:u w:val="single"/>
          <w:lang w:val="it-IT"/>
        </w:rPr>
      </w:pPr>
    </w:p>
    <w:p w:rsidR="000E36D6" w:rsidRPr="00FB01EF" w:rsidRDefault="000E36D6" w:rsidP="000E36D6">
      <w:pPr>
        <w:keepNext/>
        <w:keepLines/>
        <w:tabs>
          <w:tab w:val="clear" w:pos="567"/>
        </w:tabs>
        <w:rPr>
          <w:i/>
          <w:noProof/>
          <w:color w:val="000000"/>
          <w:szCs w:val="22"/>
          <w:u w:val="single"/>
          <w:lang w:val="it-IT"/>
        </w:rPr>
      </w:pPr>
      <w:r w:rsidRPr="00FB01EF">
        <w:rPr>
          <w:bCs/>
          <w:i/>
          <w:noProof/>
          <w:szCs w:val="22"/>
          <w:u w:val="single"/>
          <w:lang w:val="it-IT"/>
        </w:rPr>
        <w:t>Contenuto in alcool benzilico</w:t>
      </w:r>
    </w:p>
    <w:p w:rsidR="000E36D6" w:rsidRPr="00FB01EF" w:rsidRDefault="000E36D6" w:rsidP="000E36D6">
      <w:pPr>
        <w:keepNext/>
        <w:keepLines/>
        <w:tabs>
          <w:tab w:val="clear" w:pos="567"/>
        </w:tabs>
        <w:rPr>
          <w:color w:val="1F497D"/>
          <w:lang w:val="it-IT"/>
        </w:rPr>
      </w:pPr>
      <w:r w:rsidRPr="00FB01EF">
        <w:rPr>
          <w:noProof/>
          <w:color w:val="000000"/>
          <w:szCs w:val="22"/>
          <w:lang w:val="it-IT"/>
        </w:rPr>
        <w:t xml:space="preserve">Ovaleap contiene </w:t>
      </w:r>
      <w:r w:rsidRPr="00FB01EF">
        <w:rPr>
          <w:color w:val="1F497D"/>
          <w:lang w:val="it-IT"/>
        </w:rPr>
        <w:t>10,0 mg per mL di alcool benzilico</w:t>
      </w:r>
    </w:p>
    <w:p w:rsidR="000E36D6" w:rsidRPr="00FB01EF" w:rsidRDefault="000E36D6" w:rsidP="00BA3B25">
      <w:pPr>
        <w:keepNext/>
        <w:keepLines/>
        <w:tabs>
          <w:tab w:val="clear" w:pos="567"/>
        </w:tabs>
        <w:rPr>
          <w:noProof/>
          <w:color w:val="000000"/>
          <w:szCs w:val="22"/>
          <w:lang w:val="it-IT"/>
        </w:rPr>
      </w:pPr>
      <w:r w:rsidRPr="00FB01EF">
        <w:rPr>
          <w:bCs/>
          <w:noProof/>
          <w:szCs w:val="22"/>
          <w:u w:val="single"/>
          <w:lang w:val="it-IT"/>
        </w:rPr>
        <w:t>L’alcool benzilico può causare reazioni allergiche.</w:t>
      </w:r>
    </w:p>
    <w:p w:rsidR="000E36D6" w:rsidRPr="00FB01EF" w:rsidRDefault="000E36D6" w:rsidP="00496272">
      <w:pPr>
        <w:tabs>
          <w:tab w:val="clear" w:pos="567"/>
        </w:tabs>
        <w:rPr>
          <w:noProof/>
          <w:color w:val="000000"/>
          <w:szCs w:val="22"/>
          <w:lang w:val="it-IT"/>
        </w:rPr>
      </w:pPr>
    </w:p>
    <w:p w:rsidR="0003335D" w:rsidRPr="00FB01EF" w:rsidRDefault="00EF2483" w:rsidP="00496272">
      <w:pPr>
        <w:keepNext/>
        <w:keepLines/>
        <w:tabs>
          <w:tab w:val="clear" w:pos="567"/>
        </w:tabs>
        <w:rPr>
          <w:i/>
          <w:noProof/>
          <w:color w:val="000000"/>
          <w:szCs w:val="22"/>
          <w:u w:val="single"/>
          <w:lang w:val="it-IT"/>
        </w:rPr>
      </w:pPr>
      <w:r w:rsidRPr="00FB01EF">
        <w:rPr>
          <w:i/>
          <w:szCs w:val="22"/>
          <w:u w:val="single" w:color="000000"/>
          <w:lang w:val="it-IT"/>
        </w:rPr>
        <w:t>Contenuto in sodio</w:t>
      </w:r>
    </w:p>
    <w:p w:rsidR="0003335D" w:rsidRPr="00FB01EF" w:rsidRDefault="00535B52" w:rsidP="00496272">
      <w:pPr>
        <w:keepNext/>
        <w:keepLines/>
        <w:tabs>
          <w:tab w:val="clear" w:pos="567"/>
        </w:tabs>
        <w:rPr>
          <w:noProof/>
          <w:color w:val="000000"/>
          <w:szCs w:val="22"/>
          <w:lang w:val="it-IT"/>
        </w:rPr>
      </w:pPr>
      <w:r w:rsidRPr="00FB01EF">
        <w:rPr>
          <w:noProof/>
          <w:color w:val="000000"/>
          <w:szCs w:val="22"/>
          <w:lang w:val="it-IT"/>
        </w:rPr>
        <w:t>Ovaleap</w:t>
      </w:r>
      <w:r w:rsidR="003A6CDA" w:rsidRPr="00FB01EF">
        <w:rPr>
          <w:szCs w:val="22"/>
          <w:lang w:val="it-IT"/>
        </w:rPr>
        <w:t xml:space="preserve"> contiene meno di </w:t>
      </w:r>
      <w:r w:rsidR="005B6330" w:rsidRPr="00FB01EF">
        <w:rPr>
          <w:szCs w:val="22"/>
          <w:lang w:val="it-IT"/>
        </w:rPr>
        <w:t>1 </w:t>
      </w:r>
      <w:r w:rsidR="003A6CDA" w:rsidRPr="00FB01EF">
        <w:rPr>
          <w:szCs w:val="22"/>
          <w:lang w:val="it-IT"/>
        </w:rPr>
        <w:t>mmol (</w:t>
      </w:r>
      <w:r w:rsidR="005B6330" w:rsidRPr="00FB01EF">
        <w:rPr>
          <w:szCs w:val="22"/>
          <w:lang w:val="it-IT"/>
        </w:rPr>
        <w:t>23 </w:t>
      </w:r>
      <w:r w:rsidR="003A6CDA" w:rsidRPr="00FB01EF">
        <w:rPr>
          <w:szCs w:val="22"/>
          <w:lang w:val="it-IT"/>
        </w:rPr>
        <w:t>mg)</w:t>
      </w:r>
      <w:r w:rsidR="00BF41F1" w:rsidRPr="00FB01EF">
        <w:rPr>
          <w:szCs w:val="22"/>
          <w:lang w:val="it-IT"/>
        </w:rPr>
        <w:t xml:space="preserve"> di sodio</w:t>
      </w:r>
      <w:r w:rsidR="003A6CDA" w:rsidRPr="00FB01EF">
        <w:rPr>
          <w:szCs w:val="22"/>
          <w:lang w:val="it-IT"/>
        </w:rPr>
        <w:t xml:space="preserve"> per dose</w:t>
      </w:r>
      <w:r w:rsidR="00BF41F1" w:rsidRPr="00FB01EF">
        <w:rPr>
          <w:szCs w:val="22"/>
          <w:lang w:val="it-IT"/>
        </w:rPr>
        <w:t>, cioè</w:t>
      </w:r>
      <w:r w:rsidR="003A6CDA" w:rsidRPr="00FB01EF">
        <w:rPr>
          <w:szCs w:val="22"/>
          <w:lang w:val="it-IT"/>
        </w:rPr>
        <w:t xml:space="preserve"> è </w:t>
      </w:r>
      <w:r w:rsidR="000E36D6" w:rsidRPr="00FB01EF">
        <w:rPr>
          <w:szCs w:val="22"/>
          <w:lang w:val="it-IT"/>
        </w:rPr>
        <w:t>essenzialmente</w:t>
      </w:r>
      <w:r w:rsidR="003A6CDA" w:rsidRPr="00FB01EF">
        <w:rPr>
          <w:szCs w:val="22"/>
          <w:lang w:val="it-IT"/>
        </w:rPr>
        <w:t xml:space="preserve"> “</w:t>
      </w:r>
      <w:r w:rsidR="00BF41F1" w:rsidRPr="00FB01EF">
        <w:rPr>
          <w:szCs w:val="22"/>
          <w:lang w:val="it-IT"/>
        </w:rPr>
        <w:t>senza</w:t>
      </w:r>
      <w:r w:rsidR="003A6CDA" w:rsidRPr="00FB01EF">
        <w:rPr>
          <w:szCs w:val="22"/>
          <w:lang w:val="it-IT"/>
        </w:rPr>
        <w:t xml:space="preserve"> sodio”</w:t>
      </w:r>
      <w:r w:rsidR="0003335D" w:rsidRPr="00FB01EF">
        <w:rPr>
          <w:noProof/>
          <w:color w:val="000000"/>
          <w:szCs w:val="22"/>
          <w:lang w:val="it-IT"/>
        </w:rPr>
        <w:t>.</w:t>
      </w:r>
    </w:p>
    <w:p w:rsidR="0003335D" w:rsidRPr="00FB01EF" w:rsidRDefault="0003335D" w:rsidP="00496272">
      <w:pPr>
        <w:tabs>
          <w:tab w:val="clear" w:pos="567"/>
        </w:tabs>
        <w:rPr>
          <w:noProof/>
          <w:color w:val="000000"/>
          <w:szCs w:val="22"/>
          <w:lang w:val="it-IT"/>
        </w:rPr>
      </w:pPr>
    </w:p>
    <w:p w:rsidR="00812D16" w:rsidRPr="00FB01EF" w:rsidRDefault="005F5946" w:rsidP="00496272">
      <w:pPr>
        <w:keepNext/>
        <w:keepLines/>
        <w:ind w:left="567" w:hanging="567"/>
        <w:outlineLvl w:val="0"/>
        <w:rPr>
          <w:noProof/>
          <w:szCs w:val="22"/>
          <w:lang w:val="it-IT"/>
        </w:rPr>
      </w:pPr>
      <w:r w:rsidRPr="00FB01EF">
        <w:rPr>
          <w:b/>
          <w:bCs/>
          <w:szCs w:val="22"/>
          <w:lang w:val="it-IT"/>
        </w:rPr>
        <w:t>4.5</w:t>
      </w:r>
      <w:r w:rsidRPr="00FB01EF">
        <w:rPr>
          <w:b/>
          <w:bCs/>
          <w:szCs w:val="22"/>
          <w:lang w:val="it-IT"/>
        </w:rPr>
        <w:tab/>
        <w:t>Interazioni con altri medicinali ed altre forme d</w:t>
      </w:r>
      <w:r w:rsidR="00AB4697" w:rsidRPr="00FB01EF">
        <w:rPr>
          <w:b/>
          <w:bCs/>
          <w:szCs w:val="22"/>
          <w:lang w:val="it-IT"/>
        </w:rPr>
        <w:t>’</w:t>
      </w:r>
      <w:r w:rsidRPr="00FB01EF">
        <w:rPr>
          <w:b/>
          <w:bCs/>
          <w:szCs w:val="22"/>
          <w:lang w:val="it-IT"/>
        </w:rPr>
        <w:t>interazione</w:t>
      </w:r>
    </w:p>
    <w:p w:rsidR="00812D16" w:rsidRPr="00FB01EF" w:rsidRDefault="00812D16" w:rsidP="00496272">
      <w:pPr>
        <w:keepNext/>
        <w:keepLines/>
        <w:rPr>
          <w:noProof/>
          <w:szCs w:val="22"/>
          <w:lang w:val="it-IT"/>
        </w:rPr>
      </w:pPr>
    </w:p>
    <w:p w:rsidR="0003335D" w:rsidRPr="00FB01EF" w:rsidRDefault="005F5946" w:rsidP="00496272">
      <w:pPr>
        <w:keepNext/>
        <w:keepLines/>
        <w:tabs>
          <w:tab w:val="clear" w:pos="567"/>
        </w:tabs>
        <w:rPr>
          <w:noProof/>
          <w:color w:val="000000"/>
          <w:szCs w:val="22"/>
          <w:lang w:val="it-IT"/>
        </w:rPr>
      </w:pPr>
      <w:r w:rsidRPr="00FB01EF">
        <w:rPr>
          <w:szCs w:val="22"/>
          <w:lang w:val="it-IT"/>
        </w:rPr>
        <w:t>L</w:t>
      </w:r>
      <w:r w:rsidR="00787058" w:rsidRPr="00FB01EF">
        <w:rPr>
          <w:szCs w:val="22"/>
          <w:lang w:val="it-IT"/>
        </w:rPr>
        <w:t>a co</w:t>
      </w:r>
      <w:r w:rsidR="00787058" w:rsidRPr="00FB01EF">
        <w:rPr>
          <w:szCs w:val="22"/>
          <w:lang w:val="it-IT"/>
        </w:rPr>
        <w:noBreakHyphen/>
        <w:t>somministrazione</w:t>
      </w:r>
      <w:r w:rsidRPr="00FB01EF">
        <w:rPr>
          <w:szCs w:val="22"/>
          <w:lang w:val="it-IT"/>
        </w:rPr>
        <w:t xml:space="preserve"> di </w:t>
      </w:r>
      <w:r w:rsidR="00EF4738" w:rsidRPr="00FB01EF">
        <w:rPr>
          <w:szCs w:val="22"/>
          <w:lang w:val="it-IT"/>
        </w:rPr>
        <w:t>follitropina alfa</w:t>
      </w:r>
      <w:r w:rsidRPr="00FB01EF">
        <w:rPr>
          <w:szCs w:val="22"/>
          <w:lang w:val="it-IT"/>
        </w:rPr>
        <w:t xml:space="preserve"> con altri medicinali stimolanti l’ovulazione (es. hCG, clomifene citrato) può determinare un potenziamento della risposta follicolare, mentre </w:t>
      </w:r>
      <w:r w:rsidR="00F4066C" w:rsidRPr="00FB01EF">
        <w:rPr>
          <w:szCs w:val="22"/>
          <w:lang w:val="it-IT"/>
        </w:rPr>
        <w:t>la co</w:t>
      </w:r>
      <w:r w:rsidR="00F4066C" w:rsidRPr="00FB01EF">
        <w:rPr>
          <w:szCs w:val="22"/>
          <w:lang w:val="it-IT"/>
        </w:rPr>
        <w:noBreakHyphen/>
        <w:t>somministrazione</w:t>
      </w:r>
      <w:r w:rsidRPr="00FB01EF">
        <w:rPr>
          <w:szCs w:val="22"/>
          <w:lang w:val="it-IT"/>
        </w:rPr>
        <w:t xml:space="preserve"> di un medicinale GnRH agonista o antagonista, determinando desensibilizzazione ipofisaria, può richiedere un aumento della dose di </w:t>
      </w:r>
      <w:r w:rsidR="00EF4738" w:rsidRPr="00FB01EF">
        <w:rPr>
          <w:szCs w:val="22"/>
          <w:lang w:val="it-IT"/>
        </w:rPr>
        <w:t xml:space="preserve">follitropina alfa </w:t>
      </w:r>
      <w:r w:rsidRPr="00FB01EF">
        <w:rPr>
          <w:szCs w:val="22"/>
          <w:lang w:val="it-IT"/>
        </w:rPr>
        <w:t xml:space="preserve">necessaria per ottenere una adeguata risposta ovarica. Non sono state segnalate altre interazioni clinicamente significative con altri farmaci durante la terapia con </w:t>
      </w:r>
      <w:r w:rsidR="00EF4738" w:rsidRPr="00FB01EF">
        <w:rPr>
          <w:szCs w:val="22"/>
          <w:lang w:val="it-IT"/>
        </w:rPr>
        <w:t>follitropina alfa</w:t>
      </w:r>
      <w:r w:rsidR="0003335D" w:rsidRPr="00FB01EF">
        <w:rPr>
          <w:noProof/>
          <w:color w:val="000000"/>
          <w:szCs w:val="22"/>
          <w:lang w:val="it-IT"/>
        </w:rPr>
        <w:t>.</w:t>
      </w:r>
    </w:p>
    <w:p w:rsidR="0003335D" w:rsidRPr="00FB01EF" w:rsidRDefault="0003335D" w:rsidP="00496272">
      <w:pPr>
        <w:rPr>
          <w:noProof/>
          <w:szCs w:val="22"/>
          <w:lang w:val="it-IT"/>
        </w:rPr>
      </w:pPr>
    </w:p>
    <w:p w:rsidR="00812D16" w:rsidRPr="00FB01EF" w:rsidRDefault="005F5946" w:rsidP="004A0DFB">
      <w:pPr>
        <w:keepNext/>
        <w:ind w:left="567" w:hanging="567"/>
        <w:outlineLvl w:val="0"/>
        <w:rPr>
          <w:noProof/>
          <w:szCs w:val="22"/>
          <w:lang w:val="it-IT"/>
        </w:rPr>
      </w:pPr>
      <w:r w:rsidRPr="00FB01EF">
        <w:rPr>
          <w:b/>
          <w:bCs/>
          <w:szCs w:val="22"/>
          <w:lang w:val="it-IT"/>
        </w:rPr>
        <w:t>4.6</w:t>
      </w:r>
      <w:r w:rsidRPr="00FB01EF">
        <w:rPr>
          <w:b/>
          <w:bCs/>
          <w:szCs w:val="22"/>
          <w:lang w:val="it-IT"/>
        </w:rPr>
        <w:tab/>
        <w:t>Fertilità, gravidanza e allattamento</w:t>
      </w:r>
    </w:p>
    <w:p w:rsidR="00AD7A57" w:rsidRPr="00FB01EF" w:rsidRDefault="00AD7A57" w:rsidP="004A0DFB">
      <w:pPr>
        <w:keepNext/>
        <w:rPr>
          <w:i/>
          <w:noProof/>
          <w:szCs w:val="22"/>
          <w:lang w:val="it-IT"/>
        </w:rPr>
      </w:pPr>
    </w:p>
    <w:p w:rsidR="00AD7A57" w:rsidRPr="00FB01EF" w:rsidRDefault="005F5946" w:rsidP="004A0DFB">
      <w:pPr>
        <w:keepNext/>
        <w:tabs>
          <w:tab w:val="clear" w:pos="567"/>
        </w:tabs>
        <w:rPr>
          <w:i/>
          <w:color w:val="000000"/>
          <w:szCs w:val="22"/>
          <w:u w:val="single"/>
          <w:lang w:val="it-IT" w:eastAsia="de-DE"/>
        </w:rPr>
      </w:pPr>
      <w:r w:rsidRPr="00FB01EF">
        <w:rPr>
          <w:i/>
          <w:szCs w:val="22"/>
          <w:u w:val="single" w:color="000000"/>
          <w:lang w:val="it-IT"/>
        </w:rPr>
        <w:t>Gravidanza</w:t>
      </w:r>
    </w:p>
    <w:p w:rsidR="00AD7A57" w:rsidRPr="00FB01EF" w:rsidRDefault="00AD7A57" w:rsidP="004A0DFB">
      <w:pPr>
        <w:keepNext/>
        <w:tabs>
          <w:tab w:val="clear" w:pos="567"/>
        </w:tabs>
        <w:rPr>
          <w:noProof/>
          <w:color w:val="000000"/>
          <w:szCs w:val="22"/>
          <w:lang w:val="it-IT"/>
        </w:rPr>
      </w:pPr>
    </w:p>
    <w:p w:rsidR="00AD7A57" w:rsidRPr="00FB01EF" w:rsidRDefault="005F5946" w:rsidP="00496272">
      <w:pPr>
        <w:tabs>
          <w:tab w:val="clear" w:pos="567"/>
        </w:tabs>
        <w:rPr>
          <w:noProof/>
          <w:color w:val="000000"/>
          <w:szCs w:val="22"/>
          <w:lang w:val="it-IT"/>
        </w:rPr>
      </w:pPr>
      <w:r w:rsidRPr="00FB01EF">
        <w:rPr>
          <w:szCs w:val="22"/>
          <w:lang w:val="it-IT"/>
        </w:rPr>
        <w:t xml:space="preserve">Non vi è indicazione all'uso di </w:t>
      </w:r>
      <w:r w:rsidR="00EF4738" w:rsidRPr="00FB01EF">
        <w:rPr>
          <w:szCs w:val="22"/>
          <w:lang w:val="it-IT"/>
        </w:rPr>
        <w:t>Ovaleap</w:t>
      </w:r>
      <w:r w:rsidRPr="00FB01EF">
        <w:rPr>
          <w:szCs w:val="22"/>
          <w:lang w:val="it-IT"/>
        </w:rPr>
        <w:t xml:space="preserve"> durante la gravidanza. I dati relativi a un numero limitato di gravidanze esposte (meno di 300 gravidanze esposte) indicano che follitropina alfa non causa malformazioni o tossicità fetale/neonatale</w:t>
      </w:r>
      <w:r w:rsidR="00AD7A57" w:rsidRPr="00FB01EF">
        <w:rPr>
          <w:noProof/>
          <w:color w:val="000000"/>
          <w:szCs w:val="22"/>
          <w:lang w:val="it-IT"/>
        </w:rPr>
        <w:t>.</w:t>
      </w:r>
    </w:p>
    <w:p w:rsidR="00AD7A57" w:rsidRPr="00FB01EF" w:rsidRDefault="00AD7A57" w:rsidP="00496272">
      <w:pPr>
        <w:tabs>
          <w:tab w:val="clear" w:pos="567"/>
        </w:tabs>
        <w:rPr>
          <w:noProof/>
          <w:color w:val="000000"/>
          <w:szCs w:val="22"/>
          <w:lang w:val="it-IT"/>
        </w:rPr>
      </w:pPr>
    </w:p>
    <w:p w:rsidR="00AD7A57" w:rsidRPr="00FB01EF" w:rsidRDefault="005F5946" w:rsidP="001437AF">
      <w:pPr>
        <w:ind w:right="-20"/>
        <w:rPr>
          <w:szCs w:val="22"/>
          <w:lang w:val="it-IT"/>
        </w:rPr>
      </w:pPr>
      <w:r w:rsidRPr="00FB01EF">
        <w:rPr>
          <w:szCs w:val="22"/>
          <w:lang w:val="it-IT"/>
        </w:rPr>
        <w:t>In studi su animali non è stato osservato alcun effetto teratogeno (vedere paragrafo</w:t>
      </w:r>
      <w:r w:rsidR="005773BE" w:rsidRPr="00FB01EF">
        <w:rPr>
          <w:szCs w:val="22"/>
          <w:lang w:val="it-IT"/>
        </w:rPr>
        <w:t> </w:t>
      </w:r>
      <w:r w:rsidRPr="00FB01EF">
        <w:rPr>
          <w:szCs w:val="22"/>
          <w:lang w:val="it-IT"/>
        </w:rPr>
        <w:t xml:space="preserve">5.3). In caso di esposizione durante la gravidanza, i dati clinici non sono sufficienti per escludere un effetto teratogeno di </w:t>
      </w:r>
      <w:r w:rsidR="00EF4738" w:rsidRPr="00FB01EF">
        <w:rPr>
          <w:szCs w:val="22"/>
          <w:lang w:val="it-IT"/>
        </w:rPr>
        <w:t>follitropina alfa</w:t>
      </w:r>
      <w:r w:rsidRPr="00FB01EF">
        <w:rPr>
          <w:szCs w:val="22"/>
          <w:lang w:val="it-IT"/>
        </w:rPr>
        <w:t>.</w:t>
      </w:r>
    </w:p>
    <w:p w:rsidR="00AD7A57" w:rsidRPr="00FB01EF" w:rsidRDefault="00AD7A57" w:rsidP="00496272">
      <w:pPr>
        <w:tabs>
          <w:tab w:val="clear" w:pos="567"/>
        </w:tabs>
        <w:rPr>
          <w:noProof/>
          <w:color w:val="000000"/>
          <w:szCs w:val="22"/>
          <w:lang w:val="it-IT"/>
        </w:rPr>
      </w:pPr>
    </w:p>
    <w:p w:rsidR="00AD7A57" w:rsidRPr="00FB01EF" w:rsidRDefault="005F5946" w:rsidP="00496272">
      <w:pPr>
        <w:tabs>
          <w:tab w:val="clear" w:pos="567"/>
        </w:tabs>
        <w:rPr>
          <w:i/>
          <w:noProof/>
          <w:color w:val="000000"/>
          <w:szCs w:val="22"/>
          <w:u w:val="single"/>
          <w:lang w:val="it-IT"/>
        </w:rPr>
      </w:pPr>
      <w:r w:rsidRPr="00FB01EF">
        <w:rPr>
          <w:i/>
          <w:szCs w:val="22"/>
          <w:u w:val="single" w:color="000000"/>
          <w:lang w:val="it-IT"/>
        </w:rPr>
        <w:t>Allattamento</w:t>
      </w:r>
    </w:p>
    <w:p w:rsidR="00AD7A57" w:rsidRPr="00FB01EF" w:rsidRDefault="00AD7A57" w:rsidP="00496272">
      <w:pPr>
        <w:tabs>
          <w:tab w:val="clear" w:pos="567"/>
        </w:tabs>
        <w:rPr>
          <w:i/>
          <w:noProof/>
          <w:color w:val="000000"/>
          <w:szCs w:val="22"/>
          <w:u w:val="single"/>
          <w:lang w:val="it-IT"/>
        </w:rPr>
      </w:pPr>
    </w:p>
    <w:p w:rsidR="00AD7A57" w:rsidRPr="00FB01EF" w:rsidRDefault="00EF4738" w:rsidP="00496272">
      <w:pPr>
        <w:tabs>
          <w:tab w:val="clear" w:pos="567"/>
        </w:tabs>
        <w:rPr>
          <w:noProof/>
          <w:color w:val="000000"/>
          <w:szCs w:val="22"/>
          <w:lang w:val="it-IT"/>
        </w:rPr>
      </w:pPr>
      <w:r w:rsidRPr="00FB01EF">
        <w:rPr>
          <w:szCs w:val="22"/>
          <w:lang w:val="it-IT"/>
        </w:rPr>
        <w:t>Ovaleap</w:t>
      </w:r>
      <w:r w:rsidR="005F5946" w:rsidRPr="00FB01EF">
        <w:rPr>
          <w:szCs w:val="22"/>
          <w:lang w:val="it-IT"/>
        </w:rPr>
        <w:t xml:space="preserve"> non è indicato </w:t>
      </w:r>
      <w:r w:rsidR="00895190" w:rsidRPr="00FB01EF">
        <w:rPr>
          <w:szCs w:val="22"/>
          <w:lang w:val="it-IT"/>
        </w:rPr>
        <w:t>durante l’</w:t>
      </w:r>
      <w:r w:rsidR="005F5946" w:rsidRPr="00FB01EF">
        <w:rPr>
          <w:szCs w:val="22"/>
          <w:lang w:val="it-IT"/>
        </w:rPr>
        <w:t>allattamento</w:t>
      </w:r>
      <w:r w:rsidR="00AD7A57" w:rsidRPr="00FB01EF">
        <w:rPr>
          <w:noProof/>
          <w:color w:val="000000"/>
          <w:szCs w:val="22"/>
          <w:lang w:val="it-IT"/>
        </w:rPr>
        <w:t>.</w:t>
      </w:r>
    </w:p>
    <w:p w:rsidR="00AD7A57" w:rsidRPr="00FB01EF" w:rsidRDefault="00AD7A57" w:rsidP="00496272">
      <w:pPr>
        <w:tabs>
          <w:tab w:val="clear" w:pos="567"/>
        </w:tabs>
        <w:rPr>
          <w:noProof/>
          <w:color w:val="000000"/>
          <w:szCs w:val="22"/>
          <w:lang w:val="it-IT"/>
        </w:rPr>
      </w:pPr>
    </w:p>
    <w:p w:rsidR="00AD7A57" w:rsidRPr="00FB01EF" w:rsidRDefault="005F5946" w:rsidP="00CA2F0A">
      <w:pPr>
        <w:keepNext/>
        <w:tabs>
          <w:tab w:val="clear" w:pos="567"/>
        </w:tabs>
        <w:rPr>
          <w:i/>
          <w:noProof/>
          <w:color w:val="000000"/>
          <w:szCs w:val="22"/>
          <w:u w:val="single"/>
          <w:lang w:val="it-IT"/>
        </w:rPr>
      </w:pPr>
      <w:r w:rsidRPr="00FB01EF">
        <w:rPr>
          <w:i/>
          <w:szCs w:val="22"/>
          <w:u w:val="single" w:color="000000"/>
          <w:lang w:val="it-IT"/>
        </w:rPr>
        <w:lastRenderedPageBreak/>
        <w:t>Fertilità</w:t>
      </w:r>
    </w:p>
    <w:p w:rsidR="00AD7A57" w:rsidRPr="00FB01EF" w:rsidRDefault="00AD7A57" w:rsidP="00496272">
      <w:pPr>
        <w:tabs>
          <w:tab w:val="clear" w:pos="567"/>
        </w:tabs>
        <w:rPr>
          <w:noProof/>
          <w:color w:val="000000"/>
          <w:szCs w:val="22"/>
          <w:u w:val="single"/>
          <w:lang w:val="it-IT"/>
        </w:rPr>
      </w:pPr>
    </w:p>
    <w:p w:rsidR="00AD7A57" w:rsidRPr="00FB01EF" w:rsidRDefault="00EF4738" w:rsidP="00496272">
      <w:pPr>
        <w:tabs>
          <w:tab w:val="clear" w:pos="567"/>
        </w:tabs>
        <w:rPr>
          <w:noProof/>
          <w:color w:val="000000"/>
          <w:szCs w:val="22"/>
          <w:lang w:val="it-IT"/>
        </w:rPr>
      </w:pPr>
      <w:r w:rsidRPr="00FB01EF">
        <w:rPr>
          <w:szCs w:val="22"/>
          <w:lang w:val="it-IT"/>
        </w:rPr>
        <w:t>Ovaleap</w:t>
      </w:r>
      <w:r w:rsidR="005F5946" w:rsidRPr="00FB01EF">
        <w:rPr>
          <w:szCs w:val="22"/>
          <w:lang w:val="it-IT"/>
        </w:rPr>
        <w:t xml:space="preserve"> è indicato per </w:t>
      </w:r>
      <w:r w:rsidR="00F4066C" w:rsidRPr="00FB01EF">
        <w:rPr>
          <w:szCs w:val="22"/>
          <w:lang w:val="it-IT"/>
        </w:rPr>
        <w:t>il trattamento d</w:t>
      </w:r>
      <w:r w:rsidR="005F5946" w:rsidRPr="00FB01EF">
        <w:rPr>
          <w:szCs w:val="22"/>
          <w:lang w:val="it-IT"/>
        </w:rPr>
        <w:t>ell’infertilità (vedere paragrafo</w:t>
      </w:r>
      <w:r w:rsidR="00C92EC3" w:rsidRPr="00FB01EF">
        <w:rPr>
          <w:szCs w:val="22"/>
          <w:lang w:val="it-IT"/>
        </w:rPr>
        <w:t> </w:t>
      </w:r>
      <w:r w:rsidR="005F5946" w:rsidRPr="00FB01EF">
        <w:rPr>
          <w:szCs w:val="22"/>
          <w:lang w:val="it-IT"/>
        </w:rPr>
        <w:t>4.1).</w:t>
      </w:r>
    </w:p>
    <w:p w:rsidR="00AD7A57" w:rsidRPr="00FB01EF" w:rsidRDefault="00AD7A57" w:rsidP="00496272">
      <w:pPr>
        <w:rPr>
          <w:i/>
          <w:noProof/>
          <w:szCs w:val="22"/>
          <w:lang w:val="it-IT"/>
        </w:rPr>
      </w:pPr>
    </w:p>
    <w:p w:rsidR="00812D16" w:rsidRPr="00FB01EF" w:rsidRDefault="005F5946" w:rsidP="00496272">
      <w:pPr>
        <w:ind w:left="567" w:hanging="567"/>
        <w:outlineLvl w:val="0"/>
        <w:rPr>
          <w:noProof/>
          <w:szCs w:val="22"/>
          <w:lang w:val="it-IT"/>
        </w:rPr>
      </w:pPr>
      <w:r w:rsidRPr="00FB01EF">
        <w:rPr>
          <w:b/>
          <w:bCs/>
          <w:szCs w:val="22"/>
          <w:lang w:val="it-IT"/>
        </w:rPr>
        <w:t>4.7</w:t>
      </w:r>
      <w:r w:rsidRPr="00FB01EF">
        <w:rPr>
          <w:b/>
          <w:bCs/>
          <w:szCs w:val="22"/>
          <w:lang w:val="it-IT"/>
        </w:rPr>
        <w:tab/>
        <w:t>Effetti sulla capacità di guidare veicoli e sull’uso di macchinari</w:t>
      </w:r>
    </w:p>
    <w:p w:rsidR="00F25477" w:rsidRPr="00FB01EF" w:rsidRDefault="00F25477" w:rsidP="00496272">
      <w:pPr>
        <w:rPr>
          <w:noProof/>
          <w:szCs w:val="22"/>
          <w:lang w:val="it-IT"/>
        </w:rPr>
      </w:pPr>
    </w:p>
    <w:p w:rsidR="00AD7A57" w:rsidRPr="00FB01EF" w:rsidRDefault="00EF4738" w:rsidP="00496272">
      <w:pPr>
        <w:rPr>
          <w:noProof/>
          <w:szCs w:val="22"/>
          <w:lang w:val="it-IT"/>
        </w:rPr>
      </w:pPr>
      <w:r w:rsidRPr="00FB01EF">
        <w:rPr>
          <w:szCs w:val="22"/>
          <w:lang w:val="it-IT"/>
        </w:rPr>
        <w:t>Ovaleap</w:t>
      </w:r>
      <w:r w:rsidR="005F5946" w:rsidRPr="00FB01EF">
        <w:rPr>
          <w:szCs w:val="22"/>
          <w:lang w:val="it-IT"/>
        </w:rPr>
        <w:t xml:space="preserve"> non </w:t>
      </w:r>
      <w:r w:rsidRPr="00FB01EF">
        <w:rPr>
          <w:szCs w:val="22"/>
          <w:lang w:val="it-IT"/>
        </w:rPr>
        <w:t xml:space="preserve">altera </w:t>
      </w:r>
      <w:r w:rsidR="005F5946" w:rsidRPr="00FB01EF">
        <w:rPr>
          <w:szCs w:val="22"/>
          <w:lang w:val="it-IT"/>
        </w:rPr>
        <w:t xml:space="preserve">o </w:t>
      </w:r>
      <w:r w:rsidRPr="00FB01EF">
        <w:rPr>
          <w:szCs w:val="22"/>
          <w:lang w:val="it-IT"/>
        </w:rPr>
        <w:t xml:space="preserve">altera </w:t>
      </w:r>
      <w:r w:rsidR="005F5946" w:rsidRPr="00FB01EF">
        <w:rPr>
          <w:szCs w:val="22"/>
          <w:lang w:val="it-IT"/>
        </w:rPr>
        <w:t xml:space="preserve">in modo trascurabile la capacità di guidare veicoli </w:t>
      </w:r>
      <w:r w:rsidR="00F4066C" w:rsidRPr="00FB01EF">
        <w:rPr>
          <w:szCs w:val="22"/>
          <w:lang w:val="it-IT"/>
        </w:rPr>
        <w:t>e</w:t>
      </w:r>
      <w:r w:rsidR="005F5946" w:rsidRPr="00FB01EF">
        <w:rPr>
          <w:szCs w:val="22"/>
          <w:lang w:val="it-IT"/>
        </w:rPr>
        <w:t xml:space="preserve"> di usare macchinari</w:t>
      </w:r>
      <w:r w:rsidR="00AD7A57" w:rsidRPr="00FB01EF">
        <w:rPr>
          <w:noProof/>
          <w:szCs w:val="22"/>
          <w:lang w:val="it-IT"/>
        </w:rPr>
        <w:t>.</w:t>
      </w:r>
    </w:p>
    <w:p w:rsidR="00AD7A57" w:rsidRPr="00FB01EF" w:rsidRDefault="00AD7A57" w:rsidP="00496272">
      <w:pPr>
        <w:rPr>
          <w:noProof/>
          <w:szCs w:val="22"/>
          <w:lang w:val="it-IT"/>
        </w:rPr>
      </w:pPr>
    </w:p>
    <w:p w:rsidR="00812D16" w:rsidRPr="00FB01EF" w:rsidRDefault="005F5946" w:rsidP="00496272">
      <w:pPr>
        <w:outlineLvl w:val="0"/>
        <w:rPr>
          <w:b/>
          <w:noProof/>
          <w:szCs w:val="22"/>
          <w:lang w:val="it-IT"/>
        </w:rPr>
      </w:pPr>
      <w:r w:rsidRPr="00FB01EF">
        <w:rPr>
          <w:b/>
          <w:bCs/>
          <w:szCs w:val="22"/>
          <w:lang w:val="it-IT"/>
        </w:rPr>
        <w:t>4.8</w:t>
      </w:r>
      <w:r w:rsidRPr="00FB01EF">
        <w:rPr>
          <w:b/>
          <w:bCs/>
          <w:szCs w:val="22"/>
          <w:lang w:val="it-IT"/>
        </w:rPr>
        <w:tab/>
        <w:t>Effetti indesiderati</w:t>
      </w:r>
    </w:p>
    <w:p w:rsidR="00812D16" w:rsidRPr="00FB01EF" w:rsidRDefault="00812D16" w:rsidP="00496272">
      <w:pPr>
        <w:autoSpaceDE w:val="0"/>
        <w:autoSpaceDN w:val="0"/>
        <w:adjustRightInd w:val="0"/>
        <w:jc w:val="both"/>
        <w:rPr>
          <w:noProof/>
          <w:szCs w:val="22"/>
          <w:lang w:val="it-IT"/>
        </w:rPr>
      </w:pPr>
    </w:p>
    <w:p w:rsidR="00EF4738" w:rsidRPr="00FB01EF" w:rsidRDefault="00EF4738" w:rsidP="00496272">
      <w:pPr>
        <w:autoSpaceDE w:val="0"/>
        <w:autoSpaceDN w:val="0"/>
        <w:adjustRightInd w:val="0"/>
        <w:jc w:val="both"/>
        <w:rPr>
          <w:i/>
          <w:noProof/>
          <w:szCs w:val="22"/>
          <w:u w:val="single"/>
          <w:lang w:val="it-IT"/>
        </w:rPr>
      </w:pPr>
      <w:r w:rsidRPr="00FB01EF">
        <w:rPr>
          <w:i/>
          <w:noProof/>
          <w:szCs w:val="22"/>
          <w:u w:val="single"/>
          <w:lang w:val="it-IT"/>
        </w:rPr>
        <w:t>Sintesi del profilo di sicurezza</w:t>
      </w:r>
    </w:p>
    <w:p w:rsidR="00EF4738" w:rsidRPr="00FB01EF" w:rsidRDefault="00EF4738" w:rsidP="00496272">
      <w:pPr>
        <w:tabs>
          <w:tab w:val="clear" w:pos="567"/>
        </w:tabs>
        <w:rPr>
          <w:szCs w:val="22"/>
          <w:lang w:val="it-IT"/>
        </w:rPr>
      </w:pPr>
    </w:p>
    <w:p w:rsidR="00AD7A57" w:rsidRPr="00FB01EF" w:rsidRDefault="005F5946" w:rsidP="00496272">
      <w:pPr>
        <w:tabs>
          <w:tab w:val="clear" w:pos="567"/>
        </w:tabs>
        <w:rPr>
          <w:noProof/>
          <w:color w:val="000000"/>
          <w:szCs w:val="22"/>
          <w:lang w:val="it-IT"/>
        </w:rPr>
      </w:pPr>
      <w:r w:rsidRPr="00FB01EF">
        <w:rPr>
          <w:szCs w:val="22"/>
          <w:lang w:val="it-IT"/>
        </w:rPr>
        <w:t>Le reazioni avverse segnalate più comunemente sono cefalea, cisti ovariche e reazioni locali della sede di iniezione (ad es. dolore, eritema, ematoma, gonfiore e/o irritazione della sede di iniezione).</w:t>
      </w:r>
    </w:p>
    <w:p w:rsidR="00AD7A57" w:rsidRPr="00FB01EF" w:rsidRDefault="00AD7A57" w:rsidP="00496272">
      <w:pPr>
        <w:tabs>
          <w:tab w:val="clear" w:pos="567"/>
        </w:tabs>
        <w:rPr>
          <w:noProof/>
          <w:color w:val="000000"/>
          <w:szCs w:val="22"/>
          <w:lang w:val="it-IT"/>
        </w:rPr>
      </w:pPr>
    </w:p>
    <w:p w:rsidR="00AD7A57" w:rsidRPr="00FB01EF" w:rsidRDefault="00EF4738" w:rsidP="00496272">
      <w:pPr>
        <w:tabs>
          <w:tab w:val="clear" w:pos="567"/>
        </w:tabs>
        <w:rPr>
          <w:noProof/>
          <w:color w:val="000000"/>
          <w:szCs w:val="22"/>
          <w:lang w:val="it-IT"/>
        </w:rPr>
      </w:pPr>
      <w:r w:rsidRPr="00FB01EF">
        <w:rPr>
          <w:szCs w:val="22"/>
          <w:lang w:val="it-IT"/>
        </w:rPr>
        <w:t xml:space="preserve">Una </w:t>
      </w:r>
      <w:r w:rsidR="005F5946" w:rsidRPr="00FB01EF">
        <w:rPr>
          <w:szCs w:val="22"/>
          <w:lang w:val="it-IT"/>
        </w:rPr>
        <w:t>OHSS lieve o moderata è stata osservata comunemente e deve essere considerata un rischio intrinseco della procedura di stimolazione. Una OHSS grave non è comune (vedere paragrafo 4.4).</w:t>
      </w:r>
    </w:p>
    <w:p w:rsidR="00AD7A57" w:rsidRPr="00FB01EF" w:rsidRDefault="00AD7A57" w:rsidP="00496272">
      <w:pPr>
        <w:tabs>
          <w:tab w:val="clear" w:pos="567"/>
        </w:tabs>
        <w:rPr>
          <w:noProof/>
          <w:color w:val="000000"/>
          <w:szCs w:val="22"/>
          <w:lang w:val="it-IT"/>
        </w:rPr>
      </w:pPr>
    </w:p>
    <w:p w:rsidR="00AD7A57" w:rsidRPr="00FB01EF" w:rsidRDefault="005F5946" w:rsidP="00496272">
      <w:pPr>
        <w:tabs>
          <w:tab w:val="clear" w:pos="567"/>
        </w:tabs>
        <w:rPr>
          <w:noProof/>
          <w:color w:val="000000"/>
          <w:szCs w:val="22"/>
          <w:lang w:val="it-IT"/>
        </w:rPr>
      </w:pPr>
      <w:r w:rsidRPr="00FB01EF">
        <w:rPr>
          <w:szCs w:val="22"/>
          <w:lang w:val="it-IT"/>
        </w:rPr>
        <w:t>Molto raramente può verificarsi tromboembolia (vedere paragrafo 4.4</w:t>
      </w:r>
      <w:r w:rsidR="00AD7A57" w:rsidRPr="00FB01EF">
        <w:rPr>
          <w:noProof/>
          <w:color w:val="000000"/>
          <w:szCs w:val="22"/>
          <w:lang w:val="it-IT"/>
        </w:rPr>
        <w:t>).</w:t>
      </w:r>
    </w:p>
    <w:p w:rsidR="001437AF" w:rsidRPr="00FB01EF" w:rsidRDefault="001437AF" w:rsidP="00496272">
      <w:pPr>
        <w:tabs>
          <w:tab w:val="clear" w:pos="567"/>
        </w:tabs>
        <w:rPr>
          <w:noProof/>
          <w:color w:val="000000"/>
          <w:szCs w:val="22"/>
          <w:lang w:val="it-IT"/>
        </w:rPr>
      </w:pPr>
    </w:p>
    <w:p w:rsidR="00EF4738" w:rsidRPr="00FB01EF" w:rsidRDefault="00EF4738" w:rsidP="00496272">
      <w:pPr>
        <w:tabs>
          <w:tab w:val="clear" w:pos="567"/>
        </w:tabs>
        <w:rPr>
          <w:i/>
          <w:noProof/>
          <w:color w:val="000000"/>
          <w:szCs w:val="22"/>
          <w:u w:val="single"/>
          <w:lang w:val="it-IT"/>
        </w:rPr>
      </w:pPr>
      <w:r w:rsidRPr="00FB01EF">
        <w:rPr>
          <w:i/>
          <w:noProof/>
          <w:color w:val="000000"/>
          <w:szCs w:val="22"/>
          <w:u w:val="single"/>
          <w:lang w:val="it-IT"/>
        </w:rPr>
        <w:t>Tabella riassuntiva delle reazioni avverse</w:t>
      </w:r>
    </w:p>
    <w:p w:rsidR="00054F41" w:rsidRPr="00FB01EF" w:rsidRDefault="00054F41" w:rsidP="00496272">
      <w:pPr>
        <w:tabs>
          <w:tab w:val="clear" w:pos="567"/>
        </w:tabs>
        <w:rPr>
          <w:noProof/>
          <w:color w:val="000000"/>
          <w:szCs w:val="22"/>
          <w:lang w:val="it-IT"/>
        </w:rPr>
      </w:pPr>
      <w:r w:rsidRPr="00FB01EF">
        <w:rPr>
          <w:noProof/>
          <w:color w:val="000000"/>
          <w:szCs w:val="22"/>
          <w:lang w:val="it-IT"/>
        </w:rPr>
        <w:t>Le reazioni avverse sono elencate in base alla frequenza, secondo le seguenti convenzioni: molto comune (≥1/10), comune (≥1/100, &lt;1/10), non comune (≥1/1.000, &lt;1/100), raro (≥1/10.000, &lt;1/1.000), molto raro (&lt;1/10.000) e non nota (la frequenza non può essere definita sulla base dei dati disponibili). All’interno di ciascuna classe di frequenza, le reazioni avverse sono riportate in ordine decrescente di gravità.</w:t>
      </w:r>
    </w:p>
    <w:p w:rsidR="008F1419" w:rsidRPr="00FB01EF" w:rsidRDefault="008F1419" w:rsidP="00BA3B25">
      <w:pPr>
        <w:tabs>
          <w:tab w:val="clear" w:pos="567"/>
        </w:tabs>
        <w:ind w:left="1843" w:hanging="1843"/>
        <w:rPr>
          <w:i/>
          <w:szCs w:val="22"/>
          <w:lang w:val="it-IT"/>
        </w:rPr>
      </w:pPr>
    </w:p>
    <w:p w:rsidR="00AD7A57" w:rsidRPr="00FB01EF" w:rsidRDefault="005F5946" w:rsidP="00496272">
      <w:pPr>
        <w:keepNext/>
        <w:keepLines/>
        <w:tabs>
          <w:tab w:val="clear" w:pos="567"/>
        </w:tabs>
        <w:rPr>
          <w:i/>
          <w:noProof/>
          <w:color w:val="000000"/>
          <w:szCs w:val="22"/>
          <w:lang w:val="it-IT"/>
        </w:rPr>
      </w:pPr>
      <w:r w:rsidRPr="00FB01EF">
        <w:rPr>
          <w:i/>
          <w:szCs w:val="22"/>
          <w:lang w:val="it-IT"/>
        </w:rPr>
        <w:lastRenderedPageBreak/>
        <w:t>Trattamento nell</w:t>
      </w:r>
      <w:r w:rsidR="00F4066C" w:rsidRPr="00FB01EF">
        <w:rPr>
          <w:i/>
          <w:szCs w:val="22"/>
          <w:lang w:val="it-IT"/>
        </w:rPr>
        <w:t>e</w:t>
      </w:r>
      <w:r w:rsidRPr="00FB01EF">
        <w:rPr>
          <w:i/>
          <w:szCs w:val="22"/>
          <w:lang w:val="it-IT"/>
        </w:rPr>
        <w:t xml:space="preserve"> donn</w:t>
      </w:r>
      <w:r w:rsidR="00F4066C" w:rsidRPr="00FB01EF">
        <w:rPr>
          <w:i/>
          <w:szCs w:val="22"/>
          <w:lang w:val="it-IT"/>
        </w:rPr>
        <w:t>e</w:t>
      </w:r>
    </w:p>
    <w:p w:rsidR="00AD7A57" w:rsidRPr="00FB01EF" w:rsidRDefault="00AD7A57" w:rsidP="00496272">
      <w:pPr>
        <w:keepNext/>
        <w:keepLines/>
        <w:tabs>
          <w:tab w:val="clear" w:pos="567"/>
        </w:tabs>
        <w:rPr>
          <w:i/>
          <w:iCs/>
          <w:noProof/>
          <w:color w:val="000000"/>
          <w:szCs w:val="22"/>
          <w:lang w:val="it-IT"/>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0"/>
        <w:gridCol w:w="3014"/>
        <w:gridCol w:w="3027"/>
      </w:tblGrid>
      <w:tr w:rsidR="00EF2483" w:rsidRPr="00FB01EF">
        <w:tc>
          <w:tcPr>
            <w:tcW w:w="9212" w:type="dxa"/>
            <w:gridSpan w:val="3"/>
            <w:tcBorders>
              <w:top w:val="nil"/>
              <w:left w:val="nil"/>
              <w:bottom w:val="single" w:sz="4" w:space="0" w:color="auto"/>
              <w:right w:val="nil"/>
            </w:tcBorders>
            <w:shd w:val="clear" w:color="auto" w:fill="auto"/>
          </w:tcPr>
          <w:p w:rsidR="00EF2483" w:rsidRPr="00FB01EF" w:rsidRDefault="00EF2483" w:rsidP="00EF2483">
            <w:pPr>
              <w:keepNext/>
              <w:keepLines/>
              <w:rPr>
                <w:b/>
                <w:lang w:val="it-IT"/>
              </w:rPr>
            </w:pPr>
            <w:r w:rsidRPr="00FB01EF">
              <w:rPr>
                <w:b/>
                <w:lang w:val="it-IT"/>
              </w:rPr>
              <w:t>Tabella 1: Reazioni avverse nella donna</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b/>
                <w:lang w:val="it-IT"/>
              </w:rPr>
            </w:pPr>
            <w:r w:rsidRPr="00FB01EF">
              <w:rPr>
                <w:b/>
                <w:lang w:val="it-IT"/>
              </w:rPr>
              <w:t>Classificazione per sistemi e organi</w:t>
            </w:r>
          </w:p>
        </w:tc>
        <w:tc>
          <w:tcPr>
            <w:tcW w:w="3071" w:type="dxa"/>
            <w:tcBorders>
              <w:top w:val="single" w:sz="4" w:space="0" w:color="auto"/>
            </w:tcBorders>
            <w:shd w:val="clear" w:color="auto" w:fill="auto"/>
          </w:tcPr>
          <w:p w:rsidR="00EF2483" w:rsidRPr="00FB01EF" w:rsidRDefault="00EF2483" w:rsidP="00EF2483">
            <w:pPr>
              <w:keepNext/>
              <w:keepLines/>
              <w:rPr>
                <w:b/>
                <w:lang w:val="it-IT"/>
              </w:rPr>
            </w:pPr>
            <w:r w:rsidRPr="00FB01EF">
              <w:rPr>
                <w:b/>
                <w:lang w:val="it-IT"/>
              </w:rPr>
              <w:t>Frequenza</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b/>
                <w:lang w:val="it-IT"/>
              </w:rPr>
            </w:pPr>
            <w:r w:rsidRPr="00FB01EF">
              <w:rPr>
                <w:b/>
                <w:lang w:val="it-IT"/>
              </w:rPr>
              <w:t>Reazione avversa</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lang w:val="it-IT"/>
              </w:rPr>
            </w:pPr>
            <w:r w:rsidRPr="00FB01EF">
              <w:rPr>
                <w:i/>
                <w:szCs w:val="22"/>
                <w:lang w:val="it-IT"/>
              </w:rPr>
              <w:t>Disturbi del sistema immunitario</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raro</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Reazioni di ipersensibilità da lievi a gravi, comprendenti reazioni anafilattiche e shock</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szCs w:val="22"/>
                <w:lang w:val="it-IT"/>
              </w:rPr>
            </w:pPr>
            <w:r w:rsidRPr="00FB01EF">
              <w:rPr>
                <w:i/>
                <w:szCs w:val="22"/>
                <w:lang w:val="it-IT"/>
              </w:rPr>
              <w:t>Patologie del sistema nervoso</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tabs>
                <w:tab w:val="center" w:pos="1427"/>
              </w:tabs>
              <w:rPr>
                <w:lang w:val="it-IT"/>
              </w:rPr>
            </w:pPr>
            <w:r w:rsidRPr="00FB01EF">
              <w:rPr>
                <w:noProof/>
                <w:color w:val="000000"/>
                <w:szCs w:val="22"/>
                <w:lang w:val="it-IT"/>
              </w:rPr>
              <w:t>Cefalea</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szCs w:val="22"/>
                <w:lang w:val="it-IT"/>
              </w:rPr>
            </w:pPr>
            <w:r w:rsidRPr="00FB01EF">
              <w:rPr>
                <w:i/>
                <w:iCs/>
                <w:noProof/>
                <w:color w:val="000000"/>
                <w:szCs w:val="22"/>
                <w:lang w:val="it-IT"/>
              </w:rPr>
              <w:t>Patologie vascolari</w:t>
            </w:r>
          </w:p>
        </w:tc>
        <w:tc>
          <w:tcPr>
            <w:tcW w:w="3071" w:type="dxa"/>
            <w:tcBorders>
              <w:top w:val="single" w:sz="4" w:space="0" w:color="auto"/>
            </w:tcBorders>
            <w:shd w:val="clear" w:color="auto" w:fill="auto"/>
          </w:tcPr>
          <w:p w:rsidR="00EF2483" w:rsidRPr="00FB01EF" w:rsidRDefault="00EF2483" w:rsidP="00EF2483">
            <w:pPr>
              <w:keepNext/>
              <w:keepLines/>
              <w:rPr>
                <w:szCs w:val="22"/>
                <w:lang w:val="it-IT"/>
              </w:rPr>
            </w:pPr>
            <w:r w:rsidRPr="00FB01EF">
              <w:rPr>
                <w:noProof/>
                <w:color w:val="000000"/>
                <w:szCs w:val="22"/>
                <w:lang w:val="it-IT"/>
              </w:rPr>
              <w:t>Molto raro</w:t>
            </w:r>
          </w:p>
        </w:tc>
        <w:tc>
          <w:tcPr>
            <w:tcW w:w="3071" w:type="dxa"/>
            <w:tcBorders>
              <w:top w:val="single" w:sz="4" w:space="0" w:color="auto"/>
              <w:right w:val="single" w:sz="4" w:space="0" w:color="auto"/>
            </w:tcBorders>
            <w:shd w:val="clear" w:color="auto" w:fill="auto"/>
          </w:tcPr>
          <w:p w:rsidR="00EF2483" w:rsidRPr="00FB01EF" w:rsidRDefault="00EF2483" w:rsidP="008E6C7B">
            <w:pPr>
              <w:keepNext/>
              <w:keepLines/>
              <w:tabs>
                <w:tab w:val="center" w:pos="1427"/>
              </w:tabs>
              <w:rPr>
                <w:szCs w:val="22"/>
                <w:lang w:val="it-IT"/>
              </w:rPr>
            </w:pPr>
            <w:r w:rsidRPr="00FB01EF">
              <w:rPr>
                <w:noProof/>
                <w:color w:val="000000"/>
                <w:szCs w:val="22"/>
                <w:lang w:val="it-IT"/>
              </w:rPr>
              <w:t xml:space="preserve">Tromboembolia </w:t>
            </w:r>
            <w:r w:rsidR="008E6C7B" w:rsidRPr="00FB01EF">
              <w:rPr>
                <w:noProof/>
                <w:color w:val="000000"/>
                <w:szCs w:val="22"/>
                <w:lang w:val="it-IT"/>
              </w:rPr>
              <w:t>(sia in associazione, sia indipendente dalla OHSS)</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szCs w:val="22"/>
                <w:lang w:val="it-IT"/>
              </w:rPr>
            </w:pPr>
            <w:r w:rsidRPr="00FB01EF">
              <w:rPr>
                <w:i/>
                <w:iCs/>
                <w:noProof/>
                <w:color w:val="000000"/>
                <w:szCs w:val="22"/>
                <w:lang w:val="it-IT"/>
              </w:rPr>
              <w:t>Patologie respiratorie, toraciche e mediastiniche</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raro</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Esacerbazione o peggioramento dell’asma</w:t>
            </w:r>
          </w:p>
        </w:tc>
      </w:tr>
      <w:tr w:rsidR="00EF2483" w:rsidRPr="00E628EA">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szCs w:val="22"/>
                <w:lang w:val="it-IT"/>
              </w:rPr>
            </w:pPr>
            <w:r w:rsidRPr="00FB01EF">
              <w:rPr>
                <w:i/>
                <w:iCs/>
                <w:noProof/>
                <w:color w:val="000000"/>
                <w:szCs w:val="22"/>
                <w:lang w:val="it-IT"/>
              </w:rPr>
              <w:t>Patologie gastrointestinali</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Dolore addominale, distensione addominale, fastidio addominale, nausea, vomito, diarrea</w:t>
            </w:r>
          </w:p>
        </w:tc>
      </w:tr>
      <w:tr w:rsidR="00EF2483" w:rsidRPr="00FB01EF">
        <w:tc>
          <w:tcPr>
            <w:tcW w:w="3070" w:type="dxa"/>
            <w:vMerge w:val="restart"/>
            <w:tcBorders>
              <w:top w:val="single" w:sz="4" w:space="0" w:color="auto"/>
              <w:left w:val="single" w:sz="4" w:space="0" w:color="auto"/>
            </w:tcBorders>
            <w:shd w:val="clear" w:color="auto" w:fill="auto"/>
          </w:tcPr>
          <w:p w:rsidR="00EF2483" w:rsidRPr="00FB01EF" w:rsidRDefault="00EF2483" w:rsidP="00EF2483">
            <w:pPr>
              <w:keepNext/>
              <w:keepLines/>
              <w:rPr>
                <w:i/>
                <w:iCs/>
                <w:noProof/>
                <w:color w:val="000000"/>
                <w:szCs w:val="22"/>
                <w:lang w:val="it-IT"/>
              </w:rPr>
            </w:pPr>
            <w:r w:rsidRPr="00FB01EF">
              <w:rPr>
                <w:i/>
                <w:iCs/>
                <w:noProof/>
                <w:color w:val="000000"/>
                <w:szCs w:val="22"/>
                <w:lang w:val="it-IT"/>
              </w:rPr>
              <w:t>Patologie dell’apparato riproduttivo e della mammella</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Cisti ovariche</w:t>
            </w:r>
          </w:p>
        </w:tc>
      </w:tr>
      <w:tr w:rsidR="00EF2483" w:rsidRPr="00E628EA">
        <w:tc>
          <w:tcPr>
            <w:tcW w:w="3070" w:type="dxa"/>
            <w:vMerge/>
            <w:tcBorders>
              <w:left w:val="single" w:sz="4" w:space="0" w:color="auto"/>
            </w:tcBorders>
            <w:shd w:val="clear" w:color="auto" w:fill="auto"/>
          </w:tcPr>
          <w:p w:rsidR="00EF2483" w:rsidRPr="00FB01EF" w:rsidRDefault="00EF2483" w:rsidP="00EF2483">
            <w:pPr>
              <w:keepNext/>
              <w:keepLines/>
              <w:rPr>
                <w:i/>
                <w:iCs/>
                <w:noProof/>
                <w:color w:val="000000"/>
                <w:szCs w:val="22"/>
                <w:u w:val="single"/>
                <w:lang w:val="it-IT"/>
              </w:rPr>
            </w:pP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lang w:val="it-IT"/>
              </w:rPr>
              <w:t>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OHSS lieve o moderata (con la sintomatologia associata)</w:t>
            </w:r>
          </w:p>
        </w:tc>
      </w:tr>
      <w:tr w:rsidR="00EF2483" w:rsidRPr="00E628EA">
        <w:tc>
          <w:tcPr>
            <w:tcW w:w="3070" w:type="dxa"/>
            <w:vMerge/>
            <w:tcBorders>
              <w:left w:val="single" w:sz="4" w:space="0" w:color="auto"/>
            </w:tcBorders>
            <w:shd w:val="clear" w:color="auto" w:fill="auto"/>
          </w:tcPr>
          <w:p w:rsidR="00EF2483" w:rsidRPr="00FB01EF" w:rsidRDefault="00EF2483" w:rsidP="00EF2483">
            <w:pPr>
              <w:keepNext/>
              <w:keepLines/>
              <w:rPr>
                <w:i/>
                <w:iCs/>
                <w:noProof/>
                <w:color w:val="000000"/>
                <w:szCs w:val="22"/>
                <w:u w:val="single"/>
                <w:lang w:val="it-IT"/>
              </w:rPr>
            </w:pP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lang w:val="it-IT"/>
              </w:rPr>
              <w:t>Non 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 xml:space="preserve">OHSS grave (con la sintomatologia associata) </w:t>
            </w:r>
            <w:r w:rsidRPr="00FB01EF">
              <w:rPr>
                <w:szCs w:val="22"/>
                <w:lang w:val="it-IT"/>
              </w:rPr>
              <w:t>(vedere paragrafo 4.4)</w:t>
            </w:r>
          </w:p>
        </w:tc>
      </w:tr>
      <w:tr w:rsidR="00EF2483" w:rsidRPr="00FB01EF">
        <w:tc>
          <w:tcPr>
            <w:tcW w:w="3070" w:type="dxa"/>
            <w:vMerge/>
            <w:tcBorders>
              <w:left w:val="single" w:sz="4" w:space="0" w:color="auto"/>
            </w:tcBorders>
            <w:shd w:val="clear" w:color="auto" w:fill="auto"/>
          </w:tcPr>
          <w:p w:rsidR="00EF2483" w:rsidRPr="00FB01EF" w:rsidRDefault="00EF2483" w:rsidP="00EF2483">
            <w:pPr>
              <w:keepNext/>
              <w:keepLines/>
              <w:rPr>
                <w:i/>
                <w:iCs/>
                <w:noProof/>
                <w:color w:val="000000"/>
                <w:szCs w:val="22"/>
                <w:u w:val="single"/>
                <w:lang w:val="it-IT"/>
              </w:rPr>
            </w:pP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Raro</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Complicanze della OHSS grave</w:t>
            </w:r>
          </w:p>
        </w:tc>
      </w:tr>
      <w:tr w:rsidR="00EF2483" w:rsidRPr="00E628EA">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lang w:val="it-IT"/>
              </w:rPr>
            </w:pPr>
            <w:r w:rsidRPr="00FB01EF">
              <w:rPr>
                <w:i/>
                <w:szCs w:val="22"/>
                <w:lang w:val="it-IT"/>
              </w:rPr>
              <w:t>Patologie sistemiche e condizioni relative alla sede di somministrazione</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Reazioni della sede di iniezione (ad es. dolore, eritema, ematoma, gonfiore e/o irritazione della sede di iniezione)</w:t>
            </w:r>
          </w:p>
        </w:tc>
      </w:tr>
    </w:tbl>
    <w:p w:rsidR="00EF2483" w:rsidRPr="00FB01EF" w:rsidRDefault="00EF2483" w:rsidP="00EF2483">
      <w:pPr>
        <w:ind w:left="1701" w:hanging="1701"/>
        <w:rPr>
          <w:noProof/>
          <w:color w:val="000000"/>
          <w:szCs w:val="22"/>
          <w:lang w:val="it-IT"/>
        </w:rPr>
      </w:pPr>
    </w:p>
    <w:p w:rsidR="00EF2483" w:rsidRPr="00FB01EF" w:rsidRDefault="00EF2483" w:rsidP="00EF2483">
      <w:pPr>
        <w:ind w:left="1701" w:hanging="1701"/>
        <w:rPr>
          <w:i/>
          <w:noProof/>
          <w:color w:val="000000"/>
          <w:szCs w:val="22"/>
          <w:lang w:val="it-IT"/>
        </w:rPr>
      </w:pPr>
      <w:r w:rsidRPr="00FB01EF">
        <w:rPr>
          <w:i/>
          <w:noProof/>
          <w:color w:val="000000"/>
          <w:szCs w:val="22"/>
          <w:lang w:val="it-IT"/>
        </w:rPr>
        <w:t>Trattamento</w:t>
      </w:r>
      <w:r w:rsidR="00F4066C" w:rsidRPr="00FB01EF">
        <w:rPr>
          <w:i/>
          <w:noProof/>
          <w:color w:val="000000"/>
          <w:szCs w:val="22"/>
          <w:lang w:val="it-IT"/>
        </w:rPr>
        <w:t xml:space="preserve"> negli uomini</w:t>
      </w:r>
    </w:p>
    <w:p w:rsidR="00EF2483" w:rsidRPr="00FB01EF" w:rsidRDefault="00EF2483" w:rsidP="00EF2483">
      <w:pPr>
        <w:ind w:left="1701" w:hanging="1701"/>
        <w:rPr>
          <w:i/>
          <w:iCs/>
          <w:noProof/>
          <w:color w:val="000000"/>
          <w:szCs w:val="22"/>
          <w:lang w:val="it-IT"/>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1"/>
        <w:gridCol w:w="3015"/>
        <w:gridCol w:w="3025"/>
      </w:tblGrid>
      <w:tr w:rsidR="00EF2483" w:rsidRPr="00FB01EF">
        <w:tc>
          <w:tcPr>
            <w:tcW w:w="9212" w:type="dxa"/>
            <w:gridSpan w:val="3"/>
            <w:tcBorders>
              <w:top w:val="nil"/>
              <w:left w:val="nil"/>
              <w:bottom w:val="single" w:sz="4" w:space="0" w:color="auto"/>
              <w:right w:val="nil"/>
            </w:tcBorders>
            <w:shd w:val="clear" w:color="auto" w:fill="auto"/>
          </w:tcPr>
          <w:p w:rsidR="00EF2483" w:rsidRPr="00FB01EF" w:rsidRDefault="00EF2483" w:rsidP="00EF2483">
            <w:pPr>
              <w:keepNext/>
              <w:keepLines/>
              <w:rPr>
                <w:b/>
                <w:lang w:val="it-IT"/>
              </w:rPr>
            </w:pPr>
            <w:r w:rsidRPr="00FB01EF">
              <w:rPr>
                <w:b/>
                <w:lang w:val="it-IT"/>
              </w:rPr>
              <w:t>Tabella 2: Reazioni avverse nell’uomo</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b/>
                <w:lang w:val="it-IT"/>
              </w:rPr>
            </w:pPr>
            <w:r w:rsidRPr="00FB01EF">
              <w:rPr>
                <w:b/>
                <w:lang w:val="it-IT"/>
              </w:rPr>
              <w:t>Classificazione per sistemi e organi</w:t>
            </w:r>
          </w:p>
        </w:tc>
        <w:tc>
          <w:tcPr>
            <w:tcW w:w="3071" w:type="dxa"/>
            <w:tcBorders>
              <w:top w:val="single" w:sz="4" w:space="0" w:color="auto"/>
            </w:tcBorders>
            <w:shd w:val="clear" w:color="auto" w:fill="auto"/>
          </w:tcPr>
          <w:p w:rsidR="00EF2483" w:rsidRPr="00FB01EF" w:rsidRDefault="00EF2483" w:rsidP="00EF2483">
            <w:pPr>
              <w:keepNext/>
              <w:keepLines/>
              <w:rPr>
                <w:b/>
                <w:lang w:val="it-IT"/>
              </w:rPr>
            </w:pPr>
            <w:r w:rsidRPr="00FB01EF">
              <w:rPr>
                <w:b/>
                <w:lang w:val="it-IT"/>
              </w:rPr>
              <w:t>Frequenza</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b/>
                <w:lang w:val="it-IT"/>
              </w:rPr>
            </w:pPr>
            <w:r w:rsidRPr="00FB01EF">
              <w:rPr>
                <w:b/>
                <w:lang w:val="it-IT"/>
              </w:rPr>
              <w:t>Reazione avversa</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lang w:val="it-IT"/>
              </w:rPr>
            </w:pPr>
            <w:r w:rsidRPr="00FB01EF">
              <w:rPr>
                <w:i/>
                <w:szCs w:val="22"/>
                <w:lang w:val="it-IT"/>
              </w:rPr>
              <w:t>Disturbi del sistema immunitario</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raro</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Reazioni di ipersensibilità da lievi a gravi, comprendenti reazioni anafilattiche e shock</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szCs w:val="22"/>
                <w:lang w:val="it-IT"/>
              </w:rPr>
            </w:pPr>
            <w:r w:rsidRPr="00FB01EF">
              <w:rPr>
                <w:i/>
                <w:iCs/>
                <w:noProof/>
                <w:color w:val="000000"/>
                <w:szCs w:val="22"/>
                <w:lang w:val="it-IT"/>
              </w:rPr>
              <w:t>Patologie respiratorie, toraciche e mediastiniche</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raro</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Esacerbazione o peggioramento dell’asma</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szCs w:val="22"/>
                <w:lang w:val="it-IT"/>
              </w:rPr>
            </w:pPr>
            <w:r w:rsidRPr="00FB01EF">
              <w:rPr>
                <w:i/>
                <w:iCs/>
                <w:noProof/>
                <w:color w:val="000000"/>
                <w:szCs w:val="22"/>
                <w:lang w:val="it-IT"/>
              </w:rPr>
              <w:t>Patologie della cute e del tessuto sottocutaneo</w:t>
            </w:r>
          </w:p>
        </w:tc>
        <w:tc>
          <w:tcPr>
            <w:tcW w:w="3071" w:type="dxa"/>
            <w:tcBorders>
              <w:top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Acne</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iCs/>
                <w:noProof/>
                <w:color w:val="000000"/>
                <w:szCs w:val="22"/>
                <w:lang w:val="it-IT"/>
              </w:rPr>
            </w:pPr>
            <w:r w:rsidRPr="00FB01EF">
              <w:rPr>
                <w:i/>
                <w:iCs/>
                <w:noProof/>
                <w:color w:val="000000"/>
                <w:szCs w:val="22"/>
                <w:lang w:val="it-IT"/>
              </w:rPr>
              <w:t>Patologie dell’apparato riproduttivo e della mammella</w:t>
            </w:r>
          </w:p>
        </w:tc>
        <w:tc>
          <w:tcPr>
            <w:tcW w:w="3071" w:type="dxa"/>
            <w:tcBorders>
              <w:top w:val="single" w:sz="4" w:space="0" w:color="auto"/>
            </w:tcBorders>
            <w:shd w:val="clear" w:color="auto" w:fill="auto"/>
          </w:tcPr>
          <w:p w:rsidR="00EF2483" w:rsidRPr="00FB01EF" w:rsidRDefault="00EF2483" w:rsidP="00EF2483">
            <w:pPr>
              <w:keepNext/>
              <w:keepLines/>
              <w:rPr>
                <w:noProof/>
                <w:color w:val="000000"/>
                <w:szCs w:val="22"/>
                <w:lang w:val="it-IT"/>
              </w:rPr>
            </w:pPr>
            <w:r w:rsidRPr="00FB01EF">
              <w:rPr>
                <w:noProof/>
                <w:color w:val="000000"/>
                <w:szCs w:val="22"/>
                <w:lang w:val="it-IT"/>
              </w:rPr>
              <w:t>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noProof/>
                <w:color w:val="000000"/>
                <w:szCs w:val="22"/>
                <w:lang w:val="it-IT"/>
              </w:rPr>
            </w:pPr>
            <w:r w:rsidRPr="00FB01EF">
              <w:rPr>
                <w:noProof/>
                <w:color w:val="000000"/>
                <w:szCs w:val="22"/>
                <w:lang w:val="it-IT"/>
              </w:rPr>
              <w:t>Ginecomastia, varicocele</w:t>
            </w:r>
          </w:p>
        </w:tc>
      </w:tr>
      <w:tr w:rsidR="00EF2483" w:rsidRPr="00E628EA">
        <w:tc>
          <w:tcPr>
            <w:tcW w:w="3070" w:type="dxa"/>
            <w:tcBorders>
              <w:top w:val="single" w:sz="4" w:space="0" w:color="auto"/>
              <w:left w:val="single" w:sz="4" w:space="0" w:color="auto"/>
              <w:bottom w:val="single" w:sz="4" w:space="0" w:color="auto"/>
            </w:tcBorders>
            <w:shd w:val="clear" w:color="auto" w:fill="auto"/>
          </w:tcPr>
          <w:p w:rsidR="00EF2483" w:rsidRPr="00FB01EF" w:rsidRDefault="00EF2483" w:rsidP="00EF2483">
            <w:pPr>
              <w:keepNext/>
              <w:keepLines/>
              <w:rPr>
                <w:i/>
                <w:lang w:val="it-IT"/>
              </w:rPr>
            </w:pPr>
            <w:r w:rsidRPr="00FB01EF">
              <w:rPr>
                <w:i/>
                <w:szCs w:val="22"/>
                <w:lang w:val="it-IT"/>
              </w:rPr>
              <w:t>Patologie sistemiche e condizioni relative alla sede di somministrazione</w:t>
            </w:r>
          </w:p>
        </w:tc>
        <w:tc>
          <w:tcPr>
            <w:tcW w:w="3071" w:type="dxa"/>
            <w:tcBorders>
              <w:top w:val="single" w:sz="4" w:space="0" w:color="auto"/>
              <w:bottom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Molto comune</w:t>
            </w:r>
          </w:p>
        </w:tc>
        <w:tc>
          <w:tcPr>
            <w:tcW w:w="3071" w:type="dxa"/>
            <w:tcBorders>
              <w:top w:val="single" w:sz="4" w:space="0" w:color="auto"/>
              <w:bottom w:val="single" w:sz="4" w:space="0" w:color="auto"/>
              <w:right w:val="single" w:sz="4" w:space="0" w:color="auto"/>
            </w:tcBorders>
            <w:shd w:val="clear" w:color="auto" w:fill="auto"/>
          </w:tcPr>
          <w:p w:rsidR="00EF2483" w:rsidRPr="00FB01EF" w:rsidRDefault="00EF2483" w:rsidP="00EF2483">
            <w:pPr>
              <w:keepNext/>
              <w:keepLines/>
              <w:rPr>
                <w:lang w:val="it-IT"/>
              </w:rPr>
            </w:pPr>
            <w:r w:rsidRPr="00FB01EF">
              <w:rPr>
                <w:noProof/>
                <w:color w:val="000000"/>
                <w:szCs w:val="22"/>
                <w:lang w:val="it-IT"/>
              </w:rPr>
              <w:t>Reazioni della sede di iniezione (ad es. dolore, eritema, ematoma, gonfiore e/o irritazione della sede di iniezione)</w:t>
            </w:r>
          </w:p>
        </w:tc>
      </w:tr>
      <w:tr w:rsidR="00EF2483" w:rsidRPr="00FB01EF">
        <w:tc>
          <w:tcPr>
            <w:tcW w:w="3070" w:type="dxa"/>
            <w:tcBorders>
              <w:top w:val="single" w:sz="4" w:space="0" w:color="auto"/>
              <w:left w:val="single" w:sz="4" w:space="0" w:color="auto"/>
            </w:tcBorders>
            <w:shd w:val="clear" w:color="auto" w:fill="auto"/>
          </w:tcPr>
          <w:p w:rsidR="00EF2483" w:rsidRPr="00FB01EF" w:rsidRDefault="00EF2483" w:rsidP="00EF2483">
            <w:pPr>
              <w:keepNext/>
              <w:keepLines/>
              <w:rPr>
                <w:i/>
                <w:szCs w:val="22"/>
                <w:lang w:val="it-IT"/>
              </w:rPr>
            </w:pPr>
            <w:r w:rsidRPr="00FB01EF">
              <w:rPr>
                <w:i/>
                <w:iCs/>
                <w:noProof/>
                <w:color w:val="000000"/>
                <w:szCs w:val="22"/>
                <w:lang w:val="it-IT"/>
              </w:rPr>
              <w:t>Esami diagnostici</w:t>
            </w:r>
          </w:p>
        </w:tc>
        <w:tc>
          <w:tcPr>
            <w:tcW w:w="3071" w:type="dxa"/>
            <w:tcBorders>
              <w:top w:val="single" w:sz="4" w:space="0" w:color="auto"/>
            </w:tcBorders>
            <w:shd w:val="clear" w:color="auto" w:fill="auto"/>
          </w:tcPr>
          <w:p w:rsidR="00EF2483" w:rsidRPr="00FB01EF" w:rsidRDefault="00EF2483" w:rsidP="00EF2483">
            <w:pPr>
              <w:keepNext/>
              <w:keepLines/>
              <w:rPr>
                <w:noProof/>
                <w:color w:val="000000"/>
                <w:szCs w:val="22"/>
                <w:lang w:val="it-IT"/>
              </w:rPr>
            </w:pPr>
            <w:r w:rsidRPr="00FB01EF">
              <w:rPr>
                <w:noProof/>
                <w:color w:val="000000"/>
                <w:szCs w:val="22"/>
                <w:lang w:val="it-IT"/>
              </w:rPr>
              <w:t>Comune</w:t>
            </w:r>
          </w:p>
        </w:tc>
        <w:tc>
          <w:tcPr>
            <w:tcW w:w="3071" w:type="dxa"/>
            <w:tcBorders>
              <w:top w:val="single" w:sz="4" w:space="0" w:color="auto"/>
              <w:right w:val="single" w:sz="4" w:space="0" w:color="auto"/>
            </w:tcBorders>
            <w:shd w:val="clear" w:color="auto" w:fill="auto"/>
          </w:tcPr>
          <w:p w:rsidR="00EF2483" w:rsidRPr="00FB01EF" w:rsidRDefault="00EF2483" w:rsidP="00EF2483">
            <w:pPr>
              <w:keepNext/>
              <w:keepLines/>
              <w:rPr>
                <w:noProof/>
                <w:color w:val="000000"/>
                <w:szCs w:val="22"/>
                <w:lang w:val="it-IT"/>
              </w:rPr>
            </w:pPr>
            <w:r w:rsidRPr="00FB01EF">
              <w:rPr>
                <w:noProof/>
                <w:color w:val="000000"/>
                <w:szCs w:val="22"/>
                <w:lang w:val="it-IT"/>
              </w:rPr>
              <w:t>Aumento ponderale</w:t>
            </w:r>
          </w:p>
        </w:tc>
      </w:tr>
    </w:tbl>
    <w:p w:rsidR="00EF2483" w:rsidRPr="00FB01EF" w:rsidRDefault="00EF2483" w:rsidP="00EF2483">
      <w:pPr>
        <w:ind w:left="1701" w:hanging="1701"/>
        <w:rPr>
          <w:i/>
          <w:iCs/>
          <w:noProof/>
          <w:color w:val="000000"/>
          <w:szCs w:val="22"/>
          <w:lang w:val="it-IT"/>
        </w:rPr>
      </w:pPr>
    </w:p>
    <w:p w:rsidR="00EF2483" w:rsidRPr="00FB01EF" w:rsidRDefault="00EF2483" w:rsidP="00CA2F0A">
      <w:pPr>
        <w:keepNext/>
        <w:rPr>
          <w:szCs w:val="22"/>
          <w:u w:val="single"/>
          <w:lang w:val="it-IT"/>
        </w:rPr>
      </w:pPr>
      <w:r w:rsidRPr="00FB01EF">
        <w:rPr>
          <w:noProof/>
          <w:szCs w:val="22"/>
          <w:u w:val="single"/>
          <w:lang w:val="it-IT"/>
        </w:rPr>
        <w:lastRenderedPageBreak/>
        <w:t>Segnalazione delle reazioni avverse sospette</w:t>
      </w:r>
    </w:p>
    <w:p w:rsidR="00EF2483" w:rsidRPr="00FB01EF" w:rsidRDefault="00EF2483" w:rsidP="00FC2B28">
      <w:pPr>
        <w:keepNext/>
        <w:keepLines/>
        <w:tabs>
          <w:tab w:val="clear" w:pos="567"/>
        </w:tabs>
        <w:rPr>
          <w:noProof/>
          <w:szCs w:val="22"/>
          <w:lang w:val="it-IT"/>
        </w:rPr>
      </w:pPr>
      <w:r w:rsidRPr="00FB01EF">
        <w:rPr>
          <w:noProof/>
          <w:szCs w:val="22"/>
          <w:lang w:val="it-IT"/>
        </w:rPr>
        <w:t>La segnalazione delle reazioni avverse sospette che si verificano dopo l’autorizzazione del medicinale è importante, in quanto permette un monitoraggio continuo del rapporto beneficio/rischio del medicinale.</w:t>
      </w:r>
      <w:r w:rsidRPr="00FB01EF">
        <w:rPr>
          <w:szCs w:val="22"/>
          <w:lang w:val="it-IT"/>
        </w:rPr>
        <w:t xml:space="preserve"> </w:t>
      </w:r>
      <w:r w:rsidRPr="00FB01EF">
        <w:rPr>
          <w:noProof/>
          <w:szCs w:val="22"/>
          <w:lang w:val="it-IT"/>
        </w:rPr>
        <w:t xml:space="preserve">Agli operatori sanitari è richiesto di segnalare qualsiasi reazione avversa sospetta tramite </w:t>
      </w:r>
      <w:r w:rsidRPr="00FB01EF">
        <w:rPr>
          <w:noProof/>
          <w:szCs w:val="22"/>
          <w:highlight w:val="lightGray"/>
          <w:lang w:val="it-IT"/>
        </w:rPr>
        <w:t>il sistema nazionale di segnalazione riportato nell’</w:t>
      </w:r>
      <w:hyperlink r:id="rId8" w:history="1">
        <w:r w:rsidR="00350A5E" w:rsidRPr="00FB01EF">
          <w:rPr>
            <w:rStyle w:val="Hyperlink"/>
            <w:noProof/>
            <w:szCs w:val="22"/>
            <w:highlight w:val="lightGray"/>
            <w:lang w:val="it-IT"/>
          </w:rPr>
          <w:t>a</w:t>
        </w:r>
        <w:r w:rsidR="00F605D9" w:rsidRPr="00FB01EF">
          <w:rPr>
            <w:rStyle w:val="Hyperlink"/>
            <w:noProof/>
            <w:szCs w:val="22"/>
            <w:highlight w:val="lightGray"/>
            <w:lang w:val="it-IT"/>
          </w:rPr>
          <w:t>llegato </w:t>
        </w:r>
        <w:r w:rsidRPr="00FB01EF">
          <w:rPr>
            <w:rStyle w:val="Hyperlink"/>
            <w:noProof/>
            <w:szCs w:val="22"/>
            <w:highlight w:val="lightGray"/>
            <w:lang w:val="it-IT"/>
          </w:rPr>
          <w:t>V</w:t>
        </w:r>
      </w:hyperlink>
      <w:r w:rsidRPr="00FB01EF">
        <w:rPr>
          <w:noProof/>
          <w:szCs w:val="22"/>
          <w:lang w:val="it-IT"/>
        </w:rPr>
        <w:t>.</w:t>
      </w:r>
    </w:p>
    <w:p w:rsidR="00AD7A57" w:rsidRPr="00FB01EF" w:rsidRDefault="00AD7A57" w:rsidP="00EF2483">
      <w:pPr>
        <w:tabs>
          <w:tab w:val="clear" w:pos="567"/>
        </w:tabs>
        <w:ind w:left="1701" w:hanging="1701"/>
        <w:rPr>
          <w:noProof/>
          <w:color w:val="000000"/>
          <w:szCs w:val="22"/>
          <w:lang w:val="it-IT"/>
        </w:rPr>
      </w:pPr>
    </w:p>
    <w:p w:rsidR="00812D16" w:rsidRPr="00FB01EF" w:rsidRDefault="005A5786" w:rsidP="00496272">
      <w:pPr>
        <w:ind w:left="567" w:hanging="567"/>
        <w:outlineLvl w:val="0"/>
        <w:rPr>
          <w:noProof/>
          <w:szCs w:val="22"/>
          <w:lang w:val="it-IT"/>
        </w:rPr>
      </w:pPr>
      <w:r w:rsidRPr="00FB01EF">
        <w:rPr>
          <w:b/>
          <w:bCs/>
          <w:szCs w:val="22"/>
          <w:lang w:val="it-IT"/>
        </w:rPr>
        <w:t>4.9</w:t>
      </w:r>
      <w:r w:rsidRPr="00FB01EF">
        <w:rPr>
          <w:b/>
          <w:bCs/>
          <w:szCs w:val="22"/>
          <w:lang w:val="it-IT"/>
        </w:rPr>
        <w:tab/>
        <w:t>Sovradosaggio</w:t>
      </w:r>
    </w:p>
    <w:p w:rsidR="00812D16" w:rsidRPr="00FB01EF" w:rsidRDefault="00812D16" w:rsidP="00496272">
      <w:pPr>
        <w:rPr>
          <w:noProof/>
          <w:szCs w:val="22"/>
          <w:lang w:val="it-IT"/>
        </w:rPr>
      </w:pPr>
    </w:p>
    <w:p w:rsidR="00AD7A57" w:rsidRPr="00FB01EF" w:rsidRDefault="005A5786" w:rsidP="00496272">
      <w:pPr>
        <w:tabs>
          <w:tab w:val="clear" w:pos="567"/>
        </w:tabs>
        <w:rPr>
          <w:noProof/>
          <w:color w:val="000000"/>
          <w:szCs w:val="22"/>
          <w:lang w:val="it-IT"/>
        </w:rPr>
      </w:pPr>
      <w:r w:rsidRPr="00FB01EF">
        <w:rPr>
          <w:szCs w:val="22"/>
          <w:lang w:val="it-IT"/>
        </w:rPr>
        <w:t xml:space="preserve">Non sono stati riportati casi di sovradosaggio dovuti a </w:t>
      </w:r>
      <w:r w:rsidR="008F1419" w:rsidRPr="00FB01EF">
        <w:rPr>
          <w:szCs w:val="22"/>
          <w:lang w:val="it-IT"/>
        </w:rPr>
        <w:t>follitropina alfa</w:t>
      </w:r>
      <w:r w:rsidRPr="00FB01EF">
        <w:rPr>
          <w:szCs w:val="22"/>
          <w:lang w:val="it-IT"/>
        </w:rPr>
        <w:t>, tuttavia esiste la possibilità che si verifichi una OHSS (vedere paragrafo</w:t>
      </w:r>
      <w:r w:rsidR="009E06AB" w:rsidRPr="00FB01EF">
        <w:rPr>
          <w:szCs w:val="22"/>
          <w:lang w:val="it-IT"/>
        </w:rPr>
        <w:t> </w:t>
      </w:r>
      <w:r w:rsidRPr="00FB01EF">
        <w:rPr>
          <w:szCs w:val="22"/>
          <w:lang w:val="it-IT"/>
        </w:rPr>
        <w:t>4.4</w:t>
      </w:r>
      <w:r w:rsidR="00AD7A57" w:rsidRPr="00FB01EF">
        <w:rPr>
          <w:noProof/>
          <w:color w:val="000000"/>
          <w:szCs w:val="22"/>
          <w:lang w:val="it-IT"/>
        </w:rPr>
        <w:t>).</w:t>
      </w:r>
    </w:p>
    <w:p w:rsidR="00AD7A57" w:rsidRPr="00FB01EF" w:rsidRDefault="00AD7A57" w:rsidP="00496272">
      <w:pPr>
        <w:rPr>
          <w:noProof/>
          <w:szCs w:val="22"/>
          <w:lang w:val="it-IT"/>
        </w:rPr>
      </w:pPr>
    </w:p>
    <w:p w:rsidR="00736773" w:rsidRPr="00FB01EF" w:rsidRDefault="00736773" w:rsidP="00496272">
      <w:pPr>
        <w:rPr>
          <w:noProof/>
          <w:szCs w:val="22"/>
          <w:lang w:val="it-IT"/>
        </w:rPr>
      </w:pPr>
    </w:p>
    <w:p w:rsidR="00812D16" w:rsidRPr="00FB01EF" w:rsidRDefault="00896DC5" w:rsidP="00496272">
      <w:pPr>
        <w:keepNext/>
        <w:keepLines/>
        <w:ind w:left="567" w:hanging="567"/>
        <w:rPr>
          <w:noProof/>
          <w:szCs w:val="22"/>
          <w:lang w:val="it-IT"/>
        </w:rPr>
      </w:pPr>
      <w:r w:rsidRPr="00FB01EF">
        <w:rPr>
          <w:b/>
          <w:bCs/>
          <w:szCs w:val="22"/>
          <w:lang w:val="it-IT"/>
        </w:rPr>
        <w:t>5.</w:t>
      </w:r>
      <w:r w:rsidRPr="00FB01EF">
        <w:rPr>
          <w:b/>
          <w:bCs/>
          <w:szCs w:val="22"/>
          <w:lang w:val="it-IT"/>
        </w:rPr>
        <w:tab/>
        <w:t>PROPRIETÀ FARMACOLOGICHE</w:t>
      </w:r>
    </w:p>
    <w:p w:rsidR="00812D16" w:rsidRPr="00FB01EF" w:rsidRDefault="00812D16" w:rsidP="00496272">
      <w:pPr>
        <w:keepNext/>
        <w:keepLines/>
        <w:rPr>
          <w:noProof/>
          <w:szCs w:val="22"/>
          <w:lang w:val="it-IT"/>
        </w:rPr>
      </w:pPr>
    </w:p>
    <w:p w:rsidR="00812D16" w:rsidRPr="00FB01EF" w:rsidRDefault="00896DC5" w:rsidP="00496272">
      <w:pPr>
        <w:keepNext/>
        <w:keepLines/>
        <w:ind w:left="567" w:hanging="567"/>
        <w:outlineLvl w:val="0"/>
        <w:rPr>
          <w:noProof/>
          <w:szCs w:val="22"/>
          <w:lang w:val="it-IT"/>
        </w:rPr>
      </w:pPr>
      <w:r w:rsidRPr="00FB01EF">
        <w:rPr>
          <w:b/>
          <w:bCs/>
          <w:szCs w:val="22"/>
          <w:lang w:val="it-IT"/>
        </w:rPr>
        <w:t>5.1</w:t>
      </w:r>
      <w:r w:rsidRPr="00FB01EF">
        <w:rPr>
          <w:b/>
          <w:bCs/>
          <w:szCs w:val="22"/>
          <w:lang w:val="it-IT"/>
        </w:rPr>
        <w:tab/>
        <w:t>Proprietà farmacodinamiche</w:t>
      </w:r>
    </w:p>
    <w:p w:rsidR="00AD7A57" w:rsidRPr="00FB01EF" w:rsidRDefault="00AD7A57" w:rsidP="00496272">
      <w:pPr>
        <w:numPr>
          <w:ilvl w:val="12"/>
          <w:numId w:val="0"/>
        </w:numPr>
        <w:ind w:right="-2"/>
        <w:rPr>
          <w:iCs/>
          <w:noProof/>
          <w:szCs w:val="22"/>
          <w:lang w:val="it-IT"/>
        </w:rPr>
      </w:pPr>
    </w:p>
    <w:p w:rsidR="00AD7A57" w:rsidRPr="00FB01EF" w:rsidRDefault="00896DC5" w:rsidP="00496272">
      <w:pPr>
        <w:tabs>
          <w:tab w:val="clear" w:pos="567"/>
        </w:tabs>
        <w:rPr>
          <w:noProof/>
          <w:color w:val="000000"/>
          <w:szCs w:val="22"/>
          <w:lang w:val="it-IT"/>
        </w:rPr>
      </w:pPr>
      <w:r w:rsidRPr="00FB01EF">
        <w:rPr>
          <w:szCs w:val="22"/>
          <w:lang w:val="it-IT"/>
        </w:rPr>
        <w:t>Categoria farmacoterapeutica: ormoni sessuali e modulatori del sistema genitale, gonadotropine, codice ATC: G03GA05</w:t>
      </w:r>
      <w:r w:rsidR="00A43C2B" w:rsidRPr="00FB01EF">
        <w:rPr>
          <w:szCs w:val="22"/>
          <w:lang w:val="it-IT"/>
        </w:rPr>
        <w:t>.</w:t>
      </w:r>
    </w:p>
    <w:p w:rsidR="00833B1A" w:rsidRPr="00FB01EF" w:rsidRDefault="00833B1A" w:rsidP="00496272">
      <w:pPr>
        <w:tabs>
          <w:tab w:val="clear" w:pos="567"/>
        </w:tabs>
        <w:rPr>
          <w:noProof/>
          <w:color w:val="000000"/>
          <w:szCs w:val="22"/>
          <w:lang w:val="it-IT"/>
        </w:rPr>
      </w:pPr>
    </w:p>
    <w:p w:rsidR="00A43C2B" w:rsidRPr="00FB01EF" w:rsidRDefault="00A43C2B" w:rsidP="00496272">
      <w:pPr>
        <w:tabs>
          <w:tab w:val="clear" w:pos="567"/>
        </w:tabs>
        <w:rPr>
          <w:szCs w:val="22"/>
          <w:lang w:val="it-IT"/>
        </w:rPr>
      </w:pPr>
      <w:r w:rsidRPr="00FB01EF">
        <w:rPr>
          <w:noProof/>
          <w:color w:val="000000"/>
          <w:szCs w:val="22"/>
          <w:lang w:val="it-IT"/>
        </w:rPr>
        <w:t xml:space="preserve">Ovaleap </w:t>
      </w:r>
      <w:r w:rsidRPr="00FB01EF">
        <w:rPr>
          <w:szCs w:val="22"/>
          <w:lang w:val="it-IT"/>
        </w:rPr>
        <w:t>è un medicinale biosimilare. Informazioni più dettagliate sono disponibili sul sito web della Agenzia europea dei medicinali</w:t>
      </w:r>
      <w:r w:rsidR="00895190" w:rsidRPr="00FB01EF">
        <w:rPr>
          <w:szCs w:val="22"/>
          <w:lang w:val="it-IT"/>
        </w:rPr>
        <w:t>:</w:t>
      </w:r>
      <w:r w:rsidRPr="00FB01EF">
        <w:rPr>
          <w:szCs w:val="22"/>
          <w:lang w:val="it-IT"/>
        </w:rPr>
        <w:t xml:space="preserve"> </w:t>
      </w:r>
      <w:hyperlink r:id="rId9" w:history="1">
        <w:r w:rsidRPr="00FB01EF">
          <w:rPr>
            <w:rStyle w:val="Hyperlink"/>
            <w:szCs w:val="22"/>
            <w:lang w:val="it-IT"/>
          </w:rPr>
          <w:t>http://www.ema.europa.eu</w:t>
        </w:r>
      </w:hyperlink>
      <w:r w:rsidRPr="00FB01EF">
        <w:rPr>
          <w:szCs w:val="22"/>
          <w:lang w:val="it-IT"/>
        </w:rPr>
        <w:t>.</w:t>
      </w:r>
    </w:p>
    <w:p w:rsidR="00A43C2B" w:rsidRPr="00FB01EF" w:rsidRDefault="00A43C2B" w:rsidP="00496272">
      <w:pPr>
        <w:tabs>
          <w:tab w:val="clear" w:pos="567"/>
        </w:tabs>
        <w:rPr>
          <w:szCs w:val="22"/>
          <w:lang w:val="it-IT"/>
        </w:rPr>
      </w:pPr>
    </w:p>
    <w:p w:rsidR="00A43C2B" w:rsidRPr="00FB01EF" w:rsidRDefault="00A43C2B" w:rsidP="00496272">
      <w:pPr>
        <w:tabs>
          <w:tab w:val="clear" w:pos="567"/>
        </w:tabs>
        <w:rPr>
          <w:i/>
          <w:szCs w:val="22"/>
          <w:u w:val="single"/>
          <w:lang w:val="it-IT"/>
        </w:rPr>
      </w:pPr>
      <w:r w:rsidRPr="00FB01EF">
        <w:rPr>
          <w:i/>
          <w:szCs w:val="22"/>
          <w:u w:val="single"/>
          <w:lang w:val="it-IT"/>
        </w:rPr>
        <w:t>Effetti farmacodinamici</w:t>
      </w:r>
    </w:p>
    <w:p w:rsidR="00A43C2B" w:rsidRPr="00FB01EF" w:rsidRDefault="00A43C2B" w:rsidP="00496272">
      <w:pPr>
        <w:tabs>
          <w:tab w:val="clear" w:pos="567"/>
        </w:tabs>
        <w:rPr>
          <w:noProof/>
          <w:color w:val="000000"/>
          <w:szCs w:val="22"/>
          <w:lang w:val="it-IT"/>
        </w:rPr>
      </w:pPr>
    </w:p>
    <w:p w:rsidR="00833B1A" w:rsidRPr="00FB01EF" w:rsidRDefault="00896DC5" w:rsidP="00496272">
      <w:pPr>
        <w:tabs>
          <w:tab w:val="clear" w:pos="567"/>
        </w:tabs>
        <w:rPr>
          <w:noProof/>
          <w:color w:val="000000"/>
          <w:szCs w:val="22"/>
          <w:lang w:val="it-IT"/>
        </w:rPr>
      </w:pPr>
      <w:r w:rsidRPr="00FB01EF">
        <w:rPr>
          <w:szCs w:val="22"/>
          <w:lang w:val="it-IT"/>
        </w:rPr>
        <w:t>Nelle donne il principale effetto della somministrazione parenterale dell’FSH è lo sviluppo di follicoli di Graaf maturi. Nelle donne con anovulazione, l’obiettivo della terapia con</w:t>
      </w:r>
      <w:r w:rsidR="00A43C2B" w:rsidRPr="00FB01EF">
        <w:rPr>
          <w:szCs w:val="22"/>
          <w:lang w:val="it-IT"/>
        </w:rPr>
        <w:t xml:space="preserve"> follitropina alfa</w:t>
      </w:r>
      <w:r w:rsidRPr="00FB01EF">
        <w:rPr>
          <w:szCs w:val="22"/>
          <w:lang w:val="it-IT"/>
        </w:rPr>
        <w:t xml:space="preserve"> è lo sviluppo di un singolo follicolo di Graaf maturo, dal quale verrà liberato l’ovulo dopo la somministrazione di hCG</w:t>
      </w:r>
      <w:r w:rsidR="00833B1A" w:rsidRPr="00FB01EF">
        <w:rPr>
          <w:color w:val="000000"/>
          <w:szCs w:val="22"/>
          <w:lang w:val="it-IT"/>
        </w:rPr>
        <w:t>.</w:t>
      </w:r>
    </w:p>
    <w:p w:rsidR="00AD7A57" w:rsidRPr="00FB01EF" w:rsidRDefault="00AD7A57" w:rsidP="00496272">
      <w:pPr>
        <w:tabs>
          <w:tab w:val="clear" w:pos="567"/>
        </w:tabs>
        <w:outlineLvl w:val="0"/>
        <w:rPr>
          <w:noProof/>
          <w:color w:val="000000"/>
          <w:szCs w:val="22"/>
          <w:lang w:val="it-IT"/>
        </w:rPr>
      </w:pPr>
    </w:p>
    <w:p w:rsidR="00AD7A57" w:rsidRPr="00FB01EF" w:rsidRDefault="00896DC5" w:rsidP="00496272">
      <w:pPr>
        <w:tabs>
          <w:tab w:val="clear" w:pos="567"/>
        </w:tabs>
        <w:outlineLvl w:val="0"/>
        <w:rPr>
          <w:i/>
          <w:iCs/>
          <w:noProof/>
          <w:color w:val="000000"/>
          <w:szCs w:val="22"/>
          <w:u w:val="single"/>
          <w:lang w:val="it-IT"/>
        </w:rPr>
      </w:pPr>
      <w:r w:rsidRPr="00FB01EF">
        <w:rPr>
          <w:i/>
          <w:szCs w:val="22"/>
          <w:u w:val="single" w:color="000000"/>
          <w:lang w:val="it-IT"/>
        </w:rPr>
        <w:t>Efficacia e sicurezza clinica nell</w:t>
      </w:r>
      <w:r w:rsidR="00F4066C" w:rsidRPr="00FB01EF">
        <w:rPr>
          <w:i/>
          <w:szCs w:val="22"/>
          <w:u w:val="single" w:color="000000"/>
          <w:lang w:val="it-IT"/>
        </w:rPr>
        <w:t>e</w:t>
      </w:r>
      <w:r w:rsidRPr="00FB01EF">
        <w:rPr>
          <w:i/>
          <w:szCs w:val="22"/>
          <w:u w:val="single" w:color="000000"/>
          <w:lang w:val="it-IT"/>
        </w:rPr>
        <w:t xml:space="preserve"> donn</w:t>
      </w:r>
      <w:r w:rsidR="00F4066C" w:rsidRPr="00FB01EF">
        <w:rPr>
          <w:i/>
          <w:szCs w:val="22"/>
          <w:u w:val="single" w:color="000000"/>
          <w:lang w:val="it-IT"/>
        </w:rPr>
        <w:t>e</w:t>
      </w:r>
    </w:p>
    <w:p w:rsidR="00AD7A57" w:rsidRPr="00FB01EF" w:rsidRDefault="00AD7A57" w:rsidP="00496272">
      <w:pPr>
        <w:tabs>
          <w:tab w:val="clear" w:pos="567"/>
        </w:tabs>
        <w:outlineLvl w:val="0"/>
        <w:rPr>
          <w:noProof/>
          <w:color w:val="000000"/>
          <w:szCs w:val="22"/>
          <w:lang w:val="it-IT"/>
        </w:rPr>
      </w:pPr>
    </w:p>
    <w:p w:rsidR="00AD7A57" w:rsidRPr="00FB01EF" w:rsidRDefault="00896DC5" w:rsidP="00496272">
      <w:pPr>
        <w:tabs>
          <w:tab w:val="clear" w:pos="567"/>
        </w:tabs>
        <w:outlineLvl w:val="0"/>
        <w:rPr>
          <w:noProof/>
          <w:color w:val="000000"/>
          <w:szCs w:val="22"/>
          <w:lang w:val="it-IT"/>
        </w:rPr>
      </w:pPr>
      <w:r w:rsidRPr="00FB01EF">
        <w:rPr>
          <w:szCs w:val="22"/>
          <w:lang w:val="it-IT"/>
        </w:rPr>
        <w:t>Negli studi clinici le pazienti con grave insufficienza di LH e FSH venivano identificate in base a livelli sierici di LH endogeno &lt;</w:t>
      </w:r>
      <w:r w:rsidR="00A43C2B" w:rsidRPr="00FB01EF">
        <w:rPr>
          <w:szCs w:val="22"/>
          <w:lang w:val="it-IT"/>
        </w:rPr>
        <w:t> </w:t>
      </w:r>
      <w:r w:rsidRPr="00FB01EF">
        <w:rPr>
          <w:szCs w:val="22"/>
          <w:lang w:val="it-IT"/>
        </w:rPr>
        <w:t>1,2</w:t>
      </w:r>
      <w:r w:rsidR="009E06AB" w:rsidRPr="00FB01EF">
        <w:rPr>
          <w:szCs w:val="22"/>
          <w:lang w:val="it-IT"/>
        </w:rPr>
        <w:t> </w:t>
      </w:r>
      <w:r w:rsidRPr="00FB01EF">
        <w:rPr>
          <w:szCs w:val="22"/>
          <w:lang w:val="it-IT"/>
        </w:rPr>
        <w:t>UI/</w:t>
      </w:r>
      <w:r w:rsidR="00A43C2B" w:rsidRPr="00FB01EF">
        <w:rPr>
          <w:szCs w:val="22"/>
          <w:lang w:val="it-IT"/>
        </w:rPr>
        <w:t xml:space="preserve">L </w:t>
      </w:r>
      <w:r w:rsidRPr="00FB01EF">
        <w:rPr>
          <w:szCs w:val="22"/>
          <w:lang w:val="it-IT"/>
        </w:rPr>
        <w:t>dosati da un laboratorio centrale. Tuttavia è opportuno tenere conto della variabilità della misurazione dell’LH eseguita da differenti laboratori</w:t>
      </w:r>
      <w:r w:rsidR="00AD7A57" w:rsidRPr="00FB01EF">
        <w:rPr>
          <w:noProof/>
          <w:color w:val="000000"/>
          <w:szCs w:val="22"/>
          <w:lang w:val="it-IT"/>
        </w:rPr>
        <w:t>.</w:t>
      </w:r>
    </w:p>
    <w:p w:rsidR="00AD7A57" w:rsidRPr="00FB01EF" w:rsidRDefault="00AD7A57" w:rsidP="00496272">
      <w:pPr>
        <w:tabs>
          <w:tab w:val="clear" w:pos="567"/>
        </w:tabs>
        <w:outlineLvl w:val="0"/>
        <w:rPr>
          <w:noProof/>
          <w:color w:val="000000"/>
          <w:szCs w:val="22"/>
          <w:lang w:val="it-IT"/>
        </w:rPr>
      </w:pPr>
    </w:p>
    <w:p w:rsidR="00AD7A57" w:rsidRPr="00FB01EF" w:rsidRDefault="00896DC5" w:rsidP="00496272">
      <w:pPr>
        <w:tabs>
          <w:tab w:val="clear" w:pos="567"/>
        </w:tabs>
        <w:outlineLvl w:val="0"/>
        <w:rPr>
          <w:noProof/>
          <w:color w:val="000000"/>
          <w:szCs w:val="22"/>
          <w:lang w:val="it-IT"/>
        </w:rPr>
      </w:pPr>
      <w:r w:rsidRPr="00FB01EF">
        <w:rPr>
          <w:szCs w:val="22"/>
          <w:lang w:val="it-IT"/>
        </w:rPr>
        <w:t>Negli studi clinici comparativi tra r</w:t>
      </w:r>
      <w:r w:rsidR="009E06AB" w:rsidRPr="00FB01EF">
        <w:rPr>
          <w:szCs w:val="22"/>
          <w:lang w:val="it-IT"/>
        </w:rPr>
        <w:noBreakHyphen/>
      </w:r>
      <w:r w:rsidRPr="00FB01EF">
        <w:rPr>
          <w:szCs w:val="22"/>
          <w:lang w:val="it-IT"/>
        </w:rPr>
        <w:t>hFSH (follitropina alfa) e FSH urinario nell’ART (vedere tabella</w:t>
      </w:r>
      <w:r w:rsidR="009E06AB" w:rsidRPr="00FB01EF">
        <w:rPr>
          <w:szCs w:val="22"/>
          <w:lang w:val="it-IT"/>
        </w:rPr>
        <w:t> </w:t>
      </w:r>
      <w:r w:rsidR="00E64C42" w:rsidRPr="00FB01EF">
        <w:rPr>
          <w:szCs w:val="22"/>
          <w:lang w:val="it-IT"/>
        </w:rPr>
        <w:t>3</w:t>
      </w:r>
      <w:r w:rsidR="00A43C2B" w:rsidRPr="00FB01EF">
        <w:rPr>
          <w:szCs w:val="22"/>
          <w:lang w:val="it-IT"/>
        </w:rPr>
        <w:t xml:space="preserve"> </w:t>
      </w:r>
      <w:r w:rsidRPr="00FB01EF">
        <w:rPr>
          <w:szCs w:val="22"/>
          <w:lang w:val="it-IT"/>
        </w:rPr>
        <w:t>in basso) e nell’induzione dell’ovulazione</w:t>
      </w:r>
      <w:r w:rsidR="00E64C42" w:rsidRPr="00FB01EF">
        <w:rPr>
          <w:noProof/>
          <w:color w:val="000000"/>
          <w:szCs w:val="22"/>
          <w:lang w:val="it-IT"/>
        </w:rPr>
        <w:t xml:space="preserve">, </w:t>
      </w:r>
      <w:r w:rsidR="00A43C2B" w:rsidRPr="00FB01EF">
        <w:rPr>
          <w:szCs w:val="22"/>
          <w:lang w:val="it-IT"/>
        </w:rPr>
        <w:t>follitropina alfa</w:t>
      </w:r>
      <w:r w:rsidRPr="00FB01EF">
        <w:rPr>
          <w:szCs w:val="22"/>
          <w:lang w:val="it-IT"/>
        </w:rPr>
        <w:t xml:space="preserve"> è </w:t>
      </w:r>
      <w:r w:rsidR="00A43C2B" w:rsidRPr="00FB01EF">
        <w:rPr>
          <w:szCs w:val="22"/>
          <w:lang w:val="it-IT"/>
        </w:rPr>
        <w:t xml:space="preserve">risultata </w:t>
      </w:r>
      <w:r w:rsidRPr="00FB01EF">
        <w:rPr>
          <w:szCs w:val="22"/>
          <w:lang w:val="it-IT"/>
        </w:rPr>
        <w:t>più potente dell’FSH urinario in termini di dose totale più bassa e di periodo di trattamento più breve necessari per ottenere la maturazione follicolare</w:t>
      </w:r>
      <w:r w:rsidR="00AD7A57" w:rsidRPr="00FB01EF">
        <w:rPr>
          <w:noProof/>
          <w:color w:val="000000"/>
          <w:szCs w:val="22"/>
          <w:lang w:val="it-IT"/>
        </w:rPr>
        <w:t>.</w:t>
      </w:r>
    </w:p>
    <w:p w:rsidR="00AD7A57" w:rsidRPr="00FB01EF" w:rsidRDefault="00AD7A57" w:rsidP="00496272">
      <w:pPr>
        <w:tabs>
          <w:tab w:val="clear" w:pos="567"/>
        </w:tabs>
        <w:outlineLvl w:val="0"/>
        <w:rPr>
          <w:noProof/>
          <w:color w:val="000000"/>
          <w:szCs w:val="22"/>
          <w:lang w:val="it-IT"/>
        </w:rPr>
      </w:pPr>
    </w:p>
    <w:p w:rsidR="00AD7A57" w:rsidRPr="00FB01EF" w:rsidRDefault="00896DC5" w:rsidP="00496272">
      <w:pPr>
        <w:tabs>
          <w:tab w:val="clear" w:pos="567"/>
        </w:tabs>
        <w:outlineLvl w:val="0"/>
        <w:rPr>
          <w:noProof/>
          <w:color w:val="000000"/>
          <w:szCs w:val="22"/>
          <w:lang w:val="it-IT"/>
        </w:rPr>
      </w:pPr>
      <w:r w:rsidRPr="00FB01EF">
        <w:rPr>
          <w:szCs w:val="22"/>
          <w:lang w:val="it-IT"/>
        </w:rPr>
        <w:t>Nell’ART, rispetto all’FSH urinario, l’impiego di</w:t>
      </w:r>
      <w:r w:rsidR="00A43C2B" w:rsidRPr="00FB01EF">
        <w:rPr>
          <w:szCs w:val="22"/>
          <w:lang w:val="it-IT"/>
        </w:rPr>
        <w:t xml:space="preserve"> follitropina alfa</w:t>
      </w:r>
      <w:r w:rsidRPr="00FB01EF">
        <w:rPr>
          <w:szCs w:val="22"/>
          <w:lang w:val="it-IT"/>
        </w:rPr>
        <w:t xml:space="preserve"> a una dose totale più bassa e con un periodo di trattamento più breve, ha consentito il recupero di un numero più elevato di ovociti</w:t>
      </w:r>
      <w:r w:rsidR="00AD7A57" w:rsidRPr="00FB01EF">
        <w:rPr>
          <w:noProof/>
          <w:color w:val="000000"/>
          <w:szCs w:val="22"/>
          <w:lang w:val="it-IT"/>
        </w:rPr>
        <w:t>.</w:t>
      </w:r>
    </w:p>
    <w:p w:rsidR="00054F41" w:rsidRPr="00FB01EF" w:rsidRDefault="00054F41" w:rsidP="00496272">
      <w:pPr>
        <w:tabs>
          <w:tab w:val="clear" w:pos="567"/>
        </w:tabs>
        <w:outlineLvl w:val="0"/>
        <w:rPr>
          <w:i/>
          <w:noProof/>
          <w:color w:val="000000"/>
          <w:szCs w:val="22"/>
          <w:lang w:val="it-IT"/>
        </w:rPr>
      </w:pPr>
    </w:p>
    <w:p w:rsidR="00AD7A57" w:rsidRPr="00FB01EF" w:rsidRDefault="00054F41" w:rsidP="00BA3B25">
      <w:pPr>
        <w:keepNext/>
        <w:tabs>
          <w:tab w:val="clear" w:pos="567"/>
        </w:tabs>
        <w:outlineLvl w:val="0"/>
        <w:rPr>
          <w:noProof/>
          <w:color w:val="000000"/>
          <w:szCs w:val="22"/>
          <w:lang w:val="it-IT"/>
        </w:rPr>
      </w:pPr>
      <w:r w:rsidRPr="00FB01EF">
        <w:rPr>
          <w:noProof/>
          <w:color w:val="000000"/>
          <w:szCs w:val="22"/>
          <w:lang w:val="it-IT"/>
        </w:rPr>
        <w:t>Tabella 3: Risultati dello studio GF 8407 (studio clinico randomizzato a gruppi paralleli comparativo sull’efficacia e la sicurezza di follitropina alfa e del FSH urinario nelle ART)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63"/>
        <w:gridCol w:w="2087"/>
        <w:gridCol w:w="2596"/>
      </w:tblGrid>
      <w:tr w:rsidR="00AD7A57" w:rsidRPr="00FB01EF">
        <w:tc>
          <w:tcPr>
            <w:tcW w:w="3363" w:type="dxa"/>
            <w:tcBorders>
              <w:right w:val="single" w:sz="4" w:space="0" w:color="auto"/>
            </w:tcBorders>
          </w:tcPr>
          <w:p w:rsidR="00AD7A57" w:rsidRPr="00FB01EF" w:rsidRDefault="00AD7A57" w:rsidP="00054F41">
            <w:pPr>
              <w:keepNext/>
              <w:keepLines/>
              <w:tabs>
                <w:tab w:val="clear" w:pos="567"/>
              </w:tabs>
              <w:outlineLvl w:val="0"/>
              <w:rPr>
                <w:noProof/>
                <w:color w:val="000000"/>
                <w:szCs w:val="22"/>
                <w:lang w:val="it-IT"/>
              </w:rPr>
            </w:pPr>
          </w:p>
        </w:tc>
        <w:tc>
          <w:tcPr>
            <w:tcW w:w="2087" w:type="dxa"/>
            <w:tcBorders>
              <w:left w:val="single" w:sz="4" w:space="0" w:color="auto"/>
              <w:right w:val="single" w:sz="4" w:space="0" w:color="auto"/>
            </w:tcBorders>
          </w:tcPr>
          <w:p w:rsidR="00896DC5" w:rsidRPr="00FB01EF" w:rsidRDefault="00A43C2B" w:rsidP="00BA3B25">
            <w:pPr>
              <w:keepNext/>
              <w:tabs>
                <w:tab w:val="clear" w:pos="567"/>
              </w:tabs>
              <w:ind w:left="73" w:right="-45"/>
              <w:jc w:val="center"/>
              <w:rPr>
                <w:szCs w:val="22"/>
                <w:lang w:val="it-IT"/>
              </w:rPr>
            </w:pPr>
            <w:r w:rsidRPr="00FB01EF">
              <w:rPr>
                <w:bCs/>
                <w:szCs w:val="22"/>
                <w:lang w:val="it-IT"/>
              </w:rPr>
              <w:t>follitropina alfa</w:t>
            </w:r>
          </w:p>
          <w:p w:rsidR="00AD7A57" w:rsidRPr="00FB01EF" w:rsidRDefault="00896DC5" w:rsidP="00054F41">
            <w:pPr>
              <w:keepNext/>
              <w:keepLines/>
              <w:tabs>
                <w:tab w:val="clear" w:pos="567"/>
              </w:tabs>
              <w:jc w:val="center"/>
              <w:outlineLvl w:val="0"/>
              <w:rPr>
                <w:noProof/>
                <w:color w:val="000000"/>
                <w:szCs w:val="22"/>
                <w:lang w:val="it-IT"/>
              </w:rPr>
            </w:pPr>
            <w:r w:rsidRPr="00FB01EF">
              <w:rPr>
                <w:bCs/>
                <w:szCs w:val="22"/>
                <w:lang w:val="it-IT"/>
              </w:rPr>
              <w:t>(n=130)</w:t>
            </w:r>
          </w:p>
        </w:tc>
        <w:tc>
          <w:tcPr>
            <w:tcW w:w="2596" w:type="dxa"/>
            <w:tcBorders>
              <w:left w:val="single" w:sz="4" w:space="0" w:color="auto"/>
            </w:tcBorders>
          </w:tcPr>
          <w:p w:rsidR="00896DC5" w:rsidRPr="00FB01EF" w:rsidRDefault="00896DC5" w:rsidP="00BA3B25">
            <w:pPr>
              <w:keepNext/>
              <w:ind w:left="112"/>
              <w:jc w:val="center"/>
              <w:rPr>
                <w:szCs w:val="22"/>
                <w:lang w:val="it-IT"/>
              </w:rPr>
            </w:pPr>
            <w:r w:rsidRPr="00FB01EF">
              <w:rPr>
                <w:bCs/>
                <w:szCs w:val="22"/>
                <w:lang w:val="it-IT"/>
              </w:rPr>
              <w:t>FSH urinario</w:t>
            </w:r>
          </w:p>
          <w:p w:rsidR="00AD7A57" w:rsidRPr="00FB01EF" w:rsidRDefault="00896DC5" w:rsidP="00054F41">
            <w:pPr>
              <w:keepNext/>
              <w:keepLines/>
              <w:tabs>
                <w:tab w:val="clear" w:pos="567"/>
              </w:tabs>
              <w:jc w:val="center"/>
              <w:outlineLvl w:val="0"/>
              <w:rPr>
                <w:noProof/>
                <w:color w:val="000000"/>
                <w:szCs w:val="22"/>
                <w:lang w:val="it-IT"/>
              </w:rPr>
            </w:pPr>
            <w:r w:rsidRPr="00FB01EF">
              <w:rPr>
                <w:bCs/>
                <w:szCs w:val="22"/>
                <w:lang w:val="it-IT"/>
              </w:rPr>
              <w:t>(n=116)</w:t>
            </w:r>
          </w:p>
        </w:tc>
      </w:tr>
      <w:tr w:rsidR="00AD7A57" w:rsidRPr="00FB01EF">
        <w:tc>
          <w:tcPr>
            <w:tcW w:w="3363" w:type="dxa"/>
            <w:tcBorders>
              <w:right w:val="single" w:sz="4" w:space="0" w:color="auto"/>
            </w:tcBorders>
          </w:tcPr>
          <w:p w:rsidR="00AD7A57" w:rsidRPr="00FB01EF" w:rsidRDefault="00896DC5" w:rsidP="00496272">
            <w:pPr>
              <w:keepNext/>
              <w:keepLines/>
              <w:tabs>
                <w:tab w:val="clear" w:pos="567"/>
              </w:tabs>
              <w:outlineLvl w:val="0"/>
              <w:rPr>
                <w:noProof/>
                <w:color w:val="000000"/>
                <w:szCs w:val="22"/>
                <w:lang w:val="it-IT"/>
              </w:rPr>
            </w:pPr>
            <w:r w:rsidRPr="00FB01EF">
              <w:rPr>
                <w:szCs w:val="22"/>
                <w:lang w:val="it-IT"/>
              </w:rPr>
              <w:t>Numero di ovociti recuperati</w:t>
            </w:r>
          </w:p>
        </w:tc>
        <w:tc>
          <w:tcPr>
            <w:tcW w:w="2087" w:type="dxa"/>
            <w:tcBorders>
              <w:left w:val="single" w:sz="4" w:space="0" w:color="auto"/>
              <w:righ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11</w:t>
            </w:r>
            <w:r w:rsidR="00A43C2B" w:rsidRPr="00FB01EF">
              <w:rPr>
                <w:color w:val="000000"/>
                <w:szCs w:val="22"/>
                <w:lang w:val="it-IT" w:eastAsia="de-DE"/>
              </w:rPr>
              <w:t>,</w:t>
            </w:r>
            <w:r w:rsidRPr="00FB01EF">
              <w:rPr>
                <w:color w:val="000000"/>
                <w:szCs w:val="22"/>
                <w:lang w:val="it-IT" w:eastAsia="de-DE"/>
              </w:rPr>
              <w:t>0</w:t>
            </w:r>
            <w:r w:rsidR="009E06AB" w:rsidRPr="00FB01EF">
              <w:rPr>
                <w:color w:val="000000"/>
                <w:szCs w:val="22"/>
                <w:lang w:val="it-IT" w:eastAsia="de-DE"/>
              </w:rPr>
              <w:t> </w:t>
            </w:r>
            <w:r w:rsidRPr="00FB01EF">
              <w:rPr>
                <w:color w:val="000000"/>
                <w:szCs w:val="22"/>
                <w:lang w:val="it-IT" w:eastAsia="de-DE"/>
              </w:rPr>
              <w:t>±</w:t>
            </w:r>
            <w:r w:rsidR="009E06AB" w:rsidRPr="00FB01EF">
              <w:rPr>
                <w:color w:val="000000"/>
                <w:szCs w:val="22"/>
                <w:lang w:val="it-IT" w:eastAsia="de-DE"/>
              </w:rPr>
              <w:t> </w:t>
            </w:r>
            <w:r w:rsidRPr="00FB01EF">
              <w:rPr>
                <w:color w:val="000000"/>
                <w:szCs w:val="22"/>
                <w:lang w:val="it-IT" w:eastAsia="de-DE"/>
              </w:rPr>
              <w:t>5</w:t>
            </w:r>
            <w:r w:rsidR="00A43C2B" w:rsidRPr="00FB01EF">
              <w:rPr>
                <w:color w:val="000000"/>
                <w:szCs w:val="22"/>
                <w:lang w:val="it-IT" w:eastAsia="de-DE"/>
              </w:rPr>
              <w:t>,</w:t>
            </w:r>
            <w:r w:rsidRPr="00FB01EF">
              <w:rPr>
                <w:color w:val="000000"/>
                <w:szCs w:val="22"/>
                <w:lang w:val="it-IT" w:eastAsia="de-DE"/>
              </w:rPr>
              <w:t>9</w:t>
            </w:r>
          </w:p>
        </w:tc>
        <w:tc>
          <w:tcPr>
            <w:tcW w:w="2596" w:type="dxa"/>
            <w:tcBorders>
              <w:lef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8</w:t>
            </w:r>
            <w:r w:rsidR="00A43C2B" w:rsidRPr="00FB01EF">
              <w:rPr>
                <w:color w:val="000000"/>
                <w:szCs w:val="22"/>
                <w:lang w:val="it-IT" w:eastAsia="de-DE"/>
              </w:rPr>
              <w:t>,</w:t>
            </w:r>
            <w:r w:rsidRPr="00FB01EF">
              <w:rPr>
                <w:color w:val="000000"/>
                <w:szCs w:val="22"/>
                <w:lang w:val="it-IT" w:eastAsia="de-DE"/>
              </w:rPr>
              <w:t>8</w:t>
            </w:r>
            <w:r w:rsidR="009E06AB" w:rsidRPr="00FB01EF">
              <w:rPr>
                <w:color w:val="000000"/>
                <w:szCs w:val="22"/>
                <w:lang w:val="it-IT" w:eastAsia="de-DE"/>
              </w:rPr>
              <w:t> </w:t>
            </w:r>
            <w:r w:rsidRPr="00FB01EF">
              <w:rPr>
                <w:color w:val="000000"/>
                <w:szCs w:val="22"/>
                <w:lang w:val="it-IT" w:eastAsia="de-DE"/>
              </w:rPr>
              <w:t>±</w:t>
            </w:r>
            <w:r w:rsidR="009E06AB" w:rsidRPr="00FB01EF">
              <w:rPr>
                <w:color w:val="000000"/>
                <w:szCs w:val="22"/>
                <w:lang w:val="it-IT" w:eastAsia="de-DE"/>
              </w:rPr>
              <w:t> </w:t>
            </w:r>
            <w:r w:rsidRPr="00FB01EF">
              <w:rPr>
                <w:color w:val="000000"/>
                <w:szCs w:val="22"/>
                <w:lang w:val="it-IT" w:eastAsia="de-DE"/>
              </w:rPr>
              <w:t>4</w:t>
            </w:r>
            <w:r w:rsidR="00A43C2B" w:rsidRPr="00FB01EF">
              <w:rPr>
                <w:color w:val="000000"/>
                <w:szCs w:val="22"/>
                <w:lang w:val="it-IT" w:eastAsia="de-DE"/>
              </w:rPr>
              <w:t>,</w:t>
            </w:r>
            <w:r w:rsidRPr="00FB01EF">
              <w:rPr>
                <w:color w:val="000000"/>
                <w:szCs w:val="22"/>
                <w:lang w:val="it-IT" w:eastAsia="de-DE"/>
              </w:rPr>
              <w:t>8</w:t>
            </w:r>
          </w:p>
        </w:tc>
      </w:tr>
      <w:tr w:rsidR="00AD7A57" w:rsidRPr="00FB01EF">
        <w:tc>
          <w:tcPr>
            <w:tcW w:w="3363" w:type="dxa"/>
            <w:tcBorders>
              <w:right w:val="single" w:sz="4" w:space="0" w:color="auto"/>
            </w:tcBorders>
          </w:tcPr>
          <w:p w:rsidR="00AD7A57" w:rsidRPr="00FB01EF" w:rsidRDefault="00896DC5" w:rsidP="00496272">
            <w:pPr>
              <w:keepNext/>
              <w:keepLines/>
              <w:tabs>
                <w:tab w:val="clear" w:pos="567"/>
              </w:tabs>
              <w:outlineLvl w:val="0"/>
              <w:rPr>
                <w:noProof/>
                <w:color w:val="000000"/>
                <w:szCs w:val="22"/>
                <w:lang w:val="it-IT"/>
              </w:rPr>
            </w:pPr>
            <w:r w:rsidRPr="00FB01EF">
              <w:rPr>
                <w:szCs w:val="22"/>
                <w:lang w:val="it-IT"/>
              </w:rPr>
              <w:t>Giorni di stimolazione di FSH</w:t>
            </w:r>
          </w:p>
        </w:tc>
        <w:tc>
          <w:tcPr>
            <w:tcW w:w="2087" w:type="dxa"/>
            <w:tcBorders>
              <w:left w:val="single" w:sz="4" w:space="0" w:color="auto"/>
              <w:righ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11</w:t>
            </w:r>
            <w:r w:rsidR="00A43C2B" w:rsidRPr="00FB01EF">
              <w:rPr>
                <w:color w:val="000000"/>
                <w:szCs w:val="22"/>
                <w:lang w:val="it-IT" w:eastAsia="de-DE"/>
              </w:rPr>
              <w:t>,</w:t>
            </w:r>
            <w:r w:rsidRPr="00FB01EF">
              <w:rPr>
                <w:color w:val="000000"/>
                <w:szCs w:val="22"/>
                <w:lang w:val="it-IT" w:eastAsia="de-DE"/>
              </w:rPr>
              <w:t>7</w:t>
            </w:r>
            <w:r w:rsidR="009E06AB" w:rsidRPr="00FB01EF">
              <w:rPr>
                <w:color w:val="000000"/>
                <w:szCs w:val="22"/>
                <w:lang w:val="it-IT" w:eastAsia="de-DE"/>
              </w:rPr>
              <w:t> </w:t>
            </w:r>
            <w:r w:rsidRPr="00FB01EF">
              <w:rPr>
                <w:color w:val="000000"/>
                <w:szCs w:val="22"/>
                <w:lang w:val="it-IT" w:eastAsia="de-DE"/>
              </w:rPr>
              <w:t>±</w:t>
            </w:r>
            <w:r w:rsidR="009E06AB" w:rsidRPr="00FB01EF">
              <w:rPr>
                <w:color w:val="000000"/>
                <w:szCs w:val="22"/>
                <w:lang w:val="it-IT" w:eastAsia="de-DE"/>
              </w:rPr>
              <w:t> </w:t>
            </w:r>
            <w:r w:rsidRPr="00FB01EF">
              <w:rPr>
                <w:color w:val="000000"/>
                <w:szCs w:val="22"/>
                <w:lang w:val="it-IT" w:eastAsia="de-DE"/>
              </w:rPr>
              <w:t>1</w:t>
            </w:r>
            <w:r w:rsidR="00A43C2B" w:rsidRPr="00FB01EF">
              <w:rPr>
                <w:color w:val="000000"/>
                <w:szCs w:val="22"/>
                <w:lang w:val="it-IT" w:eastAsia="de-DE"/>
              </w:rPr>
              <w:t>,</w:t>
            </w:r>
            <w:r w:rsidRPr="00FB01EF">
              <w:rPr>
                <w:color w:val="000000"/>
                <w:szCs w:val="22"/>
                <w:lang w:val="it-IT" w:eastAsia="de-DE"/>
              </w:rPr>
              <w:t>9</w:t>
            </w:r>
          </w:p>
        </w:tc>
        <w:tc>
          <w:tcPr>
            <w:tcW w:w="2596" w:type="dxa"/>
            <w:tcBorders>
              <w:lef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14</w:t>
            </w:r>
            <w:r w:rsidR="00A43C2B" w:rsidRPr="00FB01EF">
              <w:rPr>
                <w:color w:val="000000"/>
                <w:szCs w:val="22"/>
                <w:lang w:val="it-IT" w:eastAsia="de-DE"/>
              </w:rPr>
              <w:t>,</w:t>
            </w:r>
            <w:r w:rsidRPr="00FB01EF">
              <w:rPr>
                <w:color w:val="000000"/>
                <w:szCs w:val="22"/>
                <w:lang w:val="it-IT" w:eastAsia="de-DE"/>
              </w:rPr>
              <w:t>5</w:t>
            </w:r>
            <w:r w:rsidR="009E06AB" w:rsidRPr="00FB01EF">
              <w:rPr>
                <w:color w:val="000000"/>
                <w:szCs w:val="22"/>
                <w:lang w:val="it-IT" w:eastAsia="de-DE"/>
              </w:rPr>
              <w:t> </w:t>
            </w:r>
            <w:r w:rsidRPr="00FB01EF">
              <w:rPr>
                <w:color w:val="000000"/>
                <w:szCs w:val="22"/>
                <w:lang w:val="it-IT" w:eastAsia="de-DE"/>
              </w:rPr>
              <w:t>±</w:t>
            </w:r>
            <w:r w:rsidR="009E06AB" w:rsidRPr="00FB01EF">
              <w:rPr>
                <w:color w:val="000000"/>
                <w:szCs w:val="22"/>
                <w:lang w:val="it-IT" w:eastAsia="de-DE"/>
              </w:rPr>
              <w:t> </w:t>
            </w:r>
            <w:r w:rsidRPr="00FB01EF">
              <w:rPr>
                <w:color w:val="000000"/>
                <w:szCs w:val="22"/>
                <w:lang w:val="it-IT" w:eastAsia="de-DE"/>
              </w:rPr>
              <w:t>3</w:t>
            </w:r>
            <w:r w:rsidR="00A43C2B" w:rsidRPr="00FB01EF">
              <w:rPr>
                <w:color w:val="000000"/>
                <w:szCs w:val="22"/>
                <w:lang w:val="it-IT" w:eastAsia="de-DE"/>
              </w:rPr>
              <w:t>,</w:t>
            </w:r>
            <w:r w:rsidRPr="00FB01EF">
              <w:rPr>
                <w:color w:val="000000"/>
                <w:szCs w:val="22"/>
                <w:lang w:val="it-IT" w:eastAsia="de-DE"/>
              </w:rPr>
              <w:t>3</w:t>
            </w:r>
          </w:p>
        </w:tc>
      </w:tr>
      <w:tr w:rsidR="00AD7A57" w:rsidRPr="00FB01EF">
        <w:tc>
          <w:tcPr>
            <w:tcW w:w="3363" w:type="dxa"/>
            <w:tcBorders>
              <w:right w:val="single" w:sz="4" w:space="0" w:color="auto"/>
            </w:tcBorders>
          </w:tcPr>
          <w:p w:rsidR="00AD7A57" w:rsidRPr="00FB01EF" w:rsidRDefault="00896DC5" w:rsidP="00496272">
            <w:pPr>
              <w:keepNext/>
              <w:keepLines/>
              <w:tabs>
                <w:tab w:val="clear" w:pos="567"/>
              </w:tabs>
              <w:outlineLvl w:val="0"/>
              <w:rPr>
                <w:noProof/>
                <w:color w:val="000000"/>
                <w:szCs w:val="22"/>
                <w:lang w:val="it-IT"/>
              </w:rPr>
            </w:pPr>
            <w:r w:rsidRPr="00FB01EF">
              <w:rPr>
                <w:szCs w:val="22"/>
                <w:lang w:val="it-IT"/>
              </w:rPr>
              <w:t>Dose totale di FSH (numero di fiale di FSH da 75 UI</w:t>
            </w:r>
            <w:r w:rsidR="00AD7A57" w:rsidRPr="00FB01EF">
              <w:rPr>
                <w:color w:val="000000"/>
                <w:szCs w:val="22"/>
                <w:lang w:val="it-IT" w:eastAsia="de-DE"/>
              </w:rPr>
              <w:t>)</w:t>
            </w:r>
          </w:p>
        </w:tc>
        <w:tc>
          <w:tcPr>
            <w:tcW w:w="2087" w:type="dxa"/>
            <w:tcBorders>
              <w:left w:val="single" w:sz="4" w:space="0" w:color="auto"/>
              <w:righ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27</w:t>
            </w:r>
            <w:r w:rsidR="00A43C2B" w:rsidRPr="00FB01EF">
              <w:rPr>
                <w:color w:val="000000"/>
                <w:szCs w:val="22"/>
                <w:lang w:val="it-IT" w:eastAsia="de-DE"/>
              </w:rPr>
              <w:t>,</w:t>
            </w:r>
            <w:r w:rsidRPr="00FB01EF">
              <w:rPr>
                <w:color w:val="000000"/>
                <w:szCs w:val="22"/>
                <w:lang w:val="it-IT" w:eastAsia="de-DE"/>
              </w:rPr>
              <w:t>6</w:t>
            </w:r>
            <w:r w:rsidR="009E06AB" w:rsidRPr="00FB01EF">
              <w:rPr>
                <w:color w:val="000000"/>
                <w:szCs w:val="22"/>
                <w:lang w:val="it-IT" w:eastAsia="de-DE"/>
              </w:rPr>
              <w:t> </w:t>
            </w:r>
            <w:r w:rsidRPr="00FB01EF">
              <w:rPr>
                <w:color w:val="000000"/>
                <w:szCs w:val="22"/>
                <w:lang w:val="it-IT" w:eastAsia="de-DE"/>
              </w:rPr>
              <w:t>±</w:t>
            </w:r>
            <w:r w:rsidR="009E06AB" w:rsidRPr="00FB01EF">
              <w:rPr>
                <w:color w:val="000000"/>
                <w:szCs w:val="22"/>
                <w:lang w:val="it-IT" w:eastAsia="de-DE"/>
              </w:rPr>
              <w:t> </w:t>
            </w:r>
            <w:r w:rsidRPr="00FB01EF">
              <w:rPr>
                <w:color w:val="000000"/>
                <w:szCs w:val="22"/>
                <w:lang w:val="it-IT" w:eastAsia="de-DE"/>
              </w:rPr>
              <w:t>10</w:t>
            </w:r>
            <w:r w:rsidR="00A43C2B" w:rsidRPr="00FB01EF">
              <w:rPr>
                <w:color w:val="000000"/>
                <w:szCs w:val="22"/>
                <w:lang w:val="it-IT" w:eastAsia="de-DE"/>
              </w:rPr>
              <w:t>,</w:t>
            </w:r>
            <w:r w:rsidRPr="00FB01EF">
              <w:rPr>
                <w:color w:val="000000"/>
                <w:szCs w:val="22"/>
                <w:lang w:val="it-IT" w:eastAsia="de-DE"/>
              </w:rPr>
              <w:t>2</w:t>
            </w:r>
          </w:p>
        </w:tc>
        <w:tc>
          <w:tcPr>
            <w:tcW w:w="2596" w:type="dxa"/>
            <w:tcBorders>
              <w:lef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40</w:t>
            </w:r>
            <w:r w:rsidR="00A43C2B" w:rsidRPr="00FB01EF">
              <w:rPr>
                <w:color w:val="000000"/>
                <w:szCs w:val="22"/>
                <w:lang w:val="it-IT" w:eastAsia="de-DE"/>
              </w:rPr>
              <w:t>,</w:t>
            </w:r>
            <w:r w:rsidRPr="00FB01EF">
              <w:rPr>
                <w:color w:val="000000"/>
                <w:szCs w:val="22"/>
                <w:lang w:val="it-IT" w:eastAsia="de-DE"/>
              </w:rPr>
              <w:t>7</w:t>
            </w:r>
            <w:r w:rsidR="009E06AB" w:rsidRPr="00FB01EF">
              <w:rPr>
                <w:color w:val="000000"/>
                <w:szCs w:val="22"/>
                <w:lang w:val="it-IT" w:eastAsia="de-DE"/>
              </w:rPr>
              <w:t> </w:t>
            </w:r>
            <w:r w:rsidRPr="00FB01EF">
              <w:rPr>
                <w:color w:val="000000"/>
                <w:szCs w:val="22"/>
                <w:lang w:val="it-IT" w:eastAsia="de-DE"/>
              </w:rPr>
              <w:t>±</w:t>
            </w:r>
            <w:r w:rsidR="009E06AB" w:rsidRPr="00FB01EF">
              <w:rPr>
                <w:color w:val="000000"/>
                <w:szCs w:val="22"/>
                <w:lang w:val="it-IT" w:eastAsia="de-DE"/>
              </w:rPr>
              <w:t> </w:t>
            </w:r>
            <w:r w:rsidRPr="00FB01EF">
              <w:rPr>
                <w:color w:val="000000"/>
                <w:szCs w:val="22"/>
                <w:lang w:val="it-IT" w:eastAsia="de-DE"/>
              </w:rPr>
              <w:t>13</w:t>
            </w:r>
            <w:r w:rsidR="00A43C2B" w:rsidRPr="00FB01EF">
              <w:rPr>
                <w:color w:val="000000"/>
                <w:szCs w:val="22"/>
                <w:lang w:val="it-IT" w:eastAsia="de-DE"/>
              </w:rPr>
              <w:t>,</w:t>
            </w:r>
            <w:r w:rsidRPr="00FB01EF">
              <w:rPr>
                <w:color w:val="000000"/>
                <w:szCs w:val="22"/>
                <w:lang w:val="it-IT" w:eastAsia="de-DE"/>
              </w:rPr>
              <w:t>6</w:t>
            </w:r>
          </w:p>
        </w:tc>
      </w:tr>
      <w:tr w:rsidR="00AD7A57" w:rsidRPr="00FB01EF">
        <w:tc>
          <w:tcPr>
            <w:tcW w:w="3363" w:type="dxa"/>
            <w:tcBorders>
              <w:right w:val="single" w:sz="4" w:space="0" w:color="auto"/>
            </w:tcBorders>
          </w:tcPr>
          <w:p w:rsidR="00AD7A57" w:rsidRPr="00FB01EF" w:rsidRDefault="00896DC5" w:rsidP="00496272">
            <w:pPr>
              <w:keepNext/>
              <w:keepLines/>
              <w:tabs>
                <w:tab w:val="clear" w:pos="567"/>
              </w:tabs>
              <w:outlineLvl w:val="0"/>
              <w:rPr>
                <w:noProof/>
                <w:color w:val="000000"/>
                <w:szCs w:val="22"/>
                <w:lang w:val="it-IT"/>
              </w:rPr>
            </w:pPr>
            <w:r w:rsidRPr="00FB01EF">
              <w:rPr>
                <w:szCs w:val="22"/>
                <w:lang w:val="it-IT"/>
              </w:rPr>
              <w:t>Necessità di incremento della dose (%)</w:t>
            </w:r>
          </w:p>
        </w:tc>
        <w:tc>
          <w:tcPr>
            <w:tcW w:w="2087" w:type="dxa"/>
            <w:tcBorders>
              <w:left w:val="single" w:sz="4" w:space="0" w:color="auto"/>
              <w:righ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56</w:t>
            </w:r>
            <w:r w:rsidR="00A43C2B" w:rsidRPr="00FB01EF">
              <w:rPr>
                <w:color w:val="000000"/>
                <w:szCs w:val="22"/>
                <w:lang w:val="it-IT" w:eastAsia="de-DE"/>
              </w:rPr>
              <w:t>,</w:t>
            </w:r>
            <w:r w:rsidRPr="00FB01EF">
              <w:rPr>
                <w:color w:val="000000"/>
                <w:szCs w:val="22"/>
                <w:lang w:val="it-IT" w:eastAsia="de-DE"/>
              </w:rPr>
              <w:t>2</w:t>
            </w:r>
          </w:p>
        </w:tc>
        <w:tc>
          <w:tcPr>
            <w:tcW w:w="2596" w:type="dxa"/>
            <w:tcBorders>
              <w:left w:val="single" w:sz="4" w:space="0" w:color="auto"/>
            </w:tcBorders>
          </w:tcPr>
          <w:p w:rsidR="00AD7A57" w:rsidRPr="00FB01EF" w:rsidRDefault="00AD7A57" w:rsidP="00A43C2B">
            <w:pPr>
              <w:keepNext/>
              <w:keepLines/>
              <w:tabs>
                <w:tab w:val="clear" w:pos="567"/>
              </w:tabs>
              <w:jc w:val="center"/>
              <w:outlineLvl w:val="0"/>
              <w:rPr>
                <w:noProof/>
                <w:color w:val="000000"/>
                <w:szCs w:val="22"/>
                <w:lang w:val="it-IT"/>
              </w:rPr>
            </w:pPr>
            <w:r w:rsidRPr="00FB01EF">
              <w:rPr>
                <w:color w:val="000000"/>
                <w:szCs w:val="22"/>
                <w:lang w:val="it-IT" w:eastAsia="de-DE"/>
              </w:rPr>
              <w:t>85</w:t>
            </w:r>
            <w:r w:rsidR="00A43C2B" w:rsidRPr="00FB01EF">
              <w:rPr>
                <w:color w:val="000000"/>
                <w:szCs w:val="22"/>
                <w:lang w:val="it-IT" w:eastAsia="de-DE"/>
              </w:rPr>
              <w:t>,</w:t>
            </w:r>
            <w:r w:rsidRPr="00FB01EF">
              <w:rPr>
                <w:color w:val="000000"/>
                <w:szCs w:val="22"/>
                <w:lang w:val="it-IT" w:eastAsia="de-DE"/>
              </w:rPr>
              <w:t>3</w:t>
            </w:r>
          </w:p>
        </w:tc>
      </w:tr>
    </w:tbl>
    <w:p w:rsidR="00896DC5" w:rsidRPr="00FB01EF" w:rsidRDefault="00896DC5" w:rsidP="00496272">
      <w:pPr>
        <w:tabs>
          <w:tab w:val="clear" w:pos="567"/>
        </w:tabs>
        <w:outlineLvl w:val="0"/>
        <w:rPr>
          <w:i/>
          <w:iCs/>
          <w:noProof/>
          <w:color w:val="000000"/>
          <w:szCs w:val="22"/>
          <w:u w:val="single"/>
          <w:lang w:val="it-IT"/>
        </w:rPr>
      </w:pPr>
    </w:p>
    <w:p w:rsidR="00054F41" w:rsidRPr="00FB01EF" w:rsidRDefault="00054F41" w:rsidP="00496272">
      <w:pPr>
        <w:tabs>
          <w:tab w:val="clear" w:pos="567"/>
        </w:tabs>
        <w:outlineLvl w:val="0"/>
        <w:rPr>
          <w:iCs/>
          <w:noProof/>
          <w:color w:val="000000"/>
          <w:szCs w:val="22"/>
          <w:lang w:val="it-IT"/>
        </w:rPr>
      </w:pPr>
      <w:r w:rsidRPr="00FB01EF">
        <w:rPr>
          <w:iCs/>
          <w:noProof/>
          <w:color w:val="000000"/>
          <w:szCs w:val="22"/>
          <w:lang w:val="it-IT"/>
        </w:rPr>
        <w:t>Le differenze tra i due gruppi erano statisticamente significative per tutti i parametri elencati (p &lt; 0,05).</w:t>
      </w:r>
    </w:p>
    <w:p w:rsidR="00054F41" w:rsidRPr="00FB01EF" w:rsidRDefault="00054F41" w:rsidP="00496272">
      <w:pPr>
        <w:tabs>
          <w:tab w:val="clear" w:pos="567"/>
        </w:tabs>
        <w:outlineLvl w:val="0"/>
        <w:rPr>
          <w:iCs/>
          <w:noProof/>
          <w:color w:val="000000"/>
          <w:szCs w:val="22"/>
          <w:lang w:val="it-IT"/>
        </w:rPr>
      </w:pPr>
    </w:p>
    <w:p w:rsidR="00AD7A57" w:rsidRPr="00FB01EF" w:rsidRDefault="00896DC5" w:rsidP="00496272">
      <w:pPr>
        <w:tabs>
          <w:tab w:val="clear" w:pos="567"/>
        </w:tabs>
        <w:outlineLvl w:val="0"/>
        <w:rPr>
          <w:i/>
          <w:iCs/>
          <w:noProof/>
          <w:color w:val="000000"/>
          <w:szCs w:val="22"/>
          <w:u w:val="single"/>
          <w:lang w:val="it-IT"/>
        </w:rPr>
      </w:pPr>
      <w:r w:rsidRPr="00FB01EF">
        <w:rPr>
          <w:i/>
          <w:szCs w:val="22"/>
          <w:u w:val="single" w:color="000000"/>
          <w:lang w:val="it-IT"/>
        </w:rPr>
        <w:lastRenderedPageBreak/>
        <w:t>Efficacia</w:t>
      </w:r>
      <w:r w:rsidR="00895190" w:rsidRPr="00FB01EF">
        <w:rPr>
          <w:i/>
          <w:szCs w:val="22"/>
          <w:u w:val="single" w:color="000000"/>
          <w:lang w:val="it-IT"/>
        </w:rPr>
        <w:t xml:space="preserve"> e sicurezza</w:t>
      </w:r>
      <w:r w:rsidRPr="00FB01EF">
        <w:rPr>
          <w:i/>
          <w:szCs w:val="22"/>
          <w:u w:val="single" w:color="000000"/>
          <w:lang w:val="it-IT"/>
        </w:rPr>
        <w:t xml:space="preserve"> clinica </w:t>
      </w:r>
      <w:r w:rsidR="00F4066C" w:rsidRPr="00FB01EF">
        <w:rPr>
          <w:i/>
          <w:szCs w:val="22"/>
          <w:u w:val="single" w:color="000000"/>
          <w:lang w:val="it-IT"/>
        </w:rPr>
        <w:t>negli uomini</w:t>
      </w:r>
    </w:p>
    <w:p w:rsidR="00AD7A57" w:rsidRPr="00FB01EF" w:rsidRDefault="00AD7A57" w:rsidP="00496272">
      <w:pPr>
        <w:tabs>
          <w:tab w:val="clear" w:pos="567"/>
        </w:tabs>
        <w:outlineLvl w:val="0"/>
        <w:rPr>
          <w:noProof/>
          <w:color w:val="000000"/>
          <w:szCs w:val="22"/>
          <w:lang w:val="it-IT"/>
        </w:rPr>
      </w:pPr>
    </w:p>
    <w:p w:rsidR="00A43C2B" w:rsidRPr="00FB01EF" w:rsidRDefault="00896DC5" w:rsidP="00496272">
      <w:pPr>
        <w:tabs>
          <w:tab w:val="clear" w:pos="567"/>
        </w:tabs>
        <w:outlineLvl w:val="0"/>
        <w:rPr>
          <w:noProof/>
          <w:color w:val="000000"/>
          <w:szCs w:val="22"/>
          <w:lang w:val="it-IT"/>
        </w:rPr>
      </w:pPr>
      <w:r w:rsidRPr="00FB01EF">
        <w:rPr>
          <w:szCs w:val="22"/>
          <w:lang w:val="it-IT"/>
        </w:rPr>
        <w:t xml:space="preserve">Negli uomini con deficit di FSH, </w:t>
      </w:r>
      <w:r w:rsidR="00A43C2B" w:rsidRPr="00FB01EF">
        <w:rPr>
          <w:szCs w:val="22"/>
          <w:lang w:val="it-IT"/>
        </w:rPr>
        <w:t>follitropina alfa</w:t>
      </w:r>
      <w:r w:rsidRPr="00FB01EF">
        <w:rPr>
          <w:szCs w:val="22"/>
          <w:lang w:val="it-IT"/>
        </w:rPr>
        <w:t xml:space="preserve">, somministrato in associazione con hCG per almeno </w:t>
      </w:r>
      <w:r w:rsidR="00A43C2B" w:rsidRPr="00FB01EF">
        <w:rPr>
          <w:szCs w:val="22"/>
          <w:lang w:val="it-IT"/>
        </w:rPr>
        <w:t>4 </w:t>
      </w:r>
      <w:r w:rsidRPr="00FB01EF">
        <w:rPr>
          <w:szCs w:val="22"/>
          <w:lang w:val="it-IT"/>
        </w:rPr>
        <w:t>mesi, induce la spermatogenesi</w:t>
      </w:r>
      <w:r w:rsidR="00AD7A57" w:rsidRPr="00FB01EF">
        <w:rPr>
          <w:noProof/>
          <w:color w:val="000000"/>
          <w:szCs w:val="22"/>
          <w:lang w:val="it-IT"/>
        </w:rPr>
        <w:t>.</w:t>
      </w:r>
    </w:p>
    <w:p w:rsidR="00B6255A" w:rsidRPr="00FB01EF" w:rsidRDefault="00B6255A" w:rsidP="00F105F3">
      <w:pPr>
        <w:keepNext/>
        <w:tabs>
          <w:tab w:val="clear" w:pos="567"/>
        </w:tabs>
        <w:outlineLvl w:val="0"/>
        <w:rPr>
          <w:noProof/>
          <w:color w:val="000000"/>
          <w:szCs w:val="22"/>
          <w:lang w:val="it-IT"/>
        </w:rPr>
      </w:pPr>
    </w:p>
    <w:p w:rsidR="00812D16" w:rsidRPr="00FB01EF" w:rsidRDefault="00896DC5" w:rsidP="00B000F9">
      <w:pPr>
        <w:keepNext/>
        <w:keepLines/>
        <w:ind w:left="567" w:hanging="567"/>
        <w:outlineLvl w:val="0"/>
        <w:rPr>
          <w:b/>
          <w:noProof/>
          <w:szCs w:val="22"/>
          <w:lang w:val="it-IT"/>
        </w:rPr>
      </w:pPr>
      <w:r w:rsidRPr="00FB01EF">
        <w:rPr>
          <w:b/>
          <w:bCs/>
          <w:szCs w:val="22"/>
          <w:lang w:val="it-IT"/>
        </w:rPr>
        <w:t>5.2</w:t>
      </w:r>
      <w:r w:rsidRPr="00FB01EF">
        <w:rPr>
          <w:b/>
          <w:bCs/>
          <w:szCs w:val="22"/>
          <w:lang w:val="it-IT"/>
        </w:rPr>
        <w:tab/>
        <w:t>Proprietà farmacocinetiche</w:t>
      </w:r>
    </w:p>
    <w:p w:rsidR="00AD7A57" w:rsidRPr="00FB01EF" w:rsidRDefault="00AD7A57" w:rsidP="00B000F9">
      <w:pPr>
        <w:keepNext/>
        <w:keepLines/>
        <w:numPr>
          <w:ilvl w:val="12"/>
          <w:numId w:val="0"/>
        </w:numPr>
        <w:ind w:right="-2"/>
        <w:rPr>
          <w:iCs/>
          <w:noProof/>
          <w:szCs w:val="22"/>
          <w:lang w:val="it-IT"/>
        </w:rPr>
      </w:pPr>
    </w:p>
    <w:p w:rsidR="00AD7A57" w:rsidRPr="00FB01EF" w:rsidRDefault="00896DC5" w:rsidP="00B000F9">
      <w:pPr>
        <w:keepNext/>
        <w:keepLines/>
        <w:numPr>
          <w:ilvl w:val="12"/>
          <w:numId w:val="0"/>
        </w:numPr>
        <w:ind w:right="-2"/>
        <w:rPr>
          <w:iCs/>
          <w:noProof/>
          <w:color w:val="000000"/>
          <w:szCs w:val="22"/>
          <w:lang w:val="it-IT"/>
        </w:rPr>
      </w:pPr>
      <w:r w:rsidRPr="00FB01EF">
        <w:rPr>
          <w:szCs w:val="22"/>
          <w:lang w:val="it-IT"/>
        </w:rPr>
        <w:t>Dopo somministrazione per via endovenosa, la follitropina alfa si distribuisce nello spazio liquido extracellulare con un’emivita iniziale di circa 2</w:t>
      </w:r>
      <w:r w:rsidR="005146C0" w:rsidRPr="00FB01EF">
        <w:rPr>
          <w:rFonts w:eastAsia="PMingLiU"/>
          <w:szCs w:val="22"/>
          <w:lang w:val="it-IT" w:eastAsia="zh-TW"/>
        </w:rPr>
        <w:t> </w:t>
      </w:r>
      <w:r w:rsidRPr="00FB01EF">
        <w:rPr>
          <w:szCs w:val="22"/>
          <w:lang w:val="it-IT"/>
        </w:rPr>
        <w:t>ore e viene eliminata con una emivita terminale di circa 1</w:t>
      </w:r>
      <w:r w:rsidR="005146C0" w:rsidRPr="00FB01EF">
        <w:rPr>
          <w:rFonts w:eastAsia="PMingLiU"/>
          <w:szCs w:val="22"/>
          <w:lang w:val="it-IT" w:eastAsia="zh-TW"/>
        </w:rPr>
        <w:t> </w:t>
      </w:r>
      <w:r w:rsidRPr="00FB01EF">
        <w:rPr>
          <w:szCs w:val="22"/>
          <w:lang w:val="it-IT"/>
        </w:rPr>
        <w:t xml:space="preserve">giorno. Il volume di distribuzione allo stadio stazionario è di </w:t>
      </w:r>
      <w:smartTag w:uri="urn:schemas-microsoft-com:office:smarttags" w:element="metricconverter">
        <w:smartTagPr>
          <w:attr w:name="ProductID" w:val="10ﾠL"/>
        </w:smartTagPr>
        <w:r w:rsidR="00BE2EEC" w:rsidRPr="00FB01EF">
          <w:rPr>
            <w:szCs w:val="22"/>
            <w:lang w:val="it-IT"/>
          </w:rPr>
          <w:t>10 </w:t>
        </w:r>
        <w:r w:rsidR="00E64C42" w:rsidRPr="00FB01EF">
          <w:rPr>
            <w:szCs w:val="22"/>
            <w:lang w:val="it-IT"/>
          </w:rPr>
          <w:t>L</w:t>
        </w:r>
      </w:smartTag>
      <w:r w:rsidRPr="00FB01EF">
        <w:rPr>
          <w:szCs w:val="22"/>
          <w:lang w:val="it-IT"/>
        </w:rPr>
        <w:t xml:space="preserve"> e la clearance totale è di 0,</w:t>
      </w:r>
      <w:r w:rsidR="00BE2EEC" w:rsidRPr="00FB01EF">
        <w:rPr>
          <w:szCs w:val="22"/>
          <w:lang w:val="it-IT"/>
        </w:rPr>
        <w:t>6 </w:t>
      </w:r>
      <w:r w:rsidR="00AF202C" w:rsidRPr="00FB01EF">
        <w:rPr>
          <w:szCs w:val="22"/>
          <w:lang w:val="it-IT"/>
        </w:rPr>
        <w:t>L</w:t>
      </w:r>
      <w:r w:rsidRPr="00FB01EF">
        <w:rPr>
          <w:szCs w:val="22"/>
          <w:lang w:val="it-IT"/>
        </w:rPr>
        <w:t>/ora. Un ottavo della dose somministrata di follitropina alfa viene eliminata con le urine</w:t>
      </w:r>
      <w:r w:rsidR="00AD7A57" w:rsidRPr="00FB01EF">
        <w:rPr>
          <w:iCs/>
          <w:noProof/>
          <w:color w:val="000000"/>
          <w:szCs w:val="22"/>
          <w:lang w:val="it-IT"/>
        </w:rPr>
        <w:t>.</w:t>
      </w:r>
    </w:p>
    <w:p w:rsidR="00AD7A57" w:rsidRPr="00FB01EF" w:rsidRDefault="00AD7A57" w:rsidP="00496272">
      <w:pPr>
        <w:numPr>
          <w:ilvl w:val="12"/>
          <w:numId w:val="0"/>
        </w:numPr>
        <w:ind w:right="-2"/>
        <w:rPr>
          <w:iCs/>
          <w:noProof/>
          <w:color w:val="000000"/>
          <w:szCs w:val="22"/>
          <w:lang w:val="it-IT"/>
        </w:rPr>
      </w:pPr>
    </w:p>
    <w:p w:rsidR="00AD7A57" w:rsidRPr="00FB01EF" w:rsidRDefault="00896DC5" w:rsidP="00496272">
      <w:pPr>
        <w:numPr>
          <w:ilvl w:val="12"/>
          <w:numId w:val="0"/>
        </w:numPr>
        <w:ind w:right="-2"/>
        <w:rPr>
          <w:iCs/>
          <w:noProof/>
          <w:color w:val="000000"/>
          <w:szCs w:val="22"/>
          <w:lang w:val="it-IT"/>
        </w:rPr>
      </w:pPr>
      <w:r w:rsidRPr="00FB01EF">
        <w:rPr>
          <w:szCs w:val="22"/>
          <w:lang w:val="it-IT"/>
        </w:rPr>
        <w:t>Dopo somministrazione per via sottocutanea, la biodisponibilità assoluta è di circa il 70%. Dopo somministrazioni ripetute l’accumulo di follitropina alfa è 3</w:t>
      </w:r>
      <w:r w:rsidR="005146C0" w:rsidRPr="00FB01EF">
        <w:rPr>
          <w:rFonts w:eastAsia="PMingLiU"/>
          <w:szCs w:val="22"/>
          <w:lang w:val="it-IT" w:eastAsia="zh-TW"/>
        </w:rPr>
        <w:t> </w:t>
      </w:r>
      <w:r w:rsidRPr="00FB01EF">
        <w:rPr>
          <w:szCs w:val="22"/>
          <w:lang w:val="it-IT"/>
        </w:rPr>
        <w:t>volte maggiore raggiungendo la fase di equilibrio entro 3</w:t>
      </w:r>
      <w:r w:rsidR="005146C0" w:rsidRPr="00FB01EF">
        <w:rPr>
          <w:szCs w:val="22"/>
          <w:lang w:val="it-IT"/>
        </w:rPr>
        <w:noBreakHyphen/>
      </w:r>
      <w:r w:rsidR="00BE2EEC" w:rsidRPr="00FB01EF">
        <w:rPr>
          <w:szCs w:val="22"/>
          <w:lang w:val="it-IT"/>
        </w:rPr>
        <w:t>4 </w:t>
      </w:r>
      <w:r w:rsidRPr="00FB01EF">
        <w:rPr>
          <w:szCs w:val="22"/>
          <w:lang w:val="it-IT"/>
        </w:rPr>
        <w:t>giorni. La follitropina alfa stimola efficacemente lo sviluppo follicolare e la steroidogenesi anche nelle donne con soppressa secrezione delle gonadotropine endogene, nonostante livelli non misurabili di LH</w:t>
      </w:r>
      <w:r w:rsidR="00AD7A57" w:rsidRPr="00FB01EF">
        <w:rPr>
          <w:iCs/>
          <w:noProof/>
          <w:color w:val="000000"/>
          <w:szCs w:val="22"/>
          <w:lang w:val="it-IT"/>
        </w:rPr>
        <w:t>.</w:t>
      </w:r>
    </w:p>
    <w:p w:rsidR="00AD7A57" w:rsidRPr="00FB01EF" w:rsidRDefault="00AD7A57" w:rsidP="00496272">
      <w:pPr>
        <w:numPr>
          <w:ilvl w:val="12"/>
          <w:numId w:val="0"/>
        </w:numPr>
        <w:ind w:right="-2"/>
        <w:rPr>
          <w:iCs/>
          <w:noProof/>
          <w:szCs w:val="22"/>
          <w:lang w:val="it-IT"/>
        </w:rPr>
      </w:pPr>
    </w:p>
    <w:p w:rsidR="00812D16" w:rsidRPr="00FB01EF" w:rsidRDefault="00896DC5" w:rsidP="00467FD4">
      <w:pPr>
        <w:keepNext/>
        <w:keepLines/>
        <w:ind w:left="567" w:hanging="567"/>
        <w:outlineLvl w:val="0"/>
        <w:rPr>
          <w:noProof/>
          <w:szCs w:val="22"/>
          <w:lang w:val="it-IT"/>
        </w:rPr>
      </w:pPr>
      <w:r w:rsidRPr="00FB01EF">
        <w:rPr>
          <w:b/>
          <w:bCs/>
          <w:szCs w:val="22"/>
          <w:lang w:val="it-IT"/>
        </w:rPr>
        <w:t>5.3</w:t>
      </w:r>
      <w:r w:rsidRPr="00FB01EF">
        <w:rPr>
          <w:b/>
          <w:bCs/>
          <w:szCs w:val="22"/>
          <w:lang w:val="it-IT"/>
        </w:rPr>
        <w:tab/>
        <w:t>Dati preclinici di sicurezza</w:t>
      </w:r>
    </w:p>
    <w:p w:rsidR="00AD7A57" w:rsidRPr="00FB01EF" w:rsidRDefault="00AD7A57" w:rsidP="00467FD4">
      <w:pPr>
        <w:keepNext/>
        <w:keepLines/>
        <w:rPr>
          <w:noProof/>
          <w:szCs w:val="22"/>
          <w:lang w:val="it-IT"/>
        </w:rPr>
      </w:pPr>
    </w:p>
    <w:p w:rsidR="00AD7A57" w:rsidRPr="00FB01EF" w:rsidRDefault="00896DC5" w:rsidP="00467FD4">
      <w:pPr>
        <w:keepNext/>
        <w:keepLines/>
        <w:tabs>
          <w:tab w:val="clear" w:pos="567"/>
        </w:tabs>
        <w:rPr>
          <w:noProof/>
          <w:color w:val="000000"/>
          <w:szCs w:val="22"/>
          <w:lang w:val="it-IT"/>
        </w:rPr>
      </w:pPr>
      <w:r w:rsidRPr="00FB01EF">
        <w:rPr>
          <w:szCs w:val="22"/>
          <w:lang w:val="it-IT"/>
        </w:rPr>
        <w:t xml:space="preserve">I dati </w:t>
      </w:r>
      <w:r w:rsidR="00BE2EEC" w:rsidRPr="00FB01EF">
        <w:rPr>
          <w:szCs w:val="22"/>
          <w:lang w:val="it-IT"/>
        </w:rPr>
        <w:t>pre</w:t>
      </w:r>
      <w:r w:rsidRPr="00FB01EF">
        <w:rPr>
          <w:szCs w:val="22"/>
          <w:lang w:val="it-IT"/>
        </w:rPr>
        <w:t>clinici non rivelano rischi particolari per l’uomo sulla base di studi convenzionali di tossicità a dosi singole e ripetute e genotossicità, oltre a quelli già menzionati in altr</w:t>
      </w:r>
      <w:r w:rsidR="00E97671" w:rsidRPr="00FB01EF">
        <w:rPr>
          <w:szCs w:val="22"/>
          <w:lang w:val="it-IT"/>
        </w:rPr>
        <w:t>i paragrafi</w:t>
      </w:r>
      <w:r w:rsidRPr="00FB01EF">
        <w:rPr>
          <w:szCs w:val="22"/>
          <w:lang w:val="it-IT"/>
        </w:rPr>
        <w:t xml:space="preserve"> di questo RCP</w:t>
      </w:r>
      <w:r w:rsidR="00AD7A57" w:rsidRPr="00FB01EF">
        <w:rPr>
          <w:noProof/>
          <w:color w:val="000000"/>
          <w:szCs w:val="22"/>
          <w:lang w:val="it-IT"/>
        </w:rPr>
        <w:t>.</w:t>
      </w:r>
    </w:p>
    <w:p w:rsidR="00AD7A57" w:rsidRPr="00FB01EF" w:rsidRDefault="00AD7A57" w:rsidP="00496272">
      <w:pPr>
        <w:tabs>
          <w:tab w:val="clear" w:pos="567"/>
        </w:tabs>
        <w:rPr>
          <w:noProof/>
          <w:color w:val="000000"/>
          <w:szCs w:val="22"/>
          <w:lang w:val="it-IT"/>
        </w:rPr>
      </w:pPr>
    </w:p>
    <w:p w:rsidR="00AD7A57" w:rsidRPr="00FB01EF" w:rsidRDefault="00896DC5" w:rsidP="00496272">
      <w:pPr>
        <w:tabs>
          <w:tab w:val="clear" w:pos="567"/>
        </w:tabs>
        <w:rPr>
          <w:noProof/>
          <w:color w:val="000000"/>
          <w:szCs w:val="22"/>
          <w:lang w:val="it-IT"/>
        </w:rPr>
      </w:pPr>
      <w:r w:rsidRPr="00FB01EF">
        <w:rPr>
          <w:szCs w:val="22"/>
          <w:lang w:val="it-IT"/>
        </w:rPr>
        <w:t>In ratti esposti a dosi farmacologiche di follitropina alfa (≥</w:t>
      </w:r>
      <w:r w:rsidR="00BE2EEC" w:rsidRPr="00FB01EF">
        <w:rPr>
          <w:szCs w:val="22"/>
          <w:lang w:val="it-IT"/>
        </w:rPr>
        <w:t> 40 </w:t>
      </w:r>
      <w:r w:rsidRPr="00FB01EF">
        <w:rPr>
          <w:szCs w:val="22"/>
          <w:lang w:val="it-IT"/>
        </w:rPr>
        <w:t>UI/</w:t>
      </w:r>
      <w:r w:rsidR="00BE2EEC" w:rsidRPr="00FB01EF">
        <w:rPr>
          <w:szCs w:val="22"/>
          <w:lang w:val="it-IT"/>
        </w:rPr>
        <w:t>k</w:t>
      </w:r>
      <w:r w:rsidRPr="00FB01EF">
        <w:rPr>
          <w:szCs w:val="22"/>
          <w:lang w:val="it-IT"/>
        </w:rPr>
        <w:t>g/die) per periodi prolungati è stata osservata una compromissione della fertilità con fecondità ridotta</w:t>
      </w:r>
      <w:r w:rsidR="00AD7A57" w:rsidRPr="00FB01EF">
        <w:rPr>
          <w:noProof/>
          <w:color w:val="000000"/>
          <w:szCs w:val="22"/>
          <w:lang w:val="it-IT"/>
        </w:rPr>
        <w:t>.</w:t>
      </w:r>
    </w:p>
    <w:p w:rsidR="00AD7A57" w:rsidRPr="00FB01EF" w:rsidRDefault="00AD7A57" w:rsidP="00496272">
      <w:pPr>
        <w:tabs>
          <w:tab w:val="clear" w:pos="567"/>
        </w:tabs>
        <w:rPr>
          <w:noProof/>
          <w:color w:val="000000"/>
          <w:szCs w:val="22"/>
          <w:lang w:val="it-IT"/>
        </w:rPr>
      </w:pPr>
    </w:p>
    <w:p w:rsidR="00AD7A57" w:rsidRPr="00FB01EF" w:rsidRDefault="00896DC5" w:rsidP="00496272">
      <w:pPr>
        <w:tabs>
          <w:tab w:val="clear" w:pos="567"/>
        </w:tabs>
        <w:rPr>
          <w:noProof/>
          <w:color w:val="000000"/>
          <w:szCs w:val="22"/>
          <w:lang w:val="it-IT"/>
        </w:rPr>
      </w:pPr>
      <w:r w:rsidRPr="00FB01EF">
        <w:rPr>
          <w:szCs w:val="22"/>
          <w:lang w:val="it-IT"/>
        </w:rPr>
        <w:t>Somministrata a dosi elevate (≥</w:t>
      </w:r>
      <w:r w:rsidR="00BE2EEC" w:rsidRPr="00FB01EF">
        <w:rPr>
          <w:szCs w:val="22"/>
          <w:lang w:val="it-IT"/>
        </w:rPr>
        <w:t> 5 </w:t>
      </w:r>
      <w:r w:rsidRPr="00FB01EF">
        <w:rPr>
          <w:szCs w:val="22"/>
          <w:lang w:val="it-IT"/>
        </w:rPr>
        <w:t xml:space="preserve">UI/kg/die) follitropina alfa ha causato la diminuzione nel numero di feti vivi, senza peraltro essere teratogeno, e distocia simile a quella osservata con gonadotropina menopausale (hMG) di origine urinaria. Tuttavia, dal momento che </w:t>
      </w:r>
      <w:r w:rsidR="00BE2EEC" w:rsidRPr="00FB01EF">
        <w:rPr>
          <w:szCs w:val="22"/>
          <w:lang w:val="it-IT"/>
        </w:rPr>
        <w:t>Ovaleap</w:t>
      </w:r>
      <w:r w:rsidRPr="00FB01EF">
        <w:rPr>
          <w:szCs w:val="22"/>
          <w:lang w:val="it-IT"/>
        </w:rPr>
        <w:t xml:space="preserve"> non è indicato in gravidanza, questi dati sono di scarsa rilevanza clinica</w:t>
      </w:r>
      <w:r w:rsidR="00AD7A57" w:rsidRPr="00FB01EF">
        <w:rPr>
          <w:noProof/>
          <w:color w:val="000000"/>
          <w:szCs w:val="22"/>
          <w:lang w:val="it-IT"/>
        </w:rPr>
        <w:t>.</w:t>
      </w:r>
    </w:p>
    <w:p w:rsidR="00812D16" w:rsidRPr="00FB01EF" w:rsidRDefault="00812D16" w:rsidP="00496272">
      <w:pPr>
        <w:rPr>
          <w:noProof/>
          <w:szCs w:val="22"/>
          <w:lang w:val="it-IT"/>
        </w:rPr>
      </w:pPr>
    </w:p>
    <w:p w:rsidR="00AD7A57" w:rsidRPr="00FB01EF" w:rsidRDefault="00AD7A57" w:rsidP="00496272">
      <w:pPr>
        <w:rPr>
          <w:noProof/>
          <w:szCs w:val="22"/>
          <w:lang w:val="it-IT"/>
        </w:rPr>
      </w:pPr>
    </w:p>
    <w:p w:rsidR="00812D16" w:rsidRPr="00FB01EF" w:rsidRDefault="00896DC5" w:rsidP="00496272">
      <w:pPr>
        <w:keepNext/>
        <w:keepLines/>
        <w:ind w:left="567" w:hanging="567"/>
        <w:rPr>
          <w:b/>
          <w:noProof/>
          <w:szCs w:val="22"/>
          <w:lang w:val="it-IT"/>
        </w:rPr>
      </w:pPr>
      <w:r w:rsidRPr="00FB01EF">
        <w:rPr>
          <w:b/>
          <w:bCs/>
          <w:szCs w:val="22"/>
          <w:lang w:val="it-IT"/>
        </w:rPr>
        <w:t>6.</w:t>
      </w:r>
      <w:r w:rsidRPr="00FB01EF">
        <w:rPr>
          <w:b/>
          <w:bCs/>
          <w:szCs w:val="22"/>
          <w:lang w:val="it-IT"/>
        </w:rPr>
        <w:tab/>
        <w:t>INFORMAZIONI FARMACEUTICHE</w:t>
      </w:r>
    </w:p>
    <w:p w:rsidR="00812D16" w:rsidRPr="00FB01EF" w:rsidRDefault="00812D16" w:rsidP="00496272">
      <w:pPr>
        <w:keepNext/>
        <w:keepLines/>
        <w:rPr>
          <w:noProof/>
          <w:szCs w:val="22"/>
          <w:lang w:val="it-IT"/>
        </w:rPr>
      </w:pPr>
    </w:p>
    <w:p w:rsidR="00812D16" w:rsidRPr="00FB01EF" w:rsidRDefault="00896DC5" w:rsidP="00496272">
      <w:pPr>
        <w:keepNext/>
        <w:keepLines/>
        <w:ind w:left="567" w:hanging="567"/>
        <w:outlineLvl w:val="0"/>
        <w:rPr>
          <w:noProof/>
          <w:szCs w:val="22"/>
          <w:lang w:val="it-IT"/>
        </w:rPr>
      </w:pPr>
      <w:r w:rsidRPr="00FB01EF">
        <w:rPr>
          <w:b/>
          <w:bCs/>
          <w:szCs w:val="22"/>
          <w:lang w:val="it-IT"/>
        </w:rPr>
        <w:t>6.1</w:t>
      </w:r>
      <w:r w:rsidRPr="00FB01EF">
        <w:rPr>
          <w:b/>
          <w:bCs/>
          <w:szCs w:val="22"/>
          <w:lang w:val="it-IT"/>
        </w:rPr>
        <w:tab/>
        <w:t>Elenco degli eccipienti</w:t>
      </w:r>
    </w:p>
    <w:p w:rsidR="00412844" w:rsidRPr="00FB01EF" w:rsidRDefault="00412844" w:rsidP="00496272">
      <w:pPr>
        <w:rPr>
          <w:noProof/>
          <w:szCs w:val="22"/>
          <w:lang w:val="it-IT"/>
        </w:rPr>
      </w:pPr>
    </w:p>
    <w:p w:rsidR="00896DC5" w:rsidRPr="00FB01EF" w:rsidRDefault="00BE2EEC" w:rsidP="00907D5D">
      <w:pPr>
        <w:ind w:right="-20"/>
        <w:rPr>
          <w:szCs w:val="22"/>
          <w:lang w:val="it-IT"/>
        </w:rPr>
      </w:pPr>
      <w:r w:rsidRPr="00FB01EF">
        <w:rPr>
          <w:szCs w:val="22"/>
          <w:lang w:val="it-IT"/>
        </w:rPr>
        <w:t>Sodio diidrogeno fosfato diidrato</w:t>
      </w:r>
    </w:p>
    <w:p w:rsidR="00896DC5" w:rsidRPr="00FB01EF" w:rsidRDefault="00BE2EEC" w:rsidP="00907D5D">
      <w:pPr>
        <w:ind w:right="-20"/>
        <w:rPr>
          <w:szCs w:val="22"/>
          <w:lang w:val="it-IT"/>
        </w:rPr>
      </w:pPr>
      <w:r w:rsidRPr="00FB01EF">
        <w:rPr>
          <w:szCs w:val="22"/>
          <w:lang w:val="it-IT"/>
        </w:rPr>
        <w:t>Sodio idrossido (</w:t>
      </w:r>
      <w:smartTag w:uri="urn:schemas-microsoft-com:office:smarttags" w:element="metricconverter">
        <w:smartTagPr>
          <w:attr w:name="ProductID" w:val="2ﾠM"/>
        </w:smartTagPr>
        <w:r w:rsidRPr="00FB01EF">
          <w:rPr>
            <w:szCs w:val="22"/>
            <w:lang w:val="it-IT"/>
          </w:rPr>
          <w:t>2 M</w:t>
        </w:r>
      </w:smartTag>
      <w:r w:rsidRPr="00FB01EF">
        <w:rPr>
          <w:szCs w:val="22"/>
          <w:lang w:val="it-IT"/>
        </w:rPr>
        <w:t>) (per la regolazione del pH)</w:t>
      </w:r>
    </w:p>
    <w:p w:rsidR="00BE2EEC" w:rsidRPr="00FB01EF" w:rsidRDefault="00BE2EEC" w:rsidP="00907D5D">
      <w:pPr>
        <w:ind w:right="-20"/>
        <w:rPr>
          <w:szCs w:val="22"/>
          <w:lang w:val="it-IT"/>
        </w:rPr>
      </w:pPr>
      <w:r w:rsidRPr="00FB01EF">
        <w:rPr>
          <w:szCs w:val="22"/>
          <w:lang w:val="it-IT"/>
        </w:rPr>
        <w:t>Mannitolo</w:t>
      </w:r>
    </w:p>
    <w:p w:rsidR="00896DC5" w:rsidRPr="00FB01EF" w:rsidRDefault="00896DC5" w:rsidP="00907D5D">
      <w:pPr>
        <w:ind w:right="-20"/>
        <w:rPr>
          <w:szCs w:val="22"/>
          <w:lang w:val="it-IT"/>
        </w:rPr>
      </w:pPr>
      <w:r w:rsidRPr="00FB01EF">
        <w:rPr>
          <w:szCs w:val="22"/>
          <w:lang w:val="it-IT"/>
        </w:rPr>
        <w:t>Metionina</w:t>
      </w:r>
    </w:p>
    <w:p w:rsidR="00896DC5" w:rsidRPr="00FB01EF" w:rsidRDefault="00BE2EEC" w:rsidP="00907D5D">
      <w:pPr>
        <w:ind w:right="-20"/>
        <w:rPr>
          <w:szCs w:val="22"/>
          <w:lang w:val="it-IT"/>
        </w:rPr>
      </w:pPr>
      <w:r w:rsidRPr="00FB01EF">
        <w:rPr>
          <w:szCs w:val="22"/>
          <w:lang w:val="it-IT"/>
        </w:rPr>
        <w:t>Polisorbato</w:t>
      </w:r>
      <w:r w:rsidR="00D97CC7" w:rsidRPr="00FB01EF">
        <w:rPr>
          <w:szCs w:val="22"/>
          <w:lang w:val="it-IT"/>
        </w:rPr>
        <w:t> </w:t>
      </w:r>
      <w:r w:rsidRPr="00FB01EF">
        <w:rPr>
          <w:szCs w:val="22"/>
          <w:lang w:val="it-IT"/>
        </w:rPr>
        <w:t>20</w:t>
      </w:r>
    </w:p>
    <w:p w:rsidR="00BE2EEC" w:rsidRPr="00FB01EF" w:rsidRDefault="00BE2EEC" w:rsidP="00907D5D">
      <w:pPr>
        <w:ind w:right="-20"/>
        <w:rPr>
          <w:szCs w:val="22"/>
          <w:lang w:val="it-IT"/>
        </w:rPr>
      </w:pPr>
      <w:r w:rsidRPr="00FB01EF">
        <w:rPr>
          <w:szCs w:val="22"/>
          <w:lang w:val="it-IT"/>
        </w:rPr>
        <w:t>Alc</w:t>
      </w:r>
      <w:r w:rsidR="00EE4CEC" w:rsidRPr="00FB01EF">
        <w:rPr>
          <w:szCs w:val="22"/>
          <w:lang w:val="it-IT"/>
        </w:rPr>
        <w:t>o</w:t>
      </w:r>
      <w:r w:rsidRPr="00FB01EF">
        <w:rPr>
          <w:szCs w:val="22"/>
          <w:lang w:val="it-IT"/>
        </w:rPr>
        <w:t>ol benzilico</w:t>
      </w:r>
    </w:p>
    <w:p w:rsidR="00BE2EEC" w:rsidRPr="00FB01EF" w:rsidRDefault="00BE2EEC" w:rsidP="00907D5D">
      <w:pPr>
        <w:ind w:right="-20"/>
        <w:rPr>
          <w:szCs w:val="22"/>
          <w:lang w:val="it-IT"/>
        </w:rPr>
      </w:pPr>
      <w:r w:rsidRPr="00FB01EF">
        <w:rPr>
          <w:szCs w:val="22"/>
          <w:lang w:val="it-IT"/>
        </w:rPr>
        <w:t>Benzalconio cloruro</w:t>
      </w:r>
    </w:p>
    <w:p w:rsidR="00AD7A57" w:rsidRPr="00FB01EF" w:rsidRDefault="00896DC5" w:rsidP="00896DC5">
      <w:pPr>
        <w:rPr>
          <w:szCs w:val="22"/>
          <w:lang w:val="it-IT"/>
        </w:rPr>
      </w:pPr>
      <w:r w:rsidRPr="00FB01EF">
        <w:rPr>
          <w:szCs w:val="22"/>
          <w:lang w:val="it-IT"/>
        </w:rPr>
        <w:t>Acqua per preparazioni iniettabili</w:t>
      </w:r>
    </w:p>
    <w:p w:rsidR="00896DC5" w:rsidRPr="00FB01EF" w:rsidRDefault="00896DC5" w:rsidP="00896DC5">
      <w:pPr>
        <w:rPr>
          <w:noProof/>
          <w:szCs w:val="22"/>
          <w:lang w:val="it-IT"/>
        </w:rPr>
      </w:pPr>
    </w:p>
    <w:p w:rsidR="00812D16" w:rsidRPr="00FB01EF" w:rsidRDefault="00896DC5" w:rsidP="00496272">
      <w:pPr>
        <w:ind w:left="567" w:hanging="567"/>
        <w:outlineLvl w:val="0"/>
        <w:rPr>
          <w:noProof/>
          <w:szCs w:val="22"/>
          <w:lang w:val="it-IT"/>
        </w:rPr>
      </w:pPr>
      <w:r w:rsidRPr="00FB01EF">
        <w:rPr>
          <w:b/>
          <w:bCs/>
          <w:szCs w:val="22"/>
          <w:lang w:val="it-IT"/>
        </w:rPr>
        <w:t>6.2</w:t>
      </w:r>
      <w:r w:rsidRPr="00FB01EF">
        <w:rPr>
          <w:b/>
          <w:bCs/>
          <w:szCs w:val="22"/>
          <w:lang w:val="it-IT"/>
        </w:rPr>
        <w:tab/>
        <w:t>Incompatibilità</w:t>
      </w:r>
    </w:p>
    <w:p w:rsidR="00AD7A57" w:rsidRPr="00FB01EF" w:rsidRDefault="00AD7A57" w:rsidP="00496272">
      <w:pPr>
        <w:rPr>
          <w:noProof/>
          <w:szCs w:val="22"/>
          <w:lang w:val="it-IT"/>
        </w:rPr>
      </w:pPr>
    </w:p>
    <w:p w:rsidR="00AD7A57" w:rsidRPr="00FB01EF" w:rsidRDefault="00BE2EEC" w:rsidP="00496272">
      <w:pPr>
        <w:tabs>
          <w:tab w:val="clear" w:pos="567"/>
        </w:tabs>
        <w:rPr>
          <w:noProof/>
          <w:color w:val="000000"/>
          <w:szCs w:val="22"/>
          <w:lang w:val="it-IT"/>
        </w:rPr>
      </w:pPr>
      <w:r w:rsidRPr="00FB01EF">
        <w:rPr>
          <w:szCs w:val="22"/>
          <w:lang w:val="it-IT"/>
        </w:rPr>
        <w:t xml:space="preserve">In assenza di studi di </w:t>
      </w:r>
      <w:r w:rsidRPr="00FB01EF">
        <w:rPr>
          <w:noProof/>
          <w:szCs w:val="22"/>
          <w:lang w:val="it-IT"/>
        </w:rPr>
        <w:t>compatibilità</w:t>
      </w:r>
      <w:r w:rsidRPr="00FB01EF">
        <w:rPr>
          <w:szCs w:val="22"/>
          <w:lang w:val="it-IT"/>
        </w:rPr>
        <w:t>, questo medicinale non deve essere miscelato con altri medicinali</w:t>
      </w:r>
      <w:r w:rsidR="00AD7A57" w:rsidRPr="00FB01EF">
        <w:rPr>
          <w:noProof/>
          <w:color w:val="000000"/>
          <w:szCs w:val="22"/>
          <w:lang w:val="it-IT"/>
        </w:rPr>
        <w:t>.</w:t>
      </w:r>
    </w:p>
    <w:p w:rsidR="00AD7A57" w:rsidRPr="00FB01EF" w:rsidRDefault="00AD7A57" w:rsidP="00496272">
      <w:pPr>
        <w:rPr>
          <w:noProof/>
          <w:szCs w:val="22"/>
          <w:lang w:val="it-IT"/>
        </w:rPr>
      </w:pPr>
    </w:p>
    <w:p w:rsidR="00812D16" w:rsidRPr="00FB01EF" w:rsidRDefault="00896DC5" w:rsidP="00496272">
      <w:pPr>
        <w:ind w:left="567" w:hanging="567"/>
        <w:outlineLvl w:val="0"/>
        <w:rPr>
          <w:noProof/>
          <w:szCs w:val="22"/>
          <w:lang w:val="it-IT"/>
        </w:rPr>
      </w:pPr>
      <w:r w:rsidRPr="00FB01EF">
        <w:rPr>
          <w:b/>
          <w:bCs/>
          <w:szCs w:val="22"/>
          <w:lang w:val="it-IT"/>
        </w:rPr>
        <w:t>6.3</w:t>
      </w:r>
      <w:r w:rsidRPr="00FB01EF">
        <w:rPr>
          <w:b/>
          <w:bCs/>
          <w:szCs w:val="22"/>
          <w:lang w:val="it-IT"/>
        </w:rPr>
        <w:tab/>
        <w:t>Periodo di validità</w:t>
      </w:r>
    </w:p>
    <w:p w:rsidR="00812D16" w:rsidRPr="00FB01EF" w:rsidRDefault="00812D16" w:rsidP="00496272">
      <w:pPr>
        <w:rPr>
          <w:noProof/>
          <w:szCs w:val="22"/>
          <w:lang w:val="it-IT"/>
        </w:rPr>
      </w:pPr>
    </w:p>
    <w:p w:rsidR="00AD7A57" w:rsidRPr="00FB01EF" w:rsidRDefault="000D4714" w:rsidP="00496272">
      <w:pPr>
        <w:tabs>
          <w:tab w:val="clear" w:pos="567"/>
        </w:tabs>
        <w:rPr>
          <w:noProof/>
          <w:color w:val="000000"/>
          <w:szCs w:val="22"/>
          <w:lang w:val="it-IT"/>
        </w:rPr>
      </w:pPr>
      <w:r w:rsidRPr="00D21E03">
        <w:rPr>
          <w:noProof/>
          <w:color w:val="FF0000"/>
          <w:szCs w:val="22"/>
          <w:lang w:val="it-IT"/>
        </w:rPr>
        <w:t>3</w:t>
      </w:r>
      <w:r w:rsidR="004433BA" w:rsidRPr="00D21E03">
        <w:rPr>
          <w:noProof/>
          <w:color w:val="FF0000"/>
          <w:szCs w:val="22"/>
          <w:lang w:val="it-IT"/>
        </w:rPr>
        <w:t> </w:t>
      </w:r>
      <w:r w:rsidR="00896DC5" w:rsidRPr="00FB01EF">
        <w:rPr>
          <w:noProof/>
          <w:color w:val="000000"/>
          <w:szCs w:val="22"/>
          <w:lang w:val="it-IT"/>
        </w:rPr>
        <w:t>anni</w:t>
      </w:r>
    </w:p>
    <w:p w:rsidR="00AD7A57" w:rsidRPr="00FB01EF" w:rsidRDefault="00AD7A57" w:rsidP="00496272">
      <w:pPr>
        <w:tabs>
          <w:tab w:val="clear" w:pos="567"/>
        </w:tabs>
        <w:rPr>
          <w:noProof/>
          <w:color w:val="000000"/>
          <w:szCs w:val="22"/>
          <w:lang w:val="it-IT"/>
        </w:rPr>
      </w:pPr>
    </w:p>
    <w:p w:rsidR="00BE2EEC" w:rsidRPr="00FB01EF" w:rsidRDefault="00EF61EE" w:rsidP="00496272">
      <w:pPr>
        <w:tabs>
          <w:tab w:val="clear" w:pos="567"/>
        </w:tabs>
        <w:rPr>
          <w:szCs w:val="22"/>
          <w:u w:val="single"/>
          <w:lang w:val="it-IT"/>
        </w:rPr>
      </w:pPr>
      <w:r w:rsidRPr="00FB01EF">
        <w:rPr>
          <w:szCs w:val="22"/>
          <w:u w:val="single"/>
          <w:lang w:val="it-IT"/>
        </w:rPr>
        <w:t>P</w:t>
      </w:r>
      <w:r w:rsidR="00BE2EEC" w:rsidRPr="00FB01EF">
        <w:rPr>
          <w:szCs w:val="22"/>
          <w:u w:val="single"/>
          <w:lang w:val="it-IT"/>
        </w:rPr>
        <w:t xml:space="preserve">eriodo di validità </w:t>
      </w:r>
      <w:r w:rsidRPr="00FB01EF">
        <w:rPr>
          <w:szCs w:val="22"/>
          <w:u w:val="single"/>
          <w:lang w:val="it-IT"/>
        </w:rPr>
        <w:t xml:space="preserve">e condizioni di conservazione </w:t>
      </w:r>
      <w:r w:rsidR="00BE2EEC" w:rsidRPr="00FB01EF">
        <w:rPr>
          <w:szCs w:val="22"/>
          <w:u w:val="single"/>
          <w:lang w:val="it-IT"/>
        </w:rPr>
        <w:t>dopo la prima apertura</w:t>
      </w:r>
    </w:p>
    <w:p w:rsidR="00AD7A57" w:rsidRPr="00FB01EF" w:rsidRDefault="00BE2EEC" w:rsidP="00496272">
      <w:pPr>
        <w:tabs>
          <w:tab w:val="clear" w:pos="567"/>
        </w:tabs>
        <w:rPr>
          <w:szCs w:val="22"/>
          <w:lang w:val="it-IT"/>
        </w:rPr>
      </w:pPr>
      <w:r w:rsidRPr="00FB01EF">
        <w:rPr>
          <w:szCs w:val="22"/>
          <w:lang w:val="it-IT"/>
        </w:rPr>
        <w:t>L</w:t>
      </w:r>
      <w:r w:rsidR="00AF202C" w:rsidRPr="00FB01EF">
        <w:rPr>
          <w:szCs w:val="22"/>
          <w:lang w:val="it-IT"/>
        </w:rPr>
        <w:t>a</w:t>
      </w:r>
      <w:r w:rsidRPr="00FB01EF">
        <w:rPr>
          <w:szCs w:val="22"/>
          <w:lang w:val="it-IT"/>
        </w:rPr>
        <w:t xml:space="preserve"> cartuccia inclusa nella penna</w:t>
      </w:r>
      <w:r w:rsidR="00896DC5" w:rsidRPr="00FB01EF">
        <w:rPr>
          <w:szCs w:val="22"/>
          <w:lang w:val="it-IT"/>
        </w:rPr>
        <w:t xml:space="preserve"> può essere </w:t>
      </w:r>
      <w:r w:rsidR="00AB7C0C" w:rsidRPr="00FB01EF">
        <w:rPr>
          <w:szCs w:val="22"/>
          <w:lang w:val="it-IT"/>
        </w:rPr>
        <w:t xml:space="preserve">conservata </w:t>
      </w:r>
      <w:r w:rsidR="00896DC5" w:rsidRPr="00FB01EF">
        <w:rPr>
          <w:szCs w:val="22"/>
          <w:lang w:val="it-IT"/>
        </w:rPr>
        <w:t xml:space="preserve">per un massimo di </w:t>
      </w:r>
      <w:r w:rsidR="00AF202C" w:rsidRPr="00FB01EF">
        <w:rPr>
          <w:szCs w:val="22"/>
          <w:lang w:val="it-IT"/>
        </w:rPr>
        <w:t>28 </w:t>
      </w:r>
      <w:r w:rsidR="00896DC5" w:rsidRPr="00FB01EF">
        <w:rPr>
          <w:szCs w:val="22"/>
          <w:lang w:val="it-IT"/>
        </w:rPr>
        <w:t>giorni</w:t>
      </w:r>
      <w:r w:rsidR="00EF61EE" w:rsidRPr="00FB01EF">
        <w:rPr>
          <w:szCs w:val="22"/>
          <w:lang w:val="it-IT"/>
        </w:rPr>
        <w:t>. Non conservare</w:t>
      </w:r>
      <w:r w:rsidR="00896DC5" w:rsidRPr="00FB01EF">
        <w:rPr>
          <w:szCs w:val="22"/>
          <w:lang w:val="it-IT"/>
        </w:rPr>
        <w:t xml:space="preserve"> a temperatura superiore ai </w:t>
      </w:r>
      <w:smartTag w:uri="urn:schemas-microsoft-com:office:smarttags" w:element="metricconverter">
        <w:smartTagPr>
          <w:attr w:name="ProductID" w:val="25ﾠﾰC"/>
        </w:smartTagPr>
        <w:r w:rsidR="00896DC5" w:rsidRPr="00FB01EF">
          <w:rPr>
            <w:szCs w:val="22"/>
            <w:lang w:val="it-IT"/>
          </w:rPr>
          <w:t>25</w:t>
        </w:r>
        <w:r w:rsidR="00AB7C0C" w:rsidRPr="00FB01EF">
          <w:rPr>
            <w:szCs w:val="22"/>
            <w:lang w:val="it-IT"/>
          </w:rPr>
          <w:t> </w:t>
        </w:r>
        <w:r w:rsidR="00896DC5" w:rsidRPr="00FB01EF">
          <w:rPr>
            <w:szCs w:val="22"/>
            <w:lang w:val="it-IT"/>
          </w:rPr>
          <w:t>°C</w:t>
        </w:r>
      </w:smartTag>
      <w:r w:rsidR="00896DC5" w:rsidRPr="00FB01EF">
        <w:rPr>
          <w:szCs w:val="22"/>
          <w:lang w:val="it-IT"/>
        </w:rPr>
        <w:t>.</w:t>
      </w:r>
      <w:r w:rsidR="008B1C41" w:rsidRPr="00FB01EF">
        <w:rPr>
          <w:szCs w:val="22"/>
          <w:lang w:val="it-IT"/>
        </w:rPr>
        <w:t xml:space="preserve"> </w:t>
      </w:r>
      <w:r w:rsidR="00896DC5" w:rsidRPr="00FB01EF">
        <w:rPr>
          <w:szCs w:val="22"/>
          <w:lang w:val="it-IT"/>
        </w:rPr>
        <w:t xml:space="preserve">Il paziente deve trascrivere </w:t>
      </w:r>
      <w:r w:rsidR="00AB7C0C" w:rsidRPr="00FB01EF">
        <w:rPr>
          <w:szCs w:val="22"/>
          <w:lang w:val="it-IT"/>
        </w:rPr>
        <w:t xml:space="preserve">nel diario del paziente fornito con Ovaleap </w:t>
      </w:r>
      <w:r w:rsidR="00873F98" w:rsidRPr="00FB01EF">
        <w:rPr>
          <w:szCs w:val="22"/>
          <w:lang w:val="it-IT"/>
        </w:rPr>
        <w:t xml:space="preserve">Pen </w:t>
      </w:r>
      <w:r w:rsidR="00AB7C0C" w:rsidRPr="00FB01EF">
        <w:rPr>
          <w:szCs w:val="22"/>
          <w:lang w:val="it-IT"/>
        </w:rPr>
        <w:t>la</w:t>
      </w:r>
      <w:r w:rsidR="00896DC5" w:rsidRPr="00FB01EF">
        <w:rPr>
          <w:szCs w:val="22"/>
          <w:lang w:val="it-IT"/>
        </w:rPr>
        <w:t xml:space="preserve"> data del primo utilizzo.</w:t>
      </w:r>
    </w:p>
    <w:p w:rsidR="00AB7C0C" w:rsidRPr="00FB01EF" w:rsidRDefault="00AB7C0C" w:rsidP="00496272">
      <w:pPr>
        <w:tabs>
          <w:tab w:val="clear" w:pos="567"/>
        </w:tabs>
        <w:rPr>
          <w:szCs w:val="22"/>
          <w:lang w:val="it-IT"/>
        </w:rPr>
      </w:pPr>
    </w:p>
    <w:p w:rsidR="00AB7C0C" w:rsidRPr="00FB01EF" w:rsidRDefault="00AB7C0C" w:rsidP="00496272">
      <w:pPr>
        <w:tabs>
          <w:tab w:val="clear" w:pos="567"/>
        </w:tabs>
        <w:rPr>
          <w:noProof/>
          <w:color w:val="000000"/>
          <w:szCs w:val="22"/>
          <w:lang w:val="it-IT"/>
        </w:rPr>
      </w:pPr>
      <w:r w:rsidRPr="00FB01EF">
        <w:rPr>
          <w:szCs w:val="22"/>
          <w:lang w:val="it-IT"/>
        </w:rPr>
        <w:t xml:space="preserve">Il cappuccio deve essere reinserito sulla penna dopo ogni iniezione per proteggere il </w:t>
      </w:r>
      <w:r w:rsidR="00AF202C" w:rsidRPr="00FB01EF">
        <w:rPr>
          <w:szCs w:val="22"/>
          <w:lang w:val="it-IT"/>
        </w:rPr>
        <w:t>medicinale</w:t>
      </w:r>
      <w:r w:rsidRPr="00FB01EF">
        <w:rPr>
          <w:szCs w:val="22"/>
          <w:lang w:val="it-IT"/>
        </w:rPr>
        <w:t xml:space="preserve"> dalla luce.</w:t>
      </w:r>
    </w:p>
    <w:p w:rsidR="00AD7A57" w:rsidRPr="00FB01EF" w:rsidRDefault="00AD7A57" w:rsidP="00496272">
      <w:pPr>
        <w:tabs>
          <w:tab w:val="clear" w:pos="567"/>
        </w:tabs>
        <w:rPr>
          <w:noProof/>
          <w:color w:val="000000"/>
          <w:szCs w:val="22"/>
          <w:lang w:val="it-IT"/>
        </w:rPr>
      </w:pPr>
    </w:p>
    <w:p w:rsidR="00812D16" w:rsidRPr="00FB01EF" w:rsidRDefault="00896DC5" w:rsidP="00496272">
      <w:pPr>
        <w:ind w:left="567" w:hanging="567"/>
        <w:outlineLvl w:val="0"/>
        <w:rPr>
          <w:b/>
          <w:noProof/>
          <w:szCs w:val="22"/>
          <w:lang w:val="it-IT"/>
        </w:rPr>
      </w:pPr>
      <w:r w:rsidRPr="00FB01EF">
        <w:rPr>
          <w:b/>
          <w:bCs/>
          <w:szCs w:val="22"/>
          <w:lang w:val="it-IT"/>
        </w:rPr>
        <w:t>6.4</w:t>
      </w:r>
      <w:r w:rsidRPr="00FB01EF">
        <w:rPr>
          <w:b/>
          <w:bCs/>
          <w:szCs w:val="22"/>
          <w:lang w:val="it-IT"/>
        </w:rPr>
        <w:tab/>
        <w:t>Precauzioni particolari per la conservazione</w:t>
      </w:r>
    </w:p>
    <w:p w:rsidR="005108A3" w:rsidRPr="00FB01EF" w:rsidRDefault="005108A3" w:rsidP="00496272">
      <w:pPr>
        <w:ind w:left="567" w:hanging="567"/>
        <w:outlineLvl w:val="0"/>
        <w:rPr>
          <w:noProof/>
          <w:szCs w:val="22"/>
          <w:lang w:val="it-IT"/>
        </w:rPr>
      </w:pPr>
    </w:p>
    <w:p w:rsidR="00AB7C0C" w:rsidRPr="00FB01EF" w:rsidRDefault="00896DC5" w:rsidP="00496272">
      <w:pPr>
        <w:tabs>
          <w:tab w:val="clear" w:pos="567"/>
        </w:tabs>
        <w:rPr>
          <w:szCs w:val="22"/>
          <w:lang w:val="it-IT"/>
        </w:rPr>
      </w:pPr>
      <w:r w:rsidRPr="00FB01EF">
        <w:rPr>
          <w:szCs w:val="22"/>
          <w:lang w:val="it-IT"/>
        </w:rPr>
        <w:t>Conservare in frigorifero (2</w:t>
      </w:r>
      <w:r w:rsidR="00AB7C0C" w:rsidRPr="00FB01EF">
        <w:rPr>
          <w:szCs w:val="22"/>
          <w:lang w:val="it-IT"/>
        </w:rPr>
        <w:t> </w:t>
      </w:r>
      <w:r w:rsidRPr="00FB01EF">
        <w:rPr>
          <w:szCs w:val="22"/>
          <w:lang w:val="it-IT"/>
        </w:rPr>
        <w:t>°C</w:t>
      </w:r>
      <w:r w:rsidR="00485F15" w:rsidRPr="00FB01EF">
        <w:rPr>
          <w:szCs w:val="22"/>
          <w:lang w:val="it-IT"/>
        </w:rPr>
        <w:noBreakHyphen/>
      </w:r>
      <w:r w:rsidRPr="00FB01EF">
        <w:rPr>
          <w:szCs w:val="22"/>
          <w:lang w:val="it-IT"/>
        </w:rPr>
        <w:t>8</w:t>
      </w:r>
      <w:r w:rsidR="00AB7C0C" w:rsidRPr="00FB01EF">
        <w:rPr>
          <w:szCs w:val="22"/>
          <w:lang w:val="it-IT"/>
        </w:rPr>
        <w:t> </w:t>
      </w:r>
      <w:r w:rsidRPr="00FB01EF">
        <w:rPr>
          <w:szCs w:val="22"/>
          <w:lang w:val="it-IT"/>
        </w:rPr>
        <w:t>°C).</w:t>
      </w:r>
    </w:p>
    <w:p w:rsidR="00AB7C0C" w:rsidRPr="00FB01EF" w:rsidRDefault="00AB7C0C" w:rsidP="00496272">
      <w:pPr>
        <w:tabs>
          <w:tab w:val="clear" w:pos="567"/>
        </w:tabs>
        <w:rPr>
          <w:szCs w:val="22"/>
          <w:lang w:val="it-IT"/>
        </w:rPr>
      </w:pPr>
    </w:p>
    <w:p w:rsidR="00AD7A57" w:rsidRPr="00FB01EF" w:rsidRDefault="00896DC5" w:rsidP="00496272">
      <w:pPr>
        <w:tabs>
          <w:tab w:val="clear" w:pos="567"/>
        </w:tabs>
        <w:rPr>
          <w:szCs w:val="22"/>
          <w:lang w:val="it-IT"/>
        </w:rPr>
      </w:pPr>
      <w:r w:rsidRPr="00FB01EF">
        <w:rPr>
          <w:szCs w:val="22"/>
          <w:lang w:val="it-IT"/>
        </w:rPr>
        <w:t>Non congelare.</w:t>
      </w:r>
    </w:p>
    <w:p w:rsidR="00AB7C0C" w:rsidRPr="00FB01EF" w:rsidRDefault="00AB7C0C" w:rsidP="00496272">
      <w:pPr>
        <w:tabs>
          <w:tab w:val="clear" w:pos="567"/>
        </w:tabs>
        <w:rPr>
          <w:szCs w:val="22"/>
          <w:lang w:val="it-IT"/>
        </w:rPr>
      </w:pPr>
    </w:p>
    <w:p w:rsidR="00AB7C0C" w:rsidRPr="00FB01EF" w:rsidRDefault="000F2C9E" w:rsidP="00496272">
      <w:pPr>
        <w:tabs>
          <w:tab w:val="clear" w:pos="567"/>
        </w:tabs>
        <w:rPr>
          <w:noProof/>
          <w:color w:val="000000"/>
          <w:szCs w:val="22"/>
          <w:lang w:val="it-IT"/>
        </w:rPr>
      </w:pPr>
      <w:r w:rsidRPr="00FB01EF">
        <w:rPr>
          <w:szCs w:val="22"/>
          <w:lang w:val="it-IT"/>
        </w:rPr>
        <w:t>Tenere</w:t>
      </w:r>
      <w:r w:rsidR="00AB7C0C" w:rsidRPr="00FB01EF">
        <w:rPr>
          <w:szCs w:val="22"/>
          <w:lang w:val="it-IT"/>
        </w:rPr>
        <w:t xml:space="preserve"> la cartuccia </w:t>
      </w:r>
      <w:r w:rsidRPr="00FB01EF">
        <w:rPr>
          <w:noProof/>
          <w:szCs w:val="22"/>
          <w:lang w:val="it-IT"/>
        </w:rPr>
        <w:t>nell’imballaggio esterno</w:t>
      </w:r>
      <w:r w:rsidR="00AB7C0C" w:rsidRPr="00FB01EF">
        <w:rPr>
          <w:szCs w:val="22"/>
          <w:lang w:val="it-IT"/>
        </w:rPr>
        <w:t xml:space="preserve"> per proteggere il medicinale dalla luce.</w:t>
      </w:r>
    </w:p>
    <w:p w:rsidR="00AD7A57" w:rsidRPr="00FB01EF" w:rsidRDefault="00AD7A57" w:rsidP="00496272">
      <w:pPr>
        <w:tabs>
          <w:tab w:val="clear" w:pos="567"/>
        </w:tabs>
        <w:rPr>
          <w:noProof/>
          <w:color w:val="000000"/>
          <w:szCs w:val="22"/>
          <w:lang w:val="it-IT"/>
        </w:rPr>
      </w:pPr>
    </w:p>
    <w:p w:rsidR="00AD7A57" w:rsidRPr="00FB01EF" w:rsidRDefault="00896DC5" w:rsidP="00496272">
      <w:pPr>
        <w:tabs>
          <w:tab w:val="clear" w:pos="567"/>
        </w:tabs>
        <w:rPr>
          <w:noProof/>
          <w:color w:val="000000"/>
          <w:szCs w:val="22"/>
          <w:lang w:val="it-IT"/>
        </w:rPr>
      </w:pPr>
      <w:r w:rsidRPr="00FB01EF">
        <w:rPr>
          <w:szCs w:val="22"/>
          <w:lang w:val="it-IT"/>
        </w:rPr>
        <w:t xml:space="preserve">Prima dell’apertura e nel periodo di validità, il medicinale può essere conservato fuori dal frigorifero, senza essere nuovamente refrigerato, per un massimo di </w:t>
      </w:r>
      <w:r w:rsidR="00AB7C0C" w:rsidRPr="00FB01EF">
        <w:rPr>
          <w:szCs w:val="22"/>
          <w:lang w:val="it-IT"/>
        </w:rPr>
        <w:t>3 </w:t>
      </w:r>
      <w:r w:rsidRPr="00FB01EF">
        <w:rPr>
          <w:szCs w:val="22"/>
          <w:lang w:val="it-IT"/>
        </w:rPr>
        <w:t>mesi</w:t>
      </w:r>
      <w:r w:rsidR="00DC12C2" w:rsidRPr="00FB01EF">
        <w:rPr>
          <w:szCs w:val="22"/>
          <w:lang w:val="it-IT"/>
        </w:rPr>
        <w:t>. Non conservare</w:t>
      </w:r>
      <w:r w:rsidRPr="00FB01EF">
        <w:rPr>
          <w:szCs w:val="22"/>
          <w:lang w:val="it-IT"/>
        </w:rPr>
        <w:t xml:space="preserve"> a temperatura superiore ai </w:t>
      </w:r>
      <w:smartTag w:uri="urn:schemas-microsoft-com:office:smarttags" w:element="metricconverter">
        <w:smartTagPr>
          <w:attr w:name="ProductID" w:val="25ﾠﾰC"/>
        </w:smartTagPr>
        <w:r w:rsidRPr="00FB01EF">
          <w:rPr>
            <w:szCs w:val="22"/>
            <w:lang w:val="it-IT"/>
          </w:rPr>
          <w:t>25</w:t>
        </w:r>
        <w:r w:rsidR="00AB7C0C" w:rsidRPr="00FB01EF">
          <w:rPr>
            <w:szCs w:val="22"/>
            <w:lang w:val="it-IT"/>
          </w:rPr>
          <w:t> </w:t>
        </w:r>
        <w:r w:rsidRPr="00FB01EF">
          <w:rPr>
            <w:szCs w:val="22"/>
            <w:lang w:val="it-IT"/>
          </w:rPr>
          <w:t>°C</w:t>
        </w:r>
      </w:smartTag>
      <w:r w:rsidRPr="00FB01EF">
        <w:rPr>
          <w:szCs w:val="22"/>
          <w:lang w:val="it-IT"/>
        </w:rPr>
        <w:t xml:space="preserve">. Il </w:t>
      </w:r>
      <w:r w:rsidR="00897367" w:rsidRPr="00FB01EF">
        <w:rPr>
          <w:szCs w:val="22"/>
          <w:lang w:val="it-IT"/>
        </w:rPr>
        <w:t>medicinale</w:t>
      </w:r>
      <w:r w:rsidRPr="00FB01EF">
        <w:rPr>
          <w:szCs w:val="22"/>
          <w:lang w:val="it-IT"/>
        </w:rPr>
        <w:t xml:space="preserve"> deve essere eliminato qualora, dopo </w:t>
      </w:r>
      <w:r w:rsidR="00AB7C0C" w:rsidRPr="00FB01EF">
        <w:rPr>
          <w:szCs w:val="22"/>
          <w:lang w:val="it-IT"/>
        </w:rPr>
        <w:t>3 </w:t>
      </w:r>
      <w:r w:rsidRPr="00FB01EF">
        <w:rPr>
          <w:szCs w:val="22"/>
          <w:lang w:val="it-IT"/>
        </w:rPr>
        <w:t>mesi, non sia stato utilizzato</w:t>
      </w:r>
      <w:r w:rsidR="00AD7A57" w:rsidRPr="00FB01EF">
        <w:rPr>
          <w:noProof/>
          <w:color w:val="000000"/>
          <w:szCs w:val="22"/>
          <w:lang w:val="it-IT"/>
        </w:rPr>
        <w:t>.</w:t>
      </w:r>
    </w:p>
    <w:p w:rsidR="00AD7A57" w:rsidRPr="00FB01EF" w:rsidRDefault="00AD7A57" w:rsidP="00496272">
      <w:pPr>
        <w:tabs>
          <w:tab w:val="clear" w:pos="567"/>
        </w:tabs>
        <w:rPr>
          <w:noProof/>
          <w:color w:val="000000"/>
          <w:szCs w:val="22"/>
          <w:lang w:val="it-IT"/>
        </w:rPr>
      </w:pPr>
    </w:p>
    <w:p w:rsidR="00AD7A57" w:rsidRPr="00FB01EF" w:rsidRDefault="00896DC5" w:rsidP="00496272">
      <w:pPr>
        <w:rPr>
          <w:noProof/>
          <w:szCs w:val="22"/>
          <w:lang w:val="it-IT"/>
        </w:rPr>
      </w:pPr>
      <w:r w:rsidRPr="00FB01EF">
        <w:rPr>
          <w:szCs w:val="22"/>
          <w:lang w:val="it-IT"/>
        </w:rPr>
        <w:t xml:space="preserve">Per le condizioni di conservazione </w:t>
      </w:r>
      <w:r w:rsidR="00AB7C0C" w:rsidRPr="00FB01EF">
        <w:rPr>
          <w:szCs w:val="22"/>
          <w:lang w:val="it-IT"/>
        </w:rPr>
        <w:t>dopo la prima apertura</w:t>
      </w:r>
      <w:r w:rsidRPr="00FB01EF">
        <w:rPr>
          <w:szCs w:val="22"/>
          <w:lang w:val="it-IT"/>
        </w:rPr>
        <w:t>, vedere paragrafo</w:t>
      </w:r>
      <w:r w:rsidR="00680AE2" w:rsidRPr="00FB01EF">
        <w:rPr>
          <w:szCs w:val="22"/>
          <w:lang w:val="it-IT"/>
        </w:rPr>
        <w:t> </w:t>
      </w:r>
      <w:r w:rsidRPr="00FB01EF">
        <w:rPr>
          <w:szCs w:val="22"/>
          <w:lang w:val="it-IT"/>
        </w:rPr>
        <w:t>6.3</w:t>
      </w:r>
      <w:r w:rsidR="00E973BE" w:rsidRPr="00FB01EF">
        <w:rPr>
          <w:noProof/>
          <w:szCs w:val="22"/>
          <w:lang w:val="it-IT"/>
        </w:rPr>
        <w:t>.</w:t>
      </w:r>
    </w:p>
    <w:p w:rsidR="00E973BE" w:rsidRPr="00FB01EF" w:rsidRDefault="00E973BE" w:rsidP="00496272">
      <w:pPr>
        <w:rPr>
          <w:noProof/>
          <w:szCs w:val="22"/>
          <w:lang w:val="it-IT"/>
        </w:rPr>
      </w:pPr>
    </w:p>
    <w:p w:rsidR="00812D16" w:rsidRPr="00FB01EF" w:rsidRDefault="00896DC5" w:rsidP="00496272">
      <w:pPr>
        <w:outlineLvl w:val="0"/>
        <w:rPr>
          <w:b/>
          <w:noProof/>
          <w:szCs w:val="22"/>
          <w:lang w:val="it-IT"/>
        </w:rPr>
      </w:pPr>
      <w:r w:rsidRPr="00FB01EF">
        <w:rPr>
          <w:b/>
          <w:bCs/>
          <w:szCs w:val="22"/>
          <w:lang w:val="it-IT"/>
        </w:rPr>
        <w:t>6.5</w:t>
      </w:r>
      <w:r w:rsidRPr="00FB01EF">
        <w:rPr>
          <w:b/>
          <w:bCs/>
          <w:szCs w:val="22"/>
          <w:lang w:val="it-IT"/>
        </w:rPr>
        <w:tab/>
        <w:t>Natura e contenuto del contenitore</w:t>
      </w:r>
    </w:p>
    <w:p w:rsidR="00412844" w:rsidRPr="00FB01EF" w:rsidRDefault="00412844" w:rsidP="00496272">
      <w:pPr>
        <w:rPr>
          <w:noProof/>
          <w:szCs w:val="22"/>
          <w:lang w:val="it-IT"/>
        </w:rPr>
      </w:pPr>
    </w:p>
    <w:p w:rsidR="008E6C7B" w:rsidRPr="00FB01EF" w:rsidRDefault="008E6C7B" w:rsidP="00496272">
      <w:pPr>
        <w:rPr>
          <w:szCs w:val="22"/>
          <w:u w:val="single"/>
          <w:lang w:val="it-IT"/>
        </w:rPr>
      </w:pPr>
      <w:r w:rsidRPr="00FB01EF">
        <w:rPr>
          <w:szCs w:val="22"/>
          <w:u w:val="single"/>
          <w:lang w:val="it-IT"/>
        </w:rPr>
        <w:t>Ovaleap 300 UI/0,5 mL soluzione iniettabile</w:t>
      </w:r>
    </w:p>
    <w:p w:rsidR="00ED29DD" w:rsidRPr="00FB01EF" w:rsidRDefault="00DC12C2" w:rsidP="00496272">
      <w:pPr>
        <w:rPr>
          <w:noProof/>
          <w:color w:val="000000"/>
          <w:szCs w:val="22"/>
          <w:lang w:val="it-IT"/>
        </w:rPr>
      </w:pPr>
      <w:r w:rsidRPr="00FB01EF">
        <w:rPr>
          <w:szCs w:val="22"/>
          <w:lang w:val="it-IT"/>
        </w:rPr>
        <w:t>C</w:t>
      </w:r>
      <w:r w:rsidR="00896DC5" w:rsidRPr="00FB01EF">
        <w:rPr>
          <w:szCs w:val="22"/>
          <w:lang w:val="it-IT"/>
        </w:rPr>
        <w:t xml:space="preserve">artuccia (vetro </w:t>
      </w:r>
      <w:r w:rsidR="000F2C9E" w:rsidRPr="00FB01EF">
        <w:rPr>
          <w:szCs w:val="22"/>
          <w:lang w:val="it-IT"/>
        </w:rPr>
        <w:t>t</w:t>
      </w:r>
      <w:r w:rsidR="00896DC5" w:rsidRPr="00FB01EF">
        <w:rPr>
          <w:szCs w:val="22"/>
          <w:lang w:val="it-IT"/>
        </w:rPr>
        <w:t>ipo</w:t>
      </w:r>
      <w:r w:rsidR="009F580C" w:rsidRPr="00FB01EF">
        <w:rPr>
          <w:szCs w:val="22"/>
          <w:lang w:val="it-IT"/>
        </w:rPr>
        <w:t> </w:t>
      </w:r>
      <w:r w:rsidR="00896DC5" w:rsidRPr="00FB01EF">
        <w:rPr>
          <w:szCs w:val="22"/>
          <w:lang w:val="it-IT"/>
        </w:rPr>
        <w:t xml:space="preserve">I) con stantuffo </w:t>
      </w:r>
      <w:r w:rsidR="00ED29DD" w:rsidRPr="00FB01EF">
        <w:rPr>
          <w:szCs w:val="22"/>
          <w:lang w:val="it-IT"/>
        </w:rPr>
        <w:t xml:space="preserve">in gomma </w:t>
      </w:r>
      <w:r w:rsidR="00896DC5" w:rsidRPr="00FB01EF">
        <w:rPr>
          <w:szCs w:val="22"/>
          <w:lang w:val="it-IT"/>
        </w:rPr>
        <w:t xml:space="preserve">(gomma </w:t>
      </w:r>
      <w:r w:rsidR="00ED29DD" w:rsidRPr="00FB01EF">
        <w:rPr>
          <w:szCs w:val="22"/>
          <w:lang w:val="it-IT"/>
        </w:rPr>
        <w:t>bromobutilica</w:t>
      </w:r>
      <w:r w:rsidR="00896DC5" w:rsidRPr="00FB01EF">
        <w:rPr>
          <w:szCs w:val="22"/>
          <w:lang w:val="it-IT"/>
        </w:rPr>
        <w:t xml:space="preserve">) e capsula di chiusura modellata </w:t>
      </w:r>
      <w:r w:rsidR="00ED29DD" w:rsidRPr="00FB01EF">
        <w:rPr>
          <w:szCs w:val="22"/>
          <w:lang w:val="it-IT"/>
        </w:rPr>
        <w:t>(</w:t>
      </w:r>
      <w:r w:rsidR="00896DC5" w:rsidRPr="00FB01EF">
        <w:rPr>
          <w:szCs w:val="22"/>
          <w:lang w:val="it-IT"/>
        </w:rPr>
        <w:t>alluminio</w:t>
      </w:r>
      <w:r w:rsidR="00ED29DD" w:rsidRPr="00FB01EF">
        <w:rPr>
          <w:szCs w:val="22"/>
          <w:lang w:val="it-IT"/>
        </w:rPr>
        <w:t>)</w:t>
      </w:r>
      <w:r w:rsidR="00896DC5" w:rsidRPr="00FB01EF">
        <w:rPr>
          <w:szCs w:val="22"/>
          <w:lang w:val="it-IT"/>
        </w:rPr>
        <w:t xml:space="preserve"> </w:t>
      </w:r>
      <w:r w:rsidR="00ED29DD" w:rsidRPr="00FB01EF">
        <w:rPr>
          <w:szCs w:val="22"/>
          <w:lang w:val="it-IT"/>
        </w:rPr>
        <w:t>con setto (gomma bromobutilica)</w:t>
      </w:r>
      <w:r w:rsidRPr="00FB01EF">
        <w:rPr>
          <w:szCs w:val="22"/>
          <w:lang w:val="it-IT"/>
        </w:rPr>
        <w:t>, contenente 0,5 mL di soluzione.</w:t>
      </w:r>
    </w:p>
    <w:p w:rsidR="00DC12C2" w:rsidRPr="00FB01EF" w:rsidRDefault="00DC12C2" w:rsidP="00496272">
      <w:pPr>
        <w:rPr>
          <w:noProof/>
          <w:color w:val="000000"/>
          <w:szCs w:val="22"/>
          <w:lang w:val="it-IT"/>
        </w:rPr>
      </w:pPr>
      <w:r w:rsidRPr="00FB01EF">
        <w:rPr>
          <w:szCs w:val="22"/>
          <w:lang w:val="it-IT"/>
        </w:rPr>
        <w:t>Aghi per iniezione (acciaio inossidabile</w:t>
      </w:r>
      <w:r w:rsidR="00E64C42" w:rsidRPr="00FB01EF">
        <w:rPr>
          <w:szCs w:val="22"/>
          <w:lang w:val="it-IT"/>
        </w:rPr>
        <w:t xml:space="preserve">; </w:t>
      </w:r>
      <w:r w:rsidRPr="00FB01EF">
        <w:rPr>
          <w:szCs w:val="22"/>
          <w:lang w:val="it-IT"/>
        </w:rPr>
        <w:t>0,33 mm</w:t>
      </w:r>
      <w:r w:rsidR="00DF1508" w:rsidRPr="00FB01EF">
        <w:rPr>
          <w:szCs w:val="22"/>
          <w:lang w:val="it-IT"/>
        </w:rPr>
        <w:t> x </w:t>
      </w:r>
      <w:r w:rsidRPr="00FB01EF">
        <w:rPr>
          <w:szCs w:val="22"/>
          <w:lang w:val="it-IT"/>
        </w:rPr>
        <w:t xml:space="preserve">12 mm, </w:t>
      </w:r>
      <w:r w:rsidRPr="00FB01EF">
        <w:rPr>
          <w:noProof/>
          <w:color w:val="000000"/>
          <w:szCs w:val="22"/>
          <w:lang w:val="it-IT"/>
        </w:rPr>
        <w:t>29 G x ½").</w:t>
      </w:r>
    </w:p>
    <w:p w:rsidR="00DC12C2" w:rsidRPr="00FB01EF" w:rsidRDefault="00DC12C2" w:rsidP="00496272">
      <w:pPr>
        <w:rPr>
          <w:noProof/>
          <w:color w:val="000000"/>
          <w:szCs w:val="22"/>
          <w:lang w:val="it-IT"/>
        </w:rPr>
      </w:pPr>
    </w:p>
    <w:p w:rsidR="00E973BE" w:rsidRPr="00FB01EF" w:rsidRDefault="00896DC5" w:rsidP="00496272">
      <w:pPr>
        <w:rPr>
          <w:noProof/>
          <w:szCs w:val="22"/>
          <w:lang w:val="it-IT"/>
        </w:rPr>
      </w:pPr>
      <w:r w:rsidRPr="00FB01EF">
        <w:rPr>
          <w:szCs w:val="22"/>
          <w:lang w:val="it-IT"/>
        </w:rPr>
        <w:t xml:space="preserve">Confezione da </w:t>
      </w:r>
      <w:r w:rsidR="00ED29DD" w:rsidRPr="00FB01EF">
        <w:rPr>
          <w:szCs w:val="22"/>
          <w:lang w:val="it-IT"/>
        </w:rPr>
        <w:t>1 cartuccia</w:t>
      </w:r>
      <w:r w:rsidRPr="00FB01EF">
        <w:rPr>
          <w:szCs w:val="22"/>
          <w:lang w:val="it-IT"/>
        </w:rPr>
        <w:t xml:space="preserve"> e </w:t>
      </w:r>
      <w:r w:rsidR="00ED29DD" w:rsidRPr="00FB01EF">
        <w:rPr>
          <w:szCs w:val="22"/>
          <w:lang w:val="it-IT"/>
        </w:rPr>
        <w:t>10 </w:t>
      </w:r>
      <w:r w:rsidRPr="00FB01EF">
        <w:rPr>
          <w:szCs w:val="22"/>
          <w:lang w:val="it-IT"/>
        </w:rPr>
        <w:t xml:space="preserve">aghi </w:t>
      </w:r>
      <w:r w:rsidR="00ED29DD" w:rsidRPr="00FB01EF">
        <w:rPr>
          <w:szCs w:val="22"/>
          <w:lang w:val="it-IT"/>
        </w:rPr>
        <w:t>per iniezione</w:t>
      </w:r>
      <w:r w:rsidR="00E973BE" w:rsidRPr="00FB01EF">
        <w:rPr>
          <w:noProof/>
          <w:szCs w:val="22"/>
          <w:lang w:val="it-IT"/>
        </w:rPr>
        <w:t>.</w:t>
      </w:r>
    </w:p>
    <w:p w:rsidR="00ED29DD" w:rsidRPr="00FB01EF" w:rsidRDefault="00ED29DD" w:rsidP="00496272">
      <w:pPr>
        <w:rPr>
          <w:noProof/>
          <w:szCs w:val="22"/>
          <w:lang w:val="it-IT"/>
        </w:rPr>
      </w:pPr>
    </w:p>
    <w:p w:rsidR="00ED29DD" w:rsidRPr="00FB01EF" w:rsidRDefault="00ED29DD" w:rsidP="00ED29DD">
      <w:pPr>
        <w:rPr>
          <w:szCs w:val="22"/>
          <w:lang w:val="it-IT"/>
        </w:rPr>
      </w:pPr>
      <w:r w:rsidRPr="00FB01EF">
        <w:rPr>
          <w:szCs w:val="22"/>
          <w:lang w:val="it-IT"/>
        </w:rPr>
        <w:t>È possibile che non tutte le confezioni siano commercializzate.</w:t>
      </w:r>
    </w:p>
    <w:p w:rsidR="008E6C7B" w:rsidRPr="00FB01EF" w:rsidRDefault="008E6C7B" w:rsidP="00ED29DD">
      <w:pPr>
        <w:rPr>
          <w:szCs w:val="22"/>
          <w:lang w:val="it-IT"/>
        </w:rPr>
      </w:pPr>
    </w:p>
    <w:p w:rsidR="008E6C7B" w:rsidRPr="00FB01EF" w:rsidRDefault="008E6C7B" w:rsidP="008E6C7B">
      <w:pPr>
        <w:rPr>
          <w:szCs w:val="22"/>
          <w:u w:val="single"/>
          <w:lang w:val="it-IT"/>
        </w:rPr>
      </w:pPr>
      <w:r w:rsidRPr="00FB01EF">
        <w:rPr>
          <w:szCs w:val="22"/>
          <w:u w:val="single"/>
          <w:lang w:val="it-IT"/>
        </w:rPr>
        <w:t>Ovaleap 450 UI/0,75 mL soluzione iniettabile</w:t>
      </w:r>
    </w:p>
    <w:p w:rsidR="008E6C7B" w:rsidRPr="00FB01EF" w:rsidRDefault="008E6C7B" w:rsidP="008E6C7B">
      <w:pPr>
        <w:rPr>
          <w:noProof/>
          <w:color w:val="000000"/>
          <w:szCs w:val="22"/>
          <w:lang w:val="it-IT"/>
        </w:rPr>
      </w:pPr>
      <w:r w:rsidRPr="00FB01EF">
        <w:rPr>
          <w:szCs w:val="22"/>
          <w:lang w:val="it-IT"/>
        </w:rPr>
        <w:t>Cartuccia (vetro tipo I) con stantuffo in gomma (gomma bromobutilica) e capsula di chiusura modellata (alluminio) con setto (gomma bromobutilica), contenente 0,75 mL di soluzione.</w:t>
      </w:r>
    </w:p>
    <w:p w:rsidR="008E6C7B" w:rsidRPr="00FB01EF" w:rsidRDefault="008E6C7B" w:rsidP="008E6C7B">
      <w:pPr>
        <w:rPr>
          <w:noProof/>
          <w:color w:val="000000"/>
          <w:szCs w:val="22"/>
          <w:lang w:val="it-IT"/>
        </w:rPr>
      </w:pPr>
      <w:r w:rsidRPr="00FB01EF">
        <w:rPr>
          <w:szCs w:val="22"/>
          <w:lang w:val="it-IT"/>
        </w:rPr>
        <w:t xml:space="preserve">Aghi per iniezione (acciaio inossidabile; 0,33 mm x 12 mm, </w:t>
      </w:r>
      <w:r w:rsidRPr="00FB01EF">
        <w:rPr>
          <w:noProof/>
          <w:color w:val="000000"/>
          <w:szCs w:val="22"/>
          <w:lang w:val="it-IT"/>
        </w:rPr>
        <w:t>29 G x ½").</w:t>
      </w:r>
    </w:p>
    <w:p w:rsidR="008E6C7B" w:rsidRPr="00FB01EF" w:rsidRDefault="008E6C7B" w:rsidP="008E6C7B">
      <w:pPr>
        <w:rPr>
          <w:noProof/>
          <w:color w:val="000000"/>
          <w:szCs w:val="22"/>
          <w:lang w:val="it-IT"/>
        </w:rPr>
      </w:pPr>
    </w:p>
    <w:p w:rsidR="008E6C7B" w:rsidRPr="00FB01EF" w:rsidRDefault="008E6C7B" w:rsidP="008E6C7B">
      <w:pPr>
        <w:rPr>
          <w:noProof/>
          <w:szCs w:val="22"/>
          <w:lang w:val="it-IT"/>
        </w:rPr>
      </w:pPr>
      <w:r w:rsidRPr="00FB01EF">
        <w:rPr>
          <w:szCs w:val="22"/>
          <w:lang w:val="it-IT"/>
        </w:rPr>
        <w:t>Confezione da 1 cartuccia e 10 aghi per iniezione</w:t>
      </w:r>
      <w:r w:rsidRPr="00FB01EF">
        <w:rPr>
          <w:noProof/>
          <w:szCs w:val="22"/>
          <w:lang w:val="it-IT"/>
        </w:rPr>
        <w:t>.</w:t>
      </w:r>
    </w:p>
    <w:p w:rsidR="008E6C7B" w:rsidRPr="00FB01EF" w:rsidRDefault="008E6C7B" w:rsidP="008E6C7B">
      <w:pPr>
        <w:rPr>
          <w:noProof/>
          <w:szCs w:val="22"/>
          <w:lang w:val="it-IT"/>
        </w:rPr>
      </w:pPr>
    </w:p>
    <w:p w:rsidR="008E6C7B" w:rsidRPr="00FB01EF" w:rsidRDefault="008E6C7B" w:rsidP="008E6C7B">
      <w:pPr>
        <w:rPr>
          <w:szCs w:val="22"/>
          <w:lang w:val="it-IT"/>
        </w:rPr>
      </w:pPr>
      <w:r w:rsidRPr="00FB01EF">
        <w:rPr>
          <w:szCs w:val="22"/>
          <w:lang w:val="it-IT"/>
        </w:rPr>
        <w:t>È possibile che non tutte le confezioni siano commercializzate.</w:t>
      </w:r>
    </w:p>
    <w:p w:rsidR="008E6C7B" w:rsidRPr="00FB01EF" w:rsidRDefault="008E6C7B" w:rsidP="008E6C7B">
      <w:pPr>
        <w:rPr>
          <w:szCs w:val="22"/>
          <w:lang w:val="it-IT"/>
        </w:rPr>
      </w:pPr>
    </w:p>
    <w:p w:rsidR="008E6C7B" w:rsidRPr="00FB01EF" w:rsidRDefault="008E6C7B" w:rsidP="008E6C7B">
      <w:pPr>
        <w:rPr>
          <w:szCs w:val="22"/>
          <w:u w:val="single"/>
          <w:lang w:val="it-IT"/>
        </w:rPr>
      </w:pPr>
      <w:r w:rsidRPr="00FB01EF">
        <w:rPr>
          <w:szCs w:val="22"/>
          <w:u w:val="single"/>
          <w:lang w:val="it-IT"/>
        </w:rPr>
        <w:t>Ovaleap 900 UI/1,5 mL soluzione iniettabile</w:t>
      </w:r>
    </w:p>
    <w:p w:rsidR="008E6C7B" w:rsidRPr="00FB01EF" w:rsidRDefault="008E6C7B" w:rsidP="008E6C7B">
      <w:pPr>
        <w:rPr>
          <w:noProof/>
          <w:color w:val="000000"/>
          <w:szCs w:val="22"/>
          <w:lang w:val="it-IT"/>
        </w:rPr>
      </w:pPr>
      <w:r w:rsidRPr="00FB01EF">
        <w:rPr>
          <w:szCs w:val="22"/>
          <w:lang w:val="it-IT"/>
        </w:rPr>
        <w:t>Cartuccia (vetro tipo I) con stantuffo in gomma (gomma bromobutilica) e capsula di chiusura modellata (alluminio) con setto (gomma bromobutilica), contenente 1,5 mL di soluzione.</w:t>
      </w:r>
    </w:p>
    <w:p w:rsidR="008E6C7B" w:rsidRPr="00FB01EF" w:rsidRDefault="008E6C7B" w:rsidP="008E6C7B">
      <w:pPr>
        <w:rPr>
          <w:noProof/>
          <w:color w:val="000000"/>
          <w:szCs w:val="22"/>
          <w:lang w:val="it-IT"/>
        </w:rPr>
      </w:pPr>
      <w:r w:rsidRPr="00FB01EF">
        <w:rPr>
          <w:szCs w:val="22"/>
          <w:lang w:val="it-IT"/>
        </w:rPr>
        <w:t xml:space="preserve">Aghi per iniezione (acciaio inossidabile; 0,33 mm x 12 mm, </w:t>
      </w:r>
      <w:r w:rsidRPr="00FB01EF">
        <w:rPr>
          <w:noProof/>
          <w:color w:val="000000"/>
          <w:szCs w:val="22"/>
          <w:lang w:val="it-IT"/>
        </w:rPr>
        <w:t>29 G x ½").</w:t>
      </w:r>
    </w:p>
    <w:p w:rsidR="008E6C7B" w:rsidRPr="00FB01EF" w:rsidRDefault="008E6C7B" w:rsidP="008E6C7B">
      <w:pPr>
        <w:rPr>
          <w:noProof/>
          <w:color w:val="000000"/>
          <w:szCs w:val="22"/>
          <w:lang w:val="it-IT"/>
        </w:rPr>
      </w:pPr>
    </w:p>
    <w:p w:rsidR="008E6C7B" w:rsidRPr="00FB01EF" w:rsidRDefault="008E6C7B" w:rsidP="008E6C7B">
      <w:pPr>
        <w:rPr>
          <w:noProof/>
          <w:szCs w:val="22"/>
          <w:lang w:val="it-IT"/>
        </w:rPr>
      </w:pPr>
      <w:r w:rsidRPr="00FB01EF">
        <w:rPr>
          <w:szCs w:val="22"/>
          <w:lang w:val="it-IT"/>
        </w:rPr>
        <w:t>Confezione da 1 cartuccia e 20 aghi per iniezione</w:t>
      </w:r>
      <w:r w:rsidRPr="00FB01EF">
        <w:rPr>
          <w:noProof/>
          <w:szCs w:val="22"/>
          <w:lang w:val="it-IT"/>
        </w:rPr>
        <w:t>.</w:t>
      </w:r>
    </w:p>
    <w:p w:rsidR="008E6C7B" w:rsidRPr="00FB01EF" w:rsidRDefault="008E6C7B" w:rsidP="008E6C7B">
      <w:pPr>
        <w:rPr>
          <w:noProof/>
          <w:szCs w:val="22"/>
          <w:lang w:val="it-IT"/>
        </w:rPr>
      </w:pPr>
    </w:p>
    <w:p w:rsidR="008E6C7B" w:rsidRPr="00FB01EF" w:rsidRDefault="008E6C7B" w:rsidP="008E6C7B">
      <w:pPr>
        <w:rPr>
          <w:noProof/>
          <w:szCs w:val="22"/>
          <w:lang w:val="it-IT"/>
        </w:rPr>
      </w:pPr>
      <w:r w:rsidRPr="00FB01EF">
        <w:rPr>
          <w:szCs w:val="22"/>
          <w:lang w:val="it-IT"/>
        </w:rPr>
        <w:t>È possibile che non tutte le confezioni siano commercializzate.</w:t>
      </w:r>
    </w:p>
    <w:p w:rsidR="00E973BE" w:rsidRPr="00FB01EF" w:rsidRDefault="00E973BE" w:rsidP="00496272">
      <w:pPr>
        <w:rPr>
          <w:noProof/>
          <w:szCs w:val="22"/>
          <w:lang w:val="it-IT"/>
        </w:rPr>
      </w:pPr>
    </w:p>
    <w:p w:rsidR="00812D16" w:rsidRPr="00FB01EF" w:rsidRDefault="00896DC5" w:rsidP="00496272">
      <w:pPr>
        <w:ind w:left="567" w:hanging="567"/>
        <w:outlineLvl w:val="0"/>
        <w:rPr>
          <w:noProof/>
          <w:szCs w:val="22"/>
          <w:lang w:val="it-IT"/>
        </w:rPr>
      </w:pPr>
      <w:bookmarkStart w:id="1" w:name="OLE_LINK1"/>
      <w:r w:rsidRPr="00FB01EF">
        <w:rPr>
          <w:b/>
          <w:bCs/>
          <w:szCs w:val="22"/>
          <w:lang w:val="it-IT"/>
        </w:rPr>
        <w:t>6.6</w:t>
      </w:r>
      <w:r w:rsidRPr="00FB01EF">
        <w:rPr>
          <w:b/>
          <w:bCs/>
          <w:szCs w:val="22"/>
          <w:lang w:val="it-IT"/>
        </w:rPr>
        <w:tab/>
        <w:t>Precauzioni particolari per lo smaltimento e la manipolazione</w:t>
      </w:r>
    </w:p>
    <w:bookmarkEnd w:id="1"/>
    <w:p w:rsidR="00AD7A57" w:rsidRPr="00FB01EF" w:rsidRDefault="00AD7A57" w:rsidP="00496272">
      <w:pPr>
        <w:rPr>
          <w:noProof/>
          <w:szCs w:val="22"/>
          <w:lang w:val="it-IT"/>
        </w:rPr>
      </w:pPr>
    </w:p>
    <w:p w:rsidR="00DC12C2" w:rsidRPr="00FB01EF" w:rsidRDefault="00DC12C2" w:rsidP="00DC12C2">
      <w:pPr>
        <w:tabs>
          <w:tab w:val="clear" w:pos="567"/>
        </w:tabs>
        <w:rPr>
          <w:noProof/>
          <w:color w:val="000000"/>
          <w:szCs w:val="22"/>
          <w:lang w:val="it-IT"/>
        </w:rPr>
      </w:pPr>
      <w:r w:rsidRPr="00FB01EF">
        <w:rPr>
          <w:szCs w:val="22"/>
          <w:lang w:val="it-IT"/>
        </w:rPr>
        <w:t>Nessuna istruzione particolare per lo smaltimento</w:t>
      </w:r>
      <w:r w:rsidRPr="00FB01EF">
        <w:rPr>
          <w:noProof/>
          <w:szCs w:val="22"/>
          <w:lang w:val="it-IT"/>
        </w:rPr>
        <w:t>.</w:t>
      </w:r>
    </w:p>
    <w:p w:rsidR="00DC12C2" w:rsidRPr="00FB01EF" w:rsidRDefault="00DC12C2" w:rsidP="00496272">
      <w:pPr>
        <w:tabs>
          <w:tab w:val="clear" w:pos="567"/>
        </w:tabs>
        <w:rPr>
          <w:szCs w:val="22"/>
          <w:lang w:val="it-IT"/>
        </w:rPr>
      </w:pPr>
    </w:p>
    <w:p w:rsidR="00ED29DD" w:rsidRPr="00FB01EF" w:rsidRDefault="00896DC5" w:rsidP="00496272">
      <w:pPr>
        <w:tabs>
          <w:tab w:val="clear" w:pos="567"/>
        </w:tabs>
        <w:rPr>
          <w:szCs w:val="22"/>
          <w:lang w:val="it-IT"/>
        </w:rPr>
      </w:pPr>
      <w:r w:rsidRPr="00FB01EF">
        <w:rPr>
          <w:szCs w:val="22"/>
          <w:lang w:val="it-IT"/>
        </w:rPr>
        <w:t xml:space="preserve">La soluzione non deve essere </w:t>
      </w:r>
      <w:r w:rsidR="00ED29DD" w:rsidRPr="00FB01EF">
        <w:rPr>
          <w:szCs w:val="22"/>
          <w:lang w:val="it-IT"/>
        </w:rPr>
        <w:t xml:space="preserve">usata </w:t>
      </w:r>
      <w:r w:rsidRPr="00FB01EF">
        <w:rPr>
          <w:szCs w:val="22"/>
          <w:lang w:val="it-IT"/>
        </w:rPr>
        <w:t xml:space="preserve">se contiene particelle o se </w:t>
      </w:r>
      <w:r w:rsidR="00ED29DD" w:rsidRPr="00FB01EF">
        <w:rPr>
          <w:szCs w:val="22"/>
          <w:lang w:val="it-IT"/>
        </w:rPr>
        <w:t xml:space="preserve">la soluzione </w:t>
      </w:r>
      <w:r w:rsidRPr="00FB01EF">
        <w:rPr>
          <w:szCs w:val="22"/>
          <w:lang w:val="it-IT"/>
        </w:rPr>
        <w:t>non è limpida.</w:t>
      </w:r>
    </w:p>
    <w:p w:rsidR="00ED29DD" w:rsidRPr="00FB01EF" w:rsidRDefault="00ED29DD" w:rsidP="00496272">
      <w:pPr>
        <w:tabs>
          <w:tab w:val="clear" w:pos="567"/>
        </w:tabs>
        <w:rPr>
          <w:szCs w:val="22"/>
          <w:lang w:val="it-IT"/>
        </w:rPr>
      </w:pPr>
    </w:p>
    <w:p w:rsidR="00ED29DD" w:rsidRPr="00FB01EF" w:rsidRDefault="009E17E8" w:rsidP="00496272">
      <w:pPr>
        <w:tabs>
          <w:tab w:val="clear" w:pos="567"/>
        </w:tabs>
        <w:rPr>
          <w:szCs w:val="22"/>
          <w:lang w:val="it-IT"/>
        </w:rPr>
      </w:pPr>
      <w:r w:rsidRPr="00FB01EF">
        <w:rPr>
          <w:szCs w:val="22"/>
          <w:lang w:val="it-IT"/>
        </w:rPr>
        <w:t xml:space="preserve">La cartuccia di </w:t>
      </w:r>
      <w:r w:rsidR="00ED29DD" w:rsidRPr="00FB01EF">
        <w:rPr>
          <w:szCs w:val="22"/>
          <w:lang w:val="it-IT"/>
        </w:rPr>
        <w:t>Ovaleap è progettat</w:t>
      </w:r>
      <w:r w:rsidRPr="00FB01EF">
        <w:rPr>
          <w:szCs w:val="22"/>
          <w:lang w:val="it-IT"/>
        </w:rPr>
        <w:t>a</w:t>
      </w:r>
      <w:r w:rsidR="00ED29DD" w:rsidRPr="00FB01EF">
        <w:rPr>
          <w:szCs w:val="22"/>
          <w:lang w:val="it-IT"/>
        </w:rPr>
        <w:t xml:space="preserve"> per </w:t>
      </w:r>
      <w:r w:rsidR="000F2C9E" w:rsidRPr="00FB01EF">
        <w:rPr>
          <w:szCs w:val="22"/>
          <w:lang w:val="it-IT"/>
        </w:rPr>
        <w:t>essere utilizzat</w:t>
      </w:r>
      <w:r w:rsidRPr="00FB01EF">
        <w:rPr>
          <w:szCs w:val="22"/>
          <w:lang w:val="it-IT"/>
        </w:rPr>
        <w:t>a</w:t>
      </w:r>
      <w:r w:rsidR="00ED29DD" w:rsidRPr="00FB01EF">
        <w:rPr>
          <w:szCs w:val="22"/>
          <w:lang w:val="it-IT"/>
        </w:rPr>
        <w:t xml:space="preserve"> esclusivamente insieme a Ovaleap</w:t>
      </w:r>
      <w:r w:rsidR="00873F98" w:rsidRPr="00FB01EF">
        <w:rPr>
          <w:szCs w:val="22"/>
          <w:lang w:val="it-IT"/>
        </w:rPr>
        <w:t xml:space="preserve"> Pen</w:t>
      </w:r>
      <w:r w:rsidR="00ED29DD" w:rsidRPr="00FB01EF">
        <w:rPr>
          <w:szCs w:val="22"/>
          <w:lang w:val="it-IT"/>
        </w:rPr>
        <w:t>.</w:t>
      </w:r>
      <w:r w:rsidR="008B1C41" w:rsidRPr="00FB01EF">
        <w:rPr>
          <w:szCs w:val="22"/>
          <w:lang w:val="it-IT"/>
        </w:rPr>
        <w:t xml:space="preserve"> </w:t>
      </w:r>
      <w:r w:rsidR="00ED29DD" w:rsidRPr="00FB01EF">
        <w:rPr>
          <w:szCs w:val="22"/>
          <w:lang w:val="it-IT"/>
        </w:rPr>
        <w:t>È necessario seguire attentamente le istruzioni per l’uso della penna.</w:t>
      </w:r>
    </w:p>
    <w:p w:rsidR="00ED29DD" w:rsidRPr="00FB01EF" w:rsidRDefault="00ED29DD" w:rsidP="00496272">
      <w:pPr>
        <w:tabs>
          <w:tab w:val="clear" w:pos="567"/>
        </w:tabs>
        <w:rPr>
          <w:szCs w:val="22"/>
          <w:lang w:val="it-IT"/>
        </w:rPr>
      </w:pPr>
    </w:p>
    <w:p w:rsidR="00AD7A57" w:rsidRPr="00FB01EF" w:rsidRDefault="00ED29DD" w:rsidP="00496272">
      <w:pPr>
        <w:tabs>
          <w:tab w:val="clear" w:pos="567"/>
        </w:tabs>
        <w:rPr>
          <w:noProof/>
          <w:color w:val="000000"/>
          <w:szCs w:val="22"/>
          <w:lang w:val="it-IT"/>
        </w:rPr>
      </w:pPr>
      <w:r w:rsidRPr="00FB01EF">
        <w:rPr>
          <w:szCs w:val="22"/>
          <w:lang w:val="it-IT"/>
        </w:rPr>
        <w:t>Ogni</w:t>
      </w:r>
      <w:r w:rsidR="00896DC5" w:rsidRPr="00FB01EF">
        <w:rPr>
          <w:szCs w:val="22"/>
          <w:lang w:val="it-IT"/>
        </w:rPr>
        <w:t xml:space="preserve"> cartuccia</w:t>
      </w:r>
      <w:r w:rsidRPr="00FB01EF">
        <w:rPr>
          <w:szCs w:val="22"/>
          <w:lang w:val="it-IT"/>
        </w:rPr>
        <w:t xml:space="preserve"> deve essere usata </w:t>
      </w:r>
      <w:r w:rsidR="000F2C9E" w:rsidRPr="00FB01EF">
        <w:rPr>
          <w:szCs w:val="22"/>
          <w:lang w:val="it-IT"/>
        </w:rPr>
        <w:t xml:space="preserve">esclusivamente </w:t>
      </w:r>
      <w:r w:rsidRPr="00FB01EF">
        <w:rPr>
          <w:szCs w:val="22"/>
          <w:lang w:val="it-IT"/>
        </w:rPr>
        <w:t>da un singolo paziente</w:t>
      </w:r>
      <w:r w:rsidR="00AD7A57" w:rsidRPr="00FB01EF">
        <w:rPr>
          <w:noProof/>
          <w:color w:val="000000"/>
          <w:szCs w:val="22"/>
          <w:lang w:val="it-IT"/>
        </w:rPr>
        <w:t>.</w:t>
      </w:r>
    </w:p>
    <w:p w:rsidR="008B1C41" w:rsidRPr="00FB01EF" w:rsidRDefault="008B1C41" w:rsidP="00496272">
      <w:pPr>
        <w:tabs>
          <w:tab w:val="clear" w:pos="567"/>
        </w:tabs>
        <w:rPr>
          <w:szCs w:val="22"/>
          <w:lang w:val="it-IT"/>
        </w:rPr>
      </w:pPr>
    </w:p>
    <w:p w:rsidR="00AD7A57" w:rsidRPr="00FB01EF" w:rsidRDefault="00400FF5" w:rsidP="00496272">
      <w:pPr>
        <w:tabs>
          <w:tab w:val="clear" w:pos="567"/>
        </w:tabs>
        <w:rPr>
          <w:szCs w:val="22"/>
          <w:lang w:val="it-IT"/>
        </w:rPr>
      </w:pPr>
      <w:r w:rsidRPr="00FB01EF">
        <w:rPr>
          <w:szCs w:val="22"/>
          <w:lang w:val="it-IT"/>
        </w:rPr>
        <w:t>Le cartucce vuote non devono essere nuovamente riempite. Le cartucce di Ovaleap non sono progettate per consentire di miscelarvi altri medicinali.</w:t>
      </w:r>
      <w:r w:rsidR="008B1C41" w:rsidRPr="00FB01EF">
        <w:rPr>
          <w:szCs w:val="22"/>
          <w:lang w:val="it-IT"/>
        </w:rPr>
        <w:t xml:space="preserve"> </w:t>
      </w:r>
      <w:r w:rsidR="00896DC5" w:rsidRPr="00FB01EF">
        <w:rPr>
          <w:szCs w:val="22"/>
          <w:lang w:val="it-IT"/>
        </w:rPr>
        <w:t>Eliminare gli aghi utilizzati subito dopo l’iniezione</w:t>
      </w:r>
      <w:r w:rsidR="007F068A" w:rsidRPr="00FB01EF">
        <w:rPr>
          <w:szCs w:val="22"/>
          <w:lang w:val="it-IT"/>
        </w:rPr>
        <w:t>.</w:t>
      </w:r>
    </w:p>
    <w:p w:rsidR="00AD7A57" w:rsidRPr="00FB01EF" w:rsidRDefault="00AD7A57"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ind w:left="567" w:hanging="567"/>
        <w:rPr>
          <w:noProof/>
          <w:szCs w:val="22"/>
          <w:lang w:val="it-IT"/>
        </w:rPr>
      </w:pPr>
      <w:r w:rsidRPr="00FB01EF">
        <w:rPr>
          <w:b/>
          <w:noProof/>
          <w:szCs w:val="22"/>
          <w:lang w:val="it-IT"/>
        </w:rPr>
        <w:t>7.</w:t>
      </w:r>
      <w:r w:rsidRPr="00FB01EF">
        <w:rPr>
          <w:b/>
          <w:noProof/>
          <w:szCs w:val="22"/>
          <w:lang w:val="it-IT"/>
        </w:rPr>
        <w:tab/>
      </w:r>
      <w:r w:rsidR="007F068A" w:rsidRPr="00FB01EF">
        <w:rPr>
          <w:b/>
          <w:bCs/>
          <w:szCs w:val="22"/>
          <w:lang w:val="it-IT"/>
        </w:rPr>
        <w:t>TITOLARE DELL'AUTORIZZAZIONE ALL'IMMISSIONE IN COMMERCIO</w:t>
      </w:r>
    </w:p>
    <w:p w:rsidR="00812D16" w:rsidRPr="00FB01EF" w:rsidRDefault="00812D16" w:rsidP="00496272">
      <w:pPr>
        <w:rPr>
          <w:noProof/>
          <w:szCs w:val="22"/>
          <w:lang w:val="it-IT"/>
        </w:rPr>
      </w:pPr>
    </w:p>
    <w:p w:rsidR="00E009A7" w:rsidRPr="00AD584F" w:rsidRDefault="00E009A7" w:rsidP="00E009A7">
      <w:pPr>
        <w:tabs>
          <w:tab w:val="clear" w:pos="567"/>
        </w:tabs>
        <w:rPr>
          <w:lang w:val="nl-NL"/>
        </w:rPr>
      </w:pPr>
      <w:r w:rsidRPr="00AD584F">
        <w:rPr>
          <w:lang w:val="nl-NL"/>
        </w:rPr>
        <w:t>Theramex Ireland Limited</w:t>
      </w:r>
    </w:p>
    <w:p w:rsidR="00E009A7" w:rsidRPr="00AD584F" w:rsidRDefault="00E628EA" w:rsidP="00E009A7">
      <w:pPr>
        <w:tabs>
          <w:tab w:val="clear" w:pos="567"/>
        </w:tabs>
        <w:rPr>
          <w:lang w:val="nl-NL"/>
        </w:rPr>
      </w:pPr>
      <w:r w:rsidRPr="00CB5BCD">
        <w:rPr>
          <w:rFonts w:cs="Verdana"/>
          <w:color w:val="000000"/>
          <w:lang w:val="it-IT"/>
        </w:rPr>
        <w:t>3</w:t>
      </w:r>
      <w:r w:rsidRPr="00CB5BCD">
        <w:rPr>
          <w:rFonts w:cs="Verdana"/>
          <w:color w:val="000000"/>
          <w:vertAlign w:val="superscript"/>
          <w:lang w:val="it-IT"/>
        </w:rPr>
        <w:t>rd</w:t>
      </w:r>
      <w:r w:rsidRPr="00CB5BCD">
        <w:rPr>
          <w:rFonts w:cs="Verdana"/>
          <w:color w:val="000000"/>
          <w:lang w:val="it-IT"/>
        </w:rPr>
        <w:t xml:space="preserve"> Floor, </w:t>
      </w:r>
      <w:r w:rsidR="00E009A7" w:rsidRPr="00AD584F">
        <w:rPr>
          <w:lang w:val="nl-NL"/>
        </w:rPr>
        <w:t>Kilmore House,</w:t>
      </w:r>
    </w:p>
    <w:p w:rsidR="00E009A7" w:rsidRPr="00AD584F" w:rsidRDefault="00E009A7" w:rsidP="00E009A7">
      <w:pPr>
        <w:tabs>
          <w:tab w:val="clear" w:pos="567"/>
        </w:tabs>
        <w:rPr>
          <w:lang w:val="nl-NL"/>
        </w:rPr>
      </w:pPr>
      <w:r w:rsidRPr="00AD584F">
        <w:rPr>
          <w:lang w:val="nl-NL"/>
        </w:rPr>
        <w:t>Park Lane, Spencer Dock,</w:t>
      </w:r>
    </w:p>
    <w:p w:rsidR="00E009A7" w:rsidRPr="00AD584F" w:rsidRDefault="00E009A7" w:rsidP="00E009A7">
      <w:pPr>
        <w:tabs>
          <w:tab w:val="clear" w:pos="567"/>
        </w:tabs>
        <w:rPr>
          <w:lang w:val="nl-NL"/>
        </w:rPr>
      </w:pPr>
      <w:r w:rsidRPr="00AD584F">
        <w:rPr>
          <w:lang w:val="nl-NL"/>
        </w:rPr>
        <w:t>Dublin 1</w:t>
      </w:r>
    </w:p>
    <w:p w:rsidR="00E009A7" w:rsidRPr="00AD584F" w:rsidRDefault="00E009A7" w:rsidP="00E009A7">
      <w:pPr>
        <w:tabs>
          <w:tab w:val="clear" w:pos="567"/>
        </w:tabs>
        <w:rPr>
          <w:lang w:val="nl-NL"/>
        </w:rPr>
      </w:pPr>
      <w:r w:rsidRPr="00AD584F">
        <w:rPr>
          <w:lang w:val="nl-NL"/>
        </w:rPr>
        <w:t>D01 YE64</w:t>
      </w:r>
    </w:p>
    <w:p w:rsidR="007F068A" w:rsidRPr="00FB01EF" w:rsidRDefault="00E009A7" w:rsidP="007F068A">
      <w:pPr>
        <w:tabs>
          <w:tab w:val="clear" w:pos="567"/>
        </w:tabs>
        <w:rPr>
          <w:szCs w:val="22"/>
          <w:lang w:val="it-IT"/>
        </w:rPr>
      </w:pPr>
      <w:r w:rsidRPr="00CB5BCD">
        <w:rPr>
          <w:lang w:val="nl-NL"/>
        </w:rPr>
        <w:t>Irlanda</w:t>
      </w:r>
    </w:p>
    <w:p w:rsidR="00AD7A57" w:rsidRPr="00FB01EF" w:rsidRDefault="00AD7A57"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ind w:left="567" w:hanging="567"/>
        <w:rPr>
          <w:b/>
          <w:noProof/>
          <w:szCs w:val="22"/>
          <w:lang w:val="it-IT"/>
        </w:rPr>
      </w:pPr>
      <w:r w:rsidRPr="00FB01EF">
        <w:rPr>
          <w:b/>
          <w:noProof/>
          <w:szCs w:val="22"/>
          <w:lang w:val="it-IT"/>
        </w:rPr>
        <w:t>8.</w:t>
      </w:r>
      <w:r w:rsidRPr="00FB01EF">
        <w:rPr>
          <w:b/>
          <w:noProof/>
          <w:szCs w:val="22"/>
          <w:lang w:val="it-IT"/>
        </w:rPr>
        <w:tab/>
      </w:r>
      <w:r w:rsidR="007F068A" w:rsidRPr="00FB01EF">
        <w:rPr>
          <w:b/>
          <w:bCs/>
          <w:szCs w:val="22"/>
          <w:lang w:val="it-IT"/>
        </w:rPr>
        <w:t>NUMERO</w:t>
      </w:r>
      <w:r w:rsidR="00400FF5" w:rsidRPr="00FB01EF">
        <w:rPr>
          <w:b/>
          <w:bCs/>
          <w:szCs w:val="22"/>
          <w:lang w:val="it-IT"/>
        </w:rPr>
        <w:t>(I)</w:t>
      </w:r>
      <w:r w:rsidR="007F068A" w:rsidRPr="00FB01EF">
        <w:rPr>
          <w:b/>
          <w:bCs/>
          <w:szCs w:val="22"/>
          <w:lang w:val="it-IT"/>
        </w:rPr>
        <w:t xml:space="preserve"> DELL’AUTORIZZAZIONE ALL’IMMISSIONE IN COMMERCIO</w:t>
      </w:r>
    </w:p>
    <w:p w:rsidR="00812D16" w:rsidRPr="00FB01EF" w:rsidRDefault="00812D16" w:rsidP="00496272">
      <w:pPr>
        <w:rPr>
          <w:noProof/>
          <w:szCs w:val="22"/>
          <w:lang w:val="it-IT"/>
        </w:rPr>
      </w:pPr>
    </w:p>
    <w:p w:rsidR="008E6C7B" w:rsidRPr="00FB01EF" w:rsidRDefault="008E6C7B" w:rsidP="008E6C7B">
      <w:pPr>
        <w:rPr>
          <w:noProof/>
          <w:szCs w:val="22"/>
          <w:u w:val="single"/>
          <w:lang w:val="it-IT"/>
        </w:rPr>
      </w:pPr>
      <w:r w:rsidRPr="00FB01EF">
        <w:rPr>
          <w:noProof/>
          <w:szCs w:val="22"/>
          <w:u w:val="single"/>
          <w:lang w:val="it-IT"/>
        </w:rPr>
        <w:t>Ovaleap 300 UI/0,5 mL soluzione iniettabile</w:t>
      </w:r>
    </w:p>
    <w:p w:rsidR="009E0250" w:rsidRPr="00FB01EF" w:rsidRDefault="009E0250" w:rsidP="008E6C7B">
      <w:pPr>
        <w:rPr>
          <w:noProof/>
          <w:szCs w:val="22"/>
          <w:lang w:val="it-IT"/>
        </w:rPr>
      </w:pPr>
      <w:r w:rsidRPr="00FB01EF">
        <w:rPr>
          <w:noProof/>
          <w:szCs w:val="22"/>
          <w:lang w:val="it-IT"/>
        </w:rPr>
        <w:t>EU/1/13/871/001</w:t>
      </w:r>
    </w:p>
    <w:p w:rsidR="008E6C7B" w:rsidRPr="00FB01EF" w:rsidRDefault="008E6C7B" w:rsidP="00496272">
      <w:pPr>
        <w:rPr>
          <w:szCs w:val="22"/>
          <w:u w:val="single"/>
          <w:lang w:val="it-IT"/>
        </w:rPr>
      </w:pPr>
    </w:p>
    <w:p w:rsidR="007F068A" w:rsidRPr="00FB01EF" w:rsidRDefault="008E6C7B" w:rsidP="00496272">
      <w:pPr>
        <w:rPr>
          <w:szCs w:val="22"/>
          <w:u w:val="single"/>
          <w:lang w:val="it-IT"/>
        </w:rPr>
      </w:pPr>
      <w:r w:rsidRPr="00FB01EF">
        <w:rPr>
          <w:szCs w:val="22"/>
          <w:u w:val="single"/>
          <w:lang w:val="it-IT"/>
        </w:rPr>
        <w:t>Ovaleap 450 UI/0,75 mL soluzione iniettabile</w:t>
      </w:r>
    </w:p>
    <w:p w:rsidR="008E6C7B" w:rsidRPr="00FB01EF" w:rsidRDefault="008E6C7B" w:rsidP="00496272">
      <w:pPr>
        <w:rPr>
          <w:szCs w:val="22"/>
          <w:lang w:val="it-IT"/>
        </w:rPr>
      </w:pPr>
      <w:r w:rsidRPr="00FB01EF">
        <w:rPr>
          <w:szCs w:val="22"/>
          <w:lang w:val="it-IT"/>
        </w:rPr>
        <w:t>EU/1/13/871/002</w:t>
      </w:r>
    </w:p>
    <w:p w:rsidR="008E6C7B" w:rsidRPr="00FB01EF" w:rsidRDefault="008E6C7B" w:rsidP="00496272">
      <w:pPr>
        <w:rPr>
          <w:szCs w:val="22"/>
          <w:u w:val="single"/>
          <w:lang w:val="it-IT"/>
        </w:rPr>
      </w:pPr>
    </w:p>
    <w:p w:rsidR="008E6C7B" w:rsidRPr="00FB01EF" w:rsidRDefault="008E6C7B" w:rsidP="00496272">
      <w:pPr>
        <w:rPr>
          <w:szCs w:val="22"/>
          <w:u w:val="single"/>
          <w:lang w:val="it-IT"/>
        </w:rPr>
      </w:pPr>
      <w:r w:rsidRPr="00FB01EF">
        <w:rPr>
          <w:szCs w:val="22"/>
          <w:u w:val="single"/>
          <w:lang w:val="it-IT"/>
        </w:rPr>
        <w:t>Ovaleap 900 UI/1,5 mL soluzione iniettabile</w:t>
      </w:r>
    </w:p>
    <w:p w:rsidR="008E6C7B" w:rsidRPr="00FB01EF" w:rsidRDefault="008E6C7B" w:rsidP="00496272">
      <w:pPr>
        <w:rPr>
          <w:szCs w:val="22"/>
          <w:lang w:val="it-IT"/>
        </w:rPr>
      </w:pPr>
      <w:r w:rsidRPr="00FB01EF">
        <w:rPr>
          <w:szCs w:val="22"/>
          <w:lang w:val="it-IT"/>
        </w:rPr>
        <w:t>EU/1/13/871/003</w:t>
      </w:r>
    </w:p>
    <w:p w:rsidR="008E6C7B" w:rsidRPr="00FB01EF" w:rsidRDefault="008E6C7B" w:rsidP="00496272">
      <w:pPr>
        <w:rPr>
          <w:szCs w:val="22"/>
          <w:lang w:val="it-IT"/>
        </w:rPr>
      </w:pPr>
    </w:p>
    <w:p w:rsidR="007F068A" w:rsidRPr="00FB01EF" w:rsidRDefault="007F068A" w:rsidP="00496272">
      <w:pPr>
        <w:rPr>
          <w:noProof/>
          <w:szCs w:val="22"/>
          <w:lang w:val="it-IT"/>
        </w:rPr>
      </w:pPr>
    </w:p>
    <w:p w:rsidR="00812D16" w:rsidRPr="00FB01EF" w:rsidRDefault="007F068A" w:rsidP="00496272">
      <w:pPr>
        <w:ind w:left="567" w:hanging="567"/>
        <w:rPr>
          <w:noProof/>
          <w:szCs w:val="22"/>
          <w:lang w:val="it-IT"/>
        </w:rPr>
      </w:pPr>
      <w:r w:rsidRPr="00FB01EF">
        <w:rPr>
          <w:b/>
          <w:noProof/>
          <w:szCs w:val="22"/>
          <w:lang w:val="it-IT"/>
        </w:rPr>
        <w:t>9.</w:t>
      </w:r>
      <w:r w:rsidRPr="00FB01EF">
        <w:rPr>
          <w:b/>
          <w:noProof/>
          <w:szCs w:val="22"/>
          <w:lang w:val="it-IT"/>
        </w:rPr>
        <w:tab/>
      </w:r>
      <w:r w:rsidRPr="00FB01EF">
        <w:rPr>
          <w:b/>
          <w:bCs/>
          <w:szCs w:val="22"/>
          <w:lang w:val="it-IT"/>
        </w:rPr>
        <w:t>DATA DELLA PRIMA AUTORIZZAZIONE/ RINNOVO DELL’AUTORIZZAZIONE</w:t>
      </w:r>
    </w:p>
    <w:p w:rsidR="00AD7A57" w:rsidRPr="00FB01EF" w:rsidRDefault="00AD7A57" w:rsidP="00496272">
      <w:pPr>
        <w:rPr>
          <w:noProof/>
          <w:szCs w:val="22"/>
          <w:lang w:val="it-IT"/>
        </w:rPr>
      </w:pPr>
    </w:p>
    <w:p w:rsidR="00812D16" w:rsidRPr="00FB01EF" w:rsidRDefault="007F068A" w:rsidP="00400FF5">
      <w:pPr>
        <w:rPr>
          <w:noProof/>
          <w:szCs w:val="22"/>
          <w:lang w:val="it-IT"/>
        </w:rPr>
      </w:pPr>
      <w:r w:rsidRPr="00FB01EF">
        <w:rPr>
          <w:szCs w:val="22"/>
          <w:lang w:val="it-IT"/>
        </w:rPr>
        <w:t xml:space="preserve">Data </w:t>
      </w:r>
      <w:r w:rsidR="00400FF5" w:rsidRPr="00FB01EF">
        <w:rPr>
          <w:szCs w:val="22"/>
          <w:lang w:val="it-IT"/>
        </w:rPr>
        <w:t xml:space="preserve">della </w:t>
      </w:r>
      <w:r w:rsidRPr="00FB01EF">
        <w:rPr>
          <w:szCs w:val="22"/>
          <w:lang w:val="it-IT"/>
        </w:rPr>
        <w:t>prima autorizzazione:</w:t>
      </w:r>
      <w:r w:rsidR="00BA403C" w:rsidRPr="00FB01EF">
        <w:rPr>
          <w:szCs w:val="22"/>
          <w:lang w:val="it-IT"/>
        </w:rPr>
        <w:t xml:space="preserve"> 27 settembre 2013.</w:t>
      </w:r>
    </w:p>
    <w:p w:rsidR="007F068A" w:rsidRPr="00E628EA" w:rsidRDefault="00897367" w:rsidP="00496272">
      <w:pPr>
        <w:rPr>
          <w:noProof/>
          <w:szCs w:val="22"/>
          <w:lang w:val="it-IT" w:bidi="it-IT"/>
        </w:rPr>
      </w:pPr>
      <w:r w:rsidRPr="00FB01EF">
        <w:rPr>
          <w:noProof/>
          <w:szCs w:val="22"/>
          <w:lang w:val="it-IT" w:bidi="it-IT"/>
        </w:rPr>
        <w:t>Data del rinnovo più recente:</w:t>
      </w:r>
      <w:r w:rsidR="00E628EA">
        <w:rPr>
          <w:noProof/>
          <w:szCs w:val="22"/>
          <w:lang w:val="it-IT" w:bidi="it-IT"/>
        </w:rPr>
        <w:t xml:space="preserve"> </w:t>
      </w:r>
      <w:r w:rsidR="00E628EA" w:rsidRPr="00E628EA">
        <w:rPr>
          <w:noProof/>
          <w:szCs w:val="22"/>
          <w:lang w:val="it-IT" w:bidi="it-IT"/>
        </w:rPr>
        <w:t>16 maggio 2018</w:t>
      </w:r>
      <w:r w:rsidR="00E628EA">
        <w:rPr>
          <w:noProof/>
          <w:szCs w:val="22"/>
          <w:lang w:val="it-IT" w:bidi="it-IT"/>
        </w:rPr>
        <w:t>.</w:t>
      </w:r>
    </w:p>
    <w:p w:rsidR="00897367" w:rsidRPr="00FB01EF" w:rsidRDefault="00897367" w:rsidP="00496272">
      <w:pPr>
        <w:rPr>
          <w:noProof/>
          <w:szCs w:val="22"/>
          <w:lang w:val="it-IT"/>
        </w:rPr>
      </w:pPr>
    </w:p>
    <w:p w:rsidR="007F068A" w:rsidRPr="00FB01EF" w:rsidRDefault="007F068A" w:rsidP="00496272">
      <w:pPr>
        <w:rPr>
          <w:noProof/>
          <w:szCs w:val="22"/>
          <w:lang w:val="it-IT"/>
        </w:rPr>
      </w:pPr>
    </w:p>
    <w:p w:rsidR="00812D16" w:rsidRPr="00FB01EF" w:rsidRDefault="00812D16" w:rsidP="00496272">
      <w:pPr>
        <w:ind w:left="567" w:hanging="567"/>
        <w:rPr>
          <w:b/>
          <w:noProof/>
          <w:szCs w:val="22"/>
          <w:lang w:val="it-IT"/>
        </w:rPr>
      </w:pPr>
      <w:r w:rsidRPr="00FB01EF">
        <w:rPr>
          <w:b/>
          <w:noProof/>
          <w:szCs w:val="22"/>
          <w:lang w:val="it-IT"/>
        </w:rPr>
        <w:t>10.</w:t>
      </w:r>
      <w:r w:rsidRPr="00FB01EF">
        <w:rPr>
          <w:b/>
          <w:noProof/>
          <w:szCs w:val="22"/>
          <w:lang w:val="it-IT"/>
        </w:rPr>
        <w:tab/>
      </w:r>
      <w:r w:rsidR="007F068A" w:rsidRPr="00FB01EF">
        <w:rPr>
          <w:b/>
          <w:bCs/>
          <w:szCs w:val="22"/>
          <w:lang w:val="it-IT"/>
        </w:rPr>
        <w:t>DATA DI REVISIONE DEL TESTO</w:t>
      </w:r>
    </w:p>
    <w:p w:rsidR="00812D16" w:rsidRPr="00FB01EF" w:rsidRDefault="00812D16" w:rsidP="00496272">
      <w:pPr>
        <w:rPr>
          <w:noProof/>
          <w:szCs w:val="22"/>
          <w:lang w:val="it-IT"/>
        </w:rPr>
      </w:pPr>
    </w:p>
    <w:p w:rsidR="00400FF5" w:rsidRPr="00FB01EF" w:rsidRDefault="00400FF5" w:rsidP="00496272">
      <w:pPr>
        <w:rPr>
          <w:noProof/>
          <w:szCs w:val="22"/>
          <w:lang w:val="it-IT"/>
        </w:rPr>
      </w:pPr>
    </w:p>
    <w:p w:rsidR="00400FF5" w:rsidRPr="00FB01EF" w:rsidRDefault="00400FF5" w:rsidP="00496272">
      <w:pPr>
        <w:rPr>
          <w:noProof/>
          <w:szCs w:val="22"/>
          <w:lang w:val="it-IT"/>
        </w:rPr>
      </w:pPr>
    </w:p>
    <w:p w:rsidR="00812D16" w:rsidRPr="00FB01EF" w:rsidRDefault="007F068A" w:rsidP="00496272">
      <w:pPr>
        <w:numPr>
          <w:ilvl w:val="12"/>
          <w:numId w:val="0"/>
        </w:numPr>
        <w:ind w:right="-2"/>
        <w:rPr>
          <w:noProof/>
          <w:szCs w:val="22"/>
          <w:lang w:val="it-IT"/>
        </w:rPr>
      </w:pPr>
      <w:r w:rsidRPr="00FB01EF">
        <w:rPr>
          <w:szCs w:val="22"/>
          <w:lang w:val="it-IT"/>
        </w:rPr>
        <w:t>Informazioni più dettagliate su questo medicinale sono disponibili sul sito web dell</w:t>
      </w:r>
      <w:r w:rsidR="00895190" w:rsidRPr="00FB01EF">
        <w:rPr>
          <w:szCs w:val="22"/>
          <w:lang w:val="it-IT"/>
        </w:rPr>
        <w:t>’</w:t>
      </w:r>
      <w:r w:rsidRPr="00FB01EF">
        <w:rPr>
          <w:szCs w:val="22"/>
          <w:lang w:val="it-IT"/>
        </w:rPr>
        <w:t xml:space="preserve">Agenzia </w:t>
      </w:r>
      <w:r w:rsidR="00400FF5" w:rsidRPr="00FB01EF">
        <w:rPr>
          <w:szCs w:val="22"/>
          <w:lang w:val="it-IT"/>
        </w:rPr>
        <w:t xml:space="preserve">europea </w:t>
      </w:r>
      <w:r w:rsidRPr="00FB01EF">
        <w:rPr>
          <w:szCs w:val="22"/>
          <w:lang w:val="it-IT"/>
        </w:rPr>
        <w:t xml:space="preserve">dei </w:t>
      </w:r>
      <w:r w:rsidR="00400FF5" w:rsidRPr="00FB01EF">
        <w:rPr>
          <w:szCs w:val="22"/>
          <w:lang w:val="it-IT"/>
        </w:rPr>
        <w:t>medicinali</w:t>
      </w:r>
      <w:r w:rsidR="00350A5E" w:rsidRPr="00FB01EF">
        <w:rPr>
          <w:szCs w:val="22"/>
          <w:lang w:val="it-IT"/>
        </w:rPr>
        <w:t>,</w:t>
      </w:r>
      <w:r w:rsidRPr="00FB01EF">
        <w:rPr>
          <w:szCs w:val="22"/>
          <w:lang w:val="it-IT"/>
        </w:rPr>
        <w:t xml:space="preserve"> </w:t>
      </w:r>
      <w:hyperlink r:id="rId10">
        <w:r w:rsidRPr="00FB01EF">
          <w:rPr>
            <w:rStyle w:val="Hyperlink"/>
            <w:szCs w:val="22"/>
            <w:lang w:val="it-IT"/>
          </w:rPr>
          <w:t>http://www.ema.europa.eu</w:t>
        </w:r>
      </w:hyperlink>
      <w:r w:rsidR="00F9016F" w:rsidRPr="00FB01EF">
        <w:rPr>
          <w:noProof/>
          <w:szCs w:val="22"/>
          <w:lang w:val="it-IT"/>
        </w:rPr>
        <w:t>.</w:t>
      </w:r>
    </w:p>
    <w:p w:rsidR="00812D16" w:rsidRPr="00FB01EF" w:rsidRDefault="00812D16" w:rsidP="00CA2F0A">
      <w:pPr>
        <w:widowControl w:val="0"/>
        <w:rPr>
          <w:noProof/>
          <w:szCs w:val="22"/>
          <w:lang w:val="it-IT"/>
        </w:rPr>
      </w:pPr>
      <w:r w:rsidRPr="00FB01EF">
        <w:rPr>
          <w:b/>
          <w:noProof/>
          <w:szCs w:val="22"/>
          <w:lang w:val="it-IT"/>
        </w:rPr>
        <w:br w:type="page"/>
      </w: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736014" w:rsidRPr="00FB01EF" w:rsidRDefault="00736014" w:rsidP="00736014">
      <w:pPr>
        <w:ind w:left="3507" w:right="3473"/>
        <w:jc w:val="center"/>
        <w:rPr>
          <w:szCs w:val="22"/>
          <w:lang w:val="it-IT"/>
        </w:rPr>
      </w:pPr>
      <w:r w:rsidRPr="00FB01EF">
        <w:rPr>
          <w:b/>
          <w:bCs/>
          <w:szCs w:val="22"/>
          <w:lang w:val="it-IT"/>
        </w:rPr>
        <w:t>ALLEGATO II</w:t>
      </w:r>
    </w:p>
    <w:p w:rsidR="00736014" w:rsidRPr="00FB01EF" w:rsidRDefault="00736014" w:rsidP="00736014">
      <w:pPr>
        <w:rPr>
          <w:szCs w:val="22"/>
          <w:lang w:val="it-IT"/>
        </w:rPr>
      </w:pPr>
    </w:p>
    <w:p w:rsidR="00736014" w:rsidRPr="00FB01EF" w:rsidRDefault="00736014" w:rsidP="00736014">
      <w:pPr>
        <w:tabs>
          <w:tab w:val="left" w:pos="1420"/>
        </w:tabs>
        <w:ind w:left="1440" w:right="1332" w:hanging="568"/>
        <w:rPr>
          <w:szCs w:val="22"/>
          <w:lang w:val="it-IT"/>
        </w:rPr>
      </w:pPr>
      <w:r w:rsidRPr="00FB01EF">
        <w:rPr>
          <w:b/>
          <w:bCs/>
          <w:szCs w:val="22"/>
          <w:lang w:val="it-IT"/>
        </w:rPr>
        <w:t>A.</w:t>
      </w:r>
      <w:r w:rsidRPr="00FB01EF">
        <w:rPr>
          <w:b/>
          <w:bCs/>
          <w:szCs w:val="22"/>
          <w:lang w:val="it-IT"/>
        </w:rPr>
        <w:tab/>
      </w:r>
      <w:r w:rsidR="00400FF5" w:rsidRPr="00FB01EF">
        <w:rPr>
          <w:b/>
          <w:bCs/>
          <w:szCs w:val="22"/>
          <w:lang w:val="it-IT"/>
        </w:rPr>
        <w:t xml:space="preserve">PRODUTTORE </w:t>
      </w:r>
      <w:r w:rsidRPr="00FB01EF">
        <w:rPr>
          <w:b/>
          <w:bCs/>
          <w:szCs w:val="22"/>
          <w:lang w:val="it-IT"/>
        </w:rPr>
        <w:t xml:space="preserve">DEL PRINCIPIO ATTIVO BIOLOGICO E </w:t>
      </w:r>
      <w:r w:rsidR="00400FF5" w:rsidRPr="00FB01EF">
        <w:rPr>
          <w:b/>
          <w:bCs/>
          <w:szCs w:val="22"/>
          <w:lang w:val="it-IT"/>
        </w:rPr>
        <w:t>PRODUTTORI</w:t>
      </w:r>
      <w:r w:rsidRPr="00FB01EF">
        <w:rPr>
          <w:b/>
          <w:bCs/>
          <w:szCs w:val="22"/>
          <w:lang w:val="it-IT"/>
        </w:rPr>
        <w:t xml:space="preserve"> </w:t>
      </w:r>
      <w:r w:rsidR="00400FF5" w:rsidRPr="00FB01EF">
        <w:rPr>
          <w:b/>
          <w:bCs/>
          <w:szCs w:val="22"/>
          <w:lang w:val="it-IT"/>
        </w:rPr>
        <w:t xml:space="preserve">RESPONSABILI </w:t>
      </w:r>
      <w:r w:rsidRPr="00FB01EF">
        <w:rPr>
          <w:b/>
          <w:bCs/>
          <w:szCs w:val="22"/>
          <w:lang w:val="it-IT"/>
        </w:rPr>
        <w:t>DEL RILASCIO DEI LOTTI</w:t>
      </w:r>
    </w:p>
    <w:p w:rsidR="00736014" w:rsidRPr="00FB01EF" w:rsidRDefault="00736014" w:rsidP="00736014">
      <w:pPr>
        <w:rPr>
          <w:szCs w:val="22"/>
          <w:lang w:val="it-IT"/>
        </w:rPr>
      </w:pPr>
    </w:p>
    <w:p w:rsidR="00736014" w:rsidRPr="00FB01EF" w:rsidRDefault="00736014" w:rsidP="00F97DD8">
      <w:pPr>
        <w:tabs>
          <w:tab w:val="left" w:pos="1420"/>
        </w:tabs>
        <w:ind w:left="1440" w:right="282" w:hanging="568"/>
        <w:rPr>
          <w:b/>
          <w:bCs/>
          <w:szCs w:val="22"/>
          <w:lang w:val="it-IT"/>
        </w:rPr>
      </w:pPr>
      <w:r w:rsidRPr="00FB01EF">
        <w:rPr>
          <w:b/>
          <w:bCs/>
          <w:szCs w:val="22"/>
          <w:lang w:val="it-IT"/>
        </w:rPr>
        <w:t>B.</w:t>
      </w:r>
      <w:r w:rsidRPr="00FB01EF">
        <w:rPr>
          <w:b/>
          <w:bCs/>
          <w:szCs w:val="22"/>
          <w:lang w:val="it-IT"/>
        </w:rPr>
        <w:tab/>
        <w:t xml:space="preserve">CONDIZIONI </w:t>
      </w:r>
      <w:r w:rsidR="00400FF5" w:rsidRPr="00FB01EF">
        <w:rPr>
          <w:b/>
          <w:bCs/>
          <w:szCs w:val="22"/>
          <w:lang w:val="it-IT"/>
        </w:rPr>
        <w:t>O LIMITAZIONI DI FORNITURA E UTILIZZO</w:t>
      </w:r>
    </w:p>
    <w:p w:rsidR="00400FF5" w:rsidRPr="00FB01EF" w:rsidRDefault="00400FF5" w:rsidP="00F97DD8">
      <w:pPr>
        <w:tabs>
          <w:tab w:val="left" w:pos="-720"/>
        </w:tabs>
        <w:suppressAutoHyphens/>
        <w:ind w:right="567"/>
        <w:rPr>
          <w:b/>
          <w:szCs w:val="22"/>
          <w:lang w:val="it-IT"/>
        </w:rPr>
      </w:pPr>
    </w:p>
    <w:p w:rsidR="00400FF5" w:rsidRPr="00FB01EF" w:rsidRDefault="00400FF5" w:rsidP="00F97DD8">
      <w:pPr>
        <w:tabs>
          <w:tab w:val="left" w:pos="-720"/>
        </w:tabs>
        <w:suppressAutoHyphens/>
        <w:ind w:left="1418" w:right="567" w:hanging="567"/>
        <w:rPr>
          <w:b/>
          <w:szCs w:val="22"/>
          <w:lang w:val="it-IT"/>
        </w:rPr>
      </w:pPr>
      <w:r w:rsidRPr="00FB01EF">
        <w:rPr>
          <w:b/>
          <w:szCs w:val="22"/>
          <w:lang w:val="it-IT"/>
        </w:rPr>
        <w:t>C.</w:t>
      </w:r>
      <w:r w:rsidRPr="00FB01EF">
        <w:rPr>
          <w:b/>
          <w:szCs w:val="22"/>
          <w:lang w:val="it-IT"/>
        </w:rPr>
        <w:tab/>
        <w:t>ALTRE CONDIZIONI E REQUISITI DELL’AUTORIZZAZIONE ALL’IMMISSIONE IN COMMERCIO</w:t>
      </w:r>
    </w:p>
    <w:p w:rsidR="00400FF5" w:rsidRPr="00FB01EF" w:rsidRDefault="00400FF5" w:rsidP="00A54571">
      <w:pPr>
        <w:tabs>
          <w:tab w:val="left" w:pos="-720"/>
        </w:tabs>
        <w:suppressAutoHyphens/>
        <w:ind w:right="567"/>
        <w:rPr>
          <w:b/>
          <w:szCs w:val="22"/>
          <w:lang w:val="it-IT"/>
        </w:rPr>
      </w:pPr>
    </w:p>
    <w:p w:rsidR="00400FF5" w:rsidRPr="00FB01EF" w:rsidRDefault="00400FF5" w:rsidP="00F97DD8">
      <w:pPr>
        <w:tabs>
          <w:tab w:val="left" w:pos="-720"/>
        </w:tabs>
        <w:suppressAutoHyphens/>
        <w:ind w:left="1418" w:right="567" w:hanging="567"/>
        <w:rPr>
          <w:b/>
          <w:szCs w:val="22"/>
          <w:lang w:val="it-IT"/>
        </w:rPr>
      </w:pPr>
      <w:r w:rsidRPr="00FB01EF">
        <w:rPr>
          <w:b/>
          <w:szCs w:val="22"/>
          <w:lang w:val="it-IT"/>
        </w:rPr>
        <w:t>D.</w:t>
      </w:r>
      <w:r w:rsidRPr="00FB01EF">
        <w:rPr>
          <w:b/>
          <w:szCs w:val="22"/>
          <w:lang w:val="it-IT"/>
        </w:rPr>
        <w:tab/>
        <w:t>CONDIZIONI O LIMITAZIONI PER QUANTO RIGUARDA L’USO SICURO ED EFFICACE DEL MEDICINALE</w:t>
      </w:r>
    </w:p>
    <w:p w:rsidR="00812D16" w:rsidRPr="00FB01EF" w:rsidRDefault="00812D16" w:rsidP="00496272">
      <w:pPr>
        <w:ind w:right="-1"/>
        <w:rPr>
          <w:noProof/>
          <w:szCs w:val="22"/>
          <w:lang w:val="it-IT"/>
        </w:rPr>
      </w:pPr>
    </w:p>
    <w:p w:rsidR="00812D16" w:rsidRPr="00CB5BCD" w:rsidRDefault="00812D16" w:rsidP="00496272">
      <w:pPr>
        <w:pStyle w:val="TitleB"/>
        <w:rPr>
          <w:lang w:val="es-ES"/>
        </w:rPr>
      </w:pPr>
      <w:r w:rsidRPr="00FB01EF">
        <w:rPr>
          <w:lang w:val="it-IT"/>
        </w:rPr>
        <w:br w:type="page"/>
      </w:r>
      <w:r w:rsidR="000F4009" w:rsidRPr="00FB01EF">
        <w:rPr>
          <w:lang w:val="it-IT"/>
        </w:rPr>
        <w:lastRenderedPageBreak/>
        <w:t>A.</w:t>
      </w:r>
      <w:r w:rsidR="000F4009" w:rsidRPr="00FB01EF">
        <w:rPr>
          <w:lang w:val="it-IT"/>
        </w:rPr>
        <w:tab/>
      </w:r>
      <w:r w:rsidR="00400FF5" w:rsidRPr="00CB5BCD">
        <w:rPr>
          <w:lang w:val="es-ES"/>
        </w:rPr>
        <w:t xml:space="preserve">PRODUTTORE </w:t>
      </w:r>
      <w:r w:rsidR="00736014" w:rsidRPr="00CB5BCD">
        <w:rPr>
          <w:lang w:val="es-ES"/>
        </w:rPr>
        <w:t xml:space="preserve">DEL PRINCIPIO ATTIVO BIOLOGICO E </w:t>
      </w:r>
      <w:r w:rsidR="00400FF5" w:rsidRPr="00CB5BCD">
        <w:rPr>
          <w:lang w:val="es-ES"/>
        </w:rPr>
        <w:t>PRODUTTORI</w:t>
      </w:r>
      <w:r w:rsidR="00736014" w:rsidRPr="00CB5BCD">
        <w:rPr>
          <w:lang w:val="es-ES"/>
        </w:rPr>
        <w:t xml:space="preserve"> </w:t>
      </w:r>
      <w:r w:rsidR="00400FF5" w:rsidRPr="00CB5BCD">
        <w:rPr>
          <w:lang w:val="es-ES"/>
        </w:rPr>
        <w:t xml:space="preserve">RESPONSABILI </w:t>
      </w:r>
      <w:r w:rsidR="00736014" w:rsidRPr="00CB5BCD">
        <w:rPr>
          <w:lang w:val="es-ES"/>
        </w:rPr>
        <w:t>DEL RILASCIO DEI LOTTI</w:t>
      </w:r>
    </w:p>
    <w:p w:rsidR="00812D16" w:rsidRPr="00FB01EF" w:rsidRDefault="00812D16" w:rsidP="00496272">
      <w:pPr>
        <w:ind w:right="-568"/>
        <w:rPr>
          <w:noProof/>
          <w:szCs w:val="22"/>
          <w:lang w:val="it-IT"/>
        </w:rPr>
      </w:pPr>
    </w:p>
    <w:p w:rsidR="00812D16" w:rsidRPr="00FB01EF" w:rsidRDefault="00736014" w:rsidP="00496272">
      <w:pPr>
        <w:ind w:right="-568"/>
        <w:outlineLvl w:val="0"/>
        <w:rPr>
          <w:noProof/>
          <w:szCs w:val="22"/>
          <w:u w:val="single"/>
          <w:lang w:val="it-IT"/>
        </w:rPr>
      </w:pPr>
      <w:r w:rsidRPr="00FB01EF">
        <w:rPr>
          <w:szCs w:val="22"/>
          <w:u w:val="single" w:color="000000"/>
          <w:lang w:val="it-IT"/>
        </w:rPr>
        <w:t>Nome e indirizzo del produttore del principio attivo biologico</w:t>
      </w:r>
    </w:p>
    <w:p w:rsidR="00812D16" w:rsidRPr="00FB01EF" w:rsidRDefault="00812D16" w:rsidP="00496272">
      <w:pPr>
        <w:ind w:right="-568"/>
        <w:rPr>
          <w:noProof/>
          <w:szCs w:val="22"/>
          <w:lang w:val="it-IT"/>
        </w:rPr>
      </w:pPr>
    </w:p>
    <w:p w:rsidR="00400FF5" w:rsidRPr="00FB01EF" w:rsidRDefault="00DD2D77" w:rsidP="00400FF5">
      <w:pPr>
        <w:numPr>
          <w:ilvl w:val="12"/>
          <w:numId w:val="0"/>
        </w:numPr>
        <w:tabs>
          <w:tab w:val="clear" w:pos="567"/>
        </w:tabs>
        <w:ind w:right="-568"/>
        <w:rPr>
          <w:bCs/>
          <w:szCs w:val="22"/>
          <w:lang w:val="it-IT"/>
        </w:rPr>
      </w:pPr>
      <w:r w:rsidRPr="00FB01EF">
        <w:rPr>
          <w:bCs/>
          <w:szCs w:val="22"/>
          <w:lang w:val="it-IT"/>
        </w:rPr>
        <w:t>Teva Biotech GmbH</w:t>
      </w:r>
    </w:p>
    <w:p w:rsidR="00400FF5" w:rsidRPr="00FB01EF" w:rsidRDefault="00400FF5" w:rsidP="00400FF5">
      <w:pPr>
        <w:numPr>
          <w:ilvl w:val="12"/>
          <w:numId w:val="0"/>
        </w:numPr>
        <w:tabs>
          <w:tab w:val="clear" w:pos="567"/>
        </w:tabs>
        <w:ind w:right="-568"/>
        <w:rPr>
          <w:bCs/>
          <w:szCs w:val="22"/>
          <w:lang w:val="it-IT"/>
        </w:rPr>
      </w:pPr>
      <w:r w:rsidRPr="00FB01EF">
        <w:rPr>
          <w:bCs/>
          <w:szCs w:val="22"/>
          <w:lang w:val="it-IT"/>
        </w:rPr>
        <w:t>Dornierstraße 10</w:t>
      </w:r>
    </w:p>
    <w:p w:rsidR="00400FF5" w:rsidRPr="00FB01EF" w:rsidRDefault="009E0250" w:rsidP="00400FF5">
      <w:pPr>
        <w:numPr>
          <w:ilvl w:val="12"/>
          <w:numId w:val="0"/>
        </w:numPr>
        <w:tabs>
          <w:tab w:val="clear" w:pos="567"/>
        </w:tabs>
        <w:ind w:right="-568"/>
        <w:rPr>
          <w:bCs/>
          <w:szCs w:val="22"/>
          <w:lang w:val="it-IT"/>
        </w:rPr>
      </w:pPr>
      <w:r w:rsidRPr="00FB01EF">
        <w:rPr>
          <w:bCs/>
          <w:szCs w:val="22"/>
          <w:lang w:val="it-IT"/>
        </w:rPr>
        <w:t>D</w:t>
      </w:r>
      <w:r w:rsidR="00F105F3" w:rsidRPr="00FB01EF">
        <w:rPr>
          <w:bCs/>
          <w:szCs w:val="22"/>
          <w:lang w:val="it-IT"/>
        </w:rPr>
        <w:noBreakHyphen/>
      </w:r>
      <w:r w:rsidR="00400FF5" w:rsidRPr="00FB01EF">
        <w:rPr>
          <w:bCs/>
          <w:szCs w:val="22"/>
          <w:lang w:val="it-IT"/>
        </w:rPr>
        <w:t>89079 Ulm</w:t>
      </w:r>
    </w:p>
    <w:p w:rsidR="00812D16" w:rsidRPr="00FB01EF" w:rsidRDefault="00400FF5" w:rsidP="00736014">
      <w:pPr>
        <w:ind w:right="-568"/>
        <w:rPr>
          <w:szCs w:val="22"/>
          <w:lang w:val="it-IT"/>
        </w:rPr>
      </w:pPr>
      <w:r w:rsidRPr="00FB01EF">
        <w:rPr>
          <w:szCs w:val="22"/>
          <w:lang w:val="it-IT"/>
        </w:rPr>
        <w:t>Germania</w:t>
      </w:r>
    </w:p>
    <w:p w:rsidR="00736014" w:rsidRPr="00FB01EF" w:rsidRDefault="00736014" w:rsidP="00736014">
      <w:pPr>
        <w:ind w:right="-568"/>
        <w:rPr>
          <w:noProof/>
          <w:szCs w:val="22"/>
          <w:lang w:val="it-IT"/>
        </w:rPr>
      </w:pPr>
    </w:p>
    <w:p w:rsidR="00812D16" w:rsidRPr="00FB01EF" w:rsidRDefault="00736014" w:rsidP="00496272">
      <w:pPr>
        <w:ind w:right="-568"/>
        <w:outlineLvl w:val="0"/>
        <w:rPr>
          <w:noProof/>
          <w:szCs w:val="22"/>
          <w:lang w:val="it-IT"/>
        </w:rPr>
      </w:pPr>
      <w:r w:rsidRPr="00FB01EF">
        <w:rPr>
          <w:szCs w:val="22"/>
          <w:u w:val="single" w:color="000000"/>
          <w:lang w:val="it-IT"/>
        </w:rPr>
        <w:t>Nome e indirizzo de</w:t>
      </w:r>
      <w:r w:rsidR="00400FF5" w:rsidRPr="00FB01EF">
        <w:rPr>
          <w:szCs w:val="22"/>
          <w:u w:val="single" w:color="000000"/>
          <w:lang w:val="it-IT"/>
        </w:rPr>
        <w:t>i</w:t>
      </w:r>
      <w:r w:rsidRPr="00FB01EF">
        <w:rPr>
          <w:szCs w:val="22"/>
          <w:u w:val="single" w:color="000000"/>
          <w:lang w:val="it-IT"/>
        </w:rPr>
        <w:t xml:space="preserve"> produttor</w:t>
      </w:r>
      <w:r w:rsidR="00400FF5" w:rsidRPr="00FB01EF">
        <w:rPr>
          <w:szCs w:val="22"/>
          <w:u w:val="single" w:color="000000"/>
          <w:lang w:val="it-IT"/>
        </w:rPr>
        <w:t>i</w:t>
      </w:r>
      <w:r w:rsidRPr="00FB01EF">
        <w:rPr>
          <w:szCs w:val="22"/>
          <w:u w:val="single" w:color="000000"/>
          <w:lang w:val="it-IT"/>
        </w:rPr>
        <w:t xml:space="preserve"> responsabil</w:t>
      </w:r>
      <w:r w:rsidR="00400FF5" w:rsidRPr="00FB01EF">
        <w:rPr>
          <w:szCs w:val="22"/>
          <w:u w:val="single" w:color="000000"/>
          <w:lang w:val="it-IT"/>
        </w:rPr>
        <w:t>i</w:t>
      </w:r>
      <w:r w:rsidRPr="00FB01EF">
        <w:rPr>
          <w:szCs w:val="22"/>
          <w:u w:val="single" w:color="000000"/>
          <w:lang w:val="it-IT"/>
        </w:rPr>
        <w:t xml:space="preserve"> del rilascio dei lotti</w:t>
      </w:r>
    </w:p>
    <w:p w:rsidR="00812D16" w:rsidRPr="00FB01EF" w:rsidRDefault="00812D16" w:rsidP="00496272">
      <w:pPr>
        <w:ind w:right="-568"/>
        <w:rPr>
          <w:noProof/>
          <w:szCs w:val="22"/>
          <w:lang w:val="it-IT"/>
        </w:rPr>
      </w:pPr>
    </w:p>
    <w:p w:rsidR="00400FF5" w:rsidRPr="00FB01EF" w:rsidRDefault="00DD2D77" w:rsidP="00400FF5">
      <w:pPr>
        <w:numPr>
          <w:ilvl w:val="12"/>
          <w:numId w:val="0"/>
        </w:numPr>
        <w:tabs>
          <w:tab w:val="clear" w:pos="567"/>
        </w:tabs>
        <w:ind w:right="-568"/>
        <w:rPr>
          <w:bCs/>
          <w:szCs w:val="22"/>
          <w:lang w:val="it-IT"/>
        </w:rPr>
      </w:pPr>
      <w:r w:rsidRPr="00FB01EF">
        <w:rPr>
          <w:bCs/>
          <w:szCs w:val="22"/>
          <w:lang w:val="it-IT"/>
        </w:rPr>
        <w:t>Teva Biotech GmbH</w:t>
      </w:r>
    </w:p>
    <w:p w:rsidR="00400FF5" w:rsidRPr="00FB01EF" w:rsidRDefault="00400FF5" w:rsidP="00400FF5">
      <w:pPr>
        <w:numPr>
          <w:ilvl w:val="12"/>
          <w:numId w:val="0"/>
        </w:numPr>
        <w:tabs>
          <w:tab w:val="clear" w:pos="567"/>
        </w:tabs>
        <w:ind w:right="-568"/>
        <w:rPr>
          <w:bCs/>
          <w:szCs w:val="22"/>
          <w:lang w:val="it-IT"/>
        </w:rPr>
      </w:pPr>
      <w:r w:rsidRPr="00FB01EF">
        <w:rPr>
          <w:bCs/>
          <w:szCs w:val="22"/>
          <w:lang w:val="it-IT"/>
        </w:rPr>
        <w:t>Dornierstraße 10</w:t>
      </w:r>
    </w:p>
    <w:p w:rsidR="00400FF5" w:rsidRPr="00FB01EF" w:rsidRDefault="009E0250" w:rsidP="00400FF5">
      <w:pPr>
        <w:numPr>
          <w:ilvl w:val="12"/>
          <w:numId w:val="0"/>
        </w:numPr>
        <w:tabs>
          <w:tab w:val="clear" w:pos="567"/>
        </w:tabs>
        <w:ind w:right="-568"/>
        <w:rPr>
          <w:bCs/>
          <w:szCs w:val="22"/>
          <w:lang w:val="it-IT"/>
        </w:rPr>
      </w:pPr>
      <w:r w:rsidRPr="00FB01EF">
        <w:rPr>
          <w:bCs/>
          <w:szCs w:val="22"/>
          <w:lang w:val="it-IT"/>
        </w:rPr>
        <w:t>D</w:t>
      </w:r>
      <w:r w:rsidR="00F105F3" w:rsidRPr="00FB01EF">
        <w:rPr>
          <w:bCs/>
          <w:szCs w:val="22"/>
          <w:lang w:val="it-IT"/>
        </w:rPr>
        <w:noBreakHyphen/>
      </w:r>
      <w:r w:rsidR="00400FF5" w:rsidRPr="00FB01EF">
        <w:rPr>
          <w:bCs/>
          <w:szCs w:val="22"/>
          <w:lang w:val="it-IT"/>
        </w:rPr>
        <w:t>89079 Ulm</w:t>
      </w:r>
    </w:p>
    <w:p w:rsidR="00400FF5" w:rsidRPr="00FB01EF" w:rsidRDefault="00400FF5" w:rsidP="00400FF5">
      <w:pPr>
        <w:tabs>
          <w:tab w:val="clear" w:pos="567"/>
        </w:tabs>
        <w:ind w:right="-568"/>
        <w:rPr>
          <w:szCs w:val="22"/>
          <w:lang w:val="it-IT"/>
        </w:rPr>
      </w:pPr>
      <w:r w:rsidRPr="00FB01EF">
        <w:rPr>
          <w:szCs w:val="22"/>
          <w:lang w:val="it-IT"/>
        </w:rPr>
        <w:t>Germania</w:t>
      </w:r>
    </w:p>
    <w:p w:rsidR="00400FF5" w:rsidRPr="00FB01EF" w:rsidRDefault="00400FF5" w:rsidP="00400FF5">
      <w:pPr>
        <w:ind w:right="-568"/>
        <w:rPr>
          <w:noProof/>
          <w:szCs w:val="22"/>
          <w:lang w:val="it-IT"/>
        </w:rPr>
      </w:pPr>
    </w:p>
    <w:p w:rsidR="00400FF5" w:rsidRPr="00FB01EF" w:rsidRDefault="00400FF5" w:rsidP="00400FF5">
      <w:pPr>
        <w:ind w:right="-568"/>
        <w:rPr>
          <w:noProof/>
          <w:szCs w:val="22"/>
          <w:lang w:val="it-IT"/>
        </w:rPr>
      </w:pPr>
      <w:r w:rsidRPr="00FB01EF">
        <w:rPr>
          <w:noProof/>
          <w:szCs w:val="22"/>
          <w:lang w:val="it-IT"/>
        </w:rPr>
        <w:t>Teva Pharmaceuticals Europe B.V.</w:t>
      </w:r>
    </w:p>
    <w:p w:rsidR="00400FF5" w:rsidRPr="00FB01EF" w:rsidRDefault="00400FF5" w:rsidP="00400FF5">
      <w:pPr>
        <w:ind w:right="-568"/>
        <w:rPr>
          <w:noProof/>
          <w:szCs w:val="22"/>
          <w:lang w:val="it-IT"/>
        </w:rPr>
      </w:pPr>
      <w:r w:rsidRPr="00FB01EF">
        <w:rPr>
          <w:noProof/>
          <w:szCs w:val="22"/>
          <w:lang w:val="it-IT"/>
        </w:rPr>
        <w:t>Swensweg 5</w:t>
      </w:r>
    </w:p>
    <w:p w:rsidR="00400FF5" w:rsidRPr="00FB01EF" w:rsidRDefault="009E0250" w:rsidP="00400FF5">
      <w:pPr>
        <w:ind w:right="-568"/>
        <w:rPr>
          <w:noProof/>
          <w:szCs w:val="22"/>
          <w:lang w:val="it-IT"/>
        </w:rPr>
      </w:pPr>
      <w:r w:rsidRPr="00FB01EF">
        <w:rPr>
          <w:noProof/>
          <w:szCs w:val="22"/>
          <w:lang w:val="it-IT"/>
        </w:rPr>
        <w:t>NL</w:t>
      </w:r>
      <w:r w:rsidR="00F105F3" w:rsidRPr="00FB01EF">
        <w:rPr>
          <w:noProof/>
          <w:szCs w:val="22"/>
          <w:lang w:val="it-IT"/>
        </w:rPr>
        <w:noBreakHyphen/>
      </w:r>
      <w:r w:rsidR="00400FF5" w:rsidRPr="00FB01EF">
        <w:rPr>
          <w:noProof/>
          <w:szCs w:val="22"/>
          <w:lang w:val="it-IT"/>
        </w:rPr>
        <w:t>2031 GA Haarlem</w:t>
      </w:r>
    </w:p>
    <w:p w:rsidR="00DB3C91" w:rsidRPr="00FB01EF" w:rsidRDefault="00400FF5" w:rsidP="00DB3C91">
      <w:pPr>
        <w:ind w:right="-568"/>
        <w:rPr>
          <w:noProof/>
          <w:szCs w:val="22"/>
          <w:lang w:val="it-IT"/>
        </w:rPr>
      </w:pPr>
      <w:r w:rsidRPr="00FB01EF">
        <w:rPr>
          <w:noProof/>
          <w:szCs w:val="22"/>
          <w:lang w:val="it-IT"/>
        </w:rPr>
        <w:t>Paesi Bassi</w:t>
      </w:r>
    </w:p>
    <w:p w:rsidR="007D20DA" w:rsidRPr="00FB01EF" w:rsidRDefault="007D20DA" w:rsidP="007D20DA">
      <w:pPr>
        <w:ind w:right="-568"/>
        <w:rPr>
          <w:noProof/>
          <w:szCs w:val="22"/>
          <w:lang w:val="it-IT"/>
        </w:rPr>
      </w:pPr>
    </w:p>
    <w:p w:rsidR="007D20DA" w:rsidRPr="00FB01EF" w:rsidRDefault="007D20DA" w:rsidP="007D20DA">
      <w:pPr>
        <w:ind w:right="-568"/>
        <w:rPr>
          <w:noProof/>
          <w:szCs w:val="22"/>
          <w:lang w:val="it-IT"/>
        </w:rPr>
      </w:pPr>
      <w:r w:rsidRPr="00FB01EF">
        <w:rPr>
          <w:noProof/>
          <w:szCs w:val="22"/>
          <w:lang w:val="it-IT"/>
        </w:rPr>
        <w:t>Merckle GmbH</w:t>
      </w:r>
    </w:p>
    <w:p w:rsidR="007D20DA" w:rsidRPr="00FB01EF" w:rsidRDefault="007D20DA" w:rsidP="007D20DA">
      <w:pPr>
        <w:ind w:right="-568"/>
        <w:rPr>
          <w:noProof/>
          <w:szCs w:val="22"/>
          <w:lang w:val="it-IT"/>
        </w:rPr>
      </w:pPr>
      <w:r w:rsidRPr="00FB01EF">
        <w:rPr>
          <w:noProof/>
          <w:szCs w:val="22"/>
          <w:lang w:val="it-IT"/>
        </w:rPr>
        <w:t>Graf-Arco-Strasse 3</w:t>
      </w:r>
    </w:p>
    <w:p w:rsidR="007D20DA" w:rsidRPr="00FB01EF" w:rsidRDefault="007D20DA" w:rsidP="007D20DA">
      <w:pPr>
        <w:ind w:right="-568"/>
        <w:rPr>
          <w:noProof/>
          <w:szCs w:val="22"/>
          <w:lang w:val="it-IT"/>
        </w:rPr>
      </w:pPr>
      <w:r w:rsidRPr="00FB01EF">
        <w:rPr>
          <w:noProof/>
          <w:szCs w:val="22"/>
          <w:lang w:val="it-IT"/>
        </w:rPr>
        <w:t>89079 Ulm</w:t>
      </w:r>
    </w:p>
    <w:p w:rsidR="007D20DA" w:rsidRPr="00FB01EF" w:rsidRDefault="007D20DA" w:rsidP="007D20DA">
      <w:pPr>
        <w:ind w:right="-568"/>
        <w:rPr>
          <w:noProof/>
          <w:szCs w:val="22"/>
          <w:lang w:val="it-IT"/>
        </w:rPr>
      </w:pPr>
      <w:r w:rsidRPr="00FB01EF">
        <w:rPr>
          <w:noProof/>
          <w:szCs w:val="22"/>
          <w:lang w:val="it-IT"/>
        </w:rPr>
        <w:t>Germania</w:t>
      </w:r>
    </w:p>
    <w:p w:rsidR="00DB3C91" w:rsidRPr="00FB01EF" w:rsidRDefault="00DB3C91" w:rsidP="00DB3C91">
      <w:pPr>
        <w:ind w:right="-568"/>
        <w:rPr>
          <w:noProof/>
          <w:szCs w:val="22"/>
          <w:lang w:val="it-IT"/>
        </w:rPr>
      </w:pPr>
    </w:p>
    <w:p w:rsidR="00812D16" w:rsidRPr="00FB01EF" w:rsidRDefault="00400FF5" w:rsidP="00496272">
      <w:pPr>
        <w:ind w:right="-568"/>
        <w:rPr>
          <w:color w:val="000000"/>
          <w:szCs w:val="22"/>
          <w:lang w:val="it-IT"/>
        </w:rPr>
      </w:pPr>
      <w:r w:rsidRPr="00FB01EF">
        <w:rPr>
          <w:color w:val="000000"/>
          <w:szCs w:val="22"/>
          <w:lang w:val="it-IT"/>
        </w:rPr>
        <w:t>Il foglio illustrativo del medicinale deve riportare il nome e l’indirizzo del produttore responsabile del rilascio dei lotti in questione.</w:t>
      </w:r>
    </w:p>
    <w:p w:rsidR="00400FF5" w:rsidRPr="00FB01EF" w:rsidRDefault="00400FF5" w:rsidP="00496272">
      <w:pPr>
        <w:ind w:right="-568"/>
        <w:rPr>
          <w:color w:val="000000"/>
          <w:szCs w:val="22"/>
          <w:lang w:val="it-IT"/>
        </w:rPr>
      </w:pPr>
    </w:p>
    <w:p w:rsidR="00400FF5" w:rsidRPr="00FB01EF" w:rsidRDefault="00400FF5" w:rsidP="00496272">
      <w:pPr>
        <w:ind w:right="-568"/>
        <w:rPr>
          <w:noProof/>
          <w:szCs w:val="22"/>
          <w:lang w:val="it-IT"/>
        </w:rPr>
      </w:pPr>
    </w:p>
    <w:p w:rsidR="00A73A74" w:rsidRPr="00FB01EF" w:rsidRDefault="00812D16" w:rsidP="00496272">
      <w:pPr>
        <w:pStyle w:val="TitleB"/>
        <w:rPr>
          <w:lang w:val="it-IT"/>
        </w:rPr>
      </w:pPr>
      <w:bookmarkStart w:id="2" w:name="OLE_LINK2"/>
      <w:r w:rsidRPr="00FB01EF">
        <w:rPr>
          <w:lang w:val="it-IT"/>
        </w:rPr>
        <w:t>B.</w:t>
      </w:r>
      <w:bookmarkEnd w:id="2"/>
      <w:r w:rsidRPr="00FB01EF">
        <w:rPr>
          <w:lang w:val="it-IT"/>
        </w:rPr>
        <w:tab/>
      </w:r>
      <w:r w:rsidR="00736014" w:rsidRPr="00CB5BCD">
        <w:rPr>
          <w:lang w:val="es-ES"/>
        </w:rPr>
        <w:t xml:space="preserve">CONDIZIONI </w:t>
      </w:r>
      <w:r w:rsidR="00400FF5" w:rsidRPr="00CB5BCD">
        <w:rPr>
          <w:lang w:val="es-ES"/>
        </w:rPr>
        <w:t>O LIMITAZIONI DI FORNITURA E UTILIZZO</w:t>
      </w:r>
    </w:p>
    <w:p w:rsidR="00812D16" w:rsidRPr="00FB01EF" w:rsidRDefault="00812D16" w:rsidP="00496272">
      <w:pPr>
        <w:ind w:right="-568"/>
        <w:rPr>
          <w:noProof/>
          <w:szCs w:val="22"/>
          <w:lang w:val="it-IT"/>
        </w:rPr>
      </w:pPr>
    </w:p>
    <w:p w:rsidR="00736014" w:rsidRPr="00FB01EF" w:rsidRDefault="00736014" w:rsidP="00F97DD8">
      <w:pPr>
        <w:ind w:right="-20"/>
        <w:rPr>
          <w:szCs w:val="22"/>
          <w:lang w:val="it-IT"/>
        </w:rPr>
      </w:pPr>
      <w:r w:rsidRPr="00FB01EF">
        <w:rPr>
          <w:szCs w:val="22"/>
          <w:lang w:val="it-IT"/>
        </w:rPr>
        <w:t xml:space="preserve">Medicinale soggetto a prescrizione medica limitativa (vedere </w:t>
      </w:r>
      <w:r w:rsidR="00400FF5" w:rsidRPr="00FB01EF">
        <w:rPr>
          <w:szCs w:val="22"/>
          <w:lang w:val="it-IT"/>
        </w:rPr>
        <w:t>allegato</w:t>
      </w:r>
      <w:r w:rsidR="00877328" w:rsidRPr="00FB01EF">
        <w:rPr>
          <w:szCs w:val="22"/>
          <w:lang w:val="it-IT"/>
        </w:rPr>
        <w:t> </w:t>
      </w:r>
      <w:r w:rsidRPr="00FB01EF">
        <w:rPr>
          <w:szCs w:val="22"/>
          <w:lang w:val="it-IT"/>
        </w:rPr>
        <w:t xml:space="preserve">I: </w:t>
      </w:r>
      <w:r w:rsidR="00400FF5" w:rsidRPr="00FB01EF">
        <w:rPr>
          <w:szCs w:val="22"/>
          <w:lang w:val="it-IT"/>
        </w:rPr>
        <w:t xml:space="preserve">riassunto </w:t>
      </w:r>
      <w:r w:rsidRPr="00FB01EF">
        <w:rPr>
          <w:szCs w:val="22"/>
          <w:lang w:val="it-IT"/>
        </w:rPr>
        <w:t>delle</w:t>
      </w:r>
      <w:r w:rsidR="00400FF5" w:rsidRPr="00FB01EF">
        <w:rPr>
          <w:szCs w:val="22"/>
          <w:lang w:val="it-IT"/>
        </w:rPr>
        <w:t xml:space="preserve"> caratteristiche </w:t>
      </w:r>
      <w:r w:rsidRPr="00FB01EF">
        <w:rPr>
          <w:szCs w:val="22"/>
          <w:lang w:val="it-IT"/>
        </w:rPr>
        <w:t xml:space="preserve">del </w:t>
      </w:r>
      <w:r w:rsidR="00400FF5" w:rsidRPr="00FB01EF">
        <w:rPr>
          <w:szCs w:val="22"/>
          <w:lang w:val="it-IT"/>
        </w:rPr>
        <w:t>prodotto</w:t>
      </w:r>
      <w:r w:rsidRPr="00FB01EF">
        <w:rPr>
          <w:szCs w:val="22"/>
          <w:lang w:val="it-IT"/>
        </w:rPr>
        <w:t>, paragrafo</w:t>
      </w:r>
      <w:r w:rsidR="00877328" w:rsidRPr="00FB01EF">
        <w:rPr>
          <w:szCs w:val="22"/>
          <w:lang w:val="it-IT"/>
        </w:rPr>
        <w:t> </w:t>
      </w:r>
      <w:r w:rsidRPr="00FB01EF">
        <w:rPr>
          <w:szCs w:val="22"/>
          <w:lang w:val="it-IT"/>
        </w:rPr>
        <w:t>4.2).</w:t>
      </w:r>
    </w:p>
    <w:p w:rsidR="00C97C7F" w:rsidRPr="00FB01EF" w:rsidRDefault="00C97C7F" w:rsidP="00496272">
      <w:pPr>
        <w:numPr>
          <w:ilvl w:val="12"/>
          <w:numId w:val="0"/>
        </w:numPr>
        <w:ind w:right="-568"/>
        <w:rPr>
          <w:noProof/>
          <w:szCs w:val="22"/>
          <w:lang w:val="it-IT"/>
        </w:rPr>
      </w:pPr>
    </w:p>
    <w:p w:rsidR="00CD0400" w:rsidRPr="00FB01EF" w:rsidRDefault="00CD0400" w:rsidP="00496272">
      <w:pPr>
        <w:numPr>
          <w:ilvl w:val="12"/>
          <w:numId w:val="0"/>
        </w:numPr>
        <w:ind w:right="-568"/>
        <w:rPr>
          <w:noProof/>
          <w:szCs w:val="22"/>
          <w:lang w:val="it-IT"/>
        </w:rPr>
      </w:pPr>
    </w:p>
    <w:p w:rsidR="00400FF5" w:rsidRPr="00FB01EF" w:rsidRDefault="00400FF5" w:rsidP="00FB17A2">
      <w:pPr>
        <w:pStyle w:val="TitleB"/>
        <w:rPr>
          <w:lang w:val="it-IT"/>
        </w:rPr>
      </w:pPr>
      <w:r w:rsidRPr="00FB01EF">
        <w:rPr>
          <w:lang w:val="it-IT"/>
        </w:rPr>
        <w:t>C.</w:t>
      </w:r>
      <w:r w:rsidRPr="00FB01EF">
        <w:rPr>
          <w:lang w:val="it-IT"/>
        </w:rPr>
        <w:tab/>
        <w:t>ALTRE CONDIZIONI E REQUISITI DELL’AUTORIZZAZIONE ALL’IMMISSIONE IN COMMERCIO</w:t>
      </w:r>
    </w:p>
    <w:p w:rsidR="00400FF5" w:rsidRPr="00FB01EF" w:rsidRDefault="00400FF5" w:rsidP="00400FF5">
      <w:pPr>
        <w:pStyle w:val="EMEABodyText"/>
        <w:rPr>
          <w:noProof/>
          <w:szCs w:val="22"/>
          <w:u w:val="single"/>
          <w:lang w:val="it-IT"/>
        </w:rPr>
      </w:pPr>
    </w:p>
    <w:p w:rsidR="00400FF5" w:rsidRPr="00FB01EF" w:rsidRDefault="00400FF5" w:rsidP="00CC7997">
      <w:pPr>
        <w:numPr>
          <w:ilvl w:val="0"/>
          <w:numId w:val="6"/>
        </w:numPr>
        <w:spacing w:line="260" w:lineRule="exact"/>
        <w:ind w:left="284" w:right="-1" w:hanging="284"/>
        <w:rPr>
          <w:b/>
          <w:szCs w:val="22"/>
          <w:lang w:val="it-IT"/>
        </w:rPr>
      </w:pPr>
      <w:r w:rsidRPr="00FB01EF">
        <w:rPr>
          <w:b/>
          <w:szCs w:val="22"/>
          <w:lang w:val="it-IT"/>
        </w:rPr>
        <w:t>Rapporti periodici di aggiornamento sulla sicurezza</w:t>
      </w:r>
      <w:r w:rsidR="00A42CD5" w:rsidRPr="00FB01EF">
        <w:rPr>
          <w:b/>
          <w:szCs w:val="22"/>
          <w:lang w:val="it-IT"/>
        </w:rPr>
        <w:t xml:space="preserve"> (PSUR)</w:t>
      </w:r>
    </w:p>
    <w:p w:rsidR="00400FF5" w:rsidRPr="00FB01EF" w:rsidRDefault="00400FF5" w:rsidP="00400FF5">
      <w:pPr>
        <w:ind w:right="-1"/>
        <w:rPr>
          <w:szCs w:val="22"/>
          <w:lang w:val="it-IT"/>
        </w:rPr>
      </w:pPr>
    </w:p>
    <w:p w:rsidR="00400FF5" w:rsidRPr="00FB01EF" w:rsidRDefault="00CD0400" w:rsidP="00400FF5">
      <w:pPr>
        <w:ind w:right="-1"/>
        <w:rPr>
          <w:szCs w:val="22"/>
          <w:lang w:val="it-IT"/>
        </w:rPr>
      </w:pPr>
      <w:r w:rsidRPr="00FB01EF">
        <w:rPr>
          <w:szCs w:val="22"/>
          <w:lang w:val="it-IT" w:bidi="it-IT"/>
        </w:rPr>
        <w:t xml:space="preserve">I requisiti per la presentazione degli PSUR per questo medicinale sono definiti nell’elenco delle date di riferimento per l’Unione europea (elenco EURD) di cui all’articolo 107 </w:t>
      </w:r>
      <w:r w:rsidRPr="00FB01EF">
        <w:rPr>
          <w:i/>
          <w:szCs w:val="22"/>
          <w:lang w:val="it-IT" w:bidi="it-IT"/>
        </w:rPr>
        <w:t>quater</w:t>
      </w:r>
      <w:r w:rsidRPr="00FB01EF">
        <w:rPr>
          <w:szCs w:val="22"/>
          <w:lang w:val="it-IT" w:bidi="it-IT"/>
        </w:rPr>
        <w:t>, paragrafo 7, della Direttiva 2001/83/CE e successive modifiche, pubblicato sul sito web dell’Agenzia europea dei medicinali</w:t>
      </w:r>
      <w:r w:rsidR="00400FF5" w:rsidRPr="00FB01EF">
        <w:rPr>
          <w:szCs w:val="22"/>
          <w:lang w:val="it-IT"/>
        </w:rPr>
        <w:t>.</w:t>
      </w:r>
    </w:p>
    <w:p w:rsidR="00400FF5" w:rsidRPr="00FB01EF" w:rsidRDefault="00400FF5" w:rsidP="00496272">
      <w:pPr>
        <w:pStyle w:val="TitleB"/>
        <w:rPr>
          <w:lang w:val="it-IT"/>
        </w:rPr>
      </w:pPr>
    </w:p>
    <w:p w:rsidR="00400FF5" w:rsidRPr="00FB01EF" w:rsidRDefault="00400FF5" w:rsidP="00496272">
      <w:pPr>
        <w:pStyle w:val="TitleB"/>
        <w:rPr>
          <w:lang w:val="it-IT"/>
        </w:rPr>
      </w:pPr>
    </w:p>
    <w:p w:rsidR="00812D16" w:rsidRPr="00CB5BCD" w:rsidRDefault="00400FF5" w:rsidP="00496272">
      <w:pPr>
        <w:pStyle w:val="TitleB"/>
        <w:rPr>
          <w:lang w:val="es-ES"/>
        </w:rPr>
      </w:pPr>
      <w:r w:rsidRPr="00FB01EF">
        <w:rPr>
          <w:lang w:val="it-IT"/>
        </w:rPr>
        <w:t>D</w:t>
      </w:r>
      <w:r w:rsidR="00A73A74" w:rsidRPr="00FB01EF">
        <w:rPr>
          <w:lang w:val="it-IT"/>
        </w:rPr>
        <w:t>.</w:t>
      </w:r>
      <w:r w:rsidR="00A73A74" w:rsidRPr="00FB01EF">
        <w:rPr>
          <w:lang w:val="it-IT"/>
        </w:rPr>
        <w:tab/>
      </w:r>
      <w:r w:rsidR="00736014" w:rsidRPr="00CB5BCD">
        <w:rPr>
          <w:lang w:val="es-ES"/>
        </w:rPr>
        <w:t xml:space="preserve">CONDIZIONI O </w:t>
      </w:r>
      <w:r w:rsidRPr="00CB5BCD">
        <w:rPr>
          <w:lang w:val="es-ES"/>
        </w:rPr>
        <w:t xml:space="preserve">LIMITAZIONI </w:t>
      </w:r>
      <w:r w:rsidR="00736014" w:rsidRPr="00CB5BCD">
        <w:rPr>
          <w:lang w:val="es-ES"/>
        </w:rPr>
        <w:t>PER QUANTO RIGUARDA L</w:t>
      </w:r>
      <w:r w:rsidR="003746BF" w:rsidRPr="00CB5BCD">
        <w:rPr>
          <w:lang w:val="es-ES"/>
        </w:rPr>
        <w:t>’</w:t>
      </w:r>
      <w:r w:rsidR="00736014" w:rsidRPr="00CB5BCD">
        <w:rPr>
          <w:lang w:val="es-ES"/>
        </w:rPr>
        <w:t>USO SICURO ED EFFICACE DEL MEDICINALE</w:t>
      </w:r>
    </w:p>
    <w:p w:rsidR="00812D16" w:rsidRPr="00FB01EF" w:rsidRDefault="00812D16" w:rsidP="00B244BF">
      <w:pPr>
        <w:ind w:right="-568"/>
        <w:rPr>
          <w:noProof/>
          <w:szCs w:val="22"/>
          <w:lang w:val="it-IT"/>
        </w:rPr>
      </w:pPr>
    </w:p>
    <w:p w:rsidR="00625511" w:rsidRPr="00FB01EF" w:rsidRDefault="00625511" w:rsidP="00CC7997">
      <w:pPr>
        <w:pStyle w:val="EMEABodyText"/>
        <w:numPr>
          <w:ilvl w:val="0"/>
          <w:numId w:val="6"/>
        </w:numPr>
        <w:tabs>
          <w:tab w:val="left" w:pos="567"/>
        </w:tabs>
        <w:ind w:left="0" w:firstLine="0"/>
        <w:rPr>
          <w:b/>
          <w:i/>
          <w:szCs w:val="22"/>
          <w:lang w:val="it-IT"/>
        </w:rPr>
      </w:pPr>
      <w:r w:rsidRPr="00FB01EF">
        <w:rPr>
          <w:b/>
          <w:noProof/>
          <w:szCs w:val="22"/>
          <w:lang w:val="it-IT"/>
        </w:rPr>
        <w:t>Piano di gestione del rischio</w:t>
      </w:r>
      <w:r w:rsidRPr="00FB01EF">
        <w:rPr>
          <w:b/>
          <w:i/>
          <w:szCs w:val="22"/>
          <w:lang w:val="it-IT"/>
        </w:rPr>
        <w:t xml:space="preserve"> </w:t>
      </w:r>
      <w:r w:rsidRPr="00FB01EF">
        <w:rPr>
          <w:b/>
          <w:noProof/>
          <w:szCs w:val="22"/>
          <w:lang w:val="it-IT"/>
        </w:rPr>
        <w:t>(RMP</w:t>
      </w:r>
      <w:r w:rsidRPr="00FB01EF">
        <w:rPr>
          <w:b/>
          <w:szCs w:val="22"/>
          <w:lang w:val="it-IT"/>
        </w:rPr>
        <w:t>)</w:t>
      </w:r>
    </w:p>
    <w:p w:rsidR="00877328" w:rsidRPr="00FB01EF" w:rsidRDefault="00877328" w:rsidP="00907D5D">
      <w:pPr>
        <w:ind w:right="43"/>
        <w:rPr>
          <w:szCs w:val="22"/>
          <w:lang w:val="it-IT"/>
        </w:rPr>
      </w:pPr>
    </w:p>
    <w:p w:rsidR="00736014" w:rsidRPr="00FB01EF" w:rsidRDefault="00736014" w:rsidP="00907D5D">
      <w:pPr>
        <w:ind w:right="43"/>
        <w:rPr>
          <w:szCs w:val="22"/>
          <w:lang w:val="it-IT"/>
        </w:rPr>
      </w:pPr>
      <w:r w:rsidRPr="00FB01EF">
        <w:rPr>
          <w:szCs w:val="22"/>
          <w:lang w:val="it-IT"/>
        </w:rPr>
        <w:t xml:space="preserve">Il titolare dell’autorizzazione all’immissione in commercio </w:t>
      </w:r>
      <w:r w:rsidR="00625511" w:rsidRPr="00FB01EF">
        <w:rPr>
          <w:szCs w:val="22"/>
          <w:lang w:val="it-IT"/>
        </w:rPr>
        <w:t>deve effettuare le</w:t>
      </w:r>
      <w:r w:rsidRPr="00FB01EF">
        <w:rPr>
          <w:szCs w:val="22"/>
          <w:lang w:val="it-IT"/>
        </w:rPr>
        <w:t xml:space="preserve"> attività</w:t>
      </w:r>
      <w:r w:rsidR="00625511" w:rsidRPr="00FB01EF">
        <w:rPr>
          <w:szCs w:val="22"/>
          <w:lang w:val="it-IT"/>
        </w:rPr>
        <w:t xml:space="preserve"> e </w:t>
      </w:r>
      <w:r w:rsidR="003746BF" w:rsidRPr="00FB01EF">
        <w:rPr>
          <w:szCs w:val="22"/>
          <w:lang w:val="it-IT" w:bidi="it-IT"/>
        </w:rPr>
        <w:t>le azioni</w:t>
      </w:r>
      <w:r w:rsidRPr="00FB01EF">
        <w:rPr>
          <w:szCs w:val="22"/>
          <w:lang w:val="it-IT"/>
        </w:rPr>
        <w:t xml:space="preserve"> di farmacovigilanza </w:t>
      </w:r>
      <w:r w:rsidR="00625511" w:rsidRPr="00FB01EF">
        <w:rPr>
          <w:szCs w:val="22"/>
          <w:lang w:val="it-IT"/>
        </w:rPr>
        <w:t>richiest</w:t>
      </w:r>
      <w:r w:rsidR="003746BF" w:rsidRPr="00FB01EF">
        <w:rPr>
          <w:szCs w:val="22"/>
          <w:lang w:val="it-IT"/>
        </w:rPr>
        <w:t>e</w:t>
      </w:r>
      <w:r w:rsidR="00625511" w:rsidRPr="00FB01EF">
        <w:rPr>
          <w:szCs w:val="22"/>
          <w:lang w:val="it-IT"/>
        </w:rPr>
        <w:t xml:space="preserve"> e dettagliat</w:t>
      </w:r>
      <w:r w:rsidR="003746BF" w:rsidRPr="00FB01EF">
        <w:rPr>
          <w:szCs w:val="22"/>
          <w:lang w:val="it-IT"/>
        </w:rPr>
        <w:t>e</w:t>
      </w:r>
      <w:r w:rsidRPr="00FB01EF">
        <w:rPr>
          <w:szCs w:val="22"/>
          <w:lang w:val="it-IT"/>
        </w:rPr>
        <w:t xml:space="preserve"> nel </w:t>
      </w:r>
      <w:r w:rsidR="00625511" w:rsidRPr="00FB01EF">
        <w:rPr>
          <w:szCs w:val="22"/>
          <w:lang w:val="it-IT"/>
        </w:rPr>
        <w:t>RMP</w:t>
      </w:r>
      <w:r w:rsidRPr="00FB01EF">
        <w:rPr>
          <w:szCs w:val="22"/>
          <w:lang w:val="it-IT"/>
        </w:rPr>
        <w:t xml:space="preserve"> </w:t>
      </w:r>
      <w:r w:rsidR="003746BF" w:rsidRPr="00FB01EF">
        <w:rPr>
          <w:szCs w:val="22"/>
          <w:lang w:val="it-IT" w:bidi="it-IT"/>
        </w:rPr>
        <w:t>approvato</w:t>
      </w:r>
      <w:r w:rsidRPr="00FB01EF">
        <w:rPr>
          <w:szCs w:val="22"/>
          <w:lang w:val="it-IT"/>
        </w:rPr>
        <w:t xml:space="preserve"> </w:t>
      </w:r>
      <w:r w:rsidR="00625511" w:rsidRPr="00FB01EF">
        <w:rPr>
          <w:szCs w:val="22"/>
          <w:lang w:val="it-IT"/>
        </w:rPr>
        <w:t xml:space="preserve">e presentato </w:t>
      </w:r>
      <w:r w:rsidRPr="00FB01EF">
        <w:rPr>
          <w:szCs w:val="22"/>
          <w:lang w:val="it-IT"/>
        </w:rPr>
        <w:t xml:space="preserve">nel </w:t>
      </w:r>
      <w:r w:rsidR="00625511" w:rsidRPr="00FB01EF">
        <w:rPr>
          <w:szCs w:val="22"/>
          <w:lang w:val="it-IT"/>
        </w:rPr>
        <w:t>modulo</w:t>
      </w:r>
      <w:r w:rsidR="00877328" w:rsidRPr="00FB01EF">
        <w:rPr>
          <w:szCs w:val="22"/>
          <w:lang w:val="it-IT"/>
        </w:rPr>
        <w:t> </w:t>
      </w:r>
      <w:r w:rsidRPr="00FB01EF">
        <w:rPr>
          <w:szCs w:val="22"/>
          <w:lang w:val="it-IT"/>
        </w:rPr>
        <w:t>1.8.2 dell</w:t>
      </w:r>
      <w:r w:rsidR="00145F62" w:rsidRPr="00FB01EF">
        <w:rPr>
          <w:szCs w:val="22"/>
          <w:lang w:val="it-IT"/>
        </w:rPr>
        <w:t>’</w:t>
      </w:r>
      <w:r w:rsidRPr="00FB01EF">
        <w:rPr>
          <w:szCs w:val="22"/>
          <w:lang w:val="it-IT"/>
        </w:rPr>
        <w:t xml:space="preserve">autorizzazione all’immissione in commercio e </w:t>
      </w:r>
      <w:r w:rsidR="003746BF" w:rsidRPr="00FB01EF">
        <w:rPr>
          <w:szCs w:val="22"/>
          <w:lang w:val="it-IT"/>
        </w:rPr>
        <w:t>in ogni</w:t>
      </w:r>
      <w:r w:rsidRPr="00FB01EF">
        <w:rPr>
          <w:szCs w:val="22"/>
          <w:lang w:val="it-IT"/>
        </w:rPr>
        <w:t xml:space="preserve"> successivo aggiornamento</w:t>
      </w:r>
      <w:r w:rsidR="00625511" w:rsidRPr="00FB01EF">
        <w:rPr>
          <w:szCs w:val="22"/>
          <w:lang w:val="it-IT"/>
        </w:rPr>
        <w:t xml:space="preserve"> </w:t>
      </w:r>
      <w:r w:rsidR="003746BF" w:rsidRPr="00FB01EF">
        <w:rPr>
          <w:szCs w:val="22"/>
          <w:lang w:val="it-IT" w:bidi="it-IT"/>
        </w:rPr>
        <w:t>approvato</w:t>
      </w:r>
      <w:r w:rsidRPr="00FB01EF">
        <w:rPr>
          <w:szCs w:val="22"/>
          <w:lang w:val="it-IT"/>
        </w:rPr>
        <w:t xml:space="preserve"> del RMP.</w:t>
      </w:r>
    </w:p>
    <w:p w:rsidR="00625511" w:rsidRPr="00FB01EF" w:rsidRDefault="00625511" w:rsidP="00F97DD8">
      <w:pPr>
        <w:ind w:right="-20"/>
        <w:rPr>
          <w:szCs w:val="22"/>
          <w:lang w:val="it-IT"/>
        </w:rPr>
      </w:pPr>
    </w:p>
    <w:p w:rsidR="00877328" w:rsidRPr="00FB01EF" w:rsidRDefault="008841D5" w:rsidP="00C23F8C">
      <w:pPr>
        <w:ind w:right="-20"/>
        <w:rPr>
          <w:szCs w:val="22"/>
          <w:lang w:val="it-IT"/>
        </w:rPr>
      </w:pPr>
      <w:r w:rsidRPr="00FB01EF">
        <w:rPr>
          <w:szCs w:val="22"/>
          <w:lang w:val="it-IT"/>
        </w:rPr>
        <w:t>I</w:t>
      </w:r>
      <w:r w:rsidR="00736014" w:rsidRPr="00FB01EF">
        <w:rPr>
          <w:szCs w:val="22"/>
          <w:lang w:val="it-IT"/>
        </w:rPr>
        <w:t>l RMP aggiornato deve essere presentato:</w:t>
      </w:r>
    </w:p>
    <w:p w:rsidR="00625511" w:rsidRPr="00FB01EF" w:rsidRDefault="00625511" w:rsidP="00CC7997">
      <w:pPr>
        <w:widowControl w:val="0"/>
        <w:numPr>
          <w:ilvl w:val="0"/>
          <w:numId w:val="5"/>
        </w:numPr>
        <w:suppressLineNumbers/>
        <w:tabs>
          <w:tab w:val="num" w:pos="720"/>
        </w:tabs>
        <w:spacing w:line="260" w:lineRule="exact"/>
        <w:ind w:left="720" w:right="-1"/>
        <w:rPr>
          <w:szCs w:val="22"/>
          <w:lang w:val="it-IT"/>
        </w:rPr>
      </w:pPr>
      <w:r w:rsidRPr="00FB01EF">
        <w:rPr>
          <w:iCs/>
          <w:noProof/>
          <w:szCs w:val="22"/>
          <w:lang w:val="it-IT"/>
        </w:rPr>
        <w:t>su</w:t>
      </w:r>
      <w:r w:rsidRPr="00FB01EF">
        <w:rPr>
          <w:szCs w:val="22"/>
          <w:lang w:val="it-IT"/>
        </w:rPr>
        <w:t xml:space="preserve"> richiesta dell</w:t>
      </w:r>
      <w:r w:rsidR="00145F62" w:rsidRPr="00FB01EF">
        <w:rPr>
          <w:szCs w:val="22"/>
          <w:lang w:val="it-IT"/>
        </w:rPr>
        <w:t>’</w:t>
      </w:r>
      <w:r w:rsidRPr="00FB01EF">
        <w:rPr>
          <w:szCs w:val="22"/>
          <w:lang w:val="it-IT"/>
        </w:rPr>
        <w:t xml:space="preserve">Agenzia europea </w:t>
      </w:r>
      <w:r w:rsidR="008841D5" w:rsidRPr="00FB01EF">
        <w:rPr>
          <w:szCs w:val="22"/>
          <w:lang w:val="it-IT"/>
        </w:rPr>
        <w:t>dei</w:t>
      </w:r>
      <w:r w:rsidRPr="00FB01EF">
        <w:rPr>
          <w:szCs w:val="22"/>
          <w:lang w:val="it-IT"/>
        </w:rPr>
        <w:t xml:space="preserve"> medicinali;</w:t>
      </w:r>
    </w:p>
    <w:p w:rsidR="00625511" w:rsidRPr="00FB01EF" w:rsidRDefault="00625511" w:rsidP="00CC7997">
      <w:pPr>
        <w:widowControl w:val="0"/>
        <w:numPr>
          <w:ilvl w:val="0"/>
          <w:numId w:val="5"/>
        </w:numPr>
        <w:suppressLineNumbers/>
        <w:tabs>
          <w:tab w:val="num" w:pos="720"/>
        </w:tabs>
        <w:spacing w:line="260" w:lineRule="exact"/>
        <w:ind w:left="720" w:right="-1"/>
        <w:rPr>
          <w:szCs w:val="22"/>
          <w:lang w:val="it-IT"/>
        </w:rPr>
      </w:pPr>
      <w:r w:rsidRPr="00FB01EF">
        <w:rPr>
          <w:iCs/>
          <w:noProof/>
          <w:szCs w:val="22"/>
          <w:lang w:val="it-IT"/>
        </w:rPr>
        <w:t>ogni volta che il sistema di gestione del rischio è modificato, in particolare a seguito del ricevimento di nuove informazioni</w:t>
      </w:r>
      <w:r w:rsidRPr="00FB01EF">
        <w:rPr>
          <w:noProof/>
          <w:szCs w:val="22"/>
          <w:lang w:val="it-IT"/>
        </w:rPr>
        <w:t xml:space="preserve"> che possono portare a un cambiamento significativo del profilo beneficio/rischio o </w:t>
      </w:r>
      <w:r w:rsidR="008841D5" w:rsidRPr="00FB01EF">
        <w:rPr>
          <w:noProof/>
          <w:szCs w:val="22"/>
          <w:lang w:val="it-IT"/>
        </w:rPr>
        <w:t>a seguito</w:t>
      </w:r>
      <w:r w:rsidRPr="00FB01EF">
        <w:rPr>
          <w:noProof/>
          <w:szCs w:val="22"/>
          <w:lang w:val="it-IT"/>
        </w:rPr>
        <w:t xml:space="preserve"> del raggiungimento di un importante obiettivo (di farmacovigilanza o di minimizzazione del rischio).</w:t>
      </w:r>
    </w:p>
    <w:p w:rsidR="00812D16" w:rsidRPr="00FB01EF" w:rsidRDefault="00812D16" w:rsidP="00CA2F0A">
      <w:pPr>
        <w:pStyle w:val="EMEABodyText"/>
        <w:rPr>
          <w:b/>
          <w:noProof/>
          <w:szCs w:val="22"/>
          <w:lang w:val="it-IT"/>
        </w:rPr>
      </w:pPr>
      <w:r w:rsidRPr="00FB01EF">
        <w:rPr>
          <w:b/>
          <w:noProof/>
          <w:szCs w:val="22"/>
          <w:lang w:val="it-IT"/>
        </w:rPr>
        <w:br w:type="page"/>
      </w:r>
    </w:p>
    <w:p w:rsidR="00877328" w:rsidRPr="00FB01EF" w:rsidRDefault="00877328" w:rsidP="00496272">
      <w:pPr>
        <w:ind w:right="-1"/>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rPr>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812D16" w:rsidP="00496272">
      <w:pPr>
        <w:jc w:val="center"/>
        <w:outlineLvl w:val="0"/>
        <w:rPr>
          <w:b/>
          <w:noProof/>
          <w:szCs w:val="22"/>
          <w:lang w:val="it-IT"/>
        </w:rPr>
      </w:pPr>
    </w:p>
    <w:p w:rsidR="00812D16" w:rsidRPr="00FB01EF" w:rsidRDefault="00736014" w:rsidP="00496272">
      <w:pPr>
        <w:jc w:val="center"/>
        <w:outlineLvl w:val="0"/>
        <w:rPr>
          <w:b/>
          <w:noProof/>
          <w:szCs w:val="22"/>
          <w:lang w:val="it-IT"/>
        </w:rPr>
      </w:pPr>
      <w:r w:rsidRPr="00FB01EF">
        <w:rPr>
          <w:b/>
          <w:bCs/>
          <w:szCs w:val="22"/>
          <w:lang w:val="it-IT"/>
        </w:rPr>
        <w:t>ALLEGATO III</w:t>
      </w:r>
    </w:p>
    <w:p w:rsidR="00812D16" w:rsidRPr="00FB01EF" w:rsidRDefault="00812D16" w:rsidP="00496272">
      <w:pPr>
        <w:jc w:val="center"/>
        <w:rPr>
          <w:b/>
          <w:noProof/>
          <w:szCs w:val="22"/>
          <w:lang w:val="it-IT"/>
        </w:rPr>
      </w:pPr>
    </w:p>
    <w:p w:rsidR="00812D16" w:rsidRPr="00FB01EF" w:rsidRDefault="00736014" w:rsidP="00496272">
      <w:pPr>
        <w:jc w:val="center"/>
        <w:outlineLvl w:val="0"/>
        <w:rPr>
          <w:b/>
          <w:noProof/>
          <w:szCs w:val="22"/>
          <w:lang w:val="it-IT"/>
        </w:rPr>
      </w:pPr>
      <w:r w:rsidRPr="00FB01EF">
        <w:rPr>
          <w:b/>
          <w:bCs/>
          <w:szCs w:val="22"/>
          <w:lang w:val="it-IT"/>
        </w:rPr>
        <w:t>ETICHETTATURA E FOGLIO ILLUSTRATIVO</w:t>
      </w:r>
    </w:p>
    <w:p w:rsidR="00812D16" w:rsidRPr="00FB01EF" w:rsidRDefault="00812D16" w:rsidP="00496272">
      <w:pPr>
        <w:jc w:val="center"/>
        <w:rPr>
          <w:b/>
          <w:noProof/>
          <w:szCs w:val="22"/>
          <w:lang w:val="it-IT"/>
        </w:rPr>
      </w:pPr>
    </w:p>
    <w:p w:rsidR="00812D16" w:rsidRPr="00FB01EF" w:rsidRDefault="008F2F99" w:rsidP="00496272">
      <w:pPr>
        <w:jc w:val="center"/>
        <w:rPr>
          <w:noProof/>
          <w:szCs w:val="22"/>
          <w:lang w:val="it-IT"/>
        </w:rPr>
      </w:pPr>
      <w:r w:rsidRPr="00FB01EF">
        <w:rPr>
          <w:noProof/>
          <w:szCs w:val="22"/>
          <w:lang w:val="it-IT"/>
        </w:rPr>
        <w:br w:type="page"/>
      </w:r>
    </w:p>
    <w:p w:rsidR="008F2F99" w:rsidRPr="00FB01EF" w:rsidRDefault="008F2F99" w:rsidP="00496272">
      <w:pPr>
        <w:jc w:val="center"/>
        <w:rPr>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0166C1" w:rsidRPr="00FB01EF" w:rsidRDefault="000166C1" w:rsidP="00496272">
      <w:pPr>
        <w:jc w:val="center"/>
        <w:outlineLvl w:val="0"/>
        <w:rPr>
          <w:b/>
          <w:noProof/>
          <w:szCs w:val="22"/>
          <w:lang w:val="it-IT"/>
        </w:rPr>
      </w:pPr>
    </w:p>
    <w:p w:rsidR="00B64B2F" w:rsidRPr="00FB01EF" w:rsidRDefault="00B64B2F" w:rsidP="00496272">
      <w:pPr>
        <w:jc w:val="center"/>
        <w:outlineLvl w:val="0"/>
        <w:rPr>
          <w:b/>
          <w:noProof/>
          <w:szCs w:val="22"/>
          <w:lang w:val="it-IT"/>
        </w:rPr>
      </w:pPr>
    </w:p>
    <w:p w:rsidR="00B64B2F" w:rsidRPr="00FB01EF" w:rsidRDefault="00B64B2F" w:rsidP="00496272">
      <w:pPr>
        <w:jc w:val="center"/>
        <w:outlineLvl w:val="0"/>
        <w:rPr>
          <w:b/>
          <w:noProof/>
          <w:szCs w:val="22"/>
          <w:lang w:val="it-IT"/>
        </w:rPr>
      </w:pPr>
    </w:p>
    <w:p w:rsidR="00B64B2F" w:rsidRPr="00FB01EF" w:rsidRDefault="00B64B2F" w:rsidP="00496272">
      <w:pPr>
        <w:jc w:val="center"/>
        <w:outlineLvl w:val="0"/>
        <w:rPr>
          <w:b/>
          <w:noProof/>
          <w:szCs w:val="22"/>
          <w:lang w:val="it-IT"/>
        </w:rPr>
      </w:pPr>
    </w:p>
    <w:p w:rsidR="00B64B2F" w:rsidRPr="00FB01EF" w:rsidRDefault="00B64B2F" w:rsidP="00496272">
      <w:pPr>
        <w:jc w:val="center"/>
        <w:outlineLvl w:val="0"/>
        <w:rPr>
          <w:b/>
          <w:noProof/>
          <w:szCs w:val="22"/>
          <w:lang w:val="it-IT"/>
        </w:rPr>
      </w:pPr>
    </w:p>
    <w:p w:rsidR="00812D16" w:rsidRPr="00FB01EF" w:rsidRDefault="00736014" w:rsidP="00DB3C91">
      <w:pPr>
        <w:pStyle w:val="TitleA"/>
        <w:rPr>
          <w:lang w:val="it-IT"/>
        </w:rPr>
      </w:pPr>
      <w:r w:rsidRPr="00FB01EF">
        <w:rPr>
          <w:lang w:val="it-IT"/>
        </w:rPr>
        <w:t>A. ETICHETTATURA</w:t>
      </w:r>
    </w:p>
    <w:p w:rsidR="00812D16" w:rsidRPr="00FB01EF" w:rsidRDefault="00812D16" w:rsidP="00496272">
      <w:pPr>
        <w:jc w:val="cente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shd w:val="clear" w:color="auto" w:fill="FFFFFF"/>
        <w:rPr>
          <w:noProof/>
          <w:szCs w:val="22"/>
          <w:lang w:val="it-IT"/>
        </w:rPr>
      </w:pPr>
      <w:r w:rsidRPr="00FB01EF">
        <w:rPr>
          <w:noProof/>
          <w:szCs w:val="22"/>
          <w:lang w:val="it-IT"/>
        </w:rPr>
        <w:br w:type="page"/>
      </w:r>
      <w:r w:rsidR="00736014" w:rsidRPr="00FB01EF">
        <w:rPr>
          <w:b/>
          <w:bCs/>
          <w:szCs w:val="22"/>
          <w:lang w:val="it-IT"/>
        </w:rPr>
        <w:lastRenderedPageBreak/>
        <w:t>INFORMAZIONI DA APPORRE SUL CONFEZIONAMENTO SECONDARIO</w:t>
      </w: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lang w:val="it-IT"/>
        </w:rPr>
      </w:pPr>
    </w:p>
    <w:p w:rsidR="00812D16" w:rsidRPr="00FB01EF" w:rsidRDefault="00D64948" w:rsidP="00496272">
      <w:pPr>
        <w:pBdr>
          <w:top w:val="single" w:sz="4" w:space="1" w:color="auto"/>
          <w:left w:val="single" w:sz="4" w:space="4" w:color="auto"/>
          <w:bottom w:val="single" w:sz="4" w:space="1" w:color="auto"/>
          <w:right w:val="single" w:sz="4" w:space="4" w:color="auto"/>
        </w:pBdr>
        <w:rPr>
          <w:bCs/>
          <w:noProof/>
          <w:szCs w:val="22"/>
          <w:lang w:val="it-IT"/>
        </w:rPr>
      </w:pPr>
      <w:r w:rsidRPr="00FB01EF">
        <w:rPr>
          <w:b/>
          <w:bCs/>
          <w:lang w:val="it-IT"/>
        </w:rPr>
        <w:t>I</w:t>
      </w:r>
      <w:r w:rsidRPr="00FB01EF">
        <w:rPr>
          <w:b/>
          <w:bCs/>
          <w:caps/>
          <w:lang w:val="it-IT"/>
        </w:rPr>
        <w:t>mballaggio esterno</w:t>
      </w:r>
    </w:p>
    <w:p w:rsidR="00812D16" w:rsidRPr="00FB01EF" w:rsidRDefault="00812D16" w:rsidP="00496272">
      <w:pPr>
        <w:rPr>
          <w:noProof/>
          <w:szCs w:val="22"/>
          <w:lang w:val="it-IT"/>
        </w:rPr>
      </w:pPr>
    </w:p>
    <w:p w:rsidR="00FB17A2" w:rsidRPr="00FB01EF" w:rsidRDefault="00FB17A2"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1.</w:t>
      </w:r>
      <w:r w:rsidRPr="00FB01EF">
        <w:rPr>
          <w:b/>
          <w:noProof/>
          <w:szCs w:val="22"/>
          <w:lang w:val="it-IT"/>
        </w:rPr>
        <w:tab/>
      </w:r>
      <w:r w:rsidR="00736014" w:rsidRPr="00FB01EF">
        <w:rPr>
          <w:b/>
          <w:bCs/>
          <w:szCs w:val="22"/>
          <w:lang w:val="it-IT"/>
        </w:rPr>
        <w:t>DENOMINAZIONE DEL MEDICINALE</w:t>
      </w:r>
    </w:p>
    <w:p w:rsidR="00812D16" w:rsidRPr="00FB01EF" w:rsidRDefault="00812D16" w:rsidP="00496272">
      <w:pPr>
        <w:rPr>
          <w:noProof/>
          <w:szCs w:val="22"/>
          <w:lang w:val="it-IT"/>
        </w:rPr>
      </w:pPr>
    </w:p>
    <w:p w:rsidR="00736014" w:rsidRPr="00FB01EF" w:rsidRDefault="00D70C12" w:rsidP="00907D5D">
      <w:pPr>
        <w:ind w:right="-20"/>
        <w:rPr>
          <w:szCs w:val="22"/>
          <w:lang w:val="it-IT"/>
        </w:rPr>
      </w:pPr>
      <w:r w:rsidRPr="00FB01EF">
        <w:rPr>
          <w:noProof/>
          <w:szCs w:val="22"/>
          <w:lang w:val="it-IT" w:eastAsia="zh-CN"/>
        </w:rPr>
        <w:t>Ovaleap</w:t>
      </w:r>
      <w:r w:rsidR="00736014" w:rsidRPr="00FB01EF">
        <w:rPr>
          <w:szCs w:val="22"/>
          <w:lang w:val="it-IT"/>
        </w:rPr>
        <w:t xml:space="preserve"> </w:t>
      </w:r>
      <w:r w:rsidRPr="00FB01EF">
        <w:rPr>
          <w:szCs w:val="22"/>
          <w:lang w:val="it-IT"/>
        </w:rPr>
        <w:t>300 </w:t>
      </w:r>
      <w:r w:rsidR="00736014" w:rsidRPr="00FB01EF">
        <w:rPr>
          <w:szCs w:val="22"/>
          <w:lang w:val="it-IT"/>
        </w:rPr>
        <w:t>UI/0,5</w:t>
      </w:r>
      <w:r w:rsidR="0057781E" w:rsidRPr="00FB01EF">
        <w:rPr>
          <w:szCs w:val="22"/>
          <w:lang w:val="it-IT"/>
        </w:rPr>
        <w:t> </w:t>
      </w:r>
      <w:r w:rsidR="00736014" w:rsidRPr="00FB01EF">
        <w:rPr>
          <w:szCs w:val="22"/>
          <w:lang w:val="it-IT"/>
        </w:rPr>
        <w:t>m</w:t>
      </w:r>
      <w:r w:rsidRPr="00FB01EF">
        <w:rPr>
          <w:szCs w:val="22"/>
          <w:lang w:val="it-IT"/>
        </w:rPr>
        <w:t>L</w:t>
      </w:r>
      <w:r w:rsidR="00736014" w:rsidRPr="00FB01EF">
        <w:rPr>
          <w:szCs w:val="22"/>
          <w:lang w:val="it-IT"/>
        </w:rPr>
        <w:t xml:space="preserve"> soluzione iniettabile</w:t>
      </w:r>
    </w:p>
    <w:p w:rsidR="00D70C12" w:rsidRPr="00FB01EF" w:rsidRDefault="00D70C12" w:rsidP="00736014">
      <w:pPr>
        <w:rPr>
          <w:szCs w:val="22"/>
          <w:lang w:val="it-IT"/>
        </w:rPr>
      </w:pPr>
    </w:p>
    <w:p w:rsidR="008A5C1F" w:rsidRPr="00FB01EF" w:rsidRDefault="00897367" w:rsidP="00736014">
      <w:pPr>
        <w:rPr>
          <w:noProof/>
          <w:szCs w:val="22"/>
          <w:lang w:val="it-IT"/>
        </w:rPr>
      </w:pPr>
      <w:r w:rsidRPr="00FB01EF">
        <w:rPr>
          <w:szCs w:val="22"/>
          <w:lang w:val="it-IT"/>
        </w:rPr>
        <w:t>f</w:t>
      </w:r>
      <w:r w:rsidR="00736014" w:rsidRPr="00FB01EF">
        <w:rPr>
          <w:szCs w:val="22"/>
          <w:lang w:val="it-IT"/>
        </w:rPr>
        <w:t>ollitropina</w:t>
      </w:r>
      <w:r w:rsidR="00145F62" w:rsidRPr="00FB01EF">
        <w:rPr>
          <w:szCs w:val="22"/>
          <w:lang w:val="it-IT"/>
        </w:rPr>
        <w:t> </w:t>
      </w:r>
      <w:r w:rsidR="00736014" w:rsidRPr="00FB01EF">
        <w:rPr>
          <w:szCs w:val="22"/>
          <w:lang w:val="it-IT"/>
        </w:rPr>
        <w:t>alfa</w:t>
      </w:r>
    </w:p>
    <w:p w:rsidR="00812D16" w:rsidRPr="00FB01EF" w:rsidRDefault="00812D16" w:rsidP="00496272">
      <w:pPr>
        <w:rPr>
          <w:noProof/>
          <w:szCs w:val="22"/>
          <w:lang w:val="it-IT"/>
        </w:rPr>
      </w:pPr>
    </w:p>
    <w:p w:rsidR="00D43E3D" w:rsidRPr="00FB01EF" w:rsidRDefault="00D43E3D"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2.</w:t>
      </w:r>
      <w:r w:rsidRPr="00FB01EF">
        <w:rPr>
          <w:b/>
          <w:noProof/>
          <w:szCs w:val="22"/>
          <w:lang w:val="it-IT"/>
        </w:rPr>
        <w:tab/>
      </w:r>
      <w:r w:rsidR="00736014" w:rsidRPr="00FB01EF">
        <w:rPr>
          <w:b/>
          <w:bCs/>
          <w:szCs w:val="22"/>
          <w:lang w:val="it-IT"/>
        </w:rPr>
        <w:t>COMPOSIZIONE QUALITATIVA E QUANTITATIVA IN TERMINI DI PRINCIPIO(I) ATTIVO(I)</w:t>
      </w:r>
    </w:p>
    <w:p w:rsidR="00812D16" w:rsidRPr="00FB01EF" w:rsidRDefault="00812D16" w:rsidP="00496272">
      <w:pPr>
        <w:rPr>
          <w:i/>
          <w:noProof/>
          <w:szCs w:val="22"/>
          <w:lang w:val="it-IT"/>
        </w:rPr>
      </w:pPr>
    </w:p>
    <w:p w:rsidR="00736014" w:rsidRPr="00FB01EF" w:rsidRDefault="00557328" w:rsidP="00557328">
      <w:pPr>
        <w:ind w:right="-20"/>
        <w:rPr>
          <w:szCs w:val="22"/>
          <w:lang w:val="it-IT"/>
        </w:rPr>
      </w:pPr>
      <w:r w:rsidRPr="00FB01EF">
        <w:rPr>
          <w:szCs w:val="22"/>
          <w:lang w:val="it-IT"/>
        </w:rPr>
        <w:t xml:space="preserve">Ogni cartuccia contiene 300 UI </w:t>
      </w:r>
      <w:r w:rsidRPr="00FB01EF">
        <w:rPr>
          <w:noProof/>
          <w:color w:val="000000"/>
          <w:szCs w:val="22"/>
          <w:lang w:val="it-IT"/>
        </w:rPr>
        <w:t xml:space="preserve">(equivalenti a 22 microgrammi) </w:t>
      </w:r>
      <w:r w:rsidRPr="00FB01EF">
        <w:rPr>
          <w:szCs w:val="22"/>
          <w:lang w:val="it-IT"/>
        </w:rPr>
        <w:t xml:space="preserve">di follitropina alfa in 0,5 mL di soluzione. Ogni mL della soluzione contiene 600 UI </w:t>
      </w:r>
      <w:r w:rsidRPr="00FB01EF">
        <w:rPr>
          <w:noProof/>
          <w:color w:val="000000"/>
          <w:szCs w:val="22"/>
          <w:lang w:val="it-IT"/>
        </w:rPr>
        <w:t xml:space="preserve">(equivalenti a 44 microgrammi) </w:t>
      </w:r>
      <w:r w:rsidRPr="00FB01EF">
        <w:rPr>
          <w:szCs w:val="22"/>
          <w:lang w:val="it-IT"/>
        </w:rPr>
        <w:t>di follitropina alfa.</w:t>
      </w:r>
    </w:p>
    <w:p w:rsidR="00812D16" w:rsidRPr="00FB01EF" w:rsidRDefault="00812D16"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3.</w:t>
      </w:r>
      <w:r w:rsidRPr="00FB01EF">
        <w:rPr>
          <w:b/>
          <w:noProof/>
          <w:szCs w:val="22"/>
          <w:lang w:val="it-IT"/>
        </w:rPr>
        <w:tab/>
      </w:r>
      <w:r w:rsidR="00736014" w:rsidRPr="00FB01EF">
        <w:rPr>
          <w:b/>
          <w:bCs/>
          <w:szCs w:val="22"/>
          <w:lang w:val="it-IT"/>
        </w:rPr>
        <w:t>ELENCO DEGLI ECCIPIENTI</w:t>
      </w:r>
    </w:p>
    <w:p w:rsidR="00812D16" w:rsidRPr="00FB01EF" w:rsidRDefault="00812D16" w:rsidP="00496272">
      <w:pPr>
        <w:rPr>
          <w:noProof/>
          <w:szCs w:val="22"/>
          <w:lang w:val="it-IT"/>
        </w:rPr>
      </w:pPr>
    </w:p>
    <w:p w:rsidR="00B7119F" w:rsidRPr="00FB01EF" w:rsidRDefault="00736014" w:rsidP="00496272">
      <w:pPr>
        <w:rPr>
          <w:noProof/>
          <w:szCs w:val="22"/>
          <w:lang w:val="it-IT"/>
        </w:rPr>
      </w:pPr>
      <w:r w:rsidRPr="00FB01EF">
        <w:rPr>
          <w:szCs w:val="22"/>
          <w:lang w:val="it-IT"/>
        </w:rPr>
        <w:t xml:space="preserve">Eccipienti: sodio </w:t>
      </w:r>
      <w:r w:rsidR="00D70C12" w:rsidRPr="00FB01EF">
        <w:rPr>
          <w:szCs w:val="22"/>
          <w:lang w:val="it-IT"/>
        </w:rPr>
        <w:t xml:space="preserve">diidrogeno </w:t>
      </w:r>
      <w:r w:rsidRPr="00FB01EF">
        <w:rPr>
          <w:szCs w:val="22"/>
          <w:lang w:val="it-IT"/>
        </w:rPr>
        <w:t xml:space="preserve">fosfato diidrato, sodio idrossido </w:t>
      </w:r>
      <w:r w:rsidR="00D70C12" w:rsidRPr="00FB01EF">
        <w:rPr>
          <w:szCs w:val="22"/>
          <w:lang w:val="it-IT"/>
        </w:rPr>
        <w:t>(</w:t>
      </w:r>
      <w:smartTag w:uri="urn:schemas-microsoft-com:office:smarttags" w:element="metricconverter">
        <w:smartTagPr>
          <w:attr w:name="ProductID" w:val="2ﾠM"/>
        </w:smartTagPr>
        <w:r w:rsidR="00D70C12" w:rsidRPr="00FB01EF">
          <w:rPr>
            <w:szCs w:val="22"/>
            <w:lang w:val="it-IT"/>
          </w:rPr>
          <w:t>2</w:t>
        </w:r>
        <w:r w:rsidR="00241462" w:rsidRPr="00FB01EF">
          <w:rPr>
            <w:szCs w:val="22"/>
            <w:lang w:val="it-IT"/>
          </w:rPr>
          <w:t> </w:t>
        </w:r>
        <w:r w:rsidR="00D70C12" w:rsidRPr="00FB01EF">
          <w:rPr>
            <w:szCs w:val="22"/>
            <w:lang w:val="it-IT"/>
          </w:rPr>
          <w:t>M</w:t>
        </w:r>
      </w:smartTag>
      <w:r w:rsidR="00D70C12" w:rsidRPr="00FB01EF">
        <w:rPr>
          <w:szCs w:val="22"/>
          <w:lang w:val="it-IT"/>
        </w:rPr>
        <w:t>) (per la regolazione del pH), mannitolo, metionina, polisorbato</w:t>
      </w:r>
      <w:r w:rsidR="001C2AC0" w:rsidRPr="00FB01EF">
        <w:rPr>
          <w:szCs w:val="22"/>
          <w:lang w:val="it-IT"/>
        </w:rPr>
        <w:t> </w:t>
      </w:r>
      <w:r w:rsidR="00D70C12" w:rsidRPr="00FB01EF">
        <w:rPr>
          <w:szCs w:val="22"/>
          <w:lang w:val="it-IT"/>
        </w:rPr>
        <w:t>20, alc</w:t>
      </w:r>
      <w:r w:rsidR="00EE4CEC" w:rsidRPr="00FB01EF">
        <w:rPr>
          <w:szCs w:val="22"/>
          <w:lang w:val="it-IT"/>
        </w:rPr>
        <w:t>o</w:t>
      </w:r>
      <w:r w:rsidR="00D70C12" w:rsidRPr="00FB01EF">
        <w:rPr>
          <w:szCs w:val="22"/>
          <w:lang w:val="it-IT"/>
        </w:rPr>
        <w:t>ol benzilico, benzalconio cloruro,</w:t>
      </w:r>
      <w:r w:rsidRPr="00FB01EF">
        <w:rPr>
          <w:szCs w:val="22"/>
          <w:lang w:val="it-IT"/>
        </w:rPr>
        <w:t xml:space="preserve"> acqua per preparazioni iniettabili</w:t>
      </w:r>
      <w:r w:rsidR="00B7119F" w:rsidRPr="00FB01EF">
        <w:rPr>
          <w:noProof/>
          <w:szCs w:val="22"/>
          <w:lang w:val="it-IT"/>
        </w:rPr>
        <w:t>.</w:t>
      </w:r>
    </w:p>
    <w:p w:rsidR="0090485D" w:rsidRPr="00FB01EF" w:rsidRDefault="0090485D"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4.</w:t>
      </w:r>
      <w:r w:rsidRPr="00FB01EF">
        <w:rPr>
          <w:b/>
          <w:noProof/>
          <w:szCs w:val="22"/>
          <w:lang w:val="it-IT"/>
        </w:rPr>
        <w:tab/>
      </w:r>
      <w:r w:rsidR="00736014" w:rsidRPr="00FB01EF">
        <w:rPr>
          <w:b/>
          <w:bCs/>
          <w:szCs w:val="22"/>
          <w:lang w:val="it-IT"/>
        </w:rPr>
        <w:t>FORMA FARMACEUTICA E CONTENUTO</w:t>
      </w:r>
    </w:p>
    <w:p w:rsidR="00FF5033" w:rsidRPr="00FB01EF" w:rsidRDefault="00FF5033" w:rsidP="00496272">
      <w:pPr>
        <w:rPr>
          <w:noProof/>
          <w:szCs w:val="22"/>
          <w:lang w:val="it-IT"/>
        </w:rPr>
      </w:pPr>
    </w:p>
    <w:p w:rsidR="00736014" w:rsidRPr="00FB01EF" w:rsidRDefault="00736014" w:rsidP="00907D5D">
      <w:pPr>
        <w:ind w:right="-20"/>
        <w:rPr>
          <w:szCs w:val="22"/>
          <w:lang w:val="it-IT"/>
        </w:rPr>
      </w:pPr>
      <w:r w:rsidRPr="00FB01EF">
        <w:rPr>
          <w:szCs w:val="22"/>
          <w:highlight w:val="lightGray"/>
          <w:lang w:val="it-IT"/>
        </w:rPr>
        <w:t>Soluzione iniettabile</w:t>
      </w:r>
    </w:p>
    <w:p w:rsidR="00D70C12" w:rsidRPr="00FB01EF" w:rsidRDefault="00D70C12" w:rsidP="00907D5D">
      <w:pPr>
        <w:ind w:right="-20"/>
        <w:rPr>
          <w:szCs w:val="22"/>
          <w:lang w:val="it-IT"/>
        </w:rPr>
      </w:pPr>
    </w:p>
    <w:p w:rsidR="002E49C3" w:rsidRPr="00FB01EF" w:rsidRDefault="00D70C12" w:rsidP="00F97DD8">
      <w:pPr>
        <w:ind w:right="-20"/>
        <w:rPr>
          <w:noProof/>
          <w:szCs w:val="22"/>
          <w:lang w:val="it-IT"/>
        </w:rPr>
      </w:pPr>
      <w:r w:rsidRPr="00FB01EF">
        <w:rPr>
          <w:szCs w:val="22"/>
          <w:lang w:val="it-IT"/>
        </w:rPr>
        <w:t xml:space="preserve">1 cartuccia </w:t>
      </w:r>
      <w:r w:rsidR="001A2EC6" w:rsidRPr="00FB01EF">
        <w:rPr>
          <w:szCs w:val="22"/>
          <w:lang w:val="it-IT"/>
        </w:rPr>
        <w:t xml:space="preserve">con 0,5 mL di soluzione </w:t>
      </w:r>
      <w:r w:rsidRPr="00FB01EF">
        <w:rPr>
          <w:szCs w:val="22"/>
          <w:lang w:val="it-IT"/>
        </w:rPr>
        <w:t>e 10 </w:t>
      </w:r>
      <w:r w:rsidR="00736014" w:rsidRPr="00FB01EF">
        <w:rPr>
          <w:szCs w:val="22"/>
          <w:lang w:val="it-IT"/>
        </w:rPr>
        <w:t>aghi per iniezione</w:t>
      </w:r>
    </w:p>
    <w:p w:rsidR="00812D16" w:rsidRPr="00FB01EF" w:rsidRDefault="00812D16" w:rsidP="00496272">
      <w:pPr>
        <w:rPr>
          <w:noProof/>
          <w:szCs w:val="22"/>
          <w:lang w:val="it-IT"/>
        </w:rPr>
      </w:pPr>
    </w:p>
    <w:p w:rsidR="00856031" w:rsidRPr="00FB01EF" w:rsidRDefault="00856031"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5.</w:t>
      </w:r>
      <w:r w:rsidRPr="00FB01EF">
        <w:rPr>
          <w:b/>
          <w:noProof/>
          <w:szCs w:val="22"/>
          <w:lang w:val="it-IT"/>
        </w:rPr>
        <w:tab/>
      </w:r>
      <w:r w:rsidR="00736014" w:rsidRPr="00FB01EF">
        <w:rPr>
          <w:b/>
          <w:bCs/>
          <w:szCs w:val="22"/>
          <w:lang w:val="it-IT"/>
        </w:rPr>
        <w:t>MODO E VIA(E) DI SOMMINISTRAZIONE</w:t>
      </w:r>
    </w:p>
    <w:p w:rsidR="00907D5D" w:rsidRPr="00FB01EF" w:rsidRDefault="00907D5D" w:rsidP="00907D5D">
      <w:pPr>
        <w:ind w:right="3117"/>
        <w:rPr>
          <w:szCs w:val="22"/>
          <w:lang w:val="it-IT"/>
        </w:rPr>
      </w:pPr>
    </w:p>
    <w:p w:rsidR="00D70C12" w:rsidRPr="00FB01EF" w:rsidRDefault="00D70C12" w:rsidP="00907D5D">
      <w:pPr>
        <w:ind w:right="3117"/>
        <w:rPr>
          <w:szCs w:val="22"/>
          <w:lang w:val="it-IT"/>
        </w:rPr>
      </w:pPr>
      <w:r w:rsidRPr="00FB01EF">
        <w:rPr>
          <w:szCs w:val="22"/>
          <w:lang w:val="it-IT"/>
        </w:rPr>
        <w:t>Da usare esclusivamente con Ovaleap</w:t>
      </w:r>
      <w:r w:rsidR="00873F98" w:rsidRPr="00FB01EF">
        <w:rPr>
          <w:szCs w:val="22"/>
          <w:lang w:val="it-IT"/>
        </w:rPr>
        <w:t xml:space="preserve"> Pen</w:t>
      </w:r>
      <w:r w:rsidRPr="00FB01EF">
        <w:rPr>
          <w:szCs w:val="22"/>
          <w:lang w:val="it-IT"/>
        </w:rPr>
        <w:t>.</w:t>
      </w:r>
    </w:p>
    <w:p w:rsidR="00D70C12" w:rsidRPr="00FB01EF" w:rsidRDefault="00D70C12" w:rsidP="00907D5D">
      <w:pPr>
        <w:ind w:right="3117"/>
        <w:rPr>
          <w:szCs w:val="22"/>
          <w:lang w:val="it-IT"/>
        </w:rPr>
      </w:pPr>
    </w:p>
    <w:p w:rsidR="00D70C12" w:rsidRPr="00FB01EF" w:rsidRDefault="00736014" w:rsidP="00907D5D">
      <w:pPr>
        <w:ind w:right="3117"/>
        <w:rPr>
          <w:szCs w:val="22"/>
          <w:lang w:val="it-IT"/>
        </w:rPr>
      </w:pPr>
      <w:r w:rsidRPr="00FB01EF">
        <w:rPr>
          <w:szCs w:val="22"/>
          <w:lang w:val="it-IT"/>
        </w:rPr>
        <w:t>Leggere il foglio illustrativo prima dell’uso.</w:t>
      </w:r>
    </w:p>
    <w:p w:rsidR="00D70C12" w:rsidRPr="00FB01EF" w:rsidRDefault="00D70C12" w:rsidP="00907D5D">
      <w:pPr>
        <w:ind w:right="3117"/>
        <w:rPr>
          <w:szCs w:val="22"/>
          <w:lang w:val="it-IT"/>
        </w:rPr>
      </w:pPr>
    </w:p>
    <w:p w:rsidR="00736014" w:rsidRPr="00FB01EF" w:rsidRDefault="00D70C12" w:rsidP="00907D5D">
      <w:pPr>
        <w:ind w:right="3117"/>
        <w:rPr>
          <w:szCs w:val="22"/>
          <w:lang w:val="it-IT"/>
        </w:rPr>
      </w:pPr>
      <w:r w:rsidRPr="00FB01EF">
        <w:rPr>
          <w:szCs w:val="22"/>
          <w:lang w:val="it-IT"/>
        </w:rPr>
        <w:t>Uso sottocutaneo</w:t>
      </w:r>
    </w:p>
    <w:p w:rsidR="001444DC" w:rsidRPr="00FB01EF" w:rsidRDefault="001444DC" w:rsidP="00496272">
      <w:pPr>
        <w:tabs>
          <w:tab w:val="left" w:pos="749"/>
        </w:tabs>
        <w:rPr>
          <w:noProof/>
          <w:szCs w:val="22"/>
          <w:lang w:val="it-IT"/>
        </w:rPr>
      </w:pPr>
    </w:p>
    <w:p w:rsidR="00F025C2" w:rsidRPr="00FB01EF" w:rsidRDefault="00F025C2" w:rsidP="00496272">
      <w:pPr>
        <w:tabs>
          <w:tab w:val="left" w:pos="749"/>
        </w:tabs>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6.</w:t>
      </w:r>
      <w:r w:rsidRPr="00FB01EF">
        <w:rPr>
          <w:b/>
          <w:noProof/>
          <w:szCs w:val="22"/>
          <w:lang w:val="it-IT"/>
        </w:rPr>
        <w:tab/>
      </w:r>
      <w:r w:rsidR="00736014" w:rsidRPr="00FB01EF">
        <w:rPr>
          <w:b/>
          <w:bCs/>
          <w:szCs w:val="22"/>
          <w:lang w:val="it-IT"/>
        </w:rPr>
        <w:t xml:space="preserve">AVVERTENZA PARTICOLARE CHE PRESCRIVA DI TENERE IL MEDICINALE FUORI DALLA VISTA </w:t>
      </w:r>
      <w:r w:rsidR="00D70C12" w:rsidRPr="00FB01EF">
        <w:rPr>
          <w:b/>
          <w:bCs/>
          <w:szCs w:val="22"/>
          <w:lang w:val="it-IT"/>
        </w:rPr>
        <w:t xml:space="preserve">E DALLA PORTATA </w:t>
      </w:r>
      <w:r w:rsidR="00736014" w:rsidRPr="00FB01EF">
        <w:rPr>
          <w:b/>
          <w:bCs/>
          <w:szCs w:val="22"/>
          <w:lang w:val="it-IT"/>
        </w:rPr>
        <w:t>DEI BAMBINI</w:t>
      </w:r>
    </w:p>
    <w:p w:rsidR="00812D16" w:rsidRPr="00FB01EF" w:rsidRDefault="00812D16" w:rsidP="00496272">
      <w:pPr>
        <w:rPr>
          <w:noProof/>
          <w:szCs w:val="22"/>
          <w:lang w:val="it-IT"/>
        </w:rPr>
      </w:pPr>
    </w:p>
    <w:p w:rsidR="00812D16" w:rsidRPr="00FB01EF" w:rsidRDefault="00736014" w:rsidP="00496272">
      <w:pPr>
        <w:outlineLvl w:val="0"/>
        <w:rPr>
          <w:noProof/>
          <w:szCs w:val="22"/>
          <w:lang w:val="it-IT"/>
        </w:rPr>
      </w:pPr>
      <w:r w:rsidRPr="00FB01EF">
        <w:rPr>
          <w:szCs w:val="22"/>
          <w:lang w:val="it-IT"/>
        </w:rPr>
        <w:t xml:space="preserve">Tenere fuori dalla vista </w:t>
      </w:r>
      <w:r w:rsidR="00D70C12" w:rsidRPr="00FB01EF">
        <w:rPr>
          <w:szCs w:val="22"/>
          <w:lang w:val="it-IT"/>
        </w:rPr>
        <w:t xml:space="preserve">e dalla portata </w:t>
      </w:r>
      <w:r w:rsidRPr="00FB01EF">
        <w:rPr>
          <w:szCs w:val="22"/>
          <w:lang w:val="it-IT"/>
        </w:rPr>
        <w:t>dei bambini</w:t>
      </w:r>
      <w:r w:rsidR="00812D16" w:rsidRPr="00FB01EF">
        <w:rPr>
          <w:noProof/>
          <w:szCs w:val="22"/>
          <w:lang w:val="it-IT"/>
        </w:rPr>
        <w:t>.</w:t>
      </w:r>
    </w:p>
    <w:p w:rsidR="00812D16" w:rsidRPr="00FB01EF" w:rsidRDefault="00812D16"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7.</w:t>
      </w:r>
      <w:r w:rsidRPr="00FB01EF">
        <w:rPr>
          <w:b/>
          <w:noProof/>
          <w:szCs w:val="22"/>
          <w:lang w:val="it-IT"/>
        </w:rPr>
        <w:tab/>
      </w:r>
      <w:r w:rsidR="00736014" w:rsidRPr="00FB01EF">
        <w:rPr>
          <w:b/>
          <w:bCs/>
          <w:szCs w:val="22"/>
          <w:lang w:val="it-IT"/>
        </w:rPr>
        <w:t>ALTRA(E) AVVERTENZA(E) PARTICOLARE(I), SE NECESSARIO</w:t>
      </w:r>
    </w:p>
    <w:p w:rsidR="00812D16" w:rsidRPr="00FB01EF" w:rsidRDefault="00812D16" w:rsidP="00496272">
      <w:pPr>
        <w:tabs>
          <w:tab w:val="left" w:pos="749"/>
        </w:tabs>
        <w:rPr>
          <w:noProof/>
          <w:szCs w:val="22"/>
          <w:lang w:val="it-IT"/>
        </w:rPr>
      </w:pPr>
    </w:p>
    <w:p w:rsidR="00D43E3D" w:rsidRPr="00FB01EF" w:rsidRDefault="00D43E3D" w:rsidP="00496272">
      <w:pPr>
        <w:tabs>
          <w:tab w:val="left" w:pos="749"/>
        </w:tabs>
        <w:rPr>
          <w:noProof/>
          <w:szCs w:val="22"/>
          <w:lang w:val="it-IT"/>
        </w:rPr>
      </w:pPr>
    </w:p>
    <w:p w:rsidR="002E49C3" w:rsidRPr="00FB01EF" w:rsidRDefault="002E49C3" w:rsidP="00496272">
      <w:pPr>
        <w:tabs>
          <w:tab w:val="left" w:pos="749"/>
        </w:tabs>
        <w:rPr>
          <w:noProof/>
          <w:szCs w:val="22"/>
          <w:lang w:val="it-IT"/>
        </w:rPr>
      </w:pPr>
    </w:p>
    <w:p w:rsidR="00812D16" w:rsidRPr="00FB01EF" w:rsidRDefault="00812D16"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lastRenderedPageBreak/>
        <w:t>8.</w:t>
      </w:r>
      <w:r w:rsidRPr="00FB01EF">
        <w:rPr>
          <w:b/>
          <w:noProof/>
          <w:szCs w:val="22"/>
          <w:lang w:val="it-IT"/>
        </w:rPr>
        <w:tab/>
      </w:r>
      <w:r w:rsidR="00736014" w:rsidRPr="00FB01EF">
        <w:rPr>
          <w:b/>
          <w:bCs/>
          <w:szCs w:val="22"/>
          <w:lang w:val="it-IT"/>
        </w:rPr>
        <w:t>DATA DI SCADENZA</w:t>
      </w:r>
    </w:p>
    <w:p w:rsidR="00812D16" w:rsidRPr="00FB01EF" w:rsidRDefault="00812D16" w:rsidP="00496272">
      <w:pPr>
        <w:keepNext/>
        <w:keepLines/>
        <w:rPr>
          <w:noProof/>
          <w:szCs w:val="22"/>
          <w:lang w:val="it-IT"/>
        </w:rPr>
      </w:pPr>
    </w:p>
    <w:p w:rsidR="00B7119F" w:rsidRPr="00FB01EF" w:rsidRDefault="00736014" w:rsidP="00F97DD8">
      <w:pPr>
        <w:keepNext/>
        <w:tabs>
          <w:tab w:val="clear" w:pos="567"/>
        </w:tabs>
        <w:rPr>
          <w:szCs w:val="22"/>
          <w:lang w:val="it-IT"/>
        </w:rPr>
      </w:pPr>
      <w:r w:rsidRPr="00FB01EF">
        <w:rPr>
          <w:szCs w:val="22"/>
          <w:lang w:val="it-IT"/>
        </w:rPr>
        <w:t>Scad.</w:t>
      </w:r>
    </w:p>
    <w:p w:rsidR="00D70C12" w:rsidRPr="00FB01EF" w:rsidRDefault="00D70C12" w:rsidP="00496272">
      <w:pPr>
        <w:tabs>
          <w:tab w:val="clear" w:pos="567"/>
        </w:tabs>
        <w:rPr>
          <w:szCs w:val="22"/>
          <w:lang w:val="it-IT"/>
        </w:rPr>
      </w:pPr>
    </w:p>
    <w:p w:rsidR="00D70C12" w:rsidRPr="00FB01EF" w:rsidRDefault="00D70C12" w:rsidP="00496272">
      <w:pPr>
        <w:tabs>
          <w:tab w:val="clear" w:pos="567"/>
        </w:tabs>
        <w:rPr>
          <w:noProof/>
          <w:color w:val="000000"/>
          <w:szCs w:val="22"/>
          <w:lang w:val="it-IT"/>
        </w:rPr>
      </w:pPr>
      <w:r w:rsidRPr="00FB01EF">
        <w:rPr>
          <w:szCs w:val="22"/>
          <w:lang w:val="it-IT"/>
        </w:rPr>
        <w:t>La cartuccia</w:t>
      </w:r>
      <w:r w:rsidR="0057781E" w:rsidRPr="00FB01EF">
        <w:rPr>
          <w:szCs w:val="22"/>
          <w:lang w:val="it-IT"/>
        </w:rPr>
        <w:t xml:space="preserve"> inclusa</w:t>
      </w:r>
      <w:r w:rsidRPr="00FB01EF">
        <w:rPr>
          <w:szCs w:val="22"/>
          <w:lang w:val="it-IT"/>
        </w:rPr>
        <w:t xml:space="preserve"> nella penna può essere conservata per un massimo di 28 giorni a temperatura non superiore a </w:t>
      </w:r>
      <w:smartTag w:uri="urn:schemas-microsoft-com:office:smarttags" w:element="metricconverter">
        <w:smartTagPr>
          <w:attr w:name="ProductID" w:val="25ﾠﾰC"/>
        </w:smartTagPr>
        <w:r w:rsidRPr="00FB01EF">
          <w:rPr>
            <w:szCs w:val="22"/>
            <w:lang w:val="it-IT"/>
          </w:rPr>
          <w:t>25 °C</w:t>
        </w:r>
      </w:smartTag>
      <w:r w:rsidRPr="00FB01EF">
        <w:rPr>
          <w:szCs w:val="22"/>
          <w:lang w:val="it-IT"/>
        </w:rPr>
        <w:t>.</w:t>
      </w:r>
    </w:p>
    <w:p w:rsidR="00B7119F" w:rsidRPr="00FB01EF" w:rsidRDefault="00B7119F"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9.</w:t>
      </w:r>
      <w:r w:rsidRPr="00FB01EF">
        <w:rPr>
          <w:b/>
          <w:noProof/>
          <w:szCs w:val="22"/>
          <w:lang w:val="it-IT"/>
        </w:rPr>
        <w:tab/>
      </w:r>
      <w:r w:rsidR="00736014" w:rsidRPr="00FB01EF">
        <w:rPr>
          <w:b/>
          <w:bCs/>
          <w:szCs w:val="22"/>
          <w:lang w:val="it-IT"/>
        </w:rPr>
        <w:t>PRECAUZIONI PARTICOLARI PER LA CONSERVAZIONE</w:t>
      </w:r>
    </w:p>
    <w:p w:rsidR="00812D16" w:rsidRPr="00FB01EF" w:rsidRDefault="00812D16" w:rsidP="00496272">
      <w:pPr>
        <w:rPr>
          <w:noProof/>
          <w:szCs w:val="22"/>
          <w:lang w:val="it-IT"/>
        </w:rPr>
      </w:pPr>
    </w:p>
    <w:p w:rsidR="00D70C12" w:rsidRPr="00FB01EF" w:rsidRDefault="00736014" w:rsidP="00907D5D">
      <w:pPr>
        <w:ind w:right="-20"/>
        <w:rPr>
          <w:szCs w:val="22"/>
          <w:lang w:val="it-IT"/>
        </w:rPr>
      </w:pPr>
      <w:r w:rsidRPr="00FB01EF">
        <w:rPr>
          <w:szCs w:val="22"/>
          <w:lang w:val="it-IT"/>
        </w:rPr>
        <w:t>Conservare in frigorifero.</w:t>
      </w:r>
    </w:p>
    <w:p w:rsidR="00D70C12" w:rsidRPr="00FB01EF" w:rsidRDefault="00D70C12" w:rsidP="00907D5D">
      <w:pPr>
        <w:ind w:right="-20"/>
        <w:rPr>
          <w:szCs w:val="22"/>
          <w:lang w:val="it-IT"/>
        </w:rPr>
      </w:pPr>
    </w:p>
    <w:p w:rsidR="00736014" w:rsidRPr="00FB01EF" w:rsidRDefault="00736014" w:rsidP="00907D5D">
      <w:pPr>
        <w:ind w:right="-20"/>
        <w:rPr>
          <w:szCs w:val="22"/>
          <w:lang w:val="it-IT"/>
        </w:rPr>
      </w:pPr>
      <w:r w:rsidRPr="00FB01EF">
        <w:rPr>
          <w:szCs w:val="22"/>
          <w:lang w:val="it-IT"/>
        </w:rPr>
        <w:t>Non congelare.</w:t>
      </w:r>
    </w:p>
    <w:p w:rsidR="00D70C12" w:rsidRPr="00FB01EF" w:rsidRDefault="00D70C12" w:rsidP="00907D5D">
      <w:pPr>
        <w:ind w:right="-20"/>
        <w:rPr>
          <w:szCs w:val="22"/>
          <w:lang w:val="it-IT"/>
        </w:rPr>
      </w:pPr>
    </w:p>
    <w:p w:rsidR="00736014" w:rsidRPr="00FB01EF" w:rsidRDefault="00145F62" w:rsidP="00D64948">
      <w:pPr>
        <w:ind w:right="-20"/>
        <w:rPr>
          <w:szCs w:val="22"/>
          <w:lang w:val="it-IT"/>
        </w:rPr>
      </w:pPr>
      <w:r w:rsidRPr="00FB01EF">
        <w:rPr>
          <w:szCs w:val="22"/>
          <w:lang w:val="it-IT"/>
        </w:rPr>
        <w:t>Tenere</w:t>
      </w:r>
      <w:r w:rsidR="00736014" w:rsidRPr="00FB01EF">
        <w:rPr>
          <w:szCs w:val="22"/>
          <w:lang w:val="it-IT"/>
        </w:rPr>
        <w:t xml:space="preserve"> </w:t>
      </w:r>
      <w:r w:rsidR="001D1D5D" w:rsidRPr="00FB01EF">
        <w:rPr>
          <w:szCs w:val="22"/>
          <w:lang w:val="it-IT"/>
        </w:rPr>
        <w:t>la cartuccia nel</w:t>
      </w:r>
      <w:r w:rsidR="00D64948" w:rsidRPr="00FB01EF">
        <w:rPr>
          <w:szCs w:val="22"/>
          <w:lang w:val="it-IT"/>
        </w:rPr>
        <w:t>l’imballaggio</w:t>
      </w:r>
      <w:r w:rsidR="00D70C12" w:rsidRPr="00FB01EF">
        <w:rPr>
          <w:szCs w:val="22"/>
          <w:lang w:val="it-IT"/>
        </w:rPr>
        <w:t xml:space="preserve"> estern</w:t>
      </w:r>
      <w:r w:rsidR="00D64948" w:rsidRPr="00FB01EF">
        <w:rPr>
          <w:szCs w:val="22"/>
          <w:lang w:val="it-IT"/>
        </w:rPr>
        <w:t>o</w:t>
      </w:r>
      <w:r w:rsidR="00736014" w:rsidRPr="00FB01EF">
        <w:rPr>
          <w:szCs w:val="22"/>
          <w:lang w:val="it-IT"/>
        </w:rPr>
        <w:t xml:space="preserve"> per proteggere il medicinale dalla luce.</w:t>
      </w:r>
    </w:p>
    <w:p w:rsidR="00D70C12" w:rsidRPr="00FB01EF" w:rsidRDefault="00D70C12" w:rsidP="00907D5D">
      <w:pPr>
        <w:ind w:right="-20"/>
        <w:rPr>
          <w:szCs w:val="22"/>
          <w:lang w:val="it-IT"/>
        </w:rPr>
      </w:pPr>
    </w:p>
    <w:p w:rsidR="00736014" w:rsidRPr="00FB01EF" w:rsidRDefault="00D70C12" w:rsidP="00907D5D">
      <w:pPr>
        <w:ind w:right="53"/>
        <w:rPr>
          <w:szCs w:val="22"/>
          <w:lang w:val="it-IT"/>
        </w:rPr>
      </w:pPr>
      <w:r w:rsidRPr="00FB01EF">
        <w:rPr>
          <w:szCs w:val="22"/>
          <w:lang w:val="it-IT"/>
        </w:rPr>
        <w:t>I</w:t>
      </w:r>
      <w:r w:rsidR="00736014" w:rsidRPr="00FB01EF">
        <w:rPr>
          <w:szCs w:val="22"/>
          <w:lang w:val="it-IT"/>
        </w:rPr>
        <w:t xml:space="preserve">l medicinale può essere conservato </w:t>
      </w:r>
      <w:r w:rsidRPr="00FB01EF">
        <w:rPr>
          <w:szCs w:val="22"/>
          <w:lang w:val="it-IT"/>
        </w:rPr>
        <w:t xml:space="preserve">prima dell’apertura </w:t>
      </w:r>
      <w:r w:rsidR="00736014" w:rsidRPr="00FB01EF">
        <w:rPr>
          <w:szCs w:val="22"/>
          <w:lang w:val="it-IT"/>
        </w:rPr>
        <w:t xml:space="preserve">a temperatura non superiore a </w:t>
      </w:r>
      <w:smartTag w:uri="urn:schemas-microsoft-com:office:smarttags" w:element="metricconverter">
        <w:smartTagPr>
          <w:attr w:name="ProductID" w:val="25ﾠﾰC"/>
        </w:smartTagPr>
        <w:r w:rsidR="00736014" w:rsidRPr="00FB01EF">
          <w:rPr>
            <w:szCs w:val="22"/>
            <w:lang w:val="it-IT"/>
          </w:rPr>
          <w:t>25</w:t>
        </w:r>
        <w:r w:rsidRPr="00FB01EF">
          <w:rPr>
            <w:szCs w:val="22"/>
            <w:lang w:val="it-IT"/>
          </w:rPr>
          <w:t> </w:t>
        </w:r>
        <w:r w:rsidR="00736014" w:rsidRPr="00FB01EF">
          <w:rPr>
            <w:szCs w:val="22"/>
            <w:lang w:val="it-IT"/>
          </w:rPr>
          <w:t>°C</w:t>
        </w:r>
      </w:smartTag>
      <w:r w:rsidR="00736014" w:rsidRPr="00FB01EF">
        <w:rPr>
          <w:szCs w:val="22"/>
          <w:lang w:val="it-IT"/>
        </w:rPr>
        <w:t xml:space="preserve"> per un periodo massimo di </w:t>
      </w:r>
      <w:r w:rsidRPr="00FB01EF">
        <w:rPr>
          <w:szCs w:val="22"/>
          <w:lang w:val="it-IT"/>
        </w:rPr>
        <w:t>3 </w:t>
      </w:r>
      <w:r w:rsidR="00736014" w:rsidRPr="00FB01EF">
        <w:rPr>
          <w:szCs w:val="22"/>
          <w:lang w:val="it-IT"/>
        </w:rPr>
        <w:t>mesi</w:t>
      </w:r>
      <w:r w:rsidR="009F1F61" w:rsidRPr="00FB01EF">
        <w:rPr>
          <w:szCs w:val="22"/>
          <w:lang w:val="it-IT"/>
        </w:rPr>
        <w:t>.</w:t>
      </w:r>
      <w:r w:rsidR="00736014" w:rsidRPr="00FB01EF">
        <w:rPr>
          <w:szCs w:val="22"/>
          <w:lang w:val="it-IT"/>
        </w:rPr>
        <w:t xml:space="preserve"> </w:t>
      </w:r>
      <w:r w:rsidR="009F1F61" w:rsidRPr="00FB01EF">
        <w:rPr>
          <w:szCs w:val="22"/>
          <w:lang w:val="it-IT"/>
        </w:rPr>
        <w:t>Se non è stato utilizzato entro 3 mesi, il medicinale</w:t>
      </w:r>
      <w:r w:rsidR="00736014" w:rsidRPr="00FB01EF">
        <w:rPr>
          <w:szCs w:val="22"/>
          <w:lang w:val="it-IT"/>
        </w:rPr>
        <w:t xml:space="preserve"> deve essere gettato.</w:t>
      </w:r>
    </w:p>
    <w:p w:rsidR="00FF5033" w:rsidRPr="00FB01EF" w:rsidRDefault="00FF5033" w:rsidP="00496272">
      <w:pPr>
        <w:rPr>
          <w:noProof/>
          <w:szCs w:val="22"/>
          <w:lang w:val="it-IT"/>
        </w:rPr>
      </w:pPr>
    </w:p>
    <w:p w:rsidR="00E173B0" w:rsidRPr="00FB01EF" w:rsidRDefault="00E173B0" w:rsidP="00496272">
      <w:pPr>
        <w:rPr>
          <w:noProof/>
          <w:szCs w:val="22"/>
          <w:lang w:val="it-IT"/>
        </w:rPr>
      </w:pPr>
    </w:p>
    <w:p w:rsidR="00812D16" w:rsidRPr="00FB01EF" w:rsidRDefault="00812D16" w:rsidP="00F97DD8">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10.</w:t>
      </w:r>
      <w:r w:rsidRPr="00FB01EF">
        <w:rPr>
          <w:b/>
          <w:noProof/>
          <w:szCs w:val="22"/>
          <w:lang w:val="it-IT"/>
        </w:rPr>
        <w:tab/>
      </w:r>
      <w:r w:rsidR="00736014" w:rsidRPr="00FB01EF">
        <w:rPr>
          <w:b/>
          <w:bCs/>
          <w:szCs w:val="22"/>
          <w:lang w:val="it-IT"/>
        </w:rPr>
        <w:t>PRECAUZIONI PARTICOLARI PER LO SMALTIMENTO DEL MEDICINALE NON UTILIZZATO O DEI RIFIUTI DERIVATI DA TALE MEDICINALE, SE NECESSARIO</w:t>
      </w:r>
    </w:p>
    <w:p w:rsidR="00812D16" w:rsidRPr="00FB01EF" w:rsidRDefault="00812D16" w:rsidP="00496272">
      <w:pPr>
        <w:rPr>
          <w:noProof/>
          <w:szCs w:val="22"/>
          <w:lang w:val="it-IT"/>
        </w:rPr>
      </w:pPr>
    </w:p>
    <w:p w:rsidR="00894ADA" w:rsidRPr="00FB01EF" w:rsidRDefault="00894ADA" w:rsidP="00496272">
      <w:pPr>
        <w:rPr>
          <w:noProof/>
          <w:szCs w:val="22"/>
          <w:lang w:val="it-IT"/>
        </w:rPr>
      </w:pPr>
    </w:p>
    <w:p w:rsidR="00812D16" w:rsidRPr="00FB01EF" w:rsidRDefault="00812D16" w:rsidP="00496272">
      <w:pPr>
        <w:rPr>
          <w:noProof/>
          <w:szCs w:val="22"/>
          <w:lang w:val="it-IT"/>
        </w:rPr>
      </w:pPr>
    </w:p>
    <w:p w:rsidR="00812D16" w:rsidRPr="00FB01EF" w:rsidRDefault="00812D16" w:rsidP="00F97DD8">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11.</w:t>
      </w:r>
      <w:r w:rsidRPr="00FB01EF">
        <w:rPr>
          <w:b/>
          <w:noProof/>
          <w:szCs w:val="22"/>
          <w:lang w:val="it-IT"/>
        </w:rPr>
        <w:tab/>
      </w:r>
      <w:r w:rsidR="00736014" w:rsidRPr="00FB01EF">
        <w:rPr>
          <w:b/>
          <w:bCs/>
          <w:szCs w:val="22"/>
          <w:lang w:val="it-IT"/>
        </w:rPr>
        <w:t>NOME E INDIRIZZO DEL TITOLARE DELL’AUTORIZZAZIONE ALL’IMMISSIONE IN COMMERCIO</w:t>
      </w:r>
    </w:p>
    <w:p w:rsidR="00812D16" w:rsidRPr="00FB01EF" w:rsidRDefault="00812D16" w:rsidP="00496272">
      <w:pPr>
        <w:rPr>
          <w:noProof/>
          <w:szCs w:val="22"/>
          <w:lang w:val="it-IT"/>
        </w:rPr>
      </w:pPr>
    </w:p>
    <w:p w:rsidR="00E009A7" w:rsidRPr="00AD584F" w:rsidRDefault="00E009A7" w:rsidP="00E009A7">
      <w:pPr>
        <w:tabs>
          <w:tab w:val="clear" w:pos="567"/>
        </w:tabs>
        <w:rPr>
          <w:lang w:val="nl-NL"/>
        </w:rPr>
      </w:pPr>
      <w:r w:rsidRPr="00AD584F">
        <w:rPr>
          <w:lang w:val="nl-NL"/>
        </w:rPr>
        <w:t>Theramex Ireland Limited</w:t>
      </w:r>
    </w:p>
    <w:p w:rsidR="00E009A7" w:rsidRPr="00AD584F" w:rsidRDefault="00E628EA" w:rsidP="00E009A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009A7" w:rsidRPr="00AD584F">
        <w:rPr>
          <w:lang w:val="nl-NL"/>
        </w:rPr>
        <w:t>Kilmore House,</w:t>
      </w:r>
    </w:p>
    <w:p w:rsidR="00E009A7" w:rsidRPr="00AD584F" w:rsidRDefault="00E009A7" w:rsidP="00E009A7">
      <w:pPr>
        <w:tabs>
          <w:tab w:val="clear" w:pos="567"/>
        </w:tabs>
        <w:rPr>
          <w:lang w:val="nl-NL"/>
        </w:rPr>
      </w:pPr>
      <w:r w:rsidRPr="00AD584F">
        <w:rPr>
          <w:lang w:val="nl-NL"/>
        </w:rPr>
        <w:t>Park Lane, Spencer Dock,</w:t>
      </w:r>
    </w:p>
    <w:p w:rsidR="00E009A7" w:rsidRPr="00AD584F" w:rsidRDefault="00E009A7" w:rsidP="00E009A7">
      <w:pPr>
        <w:tabs>
          <w:tab w:val="clear" w:pos="567"/>
        </w:tabs>
        <w:rPr>
          <w:lang w:val="nl-NL"/>
        </w:rPr>
      </w:pPr>
      <w:r w:rsidRPr="00AD584F">
        <w:rPr>
          <w:lang w:val="nl-NL"/>
        </w:rPr>
        <w:t>Dublin 1</w:t>
      </w:r>
    </w:p>
    <w:p w:rsidR="00E009A7" w:rsidRPr="00AD584F" w:rsidRDefault="00E009A7" w:rsidP="00E009A7">
      <w:pPr>
        <w:tabs>
          <w:tab w:val="clear" w:pos="567"/>
        </w:tabs>
        <w:rPr>
          <w:lang w:val="nl-NL"/>
        </w:rPr>
      </w:pPr>
      <w:r w:rsidRPr="00AD584F">
        <w:rPr>
          <w:lang w:val="nl-NL"/>
        </w:rPr>
        <w:t>D01 YE64</w:t>
      </w:r>
    </w:p>
    <w:p w:rsidR="00E009A7" w:rsidRPr="00CB5BCD" w:rsidRDefault="00E009A7" w:rsidP="00496272">
      <w:pPr>
        <w:rPr>
          <w:lang w:val="es-ES"/>
        </w:rPr>
      </w:pPr>
      <w:r w:rsidRPr="00CB5BCD">
        <w:rPr>
          <w:lang w:val="es-ES"/>
        </w:rPr>
        <w:t>Irlanda</w:t>
      </w:r>
    </w:p>
    <w:p w:rsidR="00812D16" w:rsidRPr="00FB01EF" w:rsidRDefault="00812D16"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12.</w:t>
      </w:r>
      <w:r w:rsidRPr="00FB01EF">
        <w:rPr>
          <w:b/>
          <w:noProof/>
          <w:szCs w:val="22"/>
          <w:lang w:val="it-IT"/>
        </w:rPr>
        <w:tab/>
      </w:r>
      <w:r w:rsidR="00736014" w:rsidRPr="00FB01EF">
        <w:rPr>
          <w:b/>
          <w:bCs/>
          <w:szCs w:val="22"/>
          <w:lang w:val="it-IT"/>
        </w:rPr>
        <w:t>NUMERO(I) DELL’AUTORIZZAZIONE ALL’IMMISSIONE IN COMMERCIO</w:t>
      </w:r>
    </w:p>
    <w:p w:rsidR="00812D16" w:rsidRPr="00FB01EF" w:rsidRDefault="00812D16" w:rsidP="00496272">
      <w:pPr>
        <w:rPr>
          <w:noProof/>
          <w:szCs w:val="22"/>
          <w:lang w:val="it-IT"/>
        </w:rPr>
      </w:pPr>
    </w:p>
    <w:p w:rsidR="00812D16" w:rsidRPr="00FB01EF" w:rsidRDefault="00736014" w:rsidP="00F97DD8">
      <w:pPr>
        <w:ind w:right="-20"/>
        <w:rPr>
          <w:noProof/>
          <w:szCs w:val="22"/>
          <w:lang w:val="it-IT"/>
        </w:rPr>
      </w:pPr>
      <w:r w:rsidRPr="00FB01EF">
        <w:rPr>
          <w:szCs w:val="22"/>
          <w:lang w:val="it-IT"/>
        </w:rPr>
        <w:t>EU</w:t>
      </w:r>
      <w:r w:rsidR="009F1F61" w:rsidRPr="00FB01EF">
        <w:rPr>
          <w:szCs w:val="22"/>
          <w:lang w:val="it-IT"/>
        </w:rPr>
        <w:t>/</w:t>
      </w:r>
      <w:r w:rsidR="009E0250" w:rsidRPr="00FB01EF">
        <w:rPr>
          <w:noProof/>
          <w:szCs w:val="22"/>
          <w:lang w:val="it-IT"/>
        </w:rPr>
        <w:t>1/13/871/001</w:t>
      </w:r>
    </w:p>
    <w:p w:rsidR="00812D16" w:rsidRPr="00FB01EF" w:rsidRDefault="00812D16" w:rsidP="00496272">
      <w:pPr>
        <w:rPr>
          <w:noProof/>
          <w:szCs w:val="22"/>
          <w:lang w:val="it-IT"/>
        </w:rPr>
      </w:pPr>
    </w:p>
    <w:p w:rsidR="00894ADA" w:rsidRPr="00FB01EF" w:rsidRDefault="00894ADA"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13.</w:t>
      </w:r>
      <w:r w:rsidRPr="00FB01EF">
        <w:rPr>
          <w:b/>
          <w:noProof/>
          <w:szCs w:val="22"/>
          <w:lang w:val="it-IT"/>
        </w:rPr>
        <w:tab/>
      </w:r>
      <w:r w:rsidR="00E92889" w:rsidRPr="00FB01EF">
        <w:rPr>
          <w:b/>
          <w:bCs/>
          <w:szCs w:val="22"/>
          <w:lang w:val="it-IT"/>
        </w:rPr>
        <w:t>NUMERO DI LOTTO</w:t>
      </w:r>
    </w:p>
    <w:p w:rsidR="00907D5D" w:rsidRPr="00FB01EF" w:rsidRDefault="00907D5D" w:rsidP="00496272">
      <w:pPr>
        <w:rPr>
          <w:szCs w:val="22"/>
          <w:lang w:val="it-IT"/>
        </w:rPr>
      </w:pPr>
    </w:p>
    <w:p w:rsidR="008A5C1F" w:rsidRPr="00FB01EF" w:rsidRDefault="00E92889" w:rsidP="00496272">
      <w:pPr>
        <w:rPr>
          <w:noProof/>
          <w:szCs w:val="22"/>
          <w:lang w:val="it-IT"/>
        </w:rPr>
      </w:pPr>
      <w:r w:rsidRPr="00FB01EF">
        <w:rPr>
          <w:szCs w:val="22"/>
          <w:lang w:val="it-IT"/>
        </w:rPr>
        <w:t>Lotto</w:t>
      </w:r>
    </w:p>
    <w:p w:rsidR="008A5C1F" w:rsidRPr="00FB01EF" w:rsidRDefault="008A5C1F"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14.</w:t>
      </w:r>
      <w:r w:rsidRPr="00FB01EF">
        <w:rPr>
          <w:b/>
          <w:noProof/>
          <w:szCs w:val="22"/>
          <w:lang w:val="it-IT"/>
        </w:rPr>
        <w:tab/>
      </w:r>
      <w:r w:rsidR="00E92889" w:rsidRPr="00FB01EF">
        <w:rPr>
          <w:b/>
          <w:bCs/>
          <w:szCs w:val="22"/>
          <w:lang w:val="it-IT"/>
        </w:rPr>
        <w:t>CONDIZIONE GENERALE DI FORNITURA</w:t>
      </w:r>
    </w:p>
    <w:p w:rsidR="00812D16" w:rsidRPr="00FB01EF" w:rsidRDefault="00812D16" w:rsidP="00496272">
      <w:pPr>
        <w:rPr>
          <w:i/>
          <w:noProof/>
          <w:szCs w:val="22"/>
          <w:lang w:val="it-IT"/>
        </w:rPr>
      </w:pPr>
    </w:p>
    <w:p w:rsidR="00812D16" w:rsidRPr="00FB01EF" w:rsidRDefault="00812D16"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2"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15.</w:t>
      </w:r>
      <w:r w:rsidRPr="00FB01EF">
        <w:rPr>
          <w:b/>
          <w:noProof/>
          <w:szCs w:val="22"/>
          <w:lang w:val="it-IT"/>
        </w:rPr>
        <w:tab/>
      </w:r>
      <w:r w:rsidR="00E92889" w:rsidRPr="00FB01EF">
        <w:rPr>
          <w:b/>
          <w:bCs/>
          <w:szCs w:val="22"/>
          <w:lang w:val="it-IT"/>
        </w:rPr>
        <w:t>ISTRUZIONI PER L’USO</w:t>
      </w:r>
    </w:p>
    <w:p w:rsidR="00812D16" w:rsidRPr="00FB01EF" w:rsidRDefault="00812D16" w:rsidP="00496272">
      <w:pPr>
        <w:rPr>
          <w:noProof/>
          <w:szCs w:val="22"/>
          <w:lang w:val="it-IT"/>
        </w:rPr>
      </w:pPr>
    </w:p>
    <w:p w:rsidR="00812D16" w:rsidRPr="00FB01EF" w:rsidRDefault="00812D16" w:rsidP="00496272">
      <w:pPr>
        <w:rPr>
          <w:noProof/>
          <w:szCs w:val="22"/>
          <w:lang w:val="it-IT"/>
        </w:rPr>
      </w:pPr>
    </w:p>
    <w:p w:rsidR="00D43E3D" w:rsidRPr="00FB01EF" w:rsidRDefault="00D43E3D" w:rsidP="00496272">
      <w:pPr>
        <w:rPr>
          <w:noProof/>
          <w:szCs w:val="22"/>
          <w:lang w:val="it-IT"/>
        </w:rPr>
      </w:pPr>
    </w:p>
    <w:p w:rsidR="00812D16" w:rsidRPr="00FB01EF" w:rsidRDefault="00812D16" w:rsidP="004A0DFB">
      <w:pPr>
        <w:keepNext/>
        <w:pBdr>
          <w:top w:val="single" w:sz="4" w:space="1" w:color="auto"/>
          <w:left w:val="single" w:sz="4" w:space="4" w:color="auto"/>
          <w:bottom w:val="single" w:sz="4" w:space="0" w:color="auto"/>
          <w:right w:val="single" w:sz="4" w:space="4" w:color="auto"/>
        </w:pBdr>
        <w:rPr>
          <w:noProof/>
          <w:szCs w:val="22"/>
          <w:lang w:val="it-IT"/>
        </w:rPr>
      </w:pPr>
      <w:r w:rsidRPr="00FB01EF">
        <w:rPr>
          <w:b/>
          <w:noProof/>
          <w:szCs w:val="22"/>
          <w:lang w:val="it-IT"/>
        </w:rPr>
        <w:lastRenderedPageBreak/>
        <w:t>16.</w:t>
      </w:r>
      <w:r w:rsidRPr="00FB01EF">
        <w:rPr>
          <w:b/>
          <w:noProof/>
          <w:szCs w:val="22"/>
          <w:lang w:val="it-IT"/>
        </w:rPr>
        <w:tab/>
      </w:r>
      <w:r w:rsidR="00E92889" w:rsidRPr="00FB01EF">
        <w:rPr>
          <w:b/>
          <w:bCs/>
          <w:szCs w:val="22"/>
          <w:lang w:val="it-IT"/>
        </w:rPr>
        <w:t>INFORMAZIONI IN BRAILLE</w:t>
      </w:r>
    </w:p>
    <w:p w:rsidR="00812D16" w:rsidRPr="00FB01EF" w:rsidRDefault="00812D16" w:rsidP="004A0DFB">
      <w:pPr>
        <w:keepNext/>
        <w:rPr>
          <w:noProof/>
          <w:szCs w:val="22"/>
          <w:lang w:val="it-IT"/>
        </w:rPr>
      </w:pPr>
    </w:p>
    <w:p w:rsidR="008A5C1F" w:rsidRPr="00FB01EF" w:rsidRDefault="009F1F61" w:rsidP="00496272">
      <w:pPr>
        <w:autoSpaceDE w:val="0"/>
        <w:autoSpaceDN w:val="0"/>
        <w:adjustRightInd w:val="0"/>
        <w:jc w:val="both"/>
        <w:rPr>
          <w:noProof/>
          <w:color w:val="000000"/>
          <w:szCs w:val="22"/>
          <w:lang w:val="it-IT"/>
        </w:rPr>
      </w:pPr>
      <w:r w:rsidRPr="00FB01EF">
        <w:rPr>
          <w:szCs w:val="22"/>
          <w:lang w:val="it-IT"/>
        </w:rPr>
        <w:t>Ovaleap</w:t>
      </w:r>
      <w:r w:rsidR="00E92889" w:rsidRPr="00FB01EF">
        <w:rPr>
          <w:szCs w:val="22"/>
          <w:lang w:val="it-IT"/>
        </w:rPr>
        <w:t xml:space="preserve"> 300</w:t>
      </w:r>
      <w:r w:rsidRPr="00FB01EF">
        <w:rPr>
          <w:szCs w:val="22"/>
          <w:lang w:val="it-IT"/>
        </w:rPr>
        <w:t> UI</w:t>
      </w:r>
      <w:r w:rsidR="00E92889" w:rsidRPr="00FB01EF">
        <w:rPr>
          <w:szCs w:val="22"/>
          <w:lang w:val="it-IT"/>
        </w:rPr>
        <w:t>/0,5</w:t>
      </w:r>
      <w:r w:rsidR="0057781E" w:rsidRPr="00FB01EF">
        <w:rPr>
          <w:szCs w:val="22"/>
          <w:lang w:val="it-IT"/>
        </w:rPr>
        <w:t> </w:t>
      </w:r>
      <w:r w:rsidR="00E92889" w:rsidRPr="00FB01EF">
        <w:rPr>
          <w:szCs w:val="22"/>
          <w:lang w:val="it-IT"/>
        </w:rPr>
        <w:t>m</w:t>
      </w:r>
      <w:r w:rsidRPr="00FB01EF">
        <w:rPr>
          <w:szCs w:val="22"/>
          <w:lang w:val="it-IT"/>
        </w:rPr>
        <w:t>L</w:t>
      </w:r>
    </w:p>
    <w:p w:rsidR="00D945AF" w:rsidRPr="00FB01EF" w:rsidRDefault="00D945AF" w:rsidP="00496272">
      <w:pPr>
        <w:autoSpaceDE w:val="0"/>
        <w:autoSpaceDN w:val="0"/>
        <w:adjustRightInd w:val="0"/>
        <w:jc w:val="both"/>
        <w:rPr>
          <w:noProof/>
          <w:color w:val="000000"/>
          <w:szCs w:val="22"/>
          <w:lang w:val="it-IT"/>
        </w:rPr>
      </w:pPr>
    </w:p>
    <w:p w:rsidR="00DD2D77" w:rsidRPr="00FB01EF" w:rsidRDefault="00DD2D77" w:rsidP="00DD2D77">
      <w:pPr>
        <w:rPr>
          <w:noProof/>
          <w:szCs w:val="22"/>
          <w:shd w:val="clear" w:color="auto" w:fill="CCCCCC"/>
          <w:lang w:val="it-IT" w:eastAsia="it-IT" w:bidi="it-IT"/>
        </w:rPr>
      </w:pPr>
    </w:p>
    <w:p w:rsidR="00DD2D77" w:rsidRPr="00FB01EF" w:rsidRDefault="00DD2D77" w:rsidP="00DD2D7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it-IT" w:eastAsia="it-IT" w:bidi="it-IT"/>
        </w:rPr>
      </w:pPr>
      <w:r w:rsidRPr="00FB01EF">
        <w:rPr>
          <w:b/>
          <w:noProof/>
          <w:lang w:val="it-IT" w:eastAsia="it-IT" w:bidi="it-IT"/>
        </w:rPr>
        <w:t>17.</w:t>
      </w:r>
      <w:r w:rsidRPr="00FB01EF">
        <w:rPr>
          <w:b/>
          <w:noProof/>
          <w:lang w:val="it-IT" w:eastAsia="it-IT" w:bidi="it-IT"/>
        </w:rPr>
        <w:tab/>
        <w:t>IDENTIFICATIVO UNICO – CODICE A BARRE BIDIMENSIONALE</w:t>
      </w:r>
    </w:p>
    <w:p w:rsidR="00DD2D77" w:rsidRPr="00FB01EF" w:rsidRDefault="00DD2D77" w:rsidP="00DD2D77">
      <w:pPr>
        <w:tabs>
          <w:tab w:val="clear" w:pos="567"/>
        </w:tabs>
        <w:rPr>
          <w:noProof/>
          <w:lang w:val="it-IT" w:eastAsia="it-IT" w:bidi="it-IT"/>
        </w:rPr>
      </w:pPr>
    </w:p>
    <w:p w:rsidR="00DD2D77" w:rsidRPr="00FB01EF" w:rsidRDefault="00DD2D77" w:rsidP="00DD2D77">
      <w:pPr>
        <w:rPr>
          <w:noProof/>
          <w:szCs w:val="22"/>
          <w:shd w:val="clear" w:color="auto" w:fill="CCCCCC"/>
          <w:lang w:val="it-IT" w:eastAsia="it-IT" w:bidi="it-IT"/>
        </w:rPr>
      </w:pPr>
      <w:r w:rsidRPr="00FB01EF">
        <w:rPr>
          <w:noProof/>
          <w:highlight w:val="lightGray"/>
          <w:lang w:val="it-IT" w:eastAsia="it-IT" w:bidi="it-IT"/>
        </w:rPr>
        <w:t>Codice a barre bidimensionale con identificativo unico incluso.</w:t>
      </w:r>
    </w:p>
    <w:p w:rsidR="00DD2D77" w:rsidRPr="00FB01EF" w:rsidRDefault="00DD2D77" w:rsidP="00DD2D77">
      <w:pPr>
        <w:tabs>
          <w:tab w:val="clear" w:pos="567"/>
        </w:tabs>
        <w:rPr>
          <w:noProof/>
          <w:lang w:val="it-IT" w:eastAsia="it-IT" w:bidi="it-IT"/>
        </w:rPr>
      </w:pPr>
    </w:p>
    <w:p w:rsidR="00DD2D77" w:rsidRPr="00FB01EF" w:rsidRDefault="00DD2D77" w:rsidP="00DD2D77">
      <w:pPr>
        <w:tabs>
          <w:tab w:val="clear" w:pos="567"/>
        </w:tabs>
        <w:rPr>
          <w:noProof/>
          <w:lang w:val="it-IT" w:eastAsia="it-IT" w:bidi="it-IT"/>
        </w:rPr>
      </w:pPr>
    </w:p>
    <w:p w:rsidR="00DD2D77" w:rsidRPr="00FB01EF" w:rsidRDefault="00DD2D77" w:rsidP="00DD2D7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it-IT" w:eastAsia="it-IT" w:bidi="it-IT"/>
        </w:rPr>
      </w:pPr>
      <w:r w:rsidRPr="00FB01EF">
        <w:rPr>
          <w:b/>
          <w:noProof/>
          <w:lang w:val="it-IT" w:eastAsia="it-IT" w:bidi="it-IT"/>
        </w:rPr>
        <w:t>18.</w:t>
      </w:r>
      <w:r w:rsidRPr="00FB01EF">
        <w:rPr>
          <w:b/>
          <w:noProof/>
          <w:lang w:val="it-IT" w:eastAsia="it-IT" w:bidi="it-IT"/>
        </w:rPr>
        <w:tab/>
        <w:t xml:space="preserve">IDENTIFICATIVO UNICO - DATI LEGGIBILI </w:t>
      </w:r>
    </w:p>
    <w:p w:rsidR="00DD2D77" w:rsidRPr="00FB01EF" w:rsidRDefault="00DD2D77" w:rsidP="00DD2D77">
      <w:pPr>
        <w:tabs>
          <w:tab w:val="clear" w:pos="567"/>
        </w:tabs>
        <w:rPr>
          <w:noProof/>
          <w:lang w:val="it-IT" w:eastAsia="it-IT" w:bidi="it-IT"/>
        </w:rPr>
      </w:pPr>
    </w:p>
    <w:p w:rsidR="00DD2D77" w:rsidRPr="00FB01EF" w:rsidRDefault="00DD2D77" w:rsidP="00DD2D77">
      <w:pPr>
        <w:spacing w:line="260" w:lineRule="exact"/>
        <w:rPr>
          <w:szCs w:val="22"/>
          <w:lang w:val="it-IT" w:eastAsia="it-IT" w:bidi="it-IT"/>
        </w:rPr>
      </w:pPr>
      <w:r w:rsidRPr="00FB01EF">
        <w:rPr>
          <w:lang w:val="it-IT" w:eastAsia="it-IT" w:bidi="it-IT"/>
        </w:rPr>
        <w:t>PC:</w:t>
      </w:r>
    </w:p>
    <w:p w:rsidR="00DD2D77" w:rsidRPr="00FB01EF" w:rsidRDefault="00DD2D77" w:rsidP="00DD2D77">
      <w:pPr>
        <w:spacing w:line="260" w:lineRule="exact"/>
        <w:rPr>
          <w:szCs w:val="22"/>
          <w:lang w:val="it-IT" w:eastAsia="it-IT" w:bidi="it-IT"/>
        </w:rPr>
      </w:pPr>
      <w:r w:rsidRPr="00FB01EF">
        <w:rPr>
          <w:lang w:val="it-IT" w:eastAsia="it-IT" w:bidi="it-IT"/>
        </w:rPr>
        <w:t>SN:</w:t>
      </w:r>
    </w:p>
    <w:p w:rsidR="00FB17A2" w:rsidRPr="00FB01EF" w:rsidRDefault="00DD2D77" w:rsidP="00DD2D77">
      <w:pPr>
        <w:autoSpaceDE w:val="0"/>
        <w:autoSpaceDN w:val="0"/>
        <w:adjustRightInd w:val="0"/>
        <w:jc w:val="both"/>
        <w:rPr>
          <w:lang w:val="it-IT" w:eastAsia="it-IT" w:bidi="it-IT"/>
        </w:rPr>
      </w:pPr>
      <w:r w:rsidRPr="00FB01EF">
        <w:rPr>
          <w:lang w:val="it-IT" w:eastAsia="it-IT" w:bidi="it-IT"/>
        </w:rPr>
        <w:t>NN:</w:t>
      </w:r>
    </w:p>
    <w:p w:rsidR="00DD2D77" w:rsidRPr="00FB01EF" w:rsidRDefault="00DD2D77" w:rsidP="00DD2D77">
      <w:pPr>
        <w:autoSpaceDE w:val="0"/>
        <w:autoSpaceDN w:val="0"/>
        <w:adjustRightInd w:val="0"/>
        <w:jc w:val="both"/>
        <w:rPr>
          <w:noProof/>
          <w:color w:val="000000"/>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shd w:val="clear" w:color="auto" w:fill="FFFFFF"/>
        <w:rPr>
          <w:b/>
          <w:noProof/>
          <w:szCs w:val="22"/>
          <w:lang w:val="it-IT"/>
        </w:rPr>
      </w:pPr>
      <w:r w:rsidRPr="00FB01EF">
        <w:rPr>
          <w:noProof/>
          <w:szCs w:val="22"/>
          <w:shd w:val="clear" w:color="auto" w:fill="CCCCCC"/>
          <w:lang w:val="it-IT"/>
        </w:rPr>
        <w:br w:type="page"/>
      </w:r>
      <w:r w:rsidR="00661348" w:rsidRPr="00FB01EF">
        <w:rPr>
          <w:b/>
          <w:bCs/>
          <w:szCs w:val="22"/>
          <w:lang w:val="it-IT"/>
        </w:rPr>
        <w:lastRenderedPageBreak/>
        <w:t>INFORMAZIONI DA APPORRE SUL CONFEZIONAMENTO SECONDARIO</w:t>
      </w:r>
    </w:p>
    <w:p w:rsidR="00B0649D" w:rsidRPr="00FB01EF" w:rsidRDefault="00B0649D" w:rsidP="00496272">
      <w:pPr>
        <w:pBdr>
          <w:top w:val="single" w:sz="4" w:space="1" w:color="auto"/>
          <w:left w:val="single" w:sz="4" w:space="4" w:color="auto"/>
          <w:bottom w:val="single" w:sz="4" w:space="1" w:color="auto"/>
          <w:right w:val="single" w:sz="4" w:space="4" w:color="auto"/>
        </w:pBdr>
        <w:shd w:val="clear" w:color="auto" w:fill="FFFFFF"/>
        <w:rPr>
          <w:noProof/>
          <w:szCs w:val="22"/>
          <w:lang w:val="it-IT"/>
        </w:rPr>
      </w:pPr>
    </w:p>
    <w:p w:rsidR="00D945AF" w:rsidRPr="00FB01EF" w:rsidRDefault="00D64948" w:rsidP="00496272">
      <w:pPr>
        <w:pBdr>
          <w:top w:val="single" w:sz="4" w:space="1" w:color="auto"/>
          <w:left w:val="single" w:sz="4" w:space="4" w:color="auto"/>
          <w:bottom w:val="single" w:sz="4" w:space="1" w:color="auto"/>
          <w:right w:val="single" w:sz="4" w:space="4" w:color="auto"/>
        </w:pBdr>
        <w:rPr>
          <w:bCs/>
          <w:noProof/>
          <w:szCs w:val="22"/>
          <w:lang w:val="it-IT"/>
        </w:rPr>
      </w:pPr>
      <w:r w:rsidRPr="00FB01EF">
        <w:rPr>
          <w:b/>
          <w:bCs/>
          <w:lang w:val="it-IT"/>
        </w:rPr>
        <w:t>I</w:t>
      </w:r>
      <w:r w:rsidRPr="00FB01EF">
        <w:rPr>
          <w:b/>
          <w:bCs/>
          <w:caps/>
          <w:lang w:val="it-IT"/>
        </w:rPr>
        <w:t>mballaggio esterno</w:t>
      </w:r>
    </w:p>
    <w:p w:rsidR="00D945AF" w:rsidRPr="00FB01EF" w:rsidRDefault="00D945AF" w:rsidP="00496272">
      <w:pPr>
        <w:rPr>
          <w:noProof/>
          <w:szCs w:val="22"/>
          <w:lang w:val="it-IT"/>
        </w:rPr>
      </w:pPr>
    </w:p>
    <w:p w:rsidR="00FB17A2" w:rsidRPr="00FB01EF" w:rsidRDefault="00FB17A2"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1.</w:t>
      </w:r>
      <w:r w:rsidRPr="00FB01EF">
        <w:rPr>
          <w:b/>
          <w:noProof/>
          <w:szCs w:val="22"/>
          <w:lang w:val="it-IT"/>
        </w:rPr>
        <w:tab/>
      </w:r>
      <w:r w:rsidR="00661348" w:rsidRPr="00FB01EF">
        <w:rPr>
          <w:b/>
          <w:bCs/>
          <w:szCs w:val="22"/>
          <w:lang w:val="it-IT"/>
        </w:rPr>
        <w:t>DENOMINAZIONE DEL MEDICINALE</w:t>
      </w:r>
    </w:p>
    <w:p w:rsidR="00D945AF" w:rsidRPr="00FB01EF" w:rsidRDefault="00D945AF" w:rsidP="00496272">
      <w:pPr>
        <w:rPr>
          <w:noProof/>
          <w:szCs w:val="22"/>
          <w:lang w:val="it-IT"/>
        </w:rPr>
      </w:pPr>
    </w:p>
    <w:p w:rsidR="00D945AF" w:rsidRPr="00FB01EF" w:rsidRDefault="00C41C2A" w:rsidP="00496272">
      <w:pPr>
        <w:autoSpaceDE w:val="0"/>
        <w:autoSpaceDN w:val="0"/>
        <w:adjustRightInd w:val="0"/>
        <w:jc w:val="both"/>
        <w:rPr>
          <w:noProof/>
          <w:color w:val="000000"/>
          <w:szCs w:val="22"/>
          <w:lang w:val="it-IT"/>
        </w:rPr>
      </w:pPr>
      <w:r w:rsidRPr="00FB01EF">
        <w:rPr>
          <w:szCs w:val="22"/>
          <w:lang w:val="it-IT"/>
        </w:rPr>
        <w:t>Ovaleap</w:t>
      </w:r>
      <w:r w:rsidR="00661348" w:rsidRPr="00FB01EF">
        <w:rPr>
          <w:szCs w:val="22"/>
          <w:lang w:val="it-IT"/>
        </w:rPr>
        <w:t xml:space="preserve"> </w:t>
      </w:r>
      <w:r w:rsidRPr="00FB01EF">
        <w:rPr>
          <w:szCs w:val="22"/>
          <w:lang w:val="it-IT"/>
        </w:rPr>
        <w:t>450 </w:t>
      </w:r>
      <w:r w:rsidR="00661348" w:rsidRPr="00FB01EF">
        <w:rPr>
          <w:szCs w:val="22"/>
          <w:lang w:val="it-IT"/>
        </w:rPr>
        <w:t>UI/0,75</w:t>
      </w:r>
      <w:r w:rsidR="0057781E" w:rsidRPr="00FB01EF">
        <w:rPr>
          <w:szCs w:val="22"/>
          <w:lang w:val="it-IT"/>
        </w:rPr>
        <w:t> </w:t>
      </w:r>
      <w:r w:rsidR="00661348" w:rsidRPr="00FB01EF">
        <w:rPr>
          <w:szCs w:val="22"/>
          <w:lang w:val="it-IT"/>
        </w:rPr>
        <w:t>m</w:t>
      </w:r>
      <w:r w:rsidRPr="00FB01EF">
        <w:rPr>
          <w:szCs w:val="22"/>
          <w:lang w:val="it-IT"/>
        </w:rPr>
        <w:t>L</w:t>
      </w:r>
      <w:r w:rsidR="00661348" w:rsidRPr="00FB01EF">
        <w:rPr>
          <w:szCs w:val="22"/>
          <w:lang w:val="it-IT"/>
        </w:rPr>
        <w:t xml:space="preserve"> soluzione iniettabile</w:t>
      </w:r>
    </w:p>
    <w:p w:rsidR="00D945AF" w:rsidRPr="00FB01EF" w:rsidRDefault="00D945AF" w:rsidP="00496272">
      <w:pPr>
        <w:rPr>
          <w:noProof/>
          <w:szCs w:val="22"/>
          <w:lang w:val="it-IT"/>
        </w:rPr>
      </w:pPr>
    </w:p>
    <w:p w:rsidR="00D945AF" w:rsidRPr="00FB01EF" w:rsidRDefault="00897367" w:rsidP="00496272">
      <w:pPr>
        <w:rPr>
          <w:noProof/>
          <w:szCs w:val="22"/>
          <w:lang w:val="it-IT"/>
        </w:rPr>
      </w:pPr>
      <w:r w:rsidRPr="00FB01EF">
        <w:rPr>
          <w:noProof/>
          <w:color w:val="000000"/>
          <w:szCs w:val="22"/>
          <w:lang w:val="it-IT"/>
        </w:rPr>
        <w:t>f</w:t>
      </w:r>
      <w:r w:rsidR="00D945AF" w:rsidRPr="00FB01EF">
        <w:rPr>
          <w:noProof/>
          <w:color w:val="000000"/>
          <w:szCs w:val="22"/>
          <w:lang w:val="it-IT"/>
        </w:rPr>
        <w:t>ollitropin</w:t>
      </w:r>
      <w:r w:rsidR="00661348" w:rsidRPr="00FB01EF">
        <w:rPr>
          <w:noProof/>
          <w:color w:val="000000"/>
          <w:szCs w:val="22"/>
          <w:lang w:val="it-IT"/>
        </w:rPr>
        <w:t>a</w:t>
      </w:r>
      <w:r w:rsidR="00145F62" w:rsidRPr="00FB01EF">
        <w:rPr>
          <w:noProof/>
          <w:color w:val="000000"/>
          <w:szCs w:val="22"/>
          <w:lang w:val="it-IT"/>
        </w:rPr>
        <w:t> </w:t>
      </w:r>
      <w:r w:rsidR="00D945AF" w:rsidRPr="00FB01EF">
        <w:rPr>
          <w:noProof/>
          <w:color w:val="000000"/>
          <w:szCs w:val="22"/>
          <w:lang w:val="it-IT"/>
        </w:rPr>
        <w:t>alfa</w:t>
      </w:r>
    </w:p>
    <w:p w:rsidR="00D945AF" w:rsidRPr="00FB01EF" w:rsidRDefault="00D945AF" w:rsidP="00496272">
      <w:pPr>
        <w:rPr>
          <w:noProof/>
          <w:szCs w:val="22"/>
          <w:lang w:val="it-IT"/>
        </w:rPr>
      </w:pPr>
    </w:p>
    <w:p w:rsidR="00D43E3D" w:rsidRPr="00FB01EF" w:rsidRDefault="00D43E3D"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2.</w:t>
      </w:r>
      <w:r w:rsidRPr="00FB01EF">
        <w:rPr>
          <w:b/>
          <w:noProof/>
          <w:szCs w:val="22"/>
          <w:lang w:val="it-IT"/>
        </w:rPr>
        <w:tab/>
      </w:r>
      <w:r w:rsidR="00661348" w:rsidRPr="00FB01EF">
        <w:rPr>
          <w:b/>
          <w:bCs/>
          <w:szCs w:val="22"/>
          <w:lang w:val="it-IT"/>
        </w:rPr>
        <w:t>COMPOSIZIONE QUALITATIVA E QUANTITATIVA IN TERMINI DI PRINCIPIO(I) ATTIVO(I)</w:t>
      </w:r>
    </w:p>
    <w:p w:rsidR="00D945AF" w:rsidRPr="00FB01EF" w:rsidRDefault="00D945AF" w:rsidP="00496272">
      <w:pPr>
        <w:rPr>
          <w:i/>
          <w:noProof/>
          <w:szCs w:val="22"/>
          <w:lang w:val="it-IT"/>
        </w:rPr>
      </w:pPr>
    </w:p>
    <w:p w:rsidR="00094D8D" w:rsidRPr="00FB01EF" w:rsidRDefault="00094D8D" w:rsidP="00094D8D">
      <w:pPr>
        <w:rPr>
          <w:lang w:val="it-IT"/>
        </w:rPr>
      </w:pPr>
      <w:r w:rsidRPr="00FB01EF">
        <w:rPr>
          <w:szCs w:val="22"/>
          <w:lang w:val="it-IT"/>
        </w:rPr>
        <w:t xml:space="preserve">Ogni cartuccia contiene 450 UI </w:t>
      </w:r>
      <w:r w:rsidRPr="00FB01EF">
        <w:rPr>
          <w:noProof/>
          <w:color w:val="000000"/>
          <w:szCs w:val="22"/>
          <w:lang w:val="it-IT"/>
        </w:rPr>
        <w:t xml:space="preserve">(equivalenti a 33 microgrammi) </w:t>
      </w:r>
      <w:r w:rsidRPr="00FB01EF">
        <w:rPr>
          <w:szCs w:val="22"/>
          <w:lang w:val="it-IT"/>
        </w:rPr>
        <w:t xml:space="preserve">di follitropina alfa in 0,75 mL di soluzione. Ogni mL della soluzione contiene 600 UI </w:t>
      </w:r>
      <w:r w:rsidRPr="00FB01EF">
        <w:rPr>
          <w:noProof/>
          <w:color w:val="000000"/>
          <w:szCs w:val="22"/>
          <w:lang w:val="it-IT"/>
        </w:rPr>
        <w:t xml:space="preserve">(equivalenti a 44 microgrammi) </w:t>
      </w:r>
      <w:r w:rsidRPr="00FB01EF">
        <w:rPr>
          <w:szCs w:val="22"/>
          <w:lang w:val="it-IT"/>
        </w:rPr>
        <w:t>di follitropina alfa.</w:t>
      </w:r>
    </w:p>
    <w:p w:rsidR="00D945AF" w:rsidRPr="00FB01EF" w:rsidRDefault="00D945AF" w:rsidP="00496272">
      <w:pPr>
        <w:rPr>
          <w:noProof/>
          <w:szCs w:val="22"/>
          <w:lang w:val="it-IT"/>
        </w:rPr>
      </w:pPr>
    </w:p>
    <w:p w:rsidR="00D945AF" w:rsidRPr="00FB01EF" w:rsidRDefault="00D945AF"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3.</w:t>
      </w:r>
      <w:r w:rsidRPr="00FB01EF">
        <w:rPr>
          <w:b/>
          <w:noProof/>
          <w:szCs w:val="22"/>
          <w:lang w:val="it-IT"/>
        </w:rPr>
        <w:tab/>
      </w:r>
      <w:r w:rsidR="00661348" w:rsidRPr="00FB01EF">
        <w:rPr>
          <w:b/>
          <w:bCs/>
          <w:szCs w:val="22"/>
          <w:lang w:val="it-IT"/>
        </w:rPr>
        <w:t>ELENCO DEGLI ECCIPIENTI</w:t>
      </w:r>
    </w:p>
    <w:p w:rsidR="00D945AF" w:rsidRPr="00FB01EF" w:rsidRDefault="00D945AF" w:rsidP="00496272">
      <w:pPr>
        <w:rPr>
          <w:noProof/>
          <w:szCs w:val="22"/>
          <w:lang w:val="it-IT"/>
        </w:rPr>
      </w:pPr>
    </w:p>
    <w:p w:rsidR="00D945AF" w:rsidRPr="00FB01EF" w:rsidRDefault="00661348" w:rsidP="00496272">
      <w:pPr>
        <w:rPr>
          <w:noProof/>
          <w:szCs w:val="22"/>
          <w:lang w:val="it-IT"/>
        </w:rPr>
      </w:pPr>
      <w:r w:rsidRPr="00FB01EF">
        <w:rPr>
          <w:szCs w:val="22"/>
          <w:lang w:val="it-IT"/>
        </w:rPr>
        <w:t xml:space="preserve">Eccipienti: </w:t>
      </w:r>
      <w:r w:rsidR="00C41C2A" w:rsidRPr="00FB01EF">
        <w:rPr>
          <w:szCs w:val="22"/>
          <w:lang w:val="it-IT"/>
        </w:rPr>
        <w:t>sodio diidrogeno fosfato diidrato, sodio idrossido (</w:t>
      </w:r>
      <w:smartTag w:uri="urn:schemas-microsoft-com:office:smarttags" w:element="metricconverter">
        <w:smartTagPr>
          <w:attr w:name="ProductID" w:val="2ﾠM"/>
        </w:smartTagPr>
        <w:r w:rsidR="00C41C2A" w:rsidRPr="00FB01EF">
          <w:rPr>
            <w:szCs w:val="22"/>
            <w:lang w:val="it-IT"/>
          </w:rPr>
          <w:t>2</w:t>
        </w:r>
        <w:r w:rsidR="00241462" w:rsidRPr="00FB01EF">
          <w:rPr>
            <w:szCs w:val="22"/>
            <w:lang w:val="it-IT"/>
          </w:rPr>
          <w:t> </w:t>
        </w:r>
        <w:r w:rsidR="00C41C2A" w:rsidRPr="00FB01EF">
          <w:rPr>
            <w:szCs w:val="22"/>
            <w:lang w:val="it-IT"/>
          </w:rPr>
          <w:t>M</w:t>
        </w:r>
      </w:smartTag>
      <w:r w:rsidR="00C41C2A" w:rsidRPr="00FB01EF">
        <w:rPr>
          <w:szCs w:val="22"/>
          <w:lang w:val="it-IT"/>
        </w:rPr>
        <w:t>) (per la regolazione del pH), mannitolo, metionina, polisorbato</w:t>
      </w:r>
      <w:r w:rsidR="00894ADA" w:rsidRPr="00FB01EF">
        <w:rPr>
          <w:szCs w:val="22"/>
          <w:lang w:val="it-IT"/>
        </w:rPr>
        <w:t> </w:t>
      </w:r>
      <w:r w:rsidR="00C41C2A" w:rsidRPr="00FB01EF">
        <w:rPr>
          <w:szCs w:val="22"/>
          <w:lang w:val="it-IT"/>
        </w:rPr>
        <w:t>20, alc</w:t>
      </w:r>
      <w:r w:rsidR="00EE4CEC" w:rsidRPr="00FB01EF">
        <w:rPr>
          <w:szCs w:val="22"/>
          <w:lang w:val="it-IT"/>
        </w:rPr>
        <w:t>o</w:t>
      </w:r>
      <w:r w:rsidR="00C41C2A" w:rsidRPr="00FB01EF">
        <w:rPr>
          <w:szCs w:val="22"/>
          <w:lang w:val="it-IT"/>
        </w:rPr>
        <w:t xml:space="preserve">ol benzilico, benzalconio cloruro, </w:t>
      </w:r>
      <w:r w:rsidRPr="00FB01EF">
        <w:rPr>
          <w:szCs w:val="22"/>
          <w:lang w:val="it-IT"/>
        </w:rPr>
        <w:t>acqua per preparazioni iniettabili</w:t>
      </w:r>
      <w:r w:rsidR="00D945AF" w:rsidRPr="00FB01EF">
        <w:rPr>
          <w:noProof/>
          <w:szCs w:val="22"/>
          <w:lang w:val="it-IT"/>
        </w:rPr>
        <w:t>.</w:t>
      </w:r>
    </w:p>
    <w:p w:rsidR="00DA6744" w:rsidRPr="00FB01EF" w:rsidRDefault="00DA6744" w:rsidP="00496272">
      <w:pPr>
        <w:rPr>
          <w:noProof/>
          <w:szCs w:val="22"/>
          <w:lang w:val="it-IT"/>
        </w:rPr>
      </w:pPr>
    </w:p>
    <w:p w:rsidR="00D945AF" w:rsidRPr="00FB01EF" w:rsidRDefault="00D945AF"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4.</w:t>
      </w:r>
      <w:r w:rsidRPr="00FB01EF">
        <w:rPr>
          <w:b/>
          <w:noProof/>
          <w:szCs w:val="22"/>
          <w:lang w:val="it-IT"/>
        </w:rPr>
        <w:tab/>
      </w:r>
      <w:r w:rsidR="00661348" w:rsidRPr="00FB01EF">
        <w:rPr>
          <w:b/>
          <w:bCs/>
          <w:szCs w:val="22"/>
          <w:lang w:val="it-IT"/>
        </w:rPr>
        <w:t>FORMA FARMACEUTICA E CONTENUTO</w:t>
      </w:r>
    </w:p>
    <w:p w:rsidR="00D945AF" w:rsidRPr="00FB01EF" w:rsidRDefault="00D945AF" w:rsidP="00496272">
      <w:pPr>
        <w:rPr>
          <w:noProof/>
          <w:szCs w:val="22"/>
          <w:lang w:val="it-IT"/>
        </w:rPr>
      </w:pPr>
    </w:p>
    <w:p w:rsidR="00C41C2A" w:rsidRPr="00FB01EF" w:rsidRDefault="00661348" w:rsidP="00661348">
      <w:pPr>
        <w:ind w:right="-20"/>
        <w:rPr>
          <w:szCs w:val="22"/>
          <w:lang w:val="it-IT"/>
        </w:rPr>
      </w:pPr>
      <w:r w:rsidRPr="00FB01EF">
        <w:rPr>
          <w:szCs w:val="22"/>
          <w:highlight w:val="lightGray"/>
          <w:lang w:val="it-IT"/>
        </w:rPr>
        <w:t>Soluzione iniettabile</w:t>
      </w:r>
    </w:p>
    <w:p w:rsidR="00C41C2A" w:rsidRPr="00FB01EF" w:rsidRDefault="00C41C2A" w:rsidP="00661348">
      <w:pPr>
        <w:ind w:right="-20"/>
        <w:rPr>
          <w:szCs w:val="22"/>
          <w:lang w:val="it-IT"/>
        </w:rPr>
      </w:pPr>
    </w:p>
    <w:p w:rsidR="00D945AF" w:rsidRPr="00FB01EF" w:rsidRDefault="00661348" w:rsidP="00F97DD8">
      <w:pPr>
        <w:ind w:right="-20"/>
        <w:rPr>
          <w:noProof/>
          <w:szCs w:val="22"/>
          <w:lang w:val="it-IT"/>
        </w:rPr>
      </w:pPr>
      <w:r w:rsidRPr="00FB01EF">
        <w:rPr>
          <w:szCs w:val="22"/>
          <w:lang w:val="it-IT"/>
        </w:rPr>
        <w:t>1</w:t>
      </w:r>
      <w:r w:rsidR="00C41C2A" w:rsidRPr="00FB01EF">
        <w:rPr>
          <w:szCs w:val="22"/>
          <w:lang w:val="it-IT"/>
        </w:rPr>
        <w:t xml:space="preserve"> cartuccia </w:t>
      </w:r>
      <w:r w:rsidR="00094D8D" w:rsidRPr="00FB01EF">
        <w:rPr>
          <w:szCs w:val="22"/>
          <w:lang w:val="it-IT"/>
        </w:rPr>
        <w:t xml:space="preserve">con 0,75 mL di soluzione </w:t>
      </w:r>
      <w:r w:rsidR="00C41C2A" w:rsidRPr="00FB01EF">
        <w:rPr>
          <w:szCs w:val="22"/>
          <w:lang w:val="it-IT"/>
        </w:rPr>
        <w:t xml:space="preserve">e </w:t>
      </w:r>
      <w:r w:rsidRPr="00FB01EF">
        <w:rPr>
          <w:szCs w:val="22"/>
          <w:lang w:val="it-IT"/>
        </w:rPr>
        <w:t>1</w:t>
      </w:r>
      <w:r w:rsidR="00C41C2A" w:rsidRPr="00FB01EF">
        <w:rPr>
          <w:szCs w:val="22"/>
          <w:lang w:val="it-IT"/>
        </w:rPr>
        <w:t>0 </w:t>
      </w:r>
      <w:r w:rsidRPr="00FB01EF">
        <w:rPr>
          <w:szCs w:val="22"/>
          <w:lang w:val="it-IT"/>
        </w:rPr>
        <w:t>aghi per iniezione</w:t>
      </w:r>
    </w:p>
    <w:p w:rsidR="00D945AF" w:rsidRPr="00FB01EF" w:rsidRDefault="00D945AF" w:rsidP="00496272">
      <w:pPr>
        <w:rPr>
          <w:noProof/>
          <w:szCs w:val="22"/>
          <w:lang w:val="it-IT"/>
        </w:rPr>
      </w:pPr>
    </w:p>
    <w:p w:rsidR="001D1D5D" w:rsidRPr="00FB01EF" w:rsidRDefault="001D1D5D"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5.</w:t>
      </w:r>
      <w:r w:rsidRPr="00FB01EF">
        <w:rPr>
          <w:b/>
          <w:noProof/>
          <w:szCs w:val="22"/>
          <w:lang w:val="it-IT"/>
        </w:rPr>
        <w:tab/>
      </w:r>
      <w:r w:rsidR="00661348" w:rsidRPr="00FB01EF">
        <w:rPr>
          <w:b/>
          <w:bCs/>
          <w:szCs w:val="22"/>
          <w:lang w:val="it-IT"/>
        </w:rPr>
        <w:t>MODO E VIA(E) DI SOMMINISTRAZIONE</w:t>
      </w:r>
    </w:p>
    <w:p w:rsidR="00661348" w:rsidRPr="00FB01EF" w:rsidRDefault="00661348" w:rsidP="00661348">
      <w:pPr>
        <w:ind w:right="5251"/>
        <w:rPr>
          <w:szCs w:val="22"/>
          <w:lang w:val="it-IT"/>
        </w:rPr>
      </w:pPr>
    </w:p>
    <w:p w:rsidR="00C41C2A" w:rsidRPr="00FB01EF" w:rsidRDefault="00C41C2A" w:rsidP="00F97DD8">
      <w:pPr>
        <w:ind w:right="3542"/>
        <w:rPr>
          <w:szCs w:val="22"/>
          <w:lang w:val="it-IT"/>
        </w:rPr>
      </w:pPr>
      <w:r w:rsidRPr="00FB01EF">
        <w:rPr>
          <w:szCs w:val="22"/>
          <w:lang w:val="it-IT"/>
        </w:rPr>
        <w:t>Da usare esclusivamente con Ovaleap</w:t>
      </w:r>
      <w:r w:rsidR="00873F98" w:rsidRPr="00FB01EF">
        <w:rPr>
          <w:szCs w:val="22"/>
          <w:lang w:val="it-IT"/>
        </w:rPr>
        <w:t xml:space="preserve"> Pen</w:t>
      </w:r>
      <w:r w:rsidR="00661348" w:rsidRPr="00FB01EF">
        <w:rPr>
          <w:szCs w:val="22"/>
          <w:lang w:val="it-IT"/>
        </w:rPr>
        <w:t>.</w:t>
      </w:r>
    </w:p>
    <w:p w:rsidR="00C41C2A" w:rsidRPr="00FB01EF" w:rsidRDefault="00C41C2A" w:rsidP="00661348">
      <w:pPr>
        <w:ind w:right="5251"/>
        <w:rPr>
          <w:szCs w:val="22"/>
          <w:lang w:val="it-IT"/>
        </w:rPr>
      </w:pPr>
    </w:p>
    <w:p w:rsidR="00C41C2A" w:rsidRPr="00FB01EF" w:rsidRDefault="00C41C2A" w:rsidP="00F97DD8">
      <w:pPr>
        <w:ind w:right="2125"/>
        <w:rPr>
          <w:szCs w:val="22"/>
          <w:lang w:val="it-IT"/>
        </w:rPr>
      </w:pPr>
      <w:r w:rsidRPr="00FB01EF">
        <w:rPr>
          <w:szCs w:val="22"/>
          <w:lang w:val="it-IT"/>
        </w:rPr>
        <w:t>Leggere il foglio illustrativo prima dell’uso.</w:t>
      </w:r>
    </w:p>
    <w:p w:rsidR="00C41C2A" w:rsidRPr="00FB01EF" w:rsidRDefault="00C41C2A" w:rsidP="00661348">
      <w:pPr>
        <w:ind w:right="5251"/>
        <w:rPr>
          <w:szCs w:val="22"/>
          <w:lang w:val="it-IT"/>
        </w:rPr>
      </w:pPr>
    </w:p>
    <w:p w:rsidR="00094D8D" w:rsidRPr="00FB01EF" w:rsidRDefault="00094D8D" w:rsidP="00094D8D">
      <w:pPr>
        <w:tabs>
          <w:tab w:val="left" w:pos="749"/>
        </w:tabs>
        <w:rPr>
          <w:noProof/>
          <w:szCs w:val="22"/>
          <w:lang w:val="it-IT"/>
        </w:rPr>
      </w:pPr>
      <w:r w:rsidRPr="00FB01EF">
        <w:rPr>
          <w:noProof/>
          <w:szCs w:val="22"/>
          <w:lang w:val="it-IT"/>
        </w:rPr>
        <w:t>Usare nel modo seguente:</w:t>
      </w:r>
    </w:p>
    <w:p w:rsidR="00094D8D" w:rsidRPr="00FB01EF" w:rsidRDefault="00094D8D" w:rsidP="00661348">
      <w:pPr>
        <w:ind w:right="5251"/>
        <w:rPr>
          <w:szCs w:val="22"/>
          <w:lang w:val="it-IT"/>
        </w:rPr>
      </w:pPr>
    </w:p>
    <w:p w:rsidR="00661348" w:rsidRPr="00FB01EF" w:rsidRDefault="00661348" w:rsidP="00661348">
      <w:pPr>
        <w:ind w:right="5251"/>
        <w:rPr>
          <w:szCs w:val="22"/>
          <w:lang w:val="it-IT"/>
        </w:rPr>
      </w:pPr>
      <w:r w:rsidRPr="00FB01EF">
        <w:rPr>
          <w:szCs w:val="22"/>
          <w:lang w:val="it-IT"/>
        </w:rPr>
        <w:t>Uso sottocutaneo</w:t>
      </w:r>
    </w:p>
    <w:p w:rsidR="00C41C2A" w:rsidRPr="00FB01EF" w:rsidRDefault="00C41C2A" w:rsidP="00496272">
      <w:pPr>
        <w:tabs>
          <w:tab w:val="left" w:pos="749"/>
        </w:tabs>
        <w:rPr>
          <w:noProof/>
          <w:szCs w:val="22"/>
          <w:lang w:val="it-IT"/>
        </w:rPr>
      </w:pPr>
    </w:p>
    <w:p w:rsidR="00C41C2A" w:rsidRPr="00FB01EF" w:rsidRDefault="00C41C2A" w:rsidP="00496272">
      <w:pPr>
        <w:tabs>
          <w:tab w:val="left" w:pos="749"/>
        </w:tabs>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6.</w:t>
      </w:r>
      <w:r w:rsidRPr="00FB01EF">
        <w:rPr>
          <w:b/>
          <w:noProof/>
          <w:szCs w:val="22"/>
          <w:lang w:val="it-IT"/>
        </w:rPr>
        <w:tab/>
      </w:r>
      <w:r w:rsidR="00661348" w:rsidRPr="00FB01EF">
        <w:rPr>
          <w:b/>
          <w:bCs/>
          <w:szCs w:val="22"/>
          <w:lang w:val="it-IT"/>
        </w:rPr>
        <w:t xml:space="preserve">AVVERTENZA PARTICOLARE CHE PRESCRIVA DI TENERE IL MEDICINALE FUORI DALLA VISTA </w:t>
      </w:r>
      <w:r w:rsidR="00C41C2A" w:rsidRPr="00FB01EF">
        <w:rPr>
          <w:b/>
          <w:bCs/>
          <w:szCs w:val="22"/>
          <w:lang w:val="it-IT"/>
        </w:rPr>
        <w:t xml:space="preserve">E DALLA PORTATA </w:t>
      </w:r>
      <w:r w:rsidR="00661348" w:rsidRPr="00FB01EF">
        <w:rPr>
          <w:b/>
          <w:bCs/>
          <w:szCs w:val="22"/>
          <w:lang w:val="it-IT"/>
        </w:rPr>
        <w:t>DEI BAMBINI</w:t>
      </w:r>
    </w:p>
    <w:p w:rsidR="00D945AF" w:rsidRPr="00FB01EF" w:rsidRDefault="00D945AF" w:rsidP="00496272">
      <w:pPr>
        <w:rPr>
          <w:noProof/>
          <w:szCs w:val="22"/>
          <w:lang w:val="it-IT"/>
        </w:rPr>
      </w:pPr>
    </w:p>
    <w:p w:rsidR="00D945AF" w:rsidRPr="00FB01EF" w:rsidRDefault="00661348" w:rsidP="00496272">
      <w:pPr>
        <w:outlineLvl w:val="0"/>
        <w:rPr>
          <w:noProof/>
          <w:szCs w:val="22"/>
          <w:lang w:val="it-IT"/>
        </w:rPr>
      </w:pPr>
      <w:r w:rsidRPr="00FB01EF">
        <w:rPr>
          <w:szCs w:val="22"/>
          <w:lang w:val="it-IT"/>
        </w:rPr>
        <w:t xml:space="preserve">Tenere fuori dalla vista </w:t>
      </w:r>
      <w:r w:rsidR="00C41C2A" w:rsidRPr="00FB01EF">
        <w:rPr>
          <w:szCs w:val="22"/>
          <w:lang w:val="it-IT"/>
        </w:rPr>
        <w:t xml:space="preserve">e dalla portata </w:t>
      </w:r>
      <w:r w:rsidRPr="00FB01EF">
        <w:rPr>
          <w:szCs w:val="22"/>
          <w:lang w:val="it-IT"/>
        </w:rPr>
        <w:t>dei bambini</w:t>
      </w:r>
      <w:r w:rsidR="00D945AF" w:rsidRPr="00FB01EF">
        <w:rPr>
          <w:noProof/>
          <w:szCs w:val="22"/>
          <w:lang w:val="it-IT"/>
        </w:rPr>
        <w:t>.</w:t>
      </w:r>
    </w:p>
    <w:p w:rsidR="00D945AF" w:rsidRPr="00FB01EF" w:rsidRDefault="00D945AF" w:rsidP="00496272">
      <w:pPr>
        <w:rPr>
          <w:noProof/>
          <w:szCs w:val="22"/>
          <w:lang w:val="it-IT"/>
        </w:rPr>
      </w:pPr>
    </w:p>
    <w:p w:rsidR="00D945AF" w:rsidRPr="00FB01EF" w:rsidRDefault="00D945AF"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7.</w:t>
      </w:r>
      <w:r w:rsidRPr="00FB01EF">
        <w:rPr>
          <w:b/>
          <w:noProof/>
          <w:szCs w:val="22"/>
          <w:lang w:val="it-IT"/>
        </w:rPr>
        <w:tab/>
      </w:r>
      <w:r w:rsidR="00661348" w:rsidRPr="00FB01EF">
        <w:rPr>
          <w:b/>
          <w:bCs/>
          <w:szCs w:val="22"/>
          <w:lang w:val="it-IT"/>
        </w:rPr>
        <w:t xml:space="preserve">ALTRA(E) AVVERTENZA(E) </w:t>
      </w:r>
      <w:r w:rsidR="00145F62" w:rsidRPr="00FB01EF">
        <w:rPr>
          <w:b/>
          <w:bCs/>
          <w:szCs w:val="22"/>
          <w:lang w:val="it-IT"/>
        </w:rPr>
        <w:t>PARTICOLAR</w:t>
      </w:r>
      <w:r w:rsidR="00241462" w:rsidRPr="00FB01EF">
        <w:rPr>
          <w:b/>
          <w:bCs/>
          <w:szCs w:val="22"/>
          <w:lang w:val="it-IT"/>
        </w:rPr>
        <w:t>E</w:t>
      </w:r>
      <w:r w:rsidR="00661348" w:rsidRPr="00FB01EF">
        <w:rPr>
          <w:b/>
          <w:bCs/>
          <w:szCs w:val="22"/>
          <w:lang w:val="it-IT"/>
        </w:rPr>
        <w:t>(I), SE NECESSARIO</w:t>
      </w:r>
    </w:p>
    <w:p w:rsidR="00D945AF" w:rsidRPr="00FB01EF" w:rsidRDefault="00D945AF" w:rsidP="00496272">
      <w:pPr>
        <w:tabs>
          <w:tab w:val="left" w:pos="749"/>
        </w:tabs>
        <w:rPr>
          <w:noProof/>
          <w:szCs w:val="22"/>
          <w:lang w:val="it-IT"/>
        </w:rPr>
      </w:pPr>
    </w:p>
    <w:p w:rsidR="00D945AF" w:rsidRPr="00FB01EF" w:rsidRDefault="00D945AF" w:rsidP="00496272">
      <w:pPr>
        <w:tabs>
          <w:tab w:val="left" w:pos="749"/>
        </w:tabs>
        <w:rPr>
          <w:noProof/>
          <w:szCs w:val="22"/>
          <w:lang w:val="it-IT"/>
        </w:rPr>
      </w:pPr>
    </w:p>
    <w:p w:rsidR="00D43E3D" w:rsidRPr="00FB01EF" w:rsidRDefault="00D43E3D" w:rsidP="00496272">
      <w:pPr>
        <w:tabs>
          <w:tab w:val="left" w:pos="749"/>
        </w:tabs>
        <w:rPr>
          <w:noProof/>
          <w:szCs w:val="22"/>
          <w:lang w:val="it-IT"/>
        </w:rPr>
      </w:pPr>
    </w:p>
    <w:p w:rsidR="00D945AF" w:rsidRPr="00FB01EF" w:rsidRDefault="00D945AF"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lastRenderedPageBreak/>
        <w:t>8.</w:t>
      </w:r>
      <w:r w:rsidRPr="00FB01EF">
        <w:rPr>
          <w:b/>
          <w:noProof/>
          <w:szCs w:val="22"/>
          <w:lang w:val="it-IT"/>
        </w:rPr>
        <w:tab/>
      </w:r>
      <w:r w:rsidR="00661348" w:rsidRPr="00FB01EF">
        <w:rPr>
          <w:b/>
          <w:bCs/>
          <w:szCs w:val="22"/>
          <w:lang w:val="it-IT"/>
        </w:rPr>
        <w:t>DATA DI SCADENZA</w:t>
      </w:r>
    </w:p>
    <w:p w:rsidR="00D945AF" w:rsidRPr="00FB01EF" w:rsidRDefault="00D945AF" w:rsidP="00496272">
      <w:pPr>
        <w:keepNext/>
        <w:keepLines/>
        <w:rPr>
          <w:noProof/>
          <w:szCs w:val="22"/>
          <w:lang w:val="it-IT"/>
        </w:rPr>
      </w:pPr>
    </w:p>
    <w:p w:rsidR="00A85DA1" w:rsidRPr="00FB01EF" w:rsidRDefault="00661348" w:rsidP="00A54571">
      <w:pPr>
        <w:keepNext/>
        <w:tabs>
          <w:tab w:val="clear" w:pos="567"/>
        </w:tabs>
        <w:rPr>
          <w:szCs w:val="22"/>
          <w:lang w:val="it-IT"/>
        </w:rPr>
      </w:pPr>
      <w:r w:rsidRPr="00FB01EF">
        <w:rPr>
          <w:szCs w:val="22"/>
          <w:lang w:val="it-IT"/>
        </w:rPr>
        <w:t>Scad.</w:t>
      </w:r>
    </w:p>
    <w:p w:rsidR="00C41C2A" w:rsidRPr="00FB01EF" w:rsidRDefault="00C41C2A" w:rsidP="00496272">
      <w:pPr>
        <w:tabs>
          <w:tab w:val="clear" w:pos="567"/>
        </w:tabs>
        <w:rPr>
          <w:szCs w:val="22"/>
          <w:lang w:val="it-IT"/>
        </w:rPr>
      </w:pPr>
    </w:p>
    <w:p w:rsidR="00C41C2A" w:rsidRPr="00FB01EF" w:rsidRDefault="00C41C2A" w:rsidP="00496272">
      <w:pPr>
        <w:tabs>
          <w:tab w:val="clear" w:pos="567"/>
        </w:tabs>
        <w:rPr>
          <w:noProof/>
          <w:color w:val="000000"/>
          <w:szCs w:val="22"/>
          <w:lang w:val="it-IT"/>
        </w:rPr>
      </w:pPr>
      <w:r w:rsidRPr="00FB01EF">
        <w:rPr>
          <w:szCs w:val="22"/>
          <w:lang w:val="it-IT"/>
        </w:rPr>
        <w:t xml:space="preserve">La cartuccia </w:t>
      </w:r>
      <w:r w:rsidR="0057781E" w:rsidRPr="00FB01EF">
        <w:rPr>
          <w:szCs w:val="22"/>
          <w:lang w:val="it-IT"/>
        </w:rPr>
        <w:t>inclusa</w:t>
      </w:r>
      <w:r w:rsidRPr="00FB01EF">
        <w:rPr>
          <w:szCs w:val="22"/>
          <w:lang w:val="it-IT"/>
        </w:rPr>
        <w:t xml:space="preserve"> nella penna può essere conservata per un massimo di 28 giorni a temperatura non superiore a </w:t>
      </w:r>
      <w:smartTag w:uri="urn:schemas-microsoft-com:office:smarttags" w:element="metricconverter">
        <w:smartTagPr>
          <w:attr w:name="ProductID" w:val="25ﾠﾰC"/>
        </w:smartTagPr>
        <w:r w:rsidRPr="00FB01EF">
          <w:rPr>
            <w:szCs w:val="22"/>
            <w:lang w:val="it-IT"/>
          </w:rPr>
          <w:t>25 °C</w:t>
        </w:r>
      </w:smartTag>
      <w:r w:rsidRPr="00FB01EF">
        <w:rPr>
          <w:szCs w:val="22"/>
          <w:lang w:val="it-IT"/>
        </w:rPr>
        <w:t>.</w:t>
      </w:r>
    </w:p>
    <w:p w:rsidR="00A85DA1" w:rsidRPr="00FB01EF" w:rsidRDefault="00A85DA1" w:rsidP="00496272">
      <w:pPr>
        <w:tabs>
          <w:tab w:val="clear" w:pos="567"/>
        </w:tabs>
        <w:rPr>
          <w:noProof/>
          <w:color w:val="000000"/>
          <w:szCs w:val="22"/>
          <w:lang w:val="it-IT"/>
        </w:rPr>
      </w:pPr>
    </w:p>
    <w:p w:rsidR="00D945AF" w:rsidRPr="00FB01EF" w:rsidRDefault="00D945AF" w:rsidP="00496272">
      <w:pPr>
        <w:rPr>
          <w:noProof/>
          <w:szCs w:val="22"/>
          <w:lang w:val="it-IT"/>
        </w:rPr>
      </w:pPr>
    </w:p>
    <w:p w:rsidR="00D945AF" w:rsidRPr="00FB01EF"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9.</w:t>
      </w:r>
      <w:r w:rsidRPr="00FB01EF">
        <w:rPr>
          <w:b/>
          <w:noProof/>
          <w:szCs w:val="22"/>
          <w:lang w:val="it-IT"/>
        </w:rPr>
        <w:tab/>
      </w:r>
      <w:r w:rsidR="00661348" w:rsidRPr="00FB01EF">
        <w:rPr>
          <w:b/>
          <w:bCs/>
          <w:szCs w:val="22"/>
          <w:lang w:val="it-IT"/>
        </w:rPr>
        <w:t>PRECAUZIONI PARTICOLARI PER LA CONSERVAZIONE</w:t>
      </w:r>
    </w:p>
    <w:p w:rsidR="00D945AF" w:rsidRPr="00FB01EF" w:rsidRDefault="00D945AF" w:rsidP="00496272">
      <w:pPr>
        <w:rPr>
          <w:noProof/>
          <w:szCs w:val="22"/>
          <w:lang w:val="it-IT"/>
        </w:rPr>
      </w:pPr>
    </w:p>
    <w:p w:rsidR="00C41C2A" w:rsidRPr="00FB01EF" w:rsidRDefault="00661348" w:rsidP="00661348">
      <w:pPr>
        <w:ind w:right="-20"/>
        <w:rPr>
          <w:szCs w:val="22"/>
          <w:lang w:val="it-IT"/>
        </w:rPr>
      </w:pPr>
      <w:r w:rsidRPr="00FB01EF">
        <w:rPr>
          <w:szCs w:val="22"/>
          <w:lang w:val="it-IT"/>
        </w:rPr>
        <w:t>Conservare in frigorifero.</w:t>
      </w:r>
    </w:p>
    <w:p w:rsidR="00C41C2A" w:rsidRPr="00FB01EF" w:rsidRDefault="00C41C2A" w:rsidP="00661348">
      <w:pPr>
        <w:ind w:right="-20"/>
        <w:rPr>
          <w:szCs w:val="22"/>
          <w:lang w:val="it-IT"/>
        </w:rPr>
      </w:pPr>
    </w:p>
    <w:p w:rsidR="00661348" w:rsidRPr="00FB01EF" w:rsidRDefault="00661348" w:rsidP="00661348">
      <w:pPr>
        <w:ind w:right="-20"/>
        <w:rPr>
          <w:szCs w:val="22"/>
          <w:lang w:val="it-IT"/>
        </w:rPr>
      </w:pPr>
      <w:r w:rsidRPr="00FB01EF">
        <w:rPr>
          <w:szCs w:val="22"/>
          <w:lang w:val="it-IT"/>
        </w:rPr>
        <w:t>Non congelare.</w:t>
      </w:r>
    </w:p>
    <w:p w:rsidR="00C41C2A" w:rsidRPr="00FB01EF" w:rsidRDefault="00C41C2A" w:rsidP="00661348">
      <w:pPr>
        <w:ind w:right="-20"/>
        <w:rPr>
          <w:szCs w:val="22"/>
          <w:lang w:val="it-IT"/>
        </w:rPr>
      </w:pPr>
    </w:p>
    <w:p w:rsidR="00661348" w:rsidRPr="00FB01EF" w:rsidRDefault="00145F62" w:rsidP="00D64948">
      <w:pPr>
        <w:ind w:right="-20"/>
        <w:rPr>
          <w:szCs w:val="22"/>
          <w:lang w:val="it-IT"/>
        </w:rPr>
      </w:pPr>
      <w:r w:rsidRPr="00FB01EF">
        <w:rPr>
          <w:szCs w:val="22"/>
          <w:lang w:val="it-IT"/>
        </w:rPr>
        <w:t>Tenere</w:t>
      </w:r>
      <w:r w:rsidR="00661348" w:rsidRPr="00FB01EF">
        <w:rPr>
          <w:szCs w:val="22"/>
          <w:lang w:val="it-IT"/>
        </w:rPr>
        <w:t xml:space="preserve"> </w:t>
      </w:r>
      <w:r w:rsidR="00C41C2A" w:rsidRPr="00FB01EF">
        <w:rPr>
          <w:szCs w:val="22"/>
          <w:lang w:val="it-IT"/>
        </w:rPr>
        <w:t xml:space="preserve">la cartuccia </w:t>
      </w:r>
      <w:r w:rsidR="00D64948" w:rsidRPr="00FB01EF">
        <w:rPr>
          <w:lang w:val="it-IT"/>
        </w:rPr>
        <w:t>nell’imballaggio esterno</w:t>
      </w:r>
      <w:r w:rsidR="00661348" w:rsidRPr="00FB01EF">
        <w:rPr>
          <w:szCs w:val="22"/>
          <w:lang w:val="it-IT"/>
        </w:rPr>
        <w:t xml:space="preserve"> per proteggere il medicinale dalla luce.</w:t>
      </w:r>
    </w:p>
    <w:p w:rsidR="00C41C2A" w:rsidRPr="00FB01EF" w:rsidRDefault="00C41C2A" w:rsidP="00661348">
      <w:pPr>
        <w:ind w:right="-20"/>
        <w:rPr>
          <w:szCs w:val="22"/>
          <w:lang w:val="it-IT"/>
        </w:rPr>
      </w:pPr>
    </w:p>
    <w:p w:rsidR="00661348" w:rsidRPr="00FB01EF" w:rsidRDefault="00C41C2A" w:rsidP="00661348">
      <w:pPr>
        <w:ind w:right="53"/>
        <w:rPr>
          <w:szCs w:val="22"/>
          <w:lang w:val="it-IT"/>
        </w:rPr>
      </w:pPr>
      <w:r w:rsidRPr="00FB01EF">
        <w:rPr>
          <w:szCs w:val="22"/>
          <w:lang w:val="it-IT"/>
        </w:rPr>
        <w:t>I</w:t>
      </w:r>
      <w:r w:rsidR="00661348" w:rsidRPr="00FB01EF">
        <w:rPr>
          <w:szCs w:val="22"/>
          <w:lang w:val="it-IT"/>
        </w:rPr>
        <w:t>l medicinale può essere conservato</w:t>
      </w:r>
      <w:r w:rsidRPr="00FB01EF">
        <w:rPr>
          <w:szCs w:val="22"/>
          <w:lang w:val="it-IT"/>
        </w:rPr>
        <w:t xml:space="preserve"> prima dell’apertura</w:t>
      </w:r>
      <w:r w:rsidR="00661348" w:rsidRPr="00FB01EF">
        <w:rPr>
          <w:szCs w:val="22"/>
          <w:lang w:val="it-IT"/>
        </w:rPr>
        <w:t xml:space="preserve"> a temperatura non superiore a </w:t>
      </w:r>
      <w:smartTag w:uri="urn:schemas-microsoft-com:office:smarttags" w:element="metricconverter">
        <w:smartTagPr>
          <w:attr w:name="ProductID" w:val="25ﾠﾰC"/>
        </w:smartTagPr>
        <w:r w:rsidR="00661348" w:rsidRPr="00FB01EF">
          <w:rPr>
            <w:szCs w:val="22"/>
            <w:lang w:val="it-IT"/>
          </w:rPr>
          <w:t>25</w:t>
        </w:r>
        <w:r w:rsidRPr="00FB01EF">
          <w:rPr>
            <w:szCs w:val="22"/>
            <w:lang w:val="it-IT"/>
          </w:rPr>
          <w:t> </w:t>
        </w:r>
        <w:r w:rsidR="00661348" w:rsidRPr="00FB01EF">
          <w:rPr>
            <w:szCs w:val="22"/>
            <w:lang w:val="it-IT"/>
          </w:rPr>
          <w:t>°C</w:t>
        </w:r>
      </w:smartTag>
      <w:r w:rsidR="00661348" w:rsidRPr="00FB01EF">
        <w:rPr>
          <w:szCs w:val="22"/>
          <w:lang w:val="it-IT"/>
        </w:rPr>
        <w:t xml:space="preserve"> per un periodo massimo di </w:t>
      </w:r>
      <w:r w:rsidRPr="00FB01EF">
        <w:rPr>
          <w:szCs w:val="22"/>
          <w:lang w:val="it-IT"/>
        </w:rPr>
        <w:t>3 </w:t>
      </w:r>
      <w:r w:rsidR="00661348" w:rsidRPr="00FB01EF">
        <w:rPr>
          <w:szCs w:val="22"/>
          <w:lang w:val="it-IT"/>
        </w:rPr>
        <w:t>mesi</w:t>
      </w:r>
      <w:r w:rsidRPr="00FB01EF">
        <w:rPr>
          <w:szCs w:val="22"/>
          <w:lang w:val="it-IT"/>
        </w:rPr>
        <w:t>. Se non è stato utilizzato entro 3 mesi, il medicinale</w:t>
      </w:r>
      <w:r w:rsidR="00661348" w:rsidRPr="00FB01EF">
        <w:rPr>
          <w:szCs w:val="22"/>
          <w:lang w:val="it-IT"/>
        </w:rPr>
        <w:t xml:space="preserve"> deve essere gettato.</w:t>
      </w:r>
    </w:p>
    <w:p w:rsidR="00D945AF" w:rsidRPr="00FB01EF" w:rsidRDefault="00D945AF" w:rsidP="00496272">
      <w:pPr>
        <w:rPr>
          <w:noProof/>
          <w:szCs w:val="22"/>
          <w:lang w:val="it-IT"/>
        </w:rPr>
      </w:pPr>
    </w:p>
    <w:p w:rsidR="00C41C2A" w:rsidRPr="00FB01EF" w:rsidRDefault="00C41C2A"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10.</w:t>
      </w:r>
      <w:r w:rsidRPr="00FB01EF">
        <w:rPr>
          <w:b/>
          <w:noProof/>
          <w:szCs w:val="22"/>
          <w:lang w:val="it-IT"/>
        </w:rPr>
        <w:tab/>
      </w:r>
      <w:r w:rsidR="00661348" w:rsidRPr="00FB01EF">
        <w:rPr>
          <w:b/>
          <w:bCs/>
          <w:szCs w:val="22"/>
          <w:lang w:val="it-IT"/>
        </w:rPr>
        <w:t>PRECAUZIONI PARTICOLARI PER LO SMALTIMENTO DEL MEDICINALE NON UTILIZZATO O DEI RIFIUTI DERIVATI DA TALE MEDICINALE, SE NECESSARIO</w:t>
      </w:r>
    </w:p>
    <w:p w:rsidR="00D945AF" w:rsidRPr="00FB01EF" w:rsidRDefault="00D945AF" w:rsidP="00496272">
      <w:pPr>
        <w:rPr>
          <w:noProof/>
          <w:szCs w:val="22"/>
          <w:lang w:val="it-IT"/>
        </w:rPr>
      </w:pPr>
    </w:p>
    <w:p w:rsidR="001D1D5D" w:rsidRPr="00FB01EF" w:rsidRDefault="001D1D5D" w:rsidP="00496272">
      <w:pPr>
        <w:rPr>
          <w:noProof/>
          <w:szCs w:val="22"/>
          <w:lang w:val="it-IT"/>
        </w:rPr>
      </w:pPr>
    </w:p>
    <w:p w:rsidR="00D945AF" w:rsidRPr="00FB01EF" w:rsidRDefault="00D945AF" w:rsidP="00496272">
      <w:pPr>
        <w:rPr>
          <w:noProof/>
          <w:szCs w:val="22"/>
          <w:lang w:val="it-IT"/>
        </w:rPr>
      </w:pPr>
    </w:p>
    <w:p w:rsidR="00D945AF" w:rsidRPr="00FB01EF" w:rsidRDefault="00D945AF" w:rsidP="00F97DD8">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11.</w:t>
      </w:r>
      <w:r w:rsidRPr="00FB01EF">
        <w:rPr>
          <w:b/>
          <w:noProof/>
          <w:szCs w:val="22"/>
          <w:lang w:val="it-IT"/>
        </w:rPr>
        <w:tab/>
      </w:r>
      <w:r w:rsidR="00661348" w:rsidRPr="00FB01EF">
        <w:rPr>
          <w:b/>
          <w:bCs/>
          <w:szCs w:val="22"/>
          <w:lang w:val="it-IT"/>
        </w:rPr>
        <w:t>NOME E INDIRIZZO DEL TITOLARE DELL’AUTORIZZAZIONE ALL’IMMISSIONE IN COMMERCIO</w:t>
      </w:r>
    </w:p>
    <w:p w:rsidR="00D945AF" w:rsidRPr="00FB01EF" w:rsidRDefault="00D945AF" w:rsidP="00496272">
      <w:pPr>
        <w:rPr>
          <w:noProof/>
          <w:szCs w:val="22"/>
          <w:lang w:val="it-IT"/>
        </w:rPr>
      </w:pPr>
    </w:p>
    <w:p w:rsidR="00E009A7" w:rsidRPr="00AD584F" w:rsidRDefault="00E009A7" w:rsidP="00E009A7">
      <w:pPr>
        <w:tabs>
          <w:tab w:val="clear" w:pos="567"/>
        </w:tabs>
        <w:rPr>
          <w:lang w:val="nl-NL"/>
        </w:rPr>
      </w:pPr>
      <w:r w:rsidRPr="00AD584F">
        <w:rPr>
          <w:lang w:val="nl-NL"/>
        </w:rPr>
        <w:t>Theramex Ireland Limited</w:t>
      </w:r>
    </w:p>
    <w:p w:rsidR="00E009A7" w:rsidRPr="00AD584F" w:rsidRDefault="00E628EA" w:rsidP="00E009A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009A7" w:rsidRPr="00AD584F">
        <w:rPr>
          <w:lang w:val="nl-NL"/>
        </w:rPr>
        <w:t>Kilmore House,</w:t>
      </w:r>
    </w:p>
    <w:p w:rsidR="00E009A7" w:rsidRPr="00AD584F" w:rsidRDefault="00E009A7" w:rsidP="00E009A7">
      <w:pPr>
        <w:tabs>
          <w:tab w:val="clear" w:pos="567"/>
        </w:tabs>
        <w:rPr>
          <w:lang w:val="nl-NL"/>
        </w:rPr>
      </w:pPr>
      <w:r w:rsidRPr="00AD584F">
        <w:rPr>
          <w:lang w:val="nl-NL"/>
        </w:rPr>
        <w:t>Park Lane, Spencer Dock,</w:t>
      </w:r>
    </w:p>
    <w:p w:rsidR="00E009A7" w:rsidRPr="00AD584F" w:rsidRDefault="00E009A7" w:rsidP="00E009A7">
      <w:pPr>
        <w:tabs>
          <w:tab w:val="clear" w:pos="567"/>
        </w:tabs>
        <w:rPr>
          <w:lang w:val="nl-NL"/>
        </w:rPr>
      </w:pPr>
      <w:r w:rsidRPr="00AD584F">
        <w:rPr>
          <w:lang w:val="nl-NL"/>
        </w:rPr>
        <w:t>Dublin 1</w:t>
      </w:r>
    </w:p>
    <w:p w:rsidR="00E009A7" w:rsidRPr="00AD584F" w:rsidRDefault="00E009A7" w:rsidP="00E009A7">
      <w:pPr>
        <w:tabs>
          <w:tab w:val="clear" w:pos="567"/>
        </w:tabs>
        <w:rPr>
          <w:lang w:val="nl-NL"/>
        </w:rPr>
      </w:pPr>
      <w:r w:rsidRPr="00AD584F">
        <w:rPr>
          <w:lang w:val="nl-NL"/>
        </w:rPr>
        <w:t>D01 YE64</w:t>
      </w:r>
    </w:p>
    <w:p w:rsidR="00661348" w:rsidRPr="00FB01EF" w:rsidRDefault="00E009A7" w:rsidP="00661348">
      <w:pPr>
        <w:tabs>
          <w:tab w:val="left" w:pos="2410"/>
        </w:tabs>
        <w:ind w:right="6803"/>
        <w:rPr>
          <w:szCs w:val="22"/>
          <w:lang w:val="it-IT"/>
        </w:rPr>
      </w:pPr>
      <w:r w:rsidRPr="00CB5BCD">
        <w:rPr>
          <w:lang w:val="es-ES"/>
        </w:rPr>
        <w:t>Irlanda</w:t>
      </w:r>
    </w:p>
    <w:p w:rsidR="00D945AF" w:rsidRPr="00FB01EF" w:rsidRDefault="00D945AF" w:rsidP="00496272">
      <w:pPr>
        <w:rPr>
          <w:noProof/>
          <w:szCs w:val="22"/>
          <w:lang w:val="it-IT"/>
        </w:rPr>
      </w:pPr>
    </w:p>
    <w:p w:rsidR="00D945AF" w:rsidRPr="00FB01EF" w:rsidRDefault="00D945AF"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12.</w:t>
      </w:r>
      <w:r w:rsidRPr="00FB01EF">
        <w:rPr>
          <w:b/>
          <w:noProof/>
          <w:szCs w:val="22"/>
          <w:lang w:val="it-IT"/>
        </w:rPr>
        <w:tab/>
      </w:r>
      <w:r w:rsidR="00661348" w:rsidRPr="00FB01EF">
        <w:rPr>
          <w:b/>
          <w:bCs/>
          <w:szCs w:val="22"/>
          <w:lang w:val="it-IT"/>
        </w:rPr>
        <w:t>NUMERO(I) DELL’AUTORIZZAZIONE ALL’IMMISSIONE IN COMMERCIO</w:t>
      </w:r>
    </w:p>
    <w:p w:rsidR="00D945AF" w:rsidRPr="00FB01EF" w:rsidRDefault="00D945AF" w:rsidP="00496272">
      <w:pPr>
        <w:rPr>
          <w:noProof/>
          <w:szCs w:val="22"/>
          <w:lang w:val="it-IT"/>
        </w:rPr>
      </w:pPr>
    </w:p>
    <w:p w:rsidR="00661348" w:rsidRPr="00FB01EF" w:rsidRDefault="00661348" w:rsidP="00F97DD8">
      <w:pPr>
        <w:ind w:right="-20"/>
        <w:rPr>
          <w:szCs w:val="22"/>
          <w:lang w:val="it-IT"/>
        </w:rPr>
      </w:pPr>
      <w:r w:rsidRPr="00FB01EF">
        <w:rPr>
          <w:szCs w:val="22"/>
          <w:lang w:val="it-IT"/>
        </w:rPr>
        <w:t>EU/</w:t>
      </w:r>
      <w:r w:rsidR="009E0250" w:rsidRPr="00FB01EF">
        <w:rPr>
          <w:noProof/>
          <w:szCs w:val="22"/>
          <w:lang w:val="it-IT"/>
        </w:rPr>
        <w:t>1/13/871/002</w:t>
      </w:r>
    </w:p>
    <w:p w:rsidR="00D945AF" w:rsidRPr="00FB01EF" w:rsidRDefault="00D945AF" w:rsidP="00496272">
      <w:pPr>
        <w:rPr>
          <w:noProof/>
          <w:szCs w:val="22"/>
          <w:lang w:val="it-IT"/>
        </w:rPr>
      </w:pPr>
    </w:p>
    <w:p w:rsidR="00D945AF" w:rsidRPr="00FB01EF" w:rsidRDefault="00D945AF"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13.</w:t>
      </w:r>
      <w:r w:rsidRPr="00FB01EF">
        <w:rPr>
          <w:b/>
          <w:noProof/>
          <w:szCs w:val="22"/>
          <w:lang w:val="it-IT"/>
        </w:rPr>
        <w:tab/>
      </w:r>
      <w:r w:rsidR="00661348" w:rsidRPr="00FB01EF">
        <w:rPr>
          <w:b/>
          <w:bCs/>
          <w:szCs w:val="22"/>
          <w:lang w:val="it-IT"/>
        </w:rPr>
        <w:t>NUMERO DI LOTTO</w:t>
      </w:r>
    </w:p>
    <w:p w:rsidR="00D945AF" w:rsidRPr="00FB01EF" w:rsidRDefault="00D945AF" w:rsidP="00496272">
      <w:pPr>
        <w:rPr>
          <w:noProof/>
          <w:szCs w:val="22"/>
          <w:lang w:val="it-IT"/>
        </w:rPr>
      </w:pPr>
    </w:p>
    <w:p w:rsidR="00D945AF" w:rsidRPr="00FB01EF" w:rsidRDefault="00661348" w:rsidP="00496272">
      <w:pPr>
        <w:rPr>
          <w:noProof/>
          <w:szCs w:val="22"/>
          <w:lang w:val="it-IT"/>
        </w:rPr>
      </w:pPr>
      <w:r w:rsidRPr="00FB01EF">
        <w:rPr>
          <w:noProof/>
          <w:szCs w:val="22"/>
          <w:lang w:val="it-IT"/>
        </w:rPr>
        <w:t>Lotto</w:t>
      </w:r>
    </w:p>
    <w:p w:rsidR="00D945AF" w:rsidRPr="00FB01EF" w:rsidRDefault="00D945AF" w:rsidP="00496272">
      <w:pPr>
        <w:rPr>
          <w:noProof/>
          <w:szCs w:val="22"/>
          <w:lang w:val="it-IT"/>
        </w:rPr>
      </w:pPr>
    </w:p>
    <w:p w:rsidR="00D945AF" w:rsidRPr="00FB01EF" w:rsidRDefault="00D945AF" w:rsidP="00496272">
      <w:pPr>
        <w:rPr>
          <w:noProof/>
          <w:szCs w:val="22"/>
          <w:lang w:val="it-IT"/>
        </w:rPr>
      </w:pPr>
    </w:p>
    <w:p w:rsidR="00D945AF" w:rsidRPr="00FB01EF" w:rsidRDefault="00D945AF" w:rsidP="00496272">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14.</w:t>
      </w:r>
      <w:r w:rsidRPr="00FB01EF">
        <w:rPr>
          <w:b/>
          <w:noProof/>
          <w:szCs w:val="22"/>
          <w:lang w:val="it-IT"/>
        </w:rPr>
        <w:tab/>
      </w:r>
      <w:r w:rsidR="00661348" w:rsidRPr="00FB01EF">
        <w:rPr>
          <w:b/>
          <w:bCs/>
          <w:szCs w:val="22"/>
          <w:lang w:val="it-IT"/>
        </w:rPr>
        <w:t>CONDIZIONE GENERALE DI FORNITURA</w:t>
      </w:r>
    </w:p>
    <w:p w:rsidR="00D945AF" w:rsidRPr="00FB01EF" w:rsidRDefault="00D945AF" w:rsidP="00496272">
      <w:pPr>
        <w:rPr>
          <w:i/>
          <w:noProof/>
          <w:szCs w:val="22"/>
          <w:lang w:val="it-IT"/>
        </w:rPr>
      </w:pPr>
    </w:p>
    <w:p w:rsidR="00D945AF" w:rsidRPr="00FB01EF" w:rsidRDefault="00661348" w:rsidP="00496272">
      <w:pPr>
        <w:rPr>
          <w:noProof/>
          <w:szCs w:val="22"/>
          <w:lang w:val="it-IT"/>
        </w:rPr>
      </w:pPr>
      <w:r w:rsidRPr="00FB01EF">
        <w:rPr>
          <w:szCs w:val="22"/>
          <w:lang w:val="it-IT"/>
        </w:rPr>
        <w:t>Medicinale soggetto a prescrizione medica</w:t>
      </w:r>
      <w:r w:rsidR="00D945AF" w:rsidRPr="00FB01EF">
        <w:rPr>
          <w:noProof/>
          <w:szCs w:val="22"/>
          <w:lang w:val="it-IT"/>
        </w:rPr>
        <w:t>.</w:t>
      </w:r>
    </w:p>
    <w:p w:rsidR="00D945AF" w:rsidRPr="00FB01EF" w:rsidRDefault="00D945AF" w:rsidP="00496272">
      <w:pPr>
        <w:rPr>
          <w:noProof/>
          <w:szCs w:val="22"/>
          <w:lang w:val="it-IT"/>
        </w:rPr>
      </w:pPr>
    </w:p>
    <w:p w:rsidR="00D945AF" w:rsidRPr="00FB01EF" w:rsidRDefault="00D945AF" w:rsidP="00496272">
      <w:pPr>
        <w:rPr>
          <w:noProof/>
          <w:szCs w:val="22"/>
          <w:lang w:val="it-IT"/>
        </w:rPr>
      </w:pPr>
    </w:p>
    <w:p w:rsidR="00D945AF" w:rsidRPr="00FB01EF" w:rsidRDefault="00D945AF" w:rsidP="00496272">
      <w:pPr>
        <w:pBdr>
          <w:top w:val="single" w:sz="4" w:space="2"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15.</w:t>
      </w:r>
      <w:r w:rsidRPr="00FB01EF">
        <w:rPr>
          <w:b/>
          <w:noProof/>
          <w:szCs w:val="22"/>
          <w:lang w:val="it-IT"/>
        </w:rPr>
        <w:tab/>
      </w:r>
      <w:r w:rsidR="00661348" w:rsidRPr="00FB01EF">
        <w:rPr>
          <w:b/>
          <w:bCs/>
          <w:szCs w:val="22"/>
          <w:lang w:val="it-IT"/>
        </w:rPr>
        <w:t>ISTRUZIONI PER L’USO</w:t>
      </w:r>
    </w:p>
    <w:p w:rsidR="00D945AF" w:rsidRPr="00FB01EF" w:rsidRDefault="00D945AF" w:rsidP="00496272">
      <w:pPr>
        <w:rPr>
          <w:noProof/>
          <w:szCs w:val="22"/>
          <w:lang w:val="it-IT"/>
        </w:rPr>
      </w:pPr>
    </w:p>
    <w:p w:rsidR="00D945AF" w:rsidRPr="00FB01EF" w:rsidRDefault="00D945AF" w:rsidP="00496272">
      <w:pPr>
        <w:rPr>
          <w:noProof/>
          <w:szCs w:val="22"/>
          <w:lang w:val="it-IT"/>
        </w:rPr>
      </w:pPr>
    </w:p>
    <w:p w:rsidR="00D43E3D" w:rsidRPr="00FB01EF" w:rsidRDefault="00D43E3D" w:rsidP="00496272">
      <w:pPr>
        <w:rPr>
          <w:noProof/>
          <w:szCs w:val="22"/>
          <w:lang w:val="it-IT"/>
        </w:rPr>
      </w:pPr>
    </w:p>
    <w:p w:rsidR="00D945AF" w:rsidRPr="00FB01EF" w:rsidRDefault="00D945AF" w:rsidP="00D04828">
      <w:pPr>
        <w:keepNext/>
        <w:pBdr>
          <w:top w:val="single" w:sz="4" w:space="1" w:color="auto"/>
          <w:left w:val="single" w:sz="4" w:space="4" w:color="auto"/>
          <w:bottom w:val="single" w:sz="4" w:space="0" w:color="auto"/>
          <w:right w:val="single" w:sz="4" w:space="4" w:color="auto"/>
        </w:pBdr>
        <w:rPr>
          <w:noProof/>
          <w:szCs w:val="22"/>
          <w:lang w:val="it-IT"/>
        </w:rPr>
      </w:pPr>
      <w:r w:rsidRPr="00FB01EF">
        <w:rPr>
          <w:b/>
          <w:noProof/>
          <w:szCs w:val="22"/>
          <w:lang w:val="it-IT"/>
        </w:rPr>
        <w:t>16.</w:t>
      </w:r>
      <w:r w:rsidRPr="00FB01EF">
        <w:rPr>
          <w:b/>
          <w:noProof/>
          <w:szCs w:val="22"/>
          <w:lang w:val="it-IT"/>
        </w:rPr>
        <w:tab/>
      </w:r>
      <w:r w:rsidR="00661348" w:rsidRPr="00FB01EF">
        <w:rPr>
          <w:b/>
          <w:bCs/>
          <w:szCs w:val="22"/>
          <w:lang w:val="it-IT"/>
        </w:rPr>
        <w:t>INFORMAZIONI IN BRAILLE</w:t>
      </w:r>
    </w:p>
    <w:p w:rsidR="00D945AF" w:rsidRPr="00FB01EF" w:rsidRDefault="00D945AF" w:rsidP="00496272">
      <w:pPr>
        <w:rPr>
          <w:noProof/>
          <w:szCs w:val="22"/>
          <w:lang w:val="it-IT"/>
        </w:rPr>
      </w:pPr>
    </w:p>
    <w:p w:rsidR="00D945AF" w:rsidRPr="00FB01EF" w:rsidRDefault="00C41C2A" w:rsidP="00496272">
      <w:pPr>
        <w:autoSpaceDE w:val="0"/>
        <w:autoSpaceDN w:val="0"/>
        <w:adjustRightInd w:val="0"/>
        <w:jc w:val="both"/>
        <w:rPr>
          <w:noProof/>
          <w:color w:val="000000"/>
          <w:szCs w:val="22"/>
          <w:lang w:val="it-IT"/>
        </w:rPr>
      </w:pPr>
      <w:r w:rsidRPr="00FB01EF">
        <w:rPr>
          <w:szCs w:val="22"/>
          <w:lang w:val="it-IT"/>
        </w:rPr>
        <w:t>Ovaleap</w:t>
      </w:r>
      <w:r w:rsidR="00661348" w:rsidRPr="00FB01EF">
        <w:rPr>
          <w:szCs w:val="22"/>
          <w:lang w:val="it-IT"/>
        </w:rPr>
        <w:t xml:space="preserve"> 450</w:t>
      </w:r>
      <w:r w:rsidRPr="00FB01EF">
        <w:rPr>
          <w:szCs w:val="22"/>
          <w:lang w:val="it-IT"/>
        </w:rPr>
        <w:t> UI</w:t>
      </w:r>
      <w:r w:rsidR="00661348" w:rsidRPr="00FB01EF">
        <w:rPr>
          <w:szCs w:val="22"/>
          <w:lang w:val="it-IT"/>
        </w:rPr>
        <w:t>/0,75</w:t>
      </w:r>
      <w:r w:rsidR="0057781E" w:rsidRPr="00FB01EF">
        <w:rPr>
          <w:szCs w:val="22"/>
          <w:lang w:val="it-IT"/>
        </w:rPr>
        <w:t> </w:t>
      </w:r>
      <w:r w:rsidR="00661348" w:rsidRPr="00FB01EF">
        <w:rPr>
          <w:szCs w:val="22"/>
          <w:lang w:val="it-IT"/>
        </w:rPr>
        <w:t>m</w:t>
      </w:r>
      <w:r w:rsidR="001572A3" w:rsidRPr="00FB01EF">
        <w:rPr>
          <w:noProof/>
          <w:color w:val="000000"/>
          <w:szCs w:val="22"/>
          <w:lang w:val="it-IT"/>
        </w:rPr>
        <w:t>L</w:t>
      </w:r>
    </w:p>
    <w:p w:rsidR="00D945AF" w:rsidRPr="00FB01EF" w:rsidRDefault="00D945AF" w:rsidP="00496272">
      <w:pPr>
        <w:rPr>
          <w:noProof/>
          <w:szCs w:val="22"/>
          <w:shd w:val="clear" w:color="auto" w:fill="CCCCCC"/>
          <w:lang w:val="it-IT"/>
        </w:rPr>
      </w:pPr>
    </w:p>
    <w:p w:rsidR="00DD2D77" w:rsidRPr="00FB01EF" w:rsidRDefault="00DD2D77" w:rsidP="00DD2D77">
      <w:pPr>
        <w:rPr>
          <w:noProof/>
          <w:szCs w:val="22"/>
          <w:shd w:val="clear" w:color="auto" w:fill="CCCCCC"/>
          <w:lang w:val="it-IT" w:eastAsia="it-IT" w:bidi="it-IT"/>
        </w:rPr>
      </w:pPr>
    </w:p>
    <w:p w:rsidR="00DD2D77" w:rsidRPr="00FB01EF" w:rsidRDefault="00DD2D77" w:rsidP="00DD2D7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it-IT" w:eastAsia="it-IT" w:bidi="it-IT"/>
        </w:rPr>
      </w:pPr>
      <w:r w:rsidRPr="00FB01EF">
        <w:rPr>
          <w:b/>
          <w:noProof/>
          <w:lang w:val="it-IT" w:eastAsia="it-IT" w:bidi="it-IT"/>
        </w:rPr>
        <w:t>17.</w:t>
      </w:r>
      <w:r w:rsidRPr="00FB01EF">
        <w:rPr>
          <w:b/>
          <w:noProof/>
          <w:lang w:val="it-IT" w:eastAsia="it-IT" w:bidi="it-IT"/>
        </w:rPr>
        <w:tab/>
        <w:t>IDENTIFICATIVO UNICO – CODICE A BARRE BIDIMENSIONALE</w:t>
      </w:r>
    </w:p>
    <w:p w:rsidR="00DD2D77" w:rsidRPr="00FB01EF" w:rsidRDefault="00DD2D77" w:rsidP="00DD2D77">
      <w:pPr>
        <w:tabs>
          <w:tab w:val="clear" w:pos="567"/>
        </w:tabs>
        <w:rPr>
          <w:noProof/>
          <w:lang w:val="it-IT" w:eastAsia="it-IT" w:bidi="it-IT"/>
        </w:rPr>
      </w:pPr>
    </w:p>
    <w:p w:rsidR="00DD2D77" w:rsidRPr="00FB01EF" w:rsidRDefault="00DD2D77" w:rsidP="00DD2D77">
      <w:pPr>
        <w:rPr>
          <w:noProof/>
          <w:szCs w:val="22"/>
          <w:shd w:val="clear" w:color="auto" w:fill="CCCCCC"/>
          <w:lang w:val="it-IT" w:eastAsia="it-IT" w:bidi="it-IT"/>
        </w:rPr>
      </w:pPr>
      <w:r w:rsidRPr="00FB01EF">
        <w:rPr>
          <w:noProof/>
          <w:highlight w:val="lightGray"/>
          <w:lang w:val="it-IT" w:eastAsia="it-IT" w:bidi="it-IT"/>
        </w:rPr>
        <w:t>Codice a barre bidimensionale con identificativo unico incluso.</w:t>
      </w:r>
    </w:p>
    <w:p w:rsidR="00DD2D77" w:rsidRPr="00FB01EF" w:rsidRDefault="00DD2D77" w:rsidP="00DD2D77">
      <w:pPr>
        <w:tabs>
          <w:tab w:val="clear" w:pos="567"/>
        </w:tabs>
        <w:rPr>
          <w:noProof/>
          <w:lang w:val="it-IT" w:eastAsia="it-IT" w:bidi="it-IT"/>
        </w:rPr>
      </w:pPr>
    </w:p>
    <w:p w:rsidR="00DD2D77" w:rsidRPr="00FB01EF" w:rsidRDefault="00DD2D77" w:rsidP="00DD2D77">
      <w:pPr>
        <w:tabs>
          <w:tab w:val="clear" w:pos="567"/>
        </w:tabs>
        <w:rPr>
          <w:noProof/>
          <w:lang w:val="it-IT" w:eastAsia="it-IT" w:bidi="it-IT"/>
        </w:rPr>
      </w:pPr>
    </w:p>
    <w:p w:rsidR="00DD2D77" w:rsidRPr="00FB01EF" w:rsidRDefault="00DD2D77" w:rsidP="00DD2D7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it-IT" w:eastAsia="it-IT" w:bidi="it-IT"/>
        </w:rPr>
      </w:pPr>
      <w:r w:rsidRPr="00FB01EF">
        <w:rPr>
          <w:b/>
          <w:noProof/>
          <w:lang w:val="it-IT" w:eastAsia="it-IT" w:bidi="it-IT"/>
        </w:rPr>
        <w:t>18.</w:t>
      </w:r>
      <w:r w:rsidRPr="00FB01EF">
        <w:rPr>
          <w:b/>
          <w:noProof/>
          <w:lang w:val="it-IT" w:eastAsia="it-IT" w:bidi="it-IT"/>
        </w:rPr>
        <w:tab/>
        <w:t xml:space="preserve">IDENTIFICATIVO UNICO - DATI LEGGIBILI </w:t>
      </w:r>
    </w:p>
    <w:p w:rsidR="00DD2D77" w:rsidRPr="00FB01EF" w:rsidRDefault="00DD2D77" w:rsidP="00DD2D77">
      <w:pPr>
        <w:tabs>
          <w:tab w:val="clear" w:pos="567"/>
        </w:tabs>
        <w:rPr>
          <w:noProof/>
          <w:lang w:val="it-IT" w:eastAsia="it-IT" w:bidi="it-IT"/>
        </w:rPr>
      </w:pPr>
    </w:p>
    <w:p w:rsidR="00DD2D77" w:rsidRPr="00FB01EF" w:rsidRDefault="00DD2D77" w:rsidP="00DD2D77">
      <w:pPr>
        <w:spacing w:line="260" w:lineRule="exact"/>
        <w:rPr>
          <w:szCs w:val="22"/>
          <w:lang w:val="it-IT" w:eastAsia="it-IT" w:bidi="it-IT"/>
        </w:rPr>
      </w:pPr>
      <w:r w:rsidRPr="00FB01EF">
        <w:rPr>
          <w:lang w:val="it-IT" w:eastAsia="it-IT" w:bidi="it-IT"/>
        </w:rPr>
        <w:t>PC:</w:t>
      </w:r>
    </w:p>
    <w:p w:rsidR="00DD2D77" w:rsidRPr="00FB01EF" w:rsidRDefault="00DD2D77" w:rsidP="00DD2D77">
      <w:pPr>
        <w:spacing w:line="260" w:lineRule="exact"/>
        <w:rPr>
          <w:szCs w:val="22"/>
          <w:lang w:val="it-IT" w:eastAsia="it-IT" w:bidi="it-IT"/>
        </w:rPr>
      </w:pPr>
      <w:r w:rsidRPr="00FB01EF">
        <w:rPr>
          <w:lang w:val="it-IT" w:eastAsia="it-IT" w:bidi="it-IT"/>
        </w:rPr>
        <w:t>SN:</w:t>
      </w:r>
    </w:p>
    <w:p w:rsidR="00DD2D77" w:rsidRPr="00FB01EF" w:rsidRDefault="00DD2D77" w:rsidP="00DD2D77">
      <w:pPr>
        <w:autoSpaceDE w:val="0"/>
        <w:autoSpaceDN w:val="0"/>
        <w:adjustRightInd w:val="0"/>
        <w:jc w:val="both"/>
        <w:rPr>
          <w:lang w:val="it-IT" w:eastAsia="it-IT" w:bidi="it-IT"/>
        </w:rPr>
      </w:pPr>
      <w:r w:rsidRPr="00FB01EF">
        <w:rPr>
          <w:lang w:val="it-IT" w:eastAsia="it-IT" w:bidi="it-IT"/>
        </w:rPr>
        <w:t>NN:</w:t>
      </w:r>
    </w:p>
    <w:p w:rsidR="00FB17A2" w:rsidRPr="00FB01EF" w:rsidRDefault="00FB17A2" w:rsidP="00496272">
      <w:pPr>
        <w:rPr>
          <w:noProof/>
          <w:szCs w:val="22"/>
          <w:shd w:val="clear" w:color="auto" w:fill="CCCCCC"/>
          <w:lang w:val="it-IT"/>
        </w:rPr>
      </w:pPr>
    </w:p>
    <w:p w:rsidR="00F14A7D" w:rsidRPr="00FB01EF" w:rsidRDefault="00D945AF" w:rsidP="00F14A7D">
      <w:pPr>
        <w:pBdr>
          <w:top w:val="single" w:sz="4" w:space="1" w:color="auto"/>
          <w:left w:val="single" w:sz="4" w:space="4" w:color="auto"/>
          <w:bottom w:val="single" w:sz="4" w:space="1" w:color="auto"/>
          <w:right w:val="single" w:sz="4" w:space="4" w:color="auto"/>
        </w:pBdr>
        <w:shd w:val="clear" w:color="auto" w:fill="FFFFFF"/>
        <w:rPr>
          <w:b/>
          <w:noProof/>
          <w:szCs w:val="22"/>
          <w:lang w:val="it-IT"/>
        </w:rPr>
      </w:pPr>
      <w:r w:rsidRPr="00FB01EF">
        <w:rPr>
          <w:noProof/>
          <w:szCs w:val="22"/>
          <w:shd w:val="clear" w:color="auto" w:fill="CCCCCC"/>
          <w:lang w:val="it-IT"/>
        </w:rPr>
        <w:br w:type="page"/>
      </w:r>
      <w:r w:rsidR="00F14A7D" w:rsidRPr="00FB01EF">
        <w:rPr>
          <w:b/>
          <w:bCs/>
          <w:szCs w:val="22"/>
          <w:lang w:val="it-IT"/>
        </w:rPr>
        <w:lastRenderedPageBreak/>
        <w:t>INFORMAZIONI DA APPORRE SUL CONFEZIONAMENTO SECONDARIO</w:t>
      </w:r>
    </w:p>
    <w:p w:rsidR="00F14A7D" w:rsidRPr="00FB01EF" w:rsidRDefault="00F14A7D" w:rsidP="00F14A7D">
      <w:pPr>
        <w:pBdr>
          <w:top w:val="single" w:sz="4" w:space="1" w:color="auto"/>
          <w:left w:val="single" w:sz="4" w:space="4" w:color="auto"/>
          <w:bottom w:val="single" w:sz="4" w:space="1" w:color="auto"/>
          <w:right w:val="single" w:sz="4" w:space="4" w:color="auto"/>
        </w:pBdr>
        <w:shd w:val="clear" w:color="auto" w:fill="FFFFFF"/>
        <w:rPr>
          <w:noProof/>
          <w:szCs w:val="22"/>
          <w:lang w:val="it-IT"/>
        </w:rPr>
      </w:pPr>
    </w:p>
    <w:p w:rsidR="00F14A7D" w:rsidRPr="00FB01EF" w:rsidRDefault="00D64948" w:rsidP="00F14A7D">
      <w:pPr>
        <w:pBdr>
          <w:top w:val="single" w:sz="4" w:space="1" w:color="auto"/>
          <w:left w:val="single" w:sz="4" w:space="4" w:color="auto"/>
          <w:bottom w:val="single" w:sz="4" w:space="1" w:color="auto"/>
          <w:right w:val="single" w:sz="4" w:space="4" w:color="auto"/>
        </w:pBdr>
        <w:rPr>
          <w:bCs/>
          <w:noProof/>
          <w:szCs w:val="22"/>
          <w:lang w:val="it-IT"/>
        </w:rPr>
      </w:pPr>
      <w:r w:rsidRPr="00FB01EF">
        <w:rPr>
          <w:b/>
          <w:bCs/>
          <w:lang w:val="it-IT"/>
        </w:rPr>
        <w:t>IMBALLAGGIO ESTERNO</w:t>
      </w:r>
    </w:p>
    <w:p w:rsidR="00F14A7D" w:rsidRPr="00FB01EF" w:rsidRDefault="00F14A7D" w:rsidP="00F14A7D">
      <w:pPr>
        <w:rPr>
          <w:noProof/>
          <w:szCs w:val="22"/>
          <w:lang w:val="it-IT"/>
        </w:rPr>
      </w:pPr>
    </w:p>
    <w:p w:rsidR="00FB17A2" w:rsidRPr="00FB01EF" w:rsidRDefault="00FB17A2"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1.</w:t>
      </w:r>
      <w:r w:rsidRPr="00FB01EF">
        <w:rPr>
          <w:b/>
          <w:noProof/>
          <w:szCs w:val="22"/>
          <w:lang w:val="it-IT"/>
        </w:rPr>
        <w:tab/>
      </w:r>
      <w:r w:rsidRPr="00FB01EF">
        <w:rPr>
          <w:b/>
          <w:bCs/>
          <w:szCs w:val="22"/>
          <w:lang w:val="it-IT"/>
        </w:rPr>
        <w:t>DENOMINAZIONE DEL MEDICINALE</w:t>
      </w:r>
    </w:p>
    <w:p w:rsidR="00F14A7D" w:rsidRPr="00FB01EF" w:rsidRDefault="00F14A7D" w:rsidP="00F14A7D">
      <w:pPr>
        <w:rPr>
          <w:noProof/>
          <w:szCs w:val="22"/>
          <w:lang w:val="it-IT"/>
        </w:rPr>
      </w:pPr>
    </w:p>
    <w:p w:rsidR="00F14A7D" w:rsidRPr="00FB01EF" w:rsidRDefault="00F14A7D" w:rsidP="00F14A7D">
      <w:pPr>
        <w:autoSpaceDE w:val="0"/>
        <w:autoSpaceDN w:val="0"/>
        <w:adjustRightInd w:val="0"/>
        <w:jc w:val="both"/>
        <w:rPr>
          <w:noProof/>
          <w:color w:val="000000"/>
          <w:szCs w:val="22"/>
          <w:lang w:val="it-IT"/>
        </w:rPr>
      </w:pPr>
      <w:r w:rsidRPr="00FB01EF">
        <w:rPr>
          <w:szCs w:val="22"/>
          <w:lang w:val="it-IT"/>
        </w:rPr>
        <w:t>Ovaleap 900 UI/1,5</w:t>
      </w:r>
      <w:r w:rsidR="0057781E" w:rsidRPr="00FB01EF">
        <w:rPr>
          <w:szCs w:val="22"/>
          <w:lang w:val="it-IT"/>
        </w:rPr>
        <w:t> </w:t>
      </w:r>
      <w:r w:rsidRPr="00FB01EF">
        <w:rPr>
          <w:szCs w:val="22"/>
          <w:lang w:val="it-IT"/>
        </w:rPr>
        <w:t>mL soluzione iniettabile</w:t>
      </w:r>
    </w:p>
    <w:p w:rsidR="00F14A7D" w:rsidRPr="00FB01EF" w:rsidRDefault="00F14A7D" w:rsidP="00F14A7D">
      <w:pPr>
        <w:rPr>
          <w:noProof/>
          <w:szCs w:val="22"/>
          <w:lang w:val="it-IT"/>
        </w:rPr>
      </w:pPr>
    </w:p>
    <w:p w:rsidR="00F14A7D" w:rsidRPr="00FB01EF" w:rsidRDefault="00897367" w:rsidP="00F14A7D">
      <w:pPr>
        <w:rPr>
          <w:noProof/>
          <w:szCs w:val="22"/>
          <w:lang w:val="it-IT"/>
        </w:rPr>
      </w:pPr>
      <w:r w:rsidRPr="00FB01EF">
        <w:rPr>
          <w:noProof/>
          <w:color w:val="000000"/>
          <w:szCs w:val="22"/>
          <w:lang w:val="it-IT"/>
        </w:rPr>
        <w:t>f</w:t>
      </w:r>
      <w:r w:rsidR="00F14A7D" w:rsidRPr="00FB01EF">
        <w:rPr>
          <w:noProof/>
          <w:color w:val="000000"/>
          <w:szCs w:val="22"/>
          <w:lang w:val="it-IT"/>
        </w:rPr>
        <w:t>ollitropina</w:t>
      </w:r>
      <w:r w:rsidR="00145F62" w:rsidRPr="00FB01EF">
        <w:rPr>
          <w:noProof/>
          <w:color w:val="000000"/>
          <w:szCs w:val="22"/>
          <w:lang w:val="it-IT"/>
        </w:rPr>
        <w:t> </w:t>
      </w:r>
      <w:r w:rsidR="00F14A7D" w:rsidRPr="00FB01EF">
        <w:rPr>
          <w:noProof/>
          <w:color w:val="000000"/>
          <w:szCs w:val="22"/>
          <w:lang w:val="it-IT"/>
        </w:rPr>
        <w:t>alfa</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2.</w:t>
      </w:r>
      <w:r w:rsidRPr="00FB01EF">
        <w:rPr>
          <w:b/>
          <w:noProof/>
          <w:szCs w:val="22"/>
          <w:lang w:val="it-IT"/>
        </w:rPr>
        <w:tab/>
      </w:r>
      <w:r w:rsidRPr="00FB01EF">
        <w:rPr>
          <w:b/>
          <w:bCs/>
          <w:szCs w:val="22"/>
          <w:lang w:val="it-IT"/>
        </w:rPr>
        <w:t>COMPOSIZIONE QUALITATIVA E QUANTITATIVA IN TERMINI DI PRINCIPIO(I) ATTIVO(I)</w:t>
      </w:r>
    </w:p>
    <w:p w:rsidR="00F14A7D" w:rsidRPr="00FB01EF" w:rsidRDefault="00F14A7D" w:rsidP="00F14A7D">
      <w:pPr>
        <w:rPr>
          <w:i/>
          <w:noProof/>
          <w:szCs w:val="22"/>
          <w:lang w:val="it-IT"/>
        </w:rPr>
      </w:pPr>
    </w:p>
    <w:p w:rsidR="00094D8D" w:rsidRPr="00FB01EF" w:rsidRDefault="00094D8D" w:rsidP="00094D8D">
      <w:pPr>
        <w:rPr>
          <w:lang w:val="it-IT"/>
        </w:rPr>
      </w:pPr>
      <w:r w:rsidRPr="00FB01EF">
        <w:rPr>
          <w:szCs w:val="22"/>
          <w:lang w:val="it-IT"/>
        </w:rPr>
        <w:t xml:space="preserve">Ogni cartuccia contiene 900 UI </w:t>
      </w:r>
      <w:r w:rsidRPr="00FB01EF">
        <w:rPr>
          <w:noProof/>
          <w:color w:val="000000"/>
          <w:szCs w:val="22"/>
          <w:lang w:val="it-IT"/>
        </w:rPr>
        <w:t xml:space="preserve">(equivalenti a 66 microgrammi) </w:t>
      </w:r>
      <w:r w:rsidRPr="00FB01EF">
        <w:rPr>
          <w:szCs w:val="22"/>
          <w:lang w:val="it-IT"/>
        </w:rPr>
        <w:t xml:space="preserve">di follitropina alfa in 1,5 mL di soluzione. Ogni mL della soluzione contiene 600 UI </w:t>
      </w:r>
      <w:r w:rsidRPr="00FB01EF">
        <w:rPr>
          <w:noProof/>
          <w:color w:val="000000"/>
          <w:szCs w:val="22"/>
          <w:lang w:val="it-IT"/>
        </w:rPr>
        <w:t xml:space="preserve">(equivalenti a 44 microgrammi) </w:t>
      </w:r>
      <w:r w:rsidRPr="00FB01EF">
        <w:rPr>
          <w:szCs w:val="22"/>
          <w:lang w:val="it-IT"/>
        </w:rPr>
        <w:t>di follitropina alfa.</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3.</w:t>
      </w:r>
      <w:r w:rsidRPr="00FB01EF">
        <w:rPr>
          <w:b/>
          <w:noProof/>
          <w:szCs w:val="22"/>
          <w:lang w:val="it-IT"/>
        </w:rPr>
        <w:tab/>
      </w:r>
      <w:r w:rsidRPr="00FB01EF">
        <w:rPr>
          <w:b/>
          <w:bCs/>
          <w:szCs w:val="22"/>
          <w:lang w:val="it-IT"/>
        </w:rPr>
        <w:t>ELENCO DEGLI ECCIPIENTI</w:t>
      </w:r>
    </w:p>
    <w:p w:rsidR="00F14A7D" w:rsidRPr="00FB01EF" w:rsidRDefault="00F14A7D" w:rsidP="00F14A7D">
      <w:pPr>
        <w:rPr>
          <w:noProof/>
          <w:szCs w:val="22"/>
          <w:lang w:val="it-IT"/>
        </w:rPr>
      </w:pPr>
    </w:p>
    <w:p w:rsidR="00F14A7D" w:rsidRPr="00FB01EF" w:rsidRDefault="00F14A7D" w:rsidP="00F14A7D">
      <w:pPr>
        <w:rPr>
          <w:noProof/>
          <w:szCs w:val="22"/>
          <w:lang w:val="it-IT"/>
        </w:rPr>
      </w:pPr>
      <w:r w:rsidRPr="00FB01EF">
        <w:rPr>
          <w:szCs w:val="22"/>
          <w:lang w:val="it-IT"/>
        </w:rPr>
        <w:t>Eccipienti: sodio diidrogeno fosfato diidrato, sodio idrossido (</w:t>
      </w:r>
      <w:smartTag w:uri="urn:schemas-microsoft-com:office:smarttags" w:element="metricconverter">
        <w:smartTagPr>
          <w:attr w:name="ProductID" w:val="2ﾠM"/>
        </w:smartTagPr>
        <w:r w:rsidRPr="00FB01EF">
          <w:rPr>
            <w:szCs w:val="22"/>
            <w:lang w:val="it-IT"/>
          </w:rPr>
          <w:t>2</w:t>
        </w:r>
        <w:r w:rsidR="00241462" w:rsidRPr="00FB01EF">
          <w:rPr>
            <w:szCs w:val="22"/>
            <w:lang w:val="it-IT"/>
          </w:rPr>
          <w:t> </w:t>
        </w:r>
        <w:r w:rsidRPr="00FB01EF">
          <w:rPr>
            <w:szCs w:val="22"/>
            <w:lang w:val="it-IT"/>
          </w:rPr>
          <w:t>M</w:t>
        </w:r>
      </w:smartTag>
      <w:r w:rsidRPr="00FB01EF">
        <w:rPr>
          <w:szCs w:val="22"/>
          <w:lang w:val="it-IT"/>
        </w:rPr>
        <w:t>) (per la regolazione del pH), mannitolo, metionina, polisorbato</w:t>
      </w:r>
      <w:r w:rsidR="001D1D5D" w:rsidRPr="00FB01EF">
        <w:rPr>
          <w:szCs w:val="22"/>
          <w:lang w:val="it-IT"/>
        </w:rPr>
        <w:t> </w:t>
      </w:r>
      <w:r w:rsidRPr="00FB01EF">
        <w:rPr>
          <w:szCs w:val="22"/>
          <w:lang w:val="it-IT"/>
        </w:rPr>
        <w:t>20, alc</w:t>
      </w:r>
      <w:r w:rsidR="00EE4CEC" w:rsidRPr="00FB01EF">
        <w:rPr>
          <w:szCs w:val="22"/>
          <w:lang w:val="it-IT"/>
        </w:rPr>
        <w:t>o</w:t>
      </w:r>
      <w:r w:rsidRPr="00FB01EF">
        <w:rPr>
          <w:szCs w:val="22"/>
          <w:lang w:val="it-IT"/>
        </w:rPr>
        <w:t>ol benzilico, benzalconio cloruro, acqua per preparazioni iniettabili</w:t>
      </w:r>
      <w:r w:rsidRPr="00FB01EF">
        <w:rPr>
          <w:noProof/>
          <w:szCs w:val="22"/>
          <w:lang w:val="it-IT"/>
        </w:rPr>
        <w:t>.</w:t>
      </w:r>
    </w:p>
    <w:p w:rsidR="00DA6744" w:rsidRPr="00FB01EF" w:rsidRDefault="00DA6744"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4.</w:t>
      </w:r>
      <w:r w:rsidRPr="00FB01EF">
        <w:rPr>
          <w:b/>
          <w:noProof/>
          <w:szCs w:val="22"/>
          <w:lang w:val="it-IT"/>
        </w:rPr>
        <w:tab/>
      </w:r>
      <w:r w:rsidRPr="00FB01EF">
        <w:rPr>
          <w:b/>
          <w:bCs/>
          <w:szCs w:val="22"/>
          <w:lang w:val="it-IT"/>
        </w:rPr>
        <w:t>FORMA FARMACEUTICA E CONTENUTO</w:t>
      </w:r>
    </w:p>
    <w:p w:rsidR="00F14A7D" w:rsidRPr="00FB01EF" w:rsidRDefault="00F14A7D" w:rsidP="00F14A7D">
      <w:pPr>
        <w:rPr>
          <w:noProof/>
          <w:szCs w:val="22"/>
          <w:lang w:val="it-IT"/>
        </w:rPr>
      </w:pPr>
    </w:p>
    <w:p w:rsidR="00F14A7D" w:rsidRPr="00FB01EF" w:rsidRDefault="00F14A7D" w:rsidP="00F14A7D">
      <w:pPr>
        <w:ind w:right="-20"/>
        <w:rPr>
          <w:szCs w:val="22"/>
          <w:lang w:val="it-IT"/>
        </w:rPr>
      </w:pPr>
      <w:r w:rsidRPr="00FB01EF">
        <w:rPr>
          <w:szCs w:val="22"/>
          <w:highlight w:val="lightGray"/>
          <w:lang w:val="it-IT"/>
        </w:rPr>
        <w:t>Soluzione iniettabile</w:t>
      </w:r>
    </w:p>
    <w:p w:rsidR="00F14A7D" w:rsidRPr="00FB01EF" w:rsidRDefault="00F14A7D" w:rsidP="00F14A7D">
      <w:pPr>
        <w:ind w:right="-20"/>
        <w:rPr>
          <w:szCs w:val="22"/>
          <w:lang w:val="it-IT"/>
        </w:rPr>
      </w:pPr>
    </w:p>
    <w:p w:rsidR="00F14A7D" w:rsidRPr="00FB01EF" w:rsidRDefault="00F14A7D" w:rsidP="00F14A7D">
      <w:pPr>
        <w:ind w:right="-20"/>
        <w:rPr>
          <w:noProof/>
          <w:szCs w:val="22"/>
          <w:lang w:val="it-IT"/>
        </w:rPr>
      </w:pPr>
      <w:r w:rsidRPr="00FB01EF">
        <w:rPr>
          <w:szCs w:val="22"/>
          <w:lang w:val="it-IT"/>
        </w:rPr>
        <w:t xml:space="preserve">1 cartuccia </w:t>
      </w:r>
      <w:r w:rsidR="00094D8D" w:rsidRPr="00FB01EF">
        <w:rPr>
          <w:szCs w:val="22"/>
          <w:lang w:val="it-IT"/>
        </w:rPr>
        <w:t xml:space="preserve">con 1,5 mL di soluzione </w:t>
      </w:r>
      <w:r w:rsidRPr="00FB01EF">
        <w:rPr>
          <w:szCs w:val="22"/>
          <w:lang w:val="it-IT"/>
        </w:rPr>
        <w:t>e 20 aghi per iniezione</w:t>
      </w:r>
    </w:p>
    <w:p w:rsidR="00F14A7D" w:rsidRPr="00FB01EF" w:rsidRDefault="00F14A7D" w:rsidP="00F14A7D">
      <w:pPr>
        <w:rPr>
          <w:noProof/>
          <w:szCs w:val="22"/>
          <w:lang w:val="it-IT"/>
        </w:rPr>
      </w:pPr>
    </w:p>
    <w:p w:rsidR="00DA6744" w:rsidRPr="00FB01EF" w:rsidRDefault="00DA6744"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5.</w:t>
      </w:r>
      <w:r w:rsidRPr="00FB01EF">
        <w:rPr>
          <w:b/>
          <w:noProof/>
          <w:szCs w:val="22"/>
          <w:lang w:val="it-IT"/>
        </w:rPr>
        <w:tab/>
      </w:r>
      <w:r w:rsidRPr="00FB01EF">
        <w:rPr>
          <w:b/>
          <w:bCs/>
          <w:szCs w:val="22"/>
          <w:lang w:val="it-IT"/>
        </w:rPr>
        <w:t>MODO E VIA(E) DI SOMMINISTRAZIONE</w:t>
      </w:r>
    </w:p>
    <w:p w:rsidR="00F14A7D" w:rsidRPr="00FB01EF" w:rsidRDefault="00F14A7D" w:rsidP="00F14A7D">
      <w:pPr>
        <w:rPr>
          <w:noProof/>
          <w:szCs w:val="22"/>
          <w:lang w:val="it-IT"/>
        </w:rPr>
      </w:pPr>
    </w:p>
    <w:p w:rsidR="00F14A7D" w:rsidRPr="00FB01EF" w:rsidRDefault="00F14A7D" w:rsidP="00F14A7D">
      <w:pPr>
        <w:ind w:right="3542"/>
        <w:rPr>
          <w:szCs w:val="22"/>
          <w:lang w:val="it-IT"/>
        </w:rPr>
      </w:pPr>
      <w:r w:rsidRPr="00FB01EF">
        <w:rPr>
          <w:szCs w:val="22"/>
          <w:lang w:val="it-IT"/>
        </w:rPr>
        <w:t>Da usare esclusivamente con Ovaleap</w:t>
      </w:r>
      <w:r w:rsidR="00873F98" w:rsidRPr="00FB01EF">
        <w:rPr>
          <w:szCs w:val="22"/>
          <w:lang w:val="it-IT"/>
        </w:rPr>
        <w:t xml:space="preserve"> Pen</w:t>
      </w:r>
      <w:r w:rsidRPr="00FB01EF">
        <w:rPr>
          <w:szCs w:val="22"/>
          <w:lang w:val="it-IT"/>
        </w:rPr>
        <w:t>.</w:t>
      </w:r>
    </w:p>
    <w:p w:rsidR="00F14A7D" w:rsidRPr="00FB01EF" w:rsidRDefault="00F14A7D" w:rsidP="00F14A7D">
      <w:pPr>
        <w:ind w:right="5251"/>
        <w:rPr>
          <w:szCs w:val="22"/>
          <w:lang w:val="it-IT"/>
        </w:rPr>
      </w:pPr>
    </w:p>
    <w:p w:rsidR="00F14A7D" w:rsidRPr="00FB01EF" w:rsidRDefault="00F14A7D" w:rsidP="00F14A7D">
      <w:pPr>
        <w:ind w:right="2125"/>
        <w:rPr>
          <w:szCs w:val="22"/>
          <w:lang w:val="it-IT"/>
        </w:rPr>
      </w:pPr>
      <w:r w:rsidRPr="00FB01EF">
        <w:rPr>
          <w:szCs w:val="22"/>
          <w:lang w:val="it-IT"/>
        </w:rPr>
        <w:t>Leggere il foglio illustrativo prima dell’uso.</w:t>
      </w:r>
    </w:p>
    <w:p w:rsidR="00F14A7D" w:rsidRPr="00FB01EF" w:rsidRDefault="00F14A7D" w:rsidP="00F14A7D">
      <w:pPr>
        <w:ind w:right="5251"/>
        <w:rPr>
          <w:szCs w:val="22"/>
          <w:lang w:val="it-IT"/>
        </w:rPr>
      </w:pPr>
    </w:p>
    <w:p w:rsidR="00094D8D" w:rsidRPr="00FB01EF" w:rsidRDefault="00094D8D" w:rsidP="00094D8D">
      <w:pPr>
        <w:tabs>
          <w:tab w:val="left" w:pos="749"/>
        </w:tabs>
        <w:rPr>
          <w:noProof/>
          <w:szCs w:val="22"/>
          <w:lang w:val="it-IT"/>
        </w:rPr>
      </w:pPr>
      <w:r w:rsidRPr="00FB01EF">
        <w:rPr>
          <w:noProof/>
          <w:szCs w:val="22"/>
          <w:lang w:val="it-IT"/>
        </w:rPr>
        <w:t>Usare nel modo seguente:</w:t>
      </w:r>
    </w:p>
    <w:p w:rsidR="00094D8D" w:rsidRPr="00FB01EF" w:rsidRDefault="00094D8D" w:rsidP="00F14A7D">
      <w:pPr>
        <w:ind w:right="5251"/>
        <w:rPr>
          <w:szCs w:val="22"/>
          <w:lang w:val="it-IT"/>
        </w:rPr>
      </w:pPr>
    </w:p>
    <w:p w:rsidR="00F14A7D" w:rsidRPr="00FB01EF" w:rsidRDefault="00F14A7D" w:rsidP="00F14A7D">
      <w:pPr>
        <w:ind w:right="5251"/>
        <w:rPr>
          <w:szCs w:val="22"/>
          <w:lang w:val="it-IT"/>
        </w:rPr>
      </w:pPr>
      <w:r w:rsidRPr="00FB01EF">
        <w:rPr>
          <w:szCs w:val="22"/>
          <w:lang w:val="it-IT"/>
        </w:rPr>
        <w:t>Uso sottocutaneo</w:t>
      </w:r>
    </w:p>
    <w:p w:rsidR="00F14A7D" w:rsidRPr="00FB01EF" w:rsidRDefault="00F14A7D" w:rsidP="00F14A7D">
      <w:pPr>
        <w:tabs>
          <w:tab w:val="left" w:pos="749"/>
        </w:tabs>
        <w:rPr>
          <w:noProof/>
          <w:szCs w:val="22"/>
          <w:lang w:val="it-IT"/>
        </w:rPr>
      </w:pPr>
    </w:p>
    <w:p w:rsidR="00F14A7D" w:rsidRPr="00FB01EF" w:rsidRDefault="00F14A7D" w:rsidP="00F14A7D">
      <w:pPr>
        <w:tabs>
          <w:tab w:val="left" w:pos="749"/>
        </w:tabs>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6.</w:t>
      </w:r>
      <w:r w:rsidRPr="00FB01EF">
        <w:rPr>
          <w:b/>
          <w:noProof/>
          <w:szCs w:val="22"/>
          <w:lang w:val="it-IT"/>
        </w:rPr>
        <w:tab/>
      </w:r>
      <w:r w:rsidRPr="00FB01EF">
        <w:rPr>
          <w:b/>
          <w:bCs/>
          <w:szCs w:val="22"/>
          <w:lang w:val="it-IT"/>
        </w:rPr>
        <w:t>AVVERTENZA PARTICOLARE CHE PRESCRIVA DI TENERE IL MEDICINALE FUORI DALLA VISTA E DALLA PORTATA DEI BAMBINI</w:t>
      </w:r>
    </w:p>
    <w:p w:rsidR="00F14A7D" w:rsidRPr="00FB01EF" w:rsidRDefault="00F14A7D" w:rsidP="00F14A7D">
      <w:pPr>
        <w:rPr>
          <w:noProof/>
          <w:szCs w:val="22"/>
          <w:lang w:val="it-IT"/>
        </w:rPr>
      </w:pPr>
    </w:p>
    <w:p w:rsidR="00F14A7D" w:rsidRPr="00FB01EF" w:rsidRDefault="00F14A7D" w:rsidP="00F14A7D">
      <w:pPr>
        <w:outlineLvl w:val="0"/>
        <w:rPr>
          <w:noProof/>
          <w:szCs w:val="22"/>
          <w:lang w:val="it-IT"/>
        </w:rPr>
      </w:pPr>
      <w:r w:rsidRPr="00FB01EF">
        <w:rPr>
          <w:szCs w:val="22"/>
          <w:lang w:val="it-IT"/>
        </w:rPr>
        <w:t>Tenere fuori dalla vista e dalla portata dei bambini</w:t>
      </w:r>
      <w:r w:rsidRPr="00FB01EF">
        <w:rPr>
          <w:noProof/>
          <w:szCs w:val="22"/>
          <w:lang w:val="it-IT"/>
        </w:rPr>
        <w:t>.</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7.</w:t>
      </w:r>
      <w:r w:rsidRPr="00FB01EF">
        <w:rPr>
          <w:b/>
          <w:noProof/>
          <w:szCs w:val="22"/>
          <w:lang w:val="it-IT"/>
        </w:rPr>
        <w:tab/>
      </w:r>
      <w:r w:rsidRPr="00FB01EF">
        <w:rPr>
          <w:b/>
          <w:bCs/>
          <w:szCs w:val="22"/>
          <w:lang w:val="it-IT"/>
        </w:rPr>
        <w:t xml:space="preserve">ALTRA(E) AVVERTENZA(E) </w:t>
      </w:r>
      <w:r w:rsidR="00145F62" w:rsidRPr="00FB01EF">
        <w:rPr>
          <w:b/>
          <w:bCs/>
          <w:szCs w:val="22"/>
          <w:lang w:val="it-IT"/>
        </w:rPr>
        <w:t>PARTICOLARE</w:t>
      </w:r>
      <w:r w:rsidRPr="00FB01EF">
        <w:rPr>
          <w:b/>
          <w:bCs/>
          <w:szCs w:val="22"/>
          <w:lang w:val="it-IT"/>
        </w:rPr>
        <w:t>(I), SE NECESSARIO</w:t>
      </w:r>
    </w:p>
    <w:p w:rsidR="00F14A7D" w:rsidRPr="00FB01EF" w:rsidRDefault="00F14A7D" w:rsidP="00F14A7D">
      <w:pPr>
        <w:tabs>
          <w:tab w:val="left" w:pos="749"/>
        </w:tabs>
        <w:rPr>
          <w:noProof/>
          <w:szCs w:val="22"/>
          <w:lang w:val="it-IT"/>
        </w:rPr>
      </w:pPr>
    </w:p>
    <w:p w:rsidR="00F14A7D" w:rsidRPr="00FB01EF" w:rsidRDefault="00F14A7D" w:rsidP="00F14A7D">
      <w:pPr>
        <w:tabs>
          <w:tab w:val="left" w:pos="749"/>
        </w:tabs>
        <w:rPr>
          <w:noProof/>
          <w:szCs w:val="22"/>
          <w:lang w:val="it-IT"/>
        </w:rPr>
      </w:pPr>
    </w:p>
    <w:p w:rsidR="00F14A7D" w:rsidRPr="00FB01EF" w:rsidRDefault="00F14A7D" w:rsidP="00F14A7D">
      <w:pPr>
        <w:tabs>
          <w:tab w:val="left" w:pos="749"/>
        </w:tabs>
        <w:rPr>
          <w:noProof/>
          <w:szCs w:val="22"/>
          <w:lang w:val="it-IT"/>
        </w:rPr>
      </w:pPr>
    </w:p>
    <w:p w:rsidR="00F14A7D" w:rsidRPr="00FB01EF" w:rsidRDefault="00F14A7D" w:rsidP="00F14A7D">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lastRenderedPageBreak/>
        <w:t>8.</w:t>
      </w:r>
      <w:r w:rsidRPr="00FB01EF">
        <w:rPr>
          <w:b/>
          <w:noProof/>
          <w:szCs w:val="22"/>
          <w:lang w:val="it-IT"/>
        </w:rPr>
        <w:tab/>
      </w:r>
      <w:r w:rsidRPr="00FB01EF">
        <w:rPr>
          <w:b/>
          <w:bCs/>
          <w:szCs w:val="22"/>
          <w:lang w:val="it-IT"/>
        </w:rPr>
        <w:t>DATA DI SCADENZA</w:t>
      </w:r>
    </w:p>
    <w:p w:rsidR="00F14A7D" w:rsidRPr="00FB01EF" w:rsidRDefault="00F14A7D" w:rsidP="00F14A7D">
      <w:pPr>
        <w:keepNext/>
        <w:keepLines/>
        <w:rPr>
          <w:noProof/>
          <w:szCs w:val="22"/>
          <w:lang w:val="it-IT"/>
        </w:rPr>
      </w:pPr>
    </w:p>
    <w:p w:rsidR="00F14A7D" w:rsidRPr="00FB01EF" w:rsidRDefault="00F14A7D" w:rsidP="00A54571">
      <w:pPr>
        <w:keepNext/>
        <w:tabs>
          <w:tab w:val="clear" w:pos="567"/>
        </w:tabs>
        <w:rPr>
          <w:szCs w:val="22"/>
          <w:lang w:val="it-IT"/>
        </w:rPr>
      </w:pPr>
      <w:r w:rsidRPr="00FB01EF">
        <w:rPr>
          <w:szCs w:val="22"/>
          <w:lang w:val="it-IT"/>
        </w:rPr>
        <w:t>Scad.</w:t>
      </w:r>
    </w:p>
    <w:p w:rsidR="00F14A7D" w:rsidRPr="00FB01EF" w:rsidRDefault="00F14A7D" w:rsidP="00F14A7D">
      <w:pPr>
        <w:tabs>
          <w:tab w:val="clear" w:pos="567"/>
        </w:tabs>
        <w:rPr>
          <w:szCs w:val="22"/>
          <w:lang w:val="it-IT"/>
        </w:rPr>
      </w:pPr>
    </w:p>
    <w:p w:rsidR="00F14A7D" w:rsidRPr="00FB01EF" w:rsidRDefault="00F14A7D" w:rsidP="00F14A7D">
      <w:pPr>
        <w:tabs>
          <w:tab w:val="clear" w:pos="567"/>
        </w:tabs>
        <w:rPr>
          <w:noProof/>
          <w:color w:val="000000"/>
          <w:szCs w:val="22"/>
          <w:lang w:val="it-IT"/>
        </w:rPr>
      </w:pPr>
      <w:r w:rsidRPr="00FB01EF">
        <w:rPr>
          <w:szCs w:val="22"/>
          <w:lang w:val="it-IT"/>
        </w:rPr>
        <w:t>La cartuccia</w:t>
      </w:r>
      <w:r w:rsidR="0057781E" w:rsidRPr="00FB01EF">
        <w:rPr>
          <w:szCs w:val="22"/>
          <w:lang w:val="it-IT"/>
        </w:rPr>
        <w:t xml:space="preserve"> inclusa</w:t>
      </w:r>
      <w:r w:rsidRPr="00FB01EF">
        <w:rPr>
          <w:szCs w:val="22"/>
          <w:lang w:val="it-IT"/>
        </w:rPr>
        <w:t xml:space="preserve"> nella penna può essere conservata per un massimo di 28 giorni a temperatura non superiore a </w:t>
      </w:r>
      <w:smartTag w:uri="urn:schemas-microsoft-com:office:smarttags" w:element="metricconverter">
        <w:smartTagPr>
          <w:attr w:name="ProductID" w:val="25ﾠﾰC"/>
        </w:smartTagPr>
        <w:r w:rsidRPr="00FB01EF">
          <w:rPr>
            <w:szCs w:val="22"/>
            <w:lang w:val="it-IT"/>
          </w:rPr>
          <w:t>25 °C</w:t>
        </w:r>
      </w:smartTag>
      <w:r w:rsidRPr="00FB01EF">
        <w:rPr>
          <w:szCs w:val="22"/>
          <w:lang w:val="it-IT"/>
        </w:rPr>
        <w:t>.</w:t>
      </w:r>
    </w:p>
    <w:p w:rsidR="00F14A7D" w:rsidRPr="00FB01EF" w:rsidRDefault="00F14A7D" w:rsidP="00F14A7D">
      <w:pPr>
        <w:tabs>
          <w:tab w:val="clear" w:pos="567"/>
        </w:tabs>
        <w:rPr>
          <w:noProof/>
          <w:color w:val="000000"/>
          <w:szCs w:val="22"/>
          <w:lang w:val="it-IT"/>
        </w:rPr>
      </w:pPr>
    </w:p>
    <w:p w:rsidR="00F14A7D" w:rsidRPr="00FB01EF" w:rsidRDefault="00F14A7D" w:rsidP="00F14A7D">
      <w:pPr>
        <w:rPr>
          <w:noProof/>
          <w:szCs w:val="22"/>
          <w:lang w:val="it-IT"/>
        </w:rPr>
      </w:pPr>
    </w:p>
    <w:p w:rsidR="00F14A7D" w:rsidRPr="00FB01EF" w:rsidRDefault="00F14A7D" w:rsidP="00F14A7D">
      <w:pPr>
        <w:keepNext/>
        <w:pBdr>
          <w:top w:val="single" w:sz="4" w:space="1" w:color="auto"/>
          <w:left w:val="single" w:sz="4" w:space="4" w:color="auto"/>
          <w:bottom w:val="single" w:sz="4" w:space="1" w:color="auto"/>
          <w:right w:val="single" w:sz="4" w:space="4" w:color="auto"/>
        </w:pBdr>
        <w:ind w:left="567" w:hanging="567"/>
        <w:outlineLvl w:val="0"/>
        <w:rPr>
          <w:noProof/>
          <w:szCs w:val="22"/>
          <w:lang w:val="it-IT"/>
        </w:rPr>
      </w:pPr>
      <w:r w:rsidRPr="00FB01EF">
        <w:rPr>
          <w:b/>
          <w:noProof/>
          <w:szCs w:val="22"/>
          <w:lang w:val="it-IT"/>
        </w:rPr>
        <w:t>9.</w:t>
      </w:r>
      <w:r w:rsidRPr="00FB01EF">
        <w:rPr>
          <w:b/>
          <w:noProof/>
          <w:szCs w:val="22"/>
          <w:lang w:val="it-IT"/>
        </w:rPr>
        <w:tab/>
      </w:r>
      <w:r w:rsidRPr="00FB01EF">
        <w:rPr>
          <w:b/>
          <w:bCs/>
          <w:szCs w:val="22"/>
          <w:lang w:val="it-IT"/>
        </w:rPr>
        <w:t>PRECAUZIONI PARTICOLARI PER LA CONSERVAZIONE</w:t>
      </w:r>
    </w:p>
    <w:p w:rsidR="00F14A7D" w:rsidRPr="00FB01EF" w:rsidRDefault="00F14A7D" w:rsidP="00F14A7D">
      <w:pPr>
        <w:rPr>
          <w:noProof/>
          <w:szCs w:val="22"/>
          <w:lang w:val="it-IT"/>
        </w:rPr>
      </w:pPr>
    </w:p>
    <w:p w:rsidR="00F14A7D" w:rsidRPr="00FB01EF" w:rsidRDefault="00F14A7D" w:rsidP="00F14A7D">
      <w:pPr>
        <w:ind w:right="-20"/>
        <w:rPr>
          <w:szCs w:val="22"/>
          <w:lang w:val="it-IT"/>
        </w:rPr>
      </w:pPr>
      <w:r w:rsidRPr="00FB01EF">
        <w:rPr>
          <w:szCs w:val="22"/>
          <w:lang w:val="it-IT"/>
        </w:rPr>
        <w:t xml:space="preserve">Conservare in frigorifero. </w:t>
      </w:r>
    </w:p>
    <w:p w:rsidR="00F14A7D" w:rsidRPr="00FB01EF" w:rsidRDefault="00F14A7D" w:rsidP="00F14A7D">
      <w:pPr>
        <w:ind w:right="-20"/>
        <w:rPr>
          <w:szCs w:val="22"/>
          <w:lang w:val="it-IT"/>
        </w:rPr>
      </w:pPr>
    </w:p>
    <w:p w:rsidR="00F14A7D" w:rsidRPr="00FB01EF" w:rsidRDefault="00F14A7D" w:rsidP="00F14A7D">
      <w:pPr>
        <w:ind w:right="-20"/>
        <w:rPr>
          <w:szCs w:val="22"/>
          <w:lang w:val="it-IT"/>
        </w:rPr>
      </w:pPr>
      <w:r w:rsidRPr="00FB01EF">
        <w:rPr>
          <w:szCs w:val="22"/>
          <w:lang w:val="it-IT"/>
        </w:rPr>
        <w:t>Non congelare.</w:t>
      </w:r>
    </w:p>
    <w:p w:rsidR="00F14A7D" w:rsidRPr="00FB01EF" w:rsidRDefault="00F14A7D" w:rsidP="00F14A7D">
      <w:pPr>
        <w:ind w:right="-20"/>
        <w:rPr>
          <w:szCs w:val="22"/>
          <w:lang w:val="it-IT"/>
        </w:rPr>
      </w:pPr>
    </w:p>
    <w:p w:rsidR="00F14A7D" w:rsidRPr="00FB01EF" w:rsidRDefault="00145F62" w:rsidP="00D64948">
      <w:pPr>
        <w:ind w:right="-20"/>
        <w:rPr>
          <w:szCs w:val="22"/>
          <w:lang w:val="it-IT"/>
        </w:rPr>
      </w:pPr>
      <w:r w:rsidRPr="00FB01EF">
        <w:rPr>
          <w:szCs w:val="22"/>
          <w:lang w:val="it-IT"/>
        </w:rPr>
        <w:t>Tenere</w:t>
      </w:r>
      <w:r w:rsidR="00F14A7D" w:rsidRPr="00FB01EF">
        <w:rPr>
          <w:szCs w:val="22"/>
          <w:lang w:val="it-IT"/>
        </w:rPr>
        <w:t xml:space="preserve"> la cartuccia </w:t>
      </w:r>
      <w:r w:rsidR="00D64948" w:rsidRPr="00FB01EF">
        <w:rPr>
          <w:lang w:val="it-IT"/>
        </w:rPr>
        <w:t>nell’imballaggio esterno</w:t>
      </w:r>
      <w:r w:rsidR="00F14A7D" w:rsidRPr="00FB01EF">
        <w:rPr>
          <w:szCs w:val="22"/>
          <w:lang w:val="it-IT"/>
        </w:rPr>
        <w:t xml:space="preserve"> per proteggere il medicinale dalla luce.</w:t>
      </w:r>
    </w:p>
    <w:p w:rsidR="00F14A7D" w:rsidRPr="00FB01EF" w:rsidRDefault="00F14A7D" w:rsidP="00F14A7D">
      <w:pPr>
        <w:ind w:right="-20"/>
        <w:rPr>
          <w:szCs w:val="22"/>
          <w:lang w:val="it-IT"/>
        </w:rPr>
      </w:pPr>
    </w:p>
    <w:p w:rsidR="00F14A7D" w:rsidRPr="00FB01EF" w:rsidRDefault="00F14A7D" w:rsidP="00F14A7D">
      <w:pPr>
        <w:ind w:right="53"/>
        <w:rPr>
          <w:szCs w:val="22"/>
          <w:lang w:val="it-IT"/>
        </w:rPr>
      </w:pPr>
      <w:r w:rsidRPr="00FB01EF">
        <w:rPr>
          <w:szCs w:val="22"/>
          <w:lang w:val="it-IT"/>
        </w:rPr>
        <w:t xml:space="preserve">Il medicinale può essere conservato prima dell’apertura a temperatura non superiore a </w:t>
      </w:r>
      <w:smartTag w:uri="urn:schemas-microsoft-com:office:smarttags" w:element="metricconverter">
        <w:smartTagPr>
          <w:attr w:name="ProductID" w:val="25ﾠﾰC"/>
        </w:smartTagPr>
        <w:r w:rsidRPr="00FB01EF">
          <w:rPr>
            <w:szCs w:val="22"/>
            <w:lang w:val="it-IT"/>
          </w:rPr>
          <w:t>25 °C</w:t>
        </w:r>
      </w:smartTag>
      <w:r w:rsidRPr="00FB01EF">
        <w:rPr>
          <w:szCs w:val="22"/>
          <w:lang w:val="it-IT"/>
        </w:rPr>
        <w:t xml:space="preserve"> per un periodo massimo di 3 mesi. Se non è stato utilizzato entro 3 mesi, il medicinale deve essere gettato.</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10.</w:t>
      </w:r>
      <w:r w:rsidRPr="00FB01EF">
        <w:rPr>
          <w:b/>
          <w:noProof/>
          <w:szCs w:val="22"/>
          <w:lang w:val="it-IT"/>
        </w:rPr>
        <w:tab/>
      </w:r>
      <w:r w:rsidRPr="00FB01EF">
        <w:rPr>
          <w:b/>
          <w:bCs/>
          <w:szCs w:val="22"/>
          <w:lang w:val="it-IT"/>
        </w:rPr>
        <w:t>PRECAUZIONI PARTICOLARI PER LO SMALTIMENTO DEL MEDICINALE NON UTILIZZATO O DEI RIFIUTI DERIVATI DA TALE MEDICINALE, SE NECESSARIO</w:t>
      </w:r>
    </w:p>
    <w:p w:rsidR="00F14A7D" w:rsidRPr="00FB01EF" w:rsidRDefault="00F14A7D" w:rsidP="00F14A7D">
      <w:pPr>
        <w:rPr>
          <w:noProof/>
          <w:szCs w:val="22"/>
          <w:lang w:val="it-IT"/>
        </w:rPr>
      </w:pPr>
    </w:p>
    <w:p w:rsidR="00E8680E" w:rsidRPr="00FB01EF" w:rsidRDefault="00E8680E" w:rsidP="00F14A7D">
      <w:pPr>
        <w:rPr>
          <w:noProof/>
          <w:szCs w:val="22"/>
          <w:lang w:val="it-IT"/>
        </w:rPr>
      </w:pPr>
    </w:p>
    <w:p w:rsidR="00F14A7D" w:rsidRPr="00FB01EF" w:rsidRDefault="00F14A7D" w:rsidP="00F14A7D">
      <w:pPr>
        <w:rPr>
          <w:noProof/>
          <w:szCs w:val="22"/>
          <w:lang w:val="it-IT"/>
        </w:rPr>
      </w:pPr>
    </w:p>
    <w:p w:rsidR="00F14A7D" w:rsidRPr="00FB01EF" w:rsidRDefault="00F14A7D" w:rsidP="00F97DD8">
      <w:pPr>
        <w:pBdr>
          <w:top w:val="single" w:sz="4" w:space="1" w:color="auto"/>
          <w:left w:val="single" w:sz="4" w:space="4" w:color="auto"/>
          <w:bottom w:val="single" w:sz="4" w:space="1" w:color="auto"/>
          <w:right w:val="single" w:sz="4" w:space="4" w:color="auto"/>
        </w:pBdr>
        <w:ind w:left="567" w:hanging="567"/>
        <w:outlineLvl w:val="0"/>
        <w:rPr>
          <w:b/>
          <w:noProof/>
          <w:szCs w:val="22"/>
          <w:lang w:val="it-IT"/>
        </w:rPr>
      </w:pPr>
      <w:r w:rsidRPr="00FB01EF">
        <w:rPr>
          <w:b/>
          <w:noProof/>
          <w:szCs w:val="22"/>
          <w:lang w:val="it-IT"/>
        </w:rPr>
        <w:t>11.</w:t>
      </w:r>
      <w:r w:rsidRPr="00FB01EF">
        <w:rPr>
          <w:b/>
          <w:noProof/>
          <w:szCs w:val="22"/>
          <w:lang w:val="it-IT"/>
        </w:rPr>
        <w:tab/>
      </w:r>
      <w:r w:rsidRPr="00FB01EF">
        <w:rPr>
          <w:b/>
          <w:bCs/>
          <w:szCs w:val="22"/>
          <w:lang w:val="it-IT"/>
        </w:rPr>
        <w:t>NOME E INDIRIZZO DEL TITOLARE DELL’AUTORIZZAZIONE ALL’IMMISSIONE IN COMMERCIO</w:t>
      </w:r>
    </w:p>
    <w:p w:rsidR="00F14A7D" w:rsidRPr="00FB01EF" w:rsidRDefault="00F14A7D" w:rsidP="00F14A7D">
      <w:pPr>
        <w:rPr>
          <w:noProof/>
          <w:szCs w:val="22"/>
          <w:lang w:val="it-IT"/>
        </w:rPr>
      </w:pPr>
    </w:p>
    <w:p w:rsidR="00E009A7" w:rsidRPr="00AD584F" w:rsidRDefault="00E009A7" w:rsidP="00E009A7">
      <w:pPr>
        <w:tabs>
          <w:tab w:val="clear" w:pos="567"/>
        </w:tabs>
        <w:rPr>
          <w:lang w:val="nl-NL"/>
        </w:rPr>
      </w:pPr>
      <w:r w:rsidRPr="00AD584F">
        <w:rPr>
          <w:lang w:val="nl-NL"/>
        </w:rPr>
        <w:t>Theramex Ireland Limited</w:t>
      </w:r>
    </w:p>
    <w:p w:rsidR="00E009A7" w:rsidRPr="00AD584F" w:rsidRDefault="00E628EA" w:rsidP="00E009A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009A7" w:rsidRPr="00AD584F">
        <w:rPr>
          <w:lang w:val="nl-NL"/>
        </w:rPr>
        <w:t>Kilmore House,</w:t>
      </w:r>
    </w:p>
    <w:p w:rsidR="00E009A7" w:rsidRPr="00AD584F" w:rsidRDefault="00E009A7" w:rsidP="00E009A7">
      <w:pPr>
        <w:tabs>
          <w:tab w:val="clear" w:pos="567"/>
        </w:tabs>
        <w:rPr>
          <w:lang w:val="nl-NL"/>
        </w:rPr>
      </w:pPr>
      <w:r w:rsidRPr="00AD584F">
        <w:rPr>
          <w:lang w:val="nl-NL"/>
        </w:rPr>
        <w:t>Park Lane, Spencer Dock,</w:t>
      </w:r>
    </w:p>
    <w:p w:rsidR="00E009A7" w:rsidRPr="00AD584F" w:rsidRDefault="00E009A7" w:rsidP="00E009A7">
      <w:pPr>
        <w:tabs>
          <w:tab w:val="clear" w:pos="567"/>
        </w:tabs>
        <w:rPr>
          <w:lang w:val="nl-NL"/>
        </w:rPr>
      </w:pPr>
      <w:r w:rsidRPr="00AD584F">
        <w:rPr>
          <w:lang w:val="nl-NL"/>
        </w:rPr>
        <w:t>Dublin 1</w:t>
      </w:r>
    </w:p>
    <w:p w:rsidR="00E009A7" w:rsidRPr="00AD584F" w:rsidRDefault="00E009A7" w:rsidP="00E009A7">
      <w:pPr>
        <w:tabs>
          <w:tab w:val="clear" w:pos="567"/>
        </w:tabs>
        <w:rPr>
          <w:lang w:val="nl-NL"/>
        </w:rPr>
      </w:pPr>
      <w:r w:rsidRPr="00AD584F">
        <w:rPr>
          <w:lang w:val="nl-NL"/>
        </w:rPr>
        <w:t>D01 YE64</w:t>
      </w:r>
    </w:p>
    <w:p w:rsidR="00E009A7" w:rsidRPr="00CB5BCD" w:rsidRDefault="00E009A7" w:rsidP="00F14A7D">
      <w:pPr>
        <w:rPr>
          <w:lang w:val="es-ES"/>
        </w:rPr>
      </w:pPr>
      <w:r w:rsidRPr="00CB5BCD">
        <w:rPr>
          <w:lang w:val="es-ES"/>
        </w:rPr>
        <w:t>Irlanda</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12.</w:t>
      </w:r>
      <w:r w:rsidRPr="00FB01EF">
        <w:rPr>
          <w:b/>
          <w:noProof/>
          <w:szCs w:val="22"/>
          <w:lang w:val="it-IT"/>
        </w:rPr>
        <w:tab/>
      </w:r>
      <w:r w:rsidRPr="00FB01EF">
        <w:rPr>
          <w:b/>
          <w:bCs/>
          <w:szCs w:val="22"/>
          <w:lang w:val="it-IT"/>
        </w:rPr>
        <w:t>NUMERO(I) DELL’AUTORIZZAZIONE ALL’IMMISSIONE IN COMMERCIO</w:t>
      </w:r>
    </w:p>
    <w:p w:rsidR="00F14A7D" w:rsidRPr="00FB01EF" w:rsidRDefault="00F14A7D" w:rsidP="00F14A7D">
      <w:pPr>
        <w:rPr>
          <w:noProof/>
          <w:szCs w:val="22"/>
          <w:lang w:val="it-IT"/>
        </w:rPr>
      </w:pPr>
    </w:p>
    <w:p w:rsidR="00F14A7D" w:rsidRPr="00FB01EF" w:rsidRDefault="00F14A7D" w:rsidP="00F14A7D">
      <w:pPr>
        <w:ind w:right="-20"/>
        <w:rPr>
          <w:szCs w:val="22"/>
          <w:lang w:val="it-IT"/>
        </w:rPr>
      </w:pPr>
      <w:r w:rsidRPr="00FB01EF">
        <w:rPr>
          <w:szCs w:val="22"/>
          <w:lang w:val="it-IT"/>
        </w:rPr>
        <w:t>EU/</w:t>
      </w:r>
      <w:r w:rsidR="009E0250" w:rsidRPr="00FB01EF">
        <w:rPr>
          <w:noProof/>
          <w:szCs w:val="22"/>
          <w:lang w:val="it-IT"/>
        </w:rPr>
        <w:t>1/13/871/003</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13.</w:t>
      </w:r>
      <w:r w:rsidRPr="00FB01EF">
        <w:rPr>
          <w:b/>
          <w:noProof/>
          <w:szCs w:val="22"/>
          <w:lang w:val="it-IT"/>
        </w:rPr>
        <w:tab/>
      </w:r>
      <w:r w:rsidRPr="00FB01EF">
        <w:rPr>
          <w:b/>
          <w:bCs/>
          <w:szCs w:val="22"/>
          <w:lang w:val="it-IT"/>
        </w:rPr>
        <w:t>NUMERO DI LOTTO</w:t>
      </w:r>
    </w:p>
    <w:p w:rsidR="00F14A7D" w:rsidRPr="00FB01EF" w:rsidRDefault="00F14A7D" w:rsidP="00F14A7D">
      <w:pPr>
        <w:rPr>
          <w:noProof/>
          <w:szCs w:val="22"/>
          <w:lang w:val="it-IT"/>
        </w:rPr>
      </w:pPr>
    </w:p>
    <w:p w:rsidR="00F14A7D" w:rsidRPr="00FB01EF" w:rsidRDefault="00F14A7D" w:rsidP="00F14A7D">
      <w:pPr>
        <w:rPr>
          <w:noProof/>
          <w:szCs w:val="22"/>
          <w:lang w:val="it-IT"/>
        </w:rPr>
      </w:pPr>
      <w:r w:rsidRPr="00FB01EF">
        <w:rPr>
          <w:noProof/>
          <w:szCs w:val="22"/>
          <w:lang w:val="it-IT"/>
        </w:rPr>
        <w:t>Lotto</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14.</w:t>
      </w:r>
      <w:r w:rsidRPr="00FB01EF">
        <w:rPr>
          <w:b/>
          <w:noProof/>
          <w:szCs w:val="22"/>
          <w:lang w:val="it-IT"/>
        </w:rPr>
        <w:tab/>
      </w:r>
      <w:r w:rsidRPr="00FB01EF">
        <w:rPr>
          <w:b/>
          <w:bCs/>
          <w:szCs w:val="22"/>
          <w:lang w:val="it-IT"/>
        </w:rPr>
        <w:t>CONDIZIONE GENERALE DI FORNITURA</w:t>
      </w:r>
    </w:p>
    <w:p w:rsidR="00F14A7D" w:rsidRPr="00FB01EF" w:rsidRDefault="00F14A7D" w:rsidP="00F14A7D">
      <w:pPr>
        <w:rPr>
          <w:i/>
          <w:noProof/>
          <w:szCs w:val="22"/>
          <w:lang w:val="it-IT"/>
        </w:rPr>
      </w:pPr>
    </w:p>
    <w:p w:rsidR="00F14A7D" w:rsidRPr="00FB01EF" w:rsidRDefault="00F14A7D" w:rsidP="00F14A7D">
      <w:pPr>
        <w:rPr>
          <w:noProof/>
          <w:szCs w:val="22"/>
          <w:lang w:val="it-IT"/>
        </w:rPr>
      </w:pPr>
      <w:r w:rsidRPr="00FB01EF">
        <w:rPr>
          <w:szCs w:val="22"/>
          <w:lang w:val="it-IT"/>
        </w:rPr>
        <w:t>Medicinale soggetto a prescrizione medica</w:t>
      </w:r>
      <w:r w:rsidRPr="00FB01EF">
        <w:rPr>
          <w:noProof/>
          <w:szCs w:val="22"/>
          <w:lang w:val="it-IT"/>
        </w:rPr>
        <w:t>.</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2" w:color="auto"/>
          <w:left w:val="single" w:sz="4" w:space="4" w:color="auto"/>
          <w:bottom w:val="single" w:sz="4" w:space="1" w:color="auto"/>
          <w:right w:val="single" w:sz="4" w:space="4" w:color="auto"/>
        </w:pBdr>
        <w:outlineLvl w:val="0"/>
        <w:rPr>
          <w:noProof/>
          <w:szCs w:val="22"/>
          <w:lang w:val="it-IT"/>
        </w:rPr>
      </w:pPr>
      <w:r w:rsidRPr="00FB01EF">
        <w:rPr>
          <w:b/>
          <w:noProof/>
          <w:szCs w:val="22"/>
          <w:lang w:val="it-IT"/>
        </w:rPr>
        <w:t>15.</w:t>
      </w:r>
      <w:r w:rsidRPr="00FB01EF">
        <w:rPr>
          <w:b/>
          <w:noProof/>
          <w:szCs w:val="22"/>
          <w:lang w:val="it-IT"/>
        </w:rPr>
        <w:tab/>
      </w:r>
      <w:r w:rsidRPr="00FB01EF">
        <w:rPr>
          <w:b/>
          <w:bCs/>
          <w:szCs w:val="22"/>
          <w:lang w:val="it-IT"/>
        </w:rPr>
        <w:t>ISTRUZIONI PER L’USO</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D04828">
      <w:pPr>
        <w:keepNext/>
        <w:pBdr>
          <w:top w:val="single" w:sz="4" w:space="1" w:color="auto"/>
          <w:left w:val="single" w:sz="4" w:space="4" w:color="auto"/>
          <w:bottom w:val="single" w:sz="4" w:space="0" w:color="auto"/>
          <w:right w:val="single" w:sz="4" w:space="4" w:color="auto"/>
        </w:pBdr>
        <w:rPr>
          <w:noProof/>
          <w:szCs w:val="22"/>
          <w:lang w:val="it-IT"/>
        </w:rPr>
      </w:pPr>
      <w:r w:rsidRPr="00FB01EF">
        <w:rPr>
          <w:b/>
          <w:noProof/>
          <w:szCs w:val="22"/>
          <w:lang w:val="it-IT"/>
        </w:rPr>
        <w:t>16.</w:t>
      </w:r>
      <w:r w:rsidRPr="00FB01EF">
        <w:rPr>
          <w:b/>
          <w:noProof/>
          <w:szCs w:val="22"/>
          <w:lang w:val="it-IT"/>
        </w:rPr>
        <w:tab/>
      </w:r>
      <w:r w:rsidRPr="00FB01EF">
        <w:rPr>
          <w:b/>
          <w:bCs/>
          <w:szCs w:val="22"/>
          <w:lang w:val="it-IT"/>
        </w:rPr>
        <w:t>INFORMAZIONI IN BRAILLE</w:t>
      </w:r>
    </w:p>
    <w:p w:rsidR="00F14A7D" w:rsidRPr="00FB01EF" w:rsidRDefault="00F14A7D" w:rsidP="00F14A7D">
      <w:pPr>
        <w:rPr>
          <w:noProof/>
          <w:szCs w:val="22"/>
          <w:lang w:val="it-IT"/>
        </w:rPr>
      </w:pPr>
    </w:p>
    <w:p w:rsidR="00F14A7D" w:rsidRPr="00FB01EF" w:rsidRDefault="00F14A7D" w:rsidP="00F14A7D">
      <w:pPr>
        <w:autoSpaceDE w:val="0"/>
        <w:autoSpaceDN w:val="0"/>
        <w:adjustRightInd w:val="0"/>
        <w:jc w:val="both"/>
        <w:rPr>
          <w:noProof/>
          <w:color w:val="000000"/>
          <w:szCs w:val="22"/>
          <w:lang w:val="it-IT"/>
        </w:rPr>
      </w:pPr>
      <w:r w:rsidRPr="00FB01EF">
        <w:rPr>
          <w:szCs w:val="22"/>
          <w:lang w:val="it-IT"/>
        </w:rPr>
        <w:t>Ovaleap 900 UI/1,5</w:t>
      </w:r>
      <w:r w:rsidR="0057781E" w:rsidRPr="00FB01EF">
        <w:rPr>
          <w:szCs w:val="22"/>
          <w:lang w:val="it-IT"/>
        </w:rPr>
        <w:t> </w:t>
      </w:r>
      <w:r w:rsidRPr="00FB01EF">
        <w:rPr>
          <w:szCs w:val="22"/>
          <w:lang w:val="it-IT"/>
        </w:rPr>
        <w:t>m</w:t>
      </w:r>
      <w:r w:rsidRPr="00FB01EF">
        <w:rPr>
          <w:noProof/>
          <w:color w:val="000000"/>
          <w:szCs w:val="22"/>
          <w:lang w:val="it-IT"/>
        </w:rPr>
        <w:t>L</w:t>
      </w:r>
    </w:p>
    <w:p w:rsidR="00F14A7D" w:rsidRPr="00FB01EF" w:rsidRDefault="00F14A7D" w:rsidP="00F14A7D">
      <w:pPr>
        <w:rPr>
          <w:noProof/>
          <w:szCs w:val="22"/>
          <w:shd w:val="clear" w:color="auto" w:fill="CCCCCC"/>
          <w:lang w:val="it-IT"/>
        </w:rPr>
      </w:pPr>
    </w:p>
    <w:p w:rsidR="00DD2D77" w:rsidRPr="00FB01EF" w:rsidRDefault="00DD2D77" w:rsidP="00DD2D77">
      <w:pPr>
        <w:rPr>
          <w:noProof/>
          <w:szCs w:val="22"/>
          <w:shd w:val="clear" w:color="auto" w:fill="CCCCCC"/>
          <w:lang w:val="it-IT" w:eastAsia="it-IT" w:bidi="it-IT"/>
        </w:rPr>
      </w:pPr>
    </w:p>
    <w:p w:rsidR="00DD2D77" w:rsidRPr="00FB01EF" w:rsidRDefault="00DD2D77" w:rsidP="00DD2D7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it-IT" w:eastAsia="it-IT" w:bidi="it-IT"/>
        </w:rPr>
      </w:pPr>
      <w:r w:rsidRPr="00FB01EF">
        <w:rPr>
          <w:b/>
          <w:noProof/>
          <w:lang w:val="it-IT" w:eastAsia="it-IT" w:bidi="it-IT"/>
        </w:rPr>
        <w:t>17.</w:t>
      </w:r>
      <w:r w:rsidRPr="00FB01EF">
        <w:rPr>
          <w:b/>
          <w:noProof/>
          <w:lang w:val="it-IT" w:eastAsia="it-IT" w:bidi="it-IT"/>
        </w:rPr>
        <w:tab/>
        <w:t>IDENTIFICATIVO UNICO – CODICE A BARRE BIDIMENSIONALE</w:t>
      </w:r>
    </w:p>
    <w:p w:rsidR="00DD2D77" w:rsidRPr="00FB01EF" w:rsidRDefault="00DD2D77" w:rsidP="00DD2D77">
      <w:pPr>
        <w:tabs>
          <w:tab w:val="clear" w:pos="567"/>
        </w:tabs>
        <w:rPr>
          <w:noProof/>
          <w:lang w:val="it-IT" w:eastAsia="it-IT" w:bidi="it-IT"/>
        </w:rPr>
      </w:pPr>
    </w:p>
    <w:p w:rsidR="00DD2D77" w:rsidRPr="00FB01EF" w:rsidRDefault="00DD2D77" w:rsidP="00DD2D77">
      <w:pPr>
        <w:rPr>
          <w:noProof/>
          <w:szCs w:val="22"/>
          <w:shd w:val="clear" w:color="auto" w:fill="CCCCCC"/>
          <w:lang w:val="it-IT" w:eastAsia="it-IT" w:bidi="it-IT"/>
        </w:rPr>
      </w:pPr>
      <w:r w:rsidRPr="00FB01EF">
        <w:rPr>
          <w:noProof/>
          <w:highlight w:val="lightGray"/>
          <w:lang w:val="it-IT" w:eastAsia="it-IT" w:bidi="it-IT"/>
        </w:rPr>
        <w:t>Codice a barre bidimensionale con identificativo unico incluso.</w:t>
      </w:r>
    </w:p>
    <w:p w:rsidR="00DD2D77" w:rsidRPr="00FB01EF" w:rsidRDefault="00DD2D77" w:rsidP="00DD2D77">
      <w:pPr>
        <w:tabs>
          <w:tab w:val="clear" w:pos="567"/>
        </w:tabs>
        <w:rPr>
          <w:noProof/>
          <w:lang w:val="it-IT" w:eastAsia="it-IT" w:bidi="it-IT"/>
        </w:rPr>
      </w:pPr>
    </w:p>
    <w:p w:rsidR="00DD2D77" w:rsidRPr="00FB01EF" w:rsidRDefault="00DD2D77" w:rsidP="00DD2D77">
      <w:pPr>
        <w:tabs>
          <w:tab w:val="clear" w:pos="567"/>
        </w:tabs>
        <w:rPr>
          <w:noProof/>
          <w:lang w:val="it-IT" w:eastAsia="it-IT" w:bidi="it-IT"/>
        </w:rPr>
      </w:pPr>
    </w:p>
    <w:p w:rsidR="00DD2D77" w:rsidRPr="00FB01EF" w:rsidRDefault="00DD2D77" w:rsidP="00DD2D7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it-IT" w:eastAsia="it-IT" w:bidi="it-IT"/>
        </w:rPr>
      </w:pPr>
      <w:r w:rsidRPr="00FB01EF">
        <w:rPr>
          <w:b/>
          <w:noProof/>
          <w:lang w:val="it-IT" w:eastAsia="it-IT" w:bidi="it-IT"/>
        </w:rPr>
        <w:t>18.</w:t>
      </w:r>
      <w:r w:rsidRPr="00FB01EF">
        <w:rPr>
          <w:b/>
          <w:noProof/>
          <w:lang w:val="it-IT" w:eastAsia="it-IT" w:bidi="it-IT"/>
        </w:rPr>
        <w:tab/>
        <w:t xml:space="preserve">IDENTIFICATIVO UNICO - DATI LEGGIBILI </w:t>
      </w:r>
    </w:p>
    <w:p w:rsidR="00DD2D77" w:rsidRPr="00FB01EF" w:rsidRDefault="00DD2D77" w:rsidP="00DD2D77">
      <w:pPr>
        <w:tabs>
          <w:tab w:val="clear" w:pos="567"/>
        </w:tabs>
        <w:rPr>
          <w:noProof/>
          <w:lang w:val="it-IT" w:eastAsia="it-IT" w:bidi="it-IT"/>
        </w:rPr>
      </w:pPr>
    </w:p>
    <w:p w:rsidR="00DD2D77" w:rsidRPr="00FB01EF" w:rsidRDefault="00DD2D77" w:rsidP="00DD2D77">
      <w:pPr>
        <w:spacing w:line="260" w:lineRule="exact"/>
        <w:rPr>
          <w:szCs w:val="22"/>
          <w:lang w:val="it-IT" w:eastAsia="it-IT" w:bidi="it-IT"/>
        </w:rPr>
      </w:pPr>
      <w:r w:rsidRPr="00FB01EF">
        <w:rPr>
          <w:lang w:val="it-IT" w:eastAsia="it-IT" w:bidi="it-IT"/>
        </w:rPr>
        <w:t>PC:</w:t>
      </w:r>
    </w:p>
    <w:p w:rsidR="00DD2D77" w:rsidRPr="00FB01EF" w:rsidRDefault="00DD2D77" w:rsidP="00DD2D77">
      <w:pPr>
        <w:spacing w:line="260" w:lineRule="exact"/>
        <w:rPr>
          <w:szCs w:val="22"/>
          <w:lang w:val="it-IT" w:eastAsia="it-IT" w:bidi="it-IT"/>
        </w:rPr>
      </w:pPr>
      <w:r w:rsidRPr="00FB01EF">
        <w:rPr>
          <w:lang w:val="it-IT" w:eastAsia="it-IT" w:bidi="it-IT"/>
        </w:rPr>
        <w:t>SN:</w:t>
      </w:r>
    </w:p>
    <w:p w:rsidR="00DD2D77" w:rsidRPr="00FB01EF" w:rsidRDefault="00DD2D77" w:rsidP="00DD2D77">
      <w:pPr>
        <w:autoSpaceDE w:val="0"/>
        <w:autoSpaceDN w:val="0"/>
        <w:adjustRightInd w:val="0"/>
        <w:jc w:val="both"/>
        <w:rPr>
          <w:lang w:val="it-IT" w:eastAsia="it-IT" w:bidi="it-IT"/>
        </w:rPr>
      </w:pPr>
      <w:r w:rsidRPr="00FB01EF">
        <w:rPr>
          <w:lang w:val="it-IT" w:eastAsia="it-IT" w:bidi="it-IT"/>
        </w:rPr>
        <w:t>NN:</w:t>
      </w:r>
    </w:p>
    <w:p w:rsidR="00FB17A2" w:rsidRPr="00FB01EF" w:rsidRDefault="00FB17A2" w:rsidP="00F14A7D">
      <w:pPr>
        <w:rPr>
          <w:noProof/>
          <w:szCs w:val="22"/>
          <w:shd w:val="clear" w:color="auto" w:fill="CCCCCC"/>
          <w:lang w:val="it-IT"/>
        </w:rPr>
      </w:pPr>
    </w:p>
    <w:p w:rsidR="00812D16" w:rsidRPr="00FB01EF" w:rsidRDefault="008A519E" w:rsidP="00496272">
      <w:pPr>
        <w:pBdr>
          <w:top w:val="single" w:sz="4" w:space="1" w:color="auto"/>
          <w:left w:val="single" w:sz="4" w:space="4" w:color="auto"/>
          <w:bottom w:val="single" w:sz="4" w:space="1" w:color="auto"/>
          <w:right w:val="single" w:sz="4" w:space="4" w:color="auto"/>
        </w:pBdr>
        <w:rPr>
          <w:b/>
          <w:noProof/>
          <w:szCs w:val="22"/>
          <w:lang w:val="it-IT"/>
        </w:rPr>
      </w:pPr>
      <w:r w:rsidRPr="00FB01EF">
        <w:rPr>
          <w:noProof/>
          <w:szCs w:val="22"/>
          <w:shd w:val="clear" w:color="auto" w:fill="CCCCCC"/>
          <w:lang w:val="it-IT"/>
        </w:rPr>
        <w:br w:type="page"/>
      </w:r>
      <w:r w:rsidR="00C734BF" w:rsidRPr="00FB01EF">
        <w:rPr>
          <w:b/>
          <w:bCs/>
          <w:szCs w:val="22"/>
          <w:lang w:val="it-IT"/>
        </w:rPr>
        <w:lastRenderedPageBreak/>
        <w:t>INFORMAZIONI MINIME DA APPORRE SUI CONFEZIONAMENTI PRIMARI DI PICCOLE DIMENSIONI</w:t>
      </w:r>
    </w:p>
    <w:p w:rsidR="00812D16" w:rsidRPr="00FB01EF" w:rsidRDefault="00812D16" w:rsidP="00496272">
      <w:pPr>
        <w:pBdr>
          <w:top w:val="single" w:sz="4" w:space="1" w:color="auto"/>
          <w:left w:val="single" w:sz="4" w:space="4" w:color="auto"/>
          <w:bottom w:val="single" w:sz="4" w:space="1" w:color="auto"/>
          <w:right w:val="single" w:sz="4" w:space="4" w:color="auto"/>
        </w:pBdr>
        <w:rPr>
          <w:b/>
          <w:noProof/>
          <w:szCs w:val="22"/>
          <w:lang w:val="it-IT"/>
        </w:rPr>
      </w:pPr>
    </w:p>
    <w:p w:rsidR="00812D16" w:rsidRPr="00FB01EF" w:rsidRDefault="00F14A7D" w:rsidP="00496272">
      <w:pPr>
        <w:pBdr>
          <w:top w:val="single" w:sz="4" w:space="1" w:color="auto"/>
          <w:left w:val="single" w:sz="4" w:space="4" w:color="auto"/>
          <w:bottom w:val="single" w:sz="4" w:space="1" w:color="auto"/>
          <w:right w:val="single" w:sz="4" w:space="4" w:color="auto"/>
        </w:pBdr>
        <w:rPr>
          <w:b/>
          <w:noProof/>
          <w:szCs w:val="22"/>
          <w:lang w:val="it-IT"/>
        </w:rPr>
      </w:pPr>
      <w:r w:rsidRPr="00FB01EF">
        <w:rPr>
          <w:b/>
          <w:bCs/>
          <w:szCs w:val="22"/>
          <w:lang w:val="it-IT"/>
        </w:rPr>
        <w:t>CARTUCCIA</w:t>
      </w:r>
    </w:p>
    <w:p w:rsidR="00812D16" w:rsidRPr="00FB01EF" w:rsidRDefault="00812D16"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1.</w:t>
      </w:r>
      <w:r w:rsidRPr="00FB01EF">
        <w:rPr>
          <w:b/>
          <w:noProof/>
          <w:szCs w:val="22"/>
          <w:lang w:val="it-IT"/>
        </w:rPr>
        <w:tab/>
      </w:r>
      <w:r w:rsidR="00C734BF" w:rsidRPr="00FB01EF">
        <w:rPr>
          <w:b/>
          <w:bCs/>
          <w:szCs w:val="22"/>
          <w:lang w:val="it-IT"/>
        </w:rPr>
        <w:t>DENOMINAZIONE DEL MEDICINALE E VIA(E) DI SOMMINISTRAZIONE</w:t>
      </w:r>
    </w:p>
    <w:p w:rsidR="00812D16" w:rsidRPr="00FB01EF" w:rsidRDefault="00812D16" w:rsidP="00496272">
      <w:pPr>
        <w:ind w:left="567" w:hanging="567"/>
        <w:rPr>
          <w:noProof/>
          <w:szCs w:val="22"/>
          <w:lang w:val="it-IT"/>
        </w:rPr>
      </w:pPr>
    </w:p>
    <w:p w:rsidR="00C734BF" w:rsidRPr="00FB01EF" w:rsidRDefault="00F14A7D" w:rsidP="00C734BF">
      <w:pPr>
        <w:ind w:right="-20"/>
        <w:rPr>
          <w:szCs w:val="22"/>
          <w:lang w:val="it-IT"/>
        </w:rPr>
      </w:pPr>
      <w:r w:rsidRPr="00FB01EF">
        <w:rPr>
          <w:szCs w:val="22"/>
          <w:lang w:val="it-IT"/>
        </w:rPr>
        <w:t>Ovaleap 300 </w:t>
      </w:r>
      <w:r w:rsidR="00C734BF" w:rsidRPr="00FB01EF">
        <w:rPr>
          <w:szCs w:val="22"/>
          <w:lang w:val="it-IT"/>
        </w:rPr>
        <w:t>UI/0,5</w:t>
      </w:r>
      <w:r w:rsidR="0057781E" w:rsidRPr="00FB01EF">
        <w:rPr>
          <w:szCs w:val="22"/>
          <w:lang w:val="it-IT"/>
        </w:rPr>
        <w:t> </w:t>
      </w:r>
      <w:r w:rsidR="00C734BF" w:rsidRPr="00FB01EF">
        <w:rPr>
          <w:szCs w:val="22"/>
          <w:lang w:val="it-IT"/>
        </w:rPr>
        <w:t>m</w:t>
      </w:r>
      <w:r w:rsidRPr="00FB01EF">
        <w:rPr>
          <w:szCs w:val="22"/>
          <w:lang w:val="it-IT"/>
        </w:rPr>
        <w:t>L</w:t>
      </w:r>
      <w:r w:rsidR="00C734BF" w:rsidRPr="00FB01EF">
        <w:rPr>
          <w:szCs w:val="22"/>
          <w:lang w:val="it-IT"/>
        </w:rPr>
        <w:t xml:space="preserve"> </w:t>
      </w:r>
      <w:r w:rsidR="00145F62" w:rsidRPr="00FB01EF">
        <w:rPr>
          <w:szCs w:val="22"/>
          <w:lang w:val="it-IT"/>
        </w:rPr>
        <w:t>preparazione iniettabile</w:t>
      </w:r>
    </w:p>
    <w:p w:rsidR="00F14A7D" w:rsidRPr="00FB01EF" w:rsidRDefault="00F14A7D" w:rsidP="00C734BF">
      <w:pPr>
        <w:ind w:right="-20"/>
        <w:rPr>
          <w:szCs w:val="22"/>
          <w:lang w:val="it-IT"/>
        </w:rPr>
      </w:pPr>
    </w:p>
    <w:p w:rsidR="00F14A7D" w:rsidRPr="00FB01EF" w:rsidRDefault="00897367" w:rsidP="00F97DD8">
      <w:pPr>
        <w:ind w:right="5810"/>
        <w:rPr>
          <w:szCs w:val="22"/>
          <w:lang w:val="it-IT"/>
        </w:rPr>
      </w:pPr>
      <w:r w:rsidRPr="00FB01EF">
        <w:rPr>
          <w:szCs w:val="22"/>
          <w:lang w:val="it-IT"/>
        </w:rPr>
        <w:t>f</w:t>
      </w:r>
      <w:r w:rsidR="00C734BF" w:rsidRPr="00FB01EF">
        <w:rPr>
          <w:szCs w:val="22"/>
          <w:lang w:val="it-IT"/>
        </w:rPr>
        <w:t>ollitropina</w:t>
      </w:r>
      <w:r w:rsidR="00145F62" w:rsidRPr="00FB01EF">
        <w:rPr>
          <w:szCs w:val="22"/>
          <w:lang w:val="it-IT"/>
        </w:rPr>
        <w:t> </w:t>
      </w:r>
      <w:r w:rsidR="00C734BF" w:rsidRPr="00FB01EF">
        <w:rPr>
          <w:szCs w:val="22"/>
          <w:lang w:val="it-IT"/>
        </w:rPr>
        <w:t>alfa</w:t>
      </w:r>
    </w:p>
    <w:p w:rsidR="00F14A7D" w:rsidRPr="00FB01EF" w:rsidRDefault="00F14A7D" w:rsidP="00F97DD8">
      <w:pPr>
        <w:ind w:right="5810"/>
        <w:rPr>
          <w:szCs w:val="22"/>
          <w:lang w:val="it-IT"/>
        </w:rPr>
      </w:pPr>
    </w:p>
    <w:p w:rsidR="00C734BF" w:rsidRPr="00FB01EF" w:rsidRDefault="00145F62" w:rsidP="00F97DD8">
      <w:pPr>
        <w:ind w:right="5810"/>
        <w:rPr>
          <w:szCs w:val="22"/>
          <w:lang w:val="it-IT"/>
        </w:rPr>
      </w:pPr>
      <w:r w:rsidRPr="00FB01EF">
        <w:rPr>
          <w:szCs w:val="22"/>
          <w:lang w:val="it-IT"/>
        </w:rPr>
        <w:t>s.c.</w:t>
      </w:r>
    </w:p>
    <w:p w:rsidR="00812D16" w:rsidRPr="00FB01EF" w:rsidRDefault="00812D16"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2.</w:t>
      </w:r>
      <w:r w:rsidRPr="00FB01EF">
        <w:rPr>
          <w:b/>
          <w:noProof/>
          <w:szCs w:val="22"/>
          <w:lang w:val="it-IT"/>
        </w:rPr>
        <w:tab/>
      </w:r>
      <w:r w:rsidR="00C734BF" w:rsidRPr="00FB01EF">
        <w:rPr>
          <w:b/>
          <w:bCs/>
          <w:szCs w:val="22"/>
          <w:lang w:val="it-IT"/>
        </w:rPr>
        <w:t>MODO DI SOMMINISTRAZIONE</w:t>
      </w:r>
    </w:p>
    <w:p w:rsidR="006D0A2F" w:rsidRPr="00FB01EF" w:rsidRDefault="006D0A2F" w:rsidP="00496272">
      <w:pPr>
        <w:rPr>
          <w:noProof/>
          <w:szCs w:val="22"/>
          <w:lang w:val="it-IT"/>
        </w:rPr>
      </w:pPr>
    </w:p>
    <w:p w:rsidR="00D43E3D" w:rsidRPr="00FB01EF" w:rsidRDefault="00D43E3D" w:rsidP="00496272">
      <w:pPr>
        <w:rPr>
          <w:noProof/>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3.</w:t>
      </w:r>
      <w:r w:rsidRPr="00FB01EF">
        <w:rPr>
          <w:b/>
          <w:noProof/>
          <w:szCs w:val="22"/>
          <w:lang w:val="it-IT"/>
        </w:rPr>
        <w:tab/>
      </w:r>
      <w:r w:rsidR="00C734BF" w:rsidRPr="00FB01EF">
        <w:rPr>
          <w:b/>
          <w:bCs/>
          <w:szCs w:val="22"/>
          <w:lang w:val="it-IT"/>
        </w:rPr>
        <w:t>DATA DI SCADENZA</w:t>
      </w:r>
    </w:p>
    <w:p w:rsidR="00812D16" w:rsidRPr="00FB01EF" w:rsidRDefault="00812D16" w:rsidP="00496272">
      <w:pPr>
        <w:rPr>
          <w:noProof/>
          <w:szCs w:val="22"/>
          <w:lang w:val="it-IT"/>
        </w:rPr>
      </w:pPr>
    </w:p>
    <w:p w:rsidR="00C734BF" w:rsidRPr="00FB01EF" w:rsidRDefault="00C734BF" w:rsidP="00C734BF">
      <w:pPr>
        <w:ind w:right="-20"/>
        <w:rPr>
          <w:szCs w:val="22"/>
          <w:lang w:val="it-IT"/>
        </w:rPr>
      </w:pPr>
      <w:r w:rsidRPr="00FB01EF">
        <w:rPr>
          <w:szCs w:val="22"/>
          <w:lang w:val="it-IT"/>
        </w:rPr>
        <w:t>Scad.</w:t>
      </w:r>
    </w:p>
    <w:p w:rsidR="00E8680E" w:rsidRPr="00FB01EF" w:rsidRDefault="00E8680E" w:rsidP="00496272">
      <w:pPr>
        <w:rPr>
          <w:szCs w:val="22"/>
          <w:lang w:val="it-IT"/>
        </w:rPr>
      </w:pPr>
    </w:p>
    <w:p w:rsidR="00812D16" w:rsidRPr="00FB01EF" w:rsidRDefault="00812D16" w:rsidP="00496272">
      <w:pPr>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4.</w:t>
      </w:r>
      <w:r w:rsidR="006D0A2F" w:rsidRPr="00FB01EF">
        <w:rPr>
          <w:b/>
          <w:noProof/>
          <w:szCs w:val="22"/>
          <w:lang w:val="it-IT"/>
        </w:rPr>
        <w:tab/>
      </w:r>
      <w:r w:rsidR="00C734BF" w:rsidRPr="00FB01EF">
        <w:rPr>
          <w:b/>
          <w:bCs/>
          <w:szCs w:val="22"/>
          <w:lang w:val="it-IT"/>
        </w:rPr>
        <w:t>NUMERO DI LOTTO</w:t>
      </w:r>
    </w:p>
    <w:p w:rsidR="00812D16" w:rsidRPr="00FB01EF" w:rsidRDefault="00812D16" w:rsidP="00496272">
      <w:pPr>
        <w:ind w:right="113"/>
        <w:rPr>
          <w:noProof/>
          <w:szCs w:val="22"/>
          <w:lang w:val="it-IT"/>
        </w:rPr>
      </w:pPr>
    </w:p>
    <w:p w:rsidR="006D0A2F" w:rsidRPr="00FB01EF" w:rsidRDefault="00C734BF" w:rsidP="00496272">
      <w:pPr>
        <w:ind w:right="113"/>
        <w:rPr>
          <w:noProof/>
          <w:szCs w:val="22"/>
          <w:lang w:val="it-IT"/>
        </w:rPr>
      </w:pPr>
      <w:r w:rsidRPr="00FB01EF">
        <w:rPr>
          <w:noProof/>
          <w:szCs w:val="22"/>
          <w:lang w:val="it-IT"/>
        </w:rPr>
        <w:t>Lotto</w:t>
      </w:r>
    </w:p>
    <w:p w:rsidR="00812D16" w:rsidRPr="00FB01EF" w:rsidRDefault="00812D16" w:rsidP="00496272">
      <w:pPr>
        <w:ind w:right="113"/>
        <w:rPr>
          <w:noProof/>
          <w:szCs w:val="22"/>
          <w:lang w:val="it-IT"/>
        </w:rPr>
      </w:pPr>
    </w:p>
    <w:p w:rsidR="006D0A2F" w:rsidRPr="00FB01EF" w:rsidRDefault="006D0A2F" w:rsidP="00496272">
      <w:pPr>
        <w:ind w:right="113"/>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5.</w:t>
      </w:r>
      <w:r w:rsidRPr="00FB01EF">
        <w:rPr>
          <w:b/>
          <w:noProof/>
          <w:szCs w:val="22"/>
          <w:lang w:val="it-IT"/>
        </w:rPr>
        <w:tab/>
      </w:r>
      <w:r w:rsidR="00C734BF" w:rsidRPr="00FB01EF">
        <w:rPr>
          <w:b/>
          <w:bCs/>
          <w:szCs w:val="22"/>
          <w:lang w:val="it-IT"/>
        </w:rPr>
        <w:t>CONTENUTO IN PESO, VOLUME O UNITÀ</w:t>
      </w:r>
    </w:p>
    <w:p w:rsidR="00812D16" w:rsidRPr="00FB01EF" w:rsidRDefault="00812D16" w:rsidP="00496272">
      <w:pPr>
        <w:ind w:right="113"/>
        <w:rPr>
          <w:noProof/>
          <w:szCs w:val="22"/>
          <w:lang w:val="it-IT"/>
        </w:rPr>
      </w:pPr>
    </w:p>
    <w:p w:rsidR="006D0A2F" w:rsidRPr="00FB01EF" w:rsidRDefault="00F14A7D" w:rsidP="00496272">
      <w:pPr>
        <w:ind w:right="113"/>
        <w:rPr>
          <w:noProof/>
          <w:szCs w:val="22"/>
          <w:lang w:val="it-IT"/>
        </w:rPr>
      </w:pPr>
      <w:r w:rsidRPr="00FB01EF">
        <w:rPr>
          <w:szCs w:val="22"/>
          <w:lang w:val="it-IT"/>
        </w:rPr>
        <w:t>0,5 </w:t>
      </w:r>
      <w:r w:rsidR="00C734BF" w:rsidRPr="00FB01EF">
        <w:rPr>
          <w:szCs w:val="22"/>
          <w:lang w:val="it-IT"/>
        </w:rPr>
        <w:t>m</w:t>
      </w:r>
      <w:r w:rsidRPr="00FB01EF">
        <w:rPr>
          <w:szCs w:val="22"/>
          <w:lang w:val="it-IT"/>
        </w:rPr>
        <w:t>L</w:t>
      </w:r>
    </w:p>
    <w:p w:rsidR="00812D16" w:rsidRPr="00FB01EF" w:rsidRDefault="00812D16" w:rsidP="00496272">
      <w:pPr>
        <w:ind w:right="113"/>
        <w:rPr>
          <w:noProof/>
          <w:szCs w:val="22"/>
          <w:lang w:val="it-IT"/>
        </w:rPr>
      </w:pPr>
    </w:p>
    <w:p w:rsidR="006D0A2F" w:rsidRPr="00FB01EF" w:rsidRDefault="006D0A2F" w:rsidP="00496272">
      <w:pPr>
        <w:ind w:right="113"/>
        <w:rPr>
          <w:noProof/>
          <w:szCs w:val="22"/>
          <w:lang w:val="it-IT"/>
        </w:rPr>
      </w:pPr>
    </w:p>
    <w:p w:rsidR="00812D16" w:rsidRPr="00FB01E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6.</w:t>
      </w:r>
      <w:r w:rsidRPr="00FB01EF">
        <w:rPr>
          <w:b/>
          <w:noProof/>
          <w:szCs w:val="22"/>
          <w:lang w:val="it-IT"/>
        </w:rPr>
        <w:tab/>
      </w:r>
      <w:r w:rsidR="00C734BF" w:rsidRPr="00FB01EF">
        <w:rPr>
          <w:b/>
          <w:bCs/>
          <w:szCs w:val="22"/>
          <w:lang w:val="it-IT"/>
        </w:rPr>
        <w:t>ALTRO</w:t>
      </w:r>
    </w:p>
    <w:p w:rsidR="00812D16" w:rsidRPr="00FB01EF" w:rsidRDefault="00812D16" w:rsidP="00496272">
      <w:pPr>
        <w:ind w:right="113"/>
        <w:rPr>
          <w:noProof/>
          <w:szCs w:val="22"/>
          <w:lang w:val="it-IT"/>
        </w:rPr>
      </w:pPr>
    </w:p>
    <w:p w:rsidR="00FB17A2" w:rsidRPr="00FB01EF" w:rsidRDefault="00FB17A2" w:rsidP="00496272">
      <w:pPr>
        <w:ind w:right="113"/>
        <w:rPr>
          <w:noProof/>
          <w:szCs w:val="22"/>
          <w:lang w:val="it-IT"/>
        </w:rPr>
      </w:pPr>
    </w:p>
    <w:p w:rsidR="00FB17A2" w:rsidRPr="00FB01EF" w:rsidRDefault="00FB17A2" w:rsidP="00496272">
      <w:pPr>
        <w:ind w:right="113"/>
        <w:rPr>
          <w:noProof/>
          <w:szCs w:val="22"/>
          <w:lang w:val="it-IT"/>
        </w:rPr>
      </w:pPr>
    </w:p>
    <w:p w:rsidR="00F14A7D" w:rsidRPr="00FB01EF" w:rsidRDefault="006D0A2F" w:rsidP="00F14A7D">
      <w:pPr>
        <w:pBdr>
          <w:top w:val="single" w:sz="4" w:space="1" w:color="auto"/>
          <w:left w:val="single" w:sz="4" w:space="4" w:color="auto"/>
          <w:bottom w:val="single" w:sz="4" w:space="1" w:color="auto"/>
          <w:right w:val="single" w:sz="4" w:space="4" w:color="auto"/>
        </w:pBdr>
        <w:rPr>
          <w:b/>
          <w:noProof/>
          <w:szCs w:val="22"/>
          <w:lang w:val="it-IT"/>
        </w:rPr>
      </w:pPr>
      <w:r w:rsidRPr="00FB01EF">
        <w:rPr>
          <w:noProof/>
          <w:szCs w:val="22"/>
          <w:lang w:val="it-IT"/>
        </w:rPr>
        <w:br w:type="page"/>
      </w:r>
      <w:r w:rsidR="00F14A7D" w:rsidRPr="00FB01EF">
        <w:rPr>
          <w:b/>
          <w:bCs/>
          <w:szCs w:val="22"/>
          <w:lang w:val="it-IT"/>
        </w:rPr>
        <w:lastRenderedPageBreak/>
        <w:t>INFORMAZIONI MINIME DA APPORRE SUI CONFEZIONAMENTI PRIMARI DI PICCOLE DIMENSIONI</w:t>
      </w:r>
    </w:p>
    <w:p w:rsidR="00F14A7D" w:rsidRPr="00FB01EF" w:rsidRDefault="00F14A7D" w:rsidP="00F14A7D">
      <w:pPr>
        <w:pBdr>
          <w:top w:val="single" w:sz="4" w:space="1" w:color="auto"/>
          <w:left w:val="single" w:sz="4" w:space="4" w:color="auto"/>
          <w:bottom w:val="single" w:sz="4" w:space="1" w:color="auto"/>
          <w:right w:val="single" w:sz="4" w:space="4" w:color="auto"/>
        </w:pBdr>
        <w:rPr>
          <w:b/>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rPr>
          <w:b/>
          <w:noProof/>
          <w:szCs w:val="22"/>
          <w:lang w:val="it-IT"/>
        </w:rPr>
      </w:pPr>
      <w:r w:rsidRPr="00FB01EF">
        <w:rPr>
          <w:b/>
          <w:bCs/>
          <w:szCs w:val="22"/>
          <w:lang w:val="it-IT"/>
        </w:rPr>
        <w:t>CARTUCCIA</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1.</w:t>
      </w:r>
      <w:r w:rsidRPr="00FB01EF">
        <w:rPr>
          <w:b/>
          <w:noProof/>
          <w:szCs w:val="22"/>
          <w:lang w:val="it-IT"/>
        </w:rPr>
        <w:tab/>
      </w:r>
      <w:r w:rsidRPr="00FB01EF">
        <w:rPr>
          <w:b/>
          <w:bCs/>
          <w:szCs w:val="22"/>
          <w:lang w:val="it-IT"/>
        </w:rPr>
        <w:t>DENOMINAZIONE DEL MEDICINALE E VIA(E) DI SOMMINISTRAZIONE</w:t>
      </w:r>
    </w:p>
    <w:p w:rsidR="00F14A7D" w:rsidRPr="00FB01EF" w:rsidRDefault="00F14A7D" w:rsidP="00F14A7D">
      <w:pPr>
        <w:ind w:left="567" w:hanging="567"/>
        <w:rPr>
          <w:noProof/>
          <w:szCs w:val="22"/>
          <w:lang w:val="it-IT"/>
        </w:rPr>
      </w:pPr>
    </w:p>
    <w:p w:rsidR="00F14A7D" w:rsidRPr="00FB01EF" w:rsidRDefault="00F14A7D" w:rsidP="00F14A7D">
      <w:pPr>
        <w:ind w:right="-20"/>
        <w:rPr>
          <w:szCs w:val="22"/>
          <w:lang w:val="it-IT"/>
        </w:rPr>
      </w:pPr>
      <w:r w:rsidRPr="00FB01EF">
        <w:rPr>
          <w:szCs w:val="22"/>
          <w:lang w:val="it-IT"/>
        </w:rPr>
        <w:t>Ovaleap 450 UI/0,75</w:t>
      </w:r>
      <w:r w:rsidR="0057781E" w:rsidRPr="00FB01EF">
        <w:rPr>
          <w:szCs w:val="22"/>
          <w:lang w:val="it-IT"/>
        </w:rPr>
        <w:t> </w:t>
      </w:r>
      <w:r w:rsidRPr="00FB01EF">
        <w:rPr>
          <w:szCs w:val="22"/>
          <w:lang w:val="it-IT"/>
        </w:rPr>
        <w:t xml:space="preserve">mL </w:t>
      </w:r>
      <w:r w:rsidR="00145F62" w:rsidRPr="00FB01EF">
        <w:rPr>
          <w:szCs w:val="22"/>
          <w:lang w:val="it-IT"/>
        </w:rPr>
        <w:t>preparazione iniettabile</w:t>
      </w:r>
    </w:p>
    <w:p w:rsidR="00F14A7D" w:rsidRPr="00FB01EF" w:rsidRDefault="00F14A7D" w:rsidP="00F14A7D">
      <w:pPr>
        <w:ind w:right="-20"/>
        <w:rPr>
          <w:szCs w:val="22"/>
          <w:lang w:val="it-IT"/>
        </w:rPr>
      </w:pPr>
    </w:p>
    <w:p w:rsidR="00F14A7D" w:rsidRPr="00FB01EF" w:rsidRDefault="00897367" w:rsidP="00F97DD8">
      <w:pPr>
        <w:ind w:right="5810"/>
        <w:rPr>
          <w:szCs w:val="22"/>
          <w:lang w:val="it-IT"/>
        </w:rPr>
      </w:pPr>
      <w:r w:rsidRPr="00FB01EF">
        <w:rPr>
          <w:szCs w:val="22"/>
          <w:lang w:val="it-IT"/>
        </w:rPr>
        <w:t>f</w:t>
      </w:r>
      <w:r w:rsidR="00F14A7D" w:rsidRPr="00FB01EF">
        <w:rPr>
          <w:szCs w:val="22"/>
          <w:lang w:val="it-IT"/>
        </w:rPr>
        <w:t>ollitropina</w:t>
      </w:r>
      <w:r w:rsidR="00145F62" w:rsidRPr="00FB01EF">
        <w:rPr>
          <w:szCs w:val="22"/>
          <w:lang w:val="it-IT"/>
        </w:rPr>
        <w:t> </w:t>
      </w:r>
      <w:r w:rsidR="00F14A7D" w:rsidRPr="00FB01EF">
        <w:rPr>
          <w:szCs w:val="22"/>
          <w:lang w:val="it-IT"/>
        </w:rPr>
        <w:t>alfa</w:t>
      </w:r>
    </w:p>
    <w:p w:rsidR="00F14A7D" w:rsidRPr="00FB01EF" w:rsidRDefault="00F14A7D" w:rsidP="00F97DD8">
      <w:pPr>
        <w:ind w:right="5810"/>
        <w:rPr>
          <w:szCs w:val="22"/>
          <w:lang w:val="it-IT"/>
        </w:rPr>
      </w:pPr>
    </w:p>
    <w:p w:rsidR="00F14A7D" w:rsidRPr="00FB01EF" w:rsidRDefault="00145F62" w:rsidP="00F97DD8">
      <w:pPr>
        <w:ind w:right="5810"/>
        <w:rPr>
          <w:szCs w:val="22"/>
          <w:lang w:val="it-IT"/>
        </w:rPr>
      </w:pPr>
      <w:r w:rsidRPr="00FB01EF">
        <w:rPr>
          <w:szCs w:val="22"/>
          <w:lang w:val="it-IT"/>
        </w:rPr>
        <w:t>s.c.</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2.</w:t>
      </w:r>
      <w:r w:rsidRPr="00FB01EF">
        <w:rPr>
          <w:b/>
          <w:noProof/>
          <w:szCs w:val="22"/>
          <w:lang w:val="it-IT"/>
        </w:rPr>
        <w:tab/>
      </w:r>
      <w:r w:rsidRPr="00FB01EF">
        <w:rPr>
          <w:b/>
          <w:bCs/>
          <w:szCs w:val="22"/>
          <w:lang w:val="it-IT"/>
        </w:rPr>
        <w:t>MODO DI SOMMINISTRAZIONE</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3.</w:t>
      </w:r>
      <w:r w:rsidRPr="00FB01EF">
        <w:rPr>
          <w:b/>
          <w:noProof/>
          <w:szCs w:val="22"/>
          <w:lang w:val="it-IT"/>
        </w:rPr>
        <w:tab/>
      </w:r>
      <w:r w:rsidRPr="00FB01EF">
        <w:rPr>
          <w:b/>
          <w:bCs/>
          <w:szCs w:val="22"/>
          <w:lang w:val="it-IT"/>
        </w:rPr>
        <w:t>DATA DI SCADENZA</w:t>
      </w:r>
    </w:p>
    <w:p w:rsidR="00F14A7D" w:rsidRPr="00FB01EF" w:rsidRDefault="00F14A7D" w:rsidP="00F14A7D">
      <w:pPr>
        <w:rPr>
          <w:noProof/>
          <w:szCs w:val="22"/>
          <w:lang w:val="it-IT"/>
        </w:rPr>
      </w:pPr>
    </w:p>
    <w:p w:rsidR="00F14A7D" w:rsidRPr="00FB01EF" w:rsidRDefault="00F14A7D" w:rsidP="00F14A7D">
      <w:pPr>
        <w:ind w:right="-20"/>
        <w:rPr>
          <w:szCs w:val="22"/>
          <w:lang w:val="it-IT"/>
        </w:rPr>
      </w:pPr>
      <w:r w:rsidRPr="00FB01EF">
        <w:rPr>
          <w:szCs w:val="22"/>
          <w:lang w:val="it-IT"/>
        </w:rPr>
        <w:t>Scad.</w:t>
      </w:r>
    </w:p>
    <w:p w:rsidR="00E8680E" w:rsidRPr="00FB01EF" w:rsidRDefault="00E8680E" w:rsidP="00F14A7D">
      <w:pPr>
        <w:rPr>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4.</w:t>
      </w:r>
      <w:r w:rsidRPr="00FB01EF">
        <w:rPr>
          <w:b/>
          <w:noProof/>
          <w:szCs w:val="22"/>
          <w:lang w:val="it-IT"/>
        </w:rPr>
        <w:tab/>
      </w:r>
      <w:r w:rsidRPr="00FB01EF">
        <w:rPr>
          <w:b/>
          <w:bCs/>
          <w:szCs w:val="22"/>
          <w:lang w:val="it-IT"/>
        </w:rPr>
        <w:t>NUMERO DI LOTTO</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r w:rsidRPr="00FB01EF">
        <w:rPr>
          <w:noProof/>
          <w:szCs w:val="22"/>
          <w:lang w:val="it-IT"/>
        </w:rPr>
        <w:t>Lotto</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5.</w:t>
      </w:r>
      <w:r w:rsidRPr="00FB01EF">
        <w:rPr>
          <w:b/>
          <w:noProof/>
          <w:szCs w:val="22"/>
          <w:lang w:val="it-IT"/>
        </w:rPr>
        <w:tab/>
      </w:r>
      <w:r w:rsidRPr="00FB01EF">
        <w:rPr>
          <w:b/>
          <w:bCs/>
          <w:szCs w:val="22"/>
          <w:lang w:val="it-IT"/>
        </w:rPr>
        <w:t>CONTENUTO IN PESO, VOLUME O UNITÀ</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r w:rsidRPr="00FB01EF">
        <w:rPr>
          <w:szCs w:val="22"/>
          <w:lang w:val="it-IT"/>
        </w:rPr>
        <w:t>0,75 mL</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p>
    <w:p w:rsidR="00FB17A2" w:rsidRPr="00FB01EF" w:rsidRDefault="00FB17A2" w:rsidP="00FB17A2">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6.</w:t>
      </w:r>
      <w:r w:rsidRPr="00FB01EF">
        <w:rPr>
          <w:b/>
          <w:noProof/>
          <w:szCs w:val="22"/>
          <w:lang w:val="it-IT"/>
        </w:rPr>
        <w:tab/>
      </w:r>
      <w:r w:rsidRPr="00FB01EF">
        <w:rPr>
          <w:b/>
          <w:bCs/>
          <w:szCs w:val="22"/>
          <w:lang w:val="it-IT"/>
        </w:rPr>
        <w:t>ALTRO</w:t>
      </w:r>
    </w:p>
    <w:p w:rsidR="00FB17A2" w:rsidRPr="00FB01EF" w:rsidRDefault="00FB17A2" w:rsidP="00FB17A2">
      <w:pPr>
        <w:ind w:right="113"/>
        <w:rPr>
          <w:noProof/>
          <w:szCs w:val="22"/>
          <w:lang w:val="it-IT"/>
        </w:rPr>
      </w:pPr>
    </w:p>
    <w:p w:rsidR="00FB17A2" w:rsidRPr="00FB01EF" w:rsidRDefault="00FB17A2" w:rsidP="00FB17A2">
      <w:pPr>
        <w:ind w:right="113"/>
        <w:rPr>
          <w:noProof/>
          <w:szCs w:val="22"/>
          <w:lang w:val="it-IT"/>
        </w:rPr>
      </w:pPr>
    </w:p>
    <w:p w:rsidR="00FB17A2" w:rsidRPr="00FB01EF" w:rsidRDefault="00FB17A2" w:rsidP="00FB17A2">
      <w:pPr>
        <w:ind w:right="113"/>
        <w:rPr>
          <w:noProof/>
          <w:szCs w:val="22"/>
          <w:lang w:val="it-IT"/>
        </w:rPr>
      </w:pPr>
    </w:p>
    <w:p w:rsidR="00FB17A2" w:rsidRPr="00FB01EF" w:rsidRDefault="00FB17A2" w:rsidP="00FB17A2">
      <w:pPr>
        <w:jc w:val="center"/>
        <w:rPr>
          <w:b/>
          <w:noProof/>
          <w:szCs w:val="22"/>
          <w:lang w:val="it-IT"/>
        </w:rPr>
      </w:pPr>
      <w:r w:rsidRPr="00FB01EF">
        <w:rPr>
          <w:noProof/>
          <w:szCs w:val="22"/>
          <w:lang w:val="it-IT"/>
        </w:rPr>
        <w:br w:type="page"/>
      </w:r>
    </w:p>
    <w:p w:rsidR="00F14A7D" w:rsidRPr="00FB01EF" w:rsidRDefault="00F14A7D" w:rsidP="00F14A7D">
      <w:pPr>
        <w:pBdr>
          <w:top w:val="single" w:sz="4" w:space="1" w:color="auto"/>
          <w:left w:val="single" w:sz="4" w:space="4" w:color="auto"/>
          <w:bottom w:val="single" w:sz="4" w:space="1" w:color="auto"/>
          <w:right w:val="single" w:sz="4" w:space="4" w:color="auto"/>
        </w:pBdr>
        <w:rPr>
          <w:b/>
          <w:noProof/>
          <w:szCs w:val="22"/>
          <w:lang w:val="it-IT"/>
        </w:rPr>
      </w:pPr>
      <w:r w:rsidRPr="00FB01EF">
        <w:rPr>
          <w:b/>
          <w:bCs/>
          <w:szCs w:val="22"/>
          <w:lang w:val="it-IT"/>
        </w:rPr>
        <w:lastRenderedPageBreak/>
        <w:t>INFORMAZIONI MINIME DA APPORRE SUI CONFEZIONAMENTI PRIMARI DI PICCOLE DIMENSIONI</w:t>
      </w:r>
    </w:p>
    <w:p w:rsidR="00F14A7D" w:rsidRPr="00FB01EF" w:rsidRDefault="00F14A7D" w:rsidP="00F14A7D">
      <w:pPr>
        <w:pBdr>
          <w:top w:val="single" w:sz="4" w:space="1" w:color="auto"/>
          <w:left w:val="single" w:sz="4" w:space="4" w:color="auto"/>
          <w:bottom w:val="single" w:sz="4" w:space="1" w:color="auto"/>
          <w:right w:val="single" w:sz="4" w:space="4" w:color="auto"/>
        </w:pBdr>
        <w:rPr>
          <w:b/>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rPr>
          <w:b/>
          <w:noProof/>
          <w:szCs w:val="22"/>
          <w:lang w:val="it-IT"/>
        </w:rPr>
      </w:pPr>
      <w:r w:rsidRPr="00FB01EF">
        <w:rPr>
          <w:b/>
          <w:bCs/>
          <w:szCs w:val="22"/>
          <w:lang w:val="it-IT"/>
        </w:rPr>
        <w:t>CARTUCCIA</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1.</w:t>
      </w:r>
      <w:r w:rsidRPr="00FB01EF">
        <w:rPr>
          <w:b/>
          <w:noProof/>
          <w:szCs w:val="22"/>
          <w:lang w:val="it-IT"/>
        </w:rPr>
        <w:tab/>
      </w:r>
      <w:r w:rsidRPr="00FB01EF">
        <w:rPr>
          <w:b/>
          <w:bCs/>
          <w:szCs w:val="22"/>
          <w:lang w:val="it-IT"/>
        </w:rPr>
        <w:t>DENOMINAZIONE DEL MEDICINALE E VIA(E) DI SOMMINISTRAZIONE</w:t>
      </w:r>
    </w:p>
    <w:p w:rsidR="00F14A7D" w:rsidRPr="00FB01EF" w:rsidRDefault="00F14A7D" w:rsidP="00F14A7D">
      <w:pPr>
        <w:ind w:left="567" w:hanging="567"/>
        <w:rPr>
          <w:noProof/>
          <w:szCs w:val="22"/>
          <w:lang w:val="it-IT"/>
        </w:rPr>
      </w:pPr>
    </w:p>
    <w:p w:rsidR="00F14A7D" w:rsidRPr="00FB01EF" w:rsidRDefault="00F14A7D" w:rsidP="00F14A7D">
      <w:pPr>
        <w:ind w:right="-20"/>
        <w:rPr>
          <w:szCs w:val="22"/>
          <w:lang w:val="it-IT"/>
        </w:rPr>
      </w:pPr>
      <w:r w:rsidRPr="00FB01EF">
        <w:rPr>
          <w:szCs w:val="22"/>
          <w:lang w:val="it-IT"/>
        </w:rPr>
        <w:t>Ovaleap 900 UI/1,5</w:t>
      </w:r>
      <w:r w:rsidR="0057781E" w:rsidRPr="00FB01EF">
        <w:rPr>
          <w:szCs w:val="22"/>
          <w:lang w:val="it-IT"/>
        </w:rPr>
        <w:t> </w:t>
      </w:r>
      <w:r w:rsidRPr="00FB01EF">
        <w:rPr>
          <w:szCs w:val="22"/>
          <w:lang w:val="it-IT"/>
        </w:rPr>
        <w:t xml:space="preserve">mL </w:t>
      </w:r>
      <w:r w:rsidR="00145F62" w:rsidRPr="00FB01EF">
        <w:rPr>
          <w:szCs w:val="22"/>
          <w:lang w:val="it-IT"/>
        </w:rPr>
        <w:t>preparazione iniettabile</w:t>
      </w:r>
    </w:p>
    <w:p w:rsidR="00F14A7D" w:rsidRPr="00FB01EF" w:rsidRDefault="00F14A7D" w:rsidP="00F14A7D">
      <w:pPr>
        <w:ind w:right="-20"/>
        <w:rPr>
          <w:szCs w:val="22"/>
          <w:lang w:val="it-IT"/>
        </w:rPr>
      </w:pPr>
    </w:p>
    <w:p w:rsidR="00F14A7D" w:rsidRPr="00FB01EF" w:rsidRDefault="00897367" w:rsidP="00F97DD8">
      <w:pPr>
        <w:ind w:right="5810"/>
        <w:rPr>
          <w:szCs w:val="22"/>
          <w:lang w:val="it-IT"/>
        </w:rPr>
      </w:pPr>
      <w:r w:rsidRPr="00FB01EF">
        <w:rPr>
          <w:szCs w:val="22"/>
          <w:lang w:val="it-IT"/>
        </w:rPr>
        <w:t>f</w:t>
      </w:r>
      <w:r w:rsidR="00F14A7D" w:rsidRPr="00FB01EF">
        <w:rPr>
          <w:szCs w:val="22"/>
          <w:lang w:val="it-IT"/>
        </w:rPr>
        <w:t>ollitropina</w:t>
      </w:r>
      <w:r w:rsidR="00145F62" w:rsidRPr="00FB01EF">
        <w:rPr>
          <w:szCs w:val="22"/>
          <w:lang w:val="it-IT"/>
        </w:rPr>
        <w:t> </w:t>
      </w:r>
      <w:r w:rsidR="00F14A7D" w:rsidRPr="00FB01EF">
        <w:rPr>
          <w:szCs w:val="22"/>
          <w:lang w:val="it-IT"/>
        </w:rPr>
        <w:t>alfa</w:t>
      </w:r>
    </w:p>
    <w:p w:rsidR="00F14A7D" w:rsidRPr="00FB01EF" w:rsidRDefault="00F14A7D" w:rsidP="00F97DD8">
      <w:pPr>
        <w:ind w:right="5810"/>
        <w:rPr>
          <w:szCs w:val="22"/>
          <w:lang w:val="it-IT"/>
        </w:rPr>
      </w:pPr>
    </w:p>
    <w:p w:rsidR="00F14A7D" w:rsidRPr="00FB01EF" w:rsidRDefault="00145F62" w:rsidP="00F97DD8">
      <w:pPr>
        <w:ind w:right="5810"/>
        <w:rPr>
          <w:szCs w:val="22"/>
          <w:lang w:val="it-IT"/>
        </w:rPr>
      </w:pPr>
      <w:r w:rsidRPr="00FB01EF">
        <w:rPr>
          <w:szCs w:val="22"/>
          <w:lang w:val="it-IT"/>
        </w:rPr>
        <w:t>s.c.</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2.</w:t>
      </w:r>
      <w:r w:rsidRPr="00FB01EF">
        <w:rPr>
          <w:b/>
          <w:noProof/>
          <w:szCs w:val="22"/>
          <w:lang w:val="it-IT"/>
        </w:rPr>
        <w:tab/>
      </w:r>
      <w:r w:rsidRPr="00FB01EF">
        <w:rPr>
          <w:b/>
          <w:bCs/>
          <w:szCs w:val="22"/>
          <w:lang w:val="it-IT"/>
        </w:rPr>
        <w:t>MODO DI SOMMINISTRAZIONE</w:t>
      </w: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3.</w:t>
      </w:r>
      <w:r w:rsidRPr="00FB01EF">
        <w:rPr>
          <w:b/>
          <w:noProof/>
          <w:szCs w:val="22"/>
          <w:lang w:val="it-IT"/>
        </w:rPr>
        <w:tab/>
      </w:r>
      <w:r w:rsidRPr="00FB01EF">
        <w:rPr>
          <w:b/>
          <w:bCs/>
          <w:szCs w:val="22"/>
          <w:lang w:val="it-IT"/>
        </w:rPr>
        <w:t>DATA DI SCADENZA</w:t>
      </w:r>
    </w:p>
    <w:p w:rsidR="00F14A7D" w:rsidRPr="00FB01EF" w:rsidRDefault="00F14A7D" w:rsidP="00F14A7D">
      <w:pPr>
        <w:rPr>
          <w:noProof/>
          <w:szCs w:val="22"/>
          <w:lang w:val="it-IT"/>
        </w:rPr>
      </w:pPr>
    </w:p>
    <w:p w:rsidR="00F14A7D" w:rsidRPr="00FB01EF" w:rsidRDefault="00F14A7D" w:rsidP="00F14A7D">
      <w:pPr>
        <w:ind w:right="-20"/>
        <w:rPr>
          <w:szCs w:val="22"/>
          <w:lang w:val="it-IT"/>
        </w:rPr>
      </w:pPr>
      <w:r w:rsidRPr="00FB01EF">
        <w:rPr>
          <w:szCs w:val="22"/>
          <w:lang w:val="it-IT"/>
        </w:rPr>
        <w:t>Scad.</w:t>
      </w:r>
    </w:p>
    <w:p w:rsidR="0040248C" w:rsidRPr="00FB01EF" w:rsidRDefault="0040248C" w:rsidP="00F14A7D">
      <w:pPr>
        <w:rPr>
          <w:szCs w:val="22"/>
          <w:lang w:val="it-IT"/>
        </w:rPr>
      </w:pPr>
    </w:p>
    <w:p w:rsidR="00F14A7D" w:rsidRPr="00FB01EF" w:rsidRDefault="00F14A7D" w:rsidP="00F14A7D">
      <w:pPr>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4.</w:t>
      </w:r>
      <w:r w:rsidRPr="00FB01EF">
        <w:rPr>
          <w:b/>
          <w:noProof/>
          <w:szCs w:val="22"/>
          <w:lang w:val="it-IT"/>
        </w:rPr>
        <w:tab/>
      </w:r>
      <w:r w:rsidRPr="00FB01EF">
        <w:rPr>
          <w:b/>
          <w:bCs/>
          <w:szCs w:val="22"/>
          <w:lang w:val="it-IT"/>
        </w:rPr>
        <w:t>NUMERO DI LOTTO</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r w:rsidRPr="00FB01EF">
        <w:rPr>
          <w:noProof/>
          <w:szCs w:val="22"/>
          <w:lang w:val="it-IT"/>
        </w:rPr>
        <w:t>Lotto</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5.</w:t>
      </w:r>
      <w:r w:rsidRPr="00FB01EF">
        <w:rPr>
          <w:b/>
          <w:noProof/>
          <w:szCs w:val="22"/>
          <w:lang w:val="it-IT"/>
        </w:rPr>
        <w:tab/>
      </w:r>
      <w:r w:rsidRPr="00FB01EF">
        <w:rPr>
          <w:b/>
          <w:bCs/>
          <w:szCs w:val="22"/>
          <w:lang w:val="it-IT"/>
        </w:rPr>
        <w:t>CONTENUTO IN PESO, VOLUME O UNITÀ</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r w:rsidRPr="00FB01EF">
        <w:rPr>
          <w:szCs w:val="22"/>
          <w:lang w:val="it-IT"/>
        </w:rPr>
        <w:t>1,5 mL</w:t>
      </w:r>
    </w:p>
    <w:p w:rsidR="00F14A7D" w:rsidRPr="00FB01EF" w:rsidRDefault="00F14A7D" w:rsidP="00F14A7D">
      <w:pPr>
        <w:ind w:right="113"/>
        <w:rPr>
          <w:noProof/>
          <w:szCs w:val="22"/>
          <w:lang w:val="it-IT"/>
        </w:rPr>
      </w:pPr>
    </w:p>
    <w:p w:rsidR="00F14A7D" w:rsidRPr="00FB01EF" w:rsidRDefault="00F14A7D" w:rsidP="00F14A7D">
      <w:pPr>
        <w:ind w:right="113"/>
        <w:rPr>
          <w:noProof/>
          <w:szCs w:val="22"/>
          <w:lang w:val="it-IT"/>
        </w:rPr>
      </w:pPr>
    </w:p>
    <w:p w:rsidR="00F14A7D" w:rsidRPr="00FB01EF" w:rsidRDefault="00F14A7D" w:rsidP="00F14A7D">
      <w:pPr>
        <w:pBdr>
          <w:top w:val="single" w:sz="4" w:space="1" w:color="auto"/>
          <w:left w:val="single" w:sz="4" w:space="4" w:color="auto"/>
          <w:bottom w:val="single" w:sz="4" w:space="1" w:color="auto"/>
          <w:right w:val="single" w:sz="4" w:space="4" w:color="auto"/>
        </w:pBdr>
        <w:outlineLvl w:val="0"/>
        <w:rPr>
          <w:b/>
          <w:noProof/>
          <w:szCs w:val="22"/>
          <w:lang w:val="it-IT"/>
        </w:rPr>
      </w:pPr>
      <w:r w:rsidRPr="00FB01EF">
        <w:rPr>
          <w:b/>
          <w:noProof/>
          <w:szCs w:val="22"/>
          <w:lang w:val="it-IT"/>
        </w:rPr>
        <w:t>6.</w:t>
      </w:r>
      <w:r w:rsidRPr="00FB01EF">
        <w:rPr>
          <w:b/>
          <w:noProof/>
          <w:szCs w:val="22"/>
          <w:lang w:val="it-IT"/>
        </w:rPr>
        <w:tab/>
      </w:r>
      <w:r w:rsidRPr="00FB01EF">
        <w:rPr>
          <w:b/>
          <w:bCs/>
          <w:szCs w:val="22"/>
          <w:lang w:val="it-IT"/>
        </w:rPr>
        <w:t>ALTRO</w:t>
      </w:r>
    </w:p>
    <w:p w:rsidR="00F14A7D" w:rsidRPr="00FB01EF" w:rsidRDefault="00F14A7D" w:rsidP="00F14A7D">
      <w:pPr>
        <w:ind w:right="113"/>
        <w:rPr>
          <w:noProof/>
          <w:szCs w:val="22"/>
          <w:lang w:val="it-IT"/>
        </w:rPr>
      </w:pPr>
    </w:p>
    <w:p w:rsidR="00FB17A2" w:rsidRPr="00FB01EF" w:rsidRDefault="00FB17A2" w:rsidP="00F14A7D">
      <w:pPr>
        <w:ind w:right="113"/>
        <w:rPr>
          <w:noProof/>
          <w:szCs w:val="22"/>
          <w:lang w:val="it-IT"/>
        </w:rPr>
      </w:pPr>
    </w:p>
    <w:p w:rsidR="00FB17A2" w:rsidRPr="00FB01EF" w:rsidRDefault="00FB17A2" w:rsidP="00F14A7D">
      <w:pPr>
        <w:ind w:right="113"/>
        <w:rPr>
          <w:noProof/>
          <w:szCs w:val="22"/>
          <w:lang w:val="it-IT"/>
        </w:rPr>
      </w:pPr>
    </w:p>
    <w:p w:rsidR="00FE401B" w:rsidRPr="00FB01EF" w:rsidRDefault="006D0A2F" w:rsidP="00F97DD8">
      <w:pPr>
        <w:jc w:val="center"/>
        <w:rPr>
          <w:b/>
          <w:noProof/>
          <w:szCs w:val="22"/>
          <w:lang w:val="it-IT"/>
        </w:rPr>
      </w:pPr>
      <w:r w:rsidRPr="00FB01EF">
        <w:rPr>
          <w:noProof/>
          <w:szCs w:val="22"/>
          <w:lang w:val="it-IT"/>
        </w:rPr>
        <w:br w:type="page"/>
      </w: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FE401B" w:rsidRPr="00FB01EF" w:rsidRDefault="00FE401B" w:rsidP="00496272">
      <w:pPr>
        <w:jc w:val="center"/>
        <w:outlineLvl w:val="0"/>
        <w:rPr>
          <w:b/>
          <w:noProof/>
          <w:szCs w:val="22"/>
          <w:lang w:val="it-IT"/>
        </w:rPr>
      </w:pPr>
    </w:p>
    <w:p w:rsidR="0040248C" w:rsidRPr="00FB01EF" w:rsidRDefault="0040248C" w:rsidP="00496272">
      <w:pPr>
        <w:jc w:val="center"/>
        <w:outlineLvl w:val="0"/>
        <w:rPr>
          <w:b/>
          <w:noProof/>
          <w:szCs w:val="22"/>
          <w:lang w:val="it-IT"/>
        </w:rPr>
      </w:pPr>
    </w:p>
    <w:p w:rsidR="0040248C" w:rsidRPr="00FB01EF" w:rsidRDefault="0040248C" w:rsidP="00496272">
      <w:pPr>
        <w:jc w:val="center"/>
        <w:outlineLvl w:val="0"/>
        <w:rPr>
          <w:b/>
          <w:noProof/>
          <w:szCs w:val="22"/>
          <w:lang w:val="it-IT"/>
        </w:rPr>
      </w:pPr>
    </w:p>
    <w:p w:rsidR="00A54571" w:rsidRPr="00FB01EF" w:rsidRDefault="00A54571" w:rsidP="00496272">
      <w:pPr>
        <w:jc w:val="center"/>
        <w:outlineLvl w:val="0"/>
        <w:rPr>
          <w:b/>
          <w:noProof/>
          <w:szCs w:val="22"/>
          <w:lang w:val="it-IT"/>
        </w:rPr>
      </w:pPr>
    </w:p>
    <w:p w:rsidR="00812D16" w:rsidRPr="00CB5BCD" w:rsidRDefault="00812D16" w:rsidP="00496272">
      <w:pPr>
        <w:pStyle w:val="TitleA"/>
        <w:rPr>
          <w:lang w:val="es-ES"/>
        </w:rPr>
      </w:pPr>
      <w:r w:rsidRPr="00FB01EF">
        <w:rPr>
          <w:lang w:val="it-IT"/>
        </w:rPr>
        <w:t xml:space="preserve">B. </w:t>
      </w:r>
      <w:r w:rsidR="0088113E" w:rsidRPr="00CB5BCD">
        <w:rPr>
          <w:lang w:val="es-ES"/>
        </w:rPr>
        <w:t>FOGLIO ILLUSTRATIVO</w:t>
      </w:r>
    </w:p>
    <w:p w:rsidR="003E773E" w:rsidRPr="00FB01EF" w:rsidRDefault="003E773E" w:rsidP="00496272">
      <w:pPr>
        <w:jc w:val="center"/>
        <w:outlineLvl w:val="0"/>
        <w:rPr>
          <w:b/>
          <w:noProof/>
          <w:szCs w:val="22"/>
          <w:lang w:val="it-IT"/>
        </w:rPr>
      </w:pPr>
    </w:p>
    <w:p w:rsidR="00812D16" w:rsidRPr="00FB01EF" w:rsidRDefault="003E773E" w:rsidP="00496272">
      <w:pPr>
        <w:tabs>
          <w:tab w:val="clear" w:pos="567"/>
        </w:tabs>
        <w:jc w:val="center"/>
        <w:outlineLvl w:val="0"/>
        <w:rPr>
          <w:noProof/>
          <w:szCs w:val="22"/>
          <w:lang w:val="it-IT"/>
        </w:rPr>
      </w:pPr>
      <w:r w:rsidRPr="00FB01EF">
        <w:rPr>
          <w:noProof/>
          <w:szCs w:val="22"/>
          <w:lang w:val="it-IT"/>
        </w:rPr>
        <w:br w:type="page"/>
      </w:r>
      <w:r w:rsidR="00F14A7D" w:rsidRPr="00FB01EF">
        <w:rPr>
          <w:b/>
          <w:bCs/>
          <w:szCs w:val="22"/>
          <w:lang w:val="it-IT"/>
        </w:rPr>
        <w:lastRenderedPageBreak/>
        <w:t>Foglio illustrativo</w:t>
      </w:r>
      <w:r w:rsidR="0088113E" w:rsidRPr="00FB01EF">
        <w:rPr>
          <w:b/>
          <w:bCs/>
          <w:szCs w:val="22"/>
          <w:lang w:val="it-IT"/>
        </w:rPr>
        <w:t xml:space="preserve">: </w:t>
      </w:r>
      <w:r w:rsidR="00F14A7D" w:rsidRPr="00FB01EF">
        <w:rPr>
          <w:b/>
          <w:bCs/>
          <w:szCs w:val="22"/>
          <w:lang w:val="it-IT"/>
        </w:rPr>
        <w:t>informazioni per l’utilizzatore</w:t>
      </w:r>
    </w:p>
    <w:p w:rsidR="00812D16" w:rsidRPr="00FB01EF" w:rsidRDefault="00812D16" w:rsidP="00496272">
      <w:pPr>
        <w:numPr>
          <w:ilvl w:val="12"/>
          <w:numId w:val="0"/>
        </w:numPr>
        <w:shd w:val="clear" w:color="auto" w:fill="FFFFFF"/>
        <w:tabs>
          <w:tab w:val="clear" w:pos="567"/>
        </w:tabs>
        <w:jc w:val="center"/>
        <w:rPr>
          <w:noProof/>
          <w:szCs w:val="22"/>
          <w:lang w:val="it-IT"/>
        </w:rPr>
      </w:pPr>
    </w:p>
    <w:p w:rsidR="00812D16" w:rsidRPr="00FB01EF" w:rsidRDefault="00F14A7D" w:rsidP="00496272">
      <w:pPr>
        <w:numPr>
          <w:ilvl w:val="12"/>
          <w:numId w:val="0"/>
        </w:numPr>
        <w:tabs>
          <w:tab w:val="clear" w:pos="567"/>
        </w:tabs>
        <w:jc w:val="center"/>
        <w:rPr>
          <w:b/>
          <w:bCs/>
          <w:szCs w:val="22"/>
          <w:lang w:val="it-IT"/>
        </w:rPr>
      </w:pPr>
      <w:r w:rsidRPr="00FB01EF">
        <w:rPr>
          <w:b/>
          <w:bCs/>
          <w:szCs w:val="22"/>
          <w:lang w:val="it-IT"/>
        </w:rPr>
        <w:t>Ovaleap</w:t>
      </w:r>
      <w:r w:rsidR="0088113E" w:rsidRPr="00FB01EF">
        <w:rPr>
          <w:b/>
          <w:bCs/>
          <w:szCs w:val="22"/>
          <w:lang w:val="it-IT"/>
        </w:rPr>
        <w:t xml:space="preserve"> </w:t>
      </w:r>
      <w:r w:rsidRPr="00FB01EF">
        <w:rPr>
          <w:b/>
          <w:bCs/>
          <w:szCs w:val="22"/>
          <w:lang w:val="it-IT"/>
        </w:rPr>
        <w:t>300 </w:t>
      </w:r>
      <w:r w:rsidR="0088113E" w:rsidRPr="00FB01EF">
        <w:rPr>
          <w:b/>
          <w:bCs/>
          <w:szCs w:val="22"/>
          <w:lang w:val="it-IT"/>
        </w:rPr>
        <w:t>UI/0,</w:t>
      </w:r>
      <w:r w:rsidRPr="00FB01EF">
        <w:rPr>
          <w:b/>
          <w:bCs/>
          <w:szCs w:val="22"/>
          <w:lang w:val="it-IT"/>
        </w:rPr>
        <w:t>5 </w:t>
      </w:r>
      <w:r w:rsidR="0088113E" w:rsidRPr="00FB01EF">
        <w:rPr>
          <w:b/>
          <w:bCs/>
          <w:szCs w:val="22"/>
          <w:lang w:val="it-IT"/>
        </w:rPr>
        <w:t>m</w:t>
      </w:r>
      <w:r w:rsidRPr="00FB01EF">
        <w:rPr>
          <w:b/>
          <w:bCs/>
          <w:szCs w:val="22"/>
          <w:lang w:val="it-IT"/>
        </w:rPr>
        <w:t>L</w:t>
      </w:r>
      <w:r w:rsidR="0088113E" w:rsidRPr="00FB01EF">
        <w:rPr>
          <w:b/>
          <w:bCs/>
          <w:szCs w:val="22"/>
          <w:lang w:val="it-IT"/>
        </w:rPr>
        <w:t xml:space="preserve"> soluzione iniettabile</w:t>
      </w:r>
    </w:p>
    <w:p w:rsidR="00F14A7D" w:rsidRPr="00FB01EF" w:rsidRDefault="00F14A7D" w:rsidP="00496272">
      <w:pPr>
        <w:numPr>
          <w:ilvl w:val="12"/>
          <w:numId w:val="0"/>
        </w:numPr>
        <w:tabs>
          <w:tab w:val="clear" w:pos="567"/>
        </w:tabs>
        <w:jc w:val="center"/>
        <w:rPr>
          <w:b/>
          <w:bCs/>
          <w:szCs w:val="22"/>
          <w:lang w:val="it-IT"/>
        </w:rPr>
      </w:pPr>
      <w:r w:rsidRPr="00FB01EF">
        <w:rPr>
          <w:b/>
          <w:bCs/>
          <w:szCs w:val="22"/>
          <w:lang w:val="it-IT"/>
        </w:rPr>
        <w:t>Ovaleap 450 UI/0,75 mL soluzione iniettabile</w:t>
      </w:r>
    </w:p>
    <w:p w:rsidR="00F14A7D" w:rsidRPr="00FB01EF" w:rsidRDefault="00F14A7D" w:rsidP="00496272">
      <w:pPr>
        <w:numPr>
          <w:ilvl w:val="12"/>
          <w:numId w:val="0"/>
        </w:numPr>
        <w:tabs>
          <w:tab w:val="clear" w:pos="567"/>
        </w:tabs>
        <w:jc w:val="center"/>
        <w:rPr>
          <w:b/>
          <w:bCs/>
          <w:szCs w:val="22"/>
          <w:lang w:val="it-IT"/>
        </w:rPr>
      </w:pPr>
      <w:r w:rsidRPr="00FB01EF">
        <w:rPr>
          <w:b/>
          <w:bCs/>
          <w:szCs w:val="22"/>
          <w:lang w:val="it-IT"/>
        </w:rPr>
        <w:t>Ovaleap 900 UI/1,5 mL soluzione iniettabile</w:t>
      </w:r>
    </w:p>
    <w:p w:rsidR="0088113E" w:rsidRPr="00FB01EF" w:rsidRDefault="0088113E" w:rsidP="00496272">
      <w:pPr>
        <w:numPr>
          <w:ilvl w:val="12"/>
          <w:numId w:val="0"/>
        </w:numPr>
        <w:tabs>
          <w:tab w:val="clear" w:pos="567"/>
        </w:tabs>
        <w:jc w:val="center"/>
        <w:rPr>
          <w:noProof/>
          <w:szCs w:val="22"/>
          <w:lang w:val="it-IT"/>
        </w:rPr>
      </w:pPr>
    </w:p>
    <w:p w:rsidR="00F962C9" w:rsidRPr="00FB01EF" w:rsidRDefault="0088709C" w:rsidP="00496272">
      <w:pPr>
        <w:numPr>
          <w:ilvl w:val="12"/>
          <w:numId w:val="0"/>
        </w:numPr>
        <w:tabs>
          <w:tab w:val="clear" w:pos="567"/>
        </w:tabs>
        <w:jc w:val="center"/>
        <w:rPr>
          <w:noProof/>
          <w:szCs w:val="22"/>
          <w:lang w:val="it-IT"/>
        </w:rPr>
      </w:pPr>
      <w:r w:rsidRPr="00FB01EF">
        <w:rPr>
          <w:noProof/>
          <w:szCs w:val="22"/>
          <w:lang w:val="it-IT"/>
        </w:rPr>
        <w:t>f</w:t>
      </w:r>
      <w:r w:rsidR="00F962C9" w:rsidRPr="00FB01EF">
        <w:rPr>
          <w:noProof/>
          <w:szCs w:val="22"/>
          <w:lang w:val="it-IT"/>
        </w:rPr>
        <w:t>ollitropin</w:t>
      </w:r>
      <w:r w:rsidR="0088113E" w:rsidRPr="00FB01EF">
        <w:rPr>
          <w:noProof/>
          <w:szCs w:val="22"/>
          <w:lang w:val="it-IT"/>
        </w:rPr>
        <w:t>a</w:t>
      </w:r>
      <w:r w:rsidR="00F962C9" w:rsidRPr="00FB01EF">
        <w:rPr>
          <w:noProof/>
          <w:szCs w:val="22"/>
          <w:lang w:val="it-IT"/>
        </w:rPr>
        <w:t xml:space="preserve"> alfa</w:t>
      </w:r>
    </w:p>
    <w:p w:rsidR="00812D16" w:rsidRPr="00FB01EF" w:rsidRDefault="00812D16" w:rsidP="00496272">
      <w:pPr>
        <w:tabs>
          <w:tab w:val="clear" w:pos="567"/>
        </w:tabs>
        <w:rPr>
          <w:noProof/>
          <w:szCs w:val="22"/>
          <w:lang w:val="it-IT"/>
        </w:rPr>
      </w:pPr>
    </w:p>
    <w:p w:rsidR="00812D16" w:rsidRPr="00FB01EF" w:rsidRDefault="0088113E" w:rsidP="00496272">
      <w:pPr>
        <w:tabs>
          <w:tab w:val="clear" w:pos="567"/>
        </w:tabs>
        <w:suppressAutoHyphens/>
        <w:rPr>
          <w:noProof/>
          <w:szCs w:val="22"/>
          <w:lang w:val="it-IT"/>
        </w:rPr>
      </w:pPr>
      <w:r w:rsidRPr="00FB01EF">
        <w:rPr>
          <w:b/>
          <w:bCs/>
          <w:szCs w:val="22"/>
          <w:lang w:val="it-IT"/>
        </w:rPr>
        <w:t>Legga attentamente questo foglio prima di usare questo medicinale</w:t>
      </w:r>
      <w:r w:rsidR="00F14A7D" w:rsidRPr="00FB01EF">
        <w:rPr>
          <w:b/>
          <w:bCs/>
          <w:szCs w:val="22"/>
          <w:lang w:val="it-IT"/>
        </w:rPr>
        <w:t xml:space="preserve"> perché contiene importanti informazioni per lei</w:t>
      </w:r>
      <w:r w:rsidR="00812D16" w:rsidRPr="00FB01EF">
        <w:rPr>
          <w:b/>
          <w:noProof/>
          <w:szCs w:val="22"/>
          <w:lang w:val="it-IT"/>
        </w:rPr>
        <w:t>.</w:t>
      </w:r>
    </w:p>
    <w:p w:rsidR="00812D16" w:rsidRPr="00FB01EF" w:rsidRDefault="0088113E" w:rsidP="00CC7997">
      <w:pPr>
        <w:numPr>
          <w:ilvl w:val="0"/>
          <w:numId w:val="1"/>
        </w:numPr>
        <w:tabs>
          <w:tab w:val="clear" w:pos="567"/>
        </w:tabs>
        <w:ind w:left="567" w:right="-2" w:hanging="567"/>
        <w:rPr>
          <w:noProof/>
          <w:szCs w:val="22"/>
          <w:lang w:val="it-IT"/>
        </w:rPr>
      </w:pPr>
      <w:r w:rsidRPr="00FB01EF">
        <w:rPr>
          <w:szCs w:val="22"/>
          <w:lang w:val="it-IT"/>
        </w:rPr>
        <w:t>Conservi questo foglio. Potrebbe aver bisogno di leggerlo di nuovo</w:t>
      </w:r>
      <w:r w:rsidR="00812D16" w:rsidRPr="00FB01EF">
        <w:rPr>
          <w:noProof/>
          <w:szCs w:val="22"/>
          <w:lang w:val="it-IT"/>
        </w:rPr>
        <w:t xml:space="preserve">. </w:t>
      </w:r>
    </w:p>
    <w:p w:rsidR="00D43E3D" w:rsidRPr="00FB01EF" w:rsidRDefault="0088113E" w:rsidP="00CC7997">
      <w:pPr>
        <w:numPr>
          <w:ilvl w:val="0"/>
          <w:numId w:val="1"/>
        </w:numPr>
        <w:tabs>
          <w:tab w:val="clear" w:pos="567"/>
        </w:tabs>
        <w:ind w:left="567" w:right="-2" w:hanging="567"/>
        <w:rPr>
          <w:noProof/>
          <w:szCs w:val="22"/>
          <w:lang w:val="it-IT"/>
        </w:rPr>
      </w:pPr>
      <w:r w:rsidRPr="00FB01EF">
        <w:rPr>
          <w:szCs w:val="22"/>
          <w:lang w:val="it-IT"/>
        </w:rPr>
        <w:t>Se ha qualsiasi dubbio, si rivolga al medico</w:t>
      </w:r>
      <w:r w:rsidR="00241462" w:rsidRPr="00FB01EF">
        <w:rPr>
          <w:szCs w:val="22"/>
          <w:lang w:val="it-IT"/>
        </w:rPr>
        <w:t>,</w:t>
      </w:r>
      <w:r w:rsidRPr="00FB01EF">
        <w:rPr>
          <w:szCs w:val="22"/>
          <w:lang w:val="it-IT"/>
        </w:rPr>
        <w:t xml:space="preserve"> al farmacista</w:t>
      </w:r>
      <w:r w:rsidR="00241462" w:rsidRPr="00FB01EF">
        <w:rPr>
          <w:szCs w:val="22"/>
          <w:lang w:val="it-IT"/>
        </w:rPr>
        <w:t xml:space="preserve"> o all’infermiere</w:t>
      </w:r>
      <w:r w:rsidR="00812D16" w:rsidRPr="00FB01EF">
        <w:rPr>
          <w:noProof/>
          <w:szCs w:val="22"/>
          <w:lang w:val="it-IT"/>
        </w:rPr>
        <w:t>.</w:t>
      </w:r>
    </w:p>
    <w:p w:rsidR="00812D16" w:rsidRPr="00FB01EF" w:rsidRDefault="0088113E" w:rsidP="00CC7997">
      <w:pPr>
        <w:numPr>
          <w:ilvl w:val="0"/>
          <w:numId w:val="1"/>
        </w:numPr>
        <w:tabs>
          <w:tab w:val="clear" w:pos="567"/>
        </w:tabs>
        <w:ind w:left="567" w:right="-2" w:hanging="567"/>
        <w:rPr>
          <w:noProof/>
          <w:szCs w:val="22"/>
          <w:lang w:val="it-IT"/>
        </w:rPr>
      </w:pPr>
      <w:r w:rsidRPr="00FB01EF">
        <w:rPr>
          <w:szCs w:val="22"/>
          <w:lang w:val="it-IT"/>
        </w:rPr>
        <w:t xml:space="preserve">Questo medicinale è stato prescritto </w:t>
      </w:r>
      <w:r w:rsidR="00E72AC2" w:rsidRPr="00FB01EF">
        <w:rPr>
          <w:szCs w:val="22"/>
          <w:lang w:val="it-IT"/>
        </w:rPr>
        <w:t xml:space="preserve">soltanto </w:t>
      </w:r>
      <w:r w:rsidRPr="00FB01EF">
        <w:rPr>
          <w:szCs w:val="22"/>
          <w:lang w:val="it-IT"/>
        </w:rPr>
        <w:t xml:space="preserve">per lei. Non lo dia ad altre persone, anche se </w:t>
      </w:r>
      <w:r w:rsidR="00E72AC2" w:rsidRPr="00FB01EF">
        <w:rPr>
          <w:szCs w:val="22"/>
          <w:lang w:val="it-IT"/>
        </w:rPr>
        <w:t>i</w:t>
      </w:r>
      <w:r w:rsidRPr="00FB01EF">
        <w:rPr>
          <w:szCs w:val="22"/>
          <w:lang w:val="it-IT"/>
        </w:rPr>
        <w:t xml:space="preserve"> sintomi </w:t>
      </w:r>
      <w:r w:rsidR="00E72AC2" w:rsidRPr="00FB01EF">
        <w:rPr>
          <w:szCs w:val="22"/>
          <w:lang w:val="it-IT"/>
        </w:rPr>
        <w:t xml:space="preserve">della malattia </w:t>
      </w:r>
      <w:r w:rsidRPr="00FB01EF">
        <w:rPr>
          <w:szCs w:val="22"/>
          <w:lang w:val="it-IT"/>
        </w:rPr>
        <w:t>sono uguali ai suoi, perché potrebbe essere pericoloso</w:t>
      </w:r>
      <w:r w:rsidR="0029288C" w:rsidRPr="00FB01EF">
        <w:rPr>
          <w:noProof/>
          <w:szCs w:val="22"/>
          <w:lang w:val="it-IT"/>
        </w:rPr>
        <w:t>.</w:t>
      </w:r>
    </w:p>
    <w:p w:rsidR="00812D16" w:rsidRPr="00FB01EF" w:rsidRDefault="0088113E" w:rsidP="00CC7997">
      <w:pPr>
        <w:numPr>
          <w:ilvl w:val="0"/>
          <w:numId w:val="1"/>
        </w:numPr>
        <w:ind w:left="567" w:hanging="567"/>
        <w:rPr>
          <w:noProof/>
          <w:szCs w:val="22"/>
          <w:lang w:val="it-IT"/>
        </w:rPr>
      </w:pPr>
      <w:r w:rsidRPr="00FB01EF">
        <w:rPr>
          <w:szCs w:val="22"/>
          <w:lang w:val="it-IT"/>
        </w:rPr>
        <w:t xml:space="preserve">Se </w:t>
      </w:r>
      <w:r w:rsidR="00E72AC2" w:rsidRPr="00FB01EF">
        <w:rPr>
          <w:szCs w:val="22"/>
          <w:lang w:val="it-IT"/>
        </w:rPr>
        <w:t xml:space="preserve">si manifesta un </w:t>
      </w:r>
      <w:r w:rsidRPr="00FB01EF">
        <w:rPr>
          <w:szCs w:val="22"/>
          <w:lang w:val="it-IT"/>
        </w:rPr>
        <w:t>qualsiasi effett</w:t>
      </w:r>
      <w:r w:rsidR="00E72AC2" w:rsidRPr="00FB01EF">
        <w:rPr>
          <w:szCs w:val="22"/>
          <w:lang w:val="it-IT"/>
        </w:rPr>
        <w:t>o</w:t>
      </w:r>
      <w:r w:rsidRPr="00FB01EF">
        <w:rPr>
          <w:szCs w:val="22"/>
          <w:lang w:val="it-IT"/>
        </w:rPr>
        <w:t xml:space="preserve"> </w:t>
      </w:r>
      <w:r w:rsidR="00E72AC2" w:rsidRPr="00FB01EF">
        <w:rPr>
          <w:szCs w:val="22"/>
          <w:lang w:val="it-IT"/>
        </w:rPr>
        <w:t xml:space="preserve">indesiderato, compresi quelli </w:t>
      </w:r>
      <w:r w:rsidRPr="00FB01EF">
        <w:rPr>
          <w:szCs w:val="22"/>
          <w:lang w:val="it-IT"/>
        </w:rPr>
        <w:t>non elencat</w:t>
      </w:r>
      <w:r w:rsidR="00E72AC2" w:rsidRPr="00FB01EF">
        <w:rPr>
          <w:szCs w:val="22"/>
          <w:lang w:val="it-IT"/>
        </w:rPr>
        <w:t>i</w:t>
      </w:r>
      <w:r w:rsidRPr="00FB01EF">
        <w:rPr>
          <w:szCs w:val="22"/>
          <w:lang w:val="it-IT"/>
        </w:rPr>
        <w:t xml:space="preserve"> in questo foglio, </w:t>
      </w:r>
      <w:r w:rsidR="00E72AC2" w:rsidRPr="00FB01EF">
        <w:rPr>
          <w:szCs w:val="22"/>
          <w:lang w:val="it-IT"/>
        </w:rPr>
        <w:t>si rivolga al</w:t>
      </w:r>
      <w:r w:rsidRPr="00FB01EF">
        <w:rPr>
          <w:szCs w:val="22"/>
          <w:lang w:val="it-IT"/>
        </w:rPr>
        <w:t xml:space="preserve"> medico</w:t>
      </w:r>
      <w:r w:rsidR="00241462" w:rsidRPr="00FB01EF">
        <w:rPr>
          <w:szCs w:val="22"/>
          <w:lang w:val="it-IT"/>
        </w:rPr>
        <w:t>,</w:t>
      </w:r>
      <w:r w:rsidRPr="00FB01EF">
        <w:rPr>
          <w:szCs w:val="22"/>
          <w:lang w:val="it-IT"/>
        </w:rPr>
        <w:t xml:space="preserve"> </w:t>
      </w:r>
      <w:r w:rsidR="00E72AC2" w:rsidRPr="00FB01EF">
        <w:rPr>
          <w:szCs w:val="22"/>
          <w:lang w:val="it-IT"/>
        </w:rPr>
        <w:t>a</w:t>
      </w:r>
      <w:r w:rsidRPr="00FB01EF">
        <w:rPr>
          <w:szCs w:val="22"/>
          <w:lang w:val="it-IT"/>
        </w:rPr>
        <w:t>l farmacista</w:t>
      </w:r>
      <w:r w:rsidR="00241462" w:rsidRPr="00FB01EF">
        <w:rPr>
          <w:szCs w:val="22"/>
          <w:lang w:val="it-IT"/>
        </w:rPr>
        <w:t xml:space="preserve"> o all’infermiere</w:t>
      </w:r>
      <w:r w:rsidR="00812D16" w:rsidRPr="00FB01EF">
        <w:rPr>
          <w:noProof/>
          <w:szCs w:val="22"/>
          <w:lang w:val="it-IT"/>
        </w:rPr>
        <w:t>.</w:t>
      </w:r>
    </w:p>
    <w:p w:rsidR="00812D16" w:rsidRPr="00FB01EF" w:rsidRDefault="00812D16" w:rsidP="00496272">
      <w:pPr>
        <w:tabs>
          <w:tab w:val="clear" w:pos="567"/>
        </w:tabs>
        <w:ind w:right="-2"/>
        <w:rPr>
          <w:noProof/>
          <w:szCs w:val="22"/>
          <w:lang w:val="it-IT"/>
        </w:rPr>
      </w:pPr>
    </w:p>
    <w:p w:rsidR="00812D16" w:rsidRPr="00FB01EF" w:rsidRDefault="00812D16" w:rsidP="00496272">
      <w:pPr>
        <w:tabs>
          <w:tab w:val="clear" w:pos="567"/>
        </w:tabs>
        <w:ind w:right="-2"/>
        <w:rPr>
          <w:noProof/>
          <w:szCs w:val="22"/>
          <w:lang w:val="it-IT"/>
        </w:rPr>
      </w:pPr>
    </w:p>
    <w:p w:rsidR="00812D16" w:rsidRPr="00FB01EF" w:rsidRDefault="0088113E" w:rsidP="00496272">
      <w:pPr>
        <w:numPr>
          <w:ilvl w:val="12"/>
          <w:numId w:val="0"/>
        </w:numPr>
        <w:tabs>
          <w:tab w:val="clear" w:pos="567"/>
        </w:tabs>
        <w:outlineLvl w:val="0"/>
        <w:rPr>
          <w:b/>
          <w:bCs/>
          <w:szCs w:val="22"/>
          <w:lang w:val="it-IT"/>
        </w:rPr>
      </w:pPr>
      <w:r w:rsidRPr="00FB01EF">
        <w:rPr>
          <w:b/>
          <w:bCs/>
          <w:szCs w:val="22"/>
          <w:lang w:val="it-IT"/>
        </w:rPr>
        <w:t>Contenuto di questo foglio</w:t>
      </w:r>
    </w:p>
    <w:p w:rsidR="00094D8D" w:rsidRPr="00FB01EF" w:rsidRDefault="00094D8D" w:rsidP="00496272">
      <w:pPr>
        <w:numPr>
          <w:ilvl w:val="12"/>
          <w:numId w:val="0"/>
        </w:numPr>
        <w:tabs>
          <w:tab w:val="clear" w:pos="567"/>
        </w:tabs>
        <w:outlineLvl w:val="0"/>
        <w:rPr>
          <w:noProof/>
          <w:szCs w:val="22"/>
          <w:lang w:val="it-IT"/>
        </w:rPr>
      </w:pPr>
    </w:p>
    <w:p w:rsidR="00F9016F" w:rsidRPr="00FB01EF" w:rsidRDefault="00812D16" w:rsidP="00496272">
      <w:pPr>
        <w:numPr>
          <w:ilvl w:val="12"/>
          <w:numId w:val="0"/>
        </w:numPr>
        <w:tabs>
          <w:tab w:val="clear" w:pos="567"/>
          <w:tab w:val="left" w:pos="426"/>
        </w:tabs>
        <w:ind w:right="-29"/>
        <w:rPr>
          <w:noProof/>
          <w:szCs w:val="22"/>
          <w:lang w:val="it-IT"/>
        </w:rPr>
      </w:pPr>
      <w:r w:rsidRPr="00FB01EF">
        <w:rPr>
          <w:noProof/>
          <w:szCs w:val="22"/>
          <w:lang w:val="it-IT"/>
        </w:rPr>
        <w:t>1.</w:t>
      </w:r>
      <w:r w:rsidRPr="00FB01EF">
        <w:rPr>
          <w:noProof/>
          <w:szCs w:val="22"/>
          <w:lang w:val="it-IT"/>
        </w:rPr>
        <w:tab/>
      </w:r>
      <w:r w:rsidR="00F4066C" w:rsidRPr="00FB01EF">
        <w:rPr>
          <w:szCs w:val="22"/>
          <w:lang w:val="it-IT"/>
        </w:rPr>
        <w:t>C</w:t>
      </w:r>
      <w:r w:rsidR="0088113E" w:rsidRPr="00FB01EF">
        <w:rPr>
          <w:szCs w:val="22"/>
          <w:lang w:val="it-IT"/>
        </w:rPr>
        <w:t>os</w:t>
      </w:r>
      <w:r w:rsidR="00BF5B10" w:rsidRPr="00FB01EF">
        <w:rPr>
          <w:szCs w:val="22"/>
          <w:lang w:val="it-IT"/>
        </w:rPr>
        <w:t>’</w:t>
      </w:r>
      <w:r w:rsidR="0088113E" w:rsidRPr="00FB01EF">
        <w:rPr>
          <w:szCs w:val="22"/>
          <w:lang w:val="it-IT"/>
        </w:rPr>
        <w:t xml:space="preserve">è </w:t>
      </w:r>
      <w:r w:rsidR="00E72AC2" w:rsidRPr="00FB01EF">
        <w:rPr>
          <w:szCs w:val="22"/>
          <w:lang w:val="it-IT"/>
        </w:rPr>
        <w:t>Ovaleap</w:t>
      </w:r>
      <w:r w:rsidR="0088113E" w:rsidRPr="00FB01EF">
        <w:rPr>
          <w:szCs w:val="22"/>
          <w:lang w:val="it-IT"/>
        </w:rPr>
        <w:t xml:space="preserve"> e a cosa serve</w:t>
      </w:r>
    </w:p>
    <w:p w:rsidR="00F962C9" w:rsidRPr="00FB01EF" w:rsidRDefault="00812D16" w:rsidP="00496272">
      <w:pPr>
        <w:numPr>
          <w:ilvl w:val="12"/>
          <w:numId w:val="0"/>
        </w:numPr>
        <w:tabs>
          <w:tab w:val="clear" w:pos="567"/>
          <w:tab w:val="left" w:pos="426"/>
        </w:tabs>
        <w:ind w:right="-29"/>
        <w:rPr>
          <w:noProof/>
          <w:szCs w:val="22"/>
          <w:lang w:val="it-IT"/>
        </w:rPr>
      </w:pPr>
      <w:r w:rsidRPr="00FB01EF">
        <w:rPr>
          <w:noProof/>
          <w:szCs w:val="22"/>
          <w:lang w:val="it-IT"/>
        </w:rPr>
        <w:t>2.</w:t>
      </w:r>
      <w:r w:rsidRPr="00FB01EF">
        <w:rPr>
          <w:noProof/>
          <w:szCs w:val="22"/>
          <w:lang w:val="it-IT"/>
        </w:rPr>
        <w:tab/>
      </w:r>
      <w:r w:rsidR="00E72AC2" w:rsidRPr="00FB01EF">
        <w:rPr>
          <w:szCs w:val="22"/>
          <w:lang w:val="it-IT"/>
        </w:rPr>
        <w:t xml:space="preserve">Cosa deve sapere prima </w:t>
      </w:r>
      <w:r w:rsidR="0088113E" w:rsidRPr="00FB01EF">
        <w:rPr>
          <w:szCs w:val="22"/>
          <w:lang w:val="it-IT"/>
        </w:rPr>
        <w:t xml:space="preserve">di usare </w:t>
      </w:r>
      <w:r w:rsidR="00E72AC2" w:rsidRPr="00FB01EF">
        <w:rPr>
          <w:szCs w:val="22"/>
          <w:lang w:val="it-IT"/>
        </w:rPr>
        <w:t>Ovaleap</w:t>
      </w:r>
    </w:p>
    <w:p w:rsidR="00812D16" w:rsidRPr="00FB01EF" w:rsidRDefault="00812D16" w:rsidP="00496272">
      <w:pPr>
        <w:numPr>
          <w:ilvl w:val="12"/>
          <w:numId w:val="0"/>
        </w:numPr>
        <w:tabs>
          <w:tab w:val="clear" w:pos="567"/>
          <w:tab w:val="left" w:pos="426"/>
        </w:tabs>
        <w:ind w:right="-29"/>
        <w:rPr>
          <w:noProof/>
          <w:szCs w:val="22"/>
          <w:lang w:val="it-IT"/>
        </w:rPr>
      </w:pPr>
      <w:r w:rsidRPr="00FB01EF">
        <w:rPr>
          <w:noProof/>
          <w:szCs w:val="22"/>
          <w:lang w:val="it-IT"/>
        </w:rPr>
        <w:t>3.</w:t>
      </w:r>
      <w:r w:rsidRPr="00FB01EF">
        <w:rPr>
          <w:noProof/>
          <w:szCs w:val="22"/>
          <w:lang w:val="it-IT"/>
        </w:rPr>
        <w:tab/>
      </w:r>
      <w:r w:rsidR="0088113E" w:rsidRPr="00FB01EF">
        <w:rPr>
          <w:szCs w:val="22"/>
          <w:lang w:val="it-IT"/>
        </w:rPr>
        <w:t xml:space="preserve">Come usare </w:t>
      </w:r>
      <w:r w:rsidR="00E72AC2" w:rsidRPr="00FB01EF">
        <w:rPr>
          <w:szCs w:val="22"/>
          <w:lang w:val="it-IT"/>
        </w:rPr>
        <w:t>Ovaleap</w:t>
      </w:r>
    </w:p>
    <w:p w:rsidR="00812D16" w:rsidRPr="00FB01EF" w:rsidRDefault="00F962C9" w:rsidP="00496272">
      <w:pPr>
        <w:numPr>
          <w:ilvl w:val="12"/>
          <w:numId w:val="0"/>
        </w:numPr>
        <w:tabs>
          <w:tab w:val="clear" w:pos="567"/>
          <w:tab w:val="left" w:pos="426"/>
        </w:tabs>
        <w:ind w:right="-29"/>
        <w:rPr>
          <w:noProof/>
          <w:szCs w:val="22"/>
          <w:lang w:val="it-IT"/>
        </w:rPr>
      </w:pPr>
      <w:r w:rsidRPr="00FB01EF">
        <w:rPr>
          <w:noProof/>
          <w:szCs w:val="22"/>
          <w:lang w:val="it-IT"/>
        </w:rPr>
        <w:t>4.</w:t>
      </w:r>
      <w:r w:rsidRPr="00FB01EF">
        <w:rPr>
          <w:noProof/>
          <w:szCs w:val="22"/>
          <w:lang w:val="it-IT"/>
        </w:rPr>
        <w:tab/>
      </w:r>
      <w:r w:rsidR="0088113E" w:rsidRPr="00FB01EF">
        <w:rPr>
          <w:szCs w:val="22"/>
          <w:lang w:val="it-IT"/>
        </w:rPr>
        <w:t>Possibili effetti indesiderati</w:t>
      </w:r>
    </w:p>
    <w:p w:rsidR="00F9016F" w:rsidRPr="00FB01EF" w:rsidRDefault="00F9016F" w:rsidP="00496272">
      <w:pPr>
        <w:tabs>
          <w:tab w:val="clear" w:pos="567"/>
          <w:tab w:val="left" w:pos="426"/>
        </w:tabs>
        <w:ind w:right="-29"/>
        <w:rPr>
          <w:noProof/>
          <w:szCs w:val="22"/>
          <w:lang w:val="it-IT"/>
        </w:rPr>
      </w:pPr>
      <w:r w:rsidRPr="00FB01EF">
        <w:rPr>
          <w:noProof/>
          <w:szCs w:val="22"/>
          <w:lang w:val="it-IT"/>
        </w:rPr>
        <w:t>5.</w:t>
      </w:r>
      <w:r w:rsidRPr="00FB01EF">
        <w:rPr>
          <w:noProof/>
          <w:szCs w:val="22"/>
          <w:lang w:val="it-IT"/>
        </w:rPr>
        <w:tab/>
      </w:r>
      <w:r w:rsidR="0088113E" w:rsidRPr="00FB01EF">
        <w:rPr>
          <w:szCs w:val="22"/>
          <w:lang w:val="it-IT"/>
        </w:rPr>
        <w:t xml:space="preserve">Come conservare </w:t>
      </w:r>
      <w:r w:rsidR="00E72AC2" w:rsidRPr="00FB01EF">
        <w:rPr>
          <w:szCs w:val="22"/>
          <w:lang w:val="it-IT"/>
        </w:rPr>
        <w:t>Ovaleap</w:t>
      </w:r>
    </w:p>
    <w:p w:rsidR="0088113E" w:rsidRPr="00FB01EF" w:rsidRDefault="00812D16" w:rsidP="00F97DD8">
      <w:pPr>
        <w:tabs>
          <w:tab w:val="clear" w:pos="567"/>
        </w:tabs>
        <w:ind w:left="426" w:right="-20" w:hanging="426"/>
        <w:rPr>
          <w:szCs w:val="22"/>
          <w:lang w:val="it-IT"/>
        </w:rPr>
      </w:pPr>
      <w:r w:rsidRPr="00FB01EF">
        <w:rPr>
          <w:noProof/>
          <w:szCs w:val="22"/>
          <w:lang w:val="it-IT"/>
        </w:rPr>
        <w:t>6.</w:t>
      </w:r>
      <w:r w:rsidRPr="00FB01EF">
        <w:rPr>
          <w:noProof/>
          <w:szCs w:val="22"/>
          <w:lang w:val="it-IT"/>
        </w:rPr>
        <w:tab/>
      </w:r>
      <w:r w:rsidR="00E72AC2" w:rsidRPr="00FB01EF">
        <w:rPr>
          <w:noProof/>
          <w:szCs w:val="22"/>
          <w:lang w:val="it-IT"/>
        </w:rPr>
        <w:t xml:space="preserve">Contenuto della confezione e </w:t>
      </w:r>
      <w:r w:rsidR="00E72AC2" w:rsidRPr="00FB01EF">
        <w:rPr>
          <w:szCs w:val="22"/>
          <w:lang w:val="it-IT"/>
        </w:rPr>
        <w:t>a</w:t>
      </w:r>
      <w:r w:rsidR="0088113E" w:rsidRPr="00FB01EF">
        <w:rPr>
          <w:szCs w:val="22"/>
          <w:lang w:val="it-IT"/>
        </w:rPr>
        <w:t>ltre informazioni</w:t>
      </w:r>
    </w:p>
    <w:p w:rsidR="00812D16" w:rsidRPr="00FB01EF" w:rsidRDefault="00812D16" w:rsidP="0088113E">
      <w:pPr>
        <w:tabs>
          <w:tab w:val="clear" w:pos="567"/>
          <w:tab w:val="left" w:pos="426"/>
        </w:tabs>
        <w:ind w:right="-29"/>
        <w:rPr>
          <w:noProof/>
          <w:szCs w:val="22"/>
          <w:lang w:val="it-IT"/>
        </w:rPr>
      </w:pPr>
    </w:p>
    <w:p w:rsidR="009B6496" w:rsidRPr="00FB01EF" w:rsidRDefault="009B6496" w:rsidP="00496272">
      <w:pPr>
        <w:numPr>
          <w:ilvl w:val="12"/>
          <w:numId w:val="0"/>
        </w:numPr>
        <w:tabs>
          <w:tab w:val="clear" w:pos="567"/>
        </w:tabs>
        <w:rPr>
          <w:noProof/>
          <w:szCs w:val="22"/>
          <w:lang w:val="it-IT"/>
        </w:rPr>
      </w:pPr>
    </w:p>
    <w:p w:rsidR="009B6496" w:rsidRPr="00FB01EF" w:rsidRDefault="00F9016F" w:rsidP="00496272">
      <w:pPr>
        <w:ind w:right="-2"/>
        <w:rPr>
          <w:b/>
          <w:noProof/>
          <w:szCs w:val="22"/>
          <w:lang w:val="it-IT"/>
        </w:rPr>
      </w:pPr>
      <w:r w:rsidRPr="00FB01EF">
        <w:rPr>
          <w:b/>
          <w:noProof/>
          <w:szCs w:val="22"/>
          <w:lang w:val="it-IT"/>
        </w:rPr>
        <w:t>1.</w:t>
      </w:r>
      <w:r w:rsidRPr="00FB01EF">
        <w:rPr>
          <w:b/>
          <w:noProof/>
          <w:szCs w:val="22"/>
          <w:lang w:val="it-IT"/>
        </w:rPr>
        <w:tab/>
      </w:r>
      <w:r w:rsidR="00F4066C" w:rsidRPr="00FB01EF">
        <w:rPr>
          <w:b/>
          <w:bCs/>
          <w:szCs w:val="22"/>
          <w:lang w:val="it-IT"/>
        </w:rPr>
        <w:t>C</w:t>
      </w:r>
      <w:r w:rsidR="00E72AC2" w:rsidRPr="00FB01EF">
        <w:rPr>
          <w:b/>
          <w:bCs/>
          <w:szCs w:val="22"/>
          <w:lang w:val="it-IT"/>
        </w:rPr>
        <w:t>os’è Ovaleap e a cosa serve</w:t>
      </w:r>
    </w:p>
    <w:p w:rsidR="009B6496" w:rsidRPr="00FB01EF" w:rsidRDefault="009B6496" w:rsidP="00496272">
      <w:pPr>
        <w:numPr>
          <w:ilvl w:val="12"/>
          <w:numId w:val="0"/>
        </w:numPr>
        <w:tabs>
          <w:tab w:val="clear" w:pos="567"/>
        </w:tabs>
        <w:rPr>
          <w:noProof/>
          <w:szCs w:val="22"/>
          <w:lang w:val="it-IT"/>
        </w:rPr>
      </w:pPr>
    </w:p>
    <w:p w:rsidR="00BC0C26" w:rsidRPr="00FB01EF" w:rsidRDefault="00F4066C" w:rsidP="00496272">
      <w:pPr>
        <w:tabs>
          <w:tab w:val="clear" w:pos="567"/>
        </w:tabs>
        <w:ind w:right="-2"/>
        <w:rPr>
          <w:b/>
          <w:noProof/>
          <w:szCs w:val="22"/>
          <w:lang w:val="it-IT"/>
        </w:rPr>
      </w:pPr>
      <w:r w:rsidRPr="00FB01EF">
        <w:rPr>
          <w:b/>
          <w:bCs/>
          <w:szCs w:val="22"/>
          <w:lang w:val="it-IT"/>
        </w:rPr>
        <w:t>C</w:t>
      </w:r>
      <w:r w:rsidR="0088113E" w:rsidRPr="00FB01EF">
        <w:rPr>
          <w:b/>
          <w:bCs/>
          <w:szCs w:val="22"/>
          <w:lang w:val="it-IT"/>
        </w:rPr>
        <w:t xml:space="preserve">os’è </w:t>
      </w:r>
      <w:r w:rsidR="00E72AC2" w:rsidRPr="00FB01EF">
        <w:rPr>
          <w:b/>
          <w:bCs/>
          <w:szCs w:val="22"/>
          <w:lang w:val="it-IT"/>
        </w:rPr>
        <w:t>Ovaleap</w:t>
      </w:r>
    </w:p>
    <w:p w:rsidR="00BC0C26" w:rsidRPr="00FB01EF" w:rsidRDefault="00094D8D" w:rsidP="00496272">
      <w:pPr>
        <w:tabs>
          <w:tab w:val="clear" w:pos="567"/>
        </w:tabs>
        <w:ind w:right="-2"/>
        <w:rPr>
          <w:noProof/>
          <w:szCs w:val="22"/>
          <w:lang w:val="it-IT"/>
        </w:rPr>
      </w:pPr>
      <w:r w:rsidRPr="00FB01EF">
        <w:rPr>
          <w:szCs w:val="22"/>
          <w:lang w:val="it-IT"/>
        </w:rPr>
        <w:t>Questo medicinale</w:t>
      </w:r>
      <w:r w:rsidR="0088113E" w:rsidRPr="00FB01EF">
        <w:rPr>
          <w:szCs w:val="22"/>
          <w:lang w:val="it-IT"/>
        </w:rPr>
        <w:t xml:space="preserve"> contiene </w:t>
      </w:r>
      <w:r w:rsidR="00E72AC2" w:rsidRPr="00FB01EF">
        <w:rPr>
          <w:szCs w:val="22"/>
          <w:lang w:val="it-IT"/>
        </w:rPr>
        <w:t xml:space="preserve">il </w:t>
      </w:r>
      <w:r w:rsidR="0088113E" w:rsidRPr="00FB01EF">
        <w:rPr>
          <w:szCs w:val="22"/>
          <w:lang w:val="it-IT"/>
        </w:rPr>
        <w:t>principio attivo follitropina alfa</w:t>
      </w:r>
      <w:r w:rsidR="00E72AC2" w:rsidRPr="00FB01EF">
        <w:rPr>
          <w:szCs w:val="22"/>
          <w:lang w:val="it-IT"/>
        </w:rPr>
        <w:t>, che è quasi identico a un ormone naturale prodotto dal corpo e chiamato</w:t>
      </w:r>
      <w:r w:rsidR="0088113E" w:rsidRPr="00FB01EF">
        <w:rPr>
          <w:szCs w:val="22"/>
          <w:lang w:val="it-IT"/>
        </w:rPr>
        <w:t xml:space="preserve"> “ormone follicolostimolante” (FSH)</w:t>
      </w:r>
      <w:r w:rsidR="00E72AC2" w:rsidRPr="00FB01EF">
        <w:rPr>
          <w:szCs w:val="22"/>
          <w:lang w:val="it-IT"/>
        </w:rPr>
        <w:t>. L’FSH</w:t>
      </w:r>
      <w:r w:rsidR="00683BAF" w:rsidRPr="00FB01EF">
        <w:rPr>
          <w:szCs w:val="22"/>
          <w:lang w:val="it-IT"/>
        </w:rPr>
        <w:t xml:space="preserve"> è una </w:t>
      </w:r>
      <w:r w:rsidR="0088113E" w:rsidRPr="00FB01EF">
        <w:rPr>
          <w:szCs w:val="22"/>
          <w:lang w:val="it-IT"/>
        </w:rPr>
        <w:t>gonadotropin</w:t>
      </w:r>
      <w:r w:rsidR="00683BAF" w:rsidRPr="00FB01EF">
        <w:rPr>
          <w:szCs w:val="22"/>
          <w:lang w:val="it-IT"/>
        </w:rPr>
        <w:t>a</w:t>
      </w:r>
      <w:r w:rsidR="00E72AC2" w:rsidRPr="00FB01EF">
        <w:rPr>
          <w:szCs w:val="22"/>
          <w:lang w:val="it-IT"/>
        </w:rPr>
        <w:t xml:space="preserve">, </w:t>
      </w:r>
      <w:r w:rsidR="00683BAF" w:rsidRPr="00FB01EF">
        <w:rPr>
          <w:szCs w:val="22"/>
          <w:lang w:val="it-IT"/>
        </w:rPr>
        <w:t xml:space="preserve">un tipo di ormone </w:t>
      </w:r>
      <w:r w:rsidR="00E72AC2" w:rsidRPr="00FB01EF">
        <w:rPr>
          <w:szCs w:val="22"/>
          <w:lang w:val="it-IT"/>
        </w:rPr>
        <w:t>che svolg</w:t>
      </w:r>
      <w:r w:rsidR="00683BAF" w:rsidRPr="00FB01EF">
        <w:rPr>
          <w:szCs w:val="22"/>
          <w:lang w:val="it-IT"/>
        </w:rPr>
        <w:t>e</w:t>
      </w:r>
      <w:r w:rsidR="00E72AC2" w:rsidRPr="00FB01EF">
        <w:rPr>
          <w:szCs w:val="22"/>
          <w:lang w:val="it-IT"/>
        </w:rPr>
        <w:t xml:space="preserve"> un ruolo importante nella fertilità </w:t>
      </w:r>
      <w:r w:rsidR="0057781E" w:rsidRPr="00FB01EF">
        <w:rPr>
          <w:szCs w:val="22"/>
          <w:lang w:val="it-IT"/>
        </w:rPr>
        <w:t>e</w:t>
      </w:r>
      <w:r w:rsidR="0088113E" w:rsidRPr="00FB01EF">
        <w:rPr>
          <w:szCs w:val="22"/>
          <w:lang w:val="it-IT"/>
        </w:rPr>
        <w:t xml:space="preserve"> nella riproduzione</w:t>
      </w:r>
      <w:r w:rsidR="0057781E" w:rsidRPr="00FB01EF">
        <w:rPr>
          <w:szCs w:val="22"/>
          <w:lang w:val="it-IT"/>
        </w:rPr>
        <w:t xml:space="preserve"> umana</w:t>
      </w:r>
      <w:r w:rsidR="00DE3908" w:rsidRPr="00FB01EF">
        <w:rPr>
          <w:noProof/>
          <w:szCs w:val="22"/>
          <w:lang w:val="it-IT"/>
        </w:rPr>
        <w:t>.</w:t>
      </w:r>
      <w:r w:rsidR="00E72AC2" w:rsidRPr="00FB01EF">
        <w:rPr>
          <w:noProof/>
          <w:szCs w:val="22"/>
          <w:lang w:val="it-IT"/>
        </w:rPr>
        <w:t xml:space="preserve"> Nelle donne, l’FSH è necessario per la crescita e lo sviluppo dei follicoli </w:t>
      </w:r>
      <w:r w:rsidR="0057781E" w:rsidRPr="00FB01EF">
        <w:rPr>
          <w:noProof/>
          <w:szCs w:val="22"/>
          <w:lang w:val="it-IT"/>
        </w:rPr>
        <w:t>nell’ovaio</w:t>
      </w:r>
      <w:r w:rsidR="00E72AC2" w:rsidRPr="00FB01EF">
        <w:rPr>
          <w:noProof/>
          <w:szCs w:val="22"/>
          <w:lang w:val="it-IT"/>
        </w:rPr>
        <w:t xml:space="preserve"> che contengono le cellule uovo. Negli uomini, l’FSH è necessario per la produzione dello sperma.</w:t>
      </w:r>
    </w:p>
    <w:p w:rsidR="00BC0C26" w:rsidRPr="00FB01EF" w:rsidRDefault="00BC0C26" w:rsidP="00496272">
      <w:pPr>
        <w:tabs>
          <w:tab w:val="clear" w:pos="567"/>
        </w:tabs>
        <w:ind w:right="-2"/>
        <w:rPr>
          <w:noProof/>
          <w:szCs w:val="22"/>
          <w:lang w:val="it-IT"/>
        </w:rPr>
      </w:pPr>
    </w:p>
    <w:p w:rsidR="00BC0C26" w:rsidRPr="00FB01EF" w:rsidRDefault="00241462" w:rsidP="00496272">
      <w:pPr>
        <w:tabs>
          <w:tab w:val="clear" w:pos="567"/>
        </w:tabs>
        <w:ind w:right="-2"/>
        <w:rPr>
          <w:b/>
          <w:noProof/>
          <w:szCs w:val="22"/>
          <w:lang w:val="it-IT"/>
        </w:rPr>
      </w:pPr>
      <w:r w:rsidRPr="00FB01EF">
        <w:rPr>
          <w:b/>
          <w:noProof/>
          <w:szCs w:val="22"/>
          <w:lang w:val="it-IT"/>
        </w:rPr>
        <w:t>A cosa serve</w:t>
      </w:r>
      <w:r w:rsidR="00E72AC2" w:rsidRPr="00FB01EF">
        <w:rPr>
          <w:b/>
          <w:noProof/>
          <w:szCs w:val="22"/>
          <w:lang w:val="it-IT"/>
        </w:rPr>
        <w:t xml:space="preserve"> Ovaleap</w:t>
      </w:r>
    </w:p>
    <w:p w:rsidR="003F1B42" w:rsidRPr="00FB01EF" w:rsidRDefault="003F1B42" w:rsidP="00496272">
      <w:pPr>
        <w:tabs>
          <w:tab w:val="clear" w:pos="567"/>
        </w:tabs>
        <w:ind w:right="-2"/>
        <w:rPr>
          <w:noProof/>
          <w:szCs w:val="22"/>
          <w:u w:val="single"/>
          <w:lang w:val="it-IT"/>
        </w:rPr>
      </w:pPr>
    </w:p>
    <w:p w:rsidR="00BC0C26" w:rsidRPr="00FB01EF" w:rsidRDefault="0088113E" w:rsidP="00496272">
      <w:pPr>
        <w:tabs>
          <w:tab w:val="clear" w:pos="567"/>
        </w:tabs>
        <w:ind w:right="-2"/>
        <w:rPr>
          <w:noProof/>
          <w:szCs w:val="22"/>
          <w:u w:val="single"/>
          <w:lang w:val="it-IT"/>
        </w:rPr>
      </w:pPr>
      <w:r w:rsidRPr="00FB01EF">
        <w:rPr>
          <w:bCs/>
          <w:szCs w:val="22"/>
          <w:u w:val="single"/>
          <w:lang w:val="it-IT"/>
        </w:rPr>
        <w:t>Nell</w:t>
      </w:r>
      <w:r w:rsidR="00F4066C" w:rsidRPr="00FB01EF">
        <w:rPr>
          <w:bCs/>
          <w:szCs w:val="22"/>
          <w:u w:val="single"/>
          <w:lang w:val="it-IT"/>
        </w:rPr>
        <w:t>e</w:t>
      </w:r>
      <w:r w:rsidRPr="00FB01EF">
        <w:rPr>
          <w:bCs/>
          <w:szCs w:val="22"/>
          <w:u w:val="single"/>
          <w:lang w:val="it-IT"/>
        </w:rPr>
        <w:t xml:space="preserve"> donn</w:t>
      </w:r>
      <w:r w:rsidR="00F4066C" w:rsidRPr="00FB01EF">
        <w:rPr>
          <w:bCs/>
          <w:szCs w:val="22"/>
          <w:u w:val="single"/>
          <w:lang w:val="it-IT"/>
        </w:rPr>
        <w:t>e</w:t>
      </w:r>
      <w:r w:rsidRPr="00FB01EF">
        <w:rPr>
          <w:bCs/>
          <w:szCs w:val="22"/>
          <w:u w:val="single"/>
          <w:lang w:val="it-IT"/>
        </w:rPr>
        <w:t xml:space="preserve"> adult</w:t>
      </w:r>
      <w:r w:rsidR="00F4066C" w:rsidRPr="00FB01EF">
        <w:rPr>
          <w:bCs/>
          <w:szCs w:val="22"/>
          <w:u w:val="single"/>
          <w:lang w:val="it-IT"/>
        </w:rPr>
        <w:t>e</w:t>
      </w:r>
      <w:r w:rsidRPr="00FB01EF">
        <w:rPr>
          <w:bCs/>
          <w:szCs w:val="22"/>
          <w:u w:val="single"/>
          <w:lang w:val="it-IT"/>
        </w:rPr>
        <w:t>,</w:t>
      </w:r>
      <w:r w:rsidRPr="00FB01EF">
        <w:rPr>
          <w:b/>
          <w:bCs/>
          <w:szCs w:val="22"/>
          <w:u w:val="single"/>
          <w:lang w:val="it-IT"/>
        </w:rPr>
        <w:t xml:space="preserve"> </w:t>
      </w:r>
      <w:r w:rsidR="00E72AC2" w:rsidRPr="00FB01EF">
        <w:rPr>
          <w:szCs w:val="22"/>
          <w:u w:val="single"/>
          <w:lang w:val="it-IT"/>
        </w:rPr>
        <w:t>Ovaleap</w:t>
      </w:r>
      <w:r w:rsidRPr="00FB01EF">
        <w:rPr>
          <w:szCs w:val="22"/>
          <w:u w:val="single"/>
          <w:lang w:val="it-IT"/>
        </w:rPr>
        <w:t xml:space="preserve"> viene utilizzato</w:t>
      </w:r>
    </w:p>
    <w:p w:rsidR="0088113E" w:rsidRPr="00FB01EF" w:rsidRDefault="0088113E" w:rsidP="00CC7997">
      <w:pPr>
        <w:numPr>
          <w:ilvl w:val="0"/>
          <w:numId w:val="9"/>
        </w:numPr>
        <w:tabs>
          <w:tab w:val="clear" w:pos="567"/>
        </w:tabs>
        <w:ind w:left="567" w:hanging="567"/>
        <w:rPr>
          <w:szCs w:val="22"/>
          <w:lang w:val="it-IT"/>
        </w:rPr>
      </w:pPr>
      <w:r w:rsidRPr="00FB01EF">
        <w:rPr>
          <w:szCs w:val="22"/>
          <w:lang w:val="it-IT"/>
        </w:rPr>
        <w:t xml:space="preserve">per favorire </w:t>
      </w:r>
      <w:r w:rsidR="00E72AC2" w:rsidRPr="00FB01EF">
        <w:rPr>
          <w:szCs w:val="22"/>
          <w:lang w:val="it-IT"/>
        </w:rPr>
        <w:t>l’</w:t>
      </w:r>
      <w:r w:rsidRPr="00FB01EF">
        <w:rPr>
          <w:szCs w:val="22"/>
          <w:lang w:val="it-IT"/>
        </w:rPr>
        <w:t xml:space="preserve">ovulazione </w:t>
      </w:r>
      <w:r w:rsidR="00683BAF" w:rsidRPr="00FB01EF">
        <w:rPr>
          <w:szCs w:val="22"/>
          <w:lang w:val="it-IT"/>
        </w:rPr>
        <w:t xml:space="preserve">(il rilascio di una cellula uovo matura dal follicolo) </w:t>
      </w:r>
      <w:r w:rsidRPr="00FB01EF">
        <w:rPr>
          <w:szCs w:val="22"/>
          <w:lang w:val="it-IT"/>
        </w:rPr>
        <w:t>nelle donne che non hanno l’ovulazione e che non hanno risposto al trattamento con un medicinale chiamato “clomifene citrato”.</w:t>
      </w:r>
    </w:p>
    <w:p w:rsidR="0088113E" w:rsidRPr="00FB01EF" w:rsidRDefault="0088113E" w:rsidP="00CC7997">
      <w:pPr>
        <w:numPr>
          <w:ilvl w:val="0"/>
          <w:numId w:val="9"/>
        </w:numPr>
        <w:tabs>
          <w:tab w:val="clear" w:pos="567"/>
        </w:tabs>
        <w:ind w:left="567" w:hanging="567"/>
        <w:rPr>
          <w:szCs w:val="22"/>
          <w:lang w:val="it-IT"/>
        </w:rPr>
      </w:pPr>
      <w:r w:rsidRPr="00FB01EF">
        <w:rPr>
          <w:szCs w:val="22"/>
          <w:lang w:val="it-IT"/>
        </w:rPr>
        <w:t xml:space="preserve">per favorire lo sviluppo di follicoli nelle donne sottoposte a procedure di riproduzione assistita (procedure che possono aiutare </w:t>
      </w:r>
      <w:r w:rsidR="00DB3534" w:rsidRPr="00FB01EF">
        <w:rPr>
          <w:szCs w:val="22"/>
          <w:lang w:val="it-IT"/>
        </w:rPr>
        <w:t xml:space="preserve">l’instaurarsi della </w:t>
      </w:r>
      <w:r w:rsidRPr="00FB01EF">
        <w:rPr>
          <w:szCs w:val="22"/>
          <w:lang w:val="it-IT"/>
        </w:rPr>
        <w:t xml:space="preserve">gravidanza), come la “fecondazione </w:t>
      </w:r>
      <w:r w:rsidRPr="00FB01EF">
        <w:rPr>
          <w:i/>
          <w:szCs w:val="22"/>
          <w:lang w:val="it-IT"/>
        </w:rPr>
        <w:t>in vitro</w:t>
      </w:r>
      <w:r w:rsidRPr="00FB01EF">
        <w:rPr>
          <w:szCs w:val="22"/>
          <w:lang w:val="it-IT"/>
        </w:rPr>
        <w:t>”, il “trasferimento intratubarico di gameti” o il “trasferimento intratubarico di zigoti”.</w:t>
      </w:r>
    </w:p>
    <w:p w:rsidR="00E72AC2" w:rsidRPr="00FB01EF" w:rsidRDefault="00E72AC2" w:rsidP="00CC7997">
      <w:pPr>
        <w:numPr>
          <w:ilvl w:val="0"/>
          <w:numId w:val="9"/>
        </w:numPr>
        <w:tabs>
          <w:tab w:val="clear" w:pos="567"/>
        </w:tabs>
        <w:ind w:left="567" w:hanging="567"/>
        <w:rPr>
          <w:szCs w:val="22"/>
          <w:lang w:val="it-IT"/>
        </w:rPr>
      </w:pPr>
      <w:r w:rsidRPr="00FB01EF">
        <w:rPr>
          <w:szCs w:val="22"/>
          <w:lang w:val="it-IT"/>
        </w:rPr>
        <w:t>insieme a un medicinale chiamato “lutropina alfa” (</w:t>
      </w:r>
      <w:r w:rsidR="00683BAF" w:rsidRPr="00FB01EF">
        <w:rPr>
          <w:szCs w:val="22"/>
          <w:lang w:val="it-IT"/>
        </w:rPr>
        <w:t xml:space="preserve">una versione di un’altra gonadotropina, </w:t>
      </w:r>
      <w:r w:rsidRPr="00FB01EF">
        <w:rPr>
          <w:szCs w:val="22"/>
          <w:lang w:val="it-IT"/>
        </w:rPr>
        <w:t xml:space="preserve">“ormone luteinizzante” o LH) per favorire l’ovulazione nelle donne che non hanno l’ovulazione perché il loro organismo produce </w:t>
      </w:r>
      <w:r w:rsidR="00683BAF" w:rsidRPr="00FB01EF">
        <w:rPr>
          <w:szCs w:val="22"/>
          <w:lang w:val="it-IT"/>
        </w:rPr>
        <w:t>una quantità insufficiente di</w:t>
      </w:r>
      <w:r w:rsidRPr="00FB01EF">
        <w:rPr>
          <w:szCs w:val="22"/>
          <w:lang w:val="it-IT"/>
        </w:rPr>
        <w:t xml:space="preserve"> gonadotropine FSH e LH.</w:t>
      </w:r>
    </w:p>
    <w:p w:rsidR="00BC0C26" w:rsidRPr="00FB01EF" w:rsidRDefault="00BC0C26" w:rsidP="00496272">
      <w:pPr>
        <w:rPr>
          <w:noProof/>
          <w:szCs w:val="22"/>
          <w:lang w:val="it-IT"/>
        </w:rPr>
      </w:pPr>
    </w:p>
    <w:p w:rsidR="00BC0C26" w:rsidRPr="00FB01EF" w:rsidRDefault="0088113E" w:rsidP="00CA2F0A">
      <w:pPr>
        <w:keepNext/>
        <w:rPr>
          <w:noProof/>
          <w:szCs w:val="22"/>
          <w:u w:val="single"/>
          <w:lang w:val="it-IT"/>
        </w:rPr>
      </w:pPr>
      <w:r w:rsidRPr="00FB01EF">
        <w:rPr>
          <w:bCs/>
          <w:szCs w:val="22"/>
          <w:u w:val="single"/>
          <w:lang w:val="it-IT"/>
        </w:rPr>
        <w:t>Ne</w:t>
      </w:r>
      <w:r w:rsidR="00F4066C" w:rsidRPr="00FB01EF">
        <w:rPr>
          <w:bCs/>
          <w:szCs w:val="22"/>
          <w:u w:val="single"/>
          <w:lang w:val="it-IT"/>
        </w:rPr>
        <w:t>gli uomini</w:t>
      </w:r>
      <w:r w:rsidRPr="00FB01EF">
        <w:rPr>
          <w:bCs/>
          <w:szCs w:val="22"/>
          <w:u w:val="single"/>
          <w:lang w:val="it-IT"/>
        </w:rPr>
        <w:t xml:space="preserve"> adult</w:t>
      </w:r>
      <w:r w:rsidR="00F4066C" w:rsidRPr="00FB01EF">
        <w:rPr>
          <w:bCs/>
          <w:szCs w:val="22"/>
          <w:u w:val="single"/>
          <w:lang w:val="it-IT"/>
        </w:rPr>
        <w:t>i</w:t>
      </w:r>
      <w:r w:rsidRPr="00FB01EF">
        <w:rPr>
          <w:bCs/>
          <w:szCs w:val="22"/>
          <w:u w:val="single"/>
          <w:lang w:val="it-IT"/>
        </w:rPr>
        <w:t>,</w:t>
      </w:r>
      <w:r w:rsidRPr="00FB01EF">
        <w:rPr>
          <w:b/>
          <w:bCs/>
          <w:szCs w:val="22"/>
          <w:u w:val="single"/>
          <w:lang w:val="it-IT"/>
        </w:rPr>
        <w:t xml:space="preserve"> </w:t>
      </w:r>
      <w:r w:rsidR="00E72AC2" w:rsidRPr="00FB01EF">
        <w:rPr>
          <w:szCs w:val="22"/>
          <w:u w:val="single"/>
          <w:lang w:val="it-IT"/>
        </w:rPr>
        <w:t>Ovaleap</w:t>
      </w:r>
      <w:r w:rsidRPr="00FB01EF">
        <w:rPr>
          <w:szCs w:val="22"/>
          <w:u w:val="single"/>
          <w:lang w:val="it-IT"/>
        </w:rPr>
        <w:t xml:space="preserve"> viene utilizzato</w:t>
      </w:r>
    </w:p>
    <w:p w:rsidR="009B6496" w:rsidRPr="00FB01EF" w:rsidRDefault="00C3209E" w:rsidP="00CC7997">
      <w:pPr>
        <w:numPr>
          <w:ilvl w:val="0"/>
          <w:numId w:val="3"/>
        </w:numPr>
        <w:ind w:left="567" w:hanging="567"/>
        <w:rPr>
          <w:noProof/>
          <w:szCs w:val="22"/>
          <w:lang w:val="it-IT"/>
        </w:rPr>
      </w:pPr>
      <w:r w:rsidRPr="00FB01EF">
        <w:rPr>
          <w:szCs w:val="22"/>
          <w:lang w:val="it-IT"/>
        </w:rPr>
        <w:t>insieme a un medicinale chiamato “gonadotropina corionica umana” (hCG) per favorire la produzione di sperma negli uomini infertili a causa di livelli bassi di determinati ormoni</w:t>
      </w:r>
      <w:r w:rsidR="00BC0C26" w:rsidRPr="00FB01EF">
        <w:rPr>
          <w:noProof/>
          <w:szCs w:val="22"/>
          <w:lang w:val="it-IT"/>
        </w:rPr>
        <w:t>.</w:t>
      </w:r>
    </w:p>
    <w:p w:rsidR="00896658" w:rsidRPr="00FB01EF" w:rsidRDefault="00896658" w:rsidP="00496272">
      <w:pPr>
        <w:tabs>
          <w:tab w:val="clear" w:pos="567"/>
        </w:tabs>
        <w:ind w:right="-2"/>
        <w:rPr>
          <w:noProof/>
          <w:szCs w:val="22"/>
          <w:highlight w:val="yellow"/>
          <w:lang w:val="it-IT"/>
        </w:rPr>
      </w:pPr>
    </w:p>
    <w:p w:rsidR="009B6496" w:rsidRPr="00FB01EF" w:rsidRDefault="00F9016F" w:rsidP="00496272">
      <w:pPr>
        <w:keepNext/>
        <w:keepLines/>
        <w:ind w:right="-2"/>
        <w:rPr>
          <w:b/>
          <w:noProof/>
          <w:szCs w:val="22"/>
          <w:lang w:val="it-IT"/>
        </w:rPr>
      </w:pPr>
      <w:r w:rsidRPr="00FB01EF">
        <w:rPr>
          <w:b/>
          <w:noProof/>
          <w:szCs w:val="22"/>
          <w:lang w:val="it-IT"/>
        </w:rPr>
        <w:lastRenderedPageBreak/>
        <w:t>2.</w:t>
      </w:r>
      <w:r w:rsidRPr="00FB01EF">
        <w:rPr>
          <w:b/>
          <w:noProof/>
          <w:szCs w:val="22"/>
          <w:lang w:val="it-IT"/>
        </w:rPr>
        <w:tab/>
      </w:r>
      <w:r w:rsidR="00E72AC2" w:rsidRPr="00FB01EF">
        <w:rPr>
          <w:b/>
          <w:bCs/>
          <w:szCs w:val="22"/>
          <w:lang w:val="it-IT"/>
        </w:rPr>
        <w:t>Cosa deve sapere prima di usare Ovaleap</w:t>
      </w:r>
    </w:p>
    <w:p w:rsidR="00C3209E" w:rsidRPr="00FB01EF" w:rsidRDefault="00C3209E" w:rsidP="00496272">
      <w:pPr>
        <w:keepNext/>
        <w:keepLines/>
        <w:numPr>
          <w:ilvl w:val="12"/>
          <w:numId w:val="0"/>
        </w:numPr>
        <w:tabs>
          <w:tab w:val="clear" w:pos="567"/>
        </w:tabs>
        <w:outlineLvl w:val="0"/>
        <w:rPr>
          <w:i/>
          <w:noProof/>
          <w:szCs w:val="22"/>
          <w:lang w:val="it-IT"/>
        </w:rPr>
      </w:pPr>
    </w:p>
    <w:p w:rsidR="009B6496" w:rsidRPr="00FB01EF" w:rsidRDefault="00C3209E" w:rsidP="00496272">
      <w:pPr>
        <w:keepNext/>
        <w:keepLines/>
        <w:numPr>
          <w:ilvl w:val="12"/>
          <w:numId w:val="0"/>
        </w:numPr>
        <w:tabs>
          <w:tab w:val="clear" w:pos="567"/>
        </w:tabs>
        <w:outlineLvl w:val="0"/>
        <w:rPr>
          <w:noProof/>
          <w:szCs w:val="22"/>
          <w:lang w:val="it-IT"/>
        </w:rPr>
      </w:pPr>
      <w:r w:rsidRPr="00FB01EF">
        <w:rPr>
          <w:b/>
          <w:bCs/>
          <w:szCs w:val="22"/>
          <w:lang w:val="it-IT"/>
        </w:rPr>
        <w:t xml:space="preserve">Non usi </w:t>
      </w:r>
      <w:r w:rsidR="00E72AC2" w:rsidRPr="00FB01EF">
        <w:rPr>
          <w:b/>
          <w:bCs/>
          <w:szCs w:val="22"/>
          <w:lang w:val="it-IT"/>
        </w:rPr>
        <w:t>Ovaleap</w:t>
      </w:r>
    </w:p>
    <w:p w:rsidR="00C3209E" w:rsidRPr="00FB01EF" w:rsidRDefault="00C3209E" w:rsidP="00CC7997">
      <w:pPr>
        <w:numPr>
          <w:ilvl w:val="0"/>
          <w:numId w:val="3"/>
        </w:numPr>
        <w:tabs>
          <w:tab w:val="left" w:pos="680"/>
        </w:tabs>
        <w:ind w:left="567" w:hanging="567"/>
        <w:rPr>
          <w:szCs w:val="22"/>
          <w:lang w:val="it-IT"/>
        </w:rPr>
      </w:pPr>
      <w:r w:rsidRPr="00FB01EF">
        <w:rPr>
          <w:szCs w:val="22"/>
          <w:lang w:val="it-IT"/>
        </w:rPr>
        <w:t xml:space="preserve">se è allergico </w:t>
      </w:r>
      <w:r w:rsidR="00E72AC2" w:rsidRPr="00FB01EF">
        <w:rPr>
          <w:szCs w:val="22"/>
          <w:lang w:val="it-IT"/>
        </w:rPr>
        <w:t>alla follitropina alfa, all’</w:t>
      </w:r>
      <w:r w:rsidR="0088709C" w:rsidRPr="00FB01EF">
        <w:rPr>
          <w:szCs w:val="22"/>
          <w:lang w:val="it-IT"/>
        </w:rPr>
        <w:t>ormone follicolo</w:t>
      </w:r>
      <w:r w:rsidR="00180EA2" w:rsidRPr="00FB01EF">
        <w:rPr>
          <w:szCs w:val="22"/>
          <w:lang w:val="it-IT"/>
        </w:rPr>
        <w:noBreakHyphen/>
      </w:r>
      <w:r w:rsidR="0088709C" w:rsidRPr="00FB01EF">
        <w:rPr>
          <w:szCs w:val="22"/>
          <w:lang w:val="it-IT"/>
        </w:rPr>
        <w:t>stimolante (</w:t>
      </w:r>
      <w:r w:rsidR="00B76351" w:rsidRPr="00FB01EF">
        <w:rPr>
          <w:szCs w:val="22"/>
          <w:lang w:val="it-IT"/>
        </w:rPr>
        <w:t>FSH</w:t>
      </w:r>
      <w:r w:rsidR="0088709C" w:rsidRPr="00FB01EF">
        <w:rPr>
          <w:szCs w:val="22"/>
          <w:lang w:val="it-IT"/>
        </w:rPr>
        <w:t>)</w:t>
      </w:r>
      <w:r w:rsidRPr="00FB01EF">
        <w:rPr>
          <w:szCs w:val="22"/>
          <w:lang w:val="it-IT"/>
        </w:rPr>
        <w:t xml:space="preserve"> o ad uno qualsiasi degli </w:t>
      </w:r>
      <w:r w:rsidR="00E72AC2" w:rsidRPr="00FB01EF">
        <w:rPr>
          <w:szCs w:val="22"/>
          <w:lang w:val="it-IT"/>
        </w:rPr>
        <w:t xml:space="preserve">altri componenti </w:t>
      </w:r>
      <w:r w:rsidRPr="00FB01EF">
        <w:rPr>
          <w:szCs w:val="22"/>
          <w:lang w:val="it-IT"/>
        </w:rPr>
        <w:t>di</w:t>
      </w:r>
      <w:r w:rsidR="00907D5D" w:rsidRPr="00FB01EF">
        <w:rPr>
          <w:szCs w:val="22"/>
          <w:lang w:val="it-IT"/>
        </w:rPr>
        <w:t xml:space="preserve"> </w:t>
      </w:r>
      <w:r w:rsidR="00E72AC2" w:rsidRPr="00FB01EF">
        <w:rPr>
          <w:szCs w:val="22"/>
          <w:lang w:val="it-IT"/>
        </w:rPr>
        <w:t>questo medicinale</w:t>
      </w:r>
      <w:r w:rsidRPr="00FB01EF">
        <w:rPr>
          <w:szCs w:val="22"/>
          <w:lang w:val="it-IT"/>
        </w:rPr>
        <w:t xml:space="preserve"> </w:t>
      </w:r>
      <w:r w:rsidR="00E72AC2" w:rsidRPr="00FB01EF">
        <w:rPr>
          <w:szCs w:val="22"/>
          <w:lang w:val="it-IT"/>
        </w:rPr>
        <w:t>(</w:t>
      </w:r>
      <w:r w:rsidRPr="00FB01EF">
        <w:rPr>
          <w:szCs w:val="22"/>
          <w:lang w:val="it-IT"/>
        </w:rPr>
        <w:t xml:space="preserve">elencati </w:t>
      </w:r>
      <w:r w:rsidR="00A42CD5" w:rsidRPr="00FB01EF">
        <w:rPr>
          <w:szCs w:val="22"/>
          <w:lang w:val="it-IT"/>
        </w:rPr>
        <w:t>al</w:t>
      </w:r>
      <w:r w:rsidRPr="00FB01EF">
        <w:rPr>
          <w:szCs w:val="22"/>
          <w:lang w:val="it-IT"/>
        </w:rPr>
        <w:t xml:space="preserve"> paragrafo</w:t>
      </w:r>
      <w:r w:rsidR="00294F26" w:rsidRPr="00FB01EF">
        <w:rPr>
          <w:szCs w:val="22"/>
          <w:lang w:val="it-IT"/>
        </w:rPr>
        <w:t> </w:t>
      </w:r>
      <w:r w:rsidRPr="00FB01EF">
        <w:rPr>
          <w:szCs w:val="22"/>
          <w:lang w:val="it-IT"/>
        </w:rPr>
        <w:t>6</w:t>
      </w:r>
      <w:r w:rsidR="00E72AC2" w:rsidRPr="00FB01EF">
        <w:rPr>
          <w:szCs w:val="22"/>
          <w:lang w:val="it-IT"/>
        </w:rPr>
        <w:t>)</w:t>
      </w:r>
      <w:r w:rsidRPr="00FB01EF">
        <w:rPr>
          <w:szCs w:val="22"/>
          <w:lang w:val="it-IT"/>
        </w:rPr>
        <w:t>.</w:t>
      </w:r>
    </w:p>
    <w:p w:rsidR="00294F26" w:rsidRPr="00FB01EF" w:rsidRDefault="00C3209E" w:rsidP="00CC7997">
      <w:pPr>
        <w:numPr>
          <w:ilvl w:val="0"/>
          <w:numId w:val="3"/>
        </w:numPr>
        <w:tabs>
          <w:tab w:val="left" w:pos="680"/>
        </w:tabs>
        <w:ind w:left="567" w:hanging="567"/>
        <w:rPr>
          <w:szCs w:val="22"/>
          <w:lang w:val="it-IT"/>
        </w:rPr>
      </w:pPr>
      <w:r w:rsidRPr="00FB01EF">
        <w:rPr>
          <w:szCs w:val="22"/>
          <w:lang w:val="it-IT"/>
        </w:rPr>
        <w:t xml:space="preserve">se è affetto da un tumore dell’ipotalamo o dell’ipofisi </w:t>
      </w:r>
      <w:r w:rsidR="00683BAF" w:rsidRPr="00FB01EF">
        <w:rPr>
          <w:szCs w:val="22"/>
          <w:lang w:val="it-IT"/>
        </w:rPr>
        <w:t>(</w:t>
      </w:r>
      <w:r w:rsidRPr="00FB01EF">
        <w:rPr>
          <w:szCs w:val="22"/>
          <w:lang w:val="it-IT"/>
        </w:rPr>
        <w:t>parti del cervello</w:t>
      </w:r>
      <w:r w:rsidR="00683BAF" w:rsidRPr="00FB01EF">
        <w:rPr>
          <w:szCs w:val="22"/>
          <w:lang w:val="it-IT"/>
        </w:rPr>
        <w:t>)</w:t>
      </w:r>
      <w:r w:rsidRPr="00FB01EF">
        <w:rPr>
          <w:szCs w:val="22"/>
          <w:lang w:val="it-IT"/>
        </w:rPr>
        <w:t>.</w:t>
      </w:r>
    </w:p>
    <w:p w:rsidR="00C3209E" w:rsidRPr="00FB01EF" w:rsidRDefault="00C3209E" w:rsidP="00CC7997">
      <w:pPr>
        <w:numPr>
          <w:ilvl w:val="0"/>
          <w:numId w:val="3"/>
        </w:numPr>
        <w:tabs>
          <w:tab w:val="left" w:pos="680"/>
        </w:tabs>
        <w:ind w:left="567" w:hanging="567"/>
        <w:rPr>
          <w:szCs w:val="22"/>
          <w:lang w:val="it-IT"/>
        </w:rPr>
      </w:pPr>
      <w:r w:rsidRPr="00FB01EF">
        <w:rPr>
          <w:szCs w:val="22"/>
          <w:lang w:val="it-IT"/>
        </w:rPr>
        <w:t xml:space="preserve">se è </w:t>
      </w:r>
      <w:r w:rsidRPr="00FB01EF">
        <w:rPr>
          <w:bCs/>
          <w:szCs w:val="22"/>
          <w:lang w:val="it-IT"/>
        </w:rPr>
        <w:t>una</w:t>
      </w:r>
      <w:r w:rsidRPr="00FB01EF">
        <w:rPr>
          <w:b/>
          <w:bCs/>
          <w:szCs w:val="22"/>
          <w:lang w:val="it-IT"/>
        </w:rPr>
        <w:t xml:space="preserve"> </w:t>
      </w:r>
      <w:r w:rsidRPr="00FB01EF">
        <w:rPr>
          <w:b/>
          <w:bCs/>
          <w:i/>
          <w:szCs w:val="22"/>
          <w:lang w:val="it-IT"/>
        </w:rPr>
        <w:t>donna</w:t>
      </w:r>
    </w:p>
    <w:p w:rsidR="00294F26" w:rsidRPr="00FB01EF" w:rsidRDefault="00C3209E" w:rsidP="00CC7997">
      <w:pPr>
        <w:numPr>
          <w:ilvl w:val="0"/>
          <w:numId w:val="10"/>
        </w:numPr>
        <w:tabs>
          <w:tab w:val="clear" w:pos="567"/>
        </w:tabs>
        <w:ind w:left="1491" w:hanging="357"/>
        <w:rPr>
          <w:szCs w:val="22"/>
          <w:lang w:val="it-IT"/>
        </w:rPr>
      </w:pPr>
      <w:r w:rsidRPr="00FB01EF">
        <w:rPr>
          <w:szCs w:val="22"/>
          <w:lang w:val="it-IT"/>
        </w:rPr>
        <w:t xml:space="preserve">con ovaie grandi o </w:t>
      </w:r>
      <w:r w:rsidR="00284976" w:rsidRPr="00FB01EF">
        <w:rPr>
          <w:szCs w:val="22"/>
          <w:lang w:val="it-IT"/>
        </w:rPr>
        <w:t>sacche di liquido nell’ovaio</w:t>
      </w:r>
      <w:r w:rsidR="00683BAF" w:rsidRPr="00FB01EF">
        <w:rPr>
          <w:szCs w:val="22"/>
          <w:lang w:val="it-IT"/>
        </w:rPr>
        <w:t xml:space="preserve"> (cisti ovariche</w:t>
      </w:r>
      <w:r w:rsidRPr="00FB01EF">
        <w:rPr>
          <w:szCs w:val="22"/>
          <w:lang w:val="it-IT"/>
        </w:rPr>
        <w:t>) di origine sconosciuta</w:t>
      </w:r>
      <w:r w:rsidR="00284976" w:rsidRPr="00FB01EF">
        <w:rPr>
          <w:szCs w:val="22"/>
          <w:lang w:val="it-IT"/>
        </w:rPr>
        <w:t>.</w:t>
      </w:r>
    </w:p>
    <w:p w:rsidR="00294F26" w:rsidRPr="00FB01EF" w:rsidRDefault="006B6DDF" w:rsidP="00CC7997">
      <w:pPr>
        <w:numPr>
          <w:ilvl w:val="0"/>
          <w:numId w:val="10"/>
        </w:numPr>
        <w:tabs>
          <w:tab w:val="clear" w:pos="567"/>
        </w:tabs>
        <w:ind w:left="1491" w:hanging="357"/>
        <w:rPr>
          <w:szCs w:val="22"/>
          <w:lang w:val="it-IT"/>
        </w:rPr>
      </w:pPr>
      <w:r w:rsidRPr="00FB01EF">
        <w:rPr>
          <w:szCs w:val="22"/>
          <w:lang w:val="it-IT"/>
        </w:rPr>
        <w:t>c</w:t>
      </w:r>
      <w:r w:rsidR="00C3209E" w:rsidRPr="00FB01EF">
        <w:rPr>
          <w:szCs w:val="22"/>
          <w:lang w:val="it-IT"/>
        </w:rPr>
        <w:t>on sanguinamenti vaginali di origine sconosciuta</w:t>
      </w:r>
      <w:r w:rsidR="00284976" w:rsidRPr="00FB01EF">
        <w:rPr>
          <w:szCs w:val="22"/>
          <w:lang w:val="it-IT"/>
        </w:rPr>
        <w:t>.</w:t>
      </w:r>
    </w:p>
    <w:p w:rsidR="00294F26" w:rsidRPr="00FB01EF" w:rsidRDefault="00C3209E" w:rsidP="00CC7997">
      <w:pPr>
        <w:numPr>
          <w:ilvl w:val="0"/>
          <w:numId w:val="10"/>
        </w:numPr>
        <w:tabs>
          <w:tab w:val="clear" w:pos="567"/>
        </w:tabs>
        <w:ind w:left="1491" w:hanging="357"/>
        <w:rPr>
          <w:szCs w:val="22"/>
          <w:lang w:val="it-IT"/>
        </w:rPr>
      </w:pPr>
      <w:r w:rsidRPr="00FB01EF">
        <w:rPr>
          <w:szCs w:val="22"/>
          <w:lang w:val="it-IT"/>
        </w:rPr>
        <w:t>con cancro dell’ovaio, dell’utero o della mammella</w:t>
      </w:r>
      <w:r w:rsidR="00284976" w:rsidRPr="00FB01EF">
        <w:rPr>
          <w:szCs w:val="22"/>
          <w:lang w:val="it-IT"/>
        </w:rPr>
        <w:t>.</w:t>
      </w:r>
    </w:p>
    <w:p w:rsidR="00C3209E" w:rsidRPr="00FB01EF" w:rsidRDefault="00C3209E" w:rsidP="00CC7997">
      <w:pPr>
        <w:numPr>
          <w:ilvl w:val="0"/>
          <w:numId w:val="10"/>
        </w:numPr>
        <w:tabs>
          <w:tab w:val="clear" w:pos="567"/>
        </w:tabs>
        <w:ind w:left="1491" w:hanging="357"/>
        <w:rPr>
          <w:szCs w:val="22"/>
          <w:lang w:val="it-IT"/>
        </w:rPr>
      </w:pPr>
      <w:r w:rsidRPr="00FB01EF">
        <w:rPr>
          <w:szCs w:val="22"/>
          <w:lang w:val="it-IT"/>
        </w:rPr>
        <w:t>con una</w:t>
      </w:r>
      <w:r w:rsidR="00B76351" w:rsidRPr="00FB01EF">
        <w:rPr>
          <w:szCs w:val="22"/>
          <w:lang w:val="it-IT"/>
        </w:rPr>
        <w:t xml:space="preserve"> qualsiasi</w:t>
      </w:r>
      <w:r w:rsidRPr="00FB01EF">
        <w:rPr>
          <w:szCs w:val="22"/>
          <w:lang w:val="it-IT"/>
        </w:rPr>
        <w:t xml:space="preserve"> patologia che di solito rende impossibile una gravidanza normale, come l’insufficienza ovarica (menopausa precoce)</w:t>
      </w:r>
      <w:r w:rsidR="00284976" w:rsidRPr="00FB01EF">
        <w:rPr>
          <w:szCs w:val="22"/>
          <w:lang w:val="it-IT"/>
        </w:rPr>
        <w:t>, tumori fibroidi dell’utero o</w:t>
      </w:r>
      <w:r w:rsidRPr="00FB01EF">
        <w:rPr>
          <w:szCs w:val="22"/>
          <w:lang w:val="it-IT"/>
        </w:rPr>
        <w:t xml:space="preserve"> malformazioni dell’apparato riproduttivo.</w:t>
      </w:r>
    </w:p>
    <w:p w:rsidR="00C3209E" w:rsidRPr="00FB01EF" w:rsidRDefault="00C3209E" w:rsidP="00CC7997">
      <w:pPr>
        <w:numPr>
          <w:ilvl w:val="0"/>
          <w:numId w:val="3"/>
        </w:numPr>
        <w:tabs>
          <w:tab w:val="left" w:pos="680"/>
        </w:tabs>
        <w:ind w:left="567" w:hanging="567"/>
        <w:rPr>
          <w:szCs w:val="22"/>
          <w:lang w:val="it-IT"/>
        </w:rPr>
      </w:pPr>
      <w:r w:rsidRPr="00FB01EF">
        <w:rPr>
          <w:szCs w:val="22"/>
          <w:lang w:val="it-IT"/>
        </w:rPr>
        <w:t xml:space="preserve">se è </w:t>
      </w:r>
      <w:r w:rsidRPr="00FB01EF">
        <w:rPr>
          <w:bCs/>
          <w:szCs w:val="22"/>
          <w:lang w:val="it-IT"/>
        </w:rPr>
        <w:t>un</w:t>
      </w:r>
      <w:r w:rsidRPr="00FB01EF">
        <w:rPr>
          <w:b/>
          <w:bCs/>
          <w:szCs w:val="22"/>
          <w:lang w:val="it-IT"/>
        </w:rPr>
        <w:t xml:space="preserve"> </w:t>
      </w:r>
      <w:r w:rsidRPr="00FB01EF">
        <w:rPr>
          <w:b/>
          <w:bCs/>
          <w:i/>
          <w:szCs w:val="22"/>
          <w:lang w:val="it-IT"/>
        </w:rPr>
        <w:t>uomo</w:t>
      </w:r>
    </w:p>
    <w:p w:rsidR="00BC0C26" w:rsidRPr="00FB01EF" w:rsidRDefault="00C3209E" w:rsidP="00CC7997">
      <w:pPr>
        <w:numPr>
          <w:ilvl w:val="0"/>
          <w:numId w:val="10"/>
        </w:numPr>
        <w:tabs>
          <w:tab w:val="clear" w:pos="567"/>
        </w:tabs>
        <w:ind w:left="1491" w:hanging="357"/>
        <w:rPr>
          <w:noProof/>
          <w:szCs w:val="22"/>
          <w:lang w:val="it-IT"/>
        </w:rPr>
      </w:pPr>
      <w:r w:rsidRPr="00FB01EF">
        <w:rPr>
          <w:szCs w:val="22"/>
          <w:lang w:val="it-IT"/>
        </w:rPr>
        <w:t xml:space="preserve">con </w:t>
      </w:r>
      <w:r w:rsidR="0076512D" w:rsidRPr="00FB01EF">
        <w:rPr>
          <w:szCs w:val="22"/>
          <w:lang w:val="it-IT"/>
        </w:rPr>
        <w:t>insufficienza testicolare che non può essere trattata</w:t>
      </w:r>
      <w:r w:rsidR="00BC0C26" w:rsidRPr="00FB01EF">
        <w:rPr>
          <w:noProof/>
          <w:szCs w:val="22"/>
          <w:lang w:val="it-IT"/>
        </w:rPr>
        <w:t>.</w:t>
      </w:r>
    </w:p>
    <w:p w:rsidR="008E6011" w:rsidRPr="00FB01EF" w:rsidRDefault="008E6011" w:rsidP="00496272">
      <w:pPr>
        <w:rPr>
          <w:noProof/>
          <w:szCs w:val="22"/>
          <w:lang w:val="it-IT"/>
        </w:rPr>
      </w:pPr>
    </w:p>
    <w:p w:rsidR="009B6496" w:rsidRPr="00FB01EF" w:rsidRDefault="00C3209E" w:rsidP="00496272">
      <w:pPr>
        <w:rPr>
          <w:noProof/>
          <w:szCs w:val="22"/>
          <w:lang w:val="it-IT"/>
        </w:rPr>
      </w:pPr>
      <w:r w:rsidRPr="00FB01EF">
        <w:rPr>
          <w:szCs w:val="22"/>
          <w:lang w:val="it-IT"/>
        </w:rPr>
        <w:t xml:space="preserve">Non usi </w:t>
      </w:r>
      <w:r w:rsidR="00094D8D" w:rsidRPr="00FB01EF">
        <w:rPr>
          <w:szCs w:val="22"/>
          <w:lang w:val="it-IT"/>
        </w:rPr>
        <w:t>questo medicinale</w:t>
      </w:r>
      <w:r w:rsidRPr="00FB01EF">
        <w:rPr>
          <w:szCs w:val="22"/>
          <w:lang w:val="it-IT"/>
        </w:rPr>
        <w:t xml:space="preserve"> se soffre di una di queste condizioni. Se ha dubbi consulti il medico o il farmacista prima di usare questo medicinale</w:t>
      </w:r>
      <w:r w:rsidR="00BC0C26" w:rsidRPr="00FB01EF">
        <w:rPr>
          <w:noProof/>
          <w:szCs w:val="22"/>
          <w:lang w:val="it-IT"/>
        </w:rPr>
        <w:t>.</w:t>
      </w:r>
    </w:p>
    <w:p w:rsidR="00BC0C26" w:rsidRPr="00FB01EF" w:rsidRDefault="00BC0C26" w:rsidP="00496272">
      <w:pPr>
        <w:numPr>
          <w:ilvl w:val="12"/>
          <w:numId w:val="0"/>
        </w:numPr>
        <w:tabs>
          <w:tab w:val="clear" w:pos="567"/>
        </w:tabs>
        <w:rPr>
          <w:noProof/>
          <w:szCs w:val="22"/>
          <w:lang w:val="it-IT"/>
        </w:rPr>
      </w:pPr>
    </w:p>
    <w:p w:rsidR="00D22352" w:rsidRPr="00FB01EF" w:rsidRDefault="00284976" w:rsidP="00496272">
      <w:pPr>
        <w:numPr>
          <w:ilvl w:val="12"/>
          <w:numId w:val="0"/>
        </w:numPr>
        <w:tabs>
          <w:tab w:val="clear" w:pos="567"/>
        </w:tabs>
        <w:ind w:right="-2"/>
        <w:rPr>
          <w:b/>
          <w:bCs/>
          <w:szCs w:val="22"/>
          <w:lang w:val="it-IT"/>
        </w:rPr>
      </w:pPr>
      <w:r w:rsidRPr="00FB01EF">
        <w:rPr>
          <w:b/>
          <w:bCs/>
          <w:szCs w:val="22"/>
          <w:lang w:val="it-IT"/>
        </w:rPr>
        <w:t>Avvertenze e precauzioni</w:t>
      </w:r>
    </w:p>
    <w:p w:rsidR="00284976" w:rsidRPr="00FB01EF" w:rsidRDefault="00284976" w:rsidP="00496272">
      <w:pPr>
        <w:numPr>
          <w:ilvl w:val="12"/>
          <w:numId w:val="0"/>
        </w:numPr>
        <w:tabs>
          <w:tab w:val="clear" w:pos="567"/>
        </w:tabs>
        <w:ind w:right="-2"/>
        <w:rPr>
          <w:noProof/>
          <w:szCs w:val="22"/>
          <w:lang w:val="it-IT"/>
        </w:rPr>
      </w:pPr>
      <w:r w:rsidRPr="00FB01EF">
        <w:rPr>
          <w:noProof/>
          <w:szCs w:val="22"/>
          <w:lang w:val="it-IT"/>
        </w:rPr>
        <w:t>Prima di iniziare il trattamento deve essere adeguatamente studiata la fertilità di coppia da parte di un medico esperto nel trattamento dei disturbi della fertilità.</w:t>
      </w:r>
    </w:p>
    <w:p w:rsidR="00D22352" w:rsidRPr="00FB01EF" w:rsidRDefault="00D22352" w:rsidP="00496272">
      <w:pPr>
        <w:numPr>
          <w:ilvl w:val="12"/>
          <w:numId w:val="0"/>
        </w:numPr>
        <w:tabs>
          <w:tab w:val="clear" w:pos="567"/>
        </w:tabs>
        <w:rPr>
          <w:noProof/>
          <w:szCs w:val="22"/>
          <w:lang w:val="it-IT"/>
        </w:rPr>
      </w:pPr>
    </w:p>
    <w:p w:rsidR="00BC0C26" w:rsidRPr="00FB01EF" w:rsidRDefault="00C3209E" w:rsidP="00496272">
      <w:pPr>
        <w:numPr>
          <w:ilvl w:val="12"/>
          <w:numId w:val="0"/>
        </w:numPr>
        <w:tabs>
          <w:tab w:val="clear" w:pos="567"/>
        </w:tabs>
        <w:rPr>
          <w:noProof/>
          <w:szCs w:val="22"/>
          <w:u w:val="single"/>
          <w:lang w:val="it-IT"/>
        </w:rPr>
      </w:pPr>
      <w:r w:rsidRPr="00FB01EF">
        <w:rPr>
          <w:szCs w:val="22"/>
          <w:u w:val="single" w:color="000000"/>
          <w:lang w:val="it-IT"/>
        </w:rPr>
        <w:t>Porfiria</w:t>
      </w:r>
    </w:p>
    <w:p w:rsidR="00C3209E" w:rsidRPr="00FB01EF" w:rsidRDefault="00C3209E" w:rsidP="006B6DDF">
      <w:pPr>
        <w:ind w:right="124"/>
        <w:rPr>
          <w:szCs w:val="22"/>
          <w:lang w:val="it-IT"/>
        </w:rPr>
      </w:pPr>
      <w:r w:rsidRPr="00FB01EF">
        <w:rPr>
          <w:szCs w:val="22"/>
          <w:lang w:val="it-IT"/>
        </w:rPr>
        <w:t>Informi il medico prima di iniziare il trattamento se lei o un suo familiare soffre di porfiria</w:t>
      </w:r>
      <w:r w:rsidR="00284976" w:rsidRPr="00FB01EF">
        <w:rPr>
          <w:szCs w:val="22"/>
          <w:lang w:val="it-IT"/>
        </w:rPr>
        <w:t>. Si tratta di una patologia che</w:t>
      </w:r>
      <w:r w:rsidRPr="00FB01EF">
        <w:rPr>
          <w:szCs w:val="22"/>
          <w:lang w:val="it-IT"/>
        </w:rPr>
        <w:t xml:space="preserve"> può essere trasmessa dai genitori ai figli</w:t>
      </w:r>
      <w:r w:rsidR="0057781E" w:rsidRPr="00FB01EF">
        <w:rPr>
          <w:szCs w:val="22"/>
          <w:lang w:val="it-IT"/>
        </w:rPr>
        <w:t xml:space="preserve"> e che </w:t>
      </w:r>
      <w:r w:rsidR="007D79C0" w:rsidRPr="00FB01EF">
        <w:rPr>
          <w:szCs w:val="22"/>
          <w:lang w:val="it-IT"/>
        </w:rPr>
        <w:t>comporta</w:t>
      </w:r>
      <w:r w:rsidR="00284976" w:rsidRPr="00FB01EF">
        <w:rPr>
          <w:szCs w:val="22"/>
          <w:lang w:val="it-IT"/>
        </w:rPr>
        <w:t xml:space="preserve"> </w:t>
      </w:r>
      <w:r w:rsidR="007D79C0" w:rsidRPr="00FB01EF">
        <w:rPr>
          <w:szCs w:val="22"/>
          <w:lang w:val="it-IT"/>
        </w:rPr>
        <w:t>l</w:t>
      </w:r>
      <w:r w:rsidR="00284976" w:rsidRPr="00FB01EF">
        <w:rPr>
          <w:szCs w:val="22"/>
          <w:lang w:val="it-IT"/>
        </w:rPr>
        <w:t>’incapacità a degradare le porfirine (composti organici</w:t>
      </w:r>
      <w:r w:rsidRPr="00FB01EF">
        <w:rPr>
          <w:szCs w:val="22"/>
          <w:lang w:val="it-IT"/>
        </w:rPr>
        <w:t>).</w:t>
      </w:r>
    </w:p>
    <w:p w:rsidR="00A54571" w:rsidRPr="00FB01EF" w:rsidRDefault="00C3209E" w:rsidP="00F97DD8">
      <w:pPr>
        <w:tabs>
          <w:tab w:val="clear" w:pos="567"/>
        </w:tabs>
        <w:rPr>
          <w:szCs w:val="22"/>
          <w:lang w:val="it-IT"/>
        </w:rPr>
      </w:pPr>
      <w:r w:rsidRPr="00FB01EF">
        <w:rPr>
          <w:szCs w:val="22"/>
          <w:lang w:val="it-IT"/>
        </w:rPr>
        <w:t>Informi immediatamente il medico se:</w:t>
      </w:r>
    </w:p>
    <w:p w:rsidR="00294F26" w:rsidRPr="00FB01EF" w:rsidRDefault="00C3209E" w:rsidP="00CC7997">
      <w:pPr>
        <w:numPr>
          <w:ilvl w:val="0"/>
          <w:numId w:val="7"/>
        </w:numPr>
        <w:tabs>
          <w:tab w:val="clear" w:pos="567"/>
        </w:tabs>
        <w:ind w:hanging="765"/>
        <w:rPr>
          <w:szCs w:val="22"/>
          <w:lang w:val="it-IT"/>
        </w:rPr>
      </w:pPr>
      <w:r w:rsidRPr="00FB01EF">
        <w:rPr>
          <w:szCs w:val="22"/>
          <w:lang w:val="it-IT"/>
        </w:rPr>
        <w:t>la pelle diventa fragile e si riempie facilmente di vescicole, in particolare sulle aree frequentemente esposte al sole, e/o</w:t>
      </w:r>
    </w:p>
    <w:p w:rsidR="00BC0C26" w:rsidRPr="00FB01EF" w:rsidRDefault="00C3209E" w:rsidP="00CC7997">
      <w:pPr>
        <w:numPr>
          <w:ilvl w:val="0"/>
          <w:numId w:val="7"/>
        </w:numPr>
        <w:tabs>
          <w:tab w:val="clear" w:pos="567"/>
        </w:tabs>
        <w:ind w:hanging="765"/>
        <w:rPr>
          <w:szCs w:val="22"/>
          <w:lang w:val="it-IT"/>
        </w:rPr>
      </w:pPr>
      <w:r w:rsidRPr="00FB01EF">
        <w:rPr>
          <w:szCs w:val="22"/>
          <w:lang w:val="it-IT"/>
        </w:rPr>
        <w:t>ha dolore allo stomaco, alle braccia o alle gambe</w:t>
      </w:r>
      <w:r w:rsidR="00BC0C26" w:rsidRPr="00FB01EF">
        <w:rPr>
          <w:szCs w:val="22"/>
          <w:lang w:val="it-IT"/>
        </w:rPr>
        <w:t>.</w:t>
      </w:r>
    </w:p>
    <w:p w:rsidR="00C3209E" w:rsidRPr="00FB01EF" w:rsidRDefault="00284976" w:rsidP="00496272">
      <w:pPr>
        <w:numPr>
          <w:ilvl w:val="12"/>
          <w:numId w:val="0"/>
        </w:numPr>
        <w:tabs>
          <w:tab w:val="clear" w:pos="567"/>
        </w:tabs>
        <w:rPr>
          <w:szCs w:val="22"/>
          <w:lang w:val="it-IT"/>
        </w:rPr>
      </w:pPr>
      <w:r w:rsidRPr="00FB01EF">
        <w:rPr>
          <w:szCs w:val="22"/>
          <w:lang w:val="it-IT"/>
        </w:rPr>
        <w:t>Se dovesse presentare i sintomi di cui sopra,</w:t>
      </w:r>
      <w:r w:rsidR="00C3209E" w:rsidRPr="00FB01EF">
        <w:rPr>
          <w:szCs w:val="22"/>
          <w:lang w:val="it-IT"/>
        </w:rPr>
        <w:t xml:space="preserve"> il medico </w:t>
      </w:r>
      <w:r w:rsidRPr="00FB01EF">
        <w:rPr>
          <w:szCs w:val="22"/>
          <w:lang w:val="it-IT"/>
        </w:rPr>
        <w:t xml:space="preserve">potrebbe </w:t>
      </w:r>
      <w:r w:rsidR="00C3209E" w:rsidRPr="00FB01EF">
        <w:rPr>
          <w:szCs w:val="22"/>
          <w:lang w:val="it-IT"/>
        </w:rPr>
        <w:t>raccomandarle di interrompere il trattamento.</w:t>
      </w:r>
    </w:p>
    <w:p w:rsidR="00C3209E" w:rsidRPr="00FB01EF" w:rsidRDefault="00C3209E" w:rsidP="00496272">
      <w:pPr>
        <w:numPr>
          <w:ilvl w:val="12"/>
          <w:numId w:val="0"/>
        </w:numPr>
        <w:tabs>
          <w:tab w:val="clear" w:pos="567"/>
        </w:tabs>
        <w:rPr>
          <w:noProof/>
          <w:szCs w:val="22"/>
          <w:lang w:val="it-IT"/>
        </w:rPr>
      </w:pPr>
    </w:p>
    <w:p w:rsidR="00BC0C26" w:rsidRPr="00FB01EF" w:rsidRDefault="00C3209E" w:rsidP="00496272">
      <w:pPr>
        <w:numPr>
          <w:ilvl w:val="12"/>
          <w:numId w:val="0"/>
        </w:numPr>
        <w:tabs>
          <w:tab w:val="clear" w:pos="567"/>
        </w:tabs>
        <w:rPr>
          <w:noProof/>
          <w:szCs w:val="22"/>
          <w:u w:val="single"/>
          <w:lang w:val="it-IT"/>
        </w:rPr>
      </w:pPr>
      <w:r w:rsidRPr="00FB01EF">
        <w:rPr>
          <w:szCs w:val="22"/>
          <w:u w:val="single" w:color="000000"/>
          <w:lang w:val="it-IT"/>
        </w:rPr>
        <w:t>Sindrome da iperstimolazione ovarica (OHSS)</w:t>
      </w:r>
    </w:p>
    <w:p w:rsidR="006B6DDF" w:rsidRPr="00FB01EF" w:rsidRDefault="00C3209E" w:rsidP="00496272">
      <w:pPr>
        <w:numPr>
          <w:ilvl w:val="12"/>
          <w:numId w:val="0"/>
        </w:numPr>
        <w:tabs>
          <w:tab w:val="clear" w:pos="567"/>
        </w:tabs>
        <w:rPr>
          <w:szCs w:val="22"/>
          <w:lang w:val="it-IT"/>
        </w:rPr>
      </w:pPr>
      <w:r w:rsidRPr="00FB01EF">
        <w:rPr>
          <w:szCs w:val="22"/>
          <w:lang w:val="it-IT"/>
        </w:rPr>
        <w:t>Se è una donna, questo medicinale incrementa il rischio di OHSS. In questo caso, i follicoli si sviluppano eccessivamente e si trasformano in cisti di grandi dimensioni.</w:t>
      </w:r>
    </w:p>
    <w:p w:rsidR="00284976" w:rsidRPr="00FB01EF" w:rsidRDefault="00284976" w:rsidP="00496272">
      <w:pPr>
        <w:numPr>
          <w:ilvl w:val="12"/>
          <w:numId w:val="0"/>
        </w:numPr>
        <w:tabs>
          <w:tab w:val="clear" w:pos="567"/>
        </w:tabs>
        <w:rPr>
          <w:szCs w:val="22"/>
          <w:lang w:val="it-IT"/>
        </w:rPr>
      </w:pPr>
    </w:p>
    <w:p w:rsidR="00284976" w:rsidRPr="00FB01EF" w:rsidRDefault="00A40DC8" w:rsidP="00496272">
      <w:pPr>
        <w:numPr>
          <w:ilvl w:val="12"/>
          <w:numId w:val="0"/>
        </w:numPr>
        <w:tabs>
          <w:tab w:val="clear" w:pos="567"/>
        </w:tabs>
        <w:rPr>
          <w:szCs w:val="22"/>
          <w:lang w:val="it-IT"/>
        </w:rPr>
      </w:pPr>
      <w:r w:rsidRPr="00FB01EF">
        <w:rPr>
          <w:szCs w:val="22"/>
          <w:lang w:val="it-IT"/>
        </w:rPr>
        <w:t>Si rivolga</w:t>
      </w:r>
      <w:r w:rsidR="00C3209E" w:rsidRPr="00FB01EF">
        <w:rPr>
          <w:szCs w:val="22"/>
          <w:lang w:val="it-IT"/>
        </w:rPr>
        <w:t xml:space="preserve"> immediatamente </w:t>
      </w:r>
      <w:r w:rsidRPr="00FB01EF">
        <w:rPr>
          <w:szCs w:val="22"/>
          <w:lang w:val="it-IT"/>
        </w:rPr>
        <w:t>a</w:t>
      </w:r>
      <w:r w:rsidR="00C3209E" w:rsidRPr="00FB01EF">
        <w:rPr>
          <w:szCs w:val="22"/>
          <w:lang w:val="it-IT"/>
        </w:rPr>
        <w:t>l medico se</w:t>
      </w:r>
      <w:r w:rsidR="00284976" w:rsidRPr="00FB01EF">
        <w:rPr>
          <w:szCs w:val="22"/>
          <w:lang w:val="it-IT"/>
        </w:rPr>
        <w:t xml:space="preserve"> dovesse:</w:t>
      </w:r>
    </w:p>
    <w:p w:rsidR="00284976" w:rsidRPr="00FB01EF" w:rsidRDefault="00C3209E" w:rsidP="00CC7997">
      <w:pPr>
        <w:numPr>
          <w:ilvl w:val="0"/>
          <w:numId w:val="7"/>
        </w:numPr>
        <w:tabs>
          <w:tab w:val="clear" w:pos="567"/>
        </w:tabs>
        <w:ind w:hanging="765"/>
        <w:rPr>
          <w:noProof/>
          <w:szCs w:val="22"/>
          <w:lang w:val="it-IT"/>
        </w:rPr>
      </w:pPr>
      <w:r w:rsidRPr="00FB01EF">
        <w:rPr>
          <w:szCs w:val="22"/>
          <w:lang w:val="it-IT"/>
        </w:rPr>
        <w:t>avvertire dolore al</w:t>
      </w:r>
      <w:r w:rsidR="0076512D" w:rsidRPr="00FB01EF">
        <w:rPr>
          <w:szCs w:val="22"/>
          <w:lang w:val="it-IT"/>
        </w:rPr>
        <w:t xml:space="preserve">la parte </w:t>
      </w:r>
      <w:r w:rsidR="00EA06BB" w:rsidRPr="00FB01EF">
        <w:rPr>
          <w:szCs w:val="22"/>
          <w:lang w:val="it-IT"/>
        </w:rPr>
        <w:t>bassa</w:t>
      </w:r>
      <w:r w:rsidR="0076512D" w:rsidRPr="00FB01EF">
        <w:rPr>
          <w:szCs w:val="22"/>
          <w:lang w:val="it-IT"/>
        </w:rPr>
        <w:t xml:space="preserve"> dell’addome</w:t>
      </w:r>
      <w:r w:rsidRPr="00FB01EF">
        <w:rPr>
          <w:szCs w:val="22"/>
          <w:lang w:val="it-IT"/>
        </w:rPr>
        <w:t xml:space="preserve"> </w:t>
      </w:r>
      <w:r w:rsidR="0076512D" w:rsidRPr="00FB01EF">
        <w:rPr>
          <w:szCs w:val="22"/>
          <w:lang w:val="it-IT"/>
        </w:rPr>
        <w:t>(</w:t>
      </w:r>
      <w:r w:rsidRPr="00FB01EF">
        <w:rPr>
          <w:szCs w:val="22"/>
          <w:lang w:val="it-IT"/>
        </w:rPr>
        <w:t>ventre</w:t>
      </w:r>
      <w:r w:rsidR="0076512D" w:rsidRPr="00FB01EF">
        <w:rPr>
          <w:szCs w:val="22"/>
          <w:lang w:val="it-IT"/>
        </w:rPr>
        <w:t>)</w:t>
      </w:r>
      <w:r w:rsidR="00284976" w:rsidRPr="00FB01EF">
        <w:rPr>
          <w:szCs w:val="22"/>
          <w:lang w:val="it-IT"/>
        </w:rPr>
        <w:t>,</w:t>
      </w:r>
    </w:p>
    <w:p w:rsidR="00284976" w:rsidRPr="00FB01EF" w:rsidRDefault="00284976" w:rsidP="00CC7997">
      <w:pPr>
        <w:numPr>
          <w:ilvl w:val="0"/>
          <w:numId w:val="7"/>
        </w:numPr>
        <w:tabs>
          <w:tab w:val="clear" w:pos="567"/>
        </w:tabs>
        <w:ind w:hanging="765"/>
        <w:rPr>
          <w:noProof/>
          <w:szCs w:val="22"/>
          <w:lang w:val="it-IT"/>
        </w:rPr>
      </w:pPr>
      <w:r w:rsidRPr="00FB01EF">
        <w:rPr>
          <w:szCs w:val="22"/>
          <w:lang w:val="it-IT"/>
        </w:rPr>
        <w:t>aumentare rapidamente</w:t>
      </w:r>
      <w:r w:rsidR="00C3209E" w:rsidRPr="00FB01EF">
        <w:rPr>
          <w:szCs w:val="22"/>
          <w:lang w:val="it-IT"/>
        </w:rPr>
        <w:t xml:space="preserve"> di peso</w:t>
      </w:r>
      <w:r w:rsidR="00083BDF" w:rsidRPr="00FB01EF">
        <w:rPr>
          <w:szCs w:val="22"/>
          <w:lang w:val="it-IT"/>
        </w:rPr>
        <w:t>,</w:t>
      </w:r>
    </w:p>
    <w:p w:rsidR="00284976" w:rsidRPr="00FB01EF" w:rsidRDefault="00284976" w:rsidP="00CC7997">
      <w:pPr>
        <w:numPr>
          <w:ilvl w:val="0"/>
          <w:numId w:val="7"/>
        </w:numPr>
        <w:tabs>
          <w:tab w:val="clear" w:pos="567"/>
        </w:tabs>
        <w:ind w:hanging="765"/>
        <w:rPr>
          <w:noProof/>
          <w:szCs w:val="22"/>
          <w:lang w:val="it-IT"/>
        </w:rPr>
      </w:pPr>
      <w:r w:rsidRPr="00FB01EF">
        <w:rPr>
          <w:szCs w:val="22"/>
          <w:lang w:val="it-IT"/>
        </w:rPr>
        <w:t>presentare</w:t>
      </w:r>
      <w:r w:rsidR="00C3209E" w:rsidRPr="00FB01EF">
        <w:rPr>
          <w:szCs w:val="22"/>
          <w:lang w:val="it-IT"/>
        </w:rPr>
        <w:t xml:space="preserve"> nausea o vomito</w:t>
      </w:r>
      <w:r w:rsidRPr="00FB01EF">
        <w:rPr>
          <w:szCs w:val="22"/>
          <w:lang w:val="it-IT"/>
        </w:rPr>
        <w:t>,</w:t>
      </w:r>
    </w:p>
    <w:p w:rsidR="00284976" w:rsidRPr="00FB01EF" w:rsidRDefault="00284976" w:rsidP="00CC7997">
      <w:pPr>
        <w:numPr>
          <w:ilvl w:val="0"/>
          <w:numId w:val="7"/>
        </w:numPr>
        <w:tabs>
          <w:tab w:val="clear" w:pos="567"/>
        </w:tabs>
        <w:ind w:hanging="765"/>
        <w:rPr>
          <w:noProof/>
          <w:szCs w:val="22"/>
          <w:lang w:val="it-IT"/>
        </w:rPr>
      </w:pPr>
      <w:r w:rsidRPr="00FB01EF">
        <w:rPr>
          <w:szCs w:val="22"/>
          <w:lang w:val="it-IT"/>
        </w:rPr>
        <w:t>avere</w:t>
      </w:r>
      <w:r w:rsidR="00C3209E" w:rsidRPr="00FB01EF">
        <w:rPr>
          <w:szCs w:val="22"/>
          <w:lang w:val="it-IT"/>
        </w:rPr>
        <w:t xml:space="preserve"> difficoltà a respirare</w:t>
      </w:r>
      <w:r w:rsidRPr="00FB01EF">
        <w:rPr>
          <w:szCs w:val="22"/>
          <w:lang w:val="it-IT"/>
        </w:rPr>
        <w:t>.</w:t>
      </w:r>
    </w:p>
    <w:p w:rsidR="00EA62E2" w:rsidRPr="00FB01EF" w:rsidRDefault="00284976" w:rsidP="00F97DD8">
      <w:pPr>
        <w:tabs>
          <w:tab w:val="clear" w:pos="567"/>
        </w:tabs>
        <w:rPr>
          <w:szCs w:val="22"/>
          <w:lang w:val="it-IT"/>
        </w:rPr>
      </w:pPr>
      <w:r w:rsidRPr="00FB01EF">
        <w:rPr>
          <w:szCs w:val="22"/>
          <w:lang w:val="it-IT"/>
        </w:rPr>
        <w:t xml:space="preserve">Se dovesse presentare i sintomi di cui sopra, </w:t>
      </w:r>
      <w:r w:rsidR="00C3209E" w:rsidRPr="00FB01EF">
        <w:rPr>
          <w:szCs w:val="22"/>
          <w:lang w:val="it-IT"/>
        </w:rPr>
        <w:t>il medico pot</w:t>
      </w:r>
      <w:r w:rsidRPr="00FB01EF">
        <w:rPr>
          <w:szCs w:val="22"/>
          <w:lang w:val="it-IT"/>
        </w:rPr>
        <w:t xml:space="preserve">rebbe </w:t>
      </w:r>
      <w:r w:rsidR="00C3209E" w:rsidRPr="00FB01EF">
        <w:rPr>
          <w:szCs w:val="22"/>
          <w:lang w:val="it-IT"/>
        </w:rPr>
        <w:t xml:space="preserve">chiederle di interrompere l’assunzione del medicinale (vedere </w:t>
      </w:r>
      <w:r w:rsidRPr="00FB01EF">
        <w:rPr>
          <w:szCs w:val="22"/>
          <w:lang w:val="it-IT"/>
        </w:rPr>
        <w:t xml:space="preserve">anche </w:t>
      </w:r>
      <w:r w:rsidR="00C3209E" w:rsidRPr="00FB01EF">
        <w:rPr>
          <w:szCs w:val="22"/>
          <w:lang w:val="it-IT"/>
        </w:rPr>
        <w:t>paragrafo</w:t>
      </w:r>
      <w:r w:rsidR="00294F26" w:rsidRPr="00FB01EF">
        <w:rPr>
          <w:szCs w:val="22"/>
          <w:lang w:val="it-IT"/>
        </w:rPr>
        <w:t> </w:t>
      </w:r>
      <w:r w:rsidR="00C3209E" w:rsidRPr="00FB01EF">
        <w:rPr>
          <w:szCs w:val="22"/>
          <w:lang w:val="it-IT"/>
        </w:rPr>
        <w:t>4</w:t>
      </w:r>
      <w:r w:rsidRPr="00FB01EF">
        <w:rPr>
          <w:szCs w:val="22"/>
          <w:lang w:val="it-IT"/>
        </w:rPr>
        <w:t>, “Effetti indesiderati gravi nella donna”</w:t>
      </w:r>
      <w:r w:rsidR="00C3209E" w:rsidRPr="00FB01EF">
        <w:rPr>
          <w:szCs w:val="22"/>
          <w:lang w:val="it-IT"/>
        </w:rPr>
        <w:t>).</w:t>
      </w:r>
    </w:p>
    <w:p w:rsidR="00284976" w:rsidRPr="00FB01EF" w:rsidRDefault="00284976" w:rsidP="00F97DD8">
      <w:pPr>
        <w:tabs>
          <w:tab w:val="clear" w:pos="567"/>
        </w:tabs>
        <w:rPr>
          <w:noProof/>
          <w:szCs w:val="22"/>
          <w:lang w:val="it-IT"/>
        </w:rPr>
      </w:pPr>
    </w:p>
    <w:p w:rsidR="00C3209E" w:rsidRPr="00FB01EF" w:rsidRDefault="00C3209E" w:rsidP="00496272">
      <w:pPr>
        <w:numPr>
          <w:ilvl w:val="12"/>
          <w:numId w:val="0"/>
        </w:numPr>
        <w:tabs>
          <w:tab w:val="clear" w:pos="567"/>
        </w:tabs>
        <w:rPr>
          <w:szCs w:val="22"/>
          <w:lang w:val="it-IT"/>
        </w:rPr>
      </w:pPr>
      <w:r w:rsidRPr="00FB01EF">
        <w:rPr>
          <w:szCs w:val="22"/>
          <w:lang w:val="it-IT"/>
        </w:rPr>
        <w:t xml:space="preserve">Se </w:t>
      </w:r>
      <w:r w:rsidR="0031540F" w:rsidRPr="00FB01EF">
        <w:rPr>
          <w:szCs w:val="22"/>
          <w:lang w:val="it-IT"/>
        </w:rPr>
        <w:t>non ovula</w:t>
      </w:r>
      <w:r w:rsidRPr="00FB01EF">
        <w:rPr>
          <w:szCs w:val="22"/>
          <w:lang w:val="it-IT"/>
        </w:rPr>
        <w:t xml:space="preserve"> e se la posologia </w:t>
      </w:r>
      <w:r w:rsidR="00EA06BB" w:rsidRPr="00FB01EF">
        <w:rPr>
          <w:szCs w:val="22"/>
          <w:lang w:val="it-IT"/>
        </w:rPr>
        <w:t xml:space="preserve">e i tempi </w:t>
      </w:r>
      <w:r w:rsidRPr="00FB01EF">
        <w:rPr>
          <w:szCs w:val="22"/>
          <w:lang w:val="it-IT"/>
        </w:rPr>
        <w:t>raccomandat</w:t>
      </w:r>
      <w:r w:rsidR="00EA06BB" w:rsidRPr="00FB01EF">
        <w:rPr>
          <w:szCs w:val="22"/>
          <w:lang w:val="it-IT"/>
        </w:rPr>
        <w:t>i</w:t>
      </w:r>
      <w:r w:rsidRPr="00FB01EF">
        <w:rPr>
          <w:szCs w:val="22"/>
          <w:lang w:val="it-IT"/>
        </w:rPr>
        <w:t xml:space="preserve"> sono ben seguiti, il rischio di OHSS è meno probabile.</w:t>
      </w:r>
      <w:r w:rsidR="00ED61D7" w:rsidRPr="00FB01EF">
        <w:rPr>
          <w:szCs w:val="22"/>
          <w:lang w:val="it-IT"/>
        </w:rPr>
        <w:t xml:space="preserve"> </w:t>
      </w:r>
      <w:r w:rsidRPr="00FB01EF">
        <w:rPr>
          <w:szCs w:val="22"/>
          <w:lang w:val="it-IT"/>
        </w:rPr>
        <w:t xml:space="preserve">Il trattamento con </w:t>
      </w:r>
      <w:r w:rsidR="00ED61D7" w:rsidRPr="00FB01EF">
        <w:rPr>
          <w:szCs w:val="22"/>
          <w:lang w:val="it-IT"/>
        </w:rPr>
        <w:t>Ovaleap</w:t>
      </w:r>
      <w:r w:rsidRPr="00FB01EF">
        <w:rPr>
          <w:szCs w:val="22"/>
          <w:lang w:val="it-IT"/>
        </w:rPr>
        <w:t xml:space="preserve"> solo in rari casi causa una OHSS grave se non viene somministrato un medicinale (contenente gonadotropina corionica umana – hCG) per indurre l’ovulazione. Se sta sviluppando una OHSS, è possibile che il medico non le somministri l’hCG in questo ciclo di trattament</w:t>
      </w:r>
      <w:r w:rsidR="00ED61D7" w:rsidRPr="00FB01EF">
        <w:rPr>
          <w:szCs w:val="22"/>
          <w:lang w:val="it-IT"/>
        </w:rPr>
        <w:t xml:space="preserve">o. Le potrebbe essere raccomandato </w:t>
      </w:r>
      <w:r w:rsidRPr="00FB01EF">
        <w:rPr>
          <w:szCs w:val="22"/>
          <w:lang w:val="it-IT"/>
        </w:rPr>
        <w:t xml:space="preserve">di evitare i rapporti sessuali o di usare un contraccettivo di barriera per almeno </w:t>
      </w:r>
      <w:r w:rsidR="00ED61D7" w:rsidRPr="00FB01EF">
        <w:rPr>
          <w:szCs w:val="22"/>
          <w:lang w:val="it-IT"/>
        </w:rPr>
        <w:t>4 </w:t>
      </w:r>
      <w:r w:rsidRPr="00FB01EF">
        <w:rPr>
          <w:szCs w:val="22"/>
          <w:lang w:val="it-IT"/>
        </w:rPr>
        <w:t>giorni.</w:t>
      </w:r>
    </w:p>
    <w:p w:rsidR="00C3209E" w:rsidRPr="00FB01EF" w:rsidRDefault="00C3209E" w:rsidP="00496272">
      <w:pPr>
        <w:numPr>
          <w:ilvl w:val="12"/>
          <w:numId w:val="0"/>
        </w:numPr>
        <w:tabs>
          <w:tab w:val="clear" w:pos="567"/>
        </w:tabs>
        <w:rPr>
          <w:szCs w:val="22"/>
          <w:lang w:val="it-IT"/>
        </w:rPr>
      </w:pPr>
    </w:p>
    <w:p w:rsidR="00BC0C26" w:rsidRPr="00FB01EF" w:rsidRDefault="00C3209E" w:rsidP="00496272">
      <w:pPr>
        <w:numPr>
          <w:ilvl w:val="12"/>
          <w:numId w:val="0"/>
        </w:numPr>
        <w:tabs>
          <w:tab w:val="clear" w:pos="567"/>
        </w:tabs>
        <w:rPr>
          <w:noProof/>
          <w:szCs w:val="22"/>
          <w:u w:val="single"/>
          <w:lang w:val="it-IT"/>
        </w:rPr>
      </w:pPr>
      <w:r w:rsidRPr="00FB01EF">
        <w:rPr>
          <w:szCs w:val="22"/>
          <w:u w:val="single" w:color="000000"/>
          <w:lang w:val="it-IT"/>
        </w:rPr>
        <w:t>Gravidanza multipla</w:t>
      </w:r>
    </w:p>
    <w:p w:rsidR="000248CF" w:rsidRPr="00FB01EF" w:rsidRDefault="00C3209E" w:rsidP="00496272">
      <w:pPr>
        <w:numPr>
          <w:ilvl w:val="12"/>
          <w:numId w:val="0"/>
        </w:numPr>
        <w:tabs>
          <w:tab w:val="clear" w:pos="567"/>
        </w:tabs>
        <w:rPr>
          <w:noProof/>
          <w:szCs w:val="22"/>
          <w:lang w:val="it-IT"/>
        </w:rPr>
      </w:pPr>
      <w:r w:rsidRPr="00FB01EF">
        <w:rPr>
          <w:szCs w:val="22"/>
          <w:lang w:val="it-IT"/>
        </w:rPr>
        <w:t xml:space="preserve">Durante l’uso di </w:t>
      </w:r>
      <w:r w:rsidR="00094D8D" w:rsidRPr="00FB01EF">
        <w:rPr>
          <w:szCs w:val="22"/>
          <w:lang w:val="it-IT"/>
        </w:rPr>
        <w:t>questo medicinale</w:t>
      </w:r>
      <w:r w:rsidRPr="00FB01EF">
        <w:rPr>
          <w:szCs w:val="22"/>
          <w:lang w:val="it-IT"/>
        </w:rPr>
        <w:t xml:space="preserve">, ha un rischio maggiore che si instauri una gravidanza multipla </w:t>
      </w:r>
      <w:r w:rsidR="007D79C0" w:rsidRPr="00FB01EF">
        <w:rPr>
          <w:szCs w:val="22"/>
          <w:lang w:val="it-IT"/>
        </w:rPr>
        <w:t>(in genere</w:t>
      </w:r>
      <w:r w:rsidRPr="00FB01EF">
        <w:rPr>
          <w:szCs w:val="22"/>
          <w:lang w:val="it-IT"/>
        </w:rPr>
        <w:t xml:space="preserve"> due gemelli</w:t>
      </w:r>
      <w:r w:rsidR="007D79C0" w:rsidRPr="00FB01EF">
        <w:rPr>
          <w:szCs w:val="22"/>
          <w:lang w:val="it-IT"/>
        </w:rPr>
        <w:t>)</w:t>
      </w:r>
      <w:r w:rsidRPr="00FB01EF">
        <w:rPr>
          <w:szCs w:val="22"/>
          <w:lang w:val="it-IT"/>
        </w:rPr>
        <w:t xml:space="preserve"> rispetto al concepimento naturale. </w:t>
      </w:r>
      <w:r w:rsidR="00ED61D7" w:rsidRPr="00FB01EF">
        <w:rPr>
          <w:szCs w:val="22"/>
          <w:lang w:val="it-IT"/>
        </w:rPr>
        <w:t xml:space="preserve">La gravidanza multipla può causare </w:t>
      </w:r>
      <w:r w:rsidR="00ED61D7" w:rsidRPr="00FB01EF">
        <w:rPr>
          <w:szCs w:val="22"/>
          <w:lang w:val="it-IT"/>
        </w:rPr>
        <w:lastRenderedPageBreak/>
        <w:t xml:space="preserve">complicanze mediche per lei per i suoi figli. </w:t>
      </w:r>
      <w:r w:rsidRPr="00FB01EF">
        <w:rPr>
          <w:szCs w:val="22"/>
          <w:lang w:val="it-IT"/>
        </w:rPr>
        <w:t xml:space="preserve">Può ridurre il rischio di una gravidanza multipla utilizzando la dose corretta di </w:t>
      </w:r>
      <w:r w:rsidR="00094D8D" w:rsidRPr="00FB01EF">
        <w:rPr>
          <w:szCs w:val="22"/>
          <w:lang w:val="it-IT"/>
        </w:rPr>
        <w:t>questo medicinale</w:t>
      </w:r>
      <w:r w:rsidRPr="00FB01EF">
        <w:rPr>
          <w:szCs w:val="22"/>
          <w:lang w:val="it-IT"/>
        </w:rPr>
        <w:t xml:space="preserve"> nei tempi corretti. Nelle procedure di riproduzione assistita, il rischio di una gravidanza multipla è correlato all’età, alla qualità e al numero di ovuli fecondati o di embrioni che le vengono trasferiti</w:t>
      </w:r>
      <w:r w:rsidR="00BC0C26" w:rsidRPr="00FB01EF">
        <w:rPr>
          <w:noProof/>
          <w:szCs w:val="22"/>
          <w:lang w:val="it-IT"/>
        </w:rPr>
        <w:t>.</w:t>
      </w:r>
    </w:p>
    <w:p w:rsidR="00D22352" w:rsidRPr="00FB01EF" w:rsidRDefault="00D22352" w:rsidP="00496272">
      <w:pPr>
        <w:numPr>
          <w:ilvl w:val="12"/>
          <w:numId w:val="0"/>
        </w:numPr>
        <w:tabs>
          <w:tab w:val="clear" w:pos="567"/>
        </w:tabs>
        <w:rPr>
          <w:noProof/>
          <w:szCs w:val="22"/>
          <w:lang w:val="it-IT"/>
        </w:rPr>
      </w:pPr>
    </w:p>
    <w:p w:rsidR="00BC0C26" w:rsidRPr="00FB01EF" w:rsidRDefault="00C3209E" w:rsidP="00496272">
      <w:pPr>
        <w:numPr>
          <w:ilvl w:val="12"/>
          <w:numId w:val="0"/>
        </w:numPr>
        <w:tabs>
          <w:tab w:val="clear" w:pos="567"/>
        </w:tabs>
        <w:rPr>
          <w:noProof/>
          <w:szCs w:val="22"/>
          <w:u w:val="single"/>
          <w:lang w:val="it-IT"/>
        </w:rPr>
      </w:pPr>
      <w:r w:rsidRPr="00FB01EF">
        <w:rPr>
          <w:szCs w:val="22"/>
          <w:u w:val="single" w:color="000000"/>
          <w:lang w:val="it-IT"/>
        </w:rPr>
        <w:t>Aborto</w:t>
      </w:r>
    </w:p>
    <w:p w:rsidR="00BC0C26" w:rsidRPr="00FB01EF" w:rsidRDefault="00C3209E" w:rsidP="00496272">
      <w:pPr>
        <w:numPr>
          <w:ilvl w:val="12"/>
          <w:numId w:val="0"/>
        </w:numPr>
        <w:tabs>
          <w:tab w:val="clear" w:pos="567"/>
        </w:tabs>
        <w:rPr>
          <w:noProof/>
          <w:szCs w:val="22"/>
          <w:lang w:val="it-IT"/>
        </w:rPr>
      </w:pPr>
      <w:r w:rsidRPr="00FB01EF">
        <w:rPr>
          <w:szCs w:val="22"/>
          <w:lang w:val="it-IT"/>
        </w:rPr>
        <w:t>Se si sottopone a procedure di riproduzione assistita o di stimolazione ovarica per la produzione di ovuli, il rischio di aborto è maggiore che nelle altre donne</w:t>
      </w:r>
      <w:r w:rsidR="00EE5E76" w:rsidRPr="00FB01EF">
        <w:rPr>
          <w:noProof/>
          <w:szCs w:val="22"/>
          <w:lang w:val="it-IT"/>
        </w:rPr>
        <w:t>.</w:t>
      </w:r>
    </w:p>
    <w:p w:rsidR="00ED61D7" w:rsidRPr="00FB01EF" w:rsidRDefault="00ED61D7" w:rsidP="00496272">
      <w:pPr>
        <w:numPr>
          <w:ilvl w:val="12"/>
          <w:numId w:val="0"/>
        </w:numPr>
        <w:tabs>
          <w:tab w:val="clear" w:pos="567"/>
        </w:tabs>
        <w:rPr>
          <w:noProof/>
          <w:szCs w:val="22"/>
          <w:lang w:val="it-IT"/>
        </w:rPr>
      </w:pPr>
    </w:p>
    <w:p w:rsidR="00ED61D7" w:rsidRPr="00FB01EF" w:rsidRDefault="00ED61D7" w:rsidP="00496272">
      <w:pPr>
        <w:numPr>
          <w:ilvl w:val="12"/>
          <w:numId w:val="0"/>
        </w:numPr>
        <w:tabs>
          <w:tab w:val="clear" w:pos="567"/>
        </w:tabs>
        <w:rPr>
          <w:noProof/>
          <w:szCs w:val="22"/>
          <w:u w:val="single"/>
          <w:lang w:val="it-IT"/>
        </w:rPr>
      </w:pPr>
      <w:r w:rsidRPr="00FB01EF">
        <w:rPr>
          <w:noProof/>
          <w:szCs w:val="22"/>
          <w:u w:val="single"/>
          <w:lang w:val="it-IT"/>
        </w:rPr>
        <w:t>Gravidanza ectopica</w:t>
      </w:r>
    </w:p>
    <w:p w:rsidR="00ED61D7" w:rsidRPr="00FB01EF" w:rsidRDefault="00ED61D7" w:rsidP="00496272">
      <w:pPr>
        <w:numPr>
          <w:ilvl w:val="12"/>
          <w:numId w:val="0"/>
        </w:numPr>
        <w:tabs>
          <w:tab w:val="clear" w:pos="567"/>
        </w:tabs>
        <w:rPr>
          <w:noProof/>
          <w:szCs w:val="22"/>
          <w:lang w:val="it-IT"/>
        </w:rPr>
      </w:pPr>
      <w:r w:rsidRPr="00FB01EF">
        <w:rPr>
          <w:noProof/>
          <w:szCs w:val="22"/>
          <w:lang w:val="it-IT"/>
        </w:rPr>
        <w:t>Se si sottopone a procedure di riproduzione assisita e se ha le tube danneggiate, il rischio di una gravidanza all’esterno dell’utero (gravidanza ectopica) è maggiore che nelle altre donne.</w:t>
      </w:r>
    </w:p>
    <w:p w:rsidR="00D22352" w:rsidRPr="00FB01EF" w:rsidRDefault="00D22352" w:rsidP="00496272">
      <w:pPr>
        <w:numPr>
          <w:ilvl w:val="12"/>
          <w:numId w:val="0"/>
        </w:numPr>
        <w:tabs>
          <w:tab w:val="clear" w:pos="567"/>
        </w:tabs>
        <w:rPr>
          <w:noProof/>
          <w:szCs w:val="22"/>
          <w:lang w:val="it-IT"/>
        </w:rPr>
      </w:pPr>
    </w:p>
    <w:p w:rsidR="00875979" w:rsidRPr="00FB01EF" w:rsidRDefault="00875979" w:rsidP="00875979">
      <w:pPr>
        <w:tabs>
          <w:tab w:val="clear" w:pos="567"/>
        </w:tabs>
        <w:rPr>
          <w:iCs/>
          <w:noProof/>
          <w:color w:val="000000"/>
          <w:szCs w:val="22"/>
          <w:u w:val="single"/>
          <w:lang w:val="it-IT"/>
        </w:rPr>
      </w:pPr>
      <w:r w:rsidRPr="00FB01EF">
        <w:rPr>
          <w:iCs/>
          <w:noProof/>
          <w:color w:val="000000"/>
          <w:szCs w:val="22"/>
          <w:u w:val="single"/>
          <w:lang w:val="it-IT"/>
        </w:rPr>
        <w:t>Difetti alla nascita</w:t>
      </w:r>
    </w:p>
    <w:p w:rsidR="00875979" w:rsidRPr="00FB01EF" w:rsidRDefault="00875979" w:rsidP="00875979">
      <w:pPr>
        <w:tabs>
          <w:tab w:val="clear" w:pos="567"/>
        </w:tabs>
        <w:rPr>
          <w:iCs/>
          <w:noProof/>
          <w:color w:val="000000"/>
          <w:szCs w:val="22"/>
          <w:lang w:val="it-IT"/>
        </w:rPr>
      </w:pPr>
      <w:r w:rsidRPr="00FB01EF">
        <w:rPr>
          <w:iCs/>
          <w:noProof/>
          <w:color w:val="000000"/>
          <w:szCs w:val="22"/>
          <w:lang w:val="it-IT"/>
        </w:rPr>
        <w:t>I bambini concepiti con le tecniche di riproduzione assistita possono avere un rischio leggermente aumentato di difetti alla nascita rispetto a quelli concepiti in modo naturale. Ciò può essere legato a gravidanze multiple o a caratteristiche dei genitori, come l’età della madre e le proprietà dello sperma.</w:t>
      </w:r>
    </w:p>
    <w:p w:rsidR="00180EA2" w:rsidRPr="00FB01EF" w:rsidRDefault="00180EA2" w:rsidP="00496272">
      <w:pPr>
        <w:numPr>
          <w:ilvl w:val="12"/>
          <w:numId w:val="0"/>
        </w:numPr>
        <w:tabs>
          <w:tab w:val="clear" w:pos="567"/>
        </w:tabs>
        <w:rPr>
          <w:noProof/>
          <w:szCs w:val="22"/>
          <w:lang w:val="it-IT"/>
        </w:rPr>
      </w:pPr>
    </w:p>
    <w:p w:rsidR="00BC0C26" w:rsidRPr="00FB01EF" w:rsidRDefault="00C3209E" w:rsidP="00496272">
      <w:pPr>
        <w:numPr>
          <w:ilvl w:val="12"/>
          <w:numId w:val="0"/>
        </w:numPr>
        <w:tabs>
          <w:tab w:val="clear" w:pos="567"/>
        </w:tabs>
        <w:rPr>
          <w:noProof/>
          <w:szCs w:val="22"/>
          <w:u w:val="single"/>
          <w:lang w:val="it-IT"/>
        </w:rPr>
      </w:pPr>
      <w:r w:rsidRPr="00FB01EF">
        <w:rPr>
          <w:szCs w:val="22"/>
          <w:u w:val="single" w:color="000000"/>
          <w:lang w:val="it-IT"/>
        </w:rPr>
        <w:t>Disturbi della coagulazione del sangue (eventi tromboembolici</w:t>
      </w:r>
      <w:r w:rsidR="00BC0C26" w:rsidRPr="00FB01EF">
        <w:rPr>
          <w:noProof/>
          <w:szCs w:val="22"/>
          <w:u w:val="single"/>
          <w:lang w:val="it-IT"/>
        </w:rPr>
        <w:t>)</w:t>
      </w:r>
    </w:p>
    <w:p w:rsidR="00BC0C26" w:rsidRPr="00FB01EF" w:rsidRDefault="00C3209E" w:rsidP="00496272">
      <w:pPr>
        <w:numPr>
          <w:ilvl w:val="12"/>
          <w:numId w:val="0"/>
        </w:numPr>
        <w:tabs>
          <w:tab w:val="clear" w:pos="567"/>
        </w:tabs>
        <w:rPr>
          <w:noProof/>
          <w:szCs w:val="22"/>
          <w:lang w:val="it-IT"/>
        </w:rPr>
      </w:pPr>
      <w:r w:rsidRPr="00FB01EF">
        <w:rPr>
          <w:szCs w:val="22"/>
          <w:lang w:val="it-IT"/>
        </w:rPr>
        <w:t>Se in passato ha avuto coaguli nelle gambe o nei polmoni, un infarto o un ictus, o se questi eventi si sono verificati nella sua famiglia,</w:t>
      </w:r>
      <w:r w:rsidR="00ED61D7" w:rsidRPr="00FB01EF">
        <w:rPr>
          <w:szCs w:val="22"/>
          <w:lang w:val="it-IT"/>
        </w:rPr>
        <w:t xml:space="preserve"> informi il medico. Potrebbe </w:t>
      </w:r>
      <w:r w:rsidRPr="00FB01EF">
        <w:rPr>
          <w:szCs w:val="22"/>
          <w:lang w:val="it-IT"/>
        </w:rPr>
        <w:t xml:space="preserve">aumentare il rischio che questi problemi si verifichino o peggiorino durante il trattamento con </w:t>
      </w:r>
      <w:r w:rsidR="00ED61D7" w:rsidRPr="00FB01EF">
        <w:rPr>
          <w:szCs w:val="22"/>
          <w:lang w:val="it-IT"/>
        </w:rPr>
        <w:t>Ovaleap.</w:t>
      </w:r>
    </w:p>
    <w:p w:rsidR="00D22352" w:rsidRPr="00FB01EF" w:rsidRDefault="00D22352" w:rsidP="00496272">
      <w:pPr>
        <w:numPr>
          <w:ilvl w:val="12"/>
          <w:numId w:val="0"/>
        </w:numPr>
        <w:tabs>
          <w:tab w:val="clear" w:pos="567"/>
        </w:tabs>
        <w:rPr>
          <w:noProof/>
          <w:szCs w:val="22"/>
          <w:lang w:val="it-IT"/>
        </w:rPr>
      </w:pPr>
    </w:p>
    <w:p w:rsidR="00BC0C26" w:rsidRPr="00FB01EF" w:rsidRDefault="00C3209E" w:rsidP="00496272">
      <w:pPr>
        <w:numPr>
          <w:ilvl w:val="12"/>
          <w:numId w:val="0"/>
        </w:numPr>
        <w:tabs>
          <w:tab w:val="clear" w:pos="567"/>
        </w:tabs>
        <w:rPr>
          <w:noProof/>
          <w:szCs w:val="22"/>
          <w:u w:val="single"/>
          <w:lang w:val="it-IT"/>
        </w:rPr>
      </w:pPr>
      <w:r w:rsidRPr="00FB01EF">
        <w:rPr>
          <w:szCs w:val="22"/>
          <w:u w:val="single" w:color="000000"/>
          <w:lang w:val="it-IT"/>
        </w:rPr>
        <w:t>Uomini con livelli eccessivi di FSH nel sangue</w:t>
      </w:r>
    </w:p>
    <w:p w:rsidR="00C3209E" w:rsidRPr="00FB01EF" w:rsidRDefault="00C3209E" w:rsidP="00496272">
      <w:pPr>
        <w:numPr>
          <w:ilvl w:val="12"/>
          <w:numId w:val="0"/>
        </w:numPr>
        <w:tabs>
          <w:tab w:val="clear" w:pos="567"/>
        </w:tabs>
        <w:rPr>
          <w:noProof/>
          <w:szCs w:val="22"/>
          <w:lang w:val="it-IT"/>
        </w:rPr>
      </w:pPr>
      <w:r w:rsidRPr="00FB01EF">
        <w:rPr>
          <w:szCs w:val="22"/>
          <w:lang w:val="it-IT"/>
        </w:rPr>
        <w:t xml:space="preserve">Se è un uomo, i livelli eccessivi di FSH </w:t>
      </w:r>
      <w:r w:rsidR="00EA06BB" w:rsidRPr="00FB01EF">
        <w:rPr>
          <w:szCs w:val="22"/>
          <w:lang w:val="it-IT"/>
        </w:rPr>
        <w:t xml:space="preserve">naturale </w:t>
      </w:r>
      <w:r w:rsidRPr="00FB01EF">
        <w:rPr>
          <w:szCs w:val="22"/>
          <w:lang w:val="it-IT"/>
        </w:rPr>
        <w:t xml:space="preserve">nel sangue possono essere un segno di danno ai testicoli. In questo caso, in genere, </w:t>
      </w:r>
      <w:r w:rsidR="00094D8D" w:rsidRPr="00FB01EF">
        <w:rPr>
          <w:szCs w:val="22"/>
          <w:lang w:val="it-IT"/>
        </w:rPr>
        <w:t>questo medicinale</w:t>
      </w:r>
      <w:r w:rsidRPr="00FB01EF">
        <w:rPr>
          <w:szCs w:val="22"/>
          <w:lang w:val="it-IT"/>
        </w:rPr>
        <w:t xml:space="preserve"> non fa effetto</w:t>
      </w:r>
      <w:r w:rsidR="00BC0C26" w:rsidRPr="00FB01EF">
        <w:rPr>
          <w:noProof/>
          <w:szCs w:val="22"/>
          <w:lang w:val="it-IT"/>
        </w:rPr>
        <w:t>.</w:t>
      </w:r>
      <w:r w:rsidR="00ED61D7" w:rsidRPr="00FB01EF">
        <w:rPr>
          <w:szCs w:val="22"/>
          <w:lang w:val="it-IT"/>
        </w:rPr>
        <w:t xml:space="preserve"> </w:t>
      </w:r>
      <w:r w:rsidRPr="00FB01EF">
        <w:rPr>
          <w:szCs w:val="22"/>
          <w:lang w:val="it-IT"/>
        </w:rPr>
        <w:t xml:space="preserve">Se il medico decide di tentare un trattamento con </w:t>
      </w:r>
      <w:r w:rsidR="00ED61D7" w:rsidRPr="00FB01EF">
        <w:rPr>
          <w:szCs w:val="22"/>
          <w:lang w:val="it-IT"/>
        </w:rPr>
        <w:t>Ovaleap</w:t>
      </w:r>
      <w:r w:rsidRPr="00FB01EF">
        <w:rPr>
          <w:szCs w:val="22"/>
          <w:lang w:val="it-IT"/>
        </w:rPr>
        <w:t>, 4</w:t>
      </w:r>
      <w:r w:rsidR="00E97369" w:rsidRPr="00FB01EF">
        <w:rPr>
          <w:szCs w:val="22"/>
          <w:lang w:val="it-IT"/>
        </w:rPr>
        <w:noBreakHyphen/>
      </w:r>
      <w:r w:rsidR="00ED61D7" w:rsidRPr="00FB01EF">
        <w:rPr>
          <w:szCs w:val="22"/>
          <w:lang w:val="it-IT"/>
        </w:rPr>
        <w:t>6 </w:t>
      </w:r>
      <w:r w:rsidRPr="00FB01EF">
        <w:rPr>
          <w:szCs w:val="22"/>
          <w:lang w:val="it-IT"/>
        </w:rPr>
        <w:t xml:space="preserve">mesi dopo l’inizio del trattamento potrà chiederle di fornire campioni di sperma per </w:t>
      </w:r>
      <w:r w:rsidR="00ED61D7" w:rsidRPr="00FB01EF">
        <w:rPr>
          <w:szCs w:val="22"/>
          <w:lang w:val="it-IT"/>
        </w:rPr>
        <w:t xml:space="preserve">monitorare </w:t>
      </w:r>
      <w:r w:rsidR="007D79C0" w:rsidRPr="00FB01EF">
        <w:rPr>
          <w:szCs w:val="22"/>
          <w:lang w:val="it-IT"/>
        </w:rPr>
        <w:t>la terapia</w:t>
      </w:r>
      <w:r w:rsidRPr="00FB01EF">
        <w:rPr>
          <w:szCs w:val="22"/>
          <w:lang w:val="it-IT"/>
        </w:rPr>
        <w:t>.</w:t>
      </w:r>
    </w:p>
    <w:p w:rsidR="00D22352" w:rsidRPr="00FB01EF" w:rsidRDefault="00D22352" w:rsidP="00496272">
      <w:pPr>
        <w:numPr>
          <w:ilvl w:val="12"/>
          <w:numId w:val="0"/>
        </w:numPr>
        <w:tabs>
          <w:tab w:val="clear" w:pos="567"/>
        </w:tabs>
        <w:rPr>
          <w:noProof/>
          <w:szCs w:val="22"/>
          <w:lang w:val="it-IT"/>
        </w:rPr>
      </w:pPr>
    </w:p>
    <w:p w:rsidR="003C1CA5" w:rsidRPr="00FB01EF" w:rsidRDefault="00C3209E" w:rsidP="00496272">
      <w:pPr>
        <w:numPr>
          <w:ilvl w:val="12"/>
          <w:numId w:val="0"/>
        </w:numPr>
        <w:tabs>
          <w:tab w:val="clear" w:pos="567"/>
        </w:tabs>
        <w:rPr>
          <w:b/>
          <w:bCs/>
          <w:noProof/>
          <w:szCs w:val="22"/>
          <w:lang w:val="it-IT"/>
        </w:rPr>
      </w:pPr>
      <w:r w:rsidRPr="00FB01EF">
        <w:rPr>
          <w:b/>
          <w:szCs w:val="22"/>
          <w:lang w:val="it-IT"/>
        </w:rPr>
        <w:t>Bambini</w:t>
      </w:r>
      <w:r w:rsidR="00ED61D7" w:rsidRPr="00FB01EF">
        <w:rPr>
          <w:b/>
          <w:szCs w:val="22"/>
          <w:lang w:val="it-IT"/>
        </w:rPr>
        <w:t xml:space="preserve"> e adolescenti</w:t>
      </w:r>
    </w:p>
    <w:p w:rsidR="00AF70B6" w:rsidRPr="00FB01EF" w:rsidRDefault="00C3209E" w:rsidP="00496272">
      <w:pPr>
        <w:numPr>
          <w:ilvl w:val="12"/>
          <w:numId w:val="0"/>
        </w:numPr>
        <w:tabs>
          <w:tab w:val="clear" w:pos="567"/>
        </w:tabs>
        <w:rPr>
          <w:noProof/>
          <w:szCs w:val="22"/>
          <w:lang w:val="it-IT"/>
        </w:rPr>
      </w:pPr>
      <w:r w:rsidRPr="00FB01EF">
        <w:rPr>
          <w:szCs w:val="22"/>
          <w:lang w:val="it-IT"/>
        </w:rPr>
        <w:t xml:space="preserve">L’uso di </w:t>
      </w:r>
      <w:r w:rsidR="00094D8D" w:rsidRPr="00FB01EF">
        <w:rPr>
          <w:szCs w:val="22"/>
          <w:lang w:val="it-IT"/>
        </w:rPr>
        <w:t>questo medicinale</w:t>
      </w:r>
      <w:r w:rsidRPr="00FB01EF">
        <w:rPr>
          <w:szCs w:val="22"/>
          <w:lang w:val="it-IT"/>
        </w:rPr>
        <w:t xml:space="preserve"> non è indicato nei bambini</w:t>
      </w:r>
      <w:r w:rsidR="00ED61D7" w:rsidRPr="00FB01EF">
        <w:rPr>
          <w:szCs w:val="22"/>
          <w:lang w:val="it-IT"/>
        </w:rPr>
        <w:t xml:space="preserve"> e negli adolescenti di età inferiore a 18 anni</w:t>
      </w:r>
      <w:r w:rsidR="00AF70B6" w:rsidRPr="00FB01EF">
        <w:rPr>
          <w:noProof/>
          <w:szCs w:val="22"/>
          <w:lang w:val="it-IT"/>
        </w:rPr>
        <w:t>.</w:t>
      </w:r>
    </w:p>
    <w:p w:rsidR="003C1CA5" w:rsidRPr="00FB01EF" w:rsidRDefault="003C1CA5" w:rsidP="00C3209E">
      <w:pPr>
        <w:numPr>
          <w:ilvl w:val="12"/>
          <w:numId w:val="0"/>
        </w:numPr>
        <w:tabs>
          <w:tab w:val="clear" w:pos="567"/>
        </w:tabs>
        <w:jc w:val="center"/>
        <w:rPr>
          <w:b/>
          <w:bCs/>
          <w:noProof/>
          <w:szCs w:val="22"/>
          <w:lang w:val="it-IT"/>
        </w:rPr>
      </w:pPr>
    </w:p>
    <w:p w:rsidR="009B6496" w:rsidRPr="00FB01EF" w:rsidRDefault="00ED61D7" w:rsidP="00496272">
      <w:pPr>
        <w:numPr>
          <w:ilvl w:val="12"/>
          <w:numId w:val="0"/>
        </w:numPr>
        <w:tabs>
          <w:tab w:val="clear" w:pos="567"/>
        </w:tabs>
        <w:ind w:right="-2"/>
        <w:rPr>
          <w:noProof/>
          <w:szCs w:val="22"/>
          <w:lang w:val="it-IT"/>
        </w:rPr>
      </w:pPr>
      <w:r w:rsidRPr="00FB01EF">
        <w:rPr>
          <w:b/>
          <w:bCs/>
          <w:szCs w:val="22"/>
          <w:lang w:val="it-IT"/>
        </w:rPr>
        <w:t>A</w:t>
      </w:r>
      <w:r w:rsidR="00C3209E" w:rsidRPr="00FB01EF">
        <w:rPr>
          <w:b/>
          <w:bCs/>
          <w:szCs w:val="22"/>
          <w:lang w:val="it-IT"/>
        </w:rPr>
        <w:t>ltri medicinali</w:t>
      </w:r>
      <w:r w:rsidRPr="00FB01EF">
        <w:rPr>
          <w:b/>
          <w:bCs/>
          <w:szCs w:val="22"/>
          <w:lang w:val="it-IT"/>
        </w:rPr>
        <w:t xml:space="preserve"> e Ovaleap</w:t>
      </w:r>
    </w:p>
    <w:p w:rsidR="00C3209E" w:rsidRPr="00FB01EF" w:rsidRDefault="00C3209E" w:rsidP="006B6DDF">
      <w:pPr>
        <w:ind w:right="996"/>
        <w:rPr>
          <w:szCs w:val="22"/>
          <w:lang w:val="it-IT"/>
        </w:rPr>
      </w:pPr>
      <w:r w:rsidRPr="00FB01EF">
        <w:rPr>
          <w:szCs w:val="22"/>
          <w:lang w:val="it-IT"/>
        </w:rPr>
        <w:t xml:space="preserve">Informi il medico o il farmacista se sta </w:t>
      </w:r>
      <w:r w:rsidR="007D79C0" w:rsidRPr="00FB01EF">
        <w:rPr>
          <w:szCs w:val="22"/>
          <w:lang w:val="it-IT"/>
        </w:rPr>
        <w:t>usando</w:t>
      </w:r>
      <w:r w:rsidR="00ED61D7" w:rsidRPr="00FB01EF">
        <w:rPr>
          <w:szCs w:val="22"/>
          <w:lang w:val="it-IT"/>
        </w:rPr>
        <w:t>,</w:t>
      </w:r>
      <w:r w:rsidRPr="00FB01EF">
        <w:rPr>
          <w:szCs w:val="22"/>
          <w:lang w:val="it-IT"/>
        </w:rPr>
        <w:t xml:space="preserve"> ha recentemente </w:t>
      </w:r>
      <w:r w:rsidR="007D79C0" w:rsidRPr="00FB01EF">
        <w:rPr>
          <w:szCs w:val="22"/>
          <w:lang w:val="it-IT"/>
        </w:rPr>
        <w:t>usato</w:t>
      </w:r>
      <w:r w:rsidRPr="00FB01EF">
        <w:rPr>
          <w:szCs w:val="22"/>
          <w:lang w:val="it-IT"/>
        </w:rPr>
        <w:t xml:space="preserve"> </w:t>
      </w:r>
      <w:r w:rsidR="00ED61D7" w:rsidRPr="00FB01EF">
        <w:rPr>
          <w:szCs w:val="22"/>
          <w:lang w:val="it-IT"/>
        </w:rPr>
        <w:t xml:space="preserve">o potrebbe </w:t>
      </w:r>
      <w:r w:rsidR="007D79C0" w:rsidRPr="00FB01EF">
        <w:rPr>
          <w:szCs w:val="22"/>
          <w:lang w:val="it-IT"/>
        </w:rPr>
        <w:t>usare</w:t>
      </w:r>
      <w:r w:rsidR="00ED61D7" w:rsidRPr="00FB01EF">
        <w:rPr>
          <w:szCs w:val="22"/>
          <w:lang w:val="it-IT"/>
        </w:rPr>
        <w:t xml:space="preserve"> </w:t>
      </w:r>
      <w:r w:rsidRPr="00FB01EF">
        <w:rPr>
          <w:szCs w:val="22"/>
          <w:lang w:val="it-IT"/>
        </w:rPr>
        <w:t>qualsiasi altro medicinale.</w:t>
      </w:r>
    </w:p>
    <w:p w:rsidR="00C3209E" w:rsidRPr="00FB01EF" w:rsidRDefault="00C3209E" w:rsidP="00CC7997">
      <w:pPr>
        <w:numPr>
          <w:ilvl w:val="0"/>
          <w:numId w:val="11"/>
        </w:numPr>
        <w:tabs>
          <w:tab w:val="left" w:pos="680"/>
        </w:tabs>
        <w:ind w:left="567" w:hanging="567"/>
        <w:rPr>
          <w:szCs w:val="22"/>
          <w:lang w:val="it-IT"/>
        </w:rPr>
      </w:pPr>
      <w:r w:rsidRPr="00FB01EF">
        <w:rPr>
          <w:szCs w:val="22"/>
          <w:lang w:val="it-IT"/>
        </w:rPr>
        <w:t xml:space="preserve">Se usa </w:t>
      </w:r>
      <w:r w:rsidR="00ED61D7" w:rsidRPr="00FB01EF">
        <w:rPr>
          <w:szCs w:val="22"/>
          <w:lang w:val="it-IT"/>
        </w:rPr>
        <w:t>Ovaleap</w:t>
      </w:r>
      <w:r w:rsidRPr="00FB01EF">
        <w:rPr>
          <w:szCs w:val="22"/>
          <w:lang w:val="it-IT"/>
        </w:rPr>
        <w:t xml:space="preserve"> con altri medicinali che favoriscono l’ovulazione</w:t>
      </w:r>
      <w:r w:rsidR="00ED61D7" w:rsidRPr="00FB01EF">
        <w:rPr>
          <w:szCs w:val="22"/>
          <w:lang w:val="it-IT"/>
        </w:rPr>
        <w:t xml:space="preserve">, </w:t>
      </w:r>
      <w:r w:rsidRPr="00FB01EF">
        <w:rPr>
          <w:szCs w:val="22"/>
          <w:lang w:val="it-IT"/>
        </w:rPr>
        <w:t>come</w:t>
      </w:r>
      <w:r w:rsidR="00083BDF" w:rsidRPr="00FB01EF">
        <w:rPr>
          <w:szCs w:val="22"/>
          <w:lang w:val="it-IT"/>
        </w:rPr>
        <w:t xml:space="preserve"> </w:t>
      </w:r>
      <w:r w:rsidR="00ED61D7" w:rsidRPr="00FB01EF">
        <w:rPr>
          <w:szCs w:val="22"/>
          <w:lang w:val="it-IT"/>
        </w:rPr>
        <w:t>gonadotropina corionica umana (</w:t>
      </w:r>
      <w:r w:rsidRPr="00FB01EF">
        <w:rPr>
          <w:szCs w:val="22"/>
          <w:lang w:val="it-IT"/>
        </w:rPr>
        <w:t>hCG</w:t>
      </w:r>
      <w:r w:rsidR="00ED61D7" w:rsidRPr="00FB01EF">
        <w:rPr>
          <w:szCs w:val="22"/>
          <w:lang w:val="it-IT"/>
        </w:rPr>
        <w:t>)</w:t>
      </w:r>
      <w:r w:rsidRPr="00FB01EF">
        <w:rPr>
          <w:szCs w:val="22"/>
          <w:lang w:val="it-IT"/>
        </w:rPr>
        <w:t xml:space="preserve"> o clomifene citrato, questo potrà potenziare la risposta dei follicoli.</w:t>
      </w:r>
    </w:p>
    <w:p w:rsidR="009B6496" w:rsidRPr="00FB01EF" w:rsidRDefault="00C3209E" w:rsidP="00CC7997">
      <w:pPr>
        <w:numPr>
          <w:ilvl w:val="0"/>
          <w:numId w:val="4"/>
        </w:numPr>
        <w:tabs>
          <w:tab w:val="clear" w:pos="567"/>
        </w:tabs>
        <w:ind w:left="567" w:hanging="567"/>
        <w:rPr>
          <w:noProof/>
          <w:szCs w:val="22"/>
          <w:lang w:val="it-IT"/>
        </w:rPr>
      </w:pPr>
      <w:r w:rsidRPr="00FB01EF">
        <w:rPr>
          <w:szCs w:val="22"/>
          <w:lang w:val="it-IT"/>
        </w:rPr>
        <w:t xml:space="preserve">Se usa </w:t>
      </w:r>
      <w:r w:rsidR="00ED61D7" w:rsidRPr="00FB01EF">
        <w:rPr>
          <w:szCs w:val="22"/>
          <w:lang w:val="it-IT"/>
        </w:rPr>
        <w:t>Ovaleap</w:t>
      </w:r>
      <w:r w:rsidRPr="00FB01EF">
        <w:rPr>
          <w:szCs w:val="22"/>
          <w:lang w:val="it-IT"/>
        </w:rPr>
        <w:t xml:space="preserve"> contemporaneamente a un agonista o antagonista del “ormone di rilascio delle gonadotropine” (GnRH) (questi medicinali riducono i livelli di ormoni sessuali e bloccano l’ovulazione), può aver bisogno di una dose maggiore di </w:t>
      </w:r>
      <w:r w:rsidR="00ED61D7" w:rsidRPr="00FB01EF">
        <w:rPr>
          <w:szCs w:val="22"/>
          <w:lang w:val="it-IT"/>
        </w:rPr>
        <w:t>Ovaleap</w:t>
      </w:r>
      <w:r w:rsidRPr="00FB01EF">
        <w:rPr>
          <w:szCs w:val="22"/>
          <w:lang w:val="it-IT"/>
        </w:rPr>
        <w:t xml:space="preserve"> per produrre follicoli</w:t>
      </w:r>
      <w:r w:rsidR="00D22352" w:rsidRPr="00FB01EF">
        <w:rPr>
          <w:noProof/>
          <w:szCs w:val="22"/>
          <w:lang w:val="it-IT"/>
        </w:rPr>
        <w:t>.</w:t>
      </w:r>
    </w:p>
    <w:p w:rsidR="00D22352" w:rsidRPr="00FB01EF" w:rsidRDefault="00D22352" w:rsidP="00496272">
      <w:pPr>
        <w:numPr>
          <w:ilvl w:val="12"/>
          <w:numId w:val="0"/>
        </w:numPr>
        <w:tabs>
          <w:tab w:val="clear" w:pos="567"/>
        </w:tabs>
        <w:ind w:right="-2"/>
        <w:rPr>
          <w:noProof/>
          <w:szCs w:val="22"/>
          <w:highlight w:val="yellow"/>
          <w:lang w:val="it-IT"/>
        </w:rPr>
      </w:pPr>
    </w:p>
    <w:p w:rsidR="009B6496" w:rsidRPr="00FB01EF" w:rsidRDefault="00C3209E" w:rsidP="00496272">
      <w:pPr>
        <w:numPr>
          <w:ilvl w:val="12"/>
          <w:numId w:val="0"/>
        </w:numPr>
        <w:tabs>
          <w:tab w:val="clear" w:pos="567"/>
        </w:tabs>
        <w:ind w:right="-2"/>
        <w:outlineLvl w:val="0"/>
        <w:rPr>
          <w:b/>
          <w:noProof/>
          <w:szCs w:val="22"/>
          <w:lang w:val="it-IT"/>
        </w:rPr>
      </w:pPr>
      <w:r w:rsidRPr="00FB01EF">
        <w:rPr>
          <w:b/>
          <w:bCs/>
          <w:szCs w:val="22"/>
          <w:lang w:val="it-IT"/>
        </w:rPr>
        <w:t>Gravidanza e allattamento</w:t>
      </w:r>
    </w:p>
    <w:p w:rsidR="009B6496" w:rsidRPr="00FB01EF" w:rsidRDefault="00C3209E" w:rsidP="00496272">
      <w:pPr>
        <w:numPr>
          <w:ilvl w:val="12"/>
          <w:numId w:val="0"/>
        </w:numPr>
        <w:tabs>
          <w:tab w:val="clear" w:pos="567"/>
        </w:tabs>
        <w:rPr>
          <w:noProof/>
          <w:szCs w:val="22"/>
          <w:lang w:val="it-IT"/>
        </w:rPr>
      </w:pPr>
      <w:r w:rsidRPr="00FB01EF">
        <w:rPr>
          <w:szCs w:val="22"/>
          <w:lang w:val="it-IT"/>
        </w:rPr>
        <w:t xml:space="preserve">Non </w:t>
      </w:r>
      <w:r w:rsidR="00B76351" w:rsidRPr="00FB01EF">
        <w:rPr>
          <w:szCs w:val="22"/>
          <w:lang w:val="it-IT"/>
        </w:rPr>
        <w:t>deve usare</w:t>
      </w:r>
      <w:r w:rsidRPr="00FB01EF">
        <w:rPr>
          <w:szCs w:val="22"/>
          <w:lang w:val="it-IT"/>
        </w:rPr>
        <w:t xml:space="preserve"> </w:t>
      </w:r>
      <w:r w:rsidR="00094D8D" w:rsidRPr="00FB01EF">
        <w:rPr>
          <w:szCs w:val="22"/>
          <w:lang w:val="it-IT"/>
        </w:rPr>
        <w:t>questo medicinale</w:t>
      </w:r>
      <w:r w:rsidRPr="00FB01EF">
        <w:rPr>
          <w:szCs w:val="22"/>
          <w:lang w:val="it-IT"/>
        </w:rPr>
        <w:t xml:space="preserve"> durante la gravidanza o l’allattamento.</w:t>
      </w:r>
    </w:p>
    <w:p w:rsidR="007953F8" w:rsidRPr="00FB01EF" w:rsidRDefault="007953F8" w:rsidP="00496272">
      <w:pPr>
        <w:numPr>
          <w:ilvl w:val="12"/>
          <w:numId w:val="0"/>
        </w:numPr>
        <w:tabs>
          <w:tab w:val="clear" w:pos="567"/>
        </w:tabs>
        <w:ind w:right="-2"/>
        <w:outlineLvl w:val="0"/>
        <w:rPr>
          <w:b/>
          <w:noProof/>
          <w:szCs w:val="22"/>
          <w:lang w:val="it-IT"/>
        </w:rPr>
      </w:pPr>
    </w:p>
    <w:p w:rsidR="009B6496" w:rsidRPr="00FB01EF" w:rsidRDefault="00C3209E" w:rsidP="00496272">
      <w:pPr>
        <w:numPr>
          <w:ilvl w:val="12"/>
          <w:numId w:val="0"/>
        </w:numPr>
        <w:tabs>
          <w:tab w:val="clear" w:pos="567"/>
        </w:tabs>
        <w:ind w:right="-2"/>
        <w:outlineLvl w:val="0"/>
        <w:rPr>
          <w:noProof/>
          <w:szCs w:val="22"/>
          <w:lang w:val="it-IT"/>
        </w:rPr>
      </w:pPr>
      <w:r w:rsidRPr="00FB01EF">
        <w:rPr>
          <w:b/>
          <w:bCs/>
          <w:szCs w:val="22"/>
          <w:lang w:val="it-IT"/>
        </w:rPr>
        <w:t>Guida di veicoli e utilizzo di macchinari</w:t>
      </w:r>
    </w:p>
    <w:p w:rsidR="009B6496" w:rsidRPr="00FB01EF" w:rsidRDefault="00ED61D7" w:rsidP="00496272">
      <w:pPr>
        <w:numPr>
          <w:ilvl w:val="12"/>
          <w:numId w:val="0"/>
        </w:numPr>
        <w:tabs>
          <w:tab w:val="clear" w:pos="567"/>
        </w:tabs>
        <w:ind w:right="-2"/>
        <w:rPr>
          <w:noProof/>
          <w:szCs w:val="22"/>
          <w:lang w:val="it-IT"/>
        </w:rPr>
      </w:pPr>
      <w:r w:rsidRPr="00FB01EF">
        <w:rPr>
          <w:szCs w:val="22"/>
          <w:lang w:val="it-IT"/>
        </w:rPr>
        <w:t>Q</w:t>
      </w:r>
      <w:r w:rsidR="00C3209E" w:rsidRPr="00FB01EF">
        <w:rPr>
          <w:szCs w:val="22"/>
          <w:lang w:val="it-IT"/>
        </w:rPr>
        <w:t xml:space="preserve">uesto medicinale </w:t>
      </w:r>
      <w:r w:rsidRPr="00FB01EF">
        <w:rPr>
          <w:szCs w:val="22"/>
          <w:lang w:val="it-IT"/>
        </w:rPr>
        <w:t xml:space="preserve">non </w:t>
      </w:r>
      <w:r w:rsidR="00C3209E" w:rsidRPr="00FB01EF">
        <w:rPr>
          <w:szCs w:val="22"/>
          <w:lang w:val="it-IT"/>
        </w:rPr>
        <w:t>alter</w:t>
      </w:r>
      <w:r w:rsidRPr="00FB01EF">
        <w:rPr>
          <w:szCs w:val="22"/>
          <w:lang w:val="it-IT"/>
        </w:rPr>
        <w:t>a</w:t>
      </w:r>
      <w:r w:rsidR="00C3209E" w:rsidRPr="00FB01EF">
        <w:rPr>
          <w:szCs w:val="22"/>
          <w:lang w:val="it-IT"/>
        </w:rPr>
        <w:t xml:space="preserve"> la capacità di guidare veicoli e di utilizzare macchinari</w:t>
      </w:r>
      <w:r w:rsidR="007953F8" w:rsidRPr="00FB01EF">
        <w:rPr>
          <w:noProof/>
          <w:szCs w:val="22"/>
          <w:lang w:val="it-IT"/>
        </w:rPr>
        <w:t>.</w:t>
      </w:r>
    </w:p>
    <w:p w:rsidR="007953F8" w:rsidRPr="00FB01EF" w:rsidRDefault="007953F8" w:rsidP="00496272">
      <w:pPr>
        <w:numPr>
          <w:ilvl w:val="12"/>
          <w:numId w:val="0"/>
        </w:numPr>
        <w:tabs>
          <w:tab w:val="clear" w:pos="567"/>
        </w:tabs>
        <w:ind w:right="-2"/>
        <w:rPr>
          <w:noProof/>
          <w:szCs w:val="22"/>
          <w:lang w:val="it-IT"/>
        </w:rPr>
      </w:pPr>
    </w:p>
    <w:p w:rsidR="009B6496" w:rsidRPr="00FB01EF" w:rsidRDefault="00ED61D7" w:rsidP="00496272">
      <w:pPr>
        <w:numPr>
          <w:ilvl w:val="12"/>
          <w:numId w:val="0"/>
        </w:numPr>
        <w:tabs>
          <w:tab w:val="clear" w:pos="567"/>
        </w:tabs>
        <w:ind w:right="-2"/>
        <w:outlineLvl w:val="0"/>
        <w:rPr>
          <w:b/>
          <w:noProof/>
          <w:szCs w:val="22"/>
          <w:lang w:val="it-IT"/>
        </w:rPr>
      </w:pPr>
      <w:r w:rsidRPr="00FB01EF">
        <w:rPr>
          <w:b/>
          <w:bCs/>
          <w:szCs w:val="22"/>
          <w:lang w:val="it-IT"/>
        </w:rPr>
        <w:t>Ovaleap</w:t>
      </w:r>
      <w:r w:rsidR="00BF4F2C" w:rsidRPr="00FB01EF">
        <w:rPr>
          <w:b/>
          <w:bCs/>
          <w:szCs w:val="22"/>
          <w:lang w:val="it-IT"/>
        </w:rPr>
        <w:t xml:space="preserve"> contiene sodio</w:t>
      </w:r>
    </w:p>
    <w:p w:rsidR="00180EA2" w:rsidRPr="00FB01EF" w:rsidRDefault="00ED61D7" w:rsidP="00496272">
      <w:pPr>
        <w:tabs>
          <w:tab w:val="clear" w:pos="567"/>
        </w:tabs>
        <w:rPr>
          <w:szCs w:val="22"/>
          <w:lang w:val="it-IT"/>
        </w:rPr>
      </w:pPr>
      <w:r w:rsidRPr="00FB01EF">
        <w:rPr>
          <w:szCs w:val="22"/>
          <w:lang w:val="it-IT"/>
        </w:rPr>
        <w:t>Questo medicinale</w:t>
      </w:r>
      <w:r w:rsidR="00C3209E" w:rsidRPr="00FB01EF">
        <w:rPr>
          <w:szCs w:val="22"/>
          <w:lang w:val="it-IT"/>
        </w:rPr>
        <w:t xml:space="preserve"> contiene meno di 1</w:t>
      </w:r>
      <w:r w:rsidRPr="00FB01EF">
        <w:rPr>
          <w:szCs w:val="22"/>
          <w:lang w:val="it-IT"/>
        </w:rPr>
        <w:t> </w:t>
      </w:r>
      <w:r w:rsidR="00C3209E" w:rsidRPr="00FB01EF">
        <w:rPr>
          <w:szCs w:val="22"/>
          <w:lang w:val="it-IT"/>
        </w:rPr>
        <w:t>mmol (23</w:t>
      </w:r>
      <w:r w:rsidRPr="00FB01EF">
        <w:rPr>
          <w:szCs w:val="22"/>
          <w:lang w:val="it-IT"/>
        </w:rPr>
        <w:t> </w:t>
      </w:r>
      <w:r w:rsidR="00C3209E" w:rsidRPr="00FB01EF">
        <w:rPr>
          <w:szCs w:val="22"/>
          <w:lang w:val="it-IT"/>
        </w:rPr>
        <w:t xml:space="preserve">mg) di sodio per dose, cioè è </w:t>
      </w:r>
      <w:r w:rsidR="00180EA2" w:rsidRPr="00FB01EF">
        <w:rPr>
          <w:szCs w:val="22"/>
          <w:lang w:val="it-IT"/>
        </w:rPr>
        <w:t>essenzialmente</w:t>
      </w:r>
      <w:r w:rsidR="00C3209E" w:rsidRPr="00FB01EF">
        <w:rPr>
          <w:szCs w:val="22"/>
          <w:lang w:val="it-IT"/>
        </w:rPr>
        <w:t xml:space="preserve"> “senza sodio”.</w:t>
      </w:r>
    </w:p>
    <w:p w:rsidR="009B6496" w:rsidRPr="00FB01EF" w:rsidRDefault="009B6496" w:rsidP="00496272">
      <w:pPr>
        <w:numPr>
          <w:ilvl w:val="12"/>
          <w:numId w:val="0"/>
        </w:numPr>
        <w:tabs>
          <w:tab w:val="clear" w:pos="567"/>
        </w:tabs>
        <w:ind w:right="-2"/>
        <w:rPr>
          <w:noProof/>
          <w:szCs w:val="22"/>
          <w:lang w:val="it-IT"/>
        </w:rPr>
      </w:pPr>
    </w:p>
    <w:p w:rsidR="00700A59" w:rsidRPr="00FB01EF" w:rsidRDefault="00700A59" w:rsidP="00496272">
      <w:pPr>
        <w:numPr>
          <w:ilvl w:val="12"/>
          <w:numId w:val="0"/>
        </w:numPr>
        <w:tabs>
          <w:tab w:val="clear" w:pos="567"/>
        </w:tabs>
        <w:ind w:right="-2"/>
        <w:rPr>
          <w:noProof/>
          <w:szCs w:val="22"/>
          <w:lang w:val="it-IT"/>
        </w:rPr>
      </w:pPr>
      <w:r w:rsidRPr="00FB01EF">
        <w:rPr>
          <w:noProof/>
          <w:szCs w:val="22"/>
          <w:lang w:val="it-IT"/>
        </w:rPr>
        <w:t>Questo medicinale contiene anche 0,02 mg per mL di benzalconio cloruro e 10,0 mg per mL di alcool benzilico.</w:t>
      </w:r>
    </w:p>
    <w:p w:rsidR="002E5D7A" w:rsidRPr="00FB01EF" w:rsidRDefault="002E5D7A" w:rsidP="00496272">
      <w:pPr>
        <w:numPr>
          <w:ilvl w:val="12"/>
          <w:numId w:val="0"/>
        </w:numPr>
        <w:tabs>
          <w:tab w:val="clear" w:pos="567"/>
        </w:tabs>
        <w:ind w:right="-2"/>
        <w:rPr>
          <w:noProof/>
          <w:szCs w:val="22"/>
          <w:lang w:val="it-IT"/>
        </w:rPr>
      </w:pPr>
    </w:p>
    <w:p w:rsidR="00700A59" w:rsidRPr="00FB01EF" w:rsidRDefault="00700A59" w:rsidP="00496272">
      <w:pPr>
        <w:numPr>
          <w:ilvl w:val="12"/>
          <w:numId w:val="0"/>
        </w:numPr>
        <w:tabs>
          <w:tab w:val="clear" w:pos="567"/>
        </w:tabs>
        <w:ind w:right="-2"/>
        <w:rPr>
          <w:noProof/>
          <w:szCs w:val="22"/>
          <w:lang w:val="it-IT"/>
        </w:rPr>
      </w:pPr>
    </w:p>
    <w:p w:rsidR="009B6496" w:rsidRPr="00FB01EF" w:rsidRDefault="00F9016F" w:rsidP="002E5D7A">
      <w:pPr>
        <w:keepNext/>
        <w:rPr>
          <w:b/>
          <w:noProof/>
          <w:szCs w:val="22"/>
          <w:lang w:val="it-IT"/>
        </w:rPr>
      </w:pPr>
      <w:r w:rsidRPr="00FB01EF">
        <w:rPr>
          <w:b/>
          <w:noProof/>
          <w:szCs w:val="22"/>
          <w:lang w:val="it-IT"/>
        </w:rPr>
        <w:lastRenderedPageBreak/>
        <w:t>3.</w:t>
      </w:r>
      <w:r w:rsidRPr="00FB01EF">
        <w:rPr>
          <w:b/>
          <w:noProof/>
          <w:szCs w:val="22"/>
          <w:lang w:val="it-IT"/>
        </w:rPr>
        <w:tab/>
      </w:r>
      <w:r w:rsidR="00F509F1" w:rsidRPr="00FB01EF">
        <w:rPr>
          <w:b/>
          <w:bCs/>
          <w:szCs w:val="22"/>
          <w:lang w:val="it-IT"/>
        </w:rPr>
        <w:t>Come usare Ovaleap</w:t>
      </w:r>
    </w:p>
    <w:p w:rsidR="009B6496" w:rsidRPr="00FB01EF" w:rsidRDefault="009B6496" w:rsidP="002E5D7A">
      <w:pPr>
        <w:keepNext/>
        <w:numPr>
          <w:ilvl w:val="12"/>
          <w:numId w:val="0"/>
        </w:numPr>
        <w:tabs>
          <w:tab w:val="clear" w:pos="567"/>
        </w:tabs>
        <w:rPr>
          <w:i/>
          <w:noProof/>
          <w:szCs w:val="22"/>
          <w:lang w:val="it-IT"/>
        </w:rPr>
      </w:pPr>
    </w:p>
    <w:p w:rsidR="00EB3C54" w:rsidRPr="00FB01EF" w:rsidRDefault="00865AF6" w:rsidP="00496272">
      <w:pPr>
        <w:numPr>
          <w:ilvl w:val="12"/>
          <w:numId w:val="0"/>
        </w:numPr>
        <w:tabs>
          <w:tab w:val="clear" w:pos="567"/>
        </w:tabs>
        <w:ind w:right="-2"/>
        <w:rPr>
          <w:noProof/>
          <w:szCs w:val="22"/>
          <w:lang w:val="it-IT"/>
        </w:rPr>
      </w:pPr>
      <w:r w:rsidRPr="00FB01EF">
        <w:rPr>
          <w:szCs w:val="22"/>
          <w:lang w:val="it-IT"/>
        </w:rPr>
        <w:t xml:space="preserve">Usi </w:t>
      </w:r>
      <w:r w:rsidR="00F509F1" w:rsidRPr="00FB01EF">
        <w:rPr>
          <w:szCs w:val="22"/>
          <w:lang w:val="it-IT"/>
        </w:rPr>
        <w:t>questo medicinale</w:t>
      </w:r>
      <w:r w:rsidRPr="00FB01EF">
        <w:rPr>
          <w:szCs w:val="22"/>
          <w:lang w:val="it-IT"/>
        </w:rPr>
        <w:t xml:space="preserve"> seguendo sempre esattamente le istruzioni del medico</w:t>
      </w:r>
      <w:r w:rsidR="00F509F1" w:rsidRPr="00FB01EF">
        <w:rPr>
          <w:szCs w:val="22"/>
          <w:lang w:val="it-IT"/>
        </w:rPr>
        <w:t xml:space="preserve"> o del farmacista</w:t>
      </w:r>
      <w:r w:rsidRPr="00FB01EF">
        <w:rPr>
          <w:szCs w:val="22"/>
          <w:lang w:val="it-IT"/>
        </w:rPr>
        <w:t>. Se ha dubbi consulti il medico o il farmacista</w:t>
      </w:r>
      <w:r w:rsidR="0010267A" w:rsidRPr="00FB01EF">
        <w:rPr>
          <w:noProof/>
          <w:szCs w:val="22"/>
          <w:lang w:val="it-IT"/>
        </w:rPr>
        <w:t>.</w:t>
      </w:r>
    </w:p>
    <w:p w:rsidR="00EA06BB" w:rsidRPr="00FB01EF" w:rsidRDefault="00EA06BB" w:rsidP="00496272">
      <w:pPr>
        <w:numPr>
          <w:ilvl w:val="12"/>
          <w:numId w:val="0"/>
        </w:numPr>
        <w:tabs>
          <w:tab w:val="clear" w:pos="567"/>
        </w:tabs>
        <w:ind w:right="-2"/>
        <w:rPr>
          <w:noProof/>
          <w:szCs w:val="22"/>
          <w:lang w:val="it-IT"/>
        </w:rPr>
      </w:pPr>
    </w:p>
    <w:p w:rsidR="00EA06BB" w:rsidRPr="00FB01EF" w:rsidRDefault="00EA06BB" w:rsidP="00496272">
      <w:pPr>
        <w:numPr>
          <w:ilvl w:val="12"/>
          <w:numId w:val="0"/>
        </w:numPr>
        <w:tabs>
          <w:tab w:val="clear" w:pos="567"/>
        </w:tabs>
        <w:ind w:right="-2"/>
        <w:rPr>
          <w:noProof/>
          <w:szCs w:val="22"/>
          <w:lang w:val="it-IT"/>
        </w:rPr>
      </w:pPr>
      <w:r w:rsidRPr="00FB01EF">
        <w:rPr>
          <w:noProof/>
          <w:szCs w:val="22"/>
          <w:lang w:val="it-IT"/>
        </w:rPr>
        <w:t>Questo medicinale viene somministrato come iniezione nel tessuto situato direttamente sotto la pelle (iniezione sottocutanea).</w:t>
      </w:r>
      <w:r w:rsidR="00AE187A" w:rsidRPr="00FB01EF">
        <w:rPr>
          <w:rFonts w:eastAsia="SimSun"/>
          <w:szCs w:val="22"/>
          <w:lang w:val="it-IT" w:eastAsia="en-GB"/>
        </w:rPr>
        <w:t xml:space="preserve"> </w:t>
      </w:r>
      <w:r w:rsidR="00875979" w:rsidRPr="00FB01EF">
        <w:rPr>
          <w:rFonts w:eastAsia="SimSun"/>
          <w:szCs w:val="22"/>
          <w:lang w:val="it-IT" w:eastAsia="en-GB"/>
        </w:rPr>
        <w:t>Il medico o l’infermiere le mostrerà come iniettare il medicinale. Se si inietta il medicinale da sola, legga e segua attentamente le “Istruzioni per l’uso” della penna.</w:t>
      </w:r>
    </w:p>
    <w:p w:rsidR="0010267A" w:rsidRPr="00FB01EF" w:rsidRDefault="0010267A" w:rsidP="00496272">
      <w:pPr>
        <w:numPr>
          <w:ilvl w:val="12"/>
          <w:numId w:val="0"/>
        </w:numPr>
        <w:tabs>
          <w:tab w:val="clear" w:pos="567"/>
        </w:tabs>
        <w:ind w:right="-2"/>
        <w:rPr>
          <w:noProof/>
          <w:szCs w:val="22"/>
          <w:lang w:val="it-IT"/>
        </w:rPr>
      </w:pPr>
    </w:p>
    <w:p w:rsidR="00865AF6" w:rsidRPr="00FB01EF" w:rsidRDefault="00865AF6" w:rsidP="00083BDF">
      <w:pPr>
        <w:ind w:right="-20"/>
        <w:rPr>
          <w:szCs w:val="22"/>
          <w:lang w:val="it-IT"/>
        </w:rPr>
      </w:pPr>
      <w:r w:rsidRPr="00FB01EF">
        <w:rPr>
          <w:b/>
          <w:bCs/>
          <w:szCs w:val="22"/>
          <w:lang w:val="it-IT"/>
        </w:rPr>
        <w:t>Qual</w:t>
      </w:r>
      <w:r w:rsidR="00A33EB1" w:rsidRPr="00FB01EF">
        <w:rPr>
          <w:b/>
          <w:bCs/>
          <w:szCs w:val="22"/>
          <w:lang w:val="it-IT"/>
        </w:rPr>
        <w:t>e</w:t>
      </w:r>
      <w:r w:rsidR="00F509F1" w:rsidRPr="00FB01EF">
        <w:rPr>
          <w:b/>
          <w:bCs/>
          <w:szCs w:val="22"/>
          <w:lang w:val="it-IT"/>
        </w:rPr>
        <w:t xml:space="preserve"> è la dose raccomandata</w:t>
      </w:r>
    </w:p>
    <w:p w:rsidR="00865AF6" w:rsidRPr="00FB01EF" w:rsidRDefault="00865AF6" w:rsidP="00083BDF">
      <w:pPr>
        <w:ind w:right="366"/>
        <w:rPr>
          <w:szCs w:val="22"/>
          <w:lang w:val="it-IT"/>
        </w:rPr>
      </w:pPr>
      <w:r w:rsidRPr="00FB01EF">
        <w:rPr>
          <w:szCs w:val="22"/>
          <w:lang w:val="it-IT"/>
        </w:rPr>
        <w:t>Il medico deciderà quanto medicinale deve usare e con quale frequenza. Le dosi riportate di seguito sono espresse in Unità Internazionali (UI)</w:t>
      </w:r>
      <w:r w:rsidR="00F509F1" w:rsidRPr="00FB01EF">
        <w:rPr>
          <w:szCs w:val="22"/>
          <w:lang w:val="it-IT"/>
        </w:rPr>
        <w:t>.</w:t>
      </w:r>
    </w:p>
    <w:p w:rsidR="00865AF6" w:rsidRPr="00FB01EF" w:rsidRDefault="00865AF6" w:rsidP="00865AF6">
      <w:pPr>
        <w:rPr>
          <w:szCs w:val="22"/>
          <w:lang w:val="it-IT"/>
        </w:rPr>
      </w:pPr>
    </w:p>
    <w:p w:rsidR="00865AF6" w:rsidRPr="00FB01EF" w:rsidRDefault="00865AF6" w:rsidP="00F97DD8">
      <w:pPr>
        <w:ind w:right="-20"/>
        <w:rPr>
          <w:szCs w:val="22"/>
          <w:u w:val="single"/>
          <w:lang w:val="it-IT"/>
        </w:rPr>
      </w:pPr>
      <w:r w:rsidRPr="00FB01EF">
        <w:rPr>
          <w:bCs/>
          <w:szCs w:val="22"/>
          <w:u w:val="single"/>
          <w:lang w:val="it-IT"/>
        </w:rPr>
        <w:t>Donne</w:t>
      </w:r>
    </w:p>
    <w:p w:rsidR="00865AF6" w:rsidRPr="00FB01EF" w:rsidRDefault="00865AF6" w:rsidP="00865AF6">
      <w:pPr>
        <w:rPr>
          <w:szCs w:val="22"/>
          <w:lang w:val="it-IT"/>
        </w:rPr>
      </w:pPr>
    </w:p>
    <w:p w:rsidR="00865AF6" w:rsidRPr="00FB01EF" w:rsidRDefault="00865AF6" w:rsidP="003C7651">
      <w:pPr>
        <w:keepNext/>
        <w:ind w:right="-20"/>
        <w:rPr>
          <w:szCs w:val="22"/>
          <w:u w:val="single"/>
          <w:lang w:val="it-IT"/>
        </w:rPr>
      </w:pPr>
      <w:r w:rsidRPr="00FB01EF">
        <w:rPr>
          <w:bCs/>
          <w:szCs w:val="22"/>
          <w:u w:val="single"/>
          <w:lang w:val="it-IT"/>
        </w:rPr>
        <w:t>Se non ha l’ovulazione e ha cicli mestruali irregolari o assenti</w:t>
      </w:r>
    </w:p>
    <w:p w:rsidR="00434797" w:rsidRPr="00FB01EF" w:rsidRDefault="00094D8D" w:rsidP="00CC7997">
      <w:pPr>
        <w:keepNext/>
        <w:numPr>
          <w:ilvl w:val="0"/>
          <w:numId w:val="4"/>
        </w:numPr>
        <w:tabs>
          <w:tab w:val="left" w:pos="680"/>
        </w:tabs>
        <w:ind w:left="567" w:hanging="567"/>
        <w:rPr>
          <w:szCs w:val="22"/>
          <w:lang w:val="it-IT"/>
        </w:rPr>
      </w:pPr>
      <w:r w:rsidRPr="00FB01EF">
        <w:rPr>
          <w:szCs w:val="22"/>
          <w:lang w:val="it-IT"/>
        </w:rPr>
        <w:t>Questo medicinale</w:t>
      </w:r>
      <w:r w:rsidR="00865AF6" w:rsidRPr="00FB01EF">
        <w:rPr>
          <w:szCs w:val="22"/>
          <w:lang w:val="it-IT"/>
        </w:rPr>
        <w:t xml:space="preserve"> viene in genere somministrato ogni giorno.</w:t>
      </w:r>
    </w:p>
    <w:p w:rsidR="00434797" w:rsidRPr="00FB01EF" w:rsidRDefault="00865AF6" w:rsidP="00CC7997">
      <w:pPr>
        <w:numPr>
          <w:ilvl w:val="0"/>
          <w:numId w:val="4"/>
        </w:numPr>
        <w:tabs>
          <w:tab w:val="left" w:pos="680"/>
        </w:tabs>
        <w:ind w:left="567" w:hanging="567"/>
        <w:rPr>
          <w:szCs w:val="22"/>
          <w:lang w:val="it-IT"/>
        </w:rPr>
      </w:pPr>
      <w:r w:rsidRPr="00FB01EF">
        <w:rPr>
          <w:szCs w:val="22"/>
          <w:lang w:val="it-IT"/>
        </w:rPr>
        <w:t xml:space="preserve">Se ha cicli mestruali irregolari, inizi a usare </w:t>
      </w:r>
      <w:r w:rsidR="00094D8D" w:rsidRPr="00FB01EF">
        <w:rPr>
          <w:szCs w:val="22"/>
          <w:lang w:val="it-IT"/>
        </w:rPr>
        <w:t>questo medicinale</w:t>
      </w:r>
      <w:r w:rsidRPr="00FB01EF">
        <w:rPr>
          <w:szCs w:val="22"/>
          <w:lang w:val="it-IT"/>
        </w:rPr>
        <w:t xml:space="preserve"> entro i primi </w:t>
      </w:r>
      <w:r w:rsidR="00F509F1" w:rsidRPr="00FB01EF">
        <w:rPr>
          <w:szCs w:val="22"/>
          <w:lang w:val="it-IT"/>
        </w:rPr>
        <w:t>7 </w:t>
      </w:r>
      <w:r w:rsidRPr="00FB01EF">
        <w:rPr>
          <w:szCs w:val="22"/>
          <w:lang w:val="it-IT"/>
        </w:rPr>
        <w:t>giorni del ciclo. Se non ha cicli mestruali, può iniziare a utilizzare il medicinale un giorno qualsiasi.</w:t>
      </w:r>
    </w:p>
    <w:p w:rsidR="00434797" w:rsidRPr="00FB01EF" w:rsidRDefault="00865AF6" w:rsidP="00CC7997">
      <w:pPr>
        <w:numPr>
          <w:ilvl w:val="0"/>
          <w:numId w:val="4"/>
        </w:numPr>
        <w:tabs>
          <w:tab w:val="left" w:pos="680"/>
        </w:tabs>
        <w:ind w:left="567" w:hanging="567"/>
        <w:rPr>
          <w:szCs w:val="22"/>
          <w:lang w:val="it-IT"/>
        </w:rPr>
      </w:pPr>
      <w:r w:rsidRPr="00FB01EF">
        <w:rPr>
          <w:szCs w:val="22"/>
          <w:lang w:val="it-IT"/>
        </w:rPr>
        <w:t xml:space="preserve">La dose iniziale abituale di </w:t>
      </w:r>
      <w:r w:rsidR="00094D8D" w:rsidRPr="00FB01EF">
        <w:rPr>
          <w:szCs w:val="22"/>
          <w:lang w:val="it-IT"/>
        </w:rPr>
        <w:t>questo medicinale</w:t>
      </w:r>
      <w:r w:rsidRPr="00FB01EF">
        <w:rPr>
          <w:szCs w:val="22"/>
          <w:lang w:val="it-IT"/>
        </w:rPr>
        <w:t xml:space="preserve"> è compresa tra 75 e </w:t>
      </w:r>
      <w:r w:rsidR="00F509F1" w:rsidRPr="00FB01EF">
        <w:rPr>
          <w:szCs w:val="22"/>
          <w:lang w:val="it-IT"/>
        </w:rPr>
        <w:t>150 </w:t>
      </w:r>
      <w:r w:rsidRPr="00FB01EF">
        <w:rPr>
          <w:szCs w:val="22"/>
          <w:lang w:val="it-IT"/>
        </w:rPr>
        <w:t>UI ogni giorno.</w:t>
      </w:r>
    </w:p>
    <w:p w:rsidR="00434797" w:rsidRPr="00FB01EF" w:rsidRDefault="00865AF6" w:rsidP="00CC7997">
      <w:pPr>
        <w:numPr>
          <w:ilvl w:val="0"/>
          <w:numId w:val="4"/>
        </w:numPr>
        <w:tabs>
          <w:tab w:val="left" w:pos="680"/>
        </w:tabs>
        <w:ind w:left="567" w:hanging="567"/>
        <w:rPr>
          <w:szCs w:val="22"/>
          <w:lang w:val="it-IT"/>
        </w:rPr>
      </w:pPr>
      <w:r w:rsidRPr="00FB01EF">
        <w:rPr>
          <w:szCs w:val="22"/>
          <w:lang w:val="it-IT"/>
        </w:rPr>
        <w:t xml:space="preserve">La dose di </w:t>
      </w:r>
      <w:r w:rsidR="00094D8D" w:rsidRPr="00FB01EF">
        <w:rPr>
          <w:szCs w:val="22"/>
          <w:lang w:val="it-IT"/>
        </w:rPr>
        <w:t>questo medicinale</w:t>
      </w:r>
      <w:r w:rsidRPr="00FB01EF">
        <w:rPr>
          <w:szCs w:val="22"/>
          <w:lang w:val="it-IT"/>
        </w:rPr>
        <w:t xml:space="preserve"> può essere aumentata ogni 7</w:t>
      </w:r>
      <w:r w:rsidR="00434797" w:rsidRPr="00FB01EF">
        <w:rPr>
          <w:szCs w:val="22"/>
          <w:lang w:val="it-IT"/>
        </w:rPr>
        <w:t> </w:t>
      </w:r>
      <w:r w:rsidRPr="00FB01EF">
        <w:rPr>
          <w:szCs w:val="22"/>
          <w:lang w:val="it-IT"/>
        </w:rPr>
        <w:t xml:space="preserve">giorni o ogni </w:t>
      </w:r>
      <w:r w:rsidR="00F509F1" w:rsidRPr="00FB01EF">
        <w:rPr>
          <w:szCs w:val="22"/>
          <w:lang w:val="it-IT"/>
        </w:rPr>
        <w:t>14 </w:t>
      </w:r>
      <w:r w:rsidRPr="00FB01EF">
        <w:rPr>
          <w:szCs w:val="22"/>
          <w:lang w:val="it-IT"/>
        </w:rPr>
        <w:t>giorni di 37,5</w:t>
      </w:r>
      <w:r w:rsidR="00434797" w:rsidRPr="00FB01EF">
        <w:rPr>
          <w:szCs w:val="22"/>
          <w:lang w:val="it-IT"/>
        </w:rPr>
        <w:noBreakHyphen/>
      </w:r>
      <w:r w:rsidR="00F509F1" w:rsidRPr="00FB01EF">
        <w:rPr>
          <w:szCs w:val="22"/>
          <w:lang w:val="it-IT"/>
        </w:rPr>
        <w:t>75 </w:t>
      </w:r>
      <w:r w:rsidRPr="00FB01EF">
        <w:rPr>
          <w:szCs w:val="22"/>
          <w:lang w:val="it-IT"/>
        </w:rPr>
        <w:t>UI fino a ottenere la risposta desiderata.</w:t>
      </w:r>
    </w:p>
    <w:p w:rsidR="00434797" w:rsidRPr="00FB01EF" w:rsidRDefault="00865AF6" w:rsidP="00CC7997">
      <w:pPr>
        <w:numPr>
          <w:ilvl w:val="0"/>
          <w:numId w:val="4"/>
        </w:numPr>
        <w:tabs>
          <w:tab w:val="left" w:pos="680"/>
        </w:tabs>
        <w:ind w:left="567" w:hanging="567"/>
        <w:rPr>
          <w:szCs w:val="22"/>
          <w:lang w:val="it-IT"/>
        </w:rPr>
      </w:pPr>
      <w:r w:rsidRPr="00FB01EF">
        <w:rPr>
          <w:szCs w:val="22"/>
          <w:lang w:val="it-IT"/>
        </w:rPr>
        <w:t xml:space="preserve">La dose massima giornaliera di </w:t>
      </w:r>
      <w:r w:rsidR="00094D8D" w:rsidRPr="00FB01EF">
        <w:rPr>
          <w:szCs w:val="22"/>
          <w:lang w:val="it-IT"/>
        </w:rPr>
        <w:t>questo medicinale</w:t>
      </w:r>
      <w:r w:rsidRPr="00FB01EF">
        <w:rPr>
          <w:szCs w:val="22"/>
          <w:lang w:val="it-IT"/>
        </w:rPr>
        <w:t xml:space="preserve"> non supera in genere le </w:t>
      </w:r>
      <w:r w:rsidR="00F509F1" w:rsidRPr="00FB01EF">
        <w:rPr>
          <w:szCs w:val="22"/>
          <w:lang w:val="it-IT"/>
        </w:rPr>
        <w:t>225 </w:t>
      </w:r>
      <w:r w:rsidRPr="00FB01EF">
        <w:rPr>
          <w:szCs w:val="22"/>
          <w:lang w:val="it-IT"/>
        </w:rPr>
        <w:t>UI.</w:t>
      </w:r>
    </w:p>
    <w:p w:rsidR="00865AF6" w:rsidRPr="00FB01EF" w:rsidRDefault="00865AF6" w:rsidP="008611CE">
      <w:pPr>
        <w:numPr>
          <w:ilvl w:val="0"/>
          <w:numId w:val="4"/>
        </w:numPr>
        <w:tabs>
          <w:tab w:val="left" w:pos="680"/>
        </w:tabs>
        <w:ind w:left="567" w:hanging="567"/>
        <w:rPr>
          <w:szCs w:val="22"/>
          <w:lang w:val="it-IT"/>
        </w:rPr>
      </w:pPr>
      <w:r w:rsidRPr="00FB01EF">
        <w:rPr>
          <w:szCs w:val="22"/>
          <w:lang w:val="it-IT"/>
        </w:rPr>
        <w:t xml:space="preserve">Quando ottiene la risposta desiderata, le verrà </w:t>
      </w:r>
      <w:r w:rsidR="00F509F1" w:rsidRPr="00FB01EF">
        <w:rPr>
          <w:szCs w:val="22"/>
          <w:lang w:val="it-IT"/>
        </w:rPr>
        <w:t>somministrata hCG o “</w:t>
      </w:r>
      <w:r w:rsidRPr="00FB01EF">
        <w:rPr>
          <w:szCs w:val="22"/>
          <w:lang w:val="it-IT"/>
        </w:rPr>
        <w:t>hCG ricombinante” (r</w:t>
      </w:r>
      <w:r w:rsidR="00434797" w:rsidRPr="00FB01EF">
        <w:rPr>
          <w:szCs w:val="22"/>
          <w:lang w:val="it-IT"/>
        </w:rPr>
        <w:noBreakHyphen/>
      </w:r>
      <w:r w:rsidRPr="00FB01EF">
        <w:rPr>
          <w:szCs w:val="22"/>
          <w:lang w:val="it-IT"/>
        </w:rPr>
        <w:t>hCG, un</w:t>
      </w:r>
      <w:r w:rsidR="00F509F1" w:rsidRPr="00FB01EF">
        <w:rPr>
          <w:szCs w:val="22"/>
          <w:lang w:val="it-IT"/>
        </w:rPr>
        <w:t>’</w:t>
      </w:r>
      <w:r w:rsidRPr="00FB01EF">
        <w:rPr>
          <w:szCs w:val="22"/>
          <w:lang w:val="it-IT"/>
        </w:rPr>
        <w:t xml:space="preserve">hCG </w:t>
      </w:r>
      <w:r w:rsidR="00F509F1" w:rsidRPr="00FB01EF">
        <w:rPr>
          <w:szCs w:val="22"/>
          <w:lang w:val="it-IT"/>
        </w:rPr>
        <w:t xml:space="preserve">prodotta </w:t>
      </w:r>
      <w:r w:rsidRPr="00FB01EF">
        <w:rPr>
          <w:szCs w:val="22"/>
          <w:lang w:val="it-IT"/>
        </w:rPr>
        <w:t>in laboratorio con una particolare tecnica di DNA)</w:t>
      </w:r>
      <w:r w:rsidR="00F509F1" w:rsidRPr="00FB01EF">
        <w:rPr>
          <w:szCs w:val="22"/>
          <w:lang w:val="it-IT"/>
        </w:rPr>
        <w:t>. L’iniezione singola sarà di 250 microgrammi di r</w:t>
      </w:r>
      <w:r w:rsidR="00434797" w:rsidRPr="00FB01EF">
        <w:rPr>
          <w:szCs w:val="22"/>
          <w:lang w:val="it-IT"/>
        </w:rPr>
        <w:noBreakHyphen/>
      </w:r>
      <w:r w:rsidR="00F509F1" w:rsidRPr="00FB01EF">
        <w:rPr>
          <w:szCs w:val="22"/>
          <w:lang w:val="it-IT"/>
        </w:rPr>
        <w:t>hCG</w:t>
      </w:r>
      <w:r w:rsidRPr="00FB01EF">
        <w:rPr>
          <w:szCs w:val="22"/>
          <w:lang w:val="it-IT"/>
        </w:rPr>
        <w:t xml:space="preserve"> o 5.000</w:t>
      </w:r>
      <w:r w:rsidR="00434797" w:rsidRPr="00FB01EF">
        <w:rPr>
          <w:szCs w:val="22"/>
          <w:lang w:val="it-IT"/>
        </w:rPr>
        <w:noBreakHyphen/>
      </w:r>
      <w:r w:rsidRPr="00FB01EF">
        <w:rPr>
          <w:szCs w:val="22"/>
          <w:lang w:val="it-IT"/>
        </w:rPr>
        <w:t>10.</w:t>
      </w:r>
      <w:r w:rsidR="00F509F1" w:rsidRPr="00FB01EF">
        <w:rPr>
          <w:szCs w:val="22"/>
          <w:lang w:val="it-IT"/>
        </w:rPr>
        <w:t>000 </w:t>
      </w:r>
      <w:r w:rsidRPr="00FB01EF">
        <w:rPr>
          <w:szCs w:val="22"/>
          <w:lang w:val="it-IT"/>
        </w:rPr>
        <w:t>UI di hCG, 24</w:t>
      </w:r>
      <w:r w:rsidR="00434797" w:rsidRPr="00FB01EF">
        <w:rPr>
          <w:szCs w:val="22"/>
          <w:lang w:val="it-IT"/>
        </w:rPr>
        <w:noBreakHyphen/>
      </w:r>
      <w:r w:rsidR="00F509F1" w:rsidRPr="00FB01EF">
        <w:rPr>
          <w:szCs w:val="22"/>
          <w:lang w:val="it-IT"/>
        </w:rPr>
        <w:t>48 </w:t>
      </w:r>
      <w:r w:rsidRPr="00FB01EF">
        <w:rPr>
          <w:szCs w:val="22"/>
          <w:lang w:val="it-IT"/>
        </w:rPr>
        <w:t xml:space="preserve">ore dopo l’ultima iniezione di </w:t>
      </w:r>
      <w:r w:rsidR="00F509F1" w:rsidRPr="00FB01EF">
        <w:rPr>
          <w:szCs w:val="22"/>
          <w:lang w:val="it-IT"/>
        </w:rPr>
        <w:t>Ovaleap</w:t>
      </w:r>
      <w:r w:rsidRPr="00FB01EF">
        <w:rPr>
          <w:szCs w:val="22"/>
          <w:lang w:val="it-IT"/>
        </w:rPr>
        <w:t>. I giorni più indicati per i rapporti sessuali sono il giorno dell’iniezione di hCG e il giorno successivo.</w:t>
      </w:r>
      <w:r w:rsidR="008611CE" w:rsidRPr="00FB01EF">
        <w:rPr>
          <w:szCs w:val="22"/>
          <w:lang w:val="it-IT"/>
        </w:rPr>
        <w:t xml:space="preserve"> </w:t>
      </w:r>
      <w:r w:rsidR="000F58F4" w:rsidRPr="00FB01EF">
        <w:rPr>
          <w:szCs w:val="22"/>
          <w:lang w:val="it-IT"/>
        </w:rPr>
        <w:t>In alternativa può essere effettuata un’inseminazione intrauterina, con deposizione dello sperma nell</w:t>
      </w:r>
      <w:r w:rsidR="00AE35AF" w:rsidRPr="00FB01EF">
        <w:rPr>
          <w:szCs w:val="22"/>
          <w:lang w:val="it-IT"/>
        </w:rPr>
        <w:t>a cavità dell’</w:t>
      </w:r>
      <w:r w:rsidR="000F58F4" w:rsidRPr="00FB01EF">
        <w:rPr>
          <w:szCs w:val="22"/>
          <w:lang w:val="it-IT"/>
        </w:rPr>
        <w:t>utero.</w:t>
      </w:r>
    </w:p>
    <w:p w:rsidR="00AE187A" w:rsidRPr="00FB01EF" w:rsidRDefault="00AE187A" w:rsidP="00865AF6">
      <w:pPr>
        <w:rPr>
          <w:szCs w:val="22"/>
          <w:lang w:val="it-IT"/>
        </w:rPr>
      </w:pPr>
    </w:p>
    <w:p w:rsidR="00865AF6" w:rsidRPr="00FB01EF" w:rsidRDefault="00865AF6" w:rsidP="006B6DDF">
      <w:pPr>
        <w:ind w:right="252"/>
        <w:rPr>
          <w:szCs w:val="22"/>
          <w:lang w:val="it-IT"/>
        </w:rPr>
      </w:pPr>
      <w:r w:rsidRPr="00FB01EF">
        <w:rPr>
          <w:szCs w:val="22"/>
          <w:lang w:val="it-IT"/>
        </w:rPr>
        <w:t xml:space="preserve">Se il medico non osserva la risposta desiderata dopo </w:t>
      </w:r>
      <w:r w:rsidR="00F509F1" w:rsidRPr="00FB01EF">
        <w:rPr>
          <w:szCs w:val="22"/>
          <w:lang w:val="it-IT"/>
        </w:rPr>
        <w:t>4 </w:t>
      </w:r>
      <w:r w:rsidRPr="00FB01EF">
        <w:rPr>
          <w:szCs w:val="22"/>
          <w:lang w:val="it-IT"/>
        </w:rPr>
        <w:t xml:space="preserve">settimane, quel ciclo di trattamento con </w:t>
      </w:r>
      <w:r w:rsidR="00F509F1" w:rsidRPr="00FB01EF">
        <w:rPr>
          <w:szCs w:val="22"/>
          <w:lang w:val="it-IT"/>
        </w:rPr>
        <w:t>Ovaleap</w:t>
      </w:r>
      <w:r w:rsidRPr="00FB01EF">
        <w:rPr>
          <w:szCs w:val="22"/>
          <w:lang w:val="it-IT"/>
        </w:rPr>
        <w:t xml:space="preserve"> deve essere interrotto. Nel ciclo di trattamento successivo, il medico le somministrerà una dose iniziale maggiore di </w:t>
      </w:r>
      <w:r w:rsidR="00094D8D" w:rsidRPr="00FB01EF">
        <w:rPr>
          <w:szCs w:val="22"/>
          <w:lang w:val="it-IT"/>
        </w:rPr>
        <w:t>questo medicinale</w:t>
      </w:r>
      <w:r w:rsidRPr="00FB01EF">
        <w:rPr>
          <w:szCs w:val="22"/>
          <w:lang w:val="it-IT"/>
        </w:rPr>
        <w:t>.</w:t>
      </w:r>
    </w:p>
    <w:p w:rsidR="00865AF6" w:rsidRPr="00FB01EF" w:rsidRDefault="00865AF6" w:rsidP="006B6DDF">
      <w:pPr>
        <w:rPr>
          <w:szCs w:val="22"/>
          <w:lang w:val="it-IT"/>
        </w:rPr>
      </w:pPr>
    </w:p>
    <w:p w:rsidR="00865AF6" w:rsidRPr="00FB01EF" w:rsidRDefault="00865AF6" w:rsidP="006B6DDF">
      <w:pPr>
        <w:ind w:right="375"/>
        <w:rPr>
          <w:szCs w:val="22"/>
          <w:lang w:val="it-IT"/>
        </w:rPr>
      </w:pPr>
      <w:r w:rsidRPr="00FB01EF">
        <w:rPr>
          <w:szCs w:val="22"/>
          <w:lang w:val="it-IT"/>
        </w:rPr>
        <w:t xml:space="preserve">Se il suo organismo risponde eccessivamente, il trattamento verrà interrotto e non le sarà </w:t>
      </w:r>
      <w:r w:rsidR="00F509F1" w:rsidRPr="00FB01EF">
        <w:rPr>
          <w:szCs w:val="22"/>
          <w:lang w:val="it-IT"/>
        </w:rPr>
        <w:t xml:space="preserve">somministrata </w:t>
      </w:r>
      <w:r w:rsidRPr="00FB01EF">
        <w:rPr>
          <w:szCs w:val="22"/>
          <w:lang w:val="it-IT"/>
        </w:rPr>
        <w:t xml:space="preserve">l’hCG </w:t>
      </w:r>
      <w:r w:rsidR="00F509F1" w:rsidRPr="00FB01EF">
        <w:rPr>
          <w:szCs w:val="22"/>
          <w:lang w:val="it-IT"/>
        </w:rPr>
        <w:t>[</w:t>
      </w:r>
      <w:r w:rsidRPr="00FB01EF">
        <w:rPr>
          <w:szCs w:val="22"/>
          <w:lang w:val="it-IT"/>
        </w:rPr>
        <w:t xml:space="preserve">vedere </w:t>
      </w:r>
      <w:r w:rsidR="00F509F1" w:rsidRPr="00FB01EF">
        <w:rPr>
          <w:szCs w:val="22"/>
          <w:lang w:val="it-IT"/>
        </w:rPr>
        <w:t xml:space="preserve">anche </w:t>
      </w:r>
      <w:r w:rsidRPr="00FB01EF">
        <w:rPr>
          <w:szCs w:val="22"/>
          <w:lang w:val="it-IT"/>
        </w:rPr>
        <w:t>paragrafo</w:t>
      </w:r>
      <w:r w:rsidR="00434797" w:rsidRPr="00FB01EF">
        <w:rPr>
          <w:szCs w:val="22"/>
          <w:lang w:val="it-IT"/>
        </w:rPr>
        <w:t> </w:t>
      </w:r>
      <w:r w:rsidRPr="00FB01EF">
        <w:rPr>
          <w:szCs w:val="22"/>
          <w:lang w:val="it-IT"/>
        </w:rPr>
        <w:t xml:space="preserve">2, </w:t>
      </w:r>
      <w:r w:rsidR="00F509F1" w:rsidRPr="00FB01EF">
        <w:rPr>
          <w:szCs w:val="22"/>
          <w:lang w:val="it-IT"/>
        </w:rPr>
        <w:t>“Sindrome da iperstimolazione ovarica (</w:t>
      </w:r>
      <w:r w:rsidRPr="00FB01EF">
        <w:rPr>
          <w:szCs w:val="22"/>
          <w:lang w:val="it-IT"/>
        </w:rPr>
        <w:t>OHSS)</w:t>
      </w:r>
      <w:r w:rsidR="00E046A9" w:rsidRPr="00FB01EF">
        <w:rPr>
          <w:szCs w:val="22"/>
          <w:lang w:val="it-IT"/>
        </w:rPr>
        <w:t>”</w:t>
      </w:r>
      <w:r w:rsidR="00F509F1" w:rsidRPr="00FB01EF">
        <w:rPr>
          <w:szCs w:val="22"/>
          <w:lang w:val="it-IT"/>
        </w:rPr>
        <w:t>]</w:t>
      </w:r>
      <w:r w:rsidRPr="00FB01EF">
        <w:rPr>
          <w:szCs w:val="22"/>
          <w:lang w:val="it-IT"/>
        </w:rPr>
        <w:t xml:space="preserve">. Nel ciclo successivo, il medico le somministrerà una dose minore di </w:t>
      </w:r>
      <w:r w:rsidR="00F509F1" w:rsidRPr="00FB01EF">
        <w:rPr>
          <w:szCs w:val="22"/>
          <w:lang w:val="it-IT"/>
        </w:rPr>
        <w:t>Ovaleap</w:t>
      </w:r>
      <w:r w:rsidRPr="00FB01EF">
        <w:rPr>
          <w:szCs w:val="22"/>
          <w:lang w:val="it-IT"/>
        </w:rPr>
        <w:t>.</w:t>
      </w:r>
    </w:p>
    <w:p w:rsidR="00865AF6" w:rsidRPr="00FB01EF" w:rsidRDefault="00865AF6" w:rsidP="00865AF6">
      <w:pPr>
        <w:rPr>
          <w:szCs w:val="22"/>
          <w:lang w:val="it-IT"/>
        </w:rPr>
      </w:pPr>
    </w:p>
    <w:p w:rsidR="00865AF6" w:rsidRPr="00FB01EF" w:rsidRDefault="00865AF6" w:rsidP="006B6DDF">
      <w:pPr>
        <w:ind w:right="-20"/>
        <w:rPr>
          <w:szCs w:val="22"/>
          <w:u w:val="single"/>
          <w:lang w:val="it-IT"/>
        </w:rPr>
      </w:pPr>
      <w:r w:rsidRPr="00FB01EF">
        <w:rPr>
          <w:bCs/>
          <w:szCs w:val="22"/>
          <w:u w:val="single"/>
          <w:lang w:val="it-IT"/>
        </w:rPr>
        <w:t>Se deve far sviluppare diversi ovuli da prelevare per le tecniche di riproduzione assistita</w:t>
      </w:r>
    </w:p>
    <w:p w:rsidR="00434797" w:rsidRPr="00FB01EF" w:rsidRDefault="00865AF6" w:rsidP="00CC7997">
      <w:pPr>
        <w:numPr>
          <w:ilvl w:val="0"/>
          <w:numId w:val="12"/>
        </w:numPr>
        <w:tabs>
          <w:tab w:val="left" w:pos="680"/>
        </w:tabs>
        <w:ind w:left="567" w:hanging="567"/>
        <w:rPr>
          <w:szCs w:val="22"/>
          <w:lang w:val="it-IT"/>
        </w:rPr>
      </w:pPr>
      <w:r w:rsidRPr="00FB01EF">
        <w:rPr>
          <w:szCs w:val="22"/>
          <w:lang w:val="it-IT"/>
        </w:rPr>
        <w:t xml:space="preserve">La dose iniziale abituale di </w:t>
      </w:r>
      <w:r w:rsidR="00094D8D" w:rsidRPr="00FB01EF">
        <w:rPr>
          <w:szCs w:val="22"/>
          <w:lang w:val="it-IT"/>
        </w:rPr>
        <w:t>questo medicinale</w:t>
      </w:r>
      <w:r w:rsidRPr="00FB01EF">
        <w:rPr>
          <w:szCs w:val="22"/>
          <w:lang w:val="it-IT"/>
        </w:rPr>
        <w:t xml:space="preserve"> è compresa tra 150 e </w:t>
      </w:r>
      <w:r w:rsidR="00F509F1" w:rsidRPr="00FB01EF">
        <w:rPr>
          <w:szCs w:val="22"/>
          <w:lang w:val="it-IT"/>
        </w:rPr>
        <w:t>225 </w:t>
      </w:r>
      <w:r w:rsidRPr="00FB01EF">
        <w:rPr>
          <w:szCs w:val="22"/>
          <w:lang w:val="it-IT"/>
        </w:rPr>
        <w:t xml:space="preserve">UI ogni giorno, iniziando dal </w:t>
      </w:r>
      <w:r w:rsidR="00F509F1" w:rsidRPr="00FB01EF">
        <w:rPr>
          <w:szCs w:val="22"/>
          <w:lang w:val="it-IT"/>
        </w:rPr>
        <w:t>giorno </w:t>
      </w:r>
      <w:r w:rsidRPr="00FB01EF">
        <w:rPr>
          <w:szCs w:val="22"/>
          <w:lang w:val="it-IT"/>
        </w:rPr>
        <w:t>2 o 3 del suo ciclo</w:t>
      </w:r>
      <w:r w:rsidR="00F509F1" w:rsidRPr="00FB01EF">
        <w:rPr>
          <w:szCs w:val="22"/>
          <w:lang w:val="it-IT"/>
        </w:rPr>
        <w:t xml:space="preserve"> mestruale</w:t>
      </w:r>
      <w:r w:rsidRPr="00FB01EF">
        <w:rPr>
          <w:szCs w:val="22"/>
          <w:lang w:val="it-IT"/>
        </w:rPr>
        <w:t>.</w:t>
      </w:r>
    </w:p>
    <w:p w:rsidR="00434797" w:rsidRPr="00FB01EF" w:rsidRDefault="00865AF6" w:rsidP="00CC7997">
      <w:pPr>
        <w:numPr>
          <w:ilvl w:val="0"/>
          <w:numId w:val="12"/>
        </w:numPr>
        <w:tabs>
          <w:tab w:val="left" w:pos="680"/>
        </w:tabs>
        <w:ind w:left="567" w:hanging="567"/>
        <w:rPr>
          <w:szCs w:val="22"/>
          <w:lang w:val="it-IT"/>
        </w:rPr>
      </w:pPr>
      <w:r w:rsidRPr="00FB01EF">
        <w:rPr>
          <w:szCs w:val="22"/>
          <w:lang w:val="it-IT"/>
        </w:rPr>
        <w:t xml:space="preserve">La dose può essere aumentata, a seconda della risposta. La dose massima giornaliera è di </w:t>
      </w:r>
      <w:r w:rsidR="00F509F1" w:rsidRPr="00FB01EF">
        <w:rPr>
          <w:szCs w:val="22"/>
          <w:lang w:val="it-IT"/>
        </w:rPr>
        <w:t>450 </w:t>
      </w:r>
      <w:r w:rsidRPr="00FB01EF">
        <w:rPr>
          <w:szCs w:val="22"/>
          <w:lang w:val="it-IT"/>
        </w:rPr>
        <w:t>UI.</w:t>
      </w:r>
    </w:p>
    <w:p w:rsidR="00434797" w:rsidRPr="00FB01EF" w:rsidRDefault="00865AF6" w:rsidP="00CC7997">
      <w:pPr>
        <w:numPr>
          <w:ilvl w:val="0"/>
          <w:numId w:val="12"/>
        </w:numPr>
        <w:tabs>
          <w:tab w:val="left" w:pos="680"/>
        </w:tabs>
        <w:ind w:left="567" w:hanging="567"/>
        <w:rPr>
          <w:szCs w:val="22"/>
          <w:lang w:val="it-IT"/>
        </w:rPr>
      </w:pPr>
      <w:r w:rsidRPr="00FB01EF">
        <w:rPr>
          <w:szCs w:val="22"/>
          <w:lang w:val="it-IT"/>
        </w:rPr>
        <w:t xml:space="preserve">Il trattamento prosegue fino a che gli ovuli non abbiano raggiunto un determinato grado di sviluppo. Questo sviluppo dura in genere </w:t>
      </w:r>
      <w:r w:rsidR="00F509F1" w:rsidRPr="00FB01EF">
        <w:rPr>
          <w:szCs w:val="22"/>
          <w:lang w:val="it-IT"/>
        </w:rPr>
        <w:t>10 </w:t>
      </w:r>
      <w:r w:rsidRPr="00FB01EF">
        <w:rPr>
          <w:szCs w:val="22"/>
          <w:lang w:val="it-IT"/>
        </w:rPr>
        <w:t xml:space="preserve">giorni, ma la durata può variare tra 5 e </w:t>
      </w:r>
      <w:r w:rsidR="00F509F1" w:rsidRPr="00FB01EF">
        <w:rPr>
          <w:szCs w:val="22"/>
          <w:lang w:val="it-IT"/>
        </w:rPr>
        <w:t>20 </w:t>
      </w:r>
      <w:r w:rsidRPr="00FB01EF">
        <w:rPr>
          <w:szCs w:val="22"/>
          <w:lang w:val="it-IT"/>
        </w:rPr>
        <w:t>giorni. Il medico stabilirà il momento giusto con analisi del sangue e/o ecografia.</w:t>
      </w:r>
    </w:p>
    <w:p w:rsidR="00865AF6" w:rsidRPr="00FB01EF" w:rsidRDefault="00865AF6" w:rsidP="00CC7997">
      <w:pPr>
        <w:numPr>
          <w:ilvl w:val="0"/>
          <w:numId w:val="12"/>
        </w:numPr>
        <w:tabs>
          <w:tab w:val="left" w:pos="680"/>
        </w:tabs>
        <w:ind w:left="567" w:hanging="567"/>
        <w:rPr>
          <w:szCs w:val="22"/>
          <w:lang w:val="it-IT"/>
        </w:rPr>
      </w:pPr>
      <w:r w:rsidRPr="00FB01EF">
        <w:rPr>
          <w:szCs w:val="22"/>
          <w:lang w:val="it-IT"/>
        </w:rPr>
        <w:t xml:space="preserve">Quando gli ovuli si saranno sviluppati, le verrà </w:t>
      </w:r>
      <w:r w:rsidR="00F509F1" w:rsidRPr="00FB01EF">
        <w:rPr>
          <w:szCs w:val="22"/>
          <w:lang w:val="it-IT"/>
        </w:rPr>
        <w:t>somministrata hCG o r</w:t>
      </w:r>
      <w:r w:rsidR="00434797" w:rsidRPr="00FB01EF">
        <w:rPr>
          <w:szCs w:val="22"/>
          <w:lang w:val="it-IT"/>
        </w:rPr>
        <w:noBreakHyphen/>
      </w:r>
      <w:r w:rsidR="00F509F1" w:rsidRPr="00FB01EF">
        <w:rPr>
          <w:szCs w:val="22"/>
          <w:lang w:val="it-IT"/>
        </w:rPr>
        <w:t xml:space="preserve">hCG. La singola iniezione sarà </w:t>
      </w:r>
      <w:r w:rsidR="00791679" w:rsidRPr="00FB01EF">
        <w:rPr>
          <w:szCs w:val="22"/>
          <w:lang w:val="it-IT"/>
        </w:rPr>
        <w:t>d</w:t>
      </w:r>
      <w:r w:rsidR="00F509F1" w:rsidRPr="00FB01EF">
        <w:rPr>
          <w:szCs w:val="22"/>
          <w:lang w:val="it-IT"/>
        </w:rPr>
        <w:t>i 250 microgrammi di</w:t>
      </w:r>
      <w:r w:rsidRPr="00FB01EF">
        <w:rPr>
          <w:szCs w:val="22"/>
          <w:lang w:val="it-IT"/>
        </w:rPr>
        <w:t xml:space="preserve"> r</w:t>
      </w:r>
      <w:r w:rsidR="00434797" w:rsidRPr="00FB01EF">
        <w:rPr>
          <w:szCs w:val="22"/>
          <w:lang w:val="it-IT"/>
        </w:rPr>
        <w:noBreakHyphen/>
      </w:r>
      <w:r w:rsidRPr="00FB01EF">
        <w:rPr>
          <w:szCs w:val="22"/>
          <w:lang w:val="it-IT"/>
        </w:rPr>
        <w:t>hCG</w:t>
      </w:r>
      <w:r w:rsidR="00791679" w:rsidRPr="00FB01EF">
        <w:rPr>
          <w:szCs w:val="22"/>
          <w:lang w:val="it-IT"/>
        </w:rPr>
        <w:t xml:space="preserve"> o di</w:t>
      </w:r>
      <w:r w:rsidRPr="00FB01EF">
        <w:rPr>
          <w:szCs w:val="22"/>
          <w:lang w:val="it-IT"/>
        </w:rPr>
        <w:t xml:space="preserve"> 5.000</w:t>
      </w:r>
      <w:r w:rsidR="00434797" w:rsidRPr="00FB01EF">
        <w:rPr>
          <w:szCs w:val="22"/>
          <w:lang w:val="it-IT"/>
        </w:rPr>
        <w:noBreakHyphen/>
      </w:r>
      <w:r w:rsidRPr="00FB01EF">
        <w:rPr>
          <w:szCs w:val="22"/>
          <w:lang w:val="it-IT"/>
        </w:rPr>
        <w:t>10.</w:t>
      </w:r>
      <w:r w:rsidR="00791679" w:rsidRPr="00FB01EF">
        <w:rPr>
          <w:szCs w:val="22"/>
          <w:lang w:val="it-IT"/>
        </w:rPr>
        <w:t>000 </w:t>
      </w:r>
      <w:r w:rsidRPr="00FB01EF">
        <w:rPr>
          <w:szCs w:val="22"/>
          <w:lang w:val="it-IT"/>
        </w:rPr>
        <w:t>UI di hCG, 24</w:t>
      </w:r>
      <w:r w:rsidR="00434797" w:rsidRPr="00FB01EF">
        <w:rPr>
          <w:szCs w:val="22"/>
          <w:lang w:val="it-IT"/>
        </w:rPr>
        <w:noBreakHyphen/>
      </w:r>
      <w:r w:rsidR="00791679" w:rsidRPr="00FB01EF">
        <w:rPr>
          <w:szCs w:val="22"/>
          <w:lang w:val="it-IT"/>
        </w:rPr>
        <w:t>48 </w:t>
      </w:r>
      <w:r w:rsidRPr="00FB01EF">
        <w:rPr>
          <w:szCs w:val="22"/>
          <w:lang w:val="it-IT"/>
        </w:rPr>
        <w:t xml:space="preserve">ore dopo l’ultima iniezione di </w:t>
      </w:r>
      <w:r w:rsidR="00791679" w:rsidRPr="00FB01EF">
        <w:rPr>
          <w:szCs w:val="22"/>
          <w:lang w:val="it-IT"/>
        </w:rPr>
        <w:t>Ovaleap</w:t>
      </w:r>
      <w:r w:rsidRPr="00FB01EF">
        <w:rPr>
          <w:szCs w:val="22"/>
          <w:lang w:val="it-IT"/>
        </w:rPr>
        <w:t>. In questo modo, gli ovuli vengono preparati per il prelievo.</w:t>
      </w:r>
    </w:p>
    <w:p w:rsidR="00865AF6" w:rsidRPr="00FB01EF" w:rsidRDefault="00865AF6" w:rsidP="006B6DDF">
      <w:pPr>
        <w:ind w:left="567"/>
        <w:rPr>
          <w:szCs w:val="22"/>
          <w:lang w:val="it-IT"/>
        </w:rPr>
      </w:pPr>
    </w:p>
    <w:p w:rsidR="00791679" w:rsidRPr="00FB01EF" w:rsidRDefault="00865AF6" w:rsidP="006B6DDF">
      <w:pPr>
        <w:ind w:right="251"/>
        <w:rPr>
          <w:szCs w:val="22"/>
          <w:lang w:val="it-IT"/>
        </w:rPr>
      </w:pPr>
      <w:r w:rsidRPr="00FB01EF">
        <w:rPr>
          <w:szCs w:val="22"/>
          <w:lang w:val="it-IT"/>
        </w:rPr>
        <w:t xml:space="preserve">In altri casi, il medico potrebbe innanzitutto bloccare l’ovulazione con un agonista o un antagonista dell’ormone di rilascio delle gonadotropine (GnRH). In tal caso, </w:t>
      </w:r>
      <w:r w:rsidR="00791679" w:rsidRPr="00FB01EF">
        <w:rPr>
          <w:szCs w:val="22"/>
          <w:lang w:val="it-IT"/>
        </w:rPr>
        <w:t>Ovaleap viene somministrato approssimativamente 2 </w:t>
      </w:r>
      <w:r w:rsidRPr="00FB01EF">
        <w:rPr>
          <w:szCs w:val="22"/>
          <w:lang w:val="it-IT"/>
        </w:rPr>
        <w:t xml:space="preserve">settimane dopo l’inizio del trattamento con l’agonista. Sia </w:t>
      </w:r>
      <w:r w:rsidR="00791679" w:rsidRPr="00FB01EF">
        <w:rPr>
          <w:szCs w:val="22"/>
          <w:lang w:val="it-IT"/>
        </w:rPr>
        <w:t>Ovaleap</w:t>
      </w:r>
      <w:r w:rsidRPr="00FB01EF">
        <w:rPr>
          <w:szCs w:val="22"/>
          <w:lang w:val="it-IT"/>
        </w:rPr>
        <w:t>, sia l’agonista del GnRH vengono somministrati fino allo sviluppo desiderato dei follicoli.</w:t>
      </w:r>
    </w:p>
    <w:p w:rsidR="00791679" w:rsidRPr="00FB01EF" w:rsidRDefault="00791679" w:rsidP="006B6DDF">
      <w:pPr>
        <w:ind w:right="251"/>
        <w:rPr>
          <w:szCs w:val="22"/>
          <w:lang w:val="it-IT"/>
        </w:rPr>
      </w:pPr>
    </w:p>
    <w:p w:rsidR="00791679" w:rsidRPr="00FB01EF" w:rsidRDefault="00791679" w:rsidP="00865AF6">
      <w:pPr>
        <w:rPr>
          <w:szCs w:val="22"/>
          <w:u w:val="single"/>
          <w:lang w:val="it-IT"/>
        </w:rPr>
      </w:pPr>
      <w:r w:rsidRPr="00FB01EF">
        <w:rPr>
          <w:szCs w:val="22"/>
          <w:u w:val="single"/>
          <w:lang w:val="it-IT"/>
        </w:rPr>
        <w:lastRenderedPageBreak/>
        <w:t>Se non ha l’ovulazione, non ha cicli mestruali e le sono stati diagnosticati livelli molto bassi degli ormoni FSH e LH</w:t>
      </w:r>
    </w:p>
    <w:p w:rsidR="00791679" w:rsidRPr="00FB01EF" w:rsidRDefault="00791679" w:rsidP="00CC7997">
      <w:pPr>
        <w:numPr>
          <w:ilvl w:val="0"/>
          <w:numId w:val="12"/>
        </w:numPr>
        <w:tabs>
          <w:tab w:val="left" w:pos="680"/>
        </w:tabs>
        <w:ind w:left="567" w:hanging="567"/>
        <w:rPr>
          <w:szCs w:val="22"/>
          <w:lang w:val="it-IT"/>
        </w:rPr>
      </w:pPr>
      <w:r w:rsidRPr="00FB01EF">
        <w:rPr>
          <w:szCs w:val="22"/>
          <w:lang w:val="it-IT"/>
        </w:rPr>
        <w:t>La dose iniziale abituale di Ovaleap è compresa tra 75 e 150 UI insieme a 75 UI di lutropina alfa.</w:t>
      </w:r>
    </w:p>
    <w:p w:rsidR="00791679" w:rsidRPr="00FB01EF" w:rsidRDefault="00791679" w:rsidP="00CC7997">
      <w:pPr>
        <w:numPr>
          <w:ilvl w:val="0"/>
          <w:numId w:val="12"/>
        </w:numPr>
        <w:tabs>
          <w:tab w:val="left" w:pos="680"/>
        </w:tabs>
        <w:ind w:left="567" w:hanging="567"/>
        <w:rPr>
          <w:szCs w:val="22"/>
          <w:lang w:val="it-IT"/>
        </w:rPr>
      </w:pPr>
      <w:r w:rsidRPr="00FB01EF">
        <w:rPr>
          <w:szCs w:val="22"/>
          <w:lang w:val="it-IT"/>
        </w:rPr>
        <w:t>Dovrà usare questi due medicinali ogni giorno per un massimo di 5 settimane.</w:t>
      </w:r>
    </w:p>
    <w:p w:rsidR="00791679" w:rsidRPr="00FB01EF" w:rsidRDefault="00791679" w:rsidP="00CC7997">
      <w:pPr>
        <w:numPr>
          <w:ilvl w:val="0"/>
          <w:numId w:val="12"/>
        </w:numPr>
        <w:tabs>
          <w:tab w:val="left" w:pos="680"/>
        </w:tabs>
        <w:ind w:left="567" w:hanging="567"/>
        <w:rPr>
          <w:szCs w:val="22"/>
          <w:lang w:val="it-IT"/>
        </w:rPr>
      </w:pPr>
      <w:r w:rsidRPr="00FB01EF">
        <w:rPr>
          <w:szCs w:val="22"/>
          <w:lang w:val="it-IT"/>
        </w:rPr>
        <w:t>La dose di Ovaleap può essere aumentata ogni 7 giorni o ogni 14 giorni di 37,5</w:t>
      </w:r>
      <w:r w:rsidR="00434797" w:rsidRPr="00FB01EF">
        <w:rPr>
          <w:szCs w:val="22"/>
          <w:lang w:val="it-IT"/>
        </w:rPr>
        <w:noBreakHyphen/>
      </w:r>
      <w:r w:rsidRPr="00FB01EF">
        <w:rPr>
          <w:szCs w:val="22"/>
          <w:lang w:val="it-IT"/>
        </w:rPr>
        <w:t>75 UI fino a ottenere la risposta desiderata.</w:t>
      </w:r>
    </w:p>
    <w:p w:rsidR="00791679" w:rsidRPr="00FB01EF" w:rsidRDefault="00791679" w:rsidP="00CC7997">
      <w:pPr>
        <w:numPr>
          <w:ilvl w:val="0"/>
          <w:numId w:val="12"/>
        </w:numPr>
        <w:tabs>
          <w:tab w:val="left" w:pos="680"/>
        </w:tabs>
        <w:ind w:left="567" w:hanging="567"/>
        <w:rPr>
          <w:szCs w:val="22"/>
          <w:lang w:val="it-IT"/>
        </w:rPr>
      </w:pPr>
      <w:r w:rsidRPr="00FB01EF">
        <w:rPr>
          <w:szCs w:val="22"/>
          <w:lang w:val="it-IT"/>
        </w:rPr>
        <w:t xml:space="preserve">Quando ottiene la risposta desiderata, le verrà somministrata </w:t>
      </w:r>
      <w:r w:rsidR="005A1E09" w:rsidRPr="00FB01EF">
        <w:rPr>
          <w:szCs w:val="22"/>
          <w:lang w:val="it-IT"/>
        </w:rPr>
        <w:t>hCG o r</w:t>
      </w:r>
      <w:r w:rsidR="00434797" w:rsidRPr="00FB01EF">
        <w:rPr>
          <w:szCs w:val="22"/>
          <w:lang w:val="it-IT"/>
        </w:rPr>
        <w:noBreakHyphen/>
      </w:r>
      <w:r w:rsidR="005A1E09" w:rsidRPr="00FB01EF">
        <w:rPr>
          <w:szCs w:val="22"/>
          <w:lang w:val="it-IT"/>
        </w:rPr>
        <w:t>HCG. La singola iniezione sarà di 250 microgrammi di r</w:t>
      </w:r>
      <w:r w:rsidR="00434797" w:rsidRPr="00FB01EF">
        <w:rPr>
          <w:szCs w:val="22"/>
          <w:lang w:val="it-IT"/>
        </w:rPr>
        <w:noBreakHyphen/>
      </w:r>
      <w:r w:rsidR="005A1E09" w:rsidRPr="00FB01EF">
        <w:rPr>
          <w:szCs w:val="22"/>
          <w:lang w:val="it-IT"/>
        </w:rPr>
        <w:t>HCG o di</w:t>
      </w:r>
      <w:r w:rsidRPr="00FB01EF">
        <w:rPr>
          <w:szCs w:val="22"/>
          <w:lang w:val="it-IT"/>
        </w:rPr>
        <w:t xml:space="preserve"> 5.000</w:t>
      </w:r>
      <w:r w:rsidR="00434797" w:rsidRPr="00FB01EF">
        <w:rPr>
          <w:szCs w:val="22"/>
          <w:lang w:val="it-IT"/>
        </w:rPr>
        <w:noBreakHyphen/>
      </w:r>
      <w:r w:rsidRPr="00FB01EF">
        <w:rPr>
          <w:szCs w:val="22"/>
          <w:lang w:val="it-IT"/>
        </w:rPr>
        <w:t>10.000 UI di hCG, 24</w:t>
      </w:r>
      <w:r w:rsidR="00434797" w:rsidRPr="00FB01EF">
        <w:rPr>
          <w:szCs w:val="22"/>
          <w:lang w:val="it-IT"/>
        </w:rPr>
        <w:noBreakHyphen/>
      </w:r>
      <w:r w:rsidRPr="00FB01EF">
        <w:rPr>
          <w:szCs w:val="22"/>
          <w:lang w:val="it-IT"/>
        </w:rPr>
        <w:t>48 ore dopo l’ultima iniezione di Ovaleap e lutropina alfa. I giorni più indicati per i rapporti sessuali sono il giorno dell’iniezione di hCG e il giorno successivo. In alternativa può essere effettuata un’inseminazione intrauterina, con deposizione dello sperma direttamente nell’utero</w:t>
      </w:r>
      <w:r w:rsidR="00434797" w:rsidRPr="00FB01EF">
        <w:rPr>
          <w:szCs w:val="22"/>
          <w:lang w:val="it-IT"/>
        </w:rPr>
        <w:t>.</w:t>
      </w:r>
    </w:p>
    <w:p w:rsidR="005A1E09" w:rsidRPr="00FB01EF" w:rsidRDefault="005A1E09" w:rsidP="006B6DDF">
      <w:pPr>
        <w:ind w:right="-20"/>
        <w:rPr>
          <w:szCs w:val="22"/>
          <w:lang w:val="it-IT"/>
        </w:rPr>
      </w:pPr>
    </w:p>
    <w:p w:rsidR="005A1E09" w:rsidRPr="00FB01EF" w:rsidRDefault="005A1E09" w:rsidP="006B6DDF">
      <w:pPr>
        <w:ind w:right="-20"/>
        <w:rPr>
          <w:szCs w:val="22"/>
          <w:lang w:val="it-IT"/>
        </w:rPr>
      </w:pPr>
      <w:r w:rsidRPr="00FB01EF">
        <w:rPr>
          <w:szCs w:val="22"/>
          <w:lang w:val="it-IT"/>
        </w:rPr>
        <w:t xml:space="preserve">Se il medico non osserva la risposta desiderata dopo 5 settimane, quel ciclo di trattamento deve essere interrotto. Nel ciclo di trattamento successivo, il medico le somministrerà una dose iniziale maggiore di </w:t>
      </w:r>
      <w:r w:rsidR="00094D8D" w:rsidRPr="00FB01EF">
        <w:rPr>
          <w:szCs w:val="22"/>
          <w:lang w:val="it-IT"/>
        </w:rPr>
        <w:t>questo medicinale</w:t>
      </w:r>
      <w:r w:rsidRPr="00FB01EF">
        <w:rPr>
          <w:szCs w:val="22"/>
          <w:lang w:val="it-IT"/>
        </w:rPr>
        <w:t>.</w:t>
      </w:r>
    </w:p>
    <w:p w:rsidR="005A1E09" w:rsidRPr="00FB01EF" w:rsidRDefault="005A1E09" w:rsidP="006B6DDF">
      <w:pPr>
        <w:ind w:right="-20"/>
        <w:rPr>
          <w:szCs w:val="22"/>
          <w:lang w:val="it-IT"/>
        </w:rPr>
      </w:pPr>
    </w:p>
    <w:p w:rsidR="005A1E09" w:rsidRPr="00FB01EF" w:rsidRDefault="005A1E09" w:rsidP="006B6DDF">
      <w:pPr>
        <w:ind w:right="-20"/>
        <w:rPr>
          <w:szCs w:val="22"/>
          <w:lang w:val="it-IT"/>
        </w:rPr>
      </w:pPr>
      <w:r w:rsidRPr="00FB01EF">
        <w:rPr>
          <w:szCs w:val="22"/>
          <w:lang w:val="it-IT"/>
        </w:rPr>
        <w:t>Se si ottiene una risposta eccessiva, si deve interrompere il trattamento con Ovaleap e rinunciare alla somministrazione di hCG [vedere anche paragrafo</w:t>
      </w:r>
      <w:r w:rsidR="00434797" w:rsidRPr="00FB01EF">
        <w:rPr>
          <w:szCs w:val="22"/>
          <w:lang w:val="it-IT"/>
        </w:rPr>
        <w:t> </w:t>
      </w:r>
      <w:r w:rsidRPr="00FB01EF">
        <w:rPr>
          <w:szCs w:val="22"/>
          <w:lang w:val="it-IT"/>
        </w:rPr>
        <w:t xml:space="preserve">2, “Sindrome da iperstimolazione ovarica </w:t>
      </w:r>
      <w:r w:rsidR="00E046A9" w:rsidRPr="00FB01EF">
        <w:rPr>
          <w:noProof/>
          <w:szCs w:val="22"/>
          <w:lang w:val="it-IT"/>
        </w:rPr>
        <w:t>–(</w:t>
      </w:r>
      <w:r w:rsidRPr="00FB01EF">
        <w:rPr>
          <w:szCs w:val="22"/>
          <w:lang w:val="it-IT"/>
        </w:rPr>
        <w:t>OHSS)</w:t>
      </w:r>
      <w:r w:rsidR="00E046A9" w:rsidRPr="00FB01EF">
        <w:rPr>
          <w:szCs w:val="22"/>
          <w:lang w:val="it-IT"/>
        </w:rPr>
        <w:t>”</w:t>
      </w:r>
      <w:r w:rsidRPr="00FB01EF">
        <w:rPr>
          <w:szCs w:val="22"/>
          <w:lang w:val="it-IT"/>
        </w:rPr>
        <w:t>]. Nel ciclo successivo il trattamento deve essere ripreso con una dose di Ovaleap più bassa.</w:t>
      </w:r>
    </w:p>
    <w:p w:rsidR="00791679" w:rsidRPr="00FB01EF" w:rsidRDefault="00791679" w:rsidP="006B6DDF">
      <w:pPr>
        <w:ind w:right="-20"/>
        <w:rPr>
          <w:bCs/>
          <w:szCs w:val="22"/>
          <w:u w:val="single"/>
          <w:lang w:val="it-IT"/>
        </w:rPr>
      </w:pPr>
    </w:p>
    <w:p w:rsidR="00865AF6" w:rsidRPr="00FB01EF" w:rsidRDefault="00865AF6" w:rsidP="00467FD4">
      <w:pPr>
        <w:keepNext/>
        <w:keepLines/>
        <w:ind w:right="-20"/>
        <w:rPr>
          <w:szCs w:val="22"/>
          <w:u w:val="single"/>
          <w:lang w:val="it-IT"/>
        </w:rPr>
      </w:pPr>
      <w:r w:rsidRPr="00FB01EF">
        <w:rPr>
          <w:bCs/>
          <w:szCs w:val="22"/>
          <w:u w:val="single"/>
          <w:lang w:val="it-IT"/>
        </w:rPr>
        <w:t>Uomini</w:t>
      </w:r>
    </w:p>
    <w:p w:rsidR="00865AF6" w:rsidRPr="00FB01EF" w:rsidRDefault="00865AF6" w:rsidP="00CC7997">
      <w:pPr>
        <w:keepNext/>
        <w:keepLines/>
        <w:numPr>
          <w:ilvl w:val="0"/>
          <w:numId w:val="13"/>
        </w:numPr>
        <w:tabs>
          <w:tab w:val="left" w:pos="680"/>
        </w:tabs>
        <w:ind w:left="567" w:hanging="567"/>
        <w:rPr>
          <w:szCs w:val="22"/>
          <w:lang w:val="it-IT"/>
        </w:rPr>
      </w:pPr>
      <w:r w:rsidRPr="00FB01EF">
        <w:rPr>
          <w:szCs w:val="22"/>
          <w:lang w:val="it-IT"/>
        </w:rPr>
        <w:t xml:space="preserve">La dose abituale di </w:t>
      </w:r>
      <w:r w:rsidR="00094D8D" w:rsidRPr="00FB01EF">
        <w:rPr>
          <w:szCs w:val="22"/>
          <w:lang w:val="it-IT"/>
        </w:rPr>
        <w:t>questo medicinale</w:t>
      </w:r>
      <w:r w:rsidRPr="00FB01EF">
        <w:rPr>
          <w:szCs w:val="22"/>
          <w:lang w:val="it-IT"/>
        </w:rPr>
        <w:t xml:space="preserve"> è di </w:t>
      </w:r>
      <w:r w:rsidR="005A1E09" w:rsidRPr="00FB01EF">
        <w:rPr>
          <w:szCs w:val="22"/>
          <w:lang w:val="it-IT"/>
        </w:rPr>
        <w:t>150 </w:t>
      </w:r>
      <w:r w:rsidRPr="00FB01EF">
        <w:rPr>
          <w:szCs w:val="22"/>
          <w:lang w:val="it-IT"/>
        </w:rPr>
        <w:t>UI insieme all’hCG.</w:t>
      </w:r>
    </w:p>
    <w:p w:rsidR="00865AF6" w:rsidRPr="00FB01EF" w:rsidRDefault="00865AF6" w:rsidP="00CC7997">
      <w:pPr>
        <w:numPr>
          <w:ilvl w:val="0"/>
          <w:numId w:val="13"/>
        </w:numPr>
        <w:tabs>
          <w:tab w:val="left" w:pos="680"/>
        </w:tabs>
        <w:ind w:left="567" w:hanging="567"/>
        <w:rPr>
          <w:szCs w:val="22"/>
          <w:lang w:val="it-IT"/>
        </w:rPr>
      </w:pPr>
      <w:r w:rsidRPr="00FB01EF">
        <w:rPr>
          <w:szCs w:val="22"/>
          <w:lang w:val="it-IT"/>
        </w:rPr>
        <w:t xml:space="preserve">Dovrà usare questi due medicinali tre volte alla settimana per almeno </w:t>
      </w:r>
      <w:r w:rsidR="005A1E09" w:rsidRPr="00FB01EF">
        <w:rPr>
          <w:szCs w:val="22"/>
          <w:lang w:val="it-IT"/>
        </w:rPr>
        <w:t>4 </w:t>
      </w:r>
      <w:r w:rsidRPr="00FB01EF">
        <w:rPr>
          <w:szCs w:val="22"/>
          <w:lang w:val="it-IT"/>
        </w:rPr>
        <w:t>mesi.</w:t>
      </w:r>
    </w:p>
    <w:p w:rsidR="00865AF6" w:rsidRPr="00FB01EF" w:rsidRDefault="00865AF6" w:rsidP="00CC7997">
      <w:pPr>
        <w:numPr>
          <w:ilvl w:val="0"/>
          <w:numId w:val="13"/>
        </w:numPr>
        <w:tabs>
          <w:tab w:val="left" w:pos="680"/>
        </w:tabs>
        <w:ind w:left="567" w:hanging="567"/>
        <w:rPr>
          <w:szCs w:val="22"/>
          <w:lang w:val="it-IT"/>
        </w:rPr>
      </w:pPr>
      <w:r w:rsidRPr="00FB01EF">
        <w:rPr>
          <w:szCs w:val="22"/>
          <w:lang w:val="it-IT"/>
        </w:rPr>
        <w:t xml:space="preserve">Se, dopo </w:t>
      </w:r>
      <w:r w:rsidR="005A1E09" w:rsidRPr="00FB01EF">
        <w:rPr>
          <w:szCs w:val="22"/>
          <w:lang w:val="it-IT"/>
        </w:rPr>
        <w:t>4 </w:t>
      </w:r>
      <w:r w:rsidRPr="00FB01EF">
        <w:rPr>
          <w:szCs w:val="22"/>
          <w:lang w:val="it-IT"/>
        </w:rPr>
        <w:t xml:space="preserve">mesi, non avrà risposto al trattamento, il medico potrà suggerire di proseguire l’uso dei due medicinali per almeno </w:t>
      </w:r>
      <w:r w:rsidR="005A1E09" w:rsidRPr="00FB01EF">
        <w:rPr>
          <w:szCs w:val="22"/>
          <w:lang w:val="it-IT"/>
        </w:rPr>
        <w:t>18 </w:t>
      </w:r>
      <w:r w:rsidRPr="00FB01EF">
        <w:rPr>
          <w:szCs w:val="22"/>
          <w:lang w:val="it-IT"/>
        </w:rPr>
        <w:t>mesi.</w:t>
      </w:r>
    </w:p>
    <w:p w:rsidR="005A1E09" w:rsidRPr="00FB01EF" w:rsidRDefault="005A1E09" w:rsidP="006B6DDF">
      <w:pPr>
        <w:numPr>
          <w:ilvl w:val="12"/>
          <w:numId w:val="0"/>
        </w:numPr>
        <w:tabs>
          <w:tab w:val="clear" w:pos="567"/>
        </w:tabs>
        <w:ind w:left="567" w:right="-2" w:hanging="567"/>
        <w:rPr>
          <w:szCs w:val="22"/>
          <w:lang w:val="it-IT"/>
        </w:rPr>
      </w:pPr>
    </w:p>
    <w:p w:rsidR="005A1E09" w:rsidRPr="00FB01EF" w:rsidRDefault="005A1E09" w:rsidP="006B6DDF">
      <w:pPr>
        <w:numPr>
          <w:ilvl w:val="12"/>
          <w:numId w:val="0"/>
        </w:numPr>
        <w:tabs>
          <w:tab w:val="clear" w:pos="567"/>
        </w:tabs>
        <w:ind w:left="567" w:right="-2" w:hanging="567"/>
        <w:rPr>
          <w:b/>
          <w:szCs w:val="22"/>
          <w:lang w:val="it-IT"/>
        </w:rPr>
      </w:pPr>
      <w:r w:rsidRPr="00FB01EF">
        <w:rPr>
          <w:b/>
          <w:szCs w:val="22"/>
          <w:lang w:val="it-IT"/>
        </w:rPr>
        <w:t>Come vengono praticate le iniezioni?</w:t>
      </w:r>
    </w:p>
    <w:p w:rsidR="005A1E09" w:rsidRPr="00FB01EF" w:rsidRDefault="005A1E09" w:rsidP="00F97DD8">
      <w:pPr>
        <w:numPr>
          <w:ilvl w:val="12"/>
          <w:numId w:val="0"/>
        </w:numPr>
        <w:tabs>
          <w:tab w:val="clear" w:pos="567"/>
        </w:tabs>
        <w:ind w:right="-2"/>
        <w:rPr>
          <w:szCs w:val="22"/>
          <w:lang w:val="it-IT"/>
        </w:rPr>
      </w:pPr>
      <w:r w:rsidRPr="00FB01EF">
        <w:rPr>
          <w:szCs w:val="22"/>
          <w:lang w:val="it-IT"/>
        </w:rPr>
        <w:t xml:space="preserve">Questo medicinale è somministrato </w:t>
      </w:r>
      <w:r w:rsidR="009370B2" w:rsidRPr="00FB01EF">
        <w:rPr>
          <w:szCs w:val="22"/>
          <w:lang w:val="it-IT"/>
        </w:rPr>
        <w:t xml:space="preserve">tramite iniezione nel tessuto che si trova direttamente sotto la pelle (iniezione sottocutanea) </w:t>
      </w:r>
      <w:r w:rsidRPr="00FB01EF">
        <w:rPr>
          <w:szCs w:val="22"/>
          <w:lang w:val="it-IT"/>
        </w:rPr>
        <w:t>usando Ovaleap</w:t>
      </w:r>
      <w:r w:rsidR="00873F98" w:rsidRPr="00FB01EF">
        <w:rPr>
          <w:szCs w:val="22"/>
          <w:lang w:val="it-IT"/>
        </w:rPr>
        <w:t xml:space="preserve"> Pen</w:t>
      </w:r>
      <w:r w:rsidRPr="00FB01EF">
        <w:rPr>
          <w:szCs w:val="22"/>
          <w:lang w:val="it-IT"/>
        </w:rPr>
        <w:t xml:space="preserve">. Ovaleap </w:t>
      </w:r>
      <w:r w:rsidR="00873F98" w:rsidRPr="00FB01EF">
        <w:rPr>
          <w:szCs w:val="22"/>
          <w:lang w:val="it-IT"/>
        </w:rPr>
        <w:t xml:space="preserve">Pen </w:t>
      </w:r>
      <w:r w:rsidRPr="00FB01EF">
        <w:rPr>
          <w:szCs w:val="22"/>
          <w:lang w:val="it-IT"/>
        </w:rPr>
        <w:t xml:space="preserve">è un dispositivo </w:t>
      </w:r>
      <w:r w:rsidR="00094D8D" w:rsidRPr="00FB01EF">
        <w:rPr>
          <w:szCs w:val="22"/>
          <w:lang w:val="it-IT"/>
        </w:rPr>
        <w:t xml:space="preserve">(una “penna”) </w:t>
      </w:r>
      <w:r w:rsidRPr="00FB01EF">
        <w:rPr>
          <w:szCs w:val="22"/>
          <w:lang w:val="it-IT"/>
        </w:rPr>
        <w:t>usato per praticare ini</w:t>
      </w:r>
      <w:r w:rsidR="00083BDF" w:rsidRPr="00FB01EF">
        <w:rPr>
          <w:szCs w:val="22"/>
          <w:lang w:val="it-IT"/>
        </w:rPr>
        <w:t>e</w:t>
      </w:r>
      <w:r w:rsidRPr="00FB01EF">
        <w:rPr>
          <w:szCs w:val="22"/>
          <w:lang w:val="it-IT"/>
        </w:rPr>
        <w:t>zioni</w:t>
      </w:r>
      <w:r w:rsidR="00EA06BB" w:rsidRPr="00FB01EF">
        <w:rPr>
          <w:szCs w:val="22"/>
          <w:lang w:val="it-IT"/>
        </w:rPr>
        <w:t xml:space="preserve"> </w:t>
      </w:r>
      <w:r w:rsidR="00EA06BB" w:rsidRPr="00FB01EF">
        <w:rPr>
          <w:noProof/>
          <w:szCs w:val="22"/>
          <w:lang w:val="it-IT"/>
        </w:rPr>
        <w:t>nel tessuto situato direttamente sotto la pelle</w:t>
      </w:r>
      <w:r w:rsidRPr="00FB01EF">
        <w:rPr>
          <w:szCs w:val="22"/>
          <w:lang w:val="it-IT"/>
        </w:rPr>
        <w:t>.</w:t>
      </w:r>
    </w:p>
    <w:p w:rsidR="005A1E09" w:rsidRPr="00FB01EF" w:rsidRDefault="005A1E09" w:rsidP="00F97DD8">
      <w:pPr>
        <w:numPr>
          <w:ilvl w:val="12"/>
          <w:numId w:val="0"/>
        </w:numPr>
        <w:tabs>
          <w:tab w:val="clear" w:pos="567"/>
        </w:tabs>
        <w:ind w:right="-2"/>
        <w:rPr>
          <w:szCs w:val="22"/>
          <w:lang w:val="it-IT"/>
        </w:rPr>
      </w:pPr>
    </w:p>
    <w:p w:rsidR="00EA06BB" w:rsidRPr="00FB01EF" w:rsidRDefault="005A1E09" w:rsidP="00F97DD8">
      <w:pPr>
        <w:numPr>
          <w:ilvl w:val="12"/>
          <w:numId w:val="0"/>
        </w:numPr>
        <w:tabs>
          <w:tab w:val="clear" w:pos="567"/>
        </w:tabs>
        <w:ind w:right="-2"/>
        <w:rPr>
          <w:szCs w:val="22"/>
          <w:lang w:val="it-IT"/>
        </w:rPr>
      </w:pPr>
      <w:r w:rsidRPr="00FB01EF">
        <w:rPr>
          <w:szCs w:val="22"/>
          <w:lang w:val="it-IT"/>
        </w:rPr>
        <w:t xml:space="preserve">Il medico potrebbe suggerirle di imparare a iniettarsi da solo il medicinale. Il medico o l’infermiere le </w:t>
      </w:r>
      <w:r w:rsidR="00083BDF" w:rsidRPr="00FB01EF">
        <w:rPr>
          <w:szCs w:val="22"/>
          <w:lang w:val="it-IT"/>
        </w:rPr>
        <w:t>daranno istruzioni su come fare</w:t>
      </w:r>
      <w:r w:rsidRPr="00FB01EF">
        <w:rPr>
          <w:szCs w:val="22"/>
          <w:lang w:val="it-IT"/>
        </w:rPr>
        <w:t xml:space="preserve"> e potrà anche trovare i</w:t>
      </w:r>
      <w:r w:rsidR="00083BDF" w:rsidRPr="00FB01EF">
        <w:rPr>
          <w:szCs w:val="22"/>
          <w:lang w:val="it-IT"/>
        </w:rPr>
        <w:t>ndicazioni</w:t>
      </w:r>
      <w:r w:rsidRPr="00FB01EF">
        <w:rPr>
          <w:szCs w:val="22"/>
          <w:lang w:val="it-IT"/>
        </w:rPr>
        <w:t xml:space="preserve"> nelle istruzioni </w:t>
      </w:r>
      <w:r w:rsidR="00083BDF" w:rsidRPr="00FB01EF">
        <w:rPr>
          <w:szCs w:val="22"/>
          <w:lang w:val="it-IT"/>
        </w:rPr>
        <w:t>fornite separatamente</w:t>
      </w:r>
      <w:r w:rsidRPr="00FB01EF">
        <w:rPr>
          <w:szCs w:val="22"/>
          <w:lang w:val="it-IT"/>
        </w:rPr>
        <w:t xml:space="preserve"> per l’uso della penna. Non tenti di autosomministrarsi </w:t>
      </w:r>
      <w:r w:rsidR="009370B2" w:rsidRPr="00FB01EF">
        <w:rPr>
          <w:szCs w:val="22"/>
          <w:lang w:val="it-IT"/>
        </w:rPr>
        <w:t>questo medicinale</w:t>
      </w:r>
      <w:r w:rsidRPr="00FB01EF">
        <w:rPr>
          <w:szCs w:val="22"/>
          <w:lang w:val="it-IT"/>
        </w:rPr>
        <w:t xml:space="preserve"> senza </w:t>
      </w:r>
      <w:r w:rsidR="00083BDF" w:rsidRPr="00FB01EF">
        <w:rPr>
          <w:szCs w:val="22"/>
          <w:lang w:val="it-IT"/>
        </w:rPr>
        <w:t>aver seguito una formazione con</w:t>
      </w:r>
      <w:r w:rsidRPr="00FB01EF">
        <w:rPr>
          <w:szCs w:val="22"/>
          <w:lang w:val="it-IT"/>
        </w:rPr>
        <w:t xml:space="preserve"> </w:t>
      </w:r>
      <w:r w:rsidR="00083BDF" w:rsidRPr="00FB01EF">
        <w:rPr>
          <w:szCs w:val="22"/>
          <w:lang w:val="it-IT"/>
        </w:rPr>
        <w:t xml:space="preserve">il medico o </w:t>
      </w:r>
      <w:r w:rsidRPr="00FB01EF">
        <w:rPr>
          <w:szCs w:val="22"/>
          <w:lang w:val="it-IT"/>
        </w:rPr>
        <w:t xml:space="preserve">l’infermiere. La prima iniezione di </w:t>
      </w:r>
      <w:r w:rsidR="00094D8D" w:rsidRPr="00FB01EF">
        <w:rPr>
          <w:szCs w:val="22"/>
          <w:lang w:val="it-IT"/>
        </w:rPr>
        <w:t>questo medicinale</w:t>
      </w:r>
      <w:r w:rsidRPr="00FB01EF">
        <w:rPr>
          <w:szCs w:val="22"/>
          <w:lang w:val="it-IT"/>
        </w:rPr>
        <w:t xml:space="preserve"> deve essere praticata solo in presenza di un medico o di un infermiere. </w:t>
      </w:r>
    </w:p>
    <w:p w:rsidR="00EA06BB" w:rsidRPr="00FB01EF" w:rsidRDefault="00EA06BB" w:rsidP="00F97DD8">
      <w:pPr>
        <w:numPr>
          <w:ilvl w:val="12"/>
          <w:numId w:val="0"/>
        </w:numPr>
        <w:tabs>
          <w:tab w:val="clear" w:pos="567"/>
        </w:tabs>
        <w:ind w:right="-2"/>
        <w:rPr>
          <w:szCs w:val="22"/>
          <w:lang w:val="it-IT"/>
        </w:rPr>
      </w:pPr>
    </w:p>
    <w:p w:rsidR="005A1E09" w:rsidRPr="00FB01EF" w:rsidRDefault="005A1E09" w:rsidP="00F97DD8">
      <w:pPr>
        <w:numPr>
          <w:ilvl w:val="12"/>
          <w:numId w:val="0"/>
        </w:numPr>
        <w:tabs>
          <w:tab w:val="clear" w:pos="567"/>
        </w:tabs>
        <w:ind w:right="-2"/>
        <w:rPr>
          <w:szCs w:val="22"/>
          <w:lang w:val="it-IT"/>
        </w:rPr>
      </w:pPr>
      <w:r w:rsidRPr="00FB01EF">
        <w:rPr>
          <w:szCs w:val="22"/>
          <w:lang w:val="it-IT"/>
        </w:rPr>
        <w:t>La soluzione iniettabile in cartucce Ovaleap è stata progettata per l’uso con Ovaleap</w:t>
      </w:r>
      <w:r w:rsidR="00873F98" w:rsidRPr="00FB01EF">
        <w:rPr>
          <w:szCs w:val="22"/>
          <w:lang w:val="it-IT"/>
        </w:rPr>
        <w:t xml:space="preserve"> Pen</w:t>
      </w:r>
      <w:r w:rsidRPr="00FB01EF">
        <w:rPr>
          <w:szCs w:val="22"/>
          <w:lang w:val="it-IT"/>
        </w:rPr>
        <w:t xml:space="preserve">. Deve seguire attentamente le istruzioni </w:t>
      </w:r>
      <w:r w:rsidR="00083BDF" w:rsidRPr="00FB01EF">
        <w:rPr>
          <w:szCs w:val="22"/>
          <w:lang w:val="it-IT"/>
        </w:rPr>
        <w:t>fornite separatamente</w:t>
      </w:r>
      <w:r w:rsidRPr="00FB01EF">
        <w:rPr>
          <w:szCs w:val="22"/>
          <w:lang w:val="it-IT"/>
        </w:rPr>
        <w:t xml:space="preserve"> per l’uso </w:t>
      </w:r>
      <w:r w:rsidR="00873F98" w:rsidRPr="00FB01EF">
        <w:rPr>
          <w:szCs w:val="22"/>
          <w:lang w:val="it-IT"/>
        </w:rPr>
        <w:t>di</w:t>
      </w:r>
      <w:r w:rsidRPr="00FB01EF">
        <w:rPr>
          <w:szCs w:val="22"/>
          <w:lang w:val="it-IT"/>
        </w:rPr>
        <w:t xml:space="preserve"> Ovaleap</w:t>
      </w:r>
      <w:r w:rsidR="00873F98" w:rsidRPr="00FB01EF">
        <w:rPr>
          <w:szCs w:val="22"/>
          <w:lang w:val="it-IT"/>
        </w:rPr>
        <w:t xml:space="preserve"> Pen</w:t>
      </w:r>
      <w:r w:rsidRPr="00FB01EF">
        <w:rPr>
          <w:szCs w:val="22"/>
          <w:lang w:val="it-IT"/>
        </w:rPr>
        <w:t>. Le istruzioni per l’uso della penna sono fornite insieme a Ovaleap</w:t>
      </w:r>
      <w:r w:rsidR="00873F98" w:rsidRPr="00FB01EF">
        <w:rPr>
          <w:szCs w:val="22"/>
          <w:lang w:val="it-IT"/>
        </w:rPr>
        <w:t xml:space="preserve"> Pen</w:t>
      </w:r>
      <w:r w:rsidRPr="00FB01EF">
        <w:rPr>
          <w:szCs w:val="22"/>
          <w:lang w:val="it-IT"/>
        </w:rPr>
        <w:t>. Un trattamento adeguato della sua patologia, comunque, richiede una cooperazione stretta e costante con il medico.</w:t>
      </w:r>
    </w:p>
    <w:p w:rsidR="005A1E09" w:rsidRPr="00FB01EF" w:rsidRDefault="005A1E09" w:rsidP="00F97DD8">
      <w:pPr>
        <w:numPr>
          <w:ilvl w:val="12"/>
          <w:numId w:val="0"/>
        </w:numPr>
        <w:tabs>
          <w:tab w:val="clear" w:pos="567"/>
        </w:tabs>
        <w:ind w:right="-2"/>
        <w:rPr>
          <w:szCs w:val="22"/>
          <w:lang w:val="it-IT"/>
        </w:rPr>
      </w:pPr>
    </w:p>
    <w:p w:rsidR="00865AF6" w:rsidRPr="00FB01EF" w:rsidRDefault="00083BDF" w:rsidP="006B6DDF">
      <w:pPr>
        <w:numPr>
          <w:ilvl w:val="12"/>
          <w:numId w:val="0"/>
        </w:numPr>
        <w:tabs>
          <w:tab w:val="clear" w:pos="567"/>
        </w:tabs>
        <w:ind w:left="567" w:right="-2" w:hanging="567"/>
        <w:rPr>
          <w:noProof/>
          <w:szCs w:val="22"/>
          <w:lang w:val="it-IT"/>
        </w:rPr>
      </w:pPr>
      <w:r w:rsidRPr="00FB01EF">
        <w:rPr>
          <w:noProof/>
          <w:szCs w:val="22"/>
          <w:lang w:val="it-IT"/>
        </w:rPr>
        <w:t>Elimin</w:t>
      </w:r>
      <w:r w:rsidR="005A1E09" w:rsidRPr="00FB01EF">
        <w:rPr>
          <w:noProof/>
          <w:szCs w:val="22"/>
          <w:lang w:val="it-IT"/>
        </w:rPr>
        <w:t>i gli aghi usati immediatamente dopo l’iniezione.</w:t>
      </w:r>
    </w:p>
    <w:p w:rsidR="005A1E09" w:rsidRPr="00FB01EF" w:rsidRDefault="005A1E09" w:rsidP="006B6DDF">
      <w:pPr>
        <w:numPr>
          <w:ilvl w:val="12"/>
          <w:numId w:val="0"/>
        </w:numPr>
        <w:tabs>
          <w:tab w:val="clear" w:pos="567"/>
        </w:tabs>
        <w:ind w:left="567" w:right="-2" w:hanging="567"/>
        <w:rPr>
          <w:noProof/>
          <w:szCs w:val="22"/>
          <w:lang w:val="it-IT"/>
        </w:rPr>
      </w:pPr>
    </w:p>
    <w:p w:rsidR="00865AF6" w:rsidRPr="00FB01EF" w:rsidRDefault="00865AF6" w:rsidP="00496272">
      <w:pPr>
        <w:numPr>
          <w:ilvl w:val="12"/>
          <w:numId w:val="0"/>
        </w:numPr>
        <w:tabs>
          <w:tab w:val="clear" w:pos="567"/>
        </w:tabs>
        <w:ind w:right="-2"/>
        <w:outlineLvl w:val="0"/>
        <w:rPr>
          <w:b/>
          <w:bCs/>
          <w:szCs w:val="22"/>
          <w:lang w:val="it-IT"/>
        </w:rPr>
      </w:pPr>
      <w:r w:rsidRPr="00FB01EF">
        <w:rPr>
          <w:b/>
          <w:bCs/>
          <w:szCs w:val="22"/>
          <w:lang w:val="it-IT"/>
        </w:rPr>
        <w:t xml:space="preserve">Se usa più </w:t>
      </w:r>
      <w:r w:rsidR="005A1E09" w:rsidRPr="00FB01EF">
        <w:rPr>
          <w:b/>
          <w:bCs/>
          <w:szCs w:val="22"/>
          <w:lang w:val="it-IT"/>
        </w:rPr>
        <w:t>Ovaleap</w:t>
      </w:r>
      <w:r w:rsidRPr="00FB01EF">
        <w:rPr>
          <w:b/>
          <w:bCs/>
          <w:szCs w:val="22"/>
          <w:lang w:val="it-IT"/>
        </w:rPr>
        <w:t xml:space="preserve"> di quanto deve</w:t>
      </w:r>
    </w:p>
    <w:p w:rsidR="009B6496" w:rsidRPr="00FB01EF" w:rsidRDefault="00865AF6" w:rsidP="00496272">
      <w:pPr>
        <w:numPr>
          <w:ilvl w:val="12"/>
          <w:numId w:val="0"/>
        </w:numPr>
        <w:tabs>
          <w:tab w:val="clear" w:pos="567"/>
        </w:tabs>
        <w:ind w:right="-2"/>
        <w:outlineLvl w:val="0"/>
        <w:rPr>
          <w:noProof/>
          <w:szCs w:val="22"/>
          <w:lang w:val="it-IT"/>
        </w:rPr>
      </w:pPr>
      <w:r w:rsidRPr="00FB01EF">
        <w:rPr>
          <w:szCs w:val="22"/>
          <w:lang w:val="it-IT"/>
        </w:rPr>
        <w:t xml:space="preserve">Non sono stati descritti effetti dovuti all’uso di una quantità eccessiva di </w:t>
      </w:r>
      <w:r w:rsidR="00DF5287" w:rsidRPr="00FB01EF">
        <w:rPr>
          <w:szCs w:val="22"/>
          <w:lang w:val="it-IT"/>
        </w:rPr>
        <w:t>Ovaleap</w:t>
      </w:r>
      <w:r w:rsidRPr="00FB01EF">
        <w:rPr>
          <w:szCs w:val="22"/>
          <w:lang w:val="it-IT"/>
        </w:rPr>
        <w:t>; tuttavia potrebbe verificarsi una sindrome da iperstimolazione ovarica (OHSS) come descritto nel paragrafo</w:t>
      </w:r>
      <w:r w:rsidR="00852CA3" w:rsidRPr="00FB01EF">
        <w:rPr>
          <w:szCs w:val="22"/>
          <w:lang w:val="it-IT"/>
        </w:rPr>
        <w:t> </w:t>
      </w:r>
      <w:r w:rsidRPr="00FB01EF">
        <w:rPr>
          <w:szCs w:val="22"/>
          <w:lang w:val="it-IT"/>
        </w:rPr>
        <w:t>4</w:t>
      </w:r>
      <w:r w:rsidR="00DF5287" w:rsidRPr="00FB01EF">
        <w:rPr>
          <w:szCs w:val="22"/>
          <w:lang w:val="it-IT"/>
        </w:rPr>
        <w:t>, “Effetti indesiderati gravi nella donna”</w:t>
      </w:r>
      <w:r w:rsidRPr="00FB01EF">
        <w:rPr>
          <w:szCs w:val="22"/>
          <w:lang w:val="it-IT"/>
        </w:rPr>
        <w:t xml:space="preserve">. Tuttavia, la OHSS potrà verificarsi solo se sarà stato </w:t>
      </w:r>
      <w:r w:rsidR="00DF5287" w:rsidRPr="00FB01EF">
        <w:rPr>
          <w:szCs w:val="22"/>
          <w:lang w:val="it-IT"/>
        </w:rPr>
        <w:t xml:space="preserve">somministrata </w:t>
      </w:r>
      <w:r w:rsidRPr="00FB01EF">
        <w:rPr>
          <w:szCs w:val="22"/>
          <w:lang w:val="it-IT"/>
        </w:rPr>
        <w:t xml:space="preserve">anche hCG </w:t>
      </w:r>
      <w:r w:rsidR="00DF5287" w:rsidRPr="00FB01EF">
        <w:rPr>
          <w:szCs w:val="22"/>
          <w:lang w:val="it-IT"/>
        </w:rPr>
        <w:t>[</w:t>
      </w:r>
      <w:r w:rsidRPr="00FB01EF">
        <w:rPr>
          <w:szCs w:val="22"/>
          <w:lang w:val="it-IT"/>
        </w:rPr>
        <w:t>vedere</w:t>
      </w:r>
      <w:r w:rsidR="00083BDF" w:rsidRPr="00FB01EF">
        <w:rPr>
          <w:szCs w:val="22"/>
          <w:lang w:val="it-IT"/>
        </w:rPr>
        <w:t xml:space="preserve"> </w:t>
      </w:r>
      <w:r w:rsidR="00DF5287" w:rsidRPr="00FB01EF">
        <w:rPr>
          <w:szCs w:val="22"/>
          <w:lang w:val="it-IT"/>
        </w:rPr>
        <w:t>anche</w:t>
      </w:r>
      <w:r w:rsidRPr="00FB01EF">
        <w:rPr>
          <w:szCs w:val="22"/>
          <w:lang w:val="it-IT"/>
        </w:rPr>
        <w:t xml:space="preserve"> paragrafo</w:t>
      </w:r>
      <w:r w:rsidR="00852CA3" w:rsidRPr="00FB01EF">
        <w:rPr>
          <w:szCs w:val="22"/>
          <w:lang w:val="it-IT"/>
        </w:rPr>
        <w:t> </w:t>
      </w:r>
      <w:r w:rsidRPr="00FB01EF">
        <w:rPr>
          <w:szCs w:val="22"/>
          <w:lang w:val="it-IT"/>
        </w:rPr>
        <w:t xml:space="preserve">2, </w:t>
      </w:r>
      <w:r w:rsidR="00DF5287" w:rsidRPr="00FB01EF">
        <w:rPr>
          <w:szCs w:val="22"/>
          <w:lang w:val="it-IT"/>
        </w:rPr>
        <w:t>“Sindrome da iperstimolazione ovarica (</w:t>
      </w:r>
      <w:r w:rsidRPr="00FB01EF">
        <w:rPr>
          <w:szCs w:val="22"/>
          <w:lang w:val="it-IT"/>
        </w:rPr>
        <w:t>OHSS)</w:t>
      </w:r>
      <w:r w:rsidR="00DF5287" w:rsidRPr="00FB01EF">
        <w:rPr>
          <w:szCs w:val="22"/>
          <w:lang w:val="it-IT"/>
        </w:rPr>
        <w:t>”]</w:t>
      </w:r>
      <w:r w:rsidRPr="00FB01EF">
        <w:rPr>
          <w:szCs w:val="22"/>
          <w:lang w:val="it-IT"/>
        </w:rPr>
        <w:t>.</w:t>
      </w:r>
    </w:p>
    <w:p w:rsidR="009B3A8F" w:rsidRPr="00FB01EF" w:rsidRDefault="009B3A8F" w:rsidP="00496272">
      <w:pPr>
        <w:numPr>
          <w:ilvl w:val="12"/>
          <w:numId w:val="0"/>
        </w:numPr>
        <w:tabs>
          <w:tab w:val="clear" w:pos="567"/>
        </w:tabs>
        <w:ind w:right="-2"/>
        <w:outlineLvl w:val="0"/>
        <w:rPr>
          <w:i/>
          <w:noProof/>
          <w:szCs w:val="22"/>
          <w:highlight w:val="yellow"/>
          <w:lang w:val="it-IT"/>
        </w:rPr>
      </w:pPr>
    </w:p>
    <w:p w:rsidR="009B6496" w:rsidRPr="00FB01EF" w:rsidRDefault="00865AF6" w:rsidP="00496272">
      <w:pPr>
        <w:numPr>
          <w:ilvl w:val="12"/>
          <w:numId w:val="0"/>
        </w:numPr>
        <w:tabs>
          <w:tab w:val="clear" w:pos="567"/>
        </w:tabs>
        <w:ind w:right="-2"/>
        <w:outlineLvl w:val="0"/>
        <w:rPr>
          <w:noProof/>
          <w:szCs w:val="22"/>
          <w:lang w:val="it-IT"/>
        </w:rPr>
      </w:pPr>
      <w:r w:rsidRPr="00FB01EF">
        <w:rPr>
          <w:b/>
          <w:bCs/>
          <w:szCs w:val="22"/>
          <w:lang w:val="it-IT"/>
        </w:rPr>
        <w:t xml:space="preserve">Se dimentica di usare </w:t>
      </w:r>
      <w:r w:rsidR="00DF5287" w:rsidRPr="00FB01EF">
        <w:rPr>
          <w:b/>
          <w:bCs/>
          <w:szCs w:val="22"/>
          <w:lang w:val="it-IT"/>
        </w:rPr>
        <w:t>Ovaleap</w:t>
      </w:r>
    </w:p>
    <w:p w:rsidR="009B6496" w:rsidRPr="00FB01EF" w:rsidRDefault="00DF5287" w:rsidP="00496272">
      <w:pPr>
        <w:numPr>
          <w:ilvl w:val="12"/>
          <w:numId w:val="0"/>
        </w:numPr>
        <w:tabs>
          <w:tab w:val="clear" w:pos="567"/>
        </w:tabs>
        <w:ind w:right="-2"/>
        <w:rPr>
          <w:noProof/>
          <w:szCs w:val="22"/>
          <w:lang w:val="it-IT"/>
        </w:rPr>
      </w:pPr>
      <w:r w:rsidRPr="00FB01EF">
        <w:rPr>
          <w:szCs w:val="22"/>
          <w:lang w:val="it-IT"/>
        </w:rPr>
        <w:t>N</w:t>
      </w:r>
      <w:r w:rsidR="00865AF6" w:rsidRPr="00FB01EF">
        <w:rPr>
          <w:szCs w:val="22"/>
          <w:lang w:val="it-IT"/>
        </w:rPr>
        <w:t xml:space="preserve">on </w:t>
      </w:r>
      <w:r w:rsidR="00B76351" w:rsidRPr="00FB01EF">
        <w:rPr>
          <w:szCs w:val="22"/>
          <w:lang w:val="it-IT"/>
        </w:rPr>
        <w:t>usi</w:t>
      </w:r>
      <w:r w:rsidR="00865AF6" w:rsidRPr="00FB01EF">
        <w:rPr>
          <w:szCs w:val="22"/>
          <w:lang w:val="it-IT"/>
        </w:rPr>
        <w:t xml:space="preserve"> una dose doppia per compensare la dimenticanza della dose. Informi il medico non appena si rende conto di aver dimenticato una dose</w:t>
      </w:r>
      <w:r w:rsidR="002D4E3A" w:rsidRPr="00FB01EF">
        <w:rPr>
          <w:noProof/>
          <w:szCs w:val="22"/>
          <w:lang w:val="it-IT"/>
        </w:rPr>
        <w:t>.</w:t>
      </w:r>
    </w:p>
    <w:p w:rsidR="009B6496" w:rsidRPr="00FB01EF" w:rsidRDefault="009B6496" w:rsidP="00496272">
      <w:pPr>
        <w:numPr>
          <w:ilvl w:val="12"/>
          <w:numId w:val="0"/>
        </w:numPr>
        <w:tabs>
          <w:tab w:val="clear" w:pos="567"/>
        </w:tabs>
        <w:ind w:right="-2"/>
        <w:rPr>
          <w:noProof/>
          <w:szCs w:val="22"/>
          <w:highlight w:val="yellow"/>
          <w:lang w:val="it-IT"/>
        </w:rPr>
      </w:pPr>
    </w:p>
    <w:p w:rsidR="009B6496" w:rsidRPr="00FB01EF" w:rsidRDefault="00865AF6" w:rsidP="00496272">
      <w:pPr>
        <w:numPr>
          <w:ilvl w:val="12"/>
          <w:numId w:val="0"/>
        </w:numPr>
        <w:tabs>
          <w:tab w:val="clear" w:pos="567"/>
        </w:tabs>
        <w:ind w:right="-29"/>
        <w:rPr>
          <w:noProof/>
          <w:szCs w:val="22"/>
          <w:lang w:val="it-IT"/>
        </w:rPr>
      </w:pPr>
      <w:r w:rsidRPr="00FB01EF">
        <w:rPr>
          <w:szCs w:val="22"/>
          <w:lang w:val="it-IT"/>
        </w:rPr>
        <w:t>Se ha qualsiasi dubbio sull’uso di questo medicinale, si rivolga al medico</w:t>
      </w:r>
      <w:r w:rsidR="00DF5287" w:rsidRPr="00FB01EF">
        <w:rPr>
          <w:szCs w:val="22"/>
          <w:lang w:val="it-IT"/>
        </w:rPr>
        <w:t xml:space="preserve">, </w:t>
      </w:r>
      <w:r w:rsidRPr="00FB01EF">
        <w:rPr>
          <w:szCs w:val="22"/>
          <w:lang w:val="it-IT"/>
        </w:rPr>
        <w:t>al farmacista</w:t>
      </w:r>
      <w:r w:rsidR="00DF5287" w:rsidRPr="00FB01EF">
        <w:rPr>
          <w:szCs w:val="22"/>
          <w:lang w:val="it-IT"/>
        </w:rPr>
        <w:t xml:space="preserve"> o all’infermiere</w:t>
      </w:r>
      <w:r w:rsidR="00F8730A" w:rsidRPr="00FB01EF">
        <w:rPr>
          <w:noProof/>
          <w:szCs w:val="22"/>
          <w:lang w:val="it-IT"/>
        </w:rPr>
        <w:t>.</w:t>
      </w:r>
    </w:p>
    <w:p w:rsidR="009B6496" w:rsidRPr="00FB01EF" w:rsidRDefault="009B6496" w:rsidP="00496272">
      <w:pPr>
        <w:numPr>
          <w:ilvl w:val="12"/>
          <w:numId w:val="0"/>
        </w:numPr>
        <w:tabs>
          <w:tab w:val="clear" w:pos="567"/>
        </w:tabs>
        <w:rPr>
          <w:noProof/>
          <w:szCs w:val="22"/>
          <w:lang w:val="it-IT"/>
        </w:rPr>
      </w:pPr>
    </w:p>
    <w:p w:rsidR="009B6496" w:rsidRPr="00FB01EF" w:rsidRDefault="009B6496" w:rsidP="00496272">
      <w:pPr>
        <w:numPr>
          <w:ilvl w:val="12"/>
          <w:numId w:val="0"/>
        </w:numPr>
        <w:tabs>
          <w:tab w:val="clear" w:pos="567"/>
        </w:tabs>
        <w:rPr>
          <w:noProof/>
          <w:szCs w:val="22"/>
          <w:lang w:val="it-IT"/>
        </w:rPr>
      </w:pPr>
    </w:p>
    <w:p w:rsidR="009B6496" w:rsidRPr="00FB01EF" w:rsidRDefault="009B6496" w:rsidP="00496272">
      <w:pPr>
        <w:numPr>
          <w:ilvl w:val="12"/>
          <w:numId w:val="0"/>
        </w:numPr>
        <w:tabs>
          <w:tab w:val="clear" w:pos="567"/>
        </w:tabs>
        <w:ind w:left="567" w:right="-2" w:hanging="567"/>
        <w:rPr>
          <w:noProof/>
          <w:szCs w:val="22"/>
          <w:lang w:val="it-IT"/>
        </w:rPr>
      </w:pPr>
      <w:bookmarkStart w:id="3" w:name="OLE_LINK6"/>
      <w:bookmarkStart w:id="4" w:name="OLE_LINK7"/>
      <w:r w:rsidRPr="00FB01EF">
        <w:rPr>
          <w:b/>
          <w:noProof/>
          <w:szCs w:val="22"/>
          <w:lang w:val="it-IT"/>
        </w:rPr>
        <w:t>4.</w:t>
      </w:r>
      <w:r w:rsidRPr="00FB01EF">
        <w:rPr>
          <w:b/>
          <w:noProof/>
          <w:szCs w:val="22"/>
          <w:lang w:val="it-IT"/>
        </w:rPr>
        <w:tab/>
      </w:r>
      <w:r w:rsidR="00DF5287" w:rsidRPr="00FB01EF">
        <w:rPr>
          <w:b/>
          <w:bCs/>
          <w:szCs w:val="22"/>
          <w:lang w:val="it-IT"/>
        </w:rPr>
        <w:t>Possibili effetti indesiderati</w:t>
      </w:r>
    </w:p>
    <w:bookmarkEnd w:id="3"/>
    <w:bookmarkEnd w:id="4"/>
    <w:p w:rsidR="009B6496" w:rsidRPr="00FB01EF" w:rsidRDefault="009B6496" w:rsidP="00496272">
      <w:pPr>
        <w:numPr>
          <w:ilvl w:val="12"/>
          <w:numId w:val="0"/>
        </w:numPr>
        <w:tabs>
          <w:tab w:val="clear" w:pos="567"/>
        </w:tabs>
        <w:rPr>
          <w:noProof/>
          <w:szCs w:val="22"/>
          <w:lang w:val="it-IT"/>
        </w:rPr>
      </w:pPr>
    </w:p>
    <w:p w:rsidR="009B6496" w:rsidRPr="00FB01EF" w:rsidRDefault="00865AF6" w:rsidP="00496272">
      <w:pPr>
        <w:numPr>
          <w:ilvl w:val="12"/>
          <w:numId w:val="0"/>
        </w:numPr>
        <w:tabs>
          <w:tab w:val="clear" w:pos="567"/>
        </w:tabs>
        <w:ind w:right="-29"/>
        <w:rPr>
          <w:noProof/>
          <w:szCs w:val="22"/>
          <w:lang w:val="it-IT"/>
        </w:rPr>
      </w:pPr>
      <w:r w:rsidRPr="00FB01EF">
        <w:rPr>
          <w:szCs w:val="22"/>
          <w:lang w:val="it-IT"/>
        </w:rPr>
        <w:t xml:space="preserve">Come tutti i medicinali, </w:t>
      </w:r>
      <w:r w:rsidR="00DF5287" w:rsidRPr="00FB01EF">
        <w:rPr>
          <w:szCs w:val="22"/>
          <w:lang w:val="it-IT"/>
        </w:rPr>
        <w:t>questo medicinale</w:t>
      </w:r>
      <w:r w:rsidRPr="00FB01EF">
        <w:rPr>
          <w:szCs w:val="22"/>
          <w:lang w:val="it-IT"/>
        </w:rPr>
        <w:t xml:space="preserve"> può causare effetti indesiderati sebbene non tutte le persone li manifestino</w:t>
      </w:r>
      <w:r w:rsidR="009B6496" w:rsidRPr="00FB01EF">
        <w:rPr>
          <w:noProof/>
          <w:szCs w:val="22"/>
          <w:lang w:val="it-IT"/>
        </w:rPr>
        <w:t>.</w:t>
      </w:r>
    </w:p>
    <w:p w:rsidR="009B6496" w:rsidRPr="00FB01EF" w:rsidRDefault="009B6496" w:rsidP="00496272">
      <w:pPr>
        <w:numPr>
          <w:ilvl w:val="12"/>
          <w:numId w:val="0"/>
        </w:numPr>
        <w:tabs>
          <w:tab w:val="clear" w:pos="567"/>
        </w:tabs>
        <w:ind w:right="-29"/>
        <w:rPr>
          <w:noProof/>
          <w:szCs w:val="22"/>
          <w:lang w:val="it-IT"/>
        </w:rPr>
      </w:pPr>
    </w:p>
    <w:p w:rsidR="00865AF6" w:rsidRPr="00FB01EF" w:rsidRDefault="00DF5287" w:rsidP="00CA2F0A">
      <w:pPr>
        <w:keepNext/>
        <w:numPr>
          <w:ilvl w:val="12"/>
          <w:numId w:val="0"/>
        </w:numPr>
        <w:tabs>
          <w:tab w:val="clear" w:pos="567"/>
        </w:tabs>
        <w:ind w:right="-28"/>
        <w:rPr>
          <w:b/>
          <w:noProof/>
          <w:szCs w:val="22"/>
          <w:lang w:val="it-IT"/>
        </w:rPr>
      </w:pPr>
      <w:r w:rsidRPr="00FB01EF">
        <w:rPr>
          <w:b/>
          <w:noProof/>
          <w:szCs w:val="22"/>
          <w:lang w:val="it-IT"/>
        </w:rPr>
        <w:t>Effetti indesiderati importanti</w:t>
      </w:r>
    </w:p>
    <w:p w:rsidR="00DF5287" w:rsidRPr="00FB01EF" w:rsidRDefault="00DF5287" w:rsidP="00496272">
      <w:pPr>
        <w:numPr>
          <w:ilvl w:val="12"/>
          <w:numId w:val="0"/>
        </w:numPr>
        <w:tabs>
          <w:tab w:val="clear" w:pos="567"/>
        </w:tabs>
        <w:ind w:right="-29"/>
        <w:rPr>
          <w:noProof/>
          <w:szCs w:val="22"/>
          <w:lang w:val="it-IT"/>
        </w:rPr>
      </w:pPr>
    </w:p>
    <w:p w:rsidR="00DC5A3E" w:rsidRPr="00FB01EF" w:rsidRDefault="00865AF6" w:rsidP="00496272">
      <w:pPr>
        <w:numPr>
          <w:ilvl w:val="12"/>
          <w:numId w:val="0"/>
        </w:numPr>
        <w:tabs>
          <w:tab w:val="clear" w:pos="567"/>
        </w:tabs>
        <w:ind w:right="-29"/>
        <w:rPr>
          <w:bCs/>
          <w:szCs w:val="22"/>
          <w:u w:val="single"/>
          <w:lang w:val="it-IT"/>
        </w:rPr>
      </w:pPr>
      <w:r w:rsidRPr="00FB01EF">
        <w:rPr>
          <w:bCs/>
          <w:szCs w:val="22"/>
          <w:u w:val="single"/>
          <w:lang w:val="it-IT"/>
        </w:rPr>
        <w:t xml:space="preserve">Effetti indesiderati gravi </w:t>
      </w:r>
      <w:r w:rsidR="00DF5287" w:rsidRPr="00FB01EF">
        <w:rPr>
          <w:bCs/>
          <w:szCs w:val="22"/>
          <w:u w:val="single"/>
          <w:lang w:val="it-IT"/>
        </w:rPr>
        <w:t>ne</w:t>
      </w:r>
      <w:r w:rsidR="006439D9" w:rsidRPr="00FB01EF">
        <w:rPr>
          <w:bCs/>
          <w:szCs w:val="22"/>
          <w:u w:val="single"/>
          <w:lang w:val="it-IT"/>
        </w:rPr>
        <w:t>gli uomini</w:t>
      </w:r>
      <w:r w:rsidR="00DF5287" w:rsidRPr="00FB01EF">
        <w:rPr>
          <w:bCs/>
          <w:szCs w:val="22"/>
          <w:u w:val="single"/>
          <w:lang w:val="it-IT"/>
        </w:rPr>
        <w:t xml:space="preserve"> e </w:t>
      </w:r>
      <w:r w:rsidRPr="00FB01EF">
        <w:rPr>
          <w:bCs/>
          <w:szCs w:val="22"/>
          <w:u w:val="single"/>
          <w:lang w:val="it-IT"/>
        </w:rPr>
        <w:t>nell</w:t>
      </w:r>
      <w:r w:rsidR="006439D9" w:rsidRPr="00FB01EF">
        <w:rPr>
          <w:bCs/>
          <w:szCs w:val="22"/>
          <w:u w:val="single"/>
          <w:lang w:val="it-IT"/>
        </w:rPr>
        <w:t>e</w:t>
      </w:r>
      <w:r w:rsidRPr="00FB01EF">
        <w:rPr>
          <w:bCs/>
          <w:szCs w:val="22"/>
          <w:u w:val="single"/>
          <w:lang w:val="it-IT"/>
        </w:rPr>
        <w:t xml:space="preserve"> donn</w:t>
      </w:r>
      <w:r w:rsidR="006439D9" w:rsidRPr="00FB01EF">
        <w:rPr>
          <w:bCs/>
          <w:szCs w:val="22"/>
          <w:u w:val="single"/>
          <w:lang w:val="it-IT"/>
        </w:rPr>
        <w:t>e</w:t>
      </w:r>
    </w:p>
    <w:p w:rsidR="00DF5287" w:rsidRPr="00FB01EF" w:rsidRDefault="00DF5287" w:rsidP="00CC7997">
      <w:pPr>
        <w:numPr>
          <w:ilvl w:val="0"/>
          <w:numId w:val="14"/>
        </w:numPr>
        <w:tabs>
          <w:tab w:val="clear" w:pos="567"/>
        </w:tabs>
        <w:ind w:left="567" w:hanging="567"/>
        <w:rPr>
          <w:noProof/>
          <w:szCs w:val="22"/>
          <w:lang w:val="it-IT"/>
        </w:rPr>
      </w:pPr>
      <w:r w:rsidRPr="00FB01EF">
        <w:rPr>
          <w:szCs w:val="22"/>
          <w:lang w:val="it-IT"/>
        </w:rPr>
        <w:t xml:space="preserve">Molto raramente </w:t>
      </w:r>
      <w:r w:rsidR="00976F29" w:rsidRPr="00FB01EF">
        <w:rPr>
          <w:szCs w:val="22"/>
          <w:lang w:val="it-IT"/>
        </w:rPr>
        <w:t xml:space="preserve">(possono interessare fino a 1 persona su 10.000) </w:t>
      </w:r>
      <w:r w:rsidRPr="00FB01EF">
        <w:rPr>
          <w:szCs w:val="22"/>
          <w:lang w:val="it-IT"/>
        </w:rPr>
        <w:t>sono state riportate reazioni allergiche quali eruzione cutanea, aree di pelle rilevat</w:t>
      </w:r>
      <w:r w:rsidR="00083BDF" w:rsidRPr="00FB01EF">
        <w:rPr>
          <w:szCs w:val="22"/>
          <w:lang w:val="it-IT"/>
        </w:rPr>
        <w:t>a</w:t>
      </w:r>
      <w:r w:rsidRPr="00FB01EF">
        <w:rPr>
          <w:szCs w:val="22"/>
          <w:lang w:val="it-IT"/>
        </w:rPr>
        <w:t xml:space="preserve"> e pruriginos</w:t>
      </w:r>
      <w:r w:rsidR="00083BDF" w:rsidRPr="00FB01EF">
        <w:rPr>
          <w:szCs w:val="22"/>
          <w:lang w:val="it-IT"/>
        </w:rPr>
        <w:t>a</w:t>
      </w:r>
      <w:r w:rsidRPr="00FB01EF">
        <w:rPr>
          <w:szCs w:val="22"/>
          <w:lang w:val="it-IT"/>
        </w:rPr>
        <w:t xml:space="preserve"> e reazioni allergiche gravi con debolezza, riduzione della pressione sanguigna, difficoltà respiratorie e gonfiore del </w:t>
      </w:r>
      <w:r w:rsidR="00976F29" w:rsidRPr="00FB01EF">
        <w:rPr>
          <w:szCs w:val="22"/>
          <w:lang w:val="it-IT"/>
        </w:rPr>
        <w:t>viso</w:t>
      </w:r>
      <w:r w:rsidRPr="00FB01EF">
        <w:rPr>
          <w:szCs w:val="22"/>
          <w:lang w:val="it-IT"/>
        </w:rPr>
        <w:t xml:space="preserve">. Se pensa di avere una reazione di questo tipo, interrompa le iniezioni di Ovaleap e si rivolga </w:t>
      </w:r>
      <w:r w:rsidR="005A1BCE" w:rsidRPr="00FB01EF">
        <w:rPr>
          <w:szCs w:val="22"/>
          <w:lang w:val="it-IT"/>
        </w:rPr>
        <w:t>immediatamente</w:t>
      </w:r>
      <w:r w:rsidRPr="00FB01EF">
        <w:rPr>
          <w:szCs w:val="22"/>
          <w:lang w:val="it-IT"/>
        </w:rPr>
        <w:t xml:space="preserve"> al medico.</w:t>
      </w:r>
    </w:p>
    <w:p w:rsidR="00DF5287" w:rsidRPr="00FB01EF" w:rsidRDefault="00DF5287" w:rsidP="00496272">
      <w:pPr>
        <w:numPr>
          <w:ilvl w:val="12"/>
          <w:numId w:val="0"/>
        </w:numPr>
        <w:tabs>
          <w:tab w:val="clear" w:pos="567"/>
        </w:tabs>
        <w:ind w:right="-29"/>
        <w:rPr>
          <w:noProof/>
          <w:szCs w:val="22"/>
          <w:u w:val="single"/>
          <w:lang w:val="it-IT"/>
        </w:rPr>
      </w:pPr>
    </w:p>
    <w:p w:rsidR="00DF5287" w:rsidRPr="00FB01EF" w:rsidRDefault="00DF5287" w:rsidP="00496272">
      <w:pPr>
        <w:numPr>
          <w:ilvl w:val="12"/>
          <w:numId w:val="0"/>
        </w:numPr>
        <w:tabs>
          <w:tab w:val="clear" w:pos="567"/>
        </w:tabs>
        <w:ind w:right="-29"/>
        <w:rPr>
          <w:noProof/>
          <w:szCs w:val="22"/>
          <w:u w:val="single"/>
          <w:lang w:val="it-IT"/>
        </w:rPr>
      </w:pPr>
      <w:r w:rsidRPr="00FB01EF">
        <w:rPr>
          <w:noProof/>
          <w:szCs w:val="22"/>
          <w:u w:val="single"/>
          <w:lang w:val="it-IT"/>
        </w:rPr>
        <w:t>Effetti indesiderati gravi nell</w:t>
      </w:r>
      <w:r w:rsidR="006439D9" w:rsidRPr="00FB01EF">
        <w:rPr>
          <w:noProof/>
          <w:szCs w:val="22"/>
          <w:u w:val="single"/>
          <w:lang w:val="it-IT"/>
        </w:rPr>
        <w:t>e</w:t>
      </w:r>
      <w:r w:rsidRPr="00FB01EF">
        <w:rPr>
          <w:noProof/>
          <w:szCs w:val="22"/>
          <w:u w:val="single"/>
          <w:lang w:val="it-IT"/>
        </w:rPr>
        <w:t xml:space="preserve"> donn</w:t>
      </w:r>
      <w:r w:rsidR="006439D9" w:rsidRPr="00FB01EF">
        <w:rPr>
          <w:noProof/>
          <w:szCs w:val="22"/>
          <w:u w:val="single"/>
          <w:lang w:val="it-IT"/>
        </w:rPr>
        <w:t>e</w:t>
      </w:r>
    </w:p>
    <w:p w:rsidR="00865AF6" w:rsidRPr="00FB01EF" w:rsidRDefault="00865AF6" w:rsidP="00CC7997">
      <w:pPr>
        <w:numPr>
          <w:ilvl w:val="0"/>
          <w:numId w:val="14"/>
        </w:numPr>
        <w:tabs>
          <w:tab w:val="clear" w:pos="567"/>
        </w:tabs>
        <w:ind w:left="567" w:hanging="567"/>
        <w:rPr>
          <w:szCs w:val="22"/>
          <w:lang w:val="it-IT"/>
        </w:rPr>
      </w:pPr>
      <w:r w:rsidRPr="00FB01EF">
        <w:rPr>
          <w:szCs w:val="22"/>
          <w:lang w:val="it-IT"/>
        </w:rPr>
        <w:t xml:space="preserve">I dolori </w:t>
      </w:r>
      <w:r w:rsidR="00DF5287" w:rsidRPr="00FB01EF">
        <w:rPr>
          <w:szCs w:val="22"/>
          <w:lang w:val="it-IT"/>
        </w:rPr>
        <w:t xml:space="preserve">al basso </w:t>
      </w:r>
      <w:r w:rsidR="00976F29" w:rsidRPr="00FB01EF">
        <w:rPr>
          <w:szCs w:val="22"/>
          <w:lang w:val="it-IT"/>
        </w:rPr>
        <w:t>ventre</w:t>
      </w:r>
      <w:r w:rsidR="00DF5287" w:rsidRPr="00FB01EF">
        <w:rPr>
          <w:szCs w:val="22"/>
          <w:lang w:val="it-IT"/>
        </w:rPr>
        <w:t xml:space="preserve"> </w:t>
      </w:r>
      <w:r w:rsidRPr="00FB01EF">
        <w:rPr>
          <w:szCs w:val="22"/>
          <w:lang w:val="it-IT"/>
        </w:rPr>
        <w:t xml:space="preserve">in combinazione con nausea o vomito possono essere sintomi della sindrome da iperstimolazione ovarica (OHSS). Ciò può indicare che le ovaie reagiscono in misura eccessiva al trattamento e che si sono sviluppate grandi cisti ovariche </w:t>
      </w:r>
      <w:r w:rsidR="00DF5287" w:rsidRPr="00FB01EF">
        <w:rPr>
          <w:szCs w:val="22"/>
          <w:lang w:val="it-IT"/>
        </w:rPr>
        <w:t>[</w:t>
      </w:r>
      <w:r w:rsidRPr="00FB01EF">
        <w:rPr>
          <w:szCs w:val="22"/>
          <w:lang w:val="it-IT"/>
        </w:rPr>
        <w:t>vedere anche paragrafo</w:t>
      </w:r>
      <w:r w:rsidR="00852CA3" w:rsidRPr="00FB01EF">
        <w:rPr>
          <w:szCs w:val="22"/>
          <w:lang w:val="it-IT"/>
        </w:rPr>
        <w:t> </w:t>
      </w:r>
      <w:r w:rsidRPr="00FB01EF">
        <w:rPr>
          <w:szCs w:val="22"/>
          <w:lang w:val="it-IT"/>
        </w:rPr>
        <w:t>2 “</w:t>
      </w:r>
      <w:r w:rsidR="00DF5287" w:rsidRPr="00FB01EF">
        <w:rPr>
          <w:szCs w:val="22"/>
          <w:lang w:val="it-IT"/>
        </w:rPr>
        <w:t>Sindrome da iperstimolazione ovarica</w:t>
      </w:r>
      <w:r w:rsidR="006044A5" w:rsidRPr="00FB01EF">
        <w:rPr>
          <w:szCs w:val="22"/>
          <w:lang w:val="it-IT"/>
        </w:rPr>
        <w:t xml:space="preserve"> (OHSS)</w:t>
      </w:r>
      <w:r w:rsidR="00451308" w:rsidRPr="00FB01EF">
        <w:rPr>
          <w:szCs w:val="22"/>
          <w:lang w:val="it-IT"/>
        </w:rPr>
        <w:t>”</w:t>
      </w:r>
      <w:r w:rsidRPr="00FB01EF">
        <w:rPr>
          <w:szCs w:val="22"/>
          <w:lang w:val="it-IT"/>
        </w:rPr>
        <w:t>. Questo effetto indesiderato è comune</w:t>
      </w:r>
      <w:r w:rsidR="00DF5287" w:rsidRPr="00FB01EF">
        <w:rPr>
          <w:szCs w:val="22"/>
          <w:lang w:val="it-IT"/>
        </w:rPr>
        <w:t xml:space="preserve"> (può interessare fino a 1 persona su 10)</w:t>
      </w:r>
      <w:r w:rsidRPr="00FB01EF">
        <w:rPr>
          <w:szCs w:val="22"/>
          <w:lang w:val="it-IT"/>
        </w:rPr>
        <w:t>.</w:t>
      </w:r>
    </w:p>
    <w:p w:rsidR="00865AF6" w:rsidRPr="00FB01EF" w:rsidRDefault="00865AF6" w:rsidP="00CC7997">
      <w:pPr>
        <w:numPr>
          <w:ilvl w:val="0"/>
          <w:numId w:val="14"/>
        </w:numPr>
        <w:tabs>
          <w:tab w:val="clear" w:pos="567"/>
        </w:tabs>
        <w:ind w:left="567" w:hanging="567"/>
        <w:rPr>
          <w:szCs w:val="22"/>
          <w:lang w:val="it-IT"/>
        </w:rPr>
      </w:pPr>
      <w:r w:rsidRPr="00FB01EF">
        <w:rPr>
          <w:szCs w:val="22"/>
          <w:lang w:val="it-IT"/>
        </w:rPr>
        <w:t>La OHSS può diventare grave, con ovaie notevolmente ingrossate, ridotta produzione di urine, aumento di peso, difficoltà respiratoria e/o possibile accumulo di liquido nell’addome o nel torace. Questo effetto indesiderato non è comune</w:t>
      </w:r>
      <w:r w:rsidR="00DF5287" w:rsidRPr="00FB01EF">
        <w:rPr>
          <w:szCs w:val="22"/>
          <w:lang w:val="it-IT"/>
        </w:rPr>
        <w:t xml:space="preserve"> (può interessare fino a 1 persona su 100)</w:t>
      </w:r>
      <w:r w:rsidRPr="00FB01EF">
        <w:rPr>
          <w:szCs w:val="22"/>
          <w:lang w:val="it-IT"/>
        </w:rPr>
        <w:t>.</w:t>
      </w:r>
    </w:p>
    <w:p w:rsidR="00865AF6" w:rsidRPr="00FB01EF" w:rsidRDefault="00865AF6" w:rsidP="00CC7997">
      <w:pPr>
        <w:numPr>
          <w:ilvl w:val="0"/>
          <w:numId w:val="14"/>
        </w:numPr>
        <w:tabs>
          <w:tab w:val="clear" w:pos="567"/>
        </w:tabs>
        <w:ind w:left="567" w:hanging="567"/>
        <w:rPr>
          <w:szCs w:val="22"/>
          <w:lang w:val="it-IT"/>
        </w:rPr>
      </w:pPr>
      <w:r w:rsidRPr="00FB01EF">
        <w:rPr>
          <w:szCs w:val="22"/>
          <w:lang w:val="it-IT"/>
        </w:rPr>
        <w:t xml:space="preserve">Raramente </w:t>
      </w:r>
      <w:r w:rsidR="00976F29" w:rsidRPr="00FB01EF">
        <w:rPr>
          <w:szCs w:val="22"/>
          <w:lang w:val="it-IT"/>
        </w:rPr>
        <w:t xml:space="preserve">(possono interessare fino a 1 persona su 1.000) </w:t>
      </w:r>
      <w:r w:rsidRPr="00FB01EF">
        <w:rPr>
          <w:szCs w:val="22"/>
          <w:lang w:val="it-IT"/>
        </w:rPr>
        <w:t>possono verificarsi complicanze della OHSS, come torsione ovarica o coagulazione del sangue.</w:t>
      </w:r>
    </w:p>
    <w:p w:rsidR="002B4CEA" w:rsidRPr="00FB01EF" w:rsidRDefault="00865AF6" w:rsidP="00CC7997">
      <w:pPr>
        <w:numPr>
          <w:ilvl w:val="0"/>
          <w:numId w:val="14"/>
        </w:numPr>
        <w:tabs>
          <w:tab w:val="clear" w:pos="567"/>
        </w:tabs>
        <w:ind w:left="567" w:hanging="567"/>
        <w:rPr>
          <w:szCs w:val="22"/>
          <w:lang w:val="it-IT"/>
        </w:rPr>
      </w:pPr>
      <w:r w:rsidRPr="00FB01EF">
        <w:rPr>
          <w:szCs w:val="22"/>
          <w:lang w:val="it-IT"/>
        </w:rPr>
        <w:t xml:space="preserve">Molto raramente </w:t>
      </w:r>
      <w:r w:rsidR="00976F29" w:rsidRPr="00FB01EF">
        <w:rPr>
          <w:szCs w:val="22"/>
          <w:lang w:val="it-IT"/>
        </w:rPr>
        <w:t xml:space="preserve">(possono interessare fino a 1 persona su 10.000) </w:t>
      </w:r>
      <w:r w:rsidRPr="00FB01EF">
        <w:rPr>
          <w:szCs w:val="22"/>
          <w:lang w:val="it-IT"/>
        </w:rPr>
        <w:t xml:space="preserve">si possono riscontrare complicanze gravi della coagulazione del sangue (eventi tromboembolici), </w:t>
      </w:r>
      <w:r w:rsidR="00DF5287" w:rsidRPr="00FB01EF">
        <w:rPr>
          <w:szCs w:val="22"/>
          <w:lang w:val="it-IT"/>
        </w:rPr>
        <w:t xml:space="preserve">talvolta </w:t>
      </w:r>
      <w:r w:rsidRPr="00FB01EF">
        <w:rPr>
          <w:szCs w:val="22"/>
          <w:lang w:val="it-IT"/>
        </w:rPr>
        <w:t xml:space="preserve">indipendenti dalla </w:t>
      </w:r>
      <w:r w:rsidR="00976F29" w:rsidRPr="00FB01EF">
        <w:rPr>
          <w:szCs w:val="22"/>
          <w:lang w:val="it-IT"/>
        </w:rPr>
        <w:t>OHSS</w:t>
      </w:r>
      <w:r w:rsidRPr="00FB01EF">
        <w:rPr>
          <w:szCs w:val="22"/>
          <w:lang w:val="it-IT"/>
        </w:rPr>
        <w:t xml:space="preserve">. Questo può causare dolore al torace, affanno, ictus o infarto </w:t>
      </w:r>
      <w:r w:rsidR="00DF5287" w:rsidRPr="00FB01EF">
        <w:rPr>
          <w:szCs w:val="22"/>
          <w:lang w:val="it-IT"/>
        </w:rPr>
        <w:t>[</w:t>
      </w:r>
      <w:r w:rsidRPr="00FB01EF">
        <w:rPr>
          <w:szCs w:val="22"/>
          <w:lang w:val="it-IT"/>
        </w:rPr>
        <w:t>vedere anche paragrafo</w:t>
      </w:r>
      <w:r w:rsidR="002129CF" w:rsidRPr="00FB01EF">
        <w:rPr>
          <w:szCs w:val="22"/>
          <w:lang w:val="it-IT"/>
        </w:rPr>
        <w:t> </w:t>
      </w:r>
      <w:r w:rsidRPr="00FB01EF">
        <w:rPr>
          <w:szCs w:val="22"/>
          <w:lang w:val="it-IT"/>
        </w:rPr>
        <w:t>2 “</w:t>
      </w:r>
      <w:r w:rsidR="00976F29" w:rsidRPr="00FB01EF">
        <w:rPr>
          <w:szCs w:val="22"/>
          <w:lang w:val="it-IT"/>
        </w:rPr>
        <w:t>Disturbi della</w:t>
      </w:r>
      <w:r w:rsidR="0006289F" w:rsidRPr="00FB01EF">
        <w:rPr>
          <w:szCs w:val="22"/>
          <w:lang w:val="it-IT"/>
        </w:rPr>
        <w:t xml:space="preserve"> coagulazione del sangue (eventi tromboembolici)</w:t>
      </w:r>
      <w:r w:rsidRPr="00FB01EF">
        <w:rPr>
          <w:szCs w:val="22"/>
          <w:lang w:val="it-IT"/>
        </w:rPr>
        <w:t>”</w:t>
      </w:r>
      <w:r w:rsidR="0006289F" w:rsidRPr="00FB01EF">
        <w:rPr>
          <w:szCs w:val="22"/>
          <w:lang w:val="it-IT"/>
        </w:rPr>
        <w:t>]</w:t>
      </w:r>
      <w:r w:rsidR="00DC5A3E" w:rsidRPr="00FB01EF">
        <w:rPr>
          <w:noProof/>
          <w:szCs w:val="22"/>
          <w:lang w:val="it-IT"/>
        </w:rPr>
        <w:t>.</w:t>
      </w:r>
    </w:p>
    <w:p w:rsidR="00865AF6" w:rsidRPr="00FB01EF" w:rsidRDefault="00865AF6" w:rsidP="006B6DDF">
      <w:pPr>
        <w:ind w:right="234"/>
        <w:rPr>
          <w:szCs w:val="22"/>
          <w:lang w:val="it-IT"/>
        </w:rPr>
      </w:pPr>
      <w:r w:rsidRPr="00FB01EF">
        <w:rPr>
          <w:bCs/>
          <w:szCs w:val="22"/>
          <w:lang w:val="it-IT"/>
        </w:rPr>
        <w:t xml:space="preserve">Se nota uno qualsiasi degli effetti indesiderati descritti, contatti </w:t>
      </w:r>
      <w:r w:rsidR="005A1BCE" w:rsidRPr="00FB01EF">
        <w:rPr>
          <w:bCs/>
          <w:szCs w:val="22"/>
          <w:lang w:val="it-IT"/>
        </w:rPr>
        <w:t>immediatamente</w:t>
      </w:r>
      <w:r w:rsidR="0006289F" w:rsidRPr="00FB01EF">
        <w:rPr>
          <w:bCs/>
          <w:szCs w:val="22"/>
          <w:lang w:val="it-IT"/>
        </w:rPr>
        <w:t xml:space="preserve"> </w:t>
      </w:r>
      <w:r w:rsidRPr="00FB01EF">
        <w:rPr>
          <w:bCs/>
          <w:szCs w:val="22"/>
          <w:lang w:val="it-IT"/>
        </w:rPr>
        <w:t xml:space="preserve">il medico, che potrà chiederle di interrompere l'uso di </w:t>
      </w:r>
      <w:r w:rsidR="0006289F" w:rsidRPr="00FB01EF">
        <w:rPr>
          <w:bCs/>
          <w:szCs w:val="22"/>
          <w:lang w:val="it-IT"/>
        </w:rPr>
        <w:t>Ovaleap</w:t>
      </w:r>
      <w:r w:rsidRPr="00FB01EF">
        <w:rPr>
          <w:bCs/>
          <w:szCs w:val="22"/>
          <w:lang w:val="it-IT"/>
        </w:rPr>
        <w:t>.</w:t>
      </w:r>
    </w:p>
    <w:p w:rsidR="00865AF6" w:rsidRPr="00FB01EF" w:rsidRDefault="00865AF6" w:rsidP="006B6DDF">
      <w:pPr>
        <w:rPr>
          <w:szCs w:val="22"/>
          <w:lang w:val="it-IT"/>
        </w:rPr>
      </w:pPr>
    </w:p>
    <w:p w:rsidR="00865AF6" w:rsidRPr="00FB01EF" w:rsidRDefault="00865AF6" w:rsidP="00661348">
      <w:pPr>
        <w:ind w:right="-20"/>
        <w:rPr>
          <w:szCs w:val="22"/>
          <w:lang w:val="it-IT"/>
        </w:rPr>
      </w:pPr>
      <w:r w:rsidRPr="00FB01EF">
        <w:rPr>
          <w:b/>
          <w:bCs/>
          <w:szCs w:val="22"/>
          <w:lang w:val="it-IT"/>
        </w:rPr>
        <w:t>Altri effetti indesiderati nell</w:t>
      </w:r>
      <w:r w:rsidR="006439D9" w:rsidRPr="00FB01EF">
        <w:rPr>
          <w:b/>
          <w:bCs/>
          <w:szCs w:val="22"/>
          <w:lang w:val="it-IT"/>
        </w:rPr>
        <w:t>e</w:t>
      </w:r>
      <w:r w:rsidRPr="00FB01EF">
        <w:rPr>
          <w:b/>
          <w:bCs/>
          <w:szCs w:val="22"/>
          <w:lang w:val="it-IT"/>
        </w:rPr>
        <w:t xml:space="preserve"> donn</w:t>
      </w:r>
      <w:r w:rsidR="006439D9" w:rsidRPr="00FB01EF">
        <w:rPr>
          <w:b/>
          <w:bCs/>
          <w:szCs w:val="22"/>
          <w:lang w:val="it-IT"/>
        </w:rPr>
        <w:t>e</w:t>
      </w:r>
    </w:p>
    <w:p w:rsidR="00865AF6" w:rsidRPr="00FB01EF" w:rsidRDefault="00865AF6" w:rsidP="00661348">
      <w:pPr>
        <w:rPr>
          <w:szCs w:val="22"/>
          <w:lang w:val="it-IT"/>
        </w:rPr>
      </w:pPr>
    </w:p>
    <w:p w:rsidR="00865AF6" w:rsidRPr="00FB01EF" w:rsidRDefault="00865AF6" w:rsidP="00661348">
      <w:pPr>
        <w:ind w:right="-20"/>
        <w:rPr>
          <w:szCs w:val="22"/>
          <w:lang w:val="it-IT"/>
        </w:rPr>
      </w:pPr>
      <w:r w:rsidRPr="00FB01EF">
        <w:rPr>
          <w:szCs w:val="22"/>
          <w:u w:val="single" w:color="000000"/>
          <w:lang w:val="it-IT"/>
        </w:rPr>
        <w:t>Molto comune</w:t>
      </w:r>
      <w:r w:rsidR="0006289F" w:rsidRPr="00FB01EF">
        <w:rPr>
          <w:szCs w:val="22"/>
          <w:u w:color="000000"/>
          <w:lang w:val="it-IT"/>
        </w:rPr>
        <w:t xml:space="preserve"> (può interessare più di 1 persona su 10)</w:t>
      </w:r>
    </w:p>
    <w:p w:rsidR="0006289F" w:rsidRPr="00FB01EF" w:rsidRDefault="0006289F" w:rsidP="00CC7997">
      <w:pPr>
        <w:numPr>
          <w:ilvl w:val="0"/>
          <w:numId w:val="14"/>
        </w:numPr>
        <w:tabs>
          <w:tab w:val="left" w:pos="680"/>
        </w:tabs>
        <w:ind w:left="567" w:hanging="567"/>
        <w:rPr>
          <w:szCs w:val="22"/>
          <w:lang w:val="it-IT"/>
        </w:rPr>
      </w:pPr>
      <w:r w:rsidRPr="00FB01EF">
        <w:rPr>
          <w:szCs w:val="22"/>
          <w:lang w:val="it-IT"/>
        </w:rPr>
        <w:t>Reazioni locali della sede di iniezione come dolore, arrossamento, lividi, gonfiore e/o irritazione</w:t>
      </w:r>
    </w:p>
    <w:p w:rsidR="00865AF6" w:rsidRPr="00FB01EF" w:rsidRDefault="007D79C0" w:rsidP="00CC7997">
      <w:pPr>
        <w:numPr>
          <w:ilvl w:val="0"/>
          <w:numId w:val="14"/>
        </w:numPr>
        <w:tabs>
          <w:tab w:val="left" w:pos="680"/>
        </w:tabs>
        <w:ind w:left="567" w:hanging="567"/>
        <w:rPr>
          <w:szCs w:val="22"/>
          <w:lang w:val="it-IT"/>
        </w:rPr>
      </w:pPr>
      <w:r w:rsidRPr="00FB01EF">
        <w:rPr>
          <w:szCs w:val="22"/>
          <w:lang w:val="it-IT"/>
        </w:rPr>
        <w:t>Mal di testa</w:t>
      </w:r>
    </w:p>
    <w:p w:rsidR="0006289F" w:rsidRPr="00FB01EF" w:rsidRDefault="00EA06BB" w:rsidP="00CC7997">
      <w:pPr>
        <w:numPr>
          <w:ilvl w:val="0"/>
          <w:numId w:val="14"/>
        </w:numPr>
        <w:tabs>
          <w:tab w:val="left" w:pos="680"/>
        </w:tabs>
        <w:ind w:left="567" w:hanging="567"/>
        <w:rPr>
          <w:szCs w:val="22"/>
          <w:lang w:val="it-IT"/>
        </w:rPr>
      </w:pPr>
      <w:r w:rsidRPr="00FB01EF">
        <w:rPr>
          <w:szCs w:val="22"/>
          <w:lang w:val="it-IT"/>
        </w:rPr>
        <w:t>S</w:t>
      </w:r>
      <w:r w:rsidR="0006289F" w:rsidRPr="00FB01EF">
        <w:rPr>
          <w:szCs w:val="22"/>
          <w:lang w:val="it-IT"/>
        </w:rPr>
        <w:t>acche di liquido nell’ovaio</w:t>
      </w:r>
      <w:r w:rsidRPr="00FB01EF">
        <w:rPr>
          <w:szCs w:val="22"/>
          <w:lang w:val="it-IT"/>
        </w:rPr>
        <w:t xml:space="preserve"> (cisti ovariche</w:t>
      </w:r>
      <w:r w:rsidR="0006289F" w:rsidRPr="00FB01EF">
        <w:rPr>
          <w:szCs w:val="22"/>
          <w:lang w:val="it-IT"/>
        </w:rPr>
        <w:t>)</w:t>
      </w:r>
    </w:p>
    <w:p w:rsidR="00865AF6" w:rsidRPr="00FB01EF" w:rsidRDefault="00865AF6" w:rsidP="00661348">
      <w:pPr>
        <w:ind w:right="-20"/>
        <w:rPr>
          <w:szCs w:val="22"/>
          <w:lang w:val="it-IT"/>
        </w:rPr>
      </w:pPr>
      <w:r w:rsidRPr="00FB01EF">
        <w:rPr>
          <w:szCs w:val="22"/>
          <w:u w:val="single" w:color="000000"/>
          <w:lang w:val="it-IT"/>
        </w:rPr>
        <w:t>Comune</w:t>
      </w:r>
      <w:r w:rsidR="0006289F" w:rsidRPr="00FB01EF">
        <w:rPr>
          <w:szCs w:val="22"/>
          <w:u w:color="000000"/>
          <w:lang w:val="it-IT"/>
        </w:rPr>
        <w:t xml:space="preserve"> (può interessare fino a 1 persona su 10)</w:t>
      </w:r>
    </w:p>
    <w:p w:rsidR="00865AF6" w:rsidRPr="00FB01EF" w:rsidRDefault="00865AF6" w:rsidP="00CC7997">
      <w:pPr>
        <w:numPr>
          <w:ilvl w:val="0"/>
          <w:numId w:val="14"/>
        </w:numPr>
        <w:tabs>
          <w:tab w:val="left" w:pos="680"/>
        </w:tabs>
        <w:ind w:left="567" w:hanging="567"/>
        <w:rPr>
          <w:szCs w:val="22"/>
          <w:lang w:val="it-IT"/>
        </w:rPr>
      </w:pPr>
      <w:r w:rsidRPr="00FB01EF">
        <w:rPr>
          <w:szCs w:val="22"/>
          <w:lang w:val="it-IT"/>
        </w:rPr>
        <w:t>Dolore addominale</w:t>
      </w:r>
    </w:p>
    <w:p w:rsidR="0006289F" w:rsidRPr="00FB01EF" w:rsidRDefault="0006289F" w:rsidP="00CC7997">
      <w:pPr>
        <w:numPr>
          <w:ilvl w:val="0"/>
          <w:numId w:val="14"/>
        </w:numPr>
        <w:tabs>
          <w:tab w:val="left" w:pos="680"/>
        </w:tabs>
        <w:ind w:left="567" w:hanging="567"/>
        <w:rPr>
          <w:szCs w:val="22"/>
          <w:lang w:val="it-IT"/>
        </w:rPr>
      </w:pPr>
      <w:r w:rsidRPr="00FB01EF">
        <w:rPr>
          <w:szCs w:val="22"/>
          <w:lang w:val="it-IT"/>
        </w:rPr>
        <w:t>Meteorismo</w:t>
      </w:r>
    </w:p>
    <w:p w:rsidR="0006289F" w:rsidRPr="00FB01EF" w:rsidRDefault="0006289F" w:rsidP="00CC7997">
      <w:pPr>
        <w:numPr>
          <w:ilvl w:val="0"/>
          <w:numId w:val="14"/>
        </w:numPr>
        <w:tabs>
          <w:tab w:val="left" w:pos="680"/>
        </w:tabs>
        <w:ind w:left="567" w:hanging="567"/>
        <w:rPr>
          <w:szCs w:val="22"/>
          <w:lang w:val="it-IT"/>
        </w:rPr>
      </w:pPr>
      <w:r w:rsidRPr="00FB01EF">
        <w:rPr>
          <w:szCs w:val="22"/>
          <w:lang w:val="it-IT"/>
        </w:rPr>
        <w:t>Crampi addominali</w:t>
      </w:r>
    </w:p>
    <w:p w:rsidR="0006289F" w:rsidRPr="00FB01EF" w:rsidRDefault="00865AF6" w:rsidP="00CC7997">
      <w:pPr>
        <w:numPr>
          <w:ilvl w:val="0"/>
          <w:numId w:val="14"/>
        </w:numPr>
        <w:tabs>
          <w:tab w:val="left" w:pos="680"/>
        </w:tabs>
        <w:ind w:left="567" w:hanging="567"/>
        <w:rPr>
          <w:szCs w:val="22"/>
          <w:lang w:val="it-IT"/>
        </w:rPr>
      </w:pPr>
      <w:r w:rsidRPr="00FB01EF">
        <w:rPr>
          <w:szCs w:val="22"/>
          <w:lang w:val="it-IT"/>
        </w:rPr>
        <w:t>Nausea</w:t>
      </w:r>
    </w:p>
    <w:p w:rsidR="0006289F" w:rsidRPr="00FB01EF" w:rsidRDefault="0006289F" w:rsidP="00CC7997">
      <w:pPr>
        <w:numPr>
          <w:ilvl w:val="0"/>
          <w:numId w:val="14"/>
        </w:numPr>
        <w:tabs>
          <w:tab w:val="left" w:pos="680"/>
        </w:tabs>
        <w:ind w:left="567" w:hanging="567"/>
        <w:rPr>
          <w:szCs w:val="22"/>
          <w:lang w:val="it-IT"/>
        </w:rPr>
      </w:pPr>
      <w:r w:rsidRPr="00FB01EF">
        <w:rPr>
          <w:szCs w:val="22"/>
          <w:lang w:val="it-IT"/>
        </w:rPr>
        <w:t>V</w:t>
      </w:r>
      <w:r w:rsidR="00865AF6" w:rsidRPr="00FB01EF">
        <w:rPr>
          <w:szCs w:val="22"/>
          <w:lang w:val="it-IT"/>
        </w:rPr>
        <w:t>omito</w:t>
      </w:r>
    </w:p>
    <w:p w:rsidR="00865AF6" w:rsidRPr="00FB01EF" w:rsidRDefault="0006289F" w:rsidP="00CC7997">
      <w:pPr>
        <w:numPr>
          <w:ilvl w:val="0"/>
          <w:numId w:val="14"/>
        </w:numPr>
        <w:tabs>
          <w:tab w:val="left" w:pos="680"/>
        </w:tabs>
        <w:ind w:left="567" w:hanging="567"/>
        <w:rPr>
          <w:szCs w:val="22"/>
          <w:lang w:val="it-IT"/>
        </w:rPr>
      </w:pPr>
      <w:r w:rsidRPr="00FB01EF">
        <w:rPr>
          <w:szCs w:val="22"/>
          <w:lang w:val="it-IT"/>
        </w:rPr>
        <w:t>D</w:t>
      </w:r>
      <w:r w:rsidR="00865AF6" w:rsidRPr="00FB01EF">
        <w:rPr>
          <w:szCs w:val="22"/>
          <w:lang w:val="it-IT"/>
        </w:rPr>
        <w:t>iarrea</w:t>
      </w:r>
    </w:p>
    <w:p w:rsidR="00865AF6" w:rsidRPr="00FB01EF" w:rsidRDefault="00865AF6" w:rsidP="00661348">
      <w:pPr>
        <w:ind w:right="-20"/>
        <w:rPr>
          <w:szCs w:val="22"/>
          <w:lang w:val="it-IT"/>
        </w:rPr>
      </w:pPr>
      <w:r w:rsidRPr="00FB01EF">
        <w:rPr>
          <w:szCs w:val="22"/>
          <w:u w:val="single" w:color="000000"/>
          <w:lang w:val="it-IT"/>
        </w:rPr>
        <w:t>Molto raro</w:t>
      </w:r>
      <w:r w:rsidR="0006289F" w:rsidRPr="00FB01EF">
        <w:rPr>
          <w:szCs w:val="22"/>
          <w:u w:color="000000"/>
          <w:lang w:val="it-IT"/>
        </w:rPr>
        <w:t xml:space="preserve"> (può interessare fino a 1 persona su 10.000)</w:t>
      </w:r>
      <w:r w:rsidRPr="00FB01EF">
        <w:rPr>
          <w:szCs w:val="22"/>
          <w:u w:color="000000"/>
          <w:lang w:val="it-IT"/>
        </w:rPr>
        <w:t>:</w:t>
      </w:r>
    </w:p>
    <w:p w:rsidR="00865AF6" w:rsidRPr="00FB01EF" w:rsidRDefault="00865AF6" w:rsidP="00CC7997">
      <w:pPr>
        <w:numPr>
          <w:ilvl w:val="0"/>
          <w:numId w:val="14"/>
        </w:numPr>
        <w:tabs>
          <w:tab w:val="left" w:pos="680"/>
        </w:tabs>
        <w:ind w:left="567" w:hanging="567"/>
        <w:rPr>
          <w:szCs w:val="22"/>
          <w:lang w:val="it-IT"/>
        </w:rPr>
      </w:pPr>
      <w:r w:rsidRPr="00FB01EF">
        <w:rPr>
          <w:szCs w:val="22"/>
          <w:lang w:val="it-IT"/>
        </w:rPr>
        <w:t>L’asma può peggiorare</w:t>
      </w:r>
    </w:p>
    <w:p w:rsidR="00865AF6" w:rsidRPr="00FB01EF" w:rsidRDefault="00865AF6" w:rsidP="00661348">
      <w:pPr>
        <w:rPr>
          <w:szCs w:val="22"/>
          <w:lang w:val="it-IT"/>
        </w:rPr>
      </w:pPr>
    </w:p>
    <w:p w:rsidR="00865AF6" w:rsidRPr="00FB01EF" w:rsidRDefault="00865AF6" w:rsidP="00661348">
      <w:pPr>
        <w:ind w:right="-20"/>
        <w:rPr>
          <w:szCs w:val="22"/>
          <w:lang w:val="it-IT"/>
        </w:rPr>
      </w:pPr>
      <w:r w:rsidRPr="00FB01EF">
        <w:rPr>
          <w:b/>
          <w:bCs/>
          <w:szCs w:val="22"/>
          <w:lang w:val="it-IT"/>
        </w:rPr>
        <w:t>Altri effetti indesiderati ne</w:t>
      </w:r>
      <w:r w:rsidR="006439D9" w:rsidRPr="00FB01EF">
        <w:rPr>
          <w:b/>
          <w:bCs/>
          <w:szCs w:val="22"/>
          <w:lang w:val="it-IT"/>
        </w:rPr>
        <w:t>gli uomini</w:t>
      </w:r>
    </w:p>
    <w:p w:rsidR="00865AF6" w:rsidRPr="00FB01EF" w:rsidRDefault="00865AF6" w:rsidP="00661348">
      <w:pPr>
        <w:rPr>
          <w:szCs w:val="22"/>
          <w:lang w:val="it-IT"/>
        </w:rPr>
      </w:pPr>
    </w:p>
    <w:p w:rsidR="00865AF6" w:rsidRPr="00FB01EF" w:rsidRDefault="00865AF6" w:rsidP="00661348">
      <w:pPr>
        <w:ind w:right="-20"/>
        <w:rPr>
          <w:szCs w:val="22"/>
          <w:lang w:val="it-IT"/>
        </w:rPr>
      </w:pPr>
      <w:r w:rsidRPr="00FB01EF">
        <w:rPr>
          <w:szCs w:val="22"/>
          <w:u w:val="single" w:color="000000"/>
          <w:lang w:val="it-IT"/>
        </w:rPr>
        <w:t>Molto comune</w:t>
      </w:r>
      <w:r w:rsidR="0006289F" w:rsidRPr="00FB01EF">
        <w:rPr>
          <w:szCs w:val="22"/>
          <w:u w:color="000000"/>
          <w:lang w:val="it-IT"/>
        </w:rPr>
        <w:t xml:space="preserve"> (può interessare più di 1 persona su 10)</w:t>
      </w:r>
    </w:p>
    <w:p w:rsidR="00865AF6" w:rsidRPr="00FB01EF" w:rsidRDefault="00865AF6" w:rsidP="00CC7997">
      <w:pPr>
        <w:numPr>
          <w:ilvl w:val="0"/>
          <w:numId w:val="14"/>
        </w:numPr>
        <w:tabs>
          <w:tab w:val="left" w:pos="680"/>
        </w:tabs>
        <w:ind w:left="567" w:hanging="567"/>
        <w:rPr>
          <w:szCs w:val="22"/>
          <w:lang w:val="it-IT"/>
        </w:rPr>
      </w:pPr>
      <w:r w:rsidRPr="00FB01EF">
        <w:rPr>
          <w:szCs w:val="22"/>
          <w:lang w:val="it-IT"/>
        </w:rPr>
        <w:t>Reazioni locali della sede di iniezione come dolore, arrossamento, lividi, gonfiore e/o irritazione</w:t>
      </w:r>
    </w:p>
    <w:p w:rsidR="00865AF6" w:rsidRPr="00FB01EF" w:rsidRDefault="00865AF6" w:rsidP="00661348">
      <w:pPr>
        <w:ind w:right="-20"/>
        <w:rPr>
          <w:szCs w:val="22"/>
          <w:lang w:val="it-IT"/>
        </w:rPr>
      </w:pPr>
      <w:r w:rsidRPr="00FB01EF">
        <w:rPr>
          <w:szCs w:val="22"/>
          <w:u w:val="single" w:color="000000"/>
          <w:lang w:val="it-IT"/>
        </w:rPr>
        <w:t>Comune</w:t>
      </w:r>
      <w:r w:rsidR="0006289F" w:rsidRPr="00FB01EF">
        <w:rPr>
          <w:szCs w:val="22"/>
          <w:u w:color="000000"/>
          <w:lang w:val="it-IT"/>
        </w:rPr>
        <w:t xml:space="preserve"> (può interessare fino a 1 persona su 10)</w:t>
      </w:r>
    </w:p>
    <w:p w:rsidR="00865AF6" w:rsidRPr="00FB01EF" w:rsidRDefault="00865AF6" w:rsidP="00CC7997">
      <w:pPr>
        <w:numPr>
          <w:ilvl w:val="0"/>
          <w:numId w:val="14"/>
        </w:numPr>
        <w:tabs>
          <w:tab w:val="left" w:pos="680"/>
        </w:tabs>
        <w:ind w:left="567" w:hanging="567"/>
        <w:rPr>
          <w:szCs w:val="22"/>
          <w:lang w:val="it-IT"/>
        </w:rPr>
      </w:pPr>
      <w:r w:rsidRPr="00FB01EF">
        <w:rPr>
          <w:szCs w:val="22"/>
          <w:lang w:val="it-IT"/>
        </w:rPr>
        <w:t>Gonfiore delle vene situate sopra e dietro i testicoli (varicocele)</w:t>
      </w:r>
    </w:p>
    <w:p w:rsidR="0006289F" w:rsidRPr="00FB01EF" w:rsidRDefault="00865AF6" w:rsidP="00CC7997">
      <w:pPr>
        <w:numPr>
          <w:ilvl w:val="0"/>
          <w:numId w:val="14"/>
        </w:numPr>
        <w:tabs>
          <w:tab w:val="left" w:pos="680"/>
        </w:tabs>
        <w:ind w:left="567" w:hanging="567"/>
        <w:rPr>
          <w:szCs w:val="22"/>
          <w:lang w:val="it-IT"/>
        </w:rPr>
      </w:pPr>
      <w:r w:rsidRPr="00FB01EF">
        <w:rPr>
          <w:szCs w:val="22"/>
          <w:lang w:val="it-IT"/>
        </w:rPr>
        <w:lastRenderedPageBreak/>
        <w:t>Ingrossamento della ghiandola mammaria</w:t>
      </w:r>
    </w:p>
    <w:p w:rsidR="0006289F" w:rsidRPr="00FB01EF" w:rsidRDefault="0006289F" w:rsidP="00CC7997">
      <w:pPr>
        <w:numPr>
          <w:ilvl w:val="0"/>
          <w:numId w:val="14"/>
        </w:numPr>
        <w:tabs>
          <w:tab w:val="left" w:pos="680"/>
        </w:tabs>
        <w:ind w:left="567" w:hanging="567"/>
        <w:rPr>
          <w:szCs w:val="22"/>
          <w:lang w:val="it-IT"/>
        </w:rPr>
      </w:pPr>
      <w:r w:rsidRPr="00FB01EF">
        <w:rPr>
          <w:szCs w:val="22"/>
          <w:lang w:val="it-IT"/>
        </w:rPr>
        <w:t>A</w:t>
      </w:r>
      <w:r w:rsidR="00865AF6" w:rsidRPr="00FB01EF">
        <w:rPr>
          <w:szCs w:val="22"/>
          <w:lang w:val="it-IT"/>
        </w:rPr>
        <w:t>cne</w:t>
      </w:r>
    </w:p>
    <w:p w:rsidR="00865AF6" w:rsidRPr="00FB01EF" w:rsidRDefault="0006289F" w:rsidP="00CC7997">
      <w:pPr>
        <w:numPr>
          <w:ilvl w:val="0"/>
          <w:numId w:val="14"/>
        </w:numPr>
        <w:tabs>
          <w:tab w:val="left" w:pos="680"/>
        </w:tabs>
        <w:ind w:left="567" w:hanging="567"/>
        <w:rPr>
          <w:szCs w:val="22"/>
          <w:lang w:val="it-IT"/>
        </w:rPr>
      </w:pPr>
      <w:r w:rsidRPr="00FB01EF">
        <w:rPr>
          <w:szCs w:val="22"/>
          <w:lang w:val="it-IT"/>
        </w:rPr>
        <w:t>A</w:t>
      </w:r>
      <w:r w:rsidR="00865AF6" w:rsidRPr="00FB01EF">
        <w:rPr>
          <w:szCs w:val="22"/>
          <w:lang w:val="it-IT"/>
        </w:rPr>
        <w:t>umento di peso</w:t>
      </w:r>
    </w:p>
    <w:p w:rsidR="00865AF6" w:rsidRPr="00FB01EF" w:rsidRDefault="00865AF6" w:rsidP="00661348">
      <w:pPr>
        <w:ind w:right="-20"/>
        <w:rPr>
          <w:szCs w:val="22"/>
          <w:lang w:val="it-IT"/>
        </w:rPr>
      </w:pPr>
      <w:r w:rsidRPr="00FB01EF">
        <w:rPr>
          <w:szCs w:val="22"/>
          <w:u w:val="single" w:color="000000"/>
          <w:lang w:val="it-IT"/>
        </w:rPr>
        <w:t>Molto raro</w:t>
      </w:r>
      <w:r w:rsidR="007D79C0" w:rsidRPr="00FB01EF">
        <w:rPr>
          <w:szCs w:val="22"/>
          <w:u w:color="000000"/>
          <w:lang w:val="it-IT"/>
        </w:rPr>
        <w:t xml:space="preserve"> (può interessare fino a 1 persona su 10.000)</w:t>
      </w:r>
    </w:p>
    <w:p w:rsidR="00865AF6" w:rsidRPr="00FB01EF" w:rsidRDefault="00865AF6" w:rsidP="00CC7997">
      <w:pPr>
        <w:numPr>
          <w:ilvl w:val="0"/>
          <w:numId w:val="14"/>
        </w:numPr>
        <w:tabs>
          <w:tab w:val="left" w:pos="680"/>
        </w:tabs>
        <w:ind w:left="567" w:hanging="567"/>
        <w:rPr>
          <w:szCs w:val="22"/>
          <w:lang w:val="it-IT"/>
        </w:rPr>
      </w:pPr>
      <w:r w:rsidRPr="00FB01EF">
        <w:rPr>
          <w:szCs w:val="22"/>
          <w:lang w:val="it-IT"/>
        </w:rPr>
        <w:t>L’asma può peggiorare.</w:t>
      </w:r>
    </w:p>
    <w:p w:rsidR="00865AF6" w:rsidRPr="00FB01EF" w:rsidRDefault="00865AF6" w:rsidP="00661348">
      <w:pPr>
        <w:rPr>
          <w:szCs w:val="22"/>
          <w:lang w:val="it-IT"/>
        </w:rPr>
      </w:pPr>
    </w:p>
    <w:p w:rsidR="00094D8D" w:rsidRPr="00FB01EF" w:rsidRDefault="00094D8D" w:rsidP="00CA2F0A">
      <w:pPr>
        <w:keepNext/>
        <w:tabs>
          <w:tab w:val="left" w:pos="6300"/>
        </w:tabs>
        <w:rPr>
          <w:b/>
          <w:noProof/>
          <w:szCs w:val="22"/>
          <w:lang w:val="it-IT"/>
        </w:rPr>
      </w:pPr>
      <w:r w:rsidRPr="00FB01EF">
        <w:rPr>
          <w:b/>
          <w:noProof/>
          <w:szCs w:val="22"/>
          <w:lang w:val="it-IT"/>
        </w:rPr>
        <w:t>Segnalazione degli effetti indesiderati</w:t>
      </w:r>
    </w:p>
    <w:p w:rsidR="00094D8D" w:rsidRPr="00FB01EF" w:rsidRDefault="00094D8D" w:rsidP="006A390E">
      <w:pPr>
        <w:suppressAutoHyphens/>
        <w:rPr>
          <w:noProof/>
          <w:szCs w:val="22"/>
          <w:lang w:val="it-IT"/>
        </w:rPr>
      </w:pPr>
      <w:r w:rsidRPr="00FB01EF">
        <w:rPr>
          <w:lang w:val="it-IT"/>
        </w:rPr>
        <w:t>Se manifesta un qualsiasi effetto indesiderato, compresi quelli non elencati in questo foglio, si rivolga al</w:t>
      </w:r>
      <w:r w:rsidR="006044A5" w:rsidRPr="00FB01EF">
        <w:rPr>
          <w:lang w:val="it-IT"/>
        </w:rPr>
        <w:t xml:space="preserve"> </w:t>
      </w:r>
      <w:r w:rsidRPr="00FB01EF">
        <w:rPr>
          <w:lang w:val="it-IT"/>
        </w:rPr>
        <w:t>medico, al farmacista o all’infermiere.</w:t>
      </w:r>
      <w:r w:rsidRPr="00FB01EF">
        <w:rPr>
          <w:noProof/>
          <w:szCs w:val="22"/>
          <w:lang w:val="it-IT"/>
        </w:rPr>
        <w:t xml:space="preserve"> </w:t>
      </w:r>
      <w:r w:rsidR="00D805A9" w:rsidRPr="00FB01EF">
        <w:rPr>
          <w:noProof/>
          <w:szCs w:val="22"/>
          <w:lang w:val="it-IT"/>
        </w:rPr>
        <w:t>P</w:t>
      </w:r>
      <w:r w:rsidRPr="00FB01EF">
        <w:rPr>
          <w:noProof/>
          <w:szCs w:val="22"/>
          <w:lang w:val="it-IT"/>
        </w:rPr>
        <w:t xml:space="preserve">uò inoltre segnalare gli effetti indesiderati direttamente tramite </w:t>
      </w:r>
      <w:r w:rsidRPr="00FB01EF">
        <w:rPr>
          <w:noProof/>
          <w:szCs w:val="22"/>
          <w:highlight w:val="lightGray"/>
          <w:lang w:val="it-IT"/>
        </w:rPr>
        <w:t>il sistema nazionale di segnalazione riportato nell’</w:t>
      </w:r>
      <w:hyperlink r:id="rId11" w:history="1">
        <w:r w:rsidR="00D805A9" w:rsidRPr="00FB01EF">
          <w:rPr>
            <w:rStyle w:val="Hyperlink"/>
            <w:noProof/>
            <w:szCs w:val="22"/>
            <w:highlight w:val="lightGray"/>
            <w:lang w:val="it-IT"/>
          </w:rPr>
          <w:t>a</w:t>
        </w:r>
        <w:r w:rsidR="00D72DDF" w:rsidRPr="00FB01EF">
          <w:rPr>
            <w:rStyle w:val="Hyperlink"/>
            <w:noProof/>
            <w:szCs w:val="22"/>
            <w:highlight w:val="lightGray"/>
            <w:lang w:val="it-IT"/>
          </w:rPr>
          <w:t>llegato </w:t>
        </w:r>
        <w:r w:rsidRPr="00FB01EF">
          <w:rPr>
            <w:rStyle w:val="Hyperlink"/>
            <w:noProof/>
            <w:szCs w:val="22"/>
            <w:highlight w:val="lightGray"/>
            <w:lang w:val="it-IT"/>
          </w:rPr>
          <w:t>V</w:t>
        </w:r>
      </w:hyperlink>
      <w:r w:rsidRPr="00FB01EF">
        <w:rPr>
          <w:noProof/>
          <w:szCs w:val="22"/>
          <w:lang w:val="it-IT"/>
        </w:rPr>
        <w:t>.</w:t>
      </w:r>
      <w:r w:rsidR="00C60A7C" w:rsidRPr="00FB01EF">
        <w:rPr>
          <w:noProof/>
          <w:szCs w:val="22"/>
          <w:lang w:val="it-IT"/>
        </w:rPr>
        <w:t xml:space="preserve"> </w:t>
      </w:r>
      <w:r w:rsidRPr="00FB01EF">
        <w:rPr>
          <w:noProof/>
          <w:szCs w:val="22"/>
          <w:lang w:val="it-IT"/>
        </w:rPr>
        <w:t>Segnalando gli effetti indesiderati può contribuire a fornire maggiori informazioni sulla sicurezza di questo medicinale.</w:t>
      </w:r>
    </w:p>
    <w:p w:rsidR="00865AF6" w:rsidRPr="00FB01EF" w:rsidRDefault="00865AF6" w:rsidP="00865AF6">
      <w:pPr>
        <w:rPr>
          <w:szCs w:val="22"/>
          <w:lang w:val="it-IT"/>
        </w:rPr>
      </w:pPr>
    </w:p>
    <w:p w:rsidR="009B6496" w:rsidRPr="00FB01EF" w:rsidRDefault="009B6496" w:rsidP="00496272">
      <w:pPr>
        <w:numPr>
          <w:ilvl w:val="12"/>
          <w:numId w:val="0"/>
        </w:numPr>
        <w:tabs>
          <w:tab w:val="clear" w:pos="567"/>
        </w:tabs>
        <w:ind w:right="-2"/>
        <w:rPr>
          <w:noProof/>
          <w:szCs w:val="22"/>
          <w:lang w:val="it-IT"/>
        </w:rPr>
      </w:pPr>
    </w:p>
    <w:p w:rsidR="009B6496" w:rsidRPr="00FB01EF" w:rsidRDefault="009B6496" w:rsidP="00496272">
      <w:pPr>
        <w:numPr>
          <w:ilvl w:val="12"/>
          <w:numId w:val="0"/>
        </w:numPr>
        <w:tabs>
          <w:tab w:val="clear" w:pos="567"/>
        </w:tabs>
        <w:ind w:left="567" w:right="-2" w:hanging="567"/>
        <w:rPr>
          <w:b/>
          <w:noProof/>
          <w:szCs w:val="22"/>
          <w:lang w:val="it-IT"/>
        </w:rPr>
      </w:pPr>
      <w:r w:rsidRPr="00FB01EF">
        <w:rPr>
          <w:b/>
          <w:noProof/>
          <w:szCs w:val="22"/>
          <w:lang w:val="it-IT"/>
        </w:rPr>
        <w:t>5.</w:t>
      </w:r>
      <w:r w:rsidRPr="00FB01EF">
        <w:rPr>
          <w:b/>
          <w:noProof/>
          <w:szCs w:val="22"/>
          <w:lang w:val="it-IT"/>
        </w:rPr>
        <w:tab/>
      </w:r>
      <w:r w:rsidR="007D264A" w:rsidRPr="00FB01EF">
        <w:rPr>
          <w:b/>
          <w:bCs/>
          <w:szCs w:val="22"/>
          <w:lang w:val="it-IT"/>
        </w:rPr>
        <w:t>Come conservare Ovaleap</w:t>
      </w:r>
    </w:p>
    <w:p w:rsidR="009B6496" w:rsidRPr="00FB01EF" w:rsidRDefault="009B6496" w:rsidP="00496272">
      <w:pPr>
        <w:numPr>
          <w:ilvl w:val="12"/>
          <w:numId w:val="0"/>
        </w:numPr>
        <w:tabs>
          <w:tab w:val="clear" w:pos="567"/>
        </w:tabs>
        <w:ind w:right="-2"/>
        <w:rPr>
          <w:noProof/>
          <w:szCs w:val="22"/>
          <w:lang w:val="it-IT"/>
        </w:rPr>
      </w:pPr>
    </w:p>
    <w:p w:rsidR="009B6496" w:rsidRPr="00FB01EF" w:rsidRDefault="00D805A9" w:rsidP="00496272">
      <w:pPr>
        <w:numPr>
          <w:ilvl w:val="12"/>
          <w:numId w:val="0"/>
        </w:numPr>
        <w:tabs>
          <w:tab w:val="clear" w:pos="567"/>
        </w:tabs>
        <w:ind w:right="-2"/>
        <w:rPr>
          <w:noProof/>
          <w:szCs w:val="22"/>
          <w:lang w:val="it-IT"/>
        </w:rPr>
      </w:pPr>
      <w:r w:rsidRPr="00FB01EF">
        <w:rPr>
          <w:szCs w:val="22"/>
          <w:lang w:val="it-IT"/>
        </w:rPr>
        <w:t>Conservi</w:t>
      </w:r>
      <w:r w:rsidR="00865AF6" w:rsidRPr="00FB01EF">
        <w:rPr>
          <w:szCs w:val="22"/>
          <w:lang w:val="it-IT"/>
        </w:rPr>
        <w:t xml:space="preserve"> </w:t>
      </w:r>
      <w:r w:rsidR="007D264A" w:rsidRPr="00FB01EF">
        <w:rPr>
          <w:szCs w:val="22"/>
          <w:lang w:val="it-IT"/>
        </w:rPr>
        <w:t>questo medicinale</w:t>
      </w:r>
      <w:r w:rsidR="00865AF6" w:rsidRPr="00FB01EF">
        <w:rPr>
          <w:szCs w:val="22"/>
          <w:lang w:val="it-IT"/>
        </w:rPr>
        <w:t xml:space="preserve"> fuori </w:t>
      </w:r>
      <w:r w:rsidR="007D264A" w:rsidRPr="00FB01EF">
        <w:rPr>
          <w:szCs w:val="22"/>
          <w:lang w:val="it-IT"/>
        </w:rPr>
        <w:t>dalla</w:t>
      </w:r>
      <w:r w:rsidR="00865AF6" w:rsidRPr="00FB01EF">
        <w:rPr>
          <w:szCs w:val="22"/>
          <w:lang w:val="it-IT"/>
        </w:rPr>
        <w:t xml:space="preserve"> vista </w:t>
      </w:r>
      <w:r w:rsidR="007D264A" w:rsidRPr="00FB01EF">
        <w:rPr>
          <w:szCs w:val="22"/>
          <w:lang w:val="it-IT"/>
        </w:rPr>
        <w:t xml:space="preserve">e dalla portata </w:t>
      </w:r>
      <w:r w:rsidR="00865AF6" w:rsidRPr="00FB01EF">
        <w:rPr>
          <w:szCs w:val="22"/>
          <w:lang w:val="it-IT"/>
        </w:rPr>
        <w:t>dei bambini</w:t>
      </w:r>
      <w:r w:rsidR="009B6496" w:rsidRPr="00FB01EF">
        <w:rPr>
          <w:noProof/>
          <w:szCs w:val="22"/>
          <w:lang w:val="it-IT"/>
        </w:rPr>
        <w:t>.</w:t>
      </w:r>
    </w:p>
    <w:p w:rsidR="009B6496" w:rsidRPr="00FB01EF" w:rsidRDefault="009B6496" w:rsidP="00496272">
      <w:pPr>
        <w:numPr>
          <w:ilvl w:val="12"/>
          <w:numId w:val="0"/>
        </w:numPr>
        <w:tabs>
          <w:tab w:val="clear" w:pos="567"/>
        </w:tabs>
        <w:ind w:right="-2"/>
        <w:rPr>
          <w:noProof/>
          <w:szCs w:val="22"/>
          <w:lang w:val="it-IT"/>
        </w:rPr>
      </w:pPr>
    </w:p>
    <w:p w:rsidR="009B6496" w:rsidRPr="00FB01EF" w:rsidRDefault="00865AF6" w:rsidP="00D64948">
      <w:pPr>
        <w:numPr>
          <w:ilvl w:val="12"/>
          <w:numId w:val="0"/>
        </w:numPr>
        <w:tabs>
          <w:tab w:val="clear" w:pos="567"/>
        </w:tabs>
        <w:ind w:right="-2"/>
        <w:rPr>
          <w:noProof/>
          <w:szCs w:val="22"/>
          <w:lang w:val="it-IT"/>
        </w:rPr>
      </w:pPr>
      <w:r w:rsidRPr="00FB01EF">
        <w:rPr>
          <w:szCs w:val="22"/>
          <w:lang w:val="it-IT"/>
        </w:rPr>
        <w:t xml:space="preserve">Non usi </w:t>
      </w:r>
      <w:r w:rsidR="007D264A" w:rsidRPr="00FB01EF">
        <w:rPr>
          <w:szCs w:val="22"/>
          <w:lang w:val="it-IT"/>
        </w:rPr>
        <w:t>questo medicinale</w:t>
      </w:r>
      <w:r w:rsidRPr="00FB01EF">
        <w:rPr>
          <w:szCs w:val="22"/>
          <w:lang w:val="it-IT"/>
        </w:rPr>
        <w:t xml:space="preserve"> dopo la data di scadenza che è riportata sull’etichetta </w:t>
      </w:r>
      <w:r w:rsidR="00D64948" w:rsidRPr="00FB01EF">
        <w:rPr>
          <w:lang w:val="it-IT"/>
        </w:rPr>
        <w:t>e sull’imballaggio esterno</w:t>
      </w:r>
      <w:r w:rsidRPr="00FB01EF">
        <w:rPr>
          <w:szCs w:val="22"/>
          <w:lang w:val="it-IT"/>
        </w:rPr>
        <w:t xml:space="preserve"> dopo Scad. La data di scadenza si riferisce all’ultimo giorno </w:t>
      </w:r>
      <w:r w:rsidR="007D264A" w:rsidRPr="00FB01EF">
        <w:rPr>
          <w:szCs w:val="22"/>
          <w:lang w:val="it-IT"/>
        </w:rPr>
        <w:t xml:space="preserve">di quel </w:t>
      </w:r>
      <w:r w:rsidRPr="00FB01EF">
        <w:rPr>
          <w:szCs w:val="22"/>
          <w:lang w:val="it-IT"/>
        </w:rPr>
        <w:t>mese</w:t>
      </w:r>
      <w:r w:rsidR="00F962C9" w:rsidRPr="00FB01EF">
        <w:rPr>
          <w:noProof/>
          <w:szCs w:val="22"/>
          <w:lang w:val="it-IT"/>
        </w:rPr>
        <w:t>.</w:t>
      </w:r>
    </w:p>
    <w:p w:rsidR="009B6496" w:rsidRPr="00FB01EF" w:rsidRDefault="009B6496" w:rsidP="00496272">
      <w:pPr>
        <w:numPr>
          <w:ilvl w:val="12"/>
          <w:numId w:val="0"/>
        </w:numPr>
        <w:tabs>
          <w:tab w:val="clear" w:pos="567"/>
        </w:tabs>
        <w:ind w:right="-2"/>
        <w:rPr>
          <w:noProof/>
          <w:szCs w:val="22"/>
          <w:lang w:val="it-IT"/>
        </w:rPr>
      </w:pPr>
    </w:p>
    <w:p w:rsidR="007D264A" w:rsidRPr="00FB01EF" w:rsidRDefault="00865AF6" w:rsidP="00496272">
      <w:pPr>
        <w:tabs>
          <w:tab w:val="clear" w:pos="567"/>
        </w:tabs>
        <w:rPr>
          <w:szCs w:val="22"/>
          <w:lang w:val="it-IT"/>
        </w:rPr>
      </w:pPr>
      <w:r w:rsidRPr="00FB01EF">
        <w:rPr>
          <w:szCs w:val="22"/>
          <w:lang w:val="it-IT"/>
        </w:rPr>
        <w:t>Conservare in frigorifero (2</w:t>
      </w:r>
      <w:r w:rsidR="007D264A" w:rsidRPr="00FB01EF">
        <w:rPr>
          <w:szCs w:val="22"/>
          <w:lang w:val="it-IT"/>
        </w:rPr>
        <w:t> </w:t>
      </w:r>
      <w:r w:rsidRPr="00FB01EF">
        <w:rPr>
          <w:szCs w:val="22"/>
          <w:lang w:val="it-IT"/>
        </w:rPr>
        <w:t>°C</w:t>
      </w:r>
      <w:r w:rsidR="00963A81" w:rsidRPr="00FB01EF">
        <w:rPr>
          <w:szCs w:val="22"/>
          <w:lang w:val="it-IT"/>
        </w:rPr>
        <w:noBreakHyphen/>
      </w:r>
      <w:r w:rsidRPr="00FB01EF">
        <w:rPr>
          <w:szCs w:val="22"/>
          <w:lang w:val="it-IT"/>
        </w:rPr>
        <w:t>8</w:t>
      </w:r>
      <w:r w:rsidR="007D264A" w:rsidRPr="00FB01EF">
        <w:rPr>
          <w:szCs w:val="22"/>
          <w:lang w:val="it-IT"/>
        </w:rPr>
        <w:t> </w:t>
      </w:r>
      <w:r w:rsidRPr="00FB01EF">
        <w:rPr>
          <w:szCs w:val="22"/>
          <w:lang w:val="it-IT"/>
        </w:rPr>
        <w:t>°C).</w:t>
      </w:r>
    </w:p>
    <w:p w:rsidR="007D264A" w:rsidRPr="00FB01EF" w:rsidRDefault="007D264A" w:rsidP="00496272">
      <w:pPr>
        <w:tabs>
          <w:tab w:val="clear" w:pos="567"/>
        </w:tabs>
        <w:rPr>
          <w:szCs w:val="22"/>
          <w:lang w:val="it-IT"/>
        </w:rPr>
      </w:pPr>
    </w:p>
    <w:p w:rsidR="007A27B0" w:rsidRPr="00FB01EF" w:rsidRDefault="00865AF6" w:rsidP="00496272">
      <w:pPr>
        <w:tabs>
          <w:tab w:val="clear" w:pos="567"/>
        </w:tabs>
        <w:rPr>
          <w:szCs w:val="22"/>
          <w:lang w:val="it-IT"/>
        </w:rPr>
      </w:pPr>
      <w:r w:rsidRPr="00FB01EF">
        <w:rPr>
          <w:szCs w:val="22"/>
          <w:lang w:val="it-IT"/>
        </w:rPr>
        <w:t>Non congelare.</w:t>
      </w:r>
    </w:p>
    <w:p w:rsidR="00865AF6" w:rsidRPr="00FB01EF" w:rsidRDefault="00865AF6" w:rsidP="00496272">
      <w:pPr>
        <w:tabs>
          <w:tab w:val="clear" w:pos="567"/>
        </w:tabs>
        <w:rPr>
          <w:noProof/>
          <w:color w:val="000000"/>
          <w:szCs w:val="22"/>
          <w:lang w:val="it-IT"/>
        </w:rPr>
      </w:pPr>
    </w:p>
    <w:p w:rsidR="007D264A" w:rsidRPr="00FB01EF" w:rsidRDefault="007D79C0" w:rsidP="00496272">
      <w:pPr>
        <w:tabs>
          <w:tab w:val="clear" w:pos="567"/>
        </w:tabs>
        <w:rPr>
          <w:noProof/>
          <w:color w:val="000000"/>
          <w:szCs w:val="22"/>
          <w:lang w:val="it-IT"/>
        </w:rPr>
      </w:pPr>
      <w:r w:rsidRPr="00FB01EF">
        <w:rPr>
          <w:noProof/>
          <w:color w:val="000000"/>
          <w:szCs w:val="22"/>
          <w:lang w:val="it-IT"/>
        </w:rPr>
        <w:t>Tenere</w:t>
      </w:r>
      <w:r w:rsidR="007D264A" w:rsidRPr="00FB01EF">
        <w:rPr>
          <w:noProof/>
          <w:color w:val="000000"/>
          <w:szCs w:val="22"/>
          <w:lang w:val="it-IT"/>
        </w:rPr>
        <w:t xml:space="preserve"> la cartuccia </w:t>
      </w:r>
      <w:r w:rsidRPr="00FB01EF">
        <w:rPr>
          <w:noProof/>
          <w:color w:val="000000"/>
          <w:szCs w:val="22"/>
          <w:lang w:val="it-IT"/>
        </w:rPr>
        <w:t>nell</w:t>
      </w:r>
      <w:r w:rsidRPr="00FB01EF">
        <w:rPr>
          <w:szCs w:val="22"/>
          <w:lang w:val="it-IT"/>
        </w:rPr>
        <w:t>’imballaggio esterno</w:t>
      </w:r>
      <w:r w:rsidR="007D264A" w:rsidRPr="00FB01EF">
        <w:rPr>
          <w:noProof/>
          <w:color w:val="000000"/>
          <w:szCs w:val="22"/>
          <w:lang w:val="it-IT"/>
        </w:rPr>
        <w:t xml:space="preserve"> per proteggere il medicinale dalla luce.</w:t>
      </w:r>
    </w:p>
    <w:p w:rsidR="007D264A" w:rsidRPr="00FB01EF" w:rsidRDefault="007D264A" w:rsidP="00496272">
      <w:pPr>
        <w:tabs>
          <w:tab w:val="clear" w:pos="567"/>
        </w:tabs>
        <w:rPr>
          <w:noProof/>
          <w:color w:val="000000"/>
          <w:szCs w:val="22"/>
          <w:lang w:val="it-IT"/>
        </w:rPr>
      </w:pPr>
    </w:p>
    <w:p w:rsidR="007A27B0" w:rsidRPr="00FB01EF" w:rsidRDefault="007D264A" w:rsidP="00496272">
      <w:pPr>
        <w:tabs>
          <w:tab w:val="clear" w:pos="567"/>
        </w:tabs>
        <w:rPr>
          <w:noProof/>
          <w:color w:val="000000"/>
          <w:szCs w:val="22"/>
          <w:lang w:val="it-IT"/>
        </w:rPr>
      </w:pPr>
      <w:r w:rsidRPr="00FB01EF">
        <w:rPr>
          <w:szCs w:val="22"/>
          <w:lang w:val="it-IT"/>
        </w:rPr>
        <w:t>Prima dell’apertura e n</w:t>
      </w:r>
      <w:r w:rsidR="00865AF6" w:rsidRPr="00FB01EF">
        <w:rPr>
          <w:szCs w:val="22"/>
          <w:lang w:val="it-IT"/>
        </w:rPr>
        <w:t xml:space="preserve">el periodo di validità, </w:t>
      </w:r>
      <w:r w:rsidRPr="00FB01EF">
        <w:rPr>
          <w:szCs w:val="22"/>
          <w:lang w:val="it-IT"/>
        </w:rPr>
        <w:t xml:space="preserve">si può togliere il medicinale dal frigorifero, </w:t>
      </w:r>
      <w:r w:rsidR="00865AF6" w:rsidRPr="00FB01EF">
        <w:rPr>
          <w:szCs w:val="22"/>
          <w:lang w:val="it-IT"/>
        </w:rPr>
        <w:t xml:space="preserve">senza </w:t>
      </w:r>
      <w:r w:rsidRPr="00FB01EF">
        <w:rPr>
          <w:szCs w:val="22"/>
          <w:lang w:val="it-IT"/>
        </w:rPr>
        <w:t xml:space="preserve">refrigerarlo </w:t>
      </w:r>
      <w:r w:rsidR="00865AF6" w:rsidRPr="00FB01EF">
        <w:rPr>
          <w:szCs w:val="22"/>
          <w:lang w:val="it-IT"/>
        </w:rPr>
        <w:t>nuovamente</w:t>
      </w:r>
      <w:r w:rsidR="007D79C0" w:rsidRPr="00FB01EF">
        <w:rPr>
          <w:szCs w:val="22"/>
          <w:lang w:val="it-IT"/>
        </w:rPr>
        <w:t>,</w:t>
      </w:r>
      <w:r w:rsidR="00865AF6" w:rsidRPr="00FB01EF">
        <w:rPr>
          <w:szCs w:val="22"/>
          <w:lang w:val="it-IT"/>
        </w:rPr>
        <w:t xml:space="preserve"> </w:t>
      </w:r>
      <w:r w:rsidRPr="00FB01EF">
        <w:rPr>
          <w:szCs w:val="22"/>
          <w:lang w:val="it-IT"/>
        </w:rPr>
        <w:t>per un massimo di 3 mesi</w:t>
      </w:r>
      <w:r w:rsidR="00E76DB8" w:rsidRPr="00FB01EF">
        <w:rPr>
          <w:szCs w:val="22"/>
          <w:lang w:val="it-IT"/>
        </w:rPr>
        <w:t>. Non conservare</w:t>
      </w:r>
      <w:r w:rsidRPr="00FB01EF">
        <w:rPr>
          <w:szCs w:val="22"/>
          <w:lang w:val="it-IT"/>
        </w:rPr>
        <w:t xml:space="preserve"> a temperatura superiore ai </w:t>
      </w:r>
      <w:smartTag w:uri="urn:schemas-microsoft-com:office:smarttags" w:element="metricconverter">
        <w:smartTagPr>
          <w:attr w:name="ProductID" w:val="25ﾠﾰC"/>
        </w:smartTagPr>
        <w:r w:rsidRPr="00FB01EF">
          <w:rPr>
            <w:szCs w:val="22"/>
            <w:lang w:val="it-IT"/>
          </w:rPr>
          <w:t>25 °C</w:t>
        </w:r>
      </w:smartTag>
      <w:r w:rsidRPr="00FB01EF">
        <w:rPr>
          <w:szCs w:val="22"/>
          <w:lang w:val="it-IT"/>
        </w:rPr>
        <w:t>. Gettare il medicinale se non è stato usato entro 3 mesi</w:t>
      </w:r>
      <w:r w:rsidR="007A27B0" w:rsidRPr="00FB01EF">
        <w:rPr>
          <w:noProof/>
          <w:color w:val="000000"/>
          <w:szCs w:val="22"/>
          <w:lang w:val="it-IT"/>
        </w:rPr>
        <w:t>.</w:t>
      </w:r>
    </w:p>
    <w:p w:rsidR="007A27B0" w:rsidRPr="00FB01EF" w:rsidRDefault="007A27B0" w:rsidP="00496272">
      <w:pPr>
        <w:numPr>
          <w:ilvl w:val="12"/>
          <w:numId w:val="0"/>
        </w:numPr>
        <w:tabs>
          <w:tab w:val="clear" w:pos="567"/>
        </w:tabs>
        <w:ind w:right="-2"/>
        <w:rPr>
          <w:noProof/>
          <w:szCs w:val="22"/>
          <w:lang w:val="it-IT"/>
        </w:rPr>
      </w:pPr>
    </w:p>
    <w:p w:rsidR="00625B1E" w:rsidRPr="00FB01EF" w:rsidRDefault="00917731" w:rsidP="00496272">
      <w:pPr>
        <w:tabs>
          <w:tab w:val="clear" w:pos="567"/>
        </w:tabs>
        <w:rPr>
          <w:szCs w:val="22"/>
          <w:lang w:val="it-IT"/>
        </w:rPr>
      </w:pPr>
      <w:r w:rsidRPr="00FB01EF">
        <w:rPr>
          <w:szCs w:val="22"/>
          <w:lang w:val="it-IT"/>
        </w:rPr>
        <w:t>Una volta aperta, l</w:t>
      </w:r>
      <w:r w:rsidR="00625B1E" w:rsidRPr="00FB01EF">
        <w:rPr>
          <w:szCs w:val="22"/>
          <w:lang w:val="it-IT"/>
        </w:rPr>
        <w:t>a cartuccia inclusa nella penna può essere conservata per un massimo di 28 giorni</w:t>
      </w:r>
      <w:r w:rsidRPr="00FB01EF">
        <w:rPr>
          <w:szCs w:val="22"/>
          <w:lang w:val="it-IT"/>
        </w:rPr>
        <w:t>. Non conservare</w:t>
      </w:r>
      <w:r w:rsidR="00625B1E" w:rsidRPr="00FB01EF">
        <w:rPr>
          <w:szCs w:val="22"/>
          <w:lang w:val="it-IT"/>
        </w:rPr>
        <w:t xml:space="preserve"> a temperatura superiore ai </w:t>
      </w:r>
      <w:smartTag w:uri="urn:schemas-microsoft-com:office:smarttags" w:element="metricconverter">
        <w:smartTagPr>
          <w:attr w:name="ProductID" w:val="25ﾠﾰC"/>
        </w:smartTagPr>
        <w:r w:rsidR="00625B1E" w:rsidRPr="00FB01EF">
          <w:rPr>
            <w:szCs w:val="22"/>
            <w:lang w:val="it-IT"/>
          </w:rPr>
          <w:t>25 °C</w:t>
        </w:r>
      </w:smartTag>
      <w:r w:rsidR="00976F29" w:rsidRPr="00FB01EF">
        <w:rPr>
          <w:szCs w:val="22"/>
          <w:lang w:val="it-IT"/>
        </w:rPr>
        <w:t>. Trascrivere</w:t>
      </w:r>
      <w:r w:rsidR="00625B1E" w:rsidRPr="00FB01EF">
        <w:rPr>
          <w:szCs w:val="22"/>
          <w:lang w:val="it-IT"/>
        </w:rPr>
        <w:t xml:space="preserve"> </w:t>
      </w:r>
      <w:r w:rsidRPr="00FB01EF">
        <w:rPr>
          <w:szCs w:val="22"/>
          <w:lang w:val="it-IT"/>
        </w:rPr>
        <w:t>la data</w:t>
      </w:r>
      <w:r w:rsidR="00625B1E" w:rsidRPr="00FB01EF">
        <w:rPr>
          <w:szCs w:val="22"/>
          <w:lang w:val="it-IT"/>
        </w:rPr>
        <w:t xml:space="preserve"> del primo utilizzo nel diario del paziente, che sarà fornito insieme a Ovaleap</w:t>
      </w:r>
      <w:r w:rsidR="00873F98" w:rsidRPr="00FB01EF">
        <w:rPr>
          <w:szCs w:val="22"/>
          <w:lang w:val="it-IT"/>
        </w:rPr>
        <w:t xml:space="preserve"> Pen</w:t>
      </w:r>
      <w:r w:rsidR="00625B1E" w:rsidRPr="00FB01EF">
        <w:rPr>
          <w:szCs w:val="22"/>
          <w:lang w:val="it-IT"/>
        </w:rPr>
        <w:t>.</w:t>
      </w:r>
    </w:p>
    <w:p w:rsidR="00625B1E" w:rsidRPr="00FB01EF" w:rsidRDefault="00625B1E" w:rsidP="00496272">
      <w:pPr>
        <w:tabs>
          <w:tab w:val="clear" w:pos="567"/>
        </w:tabs>
        <w:rPr>
          <w:szCs w:val="22"/>
          <w:lang w:val="it-IT"/>
        </w:rPr>
      </w:pPr>
    </w:p>
    <w:p w:rsidR="00625B1E" w:rsidRPr="00FB01EF" w:rsidRDefault="00976F29" w:rsidP="00496272">
      <w:pPr>
        <w:tabs>
          <w:tab w:val="clear" w:pos="567"/>
        </w:tabs>
        <w:rPr>
          <w:szCs w:val="22"/>
          <w:lang w:val="it-IT"/>
        </w:rPr>
      </w:pPr>
      <w:r w:rsidRPr="00FB01EF">
        <w:rPr>
          <w:szCs w:val="22"/>
          <w:lang w:val="it-IT"/>
        </w:rPr>
        <w:t>Rimetta</w:t>
      </w:r>
      <w:r w:rsidR="00625B1E" w:rsidRPr="00FB01EF">
        <w:rPr>
          <w:szCs w:val="22"/>
          <w:lang w:val="it-IT"/>
        </w:rPr>
        <w:t xml:space="preserve"> il cappuccio su Ovaleap </w:t>
      </w:r>
      <w:r w:rsidR="00873F98" w:rsidRPr="00FB01EF">
        <w:rPr>
          <w:szCs w:val="22"/>
          <w:lang w:val="it-IT"/>
        </w:rPr>
        <w:t xml:space="preserve">Pen </w:t>
      </w:r>
      <w:r w:rsidR="00625B1E" w:rsidRPr="00FB01EF">
        <w:rPr>
          <w:szCs w:val="22"/>
          <w:lang w:val="it-IT"/>
        </w:rPr>
        <w:t>dopo ogni iniezione per proteggere la cartuccia dall</w:t>
      </w:r>
      <w:r w:rsidRPr="00FB01EF">
        <w:rPr>
          <w:szCs w:val="22"/>
          <w:lang w:val="it-IT"/>
        </w:rPr>
        <w:t>a</w:t>
      </w:r>
      <w:r w:rsidR="00625B1E" w:rsidRPr="00FB01EF">
        <w:rPr>
          <w:szCs w:val="22"/>
          <w:lang w:val="it-IT"/>
        </w:rPr>
        <w:t xml:space="preserve"> luce.</w:t>
      </w:r>
    </w:p>
    <w:p w:rsidR="007A27B0" w:rsidRPr="00FB01EF" w:rsidRDefault="007A27B0" w:rsidP="00496272">
      <w:pPr>
        <w:numPr>
          <w:ilvl w:val="12"/>
          <w:numId w:val="0"/>
        </w:numPr>
        <w:tabs>
          <w:tab w:val="clear" w:pos="567"/>
        </w:tabs>
        <w:ind w:right="-2"/>
        <w:rPr>
          <w:noProof/>
          <w:szCs w:val="22"/>
          <w:highlight w:val="yellow"/>
          <w:lang w:val="it-IT"/>
        </w:rPr>
      </w:pPr>
    </w:p>
    <w:p w:rsidR="009B6496" w:rsidRPr="00FB01EF" w:rsidRDefault="00865AF6" w:rsidP="00496272">
      <w:pPr>
        <w:numPr>
          <w:ilvl w:val="12"/>
          <w:numId w:val="0"/>
        </w:numPr>
        <w:tabs>
          <w:tab w:val="clear" w:pos="567"/>
        </w:tabs>
        <w:ind w:right="-2"/>
        <w:rPr>
          <w:noProof/>
          <w:szCs w:val="22"/>
          <w:lang w:val="it-IT"/>
        </w:rPr>
      </w:pPr>
      <w:r w:rsidRPr="00FB01EF">
        <w:rPr>
          <w:szCs w:val="22"/>
          <w:lang w:val="it-IT"/>
        </w:rPr>
        <w:t xml:space="preserve">Non usi </w:t>
      </w:r>
      <w:r w:rsidR="00625B1E" w:rsidRPr="00FB01EF">
        <w:rPr>
          <w:szCs w:val="22"/>
          <w:lang w:val="it-IT"/>
        </w:rPr>
        <w:t>questo medicinale</w:t>
      </w:r>
      <w:r w:rsidRPr="00FB01EF">
        <w:rPr>
          <w:szCs w:val="22"/>
          <w:lang w:val="it-IT"/>
        </w:rPr>
        <w:t xml:space="preserve"> se nota </w:t>
      </w:r>
      <w:r w:rsidR="00625B1E" w:rsidRPr="00FB01EF">
        <w:rPr>
          <w:szCs w:val="22"/>
          <w:lang w:val="it-IT"/>
        </w:rPr>
        <w:t>che</w:t>
      </w:r>
      <w:r w:rsidRPr="00FB01EF">
        <w:rPr>
          <w:szCs w:val="22"/>
          <w:lang w:val="it-IT"/>
        </w:rPr>
        <w:t xml:space="preserve"> non è limpido</w:t>
      </w:r>
      <w:r w:rsidR="00625B1E" w:rsidRPr="00FB01EF">
        <w:rPr>
          <w:szCs w:val="22"/>
          <w:lang w:val="it-IT"/>
        </w:rPr>
        <w:t xml:space="preserve"> o che contiene particelle</w:t>
      </w:r>
      <w:r w:rsidR="007A27B0" w:rsidRPr="00FB01EF">
        <w:rPr>
          <w:szCs w:val="22"/>
          <w:lang w:val="it-IT"/>
        </w:rPr>
        <w:t>.</w:t>
      </w:r>
    </w:p>
    <w:p w:rsidR="007A27B0" w:rsidRPr="00FB01EF" w:rsidRDefault="007A27B0" w:rsidP="00496272">
      <w:pPr>
        <w:numPr>
          <w:ilvl w:val="12"/>
          <w:numId w:val="0"/>
        </w:numPr>
        <w:tabs>
          <w:tab w:val="clear" w:pos="567"/>
        </w:tabs>
        <w:ind w:right="-2"/>
        <w:rPr>
          <w:noProof/>
          <w:szCs w:val="22"/>
          <w:lang w:val="it-IT"/>
        </w:rPr>
      </w:pPr>
    </w:p>
    <w:p w:rsidR="00865AF6" w:rsidRPr="00FB01EF" w:rsidRDefault="00625B1E" w:rsidP="00496272">
      <w:pPr>
        <w:numPr>
          <w:ilvl w:val="12"/>
          <w:numId w:val="0"/>
        </w:numPr>
        <w:tabs>
          <w:tab w:val="clear" w:pos="567"/>
        </w:tabs>
        <w:ind w:right="-2"/>
        <w:rPr>
          <w:szCs w:val="22"/>
          <w:lang w:val="it-IT"/>
        </w:rPr>
      </w:pPr>
      <w:r w:rsidRPr="00FB01EF">
        <w:rPr>
          <w:szCs w:val="22"/>
          <w:lang w:val="it-IT"/>
        </w:rPr>
        <w:t>Non getti alcun medicinale</w:t>
      </w:r>
      <w:r w:rsidR="00865AF6" w:rsidRPr="00FB01EF">
        <w:rPr>
          <w:szCs w:val="22"/>
          <w:lang w:val="it-IT"/>
        </w:rPr>
        <w:t xml:space="preserve"> nell’acqua di scarico. Chieda al farmacista come eliminare i medicinali che non utilizza più. Questo aiuterà a proteggere l’ambiente.</w:t>
      </w:r>
    </w:p>
    <w:p w:rsidR="00865AF6" w:rsidRPr="00FB01EF" w:rsidRDefault="00865AF6" w:rsidP="00496272">
      <w:pPr>
        <w:numPr>
          <w:ilvl w:val="12"/>
          <w:numId w:val="0"/>
        </w:numPr>
        <w:tabs>
          <w:tab w:val="clear" w:pos="567"/>
        </w:tabs>
        <w:ind w:right="-2"/>
        <w:rPr>
          <w:noProof/>
          <w:szCs w:val="22"/>
          <w:lang w:val="it-IT"/>
        </w:rPr>
      </w:pPr>
    </w:p>
    <w:p w:rsidR="004B4383" w:rsidRPr="00FB01EF" w:rsidRDefault="004B4383" w:rsidP="00496272">
      <w:pPr>
        <w:numPr>
          <w:ilvl w:val="12"/>
          <w:numId w:val="0"/>
        </w:numPr>
        <w:tabs>
          <w:tab w:val="clear" w:pos="567"/>
        </w:tabs>
        <w:ind w:right="-2"/>
        <w:rPr>
          <w:noProof/>
          <w:szCs w:val="22"/>
          <w:lang w:val="it-IT"/>
        </w:rPr>
      </w:pPr>
    </w:p>
    <w:p w:rsidR="009B6496" w:rsidRPr="00FB01EF" w:rsidRDefault="009B6496" w:rsidP="00496272">
      <w:pPr>
        <w:numPr>
          <w:ilvl w:val="12"/>
          <w:numId w:val="0"/>
        </w:numPr>
        <w:ind w:right="-2"/>
        <w:rPr>
          <w:b/>
          <w:noProof/>
          <w:szCs w:val="22"/>
          <w:lang w:val="it-IT"/>
        </w:rPr>
      </w:pPr>
      <w:r w:rsidRPr="00FB01EF">
        <w:rPr>
          <w:b/>
          <w:noProof/>
          <w:szCs w:val="22"/>
          <w:lang w:val="it-IT"/>
        </w:rPr>
        <w:t>6.</w:t>
      </w:r>
      <w:r w:rsidRPr="00FB01EF">
        <w:rPr>
          <w:b/>
          <w:noProof/>
          <w:szCs w:val="22"/>
          <w:lang w:val="it-IT"/>
        </w:rPr>
        <w:tab/>
      </w:r>
      <w:r w:rsidR="00625B1E" w:rsidRPr="00FB01EF">
        <w:rPr>
          <w:b/>
          <w:bCs/>
          <w:szCs w:val="22"/>
          <w:lang w:val="it-IT"/>
        </w:rPr>
        <w:t>Contenuto della confezione e altre informazioni</w:t>
      </w:r>
      <w:r w:rsidR="00865AF6" w:rsidRPr="00FB01EF">
        <w:rPr>
          <w:b/>
          <w:bCs/>
          <w:szCs w:val="22"/>
          <w:lang w:val="it-IT"/>
        </w:rPr>
        <w:t xml:space="preserve"> </w:t>
      </w:r>
    </w:p>
    <w:p w:rsidR="009B6496" w:rsidRPr="00FB01EF" w:rsidRDefault="009B6496" w:rsidP="00496272">
      <w:pPr>
        <w:numPr>
          <w:ilvl w:val="12"/>
          <w:numId w:val="0"/>
        </w:numPr>
        <w:tabs>
          <w:tab w:val="clear" w:pos="567"/>
        </w:tabs>
        <w:rPr>
          <w:noProof/>
          <w:szCs w:val="22"/>
          <w:lang w:val="it-IT"/>
        </w:rPr>
      </w:pPr>
    </w:p>
    <w:p w:rsidR="009B6496" w:rsidRPr="00FB01EF" w:rsidRDefault="00865AF6" w:rsidP="00496272">
      <w:pPr>
        <w:numPr>
          <w:ilvl w:val="12"/>
          <w:numId w:val="0"/>
        </w:numPr>
        <w:tabs>
          <w:tab w:val="clear" w:pos="567"/>
        </w:tabs>
        <w:ind w:right="-2"/>
        <w:rPr>
          <w:b/>
          <w:bCs/>
          <w:noProof/>
          <w:szCs w:val="22"/>
          <w:lang w:val="it-IT"/>
        </w:rPr>
      </w:pPr>
      <w:r w:rsidRPr="00FB01EF">
        <w:rPr>
          <w:b/>
          <w:bCs/>
          <w:szCs w:val="22"/>
          <w:lang w:val="it-IT"/>
        </w:rPr>
        <w:t xml:space="preserve">Cosa contiene </w:t>
      </w:r>
      <w:r w:rsidR="00625B1E" w:rsidRPr="00FB01EF">
        <w:rPr>
          <w:b/>
          <w:bCs/>
          <w:szCs w:val="22"/>
          <w:lang w:val="it-IT"/>
        </w:rPr>
        <w:t>Ovaleap</w:t>
      </w:r>
    </w:p>
    <w:p w:rsidR="009B6496" w:rsidRPr="00FB01EF" w:rsidRDefault="00865AF6" w:rsidP="00CC7997">
      <w:pPr>
        <w:numPr>
          <w:ilvl w:val="0"/>
          <w:numId w:val="2"/>
        </w:numPr>
        <w:tabs>
          <w:tab w:val="clear" w:pos="567"/>
        </w:tabs>
        <w:ind w:left="567" w:hanging="567"/>
        <w:rPr>
          <w:noProof/>
          <w:szCs w:val="22"/>
          <w:lang w:val="it-IT"/>
        </w:rPr>
      </w:pPr>
      <w:r w:rsidRPr="00FB01EF">
        <w:rPr>
          <w:szCs w:val="22"/>
          <w:lang w:val="it-IT"/>
        </w:rPr>
        <w:t>Il principio attivo è follitropina alfa</w:t>
      </w:r>
      <w:r w:rsidR="007A27B0" w:rsidRPr="00FB01EF">
        <w:rPr>
          <w:noProof/>
          <w:szCs w:val="22"/>
          <w:lang w:val="it-IT"/>
        </w:rPr>
        <w:t>.</w:t>
      </w:r>
    </w:p>
    <w:p w:rsidR="00625B1E" w:rsidRPr="00FB01EF" w:rsidRDefault="00625B1E" w:rsidP="00F97DD8">
      <w:pPr>
        <w:tabs>
          <w:tab w:val="clear" w:pos="567"/>
        </w:tabs>
        <w:ind w:left="567"/>
        <w:rPr>
          <w:noProof/>
          <w:szCs w:val="22"/>
          <w:lang w:val="it-IT"/>
        </w:rPr>
      </w:pPr>
      <w:r w:rsidRPr="00FB01EF">
        <w:rPr>
          <w:noProof/>
          <w:szCs w:val="22"/>
          <w:lang w:val="it-IT"/>
        </w:rPr>
        <w:t>Ovaleap 300 UI/0,5 mL: ogni cartuccia contiene 300 UI</w:t>
      </w:r>
      <w:r w:rsidR="00905CF9" w:rsidRPr="00FB01EF">
        <w:rPr>
          <w:szCs w:val="22"/>
          <w:lang w:val="it-IT"/>
        </w:rPr>
        <w:t xml:space="preserve"> </w:t>
      </w:r>
      <w:r w:rsidR="00905CF9" w:rsidRPr="00FB01EF">
        <w:rPr>
          <w:noProof/>
          <w:color w:val="000000"/>
          <w:szCs w:val="22"/>
          <w:lang w:val="it-IT"/>
        </w:rPr>
        <w:t>(equivalenti a 22 microgrammi)</w:t>
      </w:r>
      <w:r w:rsidRPr="00FB01EF">
        <w:rPr>
          <w:noProof/>
          <w:szCs w:val="22"/>
          <w:lang w:val="it-IT"/>
        </w:rPr>
        <w:t xml:space="preserve"> di follitropina alfa in 0,5 mL di soluzione.</w:t>
      </w:r>
    </w:p>
    <w:p w:rsidR="00625B1E" w:rsidRPr="00FB01EF" w:rsidRDefault="00625B1E" w:rsidP="00F97DD8">
      <w:pPr>
        <w:tabs>
          <w:tab w:val="clear" w:pos="567"/>
        </w:tabs>
        <w:ind w:left="567"/>
        <w:rPr>
          <w:noProof/>
          <w:szCs w:val="22"/>
          <w:lang w:val="it-IT"/>
        </w:rPr>
      </w:pPr>
      <w:r w:rsidRPr="00FB01EF">
        <w:rPr>
          <w:noProof/>
          <w:szCs w:val="22"/>
          <w:lang w:val="it-IT"/>
        </w:rPr>
        <w:t>Ovaleap 450 UI/0,75 mL: ogni cartuccia contiene 450 UI</w:t>
      </w:r>
      <w:r w:rsidR="00905CF9" w:rsidRPr="00FB01EF">
        <w:rPr>
          <w:szCs w:val="22"/>
          <w:lang w:val="it-IT"/>
        </w:rPr>
        <w:t xml:space="preserve"> </w:t>
      </w:r>
      <w:r w:rsidR="00905CF9" w:rsidRPr="00FB01EF">
        <w:rPr>
          <w:noProof/>
          <w:color w:val="000000"/>
          <w:szCs w:val="22"/>
          <w:lang w:val="it-IT"/>
        </w:rPr>
        <w:t>(equivalenti a 33 microgrammi)</w:t>
      </w:r>
      <w:r w:rsidRPr="00FB01EF">
        <w:rPr>
          <w:noProof/>
          <w:szCs w:val="22"/>
          <w:lang w:val="it-IT"/>
        </w:rPr>
        <w:t xml:space="preserve"> di follitropina alfa in 0,75 mL di soluzione.</w:t>
      </w:r>
    </w:p>
    <w:p w:rsidR="00625B1E" w:rsidRPr="00FB01EF" w:rsidRDefault="00625B1E" w:rsidP="00F97DD8">
      <w:pPr>
        <w:tabs>
          <w:tab w:val="clear" w:pos="567"/>
        </w:tabs>
        <w:ind w:left="567"/>
        <w:rPr>
          <w:noProof/>
          <w:szCs w:val="22"/>
          <w:lang w:val="it-IT"/>
        </w:rPr>
      </w:pPr>
      <w:r w:rsidRPr="00FB01EF">
        <w:rPr>
          <w:noProof/>
          <w:szCs w:val="22"/>
          <w:lang w:val="it-IT"/>
        </w:rPr>
        <w:t>Ovaleap 900 UI/1,5 mL: ogni cartuccia contiene 900 UI</w:t>
      </w:r>
      <w:r w:rsidR="00905CF9" w:rsidRPr="00FB01EF">
        <w:rPr>
          <w:szCs w:val="22"/>
          <w:lang w:val="it-IT"/>
        </w:rPr>
        <w:t xml:space="preserve"> </w:t>
      </w:r>
      <w:r w:rsidR="00905CF9" w:rsidRPr="00FB01EF">
        <w:rPr>
          <w:noProof/>
          <w:color w:val="000000"/>
          <w:szCs w:val="22"/>
          <w:lang w:val="it-IT"/>
        </w:rPr>
        <w:t>(equivalenti a 66 microgrammi)</w:t>
      </w:r>
      <w:r w:rsidRPr="00FB01EF">
        <w:rPr>
          <w:noProof/>
          <w:szCs w:val="22"/>
          <w:lang w:val="it-IT"/>
        </w:rPr>
        <w:t xml:space="preserve"> di follitropin</w:t>
      </w:r>
      <w:r w:rsidR="00976F29" w:rsidRPr="00FB01EF">
        <w:rPr>
          <w:noProof/>
          <w:szCs w:val="22"/>
          <w:lang w:val="it-IT"/>
        </w:rPr>
        <w:t>a alfa in 1,5 mL di soluzione.</w:t>
      </w:r>
    </w:p>
    <w:p w:rsidR="00905CF9" w:rsidRPr="00FB01EF" w:rsidRDefault="00905CF9" w:rsidP="00F97DD8">
      <w:pPr>
        <w:tabs>
          <w:tab w:val="clear" w:pos="567"/>
        </w:tabs>
        <w:ind w:left="567"/>
        <w:rPr>
          <w:noProof/>
          <w:szCs w:val="22"/>
          <w:lang w:val="it-IT"/>
        </w:rPr>
      </w:pPr>
      <w:r w:rsidRPr="00FB01EF">
        <w:rPr>
          <w:szCs w:val="22"/>
          <w:lang w:val="it-IT"/>
        </w:rPr>
        <w:t xml:space="preserve">Ogni mL della soluzione contiene 600 UI </w:t>
      </w:r>
      <w:r w:rsidRPr="00FB01EF">
        <w:rPr>
          <w:noProof/>
          <w:color w:val="000000"/>
          <w:szCs w:val="22"/>
          <w:lang w:val="it-IT"/>
        </w:rPr>
        <w:t xml:space="preserve">(equivalenti a 44 microgrammi) </w:t>
      </w:r>
      <w:r w:rsidRPr="00FB01EF">
        <w:rPr>
          <w:szCs w:val="22"/>
          <w:lang w:val="it-IT"/>
        </w:rPr>
        <w:t>di follitropina alfa.</w:t>
      </w:r>
    </w:p>
    <w:p w:rsidR="009B6496" w:rsidRPr="00FB01EF" w:rsidRDefault="00865AF6" w:rsidP="00CC7997">
      <w:pPr>
        <w:numPr>
          <w:ilvl w:val="0"/>
          <w:numId w:val="2"/>
        </w:numPr>
        <w:tabs>
          <w:tab w:val="clear" w:pos="567"/>
        </w:tabs>
        <w:ind w:left="567" w:hanging="567"/>
        <w:rPr>
          <w:szCs w:val="22"/>
          <w:lang w:val="it-IT"/>
        </w:rPr>
      </w:pPr>
      <w:r w:rsidRPr="00FB01EF">
        <w:rPr>
          <w:szCs w:val="22"/>
          <w:lang w:val="it-IT"/>
        </w:rPr>
        <w:t xml:space="preserve">Gli </w:t>
      </w:r>
      <w:r w:rsidR="00625B1E" w:rsidRPr="00FB01EF">
        <w:rPr>
          <w:szCs w:val="22"/>
          <w:lang w:val="it-IT"/>
        </w:rPr>
        <w:t xml:space="preserve">altri componenti </w:t>
      </w:r>
      <w:r w:rsidRPr="00FB01EF">
        <w:rPr>
          <w:szCs w:val="22"/>
          <w:lang w:val="it-IT"/>
        </w:rPr>
        <w:t xml:space="preserve">sono sodio </w:t>
      </w:r>
      <w:r w:rsidR="00625B1E" w:rsidRPr="00FB01EF">
        <w:rPr>
          <w:szCs w:val="22"/>
          <w:lang w:val="it-IT"/>
        </w:rPr>
        <w:t xml:space="preserve">diidrogeno </w:t>
      </w:r>
      <w:r w:rsidRPr="00FB01EF">
        <w:rPr>
          <w:szCs w:val="22"/>
          <w:lang w:val="it-IT"/>
        </w:rPr>
        <w:t>fosfato diidrato, sodio idrossido</w:t>
      </w:r>
      <w:r w:rsidR="00625B1E" w:rsidRPr="00FB01EF">
        <w:rPr>
          <w:szCs w:val="22"/>
          <w:lang w:val="it-IT"/>
        </w:rPr>
        <w:t xml:space="preserve"> (</w:t>
      </w:r>
      <w:smartTag w:uri="urn:schemas-microsoft-com:office:smarttags" w:element="metricconverter">
        <w:smartTagPr>
          <w:attr w:name="ProductID" w:val="2ﾠM"/>
        </w:smartTagPr>
        <w:r w:rsidR="00625B1E" w:rsidRPr="00FB01EF">
          <w:rPr>
            <w:szCs w:val="22"/>
            <w:lang w:val="it-IT"/>
          </w:rPr>
          <w:t>2 M</w:t>
        </w:r>
      </w:smartTag>
      <w:r w:rsidR="00625B1E" w:rsidRPr="00FB01EF">
        <w:rPr>
          <w:szCs w:val="22"/>
          <w:lang w:val="it-IT"/>
        </w:rPr>
        <w:t>) (per la regolazione d</w:t>
      </w:r>
      <w:r w:rsidR="00B76351" w:rsidRPr="00FB01EF">
        <w:rPr>
          <w:szCs w:val="22"/>
          <w:lang w:val="it-IT"/>
        </w:rPr>
        <w:t>e</w:t>
      </w:r>
      <w:r w:rsidR="00625B1E" w:rsidRPr="00FB01EF">
        <w:rPr>
          <w:szCs w:val="22"/>
          <w:lang w:val="it-IT"/>
        </w:rPr>
        <w:t>l pH), mannitolo, metionina, polisorbato 20, alc</w:t>
      </w:r>
      <w:r w:rsidR="00B76351" w:rsidRPr="00FB01EF">
        <w:rPr>
          <w:szCs w:val="22"/>
          <w:lang w:val="it-IT"/>
        </w:rPr>
        <w:t>o</w:t>
      </w:r>
      <w:r w:rsidR="00625B1E" w:rsidRPr="00FB01EF">
        <w:rPr>
          <w:szCs w:val="22"/>
          <w:lang w:val="it-IT"/>
        </w:rPr>
        <w:t>ol benzilico, benzalconio cloruro</w:t>
      </w:r>
      <w:r w:rsidRPr="00FB01EF">
        <w:rPr>
          <w:szCs w:val="22"/>
          <w:lang w:val="it-IT"/>
        </w:rPr>
        <w:t xml:space="preserve"> e acqua per preparazioni iniettabili</w:t>
      </w:r>
      <w:r w:rsidR="00262A7E" w:rsidRPr="00FB01EF">
        <w:rPr>
          <w:szCs w:val="22"/>
          <w:lang w:val="it-IT"/>
        </w:rPr>
        <w:t>.</w:t>
      </w:r>
    </w:p>
    <w:p w:rsidR="009B6496" w:rsidRPr="00FB01EF" w:rsidRDefault="00E83B14" w:rsidP="00E83B14">
      <w:pPr>
        <w:tabs>
          <w:tab w:val="clear" w:pos="567"/>
        </w:tabs>
        <w:ind w:firstLine="567"/>
        <w:rPr>
          <w:noProof/>
          <w:szCs w:val="22"/>
          <w:lang w:val="it-IT"/>
        </w:rPr>
      </w:pPr>
      <w:r w:rsidRPr="00FB01EF">
        <w:rPr>
          <w:noProof/>
          <w:szCs w:val="22"/>
          <w:lang w:val="it-IT"/>
        </w:rPr>
        <w:t>Tutti i dosaggi sopra elencati contengono gli altri componenti.</w:t>
      </w:r>
    </w:p>
    <w:p w:rsidR="00E83B14" w:rsidRPr="00FB01EF" w:rsidRDefault="00E83B14" w:rsidP="00E83B14">
      <w:pPr>
        <w:tabs>
          <w:tab w:val="clear" w:pos="567"/>
        </w:tabs>
        <w:ind w:firstLine="567"/>
        <w:rPr>
          <w:noProof/>
          <w:szCs w:val="22"/>
          <w:lang w:val="it-IT"/>
        </w:rPr>
      </w:pPr>
    </w:p>
    <w:p w:rsidR="009B6496" w:rsidRPr="00FB01EF" w:rsidRDefault="00865AF6" w:rsidP="00496272">
      <w:pPr>
        <w:numPr>
          <w:ilvl w:val="12"/>
          <w:numId w:val="0"/>
        </w:numPr>
        <w:tabs>
          <w:tab w:val="clear" w:pos="567"/>
        </w:tabs>
        <w:ind w:right="-2"/>
        <w:rPr>
          <w:b/>
          <w:bCs/>
          <w:szCs w:val="22"/>
          <w:lang w:val="it-IT"/>
        </w:rPr>
      </w:pPr>
      <w:r w:rsidRPr="00FB01EF">
        <w:rPr>
          <w:b/>
          <w:bCs/>
          <w:szCs w:val="22"/>
          <w:lang w:val="it-IT"/>
        </w:rPr>
        <w:t xml:space="preserve">Descrizione dell’aspetto di </w:t>
      </w:r>
      <w:r w:rsidR="00625B1E" w:rsidRPr="00FB01EF">
        <w:rPr>
          <w:b/>
          <w:bCs/>
          <w:szCs w:val="22"/>
          <w:lang w:val="it-IT"/>
        </w:rPr>
        <w:t>Ovaleap</w:t>
      </w:r>
      <w:r w:rsidRPr="00FB01EF">
        <w:rPr>
          <w:b/>
          <w:bCs/>
          <w:szCs w:val="22"/>
          <w:lang w:val="it-IT"/>
        </w:rPr>
        <w:t xml:space="preserve"> e contenuto della confezione</w:t>
      </w:r>
    </w:p>
    <w:p w:rsidR="00FD0383" w:rsidRPr="00FB01EF" w:rsidRDefault="00FD0383" w:rsidP="00496272">
      <w:pPr>
        <w:numPr>
          <w:ilvl w:val="12"/>
          <w:numId w:val="0"/>
        </w:numPr>
        <w:tabs>
          <w:tab w:val="clear" w:pos="567"/>
        </w:tabs>
        <w:ind w:right="-2"/>
        <w:rPr>
          <w:bCs/>
          <w:szCs w:val="22"/>
          <w:lang w:val="it-IT"/>
        </w:rPr>
      </w:pPr>
      <w:r w:rsidRPr="00FB01EF">
        <w:rPr>
          <w:bCs/>
          <w:szCs w:val="22"/>
          <w:lang w:val="it-IT"/>
        </w:rPr>
        <w:t>Ovaleap è una soluzione iniettabile (</w:t>
      </w:r>
      <w:r w:rsidR="00FD73D9" w:rsidRPr="00FB01EF">
        <w:rPr>
          <w:bCs/>
          <w:szCs w:val="22"/>
          <w:lang w:val="it-IT"/>
        </w:rPr>
        <w:t>preparazione iniettabile</w:t>
      </w:r>
      <w:r w:rsidRPr="00FB01EF">
        <w:rPr>
          <w:bCs/>
          <w:szCs w:val="22"/>
          <w:lang w:val="it-IT"/>
        </w:rPr>
        <w:t>). Ovaleap è una soluzione limpida e incolore.</w:t>
      </w:r>
    </w:p>
    <w:p w:rsidR="00FD0383" w:rsidRPr="00FB01EF" w:rsidRDefault="00FD0383" w:rsidP="00496272">
      <w:pPr>
        <w:numPr>
          <w:ilvl w:val="12"/>
          <w:numId w:val="0"/>
        </w:numPr>
        <w:tabs>
          <w:tab w:val="clear" w:pos="567"/>
        </w:tabs>
        <w:ind w:right="-2"/>
        <w:rPr>
          <w:bCs/>
          <w:noProof/>
          <w:szCs w:val="22"/>
          <w:lang w:val="it-IT"/>
        </w:rPr>
      </w:pPr>
    </w:p>
    <w:p w:rsidR="009B6496" w:rsidRPr="00FB01EF" w:rsidRDefault="00FD0383" w:rsidP="00865AF6">
      <w:pPr>
        <w:numPr>
          <w:ilvl w:val="12"/>
          <w:numId w:val="0"/>
        </w:numPr>
        <w:tabs>
          <w:tab w:val="clear" w:pos="567"/>
        </w:tabs>
        <w:rPr>
          <w:szCs w:val="22"/>
          <w:lang w:val="it-IT"/>
        </w:rPr>
      </w:pPr>
      <w:r w:rsidRPr="00FB01EF">
        <w:rPr>
          <w:szCs w:val="22"/>
          <w:lang w:val="it-IT"/>
        </w:rPr>
        <w:t>Ovaleap 300 UI/0,5 mL è disponibile</w:t>
      </w:r>
      <w:r w:rsidR="00865AF6" w:rsidRPr="00FB01EF">
        <w:rPr>
          <w:szCs w:val="22"/>
          <w:lang w:val="it-IT"/>
        </w:rPr>
        <w:t xml:space="preserve"> in confezioni </w:t>
      </w:r>
      <w:r w:rsidRPr="00FB01EF">
        <w:rPr>
          <w:szCs w:val="22"/>
          <w:lang w:val="it-IT"/>
        </w:rPr>
        <w:t>contenenti 1 cartuccia</w:t>
      </w:r>
      <w:r w:rsidR="00865AF6" w:rsidRPr="00FB01EF">
        <w:rPr>
          <w:szCs w:val="22"/>
          <w:lang w:val="it-IT"/>
        </w:rPr>
        <w:t xml:space="preserve"> e </w:t>
      </w:r>
      <w:r w:rsidRPr="00FB01EF">
        <w:rPr>
          <w:szCs w:val="22"/>
          <w:lang w:val="it-IT"/>
        </w:rPr>
        <w:t>10 </w:t>
      </w:r>
      <w:r w:rsidR="00865AF6" w:rsidRPr="00FB01EF">
        <w:rPr>
          <w:szCs w:val="22"/>
          <w:lang w:val="it-IT"/>
        </w:rPr>
        <w:t xml:space="preserve">aghi </w:t>
      </w:r>
      <w:r w:rsidRPr="00FB01EF">
        <w:rPr>
          <w:szCs w:val="22"/>
          <w:lang w:val="it-IT"/>
        </w:rPr>
        <w:t>per iniezione</w:t>
      </w:r>
      <w:r w:rsidR="00865AF6" w:rsidRPr="00FB01EF">
        <w:rPr>
          <w:szCs w:val="22"/>
          <w:lang w:val="it-IT"/>
        </w:rPr>
        <w:t>.</w:t>
      </w:r>
    </w:p>
    <w:p w:rsidR="00FD0383" w:rsidRPr="00FB01EF" w:rsidRDefault="00FD0383" w:rsidP="00865AF6">
      <w:pPr>
        <w:numPr>
          <w:ilvl w:val="12"/>
          <w:numId w:val="0"/>
        </w:numPr>
        <w:tabs>
          <w:tab w:val="clear" w:pos="567"/>
        </w:tabs>
        <w:rPr>
          <w:szCs w:val="22"/>
          <w:lang w:val="it-IT"/>
        </w:rPr>
      </w:pPr>
      <w:r w:rsidRPr="00FB01EF">
        <w:rPr>
          <w:szCs w:val="22"/>
          <w:lang w:val="it-IT"/>
        </w:rPr>
        <w:t>Ovaleap 450 UI/0,75 mL è disponibile in confezioni contenenti 1 cartuccia e 10 aghi per iniezione.</w:t>
      </w:r>
    </w:p>
    <w:p w:rsidR="00FD0383" w:rsidRPr="00FB01EF" w:rsidRDefault="00FD0383" w:rsidP="00865AF6">
      <w:pPr>
        <w:numPr>
          <w:ilvl w:val="12"/>
          <w:numId w:val="0"/>
        </w:numPr>
        <w:tabs>
          <w:tab w:val="clear" w:pos="567"/>
        </w:tabs>
        <w:rPr>
          <w:szCs w:val="22"/>
          <w:lang w:val="it-IT"/>
        </w:rPr>
      </w:pPr>
      <w:r w:rsidRPr="00FB01EF">
        <w:rPr>
          <w:szCs w:val="22"/>
          <w:lang w:val="it-IT"/>
        </w:rPr>
        <w:t>Ovaleap 900 UI/1,5 mL è disponibile in confezioni contenenti 1 cartuccia e 20 aghi per iniezione.</w:t>
      </w:r>
    </w:p>
    <w:p w:rsidR="00865AF6" w:rsidRPr="00FB01EF" w:rsidRDefault="00865AF6" w:rsidP="00865AF6">
      <w:pPr>
        <w:numPr>
          <w:ilvl w:val="12"/>
          <w:numId w:val="0"/>
        </w:numPr>
        <w:tabs>
          <w:tab w:val="clear" w:pos="567"/>
        </w:tabs>
        <w:rPr>
          <w:noProof/>
          <w:szCs w:val="22"/>
          <w:lang w:val="it-IT"/>
        </w:rPr>
      </w:pPr>
    </w:p>
    <w:p w:rsidR="00FD0383" w:rsidRPr="00FB01EF" w:rsidRDefault="00FD0383" w:rsidP="00865AF6">
      <w:pPr>
        <w:numPr>
          <w:ilvl w:val="12"/>
          <w:numId w:val="0"/>
        </w:numPr>
        <w:tabs>
          <w:tab w:val="clear" w:pos="567"/>
        </w:tabs>
        <w:rPr>
          <w:noProof/>
          <w:szCs w:val="22"/>
          <w:lang w:val="it-IT"/>
        </w:rPr>
      </w:pPr>
      <w:r w:rsidRPr="00FB01EF">
        <w:rPr>
          <w:noProof/>
          <w:szCs w:val="22"/>
          <w:lang w:val="it-IT"/>
        </w:rPr>
        <w:t>È possibile che non tutte le confezioni siano commercializzate.</w:t>
      </w:r>
    </w:p>
    <w:p w:rsidR="00FD0383" w:rsidRPr="00FB01EF" w:rsidRDefault="00FD0383" w:rsidP="00865AF6">
      <w:pPr>
        <w:numPr>
          <w:ilvl w:val="12"/>
          <w:numId w:val="0"/>
        </w:numPr>
        <w:tabs>
          <w:tab w:val="clear" w:pos="567"/>
        </w:tabs>
        <w:rPr>
          <w:noProof/>
          <w:szCs w:val="22"/>
          <w:lang w:val="it-IT"/>
        </w:rPr>
      </w:pPr>
    </w:p>
    <w:p w:rsidR="009B6496" w:rsidRPr="00FB01EF" w:rsidRDefault="00865AF6" w:rsidP="00496272">
      <w:pPr>
        <w:numPr>
          <w:ilvl w:val="12"/>
          <w:numId w:val="0"/>
        </w:numPr>
        <w:tabs>
          <w:tab w:val="clear" w:pos="567"/>
        </w:tabs>
        <w:ind w:right="-2"/>
        <w:rPr>
          <w:b/>
          <w:bCs/>
          <w:noProof/>
          <w:szCs w:val="22"/>
          <w:lang w:val="it-IT"/>
        </w:rPr>
      </w:pPr>
      <w:r w:rsidRPr="00FB01EF">
        <w:rPr>
          <w:b/>
          <w:bCs/>
          <w:szCs w:val="22"/>
          <w:lang w:val="it-IT"/>
        </w:rPr>
        <w:t>Titolare dell’autorizzazione all’immissione in commercio</w:t>
      </w:r>
    </w:p>
    <w:p w:rsidR="00E009A7" w:rsidRPr="00AD584F" w:rsidRDefault="00E009A7" w:rsidP="00E009A7">
      <w:pPr>
        <w:tabs>
          <w:tab w:val="clear" w:pos="567"/>
        </w:tabs>
        <w:rPr>
          <w:lang w:val="nl-NL"/>
        </w:rPr>
      </w:pPr>
      <w:r w:rsidRPr="00AD584F">
        <w:rPr>
          <w:lang w:val="nl-NL"/>
        </w:rPr>
        <w:t>Theramex Ireland Limited</w:t>
      </w:r>
    </w:p>
    <w:p w:rsidR="00E009A7" w:rsidRPr="00AD584F" w:rsidRDefault="00E628EA" w:rsidP="00E009A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009A7" w:rsidRPr="00AD584F">
        <w:rPr>
          <w:lang w:val="nl-NL"/>
        </w:rPr>
        <w:t>Kilmore House,</w:t>
      </w:r>
    </w:p>
    <w:p w:rsidR="00E009A7" w:rsidRPr="00AD584F" w:rsidRDefault="00E009A7" w:rsidP="00E009A7">
      <w:pPr>
        <w:tabs>
          <w:tab w:val="clear" w:pos="567"/>
        </w:tabs>
        <w:rPr>
          <w:lang w:val="nl-NL"/>
        </w:rPr>
      </w:pPr>
      <w:r w:rsidRPr="00AD584F">
        <w:rPr>
          <w:lang w:val="nl-NL"/>
        </w:rPr>
        <w:t>Park Lane, Spencer Dock,</w:t>
      </w:r>
    </w:p>
    <w:p w:rsidR="00E009A7" w:rsidRPr="00AD584F" w:rsidRDefault="00E009A7" w:rsidP="00E009A7">
      <w:pPr>
        <w:tabs>
          <w:tab w:val="clear" w:pos="567"/>
        </w:tabs>
        <w:rPr>
          <w:lang w:val="nl-NL"/>
        </w:rPr>
      </w:pPr>
      <w:r w:rsidRPr="00AD584F">
        <w:rPr>
          <w:lang w:val="nl-NL"/>
        </w:rPr>
        <w:t>Dublin 1</w:t>
      </w:r>
    </w:p>
    <w:p w:rsidR="00E009A7" w:rsidRPr="00AD584F" w:rsidRDefault="00E009A7" w:rsidP="00E009A7">
      <w:pPr>
        <w:tabs>
          <w:tab w:val="clear" w:pos="567"/>
        </w:tabs>
        <w:rPr>
          <w:lang w:val="nl-NL"/>
        </w:rPr>
      </w:pPr>
      <w:r w:rsidRPr="00AD584F">
        <w:rPr>
          <w:lang w:val="nl-NL"/>
        </w:rPr>
        <w:t>D01 YE64</w:t>
      </w:r>
    </w:p>
    <w:p w:rsidR="00FD0383" w:rsidRPr="00FB01EF" w:rsidRDefault="00E009A7" w:rsidP="00496272">
      <w:pPr>
        <w:numPr>
          <w:ilvl w:val="12"/>
          <w:numId w:val="0"/>
        </w:numPr>
        <w:tabs>
          <w:tab w:val="clear" w:pos="567"/>
        </w:tabs>
        <w:ind w:right="-2"/>
        <w:rPr>
          <w:noProof/>
          <w:color w:val="000000"/>
          <w:szCs w:val="22"/>
          <w:lang w:val="it-IT"/>
        </w:rPr>
      </w:pPr>
      <w:r>
        <w:t>Irlanda</w:t>
      </w:r>
    </w:p>
    <w:p w:rsidR="00865AF6" w:rsidRPr="00FB01EF" w:rsidRDefault="00865AF6" w:rsidP="00496272">
      <w:pPr>
        <w:numPr>
          <w:ilvl w:val="12"/>
          <w:numId w:val="0"/>
        </w:numPr>
        <w:tabs>
          <w:tab w:val="clear" w:pos="567"/>
        </w:tabs>
        <w:ind w:right="-2"/>
        <w:rPr>
          <w:noProof/>
          <w:szCs w:val="22"/>
          <w:lang w:val="it-IT"/>
        </w:rPr>
      </w:pPr>
    </w:p>
    <w:p w:rsidR="00F962C9" w:rsidRPr="00FB01EF" w:rsidRDefault="00865AF6" w:rsidP="00496272">
      <w:pPr>
        <w:numPr>
          <w:ilvl w:val="12"/>
          <w:numId w:val="0"/>
        </w:numPr>
        <w:tabs>
          <w:tab w:val="clear" w:pos="567"/>
        </w:tabs>
        <w:ind w:right="-2"/>
        <w:rPr>
          <w:b/>
          <w:bCs/>
          <w:noProof/>
          <w:szCs w:val="22"/>
          <w:lang w:val="it-IT"/>
        </w:rPr>
      </w:pPr>
      <w:r w:rsidRPr="00FB01EF">
        <w:rPr>
          <w:b/>
          <w:bCs/>
          <w:szCs w:val="22"/>
          <w:lang w:val="it-IT"/>
        </w:rPr>
        <w:t>Produttore</w:t>
      </w:r>
    </w:p>
    <w:p w:rsidR="00FD0383" w:rsidRPr="00FB01EF" w:rsidRDefault="00DD2D77" w:rsidP="00FD0383">
      <w:pPr>
        <w:numPr>
          <w:ilvl w:val="12"/>
          <w:numId w:val="0"/>
        </w:numPr>
        <w:tabs>
          <w:tab w:val="clear" w:pos="567"/>
        </w:tabs>
        <w:rPr>
          <w:bCs/>
          <w:szCs w:val="22"/>
          <w:lang w:val="it-IT"/>
        </w:rPr>
      </w:pPr>
      <w:r w:rsidRPr="00FB01EF">
        <w:rPr>
          <w:bCs/>
          <w:szCs w:val="22"/>
          <w:lang w:val="it-IT"/>
        </w:rPr>
        <w:t>Teva Biotech GmbH</w:t>
      </w:r>
    </w:p>
    <w:p w:rsidR="00FD0383" w:rsidRPr="00FB01EF" w:rsidRDefault="00FD0383" w:rsidP="00FD0383">
      <w:pPr>
        <w:numPr>
          <w:ilvl w:val="12"/>
          <w:numId w:val="0"/>
        </w:numPr>
        <w:tabs>
          <w:tab w:val="clear" w:pos="567"/>
        </w:tabs>
        <w:rPr>
          <w:bCs/>
          <w:szCs w:val="22"/>
          <w:lang w:val="it-IT"/>
        </w:rPr>
      </w:pPr>
      <w:r w:rsidRPr="00FB01EF">
        <w:rPr>
          <w:bCs/>
          <w:szCs w:val="22"/>
          <w:lang w:val="it-IT"/>
        </w:rPr>
        <w:t>Dornierstraße</w:t>
      </w:r>
      <w:r w:rsidR="00AA5EBC" w:rsidRPr="00FB01EF">
        <w:rPr>
          <w:bCs/>
          <w:szCs w:val="22"/>
          <w:lang w:val="it-IT"/>
        </w:rPr>
        <w:t> </w:t>
      </w:r>
      <w:r w:rsidRPr="00FB01EF">
        <w:rPr>
          <w:bCs/>
          <w:szCs w:val="22"/>
          <w:lang w:val="it-IT"/>
        </w:rPr>
        <w:t>10</w:t>
      </w:r>
    </w:p>
    <w:p w:rsidR="00FD0383" w:rsidRPr="00FB01EF" w:rsidRDefault="00FD0383" w:rsidP="00FD0383">
      <w:pPr>
        <w:numPr>
          <w:ilvl w:val="12"/>
          <w:numId w:val="0"/>
        </w:numPr>
        <w:tabs>
          <w:tab w:val="clear" w:pos="567"/>
        </w:tabs>
        <w:rPr>
          <w:bCs/>
          <w:szCs w:val="22"/>
          <w:lang w:val="it-IT"/>
        </w:rPr>
      </w:pPr>
      <w:r w:rsidRPr="00FB01EF">
        <w:rPr>
          <w:bCs/>
          <w:szCs w:val="22"/>
          <w:lang w:val="it-IT"/>
        </w:rPr>
        <w:t>89079 Ulm</w:t>
      </w:r>
    </w:p>
    <w:p w:rsidR="00FD0383" w:rsidRPr="00FB01EF" w:rsidRDefault="00FD0383" w:rsidP="00FD0383">
      <w:pPr>
        <w:tabs>
          <w:tab w:val="clear" w:pos="567"/>
        </w:tabs>
        <w:rPr>
          <w:szCs w:val="22"/>
          <w:lang w:val="it-IT"/>
        </w:rPr>
      </w:pPr>
      <w:r w:rsidRPr="00FB01EF">
        <w:rPr>
          <w:szCs w:val="22"/>
          <w:lang w:val="it-IT"/>
        </w:rPr>
        <w:t>Germania</w:t>
      </w:r>
    </w:p>
    <w:p w:rsidR="00FD0383" w:rsidRPr="00FB01EF" w:rsidRDefault="00FD0383" w:rsidP="00496272">
      <w:pPr>
        <w:numPr>
          <w:ilvl w:val="12"/>
          <w:numId w:val="0"/>
        </w:numPr>
        <w:tabs>
          <w:tab w:val="clear" w:pos="567"/>
        </w:tabs>
        <w:ind w:right="-2"/>
        <w:rPr>
          <w:szCs w:val="22"/>
          <w:lang w:val="it-IT"/>
        </w:rPr>
      </w:pPr>
    </w:p>
    <w:p w:rsidR="00FD0383" w:rsidRPr="00FB01EF" w:rsidRDefault="00FD0383" w:rsidP="00FD0383">
      <w:pPr>
        <w:shd w:val="clear" w:color="auto" w:fill="C0C0C0"/>
        <w:tabs>
          <w:tab w:val="clear" w:pos="567"/>
        </w:tabs>
        <w:rPr>
          <w:szCs w:val="22"/>
          <w:lang w:val="it-IT"/>
        </w:rPr>
      </w:pPr>
      <w:r w:rsidRPr="00FB01EF">
        <w:rPr>
          <w:szCs w:val="22"/>
          <w:lang w:val="it-IT"/>
        </w:rPr>
        <w:t>Teva Pharmaceuticals Europe B.V.</w:t>
      </w:r>
    </w:p>
    <w:p w:rsidR="00FD0383" w:rsidRPr="00FB01EF" w:rsidRDefault="00FD0383" w:rsidP="00FD0383">
      <w:pPr>
        <w:shd w:val="clear" w:color="auto" w:fill="C0C0C0"/>
        <w:tabs>
          <w:tab w:val="clear" w:pos="567"/>
        </w:tabs>
        <w:rPr>
          <w:szCs w:val="22"/>
          <w:lang w:val="it-IT"/>
        </w:rPr>
      </w:pPr>
      <w:r w:rsidRPr="00FB01EF">
        <w:rPr>
          <w:szCs w:val="22"/>
          <w:lang w:val="it-IT"/>
        </w:rPr>
        <w:t>Swensweg</w:t>
      </w:r>
      <w:r w:rsidR="00AA5EBC" w:rsidRPr="00FB01EF">
        <w:rPr>
          <w:szCs w:val="22"/>
          <w:lang w:val="it-IT"/>
        </w:rPr>
        <w:t> </w:t>
      </w:r>
      <w:r w:rsidRPr="00FB01EF">
        <w:rPr>
          <w:szCs w:val="22"/>
          <w:lang w:val="it-IT"/>
        </w:rPr>
        <w:t>5</w:t>
      </w:r>
    </w:p>
    <w:p w:rsidR="00FD0383" w:rsidRPr="00FB01EF" w:rsidRDefault="00FD0383" w:rsidP="00FD0383">
      <w:pPr>
        <w:shd w:val="clear" w:color="auto" w:fill="C0C0C0"/>
        <w:tabs>
          <w:tab w:val="clear" w:pos="567"/>
        </w:tabs>
        <w:rPr>
          <w:szCs w:val="22"/>
          <w:lang w:val="it-IT"/>
        </w:rPr>
      </w:pPr>
      <w:r w:rsidRPr="00FB01EF">
        <w:rPr>
          <w:szCs w:val="22"/>
          <w:lang w:val="it-IT"/>
        </w:rPr>
        <w:t>2031 GA Haarlem</w:t>
      </w:r>
    </w:p>
    <w:p w:rsidR="00DB3C91" w:rsidRPr="00FB01EF" w:rsidRDefault="00FD0383" w:rsidP="00DB3C91">
      <w:pPr>
        <w:shd w:val="clear" w:color="auto" w:fill="C0C0C0"/>
        <w:tabs>
          <w:tab w:val="clear" w:pos="567"/>
        </w:tabs>
        <w:rPr>
          <w:szCs w:val="22"/>
          <w:lang w:val="it-IT"/>
        </w:rPr>
      </w:pPr>
      <w:r w:rsidRPr="00FB01EF">
        <w:rPr>
          <w:szCs w:val="22"/>
          <w:lang w:val="it-IT"/>
        </w:rPr>
        <w:t>Paesi Bassi</w:t>
      </w:r>
    </w:p>
    <w:p w:rsidR="007D20DA" w:rsidRPr="00FB01EF" w:rsidRDefault="007D20DA" w:rsidP="007D20DA">
      <w:pPr>
        <w:numPr>
          <w:ilvl w:val="12"/>
          <w:numId w:val="0"/>
        </w:numPr>
        <w:tabs>
          <w:tab w:val="clear" w:pos="567"/>
          <w:tab w:val="left" w:pos="708"/>
        </w:tabs>
        <w:ind w:right="-2"/>
        <w:rPr>
          <w:noProof/>
          <w:szCs w:val="22"/>
          <w:lang w:val="it-IT"/>
        </w:rPr>
      </w:pPr>
    </w:p>
    <w:p w:rsidR="007D20DA" w:rsidRPr="00FB01EF" w:rsidRDefault="007D20DA" w:rsidP="007D20DA">
      <w:pPr>
        <w:numPr>
          <w:ilvl w:val="12"/>
          <w:numId w:val="0"/>
        </w:numPr>
        <w:shd w:val="clear" w:color="auto" w:fill="C0C0C0"/>
        <w:tabs>
          <w:tab w:val="clear" w:pos="567"/>
          <w:tab w:val="left" w:pos="708"/>
        </w:tabs>
        <w:ind w:right="-2"/>
        <w:rPr>
          <w:noProof/>
          <w:szCs w:val="22"/>
          <w:lang w:val="it-IT"/>
        </w:rPr>
      </w:pPr>
      <w:r w:rsidRPr="00FB01EF">
        <w:rPr>
          <w:noProof/>
          <w:szCs w:val="22"/>
          <w:lang w:val="it-IT"/>
        </w:rPr>
        <w:t>Merckle GmbH</w:t>
      </w:r>
    </w:p>
    <w:p w:rsidR="007D20DA" w:rsidRPr="00FB01EF" w:rsidRDefault="007D20DA" w:rsidP="007D20DA">
      <w:pPr>
        <w:numPr>
          <w:ilvl w:val="12"/>
          <w:numId w:val="0"/>
        </w:numPr>
        <w:shd w:val="clear" w:color="auto" w:fill="C0C0C0"/>
        <w:tabs>
          <w:tab w:val="clear" w:pos="567"/>
          <w:tab w:val="left" w:pos="708"/>
        </w:tabs>
        <w:ind w:right="-2"/>
        <w:rPr>
          <w:noProof/>
          <w:szCs w:val="22"/>
          <w:lang w:val="it-IT"/>
        </w:rPr>
      </w:pPr>
      <w:r w:rsidRPr="00FB01EF">
        <w:rPr>
          <w:noProof/>
          <w:szCs w:val="22"/>
          <w:lang w:val="it-IT"/>
        </w:rPr>
        <w:t>Graf-Arco-Strasse 3</w:t>
      </w:r>
    </w:p>
    <w:p w:rsidR="007D20DA" w:rsidRPr="00FB01EF" w:rsidRDefault="007D20DA" w:rsidP="007D20DA">
      <w:pPr>
        <w:numPr>
          <w:ilvl w:val="12"/>
          <w:numId w:val="0"/>
        </w:numPr>
        <w:shd w:val="clear" w:color="auto" w:fill="C0C0C0"/>
        <w:tabs>
          <w:tab w:val="clear" w:pos="567"/>
          <w:tab w:val="left" w:pos="708"/>
        </w:tabs>
        <w:ind w:right="-2"/>
        <w:rPr>
          <w:noProof/>
          <w:szCs w:val="22"/>
          <w:lang w:val="it-IT"/>
        </w:rPr>
      </w:pPr>
      <w:r w:rsidRPr="00FB01EF">
        <w:rPr>
          <w:noProof/>
          <w:szCs w:val="22"/>
          <w:lang w:val="it-IT"/>
        </w:rPr>
        <w:t>89079 Ulm</w:t>
      </w:r>
    </w:p>
    <w:p w:rsidR="007D20DA" w:rsidRPr="00FB01EF" w:rsidRDefault="007D20DA" w:rsidP="007D20DA">
      <w:pPr>
        <w:numPr>
          <w:ilvl w:val="12"/>
          <w:numId w:val="0"/>
        </w:numPr>
        <w:shd w:val="clear" w:color="auto" w:fill="C0C0C0"/>
        <w:tabs>
          <w:tab w:val="clear" w:pos="567"/>
          <w:tab w:val="left" w:pos="708"/>
        </w:tabs>
        <w:ind w:right="-2"/>
        <w:rPr>
          <w:noProof/>
          <w:szCs w:val="22"/>
          <w:lang w:val="it-IT"/>
        </w:rPr>
      </w:pPr>
      <w:r w:rsidRPr="00FB01EF">
        <w:rPr>
          <w:noProof/>
          <w:szCs w:val="22"/>
          <w:lang w:val="it-IT"/>
        </w:rPr>
        <w:t>Germania</w:t>
      </w:r>
    </w:p>
    <w:p w:rsidR="00865AF6" w:rsidRPr="00FB01EF" w:rsidRDefault="00865AF6" w:rsidP="00496272">
      <w:pPr>
        <w:numPr>
          <w:ilvl w:val="12"/>
          <w:numId w:val="0"/>
        </w:numPr>
        <w:tabs>
          <w:tab w:val="clear" w:pos="567"/>
        </w:tabs>
        <w:ind w:right="-2"/>
        <w:rPr>
          <w:noProof/>
          <w:szCs w:val="22"/>
          <w:lang w:val="it-IT"/>
        </w:rPr>
      </w:pPr>
    </w:p>
    <w:p w:rsidR="009B6496" w:rsidRPr="00FB01EF" w:rsidRDefault="00865AF6" w:rsidP="00496272">
      <w:pPr>
        <w:numPr>
          <w:ilvl w:val="12"/>
          <w:numId w:val="0"/>
        </w:numPr>
        <w:tabs>
          <w:tab w:val="clear" w:pos="567"/>
        </w:tabs>
        <w:ind w:right="-2"/>
        <w:outlineLvl w:val="0"/>
        <w:rPr>
          <w:noProof/>
          <w:szCs w:val="22"/>
          <w:lang w:val="it-IT"/>
        </w:rPr>
      </w:pPr>
      <w:r w:rsidRPr="00FB01EF">
        <w:rPr>
          <w:b/>
          <w:bCs/>
          <w:szCs w:val="22"/>
          <w:lang w:val="it-IT"/>
        </w:rPr>
        <w:t xml:space="preserve">Questo foglio illustrativo è stato </w:t>
      </w:r>
      <w:r w:rsidR="00FD0383" w:rsidRPr="00FB01EF">
        <w:rPr>
          <w:b/>
          <w:bCs/>
          <w:szCs w:val="22"/>
          <w:lang w:val="it-IT"/>
        </w:rPr>
        <w:t>aggiornato il {mese AAAA}</w:t>
      </w:r>
      <w:r w:rsidR="00D805A9" w:rsidRPr="00FB01EF">
        <w:rPr>
          <w:b/>
          <w:bCs/>
          <w:szCs w:val="22"/>
          <w:lang w:val="it-IT"/>
        </w:rPr>
        <w:t>.</w:t>
      </w:r>
    </w:p>
    <w:p w:rsidR="009B6496" w:rsidRPr="00FB01EF" w:rsidRDefault="009B6496" w:rsidP="00496272">
      <w:pPr>
        <w:numPr>
          <w:ilvl w:val="12"/>
          <w:numId w:val="0"/>
        </w:numPr>
        <w:ind w:right="-2"/>
        <w:rPr>
          <w:iCs/>
          <w:noProof/>
          <w:szCs w:val="22"/>
          <w:lang w:val="it-IT"/>
        </w:rPr>
      </w:pPr>
    </w:p>
    <w:p w:rsidR="00812D16" w:rsidRPr="00FB01EF" w:rsidRDefault="00865AF6" w:rsidP="00467FD4">
      <w:pPr>
        <w:numPr>
          <w:ilvl w:val="12"/>
          <w:numId w:val="0"/>
        </w:numPr>
        <w:ind w:right="-2"/>
        <w:rPr>
          <w:szCs w:val="22"/>
          <w:lang w:val="it-IT"/>
        </w:rPr>
      </w:pPr>
      <w:r w:rsidRPr="00FB01EF">
        <w:rPr>
          <w:szCs w:val="22"/>
          <w:lang w:val="it-IT"/>
        </w:rPr>
        <w:t>Informazioni più dettagliate su questo medicinale sono disponibili sul sito web dell</w:t>
      </w:r>
      <w:r w:rsidR="00FD73D9" w:rsidRPr="00FB01EF">
        <w:rPr>
          <w:szCs w:val="22"/>
          <w:lang w:val="it-IT"/>
        </w:rPr>
        <w:t>’</w:t>
      </w:r>
      <w:r w:rsidRPr="00FB01EF">
        <w:rPr>
          <w:szCs w:val="22"/>
          <w:lang w:val="it-IT"/>
        </w:rPr>
        <w:t xml:space="preserve">Agenzia </w:t>
      </w:r>
      <w:r w:rsidR="00FD0383" w:rsidRPr="00FB01EF">
        <w:rPr>
          <w:szCs w:val="22"/>
          <w:lang w:val="it-IT"/>
        </w:rPr>
        <w:t xml:space="preserve">europea </w:t>
      </w:r>
      <w:r w:rsidRPr="00FB01EF">
        <w:rPr>
          <w:szCs w:val="22"/>
          <w:lang w:val="it-IT"/>
        </w:rPr>
        <w:t xml:space="preserve">dei </w:t>
      </w:r>
      <w:r w:rsidR="00FD0383" w:rsidRPr="00FB01EF">
        <w:rPr>
          <w:szCs w:val="22"/>
          <w:lang w:val="it-IT"/>
        </w:rPr>
        <w:t>medicinali</w:t>
      </w:r>
      <w:r w:rsidR="00D805A9" w:rsidRPr="00FB01EF">
        <w:rPr>
          <w:szCs w:val="22"/>
          <w:lang w:val="it-IT"/>
        </w:rPr>
        <w:t>,</w:t>
      </w:r>
      <w:r w:rsidRPr="00FB01EF">
        <w:rPr>
          <w:szCs w:val="22"/>
          <w:lang w:val="it-IT"/>
        </w:rPr>
        <w:t xml:space="preserve"> </w:t>
      </w:r>
      <w:hyperlink r:id="rId12">
        <w:r w:rsidRPr="00FB01EF">
          <w:rPr>
            <w:rStyle w:val="Hyperlink"/>
            <w:szCs w:val="22"/>
            <w:lang w:val="it-IT"/>
          </w:rPr>
          <w:t>http://www.ema.europa.eu</w:t>
        </w:r>
      </w:hyperlink>
      <w:r w:rsidR="00255893" w:rsidRPr="00FB01EF">
        <w:rPr>
          <w:rStyle w:val="Hyperlink"/>
          <w:szCs w:val="22"/>
          <w:lang w:val="it-IT"/>
        </w:rPr>
        <w:t>/</w:t>
      </w:r>
      <w:r w:rsidR="00AA5EBC" w:rsidRPr="00FB01EF">
        <w:rPr>
          <w:rStyle w:val="Hyperlink"/>
          <w:szCs w:val="22"/>
          <w:lang w:val="it-IT"/>
        </w:rPr>
        <w:t>.</w:t>
      </w:r>
    </w:p>
    <w:sectPr w:rsidR="00812D16" w:rsidRPr="00FB01EF" w:rsidSect="0085753C">
      <w:footerReference w:type="default" r:id="rId13"/>
      <w:footerReference w:type="first" r:id="rId14"/>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B25" w:rsidRDefault="00BA3B25">
      <w:r>
        <w:separator/>
      </w:r>
    </w:p>
  </w:endnote>
  <w:endnote w:type="continuationSeparator" w:id="0">
    <w:p w:rsidR="00BA3B25" w:rsidRDefault="00BA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B25" w:rsidRDefault="00BA3B2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B5BCD">
      <w:rPr>
        <w:rStyle w:val="PageNumber"/>
        <w:rFonts w:cs="Arial"/>
      </w:rPr>
      <w:t>14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B25" w:rsidRDefault="00BA3B2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B5BCD">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B25" w:rsidRDefault="00BA3B25">
      <w:r>
        <w:separator/>
      </w:r>
    </w:p>
  </w:footnote>
  <w:footnote w:type="continuationSeparator" w:id="0">
    <w:p w:rsidR="00BA3B25" w:rsidRDefault="00BA3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 o:bullet="t">
        <v:imagedata r:id="rId1" o:title="BT_1000x858px"/>
      </v:shape>
    </w:pict>
  </w:numPicBullet>
  <w:abstractNum w:abstractNumId="0" w15:restartNumberingAfterBreak="0">
    <w:nsid w:val="FFFFFF7C"/>
    <w:multiLevelType w:val="singleLevel"/>
    <w:tmpl w:val="69BE27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98A6B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F5A6CD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64CA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ADA21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F296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32E0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C02C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66FE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1AF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C676CDF"/>
    <w:multiLevelType w:val="hybridMultilevel"/>
    <w:tmpl w:val="DE0C1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533E8"/>
    <w:multiLevelType w:val="hybridMultilevel"/>
    <w:tmpl w:val="93024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F4E6D"/>
    <w:multiLevelType w:val="hybridMultilevel"/>
    <w:tmpl w:val="9E5A7BCE"/>
    <w:lvl w:ilvl="0" w:tplc="FFFFFFFF">
      <w:start w:val="1"/>
      <w:numFmt w:val="bullet"/>
      <w:lvlText w:val="-"/>
      <w:lvlJc w:val="left"/>
      <w:pPr>
        <w:ind w:left="1406" w:hanging="360"/>
      </w:pPr>
      <w:rPr>
        <w:rFonts w:hint="default"/>
      </w:rPr>
    </w:lvl>
    <w:lvl w:ilvl="1" w:tplc="04070003" w:tentative="1">
      <w:start w:val="1"/>
      <w:numFmt w:val="bullet"/>
      <w:lvlText w:val="o"/>
      <w:lvlJc w:val="left"/>
      <w:pPr>
        <w:ind w:left="2126" w:hanging="360"/>
      </w:pPr>
      <w:rPr>
        <w:rFonts w:ascii="Courier New" w:hAnsi="Courier New" w:cs="Courier New" w:hint="default"/>
      </w:rPr>
    </w:lvl>
    <w:lvl w:ilvl="2" w:tplc="04070005" w:tentative="1">
      <w:start w:val="1"/>
      <w:numFmt w:val="bullet"/>
      <w:lvlText w:val=""/>
      <w:lvlJc w:val="left"/>
      <w:pPr>
        <w:ind w:left="2846" w:hanging="360"/>
      </w:pPr>
      <w:rPr>
        <w:rFonts w:ascii="Wingdings" w:hAnsi="Wingdings" w:hint="default"/>
      </w:rPr>
    </w:lvl>
    <w:lvl w:ilvl="3" w:tplc="04070001" w:tentative="1">
      <w:start w:val="1"/>
      <w:numFmt w:val="bullet"/>
      <w:lvlText w:val=""/>
      <w:lvlJc w:val="left"/>
      <w:pPr>
        <w:ind w:left="3566" w:hanging="360"/>
      </w:pPr>
      <w:rPr>
        <w:rFonts w:ascii="Symbol" w:hAnsi="Symbol" w:hint="default"/>
      </w:rPr>
    </w:lvl>
    <w:lvl w:ilvl="4" w:tplc="04070003" w:tentative="1">
      <w:start w:val="1"/>
      <w:numFmt w:val="bullet"/>
      <w:lvlText w:val="o"/>
      <w:lvlJc w:val="left"/>
      <w:pPr>
        <w:ind w:left="4286" w:hanging="360"/>
      </w:pPr>
      <w:rPr>
        <w:rFonts w:ascii="Courier New" w:hAnsi="Courier New" w:cs="Courier New" w:hint="default"/>
      </w:rPr>
    </w:lvl>
    <w:lvl w:ilvl="5" w:tplc="04070005" w:tentative="1">
      <w:start w:val="1"/>
      <w:numFmt w:val="bullet"/>
      <w:lvlText w:val=""/>
      <w:lvlJc w:val="left"/>
      <w:pPr>
        <w:ind w:left="5006" w:hanging="360"/>
      </w:pPr>
      <w:rPr>
        <w:rFonts w:ascii="Wingdings" w:hAnsi="Wingdings" w:hint="default"/>
      </w:rPr>
    </w:lvl>
    <w:lvl w:ilvl="6" w:tplc="04070001" w:tentative="1">
      <w:start w:val="1"/>
      <w:numFmt w:val="bullet"/>
      <w:lvlText w:val=""/>
      <w:lvlJc w:val="left"/>
      <w:pPr>
        <w:ind w:left="5726" w:hanging="360"/>
      </w:pPr>
      <w:rPr>
        <w:rFonts w:ascii="Symbol" w:hAnsi="Symbol" w:hint="default"/>
      </w:rPr>
    </w:lvl>
    <w:lvl w:ilvl="7" w:tplc="04070003" w:tentative="1">
      <w:start w:val="1"/>
      <w:numFmt w:val="bullet"/>
      <w:lvlText w:val="o"/>
      <w:lvlJc w:val="left"/>
      <w:pPr>
        <w:ind w:left="6446" w:hanging="360"/>
      </w:pPr>
      <w:rPr>
        <w:rFonts w:ascii="Courier New" w:hAnsi="Courier New" w:cs="Courier New" w:hint="default"/>
      </w:rPr>
    </w:lvl>
    <w:lvl w:ilvl="8" w:tplc="04070005" w:tentative="1">
      <w:start w:val="1"/>
      <w:numFmt w:val="bullet"/>
      <w:lvlText w:val=""/>
      <w:lvlJc w:val="left"/>
      <w:pPr>
        <w:ind w:left="7166" w:hanging="360"/>
      </w:pPr>
      <w:rPr>
        <w:rFonts w:ascii="Wingdings" w:hAnsi="Wingdings" w:hint="default"/>
      </w:rPr>
    </w:lvl>
  </w:abstractNum>
  <w:abstractNum w:abstractNumId="15" w15:restartNumberingAfterBreak="0">
    <w:nsid w:val="35C21582"/>
    <w:multiLevelType w:val="hybridMultilevel"/>
    <w:tmpl w:val="C180B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E83536"/>
    <w:multiLevelType w:val="hybridMultilevel"/>
    <w:tmpl w:val="79986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126F8D"/>
    <w:multiLevelType w:val="hybridMultilevel"/>
    <w:tmpl w:val="2C16B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B623A8"/>
    <w:multiLevelType w:val="hybridMultilevel"/>
    <w:tmpl w:val="1870F3C4"/>
    <w:lvl w:ilvl="0" w:tplc="04070001">
      <w:start w:val="1"/>
      <w:numFmt w:val="bullet"/>
      <w:lvlText w:val=""/>
      <w:lvlJc w:val="left"/>
      <w:pPr>
        <w:ind w:left="719" w:hanging="360"/>
      </w:pPr>
      <w:rPr>
        <w:rFonts w:ascii="Symbol" w:hAnsi="Symbol" w:hint="default"/>
      </w:rPr>
    </w:lvl>
    <w:lvl w:ilvl="1" w:tplc="04070003" w:tentative="1">
      <w:start w:val="1"/>
      <w:numFmt w:val="bullet"/>
      <w:lvlText w:val="o"/>
      <w:lvlJc w:val="left"/>
      <w:pPr>
        <w:ind w:left="1439" w:hanging="360"/>
      </w:pPr>
      <w:rPr>
        <w:rFonts w:ascii="Courier New" w:hAnsi="Courier New" w:cs="Courier New" w:hint="default"/>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19" w15:restartNumberingAfterBreak="0">
    <w:nsid w:val="61622533"/>
    <w:multiLevelType w:val="hybridMultilevel"/>
    <w:tmpl w:val="4476E908"/>
    <w:lvl w:ilvl="0" w:tplc="04100001">
      <w:start w:val="1"/>
      <w:numFmt w:val="bullet"/>
      <w:lvlText w:val=""/>
      <w:lvlJc w:val="left"/>
      <w:pPr>
        <w:ind w:left="838" w:hanging="360"/>
      </w:pPr>
      <w:rPr>
        <w:rFonts w:ascii="Symbol" w:hAnsi="Symbol" w:hint="default"/>
      </w:rPr>
    </w:lvl>
    <w:lvl w:ilvl="1" w:tplc="04100003" w:tentative="1">
      <w:start w:val="1"/>
      <w:numFmt w:val="bullet"/>
      <w:lvlText w:val="o"/>
      <w:lvlJc w:val="left"/>
      <w:pPr>
        <w:ind w:left="1558" w:hanging="360"/>
      </w:pPr>
      <w:rPr>
        <w:rFonts w:ascii="Courier New" w:hAnsi="Courier New" w:cs="Courier New" w:hint="default"/>
      </w:rPr>
    </w:lvl>
    <w:lvl w:ilvl="2" w:tplc="04100005" w:tentative="1">
      <w:start w:val="1"/>
      <w:numFmt w:val="bullet"/>
      <w:lvlText w:val=""/>
      <w:lvlJc w:val="left"/>
      <w:pPr>
        <w:ind w:left="2278" w:hanging="360"/>
      </w:pPr>
      <w:rPr>
        <w:rFonts w:ascii="Wingdings" w:hAnsi="Wingdings" w:hint="default"/>
      </w:rPr>
    </w:lvl>
    <w:lvl w:ilvl="3" w:tplc="04100001" w:tentative="1">
      <w:start w:val="1"/>
      <w:numFmt w:val="bullet"/>
      <w:lvlText w:val=""/>
      <w:lvlJc w:val="left"/>
      <w:pPr>
        <w:ind w:left="2998" w:hanging="360"/>
      </w:pPr>
      <w:rPr>
        <w:rFonts w:ascii="Symbol" w:hAnsi="Symbol" w:hint="default"/>
      </w:rPr>
    </w:lvl>
    <w:lvl w:ilvl="4" w:tplc="04100003" w:tentative="1">
      <w:start w:val="1"/>
      <w:numFmt w:val="bullet"/>
      <w:lvlText w:val="o"/>
      <w:lvlJc w:val="left"/>
      <w:pPr>
        <w:ind w:left="3718" w:hanging="360"/>
      </w:pPr>
      <w:rPr>
        <w:rFonts w:ascii="Courier New" w:hAnsi="Courier New" w:cs="Courier New" w:hint="default"/>
      </w:rPr>
    </w:lvl>
    <w:lvl w:ilvl="5" w:tplc="04100005" w:tentative="1">
      <w:start w:val="1"/>
      <w:numFmt w:val="bullet"/>
      <w:lvlText w:val=""/>
      <w:lvlJc w:val="left"/>
      <w:pPr>
        <w:ind w:left="4438" w:hanging="360"/>
      </w:pPr>
      <w:rPr>
        <w:rFonts w:ascii="Wingdings" w:hAnsi="Wingdings" w:hint="default"/>
      </w:rPr>
    </w:lvl>
    <w:lvl w:ilvl="6" w:tplc="04100001" w:tentative="1">
      <w:start w:val="1"/>
      <w:numFmt w:val="bullet"/>
      <w:lvlText w:val=""/>
      <w:lvlJc w:val="left"/>
      <w:pPr>
        <w:ind w:left="5158" w:hanging="360"/>
      </w:pPr>
      <w:rPr>
        <w:rFonts w:ascii="Symbol" w:hAnsi="Symbol" w:hint="default"/>
      </w:rPr>
    </w:lvl>
    <w:lvl w:ilvl="7" w:tplc="04100003" w:tentative="1">
      <w:start w:val="1"/>
      <w:numFmt w:val="bullet"/>
      <w:lvlText w:val="o"/>
      <w:lvlJc w:val="left"/>
      <w:pPr>
        <w:ind w:left="5878" w:hanging="360"/>
      </w:pPr>
      <w:rPr>
        <w:rFonts w:ascii="Courier New" w:hAnsi="Courier New" w:cs="Courier New" w:hint="default"/>
      </w:rPr>
    </w:lvl>
    <w:lvl w:ilvl="8" w:tplc="04100005" w:tentative="1">
      <w:start w:val="1"/>
      <w:numFmt w:val="bullet"/>
      <w:lvlText w:val=""/>
      <w:lvlJc w:val="left"/>
      <w:pPr>
        <w:ind w:left="6598" w:hanging="360"/>
      </w:pPr>
      <w:rPr>
        <w:rFonts w:ascii="Wingdings" w:hAnsi="Wingdings" w:hint="default"/>
      </w:rPr>
    </w:lvl>
  </w:abstractNum>
  <w:abstractNum w:abstractNumId="20" w15:restartNumberingAfterBreak="0">
    <w:nsid w:val="68247864"/>
    <w:multiLevelType w:val="hybridMultilevel"/>
    <w:tmpl w:val="D4B8560A"/>
    <w:lvl w:ilvl="0" w:tplc="04070001">
      <w:start w:val="1"/>
      <w:numFmt w:val="bullet"/>
      <w:lvlText w:val=""/>
      <w:lvlJc w:val="left"/>
      <w:pPr>
        <w:ind w:left="719" w:hanging="360"/>
      </w:pPr>
      <w:rPr>
        <w:rFonts w:ascii="Symbol" w:hAnsi="Symbol" w:hint="default"/>
      </w:rPr>
    </w:lvl>
    <w:lvl w:ilvl="1" w:tplc="04070003" w:tentative="1">
      <w:start w:val="1"/>
      <w:numFmt w:val="bullet"/>
      <w:lvlText w:val="o"/>
      <w:lvlJc w:val="left"/>
      <w:pPr>
        <w:ind w:left="1439" w:hanging="360"/>
      </w:pPr>
      <w:rPr>
        <w:rFonts w:ascii="Courier New" w:hAnsi="Courier New" w:cs="Courier New" w:hint="default"/>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1" w15:restartNumberingAfterBreak="0">
    <w:nsid w:val="6F5F6E89"/>
    <w:multiLevelType w:val="hybridMultilevel"/>
    <w:tmpl w:val="86D63B0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2" w15:restartNumberingAfterBreak="0">
    <w:nsid w:val="79AC1FEB"/>
    <w:multiLevelType w:val="hybridMultilevel"/>
    <w:tmpl w:val="54AA7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vlJc w:val="left"/>
        <w:pPr>
          <w:ind w:left="720" w:hanging="360"/>
        </w:pPr>
      </w:lvl>
    </w:lvlOverride>
  </w:num>
  <w:num w:numId="3">
    <w:abstractNumId w:val="17"/>
  </w:num>
  <w:num w:numId="4">
    <w:abstractNumId w:val="13"/>
  </w:num>
  <w:num w:numId="5">
    <w:abstractNumId w:val="19"/>
  </w:num>
  <w:num w:numId="6">
    <w:abstractNumId w:val="12"/>
  </w:num>
  <w:num w:numId="7">
    <w:abstractNumId w:val="21"/>
  </w:num>
  <w:num w:numId="8">
    <w:abstractNumId w:val="11"/>
  </w:num>
  <w:num w:numId="9">
    <w:abstractNumId w:val="15"/>
  </w:num>
  <w:num w:numId="10">
    <w:abstractNumId w:val="14"/>
  </w:num>
  <w:num w:numId="11">
    <w:abstractNumId w:val="18"/>
  </w:num>
  <w:num w:numId="12">
    <w:abstractNumId w:val="20"/>
  </w:num>
  <w:num w:numId="13">
    <w:abstractNumId w:val="22"/>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37D8"/>
    <w:rsid w:val="00005701"/>
    <w:rsid w:val="000069E7"/>
    <w:rsid w:val="00007528"/>
    <w:rsid w:val="0001164F"/>
    <w:rsid w:val="00013772"/>
    <w:rsid w:val="000140B8"/>
    <w:rsid w:val="00014869"/>
    <w:rsid w:val="000150D3"/>
    <w:rsid w:val="00015FE6"/>
    <w:rsid w:val="000166C1"/>
    <w:rsid w:val="00017587"/>
    <w:rsid w:val="0002006B"/>
    <w:rsid w:val="00020AE8"/>
    <w:rsid w:val="000248CF"/>
    <w:rsid w:val="00024F5E"/>
    <w:rsid w:val="00025EBE"/>
    <w:rsid w:val="00026BF2"/>
    <w:rsid w:val="000271F6"/>
    <w:rsid w:val="00030445"/>
    <w:rsid w:val="000318C7"/>
    <w:rsid w:val="0003335D"/>
    <w:rsid w:val="00033FDB"/>
    <w:rsid w:val="000344F6"/>
    <w:rsid w:val="00040693"/>
    <w:rsid w:val="00042263"/>
    <w:rsid w:val="00043505"/>
    <w:rsid w:val="00044042"/>
    <w:rsid w:val="000474D2"/>
    <w:rsid w:val="000479C5"/>
    <w:rsid w:val="00050DFD"/>
    <w:rsid w:val="00051019"/>
    <w:rsid w:val="00052992"/>
    <w:rsid w:val="000536FE"/>
    <w:rsid w:val="00053809"/>
    <w:rsid w:val="00053914"/>
    <w:rsid w:val="00054756"/>
    <w:rsid w:val="00054F41"/>
    <w:rsid w:val="00055B16"/>
    <w:rsid w:val="000560C5"/>
    <w:rsid w:val="00056C49"/>
    <w:rsid w:val="00056FE0"/>
    <w:rsid w:val="000603C8"/>
    <w:rsid w:val="000608A4"/>
    <w:rsid w:val="00060AA1"/>
    <w:rsid w:val="0006289F"/>
    <w:rsid w:val="000631FD"/>
    <w:rsid w:val="00071F8A"/>
    <w:rsid w:val="0007353E"/>
    <w:rsid w:val="00073E04"/>
    <w:rsid w:val="0007628D"/>
    <w:rsid w:val="00081DAB"/>
    <w:rsid w:val="00082E8E"/>
    <w:rsid w:val="00083980"/>
    <w:rsid w:val="00083BDF"/>
    <w:rsid w:val="000860C4"/>
    <w:rsid w:val="0009351E"/>
    <w:rsid w:val="0009479A"/>
    <w:rsid w:val="00094D8D"/>
    <w:rsid w:val="00095E44"/>
    <w:rsid w:val="000967BF"/>
    <w:rsid w:val="00096D8D"/>
    <w:rsid w:val="00096DBB"/>
    <w:rsid w:val="0009755A"/>
    <w:rsid w:val="000A1232"/>
    <w:rsid w:val="000A526A"/>
    <w:rsid w:val="000A70A6"/>
    <w:rsid w:val="000B0097"/>
    <w:rsid w:val="000B101F"/>
    <w:rsid w:val="000B1F4B"/>
    <w:rsid w:val="000B2F27"/>
    <w:rsid w:val="000B2F58"/>
    <w:rsid w:val="000B37A8"/>
    <w:rsid w:val="000B51D9"/>
    <w:rsid w:val="000C0A5F"/>
    <w:rsid w:val="000C2B4A"/>
    <w:rsid w:val="000C308F"/>
    <w:rsid w:val="000C3C8C"/>
    <w:rsid w:val="000C5A4E"/>
    <w:rsid w:val="000C635D"/>
    <w:rsid w:val="000C6EDD"/>
    <w:rsid w:val="000C7F49"/>
    <w:rsid w:val="000D02B6"/>
    <w:rsid w:val="000D18DD"/>
    <w:rsid w:val="000D1AEE"/>
    <w:rsid w:val="000D1F4F"/>
    <w:rsid w:val="000D2FA9"/>
    <w:rsid w:val="000D37D8"/>
    <w:rsid w:val="000D4714"/>
    <w:rsid w:val="000D4D07"/>
    <w:rsid w:val="000D7535"/>
    <w:rsid w:val="000E165D"/>
    <w:rsid w:val="000E16BF"/>
    <w:rsid w:val="000E1BAF"/>
    <w:rsid w:val="000E223E"/>
    <w:rsid w:val="000E2491"/>
    <w:rsid w:val="000E2EA9"/>
    <w:rsid w:val="000E36D6"/>
    <w:rsid w:val="000E46A3"/>
    <w:rsid w:val="000E4E88"/>
    <w:rsid w:val="000E4F2D"/>
    <w:rsid w:val="000E5726"/>
    <w:rsid w:val="000E6C94"/>
    <w:rsid w:val="000E724D"/>
    <w:rsid w:val="000F1BB2"/>
    <w:rsid w:val="000F2C9E"/>
    <w:rsid w:val="000F3F94"/>
    <w:rsid w:val="000F4009"/>
    <w:rsid w:val="000F58F4"/>
    <w:rsid w:val="00100BA0"/>
    <w:rsid w:val="0010267A"/>
    <w:rsid w:val="00103501"/>
    <w:rsid w:val="00103B2D"/>
    <w:rsid w:val="00103CD2"/>
    <w:rsid w:val="00104061"/>
    <w:rsid w:val="00105FCE"/>
    <w:rsid w:val="00107236"/>
    <w:rsid w:val="001079EA"/>
    <w:rsid w:val="001101A2"/>
    <w:rsid w:val="001106F7"/>
    <w:rsid w:val="001108A9"/>
    <w:rsid w:val="00112EDA"/>
    <w:rsid w:val="001136C0"/>
    <w:rsid w:val="00114174"/>
    <w:rsid w:val="00117C1D"/>
    <w:rsid w:val="00122AF5"/>
    <w:rsid w:val="00123688"/>
    <w:rsid w:val="00125CF5"/>
    <w:rsid w:val="001274F9"/>
    <w:rsid w:val="00127F47"/>
    <w:rsid w:val="00133572"/>
    <w:rsid w:val="00136654"/>
    <w:rsid w:val="00136D7A"/>
    <w:rsid w:val="00137311"/>
    <w:rsid w:val="00141470"/>
    <w:rsid w:val="00141540"/>
    <w:rsid w:val="001437AF"/>
    <w:rsid w:val="001444DC"/>
    <w:rsid w:val="001449DF"/>
    <w:rsid w:val="0014569B"/>
    <w:rsid w:val="00145F62"/>
    <w:rsid w:val="00146A1D"/>
    <w:rsid w:val="001470E0"/>
    <w:rsid w:val="00147CEF"/>
    <w:rsid w:val="00150060"/>
    <w:rsid w:val="0015364E"/>
    <w:rsid w:val="00153CFC"/>
    <w:rsid w:val="00154C69"/>
    <w:rsid w:val="0015704C"/>
    <w:rsid w:val="001572A3"/>
    <w:rsid w:val="00161701"/>
    <w:rsid w:val="00161E87"/>
    <w:rsid w:val="00163BE2"/>
    <w:rsid w:val="0016566C"/>
    <w:rsid w:val="001727F0"/>
    <w:rsid w:val="00172B06"/>
    <w:rsid w:val="0017347E"/>
    <w:rsid w:val="001752D8"/>
    <w:rsid w:val="00175931"/>
    <w:rsid w:val="00176B25"/>
    <w:rsid w:val="001804C0"/>
    <w:rsid w:val="00180EA2"/>
    <w:rsid w:val="00181676"/>
    <w:rsid w:val="0018238B"/>
    <w:rsid w:val="00183419"/>
    <w:rsid w:val="0018394A"/>
    <w:rsid w:val="00184DCC"/>
    <w:rsid w:val="00186A9D"/>
    <w:rsid w:val="001874A6"/>
    <w:rsid w:val="0018765B"/>
    <w:rsid w:val="00190913"/>
    <w:rsid w:val="00193DD3"/>
    <w:rsid w:val="00195F65"/>
    <w:rsid w:val="001A0593"/>
    <w:rsid w:val="001A07E2"/>
    <w:rsid w:val="001A1F72"/>
    <w:rsid w:val="001A2018"/>
    <w:rsid w:val="001A2298"/>
    <w:rsid w:val="001A2489"/>
    <w:rsid w:val="001A2EC6"/>
    <w:rsid w:val="001A56F1"/>
    <w:rsid w:val="001B01C8"/>
    <w:rsid w:val="001B0B52"/>
    <w:rsid w:val="001B13F6"/>
    <w:rsid w:val="001B1747"/>
    <w:rsid w:val="001B2D44"/>
    <w:rsid w:val="001B752A"/>
    <w:rsid w:val="001C12FB"/>
    <w:rsid w:val="001C2AC0"/>
    <w:rsid w:val="001C35E9"/>
    <w:rsid w:val="001C36BD"/>
    <w:rsid w:val="001C3733"/>
    <w:rsid w:val="001C43F9"/>
    <w:rsid w:val="001C49B3"/>
    <w:rsid w:val="001C5B30"/>
    <w:rsid w:val="001D188C"/>
    <w:rsid w:val="001D1B11"/>
    <w:rsid w:val="001D1D5D"/>
    <w:rsid w:val="001D3C05"/>
    <w:rsid w:val="001D6AF4"/>
    <w:rsid w:val="001E0CC1"/>
    <w:rsid w:val="001E183A"/>
    <w:rsid w:val="001E1C10"/>
    <w:rsid w:val="001E3CC0"/>
    <w:rsid w:val="001E77C3"/>
    <w:rsid w:val="001F090B"/>
    <w:rsid w:val="001F180A"/>
    <w:rsid w:val="001F1A28"/>
    <w:rsid w:val="001F1AD0"/>
    <w:rsid w:val="001F35E8"/>
    <w:rsid w:val="001F4014"/>
    <w:rsid w:val="001F445E"/>
    <w:rsid w:val="00200BDA"/>
    <w:rsid w:val="00201213"/>
    <w:rsid w:val="0020165E"/>
    <w:rsid w:val="00202E50"/>
    <w:rsid w:val="00205180"/>
    <w:rsid w:val="00205CC3"/>
    <w:rsid w:val="00207B72"/>
    <w:rsid w:val="00207F81"/>
    <w:rsid w:val="00210885"/>
    <w:rsid w:val="002109F4"/>
    <w:rsid w:val="00211554"/>
    <w:rsid w:val="00211DE3"/>
    <w:rsid w:val="00211FDA"/>
    <w:rsid w:val="002129CF"/>
    <w:rsid w:val="002160C2"/>
    <w:rsid w:val="00217FCB"/>
    <w:rsid w:val="00222BB9"/>
    <w:rsid w:val="002258D6"/>
    <w:rsid w:val="002274FB"/>
    <w:rsid w:val="002309D2"/>
    <w:rsid w:val="00231DBD"/>
    <w:rsid w:val="0023315B"/>
    <w:rsid w:val="002347FE"/>
    <w:rsid w:val="00241462"/>
    <w:rsid w:val="0024178D"/>
    <w:rsid w:val="00243305"/>
    <w:rsid w:val="00243796"/>
    <w:rsid w:val="0024392B"/>
    <w:rsid w:val="002450C6"/>
    <w:rsid w:val="00245786"/>
    <w:rsid w:val="00245DCF"/>
    <w:rsid w:val="00246C65"/>
    <w:rsid w:val="0025059C"/>
    <w:rsid w:val="002542A8"/>
    <w:rsid w:val="00255893"/>
    <w:rsid w:val="00260A11"/>
    <w:rsid w:val="0026169A"/>
    <w:rsid w:val="00262763"/>
    <w:rsid w:val="00262A7E"/>
    <w:rsid w:val="00264BEA"/>
    <w:rsid w:val="00264CDF"/>
    <w:rsid w:val="00265650"/>
    <w:rsid w:val="0027004B"/>
    <w:rsid w:val="00271032"/>
    <w:rsid w:val="002722D8"/>
    <w:rsid w:val="00273E3E"/>
    <w:rsid w:val="00274147"/>
    <w:rsid w:val="00275189"/>
    <w:rsid w:val="002756DC"/>
    <w:rsid w:val="00276437"/>
    <w:rsid w:val="00277DD8"/>
    <w:rsid w:val="002802D0"/>
    <w:rsid w:val="0028063F"/>
    <w:rsid w:val="00280740"/>
    <w:rsid w:val="00283B02"/>
    <w:rsid w:val="00283C5D"/>
    <w:rsid w:val="002844B0"/>
    <w:rsid w:val="00284976"/>
    <w:rsid w:val="00286322"/>
    <w:rsid w:val="0029288C"/>
    <w:rsid w:val="00294F26"/>
    <w:rsid w:val="00296C1F"/>
    <w:rsid w:val="002A08D4"/>
    <w:rsid w:val="002A14B1"/>
    <w:rsid w:val="002A41E6"/>
    <w:rsid w:val="002A44C8"/>
    <w:rsid w:val="002A5B88"/>
    <w:rsid w:val="002A5E48"/>
    <w:rsid w:val="002B0455"/>
    <w:rsid w:val="002B2BEE"/>
    <w:rsid w:val="002B35C5"/>
    <w:rsid w:val="002B3935"/>
    <w:rsid w:val="002B406A"/>
    <w:rsid w:val="002B41D4"/>
    <w:rsid w:val="002B4CEA"/>
    <w:rsid w:val="002B543F"/>
    <w:rsid w:val="002B715E"/>
    <w:rsid w:val="002B7D73"/>
    <w:rsid w:val="002C06E3"/>
    <w:rsid w:val="002C0801"/>
    <w:rsid w:val="002C1C57"/>
    <w:rsid w:val="002C2915"/>
    <w:rsid w:val="002C33B3"/>
    <w:rsid w:val="002C44B0"/>
    <w:rsid w:val="002C4E07"/>
    <w:rsid w:val="002C68E0"/>
    <w:rsid w:val="002C713F"/>
    <w:rsid w:val="002C7368"/>
    <w:rsid w:val="002C77CA"/>
    <w:rsid w:val="002D0586"/>
    <w:rsid w:val="002D1023"/>
    <w:rsid w:val="002D1459"/>
    <w:rsid w:val="002D1470"/>
    <w:rsid w:val="002D1B6D"/>
    <w:rsid w:val="002D21CF"/>
    <w:rsid w:val="002D2701"/>
    <w:rsid w:val="002D4705"/>
    <w:rsid w:val="002D4E3A"/>
    <w:rsid w:val="002D5B65"/>
    <w:rsid w:val="002D6396"/>
    <w:rsid w:val="002D6ABC"/>
    <w:rsid w:val="002D728A"/>
    <w:rsid w:val="002D7E5E"/>
    <w:rsid w:val="002E07EF"/>
    <w:rsid w:val="002E0D06"/>
    <w:rsid w:val="002E1810"/>
    <w:rsid w:val="002E2B53"/>
    <w:rsid w:val="002E49C3"/>
    <w:rsid w:val="002E4E94"/>
    <w:rsid w:val="002E5D7A"/>
    <w:rsid w:val="002F07A9"/>
    <w:rsid w:val="002F07C4"/>
    <w:rsid w:val="002F1F28"/>
    <w:rsid w:val="002F292E"/>
    <w:rsid w:val="002F33D9"/>
    <w:rsid w:val="002F43CA"/>
    <w:rsid w:val="002F57AA"/>
    <w:rsid w:val="002F714C"/>
    <w:rsid w:val="002F77BF"/>
    <w:rsid w:val="003004A2"/>
    <w:rsid w:val="00302107"/>
    <w:rsid w:val="00303DD5"/>
    <w:rsid w:val="00304522"/>
    <w:rsid w:val="00305EE6"/>
    <w:rsid w:val="00307B74"/>
    <w:rsid w:val="00310764"/>
    <w:rsid w:val="0031540F"/>
    <w:rsid w:val="00320203"/>
    <w:rsid w:val="00322002"/>
    <w:rsid w:val="003247B0"/>
    <w:rsid w:val="00325112"/>
    <w:rsid w:val="00325805"/>
    <w:rsid w:val="00325E81"/>
    <w:rsid w:val="00326948"/>
    <w:rsid w:val="00330029"/>
    <w:rsid w:val="00330452"/>
    <w:rsid w:val="00331060"/>
    <w:rsid w:val="00331AF7"/>
    <w:rsid w:val="00332B8A"/>
    <w:rsid w:val="00334477"/>
    <w:rsid w:val="0033486D"/>
    <w:rsid w:val="003367C4"/>
    <w:rsid w:val="00336D8E"/>
    <w:rsid w:val="003376B3"/>
    <w:rsid w:val="00345F9C"/>
    <w:rsid w:val="003464CB"/>
    <w:rsid w:val="00347776"/>
    <w:rsid w:val="00350A5E"/>
    <w:rsid w:val="00351A91"/>
    <w:rsid w:val="003520C4"/>
    <w:rsid w:val="003533AE"/>
    <w:rsid w:val="00354547"/>
    <w:rsid w:val="00355E14"/>
    <w:rsid w:val="00356B23"/>
    <w:rsid w:val="00361280"/>
    <w:rsid w:val="003615F1"/>
    <w:rsid w:val="00361A6E"/>
    <w:rsid w:val="00363D7F"/>
    <w:rsid w:val="0036523D"/>
    <w:rsid w:val="00367C66"/>
    <w:rsid w:val="003700B2"/>
    <w:rsid w:val="0037233D"/>
    <w:rsid w:val="00373242"/>
    <w:rsid w:val="003736EF"/>
    <w:rsid w:val="003737E3"/>
    <w:rsid w:val="003746BF"/>
    <w:rsid w:val="00380A1A"/>
    <w:rsid w:val="00380D80"/>
    <w:rsid w:val="0038164A"/>
    <w:rsid w:val="003833B8"/>
    <w:rsid w:val="00383786"/>
    <w:rsid w:val="0038761D"/>
    <w:rsid w:val="003906F8"/>
    <w:rsid w:val="003922CB"/>
    <w:rsid w:val="003935EE"/>
    <w:rsid w:val="0039408A"/>
    <w:rsid w:val="0039673D"/>
    <w:rsid w:val="003975DA"/>
    <w:rsid w:val="003975DB"/>
    <w:rsid w:val="00397893"/>
    <w:rsid w:val="003A0255"/>
    <w:rsid w:val="003A2407"/>
    <w:rsid w:val="003A2CF0"/>
    <w:rsid w:val="003A33D3"/>
    <w:rsid w:val="003A3880"/>
    <w:rsid w:val="003A5778"/>
    <w:rsid w:val="003A5BC5"/>
    <w:rsid w:val="003A5D55"/>
    <w:rsid w:val="003A6CDA"/>
    <w:rsid w:val="003A75E6"/>
    <w:rsid w:val="003B255B"/>
    <w:rsid w:val="003B3317"/>
    <w:rsid w:val="003B52D4"/>
    <w:rsid w:val="003C1CA5"/>
    <w:rsid w:val="003C1EC7"/>
    <w:rsid w:val="003C33F1"/>
    <w:rsid w:val="003C3D8E"/>
    <w:rsid w:val="003C64A0"/>
    <w:rsid w:val="003C6F0B"/>
    <w:rsid w:val="003C7651"/>
    <w:rsid w:val="003C776B"/>
    <w:rsid w:val="003C7BA3"/>
    <w:rsid w:val="003D1C3F"/>
    <w:rsid w:val="003D4E9C"/>
    <w:rsid w:val="003E0D78"/>
    <w:rsid w:val="003E1CB1"/>
    <w:rsid w:val="003E3A1D"/>
    <w:rsid w:val="003E50DA"/>
    <w:rsid w:val="003E5C6D"/>
    <w:rsid w:val="003E6CA0"/>
    <w:rsid w:val="003E773E"/>
    <w:rsid w:val="003F1B42"/>
    <w:rsid w:val="003F2FDE"/>
    <w:rsid w:val="003F330B"/>
    <w:rsid w:val="003F6FDF"/>
    <w:rsid w:val="00400FF5"/>
    <w:rsid w:val="004016F5"/>
    <w:rsid w:val="0040248C"/>
    <w:rsid w:val="004045AA"/>
    <w:rsid w:val="0040549A"/>
    <w:rsid w:val="00405AB7"/>
    <w:rsid w:val="00405CC9"/>
    <w:rsid w:val="00407367"/>
    <w:rsid w:val="00407D67"/>
    <w:rsid w:val="00412844"/>
    <w:rsid w:val="004138DE"/>
    <w:rsid w:val="00414B2F"/>
    <w:rsid w:val="00415E58"/>
    <w:rsid w:val="00416231"/>
    <w:rsid w:val="004208AB"/>
    <w:rsid w:val="004219EF"/>
    <w:rsid w:val="00423ABA"/>
    <w:rsid w:val="00423C97"/>
    <w:rsid w:val="00426CD9"/>
    <w:rsid w:val="00430FEB"/>
    <w:rsid w:val="004310EE"/>
    <w:rsid w:val="00433677"/>
    <w:rsid w:val="004340D5"/>
    <w:rsid w:val="00434797"/>
    <w:rsid w:val="00434880"/>
    <w:rsid w:val="0043526D"/>
    <w:rsid w:val="0043598B"/>
    <w:rsid w:val="004433BA"/>
    <w:rsid w:val="00443971"/>
    <w:rsid w:val="004439AF"/>
    <w:rsid w:val="004460E9"/>
    <w:rsid w:val="00447B6F"/>
    <w:rsid w:val="00451308"/>
    <w:rsid w:val="00453C11"/>
    <w:rsid w:val="004557B0"/>
    <w:rsid w:val="00457946"/>
    <w:rsid w:val="00457D8B"/>
    <w:rsid w:val="00460A17"/>
    <w:rsid w:val="00463ECE"/>
    <w:rsid w:val="00464CE8"/>
    <w:rsid w:val="004655E1"/>
    <w:rsid w:val="00467FD4"/>
    <w:rsid w:val="00470CB5"/>
    <w:rsid w:val="00471EAB"/>
    <w:rsid w:val="004723EE"/>
    <w:rsid w:val="00475A92"/>
    <w:rsid w:val="00477BB9"/>
    <w:rsid w:val="004802AA"/>
    <w:rsid w:val="0048091C"/>
    <w:rsid w:val="00480980"/>
    <w:rsid w:val="00482CC3"/>
    <w:rsid w:val="004844EA"/>
    <w:rsid w:val="00484C32"/>
    <w:rsid w:val="004857D4"/>
    <w:rsid w:val="00485F15"/>
    <w:rsid w:val="00487366"/>
    <w:rsid w:val="004873E4"/>
    <w:rsid w:val="0049072C"/>
    <w:rsid w:val="004909BE"/>
    <w:rsid w:val="00490FD1"/>
    <w:rsid w:val="00491AD2"/>
    <w:rsid w:val="004935C0"/>
    <w:rsid w:val="00493B43"/>
    <w:rsid w:val="0049460A"/>
    <w:rsid w:val="00494EB1"/>
    <w:rsid w:val="00496272"/>
    <w:rsid w:val="00496414"/>
    <w:rsid w:val="00497A38"/>
    <w:rsid w:val="004A063B"/>
    <w:rsid w:val="004A0DFB"/>
    <w:rsid w:val="004A1199"/>
    <w:rsid w:val="004A1667"/>
    <w:rsid w:val="004A4554"/>
    <w:rsid w:val="004A45BD"/>
    <w:rsid w:val="004A4656"/>
    <w:rsid w:val="004A56BA"/>
    <w:rsid w:val="004A77B0"/>
    <w:rsid w:val="004B0C31"/>
    <w:rsid w:val="004B1CED"/>
    <w:rsid w:val="004B34A7"/>
    <w:rsid w:val="004B36B9"/>
    <w:rsid w:val="004B3B06"/>
    <w:rsid w:val="004B4383"/>
    <w:rsid w:val="004B4643"/>
    <w:rsid w:val="004B4797"/>
    <w:rsid w:val="004B7F67"/>
    <w:rsid w:val="004C1994"/>
    <w:rsid w:val="004C62FF"/>
    <w:rsid w:val="004D3C54"/>
    <w:rsid w:val="004D4065"/>
    <w:rsid w:val="004D4080"/>
    <w:rsid w:val="004D6563"/>
    <w:rsid w:val="004D7149"/>
    <w:rsid w:val="004D7A6C"/>
    <w:rsid w:val="004D7F24"/>
    <w:rsid w:val="004E05FD"/>
    <w:rsid w:val="004E1A0D"/>
    <w:rsid w:val="004E23F5"/>
    <w:rsid w:val="004E3673"/>
    <w:rsid w:val="004E4521"/>
    <w:rsid w:val="004E5956"/>
    <w:rsid w:val="004E63E5"/>
    <w:rsid w:val="004E6B76"/>
    <w:rsid w:val="004F054F"/>
    <w:rsid w:val="004F3540"/>
    <w:rsid w:val="004F52DB"/>
    <w:rsid w:val="004F5624"/>
    <w:rsid w:val="004F5DA4"/>
    <w:rsid w:val="004F62B2"/>
    <w:rsid w:val="004F6424"/>
    <w:rsid w:val="00500B28"/>
    <w:rsid w:val="005040CD"/>
    <w:rsid w:val="0050420D"/>
    <w:rsid w:val="005047DC"/>
    <w:rsid w:val="00505229"/>
    <w:rsid w:val="00507F98"/>
    <w:rsid w:val="005108A3"/>
    <w:rsid w:val="00510F6E"/>
    <w:rsid w:val="005118AE"/>
    <w:rsid w:val="00512F84"/>
    <w:rsid w:val="00513B12"/>
    <w:rsid w:val="005146C0"/>
    <w:rsid w:val="0051587A"/>
    <w:rsid w:val="005158FA"/>
    <w:rsid w:val="005169AD"/>
    <w:rsid w:val="00516DF8"/>
    <w:rsid w:val="00516FD9"/>
    <w:rsid w:val="00517F9E"/>
    <w:rsid w:val="005208B9"/>
    <w:rsid w:val="005221F0"/>
    <w:rsid w:val="00524807"/>
    <w:rsid w:val="00525FF9"/>
    <w:rsid w:val="0053150A"/>
    <w:rsid w:val="00532C41"/>
    <w:rsid w:val="00532D3F"/>
    <w:rsid w:val="0053386D"/>
    <w:rsid w:val="00534700"/>
    <w:rsid w:val="00535B52"/>
    <w:rsid w:val="0053791F"/>
    <w:rsid w:val="00542531"/>
    <w:rsid w:val="00543E16"/>
    <w:rsid w:val="00543FF4"/>
    <w:rsid w:val="00547538"/>
    <w:rsid w:val="005501C0"/>
    <w:rsid w:val="00551701"/>
    <w:rsid w:val="0055252D"/>
    <w:rsid w:val="00553BFA"/>
    <w:rsid w:val="005540E2"/>
    <w:rsid w:val="00554D05"/>
    <w:rsid w:val="00557328"/>
    <w:rsid w:val="00557EF1"/>
    <w:rsid w:val="0056077E"/>
    <w:rsid w:val="00560EDA"/>
    <w:rsid w:val="005629EE"/>
    <w:rsid w:val="005648FA"/>
    <w:rsid w:val="00564D50"/>
    <w:rsid w:val="00567346"/>
    <w:rsid w:val="0057371B"/>
    <w:rsid w:val="00574CAC"/>
    <w:rsid w:val="00575EB8"/>
    <w:rsid w:val="005771F7"/>
    <w:rsid w:val="005773BE"/>
    <w:rsid w:val="0057781E"/>
    <w:rsid w:val="00577F76"/>
    <w:rsid w:val="00582A9B"/>
    <w:rsid w:val="005832AB"/>
    <w:rsid w:val="0058437C"/>
    <w:rsid w:val="00586F05"/>
    <w:rsid w:val="00592935"/>
    <w:rsid w:val="005935F4"/>
    <w:rsid w:val="00593E0A"/>
    <w:rsid w:val="0059411A"/>
    <w:rsid w:val="005957D7"/>
    <w:rsid w:val="00596480"/>
    <w:rsid w:val="005A167F"/>
    <w:rsid w:val="005A1BCE"/>
    <w:rsid w:val="005A1E09"/>
    <w:rsid w:val="005A346E"/>
    <w:rsid w:val="005A3537"/>
    <w:rsid w:val="005A35B8"/>
    <w:rsid w:val="005A5786"/>
    <w:rsid w:val="005A6915"/>
    <w:rsid w:val="005A73CF"/>
    <w:rsid w:val="005B3F6F"/>
    <w:rsid w:val="005B56E7"/>
    <w:rsid w:val="005B6330"/>
    <w:rsid w:val="005B798B"/>
    <w:rsid w:val="005C1FAE"/>
    <w:rsid w:val="005C226D"/>
    <w:rsid w:val="005C39E8"/>
    <w:rsid w:val="005C5660"/>
    <w:rsid w:val="005D2EE3"/>
    <w:rsid w:val="005D4B68"/>
    <w:rsid w:val="005D5C11"/>
    <w:rsid w:val="005D6FD3"/>
    <w:rsid w:val="005E11C1"/>
    <w:rsid w:val="005E1A53"/>
    <w:rsid w:val="005E2563"/>
    <w:rsid w:val="005E394C"/>
    <w:rsid w:val="005E42BF"/>
    <w:rsid w:val="005E4E70"/>
    <w:rsid w:val="005E65BB"/>
    <w:rsid w:val="005E6661"/>
    <w:rsid w:val="005F0B9E"/>
    <w:rsid w:val="005F0DA0"/>
    <w:rsid w:val="005F3F0A"/>
    <w:rsid w:val="005F4914"/>
    <w:rsid w:val="005F5946"/>
    <w:rsid w:val="005F5D9A"/>
    <w:rsid w:val="005F5EC6"/>
    <w:rsid w:val="005F62B7"/>
    <w:rsid w:val="005F6869"/>
    <w:rsid w:val="005F6BB9"/>
    <w:rsid w:val="005F72BC"/>
    <w:rsid w:val="00602784"/>
    <w:rsid w:val="00603148"/>
    <w:rsid w:val="00603F02"/>
    <w:rsid w:val="006044A5"/>
    <w:rsid w:val="0060595B"/>
    <w:rsid w:val="00605A02"/>
    <w:rsid w:val="00606FC7"/>
    <w:rsid w:val="00610456"/>
    <w:rsid w:val="006110FE"/>
    <w:rsid w:val="00611473"/>
    <w:rsid w:val="00611B36"/>
    <w:rsid w:val="00613A34"/>
    <w:rsid w:val="00614040"/>
    <w:rsid w:val="00614728"/>
    <w:rsid w:val="0061482C"/>
    <w:rsid w:val="00614F43"/>
    <w:rsid w:val="006150F0"/>
    <w:rsid w:val="00615ADA"/>
    <w:rsid w:val="006221CD"/>
    <w:rsid w:val="00625511"/>
    <w:rsid w:val="00625B1E"/>
    <w:rsid w:val="006266A9"/>
    <w:rsid w:val="00626B93"/>
    <w:rsid w:val="00630426"/>
    <w:rsid w:val="006316C1"/>
    <w:rsid w:val="00631ED4"/>
    <w:rsid w:val="0063224B"/>
    <w:rsid w:val="00633B05"/>
    <w:rsid w:val="00633BC7"/>
    <w:rsid w:val="00633F30"/>
    <w:rsid w:val="00635E9C"/>
    <w:rsid w:val="00637B41"/>
    <w:rsid w:val="006414EE"/>
    <w:rsid w:val="00642524"/>
    <w:rsid w:val="00642D0A"/>
    <w:rsid w:val="006439D9"/>
    <w:rsid w:val="00644D99"/>
    <w:rsid w:val="00646FE1"/>
    <w:rsid w:val="0065491B"/>
    <w:rsid w:val="00655C2F"/>
    <w:rsid w:val="00656422"/>
    <w:rsid w:val="00661140"/>
    <w:rsid w:val="00661348"/>
    <w:rsid w:val="006710DD"/>
    <w:rsid w:val="00673200"/>
    <w:rsid w:val="0067501E"/>
    <w:rsid w:val="006773D2"/>
    <w:rsid w:val="00680581"/>
    <w:rsid w:val="00680AE2"/>
    <w:rsid w:val="00681083"/>
    <w:rsid w:val="00681A41"/>
    <w:rsid w:val="006821B2"/>
    <w:rsid w:val="0068308D"/>
    <w:rsid w:val="006838C0"/>
    <w:rsid w:val="00683BAF"/>
    <w:rsid w:val="00685901"/>
    <w:rsid w:val="00685BB9"/>
    <w:rsid w:val="00687EC8"/>
    <w:rsid w:val="00690127"/>
    <w:rsid w:val="00691BFF"/>
    <w:rsid w:val="00693EC5"/>
    <w:rsid w:val="006953C1"/>
    <w:rsid w:val="00696EB2"/>
    <w:rsid w:val="006A0EC5"/>
    <w:rsid w:val="006A16E9"/>
    <w:rsid w:val="006A390E"/>
    <w:rsid w:val="006A4C4E"/>
    <w:rsid w:val="006A5450"/>
    <w:rsid w:val="006B0199"/>
    <w:rsid w:val="006B0A32"/>
    <w:rsid w:val="006B0BD8"/>
    <w:rsid w:val="006B19EA"/>
    <w:rsid w:val="006B6DDF"/>
    <w:rsid w:val="006C0251"/>
    <w:rsid w:val="006C2B9A"/>
    <w:rsid w:val="006C39BB"/>
    <w:rsid w:val="006C3E86"/>
    <w:rsid w:val="006C4502"/>
    <w:rsid w:val="006C4DE0"/>
    <w:rsid w:val="006C6C1E"/>
    <w:rsid w:val="006D0A2F"/>
    <w:rsid w:val="006D5C92"/>
    <w:rsid w:val="006D5E91"/>
    <w:rsid w:val="006E14E6"/>
    <w:rsid w:val="006E1AEE"/>
    <w:rsid w:val="006E2504"/>
    <w:rsid w:val="006E3B9C"/>
    <w:rsid w:val="006E51A2"/>
    <w:rsid w:val="006E668F"/>
    <w:rsid w:val="006E7F9E"/>
    <w:rsid w:val="006F0022"/>
    <w:rsid w:val="006F0C83"/>
    <w:rsid w:val="006F0DE2"/>
    <w:rsid w:val="006F1337"/>
    <w:rsid w:val="006F18C0"/>
    <w:rsid w:val="006F3495"/>
    <w:rsid w:val="006F3C40"/>
    <w:rsid w:val="006F417D"/>
    <w:rsid w:val="006F59CD"/>
    <w:rsid w:val="006F5C83"/>
    <w:rsid w:val="006F67CC"/>
    <w:rsid w:val="006F7315"/>
    <w:rsid w:val="006F77BA"/>
    <w:rsid w:val="00700A59"/>
    <w:rsid w:val="00700EF0"/>
    <w:rsid w:val="00701C2D"/>
    <w:rsid w:val="007020B7"/>
    <w:rsid w:val="00702162"/>
    <w:rsid w:val="00703930"/>
    <w:rsid w:val="0070610E"/>
    <w:rsid w:val="00707759"/>
    <w:rsid w:val="00710081"/>
    <w:rsid w:val="0071038F"/>
    <w:rsid w:val="007107B5"/>
    <w:rsid w:val="00710B0D"/>
    <w:rsid w:val="007121E1"/>
    <w:rsid w:val="00712EAA"/>
    <w:rsid w:val="00712EE4"/>
    <w:rsid w:val="00713CB5"/>
    <w:rsid w:val="0071558B"/>
    <w:rsid w:val="00715E0D"/>
    <w:rsid w:val="00721189"/>
    <w:rsid w:val="007221C3"/>
    <w:rsid w:val="00722786"/>
    <w:rsid w:val="00722F2C"/>
    <w:rsid w:val="00724C4A"/>
    <w:rsid w:val="007254D1"/>
    <w:rsid w:val="00725B32"/>
    <w:rsid w:val="00725B3C"/>
    <w:rsid w:val="00730206"/>
    <w:rsid w:val="00731805"/>
    <w:rsid w:val="007336C3"/>
    <w:rsid w:val="00733D54"/>
    <w:rsid w:val="00736014"/>
    <w:rsid w:val="00736773"/>
    <w:rsid w:val="00736A4F"/>
    <w:rsid w:val="00737753"/>
    <w:rsid w:val="00740CE9"/>
    <w:rsid w:val="007428E3"/>
    <w:rsid w:val="0074394E"/>
    <w:rsid w:val="007467D8"/>
    <w:rsid w:val="00747C94"/>
    <w:rsid w:val="00750D0A"/>
    <w:rsid w:val="00751386"/>
    <w:rsid w:val="00751D93"/>
    <w:rsid w:val="00752300"/>
    <w:rsid w:val="00752F31"/>
    <w:rsid w:val="007546F8"/>
    <w:rsid w:val="00755BAB"/>
    <w:rsid w:val="0076080E"/>
    <w:rsid w:val="0076411D"/>
    <w:rsid w:val="0076512D"/>
    <w:rsid w:val="007670F8"/>
    <w:rsid w:val="007671D4"/>
    <w:rsid w:val="00770A85"/>
    <w:rsid w:val="00771F02"/>
    <w:rsid w:val="00773DC9"/>
    <w:rsid w:val="0077572E"/>
    <w:rsid w:val="00776998"/>
    <w:rsid w:val="0078031B"/>
    <w:rsid w:val="00782DCD"/>
    <w:rsid w:val="00784E45"/>
    <w:rsid w:val="00784F44"/>
    <w:rsid w:val="00786252"/>
    <w:rsid w:val="00786672"/>
    <w:rsid w:val="00786FCB"/>
    <w:rsid w:val="00787058"/>
    <w:rsid w:val="007872CF"/>
    <w:rsid w:val="0079164F"/>
    <w:rsid w:val="00791679"/>
    <w:rsid w:val="0079201C"/>
    <w:rsid w:val="0079307F"/>
    <w:rsid w:val="0079332E"/>
    <w:rsid w:val="00793C6E"/>
    <w:rsid w:val="007940C5"/>
    <w:rsid w:val="007947C4"/>
    <w:rsid w:val="007953F8"/>
    <w:rsid w:val="00795CE1"/>
    <w:rsid w:val="007961D8"/>
    <w:rsid w:val="007A06AC"/>
    <w:rsid w:val="007A27B0"/>
    <w:rsid w:val="007A729B"/>
    <w:rsid w:val="007B1014"/>
    <w:rsid w:val="007B103F"/>
    <w:rsid w:val="007B1484"/>
    <w:rsid w:val="007B149B"/>
    <w:rsid w:val="007B1A10"/>
    <w:rsid w:val="007B2EC0"/>
    <w:rsid w:val="007B3A5E"/>
    <w:rsid w:val="007B43A1"/>
    <w:rsid w:val="007B57CC"/>
    <w:rsid w:val="007B6659"/>
    <w:rsid w:val="007B76AB"/>
    <w:rsid w:val="007B7DBD"/>
    <w:rsid w:val="007C124E"/>
    <w:rsid w:val="007C45D3"/>
    <w:rsid w:val="007C597B"/>
    <w:rsid w:val="007C6768"/>
    <w:rsid w:val="007C760C"/>
    <w:rsid w:val="007D08FD"/>
    <w:rsid w:val="007D1584"/>
    <w:rsid w:val="007D1F65"/>
    <w:rsid w:val="007D2044"/>
    <w:rsid w:val="007D20DA"/>
    <w:rsid w:val="007D264A"/>
    <w:rsid w:val="007D2E08"/>
    <w:rsid w:val="007D2EBC"/>
    <w:rsid w:val="007D36DB"/>
    <w:rsid w:val="007D4648"/>
    <w:rsid w:val="007D4F33"/>
    <w:rsid w:val="007D6412"/>
    <w:rsid w:val="007D65C7"/>
    <w:rsid w:val="007D74D2"/>
    <w:rsid w:val="007D79B5"/>
    <w:rsid w:val="007D79C0"/>
    <w:rsid w:val="007E16FD"/>
    <w:rsid w:val="007E1DD6"/>
    <w:rsid w:val="007E2334"/>
    <w:rsid w:val="007E23CE"/>
    <w:rsid w:val="007E2CE7"/>
    <w:rsid w:val="007E43D0"/>
    <w:rsid w:val="007E4F00"/>
    <w:rsid w:val="007E54F8"/>
    <w:rsid w:val="007E5525"/>
    <w:rsid w:val="007E5987"/>
    <w:rsid w:val="007E5BD8"/>
    <w:rsid w:val="007E7BF9"/>
    <w:rsid w:val="007F02BC"/>
    <w:rsid w:val="007F068A"/>
    <w:rsid w:val="007F17A5"/>
    <w:rsid w:val="007F1D17"/>
    <w:rsid w:val="007F21CB"/>
    <w:rsid w:val="007F2E65"/>
    <w:rsid w:val="007F2F27"/>
    <w:rsid w:val="007F43BA"/>
    <w:rsid w:val="007F45D1"/>
    <w:rsid w:val="007F4F53"/>
    <w:rsid w:val="007F64BE"/>
    <w:rsid w:val="007F6DC3"/>
    <w:rsid w:val="007F7471"/>
    <w:rsid w:val="008006B4"/>
    <w:rsid w:val="008015B6"/>
    <w:rsid w:val="00803FD4"/>
    <w:rsid w:val="008040AD"/>
    <w:rsid w:val="0080481C"/>
    <w:rsid w:val="00804C54"/>
    <w:rsid w:val="00805210"/>
    <w:rsid w:val="008056DD"/>
    <w:rsid w:val="0081104C"/>
    <w:rsid w:val="00812D16"/>
    <w:rsid w:val="00813643"/>
    <w:rsid w:val="00814494"/>
    <w:rsid w:val="00814BF8"/>
    <w:rsid w:val="00816F0C"/>
    <w:rsid w:val="00821865"/>
    <w:rsid w:val="0082327D"/>
    <w:rsid w:val="0082433D"/>
    <w:rsid w:val="00826509"/>
    <w:rsid w:val="00827292"/>
    <w:rsid w:val="0082753B"/>
    <w:rsid w:val="0083016E"/>
    <w:rsid w:val="0083354D"/>
    <w:rsid w:val="008337BE"/>
    <w:rsid w:val="00833B1A"/>
    <w:rsid w:val="0083561B"/>
    <w:rsid w:val="0083598A"/>
    <w:rsid w:val="008364FE"/>
    <w:rsid w:val="0083721C"/>
    <w:rsid w:val="00837D78"/>
    <w:rsid w:val="00840D79"/>
    <w:rsid w:val="00842A21"/>
    <w:rsid w:val="00845DAD"/>
    <w:rsid w:val="008501BF"/>
    <w:rsid w:val="008506BD"/>
    <w:rsid w:val="00852977"/>
    <w:rsid w:val="00852CA3"/>
    <w:rsid w:val="00854B2F"/>
    <w:rsid w:val="00855481"/>
    <w:rsid w:val="00855C80"/>
    <w:rsid w:val="00856031"/>
    <w:rsid w:val="00856354"/>
    <w:rsid w:val="00856478"/>
    <w:rsid w:val="008568E1"/>
    <w:rsid w:val="00856BE9"/>
    <w:rsid w:val="00856D0E"/>
    <w:rsid w:val="00857046"/>
    <w:rsid w:val="0085753C"/>
    <w:rsid w:val="008578F8"/>
    <w:rsid w:val="00860566"/>
    <w:rsid w:val="00860595"/>
    <w:rsid w:val="008611CE"/>
    <w:rsid w:val="0086165C"/>
    <w:rsid w:val="00861B26"/>
    <w:rsid w:val="00862EED"/>
    <w:rsid w:val="008643FC"/>
    <w:rsid w:val="008649B9"/>
    <w:rsid w:val="0086548A"/>
    <w:rsid w:val="00865AF6"/>
    <w:rsid w:val="008663CB"/>
    <w:rsid w:val="0086784F"/>
    <w:rsid w:val="00870394"/>
    <w:rsid w:val="0087073B"/>
    <w:rsid w:val="00871F0F"/>
    <w:rsid w:val="00873F98"/>
    <w:rsid w:val="00875979"/>
    <w:rsid w:val="008765D6"/>
    <w:rsid w:val="008767DC"/>
    <w:rsid w:val="00876D96"/>
    <w:rsid w:val="008770D4"/>
    <w:rsid w:val="00877328"/>
    <w:rsid w:val="0088113E"/>
    <w:rsid w:val="0088127F"/>
    <w:rsid w:val="008815EF"/>
    <w:rsid w:val="00883C50"/>
    <w:rsid w:val="008841D5"/>
    <w:rsid w:val="00885273"/>
    <w:rsid w:val="008859EE"/>
    <w:rsid w:val="00885F2C"/>
    <w:rsid w:val="00886386"/>
    <w:rsid w:val="0088701C"/>
    <w:rsid w:val="0088709C"/>
    <w:rsid w:val="00892AA5"/>
    <w:rsid w:val="0089407E"/>
    <w:rsid w:val="0089499B"/>
    <w:rsid w:val="00894ACA"/>
    <w:rsid w:val="00894ADA"/>
    <w:rsid w:val="00894EC5"/>
    <w:rsid w:val="00895190"/>
    <w:rsid w:val="00895E8E"/>
    <w:rsid w:val="00896653"/>
    <w:rsid w:val="00896658"/>
    <w:rsid w:val="008967B5"/>
    <w:rsid w:val="00896DC5"/>
    <w:rsid w:val="00897367"/>
    <w:rsid w:val="008A03AC"/>
    <w:rsid w:val="008A345A"/>
    <w:rsid w:val="008A3DB9"/>
    <w:rsid w:val="008A4667"/>
    <w:rsid w:val="008A519E"/>
    <w:rsid w:val="008A5C1F"/>
    <w:rsid w:val="008A61B2"/>
    <w:rsid w:val="008A6A5C"/>
    <w:rsid w:val="008A7316"/>
    <w:rsid w:val="008B100E"/>
    <w:rsid w:val="008B15DD"/>
    <w:rsid w:val="008B1C41"/>
    <w:rsid w:val="008B3A88"/>
    <w:rsid w:val="008B500A"/>
    <w:rsid w:val="008B7135"/>
    <w:rsid w:val="008C0CC5"/>
    <w:rsid w:val="008C1610"/>
    <w:rsid w:val="008C2F1E"/>
    <w:rsid w:val="008C30E5"/>
    <w:rsid w:val="008C3B5B"/>
    <w:rsid w:val="008C409F"/>
    <w:rsid w:val="008C602D"/>
    <w:rsid w:val="008C6BCC"/>
    <w:rsid w:val="008D098D"/>
    <w:rsid w:val="008D135A"/>
    <w:rsid w:val="008D1BB1"/>
    <w:rsid w:val="008D2205"/>
    <w:rsid w:val="008D2331"/>
    <w:rsid w:val="008D36CD"/>
    <w:rsid w:val="008D4380"/>
    <w:rsid w:val="008D48D1"/>
    <w:rsid w:val="008D6BE8"/>
    <w:rsid w:val="008E0FF6"/>
    <w:rsid w:val="008E40A6"/>
    <w:rsid w:val="008E591E"/>
    <w:rsid w:val="008E6011"/>
    <w:rsid w:val="008E623A"/>
    <w:rsid w:val="008E6C7B"/>
    <w:rsid w:val="008E79D6"/>
    <w:rsid w:val="008E7BE3"/>
    <w:rsid w:val="008F1419"/>
    <w:rsid w:val="008F2C49"/>
    <w:rsid w:val="008F2F99"/>
    <w:rsid w:val="008F36F0"/>
    <w:rsid w:val="008F7CFF"/>
    <w:rsid w:val="008F7ED1"/>
    <w:rsid w:val="00901C8D"/>
    <w:rsid w:val="0090485D"/>
    <w:rsid w:val="00904A4D"/>
    <w:rsid w:val="00905CF9"/>
    <w:rsid w:val="00905EE9"/>
    <w:rsid w:val="009065F4"/>
    <w:rsid w:val="009075A7"/>
    <w:rsid w:val="00907AB6"/>
    <w:rsid w:val="00907D5D"/>
    <w:rsid w:val="00910FBA"/>
    <w:rsid w:val="00911D39"/>
    <w:rsid w:val="00912B9F"/>
    <w:rsid w:val="00914545"/>
    <w:rsid w:val="00914A90"/>
    <w:rsid w:val="0091520F"/>
    <w:rsid w:val="00916E65"/>
    <w:rsid w:val="00917731"/>
    <w:rsid w:val="00917C0F"/>
    <w:rsid w:val="0092040E"/>
    <w:rsid w:val="00920C6C"/>
    <w:rsid w:val="009211D8"/>
    <w:rsid w:val="00921C6D"/>
    <w:rsid w:val="009227D9"/>
    <w:rsid w:val="00923C44"/>
    <w:rsid w:val="00927791"/>
    <w:rsid w:val="0092790B"/>
    <w:rsid w:val="00930607"/>
    <w:rsid w:val="00930D0A"/>
    <w:rsid w:val="00932778"/>
    <w:rsid w:val="009329BA"/>
    <w:rsid w:val="0093304D"/>
    <w:rsid w:val="00936939"/>
    <w:rsid w:val="009370B2"/>
    <w:rsid w:val="0094053B"/>
    <w:rsid w:val="00942040"/>
    <w:rsid w:val="00942C9F"/>
    <w:rsid w:val="00945349"/>
    <w:rsid w:val="00945631"/>
    <w:rsid w:val="00945E15"/>
    <w:rsid w:val="00947549"/>
    <w:rsid w:val="00950931"/>
    <w:rsid w:val="00954967"/>
    <w:rsid w:val="0095793C"/>
    <w:rsid w:val="0096111E"/>
    <w:rsid w:val="00961125"/>
    <w:rsid w:val="00961E5B"/>
    <w:rsid w:val="00963362"/>
    <w:rsid w:val="00963A81"/>
    <w:rsid w:val="00963BD1"/>
    <w:rsid w:val="00966B1F"/>
    <w:rsid w:val="0097116E"/>
    <w:rsid w:val="00974518"/>
    <w:rsid w:val="00976C13"/>
    <w:rsid w:val="00976F29"/>
    <w:rsid w:val="00977176"/>
    <w:rsid w:val="00980247"/>
    <w:rsid w:val="00980FE0"/>
    <w:rsid w:val="00981134"/>
    <w:rsid w:val="00984006"/>
    <w:rsid w:val="0098712D"/>
    <w:rsid w:val="009902E6"/>
    <w:rsid w:val="00990C3B"/>
    <w:rsid w:val="009928B7"/>
    <w:rsid w:val="00992C06"/>
    <w:rsid w:val="00992FCF"/>
    <w:rsid w:val="0099321A"/>
    <w:rsid w:val="009960B7"/>
    <w:rsid w:val="0099635E"/>
    <w:rsid w:val="009972FE"/>
    <w:rsid w:val="009A0CAE"/>
    <w:rsid w:val="009A2A3F"/>
    <w:rsid w:val="009A5B8B"/>
    <w:rsid w:val="009A5DAB"/>
    <w:rsid w:val="009A725D"/>
    <w:rsid w:val="009B3A8F"/>
    <w:rsid w:val="009B536C"/>
    <w:rsid w:val="009B5783"/>
    <w:rsid w:val="009B6496"/>
    <w:rsid w:val="009B72AF"/>
    <w:rsid w:val="009C01DA"/>
    <w:rsid w:val="009C1528"/>
    <w:rsid w:val="009C20CC"/>
    <w:rsid w:val="009C3558"/>
    <w:rsid w:val="009C4D6E"/>
    <w:rsid w:val="009C562E"/>
    <w:rsid w:val="009C60AA"/>
    <w:rsid w:val="009C7531"/>
    <w:rsid w:val="009D1964"/>
    <w:rsid w:val="009D220C"/>
    <w:rsid w:val="009D221F"/>
    <w:rsid w:val="009E0250"/>
    <w:rsid w:val="009E06AB"/>
    <w:rsid w:val="009E09F0"/>
    <w:rsid w:val="009E17E8"/>
    <w:rsid w:val="009E19E8"/>
    <w:rsid w:val="009E377C"/>
    <w:rsid w:val="009E411C"/>
    <w:rsid w:val="009E458A"/>
    <w:rsid w:val="009E5316"/>
    <w:rsid w:val="009E54C7"/>
    <w:rsid w:val="009E5970"/>
    <w:rsid w:val="009E5D7C"/>
    <w:rsid w:val="009E5DFC"/>
    <w:rsid w:val="009F1789"/>
    <w:rsid w:val="009F1F61"/>
    <w:rsid w:val="009F2E3B"/>
    <w:rsid w:val="009F36D2"/>
    <w:rsid w:val="009F3B6B"/>
    <w:rsid w:val="009F4504"/>
    <w:rsid w:val="009F502C"/>
    <w:rsid w:val="009F580C"/>
    <w:rsid w:val="009F603B"/>
    <w:rsid w:val="009F6987"/>
    <w:rsid w:val="009F720F"/>
    <w:rsid w:val="00A010E7"/>
    <w:rsid w:val="00A01759"/>
    <w:rsid w:val="00A01A17"/>
    <w:rsid w:val="00A01A60"/>
    <w:rsid w:val="00A06788"/>
    <w:rsid w:val="00A06EC2"/>
    <w:rsid w:val="00A076F9"/>
    <w:rsid w:val="00A07997"/>
    <w:rsid w:val="00A07F87"/>
    <w:rsid w:val="00A15F1E"/>
    <w:rsid w:val="00A16237"/>
    <w:rsid w:val="00A206ED"/>
    <w:rsid w:val="00A20806"/>
    <w:rsid w:val="00A20C7F"/>
    <w:rsid w:val="00A22DBA"/>
    <w:rsid w:val="00A2361A"/>
    <w:rsid w:val="00A25BFF"/>
    <w:rsid w:val="00A27522"/>
    <w:rsid w:val="00A301C4"/>
    <w:rsid w:val="00A3282E"/>
    <w:rsid w:val="00A32F9B"/>
    <w:rsid w:val="00A33EB1"/>
    <w:rsid w:val="00A34D0C"/>
    <w:rsid w:val="00A34D76"/>
    <w:rsid w:val="00A354A5"/>
    <w:rsid w:val="00A365D0"/>
    <w:rsid w:val="00A402B8"/>
    <w:rsid w:val="00A40DC8"/>
    <w:rsid w:val="00A41E22"/>
    <w:rsid w:val="00A42CD5"/>
    <w:rsid w:val="00A43C2B"/>
    <w:rsid w:val="00A43F91"/>
    <w:rsid w:val="00A443A6"/>
    <w:rsid w:val="00A44BDD"/>
    <w:rsid w:val="00A45A1A"/>
    <w:rsid w:val="00A45AE7"/>
    <w:rsid w:val="00A45E61"/>
    <w:rsid w:val="00A47F32"/>
    <w:rsid w:val="00A50E98"/>
    <w:rsid w:val="00A53220"/>
    <w:rsid w:val="00A538E6"/>
    <w:rsid w:val="00A54571"/>
    <w:rsid w:val="00A56102"/>
    <w:rsid w:val="00A56800"/>
    <w:rsid w:val="00A56D7E"/>
    <w:rsid w:val="00A57404"/>
    <w:rsid w:val="00A575BD"/>
    <w:rsid w:val="00A60EEC"/>
    <w:rsid w:val="00A63732"/>
    <w:rsid w:val="00A65BD9"/>
    <w:rsid w:val="00A66718"/>
    <w:rsid w:val="00A67A61"/>
    <w:rsid w:val="00A70B31"/>
    <w:rsid w:val="00A718BF"/>
    <w:rsid w:val="00A718C9"/>
    <w:rsid w:val="00A71F16"/>
    <w:rsid w:val="00A729EF"/>
    <w:rsid w:val="00A73765"/>
    <w:rsid w:val="00A73A74"/>
    <w:rsid w:val="00A759FE"/>
    <w:rsid w:val="00A76D67"/>
    <w:rsid w:val="00A776B8"/>
    <w:rsid w:val="00A80228"/>
    <w:rsid w:val="00A81EB6"/>
    <w:rsid w:val="00A83624"/>
    <w:rsid w:val="00A837FE"/>
    <w:rsid w:val="00A839E3"/>
    <w:rsid w:val="00A85357"/>
    <w:rsid w:val="00A85DA1"/>
    <w:rsid w:val="00A877B3"/>
    <w:rsid w:val="00A902DD"/>
    <w:rsid w:val="00A91617"/>
    <w:rsid w:val="00A91BAC"/>
    <w:rsid w:val="00A94DAC"/>
    <w:rsid w:val="00A96FA8"/>
    <w:rsid w:val="00A9770A"/>
    <w:rsid w:val="00AA0A43"/>
    <w:rsid w:val="00AA0DD3"/>
    <w:rsid w:val="00AA1857"/>
    <w:rsid w:val="00AA1C07"/>
    <w:rsid w:val="00AA3688"/>
    <w:rsid w:val="00AA56D2"/>
    <w:rsid w:val="00AA5887"/>
    <w:rsid w:val="00AA5EBC"/>
    <w:rsid w:val="00AB078F"/>
    <w:rsid w:val="00AB07F7"/>
    <w:rsid w:val="00AB19F8"/>
    <w:rsid w:val="00AB1E30"/>
    <w:rsid w:val="00AB2A61"/>
    <w:rsid w:val="00AB2F3C"/>
    <w:rsid w:val="00AB3A12"/>
    <w:rsid w:val="00AB4697"/>
    <w:rsid w:val="00AB4F86"/>
    <w:rsid w:val="00AB5654"/>
    <w:rsid w:val="00AB5A8D"/>
    <w:rsid w:val="00AB6642"/>
    <w:rsid w:val="00AB7C0C"/>
    <w:rsid w:val="00AC2EFE"/>
    <w:rsid w:val="00AC343E"/>
    <w:rsid w:val="00AC3930"/>
    <w:rsid w:val="00AC3AB1"/>
    <w:rsid w:val="00AC68C6"/>
    <w:rsid w:val="00AC79C1"/>
    <w:rsid w:val="00AC7CA4"/>
    <w:rsid w:val="00AC7DD6"/>
    <w:rsid w:val="00AD2208"/>
    <w:rsid w:val="00AD2AE1"/>
    <w:rsid w:val="00AD4A64"/>
    <w:rsid w:val="00AD598F"/>
    <w:rsid w:val="00AD64ED"/>
    <w:rsid w:val="00AD6D09"/>
    <w:rsid w:val="00AD7A57"/>
    <w:rsid w:val="00AE07DA"/>
    <w:rsid w:val="00AE098E"/>
    <w:rsid w:val="00AE0BBA"/>
    <w:rsid w:val="00AE187A"/>
    <w:rsid w:val="00AE2291"/>
    <w:rsid w:val="00AE22BD"/>
    <w:rsid w:val="00AE25C8"/>
    <w:rsid w:val="00AE35AF"/>
    <w:rsid w:val="00AE4113"/>
    <w:rsid w:val="00AE4380"/>
    <w:rsid w:val="00AE5525"/>
    <w:rsid w:val="00AE6381"/>
    <w:rsid w:val="00AE656F"/>
    <w:rsid w:val="00AE7D78"/>
    <w:rsid w:val="00AE7F38"/>
    <w:rsid w:val="00AF0D91"/>
    <w:rsid w:val="00AF0F81"/>
    <w:rsid w:val="00AF202C"/>
    <w:rsid w:val="00AF2643"/>
    <w:rsid w:val="00AF41F6"/>
    <w:rsid w:val="00AF438E"/>
    <w:rsid w:val="00AF45CA"/>
    <w:rsid w:val="00AF4DB0"/>
    <w:rsid w:val="00AF53F8"/>
    <w:rsid w:val="00AF5CEE"/>
    <w:rsid w:val="00AF6D7E"/>
    <w:rsid w:val="00AF70B6"/>
    <w:rsid w:val="00AF7506"/>
    <w:rsid w:val="00AF7B2C"/>
    <w:rsid w:val="00AF7E16"/>
    <w:rsid w:val="00B000F9"/>
    <w:rsid w:val="00B007DD"/>
    <w:rsid w:val="00B0098A"/>
    <w:rsid w:val="00B01016"/>
    <w:rsid w:val="00B0146E"/>
    <w:rsid w:val="00B02160"/>
    <w:rsid w:val="00B027CB"/>
    <w:rsid w:val="00B0352B"/>
    <w:rsid w:val="00B05408"/>
    <w:rsid w:val="00B0649D"/>
    <w:rsid w:val="00B073E6"/>
    <w:rsid w:val="00B074F8"/>
    <w:rsid w:val="00B07E07"/>
    <w:rsid w:val="00B121B0"/>
    <w:rsid w:val="00B16F86"/>
    <w:rsid w:val="00B17FAB"/>
    <w:rsid w:val="00B22C5F"/>
    <w:rsid w:val="00B23687"/>
    <w:rsid w:val="00B24144"/>
    <w:rsid w:val="00B244BF"/>
    <w:rsid w:val="00B25710"/>
    <w:rsid w:val="00B25AD0"/>
    <w:rsid w:val="00B27B03"/>
    <w:rsid w:val="00B31B62"/>
    <w:rsid w:val="00B33711"/>
    <w:rsid w:val="00B34889"/>
    <w:rsid w:val="00B34907"/>
    <w:rsid w:val="00B37550"/>
    <w:rsid w:val="00B402C6"/>
    <w:rsid w:val="00B41DC1"/>
    <w:rsid w:val="00B448F6"/>
    <w:rsid w:val="00B44A00"/>
    <w:rsid w:val="00B4566C"/>
    <w:rsid w:val="00B46EC7"/>
    <w:rsid w:val="00B47CAE"/>
    <w:rsid w:val="00B50A91"/>
    <w:rsid w:val="00B515C1"/>
    <w:rsid w:val="00B51761"/>
    <w:rsid w:val="00B52022"/>
    <w:rsid w:val="00B52187"/>
    <w:rsid w:val="00B54176"/>
    <w:rsid w:val="00B54691"/>
    <w:rsid w:val="00B60CCD"/>
    <w:rsid w:val="00B6123B"/>
    <w:rsid w:val="00B6255A"/>
    <w:rsid w:val="00B62854"/>
    <w:rsid w:val="00B62EF1"/>
    <w:rsid w:val="00B63DDD"/>
    <w:rsid w:val="00B640CC"/>
    <w:rsid w:val="00B6436A"/>
    <w:rsid w:val="00B645B6"/>
    <w:rsid w:val="00B64B2F"/>
    <w:rsid w:val="00B667BF"/>
    <w:rsid w:val="00B6797D"/>
    <w:rsid w:val="00B7119F"/>
    <w:rsid w:val="00B735B8"/>
    <w:rsid w:val="00B7411D"/>
    <w:rsid w:val="00B74858"/>
    <w:rsid w:val="00B752EB"/>
    <w:rsid w:val="00B76351"/>
    <w:rsid w:val="00B77BE4"/>
    <w:rsid w:val="00B812BE"/>
    <w:rsid w:val="00B82251"/>
    <w:rsid w:val="00B83864"/>
    <w:rsid w:val="00B848B2"/>
    <w:rsid w:val="00B84A7E"/>
    <w:rsid w:val="00B85CA4"/>
    <w:rsid w:val="00B86608"/>
    <w:rsid w:val="00B87847"/>
    <w:rsid w:val="00B90477"/>
    <w:rsid w:val="00B92AA5"/>
    <w:rsid w:val="00B955FE"/>
    <w:rsid w:val="00B96744"/>
    <w:rsid w:val="00BA0B9F"/>
    <w:rsid w:val="00BA3B25"/>
    <w:rsid w:val="00BA403C"/>
    <w:rsid w:val="00BA6419"/>
    <w:rsid w:val="00BA6550"/>
    <w:rsid w:val="00BA7887"/>
    <w:rsid w:val="00BB2693"/>
    <w:rsid w:val="00BB35C6"/>
    <w:rsid w:val="00BB3642"/>
    <w:rsid w:val="00BB3DD1"/>
    <w:rsid w:val="00BB66AB"/>
    <w:rsid w:val="00BB69BB"/>
    <w:rsid w:val="00BB6F82"/>
    <w:rsid w:val="00BC0AD6"/>
    <w:rsid w:val="00BC0ADD"/>
    <w:rsid w:val="00BC0C26"/>
    <w:rsid w:val="00BC122E"/>
    <w:rsid w:val="00BC1DB7"/>
    <w:rsid w:val="00BC2BE0"/>
    <w:rsid w:val="00BC327C"/>
    <w:rsid w:val="00BC3584"/>
    <w:rsid w:val="00BD027D"/>
    <w:rsid w:val="00BD500F"/>
    <w:rsid w:val="00BD7BDE"/>
    <w:rsid w:val="00BE0C68"/>
    <w:rsid w:val="00BE2EEC"/>
    <w:rsid w:val="00BE431A"/>
    <w:rsid w:val="00BE4871"/>
    <w:rsid w:val="00BE4ED6"/>
    <w:rsid w:val="00BE539A"/>
    <w:rsid w:val="00BE54F3"/>
    <w:rsid w:val="00BE5F67"/>
    <w:rsid w:val="00BE7920"/>
    <w:rsid w:val="00BF0374"/>
    <w:rsid w:val="00BF0842"/>
    <w:rsid w:val="00BF09A2"/>
    <w:rsid w:val="00BF1E46"/>
    <w:rsid w:val="00BF2CD1"/>
    <w:rsid w:val="00BF370A"/>
    <w:rsid w:val="00BF41F1"/>
    <w:rsid w:val="00BF4B6A"/>
    <w:rsid w:val="00BF4F2C"/>
    <w:rsid w:val="00BF5135"/>
    <w:rsid w:val="00BF5B10"/>
    <w:rsid w:val="00C009F5"/>
    <w:rsid w:val="00C01129"/>
    <w:rsid w:val="00C019E9"/>
    <w:rsid w:val="00C01FEE"/>
    <w:rsid w:val="00C02239"/>
    <w:rsid w:val="00C022E1"/>
    <w:rsid w:val="00C0398D"/>
    <w:rsid w:val="00C052F9"/>
    <w:rsid w:val="00C074F3"/>
    <w:rsid w:val="00C11E4C"/>
    <w:rsid w:val="00C148D7"/>
    <w:rsid w:val="00C14954"/>
    <w:rsid w:val="00C15A81"/>
    <w:rsid w:val="00C16524"/>
    <w:rsid w:val="00C176C7"/>
    <w:rsid w:val="00C179B0"/>
    <w:rsid w:val="00C20CA6"/>
    <w:rsid w:val="00C2259A"/>
    <w:rsid w:val="00C226F9"/>
    <w:rsid w:val="00C23398"/>
    <w:rsid w:val="00C23B23"/>
    <w:rsid w:val="00C23F8C"/>
    <w:rsid w:val="00C26C22"/>
    <w:rsid w:val="00C27B03"/>
    <w:rsid w:val="00C3089B"/>
    <w:rsid w:val="00C3209E"/>
    <w:rsid w:val="00C33815"/>
    <w:rsid w:val="00C343AB"/>
    <w:rsid w:val="00C34B40"/>
    <w:rsid w:val="00C35836"/>
    <w:rsid w:val="00C37E5B"/>
    <w:rsid w:val="00C41C2A"/>
    <w:rsid w:val="00C41CD3"/>
    <w:rsid w:val="00C43438"/>
    <w:rsid w:val="00C44264"/>
    <w:rsid w:val="00C46251"/>
    <w:rsid w:val="00C4790F"/>
    <w:rsid w:val="00C47FC0"/>
    <w:rsid w:val="00C50283"/>
    <w:rsid w:val="00C528CC"/>
    <w:rsid w:val="00C53ABD"/>
    <w:rsid w:val="00C53AD3"/>
    <w:rsid w:val="00C53C94"/>
    <w:rsid w:val="00C55F64"/>
    <w:rsid w:val="00C5601F"/>
    <w:rsid w:val="00C560BC"/>
    <w:rsid w:val="00C57397"/>
    <w:rsid w:val="00C57741"/>
    <w:rsid w:val="00C6074F"/>
    <w:rsid w:val="00C60A7C"/>
    <w:rsid w:val="00C62568"/>
    <w:rsid w:val="00C64143"/>
    <w:rsid w:val="00C64206"/>
    <w:rsid w:val="00C6434D"/>
    <w:rsid w:val="00C652E5"/>
    <w:rsid w:val="00C67446"/>
    <w:rsid w:val="00C70EBA"/>
    <w:rsid w:val="00C734BF"/>
    <w:rsid w:val="00C7697F"/>
    <w:rsid w:val="00C8136C"/>
    <w:rsid w:val="00C82FFA"/>
    <w:rsid w:val="00C85521"/>
    <w:rsid w:val="00C863EE"/>
    <w:rsid w:val="00C868D4"/>
    <w:rsid w:val="00C91058"/>
    <w:rsid w:val="00C91E41"/>
    <w:rsid w:val="00C92646"/>
    <w:rsid w:val="00C92B35"/>
    <w:rsid w:val="00C92EC3"/>
    <w:rsid w:val="00C9316A"/>
    <w:rsid w:val="00C93B5E"/>
    <w:rsid w:val="00C95D8D"/>
    <w:rsid w:val="00C96348"/>
    <w:rsid w:val="00C97C7F"/>
    <w:rsid w:val="00CA2283"/>
    <w:rsid w:val="00CA2885"/>
    <w:rsid w:val="00CA2AEF"/>
    <w:rsid w:val="00CA2F0A"/>
    <w:rsid w:val="00CA325F"/>
    <w:rsid w:val="00CA33B8"/>
    <w:rsid w:val="00CA3DC5"/>
    <w:rsid w:val="00CA726B"/>
    <w:rsid w:val="00CA73FA"/>
    <w:rsid w:val="00CB1582"/>
    <w:rsid w:val="00CB22B7"/>
    <w:rsid w:val="00CB2CA2"/>
    <w:rsid w:val="00CB5032"/>
    <w:rsid w:val="00CB5BCD"/>
    <w:rsid w:val="00CB6000"/>
    <w:rsid w:val="00CB7DF6"/>
    <w:rsid w:val="00CC0293"/>
    <w:rsid w:val="00CC0495"/>
    <w:rsid w:val="00CC303F"/>
    <w:rsid w:val="00CC3C96"/>
    <w:rsid w:val="00CC5F77"/>
    <w:rsid w:val="00CC6402"/>
    <w:rsid w:val="00CC6777"/>
    <w:rsid w:val="00CC7997"/>
    <w:rsid w:val="00CD0400"/>
    <w:rsid w:val="00CD077C"/>
    <w:rsid w:val="00CD342A"/>
    <w:rsid w:val="00CD3940"/>
    <w:rsid w:val="00CD6B6B"/>
    <w:rsid w:val="00CE54CA"/>
    <w:rsid w:val="00CE6A0B"/>
    <w:rsid w:val="00CE7D37"/>
    <w:rsid w:val="00CF0950"/>
    <w:rsid w:val="00CF3B07"/>
    <w:rsid w:val="00CF4C13"/>
    <w:rsid w:val="00CF4F45"/>
    <w:rsid w:val="00CF6384"/>
    <w:rsid w:val="00CF6902"/>
    <w:rsid w:val="00CF7606"/>
    <w:rsid w:val="00D0237D"/>
    <w:rsid w:val="00D04828"/>
    <w:rsid w:val="00D06E88"/>
    <w:rsid w:val="00D07116"/>
    <w:rsid w:val="00D07E30"/>
    <w:rsid w:val="00D10096"/>
    <w:rsid w:val="00D11F90"/>
    <w:rsid w:val="00D12840"/>
    <w:rsid w:val="00D13527"/>
    <w:rsid w:val="00D146EF"/>
    <w:rsid w:val="00D15E4E"/>
    <w:rsid w:val="00D172EB"/>
    <w:rsid w:val="00D17601"/>
    <w:rsid w:val="00D20D6E"/>
    <w:rsid w:val="00D21300"/>
    <w:rsid w:val="00D21E03"/>
    <w:rsid w:val="00D22352"/>
    <w:rsid w:val="00D22F7B"/>
    <w:rsid w:val="00D230DC"/>
    <w:rsid w:val="00D24645"/>
    <w:rsid w:val="00D26C9A"/>
    <w:rsid w:val="00D303E8"/>
    <w:rsid w:val="00D31BA6"/>
    <w:rsid w:val="00D335E1"/>
    <w:rsid w:val="00D34FFF"/>
    <w:rsid w:val="00D3545E"/>
    <w:rsid w:val="00D35FEA"/>
    <w:rsid w:val="00D366E4"/>
    <w:rsid w:val="00D423AC"/>
    <w:rsid w:val="00D43847"/>
    <w:rsid w:val="00D43E3D"/>
    <w:rsid w:val="00D44DC6"/>
    <w:rsid w:val="00D514E5"/>
    <w:rsid w:val="00D53589"/>
    <w:rsid w:val="00D539D5"/>
    <w:rsid w:val="00D544D5"/>
    <w:rsid w:val="00D602DE"/>
    <w:rsid w:val="00D6096A"/>
    <w:rsid w:val="00D60ABE"/>
    <w:rsid w:val="00D60CE5"/>
    <w:rsid w:val="00D60E65"/>
    <w:rsid w:val="00D61811"/>
    <w:rsid w:val="00D618EF"/>
    <w:rsid w:val="00D6315D"/>
    <w:rsid w:val="00D63F9F"/>
    <w:rsid w:val="00D646D3"/>
    <w:rsid w:val="00D64948"/>
    <w:rsid w:val="00D662F2"/>
    <w:rsid w:val="00D665F1"/>
    <w:rsid w:val="00D66613"/>
    <w:rsid w:val="00D6711E"/>
    <w:rsid w:val="00D678D1"/>
    <w:rsid w:val="00D67F0B"/>
    <w:rsid w:val="00D70C12"/>
    <w:rsid w:val="00D70D3D"/>
    <w:rsid w:val="00D716CB"/>
    <w:rsid w:val="00D72DDF"/>
    <w:rsid w:val="00D73B08"/>
    <w:rsid w:val="00D80127"/>
    <w:rsid w:val="00D805A9"/>
    <w:rsid w:val="00D805D1"/>
    <w:rsid w:val="00D82125"/>
    <w:rsid w:val="00D82249"/>
    <w:rsid w:val="00D82FD7"/>
    <w:rsid w:val="00D84FA6"/>
    <w:rsid w:val="00D85C5F"/>
    <w:rsid w:val="00D85ECC"/>
    <w:rsid w:val="00D864C7"/>
    <w:rsid w:val="00D86EB7"/>
    <w:rsid w:val="00D8792E"/>
    <w:rsid w:val="00D9211B"/>
    <w:rsid w:val="00D92B5E"/>
    <w:rsid w:val="00D93388"/>
    <w:rsid w:val="00D945AF"/>
    <w:rsid w:val="00D95457"/>
    <w:rsid w:val="00D9549D"/>
    <w:rsid w:val="00D97A7B"/>
    <w:rsid w:val="00D97CC7"/>
    <w:rsid w:val="00DA1259"/>
    <w:rsid w:val="00DA1AAD"/>
    <w:rsid w:val="00DA1E08"/>
    <w:rsid w:val="00DA214A"/>
    <w:rsid w:val="00DA4A52"/>
    <w:rsid w:val="00DA4FBC"/>
    <w:rsid w:val="00DA6744"/>
    <w:rsid w:val="00DA7457"/>
    <w:rsid w:val="00DB1083"/>
    <w:rsid w:val="00DB2995"/>
    <w:rsid w:val="00DB2ED0"/>
    <w:rsid w:val="00DB3534"/>
    <w:rsid w:val="00DB38F0"/>
    <w:rsid w:val="00DB3C91"/>
    <w:rsid w:val="00DB3EE8"/>
    <w:rsid w:val="00DB4701"/>
    <w:rsid w:val="00DB59C0"/>
    <w:rsid w:val="00DC0146"/>
    <w:rsid w:val="00DC03EE"/>
    <w:rsid w:val="00DC0D79"/>
    <w:rsid w:val="00DC12C2"/>
    <w:rsid w:val="00DC2621"/>
    <w:rsid w:val="00DC36B8"/>
    <w:rsid w:val="00DC49C4"/>
    <w:rsid w:val="00DC53F2"/>
    <w:rsid w:val="00DC568D"/>
    <w:rsid w:val="00DC5A3E"/>
    <w:rsid w:val="00DC6B01"/>
    <w:rsid w:val="00DC7797"/>
    <w:rsid w:val="00DC7F67"/>
    <w:rsid w:val="00DD0786"/>
    <w:rsid w:val="00DD078A"/>
    <w:rsid w:val="00DD1737"/>
    <w:rsid w:val="00DD2D77"/>
    <w:rsid w:val="00DD34E1"/>
    <w:rsid w:val="00DD3822"/>
    <w:rsid w:val="00DD38F5"/>
    <w:rsid w:val="00DD3B9B"/>
    <w:rsid w:val="00DD6349"/>
    <w:rsid w:val="00DD7667"/>
    <w:rsid w:val="00DD777C"/>
    <w:rsid w:val="00DE0D2F"/>
    <w:rsid w:val="00DE0D75"/>
    <w:rsid w:val="00DE0EDC"/>
    <w:rsid w:val="00DE19EB"/>
    <w:rsid w:val="00DE37DD"/>
    <w:rsid w:val="00DE3908"/>
    <w:rsid w:val="00DE563B"/>
    <w:rsid w:val="00DE5B0F"/>
    <w:rsid w:val="00DE7E1C"/>
    <w:rsid w:val="00DF002C"/>
    <w:rsid w:val="00DF0FE3"/>
    <w:rsid w:val="00DF1508"/>
    <w:rsid w:val="00DF2CB1"/>
    <w:rsid w:val="00DF5287"/>
    <w:rsid w:val="00DF69F9"/>
    <w:rsid w:val="00DF72F8"/>
    <w:rsid w:val="00E009A7"/>
    <w:rsid w:val="00E02B50"/>
    <w:rsid w:val="00E03C27"/>
    <w:rsid w:val="00E046A9"/>
    <w:rsid w:val="00E04B3F"/>
    <w:rsid w:val="00E060C1"/>
    <w:rsid w:val="00E06B1E"/>
    <w:rsid w:val="00E06F68"/>
    <w:rsid w:val="00E07787"/>
    <w:rsid w:val="00E07E4A"/>
    <w:rsid w:val="00E109AC"/>
    <w:rsid w:val="00E10AAF"/>
    <w:rsid w:val="00E147D5"/>
    <w:rsid w:val="00E14C0E"/>
    <w:rsid w:val="00E15F3A"/>
    <w:rsid w:val="00E16642"/>
    <w:rsid w:val="00E167E5"/>
    <w:rsid w:val="00E173B0"/>
    <w:rsid w:val="00E1787C"/>
    <w:rsid w:val="00E2249E"/>
    <w:rsid w:val="00E22B76"/>
    <w:rsid w:val="00E234F1"/>
    <w:rsid w:val="00E249F8"/>
    <w:rsid w:val="00E25AF8"/>
    <w:rsid w:val="00E25CAF"/>
    <w:rsid w:val="00E26C55"/>
    <w:rsid w:val="00E26F6C"/>
    <w:rsid w:val="00E27B4A"/>
    <w:rsid w:val="00E34A42"/>
    <w:rsid w:val="00E34CA3"/>
    <w:rsid w:val="00E3514C"/>
    <w:rsid w:val="00E37DA6"/>
    <w:rsid w:val="00E37FE3"/>
    <w:rsid w:val="00E41065"/>
    <w:rsid w:val="00E43AAA"/>
    <w:rsid w:val="00E44C62"/>
    <w:rsid w:val="00E47206"/>
    <w:rsid w:val="00E50634"/>
    <w:rsid w:val="00E510FB"/>
    <w:rsid w:val="00E520D0"/>
    <w:rsid w:val="00E54EF2"/>
    <w:rsid w:val="00E60DC5"/>
    <w:rsid w:val="00E615CD"/>
    <w:rsid w:val="00E628EA"/>
    <w:rsid w:val="00E63559"/>
    <w:rsid w:val="00E63AC4"/>
    <w:rsid w:val="00E64C42"/>
    <w:rsid w:val="00E66CD1"/>
    <w:rsid w:val="00E67180"/>
    <w:rsid w:val="00E676E2"/>
    <w:rsid w:val="00E72AC2"/>
    <w:rsid w:val="00E74FA5"/>
    <w:rsid w:val="00E756A8"/>
    <w:rsid w:val="00E76032"/>
    <w:rsid w:val="00E764B7"/>
    <w:rsid w:val="00E768F2"/>
    <w:rsid w:val="00E76DB8"/>
    <w:rsid w:val="00E77787"/>
    <w:rsid w:val="00E77E9E"/>
    <w:rsid w:val="00E80139"/>
    <w:rsid w:val="00E81DED"/>
    <w:rsid w:val="00E8212A"/>
    <w:rsid w:val="00E82316"/>
    <w:rsid w:val="00E825B3"/>
    <w:rsid w:val="00E83231"/>
    <w:rsid w:val="00E8372F"/>
    <w:rsid w:val="00E83B14"/>
    <w:rsid w:val="00E83CFF"/>
    <w:rsid w:val="00E849DE"/>
    <w:rsid w:val="00E85948"/>
    <w:rsid w:val="00E86536"/>
    <w:rsid w:val="00E8680E"/>
    <w:rsid w:val="00E86D79"/>
    <w:rsid w:val="00E9167E"/>
    <w:rsid w:val="00E922A4"/>
    <w:rsid w:val="00E925CE"/>
    <w:rsid w:val="00E92889"/>
    <w:rsid w:val="00E93F3F"/>
    <w:rsid w:val="00E97369"/>
    <w:rsid w:val="00E973BE"/>
    <w:rsid w:val="00E97671"/>
    <w:rsid w:val="00EA05D9"/>
    <w:rsid w:val="00EA06BB"/>
    <w:rsid w:val="00EA1104"/>
    <w:rsid w:val="00EA5257"/>
    <w:rsid w:val="00EA59B6"/>
    <w:rsid w:val="00EA62E2"/>
    <w:rsid w:val="00EA6397"/>
    <w:rsid w:val="00EB00B1"/>
    <w:rsid w:val="00EB0433"/>
    <w:rsid w:val="00EB1B8B"/>
    <w:rsid w:val="00EB3C54"/>
    <w:rsid w:val="00EB4551"/>
    <w:rsid w:val="00EB4951"/>
    <w:rsid w:val="00EC098E"/>
    <w:rsid w:val="00EC0BCB"/>
    <w:rsid w:val="00EC0E71"/>
    <w:rsid w:val="00EC1025"/>
    <w:rsid w:val="00ED29DD"/>
    <w:rsid w:val="00ED613A"/>
    <w:rsid w:val="00ED61D7"/>
    <w:rsid w:val="00ED6CFA"/>
    <w:rsid w:val="00ED6D53"/>
    <w:rsid w:val="00EE1855"/>
    <w:rsid w:val="00EE2173"/>
    <w:rsid w:val="00EE2B68"/>
    <w:rsid w:val="00EE4CEC"/>
    <w:rsid w:val="00EE5E76"/>
    <w:rsid w:val="00EE6722"/>
    <w:rsid w:val="00EE6D70"/>
    <w:rsid w:val="00EF1386"/>
    <w:rsid w:val="00EF2483"/>
    <w:rsid w:val="00EF2491"/>
    <w:rsid w:val="00EF256B"/>
    <w:rsid w:val="00EF362A"/>
    <w:rsid w:val="00EF37FD"/>
    <w:rsid w:val="00EF4738"/>
    <w:rsid w:val="00EF49E4"/>
    <w:rsid w:val="00EF5277"/>
    <w:rsid w:val="00EF5CAD"/>
    <w:rsid w:val="00EF611F"/>
    <w:rsid w:val="00EF61EE"/>
    <w:rsid w:val="00EF76E1"/>
    <w:rsid w:val="00F01DE4"/>
    <w:rsid w:val="00F025C2"/>
    <w:rsid w:val="00F07087"/>
    <w:rsid w:val="00F1030E"/>
    <w:rsid w:val="00F105F3"/>
    <w:rsid w:val="00F10925"/>
    <w:rsid w:val="00F12F6C"/>
    <w:rsid w:val="00F13DAE"/>
    <w:rsid w:val="00F13F5A"/>
    <w:rsid w:val="00F14A7D"/>
    <w:rsid w:val="00F1525C"/>
    <w:rsid w:val="00F157D8"/>
    <w:rsid w:val="00F15E4C"/>
    <w:rsid w:val="00F201AD"/>
    <w:rsid w:val="00F21481"/>
    <w:rsid w:val="00F21B21"/>
    <w:rsid w:val="00F222BB"/>
    <w:rsid w:val="00F2491A"/>
    <w:rsid w:val="00F24EF6"/>
    <w:rsid w:val="00F25477"/>
    <w:rsid w:val="00F254E4"/>
    <w:rsid w:val="00F26CA4"/>
    <w:rsid w:val="00F26F90"/>
    <w:rsid w:val="00F31690"/>
    <w:rsid w:val="00F324B4"/>
    <w:rsid w:val="00F35D19"/>
    <w:rsid w:val="00F36D66"/>
    <w:rsid w:val="00F4066C"/>
    <w:rsid w:val="00F40D22"/>
    <w:rsid w:val="00F41269"/>
    <w:rsid w:val="00F41319"/>
    <w:rsid w:val="00F44B13"/>
    <w:rsid w:val="00F45BE7"/>
    <w:rsid w:val="00F463D7"/>
    <w:rsid w:val="00F4749D"/>
    <w:rsid w:val="00F50163"/>
    <w:rsid w:val="00F509F1"/>
    <w:rsid w:val="00F510E2"/>
    <w:rsid w:val="00F515F1"/>
    <w:rsid w:val="00F5273A"/>
    <w:rsid w:val="00F52D6B"/>
    <w:rsid w:val="00F52E18"/>
    <w:rsid w:val="00F546FB"/>
    <w:rsid w:val="00F55335"/>
    <w:rsid w:val="00F55E94"/>
    <w:rsid w:val="00F56EAE"/>
    <w:rsid w:val="00F57D1C"/>
    <w:rsid w:val="00F605D9"/>
    <w:rsid w:val="00F6086A"/>
    <w:rsid w:val="00F62824"/>
    <w:rsid w:val="00F62A7E"/>
    <w:rsid w:val="00F62D7C"/>
    <w:rsid w:val="00F634C8"/>
    <w:rsid w:val="00F645DF"/>
    <w:rsid w:val="00F67155"/>
    <w:rsid w:val="00F7058F"/>
    <w:rsid w:val="00F70AAD"/>
    <w:rsid w:val="00F70D21"/>
    <w:rsid w:val="00F70FEF"/>
    <w:rsid w:val="00F74F3A"/>
    <w:rsid w:val="00F74F67"/>
    <w:rsid w:val="00F75C02"/>
    <w:rsid w:val="00F77DF6"/>
    <w:rsid w:val="00F77ECB"/>
    <w:rsid w:val="00F81E47"/>
    <w:rsid w:val="00F824EF"/>
    <w:rsid w:val="00F856CB"/>
    <w:rsid w:val="00F856EE"/>
    <w:rsid w:val="00F863C9"/>
    <w:rsid w:val="00F86474"/>
    <w:rsid w:val="00F868B4"/>
    <w:rsid w:val="00F8730A"/>
    <w:rsid w:val="00F9016F"/>
    <w:rsid w:val="00F903C9"/>
    <w:rsid w:val="00F9053A"/>
    <w:rsid w:val="00F90601"/>
    <w:rsid w:val="00F948A0"/>
    <w:rsid w:val="00F9626A"/>
    <w:rsid w:val="00F962C9"/>
    <w:rsid w:val="00F97592"/>
    <w:rsid w:val="00F97DD8"/>
    <w:rsid w:val="00FA15F9"/>
    <w:rsid w:val="00FA21C6"/>
    <w:rsid w:val="00FA3C27"/>
    <w:rsid w:val="00FA44EE"/>
    <w:rsid w:val="00FA6C92"/>
    <w:rsid w:val="00FA78FD"/>
    <w:rsid w:val="00FB01EF"/>
    <w:rsid w:val="00FB11BE"/>
    <w:rsid w:val="00FB1357"/>
    <w:rsid w:val="00FB17A2"/>
    <w:rsid w:val="00FB1B56"/>
    <w:rsid w:val="00FB1C15"/>
    <w:rsid w:val="00FB4C6F"/>
    <w:rsid w:val="00FB524A"/>
    <w:rsid w:val="00FB555B"/>
    <w:rsid w:val="00FB55E9"/>
    <w:rsid w:val="00FC2B28"/>
    <w:rsid w:val="00FC5E76"/>
    <w:rsid w:val="00FC5E80"/>
    <w:rsid w:val="00FC69CF"/>
    <w:rsid w:val="00FC7214"/>
    <w:rsid w:val="00FD0383"/>
    <w:rsid w:val="00FD0B70"/>
    <w:rsid w:val="00FD11B8"/>
    <w:rsid w:val="00FD1440"/>
    <w:rsid w:val="00FD1489"/>
    <w:rsid w:val="00FD17D7"/>
    <w:rsid w:val="00FD2DA9"/>
    <w:rsid w:val="00FD3B2E"/>
    <w:rsid w:val="00FD59F1"/>
    <w:rsid w:val="00FD6FE2"/>
    <w:rsid w:val="00FD73D9"/>
    <w:rsid w:val="00FD74CB"/>
    <w:rsid w:val="00FD7543"/>
    <w:rsid w:val="00FD7BF5"/>
    <w:rsid w:val="00FE185C"/>
    <w:rsid w:val="00FE3C5F"/>
    <w:rsid w:val="00FE401B"/>
    <w:rsid w:val="00FE4705"/>
    <w:rsid w:val="00FE557C"/>
    <w:rsid w:val="00FE6C0B"/>
    <w:rsid w:val="00FF03E5"/>
    <w:rsid w:val="00FF12F3"/>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2387AE34-E3AD-44EE-A10B-9987AD51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val="en-GB" w:eastAsia="en-US"/>
    </w:rPr>
  </w:style>
  <w:style w:type="paragraph" w:styleId="Heading1">
    <w:name w:val="heading 1"/>
    <w:basedOn w:val="Normal"/>
    <w:next w:val="Normal"/>
    <w:link w:val="Heading1Char"/>
    <w:qFormat/>
    <w:rsid w:val="00557328"/>
    <w:pPr>
      <w:keepNext/>
      <w:tabs>
        <w:tab w:val="clear" w:pos="567"/>
        <w:tab w:val="left" w:pos="-720"/>
        <w:tab w:val="left" w:pos="0"/>
      </w:tabs>
      <w:suppressAutoHyphens/>
      <w:jc w:val="both"/>
      <w:outlineLvl w:val="0"/>
    </w:pPr>
    <w:rPr>
      <w:rFonts w:eastAsia="SimSun"/>
      <w:noProof/>
      <w:lang w:val="it-IT"/>
    </w:rPr>
  </w:style>
  <w:style w:type="paragraph" w:styleId="Heading2">
    <w:name w:val="heading 2"/>
    <w:basedOn w:val="Normal"/>
    <w:next w:val="Normal"/>
    <w:qFormat/>
    <w:rsid w:val="00AF6D7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F6D7E"/>
    <w:pPr>
      <w:keepNext/>
      <w:spacing w:before="240" w:after="60"/>
      <w:outlineLvl w:val="2"/>
    </w:pPr>
    <w:rPr>
      <w:rFonts w:ascii="Arial" w:hAnsi="Arial" w:cs="Arial"/>
      <w:b/>
      <w:bCs/>
      <w:sz w:val="26"/>
      <w:szCs w:val="26"/>
    </w:rPr>
  </w:style>
  <w:style w:type="paragraph" w:styleId="Heading4">
    <w:name w:val="heading 4"/>
    <w:basedOn w:val="Normal"/>
    <w:next w:val="Normal"/>
    <w:qFormat/>
    <w:rsid w:val="00AF6D7E"/>
    <w:pPr>
      <w:keepNext/>
      <w:spacing w:before="240" w:after="60"/>
      <w:outlineLvl w:val="3"/>
    </w:pPr>
    <w:rPr>
      <w:b/>
      <w:bCs/>
      <w:sz w:val="28"/>
      <w:szCs w:val="28"/>
    </w:rPr>
  </w:style>
  <w:style w:type="paragraph" w:styleId="Heading5">
    <w:name w:val="heading 5"/>
    <w:basedOn w:val="Normal"/>
    <w:next w:val="Normal"/>
    <w:qFormat/>
    <w:rsid w:val="00AF6D7E"/>
    <w:pPr>
      <w:spacing w:before="240" w:after="60"/>
      <w:outlineLvl w:val="4"/>
    </w:pPr>
    <w:rPr>
      <w:b/>
      <w:bCs/>
      <w:i/>
      <w:iCs/>
      <w:sz w:val="26"/>
      <w:szCs w:val="26"/>
    </w:rPr>
  </w:style>
  <w:style w:type="paragraph" w:styleId="Heading6">
    <w:name w:val="heading 6"/>
    <w:basedOn w:val="Normal"/>
    <w:next w:val="Normal"/>
    <w:qFormat/>
    <w:rsid w:val="00AF6D7E"/>
    <w:pPr>
      <w:spacing w:before="240" w:after="60"/>
      <w:outlineLvl w:val="5"/>
    </w:pPr>
    <w:rPr>
      <w:b/>
      <w:bCs/>
      <w:szCs w:val="22"/>
    </w:rPr>
  </w:style>
  <w:style w:type="paragraph" w:styleId="Heading7">
    <w:name w:val="heading 7"/>
    <w:basedOn w:val="Normal"/>
    <w:next w:val="Normal"/>
    <w:qFormat/>
    <w:rsid w:val="00AF6D7E"/>
    <w:pPr>
      <w:spacing w:before="240" w:after="60"/>
      <w:outlineLvl w:val="6"/>
    </w:pPr>
    <w:rPr>
      <w:sz w:val="24"/>
      <w:szCs w:val="24"/>
    </w:rPr>
  </w:style>
  <w:style w:type="paragraph" w:styleId="Heading8">
    <w:name w:val="heading 8"/>
    <w:basedOn w:val="Normal"/>
    <w:next w:val="Normal"/>
    <w:qFormat/>
    <w:rsid w:val="00AF6D7E"/>
    <w:pPr>
      <w:spacing w:before="240" w:after="60"/>
      <w:outlineLvl w:val="7"/>
    </w:pPr>
    <w:rPr>
      <w:i/>
      <w:iCs/>
      <w:sz w:val="24"/>
      <w:szCs w:val="24"/>
    </w:rPr>
  </w:style>
  <w:style w:type="paragraph" w:styleId="Heading9">
    <w:name w:val="heading 9"/>
    <w:basedOn w:val="Normal"/>
    <w:next w:val="Normal"/>
    <w:qFormat/>
    <w:rsid w:val="00AF6D7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algun Gothic" w:hAnsi="Malgun Gothic"/>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EB4551"/>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rPr>
      <w:b/>
      <w:bCs/>
    </w:rPr>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basedOn w:val="CommentText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MEABodyText">
    <w:name w:val="EMEA Body Text"/>
    <w:basedOn w:val="Normal"/>
    <w:rsid w:val="00400FF5"/>
    <w:pPr>
      <w:tabs>
        <w:tab w:val="clear" w:pos="567"/>
      </w:tabs>
    </w:pPr>
    <w:rPr>
      <w:rFonts w:eastAsia="SimSun"/>
      <w:snapToGrid w:val="0"/>
      <w:lang w:eastAsia="zh-CN"/>
    </w:rPr>
  </w:style>
  <w:style w:type="paragraph" w:customStyle="1" w:styleId="Listenabsatz1">
    <w:name w:val="Listenabsatz1"/>
    <w:basedOn w:val="Normal"/>
    <w:uiPriority w:val="34"/>
    <w:qFormat/>
    <w:rsid w:val="00625511"/>
    <w:pPr>
      <w:ind w:left="708"/>
    </w:pPr>
  </w:style>
  <w:style w:type="paragraph" w:customStyle="1" w:styleId="berarbeitung2">
    <w:name w:val="Überarbeitung2"/>
    <w:hidden/>
    <w:uiPriority w:val="99"/>
    <w:semiHidden/>
    <w:rsid w:val="00791679"/>
    <w:rPr>
      <w:rFonts w:eastAsia="Times New Roman"/>
      <w:sz w:val="22"/>
      <w:lang w:val="en-GB" w:eastAsia="en-US"/>
    </w:rPr>
  </w:style>
  <w:style w:type="paragraph" w:customStyle="1" w:styleId="berarbeitung1">
    <w:name w:val="Überarbeitung1"/>
    <w:hidden/>
    <w:uiPriority w:val="99"/>
    <w:semiHidden/>
    <w:rsid w:val="004B4383"/>
    <w:rPr>
      <w:rFonts w:eastAsia="Times New Roman"/>
      <w:sz w:val="22"/>
      <w:lang w:val="en-GB" w:eastAsia="en-US"/>
    </w:rPr>
  </w:style>
  <w:style w:type="character" w:customStyle="1" w:styleId="Heading1Char">
    <w:name w:val="Heading 1 Char"/>
    <w:link w:val="Heading1"/>
    <w:locked/>
    <w:rsid w:val="00557328"/>
    <w:rPr>
      <w:noProof/>
      <w:sz w:val="22"/>
      <w:lang w:val="it-IT" w:eastAsia="en-US" w:bidi="ar-SA"/>
    </w:rPr>
  </w:style>
  <w:style w:type="character" w:customStyle="1" w:styleId="hps">
    <w:name w:val="hps"/>
    <w:rsid w:val="00A73765"/>
  </w:style>
  <w:style w:type="character" w:customStyle="1" w:styleId="st">
    <w:name w:val="st"/>
    <w:rsid w:val="00FA15F9"/>
  </w:style>
  <w:style w:type="character" w:styleId="Emphasis">
    <w:name w:val="Emphasis"/>
    <w:uiPriority w:val="20"/>
    <w:qFormat/>
    <w:rsid w:val="00FA15F9"/>
    <w:rPr>
      <w:i/>
      <w:iCs/>
    </w:rPr>
  </w:style>
  <w:style w:type="paragraph" w:styleId="TableofFigures">
    <w:name w:val="table of figures"/>
    <w:basedOn w:val="Normal"/>
    <w:next w:val="Normal"/>
    <w:semiHidden/>
    <w:rsid w:val="00AF6D7E"/>
    <w:pPr>
      <w:tabs>
        <w:tab w:val="clear" w:pos="567"/>
      </w:tabs>
    </w:pPr>
  </w:style>
  <w:style w:type="paragraph" w:styleId="Salutation">
    <w:name w:val="Salutation"/>
    <w:basedOn w:val="Normal"/>
    <w:next w:val="Normal"/>
    <w:rsid w:val="00AF6D7E"/>
  </w:style>
  <w:style w:type="paragraph" w:styleId="ListBullet">
    <w:name w:val="List Bullet"/>
    <w:basedOn w:val="Normal"/>
    <w:rsid w:val="00AF6D7E"/>
    <w:pPr>
      <w:numPr>
        <w:numId w:val="15"/>
      </w:numPr>
    </w:pPr>
  </w:style>
  <w:style w:type="paragraph" w:styleId="ListBullet2">
    <w:name w:val="List Bullet 2"/>
    <w:basedOn w:val="Normal"/>
    <w:rsid w:val="00AF6D7E"/>
    <w:pPr>
      <w:numPr>
        <w:numId w:val="16"/>
      </w:numPr>
    </w:pPr>
  </w:style>
  <w:style w:type="paragraph" w:styleId="ListBullet3">
    <w:name w:val="List Bullet 3"/>
    <w:basedOn w:val="Normal"/>
    <w:rsid w:val="00AF6D7E"/>
    <w:pPr>
      <w:numPr>
        <w:numId w:val="17"/>
      </w:numPr>
    </w:pPr>
  </w:style>
  <w:style w:type="paragraph" w:styleId="ListBullet4">
    <w:name w:val="List Bullet 4"/>
    <w:basedOn w:val="Normal"/>
    <w:rsid w:val="00AF6D7E"/>
    <w:pPr>
      <w:numPr>
        <w:numId w:val="18"/>
      </w:numPr>
    </w:pPr>
  </w:style>
  <w:style w:type="paragraph" w:styleId="ListBullet5">
    <w:name w:val="List Bullet 5"/>
    <w:basedOn w:val="Normal"/>
    <w:rsid w:val="00AF6D7E"/>
    <w:pPr>
      <w:numPr>
        <w:numId w:val="19"/>
      </w:numPr>
    </w:pPr>
  </w:style>
  <w:style w:type="paragraph" w:styleId="Caption">
    <w:name w:val="caption"/>
    <w:basedOn w:val="Normal"/>
    <w:next w:val="Normal"/>
    <w:qFormat/>
    <w:rsid w:val="00AF6D7E"/>
    <w:rPr>
      <w:b/>
      <w:bCs/>
      <w:sz w:val="20"/>
    </w:rPr>
  </w:style>
  <w:style w:type="paragraph" w:styleId="BlockText">
    <w:name w:val="Block Text"/>
    <w:basedOn w:val="Normal"/>
    <w:rsid w:val="00AF6D7E"/>
    <w:pPr>
      <w:spacing w:after="120"/>
      <w:ind w:left="1440" w:right="1440"/>
    </w:pPr>
  </w:style>
  <w:style w:type="paragraph" w:styleId="Date">
    <w:name w:val="Date"/>
    <w:basedOn w:val="Normal"/>
    <w:next w:val="Normal"/>
    <w:rsid w:val="00AF6D7E"/>
  </w:style>
  <w:style w:type="paragraph" w:styleId="DocumentMap">
    <w:name w:val="Document Map"/>
    <w:basedOn w:val="Normal"/>
    <w:semiHidden/>
    <w:rsid w:val="00AF6D7E"/>
    <w:pPr>
      <w:shd w:val="clear" w:color="auto" w:fill="000080"/>
    </w:pPr>
    <w:rPr>
      <w:rFonts w:ascii="Tahoma" w:hAnsi="Tahoma" w:cs="Tahoma"/>
      <w:sz w:val="20"/>
    </w:rPr>
  </w:style>
  <w:style w:type="paragraph" w:styleId="E-mailSignature">
    <w:name w:val="E-mail Signature"/>
    <w:basedOn w:val="Normal"/>
    <w:rsid w:val="00AF6D7E"/>
  </w:style>
  <w:style w:type="paragraph" w:styleId="EndnoteText">
    <w:name w:val="endnote text"/>
    <w:basedOn w:val="Normal"/>
    <w:semiHidden/>
    <w:rsid w:val="00AF6D7E"/>
    <w:rPr>
      <w:sz w:val="20"/>
    </w:rPr>
  </w:style>
  <w:style w:type="paragraph" w:styleId="NoteHeading">
    <w:name w:val="Note Heading"/>
    <w:basedOn w:val="Normal"/>
    <w:next w:val="Normal"/>
    <w:rsid w:val="00AF6D7E"/>
  </w:style>
  <w:style w:type="paragraph" w:styleId="FootnoteText">
    <w:name w:val="footnote text"/>
    <w:basedOn w:val="Normal"/>
    <w:semiHidden/>
    <w:rsid w:val="00AF6D7E"/>
    <w:rPr>
      <w:sz w:val="20"/>
    </w:rPr>
  </w:style>
  <w:style w:type="paragraph" w:styleId="Closing">
    <w:name w:val="Closing"/>
    <w:basedOn w:val="Normal"/>
    <w:rsid w:val="00AF6D7E"/>
    <w:pPr>
      <w:ind w:left="4252"/>
    </w:pPr>
  </w:style>
  <w:style w:type="paragraph" w:styleId="HTMLAddress">
    <w:name w:val="HTML Address"/>
    <w:basedOn w:val="Normal"/>
    <w:rsid w:val="00AF6D7E"/>
    <w:rPr>
      <w:i/>
      <w:iCs/>
    </w:rPr>
  </w:style>
  <w:style w:type="paragraph" w:styleId="HTMLPreformatted">
    <w:name w:val="HTML Preformatted"/>
    <w:basedOn w:val="Normal"/>
    <w:rsid w:val="00AF6D7E"/>
    <w:rPr>
      <w:rFonts w:ascii="Courier New" w:hAnsi="Courier New" w:cs="Courier New"/>
      <w:sz w:val="20"/>
    </w:rPr>
  </w:style>
  <w:style w:type="paragraph" w:styleId="Index1">
    <w:name w:val="index 1"/>
    <w:basedOn w:val="Normal"/>
    <w:next w:val="Normal"/>
    <w:autoRedefine/>
    <w:semiHidden/>
    <w:rsid w:val="00AF6D7E"/>
    <w:pPr>
      <w:tabs>
        <w:tab w:val="clear" w:pos="567"/>
      </w:tabs>
      <w:ind w:left="220" w:hanging="220"/>
    </w:pPr>
  </w:style>
  <w:style w:type="paragraph" w:styleId="Index2">
    <w:name w:val="index 2"/>
    <w:basedOn w:val="Normal"/>
    <w:next w:val="Normal"/>
    <w:autoRedefine/>
    <w:semiHidden/>
    <w:rsid w:val="00AF6D7E"/>
    <w:pPr>
      <w:tabs>
        <w:tab w:val="clear" w:pos="567"/>
      </w:tabs>
      <w:ind w:left="440" w:hanging="220"/>
    </w:pPr>
  </w:style>
  <w:style w:type="paragraph" w:styleId="Index3">
    <w:name w:val="index 3"/>
    <w:basedOn w:val="Normal"/>
    <w:next w:val="Normal"/>
    <w:autoRedefine/>
    <w:semiHidden/>
    <w:rsid w:val="00AF6D7E"/>
    <w:pPr>
      <w:tabs>
        <w:tab w:val="clear" w:pos="567"/>
      </w:tabs>
      <w:ind w:left="660" w:hanging="220"/>
    </w:pPr>
  </w:style>
  <w:style w:type="paragraph" w:styleId="Index4">
    <w:name w:val="index 4"/>
    <w:basedOn w:val="Normal"/>
    <w:next w:val="Normal"/>
    <w:autoRedefine/>
    <w:semiHidden/>
    <w:rsid w:val="00AF6D7E"/>
    <w:pPr>
      <w:tabs>
        <w:tab w:val="clear" w:pos="567"/>
      </w:tabs>
      <w:ind w:left="880" w:hanging="220"/>
    </w:pPr>
  </w:style>
  <w:style w:type="paragraph" w:styleId="Index5">
    <w:name w:val="index 5"/>
    <w:basedOn w:val="Normal"/>
    <w:next w:val="Normal"/>
    <w:autoRedefine/>
    <w:semiHidden/>
    <w:rsid w:val="00AF6D7E"/>
    <w:pPr>
      <w:tabs>
        <w:tab w:val="clear" w:pos="567"/>
      </w:tabs>
      <w:ind w:left="1100" w:hanging="220"/>
    </w:pPr>
  </w:style>
  <w:style w:type="paragraph" w:styleId="Index6">
    <w:name w:val="index 6"/>
    <w:basedOn w:val="Normal"/>
    <w:next w:val="Normal"/>
    <w:autoRedefine/>
    <w:semiHidden/>
    <w:rsid w:val="00AF6D7E"/>
    <w:pPr>
      <w:tabs>
        <w:tab w:val="clear" w:pos="567"/>
      </w:tabs>
      <w:ind w:left="1320" w:hanging="220"/>
    </w:pPr>
  </w:style>
  <w:style w:type="paragraph" w:styleId="Index7">
    <w:name w:val="index 7"/>
    <w:basedOn w:val="Normal"/>
    <w:next w:val="Normal"/>
    <w:autoRedefine/>
    <w:semiHidden/>
    <w:rsid w:val="00AF6D7E"/>
    <w:pPr>
      <w:tabs>
        <w:tab w:val="clear" w:pos="567"/>
      </w:tabs>
      <w:ind w:left="1540" w:hanging="220"/>
    </w:pPr>
  </w:style>
  <w:style w:type="paragraph" w:styleId="Index8">
    <w:name w:val="index 8"/>
    <w:basedOn w:val="Normal"/>
    <w:next w:val="Normal"/>
    <w:autoRedefine/>
    <w:semiHidden/>
    <w:rsid w:val="00AF6D7E"/>
    <w:pPr>
      <w:tabs>
        <w:tab w:val="clear" w:pos="567"/>
      </w:tabs>
      <w:ind w:left="1760" w:hanging="220"/>
    </w:pPr>
  </w:style>
  <w:style w:type="paragraph" w:styleId="Index9">
    <w:name w:val="index 9"/>
    <w:basedOn w:val="Normal"/>
    <w:next w:val="Normal"/>
    <w:autoRedefine/>
    <w:semiHidden/>
    <w:rsid w:val="00AF6D7E"/>
    <w:pPr>
      <w:tabs>
        <w:tab w:val="clear" w:pos="567"/>
      </w:tabs>
      <w:ind w:left="1980" w:hanging="220"/>
    </w:pPr>
  </w:style>
  <w:style w:type="paragraph" w:styleId="IndexHeading">
    <w:name w:val="index heading"/>
    <w:basedOn w:val="Normal"/>
    <w:next w:val="Index1"/>
    <w:semiHidden/>
    <w:rsid w:val="00AF6D7E"/>
    <w:rPr>
      <w:rFonts w:ascii="Arial" w:hAnsi="Arial" w:cs="Arial"/>
      <w:b/>
      <w:bCs/>
    </w:rPr>
  </w:style>
  <w:style w:type="paragraph" w:styleId="List">
    <w:name w:val="List"/>
    <w:basedOn w:val="Normal"/>
    <w:rsid w:val="00AF6D7E"/>
    <w:pPr>
      <w:ind w:left="283" w:hanging="283"/>
    </w:pPr>
  </w:style>
  <w:style w:type="paragraph" w:styleId="List2">
    <w:name w:val="List 2"/>
    <w:basedOn w:val="Normal"/>
    <w:rsid w:val="00AF6D7E"/>
    <w:pPr>
      <w:ind w:left="566" w:hanging="283"/>
    </w:pPr>
  </w:style>
  <w:style w:type="paragraph" w:styleId="List3">
    <w:name w:val="List 3"/>
    <w:basedOn w:val="Normal"/>
    <w:rsid w:val="00AF6D7E"/>
    <w:pPr>
      <w:ind w:left="849" w:hanging="283"/>
    </w:pPr>
  </w:style>
  <w:style w:type="paragraph" w:styleId="List4">
    <w:name w:val="List 4"/>
    <w:basedOn w:val="Normal"/>
    <w:rsid w:val="00AF6D7E"/>
    <w:pPr>
      <w:ind w:left="1132" w:hanging="283"/>
    </w:pPr>
  </w:style>
  <w:style w:type="paragraph" w:styleId="List5">
    <w:name w:val="List 5"/>
    <w:basedOn w:val="Normal"/>
    <w:rsid w:val="00AF6D7E"/>
    <w:pPr>
      <w:ind w:left="1415" w:hanging="283"/>
    </w:pPr>
  </w:style>
  <w:style w:type="paragraph" w:styleId="ListContinue">
    <w:name w:val="List Continue"/>
    <w:basedOn w:val="Normal"/>
    <w:rsid w:val="00AF6D7E"/>
    <w:pPr>
      <w:spacing w:after="120"/>
      <w:ind w:left="283"/>
    </w:pPr>
  </w:style>
  <w:style w:type="paragraph" w:styleId="ListContinue2">
    <w:name w:val="List Continue 2"/>
    <w:basedOn w:val="Normal"/>
    <w:rsid w:val="00AF6D7E"/>
    <w:pPr>
      <w:spacing w:after="120"/>
      <w:ind w:left="566"/>
    </w:pPr>
  </w:style>
  <w:style w:type="paragraph" w:styleId="ListContinue3">
    <w:name w:val="List Continue 3"/>
    <w:basedOn w:val="Normal"/>
    <w:rsid w:val="00AF6D7E"/>
    <w:pPr>
      <w:spacing w:after="120"/>
      <w:ind w:left="849"/>
    </w:pPr>
  </w:style>
  <w:style w:type="paragraph" w:styleId="ListContinue4">
    <w:name w:val="List Continue 4"/>
    <w:basedOn w:val="Normal"/>
    <w:rsid w:val="00AF6D7E"/>
    <w:pPr>
      <w:spacing w:after="120"/>
      <w:ind w:left="1132"/>
    </w:pPr>
  </w:style>
  <w:style w:type="paragraph" w:styleId="ListContinue5">
    <w:name w:val="List Continue 5"/>
    <w:basedOn w:val="Normal"/>
    <w:rsid w:val="00AF6D7E"/>
    <w:pPr>
      <w:spacing w:after="120"/>
      <w:ind w:left="1415"/>
    </w:pPr>
  </w:style>
  <w:style w:type="paragraph" w:styleId="ListNumber">
    <w:name w:val="List Number"/>
    <w:basedOn w:val="Normal"/>
    <w:rsid w:val="00AF6D7E"/>
    <w:pPr>
      <w:numPr>
        <w:numId w:val="20"/>
      </w:numPr>
    </w:pPr>
  </w:style>
  <w:style w:type="paragraph" w:styleId="ListNumber2">
    <w:name w:val="List Number 2"/>
    <w:basedOn w:val="Normal"/>
    <w:rsid w:val="00AF6D7E"/>
    <w:pPr>
      <w:numPr>
        <w:numId w:val="21"/>
      </w:numPr>
    </w:pPr>
  </w:style>
  <w:style w:type="paragraph" w:styleId="ListNumber3">
    <w:name w:val="List Number 3"/>
    <w:basedOn w:val="Normal"/>
    <w:rsid w:val="00AF6D7E"/>
    <w:pPr>
      <w:numPr>
        <w:numId w:val="22"/>
      </w:numPr>
    </w:pPr>
  </w:style>
  <w:style w:type="paragraph" w:styleId="ListNumber4">
    <w:name w:val="List Number 4"/>
    <w:basedOn w:val="Normal"/>
    <w:rsid w:val="00AF6D7E"/>
    <w:pPr>
      <w:numPr>
        <w:numId w:val="23"/>
      </w:numPr>
    </w:pPr>
  </w:style>
  <w:style w:type="paragraph" w:styleId="ListNumber5">
    <w:name w:val="List Number 5"/>
    <w:basedOn w:val="Normal"/>
    <w:rsid w:val="00AF6D7E"/>
    <w:pPr>
      <w:numPr>
        <w:numId w:val="24"/>
      </w:numPr>
    </w:pPr>
  </w:style>
  <w:style w:type="paragraph" w:styleId="MacroText">
    <w:name w:val="macro"/>
    <w:semiHidden/>
    <w:rsid w:val="00AF6D7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US"/>
    </w:rPr>
  </w:style>
  <w:style w:type="paragraph" w:styleId="MessageHeader">
    <w:name w:val="Message Header"/>
    <w:basedOn w:val="Normal"/>
    <w:rsid w:val="00AF6D7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AF6D7E"/>
    <w:rPr>
      <w:rFonts w:ascii="Courier New" w:hAnsi="Courier New" w:cs="Courier New"/>
      <w:sz w:val="20"/>
    </w:rPr>
  </w:style>
  <w:style w:type="paragraph" w:styleId="TableofAuthorities">
    <w:name w:val="table of authorities"/>
    <w:basedOn w:val="Normal"/>
    <w:next w:val="Normal"/>
    <w:semiHidden/>
    <w:rsid w:val="00AF6D7E"/>
    <w:pPr>
      <w:tabs>
        <w:tab w:val="clear" w:pos="567"/>
      </w:tabs>
      <w:ind w:left="220" w:hanging="220"/>
    </w:pPr>
  </w:style>
  <w:style w:type="paragraph" w:styleId="TOAHeading">
    <w:name w:val="toa heading"/>
    <w:basedOn w:val="Normal"/>
    <w:next w:val="Normal"/>
    <w:semiHidden/>
    <w:rsid w:val="00AF6D7E"/>
    <w:pPr>
      <w:spacing w:before="120"/>
    </w:pPr>
    <w:rPr>
      <w:rFonts w:ascii="Arial" w:hAnsi="Arial" w:cs="Arial"/>
      <w:b/>
      <w:bCs/>
      <w:sz w:val="24"/>
      <w:szCs w:val="24"/>
    </w:rPr>
  </w:style>
  <w:style w:type="paragraph" w:styleId="NormalWeb">
    <w:name w:val="Normal (Web)"/>
    <w:basedOn w:val="Normal"/>
    <w:rsid w:val="00AF6D7E"/>
    <w:rPr>
      <w:sz w:val="24"/>
      <w:szCs w:val="24"/>
    </w:rPr>
  </w:style>
  <w:style w:type="paragraph" w:styleId="NormalIndent">
    <w:name w:val="Normal Indent"/>
    <w:basedOn w:val="Normal"/>
    <w:rsid w:val="00AF6D7E"/>
    <w:pPr>
      <w:ind w:left="708"/>
    </w:pPr>
  </w:style>
  <w:style w:type="paragraph" w:styleId="BodyText2">
    <w:name w:val="Body Text 2"/>
    <w:basedOn w:val="Normal"/>
    <w:rsid w:val="00AF6D7E"/>
    <w:pPr>
      <w:spacing w:after="120" w:line="480" w:lineRule="auto"/>
    </w:pPr>
  </w:style>
  <w:style w:type="paragraph" w:styleId="BodyText3">
    <w:name w:val="Body Text 3"/>
    <w:basedOn w:val="Normal"/>
    <w:rsid w:val="00AF6D7E"/>
    <w:pPr>
      <w:spacing w:after="120"/>
    </w:pPr>
    <w:rPr>
      <w:sz w:val="16"/>
      <w:szCs w:val="16"/>
    </w:rPr>
  </w:style>
  <w:style w:type="paragraph" w:styleId="BodyTextIndent2">
    <w:name w:val="Body Text Indent 2"/>
    <w:basedOn w:val="Normal"/>
    <w:rsid w:val="00AF6D7E"/>
    <w:pPr>
      <w:spacing w:after="120" w:line="480" w:lineRule="auto"/>
      <w:ind w:left="283"/>
    </w:pPr>
  </w:style>
  <w:style w:type="paragraph" w:styleId="BodyTextIndent3">
    <w:name w:val="Body Text Indent 3"/>
    <w:basedOn w:val="Normal"/>
    <w:rsid w:val="00AF6D7E"/>
    <w:pPr>
      <w:spacing w:after="120"/>
      <w:ind w:left="283"/>
    </w:pPr>
    <w:rPr>
      <w:sz w:val="16"/>
      <w:szCs w:val="16"/>
    </w:rPr>
  </w:style>
  <w:style w:type="paragraph" w:styleId="BodyTextFirstIndent">
    <w:name w:val="Body Text First Indent"/>
    <w:basedOn w:val="BodyText"/>
    <w:rsid w:val="00AF6D7E"/>
    <w:pPr>
      <w:tabs>
        <w:tab w:val="left" w:pos="567"/>
      </w:tabs>
      <w:spacing w:after="120"/>
      <w:ind w:firstLine="210"/>
    </w:pPr>
    <w:rPr>
      <w:i w:val="0"/>
      <w:color w:val="auto"/>
    </w:rPr>
  </w:style>
  <w:style w:type="paragraph" w:styleId="BodyTextIndent">
    <w:name w:val="Body Text Indent"/>
    <w:basedOn w:val="Normal"/>
    <w:rsid w:val="00AF6D7E"/>
    <w:pPr>
      <w:spacing w:after="120"/>
      <w:ind w:left="283"/>
    </w:pPr>
  </w:style>
  <w:style w:type="paragraph" w:styleId="BodyTextFirstIndent2">
    <w:name w:val="Body Text First Indent 2"/>
    <w:basedOn w:val="BodyTextIndent"/>
    <w:rsid w:val="00AF6D7E"/>
    <w:pPr>
      <w:ind w:firstLine="210"/>
    </w:pPr>
  </w:style>
  <w:style w:type="paragraph" w:styleId="Title">
    <w:name w:val="Title"/>
    <w:basedOn w:val="Normal"/>
    <w:qFormat/>
    <w:rsid w:val="00AF6D7E"/>
    <w:pPr>
      <w:spacing w:before="240" w:after="60"/>
      <w:jc w:val="center"/>
      <w:outlineLvl w:val="0"/>
    </w:pPr>
    <w:rPr>
      <w:rFonts w:ascii="Arial" w:hAnsi="Arial" w:cs="Arial"/>
      <w:b/>
      <w:bCs/>
      <w:kern w:val="28"/>
      <w:sz w:val="32"/>
      <w:szCs w:val="32"/>
    </w:rPr>
  </w:style>
  <w:style w:type="paragraph" w:styleId="EnvelopeReturn">
    <w:name w:val="envelope return"/>
    <w:basedOn w:val="Normal"/>
    <w:rsid w:val="00AF6D7E"/>
    <w:rPr>
      <w:rFonts w:ascii="Arial" w:hAnsi="Arial" w:cs="Arial"/>
      <w:sz w:val="20"/>
    </w:rPr>
  </w:style>
  <w:style w:type="paragraph" w:styleId="EnvelopeAddress">
    <w:name w:val="envelope address"/>
    <w:basedOn w:val="Normal"/>
    <w:rsid w:val="00AF6D7E"/>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AF6D7E"/>
    <w:pPr>
      <w:ind w:left="4252"/>
    </w:pPr>
  </w:style>
  <w:style w:type="paragraph" w:styleId="Subtitle">
    <w:name w:val="Subtitle"/>
    <w:basedOn w:val="Normal"/>
    <w:qFormat/>
    <w:rsid w:val="00AF6D7E"/>
    <w:pPr>
      <w:spacing w:after="60"/>
      <w:jc w:val="center"/>
      <w:outlineLvl w:val="1"/>
    </w:pPr>
    <w:rPr>
      <w:rFonts w:ascii="Arial" w:hAnsi="Arial" w:cs="Arial"/>
      <w:sz w:val="24"/>
      <w:szCs w:val="24"/>
    </w:rPr>
  </w:style>
  <w:style w:type="paragraph" w:styleId="TOC1">
    <w:name w:val="toc 1"/>
    <w:basedOn w:val="Normal"/>
    <w:next w:val="Normal"/>
    <w:autoRedefine/>
    <w:semiHidden/>
    <w:rsid w:val="00AF6D7E"/>
    <w:pPr>
      <w:tabs>
        <w:tab w:val="clear" w:pos="567"/>
      </w:tabs>
    </w:pPr>
  </w:style>
  <w:style w:type="paragraph" w:styleId="TOC2">
    <w:name w:val="toc 2"/>
    <w:basedOn w:val="Normal"/>
    <w:next w:val="Normal"/>
    <w:autoRedefine/>
    <w:semiHidden/>
    <w:rsid w:val="00AF6D7E"/>
    <w:pPr>
      <w:tabs>
        <w:tab w:val="clear" w:pos="567"/>
      </w:tabs>
      <w:ind w:left="220"/>
    </w:pPr>
  </w:style>
  <w:style w:type="paragraph" w:styleId="TOC3">
    <w:name w:val="toc 3"/>
    <w:basedOn w:val="Normal"/>
    <w:next w:val="Normal"/>
    <w:autoRedefine/>
    <w:semiHidden/>
    <w:rsid w:val="00AF6D7E"/>
    <w:pPr>
      <w:tabs>
        <w:tab w:val="clear" w:pos="567"/>
      </w:tabs>
      <w:ind w:left="440"/>
    </w:pPr>
  </w:style>
  <w:style w:type="paragraph" w:styleId="TOC4">
    <w:name w:val="toc 4"/>
    <w:basedOn w:val="Normal"/>
    <w:next w:val="Normal"/>
    <w:autoRedefine/>
    <w:semiHidden/>
    <w:rsid w:val="00AF6D7E"/>
    <w:pPr>
      <w:tabs>
        <w:tab w:val="clear" w:pos="567"/>
      </w:tabs>
      <w:ind w:left="660"/>
    </w:pPr>
  </w:style>
  <w:style w:type="paragraph" w:styleId="TOC5">
    <w:name w:val="toc 5"/>
    <w:basedOn w:val="Normal"/>
    <w:next w:val="Normal"/>
    <w:autoRedefine/>
    <w:semiHidden/>
    <w:rsid w:val="00AF6D7E"/>
    <w:pPr>
      <w:tabs>
        <w:tab w:val="clear" w:pos="567"/>
      </w:tabs>
      <w:ind w:left="880"/>
    </w:pPr>
  </w:style>
  <w:style w:type="paragraph" w:styleId="TOC6">
    <w:name w:val="toc 6"/>
    <w:basedOn w:val="Normal"/>
    <w:next w:val="Normal"/>
    <w:autoRedefine/>
    <w:semiHidden/>
    <w:rsid w:val="00AF6D7E"/>
    <w:pPr>
      <w:tabs>
        <w:tab w:val="clear" w:pos="567"/>
      </w:tabs>
      <w:ind w:left="1100"/>
    </w:pPr>
  </w:style>
  <w:style w:type="paragraph" w:styleId="TOC7">
    <w:name w:val="toc 7"/>
    <w:basedOn w:val="Normal"/>
    <w:next w:val="Normal"/>
    <w:autoRedefine/>
    <w:semiHidden/>
    <w:rsid w:val="00AF6D7E"/>
    <w:pPr>
      <w:tabs>
        <w:tab w:val="clear" w:pos="567"/>
      </w:tabs>
      <w:ind w:left="1320"/>
    </w:pPr>
  </w:style>
  <w:style w:type="paragraph" w:styleId="TOC8">
    <w:name w:val="toc 8"/>
    <w:basedOn w:val="Normal"/>
    <w:next w:val="Normal"/>
    <w:autoRedefine/>
    <w:semiHidden/>
    <w:rsid w:val="00AF6D7E"/>
    <w:pPr>
      <w:tabs>
        <w:tab w:val="clear" w:pos="567"/>
      </w:tabs>
      <w:ind w:left="1540"/>
    </w:pPr>
  </w:style>
  <w:style w:type="paragraph" w:styleId="TOC9">
    <w:name w:val="toc 9"/>
    <w:basedOn w:val="Normal"/>
    <w:next w:val="Normal"/>
    <w:autoRedefine/>
    <w:semiHidden/>
    <w:rsid w:val="00AF6D7E"/>
    <w:pPr>
      <w:tabs>
        <w:tab w:val="clear" w:pos="567"/>
      </w:tabs>
      <w:ind w:left="1760"/>
    </w:pPr>
  </w:style>
  <w:style w:type="paragraph" w:customStyle="1" w:styleId="Revisione1">
    <w:name w:val="Revisione1"/>
    <w:hidden/>
    <w:uiPriority w:val="99"/>
    <w:semiHidden/>
    <w:rsid w:val="00BA403C"/>
    <w:rPr>
      <w:rFonts w:eastAsia="Times New Roman"/>
      <w:sz w:val="22"/>
      <w:lang w:val="en-GB" w:eastAsia="en-US"/>
    </w:rPr>
  </w:style>
  <w:style w:type="paragraph" w:styleId="TOCHeading">
    <w:name w:val="TOC Heading"/>
    <w:basedOn w:val="Heading1"/>
    <w:next w:val="Normal"/>
    <w:uiPriority w:val="39"/>
    <w:semiHidden/>
    <w:unhideWhenUsed/>
    <w:qFormat/>
    <w:rsid w:val="00B54176"/>
    <w:pPr>
      <w:tabs>
        <w:tab w:val="clear" w:pos="-720"/>
        <w:tab w:val="clear" w:pos="0"/>
        <w:tab w:val="left" w:pos="567"/>
      </w:tabs>
      <w:suppressAutoHyphens w:val="0"/>
      <w:spacing w:before="240" w:after="60"/>
      <w:jc w:val="left"/>
      <w:outlineLvl w:val="9"/>
    </w:pPr>
    <w:rPr>
      <w:rFonts w:ascii="Cambria" w:eastAsia="Times New Roman" w:hAnsi="Cambria"/>
      <w:b/>
      <w:bCs/>
      <w:noProof w:val="0"/>
      <w:kern w:val="32"/>
      <w:sz w:val="32"/>
      <w:szCs w:val="32"/>
      <w:lang w:val="en-GB"/>
    </w:rPr>
  </w:style>
  <w:style w:type="paragraph" w:styleId="IntenseQuote">
    <w:name w:val="Intense Quote"/>
    <w:basedOn w:val="Normal"/>
    <w:next w:val="Normal"/>
    <w:link w:val="IntenseQuoteChar"/>
    <w:uiPriority w:val="30"/>
    <w:qFormat/>
    <w:rsid w:val="00B5417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54176"/>
    <w:rPr>
      <w:rFonts w:eastAsia="Times New Roman"/>
      <w:b/>
      <w:bCs/>
      <w:i/>
      <w:iCs/>
      <w:color w:val="4F81BD"/>
      <w:sz w:val="22"/>
      <w:lang w:val="en-GB" w:eastAsia="en-US"/>
    </w:rPr>
  </w:style>
  <w:style w:type="paragraph" w:styleId="NoSpacing">
    <w:name w:val="No Spacing"/>
    <w:uiPriority w:val="1"/>
    <w:qFormat/>
    <w:rsid w:val="00B54176"/>
    <w:pPr>
      <w:tabs>
        <w:tab w:val="left" w:pos="567"/>
      </w:tabs>
    </w:pPr>
    <w:rPr>
      <w:rFonts w:eastAsia="Times New Roman"/>
      <w:sz w:val="22"/>
      <w:lang w:val="en-GB" w:eastAsia="en-US"/>
    </w:rPr>
  </w:style>
  <w:style w:type="paragraph" w:styleId="ListParagraph">
    <w:name w:val="List Paragraph"/>
    <w:basedOn w:val="Normal"/>
    <w:uiPriority w:val="34"/>
    <w:qFormat/>
    <w:rsid w:val="00B54176"/>
    <w:pPr>
      <w:ind w:left="708"/>
    </w:pPr>
  </w:style>
  <w:style w:type="paragraph" w:styleId="Bibliography">
    <w:name w:val="Bibliography"/>
    <w:basedOn w:val="Normal"/>
    <w:next w:val="Normal"/>
    <w:uiPriority w:val="37"/>
    <w:semiHidden/>
    <w:unhideWhenUsed/>
    <w:rsid w:val="00B54176"/>
  </w:style>
  <w:style w:type="paragraph" w:styleId="Quote">
    <w:name w:val="Quote"/>
    <w:basedOn w:val="Normal"/>
    <w:next w:val="Normal"/>
    <w:link w:val="QuoteChar"/>
    <w:uiPriority w:val="29"/>
    <w:qFormat/>
    <w:rsid w:val="00B54176"/>
    <w:rPr>
      <w:i/>
      <w:iCs/>
      <w:color w:val="000000"/>
    </w:rPr>
  </w:style>
  <w:style w:type="character" w:customStyle="1" w:styleId="QuoteChar">
    <w:name w:val="Quote Char"/>
    <w:link w:val="Quote"/>
    <w:uiPriority w:val="29"/>
    <w:rsid w:val="00B54176"/>
    <w:rPr>
      <w:rFonts w:eastAsia="Times New Roman"/>
      <w:i/>
      <w:iCs/>
      <w:color w:val="000000"/>
      <w:sz w:val="22"/>
      <w:lang w:val="en-GB" w:eastAsia="en-US"/>
    </w:rPr>
  </w:style>
  <w:style w:type="paragraph" w:styleId="Revision">
    <w:name w:val="Revision"/>
    <w:hidden/>
    <w:uiPriority w:val="99"/>
    <w:semiHidden/>
    <w:rsid w:val="00BA3B25"/>
    <w:rPr>
      <w:rFonts w:eastAsia="Times New Roman"/>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573">
      <w:bodyDiv w:val="1"/>
      <w:marLeft w:val="0"/>
      <w:marRight w:val="0"/>
      <w:marTop w:val="0"/>
      <w:marBottom w:val="0"/>
      <w:divBdr>
        <w:top w:val="none" w:sz="0" w:space="0" w:color="auto"/>
        <w:left w:val="none" w:sz="0" w:space="0" w:color="auto"/>
        <w:bottom w:val="none" w:sz="0" w:space="0" w:color="auto"/>
        <w:right w:val="none" w:sz="0" w:space="0" w:color="auto"/>
      </w:divBdr>
    </w:div>
    <w:div w:id="728461642">
      <w:bodyDiv w:val="1"/>
      <w:marLeft w:val="0"/>
      <w:marRight w:val="0"/>
      <w:marTop w:val="0"/>
      <w:marBottom w:val="0"/>
      <w:divBdr>
        <w:top w:val="none" w:sz="0" w:space="0" w:color="auto"/>
        <w:left w:val="none" w:sz="0" w:space="0" w:color="auto"/>
        <w:bottom w:val="none" w:sz="0" w:space="0" w:color="auto"/>
        <w:right w:val="none" w:sz="0" w:space="0" w:color="auto"/>
      </w:divBdr>
    </w:div>
    <w:div w:id="17597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24AAA0-1E23-4AED-952C-BBA3BECA8D13}">
  <ds:schemaRefs>
    <ds:schemaRef ds:uri="http://schemas.openxmlformats.org/officeDocument/2006/bibliography"/>
  </ds:schemaRefs>
</ds:datastoreItem>
</file>

<file path=customXml/itemProps2.xml><?xml version="1.0" encoding="utf-8"?>
<ds:datastoreItem xmlns:ds="http://schemas.openxmlformats.org/officeDocument/2006/customXml" ds:itemID="{9463C4AC-A7F0-4797-B175-746ACA12744C}"/>
</file>

<file path=customXml/itemProps3.xml><?xml version="1.0" encoding="utf-8"?>
<ds:datastoreItem xmlns:ds="http://schemas.openxmlformats.org/officeDocument/2006/customXml" ds:itemID="{F55E9DDE-5BEC-4F1B-ADBF-3467DAF7EF3B}"/>
</file>

<file path=customXml/itemProps4.xml><?xml version="1.0" encoding="utf-8"?>
<ds:datastoreItem xmlns:ds="http://schemas.openxmlformats.org/officeDocument/2006/customXml" ds:itemID="{27C5A62B-D45A-4D83-9C3F-642727C743CF}"/>
</file>

<file path=docProps/app.xml><?xml version="1.0" encoding="utf-8"?>
<Properties xmlns="http://schemas.openxmlformats.org/officeDocument/2006/extended-properties" xmlns:vt="http://schemas.openxmlformats.org/officeDocument/2006/docPropsVTypes">
  <Template>Normal</Template>
  <TotalTime>0</TotalTime>
  <Pages>40</Pages>
  <Words>9685</Words>
  <Characters>58513</Characters>
  <Application>Microsoft Office Word</Application>
  <DocSecurity>0</DocSecurity>
  <Lines>487</Lines>
  <Paragraphs>136</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68062</CharactersWithSpaces>
  <SharedDoc>false</SharedDoc>
  <HLinks>
    <vt:vector size="42"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2019-04-23T10:15:00Z</dcterms:created>
  <dcterms:modified xsi:type="dcterms:W3CDTF">2021-05-18T11:48:00Z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2021-05-18T11:48:32Z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84d4a53d-d7b8-4a9e-9274-912abccf0621</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