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309C" w14:textId="77777777" w:rsidR="0059552A" w:rsidRPr="00275D64" w:rsidRDefault="0059552A" w:rsidP="00496272">
      <w:pPr>
        <w:widowControl w:val="0"/>
        <w:tabs>
          <w:tab w:val="clear" w:pos="567"/>
        </w:tabs>
        <w:jc w:val="center"/>
        <w:rPr>
          <w:b/>
          <w:szCs w:val="22"/>
          <w:lang w:val="pl-PL"/>
        </w:rPr>
      </w:pPr>
      <w:bookmarkStart w:id="0" w:name="_GoBack"/>
      <w:bookmarkEnd w:id="0"/>
    </w:p>
    <w:p w14:paraId="481083FF" w14:textId="77777777" w:rsidR="0059552A" w:rsidRPr="00275D64" w:rsidRDefault="0059552A" w:rsidP="00496272">
      <w:pPr>
        <w:jc w:val="center"/>
        <w:outlineLvl w:val="0"/>
        <w:rPr>
          <w:b/>
          <w:lang w:val="pl-PL"/>
        </w:rPr>
      </w:pPr>
    </w:p>
    <w:p w14:paraId="3CA4B7BC" w14:textId="77777777" w:rsidR="0059552A" w:rsidRPr="00275D64" w:rsidRDefault="0059552A" w:rsidP="00496272">
      <w:pPr>
        <w:jc w:val="center"/>
        <w:outlineLvl w:val="0"/>
        <w:rPr>
          <w:b/>
          <w:lang w:val="pl-PL"/>
        </w:rPr>
      </w:pPr>
    </w:p>
    <w:p w14:paraId="162988EE" w14:textId="77777777" w:rsidR="0059552A" w:rsidRPr="00275D64" w:rsidRDefault="0059552A" w:rsidP="00496272">
      <w:pPr>
        <w:jc w:val="center"/>
        <w:outlineLvl w:val="0"/>
        <w:rPr>
          <w:b/>
          <w:lang w:val="pl-PL"/>
        </w:rPr>
      </w:pPr>
    </w:p>
    <w:p w14:paraId="5276DFF0" w14:textId="77777777" w:rsidR="0059552A" w:rsidRPr="00275D64" w:rsidRDefault="0059552A" w:rsidP="00496272">
      <w:pPr>
        <w:jc w:val="center"/>
        <w:outlineLvl w:val="0"/>
        <w:rPr>
          <w:b/>
          <w:lang w:val="pl-PL"/>
        </w:rPr>
      </w:pPr>
    </w:p>
    <w:p w14:paraId="3579CCFC" w14:textId="77777777" w:rsidR="0059552A" w:rsidRPr="00275D64" w:rsidRDefault="0059552A" w:rsidP="00496272">
      <w:pPr>
        <w:tabs>
          <w:tab w:val="left" w:pos="-1440"/>
          <w:tab w:val="left" w:pos="-720"/>
        </w:tabs>
        <w:jc w:val="center"/>
        <w:rPr>
          <w:b/>
          <w:szCs w:val="22"/>
          <w:lang w:val="pl-PL"/>
        </w:rPr>
      </w:pPr>
    </w:p>
    <w:p w14:paraId="1CB9AE60" w14:textId="77777777" w:rsidR="0059552A" w:rsidRPr="00275D64" w:rsidRDefault="0059552A" w:rsidP="00496272">
      <w:pPr>
        <w:tabs>
          <w:tab w:val="left" w:pos="-1440"/>
          <w:tab w:val="left" w:pos="-720"/>
        </w:tabs>
        <w:jc w:val="center"/>
        <w:rPr>
          <w:b/>
          <w:szCs w:val="22"/>
          <w:lang w:val="pl-PL"/>
        </w:rPr>
      </w:pPr>
    </w:p>
    <w:p w14:paraId="1A634FA6" w14:textId="77777777" w:rsidR="0059552A" w:rsidRPr="00275D64" w:rsidRDefault="0059552A" w:rsidP="00496272">
      <w:pPr>
        <w:tabs>
          <w:tab w:val="left" w:pos="-1440"/>
          <w:tab w:val="left" w:pos="-720"/>
        </w:tabs>
        <w:jc w:val="center"/>
        <w:rPr>
          <w:b/>
          <w:szCs w:val="22"/>
          <w:lang w:val="pl-PL"/>
        </w:rPr>
      </w:pPr>
    </w:p>
    <w:p w14:paraId="6EF364AD" w14:textId="77777777" w:rsidR="0059552A" w:rsidRPr="00275D64" w:rsidRDefault="0059552A" w:rsidP="00496272">
      <w:pPr>
        <w:tabs>
          <w:tab w:val="left" w:pos="-1440"/>
          <w:tab w:val="left" w:pos="-720"/>
        </w:tabs>
        <w:jc w:val="center"/>
        <w:rPr>
          <w:b/>
          <w:szCs w:val="22"/>
          <w:lang w:val="pl-PL"/>
        </w:rPr>
      </w:pPr>
    </w:p>
    <w:p w14:paraId="0A6A24BB" w14:textId="77777777" w:rsidR="0059552A" w:rsidRPr="00275D64" w:rsidRDefault="0059552A" w:rsidP="00496272">
      <w:pPr>
        <w:tabs>
          <w:tab w:val="left" w:pos="-1440"/>
          <w:tab w:val="left" w:pos="-720"/>
        </w:tabs>
        <w:jc w:val="center"/>
        <w:rPr>
          <w:b/>
          <w:szCs w:val="22"/>
          <w:lang w:val="pl-PL"/>
        </w:rPr>
      </w:pPr>
    </w:p>
    <w:p w14:paraId="250FD25B" w14:textId="77777777" w:rsidR="0059552A" w:rsidRPr="00275D64" w:rsidRDefault="0059552A" w:rsidP="00496272">
      <w:pPr>
        <w:tabs>
          <w:tab w:val="left" w:pos="-1440"/>
          <w:tab w:val="left" w:pos="-720"/>
        </w:tabs>
        <w:jc w:val="center"/>
        <w:rPr>
          <w:b/>
          <w:szCs w:val="22"/>
          <w:lang w:val="pl-PL"/>
        </w:rPr>
      </w:pPr>
    </w:p>
    <w:p w14:paraId="6B05BE47" w14:textId="77777777" w:rsidR="0059552A" w:rsidRPr="00275D64" w:rsidRDefault="0059552A" w:rsidP="00496272">
      <w:pPr>
        <w:tabs>
          <w:tab w:val="left" w:pos="-1440"/>
          <w:tab w:val="left" w:pos="-720"/>
        </w:tabs>
        <w:jc w:val="center"/>
        <w:rPr>
          <w:b/>
          <w:szCs w:val="22"/>
          <w:lang w:val="pl-PL"/>
        </w:rPr>
      </w:pPr>
    </w:p>
    <w:p w14:paraId="5661A619" w14:textId="77777777" w:rsidR="0059552A" w:rsidRPr="00275D64" w:rsidRDefault="0059552A" w:rsidP="00496272">
      <w:pPr>
        <w:tabs>
          <w:tab w:val="left" w:pos="-1440"/>
          <w:tab w:val="left" w:pos="-720"/>
        </w:tabs>
        <w:jc w:val="center"/>
        <w:rPr>
          <w:b/>
          <w:szCs w:val="22"/>
          <w:lang w:val="pl-PL"/>
        </w:rPr>
      </w:pPr>
    </w:p>
    <w:p w14:paraId="7B2DF41B" w14:textId="77777777" w:rsidR="0059552A" w:rsidRPr="00275D64" w:rsidRDefault="0059552A" w:rsidP="00496272">
      <w:pPr>
        <w:tabs>
          <w:tab w:val="left" w:pos="-1440"/>
          <w:tab w:val="left" w:pos="-720"/>
        </w:tabs>
        <w:jc w:val="center"/>
        <w:rPr>
          <w:b/>
          <w:szCs w:val="22"/>
          <w:lang w:val="pl-PL"/>
        </w:rPr>
      </w:pPr>
    </w:p>
    <w:p w14:paraId="2CFAA6A5" w14:textId="77777777" w:rsidR="0059552A" w:rsidRPr="00275D64" w:rsidRDefault="0059552A" w:rsidP="00496272">
      <w:pPr>
        <w:tabs>
          <w:tab w:val="left" w:pos="-1440"/>
          <w:tab w:val="left" w:pos="-720"/>
        </w:tabs>
        <w:jc w:val="center"/>
        <w:rPr>
          <w:b/>
          <w:szCs w:val="22"/>
          <w:lang w:val="pl-PL"/>
        </w:rPr>
      </w:pPr>
    </w:p>
    <w:p w14:paraId="26D7E514" w14:textId="77777777" w:rsidR="0059552A" w:rsidRPr="00275D64" w:rsidRDefault="0059552A" w:rsidP="00496272">
      <w:pPr>
        <w:tabs>
          <w:tab w:val="left" w:pos="-1440"/>
          <w:tab w:val="left" w:pos="-720"/>
        </w:tabs>
        <w:jc w:val="center"/>
        <w:rPr>
          <w:b/>
          <w:szCs w:val="22"/>
          <w:lang w:val="pl-PL"/>
        </w:rPr>
      </w:pPr>
    </w:p>
    <w:p w14:paraId="437C01A3" w14:textId="77777777" w:rsidR="0059552A" w:rsidRPr="00275D64" w:rsidRDefault="0059552A" w:rsidP="00496272">
      <w:pPr>
        <w:tabs>
          <w:tab w:val="left" w:pos="-1440"/>
          <w:tab w:val="left" w:pos="-720"/>
        </w:tabs>
        <w:jc w:val="center"/>
        <w:rPr>
          <w:b/>
          <w:szCs w:val="22"/>
          <w:lang w:val="pl-PL"/>
        </w:rPr>
      </w:pPr>
    </w:p>
    <w:p w14:paraId="0757AE19" w14:textId="77777777" w:rsidR="0059552A" w:rsidRPr="00275D64" w:rsidRDefault="0059552A" w:rsidP="00496272">
      <w:pPr>
        <w:tabs>
          <w:tab w:val="left" w:pos="-1440"/>
          <w:tab w:val="left" w:pos="-720"/>
        </w:tabs>
        <w:jc w:val="center"/>
        <w:rPr>
          <w:b/>
          <w:szCs w:val="22"/>
          <w:lang w:val="pl-PL"/>
        </w:rPr>
      </w:pPr>
    </w:p>
    <w:p w14:paraId="49BEAD6E" w14:textId="77777777" w:rsidR="0059552A" w:rsidRPr="00275D64" w:rsidRDefault="0059552A" w:rsidP="00496272">
      <w:pPr>
        <w:tabs>
          <w:tab w:val="left" w:pos="-1440"/>
          <w:tab w:val="left" w:pos="-720"/>
        </w:tabs>
        <w:jc w:val="center"/>
        <w:rPr>
          <w:b/>
          <w:szCs w:val="22"/>
          <w:lang w:val="pl-PL"/>
        </w:rPr>
      </w:pPr>
    </w:p>
    <w:p w14:paraId="33101F37" w14:textId="77777777" w:rsidR="0059552A" w:rsidRPr="00275D64" w:rsidRDefault="0059552A" w:rsidP="00496272">
      <w:pPr>
        <w:tabs>
          <w:tab w:val="left" w:pos="-1440"/>
          <w:tab w:val="left" w:pos="-720"/>
        </w:tabs>
        <w:jc w:val="center"/>
        <w:rPr>
          <w:b/>
          <w:szCs w:val="22"/>
          <w:lang w:val="pl-PL"/>
        </w:rPr>
      </w:pPr>
    </w:p>
    <w:p w14:paraId="0C8A5B0C" w14:textId="77777777" w:rsidR="0059552A" w:rsidRPr="00275D64" w:rsidRDefault="0059552A" w:rsidP="00496272">
      <w:pPr>
        <w:tabs>
          <w:tab w:val="left" w:pos="-1440"/>
          <w:tab w:val="left" w:pos="-720"/>
        </w:tabs>
        <w:jc w:val="center"/>
        <w:rPr>
          <w:b/>
          <w:szCs w:val="22"/>
          <w:lang w:val="pl-PL"/>
        </w:rPr>
      </w:pPr>
    </w:p>
    <w:p w14:paraId="32D39B93" w14:textId="77777777" w:rsidR="0059552A" w:rsidRPr="00275D64" w:rsidRDefault="0059552A" w:rsidP="00496272">
      <w:pPr>
        <w:tabs>
          <w:tab w:val="left" w:pos="-1440"/>
          <w:tab w:val="left" w:pos="-720"/>
        </w:tabs>
        <w:jc w:val="center"/>
        <w:rPr>
          <w:b/>
          <w:szCs w:val="22"/>
          <w:lang w:val="pl-PL"/>
        </w:rPr>
      </w:pPr>
    </w:p>
    <w:p w14:paraId="7B04236D" w14:textId="77777777" w:rsidR="0059552A" w:rsidRPr="00275D64" w:rsidRDefault="0059552A" w:rsidP="00496272">
      <w:pPr>
        <w:tabs>
          <w:tab w:val="left" w:pos="-1440"/>
          <w:tab w:val="left" w:pos="-720"/>
        </w:tabs>
        <w:jc w:val="center"/>
        <w:rPr>
          <w:b/>
          <w:szCs w:val="22"/>
          <w:lang w:val="pl-PL"/>
        </w:rPr>
      </w:pPr>
    </w:p>
    <w:p w14:paraId="68D0024F" w14:textId="77777777" w:rsidR="0059552A" w:rsidRPr="00275D64" w:rsidRDefault="0059552A" w:rsidP="00496272">
      <w:pPr>
        <w:tabs>
          <w:tab w:val="left" w:pos="-1440"/>
          <w:tab w:val="left" w:pos="-720"/>
        </w:tabs>
        <w:jc w:val="center"/>
        <w:rPr>
          <w:szCs w:val="22"/>
          <w:lang w:val="pl-PL"/>
        </w:rPr>
      </w:pPr>
      <w:r w:rsidRPr="00275D64">
        <w:rPr>
          <w:b/>
          <w:lang w:val="pl-PL"/>
        </w:rPr>
        <w:t>ANEKS I</w:t>
      </w:r>
    </w:p>
    <w:p w14:paraId="0EF57854" w14:textId="77777777" w:rsidR="0059552A" w:rsidRPr="00275D64" w:rsidRDefault="0059552A" w:rsidP="00496272">
      <w:pPr>
        <w:tabs>
          <w:tab w:val="left" w:pos="-1440"/>
          <w:tab w:val="left" w:pos="-720"/>
        </w:tabs>
        <w:jc w:val="center"/>
        <w:rPr>
          <w:szCs w:val="22"/>
          <w:lang w:val="pl-PL"/>
        </w:rPr>
      </w:pPr>
    </w:p>
    <w:p w14:paraId="7A15EA01" w14:textId="77777777" w:rsidR="0059552A" w:rsidRPr="00275D64" w:rsidRDefault="0059552A" w:rsidP="00496272">
      <w:pPr>
        <w:pStyle w:val="TitleA"/>
        <w:rPr>
          <w:noProof w:val="0"/>
          <w:lang w:val="pl-PL"/>
        </w:rPr>
      </w:pPr>
      <w:r w:rsidRPr="00275D64">
        <w:rPr>
          <w:noProof w:val="0"/>
          <w:lang w:val="pl-PL"/>
        </w:rPr>
        <w:t>CHARAKTERYSTYKA PRODUKTU LECZNICZEGO</w:t>
      </w:r>
    </w:p>
    <w:p w14:paraId="35BF311C" w14:textId="77777777" w:rsidR="0059552A" w:rsidRPr="00275D64" w:rsidRDefault="0059552A" w:rsidP="00496272">
      <w:pPr>
        <w:tabs>
          <w:tab w:val="left" w:pos="-1440"/>
          <w:tab w:val="left" w:pos="-720"/>
        </w:tabs>
        <w:jc w:val="center"/>
        <w:rPr>
          <w:szCs w:val="22"/>
          <w:lang w:val="pl-PL"/>
        </w:rPr>
      </w:pPr>
    </w:p>
    <w:p w14:paraId="5E6B7B20" w14:textId="36D8DF66" w:rsidR="0059552A" w:rsidRPr="00275D64" w:rsidRDefault="0059552A" w:rsidP="00327E10">
      <w:pPr>
        <w:rPr>
          <w:b/>
          <w:noProof/>
          <w:szCs w:val="22"/>
          <w:lang w:val="pl-PL"/>
        </w:rPr>
      </w:pPr>
      <w:r w:rsidRPr="00275D64">
        <w:rPr>
          <w:lang w:val="pl-PL"/>
        </w:rPr>
        <w:br w:type="page"/>
      </w:r>
    </w:p>
    <w:p w14:paraId="5C5F6F70" w14:textId="77777777" w:rsidR="0059552A" w:rsidRPr="00275D64" w:rsidRDefault="0059552A" w:rsidP="00327E10">
      <w:pPr>
        <w:rPr>
          <w:b/>
          <w:noProof/>
          <w:szCs w:val="22"/>
          <w:lang w:val="pl-PL"/>
        </w:rPr>
      </w:pPr>
    </w:p>
    <w:p w14:paraId="54431359" w14:textId="77777777" w:rsidR="0059552A" w:rsidRPr="00275D64" w:rsidRDefault="0059552A" w:rsidP="00496272">
      <w:pPr>
        <w:widowControl w:val="0"/>
        <w:rPr>
          <w:szCs w:val="22"/>
          <w:lang w:val="pl-PL"/>
        </w:rPr>
      </w:pPr>
      <w:r w:rsidRPr="00275D64">
        <w:rPr>
          <w:b/>
          <w:lang w:val="pl-PL"/>
        </w:rPr>
        <w:t>1.</w:t>
      </w:r>
      <w:r w:rsidRPr="00275D64">
        <w:rPr>
          <w:lang w:val="pl-PL"/>
        </w:rPr>
        <w:tab/>
      </w:r>
      <w:r w:rsidRPr="00275D64">
        <w:rPr>
          <w:b/>
          <w:lang w:val="pl-PL"/>
        </w:rPr>
        <w:t>NAZWA PRODUKTU LECZNICZEGO</w:t>
      </w:r>
    </w:p>
    <w:p w14:paraId="2C4A1A3F" w14:textId="77777777" w:rsidR="0059552A" w:rsidRPr="00275D64" w:rsidRDefault="0059552A" w:rsidP="00496272">
      <w:pPr>
        <w:widowControl w:val="0"/>
        <w:rPr>
          <w:szCs w:val="22"/>
          <w:lang w:val="pl-PL"/>
        </w:rPr>
      </w:pPr>
    </w:p>
    <w:p w14:paraId="31DD9F5B" w14:textId="77777777" w:rsidR="0059552A" w:rsidRPr="00275D64" w:rsidRDefault="0059552A" w:rsidP="00496272">
      <w:pPr>
        <w:autoSpaceDE w:val="0"/>
        <w:autoSpaceDN w:val="0"/>
        <w:adjustRightInd w:val="0"/>
        <w:jc w:val="both"/>
        <w:rPr>
          <w:color w:val="000000"/>
          <w:lang w:val="pl-PL"/>
        </w:rPr>
      </w:pPr>
      <w:r w:rsidRPr="00275D64">
        <w:rPr>
          <w:color w:val="000000"/>
          <w:lang w:val="pl-PL"/>
        </w:rPr>
        <w:t>Ovaleap 300 j.m./0,5 ml roztwór do wstrzykiwań</w:t>
      </w:r>
    </w:p>
    <w:p w14:paraId="1E372FF1" w14:textId="77777777" w:rsidR="0059552A" w:rsidRPr="00275D64" w:rsidRDefault="0059552A" w:rsidP="00496272">
      <w:pPr>
        <w:autoSpaceDE w:val="0"/>
        <w:autoSpaceDN w:val="0"/>
        <w:adjustRightInd w:val="0"/>
        <w:jc w:val="both"/>
        <w:rPr>
          <w:iCs/>
          <w:szCs w:val="22"/>
          <w:lang w:val="pl-PL"/>
        </w:rPr>
      </w:pPr>
      <w:r w:rsidRPr="00275D64">
        <w:rPr>
          <w:iCs/>
          <w:szCs w:val="22"/>
          <w:lang w:val="pl-PL"/>
        </w:rPr>
        <w:t>Ovaleap 450 j.m./0,75 ml roztwór do wstrzykiwań</w:t>
      </w:r>
    </w:p>
    <w:p w14:paraId="4636E7C6" w14:textId="77777777" w:rsidR="0059552A" w:rsidRPr="00275D64" w:rsidRDefault="0059552A" w:rsidP="00496272">
      <w:pPr>
        <w:autoSpaceDE w:val="0"/>
        <w:autoSpaceDN w:val="0"/>
        <w:adjustRightInd w:val="0"/>
        <w:jc w:val="both"/>
        <w:rPr>
          <w:color w:val="000000"/>
          <w:szCs w:val="22"/>
          <w:lang w:val="pl-PL"/>
        </w:rPr>
      </w:pPr>
      <w:r w:rsidRPr="00275D64">
        <w:rPr>
          <w:iCs/>
          <w:szCs w:val="22"/>
          <w:lang w:val="pl-PL"/>
        </w:rPr>
        <w:t>Ovaleap 900 j.m./1,5 ml roztwór do wstrzykiwań</w:t>
      </w:r>
    </w:p>
    <w:p w14:paraId="43666BC0" w14:textId="77777777" w:rsidR="0059552A" w:rsidRPr="00275D64" w:rsidRDefault="0059552A" w:rsidP="00496272">
      <w:pPr>
        <w:rPr>
          <w:iCs/>
          <w:szCs w:val="22"/>
          <w:lang w:val="pl-PL"/>
        </w:rPr>
      </w:pPr>
    </w:p>
    <w:p w14:paraId="4B406FE7" w14:textId="77777777" w:rsidR="0059552A" w:rsidRPr="00275D64" w:rsidRDefault="0059552A" w:rsidP="00496272">
      <w:pPr>
        <w:rPr>
          <w:iCs/>
          <w:szCs w:val="22"/>
          <w:lang w:val="pl-PL"/>
        </w:rPr>
      </w:pPr>
    </w:p>
    <w:p w14:paraId="0211D1E1" w14:textId="77777777" w:rsidR="0059552A" w:rsidRPr="00275D64" w:rsidRDefault="0059552A" w:rsidP="00496272">
      <w:pPr>
        <w:widowControl w:val="0"/>
        <w:rPr>
          <w:szCs w:val="22"/>
          <w:lang w:val="pl-PL"/>
        </w:rPr>
      </w:pPr>
      <w:r w:rsidRPr="00275D64">
        <w:rPr>
          <w:b/>
          <w:lang w:val="pl-PL"/>
        </w:rPr>
        <w:t>2.</w:t>
      </w:r>
      <w:r w:rsidRPr="00275D64">
        <w:rPr>
          <w:lang w:val="pl-PL"/>
        </w:rPr>
        <w:tab/>
      </w:r>
      <w:r w:rsidRPr="00275D64">
        <w:rPr>
          <w:b/>
          <w:lang w:val="pl-PL"/>
        </w:rPr>
        <w:t>SKŁAD JAKOŚCIOWY I ILOŚCIOWY</w:t>
      </w:r>
    </w:p>
    <w:p w14:paraId="00AD59DE" w14:textId="77777777" w:rsidR="0059552A" w:rsidRPr="00275D64" w:rsidRDefault="0059552A" w:rsidP="00496272">
      <w:pPr>
        <w:rPr>
          <w:szCs w:val="22"/>
          <w:lang w:val="pl-PL"/>
        </w:rPr>
      </w:pPr>
    </w:p>
    <w:p w14:paraId="155D44D0" w14:textId="77777777" w:rsidR="0059552A" w:rsidRPr="00275D64" w:rsidRDefault="0059552A" w:rsidP="00496272">
      <w:pPr>
        <w:tabs>
          <w:tab w:val="clear" w:pos="567"/>
        </w:tabs>
        <w:rPr>
          <w:color w:val="000000"/>
          <w:lang w:val="pl-PL"/>
        </w:rPr>
      </w:pPr>
      <w:r w:rsidRPr="00275D64">
        <w:rPr>
          <w:color w:val="000000"/>
          <w:lang w:val="pl-PL"/>
        </w:rPr>
        <w:t>Każdy ml roztworu zawiera 600 j.m. (co odpowiada 44 mikrogramom) folitropiny alfa*.</w:t>
      </w:r>
    </w:p>
    <w:p w14:paraId="36259BA6" w14:textId="77777777" w:rsidR="0059552A" w:rsidRPr="00275D64" w:rsidRDefault="0059552A" w:rsidP="00496272">
      <w:pPr>
        <w:tabs>
          <w:tab w:val="clear" w:pos="567"/>
        </w:tabs>
        <w:rPr>
          <w:color w:val="000000"/>
          <w:lang w:val="pl-PL"/>
        </w:rPr>
      </w:pPr>
    </w:p>
    <w:p w14:paraId="5BD10FF1" w14:textId="77777777" w:rsidR="0059552A" w:rsidRPr="00275D64" w:rsidRDefault="0059552A" w:rsidP="00037DC6">
      <w:pPr>
        <w:tabs>
          <w:tab w:val="clear" w:pos="567"/>
        </w:tabs>
        <w:rPr>
          <w:color w:val="000000"/>
          <w:szCs w:val="22"/>
          <w:lang w:val="pl-PL"/>
        </w:rPr>
      </w:pPr>
      <w:r w:rsidRPr="00275D64">
        <w:rPr>
          <w:color w:val="000000"/>
          <w:u w:val="single"/>
          <w:lang w:val="pl-PL"/>
        </w:rPr>
        <w:t>Ovaleap 300 j.m./0,5 ml roztwór do wstrzykiwań</w:t>
      </w:r>
    </w:p>
    <w:p w14:paraId="7E5D7E64" w14:textId="77777777" w:rsidR="0059552A" w:rsidRPr="00275D64" w:rsidRDefault="0059552A" w:rsidP="00496272">
      <w:pPr>
        <w:tabs>
          <w:tab w:val="clear" w:pos="567"/>
        </w:tabs>
        <w:rPr>
          <w:color w:val="000000"/>
          <w:szCs w:val="22"/>
          <w:lang w:val="pl-PL"/>
        </w:rPr>
      </w:pPr>
      <w:r w:rsidRPr="00275D64">
        <w:rPr>
          <w:color w:val="000000"/>
          <w:lang w:val="pl-PL"/>
        </w:rPr>
        <w:t>Każdy wkład zawiera 300 j.m. (co odpowiada 22 mikrogramom) folitropiny alfa w 0,5 ml roztworu do wstrzykiwań.</w:t>
      </w:r>
    </w:p>
    <w:p w14:paraId="63C6CD78" w14:textId="77777777" w:rsidR="0059552A" w:rsidRPr="00275D64" w:rsidRDefault="0059552A" w:rsidP="00496272">
      <w:pPr>
        <w:tabs>
          <w:tab w:val="clear" w:pos="567"/>
        </w:tabs>
        <w:rPr>
          <w:color w:val="000000"/>
          <w:szCs w:val="22"/>
          <w:lang w:val="pl-PL"/>
        </w:rPr>
      </w:pPr>
    </w:p>
    <w:p w14:paraId="5CC55A45" w14:textId="77777777" w:rsidR="0059552A" w:rsidRPr="00275D64" w:rsidRDefault="0059552A" w:rsidP="00037DC6">
      <w:pPr>
        <w:autoSpaceDE w:val="0"/>
        <w:autoSpaceDN w:val="0"/>
        <w:adjustRightInd w:val="0"/>
        <w:jc w:val="both"/>
        <w:rPr>
          <w:iCs/>
          <w:szCs w:val="22"/>
          <w:u w:val="single"/>
          <w:lang w:val="pl-PL"/>
        </w:rPr>
      </w:pPr>
      <w:r w:rsidRPr="00275D64">
        <w:rPr>
          <w:iCs/>
          <w:szCs w:val="22"/>
          <w:u w:val="single"/>
          <w:lang w:val="pl-PL"/>
        </w:rPr>
        <w:t>Ovaleap 450 j.m./0,75 ml roztwór do wstrzykiwań</w:t>
      </w:r>
    </w:p>
    <w:p w14:paraId="1A24F591" w14:textId="77777777" w:rsidR="0059552A" w:rsidRPr="00275D64" w:rsidRDefault="0059552A" w:rsidP="00037DC6">
      <w:pPr>
        <w:tabs>
          <w:tab w:val="clear" w:pos="567"/>
        </w:tabs>
        <w:rPr>
          <w:color w:val="000000"/>
          <w:szCs w:val="22"/>
          <w:lang w:val="pl-PL"/>
        </w:rPr>
      </w:pPr>
      <w:r w:rsidRPr="00275D64">
        <w:rPr>
          <w:color w:val="000000"/>
          <w:lang w:val="pl-PL"/>
        </w:rPr>
        <w:t>Każdy wkład zawiera 450 j.m. (co odpowiada 33 mikrogramom) folitropiny alfa w 0,75 ml roztworu do wstrzykiwań.</w:t>
      </w:r>
    </w:p>
    <w:p w14:paraId="16ED6FC1" w14:textId="77777777" w:rsidR="0059552A" w:rsidRPr="00275D64" w:rsidRDefault="0059552A" w:rsidP="00496272">
      <w:pPr>
        <w:tabs>
          <w:tab w:val="clear" w:pos="567"/>
        </w:tabs>
        <w:rPr>
          <w:color w:val="000000"/>
          <w:szCs w:val="22"/>
          <w:lang w:val="pl-PL"/>
        </w:rPr>
      </w:pPr>
    </w:p>
    <w:p w14:paraId="2DE4FBCE" w14:textId="77777777" w:rsidR="0059552A" w:rsidRPr="00275D64" w:rsidRDefault="0059552A" w:rsidP="00037DC6">
      <w:pPr>
        <w:tabs>
          <w:tab w:val="clear" w:pos="567"/>
        </w:tabs>
        <w:rPr>
          <w:color w:val="000000"/>
          <w:szCs w:val="22"/>
          <w:u w:val="single"/>
          <w:lang w:val="pl-PL"/>
        </w:rPr>
      </w:pPr>
      <w:r w:rsidRPr="00275D64">
        <w:rPr>
          <w:iCs/>
          <w:szCs w:val="22"/>
          <w:u w:val="single"/>
          <w:lang w:val="pl-PL"/>
        </w:rPr>
        <w:t>Ovaleap 900 j.m./1,5 ml roztwór do wstrzykiwań</w:t>
      </w:r>
    </w:p>
    <w:p w14:paraId="449CEC9F" w14:textId="77777777" w:rsidR="0059552A" w:rsidRPr="00275D64" w:rsidRDefault="0059552A" w:rsidP="00037DC6">
      <w:pPr>
        <w:tabs>
          <w:tab w:val="clear" w:pos="567"/>
        </w:tabs>
        <w:rPr>
          <w:color w:val="000000"/>
          <w:szCs w:val="22"/>
          <w:lang w:val="pl-PL"/>
        </w:rPr>
      </w:pPr>
      <w:r w:rsidRPr="00275D64">
        <w:rPr>
          <w:color w:val="000000"/>
          <w:lang w:val="pl-PL"/>
        </w:rPr>
        <w:t>Każdy wkład zawiera 900 j.m. (co odpowiada 66 mikrogramom) folitropiny alfa w 1,5 ml roztworu do wstrzykiwań.</w:t>
      </w:r>
    </w:p>
    <w:p w14:paraId="532E60FC" w14:textId="77777777" w:rsidR="0059552A" w:rsidRPr="00275D64" w:rsidRDefault="0059552A" w:rsidP="00496272">
      <w:pPr>
        <w:tabs>
          <w:tab w:val="clear" w:pos="567"/>
        </w:tabs>
        <w:rPr>
          <w:color w:val="000000"/>
          <w:szCs w:val="22"/>
          <w:lang w:val="pl-PL"/>
        </w:rPr>
      </w:pPr>
    </w:p>
    <w:p w14:paraId="354B797E" w14:textId="77777777" w:rsidR="0059552A" w:rsidRPr="00275D64" w:rsidRDefault="0059552A" w:rsidP="00496272">
      <w:pPr>
        <w:widowControl w:val="0"/>
        <w:tabs>
          <w:tab w:val="clear" w:pos="567"/>
        </w:tabs>
        <w:rPr>
          <w:bCs/>
          <w:color w:val="000000"/>
          <w:szCs w:val="22"/>
          <w:lang w:val="pl-PL"/>
        </w:rPr>
      </w:pPr>
      <w:r w:rsidRPr="00275D64">
        <w:rPr>
          <w:color w:val="000000"/>
          <w:lang w:val="pl-PL"/>
        </w:rPr>
        <w:t>*Folitropina alfa (rekombinowany ludzki hormon folikulotropowy [r</w:t>
      </w:r>
      <w:r w:rsidRPr="00275D64">
        <w:rPr>
          <w:lang w:val="pl-PL"/>
        </w:rPr>
        <w:noBreakHyphen/>
      </w:r>
      <w:r w:rsidRPr="00275D64">
        <w:rPr>
          <w:color w:val="000000"/>
          <w:lang w:val="pl-PL"/>
        </w:rPr>
        <w:t xml:space="preserve">hFSH]) jest wytwarzana metodą rekombinacji DNA w komórkach jajnika chomika chińskiego (ang. </w:t>
      </w:r>
      <w:r w:rsidRPr="00275D64">
        <w:rPr>
          <w:i/>
          <w:color w:val="000000"/>
          <w:lang w:val="pl-PL"/>
        </w:rPr>
        <w:t>Chinese Hamster Ovary</w:t>
      </w:r>
      <w:r w:rsidRPr="00275D64">
        <w:rPr>
          <w:color w:val="000000"/>
          <w:lang w:val="pl-PL"/>
        </w:rPr>
        <w:t>, CHO DHFR</w:t>
      </w:r>
      <w:r w:rsidRPr="00275D64">
        <w:rPr>
          <w:color w:val="000000"/>
          <w:vertAlign w:val="superscript"/>
          <w:lang w:val="pl-PL"/>
        </w:rPr>
        <w:t>-</w:t>
      </w:r>
      <w:r w:rsidRPr="00275D64">
        <w:rPr>
          <w:color w:val="000000"/>
          <w:lang w:val="pl-PL"/>
        </w:rPr>
        <w:t>).</w:t>
      </w:r>
    </w:p>
    <w:p w14:paraId="2B80975D" w14:textId="77777777" w:rsidR="0059552A" w:rsidRPr="00275D64" w:rsidRDefault="0059552A" w:rsidP="00496272">
      <w:pPr>
        <w:widowControl w:val="0"/>
        <w:tabs>
          <w:tab w:val="clear" w:pos="567"/>
        </w:tabs>
        <w:rPr>
          <w:bCs/>
          <w:color w:val="000000"/>
          <w:szCs w:val="22"/>
          <w:lang w:val="pl-PL"/>
        </w:rPr>
      </w:pPr>
    </w:p>
    <w:p w14:paraId="7F3B9449" w14:textId="77777777" w:rsidR="0059552A" w:rsidRPr="00275D64" w:rsidRDefault="0059552A" w:rsidP="00496272">
      <w:pPr>
        <w:widowControl w:val="0"/>
        <w:tabs>
          <w:tab w:val="clear" w:pos="567"/>
        </w:tabs>
        <w:rPr>
          <w:u w:val="single"/>
          <w:lang w:val="pl-PL"/>
        </w:rPr>
      </w:pPr>
      <w:r w:rsidRPr="00275D64">
        <w:rPr>
          <w:u w:val="single"/>
          <w:lang w:val="pl-PL"/>
        </w:rPr>
        <w:t>Substancje pomocnicze o znanym działaniu</w:t>
      </w:r>
    </w:p>
    <w:p w14:paraId="2BB4BBFE" w14:textId="77777777" w:rsidR="0059552A" w:rsidRPr="00275D64" w:rsidRDefault="0059552A" w:rsidP="00496272">
      <w:pPr>
        <w:widowControl w:val="0"/>
        <w:tabs>
          <w:tab w:val="clear" w:pos="567"/>
        </w:tabs>
        <w:rPr>
          <w:bCs/>
          <w:color w:val="000000"/>
          <w:szCs w:val="22"/>
          <w:lang w:val="pl-PL"/>
        </w:rPr>
      </w:pPr>
      <w:r w:rsidRPr="00275D64">
        <w:rPr>
          <w:bCs/>
          <w:color w:val="000000"/>
          <w:szCs w:val="22"/>
          <w:lang w:val="pl-PL"/>
        </w:rPr>
        <w:t>Ovaleap zawiera 0,02 mg na ml chlorku benzalkoniowego</w:t>
      </w:r>
    </w:p>
    <w:p w14:paraId="4F9CC255" w14:textId="77777777" w:rsidR="0059552A" w:rsidRPr="00275D64" w:rsidRDefault="0059552A" w:rsidP="00496272">
      <w:pPr>
        <w:widowControl w:val="0"/>
        <w:tabs>
          <w:tab w:val="clear" w:pos="567"/>
        </w:tabs>
        <w:rPr>
          <w:bCs/>
          <w:color w:val="000000"/>
          <w:szCs w:val="22"/>
          <w:lang w:val="pl-PL"/>
        </w:rPr>
      </w:pPr>
      <w:r w:rsidRPr="00275D64">
        <w:rPr>
          <w:bCs/>
          <w:color w:val="000000"/>
          <w:szCs w:val="22"/>
          <w:lang w:val="pl-PL"/>
        </w:rPr>
        <w:t>Ovaleap zawiera 10,0 mg na ml alkoholu benzylowego</w:t>
      </w:r>
    </w:p>
    <w:p w14:paraId="4BD82686" w14:textId="77777777" w:rsidR="0059552A" w:rsidRPr="00275D64" w:rsidRDefault="0059552A" w:rsidP="00496272">
      <w:pPr>
        <w:widowControl w:val="0"/>
        <w:tabs>
          <w:tab w:val="clear" w:pos="567"/>
        </w:tabs>
        <w:rPr>
          <w:bCs/>
          <w:color w:val="000000"/>
          <w:szCs w:val="22"/>
          <w:lang w:val="pl-PL"/>
        </w:rPr>
      </w:pPr>
    </w:p>
    <w:p w14:paraId="3E4AAEE2" w14:textId="77777777" w:rsidR="0059552A" w:rsidRPr="00275D64" w:rsidRDefault="0059552A" w:rsidP="00496272">
      <w:pPr>
        <w:tabs>
          <w:tab w:val="clear" w:pos="567"/>
        </w:tabs>
        <w:outlineLvl w:val="0"/>
        <w:rPr>
          <w:color w:val="000000"/>
          <w:szCs w:val="22"/>
          <w:lang w:val="pl-PL"/>
        </w:rPr>
      </w:pPr>
      <w:r w:rsidRPr="00275D64">
        <w:rPr>
          <w:color w:val="000000"/>
          <w:lang w:val="pl-PL"/>
        </w:rPr>
        <w:t>Pełny wykaz substancji pomocniczych, patrz punkt 6.1.</w:t>
      </w:r>
    </w:p>
    <w:p w14:paraId="5223E386" w14:textId="77777777" w:rsidR="0059552A" w:rsidRPr="00275D64" w:rsidRDefault="0059552A" w:rsidP="00496272">
      <w:pPr>
        <w:rPr>
          <w:szCs w:val="22"/>
          <w:lang w:val="pl-PL"/>
        </w:rPr>
      </w:pPr>
    </w:p>
    <w:p w14:paraId="45DC7A33" w14:textId="77777777" w:rsidR="0059552A" w:rsidRPr="00275D64" w:rsidRDefault="0059552A" w:rsidP="00496272">
      <w:pPr>
        <w:rPr>
          <w:szCs w:val="22"/>
          <w:lang w:val="pl-PL"/>
        </w:rPr>
      </w:pPr>
    </w:p>
    <w:p w14:paraId="3648CD4C" w14:textId="77777777" w:rsidR="0059552A" w:rsidRPr="00275D64" w:rsidRDefault="0059552A" w:rsidP="00496272">
      <w:pPr>
        <w:ind w:left="567" w:hanging="567"/>
        <w:rPr>
          <w:caps/>
          <w:szCs w:val="22"/>
          <w:lang w:val="pl-PL"/>
        </w:rPr>
      </w:pPr>
      <w:r w:rsidRPr="00275D64">
        <w:rPr>
          <w:b/>
          <w:lang w:val="pl-PL"/>
        </w:rPr>
        <w:t>3.</w:t>
      </w:r>
      <w:r w:rsidRPr="00275D64">
        <w:rPr>
          <w:lang w:val="pl-PL"/>
        </w:rPr>
        <w:tab/>
      </w:r>
      <w:r w:rsidRPr="00275D64">
        <w:rPr>
          <w:b/>
          <w:lang w:val="pl-PL"/>
        </w:rPr>
        <w:t>POSTAĆ FARMACEUTYCZNA</w:t>
      </w:r>
    </w:p>
    <w:p w14:paraId="21F89D20" w14:textId="77777777" w:rsidR="0059552A" w:rsidRPr="00275D64" w:rsidRDefault="0059552A" w:rsidP="00496272">
      <w:pPr>
        <w:autoSpaceDE w:val="0"/>
        <w:autoSpaceDN w:val="0"/>
        <w:adjustRightInd w:val="0"/>
        <w:jc w:val="both"/>
        <w:rPr>
          <w:szCs w:val="22"/>
          <w:lang w:val="pl-PL"/>
        </w:rPr>
      </w:pPr>
    </w:p>
    <w:p w14:paraId="59B09729"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Roztwór do wstrzykiwań (płyn do wstrzykiwań).</w:t>
      </w:r>
    </w:p>
    <w:p w14:paraId="66A3E51F" w14:textId="77777777" w:rsidR="0059552A" w:rsidRPr="00275D64" w:rsidRDefault="0059552A" w:rsidP="00496272">
      <w:pPr>
        <w:tabs>
          <w:tab w:val="clear" w:pos="567"/>
        </w:tabs>
        <w:rPr>
          <w:color w:val="000000"/>
          <w:szCs w:val="22"/>
          <w:lang w:val="pl-PL"/>
        </w:rPr>
      </w:pPr>
    </w:p>
    <w:p w14:paraId="3899BF50" w14:textId="77777777" w:rsidR="0059552A" w:rsidRPr="00275D64" w:rsidRDefault="0059552A" w:rsidP="00496272">
      <w:pPr>
        <w:tabs>
          <w:tab w:val="clear" w:pos="567"/>
        </w:tabs>
        <w:rPr>
          <w:color w:val="000000"/>
          <w:szCs w:val="22"/>
          <w:lang w:val="pl-PL"/>
        </w:rPr>
      </w:pPr>
      <w:r w:rsidRPr="00275D64">
        <w:rPr>
          <w:color w:val="000000"/>
          <w:lang w:val="pl-PL"/>
        </w:rPr>
        <w:t>Przejrzysty, bezbarwny roztwór.</w:t>
      </w:r>
    </w:p>
    <w:p w14:paraId="7D4D2CDC" w14:textId="77777777" w:rsidR="0059552A" w:rsidRPr="00275D64" w:rsidRDefault="0059552A" w:rsidP="00496272">
      <w:pPr>
        <w:tabs>
          <w:tab w:val="clear" w:pos="567"/>
        </w:tabs>
        <w:rPr>
          <w:color w:val="000000"/>
          <w:szCs w:val="22"/>
          <w:lang w:val="pl-PL"/>
        </w:rPr>
      </w:pPr>
    </w:p>
    <w:p w14:paraId="14BEFB18" w14:textId="77777777" w:rsidR="0059552A" w:rsidRPr="00275D64" w:rsidRDefault="0059552A" w:rsidP="00496272">
      <w:pPr>
        <w:tabs>
          <w:tab w:val="clear" w:pos="567"/>
        </w:tabs>
        <w:rPr>
          <w:color w:val="000000"/>
          <w:szCs w:val="22"/>
          <w:lang w:val="pl-PL"/>
        </w:rPr>
      </w:pPr>
      <w:r w:rsidRPr="00275D64">
        <w:rPr>
          <w:color w:val="000000"/>
          <w:lang w:val="pl-PL"/>
        </w:rPr>
        <w:t>pH roztworu wynosi 6,8</w:t>
      </w:r>
      <w:r w:rsidRPr="00275D64">
        <w:rPr>
          <w:color w:val="000000"/>
          <w:lang w:val="pl-PL"/>
        </w:rPr>
        <w:noBreakHyphen/>
        <w:t>7,2.</w:t>
      </w:r>
    </w:p>
    <w:p w14:paraId="7DB39544" w14:textId="77777777" w:rsidR="0059552A" w:rsidRPr="00275D64" w:rsidRDefault="0059552A" w:rsidP="00496272">
      <w:pPr>
        <w:autoSpaceDE w:val="0"/>
        <w:autoSpaceDN w:val="0"/>
        <w:adjustRightInd w:val="0"/>
        <w:jc w:val="both"/>
        <w:rPr>
          <w:szCs w:val="22"/>
          <w:lang w:val="pl-PL"/>
        </w:rPr>
      </w:pPr>
    </w:p>
    <w:p w14:paraId="6D7251D4" w14:textId="77777777" w:rsidR="0059552A" w:rsidRPr="00275D64" w:rsidRDefault="0059552A" w:rsidP="00496272">
      <w:pPr>
        <w:rPr>
          <w:szCs w:val="22"/>
          <w:lang w:val="pl-PL"/>
        </w:rPr>
      </w:pPr>
    </w:p>
    <w:p w14:paraId="55BA233B" w14:textId="77777777" w:rsidR="0059552A" w:rsidRPr="00275D64" w:rsidRDefault="0059552A" w:rsidP="00496272">
      <w:pPr>
        <w:ind w:left="567" w:hanging="567"/>
        <w:rPr>
          <w:caps/>
          <w:szCs w:val="22"/>
          <w:lang w:val="pl-PL"/>
        </w:rPr>
      </w:pPr>
      <w:r w:rsidRPr="00275D64">
        <w:rPr>
          <w:b/>
          <w:caps/>
          <w:lang w:val="pl-PL"/>
        </w:rPr>
        <w:t>4.</w:t>
      </w:r>
      <w:r w:rsidRPr="00275D64">
        <w:rPr>
          <w:lang w:val="pl-PL"/>
        </w:rPr>
        <w:tab/>
      </w:r>
      <w:r w:rsidRPr="00275D64">
        <w:rPr>
          <w:b/>
          <w:lang w:val="pl-PL"/>
        </w:rPr>
        <w:t>SZCZEGÓŁOWE DANE KLINICZNE</w:t>
      </w:r>
    </w:p>
    <w:p w14:paraId="60E679F4" w14:textId="77777777" w:rsidR="0059552A" w:rsidRPr="00275D64" w:rsidRDefault="0059552A" w:rsidP="00496272">
      <w:pPr>
        <w:rPr>
          <w:szCs w:val="22"/>
          <w:lang w:val="pl-PL"/>
        </w:rPr>
      </w:pPr>
    </w:p>
    <w:p w14:paraId="04E17896" w14:textId="77777777" w:rsidR="0059552A" w:rsidRPr="00275D64" w:rsidRDefault="0059552A" w:rsidP="00496272">
      <w:pPr>
        <w:ind w:left="567" w:hanging="567"/>
        <w:outlineLvl w:val="0"/>
        <w:rPr>
          <w:szCs w:val="22"/>
          <w:lang w:val="pl-PL"/>
        </w:rPr>
      </w:pPr>
      <w:r w:rsidRPr="00275D64">
        <w:rPr>
          <w:b/>
          <w:lang w:val="pl-PL"/>
        </w:rPr>
        <w:t>4.1</w:t>
      </w:r>
      <w:r w:rsidRPr="00275D64">
        <w:rPr>
          <w:lang w:val="pl-PL"/>
        </w:rPr>
        <w:tab/>
      </w:r>
      <w:r w:rsidRPr="00275D64">
        <w:rPr>
          <w:b/>
          <w:lang w:val="pl-PL"/>
        </w:rPr>
        <w:t>Wskazania do stosowania</w:t>
      </w:r>
    </w:p>
    <w:p w14:paraId="58DBB808" w14:textId="77777777" w:rsidR="0059552A" w:rsidRPr="00275D64" w:rsidRDefault="0059552A" w:rsidP="00496272">
      <w:pPr>
        <w:tabs>
          <w:tab w:val="clear" w:pos="567"/>
        </w:tabs>
        <w:rPr>
          <w:color w:val="000000"/>
          <w:szCs w:val="22"/>
          <w:lang w:val="pl-PL"/>
        </w:rPr>
      </w:pPr>
    </w:p>
    <w:p w14:paraId="002FE4D3" w14:textId="77777777" w:rsidR="0059552A" w:rsidRPr="00275D64" w:rsidRDefault="0059552A" w:rsidP="00496272">
      <w:pPr>
        <w:keepNext/>
        <w:tabs>
          <w:tab w:val="clear" w:pos="567"/>
        </w:tabs>
        <w:rPr>
          <w:iCs/>
          <w:color w:val="000000"/>
          <w:szCs w:val="22"/>
          <w:u w:val="single"/>
          <w:lang w:val="pl-PL"/>
        </w:rPr>
      </w:pPr>
      <w:r w:rsidRPr="00275D64">
        <w:rPr>
          <w:color w:val="000000"/>
          <w:u w:val="single"/>
          <w:lang w:val="pl-PL"/>
        </w:rPr>
        <w:t>U dorosłych kobiet</w:t>
      </w:r>
    </w:p>
    <w:p w14:paraId="486A24EE" w14:textId="77777777" w:rsidR="0059552A" w:rsidRPr="00275D64" w:rsidRDefault="0059552A" w:rsidP="00496272">
      <w:pPr>
        <w:keepNext/>
        <w:tabs>
          <w:tab w:val="clear" w:pos="567"/>
        </w:tabs>
        <w:ind w:left="567" w:hanging="567"/>
        <w:rPr>
          <w:color w:val="000000"/>
          <w:szCs w:val="22"/>
          <w:lang w:val="pl-PL"/>
        </w:rPr>
      </w:pPr>
    </w:p>
    <w:p w14:paraId="2B1793BB" w14:textId="77777777" w:rsidR="0059552A" w:rsidRPr="00275D64" w:rsidRDefault="0059552A" w:rsidP="002F3A44">
      <w:pPr>
        <w:keepNext/>
        <w:numPr>
          <w:ilvl w:val="0"/>
          <w:numId w:val="13"/>
        </w:numPr>
        <w:tabs>
          <w:tab w:val="clear" w:pos="567"/>
        </w:tabs>
        <w:ind w:left="567" w:hanging="567"/>
        <w:rPr>
          <w:color w:val="000000"/>
          <w:szCs w:val="22"/>
          <w:lang w:val="pl-PL"/>
        </w:rPr>
      </w:pPr>
      <w:r w:rsidRPr="00275D64">
        <w:rPr>
          <w:color w:val="000000"/>
          <w:lang w:val="pl-PL"/>
        </w:rPr>
        <w:t xml:space="preserve">Brak jajeczkowania (w tym zespół policystycznych jajników - ang. </w:t>
      </w:r>
      <w:r w:rsidRPr="00275D64">
        <w:rPr>
          <w:i/>
          <w:color w:val="000000"/>
          <w:lang w:val="pl-PL"/>
        </w:rPr>
        <w:t>Polycystic Ovarian Syndrome</w:t>
      </w:r>
      <w:r w:rsidRPr="00275D64">
        <w:rPr>
          <w:color w:val="000000"/>
          <w:lang w:val="pl-PL"/>
        </w:rPr>
        <w:t>) u kobiet, u których nie uzyskano odpowiedzi po zastosowaniu cytrynianu klomifenu.</w:t>
      </w:r>
    </w:p>
    <w:p w14:paraId="428B49EB" w14:textId="77777777" w:rsidR="0059552A" w:rsidRPr="00275D64" w:rsidRDefault="0059552A" w:rsidP="002F3A44">
      <w:pPr>
        <w:keepNext/>
        <w:numPr>
          <w:ilvl w:val="0"/>
          <w:numId w:val="13"/>
        </w:numPr>
        <w:tabs>
          <w:tab w:val="clear" w:pos="567"/>
        </w:tabs>
        <w:ind w:left="567" w:hanging="567"/>
        <w:rPr>
          <w:color w:val="000000"/>
          <w:szCs w:val="22"/>
          <w:lang w:val="pl-PL"/>
        </w:rPr>
      </w:pPr>
      <w:r w:rsidRPr="00275D64">
        <w:rPr>
          <w:color w:val="000000"/>
          <w:lang w:val="pl-PL"/>
        </w:rPr>
        <w:t xml:space="preserve">Stymulacja rozwoju wielu pęcherzyków jajnikowych u kobiet poddanych stymulacji owulacji w ramach technik wspomaganego rozrodu (ang. </w:t>
      </w:r>
      <w:r w:rsidRPr="00275D64">
        <w:rPr>
          <w:i/>
          <w:color w:val="000000"/>
          <w:lang w:val="pl-PL"/>
        </w:rPr>
        <w:t>Assisted Reproductive Technologies</w:t>
      </w:r>
      <w:r w:rsidRPr="00275D64">
        <w:rPr>
          <w:color w:val="000000"/>
          <w:lang w:val="pl-PL"/>
        </w:rPr>
        <w:t xml:space="preserve">, ART), takich jak zapłodnienie pozaustrojowe (ang. </w:t>
      </w:r>
      <w:r w:rsidRPr="00275D64">
        <w:rPr>
          <w:i/>
          <w:color w:val="000000"/>
          <w:lang w:val="pl-PL"/>
        </w:rPr>
        <w:t>In Vitro Fertilisation</w:t>
      </w:r>
      <w:r w:rsidRPr="00275D64">
        <w:rPr>
          <w:color w:val="000000"/>
          <w:lang w:val="pl-PL"/>
        </w:rPr>
        <w:t xml:space="preserve">, IVF), dojajowodowe podanie </w:t>
      </w:r>
      <w:r w:rsidRPr="00275D64">
        <w:rPr>
          <w:color w:val="000000"/>
          <w:lang w:val="pl-PL"/>
        </w:rPr>
        <w:lastRenderedPageBreak/>
        <w:t xml:space="preserve">gamet (ang. </w:t>
      </w:r>
      <w:r w:rsidRPr="00275D64">
        <w:rPr>
          <w:i/>
          <w:color w:val="000000"/>
          <w:lang w:val="pl-PL"/>
        </w:rPr>
        <w:t>Gamete Intra</w:t>
      </w:r>
      <w:r w:rsidRPr="00275D64">
        <w:rPr>
          <w:lang w:val="pl-PL"/>
        </w:rPr>
        <w:noBreakHyphen/>
      </w:r>
      <w:r w:rsidRPr="00275D64">
        <w:rPr>
          <w:i/>
          <w:color w:val="000000"/>
          <w:lang w:val="pl-PL"/>
        </w:rPr>
        <w:t>Fallopian Transfer</w:t>
      </w:r>
      <w:r w:rsidRPr="00275D64">
        <w:rPr>
          <w:color w:val="000000"/>
          <w:lang w:val="pl-PL"/>
        </w:rPr>
        <w:t xml:space="preserve">) oraz dojajowodowe podanie zygoty (ang. </w:t>
      </w:r>
      <w:r w:rsidRPr="00275D64">
        <w:rPr>
          <w:i/>
          <w:color w:val="000000"/>
          <w:lang w:val="pl-PL"/>
        </w:rPr>
        <w:t>Zygote Intra</w:t>
      </w:r>
      <w:r w:rsidRPr="00275D64">
        <w:rPr>
          <w:lang w:val="pl-PL"/>
        </w:rPr>
        <w:noBreakHyphen/>
      </w:r>
      <w:r w:rsidRPr="00275D64">
        <w:rPr>
          <w:i/>
          <w:color w:val="000000"/>
          <w:lang w:val="pl-PL"/>
        </w:rPr>
        <w:t>Fallopian Transfer</w:t>
      </w:r>
      <w:r w:rsidRPr="00275D64">
        <w:rPr>
          <w:color w:val="000000"/>
          <w:lang w:val="pl-PL"/>
        </w:rPr>
        <w:t>).</w:t>
      </w:r>
    </w:p>
    <w:p w14:paraId="749FA62B" w14:textId="77777777" w:rsidR="0059552A" w:rsidRPr="00275D64" w:rsidRDefault="0059552A" w:rsidP="002F3A44">
      <w:pPr>
        <w:keepNext/>
        <w:numPr>
          <w:ilvl w:val="0"/>
          <w:numId w:val="13"/>
        </w:numPr>
        <w:tabs>
          <w:tab w:val="clear" w:pos="567"/>
        </w:tabs>
        <w:ind w:left="567" w:hanging="567"/>
        <w:rPr>
          <w:color w:val="000000"/>
          <w:szCs w:val="22"/>
          <w:lang w:val="pl-PL"/>
        </w:rPr>
      </w:pPr>
      <w:r w:rsidRPr="00275D64">
        <w:rPr>
          <w:color w:val="000000"/>
          <w:lang w:val="pl-PL"/>
        </w:rPr>
        <w:t>Produkt Ovaleap w skojarzeniu z hormonem luteinizującym (LH) jest zalecany w stymulacji wzrostu pęcherzyków jajnikowych u kobiet ze znacznym niedoborem LH i FSH. W badaniach klinicznych te pacjentki wykazywały stężenie endogennego LH w surowicy &lt;1,2 j.m./l.</w:t>
      </w:r>
    </w:p>
    <w:p w14:paraId="2BB6ABBF" w14:textId="77777777" w:rsidR="0059552A" w:rsidRPr="00275D64" w:rsidRDefault="0059552A" w:rsidP="00496272">
      <w:pPr>
        <w:tabs>
          <w:tab w:val="clear" w:pos="567"/>
        </w:tabs>
        <w:rPr>
          <w:color w:val="000000"/>
          <w:szCs w:val="22"/>
          <w:lang w:val="pl-PL"/>
        </w:rPr>
      </w:pPr>
    </w:p>
    <w:p w14:paraId="19E77610" w14:textId="77777777" w:rsidR="0059552A" w:rsidRPr="00275D64" w:rsidRDefault="0059552A" w:rsidP="00496272">
      <w:pPr>
        <w:keepNext/>
        <w:tabs>
          <w:tab w:val="clear" w:pos="567"/>
        </w:tabs>
        <w:rPr>
          <w:iCs/>
          <w:color w:val="000000"/>
          <w:szCs w:val="22"/>
          <w:u w:val="single"/>
          <w:lang w:val="pl-PL"/>
        </w:rPr>
      </w:pPr>
      <w:r w:rsidRPr="00275D64">
        <w:rPr>
          <w:color w:val="000000"/>
          <w:u w:val="single"/>
          <w:lang w:val="pl-PL"/>
        </w:rPr>
        <w:t>U dorosłych mężczyzn</w:t>
      </w:r>
    </w:p>
    <w:p w14:paraId="5FA8F5B7" w14:textId="77777777" w:rsidR="0059552A" w:rsidRPr="00275D64" w:rsidRDefault="0059552A" w:rsidP="00496272">
      <w:pPr>
        <w:keepNext/>
        <w:tabs>
          <w:tab w:val="clear" w:pos="567"/>
        </w:tabs>
        <w:ind w:left="567" w:hanging="567"/>
        <w:rPr>
          <w:color w:val="000000"/>
          <w:szCs w:val="22"/>
          <w:lang w:val="pl-PL"/>
        </w:rPr>
      </w:pPr>
    </w:p>
    <w:p w14:paraId="6FE74645" w14:textId="77777777" w:rsidR="0059552A" w:rsidRPr="00275D64" w:rsidRDefault="0059552A" w:rsidP="002F3A44">
      <w:pPr>
        <w:keepNext/>
        <w:numPr>
          <w:ilvl w:val="0"/>
          <w:numId w:val="13"/>
        </w:numPr>
        <w:tabs>
          <w:tab w:val="clear" w:pos="567"/>
        </w:tabs>
        <w:ind w:left="567" w:hanging="567"/>
        <w:rPr>
          <w:color w:val="000000"/>
          <w:szCs w:val="22"/>
          <w:lang w:val="pl-PL"/>
        </w:rPr>
      </w:pPr>
      <w:r w:rsidRPr="00275D64">
        <w:rPr>
          <w:color w:val="000000"/>
          <w:lang w:val="pl-PL"/>
        </w:rPr>
        <w:t xml:space="preserve">Produkt Ovaleap jest </w:t>
      </w:r>
      <w:r w:rsidRPr="00275D64">
        <w:rPr>
          <w:color w:val="000000"/>
          <w:szCs w:val="22"/>
          <w:lang w:val="pl-PL"/>
        </w:rPr>
        <w:t xml:space="preserve">wskazany do </w:t>
      </w:r>
      <w:r w:rsidRPr="00275D64">
        <w:rPr>
          <w:color w:val="000000"/>
          <w:lang w:val="pl-PL"/>
        </w:rPr>
        <w:t>stosowania jednocześnie z ludzką gonadotropiną łożyskową (hCG) do stymulacji spermatogenezy u mężczyzn z wrodzonym lub nabytym hipogonadyzmem hipogonadotropowym.</w:t>
      </w:r>
    </w:p>
    <w:p w14:paraId="167FA846" w14:textId="77777777" w:rsidR="0059552A" w:rsidRPr="00275D64" w:rsidRDefault="0059552A" w:rsidP="00496272">
      <w:pPr>
        <w:rPr>
          <w:szCs w:val="22"/>
          <w:lang w:val="pl-PL"/>
        </w:rPr>
      </w:pPr>
    </w:p>
    <w:p w14:paraId="3A674BCA" w14:textId="77777777" w:rsidR="0059552A" w:rsidRPr="00275D64" w:rsidRDefault="0059552A" w:rsidP="00496272">
      <w:pPr>
        <w:keepNext/>
        <w:keepLines/>
        <w:outlineLvl w:val="0"/>
        <w:rPr>
          <w:b/>
          <w:szCs w:val="22"/>
          <w:lang w:val="pl-PL"/>
        </w:rPr>
      </w:pPr>
      <w:r w:rsidRPr="00275D64">
        <w:rPr>
          <w:b/>
          <w:lang w:val="pl-PL"/>
        </w:rPr>
        <w:t>4.2</w:t>
      </w:r>
      <w:r w:rsidRPr="00275D64">
        <w:rPr>
          <w:lang w:val="pl-PL"/>
        </w:rPr>
        <w:tab/>
      </w:r>
      <w:r w:rsidRPr="00275D64">
        <w:rPr>
          <w:b/>
          <w:lang w:val="pl-PL"/>
        </w:rPr>
        <w:t>Dawkowanie i sposób podawania</w:t>
      </w:r>
    </w:p>
    <w:p w14:paraId="27D34D5D" w14:textId="77777777" w:rsidR="0059552A" w:rsidRPr="00275D64" w:rsidRDefault="0059552A" w:rsidP="00496272">
      <w:pPr>
        <w:keepNext/>
        <w:keepLines/>
        <w:rPr>
          <w:i/>
          <w:szCs w:val="22"/>
          <w:lang w:val="pl-PL"/>
        </w:rPr>
      </w:pPr>
    </w:p>
    <w:p w14:paraId="2DD31D18" w14:textId="77777777" w:rsidR="0059552A" w:rsidRPr="00275D64" w:rsidRDefault="0059552A" w:rsidP="00496272">
      <w:pPr>
        <w:keepNext/>
        <w:keepLines/>
        <w:tabs>
          <w:tab w:val="clear" w:pos="567"/>
        </w:tabs>
        <w:outlineLvl w:val="0"/>
        <w:rPr>
          <w:color w:val="000000"/>
          <w:szCs w:val="22"/>
          <w:lang w:val="pl-PL"/>
        </w:rPr>
      </w:pPr>
      <w:r w:rsidRPr="00275D64">
        <w:rPr>
          <w:color w:val="000000"/>
          <w:lang w:val="pl-PL"/>
        </w:rPr>
        <w:t>Leczenie folitropiną alfa należy rozpoczynać pod nadzorem lekarza doświadczonego w leczeniu zaburzeń płodności.</w:t>
      </w:r>
    </w:p>
    <w:p w14:paraId="170FE036" w14:textId="77777777" w:rsidR="0059552A" w:rsidRPr="00275D64" w:rsidRDefault="0059552A" w:rsidP="00496272">
      <w:pPr>
        <w:tabs>
          <w:tab w:val="clear" w:pos="567"/>
        </w:tabs>
        <w:outlineLvl w:val="0"/>
        <w:rPr>
          <w:color w:val="000000"/>
          <w:szCs w:val="22"/>
          <w:lang w:val="pl-PL"/>
        </w:rPr>
      </w:pPr>
    </w:p>
    <w:p w14:paraId="57193DD3" w14:textId="77777777" w:rsidR="0059552A" w:rsidRPr="00275D64" w:rsidRDefault="0059552A" w:rsidP="00496272">
      <w:pPr>
        <w:tabs>
          <w:tab w:val="clear" w:pos="567"/>
        </w:tabs>
        <w:outlineLvl w:val="0"/>
        <w:rPr>
          <w:color w:val="000000"/>
          <w:szCs w:val="22"/>
          <w:u w:val="single"/>
          <w:lang w:val="pl-PL"/>
        </w:rPr>
      </w:pPr>
      <w:r w:rsidRPr="00275D64">
        <w:rPr>
          <w:color w:val="000000"/>
          <w:u w:val="single"/>
          <w:lang w:val="pl-PL"/>
        </w:rPr>
        <w:t>Dawkowanie</w:t>
      </w:r>
    </w:p>
    <w:p w14:paraId="7E65A90E" w14:textId="77777777" w:rsidR="0059552A" w:rsidRPr="00275D64" w:rsidRDefault="0059552A" w:rsidP="00496272">
      <w:pPr>
        <w:tabs>
          <w:tab w:val="clear" w:pos="567"/>
        </w:tabs>
        <w:outlineLvl w:val="0"/>
        <w:rPr>
          <w:color w:val="000000"/>
          <w:szCs w:val="22"/>
          <w:lang w:val="pl-PL"/>
        </w:rPr>
      </w:pPr>
    </w:p>
    <w:p w14:paraId="1D138363" w14:textId="77777777" w:rsidR="0059552A" w:rsidRPr="00275D64" w:rsidRDefault="0059552A" w:rsidP="00496272">
      <w:pPr>
        <w:tabs>
          <w:tab w:val="clear" w:pos="567"/>
        </w:tabs>
        <w:outlineLvl w:val="0"/>
        <w:rPr>
          <w:color w:val="000000"/>
          <w:szCs w:val="22"/>
          <w:lang w:val="pl-PL"/>
        </w:rPr>
      </w:pPr>
      <w:r w:rsidRPr="00275D64">
        <w:rPr>
          <w:color w:val="000000"/>
          <w:lang w:val="pl-PL"/>
        </w:rPr>
        <w:t>Zalecenia dotyczące dawkowania folitropiny alfa są takie same jak w przypadku FSH uzyskiwanego z moczu. Kliniczna ocena folitropiny alfa wskazuje, że dawki dobowe, schematy podawania i procedury monitorowania leczenia nie powinny być różne od tych stosowanych obecnie w przypadku produktów leczniczych zawierających FSH uzyskiwany z moczu. Zaleca się przestrzeganie przedstawionych poniżej rekomendowanych dawek początkowych.</w:t>
      </w:r>
    </w:p>
    <w:p w14:paraId="10A425D7" w14:textId="77777777" w:rsidR="0059552A" w:rsidRPr="00275D64" w:rsidRDefault="0059552A" w:rsidP="00496272">
      <w:pPr>
        <w:tabs>
          <w:tab w:val="clear" w:pos="567"/>
        </w:tabs>
        <w:outlineLvl w:val="0"/>
        <w:rPr>
          <w:color w:val="000000"/>
          <w:szCs w:val="22"/>
          <w:lang w:val="pl-PL"/>
        </w:rPr>
      </w:pPr>
    </w:p>
    <w:p w14:paraId="044C576A" w14:textId="77777777" w:rsidR="0059552A" w:rsidRPr="00275D64" w:rsidRDefault="0059552A" w:rsidP="00496272">
      <w:pPr>
        <w:tabs>
          <w:tab w:val="clear" w:pos="567"/>
        </w:tabs>
        <w:outlineLvl w:val="0"/>
        <w:rPr>
          <w:color w:val="000000"/>
          <w:szCs w:val="22"/>
          <w:lang w:val="pl-PL"/>
        </w:rPr>
      </w:pPr>
      <w:r w:rsidRPr="00275D64">
        <w:rPr>
          <w:color w:val="000000"/>
          <w:lang w:val="pl-PL"/>
        </w:rPr>
        <w:t>W porównawczych badaniach klinicznych wykazano, że zwykle pacjenci wymagają mniejszej dawki całkowitej i krótszego okresu leczenia folitropiną alfa w porównaniu z produktami zawierającymi FSH uzyskiwany z moczu. Dlatego uznaje się za właściwe, aby podać mniejszą dawkę całkowitą folitropiny alfa niż zazwyczaj stosowaną dawkę FSH uzyskiwanego z moczu, nie tylko w celu optymalizacji wzrostu pęcherzyków jajnikowych, ale również w celu zmniejszenia ryzyka niepożądanej, nadmiernej stymulacji jajników (patrz punkt 5.1).</w:t>
      </w:r>
    </w:p>
    <w:p w14:paraId="7FC23AB8" w14:textId="77777777" w:rsidR="0059552A" w:rsidRPr="00275D64" w:rsidRDefault="0059552A" w:rsidP="00496272">
      <w:pPr>
        <w:tabs>
          <w:tab w:val="clear" w:pos="567"/>
        </w:tabs>
        <w:outlineLvl w:val="0"/>
        <w:rPr>
          <w:iCs/>
          <w:color w:val="000000"/>
          <w:szCs w:val="22"/>
          <w:lang w:val="pl-PL"/>
        </w:rPr>
      </w:pPr>
    </w:p>
    <w:p w14:paraId="5953B468" w14:textId="77777777" w:rsidR="0059552A" w:rsidRPr="00275D64" w:rsidRDefault="0059552A" w:rsidP="00496272">
      <w:pPr>
        <w:tabs>
          <w:tab w:val="clear" w:pos="567"/>
        </w:tabs>
        <w:outlineLvl w:val="0"/>
        <w:rPr>
          <w:i/>
          <w:color w:val="000000"/>
          <w:szCs w:val="22"/>
          <w:u w:val="single"/>
          <w:lang w:val="pl-PL"/>
        </w:rPr>
      </w:pPr>
      <w:r w:rsidRPr="00275D64">
        <w:rPr>
          <w:i/>
          <w:color w:val="000000"/>
          <w:u w:val="single"/>
          <w:lang w:val="pl-PL"/>
        </w:rPr>
        <w:t>Kobiety z brakiem jajeczkowania (w tym z zespołem policystycznych jajników)</w:t>
      </w:r>
    </w:p>
    <w:p w14:paraId="7B3CD484" w14:textId="77777777" w:rsidR="0059552A" w:rsidRPr="00275D64" w:rsidRDefault="0059552A" w:rsidP="00496272">
      <w:pPr>
        <w:tabs>
          <w:tab w:val="clear" w:pos="567"/>
        </w:tabs>
        <w:outlineLvl w:val="0"/>
        <w:rPr>
          <w:color w:val="000000"/>
          <w:szCs w:val="22"/>
          <w:lang w:val="pl-PL"/>
        </w:rPr>
      </w:pPr>
      <w:r w:rsidRPr="00275D64">
        <w:rPr>
          <w:color w:val="000000"/>
          <w:lang w:val="pl-PL"/>
        </w:rPr>
        <w:t>Folitropina alfa może być stosowana w cyklu codziennych wstrzyknięć. U kobiet miesiączkujących leczenie powinno być rozpoczęte w ciągu pierwszych 7 dni cyklu menstruacyjnego.</w:t>
      </w:r>
    </w:p>
    <w:p w14:paraId="67B1CAE1" w14:textId="77777777" w:rsidR="0059552A" w:rsidRPr="00275D64" w:rsidRDefault="0059552A" w:rsidP="00496272">
      <w:pPr>
        <w:tabs>
          <w:tab w:val="clear" w:pos="567"/>
        </w:tabs>
        <w:outlineLvl w:val="0"/>
        <w:rPr>
          <w:color w:val="000000"/>
          <w:szCs w:val="22"/>
          <w:lang w:val="pl-PL"/>
        </w:rPr>
      </w:pPr>
    </w:p>
    <w:p w14:paraId="2AC10E8E" w14:textId="77777777" w:rsidR="0059552A" w:rsidRPr="00275D64" w:rsidRDefault="0059552A" w:rsidP="00496272">
      <w:pPr>
        <w:tabs>
          <w:tab w:val="clear" w:pos="567"/>
        </w:tabs>
        <w:outlineLvl w:val="0"/>
        <w:rPr>
          <w:color w:val="000000"/>
          <w:szCs w:val="22"/>
          <w:lang w:val="pl-PL"/>
        </w:rPr>
      </w:pPr>
      <w:r w:rsidRPr="00275D64">
        <w:rPr>
          <w:color w:val="000000"/>
          <w:lang w:val="pl-PL"/>
        </w:rPr>
        <w:t>Według najczęściej stosowanego schematu podawanie produktu rozpoczyna się od dawki 75 j.m. do 150 j.m. FSH na dobę. Następnie, jeśli to konieczne dla uzyskania właściwej, ale nie nadmiernej odpowiedzi, dawkę zwiększa się o najlepiej 37,5 j.m. lub 75 j.m. co 7 lub najlepiej co 14 dni. Leczenie powinno być modyfikowane w zależności od indywidualnej odpowiedzi pacjentki, ocenianej na podstawie pomiaru wielkości pęcherzyka za pomocą badania USG i (lub) wydzielania estrogenów. Maksymalna dawka dobowa zwykle nie przekracza 225 j.m. FSH. Jeżeli nie uzyskano odpowiedniej odpowiedzi po 4 tygodniach leczenia, ten cykl leczenia należy przerwać i pacjentka musi być poddana dalszej ocenie, po której może wznowić leczenie rozpoczynając od większych dawek niż w poprzednim cyklu.</w:t>
      </w:r>
    </w:p>
    <w:p w14:paraId="4B5817E1" w14:textId="77777777" w:rsidR="0059552A" w:rsidRPr="00275D64" w:rsidRDefault="0059552A" w:rsidP="00496272">
      <w:pPr>
        <w:tabs>
          <w:tab w:val="clear" w:pos="567"/>
        </w:tabs>
        <w:outlineLvl w:val="0"/>
        <w:rPr>
          <w:color w:val="000000"/>
          <w:szCs w:val="22"/>
          <w:lang w:val="pl-PL"/>
        </w:rPr>
      </w:pPr>
    </w:p>
    <w:p w14:paraId="0D98F8B8" w14:textId="77777777" w:rsidR="0059552A" w:rsidRPr="00275D64" w:rsidRDefault="0059552A" w:rsidP="00496272">
      <w:pPr>
        <w:tabs>
          <w:tab w:val="clear" w:pos="567"/>
        </w:tabs>
        <w:outlineLvl w:val="0"/>
        <w:rPr>
          <w:color w:val="000000"/>
          <w:szCs w:val="22"/>
          <w:lang w:val="pl-PL"/>
        </w:rPr>
      </w:pPr>
      <w:r w:rsidRPr="00275D64">
        <w:rPr>
          <w:color w:val="000000"/>
          <w:lang w:val="pl-PL"/>
        </w:rPr>
        <w:t xml:space="preserve">Po uzyskaniu optymalnej odpowiedzi, w ciągu 24 do 48 godzin po ostatnim wstrzyknięciu folitropiny alfa należy podać w pojedynczym wstrzyknięciu 250 mikrogramów rekombinowanej ludzkiej gonadotropiny łożyskowej alfa (r-hCG) lub 5 000 j.m. do 10 000 j.m. hCG. Zaleca się, aby pacjentka odbyła stosunek w dniu podania oraz w następnym dniu po podaniu hCG. Alternatywnie może zostać przeprowadzone zapłodnienie wewnątrzmaciczne (ang. </w:t>
      </w:r>
      <w:r w:rsidRPr="00275D64">
        <w:rPr>
          <w:i/>
          <w:color w:val="000000"/>
          <w:lang w:val="pl-PL"/>
        </w:rPr>
        <w:t>intrauterine insemination</w:t>
      </w:r>
      <w:r w:rsidRPr="00275D64">
        <w:rPr>
          <w:color w:val="000000"/>
          <w:lang w:val="pl-PL"/>
        </w:rPr>
        <w:t>, IUI).</w:t>
      </w:r>
    </w:p>
    <w:p w14:paraId="408A667D" w14:textId="77777777" w:rsidR="0059552A" w:rsidRPr="00275D64" w:rsidRDefault="0059552A" w:rsidP="00496272">
      <w:pPr>
        <w:tabs>
          <w:tab w:val="clear" w:pos="567"/>
        </w:tabs>
        <w:outlineLvl w:val="0"/>
        <w:rPr>
          <w:color w:val="000000"/>
          <w:szCs w:val="22"/>
          <w:lang w:val="pl-PL"/>
        </w:rPr>
      </w:pPr>
    </w:p>
    <w:p w14:paraId="188A935E" w14:textId="77777777" w:rsidR="0059552A" w:rsidRPr="00275D64" w:rsidRDefault="0059552A" w:rsidP="00496272">
      <w:pPr>
        <w:tabs>
          <w:tab w:val="clear" w:pos="567"/>
        </w:tabs>
        <w:outlineLvl w:val="0"/>
        <w:rPr>
          <w:color w:val="000000"/>
          <w:szCs w:val="22"/>
          <w:lang w:val="pl-PL"/>
        </w:rPr>
      </w:pPr>
      <w:r w:rsidRPr="00275D64">
        <w:rPr>
          <w:color w:val="000000"/>
          <w:lang w:val="pl-PL"/>
        </w:rPr>
        <w:t>W przypadku uzyskania nadmiernej odpowiedzi leczenie należy przerwać i zaniechać podania hCG (patrz punkt 4.4). Leczenie należy ponownie rozpocząć w kolejnym cyklu menstruacyjnym od dawki mniejszej od tej, którą zastosowano w poprzednim cyklu.</w:t>
      </w:r>
    </w:p>
    <w:p w14:paraId="17443B57" w14:textId="77777777" w:rsidR="0059552A" w:rsidRPr="00275D64" w:rsidRDefault="0059552A" w:rsidP="00496272">
      <w:pPr>
        <w:tabs>
          <w:tab w:val="clear" w:pos="567"/>
        </w:tabs>
        <w:outlineLvl w:val="0"/>
        <w:rPr>
          <w:i/>
          <w:iCs/>
          <w:color w:val="000000"/>
          <w:szCs w:val="22"/>
          <w:lang w:val="pl-PL"/>
        </w:rPr>
      </w:pPr>
    </w:p>
    <w:p w14:paraId="2FA5494E" w14:textId="77777777" w:rsidR="0059552A" w:rsidRPr="00275D64" w:rsidRDefault="0059552A" w:rsidP="00496272">
      <w:pPr>
        <w:keepNext/>
        <w:tabs>
          <w:tab w:val="clear" w:pos="567"/>
        </w:tabs>
        <w:outlineLvl w:val="0"/>
        <w:rPr>
          <w:i/>
          <w:iCs/>
          <w:color w:val="000000"/>
          <w:szCs w:val="22"/>
          <w:u w:val="single"/>
          <w:lang w:val="pl-PL"/>
        </w:rPr>
      </w:pPr>
      <w:r w:rsidRPr="00275D64">
        <w:rPr>
          <w:i/>
          <w:color w:val="000000"/>
          <w:u w:val="single"/>
          <w:lang w:val="pl-PL"/>
        </w:rPr>
        <w:lastRenderedPageBreak/>
        <w:t>Kobiety poddane stymulacji jajników w celu uzyskania rozwoju wielu pęcherzyków jajnikowych, przed zastosowaniem zapłodnienia pozaustrojowego lub innych ART</w:t>
      </w:r>
    </w:p>
    <w:p w14:paraId="72FA00DC" w14:textId="77777777" w:rsidR="0059552A" w:rsidRPr="00275D64" w:rsidRDefault="0059552A" w:rsidP="00496272">
      <w:pPr>
        <w:keepNext/>
        <w:tabs>
          <w:tab w:val="clear" w:pos="567"/>
        </w:tabs>
        <w:outlineLvl w:val="0"/>
        <w:rPr>
          <w:color w:val="000000"/>
          <w:szCs w:val="22"/>
          <w:lang w:val="pl-PL"/>
        </w:rPr>
      </w:pPr>
      <w:r w:rsidRPr="00275D64">
        <w:rPr>
          <w:color w:val="000000"/>
          <w:lang w:val="pl-PL"/>
        </w:rPr>
        <w:t xml:space="preserve">Najczęściej stosowany schemat dawkowania w celu uzyskania wzrostu licznych pęcherzyków obejmuje podanie 150 j.m. do 225 j.m. folitropiny alfa na dobę, rozpoczynając od 2. lub 3. dnia cyklu menstruacyjnego. Leczenie jest kontynuowane do momentu uzyskania odpowiedniej dojrzałości pęcherzyków jajnikowych (ocenianej na podstawie stężenia estrogenów w surowicy krwi i (lub) badania ultrasonograficznego). W zależności od odpowiedzi klinicznej dawkę można zmieniać, zazwyczaj nie przekraczając dawki 450 j.m. na dobę. Zwykle odpowiedni stopień dojrzałości pęcherzyków jest osiągany w dziesiątym dniu leczenia (między </w:t>
      </w:r>
      <w:smartTag w:uri="urn:schemas-microsoft-com:office:smarttags" w:element="metricconverter">
        <w:smartTagPr>
          <w:attr w:name="ProductID" w:val="5 a"/>
        </w:smartTagPr>
        <w:r w:rsidRPr="00275D64">
          <w:rPr>
            <w:color w:val="000000"/>
            <w:lang w:val="pl-PL"/>
          </w:rPr>
          <w:t>5 a</w:t>
        </w:r>
      </w:smartTag>
      <w:r w:rsidRPr="00275D64">
        <w:rPr>
          <w:color w:val="000000"/>
          <w:lang w:val="pl-PL"/>
        </w:rPr>
        <w:t xml:space="preserve"> 20 dniem).</w:t>
      </w:r>
    </w:p>
    <w:p w14:paraId="7BFFFBB8" w14:textId="77777777" w:rsidR="0059552A" w:rsidRPr="00275D64" w:rsidRDefault="0059552A" w:rsidP="00496272">
      <w:pPr>
        <w:tabs>
          <w:tab w:val="clear" w:pos="567"/>
        </w:tabs>
        <w:outlineLvl w:val="0"/>
        <w:rPr>
          <w:color w:val="000000"/>
          <w:szCs w:val="22"/>
          <w:lang w:val="pl-PL"/>
        </w:rPr>
      </w:pPr>
    </w:p>
    <w:p w14:paraId="2668AF2B" w14:textId="77777777" w:rsidR="0059552A" w:rsidRPr="00275D64" w:rsidRDefault="0059552A" w:rsidP="00496272">
      <w:pPr>
        <w:tabs>
          <w:tab w:val="clear" w:pos="567"/>
        </w:tabs>
        <w:outlineLvl w:val="0"/>
        <w:rPr>
          <w:color w:val="000000"/>
          <w:szCs w:val="22"/>
          <w:lang w:val="pl-PL"/>
        </w:rPr>
      </w:pPr>
      <w:r w:rsidRPr="00275D64">
        <w:rPr>
          <w:color w:val="000000"/>
          <w:lang w:val="pl-PL"/>
        </w:rPr>
        <w:t>W celu uzyskania ostatecznej dojrzałości pęcherzyków, w ciągu 24 do 48 godzin po ostatnim wstrzyknięciu folitropiny alfa podaje się w pojedynczym wstrzyknięciu 250 mikrogramów r</w:t>
      </w:r>
      <w:r w:rsidRPr="00275D64">
        <w:rPr>
          <w:lang w:val="pl-PL"/>
        </w:rPr>
        <w:noBreakHyphen/>
      </w:r>
      <w:r w:rsidRPr="00275D64">
        <w:rPr>
          <w:color w:val="000000"/>
          <w:lang w:val="pl-PL"/>
        </w:rPr>
        <w:t>hCG lub 5 000 j.m. do 10 000 j.m. hCG.</w:t>
      </w:r>
    </w:p>
    <w:p w14:paraId="1914B8B3" w14:textId="77777777" w:rsidR="0059552A" w:rsidRPr="00275D64" w:rsidRDefault="0059552A" w:rsidP="00496272">
      <w:pPr>
        <w:tabs>
          <w:tab w:val="clear" w:pos="567"/>
        </w:tabs>
        <w:outlineLvl w:val="0"/>
        <w:rPr>
          <w:color w:val="000000"/>
          <w:szCs w:val="22"/>
          <w:lang w:val="pl-PL"/>
        </w:rPr>
      </w:pPr>
    </w:p>
    <w:p w14:paraId="4AFE67B8" w14:textId="77777777" w:rsidR="0059552A" w:rsidRPr="00275D64" w:rsidRDefault="0059552A" w:rsidP="00496272">
      <w:pPr>
        <w:tabs>
          <w:tab w:val="clear" w:pos="567"/>
        </w:tabs>
        <w:outlineLvl w:val="0"/>
        <w:rPr>
          <w:color w:val="000000"/>
          <w:szCs w:val="22"/>
          <w:lang w:val="pl-PL"/>
        </w:rPr>
      </w:pPr>
      <w:r w:rsidRPr="00275D64">
        <w:rPr>
          <w:color w:val="000000"/>
          <w:lang w:val="pl-PL"/>
        </w:rPr>
        <w:t>Zjawisko down-regulation podczas stosowania agonistów lub antagonistów gonadoliberyny (GnRH) jest powszechnie wykorzystywane w celu zahamowania nagłego zwiększenia stężenia endogennego LH oraz w celu kontroli tonicznego uwalniania LH. Według najczęściej stosowanego protokołu podawanie folitropiny alfa rozpoczyna się około 2 tygodnie po rozpoczęciu leczenia agonistą. Podawanie obu leków kontynuowane jest do momentu uzyskania odpowiedniej dojrzałości pęcherzyków. Przykładowo po 2 tygodniach leczenia agonistą 150 j.m. do 225 j.m. folitropiny alfa jest podawane przez pierwsze 7 dni. Następnie dawka jest dostosowywana, w zależności od reakcji jajników na leczenie.</w:t>
      </w:r>
    </w:p>
    <w:p w14:paraId="1CDDDCA1" w14:textId="77777777" w:rsidR="0059552A" w:rsidRPr="00275D64" w:rsidRDefault="0059552A" w:rsidP="00496272">
      <w:pPr>
        <w:tabs>
          <w:tab w:val="clear" w:pos="567"/>
        </w:tabs>
        <w:outlineLvl w:val="0"/>
        <w:rPr>
          <w:color w:val="000000"/>
          <w:szCs w:val="22"/>
          <w:lang w:val="pl-PL"/>
        </w:rPr>
      </w:pPr>
    </w:p>
    <w:p w14:paraId="0665DDB7" w14:textId="77777777" w:rsidR="0059552A" w:rsidRPr="00275D64" w:rsidRDefault="0059552A" w:rsidP="00496272">
      <w:pPr>
        <w:tabs>
          <w:tab w:val="clear" w:pos="567"/>
        </w:tabs>
        <w:outlineLvl w:val="0"/>
        <w:rPr>
          <w:color w:val="000000"/>
          <w:szCs w:val="22"/>
          <w:lang w:val="pl-PL"/>
        </w:rPr>
      </w:pPr>
      <w:r w:rsidRPr="00275D64">
        <w:rPr>
          <w:color w:val="000000"/>
          <w:lang w:val="pl-PL"/>
        </w:rPr>
        <w:t>Ogólne doświadczenie dotyczące IVF wskazuje, że współczynnik powodzenia zwykle pozostaje stały w czasie pierwszych czterech prób, a później stopniowo zmniejsza się.</w:t>
      </w:r>
    </w:p>
    <w:p w14:paraId="0CF76510" w14:textId="77777777" w:rsidR="0059552A" w:rsidRPr="00275D64" w:rsidRDefault="0059552A" w:rsidP="00496272">
      <w:pPr>
        <w:tabs>
          <w:tab w:val="clear" w:pos="567"/>
        </w:tabs>
        <w:outlineLvl w:val="0"/>
        <w:rPr>
          <w:i/>
          <w:iCs/>
          <w:color w:val="000000"/>
          <w:szCs w:val="22"/>
          <w:lang w:val="pl-PL"/>
        </w:rPr>
      </w:pPr>
    </w:p>
    <w:p w14:paraId="09ECD768" w14:textId="77777777" w:rsidR="0059552A" w:rsidRPr="00275D64" w:rsidRDefault="0059552A" w:rsidP="00496272">
      <w:pPr>
        <w:tabs>
          <w:tab w:val="clear" w:pos="567"/>
        </w:tabs>
        <w:outlineLvl w:val="0"/>
        <w:rPr>
          <w:i/>
          <w:iCs/>
          <w:color w:val="000000"/>
          <w:szCs w:val="22"/>
          <w:u w:val="single"/>
          <w:lang w:val="pl-PL"/>
        </w:rPr>
      </w:pPr>
      <w:r w:rsidRPr="00275D64">
        <w:rPr>
          <w:i/>
          <w:color w:val="000000"/>
          <w:u w:val="single"/>
          <w:lang w:val="pl-PL"/>
        </w:rPr>
        <w:t>Kobiety z brakiem jajeczkowania wywołanym znacznym niedoborem LH i FSH</w:t>
      </w:r>
    </w:p>
    <w:p w14:paraId="5E1053EC" w14:textId="77777777" w:rsidR="0059552A" w:rsidRPr="00275D64" w:rsidRDefault="0059552A" w:rsidP="00496272">
      <w:pPr>
        <w:tabs>
          <w:tab w:val="clear" w:pos="567"/>
        </w:tabs>
        <w:outlineLvl w:val="0"/>
        <w:rPr>
          <w:color w:val="000000"/>
          <w:szCs w:val="22"/>
          <w:lang w:val="pl-PL"/>
        </w:rPr>
      </w:pPr>
      <w:r w:rsidRPr="00275D64">
        <w:rPr>
          <w:color w:val="000000"/>
          <w:lang w:val="pl-PL"/>
        </w:rPr>
        <w:t>U kobiet z niedoborem LH i FSH (hipogonadyzm hipogonadotropowy) celem leczenia folitropiną alfa w skojarzeniu z lutropiną alfa jest uzyskanie rozwoju pojedynczego dojrzałego pęcherzyka Graafa, z którego po podaniu hCG zostanie uwolniona komórka jajowa. Folitropina alfa powinna być podawana w cyklu codziennych wstrzyknięć jednocześnie z lutropiną alfa. Ze względu na to, że pacjentki te nie miesiączkują i mają małe stężenie endogennego estrogenu, leczenie może być rozpoczęte w dowolnym czasie.</w:t>
      </w:r>
    </w:p>
    <w:p w14:paraId="337065D8" w14:textId="77777777" w:rsidR="0059552A" w:rsidRPr="00275D64" w:rsidRDefault="0059552A" w:rsidP="00496272">
      <w:pPr>
        <w:tabs>
          <w:tab w:val="clear" w:pos="567"/>
        </w:tabs>
        <w:outlineLvl w:val="0"/>
        <w:rPr>
          <w:color w:val="000000"/>
          <w:szCs w:val="22"/>
          <w:lang w:val="pl-PL"/>
        </w:rPr>
      </w:pPr>
    </w:p>
    <w:p w14:paraId="79FFD287" w14:textId="77777777" w:rsidR="0059552A" w:rsidRPr="00275D64" w:rsidRDefault="0059552A" w:rsidP="00496272">
      <w:pPr>
        <w:tabs>
          <w:tab w:val="clear" w:pos="567"/>
        </w:tabs>
        <w:outlineLvl w:val="0"/>
        <w:rPr>
          <w:color w:val="000000"/>
          <w:szCs w:val="22"/>
          <w:lang w:val="pl-PL"/>
        </w:rPr>
      </w:pPr>
      <w:r w:rsidRPr="00275D64">
        <w:rPr>
          <w:color w:val="000000"/>
          <w:lang w:val="pl-PL"/>
        </w:rPr>
        <w:t>Zaleca się rozpoczęcie leczenia od dawki 75 j.m. lutropiny alfa i 75 j.m. do 150 j.m. FSH na dobę. Leczenie powinno być modyfikowane w zależności od indywidualnej odpowiedzi pacjentki, ocenianej na podstawie pomiaru wielkości pęcherzyka jajnikowego za pomocą badania USG i wydzielania estrogenów.</w:t>
      </w:r>
    </w:p>
    <w:p w14:paraId="663C74AF" w14:textId="77777777" w:rsidR="0059552A" w:rsidRPr="00275D64" w:rsidRDefault="0059552A" w:rsidP="00496272">
      <w:pPr>
        <w:tabs>
          <w:tab w:val="clear" w:pos="567"/>
        </w:tabs>
        <w:outlineLvl w:val="0"/>
        <w:rPr>
          <w:color w:val="000000"/>
          <w:szCs w:val="22"/>
          <w:lang w:val="pl-PL"/>
        </w:rPr>
      </w:pPr>
    </w:p>
    <w:p w14:paraId="3855504A" w14:textId="77777777" w:rsidR="0059552A" w:rsidRPr="00275D64" w:rsidRDefault="0059552A" w:rsidP="00496272">
      <w:pPr>
        <w:tabs>
          <w:tab w:val="clear" w:pos="567"/>
        </w:tabs>
        <w:outlineLvl w:val="0"/>
        <w:rPr>
          <w:color w:val="000000"/>
          <w:szCs w:val="22"/>
          <w:lang w:val="pl-PL"/>
        </w:rPr>
      </w:pPr>
      <w:r w:rsidRPr="00275D64">
        <w:rPr>
          <w:color w:val="000000"/>
          <w:lang w:val="pl-PL"/>
        </w:rPr>
        <w:t>Jeśli zwiększenie dawki FSH jest konieczne, dawkę należy zwiększyć o najlepiej 37,5 j.m. lub 75 j.m. najlepiej co 7 lub co 14 dni. Można wydłużyć czas stymulacji w każdym cyklu do 5 tygodni.</w:t>
      </w:r>
    </w:p>
    <w:p w14:paraId="3BF6043E" w14:textId="77777777" w:rsidR="0059552A" w:rsidRPr="00275D64" w:rsidRDefault="0059552A" w:rsidP="00496272">
      <w:pPr>
        <w:tabs>
          <w:tab w:val="clear" w:pos="567"/>
        </w:tabs>
        <w:outlineLvl w:val="0"/>
        <w:rPr>
          <w:color w:val="000000"/>
          <w:szCs w:val="22"/>
          <w:lang w:val="pl-PL"/>
        </w:rPr>
      </w:pPr>
    </w:p>
    <w:p w14:paraId="680DA4CC" w14:textId="77777777" w:rsidR="0059552A" w:rsidRPr="00275D64" w:rsidRDefault="0059552A" w:rsidP="00496272">
      <w:pPr>
        <w:tabs>
          <w:tab w:val="clear" w:pos="567"/>
        </w:tabs>
        <w:outlineLvl w:val="0"/>
        <w:rPr>
          <w:color w:val="000000"/>
          <w:szCs w:val="22"/>
          <w:lang w:val="pl-PL"/>
        </w:rPr>
      </w:pPr>
      <w:r w:rsidRPr="00275D64">
        <w:rPr>
          <w:color w:val="000000"/>
          <w:lang w:val="pl-PL"/>
        </w:rPr>
        <w:t>Po uzyskaniu optymalnej odpowiedzi, w ciągu 24 do 48 godzin po ostatnim wstrzyknięciu folitropiny alfa i lutropiny alfa należy zastosować pojedyncze wstrzyknięcie 250 mikrogramów r</w:t>
      </w:r>
      <w:r w:rsidRPr="00275D64">
        <w:rPr>
          <w:lang w:val="pl-PL"/>
        </w:rPr>
        <w:noBreakHyphen/>
      </w:r>
      <w:r w:rsidRPr="00275D64">
        <w:rPr>
          <w:color w:val="000000"/>
          <w:lang w:val="pl-PL"/>
        </w:rPr>
        <w:t>hCG lub 5 000 j.m. do 10 000 j.m. hCG. Zaleca się, aby pacjentka odbyła stosunek w dniu podania oraz w następnym dniu po podaniu hCG. Alternatywnie może zostać przeprowadzone IUI.</w:t>
      </w:r>
    </w:p>
    <w:p w14:paraId="6E7823FD" w14:textId="77777777" w:rsidR="0059552A" w:rsidRPr="00275D64" w:rsidRDefault="0059552A" w:rsidP="00496272">
      <w:pPr>
        <w:tabs>
          <w:tab w:val="clear" w:pos="567"/>
        </w:tabs>
        <w:outlineLvl w:val="0"/>
        <w:rPr>
          <w:color w:val="000000"/>
          <w:szCs w:val="22"/>
          <w:lang w:val="pl-PL"/>
        </w:rPr>
      </w:pPr>
    </w:p>
    <w:p w14:paraId="120980BF" w14:textId="77777777" w:rsidR="0059552A" w:rsidRPr="00275D64" w:rsidRDefault="0059552A" w:rsidP="00496272">
      <w:pPr>
        <w:tabs>
          <w:tab w:val="clear" w:pos="567"/>
        </w:tabs>
        <w:outlineLvl w:val="0"/>
        <w:rPr>
          <w:color w:val="000000"/>
          <w:szCs w:val="22"/>
          <w:lang w:val="pl-PL"/>
        </w:rPr>
      </w:pPr>
      <w:r w:rsidRPr="00275D64">
        <w:rPr>
          <w:color w:val="000000"/>
          <w:lang w:val="pl-PL"/>
        </w:rPr>
        <w:t>Należy rozważyć podtrzymanie fazy lutealnej, ponieważ brak substancji działających luteotropowo (LH/hCG) może prowadzić do przedwczesnej niewydolności ciałka żółtego.</w:t>
      </w:r>
    </w:p>
    <w:p w14:paraId="119CDF27" w14:textId="77777777" w:rsidR="0059552A" w:rsidRPr="00275D64" w:rsidRDefault="0059552A" w:rsidP="00496272">
      <w:pPr>
        <w:tabs>
          <w:tab w:val="clear" w:pos="567"/>
        </w:tabs>
        <w:outlineLvl w:val="0"/>
        <w:rPr>
          <w:color w:val="000000"/>
          <w:szCs w:val="22"/>
          <w:lang w:val="pl-PL"/>
        </w:rPr>
      </w:pPr>
    </w:p>
    <w:p w14:paraId="4A29A4BF" w14:textId="77777777" w:rsidR="0059552A" w:rsidRPr="00275D64" w:rsidRDefault="0059552A" w:rsidP="00496272">
      <w:pPr>
        <w:tabs>
          <w:tab w:val="clear" w:pos="567"/>
        </w:tabs>
        <w:outlineLvl w:val="0"/>
        <w:rPr>
          <w:color w:val="000000"/>
          <w:szCs w:val="22"/>
          <w:lang w:val="pl-PL"/>
        </w:rPr>
      </w:pPr>
      <w:r w:rsidRPr="00275D64">
        <w:rPr>
          <w:color w:val="000000"/>
          <w:lang w:val="pl-PL"/>
        </w:rPr>
        <w:t>W przypadku uzyskania nadmiernej odpowiedzi leczenie należy przerwać i zaniechać podania hCG. Leczenie należy ponownie rozpocząć w kolejnym cyklu menstruacyjnym od dawki FSH mniejszej od stosowanej w poprzednim cyklu.</w:t>
      </w:r>
    </w:p>
    <w:p w14:paraId="3AA21B76" w14:textId="77777777" w:rsidR="0059552A" w:rsidRPr="00275D64" w:rsidRDefault="0059552A" w:rsidP="00496272">
      <w:pPr>
        <w:tabs>
          <w:tab w:val="clear" w:pos="567"/>
        </w:tabs>
        <w:outlineLvl w:val="0"/>
        <w:rPr>
          <w:i/>
          <w:iCs/>
          <w:color w:val="000000"/>
          <w:szCs w:val="22"/>
          <w:lang w:val="pl-PL"/>
        </w:rPr>
      </w:pPr>
    </w:p>
    <w:p w14:paraId="7804632B" w14:textId="77777777" w:rsidR="0059552A" w:rsidRPr="00275D64" w:rsidRDefault="0059552A" w:rsidP="00496272">
      <w:pPr>
        <w:tabs>
          <w:tab w:val="clear" w:pos="567"/>
        </w:tabs>
        <w:outlineLvl w:val="0"/>
        <w:rPr>
          <w:i/>
          <w:iCs/>
          <w:color w:val="000000"/>
          <w:szCs w:val="22"/>
          <w:u w:val="single"/>
          <w:lang w:val="pl-PL"/>
        </w:rPr>
      </w:pPr>
      <w:r w:rsidRPr="00275D64">
        <w:rPr>
          <w:i/>
          <w:color w:val="000000"/>
          <w:u w:val="single"/>
          <w:lang w:val="pl-PL"/>
        </w:rPr>
        <w:t>Mężczyźni z hipogonadyzmem hipogonadotropowym</w:t>
      </w:r>
    </w:p>
    <w:p w14:paraId="5B5D58A3" w14:textId="77777777" w:rsidR="0059552A" w:rsidRPr="00275D64" w:rsidRDefault="0059552A" w:rsidP="00496272">
      <w:pPr>
        <w:tabs>
          <w:tab w:val="clear" w:pos="567"/>
        </w:tabs>
        <w:outlineLvl w:val="0"/>
        <w:rPr>
          <w:color w:val="000000"/>
          <w:szCs w:val="22"/>
          <w:lang w:val="pl-PL"/>
        </w:rPr>
      </w:pPr>
      <w:r w:rsidRPr="00275D64">
        <w:rPr>
          <w:color w:val="000000"/>
          <w:lang w:val="pl-PL"/>
        </w:rPr>
        <w:t xml:space="preserve">Folitropinę alfa należy podawać w dawce 150 j.m. trzy razy w tygodniu, jednocześnie z ludzką gonadotropiną łożyskową (hCG), przez minimum 4 miesiące. Jeśli po tym okresie, u pacjenta nie </w:t>
      </w:r>
      <w:r w:rsidRPr="00275D64">
        <w:rPr>
          <w:color w:val="000000"/>
          <w:lang w:val="pl-PL"/>
        </w:rPr>
        <w:lastRenderedPageBreak/>
        <w:t>uzyskano odpowiedzi, leczenie skojarzone można kontynuować; aktualne doświadczenia kliniczne wskazują, że dla uzyskania spermatogenezy może być konieczne leczenie przez co najmniej 18 miesięcy.</w:t>
      </w:r>
    </w:p>
    <w:p w14:paraId="271E5456" w14:textId="77777777" w:rsidR="0059552A" w:rsidRPr="00275D64" w:rsidRDefault="0059552A" w:rsidP="00496272">
      <w:pPr>
        <w:tabs>
          <w:tab w:val="clear" w:pos="567"/>
        </w:tabs>
        <w:outlineLvl w:val="0"/>
        <w:rPr>
          <w:color w:val="000000"/>
          <w:szCs w:val="22"/>
          <w:lang w:val="pl-PL"/>
        </w:rPr>
      </w:pPr>
    </w:p>
    <w:p w14:paraId="51962907" w14:textId="77777777" w:rsidR="0059552A" w:rsidRPr="00275D64" w:rsidRDefault="0059552A" w:rsidP="00496272">
      <w:pPr>
        <w:keepNext/>
        <w:tabs>
          <w:tab w:val="clear" w:pos="567"/>
        </w:tabs>
        <w:outlineLvl w:val="0"/>
        <w:rPr>
          <w:i/>
          <w:color w:val="000000"/>
          <w:szCs w:val="22"/>
          <w:u w:val="single"/>
          <w:lang w:val="pl-PL"/>
        </w:rPr>
      </w:pPr>
      <w:r w:rsidRPr="00275D64">
        <w:rPr>
          <w:i/>
          <w:color w:val="000000"/>
          <w:u w:val="single"/>
          <w:lang w:val="pl-PL"/>
        </w:rPr>
        <w:t>Specjalne grupy pacjentów</w:t>
      </w:r>
    </w:p>
    <w:p w14:paraId="08B0DDD1" w14:textId="77777777" w:rsidR="0059552A" w:rsidRPr="00275D64" w:rsidRDefault="0059552A" w:rsidP="00496272">
      <w:pPr>
        <w:keepNext/>
        <w:tabs>
          <w:tab w:val="clear" w:pos="567"/>
        </w:tabs>
        <w:outlineLvl w:val="0"/>
        <w:rPr>
          <w:i/>
          <w:iCs/>
          <w:color w:val="000000"/>
          <w:szCs w:val="22"/>
          <w:lang w:val="pl-PL"/>
        </w:rPr>
      </w:pPr>
    </w:p>
    <w:p w14:paraId="043A6077" w14:textId="77777777" w:rsidR="0059552A" w:rsidRPr="00275D64" w:rsidRDefault="0059552A" w:rsidP="00496272">
      <w:pPr>
        <w:keepNext/>
        <w:tabs>
          <w:tab w:val="clear" w:pos="567"/>
        </w:tabs>
        <w:outlineLvl w:val="0"/>
        <w:rPr>
          <w:iCs/>
          <w:color w:val="000000"/>
          <w:szCs w:val="22"/>
          <w:u w:val="single"/>
          <w:lang w:val="pl-PL"/>
        </w:rPr>
      </w:pPr>
      <w:r w:rsidRPr="00275D64">
        <w:rPr>
          <w:color w:val="000000"/>
          <w:u w:val="single"/>
          <w:lang w:val="pl-PL"/>
        </w:rPr>
        <w:t>Pacjenci w podeszłym wieku</w:t>
      </w:r>
    </w:p>
    <w:p w14:paraId="4E9357EC" w14:textId="77777777" w:rsidR="0059552A" w:rsidRPr="00275D64" w:rsidRDefault="0059552A" w:rsidP="00496272">
      <w:pPr>
        <w:tabs>
          <w:tab w:val="clear" w:pos="567"/>
        </w:tabs>
        <w:outlineLvl w:val="0"/>
        <w:rPr>
          <w:color w:val="000000"/>
          <w:szCs w:val="22"/>
          <w:lang w:val="pl-PL"/>
        </w:rPr>
      </w:pPr>
      <w:r w:rsidRPr="00275D64">
        <w:rPr>
          <w:color w:val="000000"/>
          <w:lang w:val="pl-PL"/>
        </w:rPr>
        <w:t>Stosowanie folitropiny alfa u pacjentów w podeszłym wieku nie jest właściwe. Nie określono bezpieczeństwa stosowania ani skuteczności folitropiny alfa u pacjentów w podeszłym wieku.</w:t>
      </w:r>
    </w:p>
    <w:p w14:paraId="05A0D666" w14:textId="77777777" w:rsidR="0059552A" w:rsidRPr="00275D64" w:rsidRDefault="0059552A" w:rsidP="00496272">
      <w:pPr>
        <w:tabs>
          <w:tab w:val="clear" w:pos="567"/>
        </w:tabs>
        <w:outlineLvl w:val="0"/>
        <w:rPr>
          <w:i/>
          <w:iCs/>
          <w:color w:val="000000"/>
          <w:szCs w:val="22"/>
          <w:lang w:val="pl-PL"/>
        </w:rPr>
      </w:pPr>
    </w:p>
    <w:p w14:paraId="064DBC7B" w14:textId="77777777" w:rsidR="0059552A" w:rsidRPr="00275D64" w:rsidRDefault="0059552A" w:rsidP="00496272">
      <w:pPr>
        <w:tabs>
          <w:tab w:val="clear" w:pos="567"/>
        </w:tabs>
        <w:outlineLvl w:val="0"/>
        <w:rPr>
          <w:iCs/>
          <w:color w:val="000000"/>
          <w:szCs w:val="22"/>
          <w:u w:val="single"/>
          <w:lang w:val="pl-PL"/>
        </w:rPr>
      </w:pPr>
      <w:r w:rsidRPr="00275D64">
        <w:rPr>
          <w:color w:val="000000"/>
          <w:u w:val="single"/>
          <w:lang w:val="pl-PL"/>
        </w:rPr>
        <w:t>Niewydolność nerek lub wątroby</w:t>
      </w:r>
    </w:p>
    <w:p w14:paraId="6F4481B7" w14:textId="77777777" w:rsidR="0059552A" w:rsidRPr="00275D64" w:rsidRDefault="0059552A" w:rsidP="00496272">
      <w:pPr>
        <w:tabs>
          <w:tab w:val="clear" w:pos="567"/>
        </w:tabs>
        <w:outlineLvl w:val="0"/>
        <w:rPr>
          <w:color w:val="000000"/>
          <w:szCs w:val="22"/>
          <w:lang w:val="pl-PL"/>
        </w:rPr>
      </w:pPr>
      <w:r w:rsidRPr="00275D64">
        <w:rPr>
          <w:color w:val="000000"/>
          <w:lang w:val="pl-PL"/>
        </w:rPr>
        <w:t>Nie określono bezpieczeństwa stosowania, skuteczności ani farmakokinetyki folitropiny alfa u pacjentów z niewydolnością nerek lub wątroby.</w:t>
      </w:r>
    </w:p>
    <w:p w14:paraId="32312AD0" w14:textId="77777777" w:rsidR="0059552A" w:rsidRPr="00275D64" w:rsidRDefault="0059552A" w:rsidP="00496272">
      <w:pPr>
        <w:tabs>
          <w:tab w:val="clear" w:pos="567"/>
        </w:tabs>
        <w:outlineLvl w:val="0"/>
        <w:rPr>
          <w:color w:val="000000"/>
          <w:szCs w:val="22"/>
          <w:lang w:val="pl-PL"/>
        </w:rPr>
      </w:pPr>
    </w:p>
    <w:p w14:paraId="2344459B" w14:textId="77777777" w:rsidR="0059552A" w:rsidRPr="00275D64" w:rsidRDefault="0059552A" w:rsidP="00496272">
      <w:pPr>
        <w:keepNext/>
        <w:keepLines/>
        <w:tabs>
          <w:tab w:val="clear" w:pos="567"/>
        </w:tabs>
        <w:outlineLvl w:val="0"/>
        <w:rPr>
          <w:color w:val="000000"/>
          <w:szCs w:val="22"/>
          <w:u w:val="single"/>
          <w:lang w:val="pl-PL"/>
        </w:rPr>
      </w:pPr>
      <w:r w:rsidRPr="00275D64">
        <w:rPr>
          <w:color w:val="000000"/>
          <w:u w:val="single"/>
          <w:lang w:val="pl-PL"/>
        </w:rPr>
        <w:t>Dzieci i młodzież</w:t>
      </w:r>
    </w:p>
    <w:p w14:paraId="0D2F0F32" w14:textId="77777777" w:rsidR="0059552A" w:rsidRPr="00275D64" w:rsidRDefault="0059552A" w:rsidP="00496272">
      <w:pPr>
        <w:keepNext/>
        <w:keepLines/>
        <w:tabs>
          <w:tab w:val="clear" w:pos="567"/>
        </w:tabs>
        <w:outlineLvl w:val="0"/>
        <w:rPr>
          <w:color w:val="000000"/>
          <w:szCs w:val="22"/>
          <w:lang w:val="pl-PL"/>
        </w:rPr>
      </w:pPr>
      <w:r w:rsidRPr="00275D64">
        <w:rPr>
          <w:color w:val="000000"/>
          <w:lang w:val="pl-PL"/>
        </w:rPr>
        <w:t>Stosowanie folitropiny alfa u dzieci i młodzieży nie jest właściwe.</w:t>
      </w:r>
    </w:p>
    <w:p w14:paraId="6166BA5E" w14:textId="77777777" w:rsidR="0059552A" w:rsidRPr="00275D64" w:rsidRDefault="0059552A" w:rsidP="00496272">
      <w:pPr>
        <w:tabs>
          <w:tab w:val="clear" w:pos="567"/>
        </w:tabs>
        <w:outlineLvl w:val="0"/>
        <w:rPr>
          <w:color w:val="000000"/>
          <w:szCs w:val="22"/>
          <w:lang w:val="pl-PL"/>
        </w:rPr>
      </w:pPr>
    </w:p>
    <w:p w14:paraId="3D0893BF" w14:textId="77777777" w:rsidR="0059552A" w:rsidRPr="00275D64" w:rsidRDefault="0059552A" w:rsidP="00496272">
      <w:pPr>
        <w:tabs>
          <w:tab w:val="clear" w:pos="567"/>
        </w:tabs>
        <w:outlineLvl w:val="0"/>
        <w:rPr>
          <w:i/>
          <w:color w:val="000000"/>
          <w:szCs w:val="22"/>
          <w:u w:val="single"/>
          <w:lang w:val="pl-PL"/>
        </w:rPr>
      </w:pPr>
      <w:r w:rsidRPr="00275D64">
        <w:rPr>
          <w:i/>
          <w:color w:val="000000"/>
          <w:u w:val="single"/>
          <w:lang w:val="pl-PL"/>
        </w:rPr>
        <w:t>Sposób podawania</w:t>
      </w:r>
    </w:p>
    <w:p w14:paraId="0D18D9EF" w14:textId="77777777" w:rsidR="0059552A" w:rsidRPr="00275D64" w:rsidRDefault="0059552A" w:rsidP="00496272">
      <w:pPr>
        <w:tabs>
          <w:tab w:val="clear" w:pos="567"/>
        </w:tabs>
        <w:outlineLvl w:val="0"/>
        <w:rPr>
          <w:color w:val="000000"/>
          <w:szCs w:val="22"/>
          <w:lang w:val="pl-PL"/>
        </w:rPr>
      </w:pPr>
    </w:p>
    <w:p w14:paraId="0D6D6D9C" w14:textId="4B5F93B7" w:rsidR="0059552A" w:rsidRPr="00275D64" w:rsidRDefault="0059552A" w:rsidP="00496272">
      <w:pPr>
        <w:tabs>
          <w:tab w:val="clear" w:pos="567"/>
        </w:tabs>
        <w:outlineLvl w:val="0"/>
        <w:rPr>
          <w:color w:val="000000"/>
          <w:szCs w:val="22"/>
          <w:lang w:val="pl-PL"/>
        </w:rPr>
      </w:pPr>
      <w:r w:rsidRPr="00275D64">
        <w:rPr>
          <w:color w:val="000000"/>
          <w:lang w:val="pl-PL"/>
        </w:rPr>
        <w:t>Produkt Ovaleap przeznaczony jest do stosowania podskórnego. Pierwsze wstrzyknięcie należy wykonać w warunkach ścisłej kontroli medycznej. Samodzielne podawanie przez pacjenta może być realizowane wyłącznie w przypadku pacjentów z silną motywacją, odpowiednio przeszkolonych i z możliwością konsultacji ze specjalistą.</w:t>
      </w:r>
    </w:p>
    <w:p w14:paraId="3A12AD99" w14:textId="77777777" w:rsidR="0059552A" w:rsidRPr="00275D64" w:rsidRDefault="0059552A" w:rsidP="00496272">
      <w:pPr>
        <w:tabs>
          <w:tab w:val="clear" w:pos="567"/>
        </w:tabs>
        <w:outlineLvl w:val="0"/>
        <w:rPr>
          <w:color w:val="000000"/>
          <w:szCs w:val="22"/>
          <w:lang w:val="pl-PL"/>
        </w:rPr>
      </w:pPr>
    </w:p>
    <w:p w14:paraId="799A9BB3" w14:textId="5CDB3E08" w:rsidR="0059552A" w:rsidRPr="00275D64" w:rsidRDefault="0059552A" w:rsidP="00496272">
      <w:pPr>
        <w:tabs>
          <w:tab w:val="clear" w:pos="567"/>
        </w:tabs>
        <w:outlineLvl w:val="0"/>
        <w:rPr>
          <w:color w:val="000000"/>
          <w:szCs w:val="22"/>
          <w:lang w:val="pl-PL"/>
        </w:rPr>
      </w:pPr>
      <w:r w:rsidRPr="00275D64">
        <w:rPr>
          <w:color w:val="000000"/>
          <w:lang w:val="pl-PL"/>
        </w:rPr>
        <w:t>Ponieważ wkład wielodawkowy jest przeznaczony do kilku wstrzyknięć, należy podać pacjentom szczegółowe instrukcje, aby zapobiec niewłaściwemu zastosowaniu leku.</w:t>
      </w:r>
    </w:p>
    <w:p w14:paraId="3B54090E" w14:textId="77777777" w:rsidR="0059552A" w:rsidRPr="00275D64" w:rsidRDefault="0059552A" w:rsidP="00496272">
      <w:pPr>
        <w:tabs>
          <w:tab w:val="clear" w:pos="567"/>
        </w:tabs>
        <w:outlineLvl w:val="0"/>
        <w:rPr>
          <w:color w:val="000000"/>
          <w:szCs w:val="22"/>
          <w:lang w:val="pl-PL"/>
        </w:rPr>
      </w:pPr>
    </w:p>
    <w:p w14:paraId="21EC2EA3" w14:textId="77777777" w:rsidR="0059552A" w:rsidRPr="00275D64" w:rsidRDefault="0059552A" w:rsidP="00496272">
      <w:pPr>
        <w:tabs>
          <w:tab w:val="clear" w:pos="567"/>
        </w:tabs>
        <w:rPr>
          <w:color w:val="000000"/>
          <w:szCs w:val="22"/>
          <w:lang w:val="pl-PL"/>
        </w:rPr>
      </w:pPr>
      <w:r w:rsidRPr="00275D64">
        <w:rPr>
          <w:color w:val="000000"/>
          <w:lang w:val="pl-PL"/>
        </w:rPr>
        <w:t>Wkład Ovaleap jest przeznaczony do stosowania tylko w połączeniu ze wstrzykiwaczem Ovaleap Pen, który jest oddzielnie dostępny. Instrukcja dotycząca podawania za pomocą</w:t>
      </w:r>
      <w:bookmarkStart w:id="1" w:name="OLE_LINK3"/>
      <w:r w:rsidRPr="00275D64">
        <w:rPr>
          <w:color w:val="000000"/>
          <w:lang w:val="pl-PL"/>
        </w:rPr>
        <w:t xml:space="preserve"> wstrzykiwacza Ovaleap</w:t>
      </w:r>
      <w:bookmarkEnd w:id="1"/>
      <w:r w:rsidRPr="00275D64">
        <w:rPr>
          <w:color w:val="000000"/>
          <w:lang w:val="pl-PL"/>
        </w:rPr>
        <w:t xml:space="preserve"> Pen, patrz punkt 6.6.</w:t>
      </w:r>
    </w:p>
    <w:p w14:paraId="7CC5E0CD" w14:textId="77777777" w:rsidR="0059552A" w:rsidRPr="00275D64" w:rsidRDefault="0059552A" w:rsidP="00496272">
      <w:pPr>
        <w:tabs>
          <w:tab w:val="clear" w:pos="567"/>
        </w:tabs>
        <w:outlineLvl w:val="0"/>
        <w:rPr>
          <w:color w:val="000000"/>
          <w:szCs w:val="22"/>
          <w:lang w:val="pl-PL"/>
        </w:rPr>
      </w:pPr>
    </w:p>
    <w:p w14:paraId="4E4E2483" w14:textId="77777777" w:rsidR="0059552A" w:rsidRPr="00275D64" w:rsidRDefault="0059552A" w:rsidP="00496272">
      <w:pPr>
        <w:ind w:left="567" w:hanging="567"/>
        <w:rPr>
          <w:szCs w:val="22"/>
          <w:lang w:val="pl-PL"/>
        </w:rPr>
      </w:pPr>
      <w:r w:rsidRPr="00275D64">
        <w:rPr>
          <w:b/>
          <w:lang w:val="pl-PL"/>
        </w:rPr>
        <w:t>4.3</w:t>
      </w:r>
      <w:r w:rsidRPr="00275D64">
        <w:rPr>
          <w:lang w:val="pl-PL"/>
        </w:rPr>
        <w:tab/>
      </w:r>
      <w:r w:rsidRPr="00275D64">
        <w:rPr>
          <w:b/>
          <w:lang w:val="pl-PL"/>
        </w:rPr>
        <w:t>Przeciwwskazania</w:t>
      </w:r>
    </w:p>
    <w:p w14:paraId="26DBA22A" w14:textId="77777777" w:rsidR="0059552A" w:rsidRPr="00275D64" w:rsidRDefault="0059552A" w:rsidP="00496272">
      <w:pPr>
        <w:rPr>
          <w:szCs w:val="22"/>
          <w:lang w:val="pl-PL"/>
        </w:rPr>
      </w:pPr>
    </w:p>
    <w:p w14:paraId="52E8E04D"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lang w:val="pl-PL"/>
        </w:rPr>
        <w:t>Nadwrażliwość na substancję czynną (folitropina alfa), FSH lub na którąkolwiek substancję pomocniczą wymienioną w punkcie 6.1.</w:t>
      </w:r>
    </w:p>
    <w:p w14:paraId="4AF1C8E8"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Guzy podwzgórza lub przysadki mózgowej.</w:t>
      </w:r>
    </w:p>
    <w:p w14:paraId="38B54B71"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Powiększenie jajników lub torbiel jajnika o innej przyczynie niż zespół policystycznych jajników.</w:t>
      </w:r>
    </w:p>
    <w:p w14:paraId="1E1BFBC1"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Krwotoki z dróg rodnych o nieznanej przyczynie.</w:t>
      </w:r>
    </w:p>
    <w:p w14:paraId="3295DC74"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Rak jajników, macicy lub piersi.</w:t>
      </w:r>
    </w:p>
    <w:p w14:paraId="3A37109A" w14:textId="77777777" w:rsidR="0059552A" w:rsidRPr="00275D64" w:rsidRDefault="0059552A" w:rsidP="00496272">
      <w:pPr>
        <w:tabs>
          <w:tab w:val="clear" w:pos="567"/>
        </w:tabs>
        <w:ind w:left="567" w:hanging="567"/>
        <w:rPr>
          <w:color w:val="000000"/>
          <w:szCs w:val="22"/>
          <w:lang w:val="pl-PL"/>
        </w:rPr>
      </w:pPr>
    </w:p>
    <w:p w14:paraId="6D84C234" w14:textId="77777777" w:rsidR="0059552A" w:rsidRPr="00275D64" w:rsidRDefault="0059552A" w:rsidP="007955E0">
      <w:pPr>
        <w:tabs>
          <w:tab w:val="clear" w:pos="567"/>
        </w:tabs>
        <w:rPr>
          <w:color w:val="000000"/>
          <w:szCs w:val="22"/>
          <w:lang w:val="pl-PL"/>
        </w:rPr>
      </w:pPr>
      <w:r w:rsidRPr="00275D64">
        <w:rPr>
          <w:color w:val="000000"/>
          <w:lang w:val="pl-PL"/>
        </w:rPr>
        <w:t xml:space="preserve">Produktu </w:t>
      </w:r>
      <w:bookmarkStart w:id="2" w:name="_Hlk511133332"/>
      <w:r w:rsidRPr="00275D64">
        <w:rPr>
          <w:color w:val="000000"/>
          <w:lang w:val="pl-PL"/>
        </w:rPr>
        <w:t>Ovaleap</w:t>
      </w:r>
      <w:bookmarkEnd w:id="2"/>
      <w:r w:rsidRPr="00275D64">
        <w:rPr>
          <w:color w:val="000000"/>
          <w:lang w:val="pl-PL"/>
        </w:rPr>
        <w:t xml:space="preserve"> nie wolno stosować w przypadkach, gdy nie można osiągnąć skutecznej odpowiedzi, takich jak:</w:t>
      </w:r>
    </w:p>
    <w:p w14:paraId="191B3210"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pierwotna niewydolność jajników;</w:t>
      </w:r>
    </w:p>
    <w:p w14:paraId="435C5C50"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wady rozwojowe narządów płciowych uniemożliwiające rozwój ciąży;</w:t>
      </w:r>
    </w:p>
    <w:p w14:paraId="494E545C"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włókniako-mięśniaki macicy uniemożliwiające rozwój ciąży;</w:t>
      </w:r>
    </w:p>
    <w:p w14:paraId="5D072B75" w14:textId="77777777" w:rsidR="0059552A" w:rsidRPr="00275D64" w:rsidRDefault="0059552A" w:rsidP="002F3A44">
      <w:pPr>
        <w:numPr>
          <w:ilvl w:val="0"/>
          <w:numId w:val="13"/>
        </w:numPr>
        <w:tabs>
          <w:tab w:val="clear" w:pos="567"/>
        </w:tabs>
        <w:ind w:left="567" w:hanging="567"/>
        <w:rPr>
          <w:color w:val="000000"/>
          <w:szCs w:val="22"/>
          <w:lang w:val="pl-PL"/>
        </w:rPr>
      </w:pPr>
      <w:r w:rsidRPr="00275D64">
        <w:rPr>
          <w:color w:val="000000"/>
          <w:lang w:val="pl-PL"/>
        </w:rPr>
        <w:t>pierwotna niewydolność jąder.</w:t>
      </w:r>
    </w:p>
    <w:p w14:paraId="771AFFC4" w14:textId="77777777" w:rsidR="0059552A" w:rsidRPr="00275D64" w:rsidRDefault="0059552A" w:rsidP="00496272">
      <w:pPr>
        <w:rPr>
          <w:szCs w:val="22"/>
          <w:lang w:val="pl-PL"/>
        </w:rPr>
      </w:pPr>
    </w:p>
    <w:p w14:paraId="61D3015B" w14:textId="77777777" w:rsidR="0059552A" w:rsidRPr="00275D64" w:rsidRDefault="0059552A" w:rsidP="00496272">
      <w:pPr>
        <w:ind w:left="567" w:hanging="567"/>
        <w:rPr>
          <w:b/>
          <w:szCs w:val="22"/>
          <w:lang w:val="pl-PL"/>
        </w:rPr>
      </w:pPr>
      <w:r w:rsidRPr="00275D64">
        <w:rPr>
          <w:b/>
          <w:lang w:val="pl-PL"/>
        </w:rPr>
        <w:t>4.4</w:t>
      </w:r>
      <w:r w:rsidRPr="00275D64">
        <w:rPr>
          <w:lang w:val="pl-PL"/>
        </w:rPr>
        <w:tab/>
      </w:r>
      <w:r w:rsidRPr="00275D64">
        <w:rPr>
          <w:b/>
          <w:lang w:val="pl-PL"/>
        </w:rPr>
        <w:t>Specjalne ostrzeżenia i środki ostrożności dotyczące stosowania</w:t>
      </w:r>
    </w:p>
    <w:p w14:paraId="76E7E356" w14:textId="77777777" w:rsidR="0059552A" w:rsidRPr="00275D64" w:rsidRDefault="0059552A" w:rsidP="00496272">
      <w:pPr>
        <w:ind w:left="567" w:hanging="567"/>
        <w:rPr>
          <w:b/>
          <w:szCs w:val="22"/>
          <w:lang w:val="pl-PL"/>
        </w:rPr>
      </w:pPr>
    </w:p>
    <w:p w14:paraId="39094DEF" w14:textId="0B997F33" w:rsidR="0059552A" w:rsidRPr="00275D64" w:rsidRDefault="0059552A" w:rsidP="003A4255">
      <w:pPr>
        <w:rPr>
          <w:i/>
          <w:u w:val="single"/>
          <w:lang w:val="pl-PL"/>
        </w:rPr>
      </w:pPr>
      <w:r w:rsidRPr="00275D64">
        <w:rPr>
          <w:i/>
          <w:u w:val="single"/>
          <w:lang w:val="pl-PL"/>
        </w:rPr>
        <w:t>Identyfikowalność</w:t>
      </w:r>
    </w:p>
    <w:p w14:paraId="34FF8EAF" w14:textId="1AB18B57" w:rsidR="0059552A" w:rsidRPr="00275D64" w:rsidRDefault="0059552A" w:rsidP="003A4255">
      <w:pPr>
        <w:rPr>
          <w:lang w:val="pl-PL"/>
        </w:rPr>
      </w:pPr>
      <w:r w:rsidRPr="00275D64">
        <w:rPr>
          <w:lang w:val="pl-PL"/>
        </w:rPr>
        <w:t>W celu poprawienia identyfikowalności biologicznych produktów leczniczych w dokumentacji pacjenta należy wyraźnie zapisać nazwę handlową i numer serii.</w:t>
      </w:r>
    </w:p>
    <w:p w14:paraId="4B11A6A4" w14:textId="77777777" w:rsidR="0059552A" w:rsidRPr="00275D64" w:rsidRDefault="0059552A" w:rsidP="003A4255">
      <w:pPr>
        <w:tabs>
          <w:tab w:val="clear" w:pos="567"/>
        </w:tabs>
        <w:rPr>
          <w:noProof/>
          <w:color w:val="000000"/>
          <w:szCs w:val="22"/>
          <w:lang w:val="pl-PL"/>
        </w:rPr>
      </w:pPr>
    </w:p>
    <w:p w14:paraId="7F32BDF6" w14:textId="283B4AD8" w:rsidR="0059552A" w:rsidRPr="00275D64" w:rsidRDefault="0059552A" w:rsidP="00237563">
      <w:pPr>
        <w:keepNext/>
        <w:tabs>
          <w:tab w:val="clear" w:pos="567"/>
        </w:tabs>
        <w:rPr>
          <w:i/>
          <w:noProof/>
          <w:color w:val="000000"/>
          <w:szCs w:val="22"/>
          <w:u w:val="single"/>
          <w:lang w:val="pl-PL"/>
        </w:rPr>
      </w:pPr>
      <w:r w:rsidRPr="00275D64">
        <w:rPr>
          <w:i/>
          <w:noProof/>
          <w:color w:val="000000"/>
          <w:szCs w:val="22"/>
          <w:u w:val="single"/>
          <w:lang w:val="pl-PL"/>
        </w:rPr>
        <w:lastRenderedPageBreak/>
        <w:t>Ogólne</w:t>
      </w:r>
    </w:p>
    <w:p w14:paraId="58AE8525" w14:textId="77777777" w:rsidR="0059552A" w:rsidRPr="00275D64" w:rsidRDefault="0059552A" w:rsidP="00496272">
      <w:pPr>
        <w:tabs>
          <w:tab w:val="clear" w:pos="567"/>
        </w:tabs>
        <w:rPr>
          <w:color w:val="000000"/>
          <w:szCs w:val="22"/>
          <w:lang w:val="pl-PL"/>
        </w:rPr>
      </w:pPr>
      <w:r w:rsidRPr="00275D64">
        <w:rPr>
          <w:color w:val="000000"/>
          <w:lang w:val="pl-PL"/>
        </w:rPr>
        <w:t>Folitropina alfa jest substancją gonadotropową, która może powodować łagodne do ciężkich działania niepożądane i powinna być stosowana przez lekarzy, którzy mają wystarczającą wiedzę i doświadczenie w leczeniu niepłodności.</w:t>
      </w:r>
    </w:p>
    <w:p w14:paraId="3A36C32B" w14:textId="77777777" w:rsidR="0059552A" w:rsidRPr="00275D64" w:rsidRDefault="0059552A" w:rsidP="00496272">
      <w:pPr>
        <w:tabs>
          <w:tab w:val="clear" w:pos="567"/>
        </w:tabs>
        <w:rPr>
          <w:color w:val="000000"/>
          <w:szCs w:val="22"/>
          <w:lang w:val="pl-PL"/>
        </w:rPr>
      </w:pPr>
    </w:p>
    <w:p w14:paraId="61EA2395" w14:textId="77777777" w:rsidR="0059552A" w:rsidRPr="00275D64" w:rsidRDefault="0059552A" w:rsidP="00496272">
      <w:pPr>
        <w:tabs>
          <w:tab w:val="clear" w:pos="567"/>
        </w:tabs>
        <w:rPr>
          <w:color w:val="000000"/>
          <w:szCs w:val="22"/>
          <w:lang w:val="pl-PL"/>
        </w:rPr>
      </w:pPr>
      <w:r w:rsidRPr="00275D64">
        <w:rPr>
          <w:color w:val="000000"/>
          <w:lang w:val="pl-PL"/>
        </w:rPr>
        <w:t xml:space="preserve">Terapia gonadotropinami wymaga czasu ze strony lekarza prowadzącego, jak i profesjonalnego personelu pomocniczego, oraz dostępności odpowiedniego sprzętu monitorującego. U kobiet, </w:t>
      </w:r>
      <w:r w:rsidRPr="00275D64">
        <w:rPr>
          <w:szCs w:val="22"/>
          <w:lang w:val="pl-PL"/>
        </w:rPr>
        <w:t xml:space="preserve">w celu </w:t>
      </w:r>
      <w:r w:rsidRPr="00275D64">
        <w:rPr>
          <w:color w:val="000000"/>
          <w:lang w:val="pl-PL"/>
        </w:rPr>
        <w:t>bezpiecznego i skutecznego stosowania folitropiny alfa wymagane jest regularne monitorowanie reakcji jajników z użyciem USG albo, co jest bardziej zalecane, z użyciem USG w połączeniu z pomiarem stężenia estradiolu w surowicy krwi. Stopień odpowiedzi na przyjmowanie FSH może różnić się u poszczególnych pacjentów. U niektórych reakcja może być bardzo słaba, a u innych nadmierna. Należy stosować najmniejszą skuteczną dawkę potrzebną do osiągnięcia celu leczenia zarówno u mężczyzn, jak i u kobiet.</w:t>
      </w:r>
    </w:p>
    <w:p w14:paraId="6E63F899" w14:textId="77777777" w:rsidR="0059552A" w:rsidRPr="00275D64" w:rsidRDefault="0059552A" w:rsidP="00496272">
      <w:pPr>
        <w:tabs>
          <w:tab w:val="clear" w:pos="567"/>
        </w:tabs>
        <w:rPr>
          <w:color w:val="000000"/>
          <w:szCs w:val="22"/>
          <w:lang w:val="pl-PL"/>
        </w:rPr>
      </w:pPr>
    </w:p>
    <w:p w14:paraId="0C44EDE3" w14:textId="77777777" w:rsidR="0059552A" w:rsidRPr="00275D64" w:rsidRDefault="0059552A" w:rsidP="00496272">
      <w:pPr>
        <w:keepNext/>
        <w:tabs>
          <w:tab w:val="clear" w:pos="567"/>
        </w:tabs>
        <w:rPr>
          <w:i/>
          <w:color w:val="000000"/>
          <w:szCs w:val="22"/>
          <w:u w:val="single"/>
          <w:lang w:val="pl-PL"/>
        </w:rPr>
      </w:pPr>
      <w:r w:rsidRPr="00275D64">
        <w:rPr>
          <w:i/>
          <w:color w:val="000000"/>
          <w:u w:val="single"/>
          <w:lang w:val="pl-PL"/>
        </w:rPr>
        <w:t>Porfiria</w:t>
      </w:r>
    </w:p>
    <w:p w14:paraId="4B66CAF2" w14:textId="77777777" w:rsidR="0059552A" w:rsidRPr="00275D64" w:rsidRDefault="0059552A" w:rsidP="00496272">
      <w:pPr>
        <w:keepNext/>
        <w:tabs>
          <w:tab w:val="clear" w:pos="567"/>
        </w:tabs>
        <w:rPr>
          <w:color w:val="000000"/>
          <w:szCs w:val="22"/>
          <w:lang w:val="pl-PL"/>
        </w:rPr>
      </w:pPr>
    </w:p>
    <w:p w14:paraId="41848992" w14:textId="77777777" w:rsidR="0059552A" w:rsidRPr="00275D64" w:rsidRDefault="0059552A" w:rsidP="00185EDA">
      <w:pPr>
        <w:keepNext/>
        <w:tabs>
          <w:tab w:val="clear" w:pos="567"/>
        </w:tabs>
        <w:rPr>
          <w:color w:val="000000"/>
          <w:szCs w:val="22"/>
          <w:lang w:val="pl-PL"/>
        </w:rPr>
      </w:pPr>
      <w:r w:rsidRPr="00275D64">
        <w:rPr>
          <w:color w:val="000000"/>
          <w:lang w:val="pl-PL"/>
        </w:rPr>
        <w:t>Pacjenci chorzy na porfirię, lub u których stwierdzono porfirię w wywiadzie rodzinnym, powinni być pod ścisłą obserwacją lekarza podczas leczenia folitropiną alfa. Pogorszenie choroby lub wystąpienie pierwszych jej objawów może być wskazaniem do przerwania leczenia.</w:t>
      </w:r>
    </w:p>
    <w:p w14:paraId="149E6FD9" w14:textId="77777777" w:rsidR="0059552A" w:rsidRPr="00275D64" w:rsidRDefault="0059552A" w:rsidP="00496272">
      <w:pPr>
        <w:tabs>
          <w:tab w:val="clear" w:pos="567"/>
        </w:tabs>
        <w:rPr>
          <w:color w:val="000000"/>
          <w:szCs w:val="22"/>
          <w:u w:val="single"/>
          <w:lang w:val="pl-PL"/>
        </w:rPr>
      </w:pPr>
    </w:p>
    <w:p w14:paraId="1D358817" w14:textId="77777777" w:rsidR="0059552A" w:rsidRPr="00275D64" w:rsidRDefault="0059552A" w:rsidP="00496272">
      <w:pPr>
        <w:tabs>
          <w:tab w:val="clear" w:pos="567"/>
        </w:tabs>
        <w:rPr>
          <w:i/>
          <w:color w:val="000000"/>
          <w:szCs w:val="22"/>
          <w:u w:val="single"/>
          <w:lang w:val="pl-PL"/>
        </w:rPr>
      </w:pPr>
      <w:r w:rsidRPr="00275D64">
        <w:rPr>
          <w:i/>
          <w:color w:val="000000"/>
          <w:u w:val="single"/>
          <w:lang w:val="pl-PL"/>
        </w:rPr>
        <w:t>Leczenie u kobiet</w:t>
      </w:r>
    </w:p>
    <w:p w14:paraId="29B28CEF" w14:textId="77777777" w:rsidR="0059552A" w:rsidRPr="00275D64" w:rsidRDefault="0059552A" w:rsidP="00496272">
      <w:pPr>
        <w:tabs>
          <w:tab w:val="clear" w:pos="567"/>
        </w:tabs>
        <w:rPr>
          <w:color w:val="000000"/>
          <w:szCs w:val="22"/>
          <w:lang w:val="pl-PL"/>
        </w:rPr>
      </w:pPr>
    </w:p>
    <w:p w14:paraId="41D5779A" w14:textId="77777777" w:rsidR="0059552A" w:rsidRPr="00275D64" w:rsidRDefault="0059552A" w:rsidP="00496272">
      <w:pPr>
        <w:tabs>
          <w:tab w:val="clear" w:pos="567"/>
        </w:tabs>
        <w:rPr>
          <w:color w:val="000000"/>
          <w:szCs w:val="22"/>
          <w:lang w:val="pl-PL"/>
        </w:rPr>
      </w:pPr>
      <w:r w:rsidRPr="00275D64">
        <w:rPr>
          <w:color w:val="000000"/>
          <w:lang w:val="pl-PL"/>
        </w:rPr>
        <w:t>Przed rozpoczęciem leczenia powinno się określić dokładnie przyczynę niepłodności pary i wykluczyć ewentualne przeciwwskazania do zajścia w ciążę. Szczególnie należy przeprowadzić badanie w kierunku niedoczynności tarczycy, niedoboru hormonów kory nadnerczy, hiperprolaktynemii i zastosować odpowiednie leczenie.</w:t>
      </w:r>
    </w:p>
    <w:p w14:paraId="355A336D" w14:textId="77777777" w:rsidR="0059552A" w:rsidRPr="00275D64" w:rsidRDefault="0059552A" w:rsidP="00496272">
      <w:pPr>
        <w:tabs>
          <w:tab w:val="clear" w:pos="567"/>
        </w:tabs>
        <w:rPr>
          <w:color w:val="000000"/>
          <w:szCs w:val="22"/>
          <w:lang w:val="pl-PL"/>
        </w:rPr>
      </w:pPr>
    </w:p>
    <w:p w14:paraId="6073A653" w14:textId="77777777" w:rsidR="0059552A" w:rsidRPr="00275D64" w:rsidRDefault="0059552A" w:rsidP="00496272">
      <w:pPr>
        <w:tabs>
          <w:tab w:val="clear" w:pos="567"/>
        </w:tabs>
        <w:rPr>
          <w:color w:val="000000"/>
          <w:szCs w:val="22"/>
          <w:lang w:val="pl-PL"/>
        </w:rPr>
      </w:pPr>
      <w:r w:rsidRPr="00275D64">
        <w:rPr>
          <w:color w:val="000000"/>
          <w:lang w:val="pl-PL"/>
        </w:rPr>
        <w:t>U pacjentek poddanych stymulacji wzrostu pęcherzyków jajnikowych, zarówno w leczeniu braku owulacji, jak i dla potrzeb technik wspomaganego rozrodu ART, może wystąpić powiększenie jajników lub zespół nadmiernej stymulacji jajników. Przestrzeganie zaleceń dotyczących dawki folitropiny alfa, schematu podawania i uważne monitorowanie leczenia, zmniejsza częstość występowania tego typu powikłań. W celu dokładnej interpretacji wskaźników rozwoju i dojrzewania pęcherzyka lekarz powinien być doświadczony w interpretacji odpowiednich testów.</w:t>
      </w:r>
    </w:p>
    <w:p w14:paraId="4FC0B42A" w14:textId="77777777" w:rsidR="0059552A" w:rsidRPr="00275D64" w:rsidRDefault="0059552A" w:rsidP="00496272">
      <w:pPr>
        <w:tabs>
          <w:tab w:val="clear" w:pos="567"/>
        </w:tabs>
        <w:rPr>
          <w:color w:val="000000"/>
          <w:szCs w:val="22"/>
          <w:lang w:val="pl-PL"/>
        </w:rPr>
      </w:pPr>
    </w:p>
    <w:p w14:paraId="2ECC8C52" w14:textId="77777777" w:rsidR="0059552A" w:rsidRPr="00275D64" w:rsidRDefault="0059552A" w:rsidP="00496272">
      <w:pPr>
        <w:tabs>
          <w:tab w:val="clear" w:pos="567"/>
        </w:tabs>
        <w:rPr>
          <w:color w:val="000000"/>
          <w:szCs w:val="22"/>
          <w:lang w:val="pl-PL"/>
        </w:rPr>
      </w:pPr>
      <w:r w:rsidRPr="00275D64">
        <w:rPr>
          <w:color w:val="000000"/>
          <w:lang w:val="pl-PL"/>
        </w:rPr>
        <w:t>W badaniach klinicznych wykazano zwiększenie wrażliwości jajników na folitropinę alfa, jeżeli jest ona podawana z lutropiną alfa. Jeśli zwiększenie dawki FSH jest konieczne, dawkę należy zwiększyć o najlepiej 37,5 j.m. do 75 j.m. najlepiej co 7 do 14 dni.</w:t>
      </w:r>
    </w:p>
    <w:p w14:paraId="782FF031" w14:textId="77777777" w:rsidR="0059552A" w:rsidRPr="00275D64" w:rsidRDefault="0059552A" w:rsidP="00496272">
      <w:pPr>
        <w:tabs>
          <w:tab w:val="clear" w:pos="567"/>
        </w:tabs>
        <w:rPr>
          <w:color w:val="000000"/>
          <w:szCs w:val="22"/>
          <w:lang w:val="pl-PL"/>
        </w:rPr>
      </w:pPr>
    </w:p>
    <w:p w14:paraId="621E6FCD" w14:textId="77777777" w:rsidR="0059552A" w:rsidRPr="00275D64" w:rsidRDefault="0059552A" w:rsidP="00496272">
      <w:pPr>
        <w:tabs>
          <w:tab w:val="clear" w:pos="567"/>
        </w:tabs>
        <w:rPr>
          <w:color w:val="000000"/>
          <w:szCs w:val="22"/>
          <w:lang w:val="pl-PL"/>
        </w:rPr>
      </w:pPr>
      <w:r w:rsidRPr="00275D64">
        <w:rPr>
          <w:color w:val="000000"/>
          <w:lang w:val="pl-PL"/>
        </w:rPr>
        <w:t>Nie wykonywano bezpośrednich badań porównawczych folitropiny alfa/LH i ludzkiej gonadotropiny menopauzalnej (hMG). Porównanie z danymi historycznymi wskazuje, że wskaźnik owulacji uzyskany z folitropiny alfa/LH jest podobny jak po stosowaniu hMG.</w:t>
      </w:r>
    </w:p>
    <w:p w14:paraId="44B3E9CF" w14:textId="77777777" w:rsidR="0059552A" w:rsidRPr="00275D64" w:rsidRDefault="0059552A" w:rsidP="00496272">
      <w:pPr>
        <w:tabs>
          <w:tab w:val="clear" w:pos="567"/>
        </w:tabs>
        <w:rPr>
          <w:i/>
          <w:iCs/>
          <w:color w:val="000000"/>
          <w:szCs w:val="22"/>
          <w:lang w:val="pl-PL"/>
        </w:rPr>
      </w:pPr>
    </w:p>
    <w:p w14:paraId="451D77FA" w14:textId="77777777" w:rsidR="0059552A" w:rsidRPr="00275D64" w:rsidRDefault="0059552A" w:rsidP="00496272">
      <w:pPr>
        <w:tabs>
          <w:tab w:val="clear" w:pos="567"/>
        </w:tabs>
        <w:rPr>
          <w:i/>
          <w:iCs/>
          <w:color w:val="000000"/>
          <w:szCs w:val="22"/>
          <w:lang w:val="pl-PL"/>
        </w:rPr>
      </w:pPr>
      <w:r w:rsidRPr="00275D64">
        <w:rPr>
          <w:i/>
          <w:color w:val="000000"/>
          <w:lang w:val="pl-PL"/>
        </w:rPr>
        <w:t>Zespół nadmiernej stymulacji jajników (ang. Ovarian Hyperstimulation Syndrome, OHSS)</w:t>
      </w:r>
    </w:p>
    <w:p w14:paraId="16907A21" w14:textId="77777777" w:rsidR="0059552A" w:rsidRPr="00275D64" w:rsidRDefault="0059552A" w:rsidP="00496272">
      <w:pPr>
        <w:tabs>
          <w:tab w:val="clear" w:pos="567"/>
        </w:tabs>
        <w:rPr>
          <w:color w:val="000000"/>
          <w:szCs w:val="22"/>
          <w:lang w:val="pl-PL"/>
        </w:rPr>
      </w:pPr>
      <w:r w:rsidRPr="00275D64">
        <w:rPr>
          <w:color w:val="000000"/>
          <w:lang w:val="pl-PL"/>
        </w:rPr>
        <w:t>Spodziewanym skutkiem kontrolowanej stymulacji jajników jest pewnego stopnia powiększenie jajników. Występuje ono częściej u kobiet z zespołem policystycznych jajników i zwykle ustępuje bez konieczności zastosowania leczenia.</w:t>
      </w:r>
    </w:p>
    <w:p w14:paraId="3FAA0254" w14:textId="77777777" w:rsidR="0059552A" w:rsidRPr="00275D64" w:rsidRDefault="0059552A" w:rsidP="00496272">
      <w:pPr>
        <w:tabs>
          <w:tab w:val="clear" w:pos="567"/>
        </w:tabs>
        <w:rPr>
          <w:color w:val="000000"/>
          <w:szCs w:val="22"/>
          <w:lang w:val="pl-PL"/>
        </w:rPr>
      </w:pPr>
    </w:p>
    <w:p w14:paraId="78282F26" w14:textId="77777777" w:rsidR="0059552A" w:rsidRPr="00275D64" w:rsidRDefault="0059552A" w:rsidP="00496272">
      <w:pPr>
        <w:tabs>
          <w:tab w:val="clear" w:pos="567"/>
        </w:tabs>
        <w:rPr>
          <w:color w:val="000000"/>
          <w:szCs w:val="22"/>
          <w:lang w:val="pl-PL"/>
        </w:rPr>
      </w:pPr>
      <w:r w:rsidRPr="00275D64">
        <w:rPr>
          <w:color w:val="000000"/>
          <w:lang w:val="pl-PL"/>
        </w:rPr>
        <w:t>W odróżnieniu od niepowikłanego powiększenia jajników OHSS to stan, który charakteryzuje się zwiększającym się stopniem nasilenia. Łączy on w sobie wyraźne powiększenie jajników, duże stężenie hormonów płciowych w surowicy oraz zwiększoną przepuszczalność naczyń, która może prowadzić do gromadzenia się płynu w jamie otrzewnowej, opłucnowej i rzadko w jamie osierdziowej.</w:t>
      </w:r>
    </w:p>
    <w:p w14:paraId="38A5AE74" w14:textId="77777777" w:rsidR="0059552A" w:rsidRPr="00275D64" w:rsidRDefault="0059552A" w:rsidP="00496272">
      <w:pPr>
        <w:tabs>
          <w:tab w:val="clear" w:pos="567"/>
        </w:tabs>
        <w:rPr>
          <w:color w:val="000000"/>
          <w:szCs w:val="22"/>
          <w:lang w:val="pl-PL"/>
        </w:rPr>
      </w:pPr>
    </w:p>
    <w:p w14:paraId="4722767A" w14:textId="77777777" w:rsidR="0059552A" w:rsidRPr="00275D64" w:rsidRDefault="0059552A" w:rsidP="00496272">
      <w:pPr>
        <w:tabs>
          <w:tab w:val="clear" w:pos="567"/>
        </w:tabs>
        <w:rPr>
          <w:color w:val="000000"/>
          <w:szCs w:val="22"/>
          <w:lang w:val="pl-PL"/>
        </w:rPr>
      </w:pPr>
      <w:r w:rsidRPr="00275D64">
        <w:rPr>
          <w:color w:val="000000"/>
          <w:lang w:val="pl-PL"/>
        </w:rPr>
        <w:t xml:space="preserve">W ciężkich przypadkach OHSS można zaobserwować następujące objawy: ból brzucha, wzdęcia, znaczne powiększenie jajników, zwiększenie masy ciała, duszność, skąpomocz i dolegliwości żołądkowo-jelitowe, takie jak nudności, wymioty i biegunka. Badania kliniczne mogą wykazać hipowolemię, zagęszczenie krwi, zaburzenie równowagi elektrolitowej, wodobrzusze, krwiak </w:t>
      </w:r>
      <w:r w:rsidRPr="00275D64">
        <w:rPr>
          <w:color w:val="000000"/>
          <w:lang w:val="pl-PL"/>
        </w:rPr>
        <w:lastRenderedPageBreak/>
        <w:t>otrzewnej, przesięk opłucnowy, płyn w opłucnej lub ostrą niewydolność płuc. W bardzo rzadkich przypadkach przebieg ciężkiego OHSS może być powikłany skrętem jajnika lub zdarzeniami zakrzepowo- zatorowymi, takimi jak zatorowość płucna, udar niedokrwienny lub zawał mięśnia sercowego.</w:t>
      </w:r>
    </w:p>
    <w:p w14:paraId="1027F419" w14:textId="77777777" w:rsidR="0059552A" w:rsidRPr="00275D64" w:rsidRDefault="0059552A" w:rsidP="00496272">
      <w:pPr>
        <w:tabs>
          <w:tab w:val="clear" w:pos="567"/>
        </w:tabs>
        <w:rPr>
          <w:color w:val="000000"/>
          <w:szCs w:val="22"/>
          <w:lang w:val="pl-PL"/>
        </w:rPr>
      </w:pPr>
    </w:p>
    <w:p w14:paraId="67CC2B63" w14:textId="77777777" w:rsidR="0059552A" w:rsidRPr="00275D64" w:rsidRDefault="0059552A" w:rsidP="00496272">
      <w:pPr>
        <w:tabs>
          <w:tab w:val="clear" w:pos="567"/>
        </w:tabs>
        <w:rPr>
          <w:color w:val="000000"/>
          <w:szCs w:val="22"/>
          <w:lang w:val="pl-PL"/>
        </w:rPr>
      </w:pPr>
      <w:r w:rsidRPr="00275D64">
        <w:rPr>
          <w:color w:val="000000"/>
          <w:lang w:val="pl-PL"/>
        </w:rPr>
        <w:t>Do niezależnych czynników ryzyka rozwoju OHSS należą zespół policystycznych jajników, duże bezwzględne lub szybko rosnące stężenie estradiolu w surowicy krwi (np. &gt;900 pg/ml lub &gt;3 300 pmol/l w przypadku braku jajeczkowania; &gt;3 000 pg/ml lub &gt;11 000 pmol/l w przypadku ART) i duża ilość rozwijających się pęcherzyków jajnika (np. &gt;3 pęcherzyki o średnicy ≥14 mm w przypadku braku jajeczkowania; ≥20 pęcherzyków o średnicy ≥12 mm w przypadku ART).</w:t>
      </w:r>
    </w:p>
    <w:p w14:paraId="1EA959AC" w14:textId="77777777" w:rsidR="0059552A" w:rsidRPr="00275D64" w:rsidRDefault="0059552A" w:rsidP="00496272">
      <w:pPr>
        <w:tabs>
          <w:tab w:val="clear" w:pos="567"/>
        </w:tabs>
        <w:rPr>
          <w:color w:val="000000"/>
          <w:szCs w:val="22"/>
          <w:lang w:val="pl-PL"/>
        </w:rPr>
      </w:pPr>
    </w:p>
    <w:p w14:paraId="61E1D3C1" w14:textId="77777777" w:rsidR="0059552A" w:rsidRPr="00275D64" w:rsidRDefault="0059552A" w:rsidP="00496272">
      <w:pPr>
        <w:tabs>
          <w:tab w:val="clear" w:pos="567"/>
        </w:tabs>
        <w:rPr>
          <w:color w:val="000000"/>
          <w:szCs w:val="22"/>
          <w:lang w:val="pl-PL"/>
        </w:rPr>
      </w:pPr>
      <w:r w:rsidRPr="00275D64">
        <w:rPr>
          <w:color w:val="000000"/>
          <w:lang w:val="pl-PL"/>
        </w:rPr>
        <w:t>Przestrzeganie zaleceń dotyczących dawki folitropiny alfa i schematu podawania może zmniejszyć ryzyko nadmiernej stymulacji jajników (patrz punkty 4.2 i 4.8). W celu wczesnego rozpoznania czynników ryzyka zalecany jest monitoring cyklów stymulacyjnych za pomocą kontroli ultrasonograficznej oraz oznaczania stężenia estradiolu.</w:t>
      </w:r>
    </w:p>
    <w:p w14:paraId="2F857CC3" w14:textId="77777777" w:rsidR="0059552A" w:rsidRPr="00275D64" w:rsidRDefault="0059552A" w:rsidP="00496272">
      <w:pPr>
        <w:tabs>
          <w:tab w:val="clear" w:pos="567"/>
        </w:tabs>
        <w:rPr>
          <w:color w:val="000000"/>
          <w:szCs w:val="22"/>
          <w:lang w:val="pl-PL"/>
        </w:rPr>
      </w:pPr>
    </w:p>
    <w:p w14:paraId="2F102307" w14:textId="77777777" w:rsidR="0059552A" w:rsidRPr="00275D64" w:rsidRDefault="0059552A" w:rsidP="00496272">
      <w:pPr>
        <w:tabs>
          <w:tab w:val="clear" w:pos="567"/>
        </w:tabs>
        <w:rPr>
          <w:color w:val="000000"/>
          <w:szCs w:val="22"/>
          <w:lang w:val="pl-PL"/>
        </w:rPr>
      </w:pPr>
      <w:r w:rsidRPr="00275D64">
        <w:rPr>
          <w:color w:val="000000"/>
          <w:lang w:val="pl-PL"/>
        </w:rPr>
        <w:t>Istnieją powody do przypuszczenia, że hCG odgrywa istotną rolę w wywoływaniu OHSS i że w przypadku zajścia w ciążę zespół ten może mieć cięższą postać i dłużej się utrzymywać. Dlatego w przypadku pojawienia się znaków nadmiernej stymulacji jajników, jak np. stężenie estradiolu w surowicy krwi wynoszące &gt;5 500 pg/ml lub &gt;20 200 pmol/l i (lub) łącznie ≥40 pęcherzyków, zaleca się zaniechać stosowania hCG i poradzić pacjentce, aby nie odbywała stosunku płciowego lub zastosowała metody mechaniczne zabezpieczające przed zapłodnieniem przez co najmniej 4 dni. OHSS może nasilić się gwałtownie (w ciągu 24 godzin) lub w ciągu kilku dni i stać się ciężkim stanem klinicznym. Najczęściej występuje po przerwaniu leczenia hormonalnego i osiąga maksimum po około 7 do 10 dni po leczeniu. Z tego powodu pacjentki powinny przebywać pod obserwacją przez co najmniej 2 tygodnie po podaniu hCG.</w:t>
      </w:r>
    </w:p>
    <w:p w14:paraId="191C8362" w14:textId="77777777" w:rsidR="0059552A" w:rsidRPr="00275D64" w:rsidRDefault="0059552A" w:rsidP="00496272">
      <w:pPr>
        <w:tabs>
          <w:tab w:val="clear" w:pos="567"/>
        </w:tabs>
        <w:rPr>
          <w:color w:val="000000"/>
          <w:szCs w:val="22"/>
          <w:lang w:val="pl-PL"/>
        </w:rPr>
      </w:pPr>
    </w:p>
    <w:p w14:paraId="75E91726" w14:textId="77777777" w:rsidR="0059552A" w:rsidRPr="00275D64" w:rsidRDefault="0059552A" w:rsidP="00496272">
      <w:pPr>
        <w:tabs>
          <w:tab w:val="clear" w:pos="567"/>
        </w:tabs>
        <w:rPr>
          <w:color w:val="000000"/>
          <w:szCs w:val="22"/>
          <w:lang w:val="pl-PL"/>
        </w:rPr>
      </w:pPr>
      <w:r w:rsidRPr="00275D64">
        <w:rPr>
          <w:color w:val="000000"/>
          <w:lang w:val="pl-PL"/>
        </w:rPr>
        <w:t>W przypadku ART aspiracja pęcherzyków przed owulacją może zmniejszyć ryzyko wystąpienia zespołu nadmiernej stymulacji.</w:t>
      </w:r>
    </w:p>
    <w:p w14:paraId="0A29F0C3" w14:textId="77777777" w:rsidR="0059552A" w:rsidRPr="00275D64" w:rsidRDefault="0059552A" w:rsidP="00496272">
      <w:pPr>
        <w:tabs>
          <w:tab w:val="clear" w:pos="567"/>
        </w:tabs>
        <w:rPr>
          <w:color w:val="000000"/>
          <w:szCs w:val="22"/>
          <w:lang w:val="pl-PL"/>
        </w:rPr>
      </w:pPr>
    </w:p>
    <w:p w14:paraId="0606284F" w14:textId="77777777" w:rsidR="0059552A" w:rsidRPr="00275D64" w:rsidRDefault="0059552A" w:rsidP="00496272">
      <w:pPr>
        <w:tabs>
          <w:tab w:val="clear" w:pos="567"/>
        </w:tabs>
        <w:rPr>
          <w:color w:val="000000"/>
          <w:szCs w:val="22"/>
          <w:lang w:val="pl-PL"/>
        </w:rPr>
      </w:pPr>
      <w:r w:rsidRPr="00275D64">
        <w:rPr>
          <w:color w:val="000000"/>
          <w:lang w:val="pl-PL"/>
        </w:rPr>
        <w:t>Łagodny lub umiarkowany OHSS zazwyczaj ustępuje samoistnie. Jeżeli wystąpi ciężki zespół nadmiernej stymulacji, zaleca się przerwać leczenie gonadotropinami, o ile jest wciąż kontynuowane, oraz hospitalizować pacjentkę i włączyć odpowiednie leczenie.</w:t>
      </w:r>
    </w:p>
    <w:p w14:paraId="35450C68" w14:textId="77777777" w:rsidR="0059552A" w:rsidRPr="00275D64" w:rsidRDefault="0059552A" w:rsidP="00496272">
      <w:pPr>
        <w:tabs>
          <w:tab w:val="clear" w:pos="567"/>
        </w:tabs>
        <w:rPr>
          <w:color w:val="000000"/>
          <w:szCs w:val="22"/>
          <w:lang w:val="pl-PL"/>
        </w:rPr>
      </w:pPr>
    </w:p>
    <w:p w14:paraId="34F9C3FB" w14:textId="77777777" w:rsidR="0059552A" w:rsidRPr="00275D64" w:rsidRDefault="0059552A" w:rsidP="00496272">
      <w:pPr>
        <w:keepNext/>
        <w:keepLines/>
        <w:tabs>
          <w:tab w:val="clear" w:pos="567"/>
        </w:tabs>
        <w:rPr>
          <w:i/>
          <w:iCs/>
          <w:color w:val="000000"/>
          <w:szCs w:val="22"/>
          <w:lang w:val="pl-PL"/>
        </w:rPr>
      </w:pPr>
      <w:r w:rsidRPr="00275D64">
        <w:rPr>
          <w:i/>
          <w:color w:val="000000"/>
          <w:lang w:val="pl-PL"/>
        </w:rPr>
        <w:t>Ciąża mnoga</w:t>
      </w:r>
    </w:p>
    <w:p w14:paraId="6CE0319F" w14:textId="77777777" w:rsidR="0059552A" w:rsidRPr="00275D64" w:rsidRDefault="0059552A" w:rsidP="00496272">
      <w:pPr>
        <w:keepNext/>
        <w:keepLines/>
        <w:tabs>
          <w:tab w:val="clear" w:pos="567"/>
        </w:tabs>
        <w:rPr>
          <w:color w:val="000000"/>
          <w:szCs w:val="22"/>
          <w:lang w:val="pl-PL"/>
        </w:rPr>
      </w:pPr>
      <w:r w:rsidRPr="00275D64">
        <w:rPr>
          <w:color w:val="000000"/>
          <w:lang w:val="pl-PL"/>
        </w:rPr>
        <w:t>U pacjentek poddanych indukcji owulacji, częstość występowania ciąży mnogiej jest większa w porównaniu z naturalnym zapłodnieniem. W większości przypadków są to ciąże bliźniacze. Ciąża mnoga, szczególnie liczniejsza niż bliźniacza, zwiększa ryzyko powikłań położniczych i okołoporodowych.</w:t>
      </w:r>
    </w:p>
    <w:p w14:paraId="6FDC9EDD" w14:textId="77777777" w:rsidR="0059552A" w:rsidRPr="00275D64" w:rsidRDefault="0059552A" w:rsidP="00496272">
      <w:pPr>
        <w:tabs>
          <w:tab w:val="clear" w:pos="567"/>
        </w:tabs>
        <w:rPr>
          <w:color w:val="000000"/>
          <w:szCs w:val="22"/>
          <w:lang w:val="pl-PL"/>
        </w:rPr>
      </w:pPr>
    </w:p>
    <w:p w14:paraId="7DC77918" w14:textId="77777777" w:rsidR="0059552A" w:rsidRPr="00275D64" w:rsidRDefault="0059552A" w:rsidP="00496272">
      <w:pPr>
        <w:tabs>
          <w:tab w:val="clear" w:pos="567"/>
        </w:tabs>
        <w:rPr>
          <w:color w:val="000000"/>
          <w:szCs w:val="22"/>
          <w:lang w:val="pl-PL"/>
        </w:rPr>
      </w:pPr>
      <w:r w:rsidRPr="00275D64">
        <w:rPr>
          <w:color w:val="000000"/>
          <w:lang w:val="pl-PL"/>
        </w:rPr>
        <w:t>Aby zmniejszyć ryzyko występowania ciąży mnogiej, zaleca się dokładne monitorowanie odpowiedzi jajników.</w:t>
      </w:r>
    </w:p>
    <w:p w14:paraId="687D94D0" w14:textId="77777777" w:rsidR="0059552A" w:rsidRPr="00275D64" w:rsidRDefault="0059552A" w:rsidP="00496272">
      <w:pPr>
        <w:tabs>
          <w:tab w:val="clear" w:pos="567"/>
        </w:tabs>
        <w:rPr>
          <w:color w:val="000000"/>
          <w:szCs w:val="22"/>
          <w:lang w:val="pl-PL"/>
        </w:rPr>
      </w:pPr>
    </w:p>
    <w:p w14:paraId="34C2DC96" w14:textId="77777777" w:rsidR="0059552A" w:rsidRPr="00275D64" w:rsidRDefault="0059552A" w:rsidP="00496272">
      <w:pPr>
        <w:tabs>
          <w:tab w:val="clear" w:pos="567"/>
        </w:tabs>
        <w:rPr>
          <w:color w:val="000000"/>
          <w:szCs w:val="22"/>
          <w:lang w:val="pl-PL"/>
        </w:rPr>
      </w:pPr>
      <w:r w:rsidRPr="00275D64">
        <w:rPr>
          <w:color w:val="000000"/>
          <w:lang w:val="pl-PL"/>
        </w:rPr>
        <w:t>W przypadku ART ryzyko wystąpienia ciąży mnogiej jest związane głównie z liczbą przeniesionych zarodków, ich jakości i wieku pacjentki.</w:t>
      </w:r>
    </w:p>
    <w:p w14:paraId="329524FC" w14:textId="77777777" w:rsidR="0059552A" w:rsidRPr="00275D64" w:rsidRDefault="0059552A" w:rsidP="00496272">
      <w:pPr>
        <w:tabs>
          <w:tab w:val="clear" w:pos="567"/>
        </w:tabs>
        <w:rPr>
          <w:color w:val="000000"/>
          <w:szCs w:val="22"/>
          <w:lang w:val="pl-PL"/>
        </w:rPr>
      </w:pPr>
    </w:p>
    <w:p w14:paraId="1EB89DC2" w14:textId="77777777" w:rsidR="0059552A" w:rsidRPr="00275D64" w:rsidRDefault="0059552A" w:rsidP="00496272">
      <w:pPr>
        <w:tabs>
          <w:tab w:val="clear" w:pos="567"/>
        </w:tabs>
        <w:rPr>
          <w:color w:val="000000"/>
          <w:szCs w:val="22"/>
          <w:lang w:val="pl-PL"/>
        </w:rPr>
      </w:pPr>
      <w:r w:rsidRPr="00275D64">
        <w:rPr>
          <w:color w:val="000000"/>
          <w:lang w:val="pl-PL"/>
        </w:rPr>
        <w:t>Przed rozpoczęciem terapii pacjentki powinny być poinformowane o potencjalnym ryzyku wystąpienia ciąży mnogiej.</w:t>
      </w:r>
    </w:p>
    <w:p w14:paraId="2B88D686" w14:textId="77777777" w:rsidR="0059552A" w:rsidRPr="00275D64" w:rsidRDefault="0059552A" w:rsidP="00496272">
      <w:pPr>
        <w:tabs>
          <w:tab w:val="clear" w:pos="567"/>
        </w:tabs>
        <w:rPr>
          <w:i/>
          <w:iCs/>
          <w:color w:val="000000"/>
          <w:szCs w:val="22"/>
          <w:lang w:val="pl-PL"/>
        </w:rPr>
      </w:pPr>
    </w:p>
    <w:p w14:paraId="3B9A8B40" w14:textId="77777777" w:rsidR="0059552A" w:rsidRPr="00275D64" w:rsidRDefault="0059552A" w:rsidP="00496272">
      <w:pPr>
        <w:tabs>
          <w:tab w:val="clear" w:pos="567"/>
        </w:tabs>
        <w:rPr>
          <w:i/>
          <w:iCs/>
          <w:color w:val="000000"/>
          <w:szCs w:val="22"/>
          <w:lang w:val="pl-PL"/>
        </w:rPr>
      </w:pPr>
      <w:r w:rsidRPr="00275D64">
        <w:rPr>
          <w:i/>
          <w:color w:val="000000"/>
          <w:lang w:val="pl-PL"/>
        </w:rPr>
        <w:t>Utrata ciąży</w:t>
      </w:r>
    </w:p>
    <w:p w14:paraId="32DCF569" w14:textId="77777777" w:rsidR="0059552A" w:rsidRPr="00275D64" w:rsidRDefault="0059552A" w:rsidP="00496272">
      <w:pPr>
        <w:tabs>
          <w:tab w:val="clear" w:pos="567"/>
        </w:tabs>
        <w:rPr>
          <w:color w:val="000000"/>
          <w:szCs w:val="22"/>
          <w:lang w:val="pl-PL"/>
        </w:rPr>
      </w:pPr>
      <w:r w:rsidRPr="00275D64">
        <w:rPr>
          <w:color w:val="000000"/>
          <w:lang w:val="pl-PL"/>
        </w:rPr>
        <w:t>Utrata ciąży w wyniku poronienia lub niedonoszenia, występuje częściej u pacjentek poddanych stymulacji wzrostu pęcherzyka do indukcji owulacji lub ART niż wskutek poczęcia naturalnego.</w:t>
      </w:r>
    </w:p>
    <w:p w14:paraId="61BF8AD8" w14:textId="77777777" w:rsidR="0059552A" w:rsidRPr="00275D64" w:rsidRDefault="0059552A" w:rsidP="00496272">
      <w:pPr>
        <w:tabs>
          <w:tab w:val="clear" w:pos="567"/>
        </w:tabs>
        <w:rPr>
          <w:i/>
          <w:iCs/>
          <w:color w:val="000000"/>
          <w:szCs w:val="22"/>
          <w:lang w:val="pl-PL"/>
        </w:rPr>
      </w:pPr>
    </w:p>
    <w:p w14:paraId="0C3E682C" w14:textId="77777777" w:rsidR="0059552A" w:rsidRPr="00275D64" w:rsidRDefault="0059552A" w:rsidP="00496272">
      <w:pPr>
        <w:tabs>
          <w:tab w:val="clear" w:pos="567"/>
        </w:tabs>
        <w:rPr>
          <w:i/>
          <w:iCs/>
          <w:color w:val="000000"/>
          <w:szCs w:val="22"/>
          <w:lang w:val="pl-PL"/>
        </w:rPr>
      </w:pPr>
      <w:r w:rsidRPr="00275D64">
        <w:rPr>
          <w:i/>
          <w:color w:val="000000"/>
          <w:lang w:val="pl-PL"/>
        </w:rPr>
        <w:t>Ciąża pozamaciczna</w:t>
      </w:r>
    </w:p>
    <w:p w14:paraId="512F2272" w14:textId="77777777" w:rsidR="0059552A" w:rsidRPr="00275D64" w:rsidRDefault="0059552A" w:rsidP="00496272">
      <w:pPr>
        <w:tabs>
          <w:tab w:val="clear" w:pos="567"/>
        </w:tabs>
        <w:rPr>
          <w:color w:val="000000"/>
          <w:szCs w:val="22"/>
          <w:lang w:val="pl-PL"/>
        </w:rPr>
      </w:pPr>
      <w:r w:rsidRPr="00275D64">
        <w:rPr>
          <w:color w:val="000000"/>
          <w:lang w:val="pl-PL"/>
        </w:rPr>
        <w:t xml:space="preserve">U kobiet z chorobami jajowodów w wywiadzie ryzyko wystąpienia ciąży pozamacicznej jest większe, niezależnie od tego, czy ciąża jest wynikiem naturalnego zapłodnienia czy leczenia niepłodności. </w:t>
      </w:r>
      <w:r w:rsidRPr="00275D64">
        <w:rPr>
          <w:color w:val="000000"/>
          <w:szCs w:val="22"/>
          <w:lang w:val="pl-PL"/>
        </w:rPr>
        <w:lastRenderedPageBreak/>
        <w:t xml:space="preserve">Obserwowano większą </w:t>
      </w:r>
      <w:r w:rsidRPr="00275D64">
        <w:rPr>
          <w:color w:val="000000"/>
          <w:lang w:val="pl-PL"/>
        </w:rPr>
        <w:t>częstość występowania ciąży pozamacicznej po ART w porównaniu z populacją ogólną.</w:t>
      </w:r>
    </w:p>
    <w:p w14:paraId="18494DAD" w14:textId="77777777" w:rsidR="0059552A" w:rsidRPr="00275D64" w:rsidRDefault="0059552A" w:rsidP="00496272">
      <w:pPr>
        <w:tabs>
          <w:tab w:val="clear" w:pos="567"/>
        </w:tabs>
        <w:rPr>
          <w:i/>
          <w:iCs/>
          <w:color w:val="000000"/>
          <w:szCs w:val="22"/>
          <w:lang w:val="pl-PL"/>
        </w:rPr>
      </w:pPr>
    </w:p>
    <w:p w14:paraId="4F35ACA7" w14:textId="77777777" w:rsidR="0059552A" w:rsidRPr="00275D64" w:rsidRDefault="0059552A" w:rsidP="00496272">
      <w:pPr>
        <w:tabs>
          <w:tab w:val="clear" w:pos="567"/>
        </w:tabs>
        <w:rPr>
          <w:i/>
          <w:iCs/>
          <w:color w:val="000000"/>
          <w:szCs w:val="22"/>
          <w:lang w:val="pl-PL"/>
        </w:rPr>
      </w:pPr>
      <w:r w:rsidRPr="00275D64">
        <w:rPr>
          <w:i/>
          <w:color w:val="000000"/>
          <w:lang w:val="pl-PL"/>
        </w:rPr>
        <w:t>Nowotwory układu rozrodczego</w:t>
      </w:r>
    </w:p>
    <w:p w14:paraId="592D7575" w14:textId="77777777" w:rsidR="0059552A" w:rsidRPr="00275D64" w:rsidRDefault="0059552A" w:rsidP="00496272">
      <w:pPr>
        <w:tabs>
          <w:tab w:val="clear" w:pos="567"/>
        </w:tabs>
        <w:rPr>
          <w:color w:val="000000"/>
          <w:szCs w:val="22"/>
          <w:lang w:val="pl-PL"/>
        </w:rPr>
      </w:pPr>
      <w:r w:rsidRPr="00275D64">
        <w:rPr>
          <w:color w:val="000000"/>
          <w:lang w:val="pl-PL"/>
        </w:rPr>
        <w:t>Odnotowano przypadki wystąpienia nowotworów jajników i innych narządów układu rozrodczego, zarówno łagodnych jak i złośliwych, u kobiet poddanych złożonym schematom leczenia w celu leczenia niepłodności. Nie udowodniono, czy leczenie gonadotropinami zwiększa ryzyko wystąpienia nowotworów u kobiet niepłodnych.</w:t>
      </w:r>
    </w:p>
    <w:p w14:paraId="3FFFEDD5" w14:textId="77777777" w:rsidR="0059552A" w:rsidRPr="00275D64" w:rsidRDefault="0059552A" w:rsidP="00496272">
      <w:pPr>
        <w:tabs>
          <w:tab w:val="clear" w:pos="567"/>
        </w:tabs>
        <w:rPr>
          <w:i/>
          <w:iCs/>
          <w:color w:val="000000"/>
          <w:szCs w:val="22"/>
          <w:lang w:val="pl-PL"/>
        </w:rPr>
      </w:pPr>
    </w:p>
    <w:p w14:paraId="5853E689" w14:textId="77777777" w:rsidR="0059552A" w:rsidRPr="00275D64" w:rsidRDefault="0059552A" w:rsidP="00496272">
      <w:pPr>
        <w:tabs>
          <w:tab w:val="clear" w:pos="567"/>
        </w:tabs>
        <w:rPr>
          <w:i/>
          <w:iCs/>
          <w:color w:val="000000"/>
          <w:szCs w:val="22"/>
          <w:lang w:val="pl-PL"/>
        </w:rPr>
      </w:pPr>
      <w:r w:rsidRPr="00275D64">
        <w:rPr>
          <w:i/>
          <w:color w:val="000000"/>
          <w:lang w:val="pl-PL"/>
        </w:rPr>
        <w:t>Wrodzone wady rozwojowe</w:t>
      </w:r>
    </w:p>
    <w:p w14:paraId="25BFEDAA" w14:textId="77777777" w:rsidR="0059552A" w:rsidRPr="00275D64" w:rsidRDefault="0059552A" w:rsidP="00496272">
      <w:pPr>
        <w:tabs>
          <w:tab w:val="clear" w:pos="567"/>
        </w:tabs>
        <w:rPr>
          <w:color w:val="000000"/>
          <w:szCs w:val="22"/>
          <w:lang w:val="pl-PL"/>
        </w:rPr>
      </w:pPr>
      <w:r w:rsidRPr="00275D64">
        <w:rPr>
          <w:color w:val="000000"/>
          <w:lang w:val="pl-PL"/>
        </w:rPr>
        <w:t>Częstość występowania wrodzonych wad rozwojowych po terapii ART może być nieco większa niż w przypadku zapłodnienia naturalnego. Sądzi się, że jest to spowodowane różnicami osobniczymi rodziców (np. wiekiem matki, charakterystyką nasienia) i ciążami mnogimi.</w:t>
      </w:r>
    </w:p>
    <w:p w14:paraId="4F0D48B5" w14:textId="77777777" w:rsidR="0059552A" w:rsidRPr="00275D64" w:rsidRDefault="0059552A" w:rsidP="00496272">
      <w:pPr>
        <w:tabs>
          <w:tab w:val="clear" w:pos="567"/>
        </w:tabs>
        <w:rPr>
          <w:i/>
          <w:iCs/>
          <w:color w:val="000000"/>
          <w:szCs w:val="22"/>
          <w:lang w:val="pl-PL"/>
        </w:rPr>
      </w:pPr>
    </w:p>
    <w:p w14:paraId="4BAB1933" w14:textId="77777777" w:rsidR="0059552A" w:rsidRPr="00275D64" w:rsidRDefault="0059552A" w:rsidP="00496272">
      <w:pPr>
        <w:tabs>
          <w:tab w:val="clear" w:pos="567"/>
        </w:tabs>
        <w:rPr>
          <w:i/>
          <w:iCs/>
          <w:color w:val="000000"/>
          <w:szCs w:val="22"/>
          <w:lang w:val="pl-PL"/>
        </w:rPr>
      </w:pPr>
      <w:r w:rsidRPr="00275D64">
        <w:rPr>
          <w:i/>
          <w:color w:val="000000"/>
          <w:lang w:val="pl-PL"/>
        </w:rPr>
        <w:t>Zdarzenia zakrzepowo-zatorowe</w:t>
      </w:r>
    </w:p>
    <w:p w14:paraId="7DF2A45F" w14:textId="77777777" w:rsidR="0059552A" w:rsidRPr="00275D64" w:rsidRDefault="0059552A" w:rsidP="00496272">
      <w:pPr>
        <w:tabs>
          <w:tab w:val="clear" w:pos="567"/>
        </w:tabs>
        <w:rPr>
          <w:color w:val="000000"/>
          <w:szCs w:val="22"/>
          <w:lang w:val="pl-PL"/>
        </w:rPr>
      </w:pPr>
      <w:r w:rsidRPr="00275D64">
        <w:rPr>
          <w:color w:val="000000"/>
          <w:lang w:val="pl-PL"/>
        </w:rPr>
        <w:t>U kobiet z niedawno przebytą lub obecnie występującą chorobą zakrzepowo-zatorową lub u kobiet z rozpoznanymi czynnikami ryzyka zdarzeń zakrzepowo-zatorowych, takimi jak dane z wywiadu osobistego i rodzinnego, leczenie gonadotropinami może zwiększyć ryzyko nasilenia lub wystąpienia takich zdarzeń. U takich kobiet korzyści z leczenia gonadotropinami powinny być porównane ze stopniem ryzyka. Należy jednak wspomnieć, że sama ciąża, jak i OHSS niosą za sobą zwiększone ryzyko wystąpienia zdarzeń zakrzepowo-zatorowych.</w:t>
      </w:r>
    </w:p>
    <w:p w14:paraId="6098D176" w14:textId="77777777" w:rsidR="0059552A" w:rsidRPr="00275D64" w:rsidRDefault="0059552A" w:rsidP="00496272">
      <w:pPr>
        <w:tabs>
          <w:tab w:val="clear" w:pos="567"/>
        </w:tabs>
        <w:rPr>
          <w:color w:val="000000"/>
          <w:szCs w:val="22"/>
          <w:lang w:val="pl-PL"/>
        </w:rPr>
      </w:pPr>
    </w:p>
    <w:p w14:paraId="61A88CEF" w14:textId="77777777" w:rsidR="0059552A" w:rsidRPr="00275D64" w:rsidRDefault="0059552A" w:rsidP="00496272">
      <w:pPr>
        <w:tabs>
          <w:tab w:val="clear" w:pos="567"/>
        </w:tabs>
        <w:rPr>
          <w:i/>
          <w:color w:val="000000"/>
          <w:szCs w:val="22"/>
          <w:u w:val="single"/>
          <w:lang w:val="pl-PL"/>
        </w:rPr>
      </w:pPr>
      <w:r w:rsidRPr="00275D64">
        <w:rPr>
          <w:i/>
          <w:color w:val="000000"/>
          <w:u w:val="single"/>
          <w:lang w:val="pl-PL"/>
        </w:rPr>
        <w:t>Leczenie u mężczyzn</w:t>
      </w:r>
    </w:p>
    <w:p w14:paraId="1A338A56" w14:textId="77777777" w:rsidR="0059552A" w:rsidRPr="00275D64" w:rsidRDefault="0059552A" w:rsidP="00496272">
      <w:pPr>
        <w:tabs>
          <w:tab w:val="clear" w:pos="567"/>
        </w:tabs>
        <w:rPr>
          <w:color w:val="000000"/>
          <w:szCs w:val="22"/>
          <w:lang w:val="pl-PL"/>
        </w:rPr>
      </w:pPr>
    </w:p>
    <w:p w14:paraId="464ED318" w14:textId="77777777" w:rsidR="0059552A" w:rsidRPr="00275D64" w:rsidRDefault="0059552A" w:rsidP="00496272">
      <w:pPr>
        <w:tabs>
          <w:tab w:val="clear" w:pos="567"/>
        </w:tabs>
        <w:rPr>
          <w:color w:val="000000"/>
          <w:szCs w:val="22"/>
          <w:lang w:val="pl-PL"/>
        </w:rPr>
      </w:pPr>
      <w:r w:rsidRPr="00275D64">
        <w:rPr>
          <w:color w:val="000000"/>
          <w:lang w:val="pl-PL"/>
        </w:rPr>
        <w:t>Zwiększone stężenie endogennego FSH wskazuje na pierwotną niewydolność jąder. U takich pacjentów terapia folitropiną alfa/hCG nie jest skuteczna. Folitropiny alfa nie należy stosować, jeśli nie można uzyskać skutecznej odpowiedzi.</w:t>
      </w:r>
    </w:p>
    <w:p w14:paraId="59050EFE" w14:textId="77777777" w:rsidR="0059552A" w:rsidRPr="00275D64" w:rsidRDefault="0059552A" w:rsidP="00496272">
      <w:pPr>
        <w:tabs>
          <w:tab w:val="clear" w:pos="567"/>
        </w:tabs>
        <w:rPr>
          <w:color w:val="000000"/>
          <w:szCs w:val="22"/>
          <w:lang w:val="pl-PL"/>
        </w:rPr>
      </w:pPr>
    </w:p>
    <w:p w14:paraId="321D06DB" w14:textId="77777777" w:rsidR="0059552A" w:rsidRPr="00275D64" w:rsidRDefault="0059552A" w:rsidP="00496272">
      <w:pPr>
        <w:tabs>
          <w:tab w:val="clear" w:pos="567"/>
        </w:tabs>
        <w:rPr>
          <w:color w:val="000000"/>
          <w:szCs w:val="22"/>
          <w:lang w:val="pl-PL"/>
        </w:rPr>
      </w:pPr>
      <w:r w:rsidRPr="00275D64">
        <w:rPr>
          <w:color w:val="000000"/>
          <w:lang w:val="pl-PL"/>
        </w:rPr>
        <w:t>W celu oceny odpowiedzi na leczenie zaleca się między innymi przeprowadzenie badania nasienia 4 do 6 miesięcy po rozpoczęciu terapii.</w:t>
      </w:r>
    </w:p>
    <w:p w14:paraId="1E9CDE92" w14:textId="77777777" w:rsidR="0059552A" w:rsidRPr="00275D64" w:rsidRDefault="0059552A" w:rsidP="00496272">
      <w:pPr>
        <w:tabs>
          <w:tab w:val="clear" w:pos="567"/>
        </w:tabs>
        <w:rPr>
          <w:color w:val="000000"/>
          <w:szCs w:val="22"/>
          <w:lang w:val="pl-PL"/>
        </w:rPr>
      </w:pPr>
    </w:p>
    <w:p w14:paraId="031346CF" w14:textId="77777777" w:rsidR="0059552A" w:rsidRPr="00275D64" w:rsidRDefault="0059552A" w:rsidP="00B334FA">
      <w:pPr>
        <w:keepNext/>
        <w:keepLines/>
        <w:tabs>
          <w:tab w:val="clear" w:pos="567"/>
        </w:tabs>
        <w:rPr>
          <w:i/>
          <w:noProof/>
          <w:color w:val="000000"/>
          <w:szCs w:val="22"/>
          <w:u w:val="single"/>
          <w:lang w:val="pl-PL"/>
        </w:rPr>
      </w:pPr>
      <w:r w:rsidRPr="00275D64">
        <w:rPr>
          <w:bCs/>
          <w:i/>
          <w:noProof/>
          <w:szCs w:val="22"/>
          <w:u w:val="single"/>
          <w:lang w:val="pl-PL"/>
        </w:rPr>
        <w:t xml:space="preserve">Zawartość </w:t>
      </w:r>
      <w:bookmarkStart w:id="3" w:name="_Hlk511723545"/>
      <w:r w:rsidRPr="00275D64">
        <w:rPr>
          <w:bCs/>
          <w:i/>
          <w:noProof/>
          <w:szCs w:val="22"/>
          <w:u w:val="single"/>
          <w:lang w:val="pl-PL"/>
        </w:rPr>
        <w:t>chlorku benzalkoniowego</w:t>
      </w:r>
      <w:bookmarkEnd w:id="3"/>
    </w:p>
    <w:p w14:paraId="53B8C896" w14:textId="7EC96587" w:rsidR="0059552A" w:rsidRPr="00275D64" w:rsidRDefault="0059552A" w:rsidP="00B334FA">
      <w:pPr>
        <w:keepNext/>
        <w:keepLines/>
        <w:tabs>
          <w:tab w:val="clear" w:pos="567"/>
        </w:tabs>
        <w:rPr>
          <w:noProof/>
          <w:color w:val="000000"/>
          <w:szCs w:val="22"/>
          <w:lang w:val="pl-PL"/>
        </w:rPr>
      </w:pPr>
      <w:r w:rsidRPr="00275D64">
        <w:rPr>
          <w:noProof/>
          <w:color w:val="000000"/>
          <w:szCs w:val="22"/>
          <w:lang w:val="pl-PL"/>
        </w:rPr>
        <w:t>Produkt Ovaleap zawiera 0,02 mg/ml</w:t>
      </w:r>
      <w:r w:rsidR="00E10854" w:rsidRPr="00275D64">
        <w:rPr>
          <w:noProof/>
          <w:color w:val="000000"/>
          <w:szCs w:val="22"/>
          <w:lang w:val="pl-PL"/>
        </w:rPr>
        <w:t xml:space="preserve"> </w:t>
      </w:r>
      <w:r w:rsidRPr="00275D64">
        <w:rPr>
          <w:noProof/>
          <w:color w:val="000000"/>
          <w:szCs w:val="22"/>
          <w:lang w:val="pl-PL"/>
        </w:rPr>
        <w:t>chlorku benzalkoniowego</w:t>
      </w:r>
    </w:p>
    <w:p w14:paraId="72F3F86F" w14:textId="77777777" w:rsidR="0059552A" w:rsidRPr="00275D64" w:rsidRDefault="0059552A" w:rsidP="00B334FA">
      <w:pPr>
        <w:keepNext/>
        <w:keepLines/>
        <w:tabs>
          <w:tab w:val="clear" w:pos="567"/>
        </w:tabs>
        <w:rPr>
          <w:bCs/>
          <w:i/>
          <w:noProof/>
          <w:szCs w:val="22"/>
          <w:u w:val="single"/>
          <w:lang w:val="pl-PL"/>
        </w:rPr>
      </w:pPr>
    </w:p>
    <w:p w14:paraId="148EA147" w14:textId="77777777" w:rsidR="0059552A" w:rsidRPr="00275D64" w:rsidRDefault="0059552A" w:rsidP="00B334FA">
      <w:pPr>
        <w:keepNext/>
        <w:keepLines/>
        <w:tabs>
          <w:tab w:val="clear" w:pos="567"/>
        </w:tabs>
        <w:rPr>
          <w:i/>
          <w:noProof/>
          <w:color w:val="000000"/>
          <w:szCs w:val="22"/>
          <w:u w:val="single"/>
          <w:lang w:val="pl-PL"/>
        </w:rPr>
      </w:pPr>
      <w:r w:rsidRPr="00275D64">
        <w:rPr>
          <w:bCs/>
          <w:i/>
          <w:noProof/>
          <w:szCs w:val="22"/>
          <w:u w:val="single"/>
          <w:lang w:val="pl-PL"/>
        </w:rPr>
        <w:t>Zawartość alkoholu benzylowego</w:t>
      </w:r>
    </w:p>
    <w:p w14:paraId="7CA80674" w14:textId="77777777" w:rsidR="0059552A" w:rsidRPr="00275D64" w:rsidRDefault="0059552A" w:rsidP="00B334FA">
      <w:pPr>
        <w:keepNext/>
        <w:keepLines/>
        <w:tabs>
          <w:tab w:val="clear" w:pos="567"/>
        </w:tabs>
        <w:rPr>
          <w:lang w:val="pl-PL"/>
        </w:rPr>
      </w:pPr>
      <w:r w:rsidRPr="00275D64">
        <w:rPr>
          <w:noProof/>
          <w:szCs w:val="22"/>
          <w:lang w:val="pl-PL"/>
        </w:rPr>
        <w:t xml:space="preserve">Produkt Ovaleap zawiera </w:t>
      </w:r>
      <w:r w:rsidRPr="00275D64">
        <w:rPr>
          <w:lang w:val="pl-PL"/>
        </w:rPr>
        <w:t xml:space="preserve">10,0 mg na ml </w:t>
      </w:r>
      <w:bookmarkStart w:id="4" w:name="_Hlk511723607"/>
      <w:r w:rsidRPr="00275D64">
        <w:rPr>
          <w:lang w:val="pl-PL"/>
        </w:rPr>
        <w:t>alkoholu benzylowego</w:t>
      </w:r>
      <w:bookmarkEnd w:id="4"/>
      <w:r w:rsidRPr="00275D64">
        <w:rPr>
          <w:lang w:val="pl-PL"/>
        </w:rPr>
        <w:t>.</w:t>
      </w:r>
    </w:p>
    <w:p w14:paraId="550C97AF" w14:textId="149D3495" w:rsidR="0059552A" w:rsidRPr="00275D64" w:rsidRDefault="0059552A" w:rsidP="00B334FA">
      <w:pPr>
        <w:keepNext/>
        <w:keepLines/>
        <w:tabs>
          <w:tab w:val="clear" w:pos="567"/>
        </w:tabs>
        <w:rPr>
          <w:bCs/>
          <w:noProof/>
          <w:szCs w:val="22"/>
          <w:u w:val="single"/>
          <w:lang w:val="pl-PL"/>
        </w:rPr>
      </w:pPr>
      <w:r w:rsidRPr="00275D64">
        <w:rPr>
          <w:bCs/>
          <w:noProof/>
          <w:szCs w:val="22"/>
          <w:u w:val="single"/>
          <w:lang w:val="pl-PL"/>
        </w:rPr>
        <w:t>Alkohol benzylowy może powodować reakcje alergiczne.</w:t>
      </w:r>
    </w:p>
    <w:p w14:paraId="79D557E8" w14:textId="506CAA79" w:rsidR="00E10854" w:rsidRPr="00275D64" w:rsidRDefault="00E10854" w:rsidP="00E10854">
      <w:pPr>
        <w:keepNext/>
        <w:keepLines/>
        <w:tabs>
          <w:tab w:val="clear" w:pos="567"/>
        </w:tabs>
        <w:rPr>
          <w:lang w:val="pl-PL"/>
        </w:rPr>
      </w:pPr>
      <w:r w:rsidRPr="00275D64">
        <w:rPr>
          <w:lang w:val="pl-PL"/>
        </w:rPr>
        <w:t>Duże objętości alkoholu benzylowego należy podawać z ostrożnością i tylko w razie konieczności, zwłaszcza u pacjentów z zaburzeniami czynności nerek lub wątroby, jak również u kobiet w ciąży lub karmiących piersią, z powodu ryzyka kumulacji toksyczności (kwasica</w:t>
      </w:r>
      <w:r w:rsidR="00624036" w:rsidRPr="00275D64">
        <w:rPr>
          <w:lang w:val="pl-PL"/>
        </w:rPr>
        <w:t xml:space="preserve"> </w:t>
      </w:r>
      <w:r w:rsidRPr="00275D64">
        <w:rPr>
          <w:lang w:val="pl-PL"/>
        </w:rPr>
        <w:t>metaboliczna).</w:t>
      </w:r>
    </w:p>
    <w:p w14:paraId="5F24050A" w14:textId="77777777" w:rsidR="0059552A" w:rsidRPr="00275D64" w:rsidRDefault="0059552A" w:rsidP="00B334FA">
      <w:pPr>
        <w:keepNext/>
        <w:keepLines/>
        <w:tabs>
          <w:tab w:val="clear" w:pos="567"/>
        </w:tabs>
        <w:rPr>
          <w:bCs/>
          <w:noProof/>
          <w:szCs w:val="22"/>
          <w:u w:val="single"/>
          <w:lang w:val="pl-PL"/>
        </w:rPr>
      </w:pPr>
    </w:p>
    <w:p w14:paraId="03E24321" w14:textId="77777777" w:rsidR="0059552A" w:rsidRPr="00275D64" w:rsidRDefault="0059552A" w:rsidP="00496272">
      <w:pPr>
        <w:keepNext/>
        <w:keepLines/>
        <w:tabs>
          <w:tab w:val="clear" w:pos="567"/>
        </w:tabs>
        <w:rPr>
          <w:i/>
          <w:color w:val="000000"/>
          <w:szCs w:val="22"/>
          <w:u w:val="single"/>
          <w:lang w:val="pl-PL"/>
        </w:rPr>
      </w:pPr>
      <w:r w:rsidRPr="00275D64">
        <w:rPr>
          <w:i/>
          <w:u w:val="single"/>
          <w:lang w:val="pl-PL"/>
        </w:rPr>
        <w:t>Zawartość sodu</w:t>
      </w:r>
    </w:p>
    <w:p w14:paraId="1A35EB15" w14:textId="77777777" w:rsidR="0059552A" w:rsidRPr="00275D64" w:rsidRDefault="0059552A" w:rsidP="00496272">
      <w:pPr>
        <w:keepNext/>
        <w:keepLines/>
        <w:tabs>
          <w:tab w:val="clear" w:pos="567"/>
        </w:tabs>
        <w:rPr>
          <w:color w:val="000000"/>
          <w:szCs w:val="22"/>
          <w:lang w:val="pl-PL"/>
        </w:rPr>
      </w:pPr>
    </w:p>
    <w:p w14:paraId="218850E8" w14:textId="19ADA63F" w:rsidR="0059552A" w:rsidRPr="00275D64" w:rsidRDefault="0059552A" w:rsidP="00496272">
      <w:pPr>
        <w:keepNext/>
        <w:keepLines/>
        <w:tabs>
          <w:tab w:val="clear" w:pos="567"/>
        </w:tabs>
        <w:rPr>
          <w:color w:val="000000"/>
          <w:szCs w:val="22"/>
          <w:lang w:val="pl-PL"/>
        </w:rPr>
      </w:pPr>
      <w:r w:rsidRPr="00275D64">
        <w:rPr>
          <w:color w:val="000000"/>
          <w:lang w:val="pl-PL"/>
        </w:rPr>
        <w:t>Produkt Ovaleap zawiera mniej niż 1 mmol (23 mg) sodu na dawkę, to znaczy lek uznaje się za „wolny od sodu”.</w:t>
      </w:r>
    </w:p>
    <w:p w14:paraId="0594AAAD" w14:textId="77777777" w:rsidR="0059552A" w:rsidRPr="00275D64" w:rsidRDefault="0059552A" w:rsidP="00496272">
      <w:pPr>
        <w:tabs>
          <w:tab w:val="clear" w:pos="567"/>
        </w:tabs>
        <w:rPr>
          <w:color w:val="000000"/>
          <w:szCs w:val="22"/>
          <w:lang w:val="pl-PL"/>
        </w:rPr>
      </w:pPr>
    </w:p>
    <w:p w14:paraId="336472E2" w14:textId="77777777" w:rsidR="0059552A" w:rsidRPr="00275D64" w:rsidRDefault="0059552A" w:rsidP="00496272">
      <w:pPr>
        <w:keepNext/>
        <w:keepLines/>
        <w:ind w:left="567" w:hanging="567"/>
        <w:outlineLvl w:val="0"/>
        <w:rPr>
          <w:szCs w:val="22"/>
          <w:lang w:val="pl-PL"/>
        </w:rPr>
      </w:pPr>
      <w:r w:rsidRPr="00275D64">
        <w:rPr>
          <w:b/>
          <w:lang w:val="pl-PL"/>
        </w:rPr>
        <w:t>4.5</w:t>
      </w:r>
      <w:r w:rsidRPr="00275D64">
        <w:rPr>
          <w:lang w:val="pl-PL"/>
        </w:rPr>
        <w:tab/>
      </w:r>
      <w:r w:rsidRPr="00275D64">
        <w:rPr>
          <w:b/>
          <w:lang w:val="pl-PL"/>
        </w:rPr>
        <w:t>Interakcje z innymi produktami leczniczymi i inne rodzaje interakcji</w:t>
      </w:r>
    </w:p>
    <w:p w14:paraId="2F981F3F" w14:textId="77777777" w:rsidR="0059552A" w:rsidRPr="00275D64" w:rsidRDefault="0059552A" w:rsidP="00496272">
      <w:pPr>
        <w:keepNext/>
        <w:keepLines/>
        <w:rPr>
          <w:szCs w:val="22"/>
          <w:lang w:val="pl-PL"/>
        </w:rPr>
      </w:pPr>
    </w:p>
    <w:p w14:paraId="79F370E0" w14:textId="77777777" w:rsidR="0059552A" w:rsidRPr="00275D64" w:rsidRDefault="0059552A" w:rsidP="00496272">
      <w:pPr>
        <w:keepNext/>
        <w:keepLines/>
        <w:tabs>
          <w:tab w:val="clear" w:pos="567"/>
        </w:tabs>
        <w:rPr>
          <w:color w:val="000000"/>
          <w:szCs w:val="22"/>
          <w:lang w:val="pl-PL"/>
        </w:rPr>
      </w:pPr>
      <w:r w:rsidRPr="00275D64">
        <w:rPr>
          <w:color w:val="000000"/>
          <w:lang w:val="pl-PL"/>
        </w:rPr>
        <w:t>Jednoczesne stosowanie folitropiny alfa z innymi produktami leczniczymi stosowanymi w wywołaniu owulacji (np. hCG, cytrynian klomifenu) może prowadzić do nasilenia odpowiedzi jajników, podczas gdy stosowanie agonistów lub antagonistów GnRH w celu wywołania braku wrażliwości przysadki mózgowej może zwiększać dawki folitropiny alfa potrzebne do uzyskania właściwej odpowiedzi jajników. Nie odnotowano znaczących klinicznie interakcji z innymi lekami podczas leczenia folitropiną alfa.</w:t>
      </w:r>
    </w:p>
    <w:p w14:paraId="0B3E3C09" w14:textId="77777777" w:rsidR="0059552A" w:rsidRPr="00275D64" w:rsidRDefault="0059552A" w:rsidP="00496272">
      <w:pPr>
        <w:rPr>
          <w:szCs w:val="22"/>
          <w:lang w:val="pl-PL"/>
        </w:rPr>
      </w:pPr>
    </w:p>
    <w:p w14:paraId="6D91E614" w14:textId="77777777" w:rsidR="0059552A" w:rsidRPr="00275D64" w:rsidRDefault="0059552A" w:rsidP="001529E6">
      <w:pPr>
        <w:keepNext/>
        <w:ind w:left="567" w:hanging="567"/>
        <w:outlineLvl w:val="0"/>
        <w:rPr>
          <w:szCs w:val="22"/>
          <w:lang w:val="pl-PL"/>
        </w:rPr>
      </w:pPr>
      <w:r w:rsidRPr="00275D64">
        <w:rPr>
          <w:b/>
          <w:lang w:val="pl-PL"/>
        </w:rPr>
        <w:lastRenderedPageBreak/>
        <w:t>4.6</w:t>
      </w:r>
      <w:r w:rsidRPr="00275D64">
        <w:rPr>
          <w:lang w:val="pl-PL"/>
        </w:rPr>
        <w:tab/>
      </w:r>
      <w:r w:rsidRPr="00275D64">
        <w:rPr>
          <w:b/>
          <w:lang w:val="pl-PL"/>
        </w:rPr>
        <w:t>Wpływ na płodność, ciążę i laktację</w:t>
      </w:r>
    </w:p>
    <w:p w14:paraId="1134920B" w14:textId="77777777" w:rsidR="0059552A" w:rsidRPr="00275D64" w:rsidRDefault="0059552A" w:rsidP="001529E6">
      <w:pPr>
        <w:keepNext/>
        <w:rPr>
          <w:i/>
          <w:szCs w:val="22"/>
          <w:lang w:val="pl-PL"/>
        </w:rPr>
      </w:pPr>
    </w:p>
    <w:p w14:paraId="28D35E61" w14:textId="77777777" w:rsidR="0059552A" w:rsidRPr="00275D64" w:rsidRDefault="0059552A" w:rsidP="001529E6">
      <w:pPr>
        <w:keepNext/>
        <w:tabs>
          <w:tab w:val="clear" w:pos="567"/>
        </w:tabs>
        <w:rPr>
          <w:i/>
          <w:color w:val="000000"/>
          <w:szCs w:val="22"/>
          <w:u w:val="single"/>
          <w:lang w:val="pl-PL"/>
        </w:rPr>
      </w:pPr>
      <w:r w:rsidRPr="00275D64">
        <w:rPr>
          <w:i/>
          <w:color w:val="000000"/>
          <w:u w:val="single"/>
          <w:lang w:val="pl-PL"/>
        </w:rPr>
        <w:t>Ciąża</w:t>
      </w:r>
    </w:p>
    <w:p w14:paraId="4FD8736C" w14:textId="77777777" w:rsidR="0059552A" w:rsidRPr="00275D64" w:rsidRDefault="0059552A" w:rsidP="00496272">
      <w:pPr>
        <w:tabs>
          <w:tab w:val="clear" w:pos="567"/>
        </w:tabs>
        <w:rPr>
          <w:color w:val="000000"/>
          <w:szCs w:val="22"/>
          <w:lang w:val="pl-PL"/>
        </w:rPr>
      </w:pPr>
    </w:p>
    <w:p w14:paraId="3DD0DB50" w14:textId="77777777" w:rsidR="0059552A" w:rsidRPr="00275D64" w:rsidRDefault="0059552A" w:rsidP="00496272">
      <w:pPr>
        <w:tabs>
          <w:tab w:val="clear" w:pos="567"/>
        </w:tabs>
        <w:rPr>
          <w:color w:val="000000"/>
          <w:szCs w:val="22"/>
          <w:lang w:val="pl-PL"/>
        </w:rPr>
      </w:pPr>
      <w:r w:rsidRPr="00275D64">
        <w:rPr>
          <w:color w:val="000000"/>
          <w:lang w:val="pl-PL"/>
        </w:rPr>
        <w:t>Brak wskazań do stosowania produktu Ovaleap w czasie ciąży. Dane otrzymane z ograniczonej liczby (mniej niż 300 kobiet w ciąży) zastosowań produktu w okresie ciąży nie wskazują, że folitropina alfa wywołuje wady rozwojowe lub działa szkodliwie na płód/noworodka.</w:t>
      </w:r>
    </w:p>
    <w:p w14:paraId="107A672E" w14:textId="77777777" w:rsidR="0059552A" w:rsidRPr="00275D64" w:rsidRDefault="0059552A" w:rsidP="00496272">
      <w:pPr>
        <w:tabs>
          <w:tab w:val="clear" w:pos="567"/>
        </w:tabs>
        <w:rPr>
          <w:color w:val="000000"/>
          <w:szCs w:val="22"/>
          <w:lang w:val="pl-PL"/>
        </w:rPr>
      </w:pPr>
    </w:p>
    <w:p w14:paraId="42D4FE64" w14:textId="77777777" w:rsidR="0059552A" w:rsidRPr="00275D64" w:rsidRDefault="0059552A" w:rsidP="00496272">
      <w:pPr>
        <w:tabs>
          <w:tab w:val="clear" w:pos="567"/>
        </w:tabs>
        <w:rPr>
          <w:color w:val="000000"/>
          <w:szCs w:val="22"/>
          <w:lang w:val="pl-PL"/>
        </w:rPr>
      </w:pPr>
      <w:r w:rsidRPr="00275D64">
        <w:rPr>
          <w:color w:val="000000"/>
          <w:lang w:val="pl-PL"/>
        </w:rPr>
        <w:t>W badaniach na zwierzętach nie obserwowano działania teratogennego (patrz punkt 5.3). W przypadku ekspozycji w trakcie ciąży dane kliniczne nie są wystarczające do wykluczenia wpływu teratogennego folitropiny alfa.</w:t>
      </w:r>
    </w:p>
    <w:p w14:paraId="00302264" w14:textId="77777777" w:rsidR="0059552A" w:rsidRPr="00275D64" w:rsidRDefault="0059552A" w:rsidP="00496272">
      <w:pPr>
        <w:tabs>
          <w:tab w:val="clear" w:pos="567"/>
        </w:tabs>
        <w:rPr>
          <w:color w:val="000000"/>
          <w:szCs w:val="22"/>
          <w:lang w:val="pl-PL"/>
        </w:rPr>
      </w:pPr>
    </w:p>
    <w:p w14:paraId="51A4048F" w14:textId="77777777" w:rsidR="0059552A" w:rsidRPr="00275D64" w:rsidRDefault="0059552A" w:rsidP="00496272">
      <w:pPr>
        <w:tabs>
          <w:tab w:val="clear" w:pos="567"/>
        </w:tabs>
        <w:rPr>
          <w:i/>
          <w:color w:val="000000"/>
          <w:szCs w:val="22"/>
          <w:u w:val="single"/>
          <w:lang w:val="pl-PL"/>
        </w:rPr>
      </w:pPr>
      <w:r w:rsidRPr="00275D64">
        <w:rPr>
          <w:i/>
          <w:color w:val="000000"/>
          <w:u w:val="single"/>
          <w:lang w:val="pl-PL"/>
        </w:rPr>
        <w:t>Karmienie piersią</w:t>
      </w:r>
    </w:p>
    <w:p w14:paraId="1C4FBE91" w14:textId="77777777" w:rsidR="0059552A" w:rsidRPr="00275D64" w:rsidRDefault="0059552A" w:rsidP="00496272">
      <w:pPr>
        <w:tabs>
          <w:tab w:val="clear" w:pos="567"/>
        </w:tabs>
        <w:rPr>
          <w:color w:val="000000"/>
          <w:szCs w:val="22"/>
          <w:u w:val="single"/>
          <w:lang w:val="pl-PL"/>
        </w:rPr>
      </w:pPr>
    </w:p>
    <w:p w14:paraId="3A4E6FA8" w14:textId="77777777" w:rsidR="0059552A" w:rsidRPr="00275D64" w:rsidRDefault="0059552A" w:rsidP="00496272">
      <w:pPr>
        <w:tabs>
          <w:tab w:val="clear" w:pos="567"/>
        </w:tabs>
        <w:rPr>
          <w:color w:val="000000"/>
          <w:szCs w:val="22"/>
          <w:lang w:val="pl-PL"/>
        </w:rPr>
      </w:pPr>
      <w:r w:rsidRPr="00275D64">
        <w:rPr>
          <w:color w:val="000000"/>
          <w:lang w:val="pl-PL"/>
        </w:rPr>
        <w:t>Produkt Ovaleap nie jest wskazany do stosowania podczas karmienia piersią.</w:t>
      </w:r>
    </w:p>
    <w:p w14:paraId="6E1E5599" w14:textId="77777777" w:rsidR="0059552A" w:rsidRPr="00275D64" w:rsidRDefault="0059552A" w:rsidP="00496272">
      <w:pPr>
        <w:tabs>
          <w:tab w:val="clear" w:pos="567"/>
        </w:tabs>
        <w:rPr>
          <w:color w:val="000000"/>
          <w:szCs w:val="22"/>
          <w:lang w:val="pl-PL"/>
        </w:rPr>
      </w:pPr>
    </w:p>
    <w:p w14:paraId="1CC6B90F" w14:textId="77777777" w:rsidR="0059552A" w:rsidRPr="00275D64" w:rsidRDefault="0059552A" w:rsidP="00496272">
      <w:pPr>
        <w:tabs>
          <w:tab w:val="clear" w:pos="567"/>
        </w:tabs>
        <w:rPr>
          <w:i/>
          <w:color w:val="000000"/>
          <w:szCs w:val="22"/>
          <w:u w:val="single"/>
          <w:lang w:val="pl-PL"/>
        </w:rPr>
      </w:pPr>
      <w:r w:rsidRPr="00275D64">
        <w:rPr>
          <w:i/>
          <w:color w:val="000000"/>
          <w:u w:val="single"/>
          <w:lang w:val="pl-PL"/>
        </w:rPr>
        <w:t>Płodność</w:t>
      </w:r>
    </w:p>
    <w:p w14:paraId="0EB62C46" w14:textId="77777777" w:rsidR="0059552A" w:rsidRPr="00275D64" w:rsidRDefault="0059552A" w:rsidP="00496272">
      <w:pPr>
        <w:tabs>
          <w:tab w:val="clear" w:pos="567"/>
        </w:tabs>
        <w:rPr>
          <w:color w:val="000000"/>
          <w:szCs w:val="22"/>
          <w:u w:val="single"/>
          <w:lang w:val="pl-PL"/>
        </w:rPr>
      </w:pPr>
    </w:p>
    <w:p w14:paraId="7DCD3944" w14:textId="77777777" w:rsidR="0059552A" w:rsidRPr="00275D64" w:rsidRDefault="0059552A" w:rsidP="00496272">
      <w:pPr>
        <w:tabs>
          <w:tab w:val="clear" w:pos="567"/>
        </w:tabs>
        <w:rPr>
          <w:color w:val="000000"/>
          <w:szCs w:val="22"/>
          <w:lang w:val="pl-PL"/>
        </w:rPr>
      </w:pPr>
      <w:r w:rsidRPr="00275D64">
        <w:rPr>
          <w:color w:val="000000"/>
          <w:lang w:val="pl-PL"/>
        </w:rPr>
        <w:t>Produkt Ovaleap jest wskazany do stosowania w niepłodności (patrz punkt 4.1).</w:t>
      </w:r>
    </w:p>
    <w:p w14:paraId="451ADC9D" w14:textId="77777777" w:rsidR="0059552A" w:rsidRPr="00275D64" w:rsidRDefault="0059552A" w:rsidP="00496272">
      <w:pPr>
        <w:rPr>
          <w:i/>
          <w:szCs w:val="22"/>
          <w:lang w:val="pl-PL"/>
        </w:rPr>
      </w:pPr>
    </w:p>
    <w:p w14:paraId="328E5711" w14:textId="77777777" w:rsidR="0059552A" w:rsidRPr="00275D64" w:rsidRDefault="0059552A" w:rsidP="00496272">
      <w:pPr>
        <w:ind w:left="567" w:hanging="567"/>
        <w:outlineLvl w:val="0"/>
        <w:rPr>
          <w:szCs w:val="22"/>
          <w:lang w:val="pl-PL"/>
        </w:rPr>
      </w:pPr>
      <w:r w:rsidRPr="00275D64">
        <w:rPr>
          <w:b/>
          <w:lang w:val="pl-PL"/>
        </w:rPr>
        <w:t>4.7</w:t>
      </w:r>
      <w:r w:rsidRPr="00275D64">
        <w:rPr>
          <w:lang w:val="pl-PL"/>
        </w:rPr>
        <w:tab/>
      </w:r>
      <w:r w:rsidRPr="00275D64">
        <w:rPr>
          <w:b/>
          <w:lang w:val="pl-PL"/>
        </w:rPr>
        <w:t>Wpływ na zdolność prowadzenia pojazdów i obsługiwania maszyn</w:t>
      </w:r>
    </w:p>
    <w:p w14:paraId="19AEED76" w14:textId="77777777" w:rsidR="0059552A" w:rsidRPr="00275D64" w:rsidRDefault="0059552A" w:rsidP="00496272">
      <w:pPr>
        <w:rPr>
          <w:szCs w:val="22"/>
          <w:lang w:val="pl-PL"/>
        </w:rPr>
      </w:pPr>
    </w:p>
    <w:p w14:paraId="66D889E1" w14:textId="77777777" w:rsidR="0059552A" w:rsidRPr="00275D64" w:rsidRDefault="0059552A" w:rsidP="00496272">
      <w:pPr>
        <w:rPr>
          <w:szCs w:val="22"/>
          <w:lang w:val="pl-PL"/>
        </w:rPr>
      </w:pPr>
      <w:r w:rsidRPr="00275D64">
        <w:rPr>
          <w:lang w:val="pl-PL"/>
        </w:rPr>
        <w:t>Produkt Ovaleap nie ma wpływu lub wywiera nieistotny wpływ na zdolność prowadzenia pojazdów i obsługiwania maszyn.</w:t>
      </w:r>
    </w:p>
    <w:p w14:paraId="1C2E578E" w14:textId="77777777" w:rsidR="0059552A" w:rsidRPr="00275D64" w:rsidRDefault="0059552A" w:rsidP="00496272">
      <w:pPr>
        <w:rPr>
          <w:szCs w:val="22"/>
          <w:lang w:val="pl-PL"/>
        </w:rPr>
      </w:pPr>
    </w:p>
    <w:p w14:paraId="38E19BC2" w14:textId="77777777" w:rsidR="0059552A" w:rsidRPr="00275D64" w:rsidRDefault="0059552A" w:rsidP="00496272">
      <w:pPr>
        <w:outlineLvl w:val="0"/>
        <w:rPr>
          <w:b/>
          <w:szCs w:val="22"/>
          <w:lang w:val="pl-PL"/>
        </w:rPr>
      </w:pPr>
      <w:r w:rsidRPr="00275D64">
        <w:rPr>
          <w:b/>
          <w:lang w:val="pl-PL"/>
        </w:rPr>
        <w:t>4.8</w:t>
      </w:r>
      <w:r w:rsidRPr="00275D64">
        <w:rPr>
          <w:lang w:val="pl-PL"/>
        </w:rPr>
        <w:tab/>
      </w:r>
      <w:r w:rsidRPr="00275D64">
        <w:rPr>
          <w:b/>
          <w:lang w:val="pl-PL"/>
        </w:rPr>
        <w:t>Działania niepożądane</w:t>
      </w:r>
    </w:p>
    <w:p w14:paraId="42212BA8" w14:textId="77777777" w:rsidR="0059552A" w:rsidRPr="00275D64" w:rsidRDefault="0059552A" w:rsidP="00496272">
      <w:pPr>
        <w:autoSpaceDE w:val="0"/>
        <w:autoSpaceDN w:val="0"/>
        <w:adjustRightInd w:val="0"/>
        <w:jc w:val="both"/>
        <w:rPr>
          <w:szCs w:val="22"/>
          <w:lang w:val="pl-PL"/>
        </w:rPr>
      </w:pPr>
    </w:p>
    <w:p w14:paraId="0D949F21" w14:textId="77777777" w:rsidR="0059552A" w:rsidRPr="00275D64" w:rsidRDefault="0059552A" w:rsidP="00496272">
      <w:pPr>
        <w:tabs>
          <w:tab w:val="clear" w:pos="567"/>
        </w:tabs>
        <w:rPr>
          <w:i/>
          <w:color w:val="000000"/>
          <w:szCs w:val="22"/>
          <w:u w:val="single"/>
          <w:lang w:val="pl-PL"/>
        </w:rPr>
      </w:pPr>
      <w:r w:rsidRPr="00275D64">
        <w:rPr>
          <w:i/>
          <w:color w:val="000000"/>
          <w:u w:val="single"/>
          <w:lang w:val="pl-PL"/>
        </w:rPr>
        <w:t>Podsumowanie profilu bezpieczeństwa</w:t>
      </w:r>
    </w:p>
    <w:p w14:paraId="19A97953" w14:textId="77777777" w:rsidR="0059552A" w:rsidRPr="00275D64" w:rsidRDefault="0059552A" w:rsidP="00496272">
      <w:pPr>
        <w:tabs>
          <w:tab w:val="clear" w:pos="567"/>
        </w:tabs>
        <w:rPr>
          <w:color w:val="000000"/>
          <w:szCs w:val="22"/>
          <w:lang w:val="pl-PL"/>
        </w:rPr>
      </w:pPr>
    </w:p>
    <w:p w14:paraId="15A031CF" w14:textId="77777777" w:rsidR="0059552A" w:rsidRPr="00275D64" w:rsidRDefault="0059552A" w:rsidP="00496272">
      <w:pPr>
        <w:tabs>
          <w:tab w:val="clear" w:pos="567"/>
        </w:tabs>
        <w:rPr>
          <w:color w:val="000000"/>
          <w:szCs w:val="22"/>
          <w:lang w:val="pl-PL"/>
        </w:rPr>
      </w:pPr>
      <w:r w:rsidRPr="00275D64">
        <w:rPr>
          <w:color w:val="000000"/>
          <w:lang w:val="pl-PL"/>
        </w:rPr>
        <w:t>Najczęściej zgłaszane działania niepożądane to ból głowy, torbiele jajników oraz miejscowe reakcje w miejscu wstrzyknięcia (np. ból, rumień, krwiak, obrzęk i (lub) podrażnienie w miejscu wstrzyknięcia).</w:t>
      </w:r>
    </w:p>
    <w:p w14:paraId="3DA37EB5" w14:textId="77777777" w:rsidR="0059552A" w:rsidRPr="00275D64" w:rsidRDefault="0059552A" w:rsidP="00496272">
      <w:pPr>
        <w:tabs>
          <w:tab w:val="clear" w:pos="567"/>
        </w:tabs>
        <w:rPr>
          <w:color w:val="000000"/>
          <w:szCs w:val="22"/>
          <w:lang w:val="pl-PL"/>
        </w:rPr>
      </w:pPr>
    </w:p>
    <w:p w14:paraId="4440BB8C" w14:textId="77777777" w:rsidR="0059552A" w:rsidRPr="00275D64" w:rsidRDefault="0059552A" w:rsidP="00496272">
      <w:pPr>
        <w:tabs>
          <w:tab w:val="clear" w:pos="567"/>
        </w:tabs>
        <w:rPr>
          <w:color w:val="000000"/>
          <w:szCs w:val="22"/>
          <w:lang w:val="pl-PL"/>
        </w:rPr>
      </w:pPr>
      <w:r w:rsidRPr="00275D64">
        <w:rPr>
          <w:color w:val="000000"/>
          <w:lang w:val="pl-PL"/>
        </w:rPr>
        <w:t>Często zgłaszano łagodny lub umiarkowany OHSS, który należy traktować jako ryzyko wewnątrzpochodne procedury stymulacji. Do ciężkiego OHSS dochodzi niezbyt często (patrz punkt 4.4).</w:t>
      </w:r>
    </w:p>
    <w:p w14:paraId="0267C2E1" w14:textId="77777777" w:rsidR="0059552A" w:rsidRPr="00275D64" w:rsidRDefault="0059552A" w:rsidP="00496272">
      <w:pPr>
        <w:tabs>
          <w:tab w:val="clear" w:pos="567"/>
        </w:tabs>
        <w:rPr>
          <w:color w:val="000000"/>
          <w:szCs w:val="22"/>
          <w:lang w:val="pl-PL"/>
        </w:rPr>
      </w:pPr>
    </w:p>
    <w:p w14:paraId="61ABDD1F" w14:textId="77777777" w:rsidR="0059552A" w:rsidRPr="00275D64" w:rsidRDefault="0059552A" w:rsidP="00496272">
      <w:pPr>
        <w:tabs>
          <w:tab w:val="clear" w:pos="567"/>
        </w:tabs>
        <w:rPr>
          <w:color w:val="000000"/>
          <w:szCs w:val="22"/>
          <w:lang w:val="pl-PL"/>
        </w:rPr>
      </w:pPr>
      <w:r w:rsidRPr="00275D64">
        <w:rPr>
          <w:color w:val="000000"/>
          <w:lang w:val="pl-PL"/>
        </w:rPr>
        <w:t>Bardzo rzadko mogą wystąpić powikłania zakrzepowo-zatorowe (patrz punkt 4.4).</w:t>
      </w:r>
    </w:p>
    <w:p w14:paraId="194ECEA0" w14:textId="77777777" w:rsidR="0059552A" w:rsidRPr="00275D64" w:rsidRDefault="0059552A" w:rsidP="00496272">
      <w:pPr>
        <w:tabs>
          <w:tab w:val="clear" w:pos="567"/>
        </w:tabs>
        <w:rPr>
          <w:color w:val="000000"/>
          <w:szCs w:val="22"/>
          <w:lang w:val="pl-PL"/>
        </w:rPr>
      </w:pPr>
    </w:p>
    <w:p w14:paraId="7F598ADE" w14:textId="77777777" w:rsidR="0059552A" w:rsidRPr="00275D64" w:rsidRDefault="0059552A" w:rsidP="00496272">
      <w:pPr>
        <w:tabs>
          <w:tab w:val="clear" w:pos="567"/>
        </w:tabs>
        <w:rPr>
          <w:i/>
          <w:color w:val="000000"/>
          <w:szCs w:val="22"/>
          <w:u w:val="single"/>
          <w:lang w:val="pl-PL"/>
        </w:rPr>
      </w:pPr>
      <w:r w:rsidRPr="00275D64">
        <w:rPr>
          <w:i/>
          <w:color w:val="000000"/>
          <w:u w:val="single"/>
          <w:lang w:val="pl-PL"/>
        </w:rPr>
        <w:t>Tabelaryczny wykaz działań niepożądanych</w:t>
      </w:r>
    </w:p>
    <w:p w14:paraId="29352AB1" w14:textId="4FAAB02D" w:rsidR="0059552A" w:rsidRPr="00275D64" w:rsidRDefault="0059552A" w:rsidP="00EB7EA3">
      <w:pPr>
        <w:tabs>
          <w:tab w:val="clear" w:pos="567"/>
        </w:tabs>
        <w:rPr>
          <w:color w:val="000000"/>
          <w:szCs w:val="22"/>
          <w:lang w:val="pl-PL"/>
        </w:rPr>
      </w:pPr>
      <w:r w:rsidRPr="00275D64">
        <w:rPr>
          <w:color w:val="000000"/>
          <w:lang w:val="pl-PL"/>
        </w:rPr>
        <w:t>Działania niepożądane pogrupowano według częstości występowania stosując następującą konwencję:  bardzo często</w:t>
      </w:r>
      <w:r w:rsidRPr="00275D64">
        <w:rPr>
          <w:lang w:val="pl-PL"/>
        </w:rPr>
        <w:t xml:space="preserve"> (</w:t>
      </w:r>
      <w:r w:rsidRPr="00275D64">
        <w:rPr>
          <w:color w:val="000000"/>
          <w:lang w:val="pl-PL"/>
        </w:rPr>
        <w:t>≥1/10), często</w:t>
      </w:r>
      <w:r w:rsidRPr="00275D64">
        <w:rPr>
          <w:lang w:val="pl-PL"/>
        </w:rPr>
        <w:t xml:space="preserve"> (</w:t>
      </w:r>
      <w:r w:rsidRPr="00275D64">
        <w:rPr>
          <w:color w:val="000000"/>
          <w:lang w:val="pl-PL"/>
        </w:rPr>
        <w:t xml:space="preserve">≥1/100 do &lt;1/10), </w:t>
      </w:r>
      <w:r w:rsidRPr="00275D64">
        <w:rPr>
          <w:lang w:val="pl-PL"/>
        </w:rPr>
        <w:t xml:space="preserve">niezbyt </w:t>
      </w:r>
      <w:r w:rsidRPr="00275D64">
        <w:rPr>
          <w:color w:val="000000"/>
          <w:lang w:val="pl-PL"/>
        </w:rPr>
        <w:t>często</w:t>
      </w:r>
      <w:r w:rsidRPr="00275D64">
        <w:rPr>
          <w:lang w:val="pl-PL"/>
        </w:rPr>
        <w:t xml:space="preserve"> (</w:t>
      </w:r>
      <w:r w:rsidRPr="00275D64">
        <w:rPr>
          <w:color w:val="000000"/>
          <w:lang w:val="pl-PL"/>
        </w:rPr>
        <w:t>≥1/1 000 do &lt;1/100), rzadko</w:t>
      </w:r>
      <w:r w:rsidRPr="00275D64">
        <w:rPr>
          <w:lang w:val="pl-PL"/>
        </w:rPr>
        <w:t xml:space="preserve"> (</w:t>
      </w:r>
      <w:r w:rsidRPr="00275D64">
        <w:rPr>
          <w:color w:val="000000"/>
          <w:lang w:val="pl-PL"/>
        </w:rPr>
        <w:t>≥1/10 000 do &lt;1/1 000), bardzo rzadko (&lt;1/10 000) oraz</w:t>
      </w:r>
      <w:r w:rsidRPr="00275D64">
        <w:rPr>
          <w:lang w:val="pl-PL"/>
        </w:rPr>
        <w:t xml:space="preserve"> </w:t>
      </w:r>
      <w:r w:rsidR="00EB7EA3" w:rsidRPr="00275D64">
        <w:rPr>
          <w:lang w:val="pl-PL"/>
        </w:rPr>
        <w:t>c</w:t>
      </w:r>
      <w:r w:rsidRPr="00275D64">
        <w:rPr>
          <w:lang w:val="pl-PL"/>
        </w:rPr>
        <w:t>zęstość nieznana (częstość nie może być określona na podstawie dostępnych danych). W obrębie każdej grupy o określonej częstości występowania działania niepożądane wymieniono zgodnie ze zmniejszającą się ciężkością.</w:t>
      </w:r>
    </w:p>
    <w:p w14:paraId="77B397CC" w14:textId="77777777" w:rsidR="0059552A" w:rsidRPr="00275D64" w:rsidRDefault="0059552A" w:rsidP="00496272">
      <w:pPr>
        <w:tabs>
          <w:tab w:val="clear" w:pos="567"/>
        </w:tabs>
        <w:rPr>
          <w:color w:val="000000"/>
          <w:szCs w:val="22"/>
          <w:lang w:val="pl-PL"/>
        </w:rPr>
      </w:pPr>
    </w:p>
    <w:p w14:paraId="3FD36299" w14:textId="77777777" w:rsidR="0059552A" w:rsidRPr="00275D64" w:rsidRDefault="0059552A" w:rsidP="00496272">
      <w:pPr>
        <w:keepNext/>
        <w:keepLines/>
        <w:tabs>
          <w:tab w:val="clear" w:pos="567"/>
        </w:tabs>
        <w:rPr>
          <w:i/>
          <w:color w:val="000000"/>
          <w:szCs w:val="22"/>
          <w:lang w:val="pl-PL"/>
        </w:rPr>
      </w:pPr>
      <w:r w:rsidRPr="00275D64">
        <w:rPr>
          <w:i/>
          <w:color w:val="000000"/>
          <w:lang w:val="pl-PL"/>
        </w:rPr>
        <w:lastRenderedPageBreak/>
        <w:t>Leczenie u kobiet</w:t>
      </w:r>
    </w:p>
    <w:p w14:paraId="2B7A5A3B" w14:textId="77777777" w:rsidR="0059552A" w:rsidRPr="00275D64" w:rsidRDefault="0059552A" w:rsidP="00496272">
      <w:pPr>
        <w:keepNext/>
        <w:keepLines/>
        <w:tabs>
          <w:tab w:val="clear" w:pos="567"/>
        </w:tabs>
        <w:rPr>
          <w:i/>
          <w:iCs/>
          <w:color w:val="000000"/>
          <w:szCs w:val="22"/>
          <w:lang w:val="pl-PL"/>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8"/>
        <w:gridCol w:w="3025"/>
      </w:tblGrid>
      <w:tr w:rsidR="0059552A" w:rsidRPr="004E70A1" w14:paraId="4404112B" w14:textId="77777777" w:rsidTr="00504E86">
        <w:tc>
          <w:tcPr>
            <w:tcW w:w="9212" w:type="dxa"/>
            <w:gridSpan w:val="3"/>
            <w:tcBorders>
              <w:top w:val="nil"/>
              <w:left w:val="nil"/>
              <w:right w:val="nil"/>
            </w:tcBorders>
          </w:tcPr>
          <w:p w14:paraId="0FE44A53" w14:textId="77777777" w:rsidR="0059552A" w:rsidRPr="00275D64" w:rsidRDefault="0059552A" w:rsidP="00504E86">
            <w:pPr>
              <w:keepNext/>
              <w:keepLines/>
              <w:rPr>
                <w:b/>
                <w:lang w:val="pl-PL"/>
              </w:rPr>
            </w:pPr>
            <w:r w:rsidRPr="00275D64">
              <w:rPr>
                <w:b/>
                <w:lang w:val="pl-PL"/>
              </w:rPr>
              <w:t>Tabela 1: Działania niepożądane u kobiet</w:t>
            </w:r>
          </w:p>
        </w:tc>
      </w:tr>
      <w:tr w:rsidR="0059552A" w:rsidRPr="00275D64" w14:paraId="5F451CD5" w14:textId="77777777" w:rsidTr="00504E86">
        <w:tc>
          <w:tcPr>
            <w:tcW w:w="3070" w:type="dxa"/>
            <w:tcBorders>
              <w:left w:val="single" w:sz="4" w:space="0" w:color="auto"/>
            </w:tcBorders>
          </w:tcPr>
          <w:p w14:paraId="6B136F3E" w14:textId="77777777" w:rsidR="0059552A" w:rsidRPr="00275D64" w:rsidRDefault="0059552A" w:rsidP="00504E86">
            <w:pPr>
              <w:keepNext/>
              <w:keepLines/>
              <w:rPr>
                <w:b/>
                <w:lang w:val="pl-PL"/>
              </w:rPr>
            </w:pPr>
            <w:r w:rsidRPr="00275D64">
              <w:rPr>
                <w:b/>
                <w:lang w:val="pl-PL"/>
              </w:rPr>
              <w:t>Klasyfikacja układów i narządów</w:t>
            </w:r>
          </w:p>
        </w:tc>
        <w:tc>
          <w:tcPr>
            <w:tcW w:w="3071" w:type="dxa"/>
          </w:tcPr>
          <w:p w14:paraId="639F8872" w14:textId="77777777" w:rsidR="0059552A" w:rsidRPr="00275D64" w:rsidRDefault="0059552A" w:rsidP="00504E86">
            <w:pPr>
              <w:keepNext/>
              <w:keepLines/>
              <w:rPr>
                <w:b/>
                <w:lang w:val="pl-PL"/>
              </w:rPr>
            </w:pPr>
            <w:r w:rsidRPr="00275D64">
              <w:rPr>
                <w:b/>
                <w:lang w:val="pl-PL"/>
              </w:rPr>
              <w:t>Częstość występowania</w:t>
            </w:r>
          </w:p>
        </w:tc>
        <w:tc>
          <w:tcPr>
            <w:tcW w:w="3071" w:type="dxa"/>
            <w:tcBorders>
              <w:right w:val="single" w:sz="4" w:space="0" w:color="auto"/>
            </w:tcBorders>
          </w:tcPr>
          <w:p w14:paraId="7A425F0B" w14:textId="77777777" w:rsidR="0059552A" w:rsidRPr="00275D64" w:rsidRDefault="0059552A" w:rsidP="00504E86">
            <w:pPr>
              <w:keepNext/>
              <w:keepLines/>
              <w:rPr>
                <w:b/>
                <w:lang w:val="pl-PL"/>
              </w:rPr>
            </w:pPr>
            <w:r w:rsidRPr="00275D64">
              <w:rPr>
                <w:b/>
                <w:lang w:val="pl-PL"/>
              </w:rPr>
              <w:t>Działanie niepożądane</w:t>
            </w:r>
          </w:p>
        </w:tc>
      </w:tr>
      <w:tr w:rsidR="0059552A" w:rsidRPr="004E70A1" w14:paraId="0432069A" w14:textId="77777777" w:rsidTr="00504E86">
        <w:tc>
          <w:tcPr>
            <w:tcW w:w="3070" w:type="dxa"/>
            <w:tcBorders>
              <w:left w:val="single" w:sz="4" w:space="0" w:color="auto"/>
            </w:tcBorders>
          </w:tcPr>
          <w:p w14:paraId="797010AF" w14:textId="77777777" w:rsidR="0059552A" w:rsidRPr="00275D64" w:rsidRDefault="0059552A" w:rsidP="00504E86">
            <w:pPr>
              <w:keepNext/>
              <w:keepLines/>
              <w:tabs>
                <w:tab w:val="clear" w:pos="567"/>
              </w:tabs>
              <w:rPr>
                <w:i/>
                <w:lang w:val="pl-PL"/>
              </w:rPr>
            </w:pPr>
            <w:r w:rsidRPr="00275D64">
              <w:rPr>
                <w:i/>
                <w:lang w:val="pl-PL"/>
              </w:rPr>
              <w:t>Zaburzenia układu immunologicznego</w:t>
            </w:r>
          </w:p>
        </w:tc>
        <w:tc>
          <w:tcPr>
            <w:tcW w:w="3071" w:type="dxa"/>
          </w:tcPr>
          <w:p w14:paraId="5B3D0CB3" w14:textId="77777777" w:rsidR="0059552A" w:rsidRPr="00275D64" w:rsidRDefault="0059552A" w:rsidP="00504E86">
            <w:pPr>
              <w:keepNext/>
              <w:keepLines/>
              <w:rPr>
                <w:lang w:val="pl-PL"/>
              </w:rPr>
            </w:pPr>
            <w:r w:rsidRPr="00275D64">
              <w:rPr>
                <w:color w:val="000000"/>
                <w:lang w:val="pl-PL"/>
              </w:rPr>
              <w:t>Bardzo rzadko</w:t>
            </w:r>
          </w:p>
        </w:tc>
        <w:tc>
          <w:tcPr>
            <w:tcW w:w="3071" w:type="dxa"/>
            <w:tcBorders>
              <w:right w:val="single" w:sz="4" w:space="0" w:color="auto"/>
            </w:tcBorders>
          </w:tcPr>
          <w:p w14:paraId="501D0412" w14:textId="77777777" w:rsidR="0059552A" w:rsidRPr="00275D64" w:rsidRDefault="0059552A" w:rsidP="00504E86">
            <w:pPr>
              <w:keepNext/>
              <w:keepLines/>
              <w:rPr>
                <w:lang w:val="pl-PL"/>
              </w:rPr>
            </w:pPr>
            <w:r w:rsidRPr="00275D64">
              <w:rPr>
                <w:color w:val="000000"/>
                <w:lang w:val="pl-PL"/>
              </w:rPr>
              <w:t>Łagodne do ciężkich reakcje nadwrażliwości łącznie z reakcjami anafilaktycznymi i wstrząsem</w:t>
            </w:r>
          </w:p>
        </w:tc>
      </w:tr>
      <w:tr w:rsidR="0059552A" w:rsidRPr="00275D64" w14:paraId="26137898" w14:textId="77777777" w:rsidTr="00504E86">
        <w:tc>
          <w:tcPr>
            <w:tcW w:w="3070" w:type="dxa"/>
            <w:tcBorders>
              <w:left w:val="single" w:sz="4" w:space="0" w:color="auto"/>
            </w:tcBorders>
          </w:tcPr>
          <w:p w14:paraId="0E33F02E" w14:textId="77777777" w:rsidR="0059552A" w:rsidRPr="00275D64" w:rsidRDefault="0059552A" w:rsidP="00504E86">
            <w:pPr>
              <w:keepNext/>
              <w:keepLines/>
              <w:tabs>
                <w:tab w:val="clear" w:pos="567"/>
              </w:tabs>
              <w:rPr>
                <w:i/>
                <w:szCs w:val="22"/>
                <w:lang w:val="pl-PL"/>
              </w:rPr>
            </w:pPr>
            <w:r w:rsidRPr="00275D64">
              <w:rPr>
                <w:i/>
                <w:lang w:val="pl-PL"/>
              </w:rPr>
              <w:t>Zaburzenia układu nerwowego</w:t>
            </w:r>
          </w:p>
        </w:tc>
        <w:tc>
          <w:tcPr>
            <w:tcW w:w="3071" w:type="dxa"/>
          </w:tcPr>
          <w:p w14:paraId="7991CAF5" w14:textId="77777777" w:rsidR="0059552A" w:rsidRPr="00275D64" w:rsidRDefault="0059552A" w:rsidP="00504E86">
            <w:pPr>
              <w:keepNext/>
              <w:keepLines/>
              <w:rPr>
                <w:lang w:val="pl-PL"/>
              </w:rPr>
            </w:pPr>
            <w:r w:rsidRPr="00275D64">
              <w:rPr>
                <w:color w:val="000000"/>
                <w:lang w:val="pl-PL"/>
              </w:rPr>
              <w:t>Bardzo często</w:t>
            </w:r>
          </w:p>
        </w:tc>
        <w:tc>
          <w:tcPr>
            <w:tcW w:w="3071" w:type="dxa"/>
            <w:tcBorders>
              <w:right w:val="single" w:sz="4" w:space="0" w:color="auto"/>
            </w:tcBorders>
          </w:tcPr>
          <w:p w14:paraId="69240652" w14:textId="77777777" w:rsidR="0059552A" w:rsidRPr="00275D64" w:rsidRDefault="0059552A" w:rsidP="00504E86">
            <w:pPr>
              <w:keepNext/>
              <w:keepLines/>
              <w:tabs>
                <w:tab w:val="center" w:pos="1427"/>
              </w:tabs>
              <w:rPr>
                <w:lang w:val="pl-PL"/>
              </w:rPr>
            </w:pPr>
            <w:r w:rsidRPr="00275D64">
              <w:rPr>
                <w:color w:val="000000"/>
                <w:lang w:val="pl-PL"/>
              </w:rPr>
              <w:t>Ból głowy</w:t>
            </w:r>
          </w:p>
        </w:tc>
      </w:tr>
      <w:tr w:rsidR="0059552A" w:rsidRPr="004E70A1" w14:paraId="0F473205" w14:textId="77777777" w:rsidTr="00504E86">
        <w:tc>
          <w:tcPr>
            <w:tcW w:w="3070" w:type="dxa"/>
            <w:tcBorders>
              <w:left w:val="single" w:sz="4" w:space="0" w:color="auto"/>
            </w:tcBorders>
          </w:tcPr>
          <w:p w14:paraId="54061BE9" w14:textId="77777777" w:rsidR="0059552A" w:rsidRPr="00275D64" w:rsidRDefault="0059552A" w:rsidP="00504E86">
            <w:pPr>
              <w:keepNext/>
              <w:keepLines/>
              <w:tabs>
                <w:tab w:val="clear" w:pos="567"/>
              </w:tabs>
              <w:rPr>
                <w:i/>
                <w:szCs w:val="22"/>
                <w:lang w:val="pl-PL"/>
              </w:rPr>
            </w:pPr>
            <w:r w:rsidRPr="00275D64">
              <w:rPr>
                <w:i/>
                <w:color w:val="000000"/>
                <w:lang w:val="pl-PL"/>
              </w:rPr>
              <w:t>Zaburzenia naczyniowe</w:t>
            </w:r>
          </w:p>
        </w:tc>
        <w:tc>
          <w:tcPr>
            <w:tcW w:w="3071" w:type="dxa"/>
          </w:tcPr>
          <w:p w14:paraId="0969986F" w14:textId="77777777" w:rsidR="0059552A" w:rsidRPr="00275D64" w:rsidRDefault="0059552A" w:rsidP="00504E86">
            <w:pPr>
              <w:keepNext/>
              <w:keepLines/>
              <w:rPr>
                <w:szCs w:val="22"/>
                <w:lang w:val="pl-PL"/>
              </w:rPr>
            </w:pPr>
            <w:r w:rsidRPr="00275D64">
              <w:rPr>
                <w:color w:val="000000"/>
                <w:lang w:val="pl-PL"/>
              </w:rPr>
              <w:t>Bardzo rzadko</w:t>
            </w:r>
          </w:p>
        </w:tc>
        <w:tc>
          <w:tcPr>
            <w:tcW w:w="3071" w:type="dxa"/>
            <w:tcBorders>
              <w:right w:val="single" w:sz="4" w:space="0" w:color="auto"/>
            </w:tcBorders>
          </w:tcPr>
          <w:p w14:paraId="3309852F" w14:textId="77777777" w:rsidR="0059552A" w:rsidRPr="00275D64" w:rsidRDefault="0059552A" w:rsidP="00504E86">
            <w:pPr>
              <w:keepNext/>
              <w:keepLines/>
              <w:tabs>
                <w:tab w:val="center" w:pos="1427"/>
              </w:tabs>
              <w:rPr>
                <w:szCs w:val="22"/>
                <w:lang w:val="pl-PL"/>
              </w:rPr>
            </w:pPr>
            <w:r w:rsidRPr="00275D64">
              <w:rPr>
                <w:color w:val="000000"/>
                <w:lang w:val="pl-PL"/>
              </w:rPr>
              <w:t>Powikłania zakrzepowo-zatorowe (zarówno w powiązaniu z OHSS, jak i niezwiązane z OHSS)</w:t>
            </w:r>
          </w:p>
        </w:tc>
      </w:tr>
      <w:tr w:rsidR="0059552A" w:rsidRPr="00275D64" w14:paraId="09BCB98E" w14:textId="77777777" w:rsidTr="00504E86">
        <w:tc>
          <w:tcPr>
            <w:tcW w:w="3070" w:type="dxa"/>
            <w:tcBorders>
              <w:left w:val="single" w:sz="4" w:space="0" w:color="auto"/>
            </w:tcBorders>
          </w:tcPr>
          <w:p w14:paraId="3956AA68" w14:textId="77777777" w:rsidR="0059552A" w:rsidRPr="00275D64" w:rsidRDefault="0059552A" w:rsidP="00504E86">
            <w:pPr>
              <w:keepNext/>
              <w:keepLines/>
              <w:tabs>
                <w:tab w:val="clear" w:pos="567"/>
              </w:tabs>
              <w:rPr>
                <w:i/>
                <w:szCs w:val="22"/>
                <w:lang w:val="pl-PL"/>
              </w:rPr>
            </w:pPr>
            <w:r w:rsidRPr="00275D64">
              <w:rPr>
                <w:i/>
                <w:color w:val="000000"/>
                <w:lang w:val="pl-PL"/>
              </w:rPr>
              <w:t>Zaburzenia układu oddechowego, klatki piersiowej i śródpiersia</w:t>
            </w:r>
          </w:p>
        </w:tc>
        <w:tc>
          <w:tcPr>
            <w:tcW w:w="3071" w:type="dxa"/>
          </w:tcPr>
          <w:p w14:paraId="4CD42149" w14:textId="77777777" w:rsidR="0059552A" w:rsidRPr="00275D64" w:rsidRDefault="0059552A" w:rsidP="00504E86">
            <w:pPr>
              <w:keepNext/>
              <w:keepLines/>
              <w:rPr>
                <w:lang w:val="pl-PL"/>
              </w:rPr>
            </w:pPr>
            <w:r w:rsidRPr="00275D64">
              <w:rPr>
                <w:color w:val="000000"/>
                <w:lang w:val="pl-PL"/>
              </w:rPr>
              <w:t>Bardzo rzadko</w:t>
            </w:r>
          </w:p>
        </w:tc>
        <w:tc>
          <w:tcPr>
            <w:tcW w:w="3071" w:type="dxa"/>
            <w:tcBorders>
              <w:right w:val="single" w:sz="4" w:space="0" w:color="auto"/>
            </w:tcBorders>
          </w:tcPr>
          <w:p w14:paraId="010DCEA1" w14:textId="77777777" w:rsidR="0059552A" w:rsidRPr="00275D64" w:rsidRDefault="0059552A" w:rsidP="00504E86">
            <w:pPr>
              <w:keepNext/>
              <w:keepLines/>
              <w:rPr>
                <w:lang w:val="pl-PL"/>
              </w:rPr>
            </w:pPr>
            <w:r w:rsidRPr="00275D64">
              <w:rPr>
                <w:color w:val="000000"/>
                <w:lang w:val="pl-PL"/>
              </w:rPr>
              <w:t>Zaostrzenie lub nasilenie astmy</w:t>
            </w:r>
          </w:p>
        </w:tc>
      </w:tr>
      <w:tr w:rsidR="0059552A" w:rsidRPr="004E70A1" w14:paraId="6004ED5B" w14:textId="77777777" w:rsidTr="00504E86">
        <w:tc>
          <w:tcPr>
            <w:tcW w:w="3070" w:type="dxa"/>
            <w:tcBorders>
              <w:left w:val="single" w:sz="4" w:space="0" w:color="auto"/>
            </w:tcBorders>
          </w:tcPr>
          <w:p w14:paraId="28271F81" w14:textId="77777777" w:rsidR="0059552A" w:rsidRPr="00275D64" w:rsidRDefault="0059552A" w:rsidP="00504E86">
            <w:pPr>
              <w:keepNext/>
              <w:keepLines/>
              <w:rPr>
                <w:i/>
                <w:szCs w:val="22"/>
                <w:lang w:val="pl-PL"/>
              </w:rPr>
            </w:pPr>
            <w:r w:rsidRPr="00275D64">
              <w:rPr>
                <w:i/>
                <w:color w:val="000000"/>
                <w:lang w:val="pl-PL"/>
              </w:rPr>
              <w:t>Zaburzenia żołądka i jelit</w:t>
            </w:r>
          </w:p>
        </w:tc>
        <w:tc>
          <w:tcPr>
            <w:tcW w:w="3071" w:type="dxa"/>
          </w:tcPr>
          <w:p w14:paraId="7FF06F90" w14:textId="77777777" w:rsidR="0059552A" w:rsidRPr="00275D64" w:rsidRDefault="0059552A" w:rsidP="00504E86">
            <w:pPr>
              <w:keepNext/>
              <w:keepLines/>
              <w:rPr>
                <w:lang w:val="pl-PL"/>
              </w:rPr>
            </w:pPr>
            <w:r w:rsidRPr="00275D64">
              <w:rPr>
                <w:color w:val="000000"/>
                <w:lang w:val="pl-PL"/>
              </w:rPr>
              <w:t>Często</w:t>
            </w:r>
          </w:p>
        </w:tc>
        <w:tc>
          <w:tcPr>
            <w:tcW w:w="3071" w:type="dxa"/>
            <w:tcBorders>
              <w:right w:val="single" w:sz="4" w:space="0" w:color="auto"/>
            </w:tcBorders>
          </w:tcPr>
          <w:p w14:paraId="45F4EBC0" w14:textId="77777777" w:rsidR="0059552A" w:rsidRPr="00275D64" w:rsidRDefault="0059552A" w:rsidP="00504E86">
            <w:pPr>
              <w:keepNext/>
              <w:keepLines/>
              <w:rPr>
                <w:lang w:val="pl-PL"/>
              </w:rPr>
            </w:pPr>
            <w:r w:rsidRPr="00275D64">
              <w:rPr>
                <w:color w:val="000000"/>
                <w:lang w:val="pl-PL"/>
              </w:rPr>
              <w:t>Ból brzucha, wzdęcia brzucha, dolegliwości brzucha, nudności, wymioty, biegunka</w:t>
            </w:r>
          </w:p>
        </w:tc>
      </w:tr>
      <w:tr w:rsidR="0059552A" w:rsidRPr="00275D64" w14:paraId="58B56A1B" w14:textId="77777777" w:rsidTr="00504E86">
        <w:tc>
          <w:tcPr>
            <w:tcW w:w="3070" w:type="dxa"/>
            <w:vMerge w:val="restart"/>
            <w:tcBorders>
              <w:left w:val="single" w:sz="4" w:space="0" w:color="auto"/>
            </w:tcBorders>
          </w:tcPr>
          <w:p w14:paraId="38129646" w14:textId="77777777" w:rsidR="0059552A" w:rsidRPr="00275D64" w:rsidRDefault="0059552A" w:rsidP="00504E86">
            <w:pPr>
              <w:keepNext/>
              <w:keepLines/>
              <w:rPr>
                <w:i/>
                <w:iCs/>
                <w:color w:val="000000"/>
                <w:szCs w:val="22"/>
                <w:lang w:val="pl-PL"/>
              </w:rPr>
            </w:pPr>
            <w:r w:rsidRPr="00275D64">
              <w:rPr>
                <w:i/>
                <w:color w:val="000000"/>
                <w:lang w:val="pl-PL"/>
              </w:rPr>
              <w:t>Zaburzenia układu rozrodczego i piersi</w:t>
            </w:r>
          </w:p>
        </w:tc>
        <w:tc>
          <w:tcPr>
            <w:tcW w:w="3071" w:type="dxa"/>
          </w:tcPr>
          <w:p w14:paraId="3C1BC995" w14:textId="77777777" w:rsidR="0059552A" w:rsidRPr="00275D64" w:rsidRDefault="0059552A" w:rsidP="00504E86">
            <w:pPr>
              <w:keepNext/>
              <w:keepLines/>
              <w:rPr>
                <w:lang w:val="pl-PL"/>
              </w:rPr>
            </w:pPr>
            <w:r w:rsidRPr="00275D64">
              <w:rPr>
                <w:color w:val="000000"/>
                <w:lang w:val="pl-PL"/>
              </w:rPr>
              <w:t>Bardzo często</w:t>
            </w:r>
          </w:p>
        </w:tc>
        <w:tc>
          <w:tcPr>
            <w:tcW w:w="3071" w:type="dxa"/>
            <w:tcBorders>
              <w:right w:val="single" w:sz="4" w:space="0" w:color="auto"/>
            </w:tcBorders>
          </w:tcPr>
          <w:p w14:paraId="11111DEB" w14:textId="77777777" w:rsidR="0059552A" w:rsidRPr="00275D64" w:rsidRDefault="0059552A" w:rsidP="00504E86">
            <w:pPr>
              <w:keepNext/>
              <w:keepLines/>
              <w:rPr>
                <w:lang w:val="pl-PL"/>
              </w:rPr>
            </w:pPr>
            <w:r w:rsidRPr="00275D64">
              <w:rPr>
                <w:color w:val="000000"/>
                <w:lang w:val="pl-PL"/>
              </w:rPr>
              <w:t>Torbiele jajników</w:t>
            </w:r>
          </w:p>
        </w:tc>
      </w:tr>
      <w:tr w:rsidR="0059552A" w:rsidRPr="004E70A1" w14:paraId="7006D3E3" w14:textId="77777777" w:rsidTr="00504E86">
        <w:tc>
          <w:tcPr>
            <w:tcW w:w="3070" w:type="dxa"/>
            <w:vMerge/>
            <w:tcBorders>
              <w:left w:val="single" w:sz="4" w:space="0" w:color="auto"/>
            </w:tcBorders>
          </w:tcPr>
          <w:p w14:paraId="42B46E51" w14:textId="77777777" w:rsidR="0059552A" w:rsidRPr="00275D64" w:rsidRDefault="0059552A" w:rsidP="00504E86">
            <w:pPr>
              <w:keepNext/>
              <w:keepLines/>
              <w:rPr>
                <w:i/>
                <w:iCs/>
                <w:color w:val="000000"/>
                <w:szCs w:val="22"/>
                <w:u w:val="single"/>
                <w:lang w:val="pl-PL"/>
              </w:rPr>
            </w:pPr>
          </w:p>
        </w:tc>
        <w:tc>
          <w:tcPr>
            <w:tcW w:w="3071" w:type="dxa"/>
          </w:tcPr>
          <w:p w14:paraId="1EF8F178" w14:textId="77777777" w:rsidR="0059552A" w:rsidRPr="00275D64" w:rsidRDefault="0059552A" w:rsidP="00504E86">
            <w:pPr>
              <w:keepNext/>
              <w:keepLines/>
              <w:rPr>
                <w:lang w:val="pl-PL"/>
              </w:rPr>
            </w:pPr>
            <w:r w:rsidRPr="00275D64">
              <w:rPr>
                <w:lang w:val="pl-PL"/>
              </w:rPr>
              <w:t>Często</w:t>
            </w:r>
          </w:p>
        </w:tc>
        <w:tc>
          <w:tcPr>
            <w:tcW w:w="3071" w:type="dxa"/>
            <w:tcBorders>
              <w:right w:val="single" w:sz="4" w:space="0" w:color="auto"/>
            </w:tcBorders>
          </w:tcPr>
          <w:p w14:paraId="4F544C7A" w14:textId="77777777" w:rsidR="0059552A" w:rsidRPr="00275D64" w:rsidRDefault="0059552A" w:rsidP="00504E86">
            <w:pPr>
              <w:keepNext/>
              <w:keepLines/>
              <w:rPr>
                <w:lang w:val="pl-PL"/>
              </w:rPr>
            </w:pPr>
            <w:r w:rsidRPr="00275D64">
              <w:rPr>
                <w:color w:val="000000"/>
                <w:lang w:val="pl-PL"/>
              </w:rPr>
              <w:t>Łagodny lub umiarkowany OHSS (łącznie z towarzyszącymi objawami)</w:t>
            </w:r>
          </w:p>
        </w:tc>
      </w:tr>
      <w:tr w:rsidR="0059552A" w:rsidRPr="004E70A1" w14:paraId="002C062F" w14:textId="77777777" w:rsidTr="00504E86">
        <w:tc>
          <w:tcPr>
            <w:tcW w:w="3070" w:type="dxa"/>
            <w:vMerge/>
            <w:tcBorders>
              <w:left w:val="single" w:sz="4" w:space="0" w:color="auto"/>
            </w:tcBorders>
          </w:tcPr>
          <w:p w14:paraId="50FB9710" w14:textId="77777777" w:rsidR="0059552A" w:rsidRPr="00275D64" w:rsidRDefault="0059552A" w:rsidP="00504E86">
            <w:pPr>
              <w:keepNext/>
              <w:keepLines/>
              <w:rPr>
                <w:i/>
                <w:iCs/>
                <w:color w:val="000000"/>
                <w:szCs w:val="22"/>
                <w:u w:val="single"/>
                <w:lang w:val="pl-PL"/>
              </w:rPr>
            </w:pPr>
          </w:p>
        </w:tc>
        <w:tc>
          <w:tcPr>
            <w:tcW w:w="3071" w:type="dxa"/>
          </w:tcPr>
          <w:p w14:paraId="5EDF145B" w14:textId="77777777" w:rsidR="0059552A" w:rsidRPr="00275D64" w:rsidRDefault="0059552A" w:rsidP="00504E86">
            <w:pPr>
              <w:keepNext/>
              <w:keepLines/>
              <w:rPr>
                <w:lang w:val="pl-PL"/>
              </w:rPr>
            </w:pPr>
            <w:r w:rsidRPr="00275D64">
              <w:rPr>
                <w:lang w:val="pl-PL"/>
              </w:rPr>
              <w:t>Niezbyt często</w:t>
            </w:r>
          </w:p>
        </w:tc>
        <w:tc>
          <w:tcPr>
            <w:tcW w:w="3071" w:type="dxa"/>
            <w:tcBorders>
              <w:right w:val="single" w:sz="4" w:space="0" w:color="auto"/>
            </w:tcBorders>
          </w:tcPr>
          <w:p w14:paraId="2F1CD534" w14:textId="77777777" w:rsidR="0059552A" w:rsidRPr="00275D64" w:rsidRDefault="0059552A" w:rsidP="00504E86">
            <w:pPr>
              <w:keepNext/>
              <w:keepLines/>
              <w:rPr>
                <w:lang w:val="pl-PL"/>
              </w:rPr>
            </w:pPr>
            <w:r w:rsidRPr="00275D64">
              <w:rPr>
                <w:color w:val="000000"/>
                <w:lang w:val="pl-PL"/>
              </w:rPr>
              <w:t>Ciężki OHSS (łącznie z towarzyszącymi objawami) (patrz punkt 4.4)</w:t>
            </w:r>
          </w:p>
        </w:tc>
      </w:tr>
      <w:tr w:rsidR="0059552A" w:rsidRPr="00275D64" w14:paraId="41602CE6" w14:textId="77777777" w:rsidTr="00504E86">
        <w:tc>
          <w:tcPr>
            <w:tcW w:w="3070" w:type="dxa"/>
            <w:vMerge/>
            <w:tcBorders>
              <w:left w:val="single" w:sz="4" w:space="0" w:color="auto"/>
            </w:tcBorders>
          </w:tcPr>
          <w:p w14:paraId="33F5E7D5" w14:textId="77777777" w:rsidR="0059552A" w:rsidRPr="00275D64" w:rsidRDefault="0059552A" w:rsidP="00504E86">
            <w:pPr>
              <w:keepNext/>
              <w:keepLines/>
              <w:rPr>
                <w:i/>
                <w:iCs/>
                <w:color w:val="000000"/>
                <w:szCs w:val="22"/>
                <w:u w:val="single"/>
                <w:lang w:val="pl-PL"/>
              </w:rPr>
            </w:pPr>
          </w:p>
        </w:tc>
        <w:tc>
          <w:tcPr>
            <w:tcW w:w="3071" w:type="dxa"/>
          </w:tcPr>
          <w:p w14:paraId="7BCB970A" w14:textId="77777777" w:rsidR="0059552A" w:rsidRPr="00275D64" w:rsidRDefault="0059552A" w:rsidP="00504E86">
            <w:pPr>
              <w:keepNext/>
              <w:keepLines/>
              <w:rPr>
                <w:lang w:val="pl-PL"/>
              </w:rPr>
            </w:pPr>
            <w:r w:rsidRPr="00275D64">
              <w:rPr>
                <w:color w:val="000000"/>
                <w:lang w:val="pl-PL"/>
              </w:rPr>
              <w:t>Rzadko</w:t>
            </w:r>
          </w:p>
        </w:tc>
        <w:tc>
          <w:tcPr>
            <w:tcW w:w="3071" w:type="dxa"/>
            <w:tcBorders>
              <w:right w:val="single" w:sz="4" w:space="0" w:color="auto"/>
            </w:tcBorders>
          </w:tcPr>
          <w:p w14:paraId="4C6E5FDB" w14:textId="77777777" w:rsidR="0059552A" w:rsidRPr="00275D64" w:rsidRDefault="0059552A" w:rsidP="00504E86">
            <w:pPr>
              <w:keepNext/>
              <w:keepLines/>
              <w:rPr>
                <w:lang w:val="pl-PL"/>
              </w:rPr>
            </w:pPr>
            <w:r w:rsidRPr="00275D64">
              <w:rPr>
                <w:color w:val="000000"/>
                <w:lang w:val="pl-PL"/>
              </w:rPr>
              <w:t>Powikłanie ciężkiego OHSS</w:t>
            </w:r>
          </w:p>
        </w:tc>
      </w:tr>
      <w:tr w:rsidR="0059552A" w:rsidRPr="004E70A1" w14:paraId="3DB46698" w14:textId="77777777" w:rsidTr="00504E86">
        <w:tc>
          <w:tcPr>
            <w:tcW w:w="3070" w:type="dxa"/>
            <w:tcBorders>
              <w:left w:val="single" w:sz="4" w:space="0" w:color="auto"/>
            </w:tcBorders>
          </w:tcPr>
          <w:p w14:paraId="21A75351" w14:textId="77777777" w:rsidR="0059552A" w:rsidRPr="00275D64" w:rsidRDefault="0059552A" w:rsidP="00504E86">
            <w:pPr>
              <w:keepNext/>
              <w:keepLines/>
              <w:rPr>
                <w:i/>
                <w:lang w:val="pl-PL"/>
              </w:rPr>
            </w:pPr>
            <w:r w:rsidRPr="00275D64">
              <w:rPr>
                <w:i/>
                <w:lang w:val="pl-PL"/>
              </w:rPr>
              <w:t>Zaburzenia ogólne i stany w miejscu podania</w:t>
            </w:r>
          </w:p>
        </w:tc>
        <w:tc>
          <w:tcPr>
            <w:tcW w:w="3071" w:type="dxa"/>
          </w:tcPr>
          <w:p w14:paraId="2B340326" w14:textId="77777777" w:rsidR="0059552A" w:rsidRPr="00275D64" w:rsidRDefault="0059552A" w:rsidP="00504E86">
            <w:pPr>
              <w:keepNext/>
              <w:keepLines/>
              <w:rPr>
                <w:lang w:val="pl-PL"/>
              </w:rPr>
            </w:pPr>
            <w:r w:rsidRPr="00275D64">
              <w:rPr>
                <w:color w:val="000000"/>
                <w:lang w:val="pl-PL"/>
              </w:rPr>
              <w:t>Bardzo często</w:t>
            </w:r>
          </w:p>
        </w:tc>
        <w:tc>
          <w:tcPr>
            <w:tcW w:w="3071" w:type="dxa"/>
            <w:tcBorders>
              <w:right w:val="single" w:sz="4" w:space="0" w:color="auto"/>
            </w:tcBorders>
          </w:tcPr>
          <w:p w14:paraId="05698F8A" w14:textId="77777777" w:rsidR="0059552A" w:rsidRPr="00275D64" w:rsidRDefault="0059552A" w:rsidP="00504E86">
            <w:pPr>
              <w:keepNext/>
              <w:keepLines/>
              <w:rPr>
                <w:lang w:val="pl-PL"/>
              </w:rPr>
            </w:pPr>
            <w:r w:rsidRPr="00275D64">
              <w:rPr>
                <w:color w:val="000000"/>
                <w:lang w:val="pl-PL"/>
              </w:rPr>
              <w:t>Reakcje w miejscu wstrzyknięcia (np. ból, rumień, krwiak, obrzęk i (lub) podrażnienie w miejscu wstrzyknięcia)</w:t>
            </w:r>
          </w:p>
        </w:tc>
      </w:tr>
    </w:tbl>
    <w:p w14:paraId="4CD0974E" w14:textId="77777777" w:rsidR="0059552A" w:rsidRPr="00275D64" w:rsidRDefault="0059552A" w:rsidP="006A2349">
      <w:pPr>
        <w:tabs>
          <w:tab w:val="clear" w:pos="567"/>
        </w:tabs>
        <w:ind w:left="1701" w:hanging="1701"/>
        <w:rPr>
          <w:noProof/>
          <w:color w:val="000000"/>
          <w:szCs w:val="22"/>
          <w:lang w:val="pl-PL"/>
        </w:rPr>
      </w:pPr>
    </w:p>
    <w:p w14:paraId="79496D1D" w14:textId="77777777" w:rsidR="0059552A" w:rsidRPr="00275D64" w:rsidRDefault="0059552A">
      <w:pPr>
        <w:tabs>
          <w:tab w:val="clear" w:pos="567"/>
        </w:tabs>
        <w:rPr>
          <w:noProof/>
          <w:color w:val="000000"/>
          <w:szCs w:val="22"/>
          <w:lang w:val="pl-PL"/>
        </w:rPr>
      </w:pPr>
      <w:r w:rsidRPr="00275D64">
        <w:rPr>
          <w:noProof/>
          <w:color w:val="000000"/>
          <w:szCs w:val="22"/>
          <w:lang w:val="pl-PL"/>
        </w:rPr>
        <w:br w:type="page"/>
      </w:r>
    </w:p>
    <w:p w14:paraId="10EBF350" w14:textId="77777777" w:rsidR="0059552A" w:rsidRPr="00275D64" w:rsidRDefault="0059552A" w:rsidP="006A2349">
      <w:pPr>
        <w:tabs>
          <w:tab w:val="clear" w:pos="567"/>
        </w:tabs>
        <w:ind w:left="1701" w:hanging="1701"/>
        <w:rPr>
          <w:noProof/>
          <w:color w:val="000000"/>
          <w:szCs w:val="22"/>
          <w:lang w:val="pl-PL"/>
        </w:rPr>
      </w:pPr>
    </w:p>
    <w:p w14:paraId="46E20E9E" w14:textId="77777777" w:rsidR="0059552A" w:rsidRPr="00275D64" w:rsidRDefault="0059552A" w:rsidP="00496272">
      <w:pPr>
        <w:tabs>
          <w:tab w:val="clear" w:pos="567"/>
        </w:tabs>
        <w:ind w:left="1701" w:hanging="1701"/>
        <w:rPr>
          <w:i/>
          <w:color w:val="000000"/>
          <w:szCs w:val="22"/>
          <w:lang w:val="pl-PL"/>
        </w:rPr>
      </w:pPr>
      <w:r w:rsidRPr="00275D64">
        <w:rPr>
          <w:i/>
          <w:color w:val="000000"/>
          <w:lang w:val="pl-PL"/>
        </w:rPr>
        <w:t>Leczenie u mężczyzn</w:t>
      </w:r>
    </w:p>
    <w:p w14:paraId="695792F8" w14:textId="77777777" w:rsidR="0059552A" w:rsidRPr="00275D64" w:rsidRDefault="0059552A" w:rsidP="00496272">
      <w:pPr>
        <w:tabs>
          <w:tab w:val="clear" w:pos="567"/>
        </w:tabs>
        <w:ind w:left="1701" w:hanging="1701"/>
        <w:rPr>
          <w:i/>
          <w:iCs/>
          <w:color w:val="000000"/>
          <w:szCs w:val="22"/>
          <w:lang w:val="pl-PL"/>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8"/>
        <w:gridCol w:w="3025"/>
      </w:tblGrid>
      <w:tr w:rsidR="0059552A" w:rsidRPr="004E70A1" w14:paraId="38895FC0" w14:textId="77777777" w:rsidTr="00504E86">
        <w:tc>
          <w:tcPr>
            <w:tcW w:w="9212" w:type="dxa"/>
            <w:gridSpan w:val="3"/>
            <w:tcBorders>
              <w:top w:val="nil"/>
              <w:left w:val="nil"/>
              <w:right w:val="nil"/>
            </w:tcBorders>
          </w:tcPr>
          <w:p w14:paraId="5FAE308C" w14:textId="77777777" w:rsidR="0059552A" w:rsidRPr="00275D64" w:rsidRDefault="0059552A" w:rsidP="00504E86">
            <w:pPr>
              <w:keepNext/>
              <w:keepLines/>
              <w:rPr>
                <w:b/>
                <w:lang w:val="pl-PL"/>
              </w:rPr>
            </w:pPr>
            <w:r w:rsidRPr="00275D64">
              <w:rPr>
                <w:b/>
                <w:lang w:val="pl-PL"/>
              </w:rPr>
              <w:t>Tabela 2: Działania niepożądane u mężczyzn</w:t>
            </w:r>
          </w:p>
        </w:tc>
      </w:tr>
      <w:tr w:rsidR="0059552A" w:rsidRPr="00275D64" w14:paraId="13B91E0C" w14:textId="77777777" w:rsidTr="00504E86">
        <w:tc>
          <w:tcPr>
            <w:tcW w:w="3070" w:type="dxa"/>
            <w:tcBorders>
              <w:left w:val="single" w:sz="4" w:space="0" w:color="auto"/>
            </w:tcBorders>
          </w:tcPr>
          <w:p w14:paraId="092B0A04" w14:textId="77777777" w:rsidR="0059552A" w:rsidRPr="00275D64" w:rsidRDefault="0059552A" w:rsidP="00504E86">
            <w:pPr>
              <w:keepNext/>
              <w:keepLines/>
              <w:rPr>
                <w:b/>
                <w:lang w:val="pl-PL"/>
              </w:rPr>
            </w:pPr>
            <w:r w:rsidRPr="00275D64">
              <w:rPr>
                <w:b/>
                <w:lang w:val="pl-PL"/>
              </w:rPr>
              <w:t>Klasyfikacja układów i narządów</w:t>
            </w:r>
          </w:p>
        </w:tc>
        <w:tc>
          <w:tcPr>
            <w:tcW w:w="3071" w:type="dxa"/>
          </w:tcPr>
          <w:p w14:paraId="532BF6F2" w14:textId="77777777" w:rsidR="0059552A" w:rsidRPr="00275D64" w:rsidRDefault="0059552A" w:rsidP="00504E86">
            <w:pPr>
              <w:keepNext/>
              <w:keepLines/>
              <w:rPr>
                <w:b/>
                <w:lang w:val="pl-PL"/>
              </w:rPr>
            </w:pPr>
            <w:r w:rsidRPr="00275D64">
              <w:rPr>
                <w:b/>
                <w:lang w:val="pl-PL"/>
              </w:rPr>
              <w:t>Częstość występowania</w:t>
            </w:r>
          </w:p>
        </w:tc>
        <w:tc>
          <w:tcPr>
            <w:tcW w:w="3071" w:type="dxa"/>
            <w:tcBorders>
              <w:right w:val="single" w:sz="4" w:space="0" w:color="auto"/>
            </w:tcBorders>
          </w:tcPr>
          <w:p w14:paraId="58AD844B" w14:textId="77777777" w:rsidR="0059552A" w:rsidRPr="00275D64" w:rsidRDefault="0059552A" w:rsidP="00504E86">
            <w:pPr>
              <w:keepNext/>
              <w:keepLines/>
              <w:rPr>
                <w:b/>
                <w:lang w:val="pl-PL"/>
              </w:rPr>
            </w:pPr>
            <w:r w:rsidRPr="00275D64">
              <w:rPr>
                <w:b/>
                <w:lang w:val="pl-PL"/>
              </w:rPr>
              <w:t>Działanie niepożądane</w:t>
            </w:r>
          </w:p>
        </w:tc>
      </w:tr>
      <w:tr w:rsidR="0059552A" w:rsidRPr="004E70A1" w14:paraId="38910E04" w14:textId="77777777" w:rsidTr="00504E86">
        <w:tc>
          <w:tcPr>
            <w:tcW w:w="3070" w:type="dxa"/>
            <w:tcBorders>
              <w:left w:val="single" w:sz="4" w:space="0" w:color="auto"/>
            </w:tcBorders>
          </w:tcPr>
          <w:p w14:paraId="3FC25BF2" w14:textId="77777777" w:rsidR="0059552A" w:rsidRPr="00275D64" w:rsidRDefault="0059552A" w:rsidP="00504E86">
            <w:pPr>
              <w:keepNext/>
              <w:keepLines/>
              <w:tabs>
                <w:tab w:val="clear" w:pos="567"/>
              </w:tabs>
              <w:rPr>
                <w:i/>
                <w:lang w:val="pl-PL"/>
              </w:rPr>
            </w:pPr>
            <w:r w:rsidRPr="00275D64">
              <w:rPr>
                <w:i/>
                <w:lang w:val="pl-PL"/>
              </w:rPr>
              <w:t>Zaburzenia układu immunologicznego</w:t>
            </w:r>
          </w:p>
        </w:tc>
        <w:tc>
          <w:tcPr>
            <w:tcW w:w="3071" w:type="dxa"/>
          </w:tcPr>
          <w:p w14:paraId="1E4E257D" w14:textId="77777777" w:rsidR="0059552A" w:rsidRPr="00275D64" w:rsidRDefault="0059552A" w:rsidP="00504E86">
            <w:pPr>
              <w:keepNext/>
              <w:keepLines/>
              <w:rPr>
                <w:lang w:val="pl-PL"/>
              </w:rPr>
            </w:pPr>
            <w:r w:rsidRPr="00275D64">
              <w:rPr>
                <w:color w:val="000000"/>
                <w:lang w:val="pl-PL"/>
              </w:rPr>
              <w:t>Bardzo rzadko</w:t>
            </w:r>
          </w:p>
        </w:tc>
        <w:tc>
          <w:tcPr>
            <w:tcW w:w="3071" w:type="dxa"/>
            <w:tcBorders>
              <w:right w:val="single" w:sz="4" w:space="0" w:color="auto"/>
            </w:tcBorders>
          </w:tcPr>
          <w:p w14:paraId="3700E655" w14:textId="77777777" w:rsidR="0059552A" w:rsidRPr="00275D64" w:rsidRDefault="0059552A" w:rsidP="00504E86">
            <w:pPr>
              <w:keepNext/>
              <w:keepLines/>
              <w:rPr>
                <w:lang w:val="pl-PL"/>
              </w:rPr>
            </w:pPr>
            <w:r w:rsidRPr="00275D64">
              <w:rPr>
                <w:color w:val="000000"/>
                <w:lang w:val="pl-PL"/>
              </w:rPr>
              <w:t>Łagodne do ciężkich reakcje nadwrażliwości łącznie z reakcjami anafilaktycznymi i wstrząsem</w:t>
            </w:r>
          </w:p>
        </w:tc>
      </w:tr>
      <w:tr w:rsidR="0059552A" w:rsidRPr="00275D64" w14:paraId="0F3A681D" w14:textId="77777777" w:rsidTr="00504E86">
        <w:tc>
          <w:tcPr>
            <w:tcW w:w="3070" w:type="dxa"/>
            <w:tcBorders>
              <w:left w:val="single" w:sz="4" w:space="0" w:color="auto"/>
            </w:tcBorders>
          </w:tcPr>
          <w:p w14:paraId="2FD37FB4" w14:textId="77777777" w:rsidR="0059552A" w:rsidRPr="00275D64" w:rsidRDefault="0059552A" w:rsidP="00504E86">
            <w:pPr>
              <w:keepNext/>
              <w:keepLines/>
              <w:tabs>
                <w:tab w:val="clear" w:pos="567"/>
              </w:tabs>
              <w:rPr>
                <w:i/>
                <w:szCs w:val="22"/>
                <w:lang w:val="pl-PL"/>
              </w:rPr>
            </w:pPr>
            <w:r w:rsidRPr="00275D64">
              <w:rPr>
                <w:i/>
                <w:color w:val="000000"/>
                <w:lang w:val="pl-PL"/>
              </w:rPr>
              <w:t>Zaburzenia układu oddechowego, klatki piersiowej i śródpiersia</w:t>
            </w:r>
          </w:p>
        </w:tc>
        <w:tc>
          <w:tcPr>
            <w:tcW w:w="3071" w:type="dxa"/>
          </w:tcPr>
          <w:p w14:paraId="5FD6E478" w14:textId="77777777" w:rsidR="0059552A" w:rsidRPr="00275D64" w:rsidRDefault="0059552A" w:rsidP="00504E86">
            <w:pPr>
              <w:keepNext/>
              <w:keepLines/>
              <w:rPr>
                <w:lang w:val="pl-PL"/>
              </w:rPr>
            </w:pPr>
            <w:r w:rsidRPr="00275D64">
              <w:rPr>
                <w:color w:val="000000"/>
                <w:lang w:val="pl-PL"/>
              </w:rPr>
              <w:t>Bardzo rzadko</w:t>
            </w:r>
          </w:p>
        </w:tc>
        <w:tc>
          <w:tcPr>
            <w:tcW w:w="3071" w:type="dxa"/>
            <w:tcBorders>
              <w:right w:val="single" w:sz="4" w:space="0" w:color="auto"/>
            </w:tcBorders>
          </w:tcPr>
          <w:p w14:paraId="5207C5C1" w14:textId="77777777" w:rsidR="0059552A" w:rsidRPr="00275D64" w:rsidRDefault="0059552A" w:rsidP="00504E86">
            <w:pPr>
              <w:keepNext/>
              <w:keepLines/>
              <w:rPr>
                <w:lang w:val="pl-PL"/>
              </w:rPr>
            </w:pPr>
            <w:r w:rsidRPr="00275D64">
              <w:rPr>
                <w:color w:val="000000"/>
                <w:lang w:val="pl-PL"/>
              </w:rPr>
              <w:t>Zaostrzenie lub nasilenie astmy</w:t>
            </w:r>
          </w:p>
        </w:tc>
      </w:tr>
      <w:tr w:rsidR="0059552A" w:rsidRPr="00275D64" w14:paraId="2E521F67" w14:textId="77777777" w:rsidTr="00504E86">
        <w:tc>
          <w:tcPr>
            <w:tcW w:w="3070" w:type="dxa"/>
            <w:tcBorders>
              <w:left w:val="single" w:sz="4" w:space="0" w:color="auto"/>
            </w:tcBorders>
          </w:tcPr>
          <w:p w14:paraId="4EB8E2B2" w14:textId="77777777" w:rsidR="0059552A" w:rsidRPr="00275D64" w:rsidRDefault="0059552A" w:rsidP="00504E86">
            <w:pPr>
              <w:keepNext/>
              <w:keepLines/>
              <w:rPr>
                <w:i/>
                <w:szCs w:val="22"/>
                <w:lang w:val="pl-PL"/>
              </w:rPr>
            </w:pPr>
            <w:r w:rsidRPr="00275D64">
              <w:rPr>
                <w:i/>
                <w:color w:val="000000"/>
                <w:lang w:val="pl-PL"/>
              </w:rPr>
              <w:t>Zaburzenia skóry i tkanki podskórnej</w:t>
            </w:r>
          </w:p>
        </w:tc>
        <w:tc>
          <w:tcPr>
            <w:tcW w:w="3071" w:type="dxa"/>
          </w:tcPr>
          <w:p w14:paraId="25DDAF6A" w14:textId="77777777" w:rsidR="0059552A" w:rsidRPr="00275D64" w:rsidRDefault="0059552A" w:rsidP="00504E86">
            <w:pPr>
              <w:keepNext/>
              <w:keepLines/>
              <w:rPr>
                <w:lang w:val="pl-PL"/>
              </w:rPr>
            </w:pPr>
            <w:r w:rsidRPr="00275D64">
              <w:rPr>
                <w:color w:val="000000"/>
                <w:lang w:val="pl-PL"/>
              </w:rPr>
              <w:t>Często</w:t>
            </w:r>
          </w:p>
        </w:tc>
        <w:tc>
          <w:tcPr>
            <w:tcW w:w="3071" w:type="dxa"/>
            <w:tcBorders>
              <w:right w:val="single" w:sz="4" w:space="0" w:color="auto"/>
            </w:tcBorders>
          </w:tcPr>
          <w:p w14:paraId="449F4CCD" w14:textId="77777777" w:rsidR="0059552A" w:rsidRPr="00275D64" w:rsidRDefault="0059552A" w:rsidP="00504E86">
            <w:pPr>
              <w:keepNext/>
              <w:keepLines/>
              <w:rPr>
                <w:lang w:val="pl-PL"/>
              </w:rPr>
            </w:pPr>
            <w:r w:rsidRPr="00275D64">
              <w:rPr>
                <w:color w:val="000000"/>
                <w:lang w:val="pl-PL"/>
              </w:rPr>
              <w:t>Trądzik</w:t>
            </w:r>
          </w:p>
        </w:tc>
      </w:tr>
      <w:tr w:rsidR="0059552A" w:rsidRPr="00275D64" w14:paraId="4D06E394" w14:textId="77777777" w:rsidTr="00504E86">
        <w:tc>
          <w:tcPr>
            <w:tcW w:w="3070" w:type="dxa"/>
            <w:tcBorders>
              <w:left w:val="single" w:sz="4" w:space="0" w:color="auto"/>
            </w:tcBorders>
          </w:tcPr>
          <w:p w14:paraId="1F8B7E79" w14:textId="77777777" w:rsidR="0059552A" w:rsidRPr="00275D64" w:rsidRDefault="0059552A" w:rsidP="00504E86">
            <w:pPr>
              <w:keepNext/>
              <w:keepLines/>
              <w:rPr>
                <w:i/>
                <w:iCs/>
                <w:color w:val="000000"/>
                <w:szCs w:val="22"/>
                <w:lang w:val="pl-PL"/>
              </w:rPr>
            </w:pPr>
            <w:r w:rsidRPr="00275D64">
              <w:rPr>
                <w:i/>
                <w:color w:val="000000"/>
                <w:lang w:val="pl-PL"/>
              </w:rPr>
              <w:t>Zaburzenia układu rozrodczego i piersi</w:t>
            </w:r>
          </w:p>
        </w:tc>
        <w:tc>
          <w:tcPr>
            <w:tcW w:w="3071" w:type="dxa"/>
          </w:tcPr>
          <w:p w14:paraId="457FA972" w14:textId="77777777" w:rsidR="0059552A" w:rsidRPr="00275D64" w:rsidRDefault="0059552A" w:rsidP="00504E86">
            <w:pPr>
              <w:keepNext/>
              <w:keepLines/>
              <w:rPr>
                <w:color w:val="000000"/>
                <w:szCs w:val="22"/>
                <w:lang w:val="pl-PL"/>
              </w:rPr>
            </w:pPr>
            <w:r w:rsidRPr="00275D64">
              <w:rPr>
                <w:color w:val="000000"/>
                <w:lang w:val="pl-PL"/>
              </w:rPr>
              <w:t>Często</w:t>
            </w:r>
          </w:p>
        </w:tc>
        <w:tc>
          <w:tcPr>
            <w:tcW w:w="3071" w:type="dxa"/>
            <w:tcBorders>
              <w:right w:val="single" w:sz="4" w:space="0" w:color="auto"/>
            </w:tcBorders>
          </w:tcPr>
          <w:p w14:paraId="4D944AD0" w14:textId="77777777" w:rsidR="0059552A" w:rsidRPr="00275D64" w:rsidRDefault="0059552A" w:rsidP="00504E86">
            <w:pPr>
              <w:keepNext/>
              <w:keepLines/>
              <w:rPr>
                <w:color w:val="000000"/>
                <w:szCs w:val="22"/>
                <w:lang w:val="pl-PL"/>
              </w:rPr>
            </w:pPr>
            <w:r w:rsidRPr="00275D64">
              <w:rPr>
                <w:color w:val="000000"/>
                <w:lang w:val="pl-PL"/>
              </w:rPr>
              <w:t>Ginekomastia, żylaki powrózka nasiennego</w:t>
            </w:r>
          </w:p>
        </w:tc>
      </w:tr>
      <w:tr w:rsidR="0059552A" w:rsidRPr="004E70A1" w14:paraId="4066C2F8" w14:textId="77777777" w:rsidTr="00504E86">
        <w:tc>
          <w:tcPr>
            <w:tcW w:w="3070" w:type="dxa"/>
            <w:tcBorders>
              <w:left w:val="single" w:sz="4" w:space="0" w:color="auto"/>
            </w:tcBorders>
          </w:tcPr>
          <w:p w14:paraId="1C5592B0" w14:textId="77777777" w:rsidR="0059552A" w:rsidRPr="00275D64" w:rsidRDefault="0059552A" w:rsidP="00504E86">
            <w:pPr>
              <w:keepNext/>
              <w:keepLines/>
              <w:rPr>
                <w:i/>
                <w:lang w:val="pl-PL"/>
              </w:rPr>
            </w:pPr>
            <w:r w:rsidRPr="00275D64">
              <w:rPr>
                <w:i/>
                <w:lang w:val="pl-PL"/>
              </w:rPr>
              <w:t>Zaburzenia ogólne i stany w miejscu podania</w:t>
            </w:r>
          </w:p>
        </w:tc>
        <w:tc>
          <w:tcPr>
            <w:tcW w:w="3071" w:type="dxa"/>
          </w:tcPr>
          <w:p w14:paraId="19E92F53" w14:textId="77777777" w:rsidR="0059552A" w:rsidRPr="00275D64" w:rsidRDefault="0059552A" w:rsidP="00504E86">
            <w:pPr>
              <w:keepNext/>
              <w:keepLines/>
              <w:rPr>
                <w:lang w:val="pl-PL"/>
              </w:rPr>
            </w:pPr>
            <w:r w:rsidRPr="00275D64">
              <w:rPr>
                <w:color w:val="000000"/>
                <w:lang w:val="pl-PL"/>
              </w:rPr>
              <w:t>Bardzo często</w:t>
            </w:r>
          </w:p>
        </w:tc>
        <w:tc>
          <w:tcPr>
            <w:tcW w:w="3071" w:type="dxa"/>
            <w:tcBorders>
              <w:right w:val="single" w:sz="4" w:space="0" w:color="auto"/>
            </w:tcBorders>
          </w:tcPr>
          <w:p w14:paraId="21C93E46" w14:textId="77777777" w:rsidR="0059552A" w:rsidRPr="00275D64" w:rsidRDefault="0059552A" w:rsidP="00504E86">
            <w:pPr>
              <w:keepNext/>
              <w:keepLines/>
              <w:rPr>
                <w:lang w:val="pl-PL"/>
              </w:rPr>
            </w:pPr>
            <w:r w:rsidRPr="00275D64">
              <w:rPr>
                <w:color w:val="000000"/>
                <w:lang w:val="pl-PL"/>
              </w:rPr>
              <w:t>Reakcje w miejscu wstrzyknięcia (np. ból, rumień, krwiak, obrzęk i (lub) podrażnienie w miejscu wstrzyknięcia)</w:t>
            </w:r>
          </w:p>
        </w:tc>
      </w:tr>
      <w:tr w:rsidR="0059552A" w:rsidRPr="00275D64" w14:paraId="43EE6C83" w14:textId="77777777" w:rsidTr="00504E86">
        <w:tc>
          <w:tcPr>
            <w:tcW w:w="3070" w:type="dxa"/>
            <w:tcBorders>
              <w:left w:val="single" w:sz="4" w:space="0" w:color="auto"/>
            </w:tcBorders>
          </w:tcPr>
          <w:p w14:paraId="41527F22" w14:textId="77777777" w:rsidR="0059552A" w:rsidRPr="00275D64" w:rsidRDefault="0059552A" w:rsidP="00504E86">
            <w:pPr>
              <w:keepNext/>
              <w:keepLines/>
              <w:rPr>
                <w:i/>
                <w:szCs w:val="22"/>
                <w:lang w:val="pl-PL"/>
              </w:rPr>
            </w:pPr>
            <w:r w:rsidRPr="00275D64">
              <w:rPr>
                <w:i/>
                <w:color w:val="000000"/>
                <w:lang w:val="pl-PL"/>
              </w:rPr>
              <w:t>Badania diagnostyczne</w:t>
            </w:r>
          </w:p>
        </w:tc>
        <w:tc>
          <w:tcPr>
            <w:tcW w:w="3071" w:type="dxa"/>
          </w:tcPr>
          <w:p w14:paraId="14E4096E" w14:textId="77777777" w:rsidR="0059552A" w:rsidRPr="00275D64" w:rsidRDefault="0059552A" w:rsidP="00504E86">
            <w:pPr>
              <w:keepNext/>
              <w:keepLines/>
              <w:rPr>
                <w:color w:val="000000"/>
                <w:szCs w:val="22"/>
                <w:lang w:val="pl-PL"/>
              </w:rPr>
            </w:pPr>
            <w:r w:rsidRPr="00275D64">
              <w:rPr>
                <w:color w:val="000000"/>
                <w:lang w:val="pl-PL"/>
              </w:rPr>
              <w:t>Często</w:t>
            </w:r>
          </w:p>
        </w:tc>
        <w:tc>
          <w:tcPr>
            <w:tcW w:w="3071" w:type="dxa"/>
            <w:tcBorders>
              <w:right w:val="single" w:sz="4" w:space="0" w:color="auto"/>
            </w:tcBorders>
          </w:tcPr>
          <w:p w14:paraId="0B4A7EC8" w14:textId="77777777" w:rsidR="0059552A" w:rsidRPr="00275D64" w:rsidRDefault="0059552A" w:rsidP="00504E86">
            <w:pPr>
              <w:keepNext/>
              <w:keepLines/>
              <w:rPr>
                <w:color w:val="000000"/>
                <w:szCs w:val="22"/>
                <w:lang w:val="pl-PL"/>
              </w:rPr>
            </w:pPr>
            <w:r w:rsidRPr="00275D64">
              <w:rPr>
                <w:color w:val="000000"/>
                <w:lang w:val="pl-PL"/>
              </w:rPr>
              <w:t>Zwiększenie masy ciała</w:t>
            </w:r>
          </w:p>
        </w:tc>
      </w:tr>
    </w:tbl>
    <w:p w14:paraId="2CC5BDB9" w14:textId="77777777" w:rsidR="0059552A" w:rsidRPr="00275D64" w:rsidRDefault="0059552A" w:rsidP="006A2349">
      <w:pPr>
        <w:tabs>
          <w:tab w:val="clear" w:pos="567"/>
        </w:tabs>
        <w:ind w:left="1701" w:hanging="1701"/>
        <w:rPr>
          <w:i/>
          <w:iCs/>
          <w:noProof/>
          <w:color w:val="000000"/>
          <w:szCs w:val="22"/>
          <w:lang w:val="pl-PL"/>
        </w:rPr>
      </w:pPr>
    </w:p>
    <w:p w14:paraId="390C3DC5" w14:textId="77777777" w:rsidR="0059552A" w:rsidRPr="00275D64" w:rsidRDefault="0059552A" w:rsidP="006A2349">
      <w:pPr>
        <w:tabs>
          <w:tab w:val="clear" w:pos="567"/>
        </w:tabs>
        <w:rPr>
          <w:noProof/>
          <w:szCs w:val="22"/>
          <w:u w:val="single"/>
          <w:lang w:val="pl-PL"/>
        </w:rPr>
      </w:pPr>
      <w:r w:rsidRPr="00275D64">
        <w:rPr>
          <w:noProof/>
          <w:u w:val="single"/>
          <w:lang w:val="pl-PL"/>
        </w:rPr>
        <w:t>Zgłaszanie podejrzewanych działań niepożądanych</w:t>
      </w:r>
    </w:p>
    <w:p w14:paraId="25AA870F" w14:textId="62358E08" w:rsidR="0059552A" w:rsidRPr="00275D64" w:rsidRDefault="0059552A" w:rsidP="006A2349">
      <w:pPr>
        <w:tabs>
          <w:tab w:val="clear" w:pos="567"/>
        </w:tabs>
        <w:rPr>
          <w:noProof/>
          <w:szCs w:val="22"/>
          <w:lang w:val="pl-PL"/>
        </w:rPr>
      </w:pPr>
      <w:r w:rsidRPr="00275D64">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275D64">
        <w:rPr>
          <w:noProof/>
          <w:highlight w:val="lightGray"/>
          <w:lang w:val="pl-PL"/>
        </w:rPr>
        <w:t xml:space="preserve">krajowego systemu zgłaszania wymienionego w </w:t>
      </w:r>
      <w:r w:rsidR="00B23863">
        <w:fldChar w:fldCharType="begin"/>
      </w:r>
      <w:r w:rsidR="00B23863" w:rsidRPr="004E70A1">
        <w:rPr>
          <w:lang w:val="pl-PL"/>
        </w:rPr>
        <w:instrText xml:space="preserve"> HYPERLINK "http://www.ema.europa.eu/docs/en_GB/document_library/Template_or_form/2013/03/WC500139752.doc" </w:instrText>
      </w:r>
      <w:r w:rsidR="00B23863">
        <w:fldChar w:fldCharType="separate"/>
      </w:r>
      <w:r w:rsidRPr="00275D64">
        <w:rPr>
          <w:rStyle w:val="Hyperlink"/>
          <w:rFonts w:eastAsia="Times New Roman"/>
          <w:szCs w:val="22"/>
          <w:lang w:val="pl-PL"/>
        </w:rPr>
        <w:t>załączniku V</w:t>
      </w:r>
      <w:r w:rsidR="00B23863">
        <w:rPr>
          <w:rStyle w:val="Hyperlink"/>
          <w:rFonts w:eastAsia="Times New Roman"/>
          <w:szCs w:val="22"/>
          <w:lang w:val="pl-PL"/>
        </w:rPr>
        <w:fldChar w:fldCharType="end"/>
      </w:r>
      <w:r w:rsidRPr="00275D64">
        <w:rPr>
          <w:lang w:val="pl-PL"/>
        </w:rPr>
        <w:t>.</w:t>
      </w:r>
    </w:p>
    <w:p w14:paraId="1A0C11C9" w14:textId="77777777" w:rsidR="0059552A" w:rsidRPr="00275D64" w:rsidRDefault="0059552A" w:rsidP="00496272">
      <w:pPr>
        <w:tabs>
          <w:tab w:val="clear" w:pos="567"/>
        </w:tabs>
        <w:rPr>
          <w:color w:val="000000"/>
          <w:szCs w:val="22"/>
          <w:lang w:val="pl-PL"/>
        </w:rPr>
      </w:pPr>
    </w:p>
    <w:p w14:paraId="5C12FC7F" w14:textId="77777777" w:rsidR="0059552A" w:rsidRPr="00275D64" w:rsidRDefault="0059552A" w:rsidP="00496272">
      <w:pPr>
        <w:ind w:left="567" w:hanging="567"/>
        <w:outlineLvl w:val="0"/>
        <w:rPr>
          <w:szCs w:val="22"/>
          <w:lang w:val="pl-PL"/>
        </w:rPr>
      </w:pPr>
      <w:r w:rsidRPr="00275D64">
        <w:rPr>
          <w:b/>
          <w:lang w:val="pl-PL"/>
        </w:rPr>
        <w:t>4.9</w:t>
      </w:r>
      <w:r w:rsidRPr="00275D64">
        <w:rPr>
          <w:lang w:val="pl-PL"/>
        </w:rPr>
        <w:tab/>
      </w:r>
      <w:r w:rsidRPr="00275D64">
        <w:rPr>
          <w:b/>
          <w:lang w:val="pl-PL"/>
        </w:rPr>
        <w:t>Przedawkowanie</w:t>
      </w:r>
    </w:p>
    <w:p w14:paraId="5F6D81FB" w14:textId="77777777" w:rsidR="0059552A" w:rsidRPr="00275D64" w:rsidRDefault="0059552A" w:rsidP="00496272">
      <w:pPr>
        <w:rPr>
          <w:szCs w:val="22"/>
          <w:lang w:val="pl-PL"/>
        </w:rPr>
      </w:pPr>
    </w:p>
    <w:p w14:paraId="07205EF7" w14:textId="77777777" w:rsidR="0059552A" w:rsidRPr="00275D64" w:rsidRDefault="0059552A" w:rsidP="00496272">
      <w:pPr>
        <w:tabs>
          <w:tab w:val="clear" w:pos="567"/>
        </w:tabs>
        <w:rPr>
          <w:color w:val="000000"/>
          <w:szCs w:val="22"/>
          <w:lang w:val="pl-PL"/>
        </w:rPr>
      </w:pPr>
      <w:r w:rsidRPr="00275D64">
        <w:rPr>
          <w:color w:val="000000"/>
          <w:lang w:val="pl-PL"/>
        </w:rPr>
        <w:t>Nie jest znany wpływ przedawkowania folitropiny alfa. Mimo to istnieje możliwość wystąpienia OHSS (patrz punkt 4.4).</w:t>
      </w:r>
    </w:p>
    <w:p w14:paraId="7FE7E8F7" w14:textId="77777777" w:rsidR="0059552A" w:rsidRPr="00275D64" w:rsidRDefault="0059552A" w:rsidP="00496272">
      <w:pPr>
        <w:rPr>
          <w:szCs w:val="22"/>
          <w:lang w:val="pl-PL"/>
        </w:rPr>
      </w:pPr>
    </w:p>
    <w:p w14:paraId="7EE1579E" w14:textId="77777777" w:rsidR="0059552A" w:rsidRPr="00275D64" w:rsidRDefault="0059552A" w:rsidP="00496272">
      <w:pPr>
        <w:rPr>
          <w:szCs w:val="22"/>
          <w:lang w:val="pl-PL"/>
        </w:rPr>
      </w:pPr>
    </w:p>
    <w:p w14:paraId="25EB4D66" w14:textId="77777777" w:rsidR="0059552A" w:rsidRPr="00275D64" w:rsidRDefault="0059552A" w:rsidP="00496272">
      <w:pPr>
        <w:keepNext/>
        <w:keepLines/>
        <w:ind w:left="567" w:hanging="567"/>
        <w:rPr>
          <w:szCs w:val="22"/>
          <w:lang w:val="pl-PL"/>
        </w:rPr>
      </w:pPr>
      <w:r w:rsidRPr="00275D64">
        <w:rPr>
          <w:b/>
          <w:lang w:val="pl-PL"/>
        </w:rPr>
        <w:t>5.</w:t>
      </w:r>
      <w:r w:rsidRPr="00275D64">
        <w:rPr>
          <w:lang w:val="pl-PL"/>
        </w:rPr>
        <w:tab/>
      </w:r>
      <w:r w:rsidRPr="00275D64">
        <w:rPr>
          <w:b/>
          <w:lang w:val="pl-PL"/>
        </w:rPr>
        <w:t>WŁAŚCIWOŚCI FARMAKOLOGICZNE</w:t>
      </w:r>
    </w:p>
    <w:p w14:paraId="4F05056A" w14:textId="77777777" w:rsidR="0059552A" w:rsidRPr="00275D64" w:rsidRDefault="0059552A" w:rsidP="00496272">
      <w:pPr>
        <w:keepNext/>
        <w:keepLines/>
        <w:rPr>
          <w:szCs w:val="22"/>
          <w:lang w:val="pl-PL"/>
        </w:rPr>
      </w:pPr>
    </w:p>
    <w:p w14:paraId="0EAD98AA" w14:textId="77777777" w:rsidR="0059552A" w:rsidRPr="00275D64" w:rsidRDefault="0059552A" w:rsidP="00496272">
      <w:pPr>
        <w:keepNext/>
        <w:keepLines/>
        <w:ind w:left="567" w:hanging="567"/>
        <w:outlineLvl w:val="0"/>
        <w:rPr>
          <w:szCs w:val="22"/>
          <w:lang w:val="pl-PL"/>
        </w:rPr>
      </w:pPr>
      <w:r w:rsidRPr="00275D64">
        <w:rPr>
          <w:b/>
          <w:lang w:val="pl-PL"/>
        </w:rPr>
        <w:t>5.1.</w:t>
      </w:r>
      <w:r w:rsidRPr="00275D64">
        <w:rPr>
          <w:lang w:val="pl-PL"/>
        </w:rPr>
        <w:tab/>
      </w:r>
      <w:r w:rsidRPr="00275D64">
        <w:rPr>
          <w:b/>
          <w:lang w:val="pl-PL"/>
        </w:rPr>
        <w:t>Właściwości farmakodynamiczne</w:t>
      </w:r>
    </w:p>
    <w:p w14:paraId="34C66D7A" w14:textId="77777777" w:rsidR="0059552A" w:rsidRPr="00275D64" w:rsidRDefault="0059552A" w:rsidP="00496272">
      <w:pPr>
        <w:numPr>
          <w:ilvl w:val="12"/>
          <w:numId w:val="0"/>
        </w:numPr>
        <w:ind w:right="-2"/>
        <w:rPr>
          <w:iCs/>
          <w:szCs w:val="22"/>
          <w:lang w:val="pl-PL"/>
        </w:rPr>
      </w:pPr>
    </w:p>
    <w:p w14:paraId="3B62B23E" w14:textId="77777777" w:rsidR="0059552A" w:rsidRPr="00275D64" w:rsidRDefault="0059552A" w:rsidP="00496272">
      <w:pPr>
        <w:tabs>
          <w:tab w:val="clear" w:pos="567"/>
        </w:tabs>
        <w:rPr>
          <w:color w:val="000000"/>
          <w:szCs w:val="22"/>
          <w:lang w:val="pl-PL"/>
        </w:rPr>
      </w:pPr>
      <w:r w:rsidRPr="00275D64">
        <w:rPr>
          <w:color w:val="000000"/>
          <w:lang w:val="pl-PL"/>
        </w:rPr>
        <w:t>Grupa farmakoterapeutyczna: hormony płciowe i modulatory układu płciowego, gonadotropiny, kod ATC: G03GA05.</w:t>
      </w:r>
    </w:p>
    <w:p w14:paraId="545CD4F5" w14:textId="77777777" w:rsidR="0059552A" w:rsidRPr="00275D64" w:rsidRDefault="0059552A" w:rsidP="00496272">
      <w:pPr>
        <w:tabs>
          <w:tab w:val="clear" w:pos="567"/>
        </w:tabs>
        <w:rPr>
          <w:color w:val="000000"/>
          <w:szCs w:val="22"/>
          <w:lang w:val="pl-PL"/>
        </w:rPr>
      </w:pPr>
    </w:p>
    <w:p w14:paraId="08628C14" w14:textId="77777777" w:rsidR="0059552A" w:rsidRPr="00275D64" w:rsidRDefault="0059552A" w:rsidP="00496272">
      <w:pPr>
        <w:tabs>
          <w:tab w:val="clear" w:pos="567"/>
        </w:tabs>
        <w:rPr>
          <w:color w:val="000000"/>
          <w:szCs w:val="22"/>
          <w:lang w:val="pl-PL"/>
        </w:rPr>
      </w:pPr>
      <w:r w:rsidRPr="00275D64">
        <w:rPr>
          <w:color w:val="000000"/>
          <w:lang w:val="pl-PL"/>
        </w:rPr>
        <w:t xml:space="preserve">Ovaleap jest produktem leczniczym biopodobnym. </w:t>
      </w:r>
      <w:r w:rsidRPr="00275D64">
        <w:rPr>
          <w:lang w:val="pl-PL"/>
        </w:rPr>
        <w:t xml:space="preserve">Szczegółowe informacjesą dostępne na stronie internetowej Europejskiej Agencji </w:t>
      </w:r>
      <w:proofErr w:type="spellStart"/>
      <w:r w:rsidRPr="00275D64">
        <w:rPr>
          <w:lang w:val="pl-PL"/>
        </w:rPr>
        <w:t>Leków</w:t>
      </w:r>
      <w:hyperlink r:id="rId7" w:history="1">
        <w:r w:rsidRPr="00275D64">
          <w:rPr>
            <w:rStyle w:val="Hyperlink"/>
            <w:lang w:val="pl-PL"/>
          </w:rPr>
          <w:t>http</w:t>
        </w:r>
        <w:proofErr w:type="spellEnd"/>
        <w:r w:rsidRPr="00275D64">
          <w:rPr>
            <w:rStyle w:val="Hyperlink"/>
            <w:lang w:val="pl-PL"/>
          </w:rPr>
          <w:t>://www.ema.europa.eu</w:t>
        </w:r>
      </w:hyperlink>
      <w:r w:rsidRPr="00275D64">
        <w:rPr>
          <w:color w:val="000000"/>
          <w:lang w:val="pl-PL"/>
        </w:rPr>
        <w:t>.</w:t>
      </w:r>
    </w:p>
    <w:p w14:paraId="47A4A346" w14:textId="77777777" w:rsidR="0059552A" w:rsidRPr="00275D64" w:rsidRDefault="0059552A" w:rsidP="00496272">
      <w:pPr>
        <w:tabs>
          <w:tab w:val="clear" w:pos="567"/>
        </w:tabs>
        <w:outlineLvl w:val="0"/>
        <w:rPr>
          <w:color w:val="000000"/>
          <w:szCs w:val="22"/>
          <w:lang w:val="pl-PL"/>
        </w:rPr>
      </w:pPr>
    </w:p>
    <w:p w14:paraId="12187D43" w14:textId="77777777" w:rsidR="0059552A" w:rsidRPr="00275D64" w:rsidRDefault="0059552A" w:rsidP="00496272">
      <w:pPr>
        <w:autoSpaceDE w:val="0"/>
        <w:autoSpaceDN w:val="0"/>
        <w:adjustRightInd w:val="0"/>
        <w:jc w:val="both"/>
        <w:rPr>
          <w:i/>
          <w:color w:val="000000"/>
          <w:szCs w:val="22"/>
          <w:u w:val="single"/>
          <w:lang w:val="pl-PL"/>
        </w:rPr>
      </w:pPr>
      <w:r w:rsidRPr="00275D64">
        <w:rPr>
          <w:i/>
          <w:color w:val="000000"/>
          <w:u w:val="single"/>
          <w:lang w:val="pl-PL"/>
        </w:rPr>
        <w:t>Działanie farmakodynamiczne</w:t>
      </w:r>
    </w:p>
    <w:p w14:paraId="508A3C18" w14:textId="77777777" w:rsidR="0059552A" w:rsidRPr="00275D64" w:rsidRDefault="0059552A" w:rsidP="00496272">
      <w:pPr>
        <w:tabs>
          <w:tab w:val="clear" w:pos="567"/>
        </w:tabs>
        <w:outlineLvl w:val="0"/>
        <w:rPr>
          <w:color w:val="000000"/>
          <w:szCs w:val="22"/>
          <w:lang w:val="pl-PL"/>
        </w:rPr>
      </w:pPr>
    </w:p>
    <w:p w14:paraId="62304CDE" w14:textId="77777777" w:rsidR="0059552A" w:rsidRPr="00275D64" w:rsidRDefault="0059552A" w:rsidP="00496272">
      <w:pPr>
        <w:tabs>
          <w:tab w:val="clear" w:pos="567"/>
        </w:tabs>
        <w:outlineLvl w:val="0"/>
        <w:rPr>
          <w:color w:val="000000"/>
          <w:szCs w:val="22"/>
          <w:lang w:val="pl-PL"/>
        </w:rPr>
      </w:pPr>
      <w:r w:rsidRPr="00275D64">
        <w:rPr>
          <w:color w:val="000000"/>
          <w:lang w:val="pl-PL"/>
        </w:rPr>
        <w:t>Najważniejszym działaniem wynikającym z pozajelitowego podania FSH u kobiet jest rozwój dojrzałych pęcherzyków Graafa. U kobiet z brakiem jajeczkowania celem leczenia folitropiną alfa jest rozwój pojedynczego dojrzałego pęcherzyka Graafa, z którego po podaniu hCG uwolni się komórka jajowa.</w:t>
      </w:r>
    </w:p>
    <w:p w14:paraId="7201CCEB" w14:textId="77777777" w:rsidR="0059552A" w:rsidRPr="00275D64" w:rsidRDefault="0059552A" w:rsidP="00496272">
      <w:pPr>
        <w:tabs>
          <w:tab w:val="clear" w:pos="567"/>
        </w:tabs>
        <w:outlineLvl w:val="0"/>
        <w:rPr>
          <w:color w:val="000000"/>
          <w:szCs w:val="22"/>
          <w:lang w:val="pl-PL"/>
        </w:rPr>
      </w:pPr>
    </w:p>
    <w:p w14:paraId="4A1F3F44" w14:textId="77777777" w:rsidR="0059552A" w:rsidRPr="00275D64" w:rsidRDefault="0059552A" w:rsidP="001529E6">
      <w:pPr>
        <w:keepNext/>
        <w:tabs>
          <w:tab w:val="clear" w:pos="567"/>
        </w:tabs>
        <w:outlineLvl w:val="0"/>
        <w:rPr>
          <w:i/>
          <w:iCs/>
          <w:color w:val="000000"/>
          <w:szCs w:val="22"/>
          <w:u w:val="single"/>
          <w:lang w:val="pl-PL"/>
        </w:rPr>
      </w:pPr>
      <w:r w:rsidRPr="00275D64">
        <w:rPr>
          <w:i/>
          <w:color w:val="000000"/>
          <w:u w:val="single"/>
          <w:lang w:val="pl-PL"/>
        </w:rPr>
        <w:lastRenderedPageBreak/>
        <w:t>Skuteczność kliniczna i bezpieczeństwo stosowania u kobiet</w:t>
      </w:r>
    </w:p>
    <w:p w14:paraId="2BCB0320" w14:textId="77777777" w:rsidR="0059552A" w:rsidRPr="00275D64" w:rsidRDefault="0059552A" w:rsidP="001529E6">
      <w:pPr>
        <w:keepNext/>
        <w:tabs>
          <w:tab w:val="clear" w:pos="567"/>
        </w:tabs>
        <w:outlineLvl w:val="0"/>
        <w:rPr>
          <w:color w:val="000000"/>
          <w:szCs w:val="22"/>
          <w:lang w:val="pl-PL"/>
        </w:rPr>
      </w:pPr>
    </w:p>
    <w:p w14:paraId="264399ED" w14:textId="77777777" w:rsidR="0059552A" w:rsidRPr="00275D64" w:rsidRDefault="0059552A" w:rsidP="00496272">
      <w:pPr>
        <w:tabs>
          <w:tab w:val="clear" w:pos="567"/>
        </w:tabs>
        <w:outlineLvl w:val="0"/>
        <w:rPr>
          <w:color w:val="000000"/>
          <w:szCs w:val="22"/>
          <w:lang w:val="pl-PL"/>
        </w:rPr>
      </w:pPr>
      <w:r w:rsidRPr="00275D64">
        <w:rPr>
          <w:color w:val="000000"/>
          <w:lang w:val="pl-PL"/>
        </w:rPr>
        <w:t>W badaniach klinicznych, pacjentki ze znacznym niedoborem FSH i LH były diagnozowane na podstawie stężenia LH w surowicy krwi &lt;1,2 j.m./l (wynik uzyskany w laboratorium centralnym). Jednakże trzeba się liczyć z tym, że wyniki pomiarów LH wykonywanych w różnych laboratoriach mogą się od siebie różnić.</w:t>
      </w:r>
    </w:p>
    <w:p w14:paraId="0A74CE86" w14:textId="77777777" w:rsidR="0059552A" w:rsidRPr="00275D64" w:rsidRDefault="0059552A" w:rsidP="00496272">
      <w:pPr>
        <w:tabs>
          <w:tab w:val="clear" w:pos="567"/>
        </w:tabs>
        <w:outlineLvl w:val="0"/>
        <w:rPr>
          <w:color w:val="000000"/>
          <w:szCs w:val="22"/>
          <w:lang w:val="pl-PL"/>
        </w:rPr>
      </w:pPr>
    </w:p>
    <w:p w14:paraId="3E23B1B6" w14:textId="77777777" w:rsidR="0059552A" w:rsidRPr="00275D64" w:rsidRDefault="0059552A" w:rsidP="00496272">
      <w:pPr>
        <w:tabs>
          <w:tab w:val="clear" w:pos="567"/>
        </w:tabs>
        <w:outlineLvl w:val="0"/>
        <w:rPr>
          <w:color w:val="000000"/>
          <w:szCs w:val="22"/>
          <w:lang w:val="pl-PL"/>
        </w:rPr>
      </w:pPr>
      <w:r w:rsidRPr="00275D64">
        <w:rPr>
          <w:color w:val="000000"/>
          <w:lang w:val="pl-PL"/>
        </w:rPr>
        <w:t>W badaniach klinicznych porównujących r</w:t>
      </w:r>
      <w:r w:rsidRPr="00275D64">
        <w:rPr>
          <w:color w:val="000000"/>
          <w:lang w:val="pl-PL"/>
        </w:rPr>
        <w:noBreakHyphen/>
        <w:t>hFSH (folitropina alfa) z produktami zawierającymi FSH uzyskiwany z moczu w ART (patrz tabela 3 poniżej) oraz w indukcji owulacji folitropina alfa była bardziej skuteczna od FSH uzyskiwanego z moczu w zakresie mniejszej dawki całkowitej i krótszego okresu leczenia wymaganego do wywołania dojrzałości pęcherzyków.</w:t>
      </w:r>
    </w:p>
    <w:p w14:paraId="7A657472" w14:textId="77777777" w:rsidR="0059552A" w:rsidRPr="00275D64" w:rsidRDefault="0059552A" w:rsidP="00496272">
      <w:pPr>
        <w:tabs>
          <w:tab w:val="clear" w:pos="567"/>
        </w:tabs>
        <w:outlineLvl w:val="0"/>
        <w:rPr>
          <w:color w:val="000000"/>
          <w:szCs w:val="22"/>
          <w:lang w:val="pl-PL"/>
        </w:rPr>
      </w:pPr>
    </w:p>
    <w:p w14:paraId="213137BF" w14:textId="77777777" w:rsidR="0059552A" w:rsidRPr="00275D64" w:rsidRDefault="0059552A" w:rsidP="00496272">
      <w:pPr>
        <w:tabs>
          <w:tab w:val="clear" w:pos="567"/>
        </w:tabs>
        <w:outlineLvl w:val="0"/>
        <w:rPr>
          <w:color w:val="000000"/>
          <w:szCs w:val="22"/>
          <w:lang w:val="pl-PL"/>
        </w:rPr>
      </w:pPr>
      <w:r w:rsidRPr="00275D64">
        <w:rPr>
          <w:color w:val="000000"/>
          <w:lang w:val="pl-PL"/>
        </w:rPr>
        <w:t>W ART mniejsza dawka całkowita folitropiny alfa podawana przez krótszy okres leczenia w porównaniu z FSH uzyskiwanym z moczu prowadziła do większej liczby pobranych komórek jajowych w porównaniu do FSH uzyskiwanego z moczu.</w:t>
      </w:r>
    </w:p>
    <w:p w14:paraId="78345773" w14:textId="77777777" w:rsidR="0059552A" w:rsidRPr="00275D64" w:rsidRDefault="0059552A" w:rsidP="00496272">
      <w:pPr>
        <w:tabs>
          <w:tab w:val="clear" w:pos="567"/>
        </w:tabs>
        <w:outlineLvl w:val="0"/>
        <w:rPr>
          <w:color w:val="000000"/>
          <w:szCs w:val="22"/>
          <w:lang w:val="pl-PL"/>
        </w:rPr>
      </w:pPr>
    </w:p>
    <w:p w14:paraId="0B0BD868" w14:textId="3B96A106" w:rsidR="0059552A" w:rsidRPr="00275D64" w:rsidRDefault="0059552A" w:rsidP="00496272">
      <w:pPr>
        <w:tabs>
          <w:tab w:val="clear" w:pos="567"/>
        </w:tabs>
        <w:outlineLvl w:val="0"/>
        <w:rPr>
          <w:color w:val="000000"/>
          <w:szCs w:val="22"/>
          <w:lang w:val="pl-PL"/>
        </w:rPr>
      </w:pPr>
      <w:r w:rsidRPr="00275D64">
        <w:rPr>
          <w:color w:val="000000"/>
          <w:szCs w:val="22"/>
          <w:lang w:val="pl-PL"/>
        </w:rPr>
        <w:t>Tabela 3: Wyniki badania GF 8407 (randomizowane badanie prowadzone w grupach równoległych, porównujące skuteczność i bezpieczeństwo stosowania folitropiny alfa z FSH uzyskiwanym z moczu, w technikach wspomaganego rozrodu)</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59552A" w:rsidRPr="00275D64" w14:paraId="65282848" w14:textId="77777777" w:rsidTr="004D7F24">
        <w:tc>
          <w:tcPr>
            <w:tcW w:w="3652" w:type="dxa"/>
            <w:tcBorders>
              <w:right w:val="single" w:sz="4" w:space="0" w:color="auto"/>
            </w:tcBorders>
          </w:tcPr>
          <w:p w14:paraId="5D744E23" w14:textId="77777777" w:rsidR="0059552A" w:rsidRPr="00275D64" w:rsidRDefault="0059552A" w:rsidP="00496272">
            <w:pPr>
              <w:keepNext/>
              <w:keepLines/>
              <w:tabs>
                <w:tab w:val="clear" w:pos="567"/>
              </w:tabs>
              <w:outlineLvl w:val="0"/>
              <w:rPr>
                <w:color w:val="000000"/>
                <w:szCs w:val="22"/>
                <w:lang w:val="pl-PL"/>
              </w:rPr>
            </w:pPr>
          </w:p>
        </w:tc>
        <w:tc>
          <w:tcPr>
            <w:tcW w:w="2126" w:type="dxa"/>
            <w:tcBorders>
              <w:left w:val="single" w:sz="4" w:space="0" w:color="auto"/>
              <w:right w:val="single" w:sz="4" w:space="0" w:color="auto"/>
            </w:tcBorders>
          </w:tcPr>
          <w:p w14:paraId="51E66B08" w14:textId="77777777" w:rsidR="0059552A" w:rsidRPr="00275D64" w:rsidRDefault="0059552A" w:rsidP="00496272">
            <w:pPr>
              <w:keepNext/>
              <w:keepLines/>
              <w:tabs>
                <w:tab w:val="clear" w:pos="567"/>
              </w:tabs>
              <w:autoSpaceDE w:val="0"/>
              <w:autoSpaceDN w:val="0"/>
              <w:adjustRightInd w:val="0"/>
              <w:jc w:val="center"/>
              <w:rPr>
                <w:bCs/>
                <w:color w:val="000000"/>
                <w:szCs w:val="22"/>
                <w:lang w:val="pl-PL"/>
              </w:rPr>
            </w:pPr>
            <w:r w:rsidRPr="00275D64">
              <w:rPr>
                <w:color w:val="000000"/>
                <w:lang w:val="pl-PL"/>
              </w:rPr>
              <w:t>folitropina alfa</w:t>
            </w:r>
          </w:p>
          <w:p w14:paraId="0FA4F557"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(n = 130)</w:t>
            </w:r>
          </w:p>
        </w:tc>
        <w:tc>
          <w:tcPr>
            <w:tcW w:w="2268" w:type="dxa"/>
            <w:tcBorders>
              <w:left w:val="single" w:sz="4" w:space="0" w:color="auto"/>
            </w:tcBorders>
          </w:tcPr>
          <w:p w14:paraId="4664BF81" w14:textId="77777777" w:rsidR="0059552A" w:rsidRPr="00275D64" w:rsidRDefault="0059552A" w:rsidP="00496272">
            <w:pPr>
              <w:keepNext/>
              <w:keepLines/>
              <w:tabs>
                <w:tab w:val="clear" w:pos="567"/>
              </w:tabs>
              <w:autoSpaceDE w:val="0"/>
              <w:autoSpaceDN w:val="0"/>
              <w:adjustRightInd w:val="0"/>
              <w:jc w:val="center"/>
              <w:rPr>
                <w:bCs/>
                <w:color w:val="000000"/>
                <w:szCs w:val="22"/>
                <w:lang w:val="pl-PL"/>
              </w:rPr>
            </w:pPr>
            <w:r w:rsidRPr="00275D64">
              <w:rPr>
                <w:color w:val="000000"/>
                <w:lang w:val="pl-PL"/>
              </w:rPr>
              <w:t>FSH z moczu</w:t>
            </w:r>
          </w:p>
          <w:p w14:paraId="22139AD9"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(n = 116)</w:t>
            </w:r>
          </w:p>
        </w:tc>
      </w:tr>
      <w:tr w:rsidR="0059552A" w:rsidRPr="00275D64" w14:paraId="058DEB3C" w14:textId="77777777" w:rsidTr="004D7F24">
        <w:tc>
          <w:tcPr>
            <w:tcW w:w="3652" w:type="dxa"/>
            <w:tcBorders>
              <w:right w:val="single" w:sz="4" w:space="0" w:color="auto"/>
            </w:tcBorders>
          </w:tcPr>
          <w:p w14:paraId="509E4DDD" w14:textId="77777777" w:rsidR="0059552A" w:rsidRPr="00275D64" w:rsidRDefault="0059552A" w:rsidP="00496272">
            <w:pPr>
              <w:keepNext/>
              <w:keepLines/>
              <w:tabs>
                <w:tab w:val="clear" w:pos="567"/>
              </w:tabs>
              <w:outlineLvl w:val="0"/>
              <w:rPr>
                <w:color w:val="000000"/>
                <w:szCs w:val="22"/>
                <w:lang w:val="pl-PL"/>
              </w:rPr>
            </w:pPr>
            <w:r w:rsidRPr="00275D64">
              <w:rPr>
                <w:color w:val="000000"/>
                <w:lang w:val="pl-PL"/>
              </w:rPr>
              <w:t>Liczba pobranych komórek jajowych</w:t>
            </w:r>
          </w:p>
        </w:tc>
        <w:tc>
          <w:tcPr>
            <w:tcW w:w="2126" w:type="dxa"/>
            <w:tcBorders>
              <w:left w:val="single" w:sz="4" w:space="0" w:color="auto"/>
              <w:right w:val="single" w:sz="4" w:space="0" w:color="auto"/>
            </w:tcBorders>
          </w:tcPr>
          <w:p w14:paraId="641DECDA"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11,0 ± 5,9</w:t>
            </w:r>
          </w:p>
        </w:tc>
        <w:tc>
          <w:tcPr>
            <w:tcW w:w="2268" w:type="dxa"/>
            <w:tcBorders>
              <w:left w:val="single" w:sz="4" w:space="0" w:color="auto"/>
            </w:tcBorders>
          </w:tcPr>
          <w:p w14:paraId="6B1451AB"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8,8 ± 4,8</w:t>
            </w:r>
          </w:p>
        </w:tc>
      </w:tr>
      <w:tr w:rsidR="0059552A" w:rsidRPr="00275D64" w14:paraId="24AACB92" w14:textId="77777777" w:rsidTr="004D7F24">
        <w:tc>
          <w:tcPr>
            <w:tcW w:w="3652" w:type="dxa"/>
            <w:tcBorders>
              <w:right w:val="single" w:sz="4" w:space="0" w:color="auto"/>
            </w:tcBorders>
          </w:tcPr>
          <w:p w14:paraId="308615AB" w14:textId="77777777" w:rsidR="0059552A" w:rsidRPr="00275D64" w:rsidRDefault="0059552A" w:rsidP="00496272">
            <w:pPr>
              <w:keepNext/>
              <w:keepLines/>
              <w:tabs>
                <w:tab w:val="clear" w:pos="567"/>
              </w:tabs>
              <w:outlineLvl w:val="0"/>
              <w:rPr>
                <w:color w:val="000000"/>
                <w:szCs w:val="22"/>
                <w:lang w:val="pl-PL"/>
              </w:rPr>
            </w:pPr>
            <w:r w:rsidRPr="00275D64">
              <w:rPr>
                <w:color w:val="000000"/>
                <w:lang w:val="pl-PL"/>
              </w:rPr>
              <w:t>Liczba wymaganych dni stymulacji FSH</w:t>
            </w:r>
          </w:p>
        </w:tc>
        <w:tc>
          <w:tcPr>
            <w:tcW w:w="2126" w:type="dxa"/>
            <w:tcBorders>
              <w:left w:val="single" w:sz="4" w:space="0" w:color="auto"/>
              <w:right w:val="single" w:sz="4" w:space="0" w:color="auto"/>
            </w:tcBorders>
          </w:tcPr>
          <w:p w14:paraId="22FA15CB"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11,7 ± 1,9</w:t>
            </w:r>
          </w:p>
        </w:tc>
        <w:tc>
          <w:tcPr>
            <w:tcW w:w="2268" w:type="dxa"/>
            <w:tcBorders>
              <w:left w:val="single" w:sz="4" w:space="0" w:color="auto"/>
            </w:tcBorders>
          </w:tcPr>
          <w:p w14:paraId="6F22C9F6"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14,5 ± 3,3</w:t>
            </w:r>
          </w:p>
        </w:tc>
      </w:tr>
      <w:tr w:rsidR="0059552A" w:rsidRPr="00275D64" w14:paraId="295DBFB0" w14:textId="77777777" w:rsidTr="004D7F24">
        <w:tc>
          <w:tcPr>
            <w:tcW w:w="3652" w:type="dxa"/>
            <w:tcBorders>
              <w:right w:val="single" w:sz="4" w:space="0" w:color="auto"/>
            </w:tcBorders>
          </w:tcPr>
          <w:p w14:paraId="4750546A" w14:textId="77777777" w:rsidR="0059552A" w:rsidRPr="00275D64" w:rsidRDefault="0059552A" w:rsidP="00496272">
            <w:pPr>
              <w:keepNext/>
              <w:keepLines/>
              <w:tabs>
                <w:tab w:val="clear" w:pos="567"/>
              </w:tabs>
              <w:outlineLvl w:val="0"/>
              <w:rPr>
                <w:color w:val="000000"/>
                <w:szCs w:val="22"/>
                <w:lang w:val="pl-PL"/>
              </w:rPr>
            </w:pPr>
            <w:r w:rsidRPr="00275D64">
              <w:rPr>
                <w:color w:val="000000"/>
                <w:lang w:val="pl-PL"/>
              </w:rPr>
              <w:t>Wymagana dawka całkowita FSH (liczba ampułek zawierających 75 j.m. FSH)</w:t>
            </w:r>
          </w:p>
        </w:tc>
        <w:tc>
          <w:tcPr>
            <w:tcW w:w="2126" w:type="dxa"/>
            <w:tcBorders>
              <w:left w:val="single" w:sz="4" w:space="0" w:color="auto"/>
              <w:right w:val="single" w:sz="4" w:space="0" w:color="auto"/>
            </w:tcBorders>
          </w:tcPr>
          <w:p w14:paraId="6FC33F12"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27,6 ± 10,2</w:t>
            </w:r>
          </w:p>
        </w:tc>
        <w:tc>
          <w:tcPr>
            <w:tcW w:w="2268" w:type="dxa"/>
            <w:tcBorders>
              <w:left w:val="single" w:sz="4" w:space="0" w:color="auto"/>
            </w:tcBorders>
          </w:tcPr>
          <w:p w14:paraId="30578A34"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40,7 ± 13,6</w:t>
            </w:r>
          </w:p>
        </w:tc>
      </w:tr>
      <w:tr w:rsidR="0059552A" w:rsidRPr="00275D64" w14:paraId="6EA9B5D4" w14:textId="77777777" w:rsidTr="004D7F24">
        <w:tc>
          <w:tcPr>
            <w:tcW w:w="3652" w:type="dxa"/>
            <w:tcBorders>
              <w:right w:val="single" w:sz="4" w:space="0" w:color="auto"/>
            </w:tcBorders>
          </w:tcPr>
          <w:p w14:paraId="0C8F91C4" w14:textId="77777777" w:rsidR="0059552A" w:rsidRPr="00275D64" w:rsidRDefault="0059552A" w:rsidP="00496272">
            <w:pPr>
              <w:keepNext/>
              <w:keepLines/>
              <w:tabs>
                <w:tab w:val="clear" w:pos="567"/>
              </w:tabs>
              <w:outlineLvl w:val="0"/>
              <w:rPr>
                <w:color w:val="000000"/>
                <w:szCs w:val="22"/>
                <w:lang w:val="pl-PL"/>
              </w:rPr>
            </w:pPr>
            <w:r w:rsidRPr="00275D64">
              <w:rPr>
                <w:color w:val="000000"/>
                <w:lang w:val="pl-PL"/>
              </w:rPr>
              <w:t>Konieczność zwiększenia dawki (%)</w:t>
            </w:r>
          </w:p>
        </w:tc>
        <w:tc>
          <w:tcPr>
            <w:tcW w:w="2126" w:type="dxa"/>
            <w:tcBorders>
              <w:left w:val="single" w:sz="4" w:space="0" w:color="auto"/>
              <w:right w:val="single" w:sz="4" w:space="0" w:color="auto"/>
            </w:tcBorders>
          </w:tcPr>
          <w:p w14:paraId="7AD7C2F9"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56,2</w:t>
            </w:r>
          </w:p>
        </w:tc>
        <w:tc>
          <w:tcPr>
            <w:tcW w:w="2268" w:type="dxa"/>
            <w:tcBorders>
              <w:left w:val="single" w:sz="4" w:space="0" w:color="auto"/>
            </w:tcBorders>
          </w:tcPr>
          <w:p w14:paraId="425FC231" w14:textId="77777777" w:rsidR="0059552A" w:rsidRPr="00275D64" w:rsidRDefault="0059552A" w:rsidP="00496272">
            <w:pPr>
              <w:keepNext/>
              <w:keepLines/>
              <w:tabs>
                <w:tab w:val="clear" w:pos="567"/>
              </w:tabs>
              <w:jc w:val="center"/>
              <w:outlineLvl w:val="0"/>
              <w:rPr>
                <w:color w:val="000000"/>
                <w:szCs w:val="22"/>
                <w:lang w:val="pl-PL"/>
              </w:rPr>
            </w:pPr>
            <w:r w:rsidRPr="00275D64">
              <w:rPr>
                <w:color w:val="000000"/>
                <w:lang w:val="pl-PL"/>
              </w:rPr>
              <w:t>85,3</w:t>
            </w:r>
          </w:p>
        </w:tc>
      </w:tr>
    </w:tbl>
    <w:p w14:paraId="76521131" w14:textId="77777777" w:rsidR="0059552A" w:rsidRPr="00275D64" w:rsidRDefault="0059552A" w:rsidP="00496272">
      <w:pPr>
        <w:tabs>
          <w:tab w:val="clear" w:pos="567"/>
        </w:tabs>
        <w:outlineLvl w:val="0"/>
        <w:rPr>
          <w:color w:val="000000"/>
          <w:lang w:val="pl-PL"/>
        </w:rPr>
      </w:pPr>
    </w:p>
    <w:p w14:paraId="456A896D" w14:textId="77777777" w:rsidR="0059552A" w:rsidRPr="00275D64" w:rsidRDefault="0059552A" w:rsidP="00496272">
      <w:pPr>
        <w:tabs>
          <w:tab w:val="clear" w:pos="567"/>
        </w:tabs>
        <w:outlineLvl w:val="0"/>
        <w:rPr>
          <w:color w:val="000000"/>
          <w:lang w:val="pl-PL"/>
        </w:rPr>
      </w:pPr>
      <w:r w:rsidRPr="00275D64">
        <w:rPr>
          <w:color w:val="000000"/>
          <w:lang w:val="pl-PL"/>
        </w:rPr>
        <w:t>Różnice pomiędzy 2 grupami były statystycznie znamienne (p&lt;0,05) dla wszystkich wymienionych kryteriów.</w:t>
      </w:r>
    </w:p>
    <w:p w14:paraId="2326E18F" w14:textId="77777777" w:rsidR="0059552A" w:rsidRPr="00275D64" w:rsidRDefault="0059552A" w:rsidP="00496272">
      <w:pPr>
        <w:tabs>
          <w:tab w:val="clear" w:pos="567"/>
        </w:tabs>
        <w:outlineLvl w:val="0"/>
        <w:rPr>
          <w:color w:val="000000"/>
          <w:szCs w:val="22"/>
          <w:lang w:val="pl-PL"/>
        </w:rPr>
      </w:pPr>
    </w:p>
    <w:p w14:paraId="25A7DEF4" w14:textId="77777777" w:rsidR="0059552A" w:rsidRPr="00275D64" w:rsidRDefault="0059552A" w:rsidP="00496272">
      <w:pPr>
        <w:tabs>
          <w:tab w:val="clear" w:pos="567"/>
        </w:tabs>
        <w:outlineLvl w:val="0"/>
        <w:rPr>
          <w:i/>
          <w:iCs/>
          <w:color w:val="000000"/>
          <w:szCs w:val="22"/>
          <w:u w:val="single"/>
          <w:lang w:val="pl-PL"/>
        </w:rPr>
      </w:pPr>
      <w:r w:rsidRPr="00275D64">
        <w:rPr>
          <w:i/>
          <w:color w:val="000000"/>
          <w:u w:val="single"/>
          <w:lang w:val="pl-PL"/>
        </w:rPr>
        <w:t>Skuteczność kliniczna i bezpieczeństwo stosowania u mężczyzn</w:t>
      </w:r>
    </w:p>
    <w:p w14:paraId="3420EC5E" w14:textId="77777777" w:rsidR="0059552A" w:rsidRPr="00275D64" w:rsidRDefault="0059552A" w:rsidP="00496272">
      <w:pPr>
        <w:tabs>
          <w:tab w:val="clear" w:pos="567"/>
        </w:tabs>
        <w:outlineLvl w:val="0"/>
        <w:rPr>
          <w:color w:val="000000"/>
          <w:szCs w:val="22"/>
          <w:lang w:val="pl-PL"/>
        </w:rPr>
      </w:pPr>
    </w:p>
    <w:p w14:paraId="6E188EB0" w14:textId="77777777" w:rsidR="0059552A" w:rsidRPr="00275D64" w:rsidRDefault="0059552A" w:rsidP="00496272">
      <w:pPr>
        <w:tabs>
          <w:tab w:val="clear" w:pos="567"/>
        </w:tabs>
        <w:outlineLvl w:val="0"/>
        <w:rPr>
          <w:color w:val="000000"/>
          <w:szCs w:val="22"/>
          <w:lang w:val="pl-PL"/>
        </w:rPr>
      </w:pPr>
      <w:r w:rsidRPr="00275D64">
        <w:rPr>
          <w:color w:val="000000"/>
          <w:lang w:val="pl-PL"/>
        </w:rPr>
        <w:t>Podawanie folitropiny alfa w skojarzeniu z hCG przez co najmniej 4 miesiące u mężczyzn z niedoborem FSH prowadzi do pobudzenia spermatogenezy.</w:t>
      </w:r>
    </w:p>
    <w:p w14:paraId="3F26ED26" w14:textId="77777777" w:rsidR="0059552A" w:rsidRPr="00275D64" w:rsidRDefault="0059552A" w:rsidP="001178A0">
      <w:pPr>
        <w:numPr>
          <w:ilvl w:val="12"/>
          <w:numId w:val="0"/>
        </w:numPr>
        <w:ind w:right="-2"/>
        <w:rPr>
          <w:iCs/>
          <w:szCs w:val="22"/>
          <w:lang w:val="pl-PL"/>
        </w:rPr>
      </w:pPr>
    </w:p>
    <w:p w14:paraId="5364A458" w14:textId="77777777" w:rsidR="0059552A" w:rsidRPr="00275D64" w:rsidRDefault="0059552A" w:rsidP="008B3680">
      <w:pPr>
        <w:keepNext/>
        <w:keepLines/>
        <w:ind w:left="567" w:hanging="567"/>
        <w:outlineLvl w:val="0"/>
        <w:rPr>
          <w:b/>
          <w:szCs w:val="22"/>
          <w:lang w:val="pl-PL"/>
        </w:rPr>
      </w:pPr>
      <w:r w:rsidRPr="00275D64">
        <w:rPr>
          <w:b/>
          <w:lang w:val="pl-PL"/>
        </w:rPr>
        <w:t>5.2</w:t>
      </w:r>
      <w:r w:rsidRPr="00275D64">
        <w:rPr>
          <w:lang w:val="pl-PL"/>
        </w:rPr>
        <w:tab/>
      </w:r>
      <w:r w:rsidRPr="00275D64">
        <w:rPr>
          <w:b/>
          <w:lang w:val="pl-PL"/>
        </w:rPr>
        <w:t>Właściwości farmakokinetyczne</w:t>
      </w:r>
    </w:p>
    <w:p w14:paraId="5701A021" w14:textId="77777777" w:rsidR="0059552A" w:rsidRPr="00275D64" w:rsidRDefault="0059552A" w:rsidP="008B3680">
      <w:pPr>
        <w:keepNext/>
        <w:keepLines/>
        <w:numPr>
          <w:ilvl w:val="12"/>
          <w:numId w:val="0"/>
        </w:numPr>
        <w:ind w:right="-2"/>
        <w:rPr>
          <w:iCs/>
          <w:szCs w:val="22"/>
          <w:lang w:val="pl-PL"/>
        </w:rPr>
      </w:pPr>
    </w:p>
    <w:p w14:paraId="7468FBDC" w14:textId="77777777" w:rsidR="0059552A" w:rsidRPr="00275D64" w:rsidRDefault="0059552A" w:rsidP="008B3680">
      <w:pPr>
        <w:keepNext/>
        <w:keepLines/>
        <w:numPr>
          <w:ilvl w:val="12"/>
          <w:numId w:val="0"/>
        </w:numPr>
        <w:ind w:right="-2"/>
        <w:rPr>
          <w:iCs/>
          <w:color w:val="000000"/>
          <w:szCs w:val="22"/>
          <w:lang w:val="pl-PL"/>
        </w:rPr>
      </w:pPr>
      <w:r w:rsidRPr="00275D64">
        <w:rPr>
          <w:color w:val="000000"/>
          <w:lang w:val="pl-PL"/>
        </w:rPr>
        <w:t>Folitropina alfa podana dożylnie przenika do przestrzeni płynu pozakomórkowego z okresem półtrwania dla fazy początkowej wynoszącym około 2 godzin i jest wydalana z organizmu z okresem półtrwania dla fazy końcowej wynoszącym około 1 dnia. Objętość dystrybucji i całkowity klirens w stanie stacjonarnym wynosi odpowiednio 10 l i 0,6 l/h. 1/8 dawki folitropiny alfa ulega wydaleniu z moczem.</w:t>
      </w:r>
    </w:p>
    <w:p w14:paraId="7A931A02" w14:textId="77777777" w:rsidR="0059552A" w:rsidRPr="00275D64" w:rsidRDefault="0059552A" w:rsidP="00496272">
      <w:pPr>
        <w:numPr>
          <w:ilvl w:val="12"/>
          <w:numId w:val="0"/>
        </w:numPr>
        <w:ind w:right="-2"/>
        <w:rPr>
          <w:iCs/>
          <w:color w:val="000000"/>
          <w:szCs w:val="22"/>
          <w:lang w:val="pl-PL"/>
        </w:rPr>
      </w:pPr>
    </w:p>
    <w:p w14:paraId="7859BEED" w14:textId="77777777" w:rsidR="0059552A" w:rsidRPr="00275D64" w:rsidRDefault="0059552A" w:rsidP="00496272">
      <w:pPr>
        <w:numPr>
          <w:ilvl w:val="12"/>
          <w:numId w:val="0"/>
        </w:numPr>
        <w:ind w:right="-2"/>
        <w:rPr>
          <w:iCs/>
          <w:color w:val="000000"/>
          <w:szCs w:val="22"/>
          <w:lang w:val="pl-PL"/>
        </w:rPr>
      </w:pPr>
      <w:r w:rsidRPr="00275D64">
        <w:rPr>
          <w:color w:val="000000"/>
          <w:lang w:val="pl-PL"/>
        </w:rPr>
        <w:t>Bezwzględna biodostępność leku po podaniu podskórnym wynosi około 70%. Po wielokrotnych podaniach folitropina alfa ulega 3</w:t>
      </w:r>
      <w:r w:rsidRPr="00275D64">
        <w:rPr>
          <w:lang w:val="pl-PL"/>
        </w:rPr>
        <w:noBreakHyphen/>
      </w:r>
      <w:r w:rsidRPr="00275D64">
        <w:rPr>
          <w:color w:val="000000"/>
          <w:lang w:val="pl-PL"/>
        </w:rPr>
        <w:t>krotnej kumulacji, osiągając stężenie w stanie stacjonarnym w ciągu 3</w:t>
      </w:r>
      <w:r w:rsidRPr="00275D64">
        <w:rPr>
          <w:lang w:val="pl-PL"/>
        </w:rPr>
        <w:noBreakHyphen/>
      </w:r>
      <w:r w:rsidRPr="00275D64">
        <w:rPr>
          <w:color w:val="000000"/>
          <w:lang w:val="pl-PL"/>
        </w:rPr>
        <w:t>4 dni. Wykazano, że u kobiet z zahamowanym endogennym wydzielaniem gonadotropin, folitropina alfa skutecznie pobudza dojrzewanie pęcherzyków jajnikowych oraz steroidogenezę, pomimo nieoznaczalnego stężenia LH.</w:t>
      </w:r>
    </w:p>
    <w:p w14:paraId="25FE8236" w14:textId="77777777" w:rsidR="0059552A" w:rsidRPr="00275D64" w:rsidRDefault="0059552A" w:rsidP="00496272">
      <w:pPr>
        <w:numPr>
          <w:ilvl w:val="12"/>
          <w:numId w:val="0"/>
        </w:numPr>
        <w:ind w:right="-2"/>
        <w:rPr>
          <w:iCs/>
          <w:szCs w:val="22"/>
          <w:lang w:val="pl-PL"/>
        </w:rPr>
      </w:pPr>
    </w:p>
    <w:p w14:paraId="2FD60BB0" w14:textId="77777777" w:rsidR="0059552A" w:rsidRPr="00275D64" w:rsidRDefault="0059552A" w:rsidP="00FB09BC">
      <w:pPr>
        <w:keepNext/>
        <w:keepLines/>
        <w:ind w:left="567" w:hanging="567"/>
        <w:outlineLvl w:val="0"/>
        <w:rPr>
          <w:szCs w:val="22"/>
          <w:lang w:val="pl-PL"/>
        </w:rPr>
      </w:pPr>
      <w:r w:rsidRPr="00275D64">
        <w:rPr>
          <w:b/>
          <w:lang w:val="pl-PL"/>
        </w:rPr>
        <w:t>5.3</w:t>
      </w:r>
      <w:r w:rsidRPr="00275D64">
        <w:rPr>
          <w:lang w:val="pl-PL"/>
        </w:rPr>
        <w:tab/>
      </w:r>
      <w:r w:rsidRPr="00275D64">
        <w:rPr>
          <w:b/>
          <w:lang w:val="pl-PL"/>
        </w:rPr>
        <w:t>Przedkliniczne dane o bezpieczeństwie</w:t>
      </w:r>
    </w:p>
    <w:p w14:paraId="418B3003" w14:textId="77777777" w:rsidR="0059552A" w:rsidRPr="00275D64" w:rsidRDefault="0059552A" w:rsidP="00FB09BC">
      <w:pPr>
        <w:keepNext/>
        <w:keepLines/>
        <w:rPr>
          <w:szCs w:val="22"/>
          <w:lang w:val="pl-PL"/>
        </w:rPr>
      </w:pPr>
    </w:p>
    <w:p w14:paraId="13BDAB19" w14:textId="77777777" w:rsidR="0059552A" w:rsidRPr="00275D64" w:rsidRDefault="0059552A" w:rsidP="00FB09BC">
      <w:pPr>
        <w:keepNext/>
        <w:keepLines/>
        <w:tabs>
          <w:tab w:val="clear" w:pos="567"/>
        </w:tabs>
        <w:rPr>
          <w:color w:val="000000"/>
          <w:szCs w:val="22"/>
          <w:lang w:val="pl-PL"/>
        </w:rPr>
      </w:pPr>
      <w:r w:rsidRPr="00275D64">
        <w:rPr>
          <w:color w:val="000000"/>
          <w:lang w:val="pl-PL"/>
        </w:rPr>
        <w:t>Dane niekliniczne, wynikające z konwencjonalnych badań toksyczności po podaniu jedno- i wielokrotnym i genotoksyczności, nie ujawniają szczególnego zagrożenia dla człowieka, ponad te, które zostały opisane w innych punktach tej ChPL.</w:t>
      </w:r>
    </w:p>
    <w:p w14:paraId="6E59A6E9" w14:textId="77777777" w:rsidR="0059552A" w:rsidRPr="00275D64" w:rsidRDefault="0059552A" w:rsidP="00496272">
      <w:pPr>
        <w:tabs>
          <w:tab w:val="clear" w:pos="567"/>
        </w:tabs>
        <w:rPr>
          <w:color w:val="000000"/>
          <w:szCs w:val="22"/>
          <w:lang w:val="pl-PL"/>
        </w:rPr>
      </w:pPr>
    </w:p>
    <w:p w14:paraId="006527C4" w14:textId="77777777" w:rsidR="0059552A" w:rsidRPr="00275D64" w:rsidRDefault="0059552A" w:rsidP="00496272">
      <w:pPr>
        <w:tabs>
          <w:tab w:val="clear" w:pos="567"/>
        </w:tabs>
        <w:rPr>
          <w:color w:val="000000"/>
          <w:szCs w:val="22"/>
          <w:lang w:val="pl-PL"/>
        </w:rPr>
      </w:pPr>
      <w:r w:rsidRPr="00275D64">
        <w:rPr>
          <w:color w:val="000000"/>
          <w:lang w:val="pl-PL"/>
        </w:rPr>
        <w:lastRenderedPageBreak/>
        <w:t>Donoszono o zaburzeniach płodności w wyniku zmniejszonej zdolności do zapłodnienia u szczurów, którym długotrwale podawano dawki farmakologiczne folitropiny alfa (≥40 j.m./kg/dobę).</w:t>
      </w:r>
    </w:p>
    <w:p w14:paraId="43B34C11" w14:textId="77777777" w:rsidR="0059552A" w:rsidRPr="00275D64" w:rsidRDefault="0059552A" w:rsidP="00496272">
      <w:pPr>
        <w:tabs>
          <w:tab w:val="clear" w:pos="567"/>
        </w:tabs>
        <w:rPr>
          <w:color w:val="000000"/>
          <w:szCs w:val="22"/>
          <w:lang w:val="pl-PL"/>
        </w:rPr>
      </w:pPr>
    </w:p>
    <w:p w14:paraId="5079F50E" w14:textId="77777777" w:rsidR="0059552A" w:rsidRPr="00275D64" w:rsidRDefault="0059552A" w:rsidP="00496272">
      <w:pPr>
        <w:tabs>
          <w:tab w:val="clear" w:pos="567"/>
        </w:tabs>
        <w:rPr>
          <w:color w:val="000000"/>
          <w:szCs w:val="22"/>
          <w:lang w:val="pl-PL"/>
        </w:rPr>
      </w:pPr>
      <w:r w:rsidRPr="00275D64">
        <w:rPr>
          <w:color w:val="000000"/>
          <w:lang w:val="pl-PL"/>
        </w:rPr>
        <w:t>Folitropina alfa podawana w dużych dawkach (≥5 j.m./kg/dobę) była przyczyną zmniejszonej ilości zdolnych do życia płodów, niewykazujących jednak objawów teratogenności, oraz była przyczyną dystocji podobnej do tej obserwowanej po stosowaniu ludzkiej menopauzalnej gonadotropiny otrzymywanej z moczu (hMG). Jednak w związku z tym, że produkt leczniczy Ovaleap jest przeciwwskazany u kobiet w ciąży, dane te mają ograniczone znaczenie kliniczne.</w:t>
      </w:r>
    </w:p>
    <w:p w14:paraId="71BAE9E2" w14:textId="77777777" w:rsidR="0059552A" w:rsidRPr="00275D64" w:rsidRDefault="0059552A" w:rsidP="00496272">
      <w:pPr>
        <w:rPr>
          <w:szCs w:val="22"/>
          <w:lang w:val="pl-PL"/>
        </w:rPr>
      </w:pPr>
    </w:p>
    <w:p w14:paraId="2AAB6E1A" w14:textId="77777777" w:rsidR="0059552A" w:rsidRPr="00275D64" w:rsidRDefault="0059552A" w:rsidP="00496272">
      <w:pPr>
        <w:rPr>
          <w:szCs w:val="22"/>
          <w:lang w:val="pl-PL"/>
        </w:rPr>
      </w:pPr>
    </w:p>
    <w:p w14:paraId="0DAB9D9C" w14:textId="77777777" w:rsidR="0059552A" w:rsidRPr="00275D64" w:rsidRDefault="0059552A" w:rsidP="00496272">
      <w:pPr>
        <w:keepNext/>
        <w:keepLines/>
        <w:ind w:left="567" w:hanging="567"/>
        <w:rPr>
          <w:b/>
          <w:szCs w:val="22"/>
          <w:lang w:val="pl-PL"/>
        </w:rPr>
      </w:pPr>
      <w:r w:rsidRPr="00275D64">
        <w:rPr>
          <w:b/>
          <w:lang w:val="pl-PL"/>
        </w:rPr>
        <w:t>6.</w:t>
      </w:r>
      <w:r w:rsidRPr="00275D64">
        <w:rPr>
          <w:lang w:val="pl-PL"/>
        </w:rPr>
        <w:tab/>
      </w:r>
      <w:r w:rsidRPr="00275D64">
        <w:rPr>
          <w:b/>
          <w:lang w:val="pl-PL"/>
        </w:rPr>
        <w:t>DANE FARMACEUTYCZNE</w:t>
      </w:r>
    </w:p>
    <w:p w14:paraId="0BCA2C10" w14:textId="77777777" w:rsidR="0059552A" w:rsidRPr="00275D64" w:rsidRDefault="0059552A" w:rsidP="00496272">
      <w:pPr>
        <w:keepNext/>
        <w:keepLines/>
        <w:rPr>
          <w:szCs w:val="22"/>
          <w:lang w:val="pl-PL"/>
        </w:rPr>
      </w:pPr>
    </w:p>
    <w:p w14:paraId="660912BD" w14:textId="77777777" w:rsidR="0059552A" w:rsidRPr="00275D64" w:rsidRDefault="0059552A" w:rsidP="00496272">
      <w:pPr>
        <w:keepNext/>
        <w:keepLines/>
        <w:ind w:left="567" w:hanging="567"/>
        <w:outlineLvl w:val="0"/>
        <w:rPr>
          <w:szCs w:val="22"/>
          <w:lang w:val="pl-PL"/>
        </w:rPr>
      </w:pPr>
      <w:r w:rsidRPr="00275D64">
        <w:rPr>
          <w:b/>
          <w:lang w:val="pl-PL"/>
        </w:rPr>
        <w:t>6.1</w:t>
      </w:r>
      <w:r w:rsidRPr="00275D64">
        <w:rPr>
          <w:lang w:val="pl-PL"/>
        </w:rPr>
        <w:tab/>
      </w:r>
      <w:r w:rsidRPr="00275D64">
        <w:rPr>
          <w:b/>
          <w:lang w:val="pl-PL"/>
        </w:rPr>
        <w:t>Wykaz substancji pomocniczych</w:t>
      </w:r>
    </w:p>
    <w:p w14:paraId="0520CDF5" w14:textId="77777777" w:rsidR="0059552A" w:rsidRPr="00275D64" w:rsidRDefault="0059552A" w:rsidP="00496272">
      <w:pPr>
        <w:rPr>
          <w:szCs w:val="22"/>
          <w:lang w:val="pl-PL"/>
        </w:rPr>
      </w:pPr>
    </w:p>
    <w:p w14:paraId="5689D5B1" w14:textId="77777777" w:rsidR="0059552A" w:rsidRPr="00275D64" w:rsidRDefault="0059552A" w:rsidP="00496272">
      <w:pPr>
        <w:tabs>
          <w:tab w:val="clear" w:pos="567"/>
        </w:tabs>
        <w:rPr>
          <w:color w:val="000000"/>
          <w:szCs w:val="22"/>
          <w:lang w:val="pl-PL"/>
        </w:rPr>
      </w:pPr>
      <w:r w:rsidRPr="00275D64">
        <w:rPr>
          <w:color w:val="000000"/>
          <w:lang w:val="pl-PL"/>
        </w:rPr>
        <w:t>Sodu diwodorofosforan dwuwodny</w:t>
      </w:r>
    </w:p>
    <w:p w14:paraId="00D7CF28" w14:textId="77777777" w:rsidR="0059552A" w:rsidRPr="00275D64" w:rsidRDefault="0059552A" w:rsidP="00496272">
      <w:pPr>
        <w:tabs>
          <w:tab w:val="clear" w:pos="567"/>
        </w:tabs>
        <w:rPr>
          <w:color w:val="000000"/>
          <w:lang w:val="pl-PL"/>
        </w:rPr>
      </w:pPr>
      <w:r w:rsidRPr="00275D64">
        <w:rPr>
          <w:color w:val="000000"/>
          <w:lang w:val="pl-PL"/>
        </w:rPr>
        <w:t>Sodu wodorotlenek (2 M) (do ustalenia pH)</w:t>
      </w:r>
    </w:p>
    <w:p w14:paraId="7232DB90" w14:textId="77777777" w:rsidR="0059552A" w:rsidRPr="00275D64" w:rsidRDefault="0059552A" w:rsidP="00496272">
      <w:pPr>
        <w:tabs>
          <w:tab w:val="clear" w:pos="567"/>
        </w:tabs>
        <w:rPr>
          <w:color w:val="000000"/>
          <w:szCs w:val="22"/>
          <w:lang w:val="pl-PL"/>
        </w:rPr>
      </w:pPr>
      <w:r w:rsidRPr="00275D64">
        <w:rPr>
          <w:color w:val="000000"/>
          <w:lang w:val="pl-PL"/>
        </w:rPr>
        <w:t>Mannitol</w:t>
      </w:r>
    </w:p>
    <w:p w14:paraId="241E1FB2" w14:textId="77777777" w:rsidR="0059552A" w:rsidRPr="00275D64" w:rsidRDefault="0059552A" w:rsidP="00496272">
      <w:pPr>
        <w:tabs>
          <w:tab w:val="clear" w:pos="567"/>
        </w:tabs>
        <w:rPr>
          <w:color w:val="000000"/>
          <w:szCs w:val="22"/>
          <w:lang w:val="pl-PL"/>
        </w:rPr>
      </w:pPr>
      <w:r w:rsidRPr="00275D64">
        <w:rPr>
          <w:color w:val="000000"/>
          <w:lang w:val="pl-PL"/>
        </w:rPr>
        <w:t>Metionina</w:t>
      </w:r>
    </w:p>
    <w:p w14:paraId="32B2C2C3" w14:textId="77777777" w:rsidR="0059552A" w:rsidRPr="00275D64" w:rsidRDefault="0059552A" w:rsidP="00496272">
      <w:pPr>
        <w:tabs>
          <w:tab w:val="clear" w:pos="567"/>
        </w:tabs>
        <w:rPr>
          <w:color w:val="000000"/>
          <w:szCs w:val="22"/>
          <w:lang w:val="pl-PL"/>
        </w:rPr>
      </w:pPr>
      <w:r w:rsidRPr="00275D64">
        <w:rPr>
          <w:color w:val="000000"/>
          <w:lang w:val="pl-PL"/>
        </w:rPr>
        <w:t>Polisorbat 20</w:t>
      </w:r>
    </w:p>
    <w:p w14:paraId="0EE6772E" w14:textId="77777777" w:rsidR="0059552A" w:rsidRPr="00275D64" w:rsidRDefault="0059552A" w:rsidP="00496272">
      <w:pPr>
        <w:tabs>
          <w:tab w:val="clear" w:pos="567"/>
        </w:tabs>
        <w:rPr>
          <w:color w:val="000000"/>
          <w:szCs w:val="22"/>
          <w:lang w:val="pl-PL"/>
        </w:rPr>
      </w:pPr>
      <w:r w:rsidRPr="00275D64">
        <w:rPr>
          <w:color w:val="000000"/>
          <w:lang w:val="pl-PL"/>
        </w:rPr>
        <w:t>Alkohol benzylowy</w:t>
      </w:r>
    </w:p>
    <w:p w14:paraId="3A76C600" w14:textId="77777777" w:rsidR="0059552A" w:rsidRPr="00275D64" w:rsidRDefault="0059552A" w:rsidP="00496272">
      <w:pPr>
        <w:tabs>
          <w:tab w:val="clear" w:pos="567"/>
        </w:tabs>
        <w:rPr>
          <w:color w:val="000000"/>
          <w:szCs w:val="22"/>
          <w:lang w:val="pl-PL"/>
        </w:rPr>
      </w:pPr>
      <w:r w:rsidRPr="00275D64">
        <w:rPr>
          <w:color w:val="000000"/>
          <w:lang w:val="pl-PL"/>
        </w:rPr>
        <w:t>Benzalkoniowy chlorek</w:t>
      </w:r>
    </w:p>
    <w:p w14:paraId="7996C0DE" w14:textId="77777777" w:rsidR="0059552A" w:rsidRPr="00275D64" w:rsidRDefault="0059552A" w:rsidP="00496272">
      <w:pPr>
        <w:tabs>
          <w:tab w:val="clear" w:pos="567"/>
        </w:tabs>
        <w:rPr>
          <w:color w:val="000000"/>
          <w:szCs w:val="22"/>
          <w:lang w:val="pl-PL"/>
        </w:rPr>
      </w:pPr>
      <w:r w:rsidRPr="00275D64">
        <w:rPr>
          <w:color w:val="000000"/>
          <w:lang w:val="pl-PL"/>
        </w:rPr>
        <w:t>Woda do wstrzykiwań</w:t>
      </w:r>
    </w:p>
    <w:p w14:paraId="277200CE" w14:textId="77777777" w:rsidR="0059552A" w:rsidRPr="00275D64" w:rsidRDefault="0059552A" w:rsidP="00496272">
      <w:pPr>
        <w:rPr>
          <w:szCs w:val="22"/>
          <w:lang w:val="pl-PL"/>
        </w:rPr>
      </w:pPr>
    </w:p>
    <w:p w14:paraId="5B95B7ED" w14:textId="77777777" w:rsidR="0059552A" w:rsidRPr="00275D64" w:rsidRDefault="0059552A" w:rsidP="00496272">
      <w:pPr>
        <w:ind w:left="567" w:hanging="567"/>
        <w:outlineLvl w:val="0"/>
        <w:rPr>
          <w:szCs w:val="22"/>
          <w:lang w:val="pl-PL"/>
        </w:rPr>
      </w:pPr>
      <w:r w:rsidRPr="00275D64">
        <w:rPr>
          <w:b/>
          <w:lang w:val="pl-PL"/>
        </w:rPr>
        <w:t>6.2</w:t>
      </w:r>
      <w:r w:rsidRPr="00275D64">
        <w:rPr>
          <w:lang w:val="pl-PL"/>
        </w:rPr>
        <w:tab/>
      </w:r>
      <w:r w:rsidRPr="00275D64">
        <w:rPr>
          <w:b/>
          <w:lang w:val="pl-PL"/>
        </w:rPr>
        <w:t>Niezgodności farmaceutyczne</w:t>
      </w:r>
    </w:p>
    <w:p w14:paraId="19BDD7D1" w14:textId="77777777" w:rsidR="0059552A" w:rsidRPr="00275D64" w:rsidRDefault="0059552A" w:rsidP="00496272">
      <w:pPr>
        <w:rPr>
          <w:szCs w:val="22"/>
          <w:lang w:val="pl-PL"/>
        </w:rPr>
      </w:pPr>
    </w:p>
    <w:p w14:paraId="230D22CD" w14:textId="77777777" w:rsidR="0059552A" w:rsidRPr="00275D64" w:rsidRDefault="0059552A" w:rsidP="00496272">
      <w:pPr>
        <w:tabs>
          <w:tab w:val="clear" w:pos="567"/>
        </w:tabs>
        <w:rPr>
          <w:color w:val="000000"/>
          <w:szCs w:val="22"/>
          <w:lang w:val="pl-PL"/>
        </w:rPr>
      </w:pPr>
      <w:r w:rsidRPr="00275D64">
        <w:rPr>
          <w:color w:val="000000"/>
          <w:lang w:val="pl-PL"/>
        </w:rPr>
        <w:t>Nie mieszać produktu leczniczego z innymi produktami leczniczymi, ponieważ nie wykonywano badań dotyczących zgodności.</w:t>
      </w:r>
    </w:p>
    <w:p w14:paraId="49FCDCF3" w14:textId="77777777" w:rsidR="0059552A" w:rsidRPr="00275D64" w:rsidRDefault="0059552A" w:rsidP="00496272">
      <w:pPr>
        <w:rPr>
          <w:szCs w:val="22"/>
          <w:lang w:val="pl-PL"/>
        </w:rPr>
      </w:pPr>
    </w:p>
    <w:p w14:paraId="04B54540" w14:textId="77777777" w:rsidR="0059552A" w:rsidRPr="00275D64" w:rsidRDefault="0059552A" w:rsidP="00496272">
      <w:pPr>
        <w:ind w:left="567" w:hanging="567"/>
        <w:outlineLvl w:val="0"/>
        <w:rPr>
          <w:szCs w:val="22"/>
          <w:lang w:val="pl-PL"/>
        </w:rPr>
      </w:pPr>
      <w:r w:rsidRPr="00275D64">
        <w:rPr>
          <w:b/>
          <w:lang w:val="pl-PL"/>
        </w:rPr>
        <w:t>6.3</w:t>
      </w:r>
      <w:r w:rsidRPr="00275D64">
        <w:rPr>
          <w:lang w:val="pl-PL"/>
        </w:rPr>
        <w:tab/>
      </w:r>
      <w:r w:rsidRPr="00275D64">
        <w:rPr>
          <w:b/>
          <w:lang w:val="pl-PL"/>
        </w:rPr>
        <w:t>Okres ważności</w:t>
      </w:r>
    </w:p>
    <w:p w14:paraId="392E5C1A" w14:textId="77777777" w:rsidR="0059552A" w:rsidRPr="00275D64" w:rsidRDefault="0059552A" w:rsidP="00496272">
      <w:pPr>
        <w:rPr>
          <w:szCs w:val="22"/>
          <w:lang w:val="pl-PL"/>
        </w:rPr>
      </w:pPr>
    </w:p>
    <w:p w14:paraId="42901F98" w14:textId="6A4CB8F7" w:rsidR="0059552A" w:rsidRPr="00275D64" w:rsidRDefault="009319B9" w:rsidP="00496272">
      <w:pPr>
        <w:tabs>
          <w:tab w:val="clear" w:pos="567"/>
        </w:tabs>
        <w:rPr>
          <w:color w:val="000000"/>
          <w:szCs w:val="22"/>
          <w:lang w:val="pl-PL"/>
        </w:rPr>
      </w:pPr>
      <w:r w:rsidRPr="004E70A1">
        <w:rPr>
          <w:color w:val="FF0000"/>
          <w:lang w:val="pl-PL"/>
        </w:rPr>
        <w:t>3</w:t>
      </w:r>
      <w:r w:rsidR="0059552A" w:rsidRPr="00275D64">
        <w:rPr>
          <w:color w:val="000000"/>
          <w:lang w:val="pl-PL"/>
        </w:rPr>
        <w:t> lata.</w:t>
      </w:r>
    </w:p>
    <w:p w14:paraId="2E18F55E" w14:textId="77777777" w:rsidR="0059552A" w:rsidRPr="00275D64" w:rsidRDefault="0059552A" w:rsidP="00496272">
      <w:pPr>
        <w:tabs>
          <w:tab w:val="clear" w:pos="567"/>
        </w:tabs>
        <w:rPr>
          <w:color w:val="000000"/>
          <w:szCs w:val="22"/>
          <w:lang w:val="pl-PL"/>
        </w:rPr>
      </w:pPr>
    </w:p>
    <w:p w14:paraId="0E89E740" w14:textId="77777777" w:rsidR="0059552A" w:rsidRPr="00275D64" w:rsidRDefault="0059552A" w:rsidP="00496272">
      <w:pPr>
        <w:tabs>
          <w:tab w:val="clear" w:pos="567"/>
        </w:tabs>
        <w:rPr>
          <w:color w:val="000000"/>
          <w:szCs w:val="22"/>
          <w:u w:val="single"/>
          <w:lang w:val="pl-PL"/>
        </w:rPr>
      </w:pPr>
      <w:r w:rsidRPr="00275D64">
        <w:rPr>
          <w:u w:val="single"/>
          <w:lang w:val="pl-PL"/>
        </w:rPr>
        <w:t>Okres ważności i warunki przechowywania po pierwszym otwarciu</w:t>
      </w:r>
    </w:p>
    <w:p w14:paraId="5B793C65" w14:textId="77777777" w:rsidR="0059552A" w:rsidRPr="00275D64" w:rsidRDefault="0059552A" w:rsidP="00496272">
      <w:pPr>
        <w:tabs>
          <w:tab w:val="clear" w:pos="567"/>
        </w:tabs>
        <w:rPr>
          <w:color w:val="000000"/>
          <w:szCs w:val="22"/>
          <w:lang w:val="pl-PL"/>
        </w:rPr>
      </w:pPr>
      <w:r w:rsidRPr="00275D64">
        <w:rPr>
          <w:color w:val="000000"/>
          <w:lang w:val="pl-PL"/>
        </w:rPr>
        <w:t>Wkład używany we wstrzykiwaczu może być przechowywany przez maksymalnie 28 dni.Nie przechowywać w temperaturze powyżej25 °C.Pacjent powinien napisać w dzienniczku pacjenta, dostarczonym ze wstrzykiwaczem Ovaleap Pen, datę pierwszego użycia.</w:t>
      </w:r>
    </w:p>
    <w:p w14:paraId="550EC6BB" w14:textId="77777777" w:rsidR="0059552A" w:rsidRPr="00275D64" w:rsidRDefault="0059552A" w:rsidP="00496272">
      <w:pPr>
        <w:tabs>
          <w:tab w:val="clear" w:pos="567"/>
        </w:tabs>
        <w:rPr>
          <w:color w:val="000000"/>
          <w:szCs w:val="22"/>
          <w:lang w:val="pl-PL"/>
        </w:rPr>
      </w:pPr>
    </w:p>
    <w:p w14:paraId="32EADE2F" w14:textId="77777777" w:rsidR="0059552A" w:rsidRPr="00275D64" w:rsidRDefault="0059552A" w:rsidP="00496272">
      <w:pPr>
        <w:tabs>
          <w:tab w:val="clear" w:pos="567"/>
        </w:tabs>
        <w:rPr>
          <w:color w:val="000000"/>
          <w:szCs w:val="22"/>
          <w:lang w:val="pl-PL"/>
        </w:rPr>
      </w:pPr>
      <w:r w:rsidRPr="00275D64">
        <w:rPr>
          <w:color w:val="000000"/>
          <w:lang w:val="pl-PL"/>
        </w:rPr>
        <w:t>Nasadkę wstrzykiwacza należy nakładać z powrotem na wstrzykiwacz po każdym wstrzyknięciu w celu ochrony przed światłem.</w:t>
      </w:r>
    </w:p>
    <w:p w14:paraId="775A7A47" w14:textId="77777777" w:rsidR="0059552A" w:rsidRPr="00275D64" w:rsidRDefault="0059552A" w:rsidP="00496272">
      <w:pPr>
        <w:rPr>
          <w:szCs w:val="22"/>
          <w:lang w:val="pl-PL"/>
        </w:rPr>
      </w:pPr>
    </w:p>
    <w:p w14:paraId="6511E163" w14:textId="77777777" w:rsidR="0059552A" w:rsidRPr="00275D64" w:rsidRDefault="0059552A" w:rsidP="00496272">
      <w:pPr>
        <w:ind w:left="567" w:hanging="567"/>
        <w:outlineLvl w:val="0"/>
        <w:rPr>
          <w:b/>
          <w:szCs w:val="22"/>
          <w:lang w:val="pl-PL"/>
        </w:rPr>
      </w:pPr>
      <w:r w:rsidRPr="00275D64">
        <w:rPr>
          <w:b/>
          <w:lang w:val="pl-PL"/>
        </w:rPr>
        <w:t>6.4</w:t>
      </w:r>
      <w:r w:rsidRPr="00275D64">
        <w:rPr>
          <w:lang w:val="pl-PL"/>
        </w:rPr>
        <w:tab/>
      </w:r>
      <w:r w:rsidRPr="00275D64">
        <w:rPr>
          <w:b/>
          <w:lang w:val="pl-PL"/>
        </w:rPr>
        <w:t>Specjalne środki ostrożności podczas przechowywania</w:t>
      </w:r>
    </w:p>
    <w:p w14:paraId="7A008CDF" w14:textId="77777777" w:rsidR="0059552A" w:rsidRPr="00275D64" w:rsidRDefault="0059552A" w:rsidP="00496272">
      <w:pPr>
        <w:ind w:left="567" w:hanging="567"/>
        <w:outlineLvl w:val="0"/>
        <w:rPr>
          <w:szCs w:val="22"/>
          <w:lang w:val="pl-PL"/>
        </w:rPr>
      </w:pPr>
    </w:p>
    <w:p w14:paraId="02293529" w14:textId="77777777" w:rsidR="0059552A" w:rsidRPr="00275D64" w:rsidRDefault="0059552A" w:rsidP="00496272">
      <w:pPr>
        <w:tabs>
          <w:tab w:val="clear" w:pos="567"/>
        </w:tabs>
        <w:rPr>
          <w:color w:val="000000"/>
          <w:szCs w:val="22"/>
          <w:lang w:val="pl-PL"/>
        </w:rPr>
      </w:pPr>
      <w:r w:rsidRPr="00275D64">
        <w:rPr>
          <w:color w:val="000000"/>
          <w:lang w:val="pl-PL"/>
        </w:rPr>
        <w:t>Przechowywać w lodówce (2°C </w:t>
      </w:r>
      <w:r w:rsidRPr="00275D64">
        <w:rPr>
          <w:lang w:val="pl-PL"/>
        </w:rPr>
        <w:noBreakHyphen/>
      </w:r>
      <w:r w:rsidRPr="00275D64">
        <w:rPr>
          <w:color w:val="000000"/>
          <w:lang w:val="pl-PL"/>
        </w:rPr>
        <w:t> 8°C).</w:t>
      </w:r>
    </w:p>
    <w:p w14:paraId="01E919F9" w14:textId="77777777" w:rsidR="0059552A" w:rsidRPr="00275D64" w:rsidRDefault="0059552A" w:rsidP="00496272">
      <w:pPr>
        <w:tabs>
          <w:tab w:val="clear" w:pos="567"/>
        </w:tabs>
        <w:rPr>
          <w:color w:val="000000"/>
          <w:szCs w:val="22"/>
          <w:lang w:val="pl-PL"/>
        </w:rPr>
      </w:pPr>
    </w:p>
    <w:p w14:paraId="66962226" w14:textId="77777777" w:rsidR="0059552A" w:rsidRPr="00275D64" w:rsidRDefault="0059552A" w:rsidP="00496272">
      <w:pPr>
        <w:tabs>
          <w:tab w:val="clear" w:pos="567"/>
        </w:tabs>
        <w:rPr>
          <w:color w:val="000000"/>
          <w:szCs w:val="22"/>
          <w:lang w:val="pl-PL"/>
        </w:rPr>
      </w:pPr>
      <w:r w:rsidRPr="00275D64">
        <w:rPr>
          <w:color w:val="000000"/>
          <w:lang w:val="pl-PL"/>
        </w:rPr>
        <w:t>Nie zamrażać.</w:t>
      </w:r>
    </w:p>
    <w:p w14:paraId="28A90197" w14:textId="77777777" w:rsidR="0059552A" w:rsidRPr="00275D64" w:rsidRDefault="0059552A" w:rsidP="00496272">
      <w:pPr>
        <w:tabs>
          <w:tab w:val="clear" w:pos="567"/>
        </w:tabs>
        <w:rPr>
          <w:color w:val="000000"/>
          <w:szCs w:val="22"/>
          <w:lang w:val="pl-PL"/>
        </w:rPr>
      </w:pPr>
    </w:p>
    <w:p w14:paraId="76AEBE5E" w14:textId="77777777" w:rsidR="0059552A" w:rsidRPr="00275D64" w:rsidRDefault="0059552A" w:rsidP="00496272">
      <w:pPr>
        <w:tabs>
          <w:tab w:val="clear" w:pos="567"/>
        </w:tabs>
        <w:rPr>
          <w:color w:val="000000"/>
          <w:szCs w:val="22"/>
          <w:lang w:val="pl-PL"/>
        </w:rPr>
      </w:pPr>
      <w:r w:rsidRPr="00275D64">
        <w:rPr>
          <w:color w:val="000000"/>
          <w:lang w:val="pl-PL"/>
        </w:rPr>
        <w:t>Przechowywać wkład w opakowaniu zewnętrznym w celu ochrony przed światłem.</w:t>
      </w:r>
    </w:p>
    <w:p w14:paraId="28CA050D" w14:textId="77777777" w:rsidR="0059552A" w:rsidRPr="00275D64" w:rsidRDefault="0059552A" w:rsidP="00496272">
      <w:pPr>
        <w:tabs>
          <w:tab w:val="clear" w:pos="567"/>
        </w:tabs>
        <w:rPr>
          <w:color w:val="000000"/>
          <w:szCs w:val="22"/>
          <w:lang w:val="pl-PL"/>
        </w:rPr>
      </w:pPr>
    </w:p>
    <w:p w14:paraId="69308296" w14:textId="77777777" w:rsidR="0059552A" w:rsidRPr="00275D64" w:rsidRDefault="0059552A" w:rsidP="00496272">
      <w:pPr>
        <w:tabs>
          <w:tab w:val="clear" w:pos="567"/>
        </w:tabs>
        <w:rPr>
          <w:color w:val="000000"/>
          <w:szCs w:val="22"/>
          <w:lang w:val="pl-PL"/>
        </w:rPr>
      </w:pPr>
      <w:r w:rsidRPr="00275D64">
        <w:rPr>
          <w:color w:val="000000"/>
          <w:lang w:val="pl-PL"/>
        </w:rPr>
        <w:t>Przed otwarciem i w czasie okresu ważności produkt leczniczy można wyjąć z lodówki, bez konieczności ponownego umieszczania w lodówce, przez okres do 3 miesięcy. Nie przechowywać w temperaturze powyżej 25 °C. Produkt leczniczy musi być usunięty, jeśli nie został zużyty po 3 miesiącach.</w:t>
      </w:r>
    </w:p>
    <w:p w14:paraId="050E9D8C" w14:textId="77777777" w:rsidR="0059552A" w:rsidRPr="00275D64" w:rsidRDefault="0059552A" w:rsidP="00496272">
      <w:pPr>
        <w:tabs>
          <w:tab w:val="clear" w:pos="567"/>
        </w:tabs>
        <w:rPr>
          <w:color w:val="000000"/>
          <w:szCs w:val="22"/>
          <w:lang w:val="pl-PL"/>
        </w:rPr>
      </w:pPr>
    </w:p>
    <w:p w14:paraId="1CBEAA4D" w14:textId="77777777" w:rsidR="0059552A" w:rsidRPr="00275D64" w:rsidRDefault="0059552A" w:rsidP="00496272">
      <w:pPr>
        <w:rPr>
          <w:szCs w:val="22"/>
          <w:lang w:val="pl-PL"/>
        </w:rPr>
      </w:pPr>
      <w:r w:rsidRPr="00275D64">
        <w:rPr>
          <w:lang w:val="pl-PL"/>
        </w:rPr>
        <w:t>Warunki przechowywania produktu leczniczego po pierwszym otwarciu, patrz punkt 6.3.</w:t>
      </w:r>
    </w:p>
    <w:p w14:paraId="5998066A" w14:textId="77777777" w:rsidR="0059552A" w:rsidRPr="00275D64" w:rsidRDefault="0059552A" w:rsidP="00496272">
      <w:pPr>
        <w:rPr>
          <w:szCs w:val="22"/>
          <w:lang w:val="pl-PL"/>
        </w:rPr>
      </w:pPr>
    </w:p>
    <w:p w14:paraId="383B046C" w14:textId="77777777" w:rsidR="0059552A" w:rsidRPr="00275D64" w:rsidRDefault="0059552A" w:rsidP="001529E6">
      <w:pPr>
        <w:keepNext/>
        <w:outlineLvl w:val="0"/>
        <w:rPr>
          <w:b/>
          <w:szCs w:val="22"/>
          <w:lang w:val="pl-PL"/>
        </w:rPr>
      </w:pPr>
      <w:r w:rsidRPr="00275D64">
        <w:rPr>
          <w:b/>
          <w:lang w:val="pl-PL"/>
        </w:rPr>
        <w:lastRenderedPageBreak/>
        <w:t>6.5</w:t>
      </w:r>
      <w:r w:rsidRPr="00275D64">
        <w:rPr>
          <w:lang w:val="pl-PL"/>
        </w:rPr>
        <w:tab/>
      </w:r>
      <w:r w:rsidRPr="00275D64">
        <w:rPr>
          <w:b/>
          <w:lang w:val="pl-PL"/>
        </w:rPr>
        <w:t>Rodzaj i zawartość opakowania</w:t>
      </w:r>
    </w:p>
    <w:p w14:paraId="4B257D00" w14:textId="77777777" w:rsidR="0059552A" w:rsidRPr="00275D64" w:rsidRDefault="0059552A" w:rsidP="001529E6">
      <w:pPr>
        <w:keepNext/>
        <w:rPr>
          <w:szCs w:val="22"/>
          <w:lang w:val="pl-PL"/>
        </w:rPr>
      </w:pPr>
    </w:p>
    <w:p w14:paraId="783933B3" w14:textId="77777777" w:rsidR="0059552A" w:rsidRPr="00275D64" w:rsidRDefault="0059552A" w:rsidP="005239A6">
      <w:pPr>
        <w:autoSpaceDE w:val="0"/>
        <w:autoSpaceDN w:val="0"/>
        <w:adjustRightInd w:val="0"/>
        <w:jc w:val="both"/>
        <w:rPr>
          <w:szCs w:val="22"/>
          <w:u w:val="single"/>
          <w:lang w:val="pl-PL"/>
        </w:rPr>
      </w:pPr>
      <w:r w:rsidRPr="00275D64">
        <w:rPr>
          <w:color w:val="000000"/>
          <w:u w:val="single"/>
          <w:lang w:val="pl-PL"/>
        </w:rPr>
        <w:t>Ovaleap 300 j.m./0,5 ml roztwór do wstrzykiwań</w:t>
      </w:r>
    </w:p>
    <w:p w14:paraId="45815DE7" w14:textId="77777777" w:rsidR="0059552A" w:rsidRPr="00275D64" w:rsidRDefault="0059552A" w:rsidP="00496272">
      <w:pPr>
        <w:tabs>
          <w:tab w:val="clear" w:pos="567"/>
        </w:tabs>
        <w:rPr>
          <w:color w:val="000000"/>
          <w:lang w:val="pl-PL"/>
        </w:rPr>
      </w:pPr>
      <w:r w:rsidRPr="00275D64">
        <w:rPr>
          <w:color w:val="000000"/>
          <w:lang w:val="pl-PL"/>
        </w:rPr>
        <w:t>Wkład (szkło typu I) z tłokiem gumowym (guma bromobutylowa) i karbowanym wieczkiem (aluminium) z korkiem (guma bromobutylowa), zawierający 0,5 ml roztworu.</w:t>
      </w:r>
    </w:p>
    <w:p w14:paraId="0EFC34C6" w14:textId="77777777" w:rsidR="0059552A" w:rsidRPr="00275D64" w:rsidRDefault="0059552A" w:rsidP="00496272">
      <w:pPr>
        <w:tabs>
          <w:tab w:val="clear" w:pos="567"/>
        </w:tabs>
        <w:rPr>
          <w:color w:val="000000"/>
          <w:szCs w:val="22"/>
          <w:lang w:val="pl-PL"/>
        </w:rPr>
      </w:pPr>
      <w:r w:rsidRPr="00275D64">
        <w:rPr>
          <w:color w:val="000000"/>
          <w:lang w:val="pl-PL"/>
        </w:rPr>
        <w:t>Igły iniekcyjne (stal nierdzewna; 0,33 mm x 12 mm, 29 G x ½ cala).</w:t>
      </w:r>
    </w:p>
    <w:p w14:paraId="7C8138D6" w14:textId="77777777" w:rsidR="0059552A" w:rsidRPr="00275D64" w:rsidRDefault="0059552A" w:rsidP="00496272">
      <w:pPr>
        <w:autoSpaceDE w:val="0"/>
        <w:autoSpaceDN w:val="0"/>
        <w:adjustRightInd w:val="0"/>
        <w:jc w:val="both"/>
        <w:rPr>
          <w:color w:val="000000"/>
          <w:szCs w:val="22"/>
          <w:highlight w:val="lightGray"/>
          <w:lang w:val="pl-PL"/>
        </w:rPr>
      </w:pPr>
    </w:p>
    <w:p w14:paraId="046E70B1" w14:textId="77777777" w:rsidR="0059552A" w:rsidRPr="00275D64" w:rsidRDefault="0059552A" w:rsidP="00496272">
      <w:pPr>
        <w:tabs>
          <w:tab w:val="clear" w:pos="567"/>
        </w:tabs>
        <w:rPr>
          <w:color w:val="000000"/>
          <w:szCs w:val="22"/>
          <w:lang w:val="pl-PL"/>
        </w:rPr>
      </w:pPr>
      <w:r w:rsidRPr="00275D64">
        <w:rPr>
          <w:color w:val="000000"/>
          <w:lang w:val="pl-PL"/>
        </w:rPr>
        <w:t>Opakowanie zawierające 1 wkład i 10 igieł iniekcyjnych.</w:t>
      </w:r>
    </w:p>
    <w:p w14:paraId="1BE5EF06" w14:textId="77777777" w:rsidR="0059552A" w:rsidRPr="00275D64" w:rsidRDefault="0059552A" w:rsidP="00496272">
      <w:pPr>
        <w:autoSpaceDE w:val="0"/>
        <w:autoSpaceDN w:val="0"/>
        <w:adjustRightInd w:val="0"/>
        <w:jc w:val="both"/>
        <w:rPr>
          <w:color w:val="000000"/>
          <w:szCs w:val="22"/>
          <w:highlight w:val="lightGray"/>
          <w:lang w:val="pl-PL"/>
        </w:rPr>
      </w:pPr>
    </w:p>
    <w:p w14:paraId="5F0F7FE9" w14:textId="77777777" w:rsidR="0059552A" w:rsidRPr="00275D64" w:rsidRDefault="0059552A" w:rsidP="00496272">
      <w:pPr>
        <w:rPr>
          <w:lang w:val="pl-PL"/>
        </w:rPr>
      </w:pPr>
      <w:r w:rsidRPr="00275D64">
        <w:rPr>
          <w:lang w:val="pl-PL"/>
        </w:rPr>
        <w:t>Nie wszystkie wielkości opakowań muszą znajdować się w obrocie.</w:t>
      </w:r>
    </w:p>
    <w:p w14:paraId="70AAF977" w14:textId="77777777" w:rsidR="0059552A" w:rsidRPr="00275D64" w:rsidRDefault="0059552A" w:rsidP="00496272">
      <w:pPr>
        <w:rPr>
          <w:lang w:val="pl-PL"/>
        </w:rPr>
      </w:pPr>
    </w:p>
    <w:p w14:paraId="6A3132AE" w14:textId="77777777" w:rsidR="0059552A" w:rsidRPr="00275D64" w:rsidRDefault="0059552A" w:rsidP="00C76174">
      <w:pPr>
        <w:autoSpaceDE w:val="0"/>
        <w:autoSpaceDN w:val="0"/>
        <w:adjustRightInd w:val="0"/>
        <w:jc w:val="both"/>
        <w:rPr>
          <w:iCs/>
          <w:szCs w:val="22"/>
          <w:u w:val="single"/>
          <w:lang w:val="pl-PL"/>
        </w:rPr>
      </w:pPr>
      <w:r w:rsidRPr="00275D64">
        <w:rPr>
          <w:iCs/>
          <w:szCs w:val="22"/>
          <w:u w:val="single"/>
          <w:lang w:val="pl-PL"/>
        </w:rPr>
        <w:t>Ovaleap 450 j.m./0,75 ml roztwór do wstrzykiwań</w:t>
      </w:r>
    </w:p>
    <w:p w14:paraId="7C721F24" w14:textId="77777777" w:rsidR="0059552A" w:rsidRPr="00275D64" w:rsidRDefault="0059552A" w:rsidP="00C76174">
      <w:pPr>
        <w:keepNext/>
        <w:keepLines/>
        <w:tabs>
          <w:tab w:val="clear" w:pos="567"/>
        </w:tabs>
        <w:rPr>
          <w:color w:val="000000"/>
          <w:lang w:val="pl-PL"/>
        </w:rPr>
      </w:pPr>
      <w:r w:rsidRPr="00275D64">
        <w:rPr>
          <w:color w:val="000000"/>
          <w:lang w:val="pl-PL"/>
        </w:rPr>
        <w:t>Wkład (szkło typu I) z tłokiem gumowym (guma bromobutylowa) i karbowanym wieczkiem (aluminium) z korkiem (guma bromobutylowa), zawierający 0,75 ml roztworu.</w:t>
      </w:r>
    </w:p>
    <w:p w14:paraId="4121916D" w14:textId="77777777" w:rsidR="0059552A" w:rsidRPr="00275D64" w:rsidRDefault="0059552A" w:rsidP="00C76174">
      <w:pPr>
        <w:keepNext/>
        <w:keepLines/>
        <w:tabs>
          <w:tab w:val="clear" w:pos="567"/>
        </w:tabs>
        <w:rPr>
          <w:color w:val="000000"/>
          <w:szCs w:val="22"/>
          <w:lang w:val="pl-PL"/>
        </w:rPr>
      </w:pPr>
      <w:r w:rsidRPr="00275D64">
        <w:rPr>
          <w:color w:val="000000"/>
          <w:lang w:val="pl-PL"/>
        </w:rPr>
        <w:t>Igły iniekcyjne (stal nierdzewna; 0,33 mm x 12 mm, 29 G x ½ cala).</w:t>
      </w:r>
    </w:p>
    <w:p w14:paraId="3FD4EB6C" w14:textId="77777777" w:rsidR="0059552A" w:rsidRPr="00275D64" w:rsidRDefault="0059552A" w:rsidP="00C76174">
      <w:pPr>
        <w:autoSpaceDE w:val="0"/>
        <w:autoSpaceDN w:val="0"/>
        <w:adjustRightInd w:val="0"/>
        <w:jc w:val="both"/>
        <w:rPr>
          <w:color w:val="000000"/>
          <w:szCs w:val="22"/>
          <w:lang w:val="pl-PL"/>
        </w:rPr>
      </w:pPr>
    </w:p>
    <w:p w14:paraId="66586C7E" w14:textId="77777777" w:rsidR="0059552A" w:rsidRPr="00275D64" w:rsidRDefault="0059552A" w:rsidP="00C76174">
      <w:pPr>
        <w:tabs>
          <w:tab w:val="clear" w:pos="567"/>
        </w:tabs>
        <w:rPr>
          <w:color w:val="000000"/>
          <w:szCs w:val="22"/>
          <w:lang w:val="pl-PL"/>
        </w:rPr>
      </w:pPr>
      <w:r w:rsidRPr="00275D64">
        <w:rPr>
          <w:color w:val="000000"/>
          <w:lang w:val="pl-PL"/>
        </w:rPr>
        <w:t>Opakowanie zawierające 1 wkład i 10 igieł iniekcyjnych.</w:t>
      </w:r>
    </w:p>
    <w:p w14:paraId="69470AF1" w14:textId="77777777" w:rsidR="0059552A" w:rsidRPr="00275D64" w:rsidRDefault="0059552A" w:rsidP="00C76174">
      <w:pPr>
        <w:autoSpaceDE w:val="0"/>
        <w:autoSpaceDN w:val="0"/>
        <w:adjustRightInd w:val="0"/>
        <w:jc w:val="both"/>
        <w:rPr>
          <w:color w:val="000000"/>
          <w:szCs w:val="22"/>
          <w:highlight w:val="lightGray"/>
          <w:lang w:val="pl-PL"/>
        </w:rPr>
      </w:pPr>
    </w:p>
    <w:p w14:paraId="657BB257" w14:textId="77777777" w:rsidR="0059552A" w:rsidRPr="00275D64" w:rsidRDefault="0059552A" w:rsidP="00C76174">
      <w:pPr>
        <w:rPr>
          <w:szCs w:val="22"/>
          <w:lang w:val="pl-PL"/>
        </w:rPr>
      </w:pPr>
      <w:r w:rsidRPr="00275D64">
        <w:rPr>
          <w:lang w:val="pl-PL"/>
        </w:rPr>
        <w:t>Nie wszystkie wielkości opakowań muszą znajdować się w obrocie.</w:t>
      </w:r>
    </w:p>
    <w:p w14:paraId="557597EF" w14:textId="77777777" w:rsidR="0059552A" w:rsidRPr="00275D64" w:rsidRDefault="0059552A" w:rsidP="00C76174">
      <w:pPr>
        <w:autoSpaceDE w:val="0"/>
        <w:autoSpaceDN w:val="0"/>
        <w:adjustRightInd w:val="0"/>
        <w:jc w:val="both"/>
        <w:rPr>
          <w:iCs/>
          <w:szCs w:val="22"/>
          <w:lang w:val="pl-PL"/>
        </w:rPr>
      </w:pPr>
    </w:p>
    <w:p w14:paraId="1B528DFC" w14:textId="77777777" w:rsidR="0059552A" w:rsidRPr="00275D64" w:rsidRDefault="0059552A" w:rsidP="00C76174">
      <w:pPr>
        <w:autoSpaceDE w:val="0"/>
        <w:autoSpaceDN w:val="0"/>
        <w:adjustRightInd w:val="0"/>
        <w:jc w:val="both"/>
        <w:rPr>
          <w:color w:val="000000"/>
          <w:szCs w:val="22"/>
          <w:u w:val="single"/>
          <w:lang w:val="pl-PL"/>
        </w:rPr>
      </w:pPr>
      <w:r w:rsidRPr="00275D64">
        <w:rPr>
          <w:iCs/>
          <w:szCs w:val="22"/>
          <w:u w:val="single"/>
          <w:lang w:val="pl-PL"/>
        </w:rPr>
        <w:t>Ovaleap 900 j.m./1,5 ml roztwór do wstrzykiwań</w:t>
      </w:r>
    </w:p>
    <w:p w14:paraId="491DAE13" w14:textId="77777777" w:rsidR="0059552A" w:rsidRPr="00275D64" w:rsidRDefault="0059552A" w:rsidP="00C76174">
      <w:pPr>
        <w:tabs>
          <w:tab w:val="clear" w:pos="567"/>
        </w:tabs>
        <w:rPr>
          <w:color w:val="000000"/>
          <w:lang w:val="pl-PL"/>
        </w:rPr>
      </w:pPr>
      <w:r w:rsidRPr="00275D64">
        <w:rPr>
          <w:color w:val="000000"/>
          <w:lang w:val="pl-PL"/>
        </w:rPr>
        <w:t>Wkład (szkło typu I) z tłokiem gumowym (guma bromobutylowa) i karbowanym wieczkiem (aluminium) z korkiem (guma bromobutylowa), zawierający 1,5 ml roztworu.</w:t>
      </w:r>
    </w:p>
    <w:p w14:paraId="12ABEB38" w14:textId="77777777" w:rsidR="0059552A" w:rsidRPr="00275D64" w:rsidRDefault="0059552A" w:rsidP="00C76174">
      <w:pPr>
        <w:tabs>
          <w:tab w:val="clear" w:pos="567"/>
        </w:tabs>
        <w:rPr>
          <w:color w:val="000000"/>
          <w:szCs w:val="22"/>
          <w:lang w:val="pl-PL"/>
        </w:rPr>
      </w:pPr>
      <w:r w:rsidRPr="00275D64">
        <w:rPr>
          <w:color w:val="000000"/>
          <w:lang w:val="pl-PL"/>
        </w:rPr>
        <w:t>Igły iniekcyjne (stal nierdzewna; 0,33 mm x 12 mm, 29 G x ½ cala).</w:t>
      </w:r>
    </w:p>
    <w:p w14:paraId="686B6E6D" w14:textId="77777777" w:rsidR="0059552A" w:rsidRPr="00275D64" w:rsidRDefault="0059552A" w:rsidP="00C76174">
      <w:pPr>
        <w:tabs>
          <w:tab w:val="clear" w:pos="567"/>
        </w:tabs>
        <w:rPr>
          <w:color w:val="000000"/>
          <w:szCs w:val="22"/>
          <w:lang w:val="pl-PL"/>
        </w:rPr>
      </w:pPr>
    </w:p>
    <w:p w14:paraId="7C783671" w14:textId="77777777" w:rsidR="0059552A" w:rsidRPr="00275D64" w:rsidRDefault="0059552A" w:rsidP="00C76174">
      <w:pPr>
        <w:tabs>
          <w:tab w:val="clear" w:pos="567"/>
        </w:tabs>
        <w:rPr>
          <w:color w:val="000000"/>
          <w:szCs w:val="22"/>
          <w:lang w:val="pl-PL"/>
        </w:rPr>
      </w:pPr>
      <w:r w:rsidRPr="00275D64">
        <w:rPr>
          <w:color w:val="000000"/>
          <w:lang w:val="pl-PL"/>
        </w:rPr>
        <w:t>Opakowanie zawierające 1 wkład i 20 igieł iniekcyjnych.</w:t>
      </w:r>
    </w:p>
    <w:p w14:paraId="2ACD8E01" w14:textId="77777777" w:rsidR="0059552A" w:rsidRPr="00275D64" w:rsidRDefault="0059552A" w:rsidP="00C76174">
      <w:pPr>
        <w:rPr>
          <w:szCs w:val="22"/>
          <w:lang w:val="pl-PL"/>
        </w:rPr>
      </w:pPr>
    </w:p>
    <w:p w14:paraId="2ACD8712" w14:textId="77777777" w:rsidR="0059552A" w:rsidRPr="00275D64" w:rsidRDefault="0059552A" w:rsidP="00C76174">
      <w:pPr>
        <w:rPr>
          <w:szCs w:val="22"/>
          <w:lang w:val="pl-PL"/>
        </w:rPr>
      </w:pPr>
      <w:r w:rsidRPr="00275D64">
        <w:rPr>
          <w:lang w:val="pl-PL"/>
        </w:rPr>
        <w:t>Nie wszystkie wielkości opakowań muszą znajdować się w obrocie.</w:t>
      </w:r>
    </w:p>
    <w:p w14:paraId="29C374B0" w14:textId="77777777" w:rsidR="0059552A" w:rsidRPr="00275D64" w:rsidRDefault="0059552A" w:rsidP="00496272">
      <w:pPr>
        <w:rPr>
          <w:szCs w:val="22"/>
          <w:lang w:val="pl-PL"/>
        </w:rPr>
      </w:pPr>
    </w:p>
    <w:p w14:paraId="4A6051CA" w14:textId="77777777" w:rsidR="0059552A" w:rsidRPr="00275D64" w:rsidRDefault="0059552A" w:rsidP="00496272">
      <w:pPr>
        <w:ind w:left="567" w:hanging="567"/>
        <w:outlineLvl w:val="0"/>
        <w:rPr>
          <w:szCs w:val="22"/>
          <w:lang w:val="pl-PL"/>
        </w:rPr>
      </w:pPr>
      <w:bookmarkStart w:id="5" w:name="OLE_LINK1"/>
      <w:r w:rsidRPr="00275D64">
        <w:rPr>
          <w:b/>
          <w:lang w:val="pl-PL"/>
        </w:rPr>
        <w:t>6.6</w:t>
      </w:r>
      <w:r w:rsidRPr="00275D64">
        <w:rPr>
          <w:lang w:val="pl-PL"/>
        </w:rPr>
        <w:tab/>
      </w:r>
      <w:r w:rsidRPr="00275D64">
        <w:rPr>
          <w:b/>
          <w:lang w:val="pl-PL"/>
        </w:rPr>
        <w:t>Specjalne środki ostrożności dotyczące usuwania i przygotowania produktu leczniczego do stosowania</w:t>
      </w:r>
    </w:p>
    <w:bookmarkEnd w:id="5"/>
    <w:p w14:paraId="6C2E81A8" w14:textId="77777777" w:rsidR="0059552A" w:rsidRPr="00275D64" w:rsidRDefault="0059552A" w:rsidP="00496272">
      <w:pPr>
        <w:rPr>
          <w:szCs w:val="22"/>
          <w:lang w:val="pl-PL"/>
        </w:rPr>
      </w:pPr>
    </w:p>
    <w:p w14:paraId="4F30EA9D" w14:textId="77777777" w:rsidR="0059552A" w:rsidRPr="00275D64" w:rsidRDefault="0059552A" w:rsidP="00496272">
      <w:pPr>
        <w:tabs>
          <w:tab w:val="clear" w:pos="567"/>
        </w:tabs>
        <w:rPr>
          <w:color w:val="000000"/>
          <w:lang w:val="pl-PL"/>
        </w:rPr>
      </w:pPr>
      <w:r w:rsidRPr="00275D64">
        <w:rPr>
          <w:color w:val="000000"/>
          <w:lang w:val="pl-PL"/>
        </w:rPr>
        <w:t>Bez specjalnych wymagań dotyczących usuwania.</w:t>
      </w:r>
    </w:p>
    <w:p w14:paraId="22A5681F" w14:textId="77777777" w:rsidR="0059552A" w:rsidRPr="00275D64" w:rsidRDefault="0059552A" w:rsidP="00496272">
      <w:pPr>
        <w:tabs>
          <w:tab w:val="clear" w:pos="567"/>
        </w:tabs>
        <w:rPr>
          <w:color w:val="000000"/>
          <w:lang w:val="pl-PL"/>
        </w:rPr>
      </w:pPr>
    </w:p>
    <w:p w14:paraId="3E9833FF" w14:textId="77777777" w:rsidR="0059552A" w:rsidRPr="00275D64" w:rsidRDefault="0059552A" w:rsidP="00496272">
      <w:pPr>
        <w:tabs>
          <w:tab w:val="clear" w:pos="567"/>
        </w:tabs>
        <w:rPr>
          <w:color w:val="000000"/>
          <w:szCs w:val="22"/>
          <w:lang w:val="pl-PL"/>
        </w:rPr>
      </w:pPr>
      <w:r w:rsidRPr="00275D64">
        <w:rPr>
          <w:color w:val="000000"/>
          <w:lang w:val="pl-PL"/>
        </w:rPr>
        <w:t>Nie wolno stosować roztworu, jeśli zawiera cząstki stałe lub nie jest przejrzysty.</w:t>
      </w:r>
    </w:p>
    <w:p w14:paraId="700F8318" w14:textId="77777777" w:rsidR="0059552A" w:rsidRPr="00275D64" w:rsidRDefault="0059552A" w:rsidP="00496272">
      <w:pPr>
        <w:tabs>
          <w:tab w:val="clear" w:pos="567"/>
        </w:tabs>
        <w:rPr>
          <w:color w:val="000000"/>
          <w:szCs w:val="22"/>
          <w:lang w:val="pl-PL"/>
        </w:rPr>
      </w:pPr>
    </w:p>
    <w:p w14:paraId="1E25182C" w14:textId="77777777" w:rsidR="0059552A" w:rsidRPr="00275D64" w:rsidRDefault="0059552A" w:rsidP="00496272">
      <w:pPr>
        <w:tabs>
          <w:tab w:val="clear" w:pos="567"/>
        </w:tabs>
        <w:rPr>
          <w:color w:val="000000"/>
          <w:szCs w:val="22"/>
          <w:lang w:val="pl-PL"/>
        </w:rPr>
      </w:pPr>
      <w:r w:rsidRPr="00275D64">
        <w:rPr>
          <w:color w:val="000000"/>
          <w:lang w:val="pl-PL"/>
        </w:rPr>
        <w:t>Produkt Ovaleap jest przeznaczony do stosowania tylko w połączeniu ze wstrzykiwaczem Ovaleap Pen.Należy uważnie przestrzegać instrukcji obsługi wstrzykiwacza.</w:t>
      </w:r>
    </w:p>
    <w:p w14:paraId="101D0B8E" w14:textId="77777777" w:rsidR="0059552A" w:rsidRPr="00275D64" w:rsidRDefault="0059552A" w:rsidP="00496272">
      <w:pPr>
        <w:tabs>
          <w:tab w:val="clear" w:pos="567"/>
        </w:tabs>
        <w:rPr>
          <w:color w:val="000000"/>
          <w:szCs w:val="22"/>
          <w:lang w:val="pl-PL"/>
        </w:rPr>
      </w:pPr>
    </w:p>
    <w:p w14:paraId="45510992" w14:textId="77777777" w:rsidR="0059552A" w:rsidRPr="00275D64" w:rsidRDefault="0059552A" w:rsidP="00496272">
      <w:pPr>
        <w:tabs>
          <w:tab w:val="clear" w:pos="567"/>
        </w:tabs>
        <w:rPr>
          <w:color w:val="000000"/>
          <w:szCs w:val="22"/>
          <w:lang w:val="pl-PL"/>
        </w:rPr>
      </w:pPr>
      <w:r w:rsidRPr="00275D64">
        <w:rPr>
          <w:color w:val="000000"/>
          <w:lang w:val="pl-PL"/>
        </w:rPr>
        <w:t>Każdy wkład wolno używać tylko u jednego pacjenta.</w:t>
      </w:r>
    </w:p>
    <w:p w14:paraId="50E90EB7" w14:textId="77777777" w:rsidR="0059552A" w:rsidRPr="00275D64" w:rsidRDefault="0059552A" w:rsidP="00496272">
      <w:pPr>
        <w:tabs>
          <w:tab w:val="clear" w:pos="567"/>
        </w:tabs>
        <w:rPr>
          <w:color w:val="000000"/>
          <w:szCs w:val="22"/>
          <w:lang w:val="pl-PL"/>
        </w:rPr>
      </w:pPr>
    </w:p>
    <w:p w14:paraId="17E652CE" w14:textId="77777777" w:rsidR="0059552A" w:rsidRPr="00275D64" w:rsidRDefault="0059552A" w:rsidP="00496272">
      <w:pPr>
        <w:tabs>
          <w:tab w:val="clear" w:pos="567"/>
        </w:tabs>
        <w:rPr>
          <w:color w:val="000000"/>
          <w:szCs w:val="22"/>
          <w:lang w:val="pl-PL"/>
        </w:rPr>
      </w:pPr>
      <w:r w:rsidRPr="00275D64">
        <w:rPr>
          <w:color w:val="000000"/>
          <w:lang w:val="pl-PL"/>
        </w:rPr>
        <w:t>Nie wolno ponownie napełniać pustych wkładów. Wkłady z produktem Ovaleap są tak zaprojektowane, że nie jest możliwe mieszanie jakichkolwiek innych produktów leczniczych we wkładach. Wszystkie użyte igły należy usunąć niezwłocznie po wykonaniu wstrzyknięcia.</w:t>
      </w:r>
    </w:p>
    <w:p w14:paraId="7A0377E2" w14:textId="77777777" w:rsidR="0059552A" w:rsidRPr="00275D64" w:rsidRDefault="0059552A" w:rsidP="00496272">
      <w:pPr>
        <w:tabs>
          <w:tab w:val="clear" w:pos="567"/>
        </w:tabs>
        <w:rPr>
          <w:color w:val="000000"/>
          <w:szCs w:val="22"/>
          <w:lang w:val="pl-PL"/>
        </w:rPr>
      </w:pPr>
    </w:p>
    <w:p w14:paraId="721B0B24" w14:textId="77777777" w:rsidR="0059552A" w:rsidRPr="00275D64" w:rsidRDefault="0059552A" w:rsidP="00496272">
      <w:pPr>
        <w:rPr>
          <w:szCs w:val="22"/>
          <w:lang w:val="pl-PL"/>
        </w:rPr>
      </w:pPr>
    </w:p>
    <w:p w14:paraId="12874F9A" w14:textId="77777777" w:rsidR="0059552A" w:rsidRPr="00275D64" w:rsidRDefault="0059552A" w:rsidP="00496272">
      <w:pPr>
        <w:ind w:left="567" w:hanging="567"/>
        <w:rPr>
          <w:szCs w:val="22"/>
          <w:lang w:val="pl-PL"/>
        </w:rPr>
      </w:pPr>
      <w:r w:rsidRPr="00275D64">
        <w:rPr>
          <w:b/>
          <w:lang w:val="pl-PL"/>
        </w:rPr>
        <w:t>7.</w:t>
      </w:r>
      <w:r w:rsidRPr="00275D64">
        <w:rPr>
          <w:lang w:val="pl-PL"/>
        </w:rPr>
        <w:tab/>
      </w:r>
      <w:r w:rsidRPr="00275D64">
        <w:rPr>
          <w:b/>
          <w:lang w:val="pl-PL"/>
        </w:rPr>
        <w:t>PODMIOT ODPOWIEDZIALNY POSIADAJĄCY POZWOLENIE NA DOPUSZCZENIE DO OBROTU</w:t>
      </w:r>
    </w:p>
    <w:p w14:paraId="6C059398" w14:textId="77777777" w:rsidR="0059552A" w:rsidRPr="00275D64" w:rsidRDefault="0059552A" w:rsidP="00496272">
      <w:pPr>
        <w:rPr>
          <w:szCs w:val="22"/>
          <w:lang w:val="pl-PL"/>
        </w:rPr>
      </w:pPr>
    </w:p>
    <w:p w14:paraId="4A4FD8AF" w14:textId="77777777" w:rsidR="00B13EA3" w:rsidRPr="004E70A1" w:rsidRDefault="00B13EA3" w:rsidP="00B13EA3">
      <w:pPr>
        <w:tabs>
          <w:tab w:val="clear" w:pos="567"/>
        </w:tabs>
        <w:rPr>
          <w:lang w:val="en-US"/>
        </w:rPr>
      </w:pPr>
      <w:r w:rsidRPr="004E70A1">
        <w:rPr>
          <w:lang w:val="en-US"/>
        </w:rPr>
        <w:t>Theramex Ireland Limited</w:t>
      </w:r>
    </w:p>
    <w:p w14:paraId="74388365" w14:textId="68158327" w:rsidR="00B13EA3" w:rsidRPr="004E70A1" w:rsidRDefault="000D14EB" w:rsidP="00B13EA3">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w:t>
      </w:r>
      <w:r>
        <w:rPr>
          <w:rFonts w:cs="Verdana"/>
          <w:color w:val="000000"/>
        </w:rPr>
        <w:t xml:space="preserve"> </w:t>
      </w:r>
      <w:r w:rsidR="00B13EA3" w:rsidRPr="004E70A1">
        <w:rPr>
          <w:lang w:val="en-US"/>
        </w:rPr>
        <w:t>Kilmore House,</w:t>
      </w:r>
    </w:p>
    <w:p w14:paraId="3715A105" w14:textId="77777777" w:rsidR="00B13EA3" w:rsidRPr="004E70A1" w:rsidRDefault="00B13EA3" w:rsidP="00B13EA3">
      <w:pPr>
        <w:tabs>
          <w:tab w:val="clear" w:pos="567"/>
        </w:tabs>
        <w:rPr>
          <w:lang w:val="sv-SE"/>
        </w:rPr>
      </w:pPr>
      <w:r w:rsidRPr="004E70A1">
        <w:rPr>
          <w:lang w:val="sv-SE"/>
        </w:rPr>
        <w:t>Park Lane, Spencer Dock,</w:t>
      </w:r>
    </w:p>
    <w:p w14:paraId="53CF02E0" w14:textId="77777777" w:rsidR="00B13EA3" w:rsidRPr="004E70A1" w:rsidRDefault="00B13EA3" w:rsidP="00B13EA3">
      <w:pPr>
        <w:tabs>
          <w:tab w:val="clear" w:pos="567"/>
        </w:tabs>
        <w:rPr>
          <w:lang w:val="sv-SE"/>
        </w:rPr>
      </w:pPr>
      <w:r w:rsidRPr="004E70A1">
        <w:rPr>
          <w:lang w:val="sv-SE"/>
        </w:rPr>
        <w:t>Dublin 1</w:t>
      </w:r>
    </w:p>
    <w:p w14:paraId="47AE1ED8" w14:textId="77777777" w:rsidR="00B13EA3" w:rsidRPr="004E70A1" w:rsidRDefault="00B13EA3" w:rsidP="00B13EA3">
      <w:pPr>
        <w:tabs>
          <w:tab w:val="clear" w:pos="567"/>
        </w:tabs>
        <w:rPr>
          <w:lang w:val="pl-PL"/>
        </w:rPr>
      </w:pPr>
      <w:r w:rsidRPr="004E70A1">
        <w:rPr>
          <w:lang w:val="pl-PL"/>
        </w:rPr>
        <w:t>D01 YE64</w:t>
      </w:r>
    </w:p>
    <w:p w14:paraId="383634A2" w14:textId="7F0D36F4" w:rsidR="0059552A" w:rsidRPr="00275D64" w:rsidRDefault="00B13EA3" w:rsidP="00496272">
      <w:pPr>
        <w:tabs>
          <w:tab w:val="clear" w:pos="567"/>
        </w:tabs>
        <w:rPr>
          <w:color w:val="000000"/>
          <w:szCs w:val="22"/>
          <w:lang w:val="pl-PL"/>
        </w:rPr>
      </w:pPr>
      <w:r w:rsidRPr="004E70A1">
        <w:rPr>
          <w:lang w:val="pl-PL"/>
        </w:rPr>
        <w:t>Irlandia</w:t>
      </w:r>
    </w:p>
    <w:p w14:paraId="128E0BF6" w14:textId="77777777" w:rsidR="0059552A" w:rsidRPr="00275D64" w:rsidRDefault="0059552A" w:rsidP="00496272">
      <w:pPr>
        <w:rPr>
          <w:szCs w:val="22"/>
          <w:lang w:val="pl-PL"/>
        </w:rPr>
      </w:pPr>
    </w:p>
    <w:p w14:paraId="6E6D9F6D" w14:textId="77777777" w:rsidR="0059552A" w:rsidRPr="00275D64" w:rsidRDefault="0059552A" w:rsidP="00496272">
      <w:pPr>
        <w:rPr>
          <w:szCs w:val="22"/>
          <w:lang w:val="pl-PL"/>
        </w:rPr>
      </w:pPr>
    </w:p>
    <w:p w14:paraId="7E8A083D" w14:textId="77777777" w:rsidR="0059552A" w:rsidRPr="00275D64" w:rsidRDefault="0059552A" w:rsidP="001529E6">
      <w:pPr>
        <w:keepNext/>
        <w:ind w:left="567" w:hanging="567"/>
        <w:rPr>
          <w:b/>
          <w:szCs w:val="22"/>
          <w:lang w:val="pl-PL"/>
        </w:rPr>
      </w:pPr>
      <w:r w:rsidRPr="00275D64">
        <w:rPr>
          <w:b/>
          <w:lang w:val="pl-PL"/>
        </w:rPr>
        <w:lastRenderedPageBreak/>
        <w:t>8.</w:t>
      </w:r>
      <w:r w:rsidRPr="00275D64">
        <w:rPr>
          <w:lang w:val="pl-PL"/>
        </w:rPr>
        <w:tab/>
      </w:r>
      <w:r w:rsidRPr="00275D64">
        <w:rPr>
          <w:b/>
          <w:lang w:val="pl-PL"/>
        </w:rPr>
        <w:t>NUMERY POZWOLEŃ NA DOPUSZCZENIE DO OBROTU</w:t>
      </w:r>
    </w:p>
    <w:p w14:paraId="106AFEE1" w14:textId="77777777" w:rsidR="0059552A" w:rsidRPr="00275D64" w:rsidRDefault="0059552A" w:rsidP="001529E6">
      <w:pPr>
        <w:keepNext/>
        <w:rPr>
          <w:szCs w:val="22"/>
          <w:lang w:val="pl-PL"/>
        </w:rPr>
      </w:pPr>
    </w:p>
    <w:p w14:paraId="73C0B4CF" w14:textId="77777777" w:rsidR="0059552A" w:rsidRPr="00275D64" w:rsidRDefault="0059552A" w:rsidP="00C76174">
      <w:pPr>
        <w:autoSpaceDE w:val="0"/>
        <w:autoSpaceDN w:val="0"/>
        <w:adjustRightInd w:val="0"/>
        <w:jc w:val="both"/>
        <w:rPr>
          <w:szCs w:val="22"/>
          <w:u w:val="single"/>
          <w:lang w:val="pl-PL"/>
        </w:rPr>
      </w:pPr>
      <w:r w:rsidRPr="00275D64">
        <w:rPr>
          <w:color w:val="000000"/>
          <w:u w:val="single"/>
          <w:lang w:val="pl-PL"/>
        </w:rPr>
        <w:t>Ovaleap 300 j.m./0,5 ml roztwór do wstrzykiwań</w:t>
      </w:r>
    </w:p>
    <w:p w14:paraId="42E55672" w14:textId="77777777" w:rsidR="0059552A" w:rsidRPr="00275D64" w:rsidRDefault="0059552A" w:rsidP="00496272">
      <w:pPr>
        <w:rPr>
          <w:noProof/>
          <w:szCs w:val="22"/>
          <w:lang w:val="pl-PL"/>
        </w:rPr>
      </w:pPr>
      <w:r w:rsidRPr="00275D64">
        <w:rPr>
          <w:noProof/>
          <w:szCs w:val="22"/>
          <w:lang w:val="pl-PL"/>
        </w:rPr>
        <w:t>EU/1/13/871/001</w:t>
      </w:r>
    </w:p>
    <w:p w14:paraId="733226F5" w14:textId="77777777" w:rsidR="0059552A" w:rsidRPr="00275D64" w:rsidRDefault="0059552A" w:rsidP="00496272">
      <w:pPr>
        <w:rPr>
          <w:noProof/>
          <w:szCs w:val="22"/>
          <w:lang w:val="pl-PL"/>
        </w:rPr>
      </w:pPr>
    </w:p>
    <w:p w14:paraId="660D7326" w14:textId="77777777" w:rsidR="0059552A" w:rsidRPr="00275D64" w:rsidRDefault="0059552A" w:rsidP="00C76174">
      <w:pPr>
        <w:autoSpaceDE w:val="0"/>
        <w:autoSpaceDN w:val="0"/>
        <w:adjustRightInd w:val="0"/>
        <w:jc w:val="both"/>
        <w:rPr>
          <w:iCs/>
          <w:szCs w:val="22"/>
          <w:u w:val="single"/>
          <w:lang w:val="pl-PL"/>
        </w:rPr>
      </w:pPr>
      <w:r w:rsidRPr="00275D64">
        <w:rPr>
          <w:iCs/>
          <w:szCs w:val="22"/>
          <w:u w:val="single"/>
          <w:lang w:val="pl-PL"/>
        </w:rPr>
        <w:t>Ovaleap 450 j.m./0,75 ml roztwór do wstrzykiwań</w:t>
      </w:r>
    </w:p>
    <w:p w14:paraId="2D07533F" w14:textId="77777777" w:rsidR="0059552A" w:rsidRPr="00275D64" w:rsidRDefault="0059552A" w:rsidP="00C76174">
      <w:pPr>
        <w:rPr>
          <w:noProof/>
          <w:szCs w:val="22"/>
          <w:lang w:val="pl-PL"/>
        </w:rPr>
      </w:pPr>
      <w:r w:rsidRPr="00275D64">
        <w:rPr>
          <w:noProof/>
          <w:szCs w:val="22"/>
          <w:lang w:val="pl-PL"/>
        </w:rPr>
        <w:t>EU/1/13/871/002</w:t>
      </w:r>
    </w:p>
    <w:p w14:paraId="0D115495" w14:textId="77777777" w:rsidR="0059552A" w:rsidRPr="00275D64" w:rsidRDefault="0059552A" w:rsidP="00496272">
      <w:pPr>
        <w:rPr>
          <w:noProof/>
          <w:szCs w:val="22"/>
          <w:lang w:val="pl-PL"/>
        </w:rPr>
      </w:pPr>
    </w:p>
    <w:p w14:paraId="6CE6908C" w14:textId="77777777" w:rsidR="0059552A" w:rsidRPr="00275D64" w:rsidRDefault="0059552A" w:rsidP="00C76174">
      <w:pPr>
        <w:autoSpaceDE w:val="0"/>
        <w:autoSpaceDN w:val="0"/>
        <w:adjustRightInd w:val="0"/>
        <w:jc w:val="both"/>
        <w:rPr>
          <w:color w:val="000000"/>
          <w:szCs w:val="22"/>
          <w:u w:val="single"/>
          <w:lang w:val="pl-PL"/>
        </w:rPr>
      </w:pPr>
      <w:r w:rsidRPr="00275D64">
        <w:rPr>
          <w:iCs/>
          <w:szCs w:val="22"/>
          <w:u w:val="single"/>
          <w:lang w:val="pl-PL"/>
        </w:rPr>
        <w:t>Ovaleap 900 j.m./1,5 ml roztwór do wstrzykiwań</w:t>
      </w:r>
    </w:p>
    <w:p w14:paraId="64444271" w14:textId="77777777" w:rsidR="0059552A" w:rsidRPr="00275D64" w:rsidRDefault="0059552A" w:rsidP="00C76174">
      <w:pPr>
        <w:rPr>
          <w:noProof/>
          <w:szCs w:val="22"/>
          <w:lang w:val="pl-PL"/>
        </w:rPr>
      </w:pPr>
      <w:r w:rsidRPr="00275D64">
        <w:rPr>
          <w:noProof/>
          <w:szCs w:val="22"/>
          <w:lang w:val="pl-PL"/>
        </w:rPr>
        <w:t>EU/1/13/871/003</w:t>
      </w:r>
    </w:p>
    <w:p w14:paraId="29B5E55C" w14:textId="77777777" w:rsidR="0059552A" w:rsidRPr="00275D64" w:rsidRDefault="0059552A" w:rsidP="00496272">
      <w:pPr>
        <w:rPr>
          <w:szCs w:val="22"/>
          <w:lang w:val="pl-PL"/>
        </w:rPr>
      </w:pPr>
    </w:p>
    <w:p w14:paraId="422CBB03" w14:textId="77777777" w:rsidR="0059552A" w:rsidRPr="00275D64" w:rsidRDefault="0059552A" w:rsidP="00496272">
      <w:pPr>
        <w:rPr>
          <w:szCs w:val="22"/>
          <w:lang w:val="pl-PL"/>
        </w:rPr>
      </w:pPr>
    </w:p>
    <w:p w14:paraId="490F2B98" w14:textId="77777777" w:rsidR="0059552A" w:rsidRPr="00275D64" w:rsidRDefault="0059552A" w:rsidP="00496272">
      <w:pPr>
        <w:ind w:left="567" w:hanging="567"/>
        <w:rPr>
          <w:szCs w:val="22"/>
          <w:lang w:val="pl-PL"/>
        </w:rPr>
      </w:pPr>
      <w:r w:rsidRPr="00275D64">
        <w:rPr>
          <w:b/>
          <w:lang w:val="pl-PL"/>
        </w:rPr>
        <w:t>9.</w:t>
      </w:r>
      <w:r w:rsidRPr="00275D64">
        <w:rPr>
          <w:lang w:val="pl-PL"/>
        </w:rPr>
        <w:tab/>
      </w:r>
      <w:r w:rsidRPr="00275D64">
        <w:rPr>
          <w:b/>
          <w:lang w:val="pl-PL"/>
        </w:rPr>
        <w:t>DATA WYDANIA PIERWSZEGO POZWOLENIA NA DOPUSZCZENIE DO OBROTU I DATA PRZEDŁUŻENIA POZWOLENIA</w:t>
      </w:r>
    </w:p>
    <w:p w14:paraId="66084753" w14:textId="77777777" w:rsidR="0059552A" w:rsidRPr="00275D64" w:rsidRDefault="0059552A" w:rsidP="00496272">
      <w:pPr>
        <w:rPr>
          <w:szCs w:val="22"/>
          <w:lang w:val="pl-PL"/>
        </w:rPr>
      </w:pPr>
    </w:p>
    <w:p w14:paraId="66A52493" w14:textId="77777777" w:rsidR="0059552A" w:rsidRPr="00275D64" w:rsidRDefault="0059552A" w:rsidP="00496272">
      <w:pPr>
        <w:tabs>
          <w:tab w:val="clear" w:pos="567"/>
        </w:tabs>
        <w:rPr>
          <w:color w:val="000000"/>
          <w:lang w:val="pl-PL"/>
        </w:rPr>
      </w:pPr>
      <w:r w:rsidRPr="00275D64">
        <w:rPr>
          <w:color w:val="000000"/>
          <w:lang w:val="pl-PL"/>
        </w:rPr>
        <w:t>Data wydania pierwszego pozwolenia na dopuszczenie do obrotu: 27 września 2013.</w:t>
      </w:r>
    </w:p>
    <w:p w14:paraId="68790B0B" w14:textId="5B8AC254" w:rsidR="0059552A" w:rsidRPr="000D14EB" w:rsidRDefault="0059552A" w:rsidP="00496272">
      <w:pPr>
        <w:tabs>
          <w:tab w:val="clear" w:pos="567"/>
        </w:tabs>
        <w:rPr>
          <w:color w:val="000000"/>
          <w:szCs w:val="22"/>
          <w:lang w:val="pl-PL"/>
        </w:rPr>
      </w:pPr>
      <w:r w:rsidRPr="00275D64">
        <w:rPr>
          <w:color w:val="000000"/>
          <w:szCs w:val="22"/>
          <w:lang w:val="pl-PL"/>
        </w:rPr>
        <w:t>Data ostatniego przedłużenia pozwolenia:</w:t>
      </w:r>
      <w:r w:rsidR="000D14EB">
        <w:rPr>
          <w:color w:val="000000"/>
          <w:szCs w:val="22"/>
          <w:lang w:val="pl-PL"/>
        </w:rPr>
        <w:t xml:space="preserve"> </w:t>
      </w:r>
      <w:r w:rsidR="000D14EB" w:rsidRPr="000D14EB">
        <w:rPr>
          <w:color w:val="000000"/>
          <w:szCs w:val="22"/>
          <w:lang w:val="pl-PL"/>
        </w:rPr>
        <w:t>16 maja 2018</w:t>
      </w:r>
      <w:r w:rsidR="000D14EB">
        <w:rPr>
          <w:color w:val="000000"/>
          <w:szCs w:val="22"/>
          <w:lang w:val="pl-PL"/>
        </w:rPr>
        <w:t>.</w:t>
      </w:r>
    </w:p>
    <w:p w14:paraId="06A99791" w14:textId="77777777" w:rsidR="0059552A" w:rsidRPr="00275D64" w:rsidRDefault="0059552A" w:rsidP="00496272">
      <w:pPr>
        <w:rPr>
          <w:szCs w:val="22"/>
          <w:lang w:val="pl-PL"/>
        </w:rPr>
      </w:pPr>
    </w:p>
    <w:p w14:paraId="33283EBD" w14:textId="77777777" w:rsidR="0059552A" w:rsidRPr="00275D64" w:rsidRDefault="0059552A" w:rsidP="00496272">
      <w:pPr>
        <w:rPr>
          <w:szCs w:val="22"/>
          <w:lang w:val="pl-PL"/>
        </w:rPr>
      </w:pPr>
    </w:p>
    <w:p w14:paraId="29FBA0D1" w14:textId="77777777" w:rsidR="0059552A" w:rsidRPr="00275D64" w:rsidRDefault="0059552A" w:rsidP="00496272">
      <w:pPr>
        <w:ind w:left="567" w:hanging="567"/>
        <w:rPr>
          <w:b/>
          <w:szCs w:val="22"/>
          <w:lang w:val="pl-PL"/>
        </w:rPr>
      </w:pPr>
      <w:r w:rsidRPr="00275D64">
        <w:rPr>
          <w:b/>
          <w:lang w:val="pl-PL"/>
        </w:rPr>
        <w:t>10.</w:t>
      </w:r>
      <w:r w:rsidRPr="00275D64">
        <w:rPr>
          <w:lang w:val="pl-PL"/>
        </w:rPr>
        <w:tab/>
      </w:r>
      <w:r w:rsidRPr="00275D64">
        <w:rPr>
          <w:b/>
          <w:lang w:val="pl-PL"/>
        </w:rPr>
        <w:t>DATA ZATWIERDZENIA LUB CZĘŚCIOWEJ ZMIANY TEKSTU CHARAKTERYSTYKI PRODUKTU LECZNICZEGO</w:t>
      </w:r>
    </w:p>
    <w:p w14:paraId="355548B2" w14:textId="77777777" w:rsidR="0059552A" w:rsidRPr="00275D64" w:rsidRDefault="0059552A" w:rsidP="00496272">
      <w:pPr>
        <w:rPr>
          <w:szCs w:val="22"/>
          <w:lang w:val="pl-PL"/>
        </w:rPr>
      </w:pPr>
    </w:p>
    <w:p w14:paraId="23D2952E" w14:textId="77777777" w:rsidR="0059552A" w:rsidRPr="00275D64" w:rsidRDefault="0059552A" w:rsidP="00496272">
      <w:pPr>
        <w:rPr>
          <w:szCs w:val="22"/>
          <w:lang w:val="pl-PL"/>
        </w:rPr>
      </w:pPr>
    </w:p>
    <w:p w14:paraId="60B1C83F" w14:textId="77777777" w:rsidR="0059552A" w:rsidRPr="00275D64" w:rsidRDefault="0059552A" w:rsidP="00496272">
      <w:pPr>
        <w:numPr>
          <w:ilvl w:val="12"/>
          <w:numId w:val="0"/>
        </w:numPr>
        <w:ind w:right="-2"/>
        <w:rPr>
          <w:iCs/>
          <w:szCs w:val="22"/>
          <w:highlight w:val="lightGray"/>
          <w:lang w:val="pl-PL"/>
        </w:rPr>
      </w:pPr>
    </w:p>
    <w:p w14:paraId="1F5BFE1E" w14:textId="77777777" w:rsidR="0059552A" w:rsidRPr="00275D64" w:rsidRDefault="0059552A" w:rsidP="00496272">
      <w:pPr>
        <w:numPr>
          <w:ilvl w:val="12"/>
          <w:numId w:val="0"/>
        </w:numPr>
        <w:ind w:right="-2"/>
        <w:rPr>
          <w:szCs w:val="22"/>
          <w:lang w:val="pl-PL"/>
        </w:rPr>
      </w:pPr>
      <w:r w:rsidRPr="00275D64">
        <w:rPr>
          <w:lang w:val="pl-PL"/>
        </w:rPr>
        <w:t xml:space="preserve">Szczegółowe informacje o tym produkcie leczniczym są dostępne na stronie internetowej Europejskiej Agencji Leków </w:t>
      </w:r>
      <w:hyperlink r:id="rId8" w:history="1">
        <w:r w:rsidRPr="00275D64">
          <w:rPr>
            <w:rStyle w:val="Hyperlink"/>
            <w:lang w:val="pl-PL"/>
          </w:rPr>
          <w:t>http://www.ema.europa.eu</w:t>
        </w:r>
      </w:hyperlink>
      <w:r w:rsidRPr="00275D64">
        <w:rPr>
          <w:lang w:val="pl-PL"/>
        </w:rPr>
        <w:t>.</w:t>
      </w:r>
    </w:p>
    <w:p w14:paraId="27308796" w14:textId="77777777" w:rsidR="0059552A" w:rsidRPr="00275D64" w:rsidRDefault="0059552A" w:rsidP="00496272">
      <w:pPr>
        <w:jc w:val="center"/>
        <w:rPr>
          <w:szCs w:val="22"/>
          <w:lang w:val="pl-PL"/>
        </w:rPr>
      </w:pPr>
      <w:r w:rsidRPr="00275D64">
        <w:rPr>
          <w:lang w:val="pl-PL"/>
        </w:rPr>
        <w:br w:type="page"/>
      </w:r>
    </w:p>
    <w:p w14:paraId="0BCE524C" w14:textId="77777777" w:rsidR="0059552A" w:rsidRPr="00275D64" w:rsidRDefault="0059552A" w:rsidP="00496272">
      <w:pPr>
        <w:jc w:val="center"/>
        <w:rPr>
          <w:szCs w:val="22"/>
          <w:lang w:val="pl-PL"/>
        </w:rPr>
      </w:pPr>
    </w:p>
    <w:p w14:paraId="0537E80F" w14:textId="77777777" w:rsidR="0059552A" w:rsidRPr="00275D64" w:rsidRDefault="0059552A" w:rsidP="00496272">
      <w:pPr>
        <w:jc w:val="center"/>
        <w:rPr>
          <w:szCs w:val="22"/>
          <w:lang w:val="pl-PL"/>
        </w:rPr>
      </w:pPr>
    </w:p>
    <w:p w14:paraId="4CCE2EA3" w14:textId="77777777" w:rsidR="0059552A" w:rsidRPr="00275D64" w:rsidRDefault="0059552A" w:rsidP="00496272">
      <w:pPr>
        <w:jc w:val="center"/>
        <w:rPr>
          <w:szCs w:val="22"/>
          <w:lang w:val="pl-PL"/>
        </w:rPr>
      </w:pPr>
    </w:p>
    <w:p w14:paraId="1CDFFCFB" w14:textId="77777777" w:rsidR="0059552A" w:rsidRPr="00275D64" w:rsidRDefault="0059552A" w:rsidP="00496272">
      <w:pPr>
        <w:jc w:val="center"/>
        <w:rPr>
          <w:szCs w:val="22"/>
          <w:lang w:val="pl-PL"/>
        </w:rPr>
      </w:pPr>
    </w:p>
    <w:p w14:paraId="57F8F3E3" w14:textId="77777777" w:rsidR="0059552A" w:rsidRPr="00275D64" w:rsidRDefault="0059552A" w:rsidP="00496272">
      <w:pPr>
        <w:jc w:val="center"/>
        <w:rPr>
          <w:szCs w:val="22"/>
          <w:lang w:val="pl-PL"/>
        </w:rPr>
      </w:pPr>
    </w:p>
    <w:p w14:paraId="04B128FB" w14:textId="77777777" w:rsidR="0059552A" w:rsidRPr="00275D64" w:rsidRDefault="0059552A" w:rsidP="00496272">
      <w:pPr>
        <w:jc w:val="center"/>
        <w:rPr>
          <w:szCs w:val="22"/>
          <w:lang w:val="pl-PL"/>
        </w:rPr>
      </w:pPr>
    </w:p>
    <w:p w14:paraId="1B7DCCAC" w14:textId="77777777" w:rsidR="0059552A" w:rsidRPr="00275D64" w:rsidRDefault="0059552A" w:rsidP="00496272">
      <w:pPr>
        <w:jc w:val="center"/>
        <w:rPr>
          <w:szCs w:val="22"/>
          <w:lang w:val="pl-PL"/>
        </w:rPr>
      </w:pPr>
    </w:p>
    <w:p w14:paraId="4421B1C2" w14:textId="77777777" w:rsidR="0059552A" w:rsidRPr="00275D64" w:rsidRDefault="0059552A" w:rsidP="00496272">
      <w:pPr>
        <w:jc w:val="center"/>
        <w:rPr>
          <w:szCs w:val="22"/>
          <w:lang w:val="pl-PL"/>
        </w:rPr>
      </w:pPr>
    </w:p>
    <w:p w14:paraId="5BAD400F" w14:textId="77777777" w:rsidR="0059552A" w:rsidRPr="00275D64" w:rsidRDefault="0059552A" w:rsidP="00496272">
      <w:pPr>
        <w:jc w:val="center"/>
        <w:rPr>
          <w:szCs w:val="22"/>
          <w:lang w:val="pl-PL"/>
        </w:rPr>
      </w:pPr>
    </w:p>
    <w:p w14:paraId="207F5E76" w14:textId="77777777" w:rsidR="0059552A" w:rsidRPr="00275D64" w:rsidRDefault="0059552A" w:rsidP="00496272">
      <w:pPr>
        <w:jc w:val="center"/>
        <w:rPr>
          <w:szCs w:val="22"/>
          <w:lang w:val="pl-PL"/>
        </w:rPr>
      </w:pPr>
    </w:p>
    <w:p w14:paraId="515794A1" w14:textId="77777777" w:rsidR="0059552A" w:rsidRPr="00275D64" w:rsidRDefault="0059552A" w:rsidP="00496272">
      <w:pPr>
        <w:jc w:val="center"/>
        <w:rPr>
          <w:szCs w:val="22"/>
          <w:lang w:val="pl-PL"/>
        </w:rPr>
      </w:pPr>
    </w:p>
    <w:p w14:paraId="27EDD46F" w14:textId="77777777" w:rsidR="0059552A" w:rsidRPr="00275D64" w:rsidRDefault="0059552A" w:rsidP="00496272">
      <w:pPr>
        <w:jc w:val="center"/>
        <w:rPr>
          <w:szCs w:val="22"/>
          <w:lang w:val="pl-PL"/>
        </w:rPr>
      </w:pPr>
    </w:p>
    <w:p w14:paraId="69FB6809" w14:textId="77777777" w:rsidR="0059552A" w:rsidRPr="00275D64" w:rsidRDefault="0059552A" w:rsidP="00496272">
      <w:pPr>
        <w:jc w:val="center"/>
        <w:rPr>
          <w:szCs w:val="22"/>
          <w:lang w:val="pl-PL"/>
        </w:rPr>
      </w:pPr>
    </w:p>
    <w:p w14:paraId="6CD30692" w14:textId="77777777" w:rsidR="0059552A" w:rsidRPr="00275D64" w:rsidRDefault="0059552A" w:rsidP="00496272">
      <w:pPr>
        <w:jc w:val="center"/>
        <w:rPr>
          <w:szCs w:val="22"/>
          <w:lang w:val="pl-PL"/>
        </w:rPr>
      </w:pPr>
    </w:p>
    <w:p w14:paraId="76AFFF0E" w14:textId="77777777" w:rsidR="0059552A" w:rsidRPr="00275D64" w:rsidRDefault="0059552A" w:rsidP="00496272">
      <w:pPr>
        <w:jc w:val="center"/>
        <w:rPr>
          <w:szCs w:val="22"/>
          <w:lang w:val="pl-PL"/>
        </w:rPr>
      </w:pPr>
    </w:p>
    <w:p w14:paraId="58D8AB34" w14:textId="77777777" w:rsidR="0059552A" w:rsidRPr="00275D64" w:rsidRDefault="0059552A" w:rsidP="00496272">
      <w:pPr>
        <w:jc w:val="center"/>
        <w:rPr>
          <w:szCs w:val="22"/>
          <w:lang w:val="pl-PL"/>
        </w:rPr>
      </w:pPr>
    </w:p>
    <w:p w14:paraId="0B2CD21F" w14:textId="77777777" w:rsidR="0059552A" w:rsidRPr="00275D64" w:rsidRDefault="0059552A" w:rsidP="00496272">
      <w:pPr>
        <w:jc w:val="center"/>
        <w:rPr>
          <w:szCs w:val="22"/>
          <w:lang w:val="pl-PL"/>
        </w:rPr>
      </w:pPr>
    </w:p>
    <w:p w14:paraId="518595C6" w14:textId="77777777" w:rsidR="0059552A" w:rsidRPr="00275D64" w:rsidRDefault="0059552A" w:rsidP="00496272">
      <w:pPr>
        <w:jc w:val="center"/>
        <w:rPr>
          <w:szCs w:val="22"/>
          <w:lang w:val="pl-PL"/>
        </w:rPr>
      </w:pPr>
    </w:p>
    <w:p w14:paraId="0CCFB4B5" w14:textId="77777777" w:rsidR="0059552A" w:rsidRPr="00275D64" w:rsidRDefault="0059552A" w:rsidP="00496272">
      <w:pPr>
        <w:jc w:val="center"/>
        <w:rPr>
          <w:szCs w:val="22"/>
          <w:lang w:val="pl-PL"/>
        </w:rPr>
      </w:pPr>
    </w:p>
    <w:p w14:paraId="17544D30" w14:textId="77777777" w:rsidR="0059552A" w:rsidRPr="00275D64" w:rsidRDefault="0059552A" w:rsidP="00496272">
      <w:pPr>
        <w:jc w:val="center"/>
        <w:rPr>
          <w:szCs w:val="22"/>
          <w:lang w:val="pl-PL"/>
        </w:rPr>
      </w:pPr>
    </w:p>
    <w:p w14:paraId="1821DE37" w14:textId="77777777" w:rsidR="0059552A" w:rsidRPr="00275D64" w:rsidRDefault="0059552A" w:rsidP="00496272">
      <w:pPr>
        <w:jc w:val="center"/>
        <w:rPr>
          <w:szCs w:val="22"/>
          <w:lang w:val="pl-PL"/>
        </w:rPr>
      </w:pPr>
    </w:p>
    <w:p w14:paraId="6656AB29" w14:textId="77777777" w:rsidR="0059552A" w:rsidRPr="00275D64" w:rsidRDefault="0059552A" w:rsidP="00496272">
      <w:pPr>
        <w:jc w:val="center"/>
        <w:rPr>
          <w:szCs w:val="22"/>
          <w:lang w:val="pl-PL"/>
        </w:rPr>
      </w:pPr>
      <w:r w:rsidRPr="00275D64">
        <w:rPr>
          <w:b/>
          <w:lang w:val="pl-PL"/>
        </w:rPr>
        <w:t>ANEKS II</w:t>
      </w:r>
    </w:p>
    <w:p w14:paraId="25F1332A" w14:textId="77777777" w:rsidR="0059552A" w:rsidRPr="00275D64" w:rsidRDefault="0059552A" w:rsidP="00496272">
      <w:pPr>
        <w:ind w:left="1701" w:right="1416" w:hanging="567"/>
        <w:rPr>
          <w:szCs w:val="22"/>
          <w:lang w:val="pl-PL"/>
        </w:rPr>
      </w:pPr>
    </w:p>
    <w:p w14:paraId="3144A1FC" w14:textId="77777777" w:rsidR="0059552A" w:rsidRPr="00275D64" w:rsidRDefault="0059552A" w:rsidP="00496272">
      <w:pPr>
        <w:ind w:left="1701" w:right="849" w:hanging="708"/>
        <w:rPr>
          <w:b/>
          <w:szCs w:val="22"/>
          <w:lang w:val="pl-PL"/>
        </w:rPr>
      </w:pPr>
      <w:r w:rsidRPr="00275D64">
        <w:rPr>
          <w:b/>
          <w:lang w:val="pl-PL"/>
        </w:rPr>
        <w:t>A.</w:t>
      </w:r>
      <w:r w:rsidRPr="00275D64">
        <w:rPr>
          <w:lang w:val="pl-PL"/>
        </w:rPr>
        <w:tab/>
      </w:r>
      <w:r w:rsidRPr="00275D64">
        <w:rPr>
          <w:b/>
          <w:lang w:val="pl-PL"/>
        </w:rPr>
        <w:t>WYTWÓRCA BIOLOGICZNEJ SUBSTANCJI CZYNNEJ ORAZ WYTWÓRCY ODPOWIEDZIALNI ZA ZWOLNIENIE SERII</w:t>
      </w:r>
    </w:p>
    <w:p w14:paraId="3106FE37" w14:textId="77777777" w:rsidR="0059552A" w:rsidRPr="00275D64" w:rsidRDefault="0059552A" w:rsidP="00496272">
      <w:pPr>
        <w:ind w:left="567" w:hanging="567"/>
        <w:rPr>
          <w:szCs w:val="22"/>
          <w:lang w:val="pl-PL"/>
        </w:rPr>
      </w:pPr>
    </w:p>
    <w:p w14:paraId="74534A43" w14:textId="77777777" w:rsidR="0059552A" w:rsidRPr="00275D64" w:rsidRDefault="0059552A" w:rsidP="00496272">
      <w:pPr>
        <w:ind w:left="1701" w:right="849" w:hanging="708"/>
        <w:rPr>
          <w:b/>
          <w:szCs w:val="22"/>
          <w:lang w:val="pl-PL"/>
        </w:rPr>
      </w:pPr>
      <w:r w:rsidRPr="00275D64">
        <w:rPr>
          <w:b/>
          <w:lang w:val="pl-PL"/>
        </w:rPr>
        <w:t>B.</w:t>
      </w:r>
      <w:r w:rsidRPr="00275D64">
        <w:rPr>
          <w:lang w:val="pl-PL"/>
        </w:rPr>
        <w:tab/>
      </w:r>
      <w:r w:rsidRPr="00275D64">
        <w:rPr>
          <w:b/>
          <w:lang w:val="pl-PL"/>
        </w:rPr>
        <w:t>WARUNKI LUB OGRANICZENIA DOTYCZĄCE ZAOPATRZENIA I STOSOWANIA</w:t>
      </w:r>
    </w:p>
    <w:p w14:paraId="3A54D4B7" w14:textId="77777777" w:rsidR="0059552A" w:rsidRPr="00275D64" w:rsidRDefault="0059552A" w:rsidP="00496272">
      <w:pPr>
        <w:ind w:left="567" w:hanging="567"/>
        <w:rPr>
          <w:szCs w:val="22"/>
          <w:lang w:val="pl-PL"/>
        </w:rPr>
      </w:pPr>
    </w:p>
    <w:p w14:paraId="63714B5E" w14:textId="77777777" w:rsidR="0059552A" w:rsidRPr="00275D64" w:rsidRDefault="0059552A" w:rsidP="00496272">
      <w:pPr>
        <w:ind w:left="1701" w:right="849" w:hanging="708"/>
        <w:rPr>
          <w:b/>
          <w:szCs w:val="22"/>
          <w:lang w:val="pl-PL"/>
        </w:rPr>
      </w:pPr>
      <w:r w:rsidRPr="00275D64">
        <w:rPr>
          <w:b/>
          <w:lang w:val="pl-PL"/>
        </w:rPr>
        <w:t>C.</w:t>
      </w:r>
      <w:r w:rsidRPr="00275D64">
        <w:rPr>
          <w:lang w:val="pl-PL"/>
        </w:rPr>
        <w:tab/>
      </w:r>
      <w:r w:rsidRPr="00275D64">
        <w:rPr>
          <w:b/>
          <w:lang w:val="pl-PL"/>
        </w:rPr>
        <w:t>INNE WARUNKI I WYMAGANIA DOTYCZĄCE DOPUSZCZENIA DO OBROTU</w:t>
      </w:r>
    </w:p>
    <w:p w14:paraId="0C653BA7" w14:textId="77777777" w:rsidR="0059552A" w:rsidRPr="00275D64" w:rsidRDefault="0059552A" w:rsidP="00496272">
      <w:pPr>
        <w:ind w:left="1701" w:right="1558" w:hanging="708"/>
        <w:rPr>
          <w:b/>
          <w:szCs w:val="22"/>
          <w:lang w:val="pl-PL"/>
        </w:rPr>
      </w:pPr>
    </w:p>
    <w:p w14:paraId="22AE3BBA" w14:textId="77777777" w:rsidR="0059552A" w:rsidRPr="00275D64" w:rsidRDefault="0059552A" w:rsidP="00496272">
      <w:pPr>
        <w:suppressLineNumbers/>
        <w:ind w:left="1701" w:right="849" w:hanging="708"/>
        <w:rPr>
          <w:b/>
          <w:szCs w:val="22"/>
          <w:lang w:val="pl-PL"/>
        </w:rPr>
      </w:pPr>
      <w:r w:rsidRPr="00275D64">
        <w:rPr>
          <w:b/>
          <w:lang w:val="pl-PL"/>
        </w:rPr>
        <w:t>D.</w:t>
      </w:r>
      <w:r w:rsidRPr="00275D64">
        <w:rPr>
          <w:lang w:val="pl-PL"/>
        </w:rPr>
        <w:tab/>
      </w:r>
      <w:r w:rsidRPr="00275D64">
        <w:rPr>
          <w:b/>
          <w:lang w:val="pl-PL"/>
        </w:rPr>
        <w:t>WARUNKI LUB OGRANICZENIA DOTYCZĄCE BEZPIECZNEGO I SKUTECZNEGO STOSOWANIA PRODUKTU LECZNICZEGO</w:t>
      </w:r>
    </w:p>
    <w:p w14:paraId="1136220B" w14:textId="77777777" w:rsidR="0059552A" w:rsidRPr="00275D64" w:rsidRDefault="0059552A" w:rsidP="00496272">
      <w:pPr>
        <w:ind w:right="-1"/>
        <w:rPr>
          <w:szCs w:val="22"/>
          <w:lang w:val="pl-PL"/>
        </w:rPr>
      </w:pPr>
    </w:p>
    <w:p w14:paraId="64C4C0CF" w14:textId="77777777" w:rsidR="0059552A" w:rsidRPr="00275D64" w:rsidRDefault="0059552A" w:rsidP="00496272">
      <w:pPr>
        <w:pStyle w:val="TitleB"/>
        <w:rPr>
          <w:noProof w:val="0"/>
          <w:lang w:val="pl-PL"/>
        </w:rPr>
      </w:pPr>
      <w:r w:rsidRPr="00275D64">
        <w:rPr>
          <w:noProof w:val="0"/>
          <w:lang w:val="pl-PL"/>
        </w:rPr>
        <w:br w:type="page"/>
      </w:r>
      <w:r w:rsidRPr="00275D64">
        <w:rPr>
          <w:noProof w:val="0"/>
          <w:lang w:val="pl-PL"/>
        </w:rPr>
        <w:lastRenderedPageBreak/>
        <w:t>A.</w:t>
      </w:r>
      <w:r w:rsidRPr="00275D64">
        <w:rPr>
          <w:noProof w:val="0"/>
          <w:lang w:val="pl-PL"/>
        </w:rPr>
        <w:tab/>
        <w:t>WYTWÓRCA BIOLOGICZNEJ SUBSTANCJI CZYNNEJ ORAZ WYTWÓRCY ODPOWIEDZIALNI ZA ZWOLNIENIE SERII</w:t>
      </w:r>
    </w:p>
    <w:p w14:paraId="6B25A39B" w14:textId="77777777" w:rsidR="0059552A" w:rsidRPr="00275D64" w:rsidRDefault="0059552A" w:rsidP="00496272">
      <w:pPr>
        <w:ind w:right="-568"/>
        <w:rPr>
          <w:szCs w:val="22"/>
          <w:lang w:val="pl-PL"/>
        </w:rPr>
      </w:pPr>
    </w:p>
    <w:p w14:paraId="1E026C6B" w14:textId="77777777" w:rsidR="0059552A" w:rsidRPr="00275D64" w:rsidRDefault="0059552A" w:rsidP="00496272">
      <w:pPr>
        <w:ind w:right="-568"/>
        <w:outlineLvl w:val="0"/>
        <w:rPr>
          <w:szCs w:val="22"/>
          <w:u w:val="single"/>
          <w:lang w:val="pl-PL"/>
        </w:rPr>
      </w:pPr>
      <w:r w:rsidRPr="00275D64">
        <w:rPr>
          <w:u w:val="single"/>
          <w:lang w:val="pl-PL"/>
        </w:rPr>
        <w:t>Nazwa i adres wytwórcy biologicznej substancji czynnej</w:t>
      </w:r>
    </w:p>
    <w:p w14:paraId="5E060921" w14:textId="77777777" w:rsidR="0059552A" w:rsidRPr="00275D64" w:rsidRDefault="0059552A" w:rsidP="00496272">
      <w:pPr>
        <w:ind w:right="-568"/>
        <w:rPr>
          <w:szCs w:val="22"/>
          <w:lang w:val="pl-PL"/>
        </w:rPr>
      </w:pPr>
    </w:p>
    <w:p w14:paraId="28992309" w14:textId="77777777" w:rsidR="0059552A" w:rsidRPr="004E70A1" w:rsidRDefault="0059552A" w:rsidP="00496272">
      <w:pPr>
        <w:numPr>
          <w:ilvl w:val="12"/>
          <w:numId w:val="0"/>
        </w:numPr>
        <w:tabs>
          <w:tab w:val="clear" w:pos="567"/>
        </w:tabs>
        <w:ind w:right="-568"/>
        <w:rPr>
          <w:bCs/>
          <w:szCs w:val="22"/>
          <w:lang w:val="it-IT"/>
        </w:rPr>
      </w:pPr>
      <w:r w:rsidRPr="004E70A1">
        <w:rPr>
          <w:bCs/>
          <w:szCs w:val="22"/>
          <w:lang w:val="it-IT"/>
        </w:rPr>
        <w:t>Teva Biotech GmbH</w:t>
      </w:r>
    </w:p>
    <w:p w14:paraId="15E1E744" w14:textId="77777777" w:rsidR="0059552A" w:rsidRPr="004E70A1" w:rsidRDefault="0059552A" w:rsidP="00496272">
      <w:pPr>
        <w:numPr>
          <w:ilvl w:val="12"/>
          <w:numId w:val="0"/>
        </w:numPr>
        <w:tabs>
          <w:tab w:val="clear" w:pos="567"/>
        </w:tabs>
        <w:ind w:right="-568"/>
        <w:rPr>
          <w:bCs/>
          <w:szCs w:val="22"/>
          <w:lang w:val="it-IT"/>
        </w:rPr>
      </w:pPr>
      <w:r w:rsidRPr="004E70A1">
        <w:rPr>
          <w:lang w:val="it-IT"/>
        </w:rPr>
        <w:t>Dornierstraße 10</w:t>
      </w:r>
    </w:p>
    <w:p w14:paraId="1671CAC3" w14:textId="77777777" w:rsidR="0059552A" w:rsidRPr="004E70A1" w:rsidRDefault="0059552A" w:rsidP="00496272">
      <w:pPr>
        <w:numPr>
          <w:ilvl w:val="12"/>
          <w:numId w:val="0"/>
        </w:numPr>
        <w:tabs>
          <w:tab w:val="clear" w:pos="567"/>
        </w:tabs>
        <w:ind w:right="-568"/>
        <w:rPr>
          <w:bCs/>
          <w:szCs w:val="22"/>
          <w:lang w:val="it-IT"/>
        </w:rPr>
      </w:pPr>
      <w:r w:rsidRPr="004E70A1">
        <w:rPr>
          <w:lang w:val="it-IT"/>
        </w:rPr>
        <w:t>D-89079 Ulm</w:t>
      </w:r>
    </w:p>
    <w:p w14:paraId="267C5104" w14:textId="77777777" w:rsidR="0059552A" w:rsidRPr="00275D64" w:rsidRDefault="0059552A" w:rsidP="00496272">
      <w:pPr>
        <w:tabs>
          <w:tab w:val="clear" w:pos="567"/>
        </w:tabs>
        <w:ind w:right="-568"/>
        <w:rPr>
          <w:szCs w:val="22"/>
          <w:lang w:val="pl-PL"/>
        </w:rPr>
      </w:pPr>
      <w:r w:rsidRPr="00275D64">
        <w:rPr>
          <w:lang w:val="pl-PL"/>
        </w:rPr>
        <w:t>Niemcy</w:t>
      </w:r>
    </w:p>
    <w:p w14:paraId="0A3CC672" w14:textId="77777777" w:rsidR="0059552A" w:rsidRPr="00275D64" w:rsidRDefault="0059552A" w:rsidP="00496272">
      <w:pPr>
        <w:ind w:right="-568"/>
        <w:rPr>
          <w:szCs w:val="22"/>
          <w:lang w:val="pl-PL"/>
        </w:rPr>
      </w:pPr>
    </w:p>
    <w:p w14:paraId="5895BB89" w14:textId="77777777" w:rsidR="0059552A" w:rsidRPr="00275D64" w:rsidRDefault="0059552A" w:rsidP="00496272">
      <w:pPr>
        <w:ind w:right="-568"/>
        <w:outlineLvl w:val="0"/>
        <w:rPr>
          <w:szCs w:val="22"/>
          <w:lang w:val="pl-PL"/>
        </w:rPr>
      </w:pPr>
      <w:r w:rsidRPr="00275D64">
        <w:rPr>
          <w:u w:val="single"/>
          <w:lang w:val="pl-PL"/>
        </w:rPr>
        <w:t>Nazwa i adres wytwórców odpowiedzialnych za zwolnienie serii</w:t>
      </w:r>
    </w:p>
    <w:p w14:paraId="0348527C" w14:textId="77777777" w:rsidR="0059552A" w:rsidRPr="00275D64" w:rsidRDefault="0059552A" w:rsidP="00496272">
      <w:pPr>
        <w:ind w:right="-568"/>
        <w:rPr>
          <w:szCs w:val="22"/>
          <w:lang w:val="pl-PL"/>
        </w:rPr>
      </w:pPr>
    </w:p>
    <w:p w14:paraId="08911F1D" w14:textId="77777777" w:rsidR="0059552A" w:rsidRPr="004E70A1" w:rsidRDefault="0059552A" w:rsidP="00496272">
      <w:pPr>
        <w:numPr>
          <w:ilvl w:val="12"/>
          <w:numId w:val="0"/>
        </w:numPr>
        <w:tabs>
          <w:tab w:val="clear" w:pos="567"/>
        </w:tabs>
        <w:ind w:right="-568"/>
        <w:rPr>
          <w:bCs/>
          <w:szCs w:val="22"/>
          <w:lang w:val="it-IT"/>
        </w:rPr>
      </w:pPr>
      <w:r w:rsidRPr="004E70A1">
        <w:rPr>
          <w:bCs/>
          <w:szCs w:val="22"/>
          <w:lang w:val="it-IT"/>
        </w:rPr>
        <w:t>Teva Biotech GmbH</w:t>
      </w:r>
    </w:p>
    <w:p w14:paraId="42635AA1" w14:textId="77777777" w:rsidR="0059552A" w:rsidRPr="004E70A1" w:rsidRDefault="0059552A" w:rsidP="00496272">
      <w:pPr>
        <w:numPr>
          <w:ilvl w:val="12"/>
          <w:numId w:val="0"/>
        </w:numPr>
        <w:tabs>
          <w:tab w:val="clear" w:pos="567"/>
        </w:tabs>
        <w:ind w:right="-568"/>
        <w:rPr>
          <w:bCs/>
          <w:szCs w:val="22"/>
          <w:lang w:val="it-IT"/>
        </w:rPr>
      </w:pPr>
      <w:r w:rsidRPr="004E70A1">
        <w:rPr>
          <w:lang w:val="it-IT"/>
        </w:rPr>
        <w:t>Dornierstraße 10</w:t>
      </w:r>
    </w:p>
    <w:p w14:paraId="78989AB5" w14:textId="77777777" w:rsidR="0059552A" w:rsidRPr="004E70A1" w:rsidRDefault="0059552A" w:rsidP="00496272">
      <w:pPr>
        <w:numPr>
          <w:ilvl w:val="12"/>
          <w:numId w:val="0"/>
        </w:numPr>
        <w:tabs>
          <w:tab w:val="clear" w:pos="567"/>
        </w:tabs>
        <w:ind w:right="-568"/>
        <w:rPr>
          <w:bCs/>
          <w:szCs w:val="22"/>
          <w:lang w:val="it-IT"/>
        </w:rPr>
      </w:pPr>
      <w:r w:rsidRPr="004E70A1">
        <w:rPr>
          <w:lang w:val="it-IT"/>
        </w:rPr>
        <w:t>D-89079 Ulm</w:t>
      </w:r>
    </w:p>
    <w:p w14:paraId="11740692" w14:textId="77777777" w:rsidR="0059552A" w:rsidRPr="004E70A1" w:rsidRDefault="0059552A" w:rsidP="00496272">
      <w:pPr>
        <w:tabs>
          <w:tab w:val="clear" w:pos="567"/>
        </w:tabs>
        <w:ind w:right="-568"/>
        <w:rPr>
          <w:szCs w:val="22"/>
          <w:lang w:val="it-IT"/>
        </w:rPr>
      </w:pPr>
      <w:r w:rsidRPr="004E70A1">
        <w:rPr>
          <w:lang w:val="it-IT"/>
        </w:rPr>
        <w:t>Niemcy</w:t>
      </w:r>
    </w:p>
    <w:p w14:paraId="2B2CC969" w14:textId="77777777" w:rsidR="0059552A" w:rsidRPr="004E70A1" w:rsidRDefault="0059552A" w:rsidP="00496272">
      <w:pPr>
        <w:ind w:right="-568"/>
        <w:rPr>
          <w:szCs w:val="22"/>
          <w:lang w:val="it-IT"/>
        </w:rPr>
      </w:pPr>
    </w:p>
    <w:p w14:paraId="703787B9" w14:textId="77777777" w:rsidR="0059552A" w:rsidRPr="004E70A1" w:rsidRDefault="0059552A" w:rsidP="00496272">
      <w:pPr>
        <w:ind w:right="-568"/>
        <w:rPr>
          <w:szCs w:val="22"/>
          <w:lang w:val="it-IT"/>
        </w:rPr>
      </w:pPr>
      <w:r w:rsidRPr="004E70A1">
        <w:rPr>
          <w:lang w:val="it-IT"/>
        </w:rPr>
        <w:t>Teva Pharmaceuticals Europe B.V.</w:t>
      </w:r>
    </w:p>
    <w:p w14:paraId="1D5EC875" w14:textId="77777777" w:rsidR="0059552A" w:rsidRPr="004E70A1" w:rsidRDefault="0059552A" w:rsidP="00496272">
      <w:pPr>
        <w:ind w:right="-568"/>
        <w:rPr>
          <w:szCs w:val="22"/>
          <w:lang w:val="it-IT"/>
        </w:rPr>
      </w:pPr>
      <w:r w:rsidRPr="004E70A1">
        <w:rPr>
          <w:lang w:val="it-IT"/>
        </w:rPr>
        <w:t>Swensweg 5</w:t>
      </w:r>
    </w:p>
    <w:p w14:paraId="583CFAE8" w14:textId="77777777" w:rsidR="0059552A" w:rsidRPr="004E70A1" w:rsidRDefault="0059552A" w:rsidP="00496272">
      <w:pPr>
        <w:ind w:right="-568"/>
        <w:rPr>
          <w:szCs w:val="22"/>
          <w:lang w:val="it-IT"/>
        </w:rPr>
      </w:pPr>
      <w:r w:rsidRPr="004E70A1">
        <w:rPr>
          <w:lang w:val="it-IT"/>
        </w:rPr>
        <w:t>NL-2031 GA Haarlem</w:t>
      </w:r>
    </w:p>
    <w:p w14:paraId="36727E48" w14:textId="77777777" w:rsidR="0059552A" w:rsidRPr="004E70A1" w:rsidRDefault="0059552A" w:rsidP="006F0B23">
      <w:pPr>
        <w:ind w:right="-568"/>
        <w:rPr>
          <w:noProof/>
          <w:szCs w:val="22"/>
          <w:lang w:val="it-IT"/>
        </w:rPr>
      </w:pPr>
      <w:r w:rsidRPr="004E70A1">
        <w:rPr>
          <w:lang w:val="it-IT"/>
        </w:rPr>
        <w:t>Holandia</w:t>
      </w:r>
    </w:p>
    <w:p w14:paraId="64356AE4" w14:textId="77777777" w:rsidR="00DB7276" w:rsidRPr="004E70A1" w:rsidRDefault="00DB7276" w:rsidP="00DB7276">
      <w:pPr>
        <w:ind w:right="-568"/>
        <w:rPr>
          <w:noProof/>
          <w:szCs w:val="22"/>
          <w:lang w:val="it-IT"/>
        </w:rPr>
      </w:pPr>
    </w:p>
    <w:p w14:paraId="70529D98" w14:textId="77777777" w:rsidR="00DB7276" w:rsidRPr="004E70A1" w:rsidRDefault="00DB7276" w:rsidP="00DB7276">
      <w:pPr>
        <w:ind w:right="-568"/>
        <w:rPr>
          <w:noProof/>
          <w:szCs w:val="22"/>
          <w:lang w:val="it-IT"/>
        </w:rPr>
      </w:pPr>
      <w:r w:rsidRPr="004E70A1">
        <w:rPr>
          <w:noProof/>
          <w:szCs w:val="22"/>
          <w:lang w:val="it-IT"/>
        </w:rPr>
        <w:t>Merckle GmbH</w:t>
      </w:r>
    </w:p>
    <w:p w14:paraId="2C74B839" w14:textId="77777777" w:rsidR="00DB7276" w:rsidRPr="00275D64" w:rsidRDefault="00DB7276" w:rsidP="00DB7276">
      <w:pPr>
        <w:ind w:right="-568"/>
        <w:rPr>
          <w:noProof/>
          <w:szCs w:val="22"/>
          <w:lang w:val="pl-PL"/>
        </w:rPr>
      </w:pPr>
      <w:r w:rsidRPr="00275D64">
        <w:rPr>
          <w:noProof/>
          <w:szCs w:val="22"/>
          <w:lang w:val="pl-PL"/>
        </w:rPr>
        <w:t>Graf-Arco-Straße 3</w:t>
      </w:r>
    </w:p>
    <w:p w14:paraId="14CC1AAE" w14:textId="77777777" w:rsidR="00DB7276" w:rsidRPr="00275D64" w:rsidRDefault="00DB7276" w:rsidP="00DB7276">
      <w:pPr>
        <w:ind w:right="-568"/>
        <w:rPr>
          <w:noProof/>
          <w:szCs w:val="22"/>
          <w:lang w:val="pl-PL"/>
        </w:rPr>
      </w:pPr>
      <w:r w:rsidRPr="00275D64">
        <w:rPr>
          <w:noProof/>
          <w:szCs w:val="22"/>
          <w:lang w:val="pl-PL"/>
        </w:rPr>
        <w:t xml:space="preserve">89079 Ulm, </w:t>
      </w:r>
    </w:p>
    <w:p w14:paraId="0AF4AE15" w14:textId="77777777" w:rsidR="00DB7276" w:rsidRPr="00275D64" w:rsidRDefault="00DB7276" w:rsidP="00DB7276">
      <w:pPr>
        <w:tabs>
          <w:tab w:val="clear" w:pos="567"/>
        </w:tabs>
        <w:ind w:right="-568"/>
        <w:rPr>
          <w:szCs w:val="22"/>
          <w:lang w:val="pl-PL"/>
        </w:rPr>
      </w:pPr>
      <w:r w:rsidRPr="00275D64">
        <w:rPr>
          <w:lang w:val="pl-PL"/>
        </w:rPr>
        <w:t>Niemcy</w:t>
      </w:r>
    </w:p>
    <w:p w14:paraId="61636E7D" w14:textId="77777777" w:rsidR="0059552A" w:rsidRPr="00275D64" w:rsidRDefault="0059552A" w:rsidP="006F0B23">
      <w:pPr>
        <w:ind w:right="-568"/>
        <w:rPr>
          <w:noProof/>
          <w:szCs w:val="22"/>
          <w:lang w:val="pl-PL"/>
        </w:rPr>
      </w:pPr>
    </w:p>
    <w:p w14:paraId="3E92A58D" w14:textId="77777777" w:rsidR="0059552A" w:rsidRPr="00275D64" w:rsidRDefault="0059552A" w:rsidP="00496272">
      <w:pPr>
        <w:ind w:right="-568"/>
        <w:rPr>
          <w:lang w:val="pl-PL"/>
        </w:rPr>
      </w:pPr>
      <w:r w:rsidRPr="00275D64">
        <w:rPr>
          <w:lang w:val="pl-PL"/>
        </w:rPr>
        <w:t>Wydrukowana ulotka dla pacjenta musi zawierać nazwę i adres wytwórcy odpowiedzialnego za zwolnienie danej serii produktu leczniczego.</w:t>
      </w:r>
    </w:p>
    <w:p w14:paraId="1AE5DA88" w14:textId="77777777" w:rsidR="0059552A" w:rsidRPr="00275D64" w:rsidRDefault="0059552A" w:rsidP="00496272">
      <w:pPr>
        <w:ind w:right="-568"/>
        <w:rPr>
          <w:szCs w:val="22"/>
          <w:lang w:val="pl-PL"/>
        </w:rPr>
      </w:pPr>
    </w:p>
    <w:p w14:paraId="7EFD51BE" w14:textId="77777777" w:rsidR="0059552A" w:rsidRPr="00275D64" w:rsidRDefault="0059552A" w:rsidP="00496272">
      <w:pPr>
        <w:ind w:right="-568"/>
        <w:rPr>
          <w:szCs w:val="22"/>
          <w:lang w:val="pl-PL"/>
        </w:rPr>
      </w:pPr>
    </w:p>
    <w:p w14:paraId="5735EB05" w14:textId="77777777" w:rsidR="0059552A" w:rsidRPr="00275D64" w:rsidRDefault="0059552A" w:rsidP="00496272">
      <w:pPr>
        <w:pStyle w:val="TitleB"/>
        <w:rPr>
          <w:noProof w:val="0"/>
          <w:lang w:val="pl-PL"/>
        </w:rPr>
      </w:pPr>
      <w:bookmarkStart w:id="6" w:name="OLE_LINK2"/>
      <w:r w:rsidRPr="00275D64">
        <w:rPr>
          <w:noProof w:val="0"/>
          <w:lang w:val="pl-PL"/>
        </w:rPr>
        <w:t>B.</w:t>
      </w:r>
      <w:bookmarkEnd w:id="6"/>
      <w:r w:rsidRPr="00275D64">
        <w:rPr>
          <w:noProof w:val="0"/>
          <w:lang w:val="pl-PL"/>
        </w:rPr>
        <w:tab/>
        <w:t>WARUNKI LUB OGRANICZENIA DOTYCZĄCE ZAOPATRZENIA I STOSOWANIA</w:t>
      </w:r>
    </w:p>
    <w:p w14:paraId="4A86088A" w14:textId="77777777" w:rsidR="0059552A" w:rsidRPr="00275D64" w:rsidRDefault="0059552A" w:rsidP="00496272">
      <w:pPr>
        <w:ind w:right="-568"/>
        <w:rPr>
          <w:szCs w:val="22"/>
          <w:lang w:val="pl-PL"/>
        </w:rPr>
      </w:pPr>
    </w:p>
    <w:p w14:paraId="13027B4A" w14:textId="77777777" w:rsidR="0059552A" w:rsidRPr="00275D64" w:rsidRDefault="0059552A" w:rsidP="00496272">
      <w:pPr>
        <w:numPr>
          <w:ilvl w:val="12"/>
          <w:numId w:val="0"/>
        </w:numPr>
        <w:ind w:right="-568"/>
        <w:rPr>
          <w:szCs w:val="22"/>
          <w:lang w:val="pl-PL"/>
        </w:rPr>
      </w:pPr>
      <w:r w:rsidRPr="00275D64">
        <w:rPr>
          <w:lang w:val="pl-PL"/>
        </w:rPr>
        <w:t>Produkt leczniczy wydawany na receptę do zastrzeżonego stosowania (patrz aneks I: Charakterystyka Produktu Leczniczego, punkt 4.2).</w:t>
      </w:r>
    </w:p>
    <w:p w14:paraId="61408199" w14:textId="77777777" w:rsidR="0059552A" w:rsidRPr="00275D64" w:rsidRDefault="0059552A" w:rsidP="00496272">
      <w:pPr>
        <w:numPr>
          <w:ilvl w:val="12"/>
          <w:numId w:val="0"/>
        </w:numPr>
        <w:ind w:right="-568"/>
        <w:rPr>
          <w:szCs w:val="22"/>
          <w:lang w:val="pl-PL"/>
        </w:rPr>
      </w:pPr>
    </w:p>
    <w:p w14:paraId="02B8C1DF" w14:textId="77777777" w:rsidR="0059552A" w:rsidRPr="00275D64" w:rsidRDefault="0059552A" w:rsidP="00496272">
      <w:pPr>
        <w:numPr>
          <w:ilvl w:val="12"/>
          <w:numId w:val="0"/>
        </w:numPr>
        <w:ind w:right="-568"/>
        <w:rPr>
          <w:szCs w:val="22"/>
          <w:lang w:val="pl-PL"/>
        </w:rPr>
      </w:pPr>
    </w:p>
    <w:p w14:paraId="04F24216" w14:textId="77777777" w:rsidR="0059552A" w:rsidRPr="00275D64" w:rsidRDefault="0059552A" w:rsidP="00496272">
      <w:pPr>
        <w:pStyle w:val="TitleB"/>
        <w:rPr>
          <w:noProof w:val="0"/>
          <w:lang w:val="pl-PL"/>
        </w:rPr>
      </w:pPr>
      <w:r w:rsidRPr="00275D64">
        <w:rPr>
          <w:noProof w:val="0"/>
          <w:lang w:val="pl-PL"/>
        </w:rPr>
        <w:t>C.</w:t>
      </w:r>
      <w:r w:rsidRPr="00275D64">
        <w:rPr>
          <w:noProof w:val="0"/>
          <w:lang w:val="pl-PL"/>
        </w:rPr>
        <w:tab/>
        <w:t>INNE WARUNKI I WYMAGANIA DOTYCZĄCE DOPUSZCZENIA DO OBROTU</w:t>
      </w:r>
    </w:p>
    <w:p w14:paraId="5CDDF0B4" w14:textId="77777777" w:rsidR="0059552A" w:rsidRPr="00275D64" w:rsidRDefault="0059552A" w:rsidP="00496272">
      <w:pPr>
        <w:ind w:right="-568"/>
        <w:rPr>
          <w:szCs w:val="22"/>
          <w:lang w:val="pl-PL"/>
        </w:rPr>
      </w:pPr>
    </w:p>
    <w:p w14:paraId="49680864" w14:textId="1D22094F" w:rsidR="0059552A" w:rsidRPr="00275D64" w:rsidRDefault="0059552A" w:rsidP="002F3A44">
      <w:pPr>
        <w:numPr>
          <w:ilvl w:val="0"/>
          <w:numId w:val="14"/>
        </w:numPr>
        <w:ind w:left="567" w:hanging="567"/>
        <w:rPr>
          <w:szCs w:val="22"/>
          <w:lang w:val="pl-PL"/>
        </w:rPr>
      </w:pPr>
      <w:r w:rsidRPr="00275D64">
        <w:rPr>
          <w:b/>
          <w:lang w:val="pl-PL"/>
        </w:rPr>
        <w:t>Okresowy raport o</w:t>
      </w:r>
      <w:r w:rsidR="001D0DE0" w:rsidRPr="00275D64">
        <w:rPr>
          <w:b/>
          <w:lang w:val="pl-PL"/>
        </w:rPr>
        <w:t xml:space="preserve"> </w:t>
      </w:r>
      <w:r w:rsidRPr="00275D64">
        <w:rPr>
          <w:b/>
          <w:lang w:val="pl-PL"/>
        </w:rPr>
        <w:t>bezpieczeństwie stosowania</w:t>
      </w:r>
    </w:p>
    <w:p w14:paraId="3716BB2C" w14:textId="77777777" w:rsidR="0059552A" w:rsidRPr="00275D64" w:rsidRDefault="0059552A" w:rsidP="00496272">
      <w:pPr>
        <w:ind w:right="-568"/>
        <w:rPr>
          <w:szCs w:val="22"/>
          <w:lang w:val="pl-PL"/>
        </w:rPr>
      </w:pPr>
    </w:p>
    <w:p w14:paraId="7E174E76" w14:textId="77777777" w:rsidR="0059552A" w:rsidRPr="00275D64" w:rsidRDefault="0059552A" w:rsidP="00496272">
      <w:pPr>
        <w:ind w:right="-568"/>
        <w:rPr>
          <w:szCs w:val="22"/>
          <w:lang w:val="pl-PL"/>
        </w:rPr>
      </w:pPr>
      <w:r w:rsidRPr="00275D64">
        <w:rPr>
          <w:lang w:val="pl-PL"/>
        </w:rPr>
        <w:t>Wymagania do przedłożenia okresowych raportów o bezpieczeństwie stosowania tego produktu są określone w wykazie unijnych dat referencyjnych (wykaz EURD), o którym mowa w art. 107c ust. 7 dyrektywy 2001/83/WE i jego kolejnych aktualizacjach ogłaszanych na europejskiej stronie internetowej dotyczącej leków.</w:t>
      </w:r>
    </w:p>
    <w:p w14:paraId="5F2A1002" w14:textId="77777777" w:rsidR="0059552A" w:rsidRPr="00275D64" w:rsidRDefault="0059552A" w:rsidP="00496272">
      <w:pPr>
        <w:ind w:right="-568"/>
        <w:rPr>
          <w:szCs w:val="22"/>
          <w:lang w:val="pl-PL"/>
        </w:rPr>
      </w:pPr>
    </w:p>
    <w:p w14:paraId="6BB50267" w14:textId="77777777" w:rsidR="0059552A" w:rsidRPr="00275D64" w:rsidRDefault="0059552A" w:rsidP="00496272">
      <w:pPr>
        <w:ind w:right="-568"/>
        <w:rPr>
          <w:szCs w:val="22"/>
          <w:lang w:val="pl-PL"/>
        </w:rPr>
      </w:pPr>
    </w:p>
    <w:p w14:paraId="1A2A15EB" w14:textId="77777777" w:rsidR="0059552A" w:rsidRPr="00275D64" w:rsidRDefault="0059552A" w:rsidP="00496272">
      <w:pPr>
        <w:pStyle w:val="TitleB"/>
        <w:rPr>
          <w:noProof w:val="0"/>
          <w:lang w:val="pl-PL"/>
        </w:rPr>
      </w:pPr>
      <w:r w:rsidRPr="00275D64">
        <w:rPr>
          <w:noProof w:val="0"/>
          <w:lang w:val="pl-PL"/>
        </w:rPr>
        <w:t>D.</w:t>
      </w:r>
      <w:r w:rsidRPr="00275D64">
        <w:rPr>
          <w:noProof w:val="0"/>
          <w:lang w:val="pl-PL"/>
        </w:rPr>
        <w:tab/>
        <w:t>WARUNKI I OGRANICZENIA DOTYCZĄCE BEZPIECZNEGO I SKUTECZNEGO STOSOWANIA PRODUKTU LECZNICZEGO</w:t>
      </w:r>
    </w:p>
    <w:p w14:paraId="5B978C72" w14:textId="77777777" w:rsidR="0059552A" w:rsidRPr="00275D64" w:rsidRDefault="0059552A" w:rsidP="00496272">
      <w:pPr>
        <w:suppressLineNumbers/>
        <w:ind w:left="567" w:right="-568" w:hanging="567"/>
        <w:rPr>
          <w:b/>
          <w:bCs/>
          <w:szCs w:val="22"/>
          <w:lang w:val="pl-PL"/>
        </w:rPr>
      </w:pPr>
    </w:p>
    <w:p w14:paraId="5FF3D478" w14:textId="77777777" w:rsidR="0059552A" w:rsidRPr="00275D64" w:rsidRDefault="0059552A" w:rsidP="002F3A44">
      <w:pPr>
        <w:numPr>
          <w:ilvl w:val="0"/>
          <w:numId w:val="14"/>
        </w:numPr>
        <w:ind w:left="567" w:hanging="567"/>
        <w:rPr>
          <w:b/>
          <w:szCs w:val="22"/>
          <w:lang w:val="pl-PL"/>
        </w:rPr>
      </w:pPr>
      <w:r w:rsidRPr="00275D64">
        <w:rPr>
          <w:b/>
          <w:lang w:val="pl-PL"/>
        </w:rPr>
        <w:t>Plan Zarządzania Ryzykiem (ang. Risk Management Plan, RMP)</w:t>
      </w:r>
    </w:p>
    <w:p w14:paraId="282ADE61" w14:textId="77777777" w:rsidR="0059552A" w:rsidRPr="00275D64" w:rsidRDefault="0059552A" w:rsidP="00496272">
      <w:pPr>
        <w:tabs>
          <w:tab w:val="clear" w:pos="567"/>
          <w:tab w:val="left" w:pos="0"/>
        </w:tabs>
        <w:ind w:right="567"/>
        <w:rPr>
          <w:lang w:val="pl-PL"/>
        </w:rPr>
      </w:pPr>
    </w:p>
    <w:p w14:paraId="0FA20077" w14:textId="77777777" w:rsidR="0059552A" w:rsidRPr="00275D64" w:rsidRDefault="0059552A" w:rsidP="00496272">
      <w:pPr>
        <w:tabs>
          <w:tab w:val="clear" w:pos="567"/>
          <w:tab w:val="left" w:pos="0"/>
        </w:tabs>
        <w:ind w:right="567"/>
        <w:rPr>
          <w:lang w:val="pl-PL"/>
        </w:rPr>
      </w:pPr>
      <w:r w:rsidRPr="00275D64">
        <w:rPr>
          <w:lang w:val="pl-PL"/>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14:paraId="54F884CF" w14:textId="77777777" w:rsidR="0059552A" w:rsidRPr="00275D64" w:rsidRDefault="0059552A" w:rsidP="00496272">
      <w:pPr>
        <w:ind w:right="567"/>
        <w:rPr>
          <w:szCs w:val="22"/>
          <w:lang w:val="pl-PL"/>
        </w:rPr>
      </w:pPr>
    </w:p>
    <w:p w14:paraId="5D0BE026" w14:textId="77777777" w:rsidR="0059552A" w:rsidRPr="00275D64" w:rsidRDefault="0059552A" w:rsidP="00496272">
      <w:pPr>
        <w:ind w:right="567"/>
        <w:rPr>
          <w:szCs w:val="22"/>
          <w:lang w:val="pl-PL"/>
        </w:rPr>
      </w:pPr>
      <w:r w:rsidRPr="00275D64">
        <w:rPr>
          <w:lang w:val="pl-PL"/>
        </w:rPr>
        <w:lastRenderedPageBreak/>
        <w:t>Uaktualniony RMP należy przedstawiać:</w:t>
      </w:r>
    </w:p>
    <w:p w14:paraId="2BA301AD" w14:textId="77777777" w:rsidR="0059552A" w:rsidRPr="00275D64" w:rsidRDefault="0059552A" w:rsidP="002F3A44">
      <w:pPr>
        <w:numPr>
          <w:ilvl w:val="0"/>
          <w:numId w:val="14"/>
        </w:numPr>
        <w:ind w:left="714" w:right="567" w:hanging="357"/>
        <w:rPr>
          <w:szCs w:val="22"/>
          <w:lang w:val="pl-PL"/>
        </w:rPr>
      </w:pPr>
      <w:r w:rsidRPr="00275D64">
        <w:rPr>
          <w:lang w:val="pl-PL"/>
        </w:rPr>
        <w:t>na żądanie Europejskiej Agencji Leków;</w:t>
      </w:r>
    </w:p>
    <w:p w14:paraId="27840498" w14:textId="77777777" w:rsidR="0059552A" w:rsidRPr="00275D64" w:rsidRDefault="0059552A" w:rsidP="002F3A44">
      <w:pPr>
        <w:numPr>
          <w:ilvl w:val="0"/>
          <w:numId w:val="14"/>
        </w:numPr>
        <w:ind w:left="567" w:right="567" w:hanging="210"/>
        <w:rPr>
          <w:szCs w:val="22"/>
          <w:lang w:val="pl-PL"/>
        </w:rPr>
      </w:pPr>
      <w:r w:rsidRPr="00275D64">
        <w:rPr>
          <w:lang w:val="pl-PL"/>
        </w:rPr>
        <w:t>w razie zmiany systemu zarządzania ryzykiem, zwłaszcza w wyniku uzyskania nowych informacji, które mogą istotnie wpłynąć na stosunek ryzyka do korzyści, lub w wyniku uzyskania istotnych informacji, dotyczących bezpieczeństwa stosowania produktu leczniczego lub odnoszących się do minimalizacji ryzyka.</w:t>
      </w:r>
    </w:p>
    <w:p w14:paraId="0EB0FE48" w14:textId="77777777" w:rsidR="0059552A" w:rsidRPr="00275D64" w:rsidRDefault="0059552A" w:rsidP="00496272">
      <w:pPr>
        <w:ind w:right="-1"/>
        <w:jc w:val="center"/>
        <w:rPr>
          <w:szCs w:val="22"/>
          <w:lang w:val="pl-PL"/>
        </w:rPr>
      </w:pPr>
      <w:r w:rsidRPr="00275D64">
        <w:rPr>
          <w:lang w:val="pl-PL"/>
        </w:rPr>
        <w:br w:type="page"/>
      </w:r>
    </w:p>
    <w:p w14:paraId="3717D970" w14:textId="77777777" w:rsidR="0059552A" w:rsidRPr="00275D64" w:rsidRDefault="0059552A" w:rsidP="00496272">
      <w:pPr>
        <w:jc w:val="center"/>
        <w:rPr>
          <w:szCs w:val="22"/>
          <w:lang w:val="pl-PL"/>
        </w:rPr>
      </w:pPr>
    </w:p>
    <w:p w14:paraId="28FD69E4" w14:textId="77777777" w:rsidR="0059552A" w:rsidRPr="00275D64" w:rsidRDefault="0059552A" w:rsidP="00496272">
      <w:pPr>
        <w:jc w:val="center"/>
        <w:rPr>
          <w:szCs w:val="22"/>
          <w:lang w:val="pl-PL"/>
        </w:rPr>
      </w:pPr>
    </w:p>
    <w:p w14:paraId="1CD41F41" w14:textId="77777777" w:rsidR="0059552A" w:rsidRPr="00275D64" w:rsidRDefault="0059552A" w:rsidP="00496272">
      <w:pPr>
        <w:jc w:val="center"/>
        <w:rPr>
          <w:szCs w:val="22"/>
          <w:lang w:val="pl-PL"/>
        </w:rPr>
      </w:pPr>
    </w:p>
    <w:p w14:paraId="10BFC8C6" w14:textId="77777777" w:rsidR="0059552A" w:rsidRPr="00275D64" w:rsidRDefault="0059552A" w:rsidP="00496272">
      <w:pPr>
        <w:jc w:val="center"/>
        <w:rPr>
          <w:szCs w:val="22"/>
          <w:lang w:val="pl-PL"/>
        </w:rPr>
      </w:pPr>
    </w:p>
    <w:p w14:paraId="28860456" w14:textId="77777777" w:rsidR="0059552A" w:rsidRPr="00275D64" w:rsidRDefault="0059552A" w:rsidP="00496272">
      <w:pPr>
        <w:jc w:val="center"/>
        <w:rPr>
          <w:szCs w:val="22"/>
          <w:lang w:val="pl-PL"/>
        </w:rPr>
      </w:pPr>
    </w:p>
    <w:p w14:paraId="386117C2" w14:textId="77777777" w:rsidR="0059552A" w:rsidRPr="00275D64" w:rsidRDefault="0059552A" w:rsidP="00496272">
      <w:pPr>
        <w:jc w:val="center"/>
        <w:rPr>
          <w:szCs w:val="22"/>
          <w:lang w:val="pl-PL"/>
        </w:rPr>
      </w:pPr>
    </w:p>
    <w:p w14:paraId="7FD93002" w14:textId="77777777" w:rsidR="0059552A" w:rsidRPr="00275D64" w:rsidRDefault="0059552A" w:rsidP="00496272">
      <w:pPr>
        <w:jc w:val="center"/>
        <w:rPr>
          <w:szCs w:val="22"/>
          <w:lang w:val="pl-PL"/>
        </w:rPr>
      </w:pPr>
    </w:p>
    <w:p w14:paraId="4A13C851" w14:textId="77777777" w:rsidR="0059552A" w:rsidRPr="00275D64" w:rsidRDefault="0059552A" w:rsidP="00496272">
      <w:pPr>
        <w:jc w:val="center"/>
        <w:rPr>
          <w:szCs w:val="22"/>
          <w:lang w:val="pl-PL"/>
        </w:rPr>
      </w:pPr>
    </w:p>
    <w:p w14:paraId="73F8B48C" w14:textId="77777777" w:rsidR="0059552A" w:rsidRPr="00275D64" w:rsidRDefault="0059552A" w:rsidP="00496272">
      <w:pPr>
        <w:jc w:val="center"/>
        <w:rPr>
          <w:szCs w:val="22"/>
          <w:lang w:val="pl-PL"/>
        </w:rPr>
      </w:pPr>
    </w:p>
    <w:p w14:paraId="273358FF" w14:textId="77777777" w:rsidR="0059552A" w:rsidRPr="00275D64" w:rsidRDefault="0059552A" w:rsidP="00496272">
      <w:pPr>
        <w:jc w:val="center"/>
        <w:rPr>
          <w:szCs w:val="22"/>
          <w:lang w:val="pl-PL"/>
        </w:rPr>
      </w:pPr>
    </w:p>
    <w:p w14:paraId="77E9E51B" w14:textId="77777777" w:rsidR="0059552A" w:rsidRPr="00275D64" w:rsidRDefault="0059552A" w:rsidP="00496272">
      <w:pPr>
        <w:jc w:val="center"/>
        <w:rPr>
          <w:szCs w:val="22"/>
          <w:lang w:val="pl-PL"/>
        </w:rPr>
      </w:pPr>
    </w:p>
    <w:p w14:paraId="63073F08" w14:textId="77777777" w:rsidR="0059552A" w:rsidRPr="00275D64" w:rsidRDefault="0059552A" w:rsidP="00496272">
      <w:pPr>
        <w:jc w:val="center"/>
        <w:rPr>
          <w:szCs w:val="22"/>
          <w:lang w:val="pl-PL"/>
        </w:rPr>
      </w:pPr>
    </w:p>
    <w:p w14:paraId="280A0A6C" w14:textId="77777777" w:rsidR="0059552A" w:rsidRPr="00275D64" w:rsidRDefault="0059552A" w:rsidP="00496272">
      <w:pPr>
        <w:jc w:val="center"/>
        <w:rPr>
          <w:szCs w:val="22"/>
          <w:lang w:val="pl-PL"/>
        </w:rPr>
      </w:pPr>
    </w:p>
    <w:p w14:paraId="243E9605" w14:textId="77777777" w:rsidR="0059552A" w:rsidRPr="00275D64" w:rsidRDefault="0059552A" w:rsidP="00496272">
      <w:pPr>
        <w:jc w:val="center"/>
        <w:rPr>
          <w:szCs w:val="22"/>
          <w:lang w:val="pl-PL"/>
        </w:rPr>
      </w:pPr>
    </w:p>
    <w:p w14:paraId="100E0DEB" w14:textId="77777777" w:rsidR="0059552A" w:rsidRPr="00275D64" w:rsidRDefault="0059552A" w:rsidP="00496272">
      <w:pPr>
        <w:jc w:val="center"/>
        <w:rPr>
          <w:szCs w:val="22"/>
          <w:lang w:val="pl-PL"/>
        </w:rPr>
      </w:pPr>
    </w:p>
    <w:p w14:paraId="0638AA85" w14:textId="77777777" w:rsidR="0059552A" w:rsidRPr="00275D64" w:rsidRDefault="0059552A" w:rsidP="00496272">
      <w:pPr>
        <w:jc w:val="center"/>
        <w:rPr>
          <w:szCs w:val="22"/>
          <w:lang w:val="pl-PL"/>
        </w:rPr>
      </w:pPr>
    </w:p>
    <w:p w14:paraId="46F261FE" w14:textId="77777777" w:rsidR="0059552A" w:rsidRPr="00275D64" w:rsidRDefault="0059552A" w:rsidP="00496272">
      <w:pPr>
        <w:jc w:val="center"/>
        <w:outlineLvl w:val="0"/>
        <w:rPr>
          <w:b/>
          <w:szCs w:val="22"/>
          <w:lang w:val="pl-PL"/>
        </w:rPr>
      </w:pPr>
    </w:p>
    <w:p w14:paraId="5BA63785" w14:textId="77777777" w:rsidR="0059552A" w:rsidRPr="00275D64" w:rsidRDefault="0059552A" w:rsidP="00496272">
      <w:pPr>
        <w:jc w:val="center"/>
        <w:outlineLvl w:val="0"/>
        <w:rPr>
          <w:b/>
          <w:szCs w:val="22"/>
          <w:lang w:val="pl-PL"/>
        </w:rPr>
      </w:pPr>
    </w:p>
    <w:p w14:paraId="12ACD8E3" w14:textId="77777777" w:rsidR="0059552A" w:rsidRPr="00275D64" w:rsidRDefault="0059552A" w:rsidP="00496272">
      <w:pPr>
        <w:jc w:val="center"/>
        <w:outlineLvl w:val="0"/>
        <w:rPr>
          <w:b/>
          <w:szCs w:val="22"/>
          <w:lang w:val="pl-PL"/>
        </w:rPr>
      </w:pPr>
    </w:p>
    <w:p w14:paraId="0C0941B4" w14:textId="77777777" w:rsidR="0059552A" w:rsidRPr="00275D64" w:rsidRDefault="0059552A" w:rsidP="00496272">
      <w:pPr>
        <w:jc w:val="center"/>
        <w:outlineLvl w:val="0"/>
        <w:rPr>
          <w:b/>
          <w:szCs w:val="22"/>
          <w:lang w:val="pl-PL"/>
        </w:rPr>
      </w:pPr>
    </w:p>
    <w:p w14:paraId="5A2A4392" w14:textId="77777777" w:rsidR="0059552A" w:rsidRPr="00275D64" w:rsidRDefault="0059552A" w:rsidP="00496272">
      <w:pPr>
        <w:jc w:val="center"/>
        <w:outlineLvl w:val="0"/>
        <w:rPr>
          <w:b/>
          <w:szCs w:val="22"/>
          <w:lang w:val="pl-PL"/>
        </w:rPr>
      </w:pPr>
    </w:p>
    <w:p w14:paraId="226F2630" w14:textId="77777777" w:rsidR="0059552A" w:rsidRPr="00275D64" w:rsidRDefault="0059552A" w:rsidP="00496272">
      <w:pPr>
        <w:jc w:val="center"/>
        <w:outlineLvl w:val="0"/>
        <w:rPr>
          <w:b/>
          <w:szCs w:val="22"/>
          <w:lang w:val="pl-PL"/>
        </w:rPr>
      </w:pPr>
    </w:p>
    <w:p w14:paraId="1D18B35E" w14:textId="77777777" w:rsidR="0059552A" w:rsidRPr="00275D64" w:rsidRDefault="0059552A" w:rsidP="00496272">
      <w:pPr>
        <w:jc w:val="center"/>
        <w:outlineLvl w:val="0"/>
        <w:rPr>
          <w:b/>
          <w:szCs w:val="22"/>
          <w:lang w:val="pl-PL"/>
        </w:rPr>
      </w:pPr>
      <w:r w:rsidRPr="00275D64">
        <w:rPr>
          <w:b/>
          <w:lang w:val="pl-PL"/>
        </w:rPr>
        <w:t>ANEKS III</w:t>
      </w:r>
    </w:p>
    <w:p w14:paraId="57A5CBE7" w14:textId="77777777" w:rsidR="0059552A" w:rsidRPr="00275D64" w:rsidRDefault="0059552A" w:rsidP="00496272">
      <w:pPr>
        <w:jc w:val="center"/>
        <w:rPr>
          <w:b/>
          <w:szCs w:val="22"/>
          <w:lang w:val="pl-PL"/>
        </w:rPr>
      </w:pPr>
    </w:p>
    <w:p w14:paraId="0E8C43F3" w14:textId="77777777" w:rsidR="0059552A" w:rsidRPr="00275D64" w:rsidRDefault="0059552A" w:rsidP="00496272">
      <w:pPr>
        <w:jc w:val="center"/>
        <w:outlineLvl w:val="0"/>
        <w:rPr>
          <w:b/>
          <w:szCs w:val="22"/>
          <w:lang w:val="pl-PL"/>
        </w:rPr>
      </w:pPr>
      <w:r w:rsidRPr="00275D64">
        <w:rPr>
          <w:b/>
          <w:lang w:val="pl-PL"/>
        </w:rPr>
        <w:t>OZNAKOWANIE OPAKOWAŃ I ULOTKA DLA PACJENTA</w:t>
      </w:r>
    </w:p>
    <w:p w14:paraId="36176B63" w14:textId="77777777" w:rsidR="0059552A" w:rsidRPr="00275D64" w:rsidRDefault="0059552A" w:rsidP="00496272">
      <w:pPr>
        <w:jc w:val="center"/>
        <w:rPr>
          <w:b/>
          <w:szCs w:val="22"/>
          <w:lang w:val="pl-PL"/>
        </w:rPr>
      </w:pPr>
    </w:p>
    <w:p w14:paraId="3B7F91F4" w14:textId="77777777" w:rsidR="0059552A" w:rsidRPr="00275D64" w:rsidRDefault="0059552A" w:rsidP="00496272">
      <w:pPr>
        <w:jc w:val="center"/>
        <w:rPr>
          <w:szCs w:val="22"/>
          <w:lang w:val="pl-PL"/>
        </w:rPr>
      </w:pPr>
      <w:r w:rsidRPr="00275D64">
        <w:rPr>
          <w:lang w:val="pl-PL"/>
        </w:rPr>
        <w:br w:type="page"/>
      </w:r>
    </w:p>
    <w:p w14:paraId="280F0114" w14:textId="77777777" w:rsidR="0059552A" w:rsidRPr="00275D64" w:rsidRDefault="0059552A" w:rsidP="00496272">
      <w:pPr>
        <w:jc w:val="center"/>
        <w:rPr>
          <w:szCs w:val="22"/>
          <w:lang w:val="pl-PL"/>
        </w:rPr>
      </w:pPr>
    </w:p>
    <w:p w14:paraId="62A92206" w14:textId="77777777" w:rsidR="0059552A" w:rsidRPr="00275D64" w:rsidRDefault="0059552A" w:rsidP="00496272">
      <w:pPr>
        <w:jc w:val="center"/>
        <w:outlineLvl w:val="0"/>
        <w:rPr>
          <w:b/>
          <w:szCs w:val="22"/>
          <w:lang w:val="pl-PL"/>
        </w:rPr>
      </w:pPr>
    </w:p>
    <w:p w14:paraId="0D8B1E25" w14:textId="77777777" w:rsidR="0059552A" w:rsidRPr="00275D64" w:rsidRDefault="0059552A" w:rsidP="00496272">
      <w:pPr>
        <w:jc w:val="center"/>
        <w:outlineLvl w:val="0"/>
        <w:rPr>
          <w:b/>
          <w:szCs w:val="22"/>
          <w:lang w:val="pl-PL"/>
        </w:rPr>
      </w:pPr>
    </w:p>
    <w:p w14:paraId="2D101C60" w14:textId="77777777" w:rsidR="0059552A" w:rsidRPr="00275D64" w:rsidRDefault="0059552A" w:rsidP="00496272">
      <w:pPr>
        <w:jc w:val="center"/>
        <w:outlineLvl w:val="0"/>
        <w:rPr>
          <w:b/>
          <w:szCs w:val="22"/>
          <w:lang w:val="pl-PL"/>
        </w:rPr>
      </w:pPr>
    </w:p>
    <w:p w14:paraId="5E1D6BC9" w14:textId="77777777" w:rsidR="0059552A" w:rsidRPr="00275D64" w:rsidRDefault="0059552A" w:rsidP="00496272">
      <w:pPr>
        <w:jc w:val="center"/>
        <w:outlineLvl w:val="0"/>
        <w:rPr>
          <w:b/>
          <w:szCs w:val="22"/>
          <w:lang w:val="pl-PL"/>
        </w:rPr>
      </w:pPr>
    </w:p>
    <w:p w14:paraId="29BCE0DA" w14:textId="77777777" w:rsidR="0059552A" w:rsidRPr="00275D64" w:rsidRDefault="0059552A" w:rsidP="00496272">
      <w:pPr>
        <w:jc w:val="center"/>
        <w:outlineLvl w:val="0"/>
        <w:rPr>
          <w:b/>
          <w:szCs w:val="22"/>
          <w:lang w:val="pl-PL"/>
        </w:rPr>
      </w:pPr>
    </w:p>
    <w:p w14:paraId="4E0AD513" w14:textId="77777777" w:rsidR="0059552A" w:rsidRPr="00275D64" w:rsidRDefault="0059552A" w:rsidP="00496272">
      <w:pPr>
        <w:jc w:val="center"/>
        <w:outlineLvl w:val="0"/>
        <w:rPr>
          <w:b/>
          <w:szCs w:val="22"/>
          <w:lang w:val="pl-PL"/>
        </w:rPr>
      </w:pPr>
    </w:p>
    <w:p w14:paraId="109D177E" w14:textId="77777777" w:rsidR="0059552A" w:rsidRPr="00275D64" w:rsidRDefault="0059552A" w:rsidP="00496272">
      <w:pPr>
        <w:jc w:val="center"/>
        <w:outlineLvl w:val="0"/>
        <w:rPr>
          <w:b/>
          <w:szCs w:val="22"/>
          <w:lang w:val="pl-PL"/>
        </w:rPr>
      </w:pPr>
    </w:p>
    <w:p w14:paraId="759AEB3A" w14:textId="77777777" w:rsidR="0059552A" w:rsidRPr="00275D64" w:rsidRDefault="0059552A" w:rsidP="00496272">
      <w:pPr>
        <w:jc w:val="center"/>
        <w:outlineLvl w:val="0"/>
        <w:rPr>
          <w:b/>
          <w:szCs w:val="22"/>
          <w:lang w:val="pl-PL"/>
        </w:rPr>
      </w:pPr>
    </w:p>
    <w:p w14:paraId="533F0196" w14:textId="77777777" w:rsidR="0059552A" w:rsidRPr="00275D64" w:rsidRDefault="0059552A" w:rsidP="00496272">
      <w:pPr>
        <w:jc w:val="center"/>
        <w:outlineLvl w:val="0"/>
        <w:rPr>
          <w:b/>
          <w:szCs w:val="22"/>
          <w:lang w:val="pl-PL"/>
        </w:rPr>
      </w:pPr>
    </w:p>
    <w:p w14:paraId="332CB887" w14:textId="77777777" w:rsidR="0059552A" w:rsidRPr="00275D64" w:rsidRDefault="0059552A" w:rsidP="00496272">
      <w:pPr>
        <w:jc w:val="center"/>
        <w:outlineLvl w:val="0"/>
        <w:rPr>
          <w:b/>
          <w:szCs w:val="22"/>
          <w:lang w:val="pl-PL"/>
        </w:rPr>
      </w:pPr>
    </w:p>
    <w:p w14:paraId="55AFCF22" w14:textId="77777777" w:rsidR="0059552A" w:rsidRPr="00275D64" w:rsidRDefault="0059552A" w:rsidP="00496272">
      <w:pPr>
        <w:jc w:val="center"/>
        <w:outlineLvl w:val="0"/>
        <w:rPr>
          <w:b/>
          <w:szCs w:val="22"/>
          <w:lang w:val="pl-PL"/>
        </w:rPr>
      </w:pPr>
    </w:p>
    <w:p w14:paraId="54AA3F1D" w14:textId="77777777" w:rsidR="0059552A" w:rsidRPr="00275D64" w:rsidRDefault="0059552A" w:rsidP="00496272">
      <w:pPr>
        <w:jc w:val="center"/>
        <w:outlineLvl w:val="0"/>
        <w:rPr>
          <w:b/>
          <w:szCs w:val="22"/>
          <w:lang w:val="pl-PL"/>
        </w:rPr>
      </w:pPr>
    </w:p>
    <w:p w14:paraId="22442DBA" w14:textId="77777777" w:rsidR="0059552A" w:rsidRPr="00275D64" w:rsidRDefault="0059552A" w:rsidP="00496272">
      <w:pPr>
        <w:jc w:val="center"/>
        <w:outlineLvl w:val="0"/>
        <w:rPr>
          <w:b/>
          <w:szCs w:val="22"/>
          <w:lang w:val="pl-PL"/>
        </w:rPr>
      </w:pPr>
    </w:p>
    <w:p w14:paraId="2C9B0B84" w14:textId="77777777" w:rsidR="0059552A" w:rsidRPr="00275D64" w:rsidRDefault="0059552A" w:rsidP="00496272">
      <w:pPr>
        <w:jc w:val="center"/>
        <w:outlineLvl w:val="0"/>
        <w:rPr>
          <w:b/>
          <w:szCs w:val="22"/>
          <w:lang w:val="pl-PL"/>
        </w:rPr>
      </w:pPr>
    </w:p>
    <w:p w14:paraId="5315A3B7" w14:textId="77777777" w:rsidR="0059552A" w:rsidRPr="00275D64" w:rsidRDefault="0059552A" w:rsidP="00496272">
      <w:pPr>
        <w:jc w:val="center"/>
        <w:outlineLvl w:val="0"/>
        <w:rPr>
          <w:b/>
          <w:szCs w:val="22"/>
          <w:lang w:val="pl-PL"/>
        </w:rPr>
      </w:pPr>
    </w:p>
    <w:p w14:paraId="00367861" w14:textId="77777777" w:rsidR="0059552A" w:rsidRPr="00275D64" w:rsidRDefault="0059552A" w:rsidP="00496272">
      <w:pPr>
        <w:jc w:val="center"/>
        <w:outlineLvl w:val="0"/>
        <w:rPr>
          <w:b/>
          <w:szCs w:val="22"/>
          <w:lang w:val="pl-PL"/>
        </w:rPr>
      </w:pPr>
    </w:p>
    <w:p w14:paraId="44B4CCFF" w14:textId="77777777" w:rsidR="0059552A" w:rsidRPr="00275D64" w:rsidRDefault="0059552A" w:rsidP="00496272">
      <w:pPr>
        <w:jc w:val="center"/>
        <w:outlineLvl w:val="0"/>
        <w:rPr>
          <w:b/>
          <w:szCs w:val="22"/>
          <w:lang w:val="pl-PL"/>
        </w:rPr>
      </w:pPr>
    </w:p>
    <w:p w14:paraId="67292F79" w14:textId="77777777" w:rsidR="0059552A" w:rsidRPr="00275D64" w:rsidRDefault="0059552A" w:rsidP="00496272">
      <w:pPr>
        <w:jc w:val="center"/>
        <w:outlineLvl w:val="0"/>
        <w:rPr>
          <w:b/>
          <w:szCs w:val="22"/>
          <w:lang w:val="pl-PL"/>
        </w:rPr>
      </w:pPr>
    </w:p>
    <w:p w14:paraId="320F1F35" w14:textId="77777777" w:rsidR="0059552A" w:rsidRPr="00275D64" w:rsidRDefault="0059552A" w:rsidP="00496272">
      <w:pPr>
        <w:jc w:val="center"/>
        <w:outlineLvl w:val="0"/>
        <w:rPr>
          <w:b/>
          <w:szCs w:val="22"/>
          <w:lang w:val="pl-PL"/>
        </w:rPr>
      </w:pPr>
    </w:p>
    <w:p w14:paraId="092CFD76" w14:textId="77777777" w:rsidR="0059552A" w:rsidRPr="00275D64" w:rsidRDefault="0059552A" w:rsidP="00496272">
      <w:pPr>
        <w:jc w:val="center"/>
        <w:outlineLvl w:val="0"/>
        <w:rPr>
          <w:b/>
          <w:szCs w:val="22"/>
          <w:lang w:val="pl-PL"/>
        </w:rPr>
      </w:pPr>
    </w:p>
    <w:p w14:paraId="1E045D1A" w14:textId="77777777" w:rsidR="0059552A" w:rsidRPr="00275D64" w:rsidRDefault="0059552A" w:rsidP="00496272">
      <w:pPr>
        <w:jc w:val="center"/>
        <w:outlineLvl w:val="0"/>
        <w:rPr>
          <w:b/>
          <w:szCs w:val="22"/>
          <w:lang w:val="pl-PL"/>
        </w:rPr>
      </w:pPr>
    </w:p>
    <w:p w14:paraId="287481FE" w14:textId="77777777" w:rsidR="0059552A" w:rsidRPr="00275D64" w:rsidRDefault="0059552A" w:rsidP="00496272">
      <w:pPr>
        <w:pStyle w:val="TitleA"/>
        <w:rPr>
          <w:noProof w:val="0"/>
          <w:lang w:val="pl-PL"/>
        </w:rPr>
      </w:pPr>
      <w:r w:rsidRPr="00275D64">
        <w:rPr>
          <w:noProof w:val="0"/>
          <w:lang w:val="pl-PL"/>
        </w:rPr>
        <w:t>A. OZNAKOWANIE OPAKOWAŃ</w:t>
      </w:r>
    </w:p>
    <w:p w14:paraId="18ABB50F" w14:textId="77777777" w:rsidR="0059552A" w:rsidRPr="00275D64" w:rsidRDefault="0059552A" w:rsidP="00496272">
      <w:pPr>
        <w:jc w:val="center"/>
        <w:rPr>
          <w:szCs w:val="22"/>
          <w:lang w:val="pl-PL"/>
        </w:rPr>
      </w:pPr>
    </w:p>
    <w:p w14:paraId="0E4DB461" w14:textId="77777777" w:rsidR="0059552A" w:rsidRPr="00275D64" w:rsidRDefault="0059552A" w:rsidP="00496272">
      <w:pPr>
        <w:pBdr>
          <w:top w:val="single" w:sz="4" w:space="1" w:color="auto"/>
          <w:left w:val="single" w:sz="4" w:space="4" w:color="auto"/>
          <w:bottom w:val="single" w:sz="4" w:space="1" w:color="auto"/>
          <w:right w:val="single" w:sz="4" w:space="4" w:color="auto"/>
        </w:pBdr>
        <w:shd w:val="clear" w:color="auto" w:fill="FFFFFF"/>
        <w:rPr>
          <w:szCs w:val="22"/>
          <w:lang w:val="pl-PL"/>
        </w:rPr>
      </w:pPr>
      <w:r w:rsidRPr="00275D64">
        <w:rPr>
          <w:lang w:val="pl-PL"/>
        </w:rPr>
        <w:br w:type="page"/>
      </w:r>
      <w:r w:rsidRPr="00275D64">
        <w:rPr>
          <w:b/>
          <w:lang w:val="pl-PL"/>
        </w:rPr>
        <w:lastRenderedPageBreak/>
        <w:t>INFORMACJE ZAMIESZCZANE NA OPAKOWANIACH ZEWNĘTRZNYCH</w:t>
      </w:r>
    </w:p>
    <w:p w14:paraId="560D9BFE"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rPr>
          <w:bCs/>
          <w:szCs w:val="22"/>
          <w:lang w:val="pl-PL"/>
        </w:rPr>
      </w:pPr>
    </w:p>
    <w:p w14:paraId="6326464C" w14:textId="77777777" w:rsidR="0059552A" w:rsidRPr="00275D64" w:rsidRDefault="0059552A" w:rsidP="00496272">
      <w:pPr>
        <w:pBdr>
          <w:top w:val="single" w:sz="4" w:space="1" w:color="auto"/>
          <w:left w:val="single" w:sz="4" w:space="4" w:color="auto"/>
          <w:bottom w:val="single" w:sz="4" w:space="1" w:color="auto"/>
          <w:right w:val="single" w:sz="4" w:space="4" w:color="auto"/>
        </w:pBdr>
        <w:rPr>
          <w:bCs/>
          <w:szCs w:val="22"/>
          <w:lang w:val="pl-PL"/>
        </w:rPr>
      </w:pPr>
      <w:r w:rsidRPr="00275D64">
        <w:rPr>
          <w:b/>
          <w:lang w:val="pl-PL"/>
        </w:rPr>
        <w:t>PUDEŁKO ZEWNĘTRZNE</w:t>
      </w:r>
    </w:p>
    <w:p w14:paraId="4E63C872" w14:textId="77777777" w:rsidR="0059552A" w:rsidRPr="00275D64" w:rsidRDefault="0059552A" w:rsidP="00496272">
      <w:pPr>
        <w:rPr>
          <w:szCs w:val="22"/>
          <w:lang w:val="pl-PL"/>
        </w:rPr>
      </w:pPr>
    </w:p>
    <w:p w14:paraId="650D9A66" w14:textId="77777777" w:rsidR="0059552A" w:rsidRPr="00275D64" w:rsidRDefault="0059552A" w:rsidP="00496272">
      <w:pPr>
        <w:rPr>
          <w:szCs w:val="22"/>
          <w:lang w:val="pl-PL"/>
        </w:rPr>
      </w:pPr>
    </w:p>
    <w:p w14:paraId="55E924DA"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1.</w:t>
      </w:r>
      <w:r w:rsidRPr="00275D64">
        <w:rPr>
          <w:lang w:val="pl-PL"/>
        </w:rPr>
        <w:tab/>
      </w:r>
      <w:r w:rsidRPr="00275D64">
        <w:rPr>
          <w:b/>
          <w:lang w:val="pl-PL"/>
        </w:rPr>
        <w:t>NAZWA PRODUKTU LECZNICZEGO</w:t>
      </w:r>
    </w:p>
    <w:p w14:paraId="6C37AB51" w14:textId="77777777" w:rsidR="0059552A" w:rsidRPr="00275D64" w:rsidRDefault="0059552A" w:rsidP="00496272">
      <w:pPr>
        <w:rPr>
          <w:szCs w:val="22"/>
          <w:lang w:val="pl-PL"/>
        </w:rPr>
      </w:pPr>
    </w:p>
    <w:p w14:paraId="2EB42063"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Ovaleap 300 j.m./0,5 ml roztwór do wstrzykiwań</w:t>
      </w:r>
    </w:p>
    <w:p w14:paraId="4F4B4769" w14:textId="77777777" w:rsidR="0059552A" w:rsidRPr="00275D64" w:rsidRDefault="0059552A" w:rsidP="00496272">
      <w:pPr>
        <w:rPr>
          <w:szCs w:val="22"/>
          <w:lang w:val="pl-PL"/>
        </w:rPr>
      </w:pPr>
    </w:p>
    <w:p w14:paraId="15FF71FF" w14:textId="1CAC2E09" w:rsidR="0059552A" w:rsidRPr="00275D64" w:rsidRDefault="0059552A" w:rsidP="00496272">
      <w:pPr>
        <w:rPr>
          <w:szCs w:val="22"/>
          <w:lang w:val="pl-PL"/>
        </w:rPr>
      </w:pPr>
      <w:r w:rsidRPr="00275D64">
        <w:rPr>
          <w:color w:val="000000"/>
          <w:lang w:val="pl-PL"/>
        </w:rPr>
        <w:t>folitropina alfa</w:t>
      </w:r>
    </w:p>
    <w:p w14:paraId="03C4F7DE" w14:textId="77777777" w:rsidR="0059552A" w:rsidRPr="00275D64" w:rsidRDefault="0059552A" w:rsidP="00496272">
      <w:pPr>
        <w:rPr>
          <w:szCs w:val="22"/>
          <w:lang w:val="pl-PL"/>
        </w:rPr>
      </w:pPr>
    </w:p>
    <w:p w14:paraId="3665A3EA" w14:textId="77777777" w:rsidR="0059552A" w:rsidRPr="00275D64" w:rsidRDefault="0059552A" w:rsidP="00496272">
      <w:pPr>
        <w:rPr>
          <w:szCs w:val="22"/>
          <w:lang w:val="pl-PL"/>
        </w:rPr>
      </w:pPr>
    </w:p>
    <w:p w14:paraId="744E1E8C"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2.</w:t>
      </w:r>
      <w:r w:rsidRPr="00275D64">
        <w:rPr>
          <w:lang w:val="pl-PL"/>
        </w:rPr>
        <w:tab/>
      </w:r>
      <w:r w:rsidRPr="00275D64">
        <w:rPr>
          <w:b/>
          <w:lang w:val="pl-PL"/>
        </w:rPr>
        <w:t>ZAWARTOŚĆ SUBSTANCJI CZYNNEJ (SUBSTANCJI CZYNNYCH)</w:t>
      </w:r>
    </w:p>
    <w:p w14:paraId="73F6D931" w14:textId="77777777" w:rsidR="0059552A" w:rsidRPr="00275D64" w:rsidRDefault="0059552A" w:rsidP="00496272">
      <w:pPr>
        <w:rPr>
          <w:i/>
          <w:szCs w:val="22"/>
          <w:lang w:val="pl-PL"/>
        </w:rPr>
      </w:pPr>
    </w:p>
    <w:p w14:paraId="5FF72236" w14:textId="77777777" w:rsidR="0059552A" w:rsidRPr="00275D64" w:rsidRDefault="0059552A" w:rsidP="00496272">
      <w:pPr>
        <w:tabs>
          <w:tab w:val="clear" w:pos="567"/>
        </w:tabs>
        <w:rPr>
          <w:color w:val="000000"/>
          <w:szCs w:val="22"/>
          <w:lang w:val="pl-PL"/>
        </w:rPr>
      </w:pPr>
      <w:r w:rsidRPr="00275D64">
        <w:rPr>
          <w:color w:val="000000"/>
          <w:lang w:val="pl-PL"/>
        </w:rPr>
        <w:t>Każdy wkład zawiera 300 j.m. (co odpowiada 22 mikrogramom) folitropiny alfa w 0,5 ml roztworu. Każdy ml roztworu zawiera 600 j.m. (co odpowiada 44 mikrogramom) folitropiny alfa.</w:t>
      </w:r>
    </w:p>
    <w:p w14:paraId="26E863BC" w14:textId="77777777" w:rsidR="0059552A" w:rsidRPr="00275D64" w:rsidRDefault="0059552A" w:rsidP="00496272">
      <w:pPr>
        <w:rPr>
          <w:szCs w:val="22"/>
          <w:lang w:val="pl-PL"/>
        </w:rPr>
      </w:pPr>
    </w:p>
    <w:p w14:paraId="3C46EF46" w14:textId="77777777" w:rsidR="0059552A" w:rsidRPr="00275D64" w:rsidRDefault="0059552A" w:rsidP="00496272">
      <w:pPr>
        <w:rPr>
          <w:szCs w:val="22"/>
          <w:lang w:val="pl-PL"/>
        </w:rPr>
      </w:pPr>
    </w:p>
    <w:p w14:paraId="08563151"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3.</w:t>
      </w:r>
      <w:r w:rsidRPr="00275D64">
        <w:rPr>
          <w:lang w:val="pl-PL"/>
        </w:rPr>
        <w:tab/>
      </w:r>
      <w:r w:rsidRPr="00275D64">
        <w:rPr>
          <w:b/>
          <w:lang w:val="pl-PL"/>
        </w:rPr>
        <w:t>WYKAZ SUBSTANCJI POMOCNICZYCH</w:t>
      </w:r>
    </w:p>
    <w:p w14:paraId="6DAE9E94" w14:textId="77777777" w:rsidR="0059552A" w:rsidRPr="00275D64" w:rsidRDefault="0059552A" w:rsidP="00496272">
      <w:pPr>
        <w:rPr>
          <w:szCs w:val="22"/>
          <w:lang w:val="pl-PL"/>
        </w:rPr>
      </w:pPr>
    </w:p>
    <w:p w14:paraId="5F068FC5" w14:textId="77777777" w:rsidR="0059552A" w:rsidRPr="00275D64" w:rsidRDefault="0059552A" w:rsidP="00496272">
      <w:pPr>
        <w:rPr>
          <w:szCs w:val="22"/>
          <w:lang w:val="pl-PL"/>
        </w:rPr>
      </w:pPr>
      <w:r w:rsidRPr="00275D64">
        <w:rPr>
          <w:lang w:val="pl-PL"/>
        </w:rPr>
        <w:t>Substancje pomocnicze: sodu wodorofosforan dwuwodny, sodu wodorotlenek (2 M) (do ustalenia pH), mannitol, metionina, polisorbat 20, alkohol benzylowy, benzalkoniowy chlorek, woda do wstrzykiwań.</w:t>
      </w:r>
    </w:p>
    <w:p w14:paraId="19C66A16" w14:textId="77777777" w:rsidR="0059552A" w:rsidRPr="00275D64" w:rsidRDefault="0059552A" w:rsidP="00496272">
      <w:pPr>
        <w:rPr>
          <w:szCs w:val="22"/>
          <w:lang w:val="pl-PL"/>
        </w:rPr>
      </w:pPr>
    </w:p>
    <w:p w14:paraId="6BE08895" w14:textId="77777777" w:rsidR="0059552A" w:rsidRPr="00275D64" w:rsidRDefault="0059552A" w:rsidP="00496272">
      <w:pPr>
        <w:rPr>
          <w:szCs w:val="22"/>
          <w:lang w:val="pl-PL"/>
        </w:rPr>
      </w:pPr>
    </w:p>
    <w:p w14:paraId="1FE4BDFB"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4.</w:t>
      </w:r>
      <w:r w:rsidRPr="00275D64">
        <w:rPr>
          <w:lang w:val="pl-PL"/>
        </w:rPr>
        <w:tab/>
      </w:r>
      <w:r w:rsidRPr="00275D64">
        <w:rPr>
          <w:b/>
          <w:lang w:val="pl-PL"/>
        </w:rPr>
        <w:t>POSTAĆ FARMACEUTYCZNA I ZAWARTOŚĆ OPAKOWANIA</w:t>
      </w:r>
    </w:p>
    <w:p w14:paraId="255917C8" w14:textId="77777777" w:rsidR="0059552A" w:rsidRPr="00275D64" w:rsidRDefault="0059552A" w:rsidP="00496272">
      <w:pPr>
        <w:rPr>
          <w:szCs w:val="22"/>
          <w:lang w:val="pl-PL"/>
        </w:rPr>
      </w:pPr>
    </w:p>
    <w:p w14:paraId="65F22613" w14:textId="77777777" w:rsidR="0059552A" w:rsidRPr="00275D64" w:rsidRDefault="0059552A" w:rsidP="00496272">
      <w:pPr>
        <w:rPr>
          <w:color w:val="000000"/>
          <w:szCs w:val="22"/>
          <w:lang w:val="pl-PL"/>
        </w:rPr>
      </w:pPr>
      <w:r w:rsidRPr="00275D64">
        <w:rPr>
          <w:color w:val="000000"/>
          <w:highlight w:val="lightGray"/>
          <w:lang w:val="pl-PL"/>
        </w:rPr>
        <w:t>Roztwór do wstrzykiwań</w:t>
      </w:r>
    </w:p>
    <w:p w14:paraId="15AB9F9D" w14:textId="77777777" w:rsidR="0059552A" w:rsidRPr="00275D64" w:rsidRDefault="0059552A" w:rsidP="00496272">
      <w:pPr>
        <w:rPr>
          <w:szCs w:val="22"/>
          <w:lang w:val="pl-PL"/>
        </w:rPr>
      </w:pPr>
    </w:p>
    <w:p w14:paraId="74171569" w14:textId="77777777" w:rsidR="0059552A" w:rsidRPr="00275D64" w:rsidRDefault="0059552A" w:rsidP="00496272">
      <w:pPr>
        <w:tabs>
          <w:tab w:val="clear" w:pos="567"/>
        </w:tabs>
        <w:rPr>
          <w:color w:val="000000"/>
          <w:szCs w:val="22"/>
          <w:lang w:val="pl-PL"/>
        </w:rPr>
      </w:pPr>
      <w:r w:rsidRPr="00275D64">
        <w:rPr>
          <w:color w:val="000000"/>
          <w:lang w:val="pl-PL"/>
        </w:rPr>
        <w:t>1 wkład z 0,5 ml roztworu i 10 igieł iniekcyjnych</w:t>
      </w:r>
    </w:p>
    <w:p w14:paraId="349D5302" w14:textId="77777777" w:rsidR="0059552A" w:rsidRPr="00275D64" w:rsidRDefault="0059552A" w:rsidP="00496272">
      <w:pPr>
        <w:rPr>
          <w:szCs w:val="22"/>
          <w:lang w:val="pl-PL"/>
        </w:rPr>
      </w:pPr>
    </w:p>
    <w:p w14:paraId="128642EE" w14:textId="77777777" w:rsidR="0059552A" w:rsidRPr="00275D64" w:rsidRDefault="0059552A" w:rsidP="00496272">
      <w:pPr>
        <w:rPr>
          <w:szCs w:val="22"/>
          <w:lang w:val="pl-PL"/>
        </w:rPr>
      </w:pPr>
    </w:p>
    <w:p w14:paraId="43C257B6"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5.</w:t>
      </w:r>
      <w:r w:rsidRPr="00275D64">
        <w:rPr>
          <w:lang w:val="pl-PL"/>
        </w:rPr>
        <w:tab/>
      </w:r>
      <w:r w:rsidRPr="00275D64">
        <w:rPr>
          <w:b/>
          <w:lang w:val="pl-PL"/>
        </w:rPr>
        <w:t>SPOSÓB I DROGA(DROGI) PODANIA</w:t>
      </w:r>
    </w:p>
    <w:p w14:paraId="11ABC440" w14:textId="77777777" w:rsidR="0059552A" w:rsidRPr="00275D64" w:rsidRDefault="0059552A" w:rsidP="00496272">
      <w:pPr>
        <w:rPr>
          <w:szCs w:val="22"/>
          <w:lang w:val="pl-PL"/>
        </w:rPr>
      </w:pPr>
    </w:p>
    <w:p w14:paraId="05948AA5" w14:textId="77777777" w:rsidR="0059552A" w:rsidRPr="00275D64" w:rsidRDefault="0059552A" w:rsidP="00496272">
      <w:pPr>
        <w:tabs>
          <w:tab w:val="left" w:pos="749"/>
        </w:tabs>
        <w:rPr>
          <w:color w:val="000000"/>
          <w:szCs w:val="22"/>
          <w:lang w:val="pl-PL"/>
        </w:rPr>
      </w:pPr>
      <w:r w:rsidRPr="00275D64">
        <w:rPr>
          <w:color w:val="000000"/>
          <w:lang w:val="pl-PL"/>
        </w:rPr>
        <w:t>Do stosowania tylko ze wstrzykiwaczem Ovaleap Pen.</w:t>
      </w:r>
    </w:p>
    <w:p w14:paraId="2E9782AE" w14:textId="77777777" w:rsidR="0059552A" w:rsidRPr="00275D64" w:rsidRDefault="0059552A" w:rsidP="00496272">
      <w:pPr>
        <w:rPr>
          <w:szCs w:val="22"/>
          <w:lang w:val="pl-PL"/>
        </w:rPr>
      </w:pPr>
    </w:p>
    <w:p w14:paraId="057D2388" w14:textId="77777777" w:rsidR="0059552A" w:rsidRPr="00275D64" w:rsidRDefault="0059552A" w:rsidP="00496272">
      <w:pPr>
        <w:rPr>
          <w:szCs w:val="22"/>
          <w:lang w:val="pl-PL"/>
        </w:rPr>
      </w:pPr>
      <w:r w:rsidRPr="00275D64">
        <w:rPr>
          <w:lang w:val="pl-PL"/>
        </w:rPr>
        <w:t>Należy zapoznać się z treścią ulotki przed zastosowaniem leku.</w:t>
      </w:r>
    </w:p>
    <w:p w14:paraId="2CC8D579" w14:textId="77777777" w:rsidR="0059552A" w:rsidRPr="00275D64" w:rsidRDefault="0059552A" w:rsidP="00496272">
      <w:pPr>
        <w:tabs>
          <w:tab w:val="left" w:pos="749"/>
        </w:tabs>
        <w:rPr>
          <w:color w:val="000000"/>
          <w:szCs w:val="22"/>
          <w:lang w:val="pl-PL"/>
        </w:rPr>
      </w:pPr>
    </w:p>
    <w:p w14:paraId="5ECFE0F7" w14:textId="77777777" w:rsidR="0059552A" w:rsidRPr="00275D64" w:rsidRDefault="0059552A" w:rsidP="00496272">
      <w:pPr>
        <w:tabs>
          <w:tab w:val="left" w:pos="749"/>
        </w:tabs>
        <w:rPr>
          <w:szCs w:val="22"/>
          <w:lang w:val="pl-PL"/>
        </w:rPr>
      </w:pPr>
      <w:r w:rsidRPr="00275D64">
        <w:rPr>
          <w:lang w:val="pl-PL"/>
        </w:rPr>
        <w:t>Podanie podskórne</w:t>
      </w:r>
    </w:p>
    <w:p w14:paraId="67F65F6F" w14:textId="77777777" w:rsidR="0059552A" w:rsidRPr="00275D64" w:rsidRDefault="0059552A" w:rsidP="00496272">
      <w:pPr>
        <w:tabs>
          <w:tab w:val="left" w:pos="749"/>
        </w:tabs>
        <w:rPr>
          <w:szCs w:val="22"/>
          <w:lang w:val="pl-PL"/>
        </w:rPr>
      </w:pPr>
    </w:p>
    <w:p w14:paraId="71B82141" w14:textId="77777777" w:rsidR="0059552A" w:rsidRPr="00275D64" w:rsidRDefault="0059552A" w:rsidP="00496272">
      <w:pPr>
        <w:tabs>
          <w:tab w:val="left" w:pos="749"/>
        </w:tabs>
        <w:rPr>
          <w:szCs w:val="22"/>
          <w:lang w:val="pl-PL"/>
        </w:rPr>
      </w:pPr>
    </w:p>
    <w:p w14:paraId="3FE0A516"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6.</w:t>
      </w:r>
      <w:r w:rsidRPr="00275D64">
        <w:rPr>
          <w:lang w:val="pl-PL"/>
        </w:rPr>
        <w:tab/>
      </w:r>
      <w:r w:rsidRPr="00275D64">
        <w:rPr>
          <w:b/>
          <w:lang w:val="pl-PL"/>
        </w:rPr>
        <w:t>OSTRZEŻENIE DOTYCZĄCE PRZECHOWYWANIA PRODUKTU LECZNICZEGO W MIEJSCU NIEWIDOCZNYM I NIEDOSTĘPNYM DLA DZIECI</w:t>
      </w:r>
    </w:p>
    <w:p w14:paraId="282A1B2E" w14:textId="77777777" w:rsidR="0059552A" w:rsidRPr="00275D64" w:rsidRDefault="0059552A" w:rsidP="00496272">
      <w:pPr>
        <w:rPr>
          <w:szCs w:val="22"/>
          <w:lang w:val="pl-PL"/>
        </w:rPr>
      </w:pPr>
    </w:p>
    <w:p w14:paraId="7261738C" w14:textId="77777777" w:rsidR="0059552A" w:rsidRPr="00275D64" w:rsidRDefault="0059552A" w:rsidP="00496272">
      <w:pPr>
        <w:outlineLvl w:val="0"/>
        <w:rPr>
          <w:szCs w:val="22"/>
          <w:lang w:val="pl-PL"/>
        </w:rPr>
      </w:pPr>
      <w:r w:rsidRPr="00275D64">
        <w:rPr>
          <w:lang w:val="pl-PL"/>
        </w:rPr>
        <w:t>Lek przechowywać w miejscu niewidocznym i niedostępnym dla dzieci.</w:t>
      </w:r>
    </w:p>
    <w:p w14:paraId="1F9AB8C6" w14:textId="77777777" w:rsidR="0059552A" w:rsidRPr="00275D64" w:rsidRDefault="0059552A" w:rsidP="00496272">
      <w:pPr>
        <w:rPr>
          <w:szCs w:val="22"/>
          <w:lang w:val="pl-PL"/>
        </w:rPr>
      </w:pPr>
    </w:p>
    <w:p w14:paraId="0DAF4199" w14:textId="77777777" w:rsidR="0059552A" w:rsidRPr="00275D64" w:rsidRDefault="0059552A" w:rsidP="00496272">
      <w:pPr>
        <w:rPr>
          <w:szCs w:val="22"/>
          <w:lang w:val="pl-PL"/>
        </w:rPr>
      </w:pPr>
    </w:p>
    <w:p w14:paraId="177450DE"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7.</w:t>
      </w:r>
      <w:r w:rsidRPr="00275D64">
        <w:rPr>
          <w:lang w:val="pl-PL"/>
        </w:rPr>
        <w:tab/>
      </w:r>
      <w:r w:rsidRPr="00275D64">
        <w:rPr>
          <w:b/>
          <w:lang w:val="pl-PL"/>
        </w:rPr>
        <w:t>INNE OSTRZEŻENIA SPECJALNE, JEŚLI KONIECZNE</w:t>
      </w:r>
    </w:p>
    <w:p w14:paraId="49252C35" w14:textId="77777777" w:rsidR="0059552A" w:rsidRPr="00275D64" w:rsidRDefault="0059552A" w:rsidP="00496272">
      <w:pPr>
        <w:tabs>
          <w:tab w:val="left" w:pos="749"/>
        </w:tabs>
        <w:rPr>
          <w:szCs w:val="22"/>
          <w:lang w:val="pl-PL"/>
        </w:rPr>
      </w:pPr>
    </w:p>
    <w:p w14:paraId="321DCCCA" w14:textId="77777777" w:rsidR="0059552A" w:rsidRPr="00275D64" w:rsidRDefault="0059552A" w:rsidP="00496272">
      <w:pPr>
        <w:tabs>
          <w:tab w:val="left" w:pos="749"/>
        </w:tabs>
        <w:rPr>
          <w:szCs w:val="22"/>
          <w:lang w:val="pl-PL"/>
        </w:rPr>
      </w:pPr>
    </w:p>
    <w:p w14:paraId="3C462B90" w14:textId="77777777" w:rsidR="0059552A" w:rsidRPr="00275D64" w:rsidRDefault="0059552A" w:rsidP="0033745E">
      <w:pPr>
        <w:keepNext/>
        <w:keepLines/>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lastRenderedPageBreak/>
        <w:t>8.</w:t>
      </w:r>
      <w:r w:rsidRPr="00275D64">
        <w:rPr>
          <w:lang w:val="pl-PL"/>
        </w:rPr>
        <w:tab/>
      </w:r>
      <w:r w:rsidRPr="00275D64">
        <w:rPr>
          <w:b/>
          <w:lang w:val="pl-PL"/>
        </w:rPr>
        <w:t>TERMIN WAŻNOŚCI</w:t>
      </w:r>
    </w:p>
    <w:p w14:paraId="6B020668" w14:textId="77777777" w:rsidR="0059552A" w:rsidRPr="00275D64" w:rsidRDefault="0059552A" w:rsidP="0033745E">
      <w:pPr>
        <w:keepNext/>
        <w:keepLines/>
        <w:rPr>
          <w:szCs w:val="22"/>
          <w:lang w:val="pl-PL"/>
        </w:rPr>
      </w:pPr>
    </w:p>
    <w:p w14:paraId="47BCAE7B" w14:textId="77777777" w:rsidR="0059552A" w:rsidRPr="00275D64" w:rsidRDefault="0059552A" w:rsidP="0033745E">
      <w:pPr>
        <w:keepNext/>
        <w:keepLines/>
        <w:rPr>
          <w:szCs w:val="22"/>
          <w:lang w:val="pl-PL"/>
        </w:rPr>
      </w:pPr>
      <w:r w:rsidRPr="00275D64">
        <w:rPr>
          <w:lang w:val="pl-PL"/>
        </w:rPr>
        <w:t>Termin ważności (EXP)</w:t>
      </w:r>
    </w:p>
    <w:p w14:paraId="2C7E7156" w14:textId="77777777" w:rsidR="0059552A" w:rsidRPr="00275D64" w:rsidRDefault="0059552A" w:rsidP="0033745E">
      <w:pPr>
        <w:keepNext/>
        <w:rPr>
          <w:szCs w:val="22"/>
          <w:lang w:val="pl-PL"/>
        </w:rPr>
      </w:pPr>
    </w:p>
    <w:p w14:paraId="09CEC31E" w14:textId="77777777" w:rsidR="0059552A" w:rsidRPr="00275D64" w:rsidRDefault="0059552A" w:rsidP="0033745E">
      <w:pPr>
        <w:keepNext/>
        <w:tabs>
          <w:tab w:val="clear" w:pos="567"/>
        </w:tabs>
        <w:rPr>
          <w:color w:val="000000"/>
          <w:szCs w:val="22"/>
          <w:lang w:val="pl-PL"/>
        </w:rPr>
      </w:pPr>
      <w:r w:rsidRPr="00275D64">
        <w:rPr>
          <w:color w:val="000000"/>
          <w:lang w:val="pl-PL"/>
        </w:rPr>
        <w:t>Wkład używany we wstrzykiwaczu może być przechowywany przez maksymalnie 28 dni w temperaturze do 25 °C.</w:t>
      </w:r>
    </w:p>
    <w:p w14:paraId="5C200554" w14:textId="77777777" w:rsidR="0059552A" w:rsidRPr="00275D64" w:rsidRDefault="0059552A" w:rsidP="00496272">
      <w:pPr>
        <w:rPr>
          <w:szCs w:val="22"/>
          <w:lang w:val="pl-PL"/>
        </w:rPr>
      </w:pPr>
    </w:p>
    <w:p w14:paraId="53794088" w14:textId="77777777" w:rsidR="0059552A" w:rsidRPr="00275D64" w:rsidRDefault="0059552A" w:rsidP="00496272">
      <w:pPr>
        <w:rPr>
          <w:szCs w:val="22"/>
          <w:lang w:val="pl-PL"/>
        </w:rPr>
      </w:pPr>
    </w:p>
    <w:p w14:paraId="6DAD7327" w14:textId="77777777" w:rsidR="0059552A" w:rsidRPr="00275D64" w:rsidRDefault="0059552A"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9.</w:t>
      </w:r>
      <w:r w:rsidRPr="00275D64">
        <w:rPr>
          <w:lang w:val="pl-PL"/>
        </w:rPr>
        <w:tab/>
      </w:r>
      <w:r w:rsidRPr="00275D64">
        <w:rPr>
          <w:b/>
          <w:lang w:val="pl-PL"/>
        </w:rPr>
        <w:t>WARUNKI PRZECHOWYWANIA</w:t>
      </w:r>
    </w:p>
    <w:p w14:paraId="32277F87" w14:textId="77777777" w:rsidR="0059552A" w:rsidRPr="00275D64" w:rsidRDefault="0059552A" w:rsidP="00496272">
      <w:pPr>
        <w:rPr>
          <w:szCs w:val="22"/>
          <w:lang w:val="pl-PL"/>
        </w:rPr>
      </w:pPr>
    </w:p>
    <w:p w14:paraId="3054284C" w14:textId="77777777" w:rsidR="0059552A" w:rsidRPr="00275D64" w:rsidRDefault="0059552A" w:rsidP="00496272">
      <w:pPr>
        <w:tabs>
          <w:tab w:val="clear" w:pos="567"/>
        </w:tabs>
        <w:rPr>
          <w:color w:val="000000"/>
          <w:szCs w:val="22"/>
          <w:lang w:val="pl-PL"/>
        </w:rPr>
      </w:pPr>
      <w:r w:rsidRPr="00275D64">
        <w:rPr>
          <w:color w:val="000000"/>
          <w:lang w:val="pl-PL"/>
        </w:rPr>
        <w:t>Przechowywać w lodówce.</w:t>
      </w:r>
    </w:p>
    <w:p w14:paraId="279AC5AD" w14:textId="77777777" w:rsidR="0059552A" w:rsidRPr="00275D64" w:rsidRDefault="0059552A" w:rsidP="00496272">
      <w:pPr>
        <w:tabs>
          <w:tab w:val="clear" w:pos="567"/>
        </w:tabs>
        <w:rPr>
          <w:color w:val="000000"/>
          <w:szCs w:val="22"/>
          <w:lang w:val="pl-PL"/>
        </w:rPr>
      </w:pPr>
    </w:p>
    <w:p w14:paraId="779E3E0F" w14:textId="77777777" w:rsidR="0059552A" w:rsidRPr="00275D64" w:rsidRDefault="0059552A" w:rsidP="00496272">
      <w:pPr>
        <w:tabs>
          <w:tab w:val="clear" w:pos="567"/>
        </w:tabs>
        <w:rPr>
          <w:color w:val="000000"/>
          <w:szCs w:val="22"/>
          <w:lang w:val="pl-PL"/>
        </w:rPr>
      </w:pPr>
      <w:r w:rsidRPr="00275D64">
        <w:rPr>
          <w:color w:val="000000"/>
          <w:lang w:val="pl-PL"/>
        </w:rPr>
        <w:t>Nie zamrażać.</w:t>
      </w:r>
    </w:p>
    <w:p w14:paraId="0CBFB8D8" w14:textId="77777777" w:rsidR="0059552A" w:rsidRPr="00275D64" w:rsidRDefault="0059552A" w:rsidP="00496272">
      <w:pPr>
        <w:tabs>
          <w:tab w:val="clear" w:pos="567"/>
        </w:tabs>
        <w:rPr>
          <w:color w:val="000000"/>
          <w:szCs w:val="22"/>
          <w:lang w:val="pl-PL"/>
        </w:rPr>
      </w:pPr>
    </w:p>
    <w:p w14:paraId="3222DF75" w14:textId="77777777" w:rsidR="0059552A" w:rsidRPr="00275D64" w:rsidRDefault="0059552A" w:rsidP="00496272">
      <w:pPr>
        <w:tabs>
          <w:tab w:val="clear" w:pos="567"/>
        </w:tabs>
        <w:rPr>
          <w:color w:val="000000"/>
          <w:szCs w:val="22"/>
          <w:lang w:val="pl-PL"/>
        </w:rPr>
      </w:pPr>
      <w:r w:rsidRPr="00275D64">
        <w:rPr>
          <w:color w:val="000000"/>
          <w:lang w:val="pl-PL"/>
        </w:rPr>
        <w:t>Przechowywać wkład w opakowaniu zewnętrznym w celu ochrony przed światłem.</w:t>
      </w:r>
    </w:p>
    <w:p w14:paraId="7EE34CB0" w14:textId="77777777" w:rsidR="0059552A" w:rsidRPr="00275D64" w:rsidRDefault="0059552A" w:rsidP="00496272">
      <w:pPr>
        <w:tabs>
          <w:tab w:val="clear" w:pos="567"/>
        </w:tabs>
        <w:rPr>
          <w:color w:val="000000"/>
          <w:szCs w:val="22"/>
          <w:lang w:val="pl-PL"/>
        </w:rPr>
      </w:pPr>
    </w:p>
    <w:p w14:paraId="7101FD30" w14:textId="77777777" w:rsidR="0059552A" w:rsidRPr="00275D64" w:rsidRDefault="0059552A" w:rsidP="00496272">
      <w:pPr>
        <w:rPr>
          <w:color w:val="000000"/>
          <w:szCs w:val="22"/>
          <w:lang w:val="pl-PL"/>
        </w:rPr>
      </w:pPr>
      <w:r w:rsidRPr="00275D64">
        <w:rPr>
          <w:lang w:val="pl-PL"/>
        </w:rPr>
        <w:t>Przed otwarciem można przechowywać w temperaturze do 25 °C przez okres do 3 miesięcy.</w:t>
      </w:r>
      <w:r w:rsidRPr="00275D64">
        <w:rPr>
          <w:color w:val="000000"/>
          <w:lang w:val="pl-PL"/>
        </w:rPr>
        <w:t xml:space="preserve"> Musi być usunięty, jeśli nie został zużyty po 3 miesiącach.</w:t>
      </w:r>
    </w:p>
    <w:p w14:paraId="745B0103" w14:textId="77777777" w:rsidR="0059552A" w:rsidRPr="00275D64" w:rsidRDefault="0059552A" w:rsidP="00496272">
      <w:pPr>
        <w:rPr>
          <w:szCs w:val="22"/>
          <w:lang w:val="pl-PL"/>
        </w:rPr>
      </w:pPr>
    </w:p>
    <w:p w14:paraId="6242C38D" w14:textId="77777777" w:rsidR="0059552A" w:rsidRPr="00275D64" w:rsidRDefault="0059552A" w:rsidP="00496272">
      <w:pPr>
        <w:rPr>
          <w:szCs w:val="22"/>
          <w:lang w:val="pl-PL"/>
        </w:rPr>
      </w:pPr>
    </w:p>
    <w:p w14:paraId="3654F4FB" w14:textId="77777777" w:rsidR="0059552A" w:rsidRPr="00275D64" w:rsidRDefault="0059552A" w:rsidP="004811D7">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10.</w:t>
      </w:r>
      <w:r w:rsidRPr="00275D64">
        <w:rPr>
          <w:lang w:val="pl-PL"/>
        </w:rPr>
        <w:tab/>
      </w:r>
      <w:r w:rsidRPr="00275D64">
        <w:rPr>
          <w:b/>
          <w:lang w:val="pl-PL"/>
        </w:rPr>
        <w:t>SPECJALNE ŚRODKI OSTROŻNOŚCI DOTYCZĄCE USUWANIA NIEZUŻYTEGO PRODUKTU LECZNICZEGO LUB POCHODZĄCYCH Z NIEGO ODPADÓW, JEŚLI WŁAŚCIWE</w:t>
      </w:r>
    </w:p>
    <w:p w14:paraId="74470537" w14:textId="77777777" w:rsidR="0059552A" w:rsidRPr="00275D64" w:rsidRDefault="0059552A" w:rsidP="00496272">
      <w:pPr>
        <w:rPr>
          <w:szCs w:val="22"/>
          <w:lang w:val="pl-PL"/>
        </w:rPr>
      </w:pPr>
    </w:p>
    <w:p w14:paraId="63A00C7C" w14:textId="77777777" w:rsidR="0059552A" w:rsidRPr="00275D64" w:rsidRDefault="0059552A" w:rsidP="00496272">
      <w:pPr>
        <w:rPr>
          <w:szCs w:val="22"/>
          <w:lang w:val="pl-PL"/>
        </w:rPr>
      </w:pPr>
    </w:p>
    <w:p w14:paraId="0E0BD47B" w14:textId="77777777" w:rsidR="0059552A" w:rsidRPr="00275D64" w:rsidRDefault="0059552A" w:rsidP="00496272">
      <w:pPr>
        <w:rPr>
          <w:szCs w:val="22"/>
          <w:lang w:val="pl-PL"/>
        </w:rPr>
      </w:pPr>
    </w:p>
    <w:p w14:paraId="76E32794"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11.</w:t>
      </w:r>
      <w:r w:rsidRPr="00275D64">
        <w:rPr>
          <w:lang w:val="pl-PL"/>
        </w:rPr>
        <w:tab/>
      </w:r>
      <w:r w:rsidRPr="00275D64">
        <w:rPr>
          <w:b/>
          <w:lang w:val="pl-PL"/>
        </w:rPr>
        <w:t>NAZWA I ADRES PODMIOTU ODPOWIEDZIALNEGO</w:t>
      </w:r>
    </w:p>
    <w:p w14:paraId="0372621D" w14:textId="77777777" w:rsidR="0059552A" w:rsidRPr="00275D64" w:rsidRDefault="0059552A" w:rsidP="00496272">
      <w:pPr>
        <w:rPr>
          <w:szCs w:val="22"/>
          <w:lang w:val="pl-PL"/>
        </w:rPr>
      </w:pPr>
    </w:p>
    <w:p w14:paraId="7356092B" w14:textId="77777777" w:rsidR="00B13EA3" w:rsidRPr="004E70A1" w:rsidRDefault="00B13EA3" w:rsidP="00B13EA3">
      <w:pPr>
        <w:tabs>
          <w:tab w:val="clear" w:pos="567"/>
        </w:tabs>
        <w:rPr>
          <w:lang w:val="pl-PL"/>
        </w:rPr>
      </w:pPr>
      <w:r w:rsidRPr="004E70A1">
        <w:rPr>
          <w:lang w:val="pl-PL"/>
        </w:rPr>
        <w:t>Theramex Ireland Limited</w:t>
      </w:r>
    </w:p>
    <w:p w14:paraId="46AAA165" w14:textId="1015156F" w:rsidR="00B13EA3" w:rsidRPr="004E70A1" w:rsidRDefault="000D14EB" w:rsidP="00B13EA3">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w:t>
      </w:r>
      <w:r>
        <w:rPr>
          <w:rFonts w:cs="Verdana"/>
          <w:color w:val="000000"/>
        </w:rPr>
        <w:t xml:space="preserve"> </w:t>
      </w:r>
      <w:r w:rsidR="00B13EA3" w:rsidRPr="004E70A1">
        <w:rPr>
          <w:lang w:val="en-US"/>
        </w:rPr>
        <w:t>Kilmore House,</w:t>
      </w:r>
    </w:p>
    <w:p w14:paraId="1AFE7364" w14:textId="77777777" w:rsidR="00B13EA3" w:rsidRPr="004E70A1" w:rsidRDefault="00B13EA3" w:rsidP="00B13EA3">
      <w:pPr>
        <w:tabs>
          <w:tab w:val="clear" w:pos="567"/>
        </w:tabs>
        <w:rPr>
          <w:lang w:val="en-US"/>
        </w:rPr>
      </w:pPr>
      <w:r w:rsidRPr="004E70A1">
        <w:rPr>
          <w:lang w:val="en-US"/>
        </w:rPr>
        <w:t>Park Lane, Spencer Dock,</w:t>
      </w:r>
    </w:p>
    <w:p w14:paraId="2E9D72AF" w14:textId="77777777" w:rsidR="00B13EA3" w:rsidRPr="004E70A1" w:rsidRDefault="00B13EA3" w:rsidP="00B13EA3">
      <w:pPr>
        <w:tabs>
          <w:tab w:val="clear" w:pos="567"/>
        </w:tabs>
        <w:rPr>
          <w:lang w:val="pl-PL"/>
        </w:rPr>
      </w:pPr>
      <w:r w:rsidRPr="004E70A1">
        <w:rPr>
          <w:lang w:val="pl-PL"/>
        </w:rPr>
        <w:t>Dublin 1</w:t>
      </w:r>
    </w:p>
    <w:p w14:paraId="6945759E" w14:textId="77777777" w:rsidR="00B13EA3" w:rsidRPr="004E70A1" w:rsidRDefault="00B13EA3" w:rsidP="00B13EA3">
      <w:pPr>
        <w:tabs>
          <w:tab w:val="clear" w:pos="567"/>
        </w:tabs>
        <w:rPr>
          <w:lang w:val="pl-PL"/>
        </w:rPr>
      </w:pPr>
      <w:r w:rsidRPr="004E70A1">
        <w:rPr>
          <w:lang w:val="pl-PL"/>
        </w:rPr>
        <w:t>D01 YE64</w:t>
      </w:r>
    </w:p>
    <w:p w14:paraId="28BE2AA2" w14:textId="77777777" w:rsidR="00B13EA3" w:rsidRPr="00275D64" w:rsidRDefault="00B13EA3" w:rsidP="00B13EA3">
      <w:pPr>
        <w:tabs>
          <w:tab w:val="clear" w:pos="567"/>
        </w:tabs>
        <w:rPr>
          <w:color w:val="000000"/>
          <w:szCs w:val="22"/>
          <w:lang w:val="pl-PL"/>
        </w:rPr>
      </w:pPr>
      <w:r w:rsidRPr="004E70A1">
        <w:rPr>
          <w:lang w:val="pl-PL"/>
        </w:rPr>
        <w:t>Irlandia</w:t>
      </w:r>
    </w:p>
    <w:p w14:paraId="7F7B2C8D" w14:textId="77777777" w:rsidR="0059552A" w:rsidRPr="00275D64" w:rsidRDefault="0059552A" w:rsidP="00B13EA3">
      <w:pPr>
        <w:rPr>
          <w:szCs w:val="22"/>
          <w:lang w:val="pl-PL"/>
        </w:rPr>
      </w:pPr>
    </w:p>
    <w:p w14:paraId="33690E4A" w14:textId="77777777" w:rsidR="0059552A" w:rsidRPr="00275D64" w:rsidRDefault="0059552A" w:rsidP="00496272">
      <w:pPr>
        <w:rPr>
          <w:szCs w:val="22"/>
          <w:lang w:val="pl-PL"/>
        </w:rPr>
      </w:pPr>
    </w:p>
    <w:p w14:paraId="60560A77" w14:textId="77777777" w:rsidR="0059552A" w:rsidRPr="00275D64" w:rsidRDefault="0059552A" w:rsidP="007A3058">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12.</w:t>
      </w:r>
      <w:r w:rsidRPr="00275D64">
        <w:rPr>
          <w:lang w:val="pl-PL"/>
        </w:rPr>
        <w:tab/>
      </w:r>
      <w:r w:rsidRPr="00275D64">
        <w:rPr>
          <w:b/>
          <w:lang w:val="pl-PL"/>
        </w:rPr>
        <w:t>NUMER POZWOLENIA (NUMERY POZWOLEŃ) NA DOPUSZCZENIE DO OBROTU</w:t>
      </w:r>
    </w:p>
    <w:p w14:paraId="5FDC7269" w14:textId="77777777" w:rsidR="0059552A" w:rsidRPr="00275D64" w:rsidRDefault="0059552A" w:rsidP="00496272">
      <w:pPr>
        <w:rPr>
          <w:szCs w:val="22"/>
          <w:lang w:val="pl-PL"/>
        </w:rPr>
      </w:pPr>
    </w:p>
    <w:p w14:paraId="271E17AA" w14:textId="77777777" w:rsidR="0059552A" w:rsidRPr="004E70A1" w:rsidRDefault="0059552A" w:rsidP="00496272">
      <w:pPr>
        <w:outlineLvl w:val="0"/>
        <w:rPr>
          <w:szCs w:val="22"/>
          <w:lang w:val="nb-NO"/>
        </w:rPr>
      </w:pPr>
      <w:r w:rsidRPr="004E70A1">
        <w:rPr>
          <w:lang w:val="nb-NO"/>
        </w:rPr>
        <w:t>EU/</w:t>
      </w:r>
      <w:r w:rsidRPr="004E70A1">
        <w:rPr>
          <w:noProof/>
          <w:szCs w:val="22"/>
          <w:lang w:val="nb-NO"/>
        </w:rPr>
        <w:t>1/13/871/001</w:t>
      </w:r>
    </w:p>
    <w:p w14:paraId="487E8F5A" w14:textId="77777777" w:rsidR="0059552A" w:rsidRPr="004E70A1" w:rsidRDefault="0059552A" w:rsidP="00496272">
      <w:pPr>
        <w:rPr>
          <w:szCs w:val="22"/>
          <w:lang w:val="nb-NO"/>
        </w:rPr>
      </w:pPr>
    </w:p>
    <w:p w14:paraId="3A4E4B2F" w14:textId="77777777" w:rsidR="0059552A" w:rsidRPr="004E70A1" w:rsidRDefault="0059552A" w:rsidP="00496272">
      <w:pPr>
        <w:rPr>
          <w:szCs w:val="22"/>
          <w:lang w:val="nb-NO"/>
        </w:rPr>
      </w:pPr>
    </w:p>
    <w:p w14:paraId="68A71B98" w14:textId="77777777" w:rsidR="0059552A" w:rsidRPr="004E70A1" w:rsidRDefault="0059552A" w:rsidP="00496272">
      <w:pPr>
        <w:pBdr>
          <w:top w:val="single" w:sz="4" w:space="1" w:color="auto"/>
          <w:left w:val="single" w:sz="4" w:space="4" w:color="auto"/>
          <w:bottom w:val="single" w:sz="4" w:space="1" w:color="auto"/>
          <w:right w:val="single" w:sz="4" w:space="4" w:color="auto"/>
        </w:pBdr>
        <w:outlineLvl w:val="0"/>
        <w:rPr>
          <w:szCs w:val="22"/>
          <w:lang w:val="nb-NO"/>
        </w:rPr>
      </w:pPr>
      <w:r w:rsidRPr="004E70A1">
        <w:rPr>
          <w:b/>
          <w:lang w:val="nb-NO"/>
        </w:rPr>
        <w:t>13.</w:t>
      </w:r>
      <w:r w:rsidRPr="004E70A1">
        <w:rPr>
          <w:lang w:val="nb-NO"/>
        </w:rPr>
        <w:tab/>
      </w:r>
      <w:r w:rsidRPr="004E70A1">
        <w:rPr>
          <w:b/>
          <w:lang w:val="nb-NO"/>
        </w:rPr>
        <w:t>NUMER SERII</w:t>
      </w:r>
    </w:p>
    <w:p w14:paraId="6DDA8808" w14:textId="77777777" w:rsidR="0059552A" w:rsidRPr="004E70A1" w:rsidRDefault="0059552A" w:rsidP="00496272">
      <w:pPr>
        <w:rPr>
          <w:szCs w:val="22"/>
          <w:lang w:val="nb-NO"/>
        </w:rPr>
      </w:pPr>
    </w:p>
    <w:p w14:paraId="73A197BC" w14:textId="77777777" w:rsidR="0059552A" w:rsidRPr="004E70A1" w:rsidRDefault="0059552A" w:rsidP="00496272">
      <w:pPr>
        <w:rPr>
          <w:szCs w:val="22"/>
          <w:lang w:val="nb-NO"/>
        </w:rPr>
      </w:pPr>
      <w:r w:rsidRPr="004E70A1">
        <w:rPr>
          <w:lang w:val="nb-NO"/>
        </w:rPr>
        <w:t>Nr serii (Lot)</w:t>
      </w:r>
    </w:p>
    <w:p w14:paraId="1946F8D1" w14:textId="77777777" w:rsidR="0059552A" w:rsidRPr="004E70A1" w:rsidRDefault="0059552A" w:rsidP="00496272">
      <w:pPr>
        <w:rPr>
          <w:szCs w:val="22"/>
          <w:lang w:val="nb-NO"/>
        </w:rPr>
      </w:pPr>
    </w:p>
    <w:p w14:paraId="52C42498" w14:textId="77777777" w:rsidR="0059552A" w:rsidRPr="004E70A1" w:rsidRDefault="0059552A" w:rsidP="00496272">
      <w:pPr>
        <w:rPr>
          <w:szCs w:val="22"/>
          <w:lang w:val="nb-NO"/>
        </w:rPr>
      </w:pPr>
    </w:p>
    <w:p w14:paraId="49BCBDAD"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szCs w:val="22"/>
          <w:lang w:val="pl-PL"/>
        </w:rPr>
      </w:pPr>
      <w:r w:rsidRPr="00275D64">
        <w:rPr>
          <w:b/>
          <w:lang w:val="pl-PL"/>
        </w:rPr>
        <w:t>14.</w:t>
      </w:r>
      <w:r w:rsidRPr="00275D64">
        <w:rPr>
          <w:lang w:val="pl-PL"/>
        </w:rPr>
        <w:tab/>
      </w:r>
      <w:r w:rsidRPr="00275D64">
        <w:rPr>
          <w:b/>
          <w:lang w:val="pl-PL"/>
        </w:rPr>
        <w:t>OGÓLNA KATEGORIA DOSTĘPNOŚCI</w:t>
      </w:r>
    </w:p>
    <w:p w14:paraId="68C5633F" w14:textId="77777777" w:rsidR="0059552A" w:rsidRPr="00275D64" w:rsidRDefault="0059552A" w:rsidP="00496272">
      <w:pPr>
        <w:rPr>
          <w:i/>
          <w:szCs w:val="22"/>
          <w:lang w:val="pl-PL"/>
        </w:rPr>
      </w:pPr>
    </w:p>
    <w:p w14:paraId="4BDDE874" w14:textId="77777777" w:rsidR="0059552A" w:rsidRPr="00275D64" w:rsidRDefault="0059552A" w:rsidP="00496272">
      <w:pPr>
        <w:rPr>
          <w:szCs w:val="22"/>
          <w:lang w:val="pl-PL"/>
        </w:rPr>
      </w:pPr>
    </w:p>
    <w:p w14:paraId="1B2B8601" w14:textId="77777777" w:rsidR="0059552A" w:rsidRPr="00275D64" w:rsidRDefault="0059552A" w:rsidP="00496272">
      <w:pPr>
        <w:pBdr>
          <w:top w:val="single" w:sz="4" w:space="2" w:color="auto"/>
          <w:left w:val="single" w:sz="4" w:space="4" w:color="auto"/>
          <w:bottom w:val="single" w:sz="4" w:space="1" w:color="auto"/>
          <w:right w:val="single" w:sz="4" w:space="4" w:color="auto"/>
        </w:pBdr>
        <w:outlineLvl w:val="0"/>
        <w:rPr>
          <w:szCs w:val="22"/>
          <w:lang w:val="pl-PL"/>
        </w:rPr>
      </w:pPr>
      <w:r w:rsidRPr="00275D64">
        <w:rPr>
          <w:b/>
          <w:lang w:val="pl-PL"/>
        </w:rPr>
        <w:t>15.</w:t>
      </w:r>
      <w:r w:rsidRPr="00275D64">
        <w:rPr>
          <w:lang w:val="pl-PL"/>
        </w:rPr>
        <w:tab/>
      </w:r>
      <w:r w:rsidRPr="00275D64">
        <w:rPr>
          <w:b/>
          <w:lang w:val="pl-PL"/>
        </w:rPr>
        <w:t>INSTRUKCJA UŻYCIA</w:t>
      </w:r>
    </w:p>
    <w:p w14:paraId="6FC0A25C" w14:textId="77777777" w:rsidR="0059552A" w:rsidRPr="00275D64" w:rsidRDefault="0059552A" w:rsidP="00496272">
      <w:pPr>
        <w:rPr>
          <w:szCs w:val="22"/>
          <w:lang w:val="pl-PL"/>
        </w:rPr>
      </w:pPr>
    </w:p>
    <w:p w14:paraId="4C21A6FF" w14:textId="77777777" w:rsidR="0059552A" w:rsidRPr="00275D64" w:rsidRDefault="0059552A" w:rsidP="00496272">
      <w:pPr>
        <w:rPr>
          <w:szCs w:val="22"/>
          <w:lang w:val="pl-PL"/>
        </w:rPr>
      </w:pPr>
    </w:p>
    <w:p w14:paraId="42105CFA" w14:textId="77777777" w:rsidR="0059552A" w:rsidRPr="00275D64" w:rsidRDefault="0059552A" w:rsidP="00B13EA3">
      <w:pPr>
        <w:keepNext/>
        <w:keepLines/>
        <w:pBdr>
          <w:top w:val="single" w:sz="4" w:space="1" w:color="auto"/>
          <w:left w:val="single" w:sz="4" w:space="4" w:color="auto"/>
          <w:bottom w:val="single" w:sz="4" w:space="0" w:color="auto"/>
          <w:right w:val="single" w:sz="4" w:space="4" w:color="auto"/>
        </w:pBdr>
        <w:rPr>
          <w:szCs w:val="22"/>
          <w:lang w:val="pl-PL"/>
        </w:rPr>
      </w:pPr>
      <w:r w:rsidRPr="00275D64">
        <w:rPr>
          <w:b/>
          <w:lang w:val="pl-PL"/>
        </w:rPr>
        <w:lastRenderedPageBreak/>
        <w:t>16.</w:t>
      </w:r>
      <w:r w:rsidRPr="00275D64">
        <w:rPr>
          <w:lang w:val="pl-PL"/>
        </w:rPr>
        <w:tab/>
      </w:r>
      <w:r w:rsidRPr="00275D64">
        <w:rPr>
          <w:b/>
          <w:lang w:val="pl-PL"/>
        </w:rPr>
        <w:t>INFORMACJA PODANA SYSTEMEM BRAILLE’A</w:t>
      </w:r>
    </w:p>
    <w:p w14:paraId="08CBC295" w14:textId="77777777" w:rsidR="0059552A" w:rsidRPr="00275D64" w:rsidRDefault="0059552A" w:rsidP="00B13EA3">
      <w:pPr>
        <w:keepNext/>
        <w:keepLines/>
        <w:rPr>
          <w:szCs w:val="22"/>
          <w:lang w:val="pl-PL"/>
        </w:rPr>
      </w:pPr>
    </w:p>
    <w:p w14:paraId="0BF486DA" w14:textId="77777777" w:rsidR="0059552A" w:rsidRPr="00275D64" w:rsidRDefault="0059552A" w:rsidP="00B13EA3">
      <w:pPr>
        <w:keepNext/>
        <w:keepLines/>
        <w:rPr>
          <w:noProof/>
          <w:szCs w:val="22"/>
          <w:shd w:val="clear" w:color="auto" w:fill="CCCCCC"/>
          <w:lang w:val="pl-PL" w:eastAsia="pl-PL"/>
        </w:rPr>
      </w:pPr>
      <w:r w:rsidRPr="00275D64">
        <w:rPr>
          <w:color w:val="000000"/>
          <w:lang w:val="pl-PL"/>
        </w:rPr>
        <w:t>Ovaleap 300 j.m./0,5 ml</w:t>
      </w:r>
    </w:p>
    <w:p w14:paraId="3EE61FEE" w14:textId="77777777" w:rsidR="0059552A" w:rsidRPr="00275D64" w:rsidRDefault="0059552A" w:rsidP="003E057C">
      <w:pPr>
        <w:rPr>
          <w:noProof/>
          <w:szCs w:val="22"/>
          <w:shd w:val="clear" w:color="auto" w:fill="CCCCCC"/>
          <w:lang w:val="pl-PL" w:eastAsia="pl-PL"/>
        </w:rPr>
      </w:pPr>
    </w:p>
    <w:p w14:paraId="1D63B2EC" w14:textId="77777777" w:rsidR="0059552A" w:rsidRPr="00275D64" w:rsidRDefault="0059552A" w:rsidP="003E057C">
      <w:pPr>
        <w:rPr>
          <w:noProof/>
          <w:szCs w:val="22"/>
          <w:shd w:val="clear" w:color="auto" w:fill="CCCCCC"/>
          <w:lang w:val="pl-PL" w:eastAsia="pl-PL"/>
        </w:rPr>
      </w:pPr>
    </w:p>
    <w:p w14:paraId="14D3C9D3" w14:textId="77777777" w:rsidR="0059552A" w:rsidRPr="00275D64" w:rsidRDefault="0059552A" w:rsidP="003E057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pl-PL" w:eastAsia="pl-PL"/>
        </w:rPr>
      </w:pPr>
      <w:r w:rsidRPr="00275D64">
        <w:rPr>
          <w:b/>
          <w:noProof/>
          <w:lang w:val="pl-PL" w:eastAsia="pl-PL"/>
        </w:rPr>
        <w:t>17.</w:t>
      </w:r>
      <w:r w:rsidRPr="00275D64">
        <w:rPr>
          <w:b/>
          <w:noProof/>
          <w:lang w:val="pl-PL" w:eastAsia="pl-PL"/>
        </w:rPr>
        <w:tab/>
        <w:t>NIEPOWTARZALNY IDENTYFIKATOR – KOD 2D</w:t>
      </w:r>
    </w:p>
    <w:p w14:paraId="1BF25F13" w14:textId="77777777" w:rsidR="0059552A" w:rsidRPr="00275D64" w:rsidRDefault="0059552A" w:rsidP="003E057C">
      <w:pPr>
        <w:tabs>
          <w:tab w:val="clear" w:pos="567"/>
        </w:tabs>
        <w:rPr>
          <w:noProof/>
          <w:lang w:val="pl-PL" w:eastAsia="pl-PL"/>
        </w:rPr>
      </w:pPr>
    </w:p>
    <w:p w14:paraId="3C3610F4" w14:textId="77777777" w:rsidR="0059552A" w:rsidRPr="00275D64" w:rsidRDefault="0059552A" w:rsidP="003E057C">
      <w:pPr>
        <w:rPr>
          <w:noProof/>
          <w:szCs w:val="22"/>
          <w:shd w:val="clear" w:color="auto" w:fill="CCCCCC"/>
          <w:lang w:val="pl-PL" w:eastAsia="pl-PL"/>
        </w:rPr>
      </w:pPr>
      <w:r w:rsidRPr="00275D64">
        <w:rPr>
          <w:noProof/>
          <w:highlight w:val="lightGray"/>
          <w:lang w:val="pl-PL" w:eastAsia="pl-PL"/>
        </w:rPr>
        <w:t>Obejmuje kod 2D będący nośnikiem niepowtarzalnego identyfikatora.</w:t>
      </w:r>
    </w:p>
    <w:p w14:paraId="01352B33" w14:textId="77777777" w:rsidR="0059552A" w:rsidRPr="00275D64" w:rsidRDefault="0059552A" w:rsidP="003E057C">
      <w:pPr>
        <w:tabs>
          <w:tab w:val="clear" w:pos="567"/>
        </w:tabs>
        <w:rPr>
          <w:noProof/>
          <w:lang w:val="pl-PL" w:eastAsia="pl-PL"/>
        </w:rPr>
      </w:pPr>
    </w:p>
    <w:p w14:paraId="6FC6ECBC" w14:textId="77777777" w:rsidR="0059552A" w:rsidRPr="00275D64" w:rsidRDefault="0059552A" w:rsidP="003E057C">
      <w:pPr>
        <w:tabs>
          <w:tab w:val="clear" w:pos="567"/>
        </w:tabs>
        <w:rPr>
          <w:noProof/>
          <w:lang w:val="pl-PL" w:eastAsia="pl-PL"/>
        </w:rPr>
      </w:pPr>
    </w:p>
    <w:p w14:paraId="3D74E4C1" w14:textId="77777777" w:rsidR="0059552A" w:rsidRPr="00275D64" w:rsidRDefault="0059552A" w:rsidP="003E057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pl-PL" w:eastAsia="pl-PL"/>
        </w:rPr>
      </w:pPr>
      <w:r w:rsidRPr="00275D64">
        <w:rPr>
          <w:b/>
          <w:noProof/>
          <w:lang w:val="pl-PL" w:eastAsia="pl-PL"/>
        </w:rPr>
        <w:t>18.</w:t>
      </w:r>
      <w:r w:rsidRPr="00275D64">
        <w:rPr>
          <w:b/>
          <w:noProof/>
          <w:lang w:val="pl-PL" w:eastAsia="pl-PL"/>
        </w:rPr>
        <w:tab/>
        <w:t>NIEPOWTARZALNY IDENTYFIKATOR – DANE CZYTELNE DLA CZŁOWIEKA</w:t>
      </w:r>
    </w:p>
    <w:p w14:paraId="48789A40" w14:textId="77777777" w:rsidR="0059552A" w:rsidRPr="00275D64" w:rsidRDefault="0059552A" w:rsidP="003E057C">
      <w:pPr>
        <w:tabs>
          <w:tab w:val="clear" w:pos="567"/>
        </w:tabs>
        <w:rPr>
          <w:noProof/>
          <w:lang w:val="pl-PL" w:eastAsia="pl-PL"/>
        </w:rPr>
      </w:pPr>
    </w:p>
    <w:p w14:paraId="55C276CB" w14:textId="77777777" w:rsidR="0059552A" w:rsidRPr="00275D64" w:rsidRDefault="0059552A" w:rsidP="003E057C">
      <w:pPr>
        <w:spacing w:line="260" w:lineRule="exact"/>
        <w:rPr>
          <w:color w:val="000000"/>
          <w:szCs w:val="22"/>
          <w:lang w:val="pl-PL" w:eastAsia="pl-PL"/>
        </w:rPr>
      </w:pPr>
      <w:r w:rsidRPr="00275D64">
        <w:rPr>
          <w:lang w:val="pl-PL" w:eastAsia="pl-PL"/>
        </w:rPr>
        <w:t>PC:</w:t>
      </w:r>
    </w:p>
    <w:p w14:paraId="20543904" w14:textId="77777777" w:rsidR="0059552A" w:rsidRPr="00275D64" w:rsidRDefault="0059552A" w:rsidP="003E057C">
      <w:pPr>
        <w:spacing w:line="260" w:lineRule="exact"/>
        <w:rPr>
          <w:szCs w:val="22"/>
          <w:lang w:val="pl-PL" w:eastAsia="pl-PL"/>
        </w:rPr>
      </w:pPr>
      <w:r w:rsidRPr="00275D64">
        <w:rPr>
          <w:lang w:val="pl-PL" w:eastAsia="pl-PL"/>
        </w:rPr>
        <w:t>SN:</w:t>
      </w:r>
    </w:p>
    <w:p w14:paraId="5A1C1E2D" w14:textId="77777777" w:rsidR="0059552A" w:rsidRPr="00275D64" w:rsidRDefault="0059552A" w:rsidP="003E057C">
      <w:pPr>
        <w:autoSpaceDE w:val="0"/>
        <w:autoSpaceDN w:val="0"/>
        <w:adjustRightInd w:val="0"/>
        <w:jc w:val="both"/>
        <w:rPr>
          <w:lang w:val="pl-PL" w:eastAsia="pl-PL"/>
        </w:rPr>
      </w:pPr>
      <w:r w:rsidRPr="00275D64">
        <w:rPr>
          <w:lang w:val="pl-PL" w:eastAsia="pl-PL"/>
        </w:rPr>
        <w:t>NN:</w:t>
      </w:r>
    </w:p>
    <w:p w14:paraId="03BE8862" w14:textId="77777777" w:rsidR="0059552A" w:rsidRPr="00275D64" w:rsidRDefault="0059552A" w:rsidP="003E057C">
      <w:pPr>
        <w:autoSpaceDE w:val="0"/>
        <w:autoSpaceDN w:val="0"/>
        <w:adjustRightInd w:val="0"/>
        <w:jc w:val="both"/>
        <w:rPr>
          <w:color w:val="000000"/>
          <w:szCs w:val="22"/>
          <w:lang w:val="pl-PL"/>
        </w:rPr>
      </w:pPr>
    </w:p>
    <w:p w14:paraId="3F82B785" w14:textId="77777777" w:rsidR="0059552A" w:rsidRPr="00275D64" w:rsidRDefault="0059552A" w:rsidP="00496272">
      <w:pPr>
        <w:pBdr>
          <w:top w:val="single" w:sz="4" w:space="1" w:color="auto"/>
          <w:left w:val="single" w:sz="4" w:space="4" w:color="auto"/>
          <w:bottom w:val="single" w:sz="4" w:space="1" w:color="auto"/>
          <w:right w:val="single" w:sz="4" w:space="4" w:color="auto"/>
        </w:pBdr>
        <w:shd w:val="clear" w:color="auto" w:fill="FFFFFF"/>
        <w:rPr>
          <w:b/>
          <w:szCs w:val="22"/>
          <w:lang w:val="pl-PL"/>
        </w:rPr>
      </w:pPr>
      <w:r w:rsidRPr="00275D64">
        <w:rPr>
          <w:lang w:val="pl-PL"/>
        </w:rPr>
        <w:br w:type="page"/>
      </w:r>
      <w:r w:rsidRPr="00275D64">
        <w:rPr>
          <w:b/>
          <w:lang w:val="pl-PL"/>
        </w:rPr>
        <w:lastRenderedPageBreak/>
        <w:t>INFORMACJE ZAMIESZCZANE NA OPAKOWANIACH ZEWNĘTRZNYCH</w:t>
      </w:r>
    </w:p>
    <w:p w14:paraId="14C751B2" w14:textId="77777777" w:rsidR="0059552A" w:rsidRPr="00275D64" w:rsidRDefault="0059552A" w:rsidP="00496272">
      <w:pPr>
        <w:pBdr>
          <w:top w:val="single" w:sz="4" w:space="1" w:color="auto"/>
          <w:left w:val="single" w:sz="4" w:space="4" w:color="auto"/>
          <w:bottom w:val="single" w:sz="4" w:space="1" w:color="auto"/>
          <w:right w:val="single" w:sz="4" w:space="4" w:color="auto"/>
        </w:pBdr>
        <w:shd w:val="clear" w:color="auto" w:fill="FFFFFF"/>
        <w:rPr>
          <w:szCs w:val="22"/>
          <w:lang w:val="pl-PL"/>
        </w:rPr>
      </w:pPr>
    </w:p>
    <w:p w14:paraId="3D95CE1D" w14:textId="77777777" w:rsidR="0059552A" w:rsidRPr="00275D64" w:rsidRDefault="0059552A" w:rsidP="00496272">
      <w:pPr>
        <w:pBdr>
          <w:top w:val="single" w:sz="4" w:space="1" w:color="auto"/>
          <w:left w:val="single" w:sz="4" w:space="4" w:color="auto"/>
          <w:bottom w:val="single" w:sz="4" w:space="1" w:color="auto"/>
          <w:right w:val="single" w:sz="4" w:space="4" w:color="auto"/>
        </w:pBdr>
        <w:rPr>
          <w:bCs/>
          <w:szCs w:val="22"/>
          <w:lang w:val="pl-PL"/>
        </w:rPr>
      </w:pPr>
      <w:r w:rsidRPr="00275D64">
        <w:rPr>
          <w:b/>
          <w:lang w:val="pl-PL"/>
        </w:rPr>
        <w:t>PUDEŁKO ZEWNĘTRZNE</w:t>
      </w:r>
    </w:p>
    <w:p w14:paraId="37110E12" w14:textId="77777777" w:rsidR="0059552A" w:rsidRPr="00275D64" w:rsidRDefault="0059552A" w:rsidP="00496272">
      <w:pPr>
        <w:rPr>
          <w:szCs w:val="22"/>
          <w:lang w:val="pl-PL"/>
        </w:rPr>
      </w:pPr>
    </w:p>
    <w:p w14:paraId="245592B8" w14:textId="77777777" w:rsidR="0059552A" w:rsidRPr="00275D64" w:rsidRDefault="0059552A" w:rsidP="00496272">
      <w:pPr>
        <w:rPr>
          <w:szCs w:val="22"/>
          <w:lang w:val="pl-PL"/>
        </w:rPr>
      </w:pPr>
    </w:p>
    <w:p w14:paraId="01EA6FF1"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1.</w:t>
      </w:r>
      <w:r w:rsidRPr="00275D64">
        <w:rPr>
          <w:lang w:val="pl-PL"/>
        </w:rPr>
        <w:tab/>
      </w:r>
      <w:r w:rsidRPr="00275D64">
        <w:rPr>
          <w:b/>
          <w:lang w:val="pl-PL"/>
        </w:rPr>
        <w:t>NAZWA PRODUKTU LECZNICZEGO</w:t>
      </w:r>
    </w:p>
    <w:p w14:paraId="19D534E3" w14:textId="77777777" w:rsidR="0059552A" w:rsidRPr="00275D64" w:rsidRDefault="0059552A" w:rsidP="00496272">
      <w:pPr>
        <w:rPr>
          <w:szCs w:val="22"/>
          <w:lang w:val="pl-PL"/>
        </w:rPr>
      </w:pPr>
    </w:p>
    <w:p w14:paraId="235AB51F"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Ovaleap 450 j.m./0,75 ml roztwór do wstrzykiwań</w:t>
      </w:r>
    </w:p>
    <w:p w14:paraId="69E329C5" w14:textId="77777777" w:rsidR="0059552A" w:rsidRPr="00275D64" w:rsidRDefault="0059552A" w:rsidP="00496272">
      <w:pPr>
        <w:rPr>
          <w:szCs w:val="22"/>
          <w:lang w:val="pl-PL"/>
        </w:rPr>
      </w:pPr>
    </w:p>
    <w:p w14:paraId="4AC65DA8" w14:textId="68B6AC24" w:rsidR="0059552A" w:rsidRPr="00275D64" w:rsidRDefault="0059552A" w:rsidP="00496272">
      <w:pPr>
        <w:rPr>
          <w:szCs w:val="22"/>
          <w:lang w:val="pl-PL"/>
        </w:rPr>
      </w:pPr>
      <w:r w:rsidRPr="00275D64">
        <w:rPr>
          <w:color w:val="000000"/>
          <w:lang w:val="pl-PL"/>
        </w:rPr>
        <w:t>folitropina alfa</w:t>
      </w:r>
    </w:p>
    <w:p w14:paraId="3703CFDF" w14:textId="77777777" w:rsidR="0059552A" w:rsidRPr="00275D64" w:rsidRDefault="0059552A" w:rsidP="00496272">
      <w:pPr>
        <w:rPr>
          <w:szCs w:val="22"/>
          <w:lang w:val="pl-PL"/>
        </w:rPr>
      </w:pPr>
    </w:p>
    <w:p w14:paraId="284A6FAF" w14:textId="77777777" w:rsidR="0059552A" w:rsidRPr="00275D64" w:rsidRDefault="0059552A" w:rsidP="00496272">
      <w:pPr>
        <w:rPr>
          <w:szCs w:val="22"/>
          <w:lang w:val="pl-PL"/>
        </w:rPr>
      </w:pPr>
    </w:p>
    <w:p w14:paraId="4AAB65F7"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2.</w:t>
      </w:r>
      <w:r w:rsidRPr="00275D64">
        <w:rPr>
          <w:lang w:val="pl-PL"/>
        </w:rPr>
        <w:tab/>
      </w:r>
      <w:r w:rsidRPr="00275D64">
        <w:rPr>
          <w:b/>
          <w:lang w:val="pl-PL"/>
        </w:rPr>
        <w:t>ZAWARTOŚĆ SUBSTANCJI CZYNNEJ (SUBSTANCJI CZYNNYCH)</w:t>
      </w:r>
    </w:p>
    <w:p w14:paraId="2C7382F5" w14:textId="77777777" w:rsidR="0059552A" w:rsidRPr="00275D64" w:rsidRDefault="0059552A" w:rsidP="00496272">
      <w:pPr>
        <w:rPr>
          <w:i/>
          <w:szCs w:val="22"/>
          <w:lang w:val="pl-PL"/>
        </w:rPr>
      </w:pPr>
    </w:p>
    <w:p w14:paraId="6673BCC1" w14:textId="77777777" w:rsidR="0059552A" w:rsidRPr="00275D64" w:rsidRDefault="0059552A" w:rsidP="00496272">
      <w:pPr>
        <w:tabs>
          <w:tab w:val="clear" w:pos="567"/>
        </w:tabs>
        <w:rPr>
          <w:color w:val="000000"/>
          <w:szCs w:val="22"/>
          <w:lang w:val="pl-PL"/>
        </w:rPr>
      </w:pPr>
      <w:r w:rsidRPr="00275D64">
        <w:rPr>
          <w:color w:val="000000"/>
          <w:lang w:val="pl-PL"/>
        </w:rPr>
        <w:t>Każdy wkład zawiera 450 j.m. (co odpowiada 33 mikrogramom) folitropiny alfa w 0,75 ml roztworu. Każdy ml roztworu zawiera 600 j.m. (co odpowiada 44 mikrogramom) folitropiny alfa.</w:t>
      </w:r>
    </w:p>
    <w:p w14:paraId="011D2A75" w14:textId="77777777" w:rsidR="0059552A" w:rsidRPr="00275D64" w:rsidRDefault="0059552A" w:rsidP="00496272">
      <w:pPr>
        <w:rPr>
          <w:szCs w:val="22"/>
          <w:lang w:val="pl-PL"/>
        </w:rPr>
      </w:pPr>
    </w:p>
    <w:p w14:paraId="56F28506" w14:textId="77777777" w:rsidR="0059552A" w:rsidRPr="00275D64" w:rsidRDefault="0059552A" w:rsidP="00496272">
      <w:pPr>
        <w:rPr>
          <w:szCs w:val="22"/>
          <w:lang w:val="pl-PL"/>
        </w:rPr>
      </w:pPr>
    </w:p>
    <w:p w14:paraId="30E60BB4"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3.</w:t>
      </w:r>
      <w:r w:rsidRPr="00275D64">
        <w:rPr>
          <w:lang w:val="pl-PL"/>
        </w:rPr>
        <w:tab/>
      </w:r>
      <w:r w:rsidRPr="00275D64">
        <w:rPr>
          <w:b/>
          <w:lang w:val="pl-PL"/>
        </w:rPr>
        <w:t>WYKAZ SUBSTANCJI POMOCNICZYCH</w:t>
      </w:r>
    </w:p>
    <w:p w14:paraId="045BB323" w14:textId="77777777" w:rsidR="0059552A" w:rsidRPr="00275D64" w:rsidRDefault="0059552A" w:rsidP="00496272">
      <w:pPr>
        <w:rPr>
          <w:szCs w:val="22"/>
          <w:lang w:val="pl-PL"/>
        </w:rPr>
      </w:pPr>
    </w:p>
    <w:p w14:paraId="4CF408C6" w14:textId="77777777" w:rsidR="0059552A" w:rsidRPr="00275D64" w:rsidRDefault="0059552A" w:rsidP="00496272">
      <w:pPr>
        <w:rPr>
          <w:szCs w:val="22"/>
          <w:lang w:val="pl-PL"/>
        </w:rPr>
      </w:pPr>
      <w:r w:rsidRPr="00275D64">
        <w:rPr>
          <w:lang w:val="pl-PL"/>
        </w:rPr>
        <w:t>Substancje pomocnicze: sodu wodorofosforan dwuwodny, sodu wodorotlenek (2 M) (do ustalenia pH), mannitol, metionina, polisorbat 20, alkohol benzylowy, benzalkoniowy chlorek, woda do wstrzykiwań.</w:t>
      </w:r>
    </w:p>
    <w:p w14:paraId="49018393" w14:textId="77777777" w:rsidR="0059552A" w:rsidRPr="00275D64" w:rsidRDefault="0059552A" w:rsidP="00496272">
      <w:pPr>
        <w:rPr>
          <w:szCs w:val="22"/>
          <w:lang w:val="pl-PL"/>
        </w:rPr>
      </w:pPr>
    </w:p>
    <w:p w14:paraId="5A216A9A" w14:textId="77777777" w:rsidR="0059552A" w:rsidRPr="00275D64" w:rsidRDefault="0059552A" w:rsidP="00496272">
      <w:pPr>
        <w:rPr>
          <w:szCs w:val="22"/>
          <w:lang w:val="pl-PL"/>
        </w:rPr>
      </w:pPr>
    </w:p>
    <w:p w14:paraId="4F038BBB"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4.</w:t>
      </w:r>
      <w:r w:rsidRPr="00275D64">
        <w:rPr>
          <w:lang w:val="pl-PL"/>
        </w:rPr>
        <w:tab/>
      </w:r>
      <w:r w:rsidRPr="00275D64">
        <w:rPr>
          <w:b/>
          <w:lang w:val="pl-PL"/>
        </w:rPr>
        <w:t>POSTAĆ FARMACEUTYCZNA I ZAWARTOŚĆ OPAKOWANIA</w:t>
      </w:r>
    </w:p>
    <w:p w14:paraId="56147374" w14:textId="77777777" w:rsidR="0059552A" w:rsidRPr="00275D64" w:rsidRDefault="0059552A" w:rsidP="00496272">
      <w:pPr>
        <w:rPr>
          <w:szCs w:val="22"/>
          <w:lang w:val="pl-PL"/>
        </w:rPr>
      </w:pPr>
    </w:p>
    <w:p w14:paraId="699DFFE8" w14:textId="77777777" w:rsidR="0059552A" w:rsidRPr="00275D64" w:rsidRDefault="0059552A" w:rsidP="00496272">
      <w:pPr>
        <w:rPr>
          <w:color w:val="000000"/>
          <w:szCs w:val="22"/>
          <w:lang w:val="pl-PL"/>
        </w:rPr>
      </w:pPr>
      <w:r w:rsidRPr="00275D64">
        <w:rPr>
          <w:color w:val="000000"/>
          <w:highlight w:val="lightGray"/>
          <w:lang w:val="pl-PL"/>
        </w:rPr>
        <w:t>Roztwór do wstrzykiwań</w:t>
      </w:r>
    </w:p>
    <w:p w14:paraId="6D6F4E28" w14:textId="77777777" w:rsidR="0059552A" w:rsidRPr="00275D64" w:rsidRDefault="0059552A" w:rsidP="00496272">
      <w:pPr>
        <w:rPr>
          <w:szCs w:val="22"/>
          <w:lang w:val="pl-PL"/>
        </w:rPr>
      </w:pPr>
    </w:p>
    <w:p w14:paraId="62163D6E" w14:textId="77777777" w:rsidR="0059552A" w:rsidRPr="00275D64" w:rsidRDefault="0059552A" w:rsidP="00496272">
      <w:pPr>
        <w:tabs>
          <w:tab w:val="clear" w:pos="567"/>
        </w:tabs>
        <w:rPr>
          <w:color w:val="000000"/>
          <w:szCs w:val="22"/>
          <w:lang w:val="pl-PL"/>
        </w:rPr>
      </w:pPr>
      <w:r w:rsidRPr="00275D64">
        <w:rPr>
          <w:color w:val="000000"/>
          <w:lang w:val="pl-PL"/>
        </w:rPr>
        <w:t>1 wkład z 0,75 ml roztworu i 10 igieł iniekcyjnych</w:t>
      </w:r>
    </w:p>
    <w:p w14:paraId="0A3F8A31" w14:textId="77777777" w:rsidR="0059552A" w:rsidRPr="00275D64" w:rsidRDefault="0059552A" w:rsidP="00496272">
      <w:pPr>
        <w:rPr>
          <w:szCs w:val="22"/>
          <w:lang w:val="pl-PL"/>
        </w:rPr>
      </w:pPr>
    </w:p>
    <w:p w14:paraId="42A53C7D" w14:textId="77777777" w:rsidR="0059552A" w:rsidRPr="00275D64" w:rsidRDefault="0059552A" w:rsidP="00496272">
      <w:pPr>
        <w:rPr>
          <w:szCs w:val="22"/>
          <w:lang w:val="pl-PL"/>
        </w:rPr>
      </w:pPr>
    </w:p>
    <w:p w14:paraId="580E5436"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5.</w:t>
      </w:r>
      <w:r w:rsidRPr="00275D64">
        <w:rPr>
          <w:lang w:val="pl-PL"/>
        </w:rPr>
        <w:tab/>
      </w:r>
      <w:r w:rsidRPr="00275D64">
        <w:rPr>
          <w:b/>
          <w:lang w:val="pl-PL"/>
        </w:rPr>
        <w:t>SPOSÓB I DROGA(DROGI) PODANIA</w:t>
      </w:r>
    </w:p>
    <w:p w14:paraId="38C17C6D" w14:textId="77777777" w:rsidR="0059552A" w:rsidRPr="00275D64" w:rsidRDefault="0059552A" w:rsidP="00496272">
      <w:pPr>
        <w:rPr>
          <w:szCs w:val="22"/>
          <w:lang w:val="pl-PL"/>
        </w:rPr>
      </w:pPr>
    </w:p>
    <w:p w14:paraId="71CF2F25" w14:textId="77777777" w:rsidR="0059552A" w:rsidRPr="00275D64" w:rsidRDefault="0059552A" w:rsidP="00496272">
      <w:pPr>
        <w:tabs>
          <w:tab w:val="left" w:pos="749"/>
        </w:tabs>
        <w:rPr>
          <w:color w:val="000000"/>
          <w:szCs w:val="22"/>
          <w:lang w:val="pl-PL"/>
        </w:rPr>
      </w:pPr>
      <w:r w:rsidRPr="00275D64">
        <w:rPr>
          <w:color w:val="000000"/>
          <w:lang w:val="pl-PL"/>
        </w:rPr>
        <w:t>Do stosowania tylko ze wstrzykiwaczem Ovaleap Pen.</w:t>
      </w:r>
    </w:p>
    <w:p w14:paraId="34509E92" w14:textId="77777777" w:rsidR="0059552A" w:rsidRPr="00275D64" w:rsidRDefault="0059552A" w:rsidP="00496272">
      <w:pPr>
        <w:rPr>
          <w:szCs w:val="22"/>
          <w:highlight w:val="lightGray"/>
          <w:lang w:val="pl-PL"/>
        </w:rPr>
      </w:pPr>
    </w:p>
    <w:p w14:paraId="13E011E5" w14:textId="77777777" w:rsidR="0059552A" w:rsidRPr="00275D64" w:rsidRDefault="0059552A" w:rsidP="00496272">
      <w:pPr>
        <w:rPr>
          <w:szCs w:val="22"/>
          <w:lang w:val="pl-PL"/>
        </w:rPr>
      </w:pPr>
      <w:r w:rsidRPr="00275D64">
        <w:rPr>
          <w:lang w:val="pl-PL"/>
        </w:rPr>
        <w:t>Należy zapoznać się z treścią ulotki przed zastosowaniem leku.</w:t>
      </w:r>
    </w:p>
    <w:p w14:paraId="6511FF70" w14:textId="77777777" w:rsidR="0059552A" w:rsidRPr="00275D64" w:rsidRDefault="0059552A" w:rsidP="0088245D">
      <w:pPr>
        <w:tabs>
          <w:tab w:val="left" w:pos="749"/>
        </w:tabs>
        <w:rPr>
          <w:szCs w:val="22"/>
          <w:lang w:val="pl-PL"/>
        </w:rPr>
      </w:pPr>
    </w:p>
    <w:p w14:paraId="7E816B96" w14:textId="77777777" w:rsidR="0059552A" w:rsidRPr="00275D64" w:rsidRDefault="0059552A" w:rsidP="00496272">
      <w:pPr>
        <w:tabs>
          <w:tab w:val="left" w:pos="749"/>
        </w:tabs>
        <w:rPr>
          <w:szCs w:val="22"/>
          <w:lang w:val="pl-PL"/>
        </w:rPr>
      </w:pPr>
      <w:r w:rsidRPr="00275D64">
        <w:rPr>
          <w:lang w:val="pl-PL"/>
        </w:rPr>
        <w:t>Podanie podskórne</w:t>
      </w:r>
    </w:p>
    <w:p w14:paraId="46095C04" w14:textId="77777777" w:rsidR="0059552A" w:rsidRPr="00275D64" w:rsidRDefault="0059552A" w:rsidP="00496272">
      <w:pPr>
        <w:tabs>
          <w:tab w:val="left" w:pos="749"/>
        </w:tabs>
        <w:rPr>
          <w:szCs w:val="22"/>
          <w:lang w:val="pl-PL"/>
        </w:rPr>
      </w:pPr>
    </w:p>
    <w:p w14:paraId="701BEF79" w14:textId="77777777" w:rsidR="0059552A" w:rsidRPr="00275D64" w:rsidRDefault="0059552A" w:rsidP="00496272">
      <w:pPr>
        <w:tabs>
          <w:tab w:val="left" w:pos="749"/>
        </w:tabs>
        <w:rPr>
          <w:szCs w:val="22"/>
          <w:lang w:val="pl-PL"/>
        </w:rPr>
      </w:pPr>
    </w:p>
    <w:p w14:paraId="7ABEF5FB"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6.</w:t>
      </w:r>
      <w:r w:rsidRPr="00275D64">
        <w:rPr>
          <w:lang w:val="pl-PL"/>
        </w:rPr>
        <w:tab/>
      </w:r>
      <w:r w:rsidRPr="00275D64">
        <w:rPr>
          <w:b/>
          <w:lang w:val="pl-PL"/>
        </w:rPr>
        <w:t>OSTRZEŻENIE DOTYCZĄCE PRZECHOWYWANIA PRODUKTU LECZNICZEGO W MIEJSCU NIEWIDOCZNYM I NIEDOSTĘPNYM DLA DZIECI</w:t>
      </w:r>
    </w:p>
    <w:p w14:paraId="0AEF964C" w14:textId="77777777" w:rsidR="0059552A" w:rsidRPr="00275D64" w:rsidRDefault="0059552A" w:rsidP="00496272">
      <w:pPr>
        <w:rPr>
          <w:szCs w:val="22"/>
          <w:lang w:val="pl-PL"/>
        </w:rPr>
      </w:pPr>
    </w:p>
    <w:p w14:paraId="24659BAE" w14:textId="77777777" w:rsidR="0059552A" w:rsidRPr="00275D64" w:rsidRDefault="0059552A" w:rsidP="00496272">
      <w:pPr>
        <w:outlineLvl w:val="0"/>
        <w:rPr>
          <w:szCs w:val="22"/>
          <w:lang w:val="pl-PL"/>
        </w:rPr>
      </w:pPr>
      <w:r w:rsidRPr="00275D64">
        <w:rPr>
          <w:lang w:val="pl-PL"/>
        </w:rPr>
        <w:t>Lek przechowywać w miejscu niewidocznym i niedostępnym dla dzieci.</w:t>
      </w:r>
    </w:p>
    <w:p w14:paraId="69123348" w14:textId="77777777" w:rsidR="0059552A" w:rsidRPr="00275D64" w:rsidRDefault="0059552A" w:rsidP="00496272">
      <w:pPr>
        <w:rPr>
          <w:szCs w:val="22"/>
          <w:lang w:val="pl-PL"/>
        </w:rPr>
      </w:pPr>
    </w:p>
    <w:p w14:paraId="7A463F86" w14:textId="77777777" w:rsidR="0059552A" w:rsidRPr="00275D64" w:rsidRDefault="0059552A" w:rsidP="00496272">
      <w:pPr>
        <w:rPr>
          <w:szCs w:val="22"/>
          <w:lang w:val="pl-PL"/>
        </w:rPr>
      </w:pPr>
    </w:p>
    <w:p w14:paraId="73FFE6DF"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7.</w:t>
      </w:r>
      <w:r w:rsidRPr="00275D64">
        <w:rPr>
          <w:lang w:val="pl-PL"/>
        </w:rPr>
        <w:tab/>
      </w:r>
      <w:r w:rsidRPr="00275D64">
        <w:rPr>
          <w:b/>
          <w:lang w:val="pl-PL"/>
        </w:rPr>
        <w:t>INNE OSTRZEŻENIA SPECJALNE, JEŚLI KONIECZNE</w:t>
      </w:r>
    </w:p>
    <w:p w14:paraId="76FE2236" w14:textId="77777777" w:rsidR="0059552A" w:rsidRPr="00275D64" w:rsidRDefault="0059552A" w:rsidP="00496272">
      <w:pPr>
        <w:tabs>
          <w:tab w:val="left" w:pos="749"/>
        </w:tabs>
        <w:rPr>
          <w:szCs w:val="22"/>
          <w:lang w:val="pl-PL"/>
        </w:rPr>
      </w:pPr>
    </w:p>
    <w:p w14:paraId="0E7364DC" w14:textId="77777777" w:rsidR="0059552A" w:rsidRPr="00275D64" w:rsidRDefault="0059552A" w:rsidP="00496272">
      <w:pPr>
        <w:tabs>
          <w:tab w:val="left" w:pos="749"/>
        </w:tabs>
        <w:rPr>
          <w:szCs w:val="22"/>
          <w:lang w:val="pl-PL"/>
        </w:rPr>
      </w:pPr>
    </w:p>
    <w:p w14:paraId="7BF10D7B" w14:textId="77777777" w:rsidR="0059552A" w:rsidRPr="00275D64" w:rsidRDefault="0059552A" w:rsidP="0033745E">
      <w:pPr>
        <w:keepNext/>
        <w:keepLines/>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lastRenderedPageBreak/>
        <w:t>8.</w:t>
      </w:r>
      <w:r w:rsidRPr="00275D64">
        <w:rPr>
          <w:lang w:val="pl-PL"/>
        </w:rPr>
        <w:tab/>
      </w:r>
      <w:r w:rsidRPr="00275D64">
        <w:rPr>
          <w:b/>
          <w:lang w:val="pl-PL"/>
        </w:rPr>
        <w:t>TERMIN WAŻNOŚCI</w:t>
      </w:r>
    </w:p>
    <w:p w14:paraId="699F2569" w14:textId="77777777" w:rsidR="0059552A" w:rsidRPr="00275D64" w:rsidRDefault="0059552A" w:rsidP="0033745E">
      <w:pPr>
        <w:keepNext/>
        <w:keepLines/>
        <w:rPr>
          <w:szCs w:val="22"/>
          <w:lang w:val="pl-PL"/>
        </w:rPr>
      </w:pPr>
    </w:p>
    <w:p w14:paraId="196B258F" w14:textId="77777777" w:rsidR="0059552A" w:rsidRPr="00275D64" w:rsidRDefault="0059552A" w:rsidP="0033745E">
      <w:pPr>
        <w:keepNext/>
        <w:keepLines/>
        <w:rPr>
          <w:szCs w:val="22"/>
          <w:lang w:val="pl-PL"/>
        </w:rPr>
      </w:pPr>
      <w:r w:rsidRPr="00275D64">
        <w:rPr>
          <w:lang w:val="pl-PL"/>
        </w:rPr>
        <w:t>Termin ważności (EXP)</w:t>
      </w:r>
    </w:p>
    <w:p w14:paraId="3E8C8E74" w14:textId="77777777" w:rsidR="0059552A" w:rsidRPr="00275D64" w:rsidRDefault="0059552A" w:rsidP="0033745E">
      <w:pPr>
        <w:keepNext/>
        <w:rPr>
          <w:szCs w:val="22"/>
          <w:lang w:val="pl-PL"/>
        </w:rPr>
      </w:pPr>
    </w:p>
    <w:p w14:paraId="3141D820" w14:textId="77777777" w:rsidR="0059552A" w:rsidRPr="00275D64" w:rsidRDefault="0059552A" w:rsidP="0033745E">
      <w:pPr>
        <w:keepNext/>
        <w:tabs>
          <w:tab w:val="clear" w:pos="567"/>
        </w:tabs>
        <w:rPr>
          <w:color w:val="000000"/>
          <w:szCs w:val="22"/>
          <w:lang w:val="pl-PL"/>
        </w:rPr>
      </w:pPr>
      <w:r w:rsidRPr="00275D64">
        <w:rPr>
          <w:color w:val="000000"/>
          <w:lang w:val="pl-PL"/>
        </w:rPr>
        <w:t>Wkład używany we wstrzykiwaczu może być przechowywany przez maksymalnie 28 dni w temperaturze do 25 °C.</w:t>
      </w:r>
    </w:p>
    <w:p w14:paraId="460D1140" w14:textId="77777777" w:rsidR="0059552A" w:rsidRPr="00275D64" w:rsidRDefault="0059552A" w:rsidP="00496272">
      <w:pPr>
        <w:rPr>
          <w:szCs w:val="22"/>
          <w:lang w:val="pl-PL"/>
        </w:rPr>
      </w:pPr>
    </w:p>
    <w:p w14:paraId="7E5BA4FB" w14:textId="77777777" w:rsidR="0059552A" w:rsidRPr="00275D64" w:rsidRDefault="0059552A" w:rsidP="00496272">
      <w:pPr>
        <w:rPr>
          <w:szCs w:val="22"/>
          <w:lang w:val="pl-PL"/>
        </w:rPr>
      </w:pPr>
    </w:p>
    <w:p w14:paraId="1CD51E22" w14:textId="77777777" w:rsidR="0059552A" w:rsidRPr="00275D64" w:rsidRDefault="0059552A"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9.</w:t>
      </w:r>
      <w:r w:rsidRPr="00275D64">
        <w:rPr>
          <w:lang w:val="pl-PL"/>
        </w:rPr>
        <w:tab/>
      </w:r>
      <w:r w:rsidRPr="00275D64">
        <w:rPr>
          <w:b/>
          <w:lang w:val="pl-PL"/>
        </w:rPr>
        <w:t>WARUNKI PRZECHOWYWANIA</w:t>
      </w:r>
    </w:p>
    <w:p w14:paraId="36F1B606" w14:textId="77777777" w:rsidR="0059552A" w:rsidRPr="00275D64" w:rsidRDefault="0059552A" w:rsidP="00496272">
      <w:pPr>
        <w:rPr>
          <w:szCs w:val="22"/>
          <w:lang w:val="pl-PL"/>
        </w:rPr>
      </w:pPr>
    </w:p>
    <w:p w14:paraId="71E0DC71" w14:textId="77777777" w:rsidR="0059552A" w:rsidRPr="00275D64" w:rsidRDefault="0059552A" w:rsidP="00496272">
      <w:pPr>
        <w:tabs>
          <w:tab w:val="clear" w:pos="567"/>
        </w:tabs>
        <w:rPr>
          <w:color w:val="000000"/>
          <w:szCs w:val="22"/>
          <w:lang w:val="pl-PL"/>
        </w:rPr>
      </w:pPr>
      <w:r w:rsidRPr="00275D64">
        <w:rPr>
          <w:color w:val="000000"/>
          <w:lang w:val="pl-PL"/>
        </w:rPr>
        <w:t>Przechowywać w lodówce.</w:t>
      </w:r>
    </w:p>
    <w:p w14:paraId="5A75DA34" w14:textId="77777777" w:rsidR="0059552A" w:rsidRPr="00275D64" w:rsidRDefault="0059552A" w:rsidP="00496272">
      <w:pPr>
        <w:tabs>
          <w:tab w:val="clear" w:pos="567"/>
        </w:tabs>
        <w:rPr>
          <w:color w:val="000000"/>
          <w:szCs w:val="22"/>
          <w:lang w:val="pl-PL"/>
        </w:rPr>
      </w:pPr>
    </w:p>
    <w:p w14:paraId="7640E02B" w14:textId="77777777" w:rsidR="0059552A" w:rsidRPr="00275D64" w:rsidRDefault="0059552A" w:rsidP="00496272">
      <w:pPr>
        <w:tabs>
          <w:tab w:val="clear" w:pos="567"/>
        </w:tabs>
        <w:rPr>
          <w:color w:val="000000"/>
          <w:szCs w:val="22"/>
          <w:lang w:val="pl-PL"/>
        </w:rPr>
      </w:pPr>
      <w:r w:rsidRPr="00275D64">
        <w:rPr>
          <w:color w:val="000000"/>
          <w:lang w:val="pl-PL"/>
        </w:rPr>
        <w:t>Nie zamrażać.</w:t>
      </w:r>
    </w:p>
    <w:p w14:paraId="31E4C550" w14:textId="77777777" w:rsidR="0059552A" w:rsidRPr="00275D64" w:rsidRDefault="0059552A" w:rsidP="00496272">
      <w:pPr>
        <w:tabs>
          <w:tab w:val="clear" w:pos="567"/>
        </w:tabs>
        <w:rPr>
          <w:color w:val="000000"/>
          <w:szCs w:val="22"/>
          <w:lang w:val="pl-PL"/>
        </w:rPr>
      </w:pPr>
    </w:p>
    <w:p w14:paraId="307252EC" w14:textId="77777777" w:rsidR="0059552A" w:rsidRPr="00275D64" w:rsidRDefault="0059552A" w:rsidP="00496272">
      <w:pPr>
        <w:tabs>
          <w:tab w:val="clear" w:pos="567"/>
        </w:tabs>
        <w:rPr>
          <w:color w:val="000000"/>
          <w:szCs w:val="22"/>
          <w:lang w:val="pl-PL"/>
        </w:rPr>
      </w:pPr>
      <w:r w:rsidRPr="00275D64">
        <w:rPr>
          <w:color w:val="000000"/>
          <w:lang w:val="pl-PL"/>
        </w:rPr>
        <w:t>Przechowywać wkład w opakowaniu zewnętrznym w celu ochrony przed światłem.</w:t>
      </w:r>
    </w:p>
    <w:p w14:paraId="2CE3FECD" w14:textId="77777777" w:rsidR="0059552A" w:rsidRPr="00275D64" w:rsidRDefault="0059552A" w:rsidP="00496272">
      <w:pPr>
        <w:tabs>
          <w:tab w:val="clear" w:pos="567"/>
        </w:tabs>
        <w:rPr>
          <w:color w:val="000000"/>
          <w:szCs w:val="22"/>
          <w:lang w:val="pl-PL"/>
        </w:rPr>
      </w:pPr>
    </w:p>
    <w:p w14:paraId="41B2DADC" w14:textId="77777777" w:rsidR="0059552A" w:rsidRPr="00275D64" w:rsidRDefault="0059552A" w:rsidP="00496272">
      <w:pPr>
        <w:rPr>
          <w:color w:val="000000"/>
          <w:szCs w:val="22"/>
          <w:lang w:val="pl-PL"/>
        </w:rPr>
      </w:pPr>
      <w:r w:rsidRPr="00275D64">
        <w:rPr>
          <w:lang w:val="pl-PL"/>
        </w:rPr>
        <w:t>Przed otwarciem można przechowywać w temperaturze do 25 °C przez okres do 3 miesięcy.</w:t>
      </w:r>
      <w:r w:rsidRPr="00275D64">
        <w:rPr>
          <w:color w:val="000000"/>
          <w:lang w:val="pl-PL"/>
        </w:rPr>
        <w:t xml:space="preserve"> Musi być usunięty, jeśli nie został zużyty po 3 miesiącach.</w:t>
      </w:r>
    </w:p>
    <w:p w14:paraId="05830257" w14:textId="77777777" w:rsidR="0059552A" w:rsidRPr="00275D64" w:rsidRDefault="0059552A" w:rsidP="00496272">
      <w:pPr>
        <w:rPr>
          <w:szCs w:val="22"/>
          <w:lang w:val="pl-PL"/>
        </w:rPr>
      </w:pPr>
    </w:p>
    <w:p w14:paraId="0DFD83F9" w14:textId="77777777" w:rsidR="0059552A" w:rsidRPr="00275D64" w:rsidRDefault="0059552A" w:rsidP="00496272">
      <w:pPr>
        <w:rPr>
          <w:szCs w:val="22"/>
          <w:lang w:val="pl-PL"/>
        </w:rPr>
      </w:pPr>
    </w:p>
    <w:p w14:paraId="51BC9C0E"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10.</w:t>
      </w:r>
      <w:r w:rsidRPr="00275D64">
        <w:rPr>
          <w:lang w:val="pl-PL"/>
        </w:rPr>
        <w:tab/>
      </w:r>
      <w:r w:rsidRPr="00275D64">
        <w:rPr>
          <w:b/>
          <w:lang w:val="pl-PL"/>
        </w:rPr>
        <w:t>SPECJALNE ŚRODKI OSTROŻNOŚCI DOTYCZĄCE USUWANIA NIEZUŻYTEGO PRODUKTU LECZNICZEGO LUB POCHODZĄCYCH Z NIEGO ODPADÓW, JEŚLI WŁAŚCIWE</w:t>
      </w:r>
    </w:p>
    <w:p w14:paraId="4BBBB28E" w14:textId="77777777" w:rsidR="0059552A" w:rsidRPr="00275D64" w:rsidRDefault="0059552A" w:rsidP="00496272">
      <w:pPr>
        <w:rPr>
          <w:szCs w:val="22"/>
          <w:lang w:val="pl-PL"/>
        </w:rPr>
      </w:pPr>
    </w:p>
    <w:p w14:paraId="7ABDD9E2" w14:textId="77777777" w:rsidR="0059552A" w:rsidRPr="00275D64" w:rsidRDefault="0059552A" w:rsidP="00496272">
      <w:pPr>
        <w:rPr>
          <w:szCs w:val="22"/>
          <w:lang w:val="pl-PL"/>
        </w:rPr>
      </w:pPr>
    </w:p>
    <w:p w14:paraId="605CAD4F" w14:textId="77777777" w:rsidR="0059552A" w:rsidRPr="00275D64" w:rsidRDefault="0059552A" w:rsidP="00496272">
      <w:pPr>
        <w:rPr>
          <w:szCs w:val="22"/>
          <w:lang w:val="pl-PL"/>
        </w:rPr>
      </w:pPr>
    </w:p>
    <w:p w14:paraId="5E71936D"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11.</w:t>
      </w:r>
      <w:r w:rsidRPr="00275D64">
        <w:rPr>
          <w:lang w:val="pl-PL"/>
        </w:rPr>
        <w:tab/>
      </w:r>
      <w:r w:rsidRPr="00275D64">
        <w:rPr>
          <w:b/>
          <w:lang w:val="pl-PL"/>
        </w:rPr>
        <w:t>NAZWA I ADRES PODMIOTU ODPOWIEDZIALNEGO</w:t>
      </w:r>
    </w:p>
    <w:p w14:paraId="4631B3BC" w14:textId="77777777" w:rsidR="0059552A" w:rsidRPr="00275D64" w:rsidRDefault="0059552A" w:rsidP="00496272">
      <w:pPr>
        <w:rPr>
          <w:szCs w:val="22"/>
          <w:lang w:val="pl-PL"/>
        </w:rPr>
      </w:pPr>
    </w:p>
    <w:p w14:paraId="52A4371F" w14:textId="77777777" w:rsidR="00B13EA3" w:rsidRPr="004E70A1" w:rsidRDefault="00B13EA3" w:rsidP="00B13EA3">
      <w:pPr>
        <w:tabs>
          <w:tab w:val="clear" w:pos="567"/>
        </w:tabs>
        <w:rPr>
          <w:lang w:val="pl-PL"/>
        </w:rPr>
      </w:pPr>
      <w:r w:rsidRPr="004E70A1">
        <w:rPr>
          <w:lang w:val="pl-PL"/>
        </w:rPr>
        <w:t>Theramex Ireland Limited</w:t>
      </w:r>
    </w:p>
    <w:p w14:paraId="00E37263" w14:textId="2DB90E8A" w:rsidR="00B13EA3" w:rsidRPr="004E70A1" w:rsidRDefault="000D14EB" w:rsidP="00B13EA3">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w:t>
      </w:r>
      <w:r>
        <w:rPr>
          <w:rFonts w:cs="Verdana"/>
          <w:color w:val="000000"/>
        </w:rPr>
        <w:t xml:space="preserve"> </w:t>
      </w:r>
      <w:r w:rsidR="00B13EA3" w:rsidRPr="004E70A1">
        <w:rPr>
          <w:lang w:val="en-US"/>
        </w:rPr>
        <w:t>Kilmore House,</w:t>
      </w:r>
    </w:p>
    <w:p w14:paraId="30A7F670" w14:textId="77777777" w:rsidR="00B13EA3" w:rsidRPr="004E70A1" w:rsidRDefault="00B13EA3" w:rsidP="00B13EA3">
      <w:pPr>
        <w:tabs>
          <w:tab w:val="clear" w:pos="567"/>
        </w:tabs>
        <w:rPr>
          <w:lang w:val="en-US"/>
        </w:rPr>
      </w:pPr>
      <w:r w:rsidRPr="004E70A1">
        <w:rPr>
          <w:lang w:val="en-US"/>
        </w:rPr>
        <w:t>Park Lane, Spencer Dock,</w:t>
      </w:r>
    </w:p>
    <w:p w14:paraId="36A6028D" w14:textId="77777777" w:rsidR="00B13EA3" w:rsidRPr="004E70A1" w:rsidRDefault="00B13EA3" w:rsidP="00B13EA3">
      <w:pPr>
        <w:tabs>
          <w:tab w:val="clear" w:pos="567"/>
        </w:tabs>
        <w:rPr>
          <w:lang w:val="pl-PL"/>
        </w:rPr>
      </w:pPr>
      <w:r w:rsidRPr="004E70A1">
        <w:rPr>
          <w:lang w:val="pl-PL"/>
        </w:rPr>
        <w:t>Dublin 1</w:t>
      </w:r>
    </w:p>
    <w:p w14:paraId="19BCB4BA" w14:textId="77777777" w:rsidR="00B13EA3" w:rsidRPr="004E70A1" w:rsidRDefault="00B13EA3" w:rsidP="00B13EA3">
      <w:pPr>
        <w:tabs>
          <w:tab w:val="clear" w:pos="567"/>
        </w:tabs>
        <w:rPr>
          <w:lang w:val="pl-PL"/>
        </w:rPr>
      </w:pPr>
      <w:r w:rsidRPr="004E70A1">
        <w:rPr>
          <w:lang w:val="pl-PL"/>
        </w:rPr>
        <w:t>D01 YE64</w:t>
      </w:r>
    </w:p>
    <w:p w14:paraId="776E091A" w14:textId="77777777" w:rsidR="00B13EA3" w:rsidRPr="00275D64" w:rsidRDefault="00B13EA3" w:rsidP="00B13EA3">
      <w:pPr>
        <w:tabs>
          <w:tab w:val="clear" w:pos="567"/>
        </w:tabs>
        <w:rPr>
          <w:color w:val="000000"/>
          <w:szCs w:val="22"/>
          <w:lang w:val="pl-PL"/>
        </w:rPr>
      </w:pPr>
      <w:r w:rsidRPr="004E70A1">
        <w:rPr>
          <w:lang w:val="pl-PL"/>
        </w:rPr>
        <w:t>Irlandia</w:t>
      </w:r>
    </w:p>
    <w:p w14:paraId="080EAB1D" w14:textId="77777777" w:rsidR="0059552A" w:rsidRPr="00275D64" w:rsidRDefault="0059552A" w:rsidP="00B13EA3">
      <w:pPr>
        <w:tabs>
          <w:tab w:val="clear" w:pos="567"/>
        </w:tabs>
        <w:rPr>
          <w:szCs w:val="22"/>
          <w:lang w:val="pl-PL"/>
        </w:rPr>
      </w:pPr>
    </w:p>
    <w:p w14:paraId="35C73594" w14:textId="77777777" w:rsidR="0059552A" w:rsidRPr="00275D64" w:rsidRDefault="0059552A" w:rsidP="00496272">
      <w:pPr>
        <w:rPr>
          <w:szCs w:val="22"/>
          <w:lang w:val="pl-PL"/>
        </w:rPr>
      </w:pPr>
    </w:p>
    <w:p w14:paraId="365F3187" w14:textId="77777777" w:rsidR="0059552A" w:rsidRPr="00275D64" w:rsidRDefault="0059552A" w:rsidP="007A3058">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12.</w:t>
      </w:r>
      <w:r w:rsidRPr="00275D64">
        <w:rPr>
          <w:lang w:val="pl-PL"/>
        </w:rPr>
        <w:tab/>
      </w:r>
      <w:r w:rsidRPr="00275D64">
        <w:rPr>
          <w:b/>
          <w:lang w:val="pl-PL"/>
        </w:rPr>
        <w:t>NUMER POZWOLENIA (NUMERY POZWOLEŃ) NA DOPUSZCZENIE DO OBROTU</w:t>
      </w:r>
    </w:p>
    <w:p w14:paraId="7CFBDBCF" w14:textId="77777777" w:rsidR="0059552A" w:rsidRPr="00275D64" w:rsidRDefault="0059552A" w:rsidP="00496272">
      <w:pPr>
        <w:rPr>
          <w:szCs w:val="22"/>
          <w:lang w:val="pl-PL"/>
        </w:rPr>
      </w:pPr>
    </w:p>
    <w:p w14:paraId="652C973F" w14:textId="77777777" w:rsidR="0059552A" w:rsidRPr="004E70A1" w:rsidRDefault="0059552A" w:rsidP="00496272">
      <w:pPr>
        <w:outlineLvl w:val="0"/>
        <w:rPr>
          <w:szCs w:val="22"/>
          <w:lang w:val="nb-NO"/>
        </w:rPr>
      </w:pPr>
      <w:r w:rsidRPr="004E70A1">
        <w:rPr>
          <w:lang w:val="nb-NO"/>
        </w:rPr>
        <w:t>EU/</w:t>
      </w:r>
      <w:r w:rsidRPr="004E70A1">
        <w:rPr>
          <w:noProof/>
          <w:szCs w:val="22"/>
          <w:lang w:val="nb-NO"/>
        </w:rPr>
        <w:t>1/13/871/002</w:t>
      </w:r>
    </w:p>
    <w:p w14:paraId="7AB3403F" w14:textId="77777777" w:rsidR="0059552A" w:rsidRPr="004E70A1" w:rsidRDefault="0059552A" w:rsidP="00496272">
      <w:pPr>
        <w:rPr>
          <w:szCs w:val="22"/>
          <w:lang w:val="nb-NO"/>
        </w:rPr>
      </w:pPr>
    </w:p>
    <w:p w14:paraId="49B4B476" w14:textId="77777777" w:rsidR="0059552A" w:rsidRPr="004E70A1" w:rsidRDefault="0059552A" w:rsidP="00496272">
      <w:pPr>
        <w:rPr>
          <w:szCs w:val="22"/>
          <w:lang w:val="nb-NO"/>
        </w:rPr>
      </w:pPr>
    </w:p>
    <w:p w14:paraId="347BEB35" w14:textId="77777777" w:rsidR="0059552A" w:rsidRPr="004E70A1" w:rsidRDefault="0059552A" w:rsidP="00496272">
      <w:pPr>
        <w:pBdr>
          <w:top w:val="single" w:sz="4" w:space="1" w:color="auto"/>
          <w:left w:val="single" w:sz="4" w:space="4" w:color="auto"/>
          <w:bottom w:val="single" w:sz="4" w:space="1" w:color="auto"/>
          <w:right w:val="single" w:sz="4" w:space="4" w:color="auto"/>
        </w:pBdr>
        <w:outlineLvl w:val="0"/>
        <w:rPr>
          <w:szCs w:val="22"/>
          <w:lang w:val="nb-NO"/>
        </w:rPr>
      </w:pPr>
      <w:r w:rsidRPr="004E70A1">
        <w:rPr>
          <w:b/>
          <w:lang w:val="nb-NO"/>
        </w:rPr>
        <w:t>13.</w:t>
      </w:r>
      <w:r w:rsidRPr="004E70A1">
        <w:rPr>
          <w:lang w:val="nb-NO"/>
        </w:rPr>
        <w:tab/>
      </w:r>
      <w:r w:rsidRPr="004E70A1">
        <w:rPr>
          <w:b/>
          <w:lang w:val="nb-NO"/>
        </w:rPr>
        <w:t>NUMER SERII</w:t>
      </w:r>
    </w:p>
    <w:p w14:paraId="10FB3004" w14:textId="77777777" w:rsidR="0059552A" w:rsidRPr="004E70A1" w:rsidRDefault="0059552A" w:rsidP="00496272">
      <w:pPr>
        <w:rPr>
          <w:szCs w:val="22"/>
          <w:lang w:val="nb-NO"/>
        </w:rPr>
      </w:pPr>
    </w:p>
    <w:p w14:paraId="0F6DC22D" w14:textId="77777777" w:rsidR="0059552A" w:rsidRPr="004E70A1" w:rsidRDefault="0059552A" w:rsidP="00496272">
      <w:pPr>
        <w:rPr>
          <w:szCs w:val="22"/>
          <w:lang w:val="nb-NO"/>
        </w:rPr>
      </w:pPr>
      <w:r w:rsidRPr="004E70A1">
        <w:rPr>
          <w:lang w:val="nb-NO"/>
        </w:rPr>
        <w:t>Nr serii (Lot)</w:t>
      </w:r>
    </w:p>
    <w:p w14:paraId="00BEFF16" w14:textId="77777777" w:rsidR="0059552A" w:rsidRPr="004E70A1" w:rsidRDefault="0059552A" w:rsidP="00496272">
      <w:pPr>
        <w:rPr>
          <w:szCs w:val="22"/>
          <w:lang w:val="nb-NO"/>
        </w:rPr>
      </w:pPr>
    </w:p>
    <w:p w14:paraId="3A4C8E17" w14:textId="77777777" w:rsidR="0059552A" w:rsidRPr="004E70A1" w:rsidRDefault="0059552A" w:rsidP="00496272">
      <w:pPr>
        <w:rPr>
          <w:szCs w:val="22"/>
          <w:lang w:val="nb-NO"/>
        </w:rPr>
      </w:pPr>
    </w:p>
    <w:p w14:paraId="25F3CA72"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szCs w:val="22"/>
          <w:lang w:val="pl-PL"/>
        </w:rPr>
      </w:pPr>
      <w:r w:rsidRPr="00275D64">
        <w:rPr>
          <w:b/>
          <w:lang w:val="pl-PL"/>
        </w:rPr>
        <w:t>14.</w:t>
      </w:r>
      <w:r w:rsidRPr="00275D64">
        <w:rPr>
          <w:lang w:val="pl-PL"/>
        </w:rPr>
        <w:tab/>
      </w:r>
      <w:r w:rsidRPr="00275D64">
        <w:rPr>
          <w:b/>
          <w:lang w:val="pl-PL"/>
        </w:rPr>
        <w:t>OGÓLNA KATEGORIA DOSTĘPNOŚCI</w:t>
      </w:r>
    </w:p>
    <w:p w14:paraId="14AA3E4D" w14:textId="77777777" w:rsidR="0059552A" w:rsidRPr="00275D64" w:rsidRDefault="0059552A" w:rsidP="00496272">
      <w:pPr>
        <w:rPr>
          <w:i/>
          <w:szCs w:val="22"/>
          <w:lang w:val="pl-PL"/>
        </w:rPr>
      </w:pPr>
    </w:p>
    <w:p w14:paraId="0F235693" w14:textId="77777777" w:rsidR="0059552A" w:rsidRPr="00275D64" w:rsidRDefault="0059552A" w:rsidP="00496272">
      <w:pPr>
        <w:rPr>
          <w:szCs w:val="22"/>
          <w:lang w:val="pl-PL"/>
        </w:rPr>
      </w:pPr>
    </w:p>
    <w:p w14:paraId="59BCF368" w14:textId="77777777" w:rsidR="0059552A" w:rsidRPr="00275D64" w:rsidRDefault="0059552A" w:rsidP="00496272">
      <w:pPr>
        <w:pBdr>
          <w:top w:val="single" w:sz="4" w:space="2" w:color="auto"/>
          <w:left w:val="single" w:sz="4" w:space="4" w:color="auto"/>
          <w:bottom w:val="single" w:sz="4" w:space="1" w:color="auto"/>
          <w:right w:val="single" w:sz="4" w:space="4" w:color="auto"/>
        </w:pBdr>
        <w:outlineLvl w:val="0"/>
        <w:rPr>
          <w:szCs w:val="22"/>
          <w:lang w:val="pl-PL"/>
        </w:rPr>
      </w:pPr>
      <w:r w:rsidRPr="00275D64">
        <w:rPr>
          <w:b/>
          <w:lang w:val="pl-PL"/>
        </w:rPr>
        <w:t>15.</w:t>
      </w:r>
      <w:r w:rsidRPr="00275D64">
        <w:rPr>
          <w:lang w:val="pl-PL"/>
        </w:rPr>
        <w:tab/>
      </w:r>
      <w:r w:rsidRPr="00275D64">
        <w:rPr>
          <w:b/>
          <w:lang w:val="pl-PL"/>
        </w:rPr>
        <w:t>INSTRUKCJA UŻYCIA</w:t>
      </w:r>
    </w:p>
    <w:p w14:paraId="40D2CADA" w14:textId="77777777" w:rsidR="0059552A" w:rsidRPr="00275D64" w:rsidRDefault="0059552A" w:rsidP="00496272">
      <w:pPr>
        <w:rPr>
          <w:szCs w:val="22"/>
          <w:lang w:val="pl-PL"/>
        </w:rPr>
      </w:pPr>
    </w:p>
    <w:p w14:paraId="71BCE083" w14:textId="77777777" w:rsidR="0059552A" w:rsidRPr="00275D64" w:rsidRDefault="0059552A" w:rsidP="00496272">
      <w:pPr>
        <w:rPr>
          <w:szCs w:val="22"/>
          <w:lang w:val="pl-PL"/>
        </w:rPr>
      </w:pPr>
    </w:p>
    <w:p w14:paraId="75FE0131" w14:textId="77777777" w:rsidR="0059552A" w:rsidRPr="00275D64" w:rsidRDefault="0059552A" w:rsidP="00B13EA3">
      <w:pPr>
        <w:keepNext/>
        <w:keepLines/>
        <w:pBdr>
          <w:top w:val="single" w:sz="4" w:space="1" w:color="auto"/>
          <w:left w:val="single" w:sz="4" w:space="4" w:color="auto"/>
          <w:bottom w:val="single" w:sz="4" w:space="0" w:color="auto"/>
          <w:right w:val="single" w:sz="4" w:space="4" w:color="auto"/>
        </w:pBdr>
        <w:rPr>
          <w:szCs w:val="22"/>
          <w:lang w:val="pl-PL"/>
        </w:rPr>
      </w:pPr>
      <w:r w:rsidRPr="00275D64">
        <w:rPr>
          <w:b/>
          <w:lang w:val="pl-PL"/>
        </w:rPr>
        <w:lastRenderedPageBreak/>
        <w:t>16.</w:t>
      </w:r>
      <w:r w:rsidRPr="00275D64">
        <w:rPr>
          <w:lang w:val="pl-PL"/>
        </w:rPr>
        <w:tab/>
      </w:r>
      <w:r w:rsidRPr="00275D64">
        <w:rPr>
          <w:b/>
          <w:lang w:val="pl-PL"/>
        </w:rPr>
        <w:t>INFORMACJA PODANA SYSTEMEM BRAILLE’A</w:t>
      </w:r>
    </w:p>
    <w:p w14:paraId="2C809B87" w14:textId="77777777" w:rsidR="0059552A" w:rsidRPr="00275D64" w:rsidRDefault="0059552A" w:rsidP="00B13EA3">
      <w:pPr>
        <w:keepNext/>
        <w:keepLines/>
        <w:rPr>
          <w:szCs w:val="22"/>
          <w:lang w:val="pl-PL"/>
        </w:rPr>
      </w:pPr>
    </w:p>
    <w:p w14:paraId="5CDB6514" w14:textId="77777777" w:rsidR="0059552A" w:rsidRPr="00275D64" w:rsidRDefault="0059552A" w:rsidP="00B13EA3">
      <w:pPr>
        <w:keepNext/>
        <w:keepLines/>
        <w:rPr>
          <w:noProof/>
          <w:szCs w:val="22"/>
          <w:shd w:val="clear" w:color="auto" w:fill="CCCCCC"/>
          <w:lang w:val="pl-PL" w:eastAsia="pl-PL"/>
        </w:rPr>
      </w:pPr>
      <w:r w:rsidRPr="00275D64">
        <w:rPr>
          <w:color w:val="000000"/>
          <w:lang w:val="pl-PL"/>
        </w:rPr>
        <w:t>Ovaleap 450 j.m./0,75 ml</w:t>
      </w:r>
    </w:p>
    <w:p w14:paraId="67C1A4B4" w14:textId="77777777" w:rsidR="0059552A" w:rsidRPr="00275D64" w:rsidRDefault="0059552A" w:rsidP="00F407DA">
      <w:pPr>
        <w:rPr>
          <w:noProof/>
          <w:szCs w:val="22"/>
          <w:shd w:val="clear" w:color="auto" w:fill="CCCCCC"/>
          <w:lang w:val="pl-PL" w:eastAsia="pl-PL"/>
        </w:rPr>
      </w:pPr>
    </w:p>
    <w:p w14:paraId="0AD87193" w14:textId="77777777" w:rsidR="0059552A" w:rsidRPr="00275D64" w:rsidRDefault="0059552A" w:rsidP="00F407DA">
      <w:pPr>
        <w:rPr>
          <w:noProof/>
          <w:szCs w:val="22"/>
          <w:shd w:val="clear" w:color="auto" w:fill="CCCCCC"/>
          <w:lang w:val="pl-PL" w:eastAsia="pl-PL"/>
        </w:rPr>
      </w:pPr>
    </w:p>
    <w:p w14:paraId="2C89C243" w14:textId="77777777" w:rsidR="0059552A" w:rsidRPr="00275D64" w:rsidRDefault="0059552A" w:rsidP="00F407DA">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pl-PL" w:eastAsia="pl-PL"/>
        </w:rPr>
      </w:pPr>
      <w:r w:rsidRPr="00275D64">
        <w:rPr>
          <w:b/>
          <w:noProof/>
          <w:lang w:val="pl-PL" w:eastAsia="pl-PL"/>
        </w:rPr>
        <w:t>17.</w:t>
      </w:r>
      <w:r w:rsidRPr="00275D64">
        <w:rPr>
          <w:b/>
          <w:noProof/>
          <w:lang w:val="pl-PL" w:eastAsia="pl-PL"/>
        </w:rPr>
        <w:tab/>
        <w:t>NIEPOWTARZALNY IDENTYFIKATOR – KOD 2D</w:t>
      </w:r>
    </w:p>
    <w:p w14:paraId="3BEE3E1C" w14:textId="77777777" w:rsidR="0059552A" w:rsidRPr="00275D64" w:rsidRDefault="0059552A" w:rsidP="00F407DA">
      <w:pPr>
        <w:tabs>
          <w:tab w:val="clear" w:pos="567"/>
        </w:tabs>
        <w:rPr>
          <w:noProof/>
          <w:lang w:val="pl-PL" w:eastAsia="pl-PL"/>
        </w:rPr>
      </w:pPr>
    </w:p>
    <w:p w14:paraId="3DD193BC" w14:textId="77777777" w:rsidR="0059552A" w:rsidRPr="00275D64" w:rsidRDefault="0059552A" w:rsidP="00F407DA">
      <w:pPr>
        <w:rPr>
          <w:noProof/>
          <w:szCs w:val="22"/>
          <w:shd w:val="clear" w:color="auto" w:fill="CCCCCC"/>
          <w:lang w:val="pl-PL" w:eastAsia="pl-PL"/>
        </w:rPr>
      </w:pPr>
      <w:r w:rsidRPr="00275D64">
        <w:rPr>
          <w:noProof/>
          <w:highlight w:val="lightGray"/>
          <w:lang w:val="pl-PL" w:eastAsia="pl-PL"/>
        </w:rPr>
        <w:t>Obejmuje kod 2D będący nośnikiem niepowtarzalnego identyfikatora.</w:t>
      </w:r>
    </w:p>
    <w:p w14:paraId="2C1D6BCA" w14:textId="77777777" w:rsidR="0059552A" w:rsidRPr="00275D64" w:rsidRDefault="0059552A" w:rsidP="00F407DA">
      <w:pPr>
        <w:tabs>
          <w:tab w:val="clear" w:pos="567"/>
        </w:tabs>
        <w:rPr>
          <w:noProof/>
          <w:lang w:val="pl-PL" w:eastAsia="pl-PL"/>
        </w:rPr>
      </w:pPr>
    </w:p>
    <w:p w14:paraId="7FBCEBB6" w14:textId="77777777" w:rsidR="0059552A" w:rsidRPr="00275D64" w:rsidRDefault="0059552A" w:rsidP="00F407DA">
      <w:pPr>
        <w:tabs>
          <w:tab w:val="clear" w:pos="567"/>
        </w:tabs>
        <w:rPr>
          <w:noProof/>
          <w:lang w:val="pl-PL" w:eastAsia="pl-PL"/>
        </w:rPr>
      </w:pPr>
    </w:p>
    <w:p w14:paraId="0DABA253" w14:textId="77777777" w:rsidR="0059552A" w:rsidRPr="00275D64" w:rsidRDefault="0059552A" w:rsidP="00F407DA">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pl-PL" w:eastAsia="pl-PL"/>
        </w:rPr>
      </w:pPr>
      <w:r w:rsidRPr="00275D64">
        <w:rPr>
          <w:b/>
          <w:noProof/>
          <w:lang w:val="pl-PL" w:eastAsia="pl-PL"/>
        </w:rPr>
        <w:t>18.</w:t>
      </w:r>
      <w:r w:rsidRPr="00275D64">
        <w:rPr>
          <w:b/>
          <w:noProof/>
          <w:lang w:val="pl-PL" w:eastAsia="pl-PL"/>
        </w:rPr>
        <w:tab/>
        <w:t>NIEPOWTARZALNY IDENTYFIKATOR – DANE CZYTELNE DLA CZŁOWIEKA</w:t>
      </w:r>
    </w:p>
    <w:p w14:paraId="0C7F11B6" w14:textId="77777777" w:rsidR="0059552A" w:rsidRPr="00275D64" w:rsidRDefault="0059552A" w:rsidP="00F407DA">
      <w:pPr>
        <w:tabs>
          <w:tab w:val="clear" w:pos="567"/>
        </w:tabs>
        <w:rPr>
          <w:noProof/>
          <w:lang w:val="pl-PL" w:eastAsia="pl-PL"/>
        </w:rPr>
      </w:pPr>
    </w:p>
    <w:p w14:paraId="01D73881" w14:textId="77777777" w:rsidR="0059552A" w:rsidRPr="00275D64" w:rsidRDefault="0059552A" w:rsidP="00F407DA">
      <w:pPr>
        <w:spacing w:line="260" w:lineRule="exact"/>
        <w:rPr>
          <w:color w:val="000000"/>
          <w:szCs w:val="22"/>
          <w:lang w:val="pl-PL" w:eastAsia="pl-PL"/>
        </w:rPr>
      </w:pPr>
      <w:r w:rsidRPr="00275D64">
        <w:rPr>
          <w:lang w:val="pl-PL" w:eastAsia="pl-PL"/>
        </w:rPr>
        <w:t>PC:</w:t>
      </w:r>
    </w:p>
    <w:p w14:paraId="389F67FC" w14:textId="77777777" w:rsidR="0059552A" w:rsidRPr="00275D64" w:rsidRDefault="0059552A" w:rsidP="00F407DA">
      <w:pPr>
        <w:spacing w:line="260" w:lineRule="exact"/>
        <w:rPr>
          <w:szCs w:val="22"/>
          <w:lang w:val="pl-PL" w:eastAsia="pl-PL"/>
        </w:rPr>
      </w:pPr>
      <w:r w:rsidRPr="00275D64">
        <w:rPr>
          <w:lang w:val="pl-PL" w:eastAsia="pl-PL"/>
        </w:rPr>
        <w:t>SN:</w:t>
      </w:r>
    </w:p>
    <w:p w14:paraId="5664EE16" w14:textId="77777777" w:rsidR="0059552A" w:rsidRPr="00275D64" w:rsidRDefault="0059552A" w:rsidP="00F407DA">
      <w:pPr>
        <w:autoSpaceDE w:val="0"/>
        <w:autoSpaceDN w:val="0"/>
        <w:adjustRightInd w:val="0"/>
        <w:jc w:val="both"/>
        <w:rPr>
          <w:lang w:val="pl-PL" w:eastAsia="pl-PL"/>
        </w:rPr>
      </w:pPr>
      <w:r w:rsidRPr="00275D64">
        <w:rPr>
          <w:lang w:val="pl-PL" w:eastAsia="pl-PL"/>
        </w:rPr>
        <w:t>NN:</w:t>
      </w:r>
    </w:p>
    <w:p w14:paraId="790EB408" w14:textId="77777777" w:rsidR="0059552A" w:rsidRPr="00275D64" w:rsidRDefault="0059552A" w:rsidP="0088245D">
      <w:pPr>
        <w:autoSpaceDE w:val="0"/>
        <w:autoSpaceDN w:val="0"/>
        <w:adjustRightInd w:val="0"/>
        <w:jc w:val="both"/>
        <w:rPr>
          <w:szCs w:val="22"/>
          <w:shd w:val="clear" w:color="auto" w:fill="CCCCCC"/>
          <w:lang w:val="pl-PL"/>
        </w:rPr>
      </w:pPr>
    </w:p>
    <w:p w14:paraId="441D8247" w14:textId="77777777" w:rsidR="0059552A" w:rsidRPr="00275D64" w:rsidRDefault="0059552A" w:rsidP="00496272">
      <w:pPr>
        <w:pBdr>
          <w:top w:val="single" w:sz="4" w:space="1" w:color="auto"/>
          <w:left w:val="single" w:sz="4" w:space="4" w:color="auto"/>
          <w:bottom w:val="single" w:sz="4" w:space="1" w:color="auto"/>
          <w:right w:val="single" w:sz="4" w:space="4" w:color="auto"/>
        </w:pBdr>
        <w:shd w:val="clear" w:color="auto" w:fill="FFFFFF"/>
        <w:rPr>
          <w:szCs w:val="22"/>
          <w:lang w:val="pl-PL"/>
        </w:rPr>
      </w:pPr>
      <w:r w:rsidRPr="00275D64">
        <w:rPr>
          <w:lang w:val="pl-PL"/>
        </w:rPr>
        <w:br w:type="page"/>
      </w:r>
      <w:r w:rsidRPr="00275D64">
        <w:rPr>
          <w:b/>
          <w:lang w:val="pl-PL"/>
        </w:rPr>
        <w:lastRenderedPageBreak/>
        <w:t>INFORMACJE ZAMIESZCZANE NA OPAKOWANIACH ZEWNĘTRZNYCH</w:t>
      </w:r>
    </w:p>
    <w:p w14:paraId="3B1BC2DF"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rPr>
          <w:bCs/>
          <w:szCs w:val="22"/>
          <w:lang w:val="pl-PL"/>
        </w:rPr>
      </w:pPr>
    </w:p>
    <w:p w14:paraId="330FC020" w14:textId="77777777" w:rsidR="0059552A" w:rsidRPr="00275D64" w:rsidRDefault="0059552A" w:rsidP="00496272">
      <w:pPr>
        <w:pBdr>
          <w:top w:val="single" w:sz="4" w:space="1" w:color="auto"/>
          <w:left w:val="single" w:sz="4" w:space="4" w:color="auto"/>
          <w:bottom w:val="single" w:sz="4" w:space="1" w:color="auto"/>
          <w:right w:val="single" w:sz="4" w:space="4" w:color="auto"/>
        </w:pBdr>
        <w:rPr>
          <w:bCs/>
          <w:szCs w:val="22"/>
          <w:lang w:val="pl-PL"/>
        </w:rPr>
      </w:pPr>
      <w:r w:rsidRPr="00275D64">
        <w:rPr>
          <w:b/>
          <w:lang w:val="pl-PL"/>
        </w:rPr>
        <w:t>PUDEŁKO ZEWNĘTRZNE</w:t>
      </w:r>
    </w:p>
    <w:p w14:paraId="7E4A60AA" w14:textId="77777777" w:rsidR="0059552A" w:rsidRPr="00275D64" w:rsidRDefault="0059552A" w:rsidP="00496272">
      <w:pPr>
        <w:rPr>
          <w:szCs w:val="22"/>
          <w:lang w:val="pl-PL"/>
        </w:rPr>
      </w:pPr>
    </w:p>
    <w:p w14:paraId="066B602F" w14:textId="77777777" w:rsidR="0059552A" w:rsidRPr="00275D64" w:rsidRDefault="0059552A" w:rsidP="00496272">
      <w:pPr>
        <w:rPr>
          <w:szCs w:val="22"/>
          <w:lang w:val="pl-PL"/>
        </w:rPr>
      </w:pPr>
    </w:p>
    <w:p w14:paraId="60559974"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1.</w:t>
      </w:r>
      <w:r w:rsidRPr="00275D64">
        <w:rPr>
          <w:lang w:val="pl-PL"/>
        </w:rPr>
        <w:tab/>
      </w:r>
      <w:r w:rsidRPr="00275D64">
        <w:rPr>
          <w:b/>
          <w:lang w:val="pl-PL"/>
        </w:rPr>
        <w:t>NAZWA PRODUKTU LECZNICZEGO</w:t>
      </w:r>
    </w:p>
    <w:p w14:paraId="4EECE1B0" w14:textId="77777777" w:rsidR="0059552A" w:rsidRPr="00275D64" w:rsidRDefault="0059552A" w:rsidP="00496272">
      <w:pPr>
        <w:rPr>
          <w:szCs w:val="22"/>
          <w:lang w:val="pl-PL"/>
        </w:rPr>
      </w:pPr>
    </w:p>
    <w:p w14:paraId="709B0203"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Ovaleap 900 j.m./1,5 ml roztwór do wstrzykiwań</w:t>
      </w:r>
    </w:p>
    <w:p w14:paraId="05A92E92" w14:textId="77777777" w:rsidR="0059552A" w:rsidRPr="00275D64" w:rsidRDefault="0059552A" w:rsidP="00496272">
      <w:pPr>
        <w:rPr>
          <w:szCs w:val="22"/>
          <w:lang w:val="pl-PL"/>
        </w:rPr>
      </w:pPr>
    </w:p>
    <w:p w14:paraId="466C45B8" w14:textId="719BEED7" w:rsidR="0059552A" w:rsidRPr="00275D64" w:rsidRDefault="0059552A" w:rsidP="00496272">
      <w:pPr>
        <w:rPr>
          <w:szCs w:val="22"/>
          <w:lang w:val="pl-PL"/>
        </w:rPr>
      </w:pPr>
      <w:r w:rsidRPr="00275D64">
        <w:rPr>
          <w:color w:val="000000"/>
          <w:lang w:val="pl-PL"/>
        </w:rPr>
        <w:t>folitropina alfa</w:t>
      </w:r>
    </w:p>
    <w:p w14:paraId="42BB83E7" w14:textId="77777777" w:rsidR="0059552A" w:rsidRPr="00275D64" w:rsidRDefault="0059552A" w:rsidP="00496272">
      <w:pPr>
        <w:rPr>
          <w:szCs w:val="22"/>
          <w:lang w:val="pl-PL"/>
        </w:rPr>
      </w:pPr>
    </w:p>
    <w:p w14:paraId="2EC00983" w14:textId="77777777" w:rsidR="0059552A" w:rsidRPr="00275D64" w:rsidRDefault="0059552A" w:rsidP="00496272">
      <w:pPr>
        <w:rPr>
          <w:szCs w:val="22"/>
          <w:lang w:val="pl-PL"/>
        </w:rPr>
      </w:pPr>
    </w:p>
    <w:p w14:paraId="1839C334"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2.</w:t>
      </w:r>
      <w:r w:rsidRPr="00275D64">
        <w:rPr>
          <w:lang w:val="pl-PL"/>
        </w:rPr>
        <w:tab/>
      </w:r>
      <w:r w:rsidRPr="00275D64">
        <w:rPr>
          <w:b/>
          <w:lang w:val="pl-PL"/>
        </w:rPr>
        <w:t>ZAWARTOŚĆ SUBSTANCJI CZYNNEJ (SUBSTANCJI CZYNNYCH)</w:t>
      </w:r>
    </w:p>
    <w:p w14:paraId="7B0268D8" w14:textId="77777777" w:rsidR="0059552A" w:rsidRPr="00275D64" w:rsidRDefault="0059552A" w:rsidP="00496272">
      <w:pPr>
        <w:rPr>
          <w:i/>
          <w:szCs w:val="22"/>
          <w:lang w:val="pl-PL"/>
        </w:rPr>
      </w:pPr>
    </w:p>
    <w:p w14:paraId="267D2733" w14:textId="77777777" w:rsidR="0059552A" w:rsidRPr="00275D64" w:rsidRDefault="0059552A" w:rsidP="00496272">
      <w:pPr>
        <w:rPr>
          <w:szCs w:val="22"/>
          <w:lang w:val="pl-PL"/>
        </w:rPr>
      </w:pPr>
      <w:r w:rsidRPr="00275D64">
        <w:rPr>
          <w:color w:val="000000"/>
          <w:lang w:val="pl-PL"/>
        </w:rPr>
        <w:t>Każdy wkład zawiera 900 j.m. (co odpowiada 66 mikrogramom) folitropiny alfa w 1,5 ml roztworu. Każdy ml roztworu zawiera 600 j.m. (co odpowiada 44 mikrogramom) folitropiny alfa.</w:t>
      </w:r>
    </w:p>
    <w:p w14:paraId="2A558567" w14:textId="77777777" w:rsidR="0059552A" w:rsidRPr="00275D64" w:rsidRDefault="0059552A" w:rsidP="00496272">
      <w:pPr>
        <w:rPr>
          <w:szCs w:val="22"/>
          <w:lang w:val="pl-PL"/>
        </w:rPr>
      </w:pPr>
    </w:p>
    <w:p w14:paraId="2DEB8AE6"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3.</w:t>
      </w:r>
      <w:r w:rsidRPr="00275D64">
        <w:rPr>
          <w:lang w:val="pl-PL"/>
        </w:rPr>
        <w:tab/>
      </w:r>
      <w:r w:rsidRPr="00275D64">
        <w:rPr>
          <w:b/>
          <w:lang w:val="pl-PL"/>
        </w:rPr>
        <w:t>WYKAZ SUBSTANCJI POMOCNICZYCH</w:t>
      </w:r>
    </w:p>
    <w:p w14:paraId="403C6229" w14:textId="77777777" w:rsidR="0059552A" w:rsidRPr="00275D64" w:rsidRDefault="0059552A" w:rsidP="00496272">
      <w:pPr>
        <w:rPr>
          <w:szCs w:val="22"/>
          <w:lang w:val="pl-PL"/>
        </w:rPr>
      </w:pPr>
    </w:p>
    <w:p w14:paraId="678E991B" w14:textId="77777777" w:rsidR="0059552A" w:rsidRPr="00275D64" w:rsidRDefault="0059552A" w:rsidP="00496272">
      <w:pPr>
        <w:rPr>
          <w:szCs w:val="22"/>
          <w:lang w:val="pl-PL"/>
        </w:rPr>
      </w:pPr>
      <w:r w:rsidRPr="00275D64">
        <w:rPr>
          <w:lang w:val="pl-PL"/>
        </w:rPr>
        <w:t>Substancje pomocnicze: sodu wodorofosforan dwuwodny, sodu wodorotlenek (2 M) (do ustalenia pH), mannitol, metionina, polisorbat 20, alkohol benzylowy, benzalkoniowy chlorek, woda do wstrzykiwań.</w:t>
      </w:r>
    </w:p>
    <w:p w14:paraId="64949552" w14:textId="77777777" w:rsidR="0059552A" w:rsidRPr="00275D64" w:rsidRDefault="0059552A" w:rsidP="00496272">
      <w:pPr>
        <w:rPr>
          <w:szCs w:val="22"/>
          <w:lang w:val="pl-PL"/>
        </w:rPr>
      </w:pPr>
    </w:p>
    <w:p w14:paraId="333155F0" w14:textId="77777777" w:rsidR="0059552A" w:rsidRPr="00275D64" w:rsidRDefault="0059552A" w:rsidP="00496272">
      <w:pPr>
        <w:rPr>
          <w:szCs w:val="22"/>
          <w:lang w:val="pl-PL"/>
        </w:rPr>
      </w:pPr>
    </w:p>
    <w:p w14:paraId="06BAA84A"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4.</w:t>
      </w:r>
      <w:r w:rsidRPr="00275D64">
        <w:rPr>
          <w:lang w:val="pl-PL"/>
        </w:rPr>
        <w:tab/>
      </w:r>
      <w:r w:rsidRPr="00275D64">
        <w:rPr>
          <w:b/>
          <w:lang w:val="pl-PL"/>
        </w:rPr>
        <w:t>POSTAĆ FARMACEUTYCZNA I ZAWARTOŚĆ OPAKOWANIA</w:t>
      </w:r>
    </w:p>
    <w:p w14:paraId="41D6D907" w14:textId="77777777" w:rsidR="0059552A" w:rsidRPr="00275D64" w:rsidRDefault="0059552A" w:rsidP="00496272">
      <w:pPr>
        <w:rPr>
          <w:szCs w:val="22"/>
          <w:lang w:val="pl-PL"/>
        </w:rPr>
      </w:pPr>
    </w:p>
    <w:p w14:paraId="6A50B995" w14:textId="77777777" w:rsidR="0059552A" w:rsidRPr="00275D64" w:rsidRDefault="0059552A" w:rsidP="00496272">
      <w:pPr>
        <w:rPr>
          <w:color w:val="000000"/>
          <w:szCs w:val="22"/>
          <w:lang w:val="pl-PL"/>
        </w:rPr>
      </w:pPr>
      <w:r w:rsidRPr="00275D64">
        <w:rPr>
          <w:color w:val="000000"/>
          <w:highlight w:val="lightGray"/>
          <w:lang w:val="pl-PL"/>
        </w:rPr>
        <w:t>Roztwór do wstrzykiwań</w:t>
      </w:r>
    </w:p>
    <w:p w14:paraId="35EC7361" w14:textId="77777777" w:rsidR="0059552A" w:rsidRPr="00275D64" w:rsidRDefault="0059552A" w:rsidP="00496272">
      <w:pPr>
        <w:rPr>
          <w:szCs w:val="22"/>
          <w:lang w:val="pl-PL"/>
        </w:rPr>
      </w:pPr>
    </w:p>
    <w:p w14:paraId="4B131971" w14:textId="77777777" w:rsidR="0059552A" w:rsidRPr="00275D64" w:rsidRDefault="0059552A" w:rsidP="00496272">
      <w:pPr>
        <w:tabs>
          <w:tab w:val="clear" w:pos="567"/>
        </w:tabs>
        <w:rPr>
          <w:color w:val="000000"/>
          <w:szCs w:val="22"/>
          <w:lang w:val="pl-PL"/>
        </w:rPr>
      </w:pPr>
      <w:r w:rsidRPr="00275D64">
        <w:rPr>
          <w:color w:val="000000"/>
          <w:lang w:val="pl-PL"/>
        </w:rPr>
        <w:t>1 wkład z 1,5 ml roztworu i 20 igieł iniekcyjnych</w:t>
      </w:r>
    </w:p>
    <w:p w14:paraId="36C3EFA6" w14:textId="77777777" w:rsidR="0059552A" w:rsidRPr="00275D64" w:rsidRDefault="0059552A" w:rsidP="00496272">
      <w:pPr>
        <w:rPr>
          <w:szCs w:val="22"/>
          <w:lang w:val="pl-PL"/>
        </w:rPr>
      </w:pPr>
    </w:p>
    <w:p w14:paraId="15CD86DA" w14:textId="77777777" w:rsidR="0059552A" w:rsidRPr="00275D64" w:rsidRDefault="0059552A" w:rsidP="00496272">
      <w:pPr>
        <w:rPr>
          <w:szCs w:val="22"/>
          <w:lang w:val="pl-PL"/>
        </w:rPr>
      </w:pPr>
    </w:p>
    <w:p w14:paraId="08BB20FB"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5.</w:t>
      </w:r>
      <w:r w:rsidRPr="00275D64">
        <w:rPr>
          <w:lang w:val="pl-PL"/>
        </w:rPr>
        <w:tab/>
      </w:r>
      <w:r w:rsidRPr="00275D64">
        <w:rPr>
          <w:b/>
          <w:lang w:val="pl-PL"/>
        </w:rPr>
        <w:t>SPOSÓB I DROGA(DROGI) PODANIA</w:t>
      </w:r>
    </w:p>
    <w:p w14:paraId="0DECF11D" w14:textId="77777777" w:rsidR="0059552A" w:rsidRPr="00275D64" w:rsidRDefault="0059552A" w:rsidP="00496272">
      <w:pPr>
        <w:rPr>
          <w:szCs w:val="22"/>
          <w:lang w:val="pl-PL"/>
        </w:rPr>
      </w:pPr>
    </w:p>
    <w:p w14:paraId="55EA944A" w14:textId="77777777" w:rsidR="0059552A" w:rsidRPr="00275D64" w:rsidRDefault="0059552A" w:rsidP="00496272">
      <w:pPr>
        <w:tabs>
          <w:tab w:val="left" w:pos="749"/>
        </w:tabs>
        <w:rPr>
          <w:color w:val="000000"/>
          <w:szCs w:val="22"/>
          <w:lang w:val="pl-PL"/>
        </w:rPr>
      </w:pPr>
      <w:r w:rsidRPr="00275D64">
        <w:rPr>
          <w:color w:val="000000"/>
          <w:lang w:val="pl-PL"/>
        </w:rPr>
        <w:t>Do stosowania tylko ze wstrzykiwaczem Ovaleap Pen.</w:t>
      </w:r>
    </w:p>
    <w:p w14:paraId="2347C1E9" w14:textId="77777777" w:rsidR="0059552A" w:rsidRPr="00275D64" w:rsidRDefault="0059552A" w:rsidP="00496272">
      <w:pPr>
        <w:rPr>
          <w:szCs w:val="22"/>
          <w:highlight w:val="lightGray"/>
          <w:lang w:val="pl-PL"/>
        </w:rPr>
      </w:pPr>
    </w:p>
    <w:p w14:paraId="12E6D81F" w14:textId="77777777" w:rsidR="0059552A" w:rsidRPr="00275D64" w:rsidRDefault="0059552A" w:rsidP="00496272">
      <w:pPr>
        <w:rPr>
          <w:szCs w:val="22"/>
          <w:lang w:val="pl-PL"/>
        </w:rPr>
      </w:pPr>
      <w:r w:rsidRPr="00275D64">
        <w:rPr>
          <w:lang w:val="pl-PL"/>
        </w:rPr>
        <w:t>Należy zapoznać się z treścią ulotki przed zastosowaniem leku.</w:t>
      </w:r>
    </w:p>
    <w:p w14:paraId="21C959AE" w14:textId="77777777" w:rsidR="0059552A" w:rsidRPr="00275D64" w:rsidRDefault="0059552A" w:rsidP="0088245D">
      <w:pPr>
        <w:tabs>
          <w:tab w:val="left" w:pos="749"/>
        </w:tabs>
        <w:rPr>
          <w:szCs w:val="22"/>
          <w:lang w:val="pl-PL"/>
        </w:rPr>
      </w:pPr>
    </w:p>
    <w:p w14:paraId="44821FE2" w14:textId="77777777" w:rsidR="0059552A" w:rsidRPr="00275D64" w:rsidRDefault="0059552A" w:rsidP="00496272">
      <w:pPr>
        <w:tabs>
          <w:tab w:val="left" w:pos="749"/>
        </w:tabs>
        <w:rPr>
          <w:szCs w:val="22"/>
          <w:lang w:val="pl-PL"/>
        </w:rPr>
      </w:pPr>
      <w:r w:rsidRPr="00275D64">
        <w:rPr>
          <w:lang w:val="pl-PL"/>
        </w:rPr>
        <w:t>Podanie podskórne</w:t>
      </w:r>
    </w:p>
    <w:p w14:paraId="4F0DF95E" w14:textId="77777777" w:rsidR="0059552A" w:rsidRPr="00275D64" w:rsidRDefault="0059552A" w:rsidP="00496272">
      <w:pPr>
        <w:tabs>
          <w:tab w:val="left" w:pos="749"/>
        </w:tabs>
        <w:rPr>
          <w:szCs w:val="22"/>
          <w:lang w:val="pl-PL"/>
        </w:rPr>
      </w:pPr>
    </w:p>
    <w:p w14:paraId="662463F0" w14:textId="77777777" w:rsidR="0059552A" w:rsidRPr="00275D64" w:rsidRDefault="0059552A" w:rsidP="00496272">
      <w:pPr>
        <w:tabs>
          <w:tab w:val="left" w:pos="749"/>
        </w:tabs>
        <w:rPr>
          <w:szCs w:val="22"/>
          <w:lang w:val="pl-PL"/>
        </w:rPr>
      </w:pPr>
    </w:p>
    <w:p w14:paraId="1D1AD165"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6.</w:t>
      </w:r>
      <w:r w:rsidRPr="00275D64">
        <w:rPr>
          <w:lang w:val="pl-PL"/>
        </w:rPr>
        <w:tab/>
      </w:r>
      <w:r w:rsidRPr="00275D64">
        <w:rPr>
          <w:b/>
          <w:lang w:val="pl-PL"/>
        </w:rPr>
        <w:t>OSTRZEŻENIE DOTYCZĄCE PRZECHOWYWANIA PRODUKTU LECZNICZEGO W MIEJSCU NIEWIDOCZNYM I NIEDOSTĘPNYM DLA DZIECI</w:t>
      </w:r>
    </w:p>
    <w:p w14:paraId="28DFD60D" w14:textId="77777777" w:rsidR="0059552A" w:rsidRPr="00275D64" w:rsidRDefault="0059552A" w:rsidP="00496272">
      <w:pPr>
        <w:rPr>
          <w:szCs w:val="22"/>
          <w:lang w:val="pl-PL"/>
        </w:rPr>
      </w:pPr>
    </w:p>
    <w:p w14:paraId="2E2379B4" w14:textId="77777777" w:rsidR="0059552A" w:rsidRPr="00275D64" w:rsidRDefault="0059552A" w:rsidP="00496272">
      <w:pPr>
        <w:outlineLvl w:val="0"/>
        <w:rPr>
          <w:szCs w:val="22"/>
          <w:lang w:val="pl-PL"/>
        </w:rPr>
      </w:pPr>
      <w:r w:rsidRPr="00275D64">
        <w:rPr>
          <w:lang w:val="pl-PL"/>
        </w:rPr>
        <w:t>Lek przechowywać w miejscu niewidocznym i niedostępnym dla dzieci.</w:t>
      </w:r>
    </w:p>
    <w:p w14:paraId="2200C516" w14:textId="77777777" w:rsidR="0059552A" w:rsidRPr="00275D64" w:rsidRDefault="0059552A" w:rsidP="00496272">
      <w:pPr>
        <w:rPr>
          <w:szCs w:val="22"/>
          <w:lang w:val="pl-PL"/>
        </w:rPr>
      </w:pPr>
    </w:p>
    <w:p w14:paraId="1295968A" w14:textId="77777777" w:rsidR="0059552A" w:rsidRPr="00275D64" w:rsidRDefault="0059552A" w:rsidP="00496272">
      <w:pPr>
        <w:rPr>
          <w:szCs w:val="22"/>
          <w:lang w:val="pl-PL"/>
        </w:rPr>
      </w:pPr>
    </w:p>
    <w:p w14:paraId="0FBCF2CB"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7.</w:t>
      </w:r>
      <w:r w:rsidRPr="00275D64">
        <w:rPr>
          <w:lang w:val="pl-PL"/>
        </w:rPr>
        <w:tab/>
      </w:r>
      <w:r w:rsidRPr="00275D64">
        <w:rPr>
          <w:b/>
          <w:lang w:val="pl-PL"/>
        </w:rPr>
        <w:t>INNE OSTRZEŻENIA SPECJALNE, JEŚLI KONIECZNE</w:t>
      </w:r>
    </w:p>
    <w:p w14:paraId="5EBB143C" w14:textId="77777777" w:rsidR="0059552A" w:rsidRPr="00275D64" w:rsidRDefault="0059552A" w:rsidP="00496272">
      <w:pPr>
        <w:tabs>
          <w:tab w:val="left" w:pos="749"/>
        </w:tabs>
        <w:rPr>
          <w:szCs w:val="22"/>
          <w:lang w:val="pl-PL"/>
        </w:rPr>
      </w:pPr>
    </w:p>
    <w:p w14:paraId="1D73AD8F" w14:textId="77777777" w:rsidR="0059552A" w:rsidRPr="00275D64" w:rsidRDefault="0059552A" w:rsidP="00496272">
      <w:pPr>
        <w:tabs>
          <w:tab w:val="left" w:pos="749"/>
        </w:tabs>
        <w:rPr>
          <w:szCs w:val="22"/>
          <w:lang w:val="pl-PL"/>
        </w:rPr>
      </w:pPr>
    </w:p>
    <w:p w14:paraId="79D5FF84" w14:textId="77777777" w:rsidR="0059552A" w:rsidRPr="00275D64" w:rsidRDefault="0059552A" w:rsidP="00496272">
      <w:pPr>
        <w:keepNext/>
        <w:keepLines/>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8.</w:t>
      </w:r>
      <w:r w:rsidRPr="00275D64">
        <w:rPr>
          <w:lang w:val="pl-PL"/>
        </w:rPr>
        <w:tab/>
      </w:r>
      <w:r w:rsidRPr="00275D64">
        <w:rPr>
          <w:b/>
          <w:lang w:val="pl-PL"/>
        </w:rPr>
        <w:t>TERMIN WAŻNOŚCI</w:t>
      </w:r>
    </w:p>
    <w:p w14:paraId="21B8707A" w14:textId="77777777" w:rsidR="0059552A" w:rsidRPr="00275D64" w:rsidRDefault="0059552A" w:rsidP="00496272">
      <w:pPr>
        <w:keepNext/>
        <w:keepLines/>
        <w:rPr>
          <w:szCs w:val="22"/>
          <w:lang w:val="pl-PL"/>
        </w:rPr>
      </w:pPr>
    </w:p>
    <w:p w14:paraId="3BBFC62C" w14:textId="77777777" w:rsidR="0059552A" w:rsidRPr="00275D64" w:rsidRDefault="0059552A" w:rsidP="00496272">
      <w:pPr>
        <w:keepNext/>
        <w:keepLines/>
        <w:rPr>
          <w:szCs w:val="22"/>
          <w:lang w:val="pl-PL"/>
        </w:rPr>
      </w:pPr>
      <w:r w:rsidRPr="00275D64">
        <w:rPr>
          <w:lang w:val="pl-PL"/>
        </w:rPr>
        <w:t>Termin ważności (EXP)</w:t>
      </w:r>
    </w:p>
    <w:p w14:paraId="47225542" w14:textId="77777777" w:rsidR="0059552A" w:rsidRPr="00275D64" w:rsidRDefault="0059552A" w:rsidP="00496272">
      <w:pPr>
        <w:rPr>
          <w:szCs w:val="22"/>
          <w:lang w:val="pl-PL"/>
        </w:rPr>
      </w:pPr>
    </w:p>
    <w:p w14:paraId="0B2DA590" w14:textId="77777777" w:rsidR="0059552A" w:rsidRPr="00275D64" w:rsidRDefault="0059552A" w:rsidP="00496272">
      <w:pPr>
        <w:tabs>
          <w:tab w:val="clear" w:pos="567"/>
        </w:tabs>
        <w:rPr>
          <w:color w:val="000000"/>
          <w:szCs w:val="22"/>
          <w:lang w:val="pl-PL"/>
        </w:rPr>
      </w:pPr>
      <w:r w:rsidRPr="00275D64">
        <w:rPr>
          <w:color w:val="000000"/>
          <w:lang w:val="pl-PL"/>
        </w:rPr>
        <w:t>Wkład używany we wstrzykiwaczu może być przechowywany przez maksymalnie 28 dni w temperaturze do 25 °C.</w:t>
      </w:r>
    </w:p>
    <w:p w14:paraId="71353DF5" w14:textId="77777777" w:rsidR="0059552A" w:rsidRPr="00275D64" w:rsidRDefault="0059552A" w:rsidP="00496272">
      <w:pPr>
        <w:rPr>
          <w:szCs w:val="22"/>
          <w:lang w:val="pl-PL"/>
        </w:rPr>
      </w:pPr>
    </w:p>
    <w:p w14:paraId="2296C622" w14:textId="77777777" w:rsidR="0059552A" w:rsidRPr="00275D64" w:rsidRDefault="0059552A" w:rsidP="00496272">
      <w:pPr>
        <w:rPr>
          <w:szCs w:val="22"/>
          <w:lang w:val="pl-PL"/>
        </w:rPr>
      </w:pPr>
    </w:p>
    <w:p w14:paraId="0D3BD002" w14:textId="77777777" w:rsidR="0059552A" w:rsidRPr="00275D64" w:rsidRDefault="0059552A"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pl-PL"/>
        </w:rPr>
      </w:pPr>
      <w:r w:rsidRPr="00275D64">
        <w:rPr>
          <w:b/>
          <w:lang w:val="pl-PL"/>
        </w:rPr>
        <w:t>9.</w:t>
      </w:r>
      <w:r w:rsidRPr="00275D64">
        <w:rPr>
          <w:lang w:val="pl-PL"/>
        </w:rPr>
        <w:tab/>
      </w:r>
      <w:r w:rsidRPr="00275D64">
        <w:rPr>
          <w:b/>
          <w:lang w:val="pl-PL"/>
        </w:rPr>
        <w:t>WARUNKI PRZECHOWYWANIA</w:t>
      </w:r>
    </w:p>
    <w:p w14:paraId="4AA7A568" w14:textId="77777777" w:rsidR="0059552A" w:rsidRPr="00275D64" w:rsidRDefault="0059552A" w:rsidP="00496272">
      <w:pPr>
        <w:rPr>
          <w:szCs w:val="22"/>
          <w:lang w:val="pl-PL"/>
        </w:rPr>
      </w:pPr>
    </w:p>
    <w:p w14:paraId="1C8167F7" w14:textId="77777777" w:rsidR="0059552A" w:rsidRPr="00275D64" w:rsidRDefault="0059552A" w:rsidP="00496272">
      <w:pPr>
        <w:tabs>
          <w:tab w:val="clear" w:pos="567"/>
        </w:tabs>
        <w:rPr>
          <w:color w:val="000000"/>
          <w:szCs w:val="22"/>
          <w:lang w:val="pl-PL"/>
        </w:rPr>
      </w:pPr>
      <w:r w:rsidRPr="00275D64">
        <w:rPr>
          <w:color w:val="000000"/>
          <w:lang w:val="pl-PL"/>
        </w:rPr>
        <w:t>Przechowywać w lodówce.</w:t>
      </w:r>
    </w:p>
    <w:p w14:paraId="2B7E38C3" w14:textId="77777777" w:rsidR="0059552A" w:rsidRPr="00275D64" w:rsidRDefault="0059552A" w:rsidP="00496272">
      <w:pPr>
        <w:tabs>
          <w:tab w:val="clear" w:pos="567"/>
        </w:tabs>
        <w:rPr>
          <w:color w:val="000000"/>
          <w:szCs w:val="22"/>
          <w:lang w:val="pl-PL"/>
        </w:rPr>
      </w:pPr>
    </w:p>
    <w:p w14:paraId="24545600" w14:textId="77777777" w:rsidR="0059552A" w:rsidRPr="00275D64" w:rsidRDefault="0059552A" w:rsidP="00496272">
      <w:pPr>
        <w:tabs>
          <w:tab w:val="clear" w:pos="567"/>
        </w:tabs>
        <w:rPr>
          <w:color w:val="000000"/>
          <w:szCs w:val="22"/>
          <w:lang w:val="pl-PL"/>
        </w:rPr>
      </w:pPr>
      <w:r w:rsidRPr="00275D64">
        <w:rPr>
          <w:color w:val="000000"/>
          <w:lang w:val="pl-PL"/>
        </w:rPr>
        <w:t>Nie zamrażać.</w:t>
      </w:r>
    </w:p>
    <w:p w14:paraId="52740A93" w14:textId="77777777" w:rsidR="0059552A" w:rsidRPr="00275D64" w:rsidRDefault="0059552A" w:rsidP="00496272">
      <w:pPr>
        <w:tabs>
          <w:tab w:val="clear" w:pos="567"/>
        </w:tabs>
        <w:rPr>
          <w:color w:val="000000"/>
          <w:szCs w:val="22"/>
          <w:lang w:val="pl-PL"/>
        </w:rPr>
      </w:pPr>
    </w:p>
    <w:p w14:paraId="48C69BAB" w14:textId="77777777" w:rsidR="0059552A" w:rsidRPr="00275D64" w:rsidRDefault="0059552A" w:rsidP="00496272">
      <w:pPr>
        <w:tabs>
          <w:tab w:val="clear" w:pos="567"/>
        </w:tabs>
        <w:rPr>
          <w:color w:val="000000"/>
          <w:szCs w:val="22"/>
          <w:lang w:val="pl-PL"/>
        </w:rPr>
      </w:pPr>
      <w:r w:rsidRPr="00275D64">
        <w:rPr>
          <w:color w:val="000000"/>
          <w:lang w:val="pl-PL"/>
        </w:rPr>
        <w:t>Przechowywać wkład w opakowaniu zewnętrznym w celu ochrony przed światłem.</w:t>
      </w:r>
    </w:p>
    <w:p w14:paraId="064EC90A" w14:textId="77777777" w:rsidR="0059552A" w:rsidRPr="00275D64" w:rsidRDefault="0059552A" w:rsidP="00496272">
      <w:pPr>
        <w:tabs>
          <w:tab w:val="clear" w:pos="567"/>
        </w:tabs>
        <w:rPr>
          <w:color w:val="000000"/>
          <w:szCs w:val="22"/>
          <w:lang w:val="pl-PL"/>
        </w:rPr>
      </w:pPr>
    </w:p>
    <w:p w14:paraId="178336EA" w14:textId="77777777" w:rsidR="0059552A" w:rsidRPr="00275D64" w:rsidRDefault="0059552A" w:rsidP="00496272">
      <w:pPr>
        <w:rPr>
          <w:color w:val="000000"/>
          <w:szCs w:val="22"/>
          <w:lang w:val="pl-PL"/>
        </w:rPr>
      </w:pPr>
      <w:r w:rsidRPr="00275D64">
        <w:rPr>
          <w:lang w:val="pl-PL"/>
        </w:rPr>
        <w:t>Przed otwarciem można przechowywać w temperaturze do 25 °C przez okres do 3 miesięcy.</w:t>
      </w:r>
      <w:r w:rsidRPr="00275D64">
        <w:rPr>
          <w:color w:val="000000"/>
          <w:lang w:val="pl-PL"/>
        </w:rPr>
        <w:t xml:space="preserve"> Musi być usunięty, jeśli nie został zużyty po 3 miesiącach.</w:t>
      </w:r>
    </w:p>
    <w:p w14:paraId="1FDE5DEA" w14:textId="77777777" w:rsidR="0059552A" w:rsidRPr="00275D64" w:rsidRDefault="0059552A" w:rsidP="00496272">
      <w:pPr>
        <w:rPr>
          <w:szCs w:val="22"/>
          <w:lang w:val="pl-PL"/>
        </w:rPr>
      </w:pPr>
    </w:p>
    <w:p w14:paraId="30C5A89C" w14:textId="77777777" w:rsidR="0059552A" w:rsidRPr="00275D64" w:rsidRDefault="0059552A" w:rsidP="00496272">
      <w:pPr>
        <w:rPr>
          <w:szCs w:val="22"/>
          <w:lang w:val="pl-PL"/>
        </w:rPr>
      </w:pPr>
    </w:p>
    <w:p w14:paraId="29E230E8" w14:textId="77777777" w:rsidR="0059552A" w:rsidRPr="00275D64" w:rsidRDefault="0059552A" w:rsidP="00496272">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10.</w:t>
      </w:r>
      <w:r w:rsidRPr="00275D64">
        <w:rPr>
          <w:lang w:val="pl-PL"/>
        </w:rPr>
        <w:tab/>
      </w:r>
      <w:r w:rsidRPr="00275D64">
        <w:rPr>
          <w:b/>
          <w:lang w:val="pl-PL"/>
        </w:rPr>
        <w:t>SPECJALNE ŚRODKI OSTROŻNOŚCI DOTYCZĄCE USUWANIA NIEZUŻYTEGO PRODUKTU LECZNICZEGO LUB POCHODZĄCYCH Z NIEGO ODPADÓW, JEŚLI WŁAŚCIWE</w:t>
      </w:r>
    </w:p>
    <w:p w14:paraId="657AEBA7" w14:textId="77777777" w:rsidR="0059552A" w:rsidRPr="00275D64" w:rsidRDefault="0059552A" w:rsidP="00496272">
      <w:pPr>
        <w:rPr>
          <w:szCs w:val="22"/>
          <w:lang w:val="pl-PL"/>
        </w:rPr>
      </w:pPr>
    </w:p>
    <w:p w14:paraId="37AF486D" w14:textId="77777777" w:rsidR="0059552A" w:rsidRPr="00275D64" w:rsidRDefault="0059552A" w:rsidP="00496272">
      <w:pPr>
        <w:rPr>
          <w:szCs w:val="22"/>
          <w:lang w:val="pl-PL"/>
        </w:rPr>
      </w:pPr>
    </w:p>
    <w:p w14:paraId="5A7A4082" w14:textId="77777777" w:rsidR="0059552A" w:rsidRPr="00275D64" w:rsidRDefault="0059552A" w:rsidP="00496272">
      <w:pPr>
        <w:rPr>
          <w:szCs w:val="22"/>
          <w:lang w:val="pl-PL"/>
        </w:rPr>
      </w:pPr>
    </w:p>
    <w:p w14:paraId="1F099CEF"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11.</w:t>
      </w:r>
      <w:r w:rsidRPr="00275D64">
        <w:rPr>
          <w:lang w:val="pl-PL"/>
        </w:rPr>
        <w:tab/>
      </w:r>
      <w:r w:rsidRPr="00275D64">
        <w:rPr>
          <w:b/>
          <w:lang w:val="pl-PL"/>
        </w:rPr>
        <w:t>NAZWA I ADRES PODMIOTU ODPOWIEDZIALNEGO</w:t>
      </w:r>
    </w:p>
    <w:p w14:paraId="4ED65145" w14:textId="77777777" w:rsidR="0059552A" w:rsidRPr="00275D64" w:rsidRDefault="0059552A" w:rsidP="00496272">
      <w:pPr>
        <w:rPr>
          <w:szCs w:val="22"/>
          <w:lang w:val="pl-PL"/>
        </w:rPr>
      </w:pPr>
    </w:p>
    <w:p w14:paraId="102A54B7" w14:textId="77777777" w:rsidR="00B13EA3" w:rsidRPr="004E70A1" w:rsidRDefault="00B13EA3" w:rsidP="00B13EA3">
      <w:pPr>
        <w:tabs>
          <w:tab w:val="clear" w:pos="567"/>
        </w:tabs>
        <w:rPr>
          <w:lang w:val="pl-PL"/>
        </w:rPr>
      </w:pPr>
      <w:r w:rsidRPr="004E70A1">
        <w:rPr>
          <w:lang w:val="pl-PL"/>
        </w:rPr>
        <w:t>Theramex Ireland Limited</w:t>
      </w:r>
    </w:p>
    <w:p w14:paraId="4300BB2F" w14:textId="666E3DC0" w:rsidR="00B13EA3" w:rsidRPr="004E70A1" w:rsidRDefault="000D14EB" w:rsidP="00B13EA3">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w:t>
      </w:r>
      <w:r>
        <w:rPr>
          <w:rFonts w:cs="Verdana"/>
          <w:color w:val="000000"/>
        </w:rPr>
        <w:t xml:space="preserve"> </w:t>
      </w:r>
      <w:r w:rsidR="00B13EA3" w:rsidRPr="004E70A1">
        <w:rPr>
          <w:lang w:val="en-US"/>
        </w:rPr>
        <w:t>Kilmore House,</w:t>
      </w:r>
    </w:p>
    <w:p w14:paraId="0E19D797" w14:textId="77777777" w:rsidR="00B13EA3" w:rsidRPr="004E70A1" w:rsidRDefault="00B13EA3" w:rsidP="00B13EA3">
      <w:pPr>
        <w:tabs>
          <w:tab w:val="clear" w:pos="567"/>
        </w:tabs>
        <w:rPr>
          <w:lang w:val="en-US"/>
        </w:rPr>
      </w:pPr>
      <w:r w:rsidRPr="004E70A1">
        <w:rPr>
          <w:lang w:val="en-US"/>
        </w:rPr>
        <w:t>Park Lane, Spencer Dock,</w:t>
      </w:r>
    </w:p>
    <w:p w14:paraId="10706359" w14:textId="77777777" w:rsidR="00B13EA3" w:rsidRPr="004E70A1" w:rsidRDefault="00B13EA3" w:rsidP="00B13EA3">
      <w:pPr>
        <w:tabs>
          <w:tab w:val="clear" w:pos="567"/>
        </w:tabs>
        <w:rPr>
          <w:lang w:val="pl-PL"/>
        </w:rPr>
      </w:pPr>
      <w:r w:rsidRPr="004E70A1">
        <w:rPr>
          <w:lang w:val="pl-PL"/>
        </w:rPr>
        <w:t>Dublin 1</w:t>
      </w:r>
    </w:p>
    <w:p w14:paraId="429FF63E" w14:textId="77777777" w:rsidR="00B13EA3" w:rsidRPr="004E70A1" w:rsidRDefault="00B13EA3" w:rsidP="00B13EA3">
      <w:pPr>
        <w:tabs>
          <w:tab w:val="clear" w:pos="567"/>
        </w:tabs>
        <w:rPr>
          <w:lang w:val="pl-PL"/>
        </w:rPr>
      </w:pPr>
      <w:r w:rsidRPr="004E70A1">
        <w:rPr>
          <w:lang w:val="pl-PL"/>
        </w:rPr>
        <w:t>D01 YE64</w:t>
      </w:r>
    </w:p>
    <w:p w14:paraId="0DB6891C" w14:textId="77777777" w:rsidR="00B13EA3" w:rsidRPr="00275D64" w:rsidRDefault="00B13EA3" w:rsidP="00B13EA3">
      <w:pPr>
        <w:tabs>
          <w:tab w:val="clear" w:pos="567"/>
        </w:tabs>
        <w:rPr>
          <w:color w:val="000000"/>
          <w:szCs w:val="22"/>
          <w:lang w:val="pl-PL"/>
        </w:rPr>
      </w:pPr>
      <w:r w:rsidRPr="004E70A1">
        <w:rPr>
          <w:lang w:val="pl-PL"/>
        </w:rPr>
        <w:t>Irlandia</w:t>
      </w:r>
    </w:p>
    <w:p w14:paraId="7638371F" w14:textId="77777777" w:rsidR="0059552A" w:rsidRPr="00275D64" w:rsidRDefault="0059552A" w:rsidP="00B13EA3">
      <w:pPr>
        <w:tabs>
          <w:tab w:val="clear" w:pos="567"/>
        </w:tabs>
        <w:rPr>
          <w:szCs w:val="22"/>
          <w:lang w:val="pl-PL"/>
        </w:rPr>
      </w:pPr>
    </w:p>
    <w:p w14:paraId="65A793E0" w14:textId="77777777" w:rsidR="0059552A" w:rsidRPr="00275D64" w:rsidRDefault="0059552A" w:rsidP="00496272">
      <w:pPr>
        <w:rPr>
          <w:szCs w:val="22"/>
          <w:lang w:val="pl-PL"/>
        </w:rPr>
      </w:pPr>
    </w:p>
    <w:p w14:paraId="68E0DCB4"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szCs w:val="22"/>
          <w:lang w:val="pl-PL"/>
        </w:rPr>
      </w:pPr>
      <w:r w:rsidRPr="00275D64">
        <w:rPr>
          <w:b/>
          <w:lang w:val="pl-PL"/>
        </w:rPr>
        <w:t>12.</w:t>
      </w:r>
      <w:r w:rsidRPr="00275D64">
        <w:rPr>
          <w:lang w:val="pl-PL"/>
        </w:rPr>
        <w:tab/>
      </w:r>
      <w:r w:rsidRPr="00275D64">
        <w:rPr>
          <w:b/>
          <w:lang w:val="pl-PL"/>
        </w:rPr>
        <w:t>NUMER POZWOLENIA (NUMERY POZWOLEŃ) NA DOPUSZCZENIE DO OBROTU</w:t>
      </w:r>
    </w:p>
    <w:p w14:paraId="157FC78D" w14:textId="77777777" w:rsidR="0059552A" w:rsidRPr="00275D64" w:rsidRDefault="0059552A" w:rsidP="00496272">
      <w:pPr>
        <w:rPr>
          <w:szCs w:val="22"/>
          <w:lang w:val="pl-PL"/>
        </w:rPr>
      </w:pPr>
    </w:p>
    <w:p w14:paraId="62171DC0" w14:textId="77777777" w:rsidR="0059552A" w:rsidRPr="004E70A1" w:rsidRDefault="0059552A" w:rsidP="00496272">
      <w:pPr>
        <w:outlineLvl w:val="0"/>
        <w:rPr>
          <w:szCs w:val="22"/>
          <w:lang w:val="nb-NO"/>
        </w:rPr>
      </w:pPr>
      <w:r w:rsidRPr="004E70A1">
        <w:rPr>
          <w:lang w:val="nb-NO"/>
        </w:rPr>
        <w:t>EU/</w:t>
      </w:r>
      <w:r w:rsidRPr="004E70A1">
        <w:rPr>
          <w:szCs w:val="22"/>
          <w:lang w:val="nb-NO"/>
        </w:rPr>
        <w:t>1/13/871/003</w:t>
      </w:r>
    </w:p>
    <w:p w14:paraId="2BDD2B10" w14:textId="77777777" w:rsidR="0059552A" w:rsidRPr="004E70A1" w:rsidRDefault="0059552A" w:rsidP="00496272">
      <w:pPr>
        <w:rPr>
          <w:szCs w:val="22"/>
          <w:lang w:val="nb-NO"/>
        </w:rPr>
      </w:pPr>
    </w:p>
    <w:p w14:paraId="5EC9D642" w14:textId="77777777" w:rsidR="0059552A" w:rsidRPr="004E70A1" w:rsidRDefault="0059552A" w:rsidP="00496272">
      <w:pPr>
        <w:rPr>
          <w:szCs w:val="22"/>
          <w:lang w:val="nb-NO"/>
        </w:rPr>
      </w:pPr>
    </w:p>
    <w:p w14:paraId="002D8CD4" w14:textId="77777777" w:rsidR="0059552A" w:rsidRPr="004E70A1" w:rsidRDefault="0059552A" w:rsidP="00496272">
      <w:pPr>
        <w:pBdr>
          <w:top w:val="single" w:sz="4" w:space="1" w:color="auto"/>
          <w:left w:val="single" w:sz="4" w:space="4" w:color="auto"/>
          <w:bottom w:val="single" w:sz="4" w:space="1" w:color="auto"/>
          <w:right w:val="single" w:sz="4" w:space="4" w:color="auto"/>
        </w:pBdr>
        <w:outlineLvl w:val="0"/>
        <w:rPr>
          <w:szCs w:val="22"/>
          <w:lang w:val="nb-NO"/>
        </w:rPr>
      </w:pPr>
      <w:r w:rsidRPr="004E70A1">
        <w:rPr>
          <w:b/>
          <w:lang w:val="nb-NO"/>
        </w:rPr>
        <w:t>13.</w:t>
      </w:r>
      <w:r w:rsidRPr="004E70A1">
        <w:rPr>
          <w:lang w:val="nb-NO"/>
        </w:rPr>
        <w:tab/>
      </w:r>
      <w:r w:rsidRPr="004E70A1">
        <w:rPr>
          <w:b/>
          <w:lang w:val="nb-NO"/>
        </w:rPr>
        <w:t>NUMER SERII</w:t>
      </w:r>
    </w:p>
    <w:p w14:paraId="6E80553D" w14:textId="77777777" w:rsidR="0059552A" w:rsidRPr="004E70A1" w:rsidRDefault="0059552A" w:rsidP="00496272">
      <w:pPr>
        <w:rPr>
          <w:szCs w:val="22"/>
          <w:lang w:val="nb-NO"/>
        </w:rPr>
      </w:pPr>
    </w:p>
    <w:p w14:paraId="4C52F627" w14:textId="77777777" w:rsidR="0059552A" w:rsidRPr="004E70A1" w:rsidRDefault="0059552A" w:rsidP="00496272">
      <w:pPr>
        <w:rPr>
          <w:szCs w:val="22"/>
          <w:lang w:val="nb-NO"/>
        </w:rPr>
      </w:pPr>
      <w:r w:rsidRPr="004E70A1">
        <w:rPr>
          <w:lang w:val="nb-NO"/>
        </w:rPr>
        <w:t>Nr serii (Lot)</w:t>
      </w:r>
    </w:p>
    <w:p w14:paraId="25BA1B19" w14:textId="77777777" w:rsidR="0059552A" w:rsidRPr="004E70A1" w:rsidRDefault="0059552A" w:rsidP="00496272">
      <w:pPr>
        <w:rPr>
          <w:szCs w:val="22"/>
          <w:lang w:val="nb-NO"/>
        </w:rPr>
      </w:pPr>
    </w:p>
    <w:p w14:paraId="6FAE5B41" w14:textId="77777777" w:rsidR="0059552A" w:rsidRPr="004E70A1" w:rsidRDefault="0059552A" w:rsidP="00496272">
      <w:pPr>
        <w:rPr>
          <w:szCs w:val="22"/>
          <w:lang w:val="nb-NO"/>
        </w:rPr>
      </w:pPr>
    </w:p>
    <w:p w14:paraId="0EEFD044"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szCs w:val="22"/>
          <w:lang w:val="pl-PL"/>
        </w:rPr>
      </w:pPr>
      <w:r w:rsidRPr="00275D64">
        <w:rPr>
          <w:b/>
          <w:lang w:val="pl-PL"/>
        </w:rPr>
        <w:t>14.</w:t>
      </w:r>
      <w:r w:rsidRPr="00275D64">
        <w:rPr>
          <w:lang w:val="pl-PL"/>
        </w:rPr>
        <w:tab/>
      </w:r>
      <w:r w:rsidRPr="00275D64">
        <w:rPr>
          <w:b/>
          <w:lang w:val="pl-PL"/>
        </w:rPr>
        <w:t>OGÓLNA KATEGORIA DOSTĘPNOŚCI</w:t>
      </w:r>
    </w:p>
    <w:p w14:paraId="211579BA" w14:textId="77777777" w:rsidR="0059552A" w:rsidRPr="00275D64" w:rsidRDefault="0059552A" w:rsidP="00496272">
      <w:pPr>
        <w:rPr>
          <w:i/>
          <w:szCs w:val="22"/>
          <w:lang w:val="pl-PL"/>
        </w:rPr>
      </w:pPr>
    </w:p>
    <w:p w14:paraId="1C559F81" w14:textId="77777777" w:rsidR="0059552A" w:rsidRPr="00275D64" w:rsidRDefault="0059552A" w:rsidP="00496272">
      <w:pPr>
        <w:rPr>
          <w:szCs w:val="22"/>
          <w:lang w:val="pl-PL"/>
        </w:rPr>
      </w:pPr>
    </w:p>
    <w:p w14:paraId="1BD4EB90" w14:textId="77777777" w:rsidR="0059552A" w:rsidRPr="00275D64" w:rsidRDefault="0059552A" w:rsidP="00496272">
      <w:pPr>
        <w:pBdr>
          <w:top w:val="single" w:sz="4" w:space="2" w:color="auto"/>
          <w:left w:val="single" w:sz="4" w:space="4" w:color="auto"/>
          <w:bottom w:val="single" w:sz="4" w:space="1" w:color="auto"/>
          <w:right w:val="single" w:sz="4" w:space="4" w:color="auto"/>
        </w:pBdr>
        <w:outlineLvl w:val="0"/>
        <w:rPr>
          <w:szCs w:val="22"/>
          <w:lang w:val="pl-PL"/>
        </w:rPr>
      </w:pPr>
      <w:r w:rsidRPr="00275D64">
        <w:rPr>
          <w:b/>
          <w:lang w:val="pl-PL"/>
        </w:rPr>
        <w:t>15.</w:t>
      </w:r>
      <w:r w:rsidRPr="00275D64">
        <w:rPr>
          <w:lang w:val="pl-PL"/>
        </w:rPr>
        <w:tab/>
      </w:r>
      <w:r w:rsidRPr="00275D64">
        <w:rPr>
          <w:b/>
          <w:lang w:val="pl-PL"/>
        </w:rPr>
        <w:t>INSTRUKCJA UŻYCIA</w:t>
      </w:r>
    </w:p>
    <w:p w14:paraId="525DA2AB" w14:textId="77777777" w:rsidR="0059552A" w:rsidRPr="00275D64" w:rsidRDefault="0059552A" w:rsidP="00496272">
      <w:pPr>
        <w:rPr>
          <w:szCs w:val="22"/>
          <w:lang w:val="pl-PL"/>
        </w:rPr>
      </w:pPr>
    </w:p>
    <w:p w14:paraId="6D364C2A" w14:textId="77777777" w:rsidR="0059552A" w:rsidRPr="00275D64" w:rsidRDefault="0059552A" w:rsidP="00496272">
      <w:pPr>
        <w:rPr>
          <w:szCs w:val="22"/>
          <w:lang w:val="pl-PL"/>
        </w:rPr>
      </w:pPr>
    </w:p>
    <w:p w14:paraId="5714E37D" w14:textId="77777777" w:rsidR="0059552A" w:rsidRPr="00275D64" w:rsidRDefault="0059552A" w:rsidP="00496272">
      <w:pPr>
        <w:pBdr>
          <w:top w:val="single" w:sz="4" w:space="1" w:color="auto"/>
          <w:left w:val="single" w:sz="4" w:space="4" w:color="auto"/>
          <w:bottom w:val="single" w:sz="4" w:space="0" w:color="auto"/>
          <w:right w:val="single" w:sz="4" w:space="4" w:color="auto"/>
        </w:pBdr>
        <w:rPr>
          <w:szCs w:val="22"/>
          <w:lang w:val="pl-PL"/>
        </w:rPr>
      </w:pPr>
      <w:r w:rsidRPr="00275D64">
        <w:rPr>
          <w:b/>
          <w:lang w:val="pl-PL"/>
        </w:rPr>
        <w:t>16.</w:t>
      </w:r>
      <w:r w:rsidRPr="00275D64">
        <w:rPr>
          <w:lang w:val="pl-PL"/>
        </w:rPr>
        <w:tab/>
      </w:r>
      <w:r w:rsidRPr="00275D64">
        <w:rPr>
          <w:b/>
          <w:lang w:val="pl-PL"/>
        </w:rPr>
        <w:t>INFORMACJA PODANA SYSTEMEM BRAILLE’A</w:t>
      </w:r>
    </w:p>
    <w:p w14:paraId="5768128B" w14:textId="77777777" w:rsidR="0059552A" w:rsidRPr="00275D64" w:rsidRDefault="0059552A" w:rsidP="00496272">
      <w:pPr>
        <w:rPr>
          <w:szCs w:val="22"/>
          <w:lang w:val="pl-PL"/>
        </w:rPr>
      </w:pPr>
    </w:p>
    <w:p w14:paraId="4E9C3A0F" w14:textId="77777777" w:rsidR="0059552A" w:rsidRPr="00275D64" w:rsidRDefault="0059552A" w:rsidP="00F407DA">
      <w:pPr>
        <w:rPr>
          <w:noProof/>
          <w:szCs w:val="22"/>
          <w:shd w:val="clear" w:color="auto" w:fill="CCCCCC"/>
          <w:lang w:val="pl-PL" w:eastAsia="pl-PL"/>
        </w:rPr>
      </w:pPr>
      <w:r w:rsidRPr="00275D64">
        <w:rPr>
          <w:color w:val="000000"/>
          <w:lang w:val="pl-PL"/>
        </w:rPr>
        <w:t>Ovaleap 900 j.m./1,5 ml</w:t>
      </w:r>
    </w:p>
    <w:p w14:paraId="5A6C29F0" w14:textId="77777777" w:rsidR="0059552A" w:rsidRPr="00275D64" w:rsidRDefault="0059552A" w:rsidP="00F407DA">
      <w:pPr>
        <w:rPr>
          <w:noProof/>
          <w:szCs w:val="22"/>
          <w:shd w:val="clear" w:color="auto" w:fill="CCCCCC"/>
          <w:lang w:val="pl-PL" w:eastAsia="pl-PL"/>
        </w:rPr>
      </w:pPr>
    </w:p>
    <w:p w14:paraId="0291C9E3" w14:textId="77777777" w:rsidR="0059552A" w:rsidRPr="00275D64" w:rsidRDefault="0059552A" w:rsidP="00F407DA">
      <w:pPr>
        <w:rPr>
          <w:noProof/>
          <w:szCs w:val="22"/>
          <w:shd w:val="clear" w:color="auto" w:fill="CCCCCC"/>
          <w:lang w:val="pl-PL" w:eastAsia="pl-PL"/>
        </w:rPr>
      </w:pPr>
    </w:p>
    <w:p w14:paraId="2DFAB9F2" w14:textId="77777777" w:rsidR="0059552A" w:rsidRPr="00275D64" w:rsidRDefault="0059552A" w:rsidP="00F407DA">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pl-PL" w:eastAsia="pl-PL"/>
        </w:rPr>
      </w:pPr>
      <w:r w:rsidRPr="00275D64">
        <w:rPr>
          <w:b/>
          <w:noProof/>
          <w:lang w:val="pl-PL" w:eastAsia="pl-PL"/>
        </w:rPr>
        <w:t>17.</w:t>
      </w:r>
      <w:r w:rsidRPr="00275D64">
        <w:rPr>
          <w:b/>
          <w:noProof/>
          <w:lang w:val="pl-PL" w:eastAsia="pl-PL"/>
        </w:rPr>
        <w:tab/>
        <w:t>NIEPOWTARZALNY IDENTYFIKATOR – KOD 2D</w:t>
      </w:r>
    </w:p>
    <w:p w14:paraId="06BC4067" w14:textId="77777777" w:rsidR="0059552A" w:rsidRPr="00275D64" w:rsidRDefault="0059552A" w:rsidP="00F407DA">
      <w:pPr>
        <w:tabs>
          <w:tab w:val="clear" w:pos="567"/>
        </w:tabs>
        <w:rPr>
          <w:noProof/>
          <w:lang w:val="pl-PL" w:eastAsia="pl-PL"/>
        </w:rPr>
      </w:pPr>
    </w:p>
    <w:p w14:paraId="7EFF5E78" w14:textId="77777777" w:rsidR="0059552A" w:rsidRPr="00275D64" w:rsidRDefault="0059552A" w:rsidP="00F407DA">
      <w:pPr>
        <w:rPr>
          <w:noProof/>
          <w:szCs w:val="22"/>
          <w:shd w:val="clear" w:color="auto" w:fill="CCCCCC"/>
          <w:lang w:val="pl-PL" w:eastAsia="pl-PL"/>
        </w:rPr>
      </w:pPr>
      <w:r w:rsidRPr="00275D64">
        <w:rPr>
          <w:noProof/>
          <w:highlight w:val="lightGray"/>
          <w:lang w:val="pl-PL" w:eastAsia="pl-PL"/>
        </w:rPr>
        <w:t>Obejmuje kod 2D będący nośnikiem niepowtarzalnego identyfikatora.</w:t>
      </w:r>
    </w:p>
    <w:p w14:paraId="25D8247F" w14:textId="77777777" w:rsidR="0059552A" w:rsidRPr="00275D64" w:rsidRDefault="0059552A" w:rsidP="00F407DA">
      <w:pPr>
        <w:tabs>
          <w:tab w:val="clear" w:pos="567"/>
        </w:tabs>
        <w:rPr>
          <w:noProof/>
          <w:lang w:val="pl-PL" w:eastAsia="pl-PL"/>
        </w:rPr>
      </w:pPr>
    </w:p>
    <w:p w14:paraId="6FFCDC33" w14:textId="77777777" w:rsidR="0059552A" w:rsidRPr="00275D64" w:rsidRDefault="0059552A" w:rsidP="00F407DA">
      <w:pPr>
        <w:tabs>
          <w:tab w:val="clear" w:pos="567"/>
        </w:tabs>
        <w:rPr>
          <w:noProof/>
          <w:lang w:val="pl-PL" w:eastAsia="pl-PL"/>
        </w:rPr>
      </w:pPr>
    </w:p>
    <w:p w14:paraId="529875FB" w14:textId="77777777" w:rsidR="0059552A" w:rsidRPr="00275D64" w:rsidRDefault="0059552A" w:rsidP="00F407DA">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pl-PL" w:eastAsia="pl-PL"/>
        </w:rPr>
      </w:pPr>
      <w:r w:rsidRPr="00275D64">
        <w:rPr>
          <w:b/>
          <w:noProof/>
          <w:lang w:val="pl-PL" w:eastAsia="pl-PL"/>
        </w:rPr>
        <w:t>18.</w:t>
      </w:r>
      <w:r w:rsidRPr="00275D64">
        <w:rPr>
          <w:b/>
          <w:noProof/>
          <w:lang w:val="pl-PL" w:eastAsia="pl-PL"/>
        </w:rPr>
        <w:tab/>
        <w:t>NIEPOWTARZALNY IDENTYFIKATOR – DANE CZYTELNE DLA CZŁOWIEKA</w:t>
      </w:r>
    </w:p>
    <w:p w14:paraId="3DF2F5ED" w14:textId="77777777" w:rsidR="0059552A" w:rsidRPr="00275D64" w:rsidRDefault="0059552A" w:rsidP="00F407DA">
      <w:pPr>
        <w:tabs>
          <w:tab w:val="clear" w:pos="567"/>
        </w:tabs>
        <w:rPr>
          <w:noProof/>
          <w:lang w:val="pl-PL" w:eastAsia="pl-PL"/>
        </w:rPr>
      </w:pPr>
    </w:p>
    <w:p w14:paraId="2CD15379" w14:textId="77777777" w:rsidR="0059552A" w:rsidRPr="00275D64" w:rsidRDefault="0059552A" w:rsidP="00F407DA">
      <w:pPr>
        <w:spacing w:line="260" w:lineRule="exact"/>
        <w:rPr>
          <w:color w:val="000000"/>
          <w:szCs w:val="22"/>
          <w:lang w:val="pl-PL" w:eastAsia="pl-PL"/>
        </w:rPr>
      </w:pPr>
      <w:r w:rsidRPr="00275D64">
        <w:rPr>
          <w:lang w:val="pl-PL" w:eastAsia="pl-PL"/>
        </w:rPr>
        <w:t>PC:</w:t>
      </w:r>
    </w:p>
    <w:p w14:paraId="757C22A5" w14:textId="77777777" w:rsidR="0059552A" w:rsidRPr="00275D64" w:rsidRDefault="0059552A" w:rsidP="00F407DA">
      <w:pPr>
        <w:spacing w:line="260" w:lineRule="exact"/>
        <w:rPr>
          <w:szCs w:val="22"/>
          <w:lang w:val="pl-PL" w:eastAsia="pl-PL"/>
        </w:rPr>
      </w:pPr>
      <w:r w:rsidRPr="00275D64">
        <w:rPr>
          <w:lang w:val="pl-PL" w:eastAsia="pl-PL"/>
        </w:rPr>
        <w:t>SN:</w:t>
      </w:r>
    </w:p>
    <w:p w14:paraId="3649FE0A" w14:textId="77777777" w:rsidR="0059552A" w:rsidRPr="00275D64" w:rsidRDefault="0059552A" w:rsidP="00F407DA">
      <w:pPr>
        <w:autoSpaceDE w:val="0"/>
        <w:autoSpaceDN w:val="0"/>
        <w:adjustRightInd w:val="0"/>
        <w:jc w:val="both"/>
        <w:rPr>
          <w:lang w:val="pl-PL" w:eastAsia="pl-PL"/>
        </w:rPr>
      </w:pPr>
      <w:r w:rsidRPr="00275D64">
        <w:rPr>
          <w:lang w:val="pl-PL" w:eastAsia="pl-PL"/>
        </w:rPr>
        <w:t>NN:</w:t>
      </w:r>
    </w:p>
    <w:p w14:paraId="4FA3A744" w14:textId="77777777" w:rsidR="0059552A" w:rsidRPr="00275D64" w:rsidRDefault="0059552A" w:rsidP="00496272">
      <w:pPr>
        <w:autoSpaceDE w:val="0"/>
        <w:autoSpaceDN w:val="0"/>
        <w:adjustRightInd w:val="0"/>
        <w:jc w:val="both"/>
        <w:rPr>
          <w:color w:val="000000"/>
          <w:szCs w:val="22"/>
          <w:lang w:val="pl-PL"/>
        </w:rPr>
      </w:pPr>
    </w:p>
    <w:p w14:paraId="5454A92E"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r w:rsidRPr="00275D64">
        <w:rPr>
          <w:lang w:val="pl-PL"/>
        </w:rPr>
        <w:br w:type="page"/>
      </w:r>
      <w:r w:rsidRPr="00275D64">
        <w:rPr>
          <w:b/>
          <w:lang w:val="pl-PL"/>
        </w:rPr>
        <w:lastRenderedPageBreak/>
        <w:t>MINIMUM INFORMACJI ZAMIESZCZANYCH NA MAŁYCH OPAKOWANIACH BEZPOŚREDNICH</w:t>
      </w:r>
    </w:p>
    <w:p w14:paraId="4EEB1C82"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p>
    <w:p w14:paraId="2CB1760D"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r w:rsidRPr="00275D64">
        <w:rPr>
          <w:b/>
          <w:lang w:val="pl-PL"/>
        </w:rPr>
        <w:t>WKŁAD</w:t>
      </w:r>
    </w:p>
    <w:p w14:paraId="2F0AADDC" w14:textId="77777777" w:rsidR="0059552A" w:rsidRPr="00275D64" w:rsidRDefault="0059552A" w:rsidP="00496272">
      <w:pPr>
        <w:rPr>
          <w:szCs w:val="22"/>
          <w:lang w:val="pl-PL"/>
        </w:rPr>
      </w:pPr>
    </w:p>
    <w:p w14:paraId="47BCA24B" w14:textId="77777777" w:rsidR="0059552A" w:rsidRPr="00275D64" w:rsidRDefault="0059552A" w:rsidP="00496272">
      <w:pPr>
        <w:rPr>
          <w:szCs w:val="22"/>
          <w:lang w:val="pl-PL"/>
        </w:rPr>
      </w:pPr>
    </w:p>
    <w:p w14:paraId="2AAAFB21"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1.</w:t>
      </w:r>
      <w:r w:rsidRPr="00275D64">
        <w:rPr>
          <w:lang w:val="pl-PL"/>
        </w:rPr>
        <w:tab/>
      </w:r>
      <w:r w:rsidRPr="00275D64">
        <w:rPr>
          <w:b/>
          <w:lang w:val="pl-PL"/>
        </w:rPr>
        <w:t>NAZWA PRODUKTU LECZNICZEGO I DROGA(DROGI) PODANIA</w:t>
      </w:r>
    </w:p>
    <w:p w14:paraId="7C70D955" w14:textId="77777777" w:rsidR="0059552A" w:rsidRPr="00275D64" w:rsidRDefault="0059552A" w:rsidP="00496272">
      <w:pPr>
        <w:ind w:left="567" w:hanging="567"/>
        <w:rPr>
          <w:szCs w:val="22"/>
          <w:lang w:val="pl-PL"/>
        </w:rPr>
      </w:pPr>
    </w:p>
    <w:p w14:paraId="104E8280"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Ovaleap 300 j.m./0,5 ml płyn do wstrzykiwań</w:t>
      </w:r>
    </w:p>
    <w:p w14:paraId="2EF11C47" w14:textId="77777777" w:rsidR="0059552A" w:rsidRPr="00275D64" w:rsidRDefault="0059552A" w:rsidP="00496272">
      <w:pPr>
        <w:rPr>
          <w:szCs w:val="22"/>
          <w:lang w:val="pl-PL"/>
        </w:rPr>
      </w:pPr>
    </w:p>
    <w:p w14:paraId="72D696F9" w14:textId="4B0E87A9" w:rsidR="0059552A" w:rsidRPr="00275D64" w:rsidRDefault="0059552A" w:rsidP="00496272">
      <w:pPr>
        <w:rPr>
          <w:szCs w:val="22"/>
          <w:lang w:val="pl-PL"/>
        </w:rPr>
      </w:pPr>
      <w:r w:rsidRPr="00275D64">
        <w:rPr>
          <w:color w:val="000000"/>
          <w:lang w:val="pl-PL"/>
        </w:rPr>
        <w:t>folitropina alfa</w:t>
      </w:r>
    </w:p>
    <w:p w14:paraId="2D6ABDBA" w14:textId="77777777" w:rsidR="0059552A" w:rsidRPr="00275D64" w:rsidRDefault="0059552A" w:rsidP="00496272">
      <w:pPr>
        <w:rPr>
          <w:szCs w:val="22"/>
          <w:lang w:val="pl-PL"/>
        </w:rPr>
      </w:pPr>
    </w:p>
    <w:p w14:paraId="72FD585E" w14:textId="77777777" w:rsidR="0059552A" w:rsidRPr="00275D64" w:rsidRDefault="0059552A" w:rsidP="00496272">
      <w:pPr>
        <w:rPr>
          <w:szCs w:val="22"/>
          <w:lang w:val="pl-PL"/>
        </w:rPr>
      </w:pPr>
      <w:r w:rsidRPr="00275D64">
        <w:rPr>
          <w:lang w:val="pl-PL"/>
        </w:rPr>
        <w:t>sc.</w:t>
      </w:r>
    </w:p>
    <w:p w14:paraId="7C33F925" w14:textId="77777777" w:rsidR="0059552A" w:rsidRPr="00275D64" w:rsidRDefault="0059552A" w:rsidP="00496272">
      <w:pPr>
        <w:rPr>
          <w:szCs w:val="22"/>
          <w:lang w:val="pl-PL"/>
        </w:rPr>
      </w:pPr>
    </w:p>
    <w:p w14:paraId="70E9E8F7" w14:textId="77777777" w:rsidR="0059552A" w:rsidRPr="00275D64" w:rsidRDefault="0059552A" w:rsidP="00496272">
      <w:pPr>
        <w:rPr>
          <w:szCs w:val="22"/>
          <w:lang w:val="pl-PL"/>
        </w:rPr>
      </w:pPr>
    </w:p>
    <w:p w14:paraId="589B348E"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2.</w:t>
      </w:r>
      <w:r w:rsidRPr="00275D64">
        <w:rPr>
          <w:lang w:val="pl-PL"/>
        </w:rPr>
        <w:tab/>
      </w:r>
      <w:r w:rsidRPr="00275D64">
        <w:rPr>
          <w:b/>
          <w:lang w:val="pl-PL"/>
        </w:rPr>
        <w:t>SPOSÓB PODAWANIA</w:t>
      </w:r>
    </w:p>
    <w:p w14:paraId="553C09EB" w14:textId="77777777" w:rsidR="0059552A" w:rsidRPr="00275D64" w:rsidRDefault="0059552A" w:rsidP="00496272">
      <w:pPr>
        <w:rPr>
          <w:szCs w:val="22"/>
          <w:lang w:val="pl-PL"/>
        </w:rPr>
      </w:pPr>
    </w:p>
    <w:p w14:paraId="7B557082" w14:textId="77777777" w:rsidR="0059552A" w:rsidRPr="00275D64" w:rsidRDefault="0059552A" w:rsidP="00496272">
      <w:pPr>
        <w:rPr>
          <w:szCs w:val="22"/>
          <w:lang w:val="pl-PL"/>
        </w:rPr>
      </w:pPr>
    </w:p>
    <w:p w14:paraId="17CA19E6" w14:textId="77777777" w:rsidR="0059552A" w:rsidRPr="00275D64" w:rsidRDefault="0059552A" w:rsidP="00496272">
      <w:pPr>
        <w:rPr>
          <w:szCs w:val="22"/>
          <w:lang w:val="pl-PL"/>
        </w:rPr>
      </w:pPr>
    </w:p>
    <w:p w14:paraId="3F504AF8"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3.</w:t>
      </w:r>
      <w:r w:rsidRPr="00275D64">
        <w:rPr>
          <w:lang w:val="pl-PL"/>
        </w:rPr>
        <w:tab/>
      </w:r>
      <w:r w:rsidRPr="00275D64">
        <w:rPr>
          <w:b/>
          <w:lang w:val="pl-PL"/>
        </w:rPr>
        <w:t>TERMIN WAŻNOŚCI</w:t>
      </w:r>
    </w:p>
    <w:p w14:paraId="0658F1B3" w14:textId="77777777" w:rsidR="0059552A" w:rsidRPr="00275D64" w:rsidRDefault="0059552A" w:rsidP="00496272">
      <w:pPr>
        <w:rPr>
          <w:szCs w:val="22"/>
          <w:lang w:val="pl-PL"/>
        </w:rPr>
      </w:pPr>
    </w:p>
    <w:p w14:paraId="1D3D1F32" w14:textId="77777777" w:rsidR="0059552A" w:rsidRPr="00275D64" w:rsidRDefault="0059552A" w:rsidP="00496272">
      <w:pPr>
        <w:rPr>
          <w:szCs w:val="22"/>
          <w:lang w:val="pl-PL"/>
        </w:rPr>
      </w:pPr>
      <w:r w:rsidRPr="00275D64">
        <w:rPr>
          <w:lang w:val="pl-PL"/>
        </w:rPr>
        <w:t>EXP</w:t>
      </w:r>
    </w:p>
    <w:p w14:paraId="4CE2795C" w14:textId="77777777" w:rsidR="0059552A" w:rsidRPr="00275D64" w:rsidRDefault="0059552A" w:rsidP="00496272">
      <w:pPr>
        <w:rPr>
          <w:szCs w:val="22"/>
          <w:lang w:val="pl-PL"/>
        </w:rPr>
      </w:pPr>
    </w:p>
    <w:p w14:paraId="2756A11B" w14:textId="77777777" w:rsidR="0059552A" w:rsidRPr="00275D64" w:rsidRDefault="0059552A" w:rsidP="00496272">
      <w:pPr>
        <w:rPr>
          <w:szCs w:val="22"/>
          <w:lang w:val="pl-PL"/>
        </w:rPr>
      </w:pPr>
    </w:p>
    <w:p w14:paraId="416F44C0"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4.</w:t>
      </w:r>
      <w:r w:rsidRPr="00275D64">
        <w:rPr>
          <w:lang w:val="pl-PL"/>
        </w:rPr>
        <w:tab/>
      </w:r>
      <w:r w:rsidRPr="00275D64">
        <w:rPr>
          <w:b/>
          <w:lang w:val="pl-PL"/>
        </w:rPr>
        <w:t>NUMER SERII</w:t>
      </w:r>
    </w:p>
    <w:p w14:paraId="64AD5F93" w14:textId="77777777" w:rsidR="0059552A" w:rsidRPr="00275D64" w:rsidRDefault="0059552A" w:rsidP="00496272">
      <w:pPr>
        <w:ind w:right="113"/>
        <w:rPr>
          <w:szCs w:val="22"/>
          <w:lang w:val="pl-PL"/>
        </w:rPr>
      </w:pPr>
    </w:p>
    <w:p w14:paraId="6A3884D5" w14:textId="77777777" w:rsidR="0059552A" w:rsidRPr="00275D64" w:rsidRDefault="0059552A" w:rsidP="00496272">
      <w:pPr>
        <w:ind w:right="113"/>
        <w:rPr>
          <w:szCs w:val="22"/>
          <w:lang w:val="pl-PL"/>
        </w:rPr>
      </w:pPr>
      <w:r w:rsidRPr="00275D64">
        <w:rPr>
          <w:lang w:val="pl-PL"/>
        </w:rPr>
        <w:t>Lot</w:t>
      </w:r>
    </w:p>
    <w:p w14:paraId="154CD7F1" w14:textId="77777777" w:rsidR="0059552A" w:rsidRPr="00275D64" w:rsidRDefault="0059552A" w:rsidP="00496272">
      <w:pPr>
        <w:ind w:right="113"/>
        <w:rPr>
          <w:szCs w:val="22"/>
          <w:lang w:val="pl-PL"/>
        </w:rPr>
      </w:pPr>
    </w:p>
    <w:p w14:paraId="4004F5FE" w14:textId="77777777" w:rsidR="0059552A" w:rsidRPr="00275D64" w:rsidRDefault="0059552A" w:rsidP="00496272">
      <w:pPr>
        <w:ind w:right="113"/>
        <w:rPr>
          <w:szCs w:val="22"/>
          <w:lang w:val="pl-PL"/>
        </w:rPr>
      </w:pPr>
    </w:p>
    <w:p w14:paraId="195DE904" w14:textId="77777777" w:rsidR="0059552A" w:rsidRPr="00275D64" w:rsidRDefault="0059552A" w:rsidP="00761675">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5.</w:t>
      </w:r>
      <w:r w:rsidRPr="00275D64">
        <w:rPr>
          <w:lang w:val="pl-PL"/>
        </w:rPr>
        <w:tab/>
      </w:r>
      <w:r w:rsidRPr="00275D64">
        <w:rPr>
          <w:b/>
          <w:lang w:val="pl-PL"/>
        </w:rPr>
        <w:t>ZAWARTOŚĆ OPAKOWANIA Z PODANIEM MASY, OBJĘTOŚCI LUB LICZBY JEDNOSTEK</w:t>
      </w:r>
    </w:p>
    <w:p w14:paraId="42C10CD4" w14:textId="77777777" w:rsidR="0059552A" w:rsidRPr="00275D64" w:rsidRDefault="0059552A" w:rsidP="00496272">
      <w:pPr>
        <w:ind w:right="113"/>
        <w:rPr>
          <w:szCs w:val="22"/>
          <w:lang w:val="pl-PL"/>
        </w:rPr>
      </w:pPr>
    </w:p>
    <w:p w14:paraId="0315FAB5" w14:textId="77777777" w:rsidR="0059552A" w:rsidRPr="00275D64" w:rsidRDefault="0059552A" w:rsidP="00496272">
      <w:pPr>
        <w:ind w:right="113"/>
        <w:rPr>
          <w:szCs w:val="22"/>
          <w:lang w:val="pl-PL"/>
        </w:rPr>
      </w:pPr>
      <w:r w:rsidRPr="00275D64">
        <w:rPr>
          <w:lang w:val="pl-PL"/>
        </w:rPr>
        <w:t>0,5 ml</w:t>
      </w:r>
    </w:p>
    <w:p w14:paraId="7D3FB57C" w14:textId="77777777" w:rsidR="0059552A" w:rsidRPr="00275D64" w:rsidRDefault="0059552A" w:rsidP="00496272">
      <w:pPr>
        <w:ind w:right="113"/>
        <w:rPr>
          <w:szCs w:val="22"/>
          <w:lang w:val="pl-PL"/>
        </w:rPr>
      </w:pPr>
    </w:p>
    <w:p w14:paraId="10225E0C" w14:textId="77777777" w:rsidR="0059552A" w:rsidRPr="00275D64" w:rsidRDefault="0059552A" w:rsidP="00496272">
      <w:pPr>
        <w:ind w:right="113"/>
        <w:rPr>
          <w:szCs w:val="22"/>
          <w:lang w:val="pl-PL"/>
        </w:rPr>
      </w:pPr>
    </w:p>
    <w:p w14:paraId="117EB07A"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6.</w:t>
      </w:r>
      <w:r w:rsidRPr="00275D64">
        <w:rPr>
          <w:lang w:val="pl-PL"/>
        </w:rPr>
        <w:tab/>
      </w:r>
      <w:r w:rsidRPr="00275D64">
        <w:rPr>
          <w:b/>
          <w:lang w:val="pl-PL"/>
        </w:rPr>
        <w:t>INNE</w:t>
      </w:r>
    </w:p>
    <w:p w14:paraId="4445020D" w14:textId="77777777" w:rsidR="0059552A" w:rsidRPr="00275D64" w:rsidRDefault="0059552A" w:rsidP="00496272">
      <w:pPr>
        <w:ind w:right="113"/>
        <w:rPr>
          <w:szCs w:val="22"/>
          <w:lang w:val="pl-PL"/>
        </w:rPr>
      </w:pPr>
    </w:p>
    <w:p w14:paraId="266C7C60" w14:textId="77777777" w:rsidR="0059552A" w:rsidRPr="00275D64" w:rsidRDefault="0059552A" w:rsidP="00496272">
      <w:pPr>
        <w:ind w:right="113"/>
        <w:rPr>
          <w:szCs w:val="22"/>
          <w:lang w:val="pl-PL"/>
        </w:rPr>
      </w:pPr>
    </w:p>
    <w:p w14:paraId="2AEC2593" w14:textId="77777777" w:rsidR="0059552A" w:rsidRPr="00275D64" w:rsidRDefault="0059552A" w:rsidP="00496272">
      <w:pPr>
        <w:ind w:right="113"/>
        <w:rPr>
          <w:szCs w:val="22"/>
          <w:lang w:val="pl-PL"/>
        </w:rPr>
      </w:pPr>
    </w:p>
    <w:p w14:paraId="406A42CE"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r w:rsidRPr="00275D64">
        <w:rPr>
          <w:lang w:val="pl-PL"/>
        </w:rPr>
        <w:br w:type="page"/>
      </w:r>
      <w:r w:rsidRPr="00275D64">
        <w:rPr>
          <w:b/>
          <w:lang w:val="pl-PL"/>
        </w:rPr>
        <w:lastRenderedPageBreak/>
        <w:t>MINIMUM INFORMACJI ZAMIESZCZANYCH NA MAŁYCH OPAKOWANIACH BEZPOŚREDNICH</w:t>
      </w:r>
    </w:p>
    <w:p w14:paraId="4791C0D6"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p>
    <w:p w14:paraId="3D9FB014"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r w:rsidRPr="00275D64">
        <w:rPr>
          <w:b/>
          <w:lang w:val="pl-PL"/>
        </w:rPr>
        <w:t>WKŁAD</w:t>
      </w:r>
    </w:p>
    <w:p w14:paraId="3232BD0B" w14:textId="77777777" w:rsidR="0059552A" w:rsidRPr="00275D64" w:rsidRDefault="0059552A" w:rsidP="00496272">
      <w:pPr>
        <w:rPr>
          <w:szCs w:val="22"/>
          <w:lang w:val="pl-PL"/>
        </w:rPr>
      </w:pPr>
    </w:p>
    <w:p w14:paraId="5F8B174D" w14:textId="77777777" w:rsidR="0059552A" w:rsidRPr="00275D64" w:rsidRDefault="0059552A" w:rsidP="00496272">
      <w:pPr>
        <w:rPr>
          <w:szCs w:val="22"/>
          <w:lang w:val="pl-PL"/>
        </w:rPr>
      </w:pPr>
    </w:p>
    <w:p w14:paraId="7609C9AC"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1.</w:t>
      </w:r>
      <w:r w:rsidRPr="00275D64">
        <w:rPr>
          <w:lang w:val="pl-PL"/>
        </w:rPr>
        <w:tab/>
      </w:r>
      <w:r w:rsidRPr="00275D64">
        <w:rPr>
          <w:b/>
          <w:lang w:val="pl-PL"/>
        </w:rPr>
        <w:t>NAZWA PRODUKTU LECZNICZEGO I DROGA(DROGI) PODANIA</w:t>
      </w:r>
    </w:p>
    <w:p w14:paraId="708AD07B" w14:textId="77777777" w:rsidR="0059552A" w:rsidRPr="00275D64" w:rsidRDefault="0059552A" w:rsidP="00496272">
      <w:pPr>
        <w:ind w:left="567" w:hanging="567"/>
        <w:rPr>
          <w:szCs w:val="22"/>
          <w:lang w:val="pl-PL"/>
        </w:rPr>
      </w:pPr>
    </w:p>
    <w:p w14:paraId="186CE869"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Ovaleap 450 j.m./0,75 ml płyn do wstrzykiwań</w:t>
      </w:r>
    </w:p>
    <w:p w14:paraId="251CC303" w14:textId="77777777" w:rsidR="0059552A" w:rsidRPr="00275D64" w:rsidRDefault="0059552A" w:rsidP="00496272">
      <w:pPr>
        <w:rPr>
          <w:szCs w:val="22"/>
          <w:lang w:val="pl-PL"/>
        </w:rPr>
      </w:pPr>
    </w:p>
    <w:p w14:paraId="5B720CC6" w14:textId="07772CB3" w:rsidR="0059552A" w:rsidRPr="00275D64" w:rsidRDefault="0059552A" w:rsidP="00496272">
      <w:pPr>
        <w:rPr>
          <w:szCs w:val="22"/>
          <w:lang w:val="pl-PL"/>
        </w:rPr>
      </w:pPr>
      <w:r w:rsidRPr="00275D64">
        <w:rPr>
          <w:color w:val="000000"/>
          <w:lang w:val="pl-PL"/>
        </w:rPr>
        <w:t>folitropina alfa</w:t>
      </w:r>
    </w:p>
    <w:p w14:paraId="4160FB18" w14:textId="77777777" w:rsidR="0059552A" w:rsidRPr="00275D64" w:rsidRDefault="0059552A" w:rsidP="00496272">
      <w:pPr>
        <w:rPr>
          <w:szCs w:val="22"/>
          <w:lang w:val="pl-PL"/>
        </w:rPr>
      </w:pPr>
    </w:p>
    <w:p w14:paraId="408DA887" w14:textId="77777777" w:rsidR="0059552A" w:rsidRPr="00275D64" w:rsidRDefault="0059552A" w:rsidP="00496272">
      <w:pPr>
        <w:rPr>
          <w:szCs w:val="22"/>
          <w:lang w:val="pl-PL"/>
        </w:rPr>
      </w:pPr>
      <w:r w:rsidRPr="00275D64">
        <w:rPr>
          <w:lang w:val="pl-PL"/>
        </w:rPr>
        <w:t>sc.</w:t>
      </w:r>
    </w:p>
    <w:p w14:paraId="15871099" w14:textId="77777777" w:rsidR="0059552A" w:rsidRPr="00275D64" w:rsidRDefault="0059552A" w:rsidP="00496272">
      <w:pPr>
        <w:rPr>
          <w:szCs w:val="22"/>
          <w:lang w:val="pl-PL"/>
        </w:rPr>
      </w:pPr>
    </w:p>
    <w:p w14:paraId="799470FB" w14:textId="77777777" w:rsidR="0059552A" w:rsidRPr="00275D64" w:rsidRDefault="0059552A" w:rsidP="00496272">
      <w:pPr>
        <w:rPr>
          <w:szCs w:val="22"/>
          <w:lang w:val="pl-PL"/>
        </w:rPr>
      </w:pPr>
    </w:p>
    <w:p w14:paraId="4EBF3E40"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2.</w:t>
      </w:r>
      <w:r w:rsidRPr="00275D64">
        <w:rPr>
          <w:lang w:val="pl-PL"/>
        </w:rPr>
        <w:tab/>
      </w:r>
      <w:r w:rsidRPr="00275D64">
        <w:rPr>
          <w:b/>
          <w:lang w:val="pl-PL"/>
        </w:rPr>
        <w:t>SPOSÓB PODAWANIA</w:t>
      </w:r>
    </w:p>
    <w:p w14:paraId="19C3FAD7" w14:textId="77777777" w:rsidR="0059552A" w:rsidRPr="00275D64" w:rsidRDefault="0059552A" w:rsidP="00496272">
      <w:pPr>
        <w:rPr>
          <w:szCs w:val="22"/>
          <w:lang w:val="pl-PL"/>
        </w:rPr>
      </w:pPr>
    </w:p>
    <w:p w14:paraId="0E7AB890" w14:textId="77777777" w:rsidR="0059552A" w:rsidRPr="00275D64" w:rsidRDefault="0059552A" w:rsidP="00496272">
      <w:pPr>
        <w:rPr>
          <w:szCs w:val="22"/>
          <w:lang w:val="pl-PL"/>
        </w:rPr>
      </w:pPr>
    </w:p>
    <w:p w14:paraId="15073778" w14:textId="77777777" w:rsidR="0059552A" w:rsidRPr="00275D64" w:rsidRDefault="0059552A" w:rsidP="00496272">
      <w:pPr>
        <w:rPr>
          <w:szCs w:val="22"/>
          <w:lang w:val="pl-PL"/>
        </w:rPr>
      </w:pPr>
    </w:p>
    <w:p w14:paraId="50E7B130"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3.</w:t>
      </w:r>
      <w:r w:rsidRPr="00275D64">
        <w:rPr>
          <w:lang w:val="pl-PL"/>
        </w:rPr>
        <w:tab/>
      </w:r>
      <w:r w:rsidRPr="00275D64">
        <w:rPr>
          <w:b/>
          <w:lang w:val="pl-PL"/>
        </w:rPr>
        <w:t>TERMIN WAŻNOŚCI</w:t>
      </w:r>
    </w:p>
    <w:p w14:paraId="638559EC" w14:textId="77777777" w:rsidR="0059552A" w:rsidRPr="00275D64" w:rsidRDefault="0059552A" w:rsidP="00496272">
      <w:pPr>
        <w:rPr>
          <w:szCs w:val="22"/>
          <w:lang w:val="pl-PL"/>
        </w:rPr>
      </w:pPr>
    </w:p>
    <w:p w14:paraId="0DD7AA9F" w14:textId="77777777" w:rsidR="0059552A" w:rsidRPr="00275D64" w:rsidRDefault="0059552A" w:rsidP="00496272">
      <w:pPr>
        <w:rPr>
          <w:szCs w:val="22"/>
          <w:lang w:val="pl-PL"/>
        </w:rPr>
      </w:pPr>
      <w:r w:rsidRPr="00275D64">
        <w:rPr>
          <w:lang w:val="pl-PL"/>
        </w:rPr>
        <w:t>EXP</w:t>
      </w:r>
    </w:p>
    <w:p w14:paraId="25B96137" w14:textId="77777777" w:rsidR="0059552A" w:rsidRPr="00275D64" w:rsidRDefault="0059552A" w:rsidP="00496272">
      <w:pPr>
        <w:rPr>
          <w:szCs w:val="22"/>
          <w:lang w:val="pl-PL"/>
        </w:rPr>
      </w:pPr>
    </w:p>
    <w:p w14:paraId="53D35172" w14:textId="77777777" w:rsidR="0059552A" w:rsidRPr="00275D64" w:rsidRDefault="0059552A" w:rsidP="00496272">
      <w:pPr>
        <w:rPr>
          <w:szCs w:val="22"/>
          <w:lang w:val="pl-PL"/>
        </w:rPr>
      </w:pPr>
    </w:p>
    <w:p w14:paraId="6CE873C7"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4.</w:t>
      </w:r>
      <w:r w:rsidRPr="00275D64">
        <w:rPr>
          <w:lang w:val="pl-PL"/>
        </w:rPr>
        <w:tab/>
      </w:r>
      <w:r w:rsidRPr="00275D64">
        <w:rPr>
          <w:b/>
          <w:lang w:val="pl-PL"/>
        </w:rPr>
        <w:t>NUMER SERII</w:t>
      </w:r>
    </w:p>
    <w:p w14:paraId="2CAE92AE" w14:textId="77777777" w:rsidR="0059552A" w:rsidRPr="00275D64" w:rsidRDefault="0059552A" w:rsidP="00496272">
      <w:pPr>
        <w:ind w:right="113"/>
        <w:rPr>
          <w:szCs w:val="22"/>
          <w:lang w:val="pl-PL"/>
        </w:rPr>
      </w:pPr>
    </w:p>
    <w:p w14:paraId="403DDA94" w14:textId="77777777" w:rsidR="0059552A" w:rsidRPr="00275D64" w:rsidRDefault="0059552A" w:rsidP="00496272">
      <w:pPr>
        <w:ind w:right="113"/>
        <w:rPr>
          <w:szCs w:val="22"/>
          <w:lang w:val="pl-PL"/>
        </w:rPr>
      </w:pPr>
      <w:r w:rsidRPr="00275D64">
        <w:rPr>
          <w:lang w:val="pl-PL"/>
        </w:rPr>
        <w:t>Lot</w:t>
      </w:r>
    </w:p>
    <w:p w14:paraId="1FF7308A" w14:textId="77777777" w:rsidR="0059552A" w:rsidRPr="00275D64" w:rsidRDefault="0059552A" w:rsidP="00496272">
      <w:pPr>
        <w:ind w:right="113"/>
        <w:rPr>
          <w:szCs w:val="22"/>
          <w:lang w:val="pl-PL"/>
        </w:rPr>
      </w:pPr>
    </w:p>
    <w:p w14:paraId="690DF0A0" w14:textId="77777777" w:rsidR="0059552A" w:rsidRPr="00275D64" w:rsidRDefault="0059552A" w:rsidP="00496272">
      <w:pPr>
        <w:ind w:right="113"/>
        <w:rPr>
          <w:szCs w:val="22"/>
          <w:lang w:val="pl-PL"/>
        </w:rPr>
      </w:pPr>
    </w:p>
    <w:p w14:paraId="56D529CD" w14:textId="77777777" w:rsidR="0059552A" w:rsidRPr="00275D64" w:rsidRDefault="0059552A" w:rsidP="00761675">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5.</w:t>
      </w:r>
      <w:r w:rsidRPr="00275D64">
        <w:rPr>
          <w:lang w:val="pl-PL"/>
        </w:rPr>
        <w:tab/>
      </w:r>
      <w:r w:rsidRPr="00275D64">
        <w:rPr>
          <w:b/>
          <w:lang w:val="pl-PL"/>
        </w:rPr>
        <w:t>ZAWARTOŚĆ OPAKOWANIA Z PODANIEM MASY, OBJĘTOŚCI LUB LICZBY JEDNOSTEK</w:t>
      </w:r>
    </w:p>
    <w:p w14:paraId="4AB18B18" w14:textId="77777777" w:rsidR="0059552A" w:rsidRPr="00275D64" w:rsidRDefault="0059552A" w:rsidP="00496272">
      <w:pPr>
        <w:ind w:right="113"/>
        <w:rPr>
          <w:szCs w:val="22"/>
          <w:lang w:val="pl-PL"/>
        </w:rPr>
      </w:pPr>
    </w:p>
    <w:p w14:paraId="1831E798" w14:textId="77777777" w:rsidR="0059552A" w:rsidRPr="00275D64" w:rsidRDefault="0059552A" w:rsidP="00496272">
      <w:pPr>
        <w:ind w:right="113"/>
        <w:rPr>
          <w:szCs w:val="22"/>
          <w:lang w:val="pl-PL"/>
        </w:rPr>
      </w:pPr>
      <w:r w:rsidRPr="00275D64">
        <w:rPr>
          <w:lang w:val="pl-PL"/>
        </w:rPr>
        <w:t>0,75 ml</w:t>
      </w:r>
    </w:p>
    <w:p w14:paraId="4D8E7DD2" w14:textId="77777777" w:rsidR="0059552A" w:rsidRPr="00275D64" w:rsidRDefault="0059552A" w:rsidP="00496272">
      <w:pPr>
        <w:ind w:right="113"/>
        <w:rPr>
          <w:szCs w:val="22"/>
          <w:lang w:val="pl-PL"/>
        </w:rPr>
      </w:pPr>
    </w:p>
    <w:p w14:paraId="6E7DC5B1" w14:textId="77777777" w:rsidR="0059552A" w:rsidRPr="00275D64" w:rsidRDefault="0059552A" w:rsidP="00496272">
      <w:pPr>
        <w:ind w:right="113"/>
        <w:rPr>
          <w:szCs w:val="22"/>
          <w:lang w:val="pl-PL"/>
        </w:rPr>
      </w:pPr>
    </w:p>
    <w:p w14:paraId="6A16006C"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6.</w:t>
      </w:r>
      <w:r w:rsidRPr="00275D64">
        <w:rPr>
          <w:lang w:val="pl-PL"/>
        </w:rPr>
        <w:tab/>
      </w:r>
      <w:r w:rsidRPr="00275D64">
        <w:rPr>
          <w:b/>
          <w:lang w:val="pl-PL"/>
        </w:rPr>
        <w:t>INNE</w:t>
      </w:r>
    </w:p>
    <w:p w14:paraId="691B2971" w14:textId="77777777" w:rsidR="0059552A" w:rsidRPr="00275D64" w:rsidRDefault="0059552A" w:rsidP="00496272">
      <w:pPr>
        <w:ind w:right="113"/>
        <w:rPr>
          <w:szCs w:val="22"/>
          <w:lang w:val="pl-PL"/>
        </w:rPr>
      </w:pPr>
    </w:p>
    <w:p w14:paraId="5211B7B4" w14:textId="77777777" w:rsidR="0059552A" w:rsidRPr="00275D64" w:rsidRDefault="0059552A" w:rsidP="00496272">
      <w:pPr>
        <w:ind w:right="113"/>
        <w:rPr>
          <w:szCs w:val="22"/>
          <w:lang w:val="pl-PL"/>
        </w:rPr>
      </w:pPr>
    </w:p>
    <w:p w14:paraId="0CC16490" w14:textId="77777777" w:rsidR="0059552A" w:rsidRPr="00275D64" w:rsidRDefault="0059552A" w:rsidP="00496272">
      <w:pPr>
        <w:ind w:right="113"/>
        <w:rPr>
          <w:szCs w:val="22"/>
          <w:lang w:val="pl-PL"/>
        </w:rPr>
      </w:pPr>
    </w:p>
    <w:p w14:paraId="723B9890"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r w:rsidRPr="00275D64">
        <w:rPr>
          <w:lang w:val="pl-PL"/>
        </w:rPr>
        <w:br w:type="page"/>
      </w:r>
      <w:r w:rsidRPr="00275D64">
        <w:rPr>
          <w:b/>
          <w:lang w:val="pl-PL"/>
        </w:rPr>
        <w:lastRenderedPageBreak/>
        <w:t>MINIMUM INFORMACJI ZAMIESZCZANYCH NA MAŁYCH OPAKOWANIACH BEZPOŚREDNICH</w:t>
      </w:r>
    </w:p>
    <w:p w14:paraId="7358CB9D"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p>
    <w:p w14:paraId="30883741" w14:textId="77777777" w:rsidR="0059552A" w:rsidRPr="00275D64" w:rsidRDefault="0059552A" w:rsidP="00496272">
      <w:pPr>
        <w:pBdr>
          <w:top w:val="single" w:sz="4" w:space="1" w:color="auto"/>
          <w:left w:val="single" w:sz="4" w:space="4" w:color="auto"/>
          <w:bottom w:val="single" w:sz="4" w:space="1" w:color="auto"/>
          <w:right w:val="single" w:sz="4" w:space="4" w:color="auto"/>
        </w:pBdr>
        <w:rPr>
          <w:b/>
          <w:szCs w:val="22"/>
          <w:lang w:val="pl-PL"/>
        </w:rPr>
      </w:pPr>
      <w:r w:rsidRPr="00275D64">
        <w:rPr>
          <w:b/>
          <w:lang w:val="pl-PL"/>
        </w:rPr>
        <w:t>WKŁAD</w:t>
      </w:r>
    </w:p>
    <w:p w14:paraId="74BC7DC5" w14:textId="77777777" w:rsidR="0059552A" w:rsidRPr="00275D64" w:rsidRDefault="0059552A" w:rsidP="00496272">
      <w:pPr>
        <w:rPr>
          <w:szCs w:val="22"/>
          <w:lang w:val="pl-PL"/>
        </w:rPr>
      </w:pPr>
    </w:p>
    <w:p w14:paraId="7E31E181" w14:textId="77777777" w:rsidR="0059552A" w:rsidRPr="00275D64" w:rsidRDefault="0059552A" w:rsidP="00496272">
      <w:pPr>
        <w:rPr>
          <w:szCs w:val="22"/>
          <w:lang w:val="pl-PL"/>
        </w:rPr>
      </w:pPr>
    </w:p>
    <w:p w14:paraId="5AA50447"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1.</w:t>
      </w:r>
      <w:r w:rsidRPr="00275D64">
        <w:rPr>
          <w:lang w:val="pl-PL"/>
        </w:rPr>
        <w:tab/>
      </w:r>
      <w:r w:rsidRPr="00275D64">
        <w:rPr>
          <w:b/>
          <w:lang w:val="pl-PL"/>
        </w:rPr>
        <w:t>NAZWA PRODUKTU LECZNICZEGO I DROGA(DROGI) PODANIA</w:t>
      </w:r>
    </w:p>
    <w:p w14:paraId="07A1FFB9" w14:textId="77777777" w:rsidR="0059552A" w:rsidRPr="00275D64" w:rsidRDefault="0059552A" w:rsidP="00496272">
      <w:pPr>
        <w:ind w:left="567" w:hanging="567"/>
        <w:rPr>
          <w:szCs w:val="22"/>
          <w:lang w:val="pl-PL"/>
        </w:rPr>
      </w:pPr>
    </w:p>
    <w:p w14:paraId="6CDC0D35" w14:textId="77777777" w:rsidR="0059552A" w:rsidRPr="00275D64" w:rsidRDefault="0059552A" w:rsidP="00496272">
      <w:pPr>
        <w:autoSpaceDE w:val="0"/>
        <w:autoSpaceDN w:val="0"/>
        <w:adjustRightInd w:val="0"/>
        <w:jc w:val="both"/>
        <w:rPr>
          <w:color w:val="000000"/>
          <w:szCs w:val="22"/>
          <w:lang w:val="pl-PL"/>
        </w:rPr>
      </w:pPr>
      <w:r w:rsidRPr="00275D64">
        <w:rPr>
          <w:color w:val="000000"/>
          <w:lang w:val="pl-PL"/>
        </w:rPr>
        <w:t>Ovaleap 900 j.m./1,5 ml płyn do wstrzykiwań</w:t>
      </w:r>
    </w:p>
    <w:p w14:paraId="50F3A283" w14:textId="77777777" w:rsidR="0059552A" w:rsidRPr="00275D64" w:rsidRDefault="0059552A" w:rsidP="00496272">
      <w:pPr>
        <w:rPr>
          <w:szCs w:val="22"/>
          <w:lang w:val="pl-PL"/>
        </w:rPr>
      </w:pPr>
    </w:p>
    <w:p w14:paraId="2DAE69F6" w14:textId="01FA7B64" w:rsidR="0059552A" w:rsidRPr="00275D64" w:rsidRDefault="0059552A" w:rsidP="00496272">
      <w:pPr>
        <w:rPr>
          <w:szCs w:val="22"/>
          <w:lang w:val="pl-PL"/>
        </w:rPr>
      </w:pPr>
      <w:r w:rsidRPr="00275D64">
        <w:rPr>
          <w:color w:val="000000"/>
          <w:lang w:val="pl-PL"/>
        </w:rPr>
        <w:t>folitropina alfa</w:t>
      </w:r>
    </w:p>
    <w:p w14:paraId="1723CB33" w14:textId="77777777" w:rsidR="0059552A" w:rsidRPr="00275D64" w:rsidRDefault="0059552A" w:rsidP="00496272">
      <w:pPr>
        <w:rPr>
          <w:szCs w:val="22"/>
          <w:lang w:val="pl-PL"/>
        </w:rPr>
      </w:pPr>
    </w:p>
    <w:p w14:paraId="53372C48" w14:textId="77777777" w:rsidR="0059552A" w:rsidRPr="00275D64" w:rsidRDefault="0059552A" w:rsidP="00496272">
      <w:pPr>
        <w:rPr>
          <w:szCs w:val="22"/>
          <w:lang w:val="pl-PL"/>
        </w:rPr>
      </w:pPr>
      <w:r w:rsidRPr="00275D64">
        <w:rPr>
          <w:lang w:val="pl-PL"/>
        </w:rPr>
        <w:t>sc.</w:t>
      </w:r>
    </w:p>
    <w:p w14:paraId="06AAAE4F" w14:textId="77777777" w:rsidR="0059552A" w:rsidRPr="00275D64" w:rsidRDefault="0059552A" w:rsidP="00496272">
      <w:pPr>
        <w:rPr>
          <w:szCs w:val="22"/>
          <w:lang w:val="pl-PL"/>
        </w:rPr>
      </w:pPr>
    </w:p>
    <w:p w14:paraId="5CEDD29B" w14:textId="77777777" w:rsidR="0059552A" w:rsidRPr="00275D64" w:rsidRDefault="0059552A" w:rsidP="00496272">
      <w:pPr>
        <w:rPr>
          <w:szCs w:val="22"/>
          <w:lang w:val="pl-PL"/>
        </w:rPr>
      </w:pPr>
    </w:p>
    <w:p w14:paraId="2AB57035"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2.</w:t>
      </w:r>
      <w:r w:rsidRPr="00275D64">
        <w:rPr>
          <w:lang w:val="pl-PL"/>
        </w:rPr>
        <w:tab/>
      </w:r>
      <w:r w:rsidRPr="00275D64">
        <w:rPr>
          <w:b/>
          <w:lang w:val="pl-PL"/>
        </w:rPr>
        <w:t>SPOSÓB PODAWANIA</w:t>
      </w:r>
    </w:p>
    <w:p w14:paraId="0D9E6A50" w14:textId="77777777" w:rsidR="0059552A" w:rsidRPr="00275D64" w:rsidRDefault="0059552A" w:rsidP="00496272">
      <w:pPr>
        <w:rPr>
          <w:szCs w:val="22"/>
          <w:lang w:val="pl-PL"/>
        </w:rPr>
      </w:pPr>
    </w:p>
    <w:p w14:paraId="1161365D" w14:textId="77777777" w:rsidR="0059552A" w:rsidRPr="00275D64" w:rsidRDefault="0059552A" w:rsidP="00496272">
      <w:pPr>
        <w:rPr>
          <w:szCs w:val="22"/>
          <w:lang w:val="pl-PL"/>
        </w:rPr>
      </w:pPr>
    </w:p>
    <w:p w14:paraId="596F4335" w14:textId="77777777" w:rsidR="0059552A" w:rsidRPr="00275D64" w:rsidRDefault="0059552A" w:rsidP="00496272">
      <w:pPr>
        <w:rPr>
          <w:szCs w:val="22"/>
          <w:lang w:val="pl-PL"/>
        </w:rPr>
      </w:pPr>
    </w:p>
    <w:p w14:paraId="1C7235A7"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3.</w:t>
      </w:r>
      <w:r w:rsidRPr="00275D64">
        <w:rPr>
          <w:lang w:val="pl-PL"/>
        </w:rPr>
        <w:tab/>
      </w:r>
      <w:r w:rsidRPr="00275D64">
        <w:rPr>
          <w:b/>
          <w:lang w:val="pl-PL"/>
        </w:rPr>
        <w:t>TERMIN WAŻNOŚCI</w:t>
      </w:r>
    </w:p>
    <w:p w14:paraId="648102A2" w14:textId="77777777" w:rsidR="0059552A" w:rsidRPr="00275D64" w:rsidRDefault="0059552A" w:rsidP="00496272">
      <w:pPr>
        <w:rPr>
          <w:szCs w:val="22"/>
          <w:lang w:val="pl-PL"/>
        </w:rPr>
      </w:pPr>
    </w:p>
    <w:p w14:paraId="444EFF2E" w14:textId="77777777" w:rsidR="0059552A" w:rsidRPr="00275D64" w:rsidRDefault="0059552A" w:rsidP="00496272">
      <w:pPr>
        <w:rPr>
          <w:szCs w:val="22"/>
          <w:lang w:val="pl-PL"/>
        </w:rPr>
      </w:pPr>
      <w:r w:rsidRPr="00275D64">
        <w:rPr>
          <w:lang w:val="pl-PL"/>
        </w:rPr>
        <w:t>EXP</w:t>
      </w:r>
    </w:p>
    <w:p w14:paraId="25A06AFE" w14:textId="77777777" w:rsidR="0059552A" w:rsidRPr="00275D64" w:rsidRDefault="0059552A" w:rsidP="00496272">
      <w:pPr>
        <w:rPr>
          <w:szCs w:val="22"/>
          <w:lang w:val="pl-PL"/>
        </w:rPr>
      </w:pPr>
    </w:p>
    <w:p w14:paraId="16355F9A" w14:textId="77777777" w:rsidR="0059552A" w:rsidRPr="00275D64" w:rsidRDefault="0059552A" w:rsidP="00496272">
      <w:pPr>
        <w:rPr>
          <w:szCs w:val="22"/>
          <w:lang w:val="pl-PL"/>
        </w:rPr>
      </w:pPr>
    </w:p>
    <w:p w14:paraId="18A15BCF"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4.</w:t>
      </w:r>
      <w:r w:rsidRPr="00275D64">
        <w:rPr>
          <w:lang w:val="pl-PL"/>
        </w:rPr>
        <w:tab/>
      </w:r>
      <w:r w:rsidRPr="00275D64">
        <w:rPr>
          <w:b/>
          <w:lang w:val="pl-PL"/>
        </w:rPr>
        <w:t>NUMER SERII</w:t>
      </w:r>
    </w:p>
    <w:p w14:paraId="014BC4E8" w14:textId="77777777" w:rsidR="0059552A" w:rsidRPr="00275D64" w:rsidRDefault="0059552A" w:rsidP="00496272">
      <w:pPr>
        <w:ind w:right="113"/>
        <w:rPr>
          <w:szCs w:val="22"/>
          <w:lang w:val="pl-PL"/>
        </w:rPr>
      </w:pPr>
    </w:p>
    <w:p w14:paraId="52CDAE4E" w14:textId="77777777" w:rsidR="0059552A" w:rsidRPr="00275D64" w:rsidRDefault="0059552A" w:rsidP="00496272">
      <w:pPr>
        <w:ind w:right="113"/>
        <w:rPr>
          <w:szCs w:val="22"/>
          <w:lang w:val="pl-PL"/>
        </w:rPr>
      </w:pPr>
      <w:r w:rsidRPr="00275D64">
        <w:rPr>
          <w:lang w:val="pl-PL"/>
        </w:rPr>
        <w:t>Lot</w:t>
      </w:r>
    </w:p>
    <w:p w14:paraId="37A4BEC1" w14:textId="77777777" w:rsidR="0059552A" w:rsidRPr="00275D64" w:rsidRDefault="0059552A" w:rsidP="00496272">
      <w:pPr>
        <w:ind w:right="113"/>
        <w:rPr>
          <w:szCs w:val="22"/>
          <w:lang w:val="pl-PL"/>
        </w:rPr>
      </w:pPr>
    </w:p>
    <w:p w14:paraId="4636BDF1" w14:textId="77777777" w:rsidR="0059552A" w:rsidRPr="00275D64" w:rsidRDefault="0059552A" w:rsidP="00496272">
      <w:pPr>
        <w:ind w:right="113"/>
        <w:rPr>
          <w:szCs w:val="22"/>
          <w:lang w:val="pl-PL"/>
        </w:rPr>
      </w:pPr>
    </w:p>
    <w:p w14:paraId="3D21997F" w14:textId="77777777" w:rsidR="0059552A" w:rsidRPr="00275D64" w:rsidRDefault="0059552A" w:rsidP="00761675">
      <w:pPr>
        <w:pBdr>
          <w:top w:val="single" w:sz="4" w:space="1" w:color="auto"/>
          <w:left w:val="single" w:sz="4" w:space="4" w:color="auto"/>
          <w:bottom w:val="single" w:sz="4" w:space="1" w:color="auto"/>
          <w:right w:val="single" w:sz="4" w:space="4" w:color="auto"/>
        </w:pBdr>
        <w:ind w:left="567" w:hanging="567"/>
        <w:outlineLvl w:val="0"/>
        <w:rPr>
          <w:b/>
          <w:szCs w:val="22"/>
          <w:lang w:val="pl-PL"/>
        </w:rPr>
      </w:pPr>
      <w:r w:rsidRPr="00275D64">
        <w:rPr>
          <w:b/>
          <w:lang w:val="pl-PL"/>
        </w:rPr>
        <w:t>5.</w:t>
      </w:r>
      <w:r w:rsidRPr="00275D64">
        <w:rPr>
          <w:lang w:val="pl-PL"/>
        </w:rPr>
        <w:tab/>
      </w:r>
      <w:r w:rsidRPr="00275D64">
        <w:rPr>
          <w:b/>
          <w:lang w:val="pl-PL"/>
        </w:rPr>
        <w:t>ZAWARTOŚĆ OPAKOWANIA Z PODANIEM MASY, OBJĘTOŚCI LUB LICZBY JEDNOSTEK</w:t>
      </w:r>
    </w:p>
    <w:p w14:paraId="4D0A79E6" w14:textId="77777777" w:rsidR="0059552A" w:rsidRPr="00275D64" w:rsidRDefault="0059552A" w:rsidP="00496272">
      <w:pPr>
        <w:ind w:right="113"/>
        <w:rPr>
          <w:szCs w:val="22"/>
          <w:lang w:val="pl-PL"/>
        </w:rPr>
      </w:pPr>
    </w:p>
    <w:p w14:paraId="25F34173" w14:textId="77777777" w:rsidR="0059552A" w:rsidRPr="00275D64" w:rsidRDefault="0059552A" w:rsidP="00496272">
      <w:pPr>
        <w:ind w:right="113"/>
        <w:rPr>
          <w:szCs w:val="22"/>
          <w:lang w:val="pl-PL"/>
        </w:rPr>
      </w:pPr>
      <w:r w:rsidRPr="00275D64">
        <w:rPr>
          <w:lang w:val="pl-PL"/>
        </w:rPr>
        <w:t>1,5 ml</w:t>
      </w:r>
    </w:p>
    <w:p w14:paraId="0022AAE7" w14:textId="77777777" w:rsidR="0059552A" w:rsidRPr="00275D64" w:rsidRDefault="0059552A" w:rsidP="00496272">
      <w:pPr>
        <w:ind w:right="113"/>
        <w:rPr>
          <w:szCs w:val="22"/>
          <w:lang w:val="pl-PL"/>
        </w:rPr>
      </w:pPr>
    </w:p>
    <w:p w14:paraId="4D031664" w14:textId="77777777" w:rsidR="0059552A" w:rsidRPr="00275D64" w:rsidRDefault="0059552A" w:rsidP="00496272">
      <w:pPr>
        <w:ind w:right="113"/>
        <w:rPr>
          <w:szCs w:val="22"/>
          <w:lang w:val="pl-PL"/>
        </w:rPr>
      </w:pPr>
    </w:p>
    <w:p w14:paraId="0A7ED632" w14:textId="77777777" w:rsidR="0059552A" w:rsidRPr="00275D64" w:rsidRDefault="0059552A" w:rsidP="00496272">
      <w:pPr>
        <w:pBdr>
          <w:top w:val="single" w:sz="4" w:space="1" w:color="auto"/>
          <w:left w:val="single" w:sz="4" w:space="4" w:color="auto"/>
          <w:bottom w:val="single" w:sz="4" w:space="1" w:color="auto"/>
          <w:right w:val="single" w:sz="4" w:space="4" w:color="auto"/>
        </w:pBdr>
        <w:outlineLvl w:val="0"/>
        <w:rPr>
          <w:b/>
          <w:szCs w:val="22"/>
          <w:lang w:val="pl-PL"/>
        </w:rPr>
      </w:pPr>
      <w:r w:rsidRPr="00275D64">
        <w:rPr>
          <w:b/>
          <w:lang w:val="pl-PL"/>
        </w:rPr>
        <w:t>6.</w:t>
      </w:r>
      <w:r w:rsidRPr="00275D64">
        <w:rPr>
          <w:lang w:val="pl-PL"/>
        </w:rPr>
        <w:tab/>
      </w:r>
      <w:r w:rsidRPr="00275D64">
        <w:rPr>
          <w:b/>
          <w:lang w:val="pl-PL"/>
        </w:rPr>
        <w:t>INNE</w:t>
      </w:r>
    </w:p>
    <w:p w14:paraId="3EEBF230" w14:textId="77777777" w:rsidR="0059552A" w:rsidRPr="00275D64" w:rsidRDefault="0059552A" w:rsidP="00496272">
      <w:pPr>
        <w:ind w:right="113"/>
        <w:rPr>
          <w:szCs w:val="22"/>
          <w:lang w:val="pl-PL"/>
        </w:rPr>
      </w:pPr>
    </w:p>
    <w:p w14:paraId="7CB6F3D9" w14:textId="77777777" w:rsidR="0059552A" w:rsidRPr="00275D64" w:rsidRDefault="0059552A" w:rsidP="00496272">
      <w:pPr>
        <w:ind w:right="113"/>
        <w:rPr>
          <w:szCs w:val="22"/>
          <w:lang w:val="pl-PL"/>
        </w:rPr>
      </w:pPr>
    </w:p>
    <w:p w14:paraId="11B5D8ED" w14:textId="77777777" w:rsidR="0059552A" w:rsidRPr="00275D64" w:rsidRDefault="0059552A" w:rsidP="00496272">
      <w:pPr>
        <w:ind w:right="113"/>
        <w:rPr>
          <w:szCs w:val="22"/>
          <w:lang w:val="pl-PL"/>
        </w:rPr>
      </w:pPr>
    </w:p>
    <w:p w14:paraId="084FB0C7" w14:textId="77777777" w:rsidR="0059552A" w:rsidRPr="00275D64" w:rsidRDefault="0059552A" w:rsidP="00496272">
      <w:pPr>
        <w:jc w:val="center"/>
        <w:rPr>
          <w:b/>
          <w:lang w:val="pl-PL"/>
        </w:rPr>
      </w:pPr>
      <w:r w:rsidRPr="00275D64">
        <w:rPr>
          <w:lang w:val="pl-PL"/>
        </w:rPr>
        <w:br w:type="page"/>
      </w:r>
    </w:p>
    <w:p w14:paraId="743D6A01" w14:textId="77777777" w:rsidR="0059552A" w:rsidRPr="00275D64" w:rsidRDefault="0059552A" w:rsidP="00496272">
      <w:pPr>
        <w:jc w:val="center"/>
        <w:outlineLvl w:val="0"/>
        <w:rPr>
          <w:b/>
          <w:lang w:val="pl-PL"/>
        </w:rPr>
      </w:pPr>
    </w:p>
    <w:p w14:paraId="73188C8A" w14:textId="77777777" w:rsidR="0059552A" w:rsidRPr="00275D64" w:rsidRDefault="0059552A" w:rsidP="00496272">
      <w:pPr>
        <w:jc w:val="center"/>
        <w:outlineLvl w:val="0"/>
        <w:rPr>
          <w:b/>
          <w:lang w:val="pl-PL"/>
        </w:rPr>
      </w:pPr>
    </w:p>
    <w:p w14:paraId="0FD484CB" w14:textId="77777777" w:rsidR="0059552A" w:rsidRPr="00275D64" w:rsidRDefault="0059552A" w:rsidP="00496272">
      <w:pPr>
        <w:jc w:val="center"/>
        <w:outlineLvl w:val="0"/>
        <w:rPr>
          <w:b/>
          <w:lang w:val="pl-PL"/>
        </w:rPr>
      </w:pPr>
    </w:p>
    <w:p w14:paraId="66F7208F" w14:textId="77777777" w:rsidR="0059552A" w:rsidRPr="00275D64" w:rsidRDefault="0059552A" w:rsidP="00496272">
      <w:pPr>
        <w:jc w:val="center"/>
        <w:outlineLvl w:val="0"/>
        <w:rPr>
          <w:b/>
          <w:lang w:val="pl-PL"/>
        </w:rPr>
      </w:pPr>
    </w:p>
    <w:p w14:paraId="31A8EC5C" w14:textId="77777777" w:rsidR="0059552A" w:rsidRPr="00275D64" w:rsidRDefault="0059552A" w:rsidP="00496272">
      <w:pPr>
        <w:jc w:val="center"/>
        <w:outlineLvl w:val="0"/>
        <w:rPr>
          <w:b/>
          <w:lang w:val="pl-PL"/>
        </w:rPr>
      </w:pPr>
    </w:p>
    <w:p w14:paraId="38805A2B" w14:textId="77777777" w:rsidR="0059552A" w:rsidRPr="00275D64" w:rsidRDefault="0059552A" w:rsidP="00496272">
      <w:pPr>
        <w:jc w:val="center"/>
        <w:outlineLvl w:val="0"/>
        <w:rPr>
          <w:b/>
          <w:lang w:val="pl-PL"/>
        </w:rPr>
      </w:pPr>
    </w:p>
    <w:p w14:paraId="2F0FE7CF" w14:textId="77777777" w:rsidR="0059552A" w:rsidRPr="00275D64" w:rsidRDefault="0059552A" w:rsidP="00496272">
      <w:pPr>
        <w:jc w:val="center"/>
        <w:outlineLvl w:val="0"/>
        <w:rPr>
          <w:b/>
          <w:lang w:val="pl-PL"/>
        </w:rPr>
      </w:pPr>
    </w:p>
    <w:p w14:paraId="103CAEEB" w14:textId="77777777" w:rsidR="0059552A" w:rsidRPr="00275D64" w:rsidRDefault="0059552A" w:rsidP="00496272">
      <w:pPr>
        <w:jc w:val="center"/>
        <w:outlineLvl w:val="0"/>
        <w:rPr>
          <w:b/>
          <w:lang w:val="pl-PL"/>
        </w:rPr>
      </w:pPr>
    </w:p>
    <w:p w14:paraId="030F2220" w14:textId="77777777" w:rsidR="0059552A" w:rsidRPr="00275D64" w:rsidRDefault="0059552A" w:rsidP="00496272">
      <w:pPr>
        <w:jc w:val="center"/>
        <w:outlineLvl w:val="0"/>
        <w:rPr>
          <w:b/>
          <w:lang w:val="pl-PL"/>
        </w:rPr>
      </w:pPr>
    </w:p>
    <w:p w14:paraId="769CD44D" w14:textId="77777777" w:rsidR="0059552A" w:rsidRPr="00275D64" w:rsidRDefault="0059552A" w:rsidP="00496272">
      <w:pPr>
        <w:jc w:val="center"/>
        <w:outlineLvl w:val="0"/>
        <w:rPr>
          <w:b/>
          <w:lang w:val="pl-PL"/>
        </w:rPr>
      </w:pPr>
    </w:p>
    <w:p w14:paraId="79899465" w14:textId="77777777" w:rsidR="0059552A" w:rsidRPr="00275D64" w:rsidRDefault="0059552A" w:rsidP="00496272">
      <w:pPr>
        <w:jc w:val="center"/>
        <w:outlineLvl w:val="0"/>
        <w:rPr>
          <w:b/>
          <w:lang w:val="pl-PL"/>
        </w:rPr>
      </w:pPr>
    </w:p>
    <w:p w14:paraId="2E0ED25D" w14:textId="77777777" w:rsidR="0059552A" w:rsidRPr="00275D64" w:rsidRDefault="0059552A" w:rsidP="00496272">
      <w:pPr>
        <w:jc w:val="center"/>
        <w:outlineLvl w:val="0"/>
        <w:rPr>
          <w:b/>
          <w:lang w:val="pl-PL"/>
        </w:rPr>
      </w:pPr>
    </w:p>
    <w:p w14:paraId="09A91461" w14:textId="77777777" w:rsidR="0059552A" w:rsidRPr="00275D64" w:rsidRDefault="0059552A" w:rsidP="00496272">
      <w:pPr>
        <w:jc w:val="center"/>
        <w:outlineLvl w:val="0"/>
        <w:rPr>
          <w:b/>
          <w:lang w:val="pl-PL"/>
        </w:rPr>
      </w:pPr>
    </w:p>
    <w:p w14:paraId="367F7181" w14:textId="77777777" w:rsidR="0059552A" w:rsidRPr="00275D64" w:rsidRDefault="0059552A" w:rsidP="00496272">
      <w:pPr>
        <w:jc w:val="center"/>
        <w:outlineLvl w:val="0"/>
        <w:rPr>
          <w:b/>
          <w:lang w:val="pl-PL"/>
        </w:rPr>
      </w:pPr>
    </w:p>
    <w:p w14:paraId="52323868" w14:textId="77777777" w:rsidR="0059552A" w:rsidRPr="00275D64" w:rsidRDefault="0059552A" w:rsidP="00496272">
      <w:pPr>
        <w:jc w:val="center"/>
        <w:outlineLvl w:val="0"/>
        <w:rPr>
          <w:b/>
          <w:lang w:val="pl-PL"/>
        </w:rPr>
      </w:pPr>
    </w:p>
    <w:p w14:paraId="6BAABFC0" w14:textId="77777777" w:rsidR="0059552A" w:rsidRPr="00275D64" w:rsidRDefault="0059552A" w:rsidP="00496272">
      <w:pPr>
        <w:jc w:val="center"/>
        <w:outlineLvl w:val="0"/>
        <w:rPr>
          <w:b/>
          <w:lang w:val="pl-PL"/>
        </w:rPr>
      </w:pPr>
    </w:p>
    <w:p w14:paraId="108B1E04" w14:textId="77777777" w:rsidR="0059552A" w:rsidRPr="00275D64" w:rsidRDefault="0059552A" w:rsidP="00496272">
      <w:pPr>
        <w:jc w:val="center"/>
        <w:outlineLvl w:val="0"/>
        <w:rPr>
          <w:b/>
          <w:lang w:val="pl-PL"/>
        </w:rPr>
      </w:pPr>
    </w:p>
    <w:p w14:paraId="440B3D45" w14:textId="77777777" w:rsidR="0059552A" w:rsidRPr="00275D64" w:rsidRDefault="0059552A" w:rsidP="00496272">
      <w:pPr>
        <w:jc w:val="center"/>
        <w:outlineLvl w:val="0"/>
        <w:rPr>
          <w:b/>
          <w:lang w:val="pl-PL"/>
        </w:rPr>
      </w:pPr>
    </w:p>
    <w:p w14:paraId="7E3A5448" w14:textId="77777777" w:rsidR="0059552A" w:rsidRPr="00275D64" w:rsidRDefault="0059552A" w:rsidP="00496272">
      <w:pPr>
        <w:jc w:val="center"/>
        <w:outlineLvl w:val="0"/>
        <w:rPr>
          <w:b/>
          <w:lang w:val="pl-PL"/>
        </w:rPr>
      </w:pPr>
    </w:p>
    <w:p w14:paraId="1EC054A8" w14:textId="77777777" w:rsidR="0059552A" w:rsidRPr="00275D64" w:rsidRDefault="0059552A" w:rsidP="00496272">
      <w:pPr>
        <w:jc w:val="center"/>
        <w:outlineLvl w:val="0"/>
        <w:rPr>
          <w:b/>
          <w:lang w:val="pl-PL"/>
        </w:rPr>
      </w:pPr>
    </w:p>
    <w:p w14:paraId="537C664E" w14:textId="77777777" w:rsidR="0059552A" w:rsidRPr="00275D64" w:rsidRDefault="0059552A" w:rsidP="00496272">
      <w:pPr>
        <w:jc w:val="center"/>
        <w:outlineLvl w:val="0"/>
        <w:rPr>
          <w:b/>
          <w:lang w:val="pl-PL"/>
        </w:rPr>
      </w:pPr>
    </w:p>
    <w:p w14:paraId="666D9DCB" w14:textId="77777777" w:rsidR="0059552A" w:rsidRPr="00275D64" w:rsidRDefault="0059552A" w:rsidP="00496272">
      <w:pPr>
        <w:jc w:val="center"/>
        <w:outlineLvl w:val="0"/>
        <w:rPr>
          <w:b/>
          <w:lang w:val="pl-PL"/>
        </w:rPr>
      </w:pPr>
    </w:p>
    <w:p w14:paraId="164B5E53" w14:textId="77777777" w:rsidR="0059552A" w:rsidRPr="00275D64" w:rsidRDefault="0059552A" w:rsidP="00496272">
      <w:pPr>
        <w:pStyle w:val="TitleA"/>
        <w:rPr>
          <w:noProof w:val="0"/>
          <w:lang w:val="pl-PL"/>
        </w:rPr>
      </w:pPr>
      <w:r w:rsidRPr="00275D64">
        <w:rPr>
          <w:noProof w:val="0"/>
          <w:lang w:val="pl-PL"/>
        </w:rPr>
        <w:t>B. ULOTKA DLA PACJENTA</w:t>
      </w:r>
    </w:p>
    <w:p w14:paraId="646E4701" w14:textId="77777777" w:rsidR="0059552A" w:rsidRPr="00275D64" w:rsidRDefault="0059552A" w:rsidP="00496272">
      <w:pPr>
        <w:jc w:val="center"/>
        <w:outlineLvl w:val="0"/>
        <w:rPr>
          <w:b/>
          <w:lang w:val="pl-PL"/>
        </w:rPr>
      </w:pPr>
    </w:p>
    <w:p w14:paraId="75A6DBAF" w14:textId="77777777" w:rsidR="0059552A" w:rsidRPr="00275D64" w:rsidRDefault="0059552A" w:rsidP="00496272">
      <w:pPr>
        <w:tabs>
          <w:tab w:val="clear" w:pos="567"/>
        </w:tabs>
        <w:jc w:val="center"/>
        <w:outlineLvl w:val="0"/>
        <w:rPr>
          <w:lang w:val="pl-PL"/>
        </w:rPr>
      </w:pPr>
      <w:r w:rsidRPr="00275D64">
        <w:rPr>
          <w:lang w:val="pl-PL"/>
        </w:rPr>
        <w:br w:type="page"/>
      </w:r>
      <w:r w:rsidRPr="00275D64">
        <w:rPr>
          <w:b/>
          <w:lang w:val="pl-PL"/>
        </w:rPr>
        <w:lastRenderedPageBreak/>
        <w:t>Ulotka dołączona do opakowania: informacja dla użytkownika</w:t>
      </w:r>
    </w:p>
    <w:p w14:paraId="1D46BF1D" w14:textId="77777777" w:rsidR="0059552A" w:rsidRPr="00275D64" w:rsidRDefault="0059552A" w:rsidP="00496272">
      <w:pPr>
        <w:numPr>
          <w:ilvl w:val="12"/>
          <w:numId w:val="0"/>
        </w:numPr>
        <w:shd w:val="clear" w:color="auto" w:fill="FFFFFF"/>
        <w:tabs>
          <w:tab w:val="clear" w:pos="567"/>
        </w:tabs>
        <w:jc w:val="center"/>
        <w:rPr>
          <w:lang w:val="pl-PL"/>
        </w:rPr>
      </w:pPr>
    </w:p>
    <w:p w14:paraId="3E1E7CCC" w14:textId="77777777" w:rsidR="0059552A" w:rsidRPr="00275D64" w:rsidRDefault="0059552A" w:rsidP="00496272">
      <w:pPr>
        <w:tabs>
          <w:tab w:val="left" w:pos="993"/>
        </w:tabs>
        <w:jc w:val="center"/>
        <w:outlineLvl w:val="0"/>
        <w:rPr>
          <w:b/>
          <w:lang w:val="pl-PL"/>
        </w:rPr>
      </w:pPr>
      <w:r w:rsidRPr="00275D64">
        <w:rPr>
          <w:b/>
          <w:lang w:val="pl-PL"/>
        </w:rPr>
        <w:t>Ovaleap 300 j.m./0,5 ml roztwór do wstrzykiwań</w:t>
      </w:r>
    </w:p>
    <w:p w14:paraId="32A67FF8" w14:textId="77777777" w:rsidR="0059552A" w:rsidRPr="00275D64" w:rsidRDefault="0059552A" w:rsidP="00496272">
      <w:pPr>
        <w:tabs>
          <w:tab w:val="left" w:pos="993"/>
        </w:tabs>
        <w:jc w:val="center"/>
        <w:outlineLvl w:val="0"/>
        <w:rPr>
          <w:b/>
          <w:lang w:val="pl-PL"/>
        </w:rPr>
      </w:pPr>
      <w:r w:rsidRPr="00275D64">
        <w:rPr>
          <w:b/>
          <w:lang w:val="pl-PL"/>
        </w:rPr>
        <w:t>Ovaleap 450 j.m./0,75 ml roztwór do wstrzykiwań</w:t>
      </w:r>
    </w:p>
    <w:p w14:paraId="3888091D" w14:textId="77777777" w:rsidR="0059552A" w:rsidRPr="00275D64" w:rsidRDefault="0059552A" w:rsidP="00496272">
      <w:pPr>
        <w:tabs>
          <w:tab w:val="left" w:pos="993"/>
        </w:tabs>
        <w:jc w:val="center"/>
        <w:outlineLvl w:val="0"/>
        <w:rPr>
          <w:b/>
          <w:lang w:val="pl-PL"/>
        </w:rPr>
      </w:pPr>
      <w:r w:rsidRPr="00275D64">
        <w:rPr>
          <w:b/>
          <w:lang w:val="pl-PL"/>
        </w:rPr>
        <w:t>Ovaleap 900 j.m./1,5 ml roztwór do wstrzykiwań</w:t>
      </w:r>
    </w:p>
    <w:p w14:paraId="55D263F7" w14:textId="77777777" w:rsidR="0059552A" w:rsidRPr="00275D64" w:rsidRDefault="0059552A" w:rsidP="00496272">
      <w:pPr>
        <w:numPr>
          <w:ilvl w:val="12"/>
          <w:numId w:val="0"/>
        </w:numPr>
        <w:tabs>
          <w:tab w:val="clear" w:pos="567"/>
        </w:tabs>
        <w:jc w:val="center"/>
        <w:rPr>
          <w:lang w:val="pl-PL"/>
        </w:rPr>
      </w:pPr>
    </w:p>
    <w:p w14:paraId="0351F10C" w14:textId="015C4CD3" w:rsidR="0059552A" w:rsidRPr="00275D64" w:rsidRDefault="0059552A" w:rsidP="00496272">
      <w:pPr>
        <w:numPr>
          <w:ilvl w:val="12"/>
          <w:numId w:val="0"/>
        </w:numPr>
        <w:tabs>
          <w:tab w:val="clear" w:pos="567"/>
        </w:tabs>
        <w:jc w:val="center"/>
        <w:rPr>
          <w:lang w:val="pl-PL"/>
        </w:rPr>
      </w:pPr>
      <w:r w:rsidRPr="00275D64">
        <w:rPr>
          <w:lang w:val="pl-PL"/>
        </w:rPr>
        <w:t>folitropina alfa</w:t>
      </w:r>
    </w:p>
    <w:p w14:paraId="79990590" w14:textId="77777777" w:rsidR="0059552A" w:rsidRPr="00275D64" w:rsidRDefault="0059552A" w:rsidP="00496272">
      <w:pPr>
        <w:tabs>
          <w:tab w:val="clear" w:pos="567"/>
        </w:tabs>
        <w:rPr>
          <w:lang w:val="pl-PL"/>
        </w:rPr>
      </w:pPr>
    </w:p>
    <w:p w14:paraId="281BC07C" w14:textId="77777777" w:rsidR="0059552A" w:rsidRPr="00275D64" w:rsidRDefault="0059552A" w:rsidP="00496272">
      <w:pPr>
        <w:tabs>
          <w:tab w:val="clear" w:pos="567"/>
        </w:tabs>
        <w:suppressAutoHyphens/>
        <w:rPr>
          <w:lang w:val="pl-PL"/>
        </w:rPr>
      </w:pPr>
      <w:r w:rsidRPr="00275D64">
        <w:rPr>
          <w:b/>
          <w:lang w:val="pl-PL"/>
        </w:rPr>
        <w:t>Należy uważnie zapoznać się z treścią ulotki przed zastosowaniem leku, ponieważ zawiera ona informacje ważne dla pacjenta.</w:t>
      </w:r>
    </w:p>
    <w:p w14:paraId="4BB424EC" w14:textId="77777777" w:rsidR="0059552A" w:rsidRPr="00275D64" w:rsidRDefault="0059552A" w:rsidP="002F3A44">
      <w:pPr>
        <w:numPr>
          <w:ilvl w:val="0"/>
          <w:numId w:val="11"/>
        </w:numPr>
        <w:tabs>
          <w:tab w:val="clear" w:pos="567"/>
        </w:tabs>
        <w:ind w:left="567" w:right="-2" w:hanging="567"/>
        <w:rPr>
          <w:lang w:val="pl-PL"/>
        </w:rPr>
      </w:pPr>
      <w:r w:rsidRPr="00275D64">
        <w:rPr>
          <w:lang w:val="pl-PL"/>
        </w:rPr>
        <w:t>Należy zachować tę ulotkę, aby w razie potrzeby móc ją ponownie przeczytać.</w:t>
      </w:r>
    </w:p>
    <w:p w14:paraId="58F93D56" w14:textId="77777777" w:rsidR="0059552A" w:rsidRPr="00275D64" w:rsidRDefault="0059552A" w:rsidP="002F3A44">
      <w:pPr>
        <w:numPr>
          <w:ilvl w:val="0"/>
          <w:numId w:val="11"/>
        </w:numPr>
        <w:tabs>
          <w:tab w:val="clear" w:pos="567"/>
        </w:tabs>
        <w:ind w:left="567" w:right="-2" w:hanging="567"/>
        <w:rPr>
          <w:lang w:val="pl-PL"/>
        </w:rPr>
      </w:pPr>
      <w:r w:rsidRPr="00275D64">
        <w:rPr>
          <w:lang w:val="pl-PL"/>
        </w:rPr>
        <w:t>W razie jakichkolwiek wątpliwości należy zwrócić się do lekarza, farmaceuty lub pielęgniarki.</w:t>
      </w:r>
    </w:p>
    <w:p w14:paraId="6CB2F0A5" w14:textId="77777777" w:rsidR="0059552A" w:rsidRPr="00275D64" w:rsidRDefault="0059552A" w:rsidP="002F3A44">
      <w:pPr>
        <w:numPr>
          <w:ilvl w:val="0"/>
          <w:numId w:val="11"/>
        </w:numPr>
        <w:tabs>
          <w:tab w:val="clear" w:pos="567"/>
        </w:tabs>
        <w:ind w:left="567" w:right="-2" w:hanging="567"/>
        <w:rPr>
          <w:lang w:val="pl-PL"/>
        </w:rPr>
      </w:pPr>
      <w:r w:rsidRPr="00275D64">
        <w:rPr>
          <w:lang w:val="pl-PL"/>
        </w:rPr>
        <w:t>Lek ten przepisano ściśle określonej osobie. Nie należy go przekazywać innym. Lek może zaszkodzić innej osobie, nawet jeśli objawy jej choroby są takie same.</w:t>
      </w:r>
    </w:p>
    <w:p w14:paraId="27C6D311" w14:textId="77777777" w:rsidR="0059552A" w:rsidRPr="00275D64" w:rsidRDefault="0059552A" w:rsidP="002F3A44">
      <w:pPr>
        <w:numPr>
          <w:ilvl w:val="0"/>
          <w:numId w:val="11"/>
        </w:numPr>
        <w:ind w:left="567" w:hanging="567"/>
        <w:rPr>
          <w:lang w:val="pl-PL"/>
        </w:rPr>
      </w:pPr>
      <w:r w:rsidRPr="00275D64">
        <w:rPr>
          <w:lang w:val="pl-PL"/>
        </w:rPr>
        <w:t>Jeśli u pacjenta wystąpią jakiekolwiek objawy niepożądane, w tym wszelkie objawy niepożądane niewymienione w tej ulotce, należy powiedzieć o tym lekarzowi, farmaceucie lub pielęgniarce.</w:t>
      </w:r>
    </w:p>
    <w:p w14:paraId="119C0706" w14:textId="77777777" w:rsidR="0059552A" w:rsidRPr="00275D64" w:rsidRDefault="0059552A" w:rsidP="00496272">
      <w:pPr>
        <w:tabs>
          <w:tab w:val="clear" w:pos="567"/>
        </w:tabs>
        <w:ind w:right="-2"/>
        <w:rPr>
          <w:lang w:val="pl-PL"/>
        </w:rPr>
      </w:pPr>
    </w:p>
    <w:p w14:paraId="29C62E79" w14:textId="77777777" w:rsidR="0059552A" w:rsidRPr="00275D64" w:rsidRDefault="0059552A" w:rsidP="00496272">
      <w:pPr>
        <w:tabs>
          <w:tab w:val="clear" w:pos="567"/>
        </w:tabs>
        <w:ind w:right="-2"/>
        <w:rPr>
          <w:lang w:val="pl-PL"/>
        </w:rPr>
      </w:pPr>
    </w:p>
    <w:p w14:paraId="32F1A1C3" w14:textId="77777777" w:rsidR="0059552A" w:rsidRPr="00275D64" w:rsidRDefault="0059552A" w:rsidP="00496272">
      <w:pPr>
        <w:numPr>
          <w:ilvl w:val="12"/>
          <w:numId w:val="0"/>
        </w:numPr>
        <w:tabs>
          <w:tab w:val="clear" w:pos="567"/>
        </w:tabs>
        <w:outlineLvl w:val="0"/>
        <w:rPr>
          <w:b/>
          <w:lang w:val="pl-PL"/>
        </w:rPr>
      </w:pPr>
      <w:r w:rsidRPr="00275D64">
        <w:rPr>
          <w:b/>
          <w:lang w:val="pl-PL"/>
        </w:rPr>
        <w:t>Spis treści ulotki</w:t>
      </w:r>
    </w:p>
    <w:p w14:paraId="7AD78C74" w14:textId="77777777" w:rsidR="0059552A" w:rsidRPr="00275D64" w:rsidRDefault="0059552A" w:rsidP="00496272">
      <w:pPr>
        <w:numPr>
          <w:ilvl w:val="12"/>
          <w:numId w:val="0"/>
        </w:numPr>
        <w:tabs>
          <w:tab w:val="clear" w:pos="567"/>
        </w:tabs>
        <w:outlineLvl w:val="0"/>
        <w:rPr>
          <w:lang w:val="pl-PL"/>
        </w:rPr>
      </w:pPr>
    </w:p>
    <w:p w14:paraId="3A343D72" w14:textId="77777777" w:rsidR="0059552A" w:rsidRPr="00275D64" w:rsidRDefault="0059552A" w:rsidP="00496272">
      <w:pPr>
        <w:numPr>
          <w:ilvl w:val="12"/>
          <w:numId w:val="0"/>
        </w:numPr>
        <w:tabs>
          <w:tab w:val="clear" w:pos="567"/>
          <w:tab w:val="left" w:pos="426"/>
        </w:tabs>
        <w:ind w:right="-29"/>
        <w:rPr>
          <w:lang w:val="pl-PL"/>
        </w:rPr>
      </w:pPr>
      <w:r w:rsidRPr="00275D64">
        <w:rPr>
          <w:lang w:val="pl-PL"/>
        </w:rPr>
        <w:t>1.</w:t>
      </w:r>
      <w:r w:rsidRPr="00275D64">
        <w:rPr>
          <w:lang w:val="pl-PL"/>
        </w:rPr>
        <w:tab/>
        <w:t>Co to jest lek Ovaleap i w jakim celu się go stosuje</w:t>
      </w:r>
    </w:p>
    <w:p w14:paraId="01260946" w14:textId="77777777" w:rsidR="0059552A" w:rsidRPr="00275D64" w:rsidRDefault="0059552A" w:rsidP="00496272">
      <w:pPr>
        <w:numPr>
          <w:ilvl w:val="12"/>
          <w:numId w:val="0"/>
        </w:numPr>
        <w:tabs>
          <w:tab w:val="clear" w:pos="567"/>
          <w:tab w:val="left" w:pos="426"/>
        </w:tabs>
        <w:ind w:right="-29"/>
        <w:rPr>
          <w:lang w:val="pl-PL"/>
        </w:rPr>
      </w:pPr>
      <w:r w:rsidRPr="00275D64">
        <w:rPr>
          <w:lang w:val="pl-PL"/>
        </w:rPr>
        <w:t>2.</w:t>
      </w:r>
      <w:r w:rsidRPr="00275D64">
        <w:rPr>
          <w:lang w:val="pl-PL"/>
        </w:rPr>
        <w:tab/>
        <w:t>Informacje ważne przed zastosowaniem leku Ovaleap</w:t>
      </w:r>
    </w:p>
    <w:p w14:paraId="2B3E6127" w14:textId="77777777" w:rsidR="0059552A" w:rsidRPr="00275D64" w:rsidRDefault="0059552A" w:rsidP="00496272">
      <w:pPr>
        <w:numPr>
          <w:ilvl w:val="12"/>
          <w:numId w:val="0"/>
        </w:numPr>
        <w:tabs>
          <w:tab w:val="clear" w:pos="567"/>
          <w:tab w:val="left" w:pos="426"/>
        </w:tabs>
        <w:ind w:right="-29"/>
        <w:rPr>
          <w:lang w:val="pl-PL"/>
        </w:rPr>
      </w:pPr>
      <w:r w:rsidRPr="00275D64">
        <w:rPr>
          <w:lang w:val="pl-PL"/>
        </w:rPr>
        <w:t>3.</w:t>
      </w:r>
      <w:r w:rsidRPr="00275D64">
        <w:rPr>
          <w:lang w:val="pl-PL"/>
        </w:rPr>
        <w:tab/>
        <w:t>Jak stosować lek Ovaleap</w:t>
      </w:r>
    </w:p>
    <w:p w14:paraId="1321DAC8" w14:textId="77777777" w:rsidR="0059552A" w:rsidRPr="00275D64" w:rsidRDefault="0059552A" w:rsidP="00496272">
      <w:pPr>
        <w:numPr>
          <w:ilvl w:val="12"/>
          <w:numId w:val="0"/>
        </w:numPr>
        <w:tabs>
          <w:tab w:val="clear" w:pos="567"/>
          <w:tab w:val="left" w:pos="426"/>
        </w:tabs>
        <w:ind w:right="-29"/>
        <w:rPr>
          <w:lang w:val="pl-PL"/>
        </w:rPr>
      </w:pPr>
      <w:r w:rsidRPr="00275D64">
        <w:rPr>
          <w:lang w:val="pl-PL"/>
        </w:rPr>
        <w:t>4.</w:t>
      </w:r>
      <w:r w:rsidRPr="00275D64">
        <w:rPr>
          <w:lang w:val="pl-PL"/>
        </w:rPr>
        <w:tab/>
        <w:t>Możliwe działania niepożądane</w:t>
      </w:r>
    </w:p>
    <w:p w14:paraId="14D2DFD2" w14:textId="77777777" w:rsidR="0059552A" w:rsidRPr="00275D64" w:rsidRDefault="0059552A" w:rsidP="00496272">
      <w:pPr>
        <w:tabs>
          <w:tab w:val="clear" w:pos="567"/>
          <w:tab w:val="left" w:pos="426"/>
        </w:tabs>
        <w:ind w:right="-29"/>
        <w:rPr>
          <w:lang w:val="pl-PL"/>
        </w:rPr>
      </w:pPr>
      <w:r w:rsidRPr="00275D64">
        <w:rPr>
          <w:lang w:val="pl-PL"/>
        </w:rPr>
        <w:t>5.</w:t>
      </w:r>
      <w:r w:rsidRPr="00275D64">
        <w:rPr>
          <w:lang w:val="pl-PL"/>
        </w:rPr>
        <w:tab/>
        <w:t>Jak przechowywać lek Ovaleap</w:t>
      </w:r>
    </w:p>
    <w:p w14:paraId="78E13D1C" w14:textId="77777777" w:rsidR="0059552A" w:rsidRPr="00275D64" w:rsidRDefault="0059552A" w:rsidP="00496272">
      <w:pPr>
        <w:tabs>
          <w:tab w:val="clear" w:pos="567"/>
          <w:tab w:val="left" w:pos="426"/>
        </w:tabs>
        <w:ind w:right="-29"/>
        <w:rPr>
          <w:lang w:val="pl-PL"/>
        </w:rPr>
      </w:pPr>
      <w:r w:rsidRPr="00275D64">
        <w:rPr>
          <w:lang w:val="pl-PL"/>
        </w:rPr>
        <w:t>6.</w:t>
      </w:r>
      <w:r w:rsidRPr="00275D64">
        <w:rPr>
          <w:lang w:val="pl-PL"/>
        </w:rPr>
        <w:tab/>
        <w:t>Zawartość opakowania i inne informacje</w:t>
      </w:r>
    </w:p>
    <w:p w14:paraId="73F25E1B" w14:textId="77777777" w:rsidR="0059552A" w:rsidRPr="00275D64" w:rsidRDefault="0059552A" w:rsidP="00496272">
      <w:pPr>
        <w:numPr>
          <w:ilvl w:val="12"/>
          <w:numId w:val="0"/>
        </w:numPr>
        <w:tabs>
          <w:tab w:val="clear" w:pos="567"/>
        </w:tabs>
        <w:ind w:right="-2"/>
        <w:rPr>
          <w:lang w:val="pl-PL"/>
        </w:rPr>
      </w:pPr>
    </w:p>
    <w:p w14:paraId="34112EDD" w14:textId="77777777" w:rsidR="0059552A" w:rsidRPr="00275D64" w:rsidRDefault="0059552A" w:rsidP="00496272">
      <w:pPr>
        <w:numPr>
          <w:ilvl w:val="12"/>
          <w:numId w:val="0"/>
        </w:numPr>
        <w:tabs>
          <w:tab w:val="clear" w:pos="567"/>
        </w:tabs>
        <w:rPr>
          <w:szCs w:val="22"/>
          <w:lang w:val="pl-PL"/>
        </w:rPr>
      </w:pPr>
    </w:p>
    <w:p w14:paraId="123FB445" w14:textId="77777777" w:rsidR="0059552A" w:rsidRPr="00275D64" w:rsidRDefault="0059552A" w:rsidP="00496272">
      <w:pPr>
        <w:ind w:right="-2"/>
        <w:rPr>
          <w:b/>
          <w:szCs w:val="22"/>
          <w:lang w:val="pl-PL"/>
        </w:rPr>
      </w:pPr>
      <w:r w:rsidRPr="00275D64">
        <w:rPr>
          <w:b/>
          <w:lang w:val="pl-PL"/>
        </w:rPr>
        <w:t>1.</w:t>
      </w:r>
      <w:r w:rsidRPr="00275D64">
        <w:rPr>
          <w:lang w:val="pl-PL"/>
        </w:rPr>
        <w:tab/>
      </w:r>
      <w:r w:rsidRPr="00275D64">
        <w:rPr>
          <w:b/>
          <w:lang w:val="pl-PL"/>
        </w:rPr>
        <w:t>Co to jest lek Ovaleap i w jakim celu się go stosuje</w:t>
      </w:r>
    </w:p>
    <w:p w14:paraId="30F388B2" w14:textId="77777777" w:rsidR="0059552A" w:rsidRPr="00275D64" w:rsidRDefault="0059552A" w:rsidP="00496272">
      <w:pPr>
        <w:numPr>
          <w:ilvl w:val="12"/>
          <w:numId w:val="0"/>
        </w:numPr>
        <w:tabs>
          <w:tab w:val="clear" w:pos="567"/>
        </w:tabs>
        <w:rPr>
          <w:szCs w:val="22"/>
          <w:lang w:val="pl-PL"/>
        </w:rPr>
      </w:pPr>
    </w:p>
    <w:p w14:paraId="09CFCF09" w14:textId="77777777" w:rsidR="0059552A" w:rsidRPr="00275D64" w:rsidRDefault="0059552A" w:rsidP="00496272">
      <w:pPr>
        <w:tabs>
          <w:tab w:val="clear" w:pos="567"/>
        </w:tabs>
        <w:ind w:right="-2"/>
        <w:rPr>
          <w:b/>
          <w:szCs w:val="22"/>
          <w:lang w:val="pl-PL"/>
        </w:rPr>
      </w:pPr>
      <w:r w:rsidRPr="00275D64">
        <w:rPr>
          <w:b/>
          <w:lang w:val="pl-PL"/>
        </w:rPr>
        <w:t>Co to jest lek Ovaleap</w:t>
      </w:r>
    </w:p>
    <w:p w14:paraId="044652DB" w14:textId="77777777" w:rsidR="0059552A" w:rsidRPr="00275D64" w:rsidRDefault="0059552A" w:rsidP="00496272">
      <w:pPr>
        <w:tabs>
          <w:tab w:val="clear" w:pos="567"/>
        </w:tabs>
        <w:ind w:right="-2"/>
        <w:rPr>
          <w:szCs w:val="22"/>
          <w:lang w:val="pl-PL"/>
        </w:rPr>
      </w:pPr>
      <w:r w:rsidRPr="00275D64">
        <w:rPr>
          <w:lang w:val="pl-PL"/>
        </w:rPr>
        <w:t>Lek ten zawiera substancję czynną folitropina alfa, która jest prawie identyczna jak naturalny hormon wytwarzany przez organizm pacjentki, zwany „hormon folikulotropowy” (FSH). FSH jest gonadotropiną, czyli rodzajem hormonu odgrywającym ważną rolę w płodności i procesach rozrodczych u ludzi. U kobiet FSH jest potrzebny do wzrostu i rozwoju pęcherzyków w jajnikach, które zawierają komórki jajowe. U mężczyzn FSH jest potrzebny do wytwarzania nasienia.</w:t>
      </w:r>
    </w:p>
    <w:p w14:paraId="18E55315" w14:textId="77777777" w:rsidR="0059552A" w:rsidRPr="00275D64" w:rsidRDefault="0059552A" w:rsidP="00496272">
      <w:pPr>
        <w:tabs>
          <w:tab w:val="clear" w:pos="567"/>
        </w:tabs>
        <w:ind w:right="-2"/>
        <w:rPr>
          <w:szCs w:val="22"/>
          <w:lang w:val="pl-PL"/>
        </w:rPr>
      </w:pPr>
    </w:p>
    <w:p w14:paraId="30B116F6" w14:textId="77777777" w:rsidR="0059552A" w:rsidRPr="00275D64" w:rsidRDefault="0059552A" w:rsidP="00496272">
      <w:pPr>
        <w:tabs>
          <w:tab w:val="clear" w:pos="567"/>
        </w:tabs>
        <w:ind w:right="-2"/>
        <w:rPr>
          <w:b/>
          <w:szCs w:val="22"/>
          <w:lang w:val="pl-PL"/>
        </w:rPr>
      </w:pPr>
      <w:r w:rsidRPr="00275D64">
        <w:rPr>
          <w:b/>
          <w:lang w:val="pl-PL"/>
        </w:rPr>
        <w:t>W jakim celu stosuje się lek Ovaleap</w:t>
      </w:r>
    </w:p>
    <w:p w14:paraId="14CA960A" w14:textId="77777777" w:rsidR="0059552A" w:rsidRPr="00275D64" w:rsidRDefault="0059552A" w:rsidP="00496272">
      <w:pPr>
        <w:tabs>
          <w:tab w:val="clear" w:pos="567"/>
        </w:tabs>
        <w:ind w:right="-2"/>
        <w:rPr>
          <w:szCs w:val="22"/>
          <w:u w:val="single"/>
          <w:lang w:val="pl-PL"/>
        </w:rPr>
      </w:pPr>
    </w:p>
    <w:p w14:paraId="3AEAB9BA" w14:textId="77777777" w:rsidR="0059552A" w:rsidRPr="00275D64" w:rsidRDefault="0059552A" w:rsidP="00496272">
      <w:pPr>
        <w:tabs>
          <w:tab w:val="clear" w:pos="567"/>
        </w:tabs>
        <w:ind w:right="-2"/>
        <w:rPr>
          <w:szCs w:val="22"/>
          <w:u w:val="single"/>
          <w:lang w:val="pl-PL"/>
        </w:rPr>
      </w:pPr>
      <w:r w:rsidRPr="00275D64">
        <w:rPr>
          <w:u w:val="single"/>
          <w:lang w:val="pl-PL"/>
        </w:rPr>
        <w:t>U dorosłych kobiet lek Ovaleap stosuje się:</w:t>
      </w:r>
    </w:p>
    <w:p w14:paraId="59E3E1F8" w14:textId="77777777" w:rsidR="0059552A" w:rsidRPr="00275D64" w:rsidRDefault="0059552A" w:rsidP="002F3A44">
      <w:pPr>
        <w:numPr>
          <w:ilvl w:val="0"/>
          <w:numId w:val="15"/>
        </w:numPr>
        <w:tabs>
          <w:tab w:val="clear" w:pos="567"/>
        </w:tabs>
        <w:ind w:left="567" w:hanging="567"/>
        <w:rPr>
          <w:szCs w:val="22"/>
          <w:lang w:val="pl-PL"/>
        </w:rPr>
      </w:pPr>
      <w:r w:rsidRPr="00275D64">
        <w:rPr>
          <w:lang w:val="pl-PL"/>
        </w:rPr>
        <w:t>w celu pomocy w jajeczkowaniu (uwolnieniu dojrzałej komórki jajowej z pęcherzyka) u kobiet z brakiem jajeczkowania, które nie odpowiedziały na leczenie lekiem zwanym „cytrynianem klomifenu”;</w:t>
      </w:r>
    </w:p>
    <w:p w14:paraId="1660D94A" w14:textId="77777777" w:rsidR="0059552A" w:rsidRPr="00275D64" w:rsidRDefault="0059552A" w:rsidP="002F3A44">
      <w:pPr>
        <w:numPr>
          <w:ilvl w:val="0"/>
          <w:numId w:val="15"/>
        </w:numPr>
        <w:tabs>
          <w:tab w:val="clear" w:pos="567"/>
        </w:tabs>
        <w:ind w:left="567" w:hanging="567"/>
        <w:rPr>
          <w:szCs w:val="22"/>
          <w:lang w:val="pl-PL"/>
        </w:rPr>
      </w:pPr>
      <w:r w:rsidRPr="00275D64">
        <w:rPr>
          <w:lang w:val="pl-PL"/>
        </w:rPr>
        <w:t>w celu wywołania wzrostu pęcherzyków jajnikowych u kobiet poddanych technikom wspomaganego rozrodu (dzięki którym kobieta może zajść w ciążę), takim jak „zapłodnienie pozaustrojowe”, „dojajowodowe podanie gamet” lub „dojajowodowe podanie zygoty”;</w:t>
      </w:r>
    </w:p>
    <w:p w14:paraId="1C7C9878" w14:textId="77777777" w:rsidR="0059552A" w:rsidRPr="00275D64" w:rsidRDefault="0059552A" w:rsidP="002F3A44">
      <w:pPr>
        <w:numPr>
          <w:ilvl w:val="0"/>
          <w:numId w:val="15"/>
        </w:numPr>
        <w:tabs>
          <w:tab w:val="clear" w:pos="567"/>
        </w:tabs>
        <w:ind w:left="567" w:hanging="567"/>
        <w:rPr>
          <w:szCs w:val="22"/>
          <w:lang w:val="pl-PL"/>
        </w:rPr>
      </w:pPr>
      <w:r w:rsidRPr="00275D64">
        <w:rPr>
          <w:lang w:val="pl-PL"/>
        </w:rPr>
        <w:t>w skojarzeniu z lekiem zwanym „lutropina alfa” (wersja innej gonadotropiny, „hormon luteinizujący” lub LH) w celu pomocy w jajeczkowaniu u kobiet z brakiem jajeczkowania spowodowanym zbyt małym wytwarzaniem FSH i LH przez ich organizm.</w:t>
      </w:r>
    </w:p>
    <w:p w14:paraId="72F1E9FD" w14:textId="77777777" w:rsidR="0059552A" w:rsidRPr="00275D64" w:rsidRDefault="0059552A" w:rsidP="00496272">
      <w:pPr>
        <w:rPr>
          <w:lang w:val="pl-PL"/>
        </w:rPr>
      </w:pPr>
    </w:p>
    <w:p w14:paraId="45AA8A2B" w14:textId="77777777" w:rsidR="0059552A" w:rsidRPr="00275D64" w:rsidRDefault="0059552A" w:rsidP="00496272">
      <w:pPr>
        <w:rPr>
          <w:u w:val="single"/>
          <w:lang w:val="pl-PL"/>
        </w:rPr>
      </w:pPr>
      <w:r w:rsidRPr="00275D64">
        <w:rPr>
          <w:u w:val="single"/>
          <w:lang w:val="pl-PL"/>
        </w:rPr>
        <w:t>U dorosłych mężczyzn lek Ovaleap stosuje się:</w:t>
      </w:r>
    </w:p>
    <w:p w14:paraId="3A8365D1" w14:textId="77777777" w:rsidR="0059552A" w:rsidRPr="00275D64" w:rsidRDefault="0059552A" w:rsidP="002F3A44">
      <w:pPr>
        <w:numPr>
          <w:ilvl w:val="0"/>
          <w:numId w:val="16"/>
        </w:numPr>
        <w:ind w:left="567" w:hanging="567"/>
        <w:rPr>
          <w:lang w:val="pl-PL"/>
        </w:rPr>
      </w:pPr>
      <w:r w:rsidRPr="00275D64">
        <w:rPr>
          <w:lang w:val="pl-PL"/>
        </w:rPr>
        <w:t>w skojarzeniu z lekiem zwanym „ludzka gonadotropina łożyskowa” (hCG) w celu pomocy produkcji nasienia u mężczyzn, którzy są niepłodni z powodu małego stężenia pewnych hormonów.</w:t>
      </w:r>
    </w:p>
    <w:p w14:paraId="5DE5E6BB" w14:textId="77777777" w:rsidR="0059552A" w:rsidRPr="00275D64" w:rsidRDefault="0059552A" w:rsidP="00496272">
      <w:pPr>
        <w:tabs>
          <w:tab w:val="clear" w:pos="567"/>
        </w:tabs>
        <w:ind w:right="-2"/>
        <w:rPr>
          <w:szCs w:val="22"/>
          <w:highlight w:val="yellow"/>
          <w:lang w:val="pl-PL"/>
        </w:rPr>
      </w:pPr>
    </w:p>
    <w:p w14:paraId="57D16BAC" w14:textId="77777777" w:rsidR="0059552A" w:rsidRPr="00275D64" w:rsidRDefault="0059552A" w:rsidP="00496272">
      <w:pPr>
        <w:tabs>
          <w:tab w:val="clear" w:pos="567"/>
        </w:tabs>
        <w:ind w:right="-2"/>
        <w:rPr>
          <w:szCs w:val="22"/>
          <w:highlight w:val="yellow"/>
          <w:lang w:val="pl-PL"/>
        </w:rPr>
      </w:pPr>
    </w:p>
    <w:p w14:paraId="181C9A3A" w14:textId="77777777" w:rsidR="0059552A" w:rsidRPr="00275D64" w:rsidRDefault="0059552A" w:rsidP="00496272">
      <w:pPr>
        <w:keepNext/>
        <w:keepLines/>
        <w:ind w:right="-2"/>
        <w:rPr>
          <w:b/>
          <w:szCs w:val="22"/>
          <w:lang w:val="pl-PL"/>
        </w:rPr>
      </w:pPr>
      <w:r w:rsidRPr="00275D64">
        <w:rPr>
          <w:b/>
          <w:lang w:val="pl-PL"/>
        </w:rPr>
        <w:lastRenderedPageBreak/>
        <w:t>2.</w:t>
      </w:r>
      <w:r w:rsidRPr="00275D64">
        <w:rPr>
          <w:lang w:val="pl-PL"/>
        </w:rPr>
        <w:tab/>
      </w:r>
      <w:r w:rsidRPr="00275D64">
        <w:rPr>
          <w:b/>
          <w:lang w:val="pl-PL"/>
        </w:rPr>
        <w:t>Informacje ważne przed zastosowaniem leku Ovaleap</w:t>
      </w:r>
    </w:p>
    <w:p w14:paraId="1C555666" w14:textId="77777777" w:rsidR="0059552A" w:rsidRPr="00275D64" w:rsidRDefault="0059552A" w:rsidP="00496272">
      <w:pPr>
        <w:keepNext/>
        <w:keepLines/>
        <w:numPr>
          <w:ilvl w:val="12"/>
          <w:numId w:val="0"/>
        </w:numPr>
        <w:tabs>
          <w:tab w:val="clear" w:pos="567"/>
        </w:tabs>
        <w:outlineLvl w:val="0"/>
        <w:rPr>
          <w:i/>
          <w:szCs w:val="22"/>
          <w:lang w:val="pl-PL"/>
        </w:rPr>
      </w:pPr>
    </w:p>
    <w:p w14:paraId="10E04ACB" w14:textId="77777777" w:rsidR="0059552A" w:rsidRPr="00275D64" w:rsidRDefault="0059552A" w:rsidP="00496272">
      <w:pPr>
        <w:keepNext/>
        <w:keepLines/>
        <w:numPr>
          <w:ilvl w:val="12"/>
          <w:numId w:val="0"/>
        </w:numPr>
        <w:tabs>
          <w:tab w:val="clear" w:pos="567"/>
        </w:tabs>
        <w:outlineLvl w:val="0"/>
        <w:rPr>
          <w:szCs w:val="22"/>
          <w:lang w:val="pl-PL"/>
        </w:rPr>
      </w:pPr>
      <w:r w:rsidRPr="00275D64">
        <w:rPr>
          <w:b/>
          <w:lang w:val="pl-PL"/>
        </w:rPr>
        <w:t>Kiedy nie stosować leku Ovaleap:</w:t>
      </w:r>
    </w:p>
    <w:p w14:paraId="07A20905" w14:textId="77777777" w:rsidR="0059552A" w:rsidRPr="00275D64" w:rsidRDefault="0059552A" w:rsidP="002F3A44">
      <w:pPr>
        <w:numPr>
          <w:ilvl w:val="0"/>
          <w:numId w:val="16"/>
        </w:numPr>
        <w:tabs>
          <w:tab w:val="clear" w:pos="567"/>
        </w:tabs>
        <w:ind w:left="567" w:hanging="567"/>
        <w:rPr>
          <w:szCs w:val="22"/>
          <w:lang w:val="pl-PL"/>
        </w:rPr>
      </w:pPr>
      <w:r w:rsidRPr="00275D64">
        <w:rPr>
          <w:lang w:val="pl-PL"/>
        </w:rPr>
        <w:t>jeśli pacjent ma uczulenie na folitropinę alfa, hormon folikulotropowy (FSH) lub którykolwiek z pozostałych składników tego leku (wymienionych w punkcie 6).</w:t>
      </w:r>
    </w:p>
    <w:p w14:paraId="6E40ABED" w14:textId="77777777" w:rsidR="0059552A" w:rsidRPr="00275D64" w:rsidRDefault="0059552A" w:rsidP="002F3A44">
      <w:pPr>
        <w:numPr>
          <w:ilvl w:val="0"/>
          <w:numId w:val="16"/>
        </w:numPr>
        <w:tabs>
          <w:tab w:val="clear" w:pos="567"/>
        </w:tabs>
        <w:ind w:left="567" w:hanging="567"/>
        <w:rPr>
          <w:szCs w:val="22"/>
          <w:lang w:val="pl-PL"/>
        </w:rPr>
      </w:pPr>
      <w:r w:rsidRPr="00275D64">
        <w:rPr>
          <w:lang w:val="pl-PL"/>
        </w:rPr>
        <w:t>jeśli u pacjenta występują guzy podwzgórza lub przysadki mózgowej (części mózgu).</w:t>
      </w:r>
    </w:p>
    <w:p w14:paraId="42109C42" w14:textId="77777777" w:rsidR="0059552A" w:rsidRPr="00275D64" w:rsidRDefault="0059552A" w:rsidP="002F3A44">
      <w:pPr>
        <w:numPr>
          <w:ilvl w:val="0"/>
          <w:numId w:val="16"/>
        </w:numPr>
        <w:tabs>
          <w:tab w:val="clear" w:pos="567"/>
        </w:tabs>
        <w:ind w:left="567" w:hanging="567"/>
        <w:rPr>
          <w:szCs w:val="22"/>
          <w:lang w:val="pl-PL"/>
        </w:rPr>
      </w:pPr>
      <w:r w:rsidRPr="00275D64">
        <w:rPr>
          <w:lang w:val="pl-PL"/>
        </w:rPr>
        <w:t xml:space="preserve">u </w:t>
      </w:r>
      <w:r w:rsidRPr="00275D64">
        <w:rPr>
          <w:b/>
          <w:i/>
          <w:lang w:val="pl-PL"/>
        </w:rPr>
        <w:t>kobiet</w:t>
      </w:r>
      <w:r w:rsidRPr="00275D64">
        <w:rPr>
          <w:lang w:val="pl-PL"/>
        </w:rPr>
        <w:t>:</w:t>
      </w:r>
    </w:p>
    <w:p w14:paraId="12475EE1" w14:textId="77777777" w:rsidR="0059552A" w:rsidRPr="00275D64" w:rsidRDefault="0059552A" w:rsidP="002F3A44">
      <w:pPr>
        <w:numPr>
          <w:ilvl w:val="0"/>
          <w:numId w:val="17"/>
        </w:numPr>
        <w:tabs>
          <w:tab w:val="clear" w:pos="567"/>
        </w:tabs>
        <w:ind w:left="1491" w:hanging="357"/>
        <w:rPr>
          <w:szCs w:val="22"/>
          <w:lang w:val="pl-PL"/>
        </w:rPr>
      </w:pPr>
      <w:r w:rsidRPr="00275D64">
        <w:rPr>
          <w:lang w:val="pl-PL"/>
        </w:rPr>
        <w:t>jeśli stwierdzono powiększenie jajników lub torebki płynu w jajnikach (torbiele jajników) o nieznanej przyczynie.</w:t>
      </w:r>
    </w:p>
    <w:p w14:paraId="570F9B7A" w14:textId="77777777" w:rsidR="0059552A" w:rsidRPr="00275D64" w:rsidRDefault="0059552A" w:rsidP="002F3A44">
      <w:pPr>
        <w:numPr>
          <w:ilvl w:val="0"/>
          <w:numId w:val="17"/>
        </w:numPr>
        <w:tabs>
          <w:tab w:val="clear" w:pos="567"/>
        </w:tabs>
        <w:ind w:left="1491" w:hanging="357"/>
        <w:rPr>
          <w:szCs w:val="22"/>
          <w:lang w:val="pl-PL"/>
        </w:rPr>
      </w:pPr>
      <w:r w:rsidRPr="00275D64">
        <w:rPr>
          <w:lang w:val="pl-PL"/>
        </w:rPr>
        <w:t>jeśli występują krwawienia z pochwy o nieznanej przyczynie.</w:t>
      </w:r>
    </w:p>
    <w:p w14:paraId="0CCC8AF0" w14:textId="77777777" w:rsidR="0059552A" w:rsidRPr="00275D64" w:rsidRDefault="0059552A" w:rsidP="002F3A44">
      <w:pPr>
        <w:numPr>
          <w:ilvl w:val="0"/>
          <w:numId w:val="17"/>
        </w:numPr>
        <w:tabs>
          <w:tab w:val="clear" w:pos="567"/>
        </w:tabs>
        <w:ind w:left="1491" w:hanging="357"/>
        <w:rPr>
          <w:szCs w:val="22"/>
          <w:lang w:val="pl-PL"/>
        </w:rPr>
      </w:pPr>
      <w:r w:rsidRPr="00275D64">
        <w:rPr>
          <w:lang w:val="pl-PL"/>
        </w:rPr>
        <w:t>jeśli stwierdzono raka jajników, macicy lub piersi.</w:t>
      </w:r>
    </w:p>
    <w:p w14:paraId="1DFAD715" w14:textId="77777777" w:rsidR="0059552A" w:rsidRPr="00275D64" w:rsidRDefault="0059552A" w:rsidP="002F3A44">
      <w:pPr>
        <w:numPr>
          <w:ilvl w:val="0"/>
          <w:numId w:val="17"/>
        </w:numPr>
        <w:tabs>
          <w:tab w:val="clear" w:pos="567"/>
        </w:tabs>
        <w:ind w:left="1491" w:hanging="357"/>
        <w:rPr>
          <w:szCs w:val="22"/>
          <w:lang w:val="pl-PL"/>
        </w:rPr>
      </w:pPr>
      <w:r w:rsidRPr="00275D64">
        <w:rPr>
          <w:lang w:val="pl-PL"/>
        </w:rPr>
        <w:t>jeśli istnieją stany, które zazwyczaj sprawiają, że prawidłowa ciąża jest niemożliwa, takie jak niewydolność jajników (przedwczesna menopauza), włókniako-mięśniaki macicy lub wada rozwojowa narządów płciowych.</w:t>
      </w:r>
    </w:p>
    <w:p w14:paraId="3B19F574" w14:textId="77777777" w:rsidR="0059552A" w:rsidRPr="00275D64" w:rsidRDefault="0059552A" w:rsidP="002F3A44">
      <w:pPr>
        <w:numPr>
          <w:ilvl w:val="0"/>
          <w:numId w:val="18"/>
        </w:numPr>
        <w:ind w:left="567" w:hanging="567"/>
        <w:rPr>
          <w:lang w:val="pl-PL"/>
        </w:rPr>
      </w:pPr>
      <w:r w:rsidRPr="00275D64">
        <w:rPr>
          <w:lang w:val="pl-PL"/>
        </w:rPr>
        <w:t xml:space="preserve">u </w:t>
      </w:r>
      <w:r w:rsidRPr="00275D64">
        <w:rPr>
          <w:b/>
          <w:i/>
          <w:lang w:val="pl-PL"/>
        </w:rPr>
        <w:t>mężczyzn</w:t>
      </w:r>
      <w:r w:rsidRPr="00275D64">
        <w:rPr>
          <w:lang w:val="pl-PL"/>
        </w:rPr>
        <w:t>:</w:t>
      </w:r>
    </w:p>
    <w:p w14:paraId="6DEA3F26" w14:textId="77777777" w:rsidR="0059552A" w:rsidRPr="00275D64" w:rsidRDefault="0059552A" w:rsidP="002F3A44">
      <w:pPr>
        <w:numPr>
          <w:ilvl w:val="0"/>
          <w:numId w:val="17"/>
        </w:numPr>
        <w:tabs>
          <w:tab w:val="clear" w:pos="567"/>
        </w:tabs>
        <w:ind w:left="1491" w:hanging="357"/>
        <w:rPr>
          <w:lang w:val="pl-PL"/>
        </w:rPr>
      </w:pPr>
      <w:r w:rsidRPr="00275D64">
        <w:rPr>
          <w:lang w:val="pl-PL"/>
        </w:rPr>
        <w:t>jeśli występuje niewydolność jąder, której nie można leczyć.</w:t>
      </w:r>
    </w:p>
    <w:p w14:paraId="4E85971B" w14:textId="77777777" w:rsidR="0059552A" w:rsidRPr="00275D64" w:rsidRDefault="0059552A" w:rsidP="00496272">
      <w:pPr>
        <w:rPr>
          <w:lang w:val="pl-PL"/>
        </w:rPr>
      </w:pPr>
    </w:p>
    <w:p w14:paraId="7602BBD9" w14:textId="77777777" w:rsidR="0059552A" w:rsidRPr="00275D64" w:rsidRDefault="0059552A" w:rsidP="00496272">
      <w:pPr>
        <w:rPr>
          <w:lang w:val="pl-PL"/>
        </w:rPr>
      </w:pPr>
      <w:r w:rsidRPr="00275D64">
        <w:rPr>
          <w:lang w:val="pl-PL"/>
        </w:rPr>
        <w:t>Leku tego nie wolno stosować, kiedy którykolwiek z wyżej wymienionych punktów dotyczy pacjenta. W razie wątpliwości należy się zwrócić do lekarza lub farmaceuty przed zastosowaniem leku.</w:t>
      </w:r>
    </w:p>
    <w:p w14:paraId="61ED7A40" w14:textId="77777777" w:rsidR="0059552A" w:rsidRPr="00275D64" w:rsidRDefault="0059552A" w:rsidP="00496272">
      <w:pPr>
        <w:numPr>
          <w:ilvl w:val="12"/>
          <w:numId w:val="0"/>
        </w:numPr>
        <w:tabs>
          <w:tab w:val="clear" w:pos="567"/>
        </w:tabs>
        <w:rPr>
          <w:szCs w:val="22"/>
          <w:lang w:val="pl-PL"/>
        </w:rPr>
      </w:pPr>
    </w:p>
    <w:p w14:paraId="6E77E45B" w14:textId="77777777" w:rsidR="0059552A" w:rsidRPr="00275D64" w:rsidRDefault="0059552A" w:rsidP="00496272">
      <w:pPr>
        <w:numPr>
          <w:ilvl w:val="12"/>
          <w:numId w:val="0"/>
        </w:numPr>
        <w:tabs>
          <w:tab w:val="clear" w:pos="567"/>
        </w:tabs>
        <w:outlineLvl w:val="0"/>
        <w:rPr>
          <w:b/>
          <w:szCs w:val="22"/>
          <w:lang w:val="pl-PL"/>
        </w:rPr>
      </w:pPr>
      <w:r w:rsidRPr="00275D64">
        <w:rPr>
          <w:b/>
          <w:lang w:val="pl-PL"/>
        </w:rPr>
        <w:t>Ostrzeżenia i środki ostrożności</w:t>
      </w:r>
    </w:p>
    <w:p w14:paraId="0880619C" w14:textId="77777777" w:rsidR="0059552A" w:rsidRPr="00275D64" w:rsidRDefault="0059552A" w:rsidP="00496272">
      <w:pPr>
        <w:numPr>
          <w:ilvl w:val="12"/>
          <w:numId w:val="0"/>
        </w:numPr>
        <w:tabs>
          <w:tab w:val="clear" w:pos="567"/>
        </w:tabs>
        <w:ind w:right="-2"/>
        <w:rPr>
          <w:szCs w:val="22"/>
          <w:lang w:val="pl-PL"/>
        </w:rPr>
      </w:pPr>
      <w:r w:rsidRPr="00275D64">
        <w:rPr>
          <w:lang w:val="pl-PL"/>
        </w:rPr>
        <w:t>Przed rozpoczęciem leczenia konieczna jest ocena płodności pacjenta/pacjentki i partnera przez lekarza z doświadczeniem w leczeniu zaburzeń płodności.</w:t>
      </w:r>
    </w:p>
    <w:p w14:paraId="402D5C89" w14:textId="77777777" w:rsidR="0059552A" w:rsidRPr="00275D64" w:rsidRDefault="0059552A" w:rsidP="00496272">
      <w:pPr>
        <w:numPr>
          <w:ilvl w:val="12"/>
          <w:numId w:val="0"/>
        </w:numPr>
        <w:tabs>
          <w:tab w:val="clear" w:pos="567"/>
        </w:tabs>
        <w:rPr>
          <w:szCs w:val="22"/>
          <w:lang w:val="pl-PL"/>
        </w:rPr>
      </w:pPr>
    </w:p>
    <w:p w14:paraId="2743DCD2" w14:textId="77777777" w:rsidR="0059552A" w:rsidRPr="00275D64" w:rsidRDefault="0059552A" w:rsidP="00496272">
      <w:pPr>
        <w:numPr>
          <w:ilvl w:val="12"/>
          <w:numId w:val="0"/>
        </w:numPr>
        <w:tabs>
          <w:tab w:val="clear" w:pos="567"/>
        </w:tabs>
        <w:rPr>
          <w:szCs w:val="22"/>
          <w:u w:val="single"/>
          <w:lang w:val="pl-PL"/>
        </w:rPr>
      </w:pPr>
      <w:r w:rsidRPr="00275D64">
        <w:rPr>
          <w:u w:val="single"/>
          <w:lang w:val="pl-PL"/>
        </w:rPr>
        <w:t>Porfiria</w:t>
      </w:r>
    </w:p>
    <w:p w14:paraId="717B3116" w14:textId="77777777" w:rsidR="0059552A" w:rsidRPr="00275D64" w:rsidRDefault="0059552A" w:rsidP="00496272">
      <w:pPr>
        <w:numPr>
          <w:ilvl w:val="12"/>
          <w:numId w:val="0"/>
        </w:numPr>
        <w:tabs>
          <w:tab w:val="clear" w:pos="567"/>
        </w:tabs>
        <w:rPr>
          <w:szCs w:val="22"/>
          <w:lang w:val="pl-PL"/>
        </w:rPr>
      </w:pPr>
      <w:r w:rsidRPr="00275D64">
        <w:rPr>
          <w:lang w:val="pl-PL"/>
        </w:rPr>
        <w:t>Jeśli pacjent lub którykolwiek członek jego rodziny jest chory na porfirię, powinien poinformować o tym lekarza prowadzącego przed rozpoczęciem leczenia. Jest to choroba, która może być przekazywana dziedzicznie przez rodziców dzieciom i która oznacza niezdolność rozkładania porfiryn (związków organicznych).</w:t>
      </w:r>
    </w:p>
    <w:p w14:paraId="1E17202A" w14:textId="77777777" w:rsidR="0059552A" w:rsidRPr="00275D64" w:rsidRDefault="0059552A" w:rsidP="00496272">
      <w:pPr>
        <w:numPr>
          <w:ilvl w:val="12"/>
          <w:numId w:val="0"/>
        </w:numPr>
        <w:tabs>
          <w:tab w:val="clear" w:pos="567"/>
        </w:tabs>
        <w:rPr>
          <w:szCs w:val="22"/>
          <w:lang w:val="pl-PL"/>
        </w:rPr>
      </w:pPr>
      <w:r w:rsidRPr="00275D64">
        <w:rPr>
          <w:lang w:val="pl-PL"/>
        </w:rPr>
        <w:t>Należy niezwłocznie powiadomić lekarza prowadzącego, jeśli:</w:t>
      </w:r>
    </w:p>
    <w:p w14:paraId="7839B8CE" w14:textId="77777777" w:rsidR="0059552A" w:rsidRPr="00275D64" w:rsidRDefault="0059552A" w:rsidP="002F3A44">
      <w:pPr>
        <w:numPr>
          <w:ilvl w:val="0"/>
          <w:numId w:val="18"/>
        </w:numPr>
        <w:tabs>
          <w:tab w:val="clear" w:pos="567"/>
        </w:tabs>
        <w:ind w:left="567" w:hanging="567"/>
        <w:rPr>
          <w:szCs w:val="22"/>
          <w:lang w:val="pl-PL"/>
        </w:rPr>
      </w:pPr>
      <w:r w:rsidRPr="00275D64">
        <w:rPr>
          <w:lang w:val="pl-PL"/>
        </w:rPr>
        <w:t>u pacjenta wystąpi zwiększona delikatność skóry i podatność na pokrywanie się pęcherzykami, zwłaszcza w przypadku skóry często wystawianej na słońce i (lub)</w:t>
      </w:r>
    </w:p>
    <w:p w14:paraId="5973B6F6" w14:textId="77777777" w:rsidR="0059552A" w:rsidRPr="00275D64" w:rsidRDefault="0059552A" w:rsidP="002F3A44">
      <w:pPr>
        <w:numPr>
          <w:ilvl w:val="0"/>
          <w:numId w:val="18"/>
        </w:numPr>
        <w:tabs>
          <w:tab w:val="clear" w:pos="567"/>
        </w:tabs>
        <w:ind w:left="567" w:hanging="567"/>
        <w:rPr>
          <w:szCs w:val="22"/>
          <w:lang w:val="pl-PL"/>
        </w:rPr>
      </w:pPr>
      <w:r w:rsidRPr="00275D64">
        <w:rPr>
          <w:lang w:val="pl-PL"/>
        </w:rPr>
        <w:t>wystąpi ból żołądka, rąk lub nóg.</w:t>
      </w:r>
    </w:p>
    <w:p w14:paraId="473EEC95" w14:textId="77777777" w:rsidR="0059552A" w:rsidRPr="00275D64" w:rsidRDefault="0059552A" w:rsidP="00496272">
      <w:pPr>
        <w:numPr>
          <w:ilvl w:val="12"/>
          <w:numId w:val="0"/>
        </w:numPr>
        <w:tabs>
          <w:tab w:val="clear" w:pos="567"/>
        </w:tabs>
        <w:rPr>
          <w:szCs w:val="22"/>
          <w:lang w:val="pl-PL"/>
        </w:rPr>
      </w:pPr>
      <w:r w:rsidRPr="00275D64">
        <w:rPr>
          <w:lang w:val="pl-PL"/>
        </w:rPr>
        <w:t>W przypadku wystąpienia powyższych objawów lekarz prowadzący może zalecić przerwanie leczenia.</w:t>
      </w:r>
    </w:p>
    <w:p w14:paraId="5406FB93" w14:textId="77777777" w:rsidR="0059552A" w:rsidRPr="00275D64" w:rsidRDefault="0059552A" w:rsidP="00496272">
      <w:pPr>
        <w:numPr>
          <w:ilvl w:val="12"/>
          <w:numId w:val="0"/>
        </w:numPr>
        <w:tabs>
          <w:tab w:val="clear" w:pos="567"/>
        </w:tabs>
        <w:rPr>
          <w:szCs w:val="22"/>
          <w:lang w:val="pl-PL"/>
        </w:rPr>
      </w:pPr>
    </w:p>
    <w:p w14:paraId="2AEE2260" w14:textId="77777777" w:rsidR="0059552A" w:rsidRPr="004E70A1" w:rsidRDefault="0059552A" w:rsidP="00496272">
      <w:pPr>
        <w:numPr>
          <w:ilvl w:val="12"/>
          <w:numId w:val="0"/>
        </w:numPr>
        <w:tabs>
          <w:tab w:val="clear" w:pos="567"/>
        </w:tabs>
        <w:rPr>
          <w:szCs w:val="22"/>
          <w:u w:val="single"/>
          <w:lang w:val="sv-SE"/>
        </w:rPr>
      </w:pPr>
      <w:r w:rsidRPr="00275D64">
        <w:rPr>
          <w:u w:val="single"/>
          <w:lang w:val="pl-PL"/>
        </w:rPr>
        <w:t xml:space="preserve">Zespół nadmiernej stymulacji jajników (ang. </w:t>
      </w:r>
      <w:r w:rsidRPr="004E70A1">
        <w:rPr>
          <w:i/>
          <w:u w:val="single"/>
          <w:lang w:val="sv-SE"/>
        </w:rPr>
        <w:t>Ovarian Hyper</w:t>
      </w:r>
      <w:r w:rsidRPr="004E70A1">
        <w:rPr>
          <w:lang w:val="sv-SE"/>
        </w:rPr>
        <w:noBreakHyphen/>
      </w:r>
      <w:r w:rsidRPr="004E70A1">
        <w:rPr>
          <w:i/>
          <w:u w:val="single"/>
          <w:lang w:val="sv-SE"/>
        </w:rPr>
        <w:t>Stimulation Syndrome</w:t>
      </w:r>
      <w:r w:rsidRPr="004E70A1">
        <w:rPr>
          <w:u w:val="single"/>
          <w:lang w:val="sv-SE"/>
        </w:rPr>
        <w:t>, OHSS)</w:t>
      </w:r>
    </w:p>
    <w:p w14:paraId="0CA98CE7" w14:textId="77777777" w:rsidR="0059552A" w:rsidRPr="00275D64" w:rsidRDefault="0059552A" w:rsidP="00496272">
      <w:pPr>
        <w:numPr>
          <w:ilvl w:val="12"/>
          <w:numId w:val="0"/>
        </w:numPr>
        <w:tabs>
          <w:tab w:val="clear" w:pos="567"/>
        </w:tabs>
        <w:rPr>
          <w:szCs w:val="22"/>
          <w:lang w:val="pl-PL"/>
        </w:rPr>
      </w:pPr>
      <w:r w:rsidRPr="00275D64">
        <w:rPr>
          <w:lang w:val="pl-PL"/>
        </w:rPr>
        <w:t>W przypadku kobiet lek zwiększa ryzyko rozwoju zespołu OHSS. Wówczas dochodzi do nadmiernego rozwoju pęcherzyków jajnika, z których powstają duże torbiele.</w:t>
      </w:r>
    </w:p>
    <w:p w14:paraId="5F8F2D18" w14:textId="77777777" w:rsidR="0059552A" w:rsidRPr="00275D64" w:rsidRDefault="0059552A" w:rsidP="00496272">
      <w:pPr>
        <w:numPr>
          <w:ilvl w:val="12"/>
          <w:numId w:val="0"/>
        </w:numPr>
        <w:tabs>
          <w:tab w:val="clear" w:pos="567"/>
        </w:tabs>
        <w:rPr>
          <w:szCs w:val="22"/>
          <w:lang w:val="pl-PL"/>
        </w:rPr>
      </w:pPr>
    </w:p>
    <w:p w14:paraId="12C1CDE2" w14:textId="77777777" w:rsidR="0059552A" w:rsidRPr="00275D64" w:rsidRDefault="0059552A" w:rsidP="00496272">
      <w:pPr>
        <w:numPr>
          <w:ilvl w:val="12"/>
          <w:numId w:val="0"/>
        </w:numPr>
        <w:tabs>
          <w:tab w:val="clear" w:pos="567"/>
        </w:tabs>
        <w:rPr>
          <w:szCs w:val="22"/>
          <w:lang w:val="pl-PL"/>
        </w:rPr>
      </w:pPr>
      <w:r w:rsidRPr="00275D64">
        <w:rPr>
          <w:lang w:val="pl-PL"/>
        </w:rPr>
        <w:t>Należy niezwłocznie powiadomić lekarza prowadzącego:</w:t>
      </w:r>
    </w:p>
    <w:p w14:paraId="30041A9D" w14:textId="77777777" w:rsidR="0059552A" w:rsidRPr="00275D64" w:rsidRDefault="0059552A" w:rsidP="002F3A44">
      <w:pPr>
        <w:numPr>
          <w:ilvl w:val="0"/>
          <w:numId w:val="18"/>
        </w:numPr>
        <w:tabs>
          <w:tab w:val="clear" w:pos="567"/>
        </w:tabs>
        <w:ind w:left="567" w:hanging="567"/>
        <w:rPr>
          <w:szCs w:val="22"/>
          <w:lang w:val="pl-PL"/>
        </w:rPr>
      </w:pPr>
      <w:r w:rsidRPr="00275D64">
        <w:rPr>
          <w:lang w:val="pl-PL"/>
        </w:rPr>
        <w:t>jeśli u pacjentki wystąpi ból w dolnej części brzucha,</w:t>
      </w:r>
    </w:p>
    <w:p w14:paraId="287DC5C3" w14:textId="77777777" w:rsidR="0059552A" w:rsidRPr="00275D64" w:rsidRDefault="0059552A" w:rsidP="002F3A44">
      <w:pPr>
        <w:numPr>
          <w:ilvl w:val="0"/>
          <w:numId w:val="18"/>
        </w:numPr>
        <w:tabs>
          <w:tab w:val="clear" w:pos="567"/>
        </w:tabs>
        <w:ind w:left="567" w:hanging="567"/>
        <w:rPr>
          <w:szCs w:val="22"/>
          <w:lang w:val="pl-PL"/>
        </w:rPr>
      </w:pPr>
      <w:r w:rsidRPr="00275D64">
        <w:rPr>
          <w:lang w:val="pl-PL"/>
        </w:rPr>
        <w:t>jeśli u pacjentki wystąpi szybki przyrost masy ciała,</w:t>
      </w:r>
    </w:p>
    <w:p w14:paraId="7C18A3AD" w14:textId="77777777" w:rsidR="0059552A" w:rsidRPr="00275D64" w:rsidRDefault="0059552A" w:rsidP="002F3A44">
      <w:pPr>
        <w:numPr>
          <w:ilvl w:val="0"/>
          <w:numId w:val="18"/>
        </w:numPr>
        <w:tabs>
          <w:tab w:val="clear" w:pos="567"/>
        </w:tabs>
        <w:ind w:left="567" w:hanging="567"/>
        <w:rPr>
          <w:szCs w:val="22"/>
          <w:lang w:val="pl-PL"/>
        </w:rPr>
      </w:pPr>
      <w:r w:rsidRPr="00275D64">
        <w:rPr>
          <w:lang w:val="pl-PL"/>
        </w:rPr>
        <w:t>jeśli u pacjentki występują nudności i wymioty,</w:t>
      </w:r>
    </w:p>
    <w:p w14:paraId="584C1BE2" w14:textId="77777777" w:rsidR="0059552A" w:rsidRPr="00275D64" w:rsidRDefault="0059552A" w:rsidP="002F3A44">
      <w:pPr>
        <w:numPr>
          <w:ilvl w:val="0"/>
          <w:numId w:val="18"/>
        </w:numPr>
        <w:tabs>
          <w:tab w:val="clear" w:pos="567"/>
        </w:tabs>
        <w:ind w:left="567" w:hanging="567"/>
        <w:rPr>
          <w:szCs w:val="22"/>
          <w:lang w:val="pl-PL"/>
        </w:rPr>
      </w:pPr>
      <w:r w:rsidRPr="00275D64">
        <w:rPr>
          <w:lang w:val="pl-PL"/>
        </w:rPr>
        <w:t>jeśli pacjentka ma trudności z oddychaniem.</w:t>
      </w:r>
    </w:p>
    <w:p w14:paraId="7AD686A3" w14:textId="77777777" w:rsidR="0059552A" w:rsidRPr="00275D64" w:rsidRDefault="0059552A" w:rsidP="00496272">
      <w:pPr>
        <w:numPr>
          <w:ilvl w:val="12"/>
          <w:numId w:val="0"/>
        </w:numPr>
        <w:tabs>
          <w:tab w:val="clear" w:pos="567"/>
        </w:tabs>
        <w:rPr>
          <w:szCs w:val="22"/>
          <w:lang w:val="pl-PL"/>
        </w:rPr>
      </w:pPr>
      <w:r w:rsidRPr="00275D64">
        <w:rPr>
          <w:lang w:val="pl-PL"/>
        </w:rPr>
        <w:t>W przypadku wystąpienia powyższych objawów lekarz prowadzący może zalecić przerwanie leczenia (patrz również punkt 4 „Poważne działania niepożądane u kobiet”).</w:t>
      </w:r>
    </w:p>
    <w:p w14:paraId="12F81DBE" w14:textId="77777777" w:rsidR="0059552A" w:rsidRPr="00275D64" w:rsidRDefault="0059552A" w:rsidP="00496272">
      <w:pPr>
        <w:numPr>
          <w:ilvl w:val="12"/>
          <w:numId w:val="0"/>
        </w:numPr>
        <w:tabs>
          <w:tab w:val="clear" w:pos="567"/>
        </w:tabs>
        <w:rPr>
          <w:szCs w:val="22"/>
          <w:lang w:val="pl-PL"/>
        </w:rPr>
      </w:pPr>
    </w:p>
    <w:p w14:paraId="5399C5AF" w14:textId="77777777" w:rsidR="0059552A" w:rsidRPr="00275D64" w:rsidRDefault="0059552A" w:rsidP="00496272">
      <w:pPr>
        <w:numPr>
          <w:ilvl w:val="12"/>
          <w:numId w:val="0"/>
        </w:numPr>
        <w:tabs>
          <w:tab w:val="clear" w:pos="567"/>
        </w:tabs>
        <w:rPr>
          <w:szCs w:val="22"/>
          <w:lang w:val="pl-PL"/>
        </w:rPr>
      </w:pPr>
      <w:r w:rsidRPr="00275D64">
        <w:rPr>
          <w:lang w:val="pl-PL"/>
        </w:rPr>
        <w:t xml:space="preserve">Jeśli pacjentka nie jajeczkuje, a zalecana dawka i czas podawania są przestrzegane, występowanie OHSS jest mniej prawdopodobne. Leczenie lekiem Ovaleap rzadko wywołuje ciężkiego stopnia OHSS, jeżeli nie podano leku stosowanego w celu wywołania ostatecznego dojrzewania pęcherzyka (zawierającego ludzką gonadotropinę </w:t>
      </w:r>
      <w:r w:rsidRPr="00275D64">
        <w:rPr>
          <w:szCs w:val="22"/>
          <w:lang w:val="pl-PL"/>
        </w:rPr>
        <w:t>kosmówkową</w:t>
      </w:r>
      <w:r w:rsidRPr="00275D64">
        <w:rPr>
          <w:lang w:val="pl-PL"/>
        </w:rPr>
        <w:t xml:space="preserve"> hCG). Lekarz prowadzący powinien powstrzymać się od podania hCG w tym cyklu leczenia w przypadkach rozwijającego się OHSS. Może zalecić nieodbywanie stosunku płciowego lub zastosowanie mechanicznych metod antykoncepcyjnych przez przynajmniej 4 dni.</w:t>
      </w:r>
    </w:p>
    <w:p w14:paraId="4D41A53D" w14:textId="77777777" w:rsidR="0059552A" w:rsidRPr="00275D64" w:rsidRDefault="0059552A" w:rsidP="00496272">
      <w:pPr>
        <w:numPr>
          <w:ilvl w:val="12"/>
          <w:numId w:val="0"/>
        </w:numPr>
        <w:tabs>
          <w:tab w:val="clear" w:pos="567"/>
        </w:tabs>
        <w:rPr>
          <w:szCs w:val="22"/>
          <w:lang w:val="pl-PL"/>
        </w:rPr>
      </w:pPr>
    </w:p>
    <w:p w14:paraId="6A6CE6C1" w14:textId="77777777" w:rsidR="0059552A" w:rsidRPr="00275D64" w:rsidRDefault="0059552A" w:rsidP="001529E6">
      <w:pPr>
        <w:keepNext/>
        <w:numPr>
          <w:ilvl w:val="12"/>
          <w:numId w:val="0"/>
        </w:numPr>
        <w:tabs>
          <w:tab w:val="clear" w:pos="567"/>
        </w:tabs>
        <w:rPr>
          <w:szCs w:val="22"/>
          <w:u w:val="single"/>
          <w:lang w:val="pl-PL"/>
        </w:rPr>
      </w:pPr>
      <w:r w:rsidRPr="00275D64">
        <w:rPr>
          <w:u w:val="single"/>
          <w:lang w:val="pl-PL"/>
        </w:rPr>
        <w:lastRenderedPageBreak/>
        <w:t>Ciąża mnoga</w:t>
      </w:r>
    </w:p>
    <w:p w14:paraId="6EDD72E5" w14:textId="77777777" w:rsidR="0059552A" w:rsidRPr="00275D64" w:rsidRDefault="0059552A" w:rsidP="00BC4821">
      <w:pPr>
        <w:numPr>
          <w:ilvl w:val="12"/>
          <w:numId w:val="0"/>
        </w:numPr>
        <w:tabs>
          <w:tab w:val="clear" w:pos="567"/>
        </w:tabs>
        <w:rPr>
          <w:szCs w:val="22"/>
          <w:lang w:val="pl-PL"/>
        </w:rPr>
      </w:pPr>
      <w:r w:rsidRPr="00275D64">
        <w:rPr>
          <w:lang w:val="pl-PL"/>
        </w:rPr>
        <w:t>W przypadku stosowania tego leku występuje zwiększone ryzyko zajścia w ciążę mnogą (w większościprzypadków bliźniaczą) w porównaniu z zapłodnieniem naturalnym. Ciąża mnoga może prowadzić do powikłań zdrowotnych matki i dzieci. Ryzyko ciąży mnogiej może być zminimalizowane przez przestrzeganie zalecanej dawki tego leku i schematu podawania. Ryzyko ciąży mnogiej występujące po zastosowaniu technik wspomaganego rozrodu jest związane z wiekiem pacjentki, jakością i liczbą zapłodnionych komórek jajowych lub podanych pacjentce zarodków.</w:t>
      </w:r>
    </w:p>
    <w:p w14:paraId="408DB3E7" w14:textId="77777777" w:rsidR="0059552A" w:rsidRPr="00275D64" w:rsidRDefault="0059552A" w:rsidP="00496272">
      <w:pPr>
        <w:numPr>
          <w:ilvl w:val="12"/>
          <w:numId w:val="0"/>
        </w:numPr>
        <w:tabs>
          <w:tab w:val="clear" w:pos="567"/>
        </w:tabs>
        <w:rPr>
          <w:szCs w:val="22"/>
          <w:lang w:val="pl-PL"/>
        </w:rPr>
      </w:pPr>
    </w:p>
    <w:p w14:paraId="173B7060" w14:textId="77777777" w:rsidR="0059552A" w:rsidRPr="00275D64" w:rsidRDefault="0059552A" w:rsidP="00496272">
      <w:pPr>
        <w:numPr>
          <w:ilvl w:val="12"/>
          <w:numId w:val="0"/>
        </w:numPr>
        <w:tabs>
          <w:tab w:val="clear" w:pos="567"/>
        </w:tabs>
        <w:rPr>
          <w:szCs w:val="22"/>
          <w:u w:val="single"/>
          <w:lang w:val="pl-PL"/>
        </w:rPr>
      </w:pPr>
      <w:r w:rsidRPr="00275D64">
        <w:rPr>
          <w:u w:val="single"/>
          <w:lang w:val="pl-PL"/>
        </w:rPr>
        <w:t>Poronienie</w:t>
      </w:r>
    </w:p>
    <w:p w14:paraId="5E52C2FA" w14:textId="77777777" w:rsidR="0059552A" w:rsidRPr="00275D64" w:rsidRDefault="0059552A" w:rsidP="00496272">
      <w:pPr>
        <w:numPr>
          <w:ilvl w:val="12"/>
          <w:numId w:val="0"/>
        </w:numPr>
        <w:tabs>
          <w:tab w:val="clear" w:pos="567"/>
        </w:tabs>
        <w:rPr>
          <w:szCs w:val="22"/>
          <w:lang w:val="pl-PL"/>
        </w:rPr>
      </w:pPr>
      <w:r w:rsidRPr="00275D64">
        <w:rPr>
          <w:lang w:val="pl-PL"/>
        </w:rPr>
        <w:t>Po zastosowaniu technik wspomaganego rozrodu lub stymulacji jajników w celu wytworzenia komórek jajowych u pacjentki istnieje większe prawdopodobieństwo poronienia niż przeciętnie u kobiet.</w:t>
      </w:r>
    </w:p>
    <w:p w14:paraId="280EE230" w14:textId="77777777" w:rsidR="0059552A" w:rsidRPr="00275D64" w:rsidRDefault="0059552A" w:rsidP="00496272">
      <w:pPr>
        <w:numPr>
          <w:ilvl w:val="12"/>
          <w:numId w:val="0"/>
        </w:numPr>
        <w:tabs>
          <w:tab w:val="clear" w:pos="567"/>
        </w:tabs>
        <w:rPr>
          <w:szCs w:val="22"/>
          <w:lang w:val="pl-PL"/>
        </w:rPr>
      </w:pPr>
    </w:p>
    <w:p w14:paraId="5E081E75" w14:textId="77777777" w:rsidR="0059552A" w:rsidRPr="00275D64" w:rsidRDefault="0059552A" w:rsidP="00496272">
      <w:pPr>
        <w:numPr>
          <w:ilvl w:val="12"/>
          <w:numId w:val="0"/>
        </w:numPr>
        <w:tabs>
          <w:tab w:val="clear" w:pos="567"/>
        </w:tabs>
        <w:rPr>
          <w:szCs w:val="22"/>
          <w:u w:val="single"/>
          <w:lang w:val="pl-PL"/>
        </w:rPr>
      </w:pPr>
      <w:r w:rsidRPr="00275D64">
        <w:rPr>
          <w:u w:val="single"/>
          <w:lang w:val="pl-PL"/>
        </w:rPr>
        <w:t>Ciąża pozamaciczna</w:t>
      </w:r>
    </w:p>
    <w:p w14:paraId="7885523B" w14:textId="77777777" w:rsidR="0059552A" w:rsidRPr="00275D64" w:rsidRDefault="0059552A" w:rsidP="00496272">
      <w:pPr>
        <w:numPr>
          <w:ilvl w:val="12"/>
          <w:numId w:val="0"/>
        </w:numPr>
        <w:tabs>
          <w:tab w:val="clear" w:pos="567"/>
        </w:tabs>
        <w:rPr>
          <w:lang w:val="pl-PL"/>
        </w:rPr>
      </w:pPr>
      <w:r w:rsidRPr="00275D64">
        <w:rPr>
          <w:lang w:val="pl-PL"/>
        </w:rPr>
        <w:t>Po zastosowaniu technik wspomaganego rozrodu lub stymulacji jajników w celu wytworzenia komórek jajowych i w przypadku uszkodzonych jajowodów u pacjentki istnieje większe prawdopodobieństwo ciąży pozamacicznej niż przeciętnie u kobiet.</w:t>
      </w:r>
    </w:p>
    <w:p w14:paraId="2DB09892" w14:textId="77777777" w:rsidR="0059552A" w:rsidRPr="00275D64" w:rsidRDefault="0059552A" w:rsidP="00496272">
      <w:pPr>
        <w:numPr>
          <w:ilvl w:val="12"/>
          <w:numId w:val="0"/>
        </w:numPr>
        <w:tabs>
          <w:tab w:val="clear" w:pos="567"/>
        </w:tabs>
        <w:rPr>
          <w:szCs w:val="22"/>
          <w:lang w:val="pl-PL"/>
        </w:rPr>
      </w:pPr>
    </w:p>
    <w:p w14:paraId="6AD9EBAF" w14:textId="77777777" w:rsidR="0059552A" w:rsidRPr="00275D64" w:rsidRDefault="0059552A" w:rsidP="00780369">
      <w:pPr>
        <w:tabs>
          <w:tab w:val="clear" w:pos="567"/>
        </w:tabs>
        <w:rPr>
          <w:iCs/>
          <w:noProof/>
          <w:color w:val="000000"/>
          <w:szCs w:val="22"/>
          <w:u w:val="single"/>
          <w:lang w:val="pl-PL"/>
        </w:rPr>
      </w:pPr>
      <w:r w:rsidRPr="00275D64">
        <w:rPr>
          <w:iCs/>
          <w:noProof/>
          <w:color w:val="000000"/>
          <w:szCs w:val="22"/>
          <w:u w:val="single"/>
          <w:lang w:val="pl-PL"/>
        </w:rPr>
        <w:t>Wady wrodzone</w:t>
      </w:r>
    </w:p>
    <w:p w14:paraId="45337FD3" w14:textId="77777777" w:rsidR="0059552A" w:rsidRPr="00275D64" w:rsidRDefault="0059552A" w:rsidP="00A05FBE">
      <w:pPr>
        <w:tabs>
          <w:tab w:val="clear" w:pos="567"/>
        </w:tabs>
        <w:rPr>
          <w:szCs w:val="22"/>
          <w:lang w:val="pl-PL"/>
        </w:rPr>
      </w:pPr>
      <w:r w:rsidRPr="00275D64">
        <w:rPr>
          <w:color w:val="000000"/>
          <w:lang w:val="pl-PL"/>
        </w:rPr>
        <w:t xml:space="preserve">Częstość występowania wad wrodzonych po </w:t>
      </w:r>
      <w:r w:rsidRPr="00275D64">
        <w:rPr>
          <w:lang w:val="pl-PL"/>
        </w:rPr>
        <w:t xml:space="preserve">zastosowaniu technik wspomaganego rozrodu </w:t>
      </w:r>
      <w:r w:rsidRPr="00275D64">
        <w:rPr>
          <w:color w:val="000000"/>
          <w:lang w:val="pl-PL"/>
        </w:rPr>
        <w:t>może być nieco większa niż w przypadku zapłodnienia naturalnego.</w:t>
      </w:r>
      <w:r w:rsidRPr="00275D64">
        <w:rPr>
          <w:lang w:val="pl-PL"/>
        </w:rPr>
        <w:t xml:space="preserve"> Może się to wiązać z ciążami mnogimi lub z </w:t>
      </w:r>
      <w:r w:rsidRPr="00275D64">
        <w:rPr>
          <w:noProof/>
          <w:color w:val="000000"/>
          <w:szCs w:val="22"/>
          <w:lang w:val="pl-PL"/>
        </w:rPr>
        <w:t xml:space="preserve">cechami </w:t>
      </w:r>
      <w:r w:rsidRPr="00275D64">
        <w:rPr>
          <w:color w:val="000000"/>
          <w:lang w:val="pl-PL"/>
        </w:rPr>
        <w:t>osobniczymi rodziców, takimi jak wiek matki i charakterystyka nasienia.</w:t>
      </w:r>
    </w:p>
    <w:p w14:paraId="63BBA72E" w14:textId="77777777" w:rsidR="0059552A" w:rsidRPr="00275D64" w:rsidRDefault="0059552A" w:rsidP="00496272">
      <w:pPr>
        <w:numPr>
          <w:ilvl w:val="12"/>
          <w:numId w:val="0"/>
        </w:numPr>
        <w:tabs>
          <w:tab w:val="clear" w:pos="567"/>
        </w:tabs>
        <w:rPr>
          <w:szCs w:val="22"/>
          <w:lang w:val="pl-PL"/>
        </w:rPr>
      </w:pPr>
    </w:p>
    <w:p w14:paraId="31096E46" w14:textId="77777777" w:rsidR="0059552A" w:rsidRPr="00275D64" w:rsidRDefault="0059552A" w:rsidP="00496272">
      <w:pPr>
        <w:numPr>
          <w:ilvl w:val="12"/>
          <w:numId w:val="0"/>
        </w:numPr>
        <w:tabs>
          <w:tab w:val="clear" w:pos="567"/>
        </w:tabs>
        <w:rPr>
          <w:szCs w:val="22"/>
          <w:u w:val="single"/>
          <w:lang w:val="pl-PL"/>
        </w:rPr>
      </w:pPr>
      <w:r w:rsidRPr="00275D64">
        <w:rPr>
          <w:u w:val="single"/>
          <w:lang w:val="pl-PL"/>
        </w:rPr>
        <w:t>Problemy z krzepliwością krwi (zdarzenia zakrzepowo-zatorowe)</w:t>
      </w:r>
    </w:p>
    <w:p w14:paraId="51D82FBF" w14:textId="77777777" w:rsidR="0059552A" w:rsidRPr="00275D64" w:rsidRDefault="0059552A" w:rsidP="00496272">
      <w:pPr>
        <w:numPr>
          <w:ilvl w:val="12"/>
          <w:numId w:val="0"/>
        </w:numPr>
        <w:tabs>
          <w:tab w:val="clear" w:pos="567"/>
        </w:tabs>
        <w:rPr>
          <w:szCs w:val="22"/>
          <w:lang w:val="pl-PL"/>
        </w:rPr>
      </w:pPr>
      <w:r w:rsidRPr="00275D64">
        <w:rPr>
          <w:lang w:val="pl-PL"/>
        </w:rPr>
        <w:t>Jeśli w przeszłości u pacjentki lub u członka jej rodziny wystąpiły zakrzepy krwi w nogach lub płucach, zawał serca lub udar mózgu, należy poinformować o tym lekarza. Może to podwyższyć się ryzyko wystąpienia tych zdarzeń lub ich pogorszenia u pacjentki w związku z leczeniem lekiem Ovaleap.</w:t>
      </w:r>
    </w:p>
    <w:p w14:paraId="6DAC94B1" w14:textId="77777777" w:rsidR="0059552A" w:rsidRPr="00275D64" w:rsidRDefault="0059552A" w:rsidP="00496272">
      <w:pPr>
        <w:numPr>
          <w:ilvl w:val="12"/>
          <w:numId w:val="0"/>
        </w:numPr>
        <w:tabs>
          <w:tab w:val="clear" w:pos="567"/>
        </w:tabs>
        <w:rPr>
          <w:szCs w:val="22"/>
          <w:lang w:val="pl-PL"/>
        </w:rPr>
      </w:pPr>
    </w:p>
    <w:p w14:paraId="10D13022" w14:textId="77777777" w:rsidR="0059552A" w:rsidRPr="00275D64" w:rsidRDefault="0059552A" w:rsidP="00496272">
      <w:pPr>
        <w:numPr>
          <w:ilvl w:val="12"/>
          <w:numId w:val="0"/>
        </w:numPr>
        <w:tabs>
          <w:tab w:val="clear" w:pos="567"/>
        </w:tabs>
        <w:rPr>
          <w:szCs w:val="22"/>
          <w:u w:val="single"/>
          <w:lang w:val="pl-PL"/>
        </w:rPr>
      </w:pPr>
      <w:r w:rsidRPr="00275D64">
        <w:rPr>
          <w:u w:val="single"/>
          <w:lang w:val="pl-PL"/>
        </w:rPr>
        <w:t>Nadmiar FSH we krwi u mężczyzn</w:t>
      </w:r>
    </w:p>
    <w:p w14:paraId="44303622" w14:textId="77777777" w:rsidR="0059552A" w:rsidRPr="00275D64" w:rsidRDefault="0059552A" w:rsidP="00496272">
      <w:pPr>
        <w:numPr>
          <w:ilvl w:val="12"/>
          <w:numId w:val="0"/>
        </w:numPr>
        <w:tabs>
          <w:tab w:val="clear" w:pos="567"/>
        </w:tabs>
        <w:rPr>
          <w:szCs w:val="22"/>
          <w:lang w:val="pl-PL"/>
        </w:rPr>
      </w:pPr>
      <w:r w:rsidRPr="00275D64">
        <w:rPr>
          <w:lang w:val="pl-PL"/>
        </w:rPr>
        <w:t>U mężczyzn zwiększone stężenie naturalnego FSH we krwi wskazuje na uszkodzenie jąder. Lek ten jest zwykle nieskuteczny w takich przypadkach. Jeśli lekarz prowadzący zdecyduje się na próbę leczenia lekiem Ovaleap, w celu monitorowania leczenia może on zalecić pacjentowi wykonanie badania nasienia 4 do 6 miesięcy po rozpoczęciu leczenia.</w:t>
      </w:r>
    </w:p>
    <w:p w14:paraId="08998F85" w14:textId="77777777" w:rsidR="0059552A" w:rsidRPr="00275D64" w:rsidRDefault="0059552A" w:rsidP="00496272">
      <w:pPr>
        <w:numPr>
          <w:ilvl w:val="12"/>
          <w:numId w:val="0"/>
        </w:numPr>
        <w:tabs>
          <w:tab w:val="clear" w:pos="567"/>
        </w:tabs>
        <w:rPr>
          <w:szCs w:val="22"/>
          <w:lang w:val="pl-PL"/>
        </w:rPr>
      </w:pPr>
    </w:p>
    <w:p w14:paraId="06239AA4" w14:textId="77777777" w:rsidR="0059552A" w:rsidRPr="00275D64" w:rsidRDefault="0059552A" w:rsidP="00496272">
      <w:pPr>
        <w:numPr>
          <w:ilvl w:val="12"/>
          <w:numId w:val="0"/>
        </w:numPr>
        <w:tabs>
          <w:tab w:val="clear" w:pos="567"/>
        </w:tabs>
        <w:rPr>
          <w:b/>
          <w:bCs/>
          <w:lang w:val="pl-PL"/>
        </w:rPr>
      </w:pPr>
      <w:r w:rsidRPr="00275D64">
        <w:rPr>
          <w:b/>
          <w:lang w:val="pl-PL"/>
        </w:rPr>
        <w:t>Dzieci i młodzież</w:t>
      </w:r>
    </w:p>
    <w:p w14:paraId="1EF03755" w14:textId="77777777" w:rsidR="0059552A" w:rsidRPr="00275D64" w:rsidRDefault="0059552A" w:rsidP="00496272">
      <w:pPr>
        <w:numPr>
          <w:ilvl w:val="12"/>
          <w:numId w:val="0"/>
        </w:numPr>
        <w:tabs>
          <w:tab w:val="clear" w:pos="567"/>
        </w:tabs>
        <w:rPr>
          <w:szCs w:val="22"/>
          <w:lang w:val="pl-PL"/>
        </w:rPr>
      </w:pPr>
      <w:r w:rsidRPr="00275D64">
        <w:rPr>
          <w:lang w:val="pl-PL"/>
        </w:rPr>
        <w:t xml:space="preserve">Lek ten nie jest wskazany do stosowania u dzieci i młodzieży w wieku </w:t>
      </w:r>
      <w:bookmarkStart w:id="7" w:name="OLE_LINK5"/>
      <w:r w:rsidRPr="00275D64">
        <w:rPr>
          <w:lang w:val="pl-PL"/>
        </w:rPr>
        <w:t xml:space="preserve">młodszym niż </w:t>
      </w:r>
      <w:bookmarkEnd w:id="7"/>
      <w:r w:rsidRPr="00275D64">
        <w:rPr>
          <w:lang w:val="pl-PL"/>
        </w:rPr>
        <w:t>18 lat.</w:t>
      </w:r>
    </w:p>
    <w:p w14:paraId="008782BD" w14:textId="77777777" w:rsidR="0059552A" w:rsidRPr="00275D64" w:rsidRDefault="0059552A" w:rsidP="00496272">
      <w:pPr>
        <w:numPr>
          <w:ilvl w:val="12"/>
          <w:numId w:val="0"/>
        </w:numPr>
        <w:tabs>
          <w:tab w:val="clear" w:pos="567"/>
        </w:tabs>
        <w:rPr>
          <w:b/>
          <w:bCs/>
          <w:lang w:val="pl-PL"/>
        </w:rPr>
      </w:pPr>
    </w:p>
    <w:p w14:paraId="69AF2B61" w14:textId="77777777" w:rsidR="0059552A" w:rsidRPr="00275D64" w:rsidRDefault="0059552A" w:rsidP="00496272">
      <w:pPr>
        <w:numPr>
          <w:ilvl w:val="12"/>
          <w:numId w:val="0"/>
        </w:numPr>
        <w:tabs>
          <w:tab w:val="clear" w:pos="567"/>
        </w:tabs>
        <w:ind w:right="-2"/>
        <w:rPr>
          <w:szCs w:val="22"/>
          <w:lang w:val="pl-PL"/>
        </w:rPr>
      </w:pPr>
      <w:r w:rsidRPr="00275D64">
        <w:rPr>
          <w:b/>
          <w:lang w:val="pl-PL"/>
        </w:rPr>
        <w:t>Lek Ovaleap a inne leki</w:t>
      </w:r>
    </w:p>
    <w:p w14:paraId="00201437" w14:textId="77777777" w:rsidR="0059552A" w:rsidRPr="00275D64" w:rsidRDefault="0059552A" w:rsidP="00496272">
      <w:pPr>
        <w:numPr>
          <w:ilvl w:val="12"/>
          <w:numId w:val="0"/>
        </w:numPr>
        <w:tabs>
          <w:tab w:val="clear" w:pos="567"/>
        </w:tabs>
        <w:ind w:right="-2"/>
        <w:rPr>
          <w:szCs w:val="22"/>
          <w:lang w:val="pl-PL"/>
        </w:rPr>
      </w:pPr>
      <w:r w:rsidRPr="00275D64">
        <w:rPr>
          <w:lang w:val="pl-PL"/>
        </w:rPr>
        <w:t>Należy powiedzieć lekarzowi o wszystkich lekach stosowanych przez pacjenta obecnie lub ostatnio, a także o lekach, które pacjent planuje stosować.</w:t>
      </w:r>
    </w:p>
    <w:p w14:paraId="69B4371A" w14:textId="77777777" w:rsidR="0059552A" w:rsidRPr="00275D64" w:rsidRDefault="0059552A" w:rsidP="002F3A44">
      <w:pPr>
        <w:numPr>
          <w:ilvl w:val="0"/>
          <w:numId w:val="19"/>
        </w:numPr>
        <w:tabs>
          <w:tab w:val="clear" w:pos="567"/>
        </w:tabs>
        <w:ind w:left="567" w:hanging="567"/>
        <w:rPr>
          <w:szCs w:val="22"/>
          <w:lang w:val="pl-PL"/>
        </w:rPr>
      </w:pPr>
      <w:r w:rsidRPr="00275D64">
        <w:rPr>
          <w:lang w:val="pl-PL"/>
        </w:rPr>
        <w:t>Jeśli pacjentka stosuje lek Ovaleap razem z innymi lekami stymulującymi jajeczkowanie, takimi jak ludzka gonadotropina łożyskowa (hCG) lub cytrynian klomifenu, to odpowiedź pęcherzyków jajnika może być wzmożona.</w:t>
      </w:r>
    </w:p>
    <w:p w14:paraId="41B2D855" w14:textId="77777777" w:rsidR="0059552A" w:rsidRPr="00275D64" w:rsidRDefault="0059552A" w:rsidP="002F3A44">
      <w:pPr>
        <w:numPr>
          <w:ilvl w:val="0"/>
          <w:numId w:val="19"/>
        </w:numPr>
        <w:tabs>
          <w:tab w:val="clear" w:pos="567"/>
        </w:tabs>
        <w:ind w:left="567" w:hanging="567"/>
        <w:rPr>
          <w:szCs w:val="22"/>
          <w:lang w:val="pl-PL"/>
        </w:rPr>
      </w:pPr>
      <w:r w:rsidRPr="00275D64">
        <w:rPr>
          <w:lang w:val="pl-PL"/>
        </w:rPr>
        <w:t xml:space="preserve">Jeśli pacjentka stosuje lek Ovaleap równocześnie z agonistami lub antagonistami hormonu uwalniającego gonadotropiny (ang. </w:t>
      </w:r>
      <w:r w:rsidRPr="00275D64">
        <w:rPr>
          <w:i/>
          <w:lang w:val="pl-PL"/>
        </w:rPr>
        <w:t>gonadotropin-releasing hormone</w:t>
      </w:r>
      <w:r w:rsidRPr="00275D64">
        <w:rPr>
          <w:lang w:val="pl-PL"/>
        </w:rPr>
        <w:t>, GnRH) (leki te zmniejszają stężenie hormonów płciowych i wstrzymują jajeczkowanie), może być konieczna wyższa dawka leku Ovaleap w celu wytwarzania pęcherzyków.</w:t>
      </w:r>
    </w:p>
    <w:p w14:paraId="05220EB9" w14:textId="77777777" w:rsidR="0059552A" w:rsidRPr="00275D64" w:rsidRDefault="0059552A" w:rsidP="00496272">
      <w:pPr>
        <w:numPr>
          <w:ilvl w:val="12"/>
          <w:numId w:val="0"/>
        </w:numPr>
        <w:tabs>
          <w:tab w:val="clear" w:pos="567"/>
        </w:tabs>
        <w:ind w:right="-2"/>
        <w:rPr>
          <w:szCs w:val="22"/>
          <w:highlight w:val="yellow"/>
          <w:lang w:val="pl-PL"/>
        </w:rPr>
      </w:pPr>
    </w:p>
    <w:p w14:paraId="069B7A85" w14:textId="77777777" w:rsidR="0059552A" w:rsidRPr="00275D64" w:rsidRDefault="0059552A" w:rsidP="00496272">
      <w:pPr>
        <w:numPr>
          <w:ilvl w:val="12"/>
          <w:numId w:val="0"/>
        </w:numPr>
        <w:tabs>
          <w:tab w:val="clear" w:pos="567"/>
        </w:tabs>
        <w:ind w:right="-2"/>
        <w:outlineLvl w:val="0"/>
        <w:rPr>
          <w:b/>
          <w:szCs w:val="22"/>
          <w:lang w:val="pl-PL"/>
        </w:rPr>
      </w:pPr>
      <w:r w:rsidRPr="00275D64">
        <w:rPr>
          <w:b/>
          <w:lang w:val="pl-PL"/>
        </w:rPr>
        <w:t>Ciąża i karmienie piersią</w:t>
      </w:r>
    </w:p>
    <w:p w14:paraId="15B7F358" w14:textId="77777777" w:rsidR="0059552A" w:rsidRPr="00275D64" w:rsidRDefault="0059552A" w:rsidP="00496272">
      <w:pPr>
        <w:numPr>
          <w:ilvl w:val="12"/>
          <w:numId w:val="0"/>
        </w:numPr>
        <w:tabs>
          <w:tab w:val="clear" w:pos="567"/>
        </w:tabs>
        <w:rPr>
          <w:szCs w:val="22"/>
          <w:lang w:val="pl-PL"/>
        </w:rPr>
      </w:pPr>
      <w:r w:rsidRPr="00275D64">
        <w:rPr>
          <w:lang w:val="pl-PL"/>
        </w:rPr>
        <w:t>Nie należy stosować tego leku u kobiet w ciąży ani karmiących piersią.</w:t>
      </w:r>
    </w:p>
    <w:p w14:paraId="4CFF4532" w14:textId="77777777" w:rsidR="0059552A" w:rsidRPr="00275D64" w:rsidRDefault="0059552A" w:rsidP="00496272">
      <w:pPr>
        <w:numPr>
          <w:ilvl w:val="12"/>
          <w:numId w:val="0"/>
        </w:numPr>
        <w:tabs>
          <w:tab w:val="clear" w:pos="567"/>
        </w:tabs>
        <w:ind w:right="-2"/>
        <w:outlineLvl w:val="0"/>
        <w:rPr>
          <w:b/>
          <w:szCs w:val="22"/>
          <w:lang w:val="pl-PL"/>
        </w:rPr>
      </w:pPr>
    </w:p>
    <w:p w14:paraId="780E5AEA" w14:textId="77777777" w:rsidR="0059552A" w:rsidRPr="00275D64" w:rsidRDefault="0059552A" w:rsidP="00496272">
      <w:pPr>
        <w:numPr>
          <w:ilvl w:val="12"/>
          <w:numId w:val="0"/>
        </w:numPr>
        <w:tabs>
          <w:tab w:val="clear" w:pos="567"/>
        </w:tabs>
        <w:ind w:right="-2"/>
        <w:outlineLvl w:val="0"/>
        <w:rPr>
          <w:szCs w:val="22"/>
          <w:lang w:val="pl-PL"/>
        </w:rPr>
      </w:pPr>
      <w:r w:rsidRPr="00275D64">
        <w:rPr>
          <w:b/>
          <w:lang w:val="pl-PL"/>
        </w:rPr>
        <w:t>Prowadzenie pojazdów i obsługiwanie maszyn</w:t>
      </w:r>
    </w:p>
    <w:p w14:paraId="59C2B559" w14:textId="77777777" w:rsidR="0059552A" w:rsidRPr="00275D64" w:rsidRDefault="0059552A" w:rsidP="00496272">
      <w:pPr>
        <w:numPr>
          <w:ilvl w:val="12"/>
          <w:numId w:val="0"/>
        </w:numPr>
        <w:tabs>
          <w:tab w:val="clear" w:pos="567"/>
        </w:tabs>
        <w:ind w:right="-2"/>
        <w:rPr>
          <w:szCs w:val="22"/>
          <w:lang w:val="pl-PL"/>
        </w:rPr>
      </w:pPr>
      <w:r w:rsidRPr="00275D64">
        <w:rPr>
          <w:lang w:val="pl-PL"/>
        </w:rPr>
        <w:t>Lek ten nie ma wpływu na zdolność prowadzenia pojazdów i obsługiwania maszyn.</w:t>
      </w:r>
    </w:p>
    <w:p w14:paraId="1DB3F85E" w14:textId="77777777" w:rsidR="0059552A" w:rsidRPr="00275D64" w:rsidRDefault="0059552A" w:rsidP="00496272">
      <w:pPr>
        <w:numPr>
          <w:ilvl w:val="12"/>
          <w:numId w:val="0"/>
        </w:numPr>
        <w:tabs>
          <w:tab w:val="clear" w:pos="567"/>
        </w:tabs>
        <w:ind w:right="-2"/>
        <w:rPr>
          <w:szCs w:val="22"/>
          <w:lang w:val="pl-PL"/>
        </w:rPr>
      </w:pPr>
    </w:p>
    <w:p w14:paraId="1C4BEA3E" w14:textId="732EEB60" w:rsidR="0059552A" w:rsidRPr="00275D64" w:rsidRDefault="0059552A" w:rsidP="00496272">
      <w:pPr>
        <w:numPr>
          <w:ilvl w:val="12"/>
          <w:numId w:val="0"/>
        </w:numPr>
        <w:tabs>
          <w:tab w:val="clear" w:pos="567"/>
        </w:tabs>
        <w:ind w:right="-2"/>
        <w:outlineLvl w:val="0"/>
        <w:rPr>
          <w:b/>
          <w:szCs w:val="22"/>
          <w:lang w:val="pl-PL"/>
        </w:rPr>
      </w:pPr>
      <w:r w:rsidRPr="00275D64">
        <w:rPr>
          <w:b/>
          <w:lang w:val="pl-PL"/>
        </w:rPr>
        <w:t>Lek Ovaleap zawiera sód</w:t>
      </w:r>
      <w:r w:rsidR="00E10854" w:rsidRPr="00275D64">
        <w:rPr>
          <w:b/>
          <w:lang w:val="pl-PL"/>
        </w:rPr>
        <w:t xml:space="preserve">, </w:t>
      </w:r>
      <w:r w:rsidR="00E10854" w:rsidRPr="00275D64">
        <w:rPr>
          <w:b/>
          <w:bCs/>
          <w:noProof/>
          <w:szCs w:val="22"/>
          <w:lang w:val="pl-PL"/>
        </w:rPr>
        <w:t>chlor</w:t>
      </w:r>
      <w:r w:rsidR="00E10854" w:rsidRPr="00275D64">
        <w:rPr>
          <w:b/>
          <w:bCs/>
          <w:noProof/>
          <w:lang w:val="pl-PL"/>
        </w:rPr>
        <w:t>e</w:t>
      </w:r>
      <w:r w:rsidR="00E10854" w:rsidRPr="00275D64">
        <w:rPr>
          <w:b/>
          <w:bCs/>
          <w:noProof/>
          <w:szCs w:val="22"/>
          <w:lang w:val="pl-PL"/>
        </w:rPr>
        <w:t>k benzalkoniow</w:t>
      </w:r>
      <w:r w:rsidR="00E10854" w:rsidRPr="00275D64">
        <w:rPr>
          <w:b/>
          <w:bCs/>
          <w:noProof/>
          <w:lang w:val="pl-PL"/>
        </w:rPr>
        <w:t>y i alkohol benzylowy</w:t>
      </w:r>
    </w:p>
    <w:p w14:paraId="276619ED" w14:textId="224C07F4" w:rsidR="0059552A" w:rsidRPr="00275D64" w:rsidRDefault="0059552A" w:rsidP="00496272">
      <w:pPr>
        <w:tabs>
          <w:tab w:val="clear" w:pos="567"/>
        </w:tabs>
        <w:rPr>
          <w:szCs w:val="22"/>
          <w:lang w:val="pl-PL"/>
        </w:rPr>
      </w:pPr>
      <w:r w:rsidRPr="00275D64">
        <w:rPr>
          <w:lang w:val="pl-PL"/>
        </w:rPr>
        <w:t>Lek zawiera mniej niż 1 mmol (23 mg) sodu na dawkę, to znaczy lek uznaje się za „wolny od sodu”.</w:t>
      </w:r>
    </w:p>
    <w:p w14:paraId="12FD64EE" w14:textId="77777777" w:rsidR="0059552A" w:rsidRPr="00275D64" w:rsidRDefault="0059552A" w:rsidP="00496272">
      <w:pPr>
        <w:numPr>
          <w:ilvl w:val="12"/>
          <w:numId w:val="0"/>
        </w:numPr>
        <w:tabs>
          <w:tab w:val="clear" w:pos="567"/>
        </w:tabs>
        <w:ind w:right="-2"/>
        <w:rPr>
          <w:szCs w:val="22"/>
          <w:lang w:val="pl-PL"/>
        </w:rPr>
      </w:pPr>
    </w:p>
    <w:p w14:paraId="1E15AB0C" w14:textId="51546A1F" w:rsidR="0059552A" w:rsidRPr="00275D64" w:rsidRDefault="0059552A" w:rsidP="00624036">
      <w:pPr>
        <w:autoSpaceDE w:val="0"/>
        <w:autoSpaceDN w:val="0"/>
        <w:adjustRightInd w:val="0"/>
        <w:rPr>
          <w:szCs w:val="22"/>
          <w:lang w:val="pl-PL"/>
        </w:rPr>
      </w:pPr>
      <w:r w:rsidRPr="00275D64">
        <w:rPr>
          <w:szCs w:val="22"/>
          <w:lang w:val="pl-PL"/>
        </w:rPr>
        <w:t>Ten lek zawiera również 0,02 mg na ml chlorku benzalkoniowego oraz 10,0 mg na ml alkoholu benzylowego.</w:t>
      </w:r>
      <w:r w:rsidR="00624036" w:rsidRPr="00275D64">
        <w:rPr>
          <w:szCs w:val="22"/>
          <w:lang w:val="pl-PL"/>
        </w:rPr>
        <w:t xml:space="preserve"> Pacjenci z chorobami wątroby lub nerek oraz pacjentki w ciąży lub karmiące piersią, powinni skontaktować się z lekarzem przed zastosowaniem leku, gdyż duża ilość alkoholu benzylowego może gromadzić się w ich organizmie i powodować działania niepożądane (tzw. kwasicę metaboliczną).</w:t>
      </w:r>
    </w:p>
    <w:p w14:paraId="404FA1C2" w14:textId="77777777" w:rsidR="0059552A" w:rsidRPr="00275D64" w:rsidRDefault="0059552A" w:rsidP="00496272">
      <w:pPr>
        <w:numPr>
          <w:ilvl w:val="12"/>
          <w:numId w:val="0"/>
        </w:numPr>
        <w:tabs>
          <w:tab w:val="clear" w:pos="567"/>
        </w:tabs>
        <w:ind w:right="-2"/>
        <w:rPr>
          <w:szCs w:val="22"/>
          <w:lang w:val="pl-PL"/>
        </w:rPr>
      </w:pPr>
    </w:p>
    <w:p w14:paraId="49FD645F" w14:textId="77777777" w:rsidR="0059552A" w:rsidRPr="00275D64" w:rsidRDefault="0059552A" w:rsidP="00496272">
      <w:pPr>
        <w:numPr>
          <w:ilvl w:val="12"/>
          <w:numId w:val="0"/>
        </w:numPr>
        <w:tabs>
          <w:tab w:val="clear" w:pos="567"/>
        </w:tabs>
        <w:ind w:right="-2"/>
        <w:rPr>
          <w:szCs w:val="22"/>
          <w:lang w:val="pl-PL"/>
        </w:rPr>
      </w:pPr>
    </w:p>
    <w:p w14:paraId="190062A3" w14:textId="77777777" w:rsidR="0059552A" w:rsidRPr="00275D64" w:rsidRDefault="0059552A" w:rsidP="00496272">
      <w:pPr>
        <w:ind w:right="-2"/>
        <w:rPr>
          <w:b/>
          <w:szCs w:val="22"/>
          <w:lang w:val="pl-PL"/>
        </w:rPr>
      </w:pPr>
      <w:r w:rsidRPr="00275D64">
        <w:rPr>
          <w:b/>
          <w:lang w:val="pl-PL"/>
        </w:rPr>
        <w:t>3.</w:t>
      </w:r>
      <w:r w:rsidRPr="00275D64">
        <w:rPr>
          <w:lang w:val="pl-PL"/>
        </w:rPr>
        <w:tab/>
      </w:r>
      <w:r w:rsidRPr="00275D64">
        <w:rPr>
          <w:b/>
          <w:lang w:val="pl-PL"/>
        </w:rPr>
        <w:t>Jak stosować lek Ovaleap</w:t>
      </w:r>
    </w:p>
    <w:p w14:paraId="3ED4BDB0" w14:textId="77777777" w:rsidR="0059552A" w:rsidRPr="00275D64" w:rsidRDefault="0059552A" w:rsidP="00496272">
      <w:pPr>
        <w:numPr>
          <w:ilvl w:val="12"/>
          <w:numId w:val="0"/>
        </w:numPr>
        <w:tabs>
          <w:tab w:val="clear" w:pos="567"/>
        </w:tabs>
        <w:ind w:right="-2"/>
        <w:rPr>
          <w:i/>
          <w:szCs w:val="22"/>
          <w:lang w:val="pl-PL"/>
        </w:rPr>
      </w:pPr>
    </w:p>
    <w:p w14:paraId="027DE4CE" w14:textId="77777777" w:rsidR="0059552A" w:rsidRPr="00275D64" w:rsidRDefault="0059552A" w:rsidP="00496272">
      <w:pPr>
        <w:numPr>
          <w:ilvl w:val="12"/>
          <w:numId w:val="0"/>
        </w:numPr>
        <w:tabs>
          <w:tab w:val="clear" w:pos="567"/>
        </w:tabs>
        <w:ind w:right="-2"/>
        <w:rPr>
          <w:lang w:val="pl-PL"/>
        </w:rPr>
      </w:pPr>
      <w:r w:rsidRPr="00275D64">
        <w:rPr>
          <w:lang w:val="pl-PL"/>
        </w:rPr>
        <w:t>Ten lek należy zawsze stosować zgodnie z zaleceniami lekarza lub farmaceuty. W razie wątpliwości należy zwrócić się do lekarza lub farmaceuty.</w:t>
      </w:r>
    </w:p>
    <w:p w14:paraId="32BF5A79" w14:textId="77777777" w:rsidR="0059552A" w:rsidRPr="00275D64" w:rsidRDefault="0059552A" w:rsidP="00496272">
      <w:pPr>
        <w:numPr>
          <w:ilvl w:val="12"/>
          <w:numId w:val="0"/>
        </w:numPr>
        <w:tabs>
          <w:tab w:val="clear" w:pos="567"/>
        </w:tabs>
        <w:ind w:right="-2"/>
        <w:rPr>
          <w:lang w:val="pl-PL"/>
        </w:rPr>
      </w:pPr>
    </w:p>
    <w:p w14:paraId="71FEB12B" w14:textId="77777777" w:rsidR="0059552A" w:rsidRPr="00275D64" w:rsidRDefault="0059552A" w:rsidP="00496272">
      <w:pPr>
        <w:numPr>
          <w:ilvl w:val="12"/>
          <w:numId w:val="0"/>
        </w:numPr>
        <w:tabs>
          <w:tab w:val="clear" w:pos="567"/>
        </w:tabs>
        <w:ind w:right="-2"/>
        <w:rPr>
          <w:szCs w:val="22"/>
          <w:lang w:val="pl-PL"/>
        </w:rPr>
      </w:pPr>
      <w:r w:rsidRPr="00275D64">
        <w:rPr>
          <w:lang w:val="pl-PL"/>
        </w:rPr>
        <w:t xml:space="preserve">Lek ten jest podawany w postaci wstrzyknięcia do tkanki tuż pod skórą (wstrzyknięcie podskórne).Lekarz lub pielęgniarka zademonstruje, jak wstrzykiwać lek. Jeśli pacjent przyjmuje lek samodzielnie, należy uważnie przeczytać </w:t>
      </w:r>
      <w:r w:rsidRPr="00275D64">
        <w:rPr>
          <w:szCs w:val="22"/>
          <w:lang w:val="pl-PL" w:eastAsia="en-GB"/>
        </w:rPr>
        <w:t>i</w:t>
      </w:r>
      <w:r w:rsidRPr="00275D64">
        <w:rPr>
          <w:lang w:val="pl-PL"/>
        </w:rPr>
        <w:t>nstrukcję obsługi wstrzykiwacza i postępować według zawartych w niej wskazówek</w:t>
      </w:r>
      <w:r w:rsidRPr="00275D64">
        <w:rPr>
          <w:szCs w:val="22"/>
          <w:lang w:val="pl-PL" w:eastAsia="en-GB"/>
        </w:rPr>
        <w:t>.</w:t>
      </w:r>
    </w:p>
    <w:p w14:paraId="52DFADF7" w14:textId="77777777" w:rsidR="0059552A" w:rsidRPr="00275D64" w:rsidRDefault="0059552A" w:rsidP="00496272">
      <w:pPr>
        <w:numPr>
          <w:ilvl w:val="12"/>
          <w:numId w:val="0"/>
        </w:numPr>
        <w:tabs>
          <w:tab w:val="clear" w:pos="567"/>
        </w:tabs>
        <w:ind w:right="-2"/>
        <w:rPr>
          <w:szCs w:val="22"/>
          <w:lang w:val="pl-PL"/>
        </w:rPr>
      </w:pPr>
    </w:p>
    <w:p w14:paraId="6A21B392" w14:textId="77777777" w:rsidR="0059552A" w:rsidRPr="00275D64" w:rsidRDefault="0059552A" w:rsidP="00496272">
      <w:pPr>
        <w:numPr>
          <w:ilvl w:val="12"/>
          <w:numId w:val="0"/>
        </w:numPr>
        <w:tabs>
          <w:tab w:val="clear" w:pos="567"/>
        </w:tabs>
        <w:ind w:right="-2"/>
        <w:rPr>
          <w:b/>
          <w:szCs w:val="22"/>
          <w:lang w:val="pl-PL"/>
        </w:rPr>
      </w:pPr>
      <w:r w:rsidRPr="00275D64">
        <w:rPr>
          <w:b/>
          <w:lang w:val="pl-PL"/>
        </w:rPr>
        <w:t>Jaka jest zalecana dawka</w:t>
      </w:r>
    </w:p>
    <w:p w14:paraId="29F2D5E3" w14:textId="77777777" w:rsidR="0059552A" w:rsidRPr="00275D64" w:rsidRDefault="0059552A" w:rsidP="00496272">
      <w:pPr>
        <w:rPr>
          <w:lang w:val="pl-PL"/>
        </w:rPr>
      </w:pPr>
      <w:r w:rsidRPr="00275D64">
        <w:rPr>
          <w:lang w:val="pl-PL"/>
        </w:rPr>
        <w:t>Lekarz prowadzący zdecyduje, ile leku należy stosować i jak często. Poniżej opisane dawki są podane w jednostkach międzynarodowych (j.m.).</w:t>
      </w:r>
    </w:p>
    <w:p w14:paraId="640423E1" w14:textId="77777777" w:rsidR="0059552A" w:rsidRPr="00275D64" w:rsidRDefault="0059552A" w:rsidP="00496272">
      <w:pPr>
        <w:rPr>
          <w:lang w:val="pl-PL"/>
        </w:rPr>
      </w:pPr>
    </w:p>
    <w:p w14:paraId="0DE15458" w14:textId="77777777" w:rsidR="0059552A" w:rsidRPr="00275D64" w:rsidRDefault="0059552A" w:rsidP="00496272">
      <w:pPr>
        <w:rPr>
          <w:u w:val="single"/>
          <w:lang w:val="pl-PL"/>
        </w:rPr>
      </w:pPr>
      <w:r w:rsidRPr="00275D64">
        <w:rPr>
          <w:u w:val="single"/>
          <w:lang w:val="pl-PL"/>
        </w:rPr>
        <w:t>Kobiety</w:t>
      </w:r>
    </w:p>
    <w:p w14:paraId="186D7323" w14:textId="77777777" w:rsidR="0059552A" w:rsidRPr="00275D64" w:rsidRDefault="0059552A" w:rsidP="00496272">
      <w:pPr>
        <w:rPr>
          <w:lang w:val="pl-PL"/>
        </w:rPr>
      </w:pPr>
    </w:p>
    <w:p w14:paraId="39E6BDE9" w14:textId="77777777" w:rsidR="0059552A" w:rsidRPr="00275D64" w:rsidRDefault="0059552A" w:rsidP="00496272">
      <w:pPr>
        <w:rPr>
          <w:u w:val="single"/>
          <w:lang w:val="pl-PL"/>
        </w:rPr>
      </w:pPr>
      <w:r w:rsidRPr="00275D64">
        <w:rPr>
          <w:u w:val="single"/>
          <w:lang w:val="pl-PL"/>
        </w:rPr>
        <w:t>Jeśli u pacjentki nie występuje jajeczkowanie i ma nieregularne miesiączki lub nie miesiączkuje wcale</w:t>
      </w:r>
    </w:p>
    <w:p w14:paraId="64107653" w14:textId="77777777" w:rsidR="0059552A" w:rsidRPr="00275D64" w:rsidRDefault="0059552A" w:rsidP="002F3A44">
      <w:pPr>
        <w:numPr>
          <w:ilvl w:val="0"/>
          <w:numId w:val="20"/>
        </w:numPr>
        <w:ind w:left="567" w:hanging="567"/>
        <w:rPr>
          <w:lang w:val="pl-PL"/>
        </w:rPr>
      </w:pPr>
      <w:r w:rsidRPr="00275D64">
        <w:rPr>
          <w:lang w:val="pl-PL"/>
        </w:rPr>
        <w:t>Lek ten jest zwykle podawany codziennie.</w:t>
      </w:r>
    </w:p>
    <w:p w14:paraId="66983075" w14:textId="77777777" w:rsidR="0059552A" w:rsidRPr="00275D64" w:rsidRDefault="0059552A" w:rsidP="002F3A44">
      <w:pPr>
        <w:numPr>
          <w:ilvl w:val="0"/>
          <w:numId w:val="20"/>
        </w:numPr>
        <w:ind w:left="567" w:hanging="567"/>
        <w:rPr>
          <w:lang w:val="pl-PL"/>
        </w:rPr>
      </w:pPr>
      <w:r w:rsidRPr="00275D64">
        <w:rPr>
          <w:lang w:val="pl-PL"/>
        </w:rPr>
        <w:t>Jeśli pacjentka ma nieregularne miesiączki, stosowanie tego leku należy rozpocząć w ciągu pierwszych 7 dni cyklu menstruacyjnego. Jeśli u pacjentki nie występują miesiączki, może ona rozpocząć stosowanie leku w którymkolwiek dogodnym dniu.</w:t>
      </w:r>
    </w:p>
    <w:p w14:paraId="7787DE54" w14:textId="77777777" w:rsidR="0059552A" w:rsidRPr="00275D64" w:rsidRDefault="0059552A" w:rsidP="002F3A44">
      <w:pPr>
        <w:numPr>
          <w:ilvl w:val="0"/>
          <w:numId w:val="20"/>
        </w:numPr>
        <w:ind w:left="567" w:hanging="567"/>
        <w:rPr>
          <w:lang w:val="pl-PL"/>
        </w:rPr>
      </w:pPr>
      <w:r w:rsidRPr="00275D64">
        <w:rPr>
          <w:lang w:val="pl-PL"/>
        </w:rPr>
        <w:t>Zazwyczaj stosowana dawka początkowa tego leku wynosi 75 j.m. do 150 j.m. na dobę</w:t>
      </w:r>
    </w:p>
    <w:p w14:paraId="326936F3" w14:textId="77777777" w:rsidR="0059552A" w:rsidRPr="00275D64" w:rsidRDefault="0059552A" w:rsidP="002F3A44">
      <w:pPr>
        <w:numPr>
          <w:ilvl w:val="0"/>
          <w:numId w:val="20"/>
        </w:numPr>
        <w:ind w:left="567" w:hanging="567"/>
        <w:rPr>
          <w:lang w:val="pl-PL"/>
        </w:rPr>
      </w:pPr>
      <w:r w:rsidRPr="00275D64">
        <w:rPr>
          <w:lang w:val="pl-PL"/>
        </w:rPr>
        <w:t>Dawka tego leku może być zwiększana co 7 lub 14 dni o 37,5 j.m. do 75 j.m. aż do uzyskania pożądanej odpowiedzi.</w:t>
      </w:r>
    </w:p>
    <w:p w14:paraId="096DDAA1" w14:textId="77777777" w:rsidR="0059552A" w:rsidRPr="00275D64" w:rsidRDefault="0059552A" w:rsidP="002F3A44">
      <w:pPr>
        <w:numPr>
          <w:ilvl w:val="0"/>
          <w:numId w:val="20"/>
        </w:numPr>
        <w:ind w:left="567" w:hanging="567"/>
        <w:rPr>
          <w:lang w:val="pl-PL"/>
        </w:rPr>
      </w:pPr>
      <w:r w:rsidRPr="00275D64">
        <w:rPr>
          <w:lang w:val="pl-PL"/>
        </w:rPr>
        <w:t>Maksymalna dawka dobowa tego leku zwykle nie jest większa niż 225 j.m.</w:t>
      </w:r>
    </w:p>
    <w:p w14:paraId="5668F780" w14:textId="77777777" w:rsidR="0059552A" w:rsidRPr="00275D64" w:rsidRDefault="0059552A" w:rsidP="002F3A44">
      <w:pPr>
        <w:numPr>
          <w:ilvl w:val="0"/>
          <w:numId w:val="20"/>
        </w:numPr>
        <w:ind w:left="567" w:hanging="567"/>
        <w:rPr>
          <w:lang w:val="pl-PL"/>
        </w:rPr>
      </w:pPr>
      <w:r w:rsidRPr="00275D64">
        <w:rPr>
          <w:lang w:val="pl-PL"/>
        </w:rPr>
        <w:t>Jeśli pacjentka uzyska pożądaną odpowiedź, otrzyma hCG lub rekombinowaną hCG (r</w:t>
      </w:r>
      <w:r w:rsidRPr="00275D64">
        <w:rPr>
          <w:lang w:val="pl-PL"/>
        </w:rPr>
        <w:noBreakHyphen/>
        <w:t>hCG, jest to hCG produkowana w laboratorium z wykorzystaniem specjalnej metody DNA). Pojedyncze wstrzyknięcie będzie zawierało 250 mikrogramów r</w:t>
      </w:r>
      <w:r w:rsidRPr="00275D64">
        <w:rPr>
          <w:lang w:val="pl-PL"/>
        </w:rPr>
        <w:noBreakHyphen/>
        <w:t>hCG lub 5 000 do 10 000 j.m. hCG, 24 do 48 godzin po ostatnim wstrzyknięciu leku Ovaleap. Najlepszym czasem na odbycie stosunku płciowego jest dzień podania zastrzyku hCG i dzień następny.Alternatywnie można przeprowadzić zapłodnienie wewnątrzmaciczne przez umieszczenie nasienia w jamie macicy.</w:t>
      </w:r>
    </w:p>
    <w:p w14:paraId="13EBDF5D" w14:textId="77777777" w:rsidR="0059552A" w:rsidRPr="00275D64" w:rsidRDefault="0059552A" w:rsidP="00496272">
      <w:pPr>
        <w:rPr>
          <w:lang w:val="pl-PL"/>
        </w:rPr>
      </w:pPr>
    </w:p>
    <w:p w14:paraId="5AE4C1E8" w14:textId="77777777" w:rsidR="0059552A" w:rsidRPr="00275D64" w:rsidRDefault="0059552A" w:rsidP="00496272">
      <w:pPr>
        <w:rPr>
          <w:lang w:val="pl-PL"/>
        </w:rPr>
      </w:pPr>
      <w:r w:rsidRPr="00275D64">
        <w:rPr>
          <w:lang w:val="pl-PL"/>
        </w:rPr>
        <w:t>Jeżeli lekarz prowadzący nie stwierdza pożądanej odpowiedzi po 4 tygodniach, należy przerwać ten cykl leczenia lekiem Ovaleap. W następnym cyklu lekarz prowadzący zaleci leczenie większą dawką początkową tego leku niż poprzednio.</w:t>
      </w:r>
    </w:p>
    <w:p w14:paraId="14EFDA4B" w14:textId="77777777" w:rsidR="0059552A" w:rsidRPr="00275D64" w:rsidRDefault="0059552A" w:rsidP="00496272">
      <w:pPr>
        <w:rPr>
          <w:lang w:val="pl-PL"/>
        </w:rPr>
      </w:pPr>
    </w:p>
    <w:p w14:paraId="50963022" w14:textId="77777777" w:rsidR="0059552A" w:rsidRPr="00275D64" w:rsidRDefault="0059552A" w:rsidP="00496272">
      <w:pPr>
        <w:rPr>
          <w:lang w:val="pl-PL"/>
        </w:rPr>
      </w:pPr>
      <w:r w:rsidRPr="00275D64">
        <w:rPr>
          <w:lang w:val="pl-PL"/>
        </w:rPr>
        <w:t xml:space="preserve">W przypadku uzyskania nadmiernej odpowiedzi leczenie lekiem Ovaleap należy przerwać i pacjentka nie otrzyma hCG [patrz również punkt 2, Zespół nadmiernej stymulacji jajników (ang. </w:t>
      </w:r>
      <w:r w:rsidRPr="00275D64">
        <w:rPr>
          <w:i/>
          <w:lang w:val="pl-PL"/>
        </w:rPr>
        <w:t>Ovarian Hyper</w:t>
      </w:r>
      <w:r w:rsidRPr="00275D64">
        <w:rPr>
          <w:lang w:val="pl-PL"/>
        </w:rPr>
        <w:noBreakHyphen/>
      </w:r>
      <w:r w:rsidRPr="00275D64">
        <w:rPr>
          <w:i/>
          <w:lang w:val="pl-PL"/>
        </w:rPr>
        <w:t>Stimulation Syndrome</w:t>
      </w:r>
      <w:r w:rsidRPr="00275D64">
        <w:rPr>
          <w:lang w:val="pl-PL"/>
        </w:rPr>
        <w:t>, OHSS)]. W następnym cyklu lekarz prowadzący zaleci mniejszą dawkę leku Ovaleap niż poprzednio.</w:t>
      </w:r>
    </w:p>
    <w:p w14:paraId="2CC16DBB" w14:textId="77777777" w:rsidR="0059552A" w:rsidRPr="00275D64" w:rsidRDefault="0059552A" w:rsidP="00496272">
      <w:pPr>
        <w:rPr>
          <w:highlight w:val="yellow"/>
          <w:lang w:val="pl-PL"/>
        </w:rPr>
      </w:pPr>
    </w:p>
    <w:p w14:paraId="139B6F8F" w14:textId="77777777" w:rsidR="0059552A" w:rsidRPr="00275D64" w:rsidRDefault="0059552A" w:rsidP="00496272">
      <w:pPr>
        <w:rPr>
          <w:u w:val="single"/>
          <w:lang w:val="pl-PL"/>
        </w:rPr>
      </w:pPr>
      <w:r w:rsidRPr="00275D64">
        <w:rPr>
          <w:u w:val="single"/>
          <w:lang w:val="pl-PL"/>
        </w:rPr>
        <w:t>Jeśli u pacjentki konieczne jest rozwinięcie wielu komórek jajowych w celu pobrania ich przed wszelkimi technikami wspomaganego rozrodu</w:t>
      </w:r>
    </w:p>
    <w:p w14:paraId="4D138582" w14:textId="77777777" w:rsidR="0059552A" w:rsidRPr="00275D64" w:rsidRDefault="0059552A" w:rsidP="002F3A44">
      <w:pPr>
        <w:numPr>
          <w:ilvl w:val="0"/>
          <w:numId w:val="21"/>
        </w:numPr>
        <w:ind w:left="567" w:hanging="567"/>
        <w:rPr>
          <w:lang w:val="pl-PL"/>
        </w:rPr>
      </w:pPr>
      <w:r w:rsidRPr="00275D64">
        <w:rPr>
          <w:lang w:val="pl-PL"/>
        </w:rPr>
        <w:t>Zazwyczaj stosowana dawka początkowa tego leku wynosi 150 j.m. do 225 j.m. na dobę, od 2. lub 3. dnia cyklu menstruacyjnego.</w:t>
      </w:r>
    </w:p>
    <w:p w14:paraId="00F5ADCA" w14:textId="71AF800D" w:rsidR="0059552A" w:rsidRPr="00275D64" w:rsidRDefault="0059552A" w:rsidP="002F3A44">
      <w:pPr>
        <w:numPr>
          <w:ilvl w:val="0"/>
          <w:numId w:val="21"/>
        </w:numPr>
        <w:ind w:left="567" w:hanging="567"/>
        <w:rPr>
          <w:lang w:val="pl-PL"/>
        </w:rPr>
      </w:pPr>
      <w:r w:rsidRPr="00275D64">
        <w:rPr>
          <w:lang w:val="pl-PL"/>
        </w:rPr>
        <w:t>Dawka może być zwiększana w zależności od odpowiedzi pacjentki. Maksymalna dawka dobowa wynosi 450 j.m.</w:t>
      </w:r>
    </w:p>
    <w:p w14:paraId="6C18BE86" w14:textId="77777777" w:rsidR="0059552A" w:rsidRPr="00275D64" w:rsidRDefault="0059552A" w:rsidP="002F3A44">
      <w:pPr>
        <w:numPr>
          <w:ilvl w:val="0"/>
          <w:numId w:val="21"/>
        </w:numPr>
        <w:ind w:left="567" w:hanging="567"/>
        <w:rPr>
          <w:lang w:val="pl-PL"/>
        </w:rPr>
      </w:pPr>
      <w:r w:rsidRPr="00275D64">
        <w:rPr>
          <w:lang w:val="pl-PL"/>
        </w:rPr>
        <w:lastRenderedPageBreak/>
        <w:t>Leczenie kontynuuje się aż do rozwinięcia komórek jajowych do pożądanego stopnia. Trwa to zazwyczaj około 10 dni, lecz może to trwać również 5 do 20 dni. W celu sprawdzenia, kiedy to nastąpi, lekarz prowadzący wykona badania krwi i (lub) badanie ultrasonograficzne.</w:t>
      </w:r>
    </w:p>
    <w:p w14:paraId="0C5217F7" w14:textId="77777777" w:rsidR="0059552A" w:rsidRPr="00275D64" w:rsidRDefault="0059552A" w:rsidP="002F3A44">
      <w:pPr>
        <w:numPr>
          <w:ilvl w:val="0"/>
          <w:numId w:val="21"/>
        </w:numPr>
        <w:ind w:left="567" w:hanging="567"/>
        <w:rPr>
          <w:lang w:val="pl-PL"/>
        </w:rPr>
      </w:pPr>
      <w:r w:rsidRPr="00275D64">
        <w:rPr>
          <w:lang w:val="pl-PL"/>
        </w:rPr>
        <w:t>Gdy komórki jajowe będą odpowiednio dojrzałe, pacjentka otrzyma hCG lub r</w:t>
      </w:r>
      <w:r w:rsidRPr="00275D64">
        <w:rPr>
          <w:lang w:val="pl-PL"/>
        </w:rPr>
        <w:noBreakHyphen/>
        <w:t>hCG. Pojedyncze wstrzyknięcie będzie zawierało 250 mikrogramów r</w:t>
      </w:r>
      <w:r w:rsidRPr="00275D64">
        <w:rPr>
          <w:lang w:val="pl-PL"/>
        </w:rPr>
        <w:noBreakHyphen/>
        <w:t>hCG lub 5 000 do 10 000 j.m. hCG, 24 do 48 godzin po ostatnim wstrzyknięciu leku Ovaleap. W ten sposób komórki jajowe są gotowe do pobrania.</w:t>
      </w:r>
    </w:p>
    <w:p w14:paraId="446E125B" w14:textId="77777777" w:rsidR="0059552A" w:rsidRPr="00275D64" w:rsidRDefault="0059552A" w:rsidP="00496272">
      <w:pPr>
        <w:ind w:left="567" w:hanging="567"/>
        <w:rPr>
          <w:lang w:val="pl-PL"/>
        </w:rPr>
      </w:pPr>
    </w:p>
    <w:p w14:paraId="4DC30CAB" w14:textId="77777777" w:rsidR="0059552A" w:rsidRPr="00275D64" w:rsidRDefault="0059552A" w:rsidP="00496272">
      <w:pPr>
        <w:rPr>
          <w:lang w:val="pl-PL"/>
        </w:rPr>
      </w:pPr>
      <w:r w:rsidRPr="00275D64">
        <w:rPr>
          <w:lang w:val="pl-PL"/>
        </w:rPr>
        <w:t>W innych przypadkach lekarz może najpierw wstrzymać jajeczkowanie u pacjentki stosując agonistę lub antagonistę hormonu uwalniającego gonadotropinę (GnRH). Następnie lek Ovaleap jest podawany około 2 tygodnie po rozpoczęciu leczenia agonistą. Ovaleap oraz agonista GnRH są podawane aż do osiągnięcia odpowiedniego rozwoju pęcherzyków.</w:t>
      </w:r>
    </w:p>
    <w:p w14:paraId="4EC9CD45" w14:textId="77777777" w:rsidR="0059552A" w:rsidRPr="00275D64" w:rsidRDefault="0059552A" w:rsidP="00496272">
      <w:pPr>
        <w:rPr>
          <w:highlight w:val="yellow"/>
          <w:lang w:val="pl-PL"/>
        </w:rPr>
      </w:pPr>
    </w:p>
    <w:p w14:paraId="2ED49F0B" w14:textId="77777777" w:rsidR="0059552A" w:rsidRPr="00275D64" w:rsidRDefault="0059552A" w:rsidP="00496272">
      <w:pPr>
        <w:rPr>
          <w:u w:val="single"/>
          <w:lang w:val="pl-PL"/>
        </w:rPr>
      </w:pPr>
      <w:r w:rsidRPr="00275D64">
        <w:rPr>
          <w:u w:val="single"/>
          <w:lang w:val="pl-PL"/>
        </w:rPr>
        <w:t>Jeśli pacjentka nie jajeczkuje, nie miesiączkuje i stwierdzono u niej bardzo małe stężenie hormonów FSH i LH</w:t>
      </w:r>
    </w:p>
    <w:p w14:paraId="2DE62DB5" w14:textId="77777777" w:rsidR="0059552A" w:rsidRPr="00275D64" w:rsidRDefault="0059552A" w:rsidP="007955E0">
      <w:pPr>
        <w:tabs>
          <w:tab w:val="clear" w:pos="567"/>
          <w:tab w:val="left" w:pos="0"/>
        </w:tabs>
        <w:rPr>
          <w:lang w:val="pl-PL"/>
        </w:rPr>
      </w:pPr>
      <w:r w:rsidRPr="00275D64">
        <w:rPr>
          <w:lang w:val="pl-PL"/>
        </w:rPr>
        <w:t>Zazwyczaj stosowana dawka początkowa leku Ovaleap wynosi 75 j.m. do 150 j.m. razem z 75 j.m. lutropiny alfa.</w:t>
      </w:r>
    </w:p>
    <w:p w14:paraId="727441E2" w14:textId="77777777" w:rsidR="0059552A" w:rsidRPr="00275D64" w:rsidRDefault="0059552A" w:rsidP="002F3A44">
      <w:pPr>
        <w:numPr>
          <w:ilvl w:val="0"/>
          <w:numId w:val="21"/>
        </w:numPr>
        <w:ind w:left="567" w:hanging="567"/>
        <w:rPr>
          <w:lang w:val="pl-PL"/>
        </w:rPr>
      </w:pPr>
      <w:r w:rsidRPr="00275D64">
        <w:rPr>
          <w:lang w:val="pl-PL"/>
        </w:rPr>
        <w:t>Pacjentka stosuje oba leki codziennie przez okres do 5 tygodni.</w:t>
      </w:r>
    </w:p>
    <w:p w14:paraId="71105FBA" w14:textId="77777777" w:rsidR="0059552A" w:rsidRPr="00275D64" w:rsidRDefault="0059552A" w:rsidP="002F3A44">
      <w:pPr>
        <w:numPr>
          <w:ilvl w:val="0"/>
          <w:numId w:val="21"/>
        </w:numPr>
        <w:ind w:left="567" w:hanging="567"/>
        <w:rPr>
          <w:lang w:val="pl-PL"/>
        </w:rPr>
      </w:pPr>
      <w:r w:rsidRPr="00275D64">
        <w:rPr>
          <w:lang w:val="pl-PL"/>
        </w:rPr>
        <w:t>Dawka leku Ovaleap może być zwiększana co 7 lub 14 dni o 37,5 j.m. do 75 j.m. aż do uzyskania pożądanej odpowiedzi.</w:t>
      </w:r>
    </w:p>
    <w:p w14:paraId="1C3560AD" w14:textId="77777777" w:rsidR="0059552A" w:rsidRPr="00275D64" w:rsidRDefault="0059552A" w:rsidP="002F3A44">
      <w:pPr>
        <w:numPr>
          <w:ilvl w:val="0"/>
          <w:numId w:val="21"/>
        </w:numPr>
        <w:ind w:left="567" w:hanging="567"/>
        <w:rPr>
          <w:lang w:val="pl-PL"/>
        </w:rPr>
      </w:pPr>
      <w:r w:rsidRPr="00275D64">
        <w:rPr>
          <w:lang w:val="pl-PL"/>
        </w:rPr>
        <w:t>Jeśli pacjentka uzyska pożądaną odpowiedź, otrzyma hCG lub r</w:t>
      </w:r>
      <w:r w:rsidRPr="00275D64">
        <w:rPr>
          <w:lang w:val="pl-PL"/>
        </w:rPr>
        <w:noBreakHyphen/>
        <w:t>hCG. Pojedyncze wstrzyknięcie będzie zawierało 250 mikrogramów r</w:t>
      </w:r>
      <w:r w:rsidRPr="00275D64">
        <w:rPr>
          <w:lang w:val="pl-PL"/>
        </w:rPr>
        <w:noBreakHyphen/>
        <w:t>hCG lub 5 000 do 10 000 j.m. hCG, 24 do 48 godzin po ostatnim wstrzyknięciu leku Ovaleap i lutropiny alfa. Najlepszym czasem na odbycie stosunku płciowego jest dzień podania zastrzyku hCG i dzień następny. Alternatywnie może zostać wykonane zapłodnienie wewnątrzmaciczne przez umieszczenie nasienia w jamie macicy.</w:t>
      </w:r>
    </w:p>
    <w:p w14:paraId="46CA9B4C" w14:textId="77777777" w:rsidR="0059552A" w:rsidRPr="00275D64" w:rsidRDefault="0059552A" w:rsidP="00496272">
      <w:pPr>
        <w:ind w:left="567" w:hanging="567"/>
        <w:rPr>
          <w:lang w:val="pl-PL"/>
        </w:rPr>
      </w:pPr>
    </w:p>
    <w:p w14:paraId="65B49344" w14:textId="74D06104" w:rsidR="0059552A" w:rsidRPr="00275D64" w:rsidRDefault="0059552A" w:rsidP="00496272">
      <w:pPr>
        <w:rPr>
          <w:lang w:val="pl-PL"/>
        </w:rPr>
      </w:pPr>
      <w:r w:rsidRPr="00275D64">
        <w:rPr>
          <w:lang w:val="pl-PL"/>
        </w:rPr>
        <w:t>Jeżeli lekarz prowadzący nie stwierdza odpowiedzi po 5 tygodniach, należy przerwać ten cykl leczenia. W następnym cyklu lekarz prowadzący zaleci leczenie większą dawką początkową tego leku niż poprzednio.</w:t>
      </w:r>
    </w:p>
    <w:p w14:paraId="5B827DAE" w14:textId="77777777" w:rsidR="0059552A" w:rsidRPr="00275D64" w:rsidRDefault="0059552A" w:rsidP="00496272">
      <w:pPr>
        <w:rPr>
          <w:lang w:val="pl-PL"/>
        </w:rPr>
      </w:pPr>
    </w:p>
    <w:p w14:paraId="381C5E38" w14:textId="77777777" w:rsidR="0059552A" w:rsidRPr="00275D64" w:rsidRDefault="0059552A" w:rsidP="00496272">
      <w:pPr>
        <w:rPr>
          <w:lang w:val="pl-PL"/>
        </w:rPr>
      </w:pPr>
      <w:r w:rsidRPr="00275D64">
        <w:rPr>
          <w:lang w:val="pl-PL"/>
        </w:rPr>
        <w:t xml:space="preserve">W przypadku uzyskania nadmiernej odpowiedzi leczenie lekiem Ovaleap należy przerwać i pacjentka nie otrzyma hCG [patrz również punkt 2, Zespół nadmiernej stymulacji jajników (ang. </w:t>
      </w:r>
      <w:r w:rsidRPr="00275D64">
        <w:rPr>
          <w:i/>
          <w:lang w:val="pl-PL"/>
        </w:rPr>
        <w:t>Ovarian HyperStimulation Syndrome</w:t>
      </w:r>
      <w:r w:rsidRPr="00275D64">
        <w:rPr>
          <w:lang w:val="pl-PL"/>
        </w:rPr>
        <w:t>, OHSS)]. W następnym cyklu lekarz prowadzący zaleci mniejszą dawkę leku Ovaleap niż poprzednio.</w:t>
      </w:r>
    </w:p>
    <w:p w14:paraId="3357544D" w14:textId="77777777" w:rsidR="0059552A" w:rsidRPr="00275D64" w:rsidRDefault="0059552A" w:rsidP="00496272">
      <w:pPr>
        <w:rPr>
          <w:highlight w:val="yellow"/>
          <w:lang w:val="pl-PL"/>
        </w:rPr>
      </w:pPr>
    </w:p>
    <w:p w14:paraId="3849CC2A" w14:textId="77777777" w:rsidR="0059552A" w:rsidRPr="00275D64" w:rsidRDefault="0059552A" w:rsidP="00496272">
      <w:pPr>
        <w:rPr>
          <w:u w:val="single"/>
          <w:lang w:val="pl-PL"/>
        </w:rPr>
      </w:pPr>
      <w:r w:rsidRPr="00275D64">
        <w:rPr>
          <w:u w:val="single"/>
          <w:lang w:val="pl-PL"/>
        </w:rPr>
        <w:t>Mężczyźni</w:t>
      </w:r>
    </w:p>
    <w:p w14:paraId="022A37F6" w14:textId="77777777" w:rsidR="0059552A" w:rsidRPr="00275D64" w:rsidRDefault="0059552A" w:rsidP="002F3A44">
      <w:pPr>
        <w:numPr>
          <w:ilvl w:val="0"/>
          <w:numId w:val="21"/>
        </w:numPr>
        <w:ind w:left="567" w:hanging="567"/>
        <w:rPr>
          <w:lang w:val="pl-PL"/>
        </w:rPr>
      </w:pPr>
      <w:r w:rsidRPr="00275D64">
        <w:rPr>
          <w:lang w:val="pl-PL"/>
        </w:rPr>
        <w:t>Zazwyczaj stosowana dawka tego leku wynosi 150 j.m. razem z hCG.</w:t>
      </w:r>
    </w:p>
    <w:p w14:paraId="28B17D89" w14:textId="77777777" w:rsidR="0059552A" w:rsidRPr="00275D64" w:rsidRDefault="0059552A" w:rsidP="002F3A44">
      <w:pPr>
        <w:numPr>
          <w:ilvl w:val="0"/>
          <w:numId w:val="21"/>
        </w:numPr>
        <w:ind w:left="567" w:hanging="567"/>
        <w:rPr>
          <w:lang w:val="pl-PL"/>
        </w:rPr>
      </w:pPr>
      <w:r w:rsidRPr="00275D64">
        <w:rPr>
          <w:lang w:val="pl-PL"/>
        </w:rPr>
        <w:t>Pacjent stosuje te dwa leki trzy razy w tygodniu przez przynajmniej 4 miesiące.</w:t>
      </w:r>
    </w:p>
    <w:p w14:paraId="3C29A7D8" w14:textId="77777777" w:rsidR="0059552A" w:rsidRPr="00275D64" w:rsidRDefault="0059552A" w:rsidP="002F3A44">
      <w:pPr>
        <w:numPr>
          <w:ilvl w:val="0"/>
          <w:numId w:val="21"/>
        </w:numPr>
        <w:ind w:left="567" w:hanging="567"/>
        <w:rPr>
          <w:lang w:val="pl-PL"/>
        </w:rPr>
      </w:pPr>
      <w:r w:rsidRPr="00275D64">
        <w:rPr>
          <w:lang w:val="pl-PL"/>
        </w:rPr>
        <w:t>Jeśli po 4 miesiącach pacjent nie zareaguje na leczenie, lekarz może zaproponować, by przedłużyć stosowanie obu leków do co najmniej 18 miesięcy.</w:t>
      </w:r>
    </w:p>
    <w:p w14:paraId="2518E75B" w14:textId="77777777" w:rsidR="0059552A" w:rsidRPr="00275D64" w:rsidRDefault="0059552A" w:rsidP="00496272">
      <w:pPr>
        <w:numPr>
          <w:ilvl w:val="12"/>
          <w:numId w:val="0"/>
        </w:numPr>
        <w:tabs>
          <w:tab w:val="clear" w:pos="567"/>
        </w:tabs>
        <w:ind w:right="-2"/>
        <w:rPr>
          <w:szCs w:val="22"/>
          <w:lang w:val="pl-PL"/>
        </w:rPr>
      </w:pPr>
    </w:p>
    <w:p w14:paraId="47705863" w14:textId="77777777" w:rsidR="0059552A" w:rsidRPr="00275D64" w:rsidRDefault="0059552A" w:rsidP="00496272">
      <w:pPr>
        <w:numPr>
          <w:ilvl w:val="12"/>
          <w:numId w:val="0"/>
        </w:numPr>
        <w:tabs>
          <w:tab w:val="clear" w:pos="567"/>
        </w:tabs>
        <w:rPr>
          <w:b/>
          <w:szCs w:val="22"/>
          <w:lang w:val="pl-PL"/>
        </w:rPr>
      </w:pPr>
      <w:r w:rsidRPr="00275D64">
        <w:rPr>
          <w:b/>
          <w:lang w:val="pl-PL"/>
        </w:rPr>
        <w:t>W jaki sposób wykonywane są wstrzyknięcia</w:t>
      </w:r>
    </w:p>
    <w:p w14:paraId="3BFBAEFF" w14:textId="77777777" w:rsidR="0059552A" w:rsidRPr="00275D64" w:rsidRDefault="0059552A" w:rsidP="00496272">
      <w:pPr>
        <w:numPr>
          <w:ilvl w:val="12"/>
          <w:numId w:val="0"/>
        </w:numPr>
        <w:tabs>
          <w:tab w:val="clear" w:pos="567"/>
        </w:tabs>
        <w:rPr>
          <w:szCs w:val="22"/>
          <w:lang w:val="pl-PL"/>
        </w:rPr>
      </w:pPr>
      <w:r w:rsidRPr="00275D64">
        <w:rPr>
          <w:lang w:val="pl-PL"/>
        </w:rPr>
        <w:t>Lek ten jest podawany poprzez wstrzyknięcie do tkanki tuż pod skórą (wstrzyknięcie podskórne) przy użyciu wstrzykiwacza Ovaleap Pen. Wstrzykiwacz Ovaleap Pen jest przyrządem („wstrzykiwacz”) stosowanym do podawania wstrzyknięć do tkanki tuż pod skórą.</w:t>
      </w:r>
    </w:p>
    <w:p w14:paraId="41754F18" w14:textId="77777777" w:rsidR="0059552A" w:rsidRPr="00275D64" w:rsidRDefault="0059552A" w:rsidP="00496272">
      <w:pPr>
        <w:numPr>
          <w:ilvl w:val="12"/>
          <w:numId w:val="0"/>
        </w:numPr>
        <w:tabs>
          <w:tab w:val="clear" w:pos="567"/>
        </w:tabs>
        <w:rPr>
          <w:szCs w:val="22"/>
          <w:lang w:val="pl-PL"/>
        </w:rPr>
      </w:pPr>
    </w:p>
    <w:p w14:paraId="4C68191F" w14:textId="7926BEAD" w:rsidR="0059552A" w:rsidRPr="00275D64" w:rsidRDefault="0059552A" w:rsidP="00496272">
      <w:pPr>
        <w:numPr>
          <w:ilvl w:val="12"/>
          <w:numId w:val="0"/>
        </w:numPr>
        <w:tabs>
          <w:tab w:val="clear" w:pos="567"/>
        </w:tabs>
        <w:ind w:right="-2"/>
        <w:rPr>
          <w:lang w:val="pl-PL"/>
        </w:rPr>
      </w:pPr>
      <w:r w:rsidRPr="00275D64">
        <w:rPr>
          <w:lang w:val="pl-PL"/>
        </w:rPr>
        <w:t>Lekarz może polecić, aby pacjent nauczył się samodzielnego wykonywania wstrzyknięcia tego leku. Lekarz lub pielęgniarka udzielą pacjentowi instrukcji, w jaki sposób to robić. Instrukcje można również znaleźć w odrębnej instrukcji obsługi wstrzykiwacza. Nie wolno podejmować próby samodzielnego podania tego leku bez przeszkolenia przez lekarza lub pielęgniarkę. Pierwsze wstrzyknięcie tego leku powinno być podane wyłącznie w obecności lekarza lub pielęgniarki.</w:t>
      </w:r>
    </w:p>
    <w:p w14:paraId="50988617" w14:textId="77777777" w:rsidR="0059552A" w:rsidRPr="00275D64" w:rsidRDefault="0059552A" w:rsidP="00496272">
      <w:pPr>
        <w:numPr>
          <w:ilvl w:val="12"/>
          <w:numId w:val="0"/>
        </w:numPr>
        <w:tabs>
          <w:tab w:val="clear" w:pos="567"/>
        </w:tabs>
        <w:ind w:right="-2"/>
        <w:rPr>
          <w:lang w:val="pl-PL"/>
        </w:rPr>
      </w:pPr>
    </w:p>
    <w:p w14:paraId="065CF34E" w14:textId="77777777" w:rsidR="0059552A" w:rsidRPr="00275D64" w:rsidRDefault="0059552A" w:rsidP="00496272">
      <w:pPr>
        <w:numPr>
          <w:ilvl w:val="12"/>
          <w:numId w:val="0"/>
        </w:numPr>
        <w:tabs>
          <w:tab w:val="clear" w:pos="567"/>
        </w:tabs>
        <w:ind w:right="-2"/>
        <w:rPr>
          <w:szCs w:val="22"/>
          <w:lang w:val="pl-PL"/>
        </w:rPr>
      </w:pPr>
      <w:r w:rsidRPr="00275D64">
        <w:rPr>
          <w:lang w:val="pl-PL"/>
        </w:rPr>
        <w:t xml:space="preserve">Lek Ovaleap w postaci roztworu do wstrzykiwań we wkładach jest przeznaczony do stosowania we wstrzykiwaczu Ovaleap Pen. Należy dokładnie przestrzegać odrębnej instrukcji obsługi wstrzykiwacza Ovaleap Pen. Instrukcja obsługi wstrzykiwacza będzie dostarczona razem ze </w:t>
      </w:r>
      <w:r w:rsidRPr="00275D64">
        <w:rPr>
          <w:lang w:val="pl-PL"/>
        </w:rPr>
        <w:lastRenderedPageBreak/>
        <w:t>wstrzykiwaczem Ovaleap Pen. Właściwe leczenie choroby pacjenta wymaga jednak ścisłej i stałej współpracy z lekarzem.</w:t>
      </w:r>
    </w:p>
    <w:p w14:paraId="36EEADBC" w14:textId="77777777" w:rsidR="0059552A" w:rsidRPr="00275D64" w:rsidRDefault="0059552A" w:rsidP="00496272">
      <w:pPr>
        <w:numPr>
          <w:ilvl w:val="12"/>
          <w:numId w:val="0"/>
        </w:numPr>
        <w:tabs>
          <w:tab w:val="clear" w:pos="567"/>
        </w:tabs>
        <w:ind w:right="-2"/>
        <w:rPr>
          <w:szCs w:val="22"/>
          <w:lang w:val="pl-PL"/>
        </w:rPr>
      </w:pPr>
    </w:p>
    <w:p w14:paraId="7D8BDA30" w14:textId="77777777" w:rsidR="0059552A" w:rsidRPr="00275D64" w:rsidRDefault="0059552A" w:rsidP="00496272">
      <w:pPr>
        <w:numPr>
          <w:ilvl w:val="12"/>
          <w:numId w:val="0"/>
        </w:numPr>
        <w:tabs>
          <w:tab w:val="clear" w:pos="567"/>
        </w:tabs>
        <w:ind w:right="-2"/>
        <w:rPr>
          <w:szCs w:val="22"/>
          <w:lang w:val="pl-PL"/>
        </w:rPr>
      </w:pPr>
      <w:r w:rsidRPr="00275D64">
        <w:rPr>
          <w:lang w:val="pl-PL"/>
        </w:rPr>
        <w:t>Wszystkie użyte igły należy usunąć niezwłocznie po wykonaniu wstrzyknięcia.</w:t>
      </w:r>
    </w:p>
    <w:p w14:paraId="793E5BEB" w14:textId="77777777" w:rsidR="0059552A" w:rsidRPr="00275D64" w:rsidRDefault="0059552A" w:rsidP="00496272">
      <w:pPr>
        <w:numPr>
          <w:ilvl w:val="12"/>
          <w:numId w:val="0"/>
        </w:numPr>
        <w:tabs>
          <w:tab w:val="clear" w:pos="567"/>
        </w:tabs>
        <w:ind w:right="-2"/>
        <w:rPr>
          <w:szCs w:val="22"/>
          <w:lang w:val="pl-PL"/>
        </w:rPr>
      </w:pPr>
    </w:p>
    <w:p w14:paraId="68594992" w14:textId="77777777" w:rsidR="0059552A" w:rsidRPr="00275D64" w:rsidRDefault="0059552A" w:rsidP="00496272">
      <w:pPr>
        <w:numPr>
          <w:ilvl w:val="12"/>
          <w:numId w:val="0"/>
        </w:numPr>
        <w:tabs>
          <w:tab w:val="clear" w:pos="567"/>
        </w:tabs>
        <w:ind w:right="-2"/>
        <w:outlineLvl w:val="0"/>
        <w:rPr>
          <w:szCs w:val="22"/>
          <w:lang w:val="pl-PL"/>
        </w:rPr>
      </w:pPr>
      <w:r w:rsidRPr="00275D64">
        <w:rPr>
          <w:b/>
          <w:lang w:val="pl-PL"/>
        </w:rPr>
        <w:t>Zastosowanie większej niż zalecana dawki leku Ovaleap</w:t>
      </w:r>
    </w:p>
    <w:p w14:paraId="446841FA" w14:textId="77777777" w:rsidR="0059552A" w:rsidRPr="00275D64" w:rsidRDefault="0059552A" w:rsidP="00496272">
      <w:pPr>
        <w:numPr>
          <w:ilvl w:val="12"/>
          <w:numId w:val="0"/>
        </w:numPr>
        <w:tabs>
          <w:tab w:val="clear" w:pos="567"/>
        </w:tabs>
        <w:ind w:right="-2"/>
        <w:outlineLvl w:val="0"/>
        <w:rPr>
          <w:szCs w:val="22"/>
          <w:lang w:val="pl-PL"/>
        </w:rPr>
      </w:pPr>
      <w:r w:rsidRPr="00275D64">
        <w:rPr>
          <w:lang w:val="pl-PL"/>
        </w:rPr>
        <w:t xml:space="preserve">Nie są znane skutki przedawkowania leku Ovaleap. Mimo to, można oczekiwać wystąpienia zespołu nadmiernej stymulacji jajników (ang. </w:t>
      </w:r>
      <w:r w:rsidRPr="00275D64">
        <w:rPr>
          <w:i/>
          <w:lang w:val="pl-PL"/>
        </w:rPr>
        <w:t>Ovarian Hyper</w:t>
      </w:r>
      <w:r w:rsidRPr="00275D64">
        <w:rPr>
          <w:lang w:val="pl-PL"/>
        </w:rPr>
        <w:noBreakHyphen/>
      </w:r>
      <w:r w:rsidRPr="00275D64">
        <w:rPr>
          <w:i/>
          <w:lang w:val="pl-PL"/>
        </w:rPr>
        <w:t>Stimulation Syndrome</w:t>
      </w:r>
      <w:r w:rsidRPr="00275D64">
        <w:rPr>
          <w:lang w:val="pl-PL"/>
        </w:rPr>
        <w:t xml:space="preserve">, OHSS), który został opisany w punkcie 4 „Poważne działania niepożądane u kobiet”. Jednakże OHSS może wystąpić jedynie, jeżeli podano również hCG [patrz również punkt 2, Zespół nadmiernej stymulacji jajników (ang. </w:t>
      </w:r>
      <w:r w:rsidRPr="00275D64">
        <w:rPr>
          <w:i/>
          <w:lang w:val="pl-PL"/>
        </w:rPr>
        <w:t>Ovarian Hyper</w:t>
      </w:r>
      <w:r w:rsidRPr="00275D64">
        <w:rPr>
          <w:lang w:val="pl-PL"/>
        </w:rPr>
        <w:noBreakHyphen/>
      </w:r>
      <w:r w:rsidRPr="00275D64">
        <w:rPr>
          <w:i/>
          <w:lang w:val="pl-PL"/>
        </w:rPr>
        <w:t>Stimulation Syndrome</w:t>
      </w:r>
      <w:r w:rsidRPr="00275D64">
        <w:rPr>
          <w:lang w:val="pl-PL"/>
        </w:rPr>
        <w:t>, OHSS)].</w:t>
      </w:r>
    </w:p>
    <w:p w14:paraId="6EB7E8C9" w14:textId="77777777" w:rsidR="0059552A" w:rsidRPr="00275D64" w:rsidRDefault="0059552A" w:rsidP="00496272">
      <w:pPr>
        <w:numPr>
          <w:ilvl w:val="12"/>
          <w:numId w:val="0"/>
        </w:numPr>
        <w:tabs>
          <w:tab w:val="clear" w:pos="567"/>
        </w:tabs>
        <w:ind w:right="-2"/>
        <w:outlineLvl w:val="0"/>
        <w:rPr>
          <w:i/>
          <w:szCs w:val="22"/>
          <w:highlight w:val="yellow"/>
          <w:lang w:val="pl-PL"/>
        </w:rPr>
      </w:pPr>
    </w:p>
    <w:p w14:paraId="206A667A" w14:textId="77777777" w:rsidR="0059552A" w:rsidRPr="00275D64" w:rsidRDefault="0059552A" w:rsidP="00496272">
      <w:pPr>
        <w:numPr>
          <w:ilvl w:val="12"/>
          <w:numId w:val="0"/>
        </w:numPr>
        <w:tabs>
          <w:tab w:val="clear" w:pos="567"/>
        </w:tabs>
        <w:ind w:right="-2"/>
        <w:outlineLvl w:val="0"/>
        <w:rPr>
          <w:szCs w:val="22"/>
          <w:lang w:val="pl-PL"/>
        </w:rPr>
      </w:pPr>
      <w:r w:rsidRPr="00275D64">
        <w:rPr>
          <w:b/>
          <w:lang w:val="pl-PL"/>
        </w:rPr>
        <w:t>Pominięcie zastosowania leku Ovaleap</w:t>
      </w:r>
    </w:p>
    <w:p w14:paraId="2CEA08C0" w14:textId="77777777" w:rsidR="0059552A" w:rsidRPr="00275D64" w:rsidRDefault="0059552A" w:rsidP="00496272">
      <w:pPr>
        <w:numPr>
          <w:ilvl w:val="12"/>
          <w:numId w:val="0"/>
        </w:numPr>
        <w:tabs>
          <w:tab w:val="clear" w:pos="567"/>
        </w:tabs>
        <w:ind w:right="-2"/>
        <w:rPr>
          <w:szCs w:val="22"/>
          <w:lang w:val="pl-PL"/>
        </w:rPr>
      </w:pPr>
      <w:r w:rsidRPr="00275D64">
        <w:rPr>
          <w:lang w:val="pl-PL"/>
        </w:rPr>
        <w:t>Nie należy stosować dawki podwójnej w celu uzupełnienia pominiętej dawki. Jeśli pacjent zauważy, że pominął dawkę, powinien skontaktować się z lekarzem prowadzącym.</w:t>
      </w:r>
    </w:p>
    <w:p w14:paraId="295E6A98" w14:textId="77777777" w:rsidR="0059552A" w:rsidRPr="00275D64" w:rsidRDefault="0059552A" w:rsidP="00496272">
      <w:pPr>
        <w:numPr>
          <w:ilvl w:val="12"/>
          <w:numId w:val="0"/>
        </w:numPr>
        <w:tabs>
          <w:tab w:val="clear" w:pos="567"/>
        </w:tabs>
        <w:ind w:right="-2"/>
        <w:rPr>
          <w:szCs w:val="22"/>
          <w:highlight w:val="yellow"/>
          <w:lang w:val="pl-PL"/>
        </w:rPr>
      </w:pPr>
    </w:p>
    <w:p w14:paraId="262C0F94" w14:textId="77777777" w:rsidR="0059552A" w:rsidRPr="00275D64" w:rsidRDefault="0059552A" w:rsidP="00496272">
      <w:pPr>
        <w:numPr>
          <w:ilvl w:val="12"/>
          <w:numId w:val="0"/>
        </w:numPr>
        <w:tabs>
          <w:tab w:val="clear" w:pos="567"/>
        </w:tabs>
        <w:ind w:right="-29"/>
        <w:rPr>
          <w:szCs w:val="22"/>
          <w:lang w:val="pl-PL"/>
        </w:rPr>
      </w:pPr>
      <w:r w:rsidRPr="00275D64">
        <w:rPr>
          <w:lang w:val="pl-PL"/>
        </w:rPr>
        <w:t>W razie jakichkolwiek dalszych wątpliwości związanych ze stosowaniem tego leku, należy zwrócić się do lekarza, farmaceuty lub pielęgniarki.</w:t>
      </w:r>
    </w:p>
    <w:p w14:paraId="035E69C0" w14:textId="77777777" w:rsidR="0059552A" w:rsidRPr="00275D64" w:rsidRDefault="0059552A" w:rsidP="00496272">
      <w:pPr>
        <w:numPr>
          <w:ilvl w:val="12"/>
          <w:numId w:val="0"/>
        </w:numPr>
        <w:tabs>
          <w:tab w:val="clear" w:pos="567"/>
        </w:tabs>
        <w:rPr>
          <w:szCs w:val="22"/>
          <w:lang w:val="pl-PL"/>
        </w:rPr>
      </w:pPr>
    </w:p>
    <w:p w14:paraId="580B9B14" w14:textId="77777777" w:rsidR="0059552A" w:rsidRPr="00275D64" w:rsidRDefault="0059552A" w:rsidP="00496272">
      <w:pPr>
        <w:numPr>
          <w:ilvl w:val="12"/>
          <w:numId w:val="0"/>
        </w:numPr>
        <w:tabs>
          <w:tab w:val="clear" w:pos="567"/>
        </w:tabs>
        <w:rPr>
          <w:szCs w:val="22"/>
          <w:lang w:val="pl-PL"/>
        </w:rPr>
      </w:pPr>
    </w:p>
    <w:p w14:paraId="50492E2C" w14:textId="77777777" w:rsidR="0059552A" w:rsidRPr="00275D64" w:rsidRDefault="0059552A" w:rsidP="00496272">
      <w:pPr>
        <w:numPr>
          <w:ilvl w:val="12"/>
          <w:numId w:val="0"/>
        </w:numPr>
        <w:tabs>
          <w:tab w:val="clear" w:pos="567"/>
        </w:tabs>
        <w:ind w:left="567" w:right="-2" w:hanging="567"/>
        <w:rPr>
          <w:szCs w:val="22"/>
          <w:lang w:val="pl-PL"/>
        </w:rPr>
      </w:pPr>
      <w:bookmarkStart w:id="8" w:name="OLE_LINK6"/>
      <w:bookmarkStart w:id="9" w:name="OLE_LINK7"/>
      <w:r w:rsidRPr="00275D64">
        <w:rPr>
          <w:b/>
          <w:lang w:val="pl-PL"/>
        </w:rPr>
        <w:t>4.</w:t>
      </w:r>
      <w:r w:rsidRPr="00275D64">
        <w:rPr>
          <w:lang w:val="pl-PL"/>
        </w:rPr>
        <w:tab/>
      </w:r>
      <w:r w:rsidRPr="00275D64">
        <w:rPr>
          <w:b/>
          <w:lang w:val="pl-PL"/>
        </w:rPr>
        <w:t>Możliwe działania niepożądane</w:t>
      </w:r>
    </w:p>
    <w:bookmarkEnd w:id="8"/>
    <w:bookmarkEnd w:id="9"/>
    <w:p w14:paraId="227D3B02" w14:textId="77777777" w:rsidR="0059552A" w:rsidRPr="00275D64" w:rsidRDefault="0059552A" w:rsidP="00496272">
      <w:pPr>
        <w:numPr>
          <w:ilvl w:val="12"/>
          <w:numId w:val="0"/>
        </w:numPr>
        <w:tabs>
          <w:tab w:val="clear" w:pos="567"/>
        </w:tabs>
        <w:rPr>
          <w:szCs w:val="22"/>
          <w:lang w:val="pl-PL"/>
        </w:rPr>
      </w:pPr>
    </w:p>
    <w:p w14:paraId="394D7A38" w14:textId="77777777" w:rsidR="0059552A" w:rsidRPr="00275D64" w:rsidRDefault="0059552A" w:rsidP="00496272">
      <w:pPr>
        <w:numPr>
          <w:ilvl w:val="12"/>
          <w:numId w:val="0"/>
        </w:numPr>
        <w:tabs>
          <w:tab w:val="clear" w:pos="567"/>
        </w:tabs>
        <w:ind w:right="-29"/>
        <w:rPr>
          <w:szCs w:val="22"/>
          <w:lang w:val="pl-PL"/>
        </w:rPr>
      </w:pPr>
      <w:r w:rsidRPr="00275D64">
        <w:rPr>
          <w:lang w:val="pl-PL"/>
        </w:rPr>
        <w:t>Jak każdy lek, lek ten może powodować działania niepożądane, chociaż nie u każdego one wystąpią.</w:t>
      </w:r>
    </w:p>
    <w:p w14:paraId="6C567C8D" w14:textId="77777777" w:rsidR="0059552A" w:rsidRPr="00275D64" w:rsidRDefault="0059552A" w:rsidP="00496272">
      <w:pPr>
        <w:numPr>
          <w:ilvl w:val="12"/>
          <w:numId w:val="0"/>
        </w:numPr>
        <w:tabs>
          <w:tab w:val="clear" w:pos="567"/>
        </w:tabs>
        <w:ind w:right="-29"/>
        <w:rPr>
          <w:szCs w:val="22"/>
          <w:lang w:val="pl-PL"/>
        </w:rPr>
      </w:pPr>
    </w:p>
    <w:p w14:paraId="4CF50EA1" w14:textId="77777777" w:rsidR="0059552A" w:rsidRPr="00275D64" w:rsidRDefault="0059552A" w:rsidP="00496272">
      <w:pPr>
        <w:numPr>
          <w:ilvl w:val="12"/>
          <w:numId w:val="0"/>
        </w:numPr>
        <w:tabs>
          <w:tab w:val="clear" w:pos="567"/>
        </w:tabs>
        <w:ind w:right="-29"/>
        <w:rPr>
          <w:b/>
          <w:szCs w:val="22"/>
          <w:lang w:val="pl-PL"/>
        </w:rPr>
      </w:pPr>
      <w:r w:rsidRPr="00275D64">
        <w:rPr>
          <w:b/>
          <w:lang w:val="pl-PL"/>
        </w:rPr>
        <w:t>Ważne działania niepożądane</w:t>
      </w:r>
    </w:p>
    <w:p w14:paraId="703F156B" w14:textId="77777777" w:rsidR="0059552A" w:rsidRPr="00275D64" w:rsidRDefault="0059552A" w:rsidP="00496272">
      <w:pPr>
        <w:numPr>
          <w:ilvl w:val="12"/>
          <w:numId w:val="0"/>
        </w:numPr>
        <w:tabs>
          <w:tab w:val="clear" w:pos="567"/>
        </w:tabs>
        <w:ind w:right="-29"/>
        <w:rPr>
          <w:szCs w:val="22"/>
          <w:lang w:val="pl-PL"/>
        </w:rPr>
      </w:pPr>
    </w:p>
    <w:p w14:paraId="3F25AF65" w14:textId="77777777" w:rsidR="0059552A" w:rsidRPr="00275D64" w:rsidRDefault="0059552A" w:rsidP="00496272">
      <w:pPr>
        <w:numPr>
          <w:ilvl w:val="12"/>
          <w:numId w:val="0"/>
        </w:numPr>
        <w:tabs>
          <w:tab w:val="clear" w:pos="567"/>
        </w:tabs>
        <w:ind w:right="-29"/>
        <w:rPr>
          <w:szCs w:val="22"/>
          <w:u w:val="single"/>
          <w:lang w:val="pl-PL"/>
        </w:rPr>
      </w:pPr>
      <w:r w:rsidRPr="00275D64">
        <w:rPr>
          <w:u w:val="single"/>
          <w:lang w:val="pl-PL"/>
        </w:rPr>
        <w:t>Poważne działania niepożądane u mężczyzn i kobiet</w:t>
      </w:r>
    </w:p>
    <w:p w14:paraId="23C6838B" w14:textId="28996BC0" w:rsidR="0059552A" w:rsidRPr="00275D64" w:rsidRDefault="0059552A" w:rsidP="002F3A44">
      <w:pPr>
        <w:numPr>
          <w:ilvl w:val="0"/>
          <w:numId w:val="22"/>
        </w:numPr>
        <w:tabs>
          <w:tab w:val="clear" w:pos="567"/>
        </w:tabs>
        <w:ind w:left="567" w:right="-28" w:hanging="567"/>
        <w:rPr>
          <w:szCs w:val="22"/>
          <w:lang w:val="pl-PL"/>
        </w:rPr>
      </w:pPr>
      <w:r w:rsidRPr="00275D64">
        <w:rPr>
          <w:lang w:val="pl-PL"/>
        </w:rPr>
        <w:t>Reakcje alergiczne, takie jak wysypka skórna, obrzmiałe, swędzące miejsca na skórze i ciężkie reakcje alergiczne z osłabieniem, spadkiem ciśnienia krwi, trudnościami z oddychaniem i obrzękiem twarzy były zgłaszane bardzo rzadko (mogą wystąpić u mniej niż 1 na 10 000 osób). Jeśli pacjent podejrzewa wystąpienie takiej reakcji, należy przerwać wstrzyknięcie leku Ovaleap i</w:t>
      </w:r>
      <w:r w:rsidR="009764F6" w:rsidRPr="00275D64">
        <w:rPr>
          <w:lang w:val="pl-PL"/>
        </w:rPr>
        <w:t xml:space="preserve"> </w:t>
      </w:r>
      <w:r w:rsidRPr="00275D64">
        <w:rPr>
          <w:lang w:val="pl-PL"/>
        </w:rPr>
        <w:t>natychmiast</w:t>
      </w:r>
      <w:r w:rsidR="009764F6" w:rsidRPr="00275D64">
        <w:rPr>
          <w:lang w:val="pl-PL"/>
        </w:rPr>
        <w:t xml:space="preserve"> </w:t>
      </w:r>
      <w:r w:rsidRPr="00275D64">
        <w:rPr>
          <w:lang w:val="pl-PL"/>
        </w:rPr>
        <w:t>zgłosić się po pomoc medyczną.</w:t>
      </w:r>
    </w:p>
    <w:p w14:paraId="11B13AC6" w14:textId="77777777" w:rsidR="0059552A" w:rsidRPr="00275D64" w:rsidRDefault="0059552A" w:rsidP="00496272">
      <w:pPr>
        <w:numPr>
          <w:ilvl w:val="12"/>
          <w:numId w:val="0"/>
        </w:numPr>
        <w:tabs>
          <w:tab w:val="clear" w:pos="567"/>
        </w:tabs>
        <w:ind w:right="-29"/>
        <w:rPr>
          <w:szCs w:val="22"/>
          <w:lang w:val="pl-PL"/>
        </w:rPr>
      </w:pPr>
    </w:p>
    <w:p w14:paraId="57287826" w14:textId="77777777" w:rsidR="0059552A" w:rsidRPr="00275D64" w:rsidRDefault="0059552A" w:rsidP="00496272">
      <w:pPr>
        <w:numPr>
          <w:ilvl w:val="12"/>
          <w:numId w:val="0"/>
        </w:numPr>
        <w:tabs>
          <w:tab w:val="clear" w:pos="567"/>
        </w:tabs>
        <w:ind w:right="-29"/>
        <w:rPr>
          <w:szCs w:val="22"/>
          <w:u w:val="single"/>
          <w:lang w:val="pl-PL"/>
        </w:rPr>
      </w:pPr>
      <w:r w:rsidRPr="00275D64">
        <w:rPr>
          <w:u w:val="single"/>
          <w:lang w:val="pl-PL"/>
        </w:rPr>
        <w:t>Poważne działania niepożądane u kobiet</w:t>
      </w:r>
    </w:p>
    <w:p w14:paraId="469628D0" w14:textId="77777777" w:rsidR="0059552A" w:rsidRPr="00275D64" w:rsidRDefault="0059552A" w:rsidP="002F3A44">
      <w:pPr>
        <w:numPr>
          <w:ilvl w:val="0"/>
          <w:numId w:val="22"/>
        </w:numPr>
        <w:tabs>
          <w:tab w:val="clear" w:pos="567"/>
        </w:tabs>
        <w:ind w:left="567" w:right="-28" w:hanging="567"/>
        <w:rPr>
          <w:szCs w:val="22"/>
          <w:lang w:val="pl-PL"/>
        </w:rPr>
      </w:pPr>
      <w:r w:rsidRPr="00275D64">
        <w:rPr>
          <w:lang w:val="pl-PL"/>
        </w:rPr>
        <w:t xml:space="preserve">Ból w podbrzuszu w połączeniu z nudnościami lub wymiotami mogą być objawami nadmiernej stymulacji jajników (OHSS) i mogą wskazywać na nadmierną reakcję jajników na leczenie oraz na występowanie dużych torbieli jajnika [patrz również punkt 2, Zespół nadmiernej stymulacji jajników (ang. </w:t>
      </w:r>
      <w:r w:rsidRPr="00275D64">
        <w:rPr>
          <w:i/>
          <w:lang w:val="pl-PL"/>
        </w:rPr>
        <w:t>Ovarian Hyper</w:t>
      </w:r>
      <w:r w:rsidRPr="00275D64">
        <w:rPr>
          <w:lang w:val="pl-PL"/>
        </w:rPr>
        <w:noBreakHyphen/>
      </w:r>
      <w:r w:rsidRPr="00275D64">
        <w:rPr>
          <w:i/>
          <w:lang w:val="pl-PL"/>
        </w:rPr>
        <w:t>Stimulation Syndrome</w:t>
      </w:r>
      <w:r w:rsidRPr="00275D64">
        <w:rPr>
          <w:lang w:val="pl-PL"/>
        </w:rPr>
        <w:t>, OHSS)]. To działania niepożądane jest częste (może wystąpić u mniej niż 1 na 10 osób).</w:t>
      </w:r>
    </w:p>
    <w:p w14:paraId="09A899B2" w14:textId="77777777" w:rsidR="0059552A" w:rsidRPr="00275D64" w:rsidRDefault="0059552A" w:rsidP="002F3A44">
      <w:pPr>
        <w:numPr>
          <w:ilvl w:val="0"/>
          <w:numId w:val="22"/>
        </w:numPr>
        <w:tabs>
          <w:tab w:val="clear" w:pos="567"/>
        </w:tabs>
        <w:ind w:left="567" w:right="-28" w:hanging="567"/>
        <w:rPr>
          <w:szCs w:val="22"/>
          <w:lang w:val="pl-PL"/>
        </w:rPr>
      </w:pPr>
      <w:r w:rsidRPr="00275D64">
        <w:rPr>
          <w:lang w:val="pl-PL"/>
        </w:rPr>
        <w:t>OHSS może stać się ciężkim w przypadku wyraźnie powiększonych jajników, zmniejszonej produkcji moczu, zwiększenia masy ciała, trudności w oddychaniu i (lub) możliwego nagromadzenia płynu w jamie brzusznej lub klatce piersiowej. To działania niepożądane jest niezbyt częste (może wystąpić u mniej niż 1 na 100 osób).</w:t>
      </w:r>
    </w:p>
    <w:p w14:paraId="241CE4E2" w14:textId="77777777" w:rsidR="0059552A" w:rsidRPr="00275D64" w:rsidRDefault="0059552A" w:rsidP="002F3A44">
      <w:pPr>
        <w:numPr>
          <w:ilvl w:val="0"/>
          <w:numId w:val="22"/>
        </w:numPr>
        <w:tabs>
          <w:tab w:val="clear" w:pos="567"/>
        </w:tabs>
        <w:ind w:left="567" w:right="-28" w:hanging="567"/>
        <w:rPr>
          <w:szCs w:val="22"/>
          <w:lang w:val="pl-PL"/>
        </w:rPr>
      </w:pPr>
      <w:r w:rsidRPr="00275D64">
        <w:rPr>
          <w:lang w:val="pl-PL"/>
        </w:rPr>
        <w:t>Rzadko (mogą wystąpić u mniej niż 1 na 1 000 osób) zdarzają się powikłania OHSS, takie jak skręt jajników lub zakrzepy krwi.</w:t>
      </w:r>
    </w:p>
    <w:p w14:paraId="038573D1" w14:textId="77777777" w:rsidR="0059552A" w:rsidRPr="00275D64" w:rsidRDefault="0059552A" w:rsidP="002F3A44">
      <w:pPr>
        <w:numPr>
          <w:ilvl w:val="0"/>
          <w:numId w:val="22"/>
        </w:numPr>
        <w:tabs>
          <w:tab w:val="clear" w:pos="567"/>
        </w:tabs>
        <w:ind w:left="567" w:right="-28" w:hanging="567"/>
        <w:rPr>
          <w:szCs w:val="22"/>
          <w:lang w:val="pl-PL"/>
        </w:rPr>
      </w:pPr>
      <w:r w:rsidRPr="00275D64">
        <w:rPr>
          <w:lang w:val="pl-PL"/>
        </w:rPr>
        <w:t>Bardzo rzadko (mogą wystąpić u mniej niż 1 na 10 000 osób) mogą wystąpić powikłania krzepliwości krwi (zdarzenia zakrzepowo-zatorowe), czasami niezależne od OHSS. Mogą one spowodować ból w klatce piersiowej, duszności, udar mózgu lub zawał serca [patrz również punkt 2 „Problemy z krzepliwością krwi (zdarzenia zakrzepowo-zatorowe)”].</w:t>
      </w:r>
    </w:p>
    <w:p w14:paraId="31B8D7DE" w14:textId="77777777" w:rsidR="0059552A" w:rsidRPr="00275D64" w:rsidRDefault="0059552A" w:rsidP="00496272">
      <w:pPr>
        <w:numPr>
          <w:ilvl w:val="12"/>
          <w:numId w:val="0"/>
        </w:numPr>
        <w:tabs>
          <w:tab w:val="clear" w:pos="567"/>
        </w:tabs>
        <w:ind w:right="-29"/>
        <w:rPr>
          <w:lang w:val="pl-PL"/>
        </w:rPr>
      </w:pPr>
    </w:p>
    <w:p w14:paraId="1B3E294E" w14:textId="78BA89D0" w:rsidR="0059552A" w:rsidRPr="00275D64" w:rsidRDefault="0059552A" w:rsidP="00496272">
      <w:pPr>
        <w:numPr>
          <w:ilvl w:val="12"/>
          <w:numId w:val="0"/>
        </w:numPr>
        <w:tabs>
          <w:tab w:val="clear" w:pos="567"/>
        </w:tabs>
        <w:ind w:right="-29"/>
        <w:rPr>
          <w:szCs w:val="22"/>
          <w:lang w:val="pl-PL"/>
        </w:rPr>
      </w:pPr>
      <w:r w:rsidRPr="00275D64">
        <w:rPr>
          <w:lang w:val="pl-PL"/>
        </w:rPr>
        <w:t>W przypadku zaobserwowania jakiegokolwiek z powyżej wymienionych działań niepożądanych należy</w:t>
      </w:r>
      <w:r w:rsidR="001D0DE0" w:rsidRPr="00275D64">
        <w:rPr>
          <w:lang w:val="pl-PL"/>
        </w:rPr>
        <w:t xml:space="preserve"> </w:t>
      </w:r>
      <w:r w:rsidRPr="00275D64">
        <w:rPr>
          <w:lang w:val="pl-PL"/>
        </w:rPr>
        <w:t>natychmiast</w:t>
      </w:r>
      <w:r w:rsidR="001D0DE0" w:rsidRPr="00275D64">
        <w:rPr>
          <w:lang w:val="pl-PL"/>
        </w:rPr>
        <w:t xml:space="preserve"> </w:t>
      </w:r>
      <w:r w:rsidRPr="00275D64">
        <w:rPr>
          <w:lang w:val="pl-PL"/>
        </w:rPr>
        <w:t>skontaktować się z lekarzem, który może zalecić przerwanie stosowania leku Ovaleap.</w:t>
      </w:r>
    </w:p>
    <w:p w14:paraId="3AC35E04" w14:textId="77777777" w:rsidR="0059552A" w:rsidRPr="00275D64" w:rsidRDefault="0059552A" w:rsidP="00496272">
      <w:pPr>
        <w:numPr>
          <w:ilvl w:val="12"/>
          <w:numId w:val="0"/>
        </w:numPr>
        <w:tabs>
          <w:tab w:val="clear" w:pos="567"/>
        </w:tabs>
        <w:ind w:right="-29"/>
        <w:rPr>
          <w:szCs w:val="22"/>
          <w:highlight w:val="yellow"/>
          <w:lang w:val="pl-PL"/>
        </w:rPr>
      </w:pPr>
    </w:p>
    <w:p w14:paraId="73FAA0A2" w14:textId="77777777" w:rsidR="0059552A" w:rsidRPr="00275D64" w:rsidRDefault="0059552A" w:rsidP="00496272">
      <w:pPr>
        <w:numPr>
          <w:ilvl w:val="12"/>
          <w:numId w:val="0"/>
        </w:numPr>
        <w:tabs>
          <w:tab w:val="clear" w:pos="567"/>
        </w:tabs>
        <w:ind w:right="-2"/>
        <w:rPr>
          <w:b/>
          <w:lang w:val="pl-PL"/>
        </w:rPr>
      </w:pPr>
      <w:r w:rsidRPr="00275D64">
        <w:rPr>
          <w:b/>
          <w:lang w:val="pl-PL"/>
        </w:rPr>
        <w:t>Inne działania niepożądane u kobiet</w:t>
      </w:r>
    </w:p>
    <w:p w14:paraId="70F1573E" w14:textId="77777777" w:rsidR="0059552A" w:rsidRPr="00275D64" w:rsidRDefault="0059552A" w:rsidP="00496272">
      <w:pPr>
        <w:numPr>
          <w:ilvl w:val="12"/>
          <w:numId w:val="0"/>
        </w:numPr>
        <w:tabs>
          <w:tab w:val="clear" w:pos="567"/>
        </w:tabs>
        <w:ind w:right="-29"/>
        <w:rPr>
          <w:szCs w:val="22"/>
          <w:highlight w:val="yellow"/>
          <w:lang w:val="pl-PL"/>
        </w:rPr>
      </w:pPr>
    </w:p>
    <w:p w14:paraId="75ACD10B" w14:textId="77777777" w:rsidR="0059552A" w:rsidRPr="00275D64" w:rsidRDefault="0059552A" w:rsidP="00496272">
      <w:pPr>
        <w:numPr>
          <w:ilvl w:val="12"/>
          <w:numId w:val="0"/>
        </w:numPr>
        <w:tabs>
          <w:tab w:val="clear" w:pos="567"/>
        </w:tabs>
        <w:ind w:right="-2"/>
        <w:rPr>
          <w:u w:val="single"/>
          <w:lang w:val="pl-PL"/>
        </w:rPr>
      </w:pPr>
      <w:r w:rsidRPr="00275D64">
        <w:rPr>
          <w:u w:val="single"/>
          <w:lang w:val="pl-PL"/>
        </w:rPr>
        <w:t>Bardzo często</w:t>
      </w:r>
      <w:r w:rsidRPr="00275D64">
        <w:rPr>
          <w:lang w:val="pl-PL"/>
        </w:rPr>
        <w:t xml:space="preserve"> (mogą wystąpić u więcej niż 1 na 10 osób)</w:t>
      </w:r>
    </w:p>
    <w:p w14:paraId="01DC8604" w14:textId="77777777" w:rsidR="0059552A" w:rsidRPr="00275D64" w:rsidRDefault="0059552A" w:rsidP="002F3A44">
      <w:pPr>
        <w:numPr>
          <w:ilvl w:val="0"/>
          <w:numId w:val="22"/>
        </w:numPr>
        <w:tabs>
          <w:tab w:val="clear" w:pos="567"/>
        </w:tabs>
        <w:ind w:left="567" w:right="-28" w:hanging="567"/>
        <w:rPr>
          <w:lang w:val="pl-PL"/>
        </w:rPr>
      </w:pPr>
      <w:r w:rsidRPr="00275D64">
        <w:rPr>
          <w:lang w:val="pl-PL"/>
        </w:rPr>
        <w:lastRenderedPageBreak/>
        <w:t>miejscowe reakcje w miejscu wstrzyknięcia, jak np. ból, zaczerwienienie, zasinienie, obrzęk i (lub) podrażnienie</w:t>
      </w:r>
    </w:p>
    <w:p w14:paraId="040DF40A"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ból głowy</w:t>
      </w:r>
    </w:p>
    <w:p w14:paraId="2657DA09"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torebki płynu w jajnikach (torbiele jajnika)</w:t>
      </w:r>
    </w:p>
    <w:p w14:paraId="135450CC" w14:textId="77777777" w:rsidR="0059552A" w:rsidRPr="00275D64" w:rsidRDefault="0059552A" w:rsidP="00496272">
      <w:pPr>
        <w:numPr>
          <w:ilvl w:val="12"/>
          <w:numId w:val="0"/>
        </w:numPr>
        <w:tabs>
          <w:tab w:val="clear" w:pos="567"/>
        </w:tabs>
        <w:ind w:left="567" w:right="-2" w:hanging="567"/>
        <w:rPr>
          <w:u w:val="single"/>
          <w:lang w:val="pl-PL"/>
        </w:rPr>
      </w:pPr>
      <w:r w:rsidRPr="00275D64">
        <w:rPr>
          <w:u w:val="single"/>
          <w:lang w:val="pl-PL"/>
        </w:rPr>
        <w:t>Często</w:t>
      </w:r>
      <w:r w:rsidRPr="00275D64">
        <w:rPr>
          <w:lang w:val="pl-PL"/>
        </w:rPr>
        <w:t xml:space="preserve"> (mogą wystąpić u mniej niż u 1 na 10 osób)</w:t>
      </w:r>
    </w:p>
    <w:p w14:paraId="24AC5BEB"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ból brzucha</w:t>
      </w:r>
    </w:p>
    <w:p w14:paraId="034F123D"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wzdęcie brzucha</w:t>
      </w:r>
    </w:p>
    <w:p w14:paraId="0B7B7169"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skurcze brzucha</w:t>
      </w:r>
    </w:p>
    <w:p w14:paraId="19BA90AB"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nudności</w:t>
      </w:r>
    </w:p>
    <w:p w14:paraId="254CB5D6"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wymioty</w:t>
      </w:r>
    </w:p>
    <w:p w14:paraId="0AE88ACB"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biegunka</w:t>
      </w:r>
    </w:p>
    <w:p w14:paraId="16213C21" w14:textId="77777777" w:rsidR="0059552A" w:rsidRPr="00275D64" w:rsidRDefault="0059552A" w:rsidP="00496272">
      <w:pPr>
        <w:numPr>
          <w:ilvl w:val="12"/>
          <w:numId w:val="0"/>
        </w:numPr>
        <w:tabs>
          <w:tab w:val="clear" w:pos="567"/>
        </w:tabs>
        <w:ind w:left="567" w:right="-2" w:hanging="567"/>
        <w:rPr>
          <w:u w:val="single"/>
          <w:lang w:val="pl-PL"/>
        </w:rPr>
      </w:pPr>
      <w:r w:rsidRPr="00275D64">
        <w:rPr>
          <w:u w:val="single"/>
          <w:lang w:val="pl-PL"/>
        </w:rPr>
        <w:t>Bardzo rzadko</w:t>
      </w:r>
      <w:r w:rsidRPr="00275D64">
        <w:rPr>
          <w:lang w:val="pl-PL"/>
        </w:rPr>
        <w:t xml:space="preserve"> (mogą wystąpić u mniej niż 1 na 10 000 osób)</w:t>
      </w:r>
    </w:p>
    <w:p w14:paraId="140C822D"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astma może ulec pogorszeniu.</w:t>
      </w:r>
    </w:p>
    <w:p w14:paraId="3EEAB710" w14:textId="77777777" w:rsidR="0059552A" w:rsidRPr="00275D64" w:rsidRDefault="0059552A" w:rsidP="00496272">
      <w:pPr>
        <w:numPr>
          <w:ilvl w:val="12"/>
          <w:numId w:val="0"/>
        </w:numPr>
        <w:tabs>
          <w:tab w:val="clear" w:pos="567"/>
        </w:tabs>
        <w:ind w:left="567" w:right="-2" w:hanging="567"/>
        <w:rPr>
          <w:lang w:val="pl-PL"/>
        </w:rPr>
      </w:pPr>
    </w:p>
    <w:p w14:paraId="4D7DBBED" w14:textId="77777777" w:rsidR="0059552A" w:rsidRPr="00275D64" w:rsidRDefault="0059552A" w:rsidP="00496272">
      <w:pPr>
        <w:numPr>
          <w:ilvl w:val="12"/>
          <w:numId w:val="0"/>
        </w:numPr>
        <w:tabs>
          <w:tab w:val="clear" w:pos="567"/>
        </w:tabs>
        <w:ind w:left="567" w:right="-2" w:hanging="567"/>
        <w:rPr>
          <w:b/>
          <w:lang w:val="pl-PL"/>
        </w:rPr>
      </w:pPr>
      <w:r w:rsidRPr="00275D64">
        <w:rPr>
          <w:b/>
          <w:lang w:val="pl-PL"/>
        </w:rPr>
        <w:t>Inne działania niepożądane u mężczyzn</w:t>
      </w:r>
    </w:p>
    <w:p w14:paraId="6B9F4824" w14:textId="77777777" w:rsidR="0059552A" w:rsidRPr="00275D64" w:rsidRDefault="0059552A" w:rsidP="00496272">
      <w:pPr>
        <w:numPr>
          <w:ilvl w:val="12"/>
          <w:numId w:val="0"/>
        </w:numPr>
        <w:tabs>
          <w:tab w:val="clear" w:pos="567"/>
        </w:tabs>
        <w:ind w:left="567" w:right="-2" w:hanging="567"/>
        <w:rPr>
          <w:lang w:val="pl-PL"/>
        </w:rPr>
      </w:pPr>
    </w:p>
    <w:p w14:paraId="589F6D23" w14:textId="77777777" w:rsidR="0059552A" w:rsidRPr="00275D64" w:rsidRDefault="0059552A" w:rsidP="00496272">
      <w:pPr>
        <w:numPr>
          <w:ilvl w:val="12"/>
          <w:numId w:val="0"/>
        </w:numPr>
        <w:tabs>
          <w:tab w:val="clear" w:pos="567"/>
        </w:tabs>
        <w:ind w:left="567" w:right="-2" w:hanging="567"/>
        <w:rPr>
          <w:u w:val="single"/>
          <w:lang w:val="pl-PL"/>
        </w:rPr>
      </w:pPr>
      <w:r w:rsidRPr="00275D64">
        <w:rPr>
          <w:u w:val="single"/>
          <w:lang w:val="pl-PL"/>
        </w:rPr>
        <w:t>Bardzo często</w:t>
      </w:r>
      <w:r w:rsidRPr="00275D64">
        <w:rPr>
          <w:lang w:val="pl-PL"/>
        </w:rPr>
        <w:t xml:space="preserve"> (mogą wystąpić u więcej niż 1 na 10 osób)</w:t>
      </w:r>
    </w:p>
    <w:p w14:paraId="772AAC75"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miejscowe reakcje w miejscu wstrzyknięcia, jak np. ból, zaczerwienienie, zasinienie, obrzęk i (lub) podrażnienie</w:t>
      </w:r>
    </w:p>
    <w:p w14:paraId="3B26EF0D" w14:textId="77777777" w:rsidR="0059552A" w:rsidRPr="00275D64" w:rsidRDefault="0059552A" w:rsidP="00496272">
      <w:pPr>
        <w:numPr>
          <w:ilvl w:val="12"/>
          <w:numId w:val="0"/>
        </w:numPr>
        <w:tabs>
          <w:tab w:val="clear" w:pos="567"/>
        </w:tabs>
        <w:ind w:left="567" w:right="-2" w:hanging="567"/>
        <w:rPr>
          <w:u w:val="single"/>
          <w:lang w:val="pl-PL"/>
        </w:rPr>
      </w:pPr>
      <w:r w:rsidRPr="00275D64">
        <w:rPr>
          <w:u w:val="single"/>
          <w:lang w:val="pl-PL"/>
        </w:rPr>
        <w:t>Często</w:t>
      </w:r>
      <w:r w:rsidRPr="00275D64">
        <w:rPr>
          <w:lang w:val="pl-PL"/>
        </w:rPr>
        <w:t xml:space="preserve"> (mogą wystąpić u mniej niż u 1 na 10 osób)</w:t>
      </w:r>
    </w:p>
    <w:p w14:paraId="5FADAAF3"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opuchlizna żył nad i pod jądrami (żylaki powrózka nasiennego)</w:t>
      </w:r>
    </w:p>
    <w:p w14:paraId="24841554"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powiększenie sutków</w:t>
      </w:r>
    </w:p>
    <w:p w14:paraId="7A330450"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trądzik</w:t>
      </w:r>
    </w:p>
    <w:p w14:paraId="1239783C"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zwiększenie masy ciała</w:t>
      </w:r>
    </w:p>
    <w:p w14:paraId="41C66359" w14:textId="77777777" w:rsidR="0059552A" w:rsidRPr="00275D64" w:rsidRDefault="0059552A" w:rsidP="00496272">
      <w:pPr>
        <w:numPr>
          <w:ilvl w:val="12"/>
          <w:numId w:val="0"/>
        </w:numPr>
        <w:tabs>
          <w:tab w:val="clear" w:pos="567"/>
        </w:tabs>
        <w:ind w:left="567" w:right="-2" w:hanging="567"/>
        <w:rPr>
          <w:u w:val="single"/>
          <w:lang w:val="pl-PL"/>
        </w:rPr>
      </w:pPr>
      <w:r w:rsidRPr="00275D64">
        <w:rPr>
          <w:u w:val="single"/>
          <w:lang w:val="pl-PL"/>
        </w:rPr>
        <w:t>Bardzo rzadko</w:t>
      </w:r>
      <w:r w:rsidRPr="00275D64">
        <w:rPr>
          <w:lang w:val="pl-PL"/>
        </w:rPr>
        <w:t xml:space="preserve"> (mogą wystąpić u mniej niż 1 na 10 000 osób)</w:t>
      </w:r>
    </w:p>
    <w:p w14:paraId="72DE2718" w14:textId="77777777" w:rsidR="0059552A" w:rsidRPr="00275D64" w:rsidRDefault="0059552A" w:rsidP="002F3A44">
      <w:pPr>
        <w:numPr>
          <w:ilvl w:val="0"/>
          <w:numId w:val="22"/>
        </w:numPr>
        <w:tabs>
          <w:tab w:val="clear" w:pos="567"/>
        </w:tabs>
        <w:ind w:left="567" w:right="-28" w:hanging="567"/>
        <w:rPr>
          <w:lang w:val="pl-PL"/>
        </w:rPr>
      </w:pPr>
      <w:r w:rsidRPr="00275D64">
        <w:rPr>
          <w:lang w:val="pl-PL"/>
        </w:rPr>
        <w:t>astma może ulec pogorszeniu.</w:t>
      </w:r>
    </w:p>
    <w:p w14:paraId="4F8EB4C9" w14:textId="77777777" w:rsidR="0059552A" w:rsidRPr="00275D64" w:rsidRDefault="0059552A" w:rsidP="00496272">
      <w:pPr>
        <w:numPr>
          <w:ilvl w:val="12"/>
          <w:numId w:val="0"/>
        </w:numPr>
        <w:tabs>
          <w:tab w:val="clear" w:pos="567"/>
        </w:tabs>
        <w:ind w:right="-2"/>
        <w:rPr>
          <w:lang w:val="pl-PL"/>
        </w:rPr>
      </w:pPr>
    </w:p>
    <w:p w14:paraId="30BA609B" w14:textId="77777777" w:rsidR="0059552A" w:rsidRPr="00275D64" w:rsidRDefault="0059552A" w:rsidP="00184DE9">
      <w:pPr>
        <w:rPr>
          <w:b/>
          <w:noProof/>
          <w:szCs w:val="22"/>
          <w:lang w:val="pl-PL"/>
        </w:rPr>
      </w:pPr>
      <w:r w:rsidRPr="00275D64">
        <w:rPr>
          <w:b/>
          <w:noProof/>
          <w:szCs w:val="22"/>
          <w:lang w:val="pl-PL"/>
        </w:rPr>
        <w:t>Zgłaszanie działań niepożądanych</w:t>
      </w:r>
    </w:p>
    <w:p w14:paraId="7918EF20" w14:textId="5E6DE629" w:rsidR="0059552A" w:rsidRPr="00275D64" w:rsidRDefault="0059552A" w:rsidP="00496272">
      <w:pPr>
        <w:numPr>
          <w:ilvl w:val="12"/>
          <w:numId w:val="0"/>
        </w:numPr>
        <w:tabs>
          <w:tab w:val="clear" w:pos="567"/>
        </w:tabs>
        <w:ind w:right="-2"/>
        <w:rPr>
          <w:noProof/>
          <w:szCs w:val="22"/>
          <w:lang w:val="pl-PL"/>
        </w:rPr>
      </w:pPr>
      <w:r w:rsidRPr="00275D64">
        <w:rPr>
          <w:noProof/>
          <w:szCs w:val="22"/>
          <w:lang w:val="pl-PL"/>
        </w:rPr>
        <w:t xml:space="preserve">Jeśli wystąpią jakiekolwiek objawy niepożądane, w tym wszelkie objawy niepożądane niewymienione w ulotce, należy powiedzieć o tym lekarzowi, farmaceucie lub pielęgniarce. Działania niepożądane można zgłaszać bezpośrednio </w:t>
      </w:r>
      <w:r w:rsidRPr="00275D64">
        <w:rPr>
          <w:szCs w:val="22"/>
          <w:lang w:val="pl-PL"/>
        </w:rPr>
        <w:t xml:space="preserve">do </w:t>
      </w:r>
      <w:r w:rsidRPr="00275D64">
        <w:rPr>
          <w:szCs w:val="22"/>
          <w:highlight w:val="lightGray"/>
          <w:lang w:val="pl-PL"/>
        </w:rPr>
        <w:t xml:space="preserve">„krajowego systemu zgłaszania” wymienionego w </w:t>
      </w:r>
      <w:hyperlink r:id="rId9" w:history="1">
        <w:r w:rsidRPr="00275D64">
          <w:rPr>
            <w:rStyle w:val="Hyperlink"/>
            <w:rFonts w:eastAsia="Times New Roman"/>
            <w:szCs w:val="22"/>
            <w:lang w:val="pl-PL"/>
          </w:rPr>
          <w:t>załączniku V</w:t>
        </w:r>
      </w:hyperlink>
      <w:r w:rsidRPr="00275D64">
        <w:rPr>
          <w:noProof/>
          <w:szCs w:val="22"/>
          <w:lang w:val="pl-PL"/>
        </w:rPr>
        <w:t>. Dzięki zgłaszaniu działań niepożądanych można będzie zgromadzić więcej informacji na temat bezpieczeństwa stosowania leku.</w:t>
      </w:r>
    </w:p>
    <w:p w14:paraId="4C9A9024" w14:textId="77777777" w:rsidR="0059552A" w:rsidRPr="00275D64" w:rsidRDefault="0059552A" w:rsidP="00496272">
      <w:pPr>
        <w:numPr>
          <w:ilvl w:val="12"/>
          <w:numId w:val="0"/>
        </w:numPr>
        <w:tabs>
          <w:tab w:val="clear" w:pos="567"/>
        </w:tabs>
        <w:ind w:right="-2"/>
        <w:rPr>
          <w:noProof/>
          <w:szCs w:val="22"/>
          <w:lang w:val="pl-PL"/>
        </w:rPr>
      </w:pPr>
    </w:p>
    <w:p w14:paraId="6098961C" w14:textId="77777777" w:rsidR="0059552A" w:rsidRPr="00275D64" w:rsidRDefault="0059552A" w:rsidP="00496272">
      <w:pPr>
        <w:numPr>
          <w:ilvl w:val="12"/>
          <w:numId w:val="0"/>
        </w:numPr>
        <w:tabs>
          <w:tab w:val="clear" w:pos="567"/>
        </w:tabs>
        <w:ind w:right="-2"/>
        <w:rPr>
          <w:szCs w:val="22"/>
          <w:lang w:val="pl-PL"/>
        </w:rPr>
      </w:pPr>
    </w:p>
    <w:p w14:paraId="58C392A0" w14:textId="77777777" w:rsidR="0059552A" w:rsidRPr="00275D64" w:rsidRDefault="0059552A" w:rsidP="00496272">
      <w:pPr>
        <w:numPr>
          <w:ilvl w:val="12"/>
          <w:numId w:val="0"/>
        </w:numPr>
        <w:tabs>
          <w:tab w:val="clear" w:pos="567"/>
        </w:tabs>
        <w:ind w:left="567" w:right="-2" w:hanging="567"/>
        <w:rPr>
          <w:b/>
          <w:szCs w:val="22"/>
          <w:lang w:val="pl-PL"/>
        </w:rPr>
      </w:pPr>
      <w:r w:rsidRPr="00275D64">
        <w:rPr>
          <w:b/>
          <w:lang w:val="pl-PL"/>
        </w:rPr>
        <w:t>5.</w:t>
      </w:r>
      <w:r w:rsidRPr="00275D64">
        <w:rPr>
          <w:lang w:val="pl-PL"/>
        </w:rPr>
        <w:tab/>
      </w:r>
      <w:r w:rsidRPr="00275D64">
        <w:rPr>
          <w:b/>
          <w:lang w:val="pl-PL"/>
        </w:rPr>
        <w:t>Jak przechowywać lek Ovaleap</w:t>
      </w:r>
    </w:p>
    <w:p w14:paraId="61DCF7E3" w14:textId="77777777" w:rsidR="0059552A" w:rsidRPr="00275D64" w:rsidRDefault="0059552A" w:rsidP="00496272">
      <w:pPr>
        <w:numPr>
          <w:ilvl w:val="12"/>
          <w:numId w:val="0"/>
        </w:numPr>
        <w:tabs>
          <w:tab w:val="clear" w:pos="567"/>
        </w:tabs>
        <w:ind w:right="-2"/>
        <w:rPr>
          <w:szCs w:val="22"/>
          <w:lang w:val="pl-PL"/>
        </w:rPr>
      </w:pPr>
    </w:p>
    <w:p w14:paraId="751EB1A7" w14:textId="77777777" w:rsidR="0059552A" w:rsidRPr="00275D64" w:rsidRDefault="0059552A" w:rsidP="00496272">
      <w:pPr>
        <w:numPr>
          <w:ilvl w:val="12"/>
          <w:numId w:val="0"/>
        </w:numPr>
        <w:tabs>
          <w:tab w:val="clear" w:pos="567"/>
        </w:tabs>
        <w:ind w:right="-2"/>
        <w:rPr>
          <w:szCs w:val="22"/>
          <w:lang w:val="pl-PL"/>
        </w:rPr>
      </w:pPr>
      <w:r w:rsidRPr="00275D64">
        <w:rPr>
          <w:lang w:val="pl-PL"/>
        </w:rPr>
        <w:t>Lek należy przechowywać w miejscu niewidocznym i niedostępnym dla dzieci.</w:t>
      </w:r>
    </w:p>
    <w:p w14:paraId="35924CFA" w14:textId="77777777" w:rsidR="0059552A" w:rsidRPr="00275D64" w:rsidRDefault="0059552A" w:rsidP="00496272">
      <w:pPr>
        <w:numPr>
          <w:ilvl w:val="12"/>
          <w:numId w:val="0"/>
        </w:numPr>
        <w:tabs>
          <w:tab w:val="clear" w:pos="567"/>
        </w:tabs>
        <w:ind w:right="-2"/>
        <w:rPr>
          <w:szCs w:val="22"/>
          <w:lang w:val="pl-PL"/>
        </w:rPr>
      </w:pPr>
    </w:p>
    <w:p w14:paraId="489FEFA8" w14:textId="77777777" w:rsidR="0059552A" w:rsidRPr="00275D64" w:rsidRDefault="0059552A" w:rsidP="00496272">
      <w:pPr>
        <w:numPr>
          <w:ilvl w:val="12"/>
          <w:numId w:val="0"/>
        </w:numPr>
        <w:tabs>
          <w:tab w:val="clear" w:pos="567"/>
        </w:tabs>
        <w:ind w:right="-2"/>
        <w:rPr>
          <w:szCs w:val="22"/>
          <w:lang w:val="pl-PL"/>
        </w:rPr>
      </w:pPr>
      <w:r w:rsidRPr="00275D64">
        <w:rPr>
          <w:lang w:val="pl-PL"/>
        </w:rPr>
        <w:t>Nie stosować tego leku po upływie terminu ważności zamieszczonego na etykiecie i opakowaniu zewnętrznym po: „Termin ważności (EXP)”. Termin ważności oznacza ostatni dzień podanego miesiąca.</w:t>
      </w:r>
    </w:p>
    <w:p w14:paraId="3AB9DBE5" w14:textId="77777777" w:rsidR="0059552A" w:rsidRPr="00275D64" w:rsidRDefault="0059552A" w:rsidP="00496272">
      <w:pPr>
        <w:numPr>
          <w:ilvl w:val="12"/>
          <w:numId w:val="0"/>
        </w:numPr>
        <w:tabs>
          <w:tab w:val="clear" w:pos="567"/>
        </w:tabs>
        <w:ind w:right="-2"/>
        <w:rPr>
          <w:szCs w:val="22"/>
          <w:lang w:val="pl-PL"/>
        </w:rPr>
      </w:pPr>
    </w:p>
    <w:p w14:paraId="0735AE32" w14:textId="77777777" w:rsidR="0059552A" w:rsidRPr="00275D64" w:rsidRDefault="0059552A" w:rsidP="00496272">
      <w:pPr>
        <w:tabs>
          <w:tab w:val="clear" w:pos="567"/>
        </w:tabs>
        <w:rPr>
          <w:color w:val="000000"/>
          <w:szCs w:val="22"/>
          <w:lang w:val="pl-PL"/>
        </w:rPr>
      </w:pPr>
      <w:r w:rsidRPr="00275D64">
        <w:rPr>
          <w:color w:val="000000"/>
          <w:lang w:val="pl-PL"/>
        </w:rPr>
        <w:t>Przechowywać w lodówce (2°C </w:t>
      </w:r>
      <w:r w:rsidRPr="00275D64">
        <w:rPr>
          <w:lang w:val="pl-PL"/>
        </w:rPr>
        <w:noBreakHyphen/>
      </w:r>
      <w:r w:rsidRPr="00275D64">
        <w:rPr>
          <w:color w:val="000000"/>
          <w:lang w:val="pl-PL"/>
        </w:rPr>
        <w:t> 8°C).</w:t>
      </w:r>
    </w:p>
    <w:p w14:paraId="31686B03" w14:textId="77777777" w:rsidR="0059552A" w:rsidRPr="00275D64" w:rsidRDefault="0059552A" w:rsidP="00496272">
      <w:pPr>
        <w:tabs>
          <w:tab w:val="clear" w:pos="567"/>
        </w:tabs>
        <w:rPr>
          <w:color w:val="000000"/>
          <w:szCs w:val="22"/>
          <w:lang w:val="pl-PL"/>
        </w:rPr>
      </w:pPr>
    </w:p>
    <w:p w14:paraId="0DDE2A6F" w14:textId="77777777" w:rsidR="0059552A" w:rsidRPr="00275D64" w:rsidRDefault="0059552A" w:rsidP="00496272">
      <w:pPr>
        <w:tabs>
          <w:tab w:val="clear" w:pos="567"/>
        </w:tabs>
        <w:rPr>
          <w:color w:val="000000"/>
          <w:szCs w:val="22"/>
          <w:lang w:val="pl-PL"/>
        </w:rPr>
      </w:pPr>
      <w:r w:rsidRPr="00275D64">
        <w:rPr>
          <w:color w:val="000000"/>
          <w:lang w:val="pl-PL"/>
        </w:rPr>
        <w:t>Nie zamrażać.</w:t>
      </w:r>
    </w:p>
    <w:p w14:paraId="1F0E9DB9" w14:textId="77777777" w:rsidR="0059552A" w:rsidRPr="00275D64" w:rsidRDefault="0059552A" w:rsidP="00496272">
      <w:pPr>
        <w:tabs>
          <w:tab w:val="clear" w:pos="567"/>
        </w:tabs>
        <w:rPr>
          <w:color w:val="000000"/>
          <w:szCs w:val="22"/>
          <w:lang w:val="pl-PL"/>
        </w:rPr>
      </w:pPr>
    </w:p>
    <w:p w14:paraId="0EC57AEE" w14:textId="77777777" w:rsidR="0059552A" w:rsidRPr="00275D64" w:rsidRDefault="0059552A" w:rsidP="00496272">
      <w:pPr>
        <w:tabs>
          <w:tab w:val="clear" w:pos="567"/>
        </w:tabs>
        <w:rPr>
          <w:color w:val="000000"/>
          <w:szCs w:val="22"/>
          <w:lang w:val="pl-PL"/>
        </w:rPr>
      </w:pPr>
      <w:r w:rsidRPr="00275D64">
        <w:rPr>
          <w:color w:val="000000"/>
          <w:lang w:val="pl-PL"/>
        </w:rPr>
        <w:t>Przechowywać wkład w opakowaniu zewnętrznym w celu ochrony przed światłem.</w:t>
      </w:r>
    </w:p>
    <w:p w14:paraId="4909C331" w14:textId="77777777" w:rsidR="0059552A" w:rsidRPr="00275D64" w:rsidRDefault="0059552A" w:rsidP="00496272">
      <w:pPr>
        <w:numPr>
          <w:ilvl w:val="12"/>
          <w:numId w:val="0"/>
        </w:numPr>
        <w:tabs>
          <w:tab w:val="clear" w:pos="567"/>
        </w:tabs>
        <w:ind w:right="-2"/>
        <w:rPr>
          <w:szCs w:val="22"/>
          <w:lang w:val="pl-PL"/>
        </w:rPr>
      </w:pPr>
    </w:p>
    <w:p w14:paraId="16921AA0" w14:textId="77777777" w:rsidR="0059552A" w:rsidRPr="00275D64" w:rsidRDefault="0059552A" w:rsidP="00496272">
      <w:pPr>
        <w:tabs>
          <w:tab w:val="clear" w:pos="567"/>
        </w:tabs>
        <w:rPr>
          <w:color w:val="000000"/>
          <w:szCs w:val="22"/>
          <w:lang w:val="pl-PL"/>
        </w:rPr>
      </w:pPr>
      <w:r w:rsidRPr="00275D64">
        <w:rPr>
          <w:color w:val="000000"/>
          <w:lang w:val="pl-PL"/>
        </w:rPr>
        <w:t>Przed otwarciem i z zachowaniem okresu ważności lek można wyjąć z lodówki i przechowywać bez ponownego zamrażania przez okres do 3 miesięcy. Nie przechowywać w temperaturze powyżej 25 °C. Lek ten musi być usunięty, jeśli nie został zużyty po 3 miesiącach.</w:t>
      </w:r>
    </w:p>
    <w:p w14:paraId="7E142E35" w14:textId="77777777" w:rsidR="0059552A" w:rsidRPr="00275D64" w:rsidRDefault="0059552A" w:rsidP="00496272">
      <w:pPr>
        <w:numPr>
          <w:ilvl w:val="12"/>
          <w:numId w:val="0"/>
        </w:numPr>
        <w:tabs>
          <w:tab w:val="clear" w:pos="567"/>
        </w:tabs>
        <w:ind w:right="-2"/>
        <w:rPr>
          <w:szCs w:val="22"/>
          <w:lang w:val="pl-PL"/>
        </w:rPr>
      </w:pPr>
    </w:p>
    <w:p w14:paraId="673DAF66" w14:textId="77777777" w:rsidR="0059552A" w:rsidRPr="00275D64" w:rsidRDefault="0059552A" w:rsidP="00496272">
      <w:pPr>
        <w:tabs>
          <w:tab w:val="clear" w:pos="567"/>
        </w:tabs>
        <w:rPr>
          <w:color w:val="000000"/>
          <w:szCs w:val="22"/>
          <w:highlight w:val="yellow"/>
          <w:lang w:val="pl-PL"/>
        </w:rPr>
      </w:pPr>
      <w:r w:rsidRPr="00275D64">
        <w:rPr>
          <w:color w:val="000000"/>
          <w:lang w:val="pl-PL"/>
        </w:rPr>
        <w:t>Po otwarciu wkład używany we wstrzykiwaczu może być przechowywany przez maksymalnie 28 dni. Nie przechowywać w temperaturze do 25 °C. Należy napisać datę pierwszego użycia w dzienniczku pacjenta, który będzie dostarczony razem ze wstrzykiwaczem Ovaleap Pen.</w:t>
      </w:r>
    </w:p>
    <w:p w14:paraId="447EB78B" w14:textId="77777777" w:rsidR="0059552A" w:rsidRPr="00275D64" w:rsidRDefault="0059552A" w:rsidP="00496272">
      <w:pPr>
        <w:numPr>
          <w:ilvl w:val="12"/>
          <w:numId w:val="0"/>
        </w:numPr>
        <w:tabs>
          <w:tab w:val="clear" w:pos="567"/>
        </w:tabs>
        <w:ind w:right="-2"/>
        <w:rPr>
          <w:szCs w:val="22"/>
          <w:highlight w:val="yellow"/>
          <w:lang w:val="pl-PL"/>
        </w:rPr>
      </w:pPr>
    </w:p>
    <w:p w14:paraId="4C542105" w14:textId="77777777" w:rsidR="0059552A" w:rsidRPr="00275D64" w:rsidRDefault="0059552A" w:rsidP="00496272">
      <w:pPr>
        <w:numPr>
          <w:ilvl w:val="12"/>
          <w:numId w:val="0"/>
        </w:numPr>
        <w:tabs>
          <w:tab w:val="clear" w:pos="567"/>
        </w:tabs>
        <w:ind w:right="-2"/>
        <w:rPr>
          <w:szCs w:val="22"/>
          <w:lang w:val="pl-PL"/>
        </w:rPr>
      </w:pPr>
      <w:r w:rsidRPr="00275D64">
        <w:rPr>
          <w:lang w:val="pl-PL"/>
        </w:rPr>
        <w:t>Nasadkę wstrzykiwacza Ovaleap Pen należy nakładać z powrotem na wstrzykiwacz po każdym wstrzyknięciu w celu ochrony wkładu przed światłem.</w:t>
      </w:r>
    </w:p>
    <w:p w14:paraId="52838845" w14:textId="77777777" w:rsidR="0059552A" w:rsidRPr="00275D64" w:rsidRDefault="0059552A" w:rsidP="00496272">
      <w:pPr>
        <w:numPr>
          <w:ilvl w:val="12"/>
          <w:numId w:val="0"/>
        </w:numPr>
        <w:tabs>
          <w:tab w:val="clear" w:pos="567"/>
        </w:tabs>
        <w:ind w:right="-2"/>
        <w:rPr>
          <w:szCs w:val="22"/>
          <w:lang w:val="pl-PL"/>
        </w:rPr>
      </w:pPr>
    </w:p>
    <w:p w14:paraId="1B0F9589" w14:textId="77777777" w:rsidR="0059552A" w:rsidRPr="00275D64" w:rsidRDefault="0059552A" w:rsidP="00496272">
      <w:pPr>
        <w:numPr>
          <w:ilvl w:val="12"/>
          <w:numId w:val="0"/>
        </w:numPr>
        <w:tabs>
          <w:tab w:val="clear" w:pos="567"/>
        </w:tabs>
        <w:ind w:right="-2"/>
        <w:rPr>
          <w:szCs w:val="22"/>
          <w:lang w:val="pl-PL"/>
        </w:rPr>
      </w:pPr>
      <w:r w:rsidRPr="00275D64">
        <w:rPr>
          <w:lang w:val="pl-PL"/>
        </w:rPr>
        <w:t>Nie stosować tego leku, jeśli zauważy się w nim zmętnienie i wytrącone cząstki.</w:t>
      </w:r>
    </w:p>
    <w:p w14:paraId="3FE873C6" w14:textId="77777777" w:rsidR="0059552A" w:rsidRPr="00275D64" w:rsidRDefault="0059552A" w:rsidP="00496272">
      <w:pPr>
        <w:numPr>
          <w:ilvl w:val="12"/>
          <w:numId w:val="0"/>
        </w:numPr>
        <w:tabs>
          <w:tab w:val="clear" w:pos="567"/>
        </w:tabs>
        <w:ind w:right="-2"/>
        <w:rPr>
          <w:szCs w:val="22"/>
          <w:lang w:val="pl-PL"/>
        </w:rPr>
      </w:pPr>
    </w:p>
    <w:p w14:paraId="53AE45F3" w14:textId="77777777" w:rsidR="0059552A" w:rsidRPr="00275D64" w:rsidRDefault="0059552A" w:rsidP="00496272">
      <w:pPr>
        <w:numPr>
          <w:ilvl w:val="12"/>
          <w:numId w:val="0"/>
        </w:numPr>
        <w:tabs>
          <w:tab w:val="clear" w:pos="567"/>
        </w:tabs>
        <w:ind w:right="-2"/>
        <w:rPr>
          <w:i/>
          <w:iCs/>
          <w:szCs w:val="22"/>
          <w:lang w:val="pl-PL"/>
        </w:rPr>
      </w:pPr>
      <w:r w:rsidRPr="00275D64">
        <w:rPr>
          <w:lang w:val="pl-PL"/>
        </w:rPr>
        <w:t>Leków nie należy wyrzucać do kanalizacji ani domowych pojemników na odpadki. Należy zapytać farmaceutę, jak usunąć leki, których się już nie używa. Takie postępowanie pomoże chronić środowisko.</w:t>
      </w:r>
    </w:p>
    <w:p w14:paraId="5FBE5F01" w14:textId="77777777" w:rsidR="0059552A" w:rsidRPr="00275D64" w:rsidRDefault="0059552A" w:rsidP="00496272">
      <w:pPr>
        <w:numPr>
          <w:ilvl w:val="12"/>
          <w:numId w:val="0"/>
        </w:numPr>
        <w:tabs>
          <w:tab w:val="clear" w:pos="567"/>
        </w:tabs>
        <w:ind w:right="-2"/>
        <w:rPr>
          <w:szCs w:val="22"/>
          <w:lang w:val="pl-PL"/>
        </w:rPr>
      </w:pPr>
    </w:p>
    <w:p w14:paraId="254FA080" w14:textId="77777777" w:rsidR="0059552A" w:rsidRPr="00275D64" w:rsidRDefault="0059552A" w:rsidP="00496272">
      <w:pPr>
        <w:numPr>
          <w:ilvl w:val="12"/>
          <w:numId w:val="0"/>
        </w:numPr>
        <w:tabs>
          <w:tab w:val="clear" w:pos="567"/>
        </w:tabs>
        <w:ind w:right="-2"/>
        <w:rPr>
          <w:szCs w:val="22"/>
          <w:lang w:val="pl-PL"/>
        </w:rPr>
      </w:pPr>
    </w:p>
    <w:p w14:paraId="7ACD20FE" w14:textId="77777777" w:rsidR="0059552A" w:rsidRPr="00275D64" w:rsidRDefault="0059552A" w:rsidP="00496272">
      <w:pPr>
        <w:numPr>
          <w:ilvl w:val="12"/>
          <w:numId w:val="0"/>
        </w:numPr>
        <w:ind w:right="-2"/>
        <w:rPr>
          <w:b/>
          <w:szCs w:val="22"/>
          <w:lang w:val="pl-PL"/>
        </w:rPr>
      </w:pPr>
      <w:r w:rsidRPr="00275D64">
        <w:rPr>
          <w:b/>
          <w:lang w:val="pl-PL"/>
        </w:rPr>
        <w:t>6.</w:t>
      </w:r>
      <w:r w:rsidRPr="00275D64">
        <w:rPr>
          <w:lang w:val="pl-PL"/>
        </w:rPr>
        <w:tab/>
      </w:r>
      <w:r w:rsidRPr="00275D64">
        <w:rPr>
          <w:b/>
          <w:lang w:val="pl-PL"/>
        </w:rPr>
        <w:t>Zawartość opakowania i inne informacje</w:t>
      </w:r>
    </w:p>
    <w:p w14:paraId="2A77AFF4" w14:textId="77777777" w:rsidR="0059552A" w:rsidRPr="00275D64" w:rsidRDefault="0059552A" w:rsidP="00496272">
      <w:pPr>
        <w:numPr>
          <w:ilvl w:val="12"/>
          <w:numId w:val="0"/>
        </w:numPr>
        <w:tabs>
          <w:tab w:val="clear" w:pos="567"/>
        </w:tabs>
        <w:rPr>
          <w:szCs w:val="22"/>
          <w:lang w:val="pl-PL"/>
        </w:rPr>
      </w:pPr>
    </w:p>
    <w:p w14:paraId="4CA5EAE6" w14:textId="77777777" w:rsidR="0059552A" w:rsidRPr="00275D64" w:rsidRDefault="0059552A" w:rsidP="00496272">
      <w:pPr>
        <w:numPr>
          <w:ilvl w:val="12"/>
          <w:numId w:val="0"/>
        </w:numPr>
        <w:tabs>
          <w:tab w:val="clear" w:pos="567"/>
        </w:tabs>
        <w:ind w:right="-2"/>
        <w:rPr>
          <w:b/>
          <w:bCs/>
          <w:szCs w:val="22"/>
          <w:lang w:val="pl-PL"/>
        </w:rPr>
      </w:pPr>
      <w:r w:rsidRPr="00275D64">
        <w:rPr>
          <w:b/>
          <w:lang w:val="pl-PL"/>
        </w:rPr>
        <w:t>Co zawiera lek Ovaleap</w:t>
      </w:r>
    </w:p>
    <w:p w14:paraId="1431496E" w14:textId="77777777" w:rsidR="0059552A" w:rsidRPr="00275D64" w:rsidRDefault="0059552A" w:rsidP="002F3A44">
      <w:pPr>
        <w:numPr>
          <w:ilvl w:val="0"/>
          <w:numId w:val="12"/>
        </w:numPr>
        <w:tabs>
          <w:tab w:val="clear" w:pos="567"/>
        </w:tabs>
        <w:ind w:left="567" w:hanging="567"/>
        <w:rPr>
          <w:szCs w:val="22"/>
          <w:lang w:val="pl-PL"/>
        </w:rPr>
      </w:pPr>
      <w:r w:rsidRPr="00275D64">
        <w:rPr>
          <w:lang w:val="pl-PL"/>
        </w:rPr>
        <w:t>Substancją czynną leku jest folitropina alfa.</w:t>
      </w:r>
      <w:r w:rsidRPr="00275D64">
        <w:rPr>
          <w:lang w:val="pl-PL"/>
        </w:rPr>
        <w:br/>
        <w:t>Ovaleap 300 j.m./0,5 ml: Każdy wkład zawiera 300 j.m. (co odpowiada 22 mikrogramom) folitropiny alfa w 0,5 ml roztworu.</w:t>
      </w:r>
      <w:r w:rsidRPr="00275D64">
        <w:rPr>
          <w:lang w:val="pl-PL"/>
        </w:rPr>
        <w:br/>
        <w:t>Ovaleap 450 j.m./0,75 ml: Każdy wkład zawiera 450 j.m. (co odpowiada 33 mikrogramom) folitropiny alfa w 0,75 ml roztworu.</w:t>
      </w:r>
      <w:r w:rsidRPr="00275D64">
        <w:rPr>
          <w:lang w:val="pl-PL"/>
        </w:rPr>
        <w:br/>
        <w:t>Ovaleap 900 j.m./1,5 ml: Każdy wkład zawiera 900 j.m. (co odpowiada 66 mikrogramom) folitropiny alfa w 1,5 ml roztworu.</w:t>
      </w:r>
    </w:p>
    <w:p w14:paraId="41DACC90" w14:textId="77777777" w:rsidR="0059552A" w:rsidRPr="00275D64" w:rsidRDefault="0059552A" w:rsidP="00184DE9">
      <w:pPr>
        <w:tabs>
          <w:tab w:val="clear" w:pos="567"/>
        </w:tabs>
        <w:ind w:left="567"/>
        <w:rPr>
          <w:szCs w:val="22"/>
          <w:lang w:val="pl-PL"/>
        </w:rPr>
      </w:pPr>
      <w:r w:rsidRPr="00275D64">
        <w:rPr>
          <w:szCs w:val="22"/>
          <w:lang w:val="pl-PL"/>
        </w:rPr>
        <w:t>Każdy ml roztworu zawiera 600 j.m. (co odpowiada 44 mikrogramom) folitropiny alfa.</w:t>
      </w:r>
    </w:p>
    <w:p w14:paraId="01E694B8" w14:textId="77777777" w:rsidR="0059552A" w:rsidRPr="00275D64" w:rsidRDefault="0059552A" w:rsidP="002F3A44">
      <w:pPr>
        <w:numPr>
          <w:ilvl w:val="0"/>
          <w:numId w:val="12"/>
        </w:numPr>
        <w:tabs>
          <w:tab w:val="clear" w:pos="567"/>
        </w:tabs>
        <w:ind w:left="567" w:hanging="567"/>
        <w:rPr>
          <w:szCs w:val="22"/>
          <w:lang w:val="pl-PL"/>
        </w:rPr>
      </w:pPr>
      <w:r w:rsidRPr="00275D64">
        <w:rPr>
          <w:lang w:val="pl-PL"/>
        </w:rPr>
        <w:t>Pozostałe składniki to: sodu wodorofosforan dwuwodny, sodu wodorotlenek (2 M) (do ustalenia pH), mannitol, metionina, polisorbat 20, alkohol benzylowy, benzalkoniowy chlorek i woda do wstrzykiwań.</w:t>
      </w:r>
    </w:p>
    <w:p w14:paraId="05E4199C" w14:textId="26FFB5C2" w:rsidR="0059552A" w:rsidRPr="00275D64" w:rsidRDefault="0059552A" w:rsidP="00A4514B">
      <w:pPr>
        <w:tabs>
          <w:tab w:val="clear" w:pos="567"/>
        </w:tabs>
        <w:ind w:left="567"/>
        <w:rPr>
          <w:szCs w:val="22"/>
          <w:lang w:val="pl-PL"/>
        </w:rPr>
      </w:pPr>
      <w:r w:rsidRPr="00275D64">
        <w:rPr>
          <w:szCs w:val="22"/>
          <w:lang w:val="pl-PL"/>
        </w:rPr>
        <w:t>Wszystkie moce wymienione powyżej zawieraj</w:t>
      </w:r>
      <w:r w:rsidRPr="00275D64">
        <w:rPr>
          <w:lang w:val="pl-PL"/>
        </w:rPr>
        <w:t>ą</w:t>
      </w:r>
      <w:r w:rsidRPr="00275D64">
        <w:rPr>
          <w:szCs w:val="22"/>
          <w:lang w:val="pl-PL"/>
        </w:rPr>
        <w:t xml:space="preserve">  pozostałe składniki.</w:t>
      </w:r>
    </w:p>
    <w:p w14:paraId="1AB72315" w14:textId="77777777" w:rsidR="0059552A" w:rsidRPr="00275D64" w:rsidRDefault="0059552A" w:rsidP="00496272">
      <w:pPr>
        <w:tabs>
          <w:tab w:val="clear" w:pos="567"/>
        </w:tabs>
        <w:rPr>
          <w:szCs w:val="22"/>
          <w:lang w:val="pl-PL"/>
        </w:rPr>
      </w:pPr>
    </w:p>
    <w:p w14:paraId="7EC9A9F1" w14:textId="77777777" w:rsidR="0059552A" w:rsidRPr="00275D64" w:rsidRDefault="0059552A" w:rsidP="00496272">
      <w:pPr>
        <w:numPr>
          <w:ilvl w:val="12"/>
          <w:numId w:val="0"/>
        </w:numPr>
        <w:tabs>
          <w:tab w:val="clear" w:pos="567"/>
        </w:tabs>
        <w:ind w:right="-2"/>
        <w:rPr>
          <w:b/>
          <w:bCs/>
          <w:szCs w:val="22"/>
          <w:lang w:val="pl-PL"/>
        </w:rPr>
      </w:pPr>
      <w:r w:rsidRPr="00275D64">
        <w:rPr>
          <w:b/>
          <w:lang w:val="pl-PL"/>
        </w:rPr>
        <w:t>Jak wygląda lek Ovaleap i co zawiera opakowanie</w:t>
      </w:r>
    </w:p>
    <w:p w14:paraId="198984E4" w14:textId="77777777" w:rsidR="0059552A" w:rsidRPr="00275D64" w:rsidRDefault="0059552A" w:rsidP="00496272">
      <w:pPr>
        <w:tabs>
          <w:tab w:val="clear" w:pos="567"/>
        </w:tabs>
        <w:rPr>
          <w:szCs w:val="22"/>
          <w:lang w:val="pl-PL"/>
        </w:rPr>
      </w:pPr>
      <w:r w:rsidRPr="00275D64">
        <w:rPr>
          <w:lang w:val="pl-PL"/>
        </w:rPr>
        <w:t>Ovaleap jest to roztwór do wstrzykiwań (płyn do wstrzykiwań). Ovaleap to przejrzysty i bezbarwny roztwór.</w:t>
      </w:r>
    </w:p>
    <w:p w14:paraId="4BBBE423" w14:textId="77777777" w:rsidR="0059552A" w:rsidRPr="00275D64" w:rsidRDefault="0059552A" w:rsidP="00496272">
      <w:pPr>
        <w:tabs>
          <w:tab w:val="clear" w:pos="567"/>
        </w:tabs>
        <w:rPr>
          <w:szCs w:val="22"/>
          <w:lang w:val="pl-PL"/>
        </w:rPr>
      </w:pPr>
    </w:p>
    <w:p w14:paraId="022BED3B" w14:textId="77777777" w:rsidR="0059552A" w:rsidRPr="00275D64" w:rsidRDefault="0059552A" w:rsidP="00496272">
      <w:pPr>
        <w:tabs>
          <w:tab w:val="clear" w:pos="567"/>
        </w:tabs>
        <w:rPr>
          <w:szCs w:val="22"/>
          <w:lang w:val="pl-PL"/>
        </w:rPr>
      </w:pPr>
      <w:r w:rsidRPr="00275D64">
        <w:rPr>
          <w:lang w:val="pl-PL"/>
        </w:rPr>
        <w:t>Lek Ovaleap 300 j.m./0,5 ml jest dostępny w opakowaniach zawierających 1 wkład i 10 igieł iniekcyjnych.</w:t>
      </w:r>
      <w:r w:rsidRPr="00275D64">
        <w:rPr>
          <w:lang w:val="pl-PL"/>
        </w:rPr>
        <w:br/>
        <w:t>Lek Ovaleap 450 j.m./0,75 ml jest dostępny w opakowaniach zawierających 1 wkład i 10 igieł iniekcyjnych.</w:t>
      </w:r>
      <w:r w:rsidRPr="00275D64">
        <w:rPr>
          <w:lang w:val="pl-PL"/>
        </w:rPr>
        <w:br/>
        <w:t>Lek Ovaleap 900 j.m./1,5 ml jest dostępny w opakowaniach zawierających 1 wkład i 20 igieł iniekcyjnych.</w:t>
      </w:r>
    </w:p>
    <w:p w14:paraId="6A38B417" w14:textId="77777777" w:rsidR="0059552A" w:rsidRPr="00275D64" w:rsidRDefault="0059552A" w:rsidP="00496272">
      <w:pPr>
        <w:tabs>
          <w:tab w:val="clear" w:pos="567"/>
        </w:tabs>
        <w:rPr>
          <w:szCs w:val="22"/>
          <w:lang w:val="pl-PL"/>
        </w:rPr>
      </w:pPr>
    </w:p>
    <w:p w14:paraId="1C61D763" w14:textId="77777777" w:rsidR="0059552A" w:rsidRPr="00275D64" w:rsidRDefault="0059552A" w:rsidP="00496272">
      <w:pPr>
        <w:tabs>
          <w:tab w:val="clear" w:pos="567"/>
        </w:tabs>
        <w:rPr>
          <w:szCs w:val="22"/>
          <w:lang w:val="pl-PL"/>
        </w:rPr>
      </w:pPr>
      <w:r w:rsidRPr="00275D64">
        <w:rPr>
          <w:lang w:val="pl-PL"/>
        </w:rPr>
        <w:t>Nie wszystkie wielkości opakowań muszą znajdować się w obrocie.</w:t>
      </w:r>
    </w:p>
    <w:p w14:paraId="7090B333" w14:textId="77777777" w:rsidR="0059552A" w:rsidRPr="00275D64" w:rsidRDefault="0059552A" w:rsidP="00496272">
      <w:pPr>
        <w:numPr>
          <w:ilvl w:val="12"/>
          <w:numId w:val="0"/>
        </w:numPr>
        <w:tabs>
          <w:tab w:val="clear" w:pos="567"/>
        </w:tabs>
        <w:rPr>
          <w:szCs w:val="22"/>
          <w:lang w:val="pl-PL"/>
        </w:rPr>
      </w:pPr>
    </w:p>
    <w:p w14:paraId="7A379B3E" w14:textId="77777777" w:rsidR="0059552A" w:rsidRPr="00275D64" w:rsidRDefault="0059552A" w:rsidP="00496272">
      <w:pPr>
        <w:numPr>
          <w:ilvl w:val="12"/>
          <w:numId w:val="0"/>
        </w:numPr>
        <w:tabs>
          <w:tab w:val="clear" w:pos="567"/>
        </w:tabs>
        <w:ind w:right="-2"/>
        <w:rPr>
          <w:b/>
          <w:bCs/>
          <w:szCs w:val="22"/>
          <w:lang w:val="pl-PL"/>
        </w:rPr>
      </w:pPr>
      <w:r w:rsidRPr="00275D64">
        <w:rPr>
          <w:b/>
          <w:lang w:val="pl-PL"/>
        </w:rPr>
        <w:t>Podmiot odpowiedzialny</w:t>
      </w:r>
    </w:p>
    <w:p w14:paraId="64825488" w14:textId="77777777" w:rsidR="00B13EA3" w:rsidRPr="00B23863" w:rsidRDefault="00B13EA3" w:rsidP="00B13EA3">
      <w:pPr>
        <w:tabs>
          <w:tab w:val="clear" w:pos="567"/>
        </w:tabs>
        <w:rPr>
          <w:lang w:val="pl-PL"/>
        </w:rPr>
      </w:pPr>
      <w:r w:rsidRPr="00B23863">
        <w:rPr>
          <w:lang w:val="pl-PL"/>
        </w:rPr>
        <w:t>Theramex Ireland Limited</w:t>
      </w:r>
    </w:p>
    <w:p w14:paraId="76F1D86B" w14:textId="7C13BC43" w:rsidR="00B13EA3" w:rsidRPr="00B23863" w:rsidRDefault="000D14EB" w:rsidP="00B13EA3">
      <w:pPr>
        <w:tabs>
          <w:tab w:val="clear" w:pos="567"/>
        </w:tabs>
        <w:rPr>
          <w:lang w:val="pl-PL"/>
        </w:rPr>
      </w:pPr>
      <w:r w:rsidRPr="00B23863">
        <w:rPr>
          <w:rFonts w:cs="Verdana"/>
          <w:color w:val="000000"/>
          <w:lang w:val="pl-PL"/>
        </w:rPr>
        <w:t>3</w:t>
      </w:r>
      <w:r w:rsidRPr="00B23863">
        <w:rPr>
          <w:rFonts w:cs="Verdana"/>
          <w:color w:val="000000"/>
          <w:vertAlign w:val="superscript"/>
          <w:lang w:val="pl-PL"/>
        </w:rPr>
        <w:t>rd</w:t>
      </w:r>
      <w:r w:rsidRPr="00B23863">
        <w:rPr>
          <w:rFonts w:cs="Verdana"/>
          <w:color w:val="000000"/>
          <w:lang w:val="pl-PL"/>
        </w:rPr>
        <w:t xml:space="preserve"> Floor, </w:t>
      </w:r>
      <w:r w:rsidR="00B13EA3" w:rsidRPr="00B23863">
        <w:rPr>
          <w:lang w:val="pl-PL"/>
        </w:rPr>
        <w:t>Kilmore House,</w:t>
      </w:r>
    </w:p>
    <w:p w14:paraId="37087A1B" w14:textId="77777777" w:rsidR="00B13EA3" w:rsidRPr="00B23863" w:rsidRDefault="00B13EA3" w:rsidP="00B13EA3">
      <w:pPr>
        <w:tabs>
          <w:tab w:val="clear" w:pos="567"/>
        </w:tabs>
        <w:rPr>
          <w:lang w:val="sv-SE"/>
        </w:rPr>
      </w:pPr>
      <w:r w:rsidRPr="00B23863">
        <w:rPr>
          <w:lang w:val="sv-SE"/>
        </w:rPr>
        <w:t>Park Lane, Spencer Dock,</w:t>
      </w:r>
    </w:p>
    <w:p w14:paraId="5B41339A" w14:textId="77777777" w:rsidR="00B13EA3" w:rsidRPr="00B23863" w:rsidRDefault="00B13EA3" w:rsidP="00B13EA3">
      <w:pPr>
        <w:tabs>
          <w:tab w:val="clear" w:pos="567"/>
        </w:tabs>
        <w:rPr>
          <w:lang w:val="sv-SE"/>
        </w:rPr>
      </w:pPr>
      <w:r w:rsidRPr="00B23863">
        <w:rPr>
          <w:lang w:val="sv-SE"/>
        </w:rPr>
        <w:t>Dublin 1</w:t>
      </w:r>
    </w:p>
    <w:p w14:paraId="6F6573F5" w14:textId="77777777" w:rsidR="00B13EA3" w:rsidRPr="00B23863" w:rsidRDefault="00B13EA3" w:rsidP="00B13EA3">
      <w:pPr>
        <w:tabs>
          <w:tab w:val="clear" w:pos="567"/>
        </w:tabs>
        <w:rPr>
          <w:lang w:val="pt-PT"/>
        </w:rPr>
      </w:pPr>
      <w:r w:rsidRPr="00B23863">
        <w:rPr>
          <w:lang w:val="pt-PT"/>
        </w:rPr>
        <w:t>D01 YE64</w:t>
      </w:r>
    </w:p>
    <w:p w14:paraId="221E761E" w14:textId="77777777" w:rsidR="00B13EA3" w:rsidRPr="00B23863" w:rsidRDefault="00B13EA3" w:rsidP="00B13EA3">
      <w:pPr>
        <w:tabs>
          <w:tab w:val="clear" w:pos="567"/>
        </w:tabs>
        <w:rPr>
          <w:color w:val="000000"/>
          <w:szCs w:val="22"/>
          <w:lang w:val="pt-PT"/>
        </w:rPr>
      </w:pPr>
      <w:r w:rsidRPr="00B23863">
        <w:rPr>
          <w:lang w:val="pt-PT"/>
        </w:rPr>
        <w:t>Irlandia</w:t>
      </w:r>
    </w:p>
    <w:p w14:paraId="6B28ED47" w14:textId="77777777" w:rsidR="0059552A" w:rsidRPr="00B23863" w:rsidRDefault="0059552A" w:rsidP="00496272">
      <w:pPr>
        <w:numPr>
          <w:ilvl w:val="12"/>
          <w:numId w:val="0"/>
        </w:numPr>
        <w:tabs>
          <w:tab w:val="clear" w:pos="567"/>
        </w:tabs>
        <w:ind w:right="-2"/>
        <w:rPr>
          <w:szCs w:val="22"/>
          <w:lang w:val="pt-PT"/>
        </w:rPr>
      </w:pPr>
    </w:p>
    <w:p w14:paraId="1C23B5CE" w14:textId="77777777" w:rsidR="0059552A" w:rsidRPr="00B23863" w:rsidRDefault="0059552A" w:rsidP="00496272">
      <w:pPr>
        <w:numPr>
          <w:ilvl w:val="12"/>
          <w:numId w:val="0"/>
        </w:numPr>
        <w:tabs>
          <w:tab w:val="clear" w:pos="567"/>
        </w:tabs>
        <w:ind w:right="-2"/>
        <w:rPr>
          <w:b/>
          <w:bCs/>
          <w:szCs w:val="22"/>
          <w:lang w:val="pt-PT"/>
        </w:rPr>
      </w:pPr>
      <w:r w:rsidRPr="00B23863">
        <w:rPr>
          <w:b/>
          <w:lang w:val="pt-PT"/>
        </w:rPr>
        <w:t>Wytwórca</w:t>
      </w:r>
    </w:p>
    <w:p w14:paraId="210260CD" w14:textId="77777777" w:rsidR="0059552A" w:rsidRPr="00B23863" w:rsidRDefault="0059552A" w:rsidP="00496272">
      <w:pPr>
        <w:numPr>
          <w:ilvl w:val="12"/>
          <w:numId w:val="0"/>
        </w:numPr>
        <w:tabs>
          <w:tab w:val="clear" w:pos="567"/>
        </w:tabs>
        <w:rPr>
          <w:bCs/>
          <w:szCs w:val="22"/>
          <w:lang w:val="pt-PT"/>
        </w:rPr>
      </w:pPr>
      <w:bookmarkStart w:id="10" w:name="OLE_LINK8"/>
      <w:bookmarkStart w:id="11" w:name="OLE_LINK9"/>
      <w:r w:rsidRPr="00B23863">
        <w:rPr>
          <w:bCs/>
          <w:szCs w:val="22"/>
          <w:lang w:val="pt-PT"/>
        </w:rPr>
        <w:t>Teva Biotech GmbH</w:t>
      </w:r>
    </w:p>
    <w:p w14:paraId="73485E74" w14:textId="77777777" w:rsidR="0059552A" w:rsidRPr="00B23863" w:rsidRDefault="0059552A" w:rsidP="00496272">
      <w:pPr>
        <w:numPr>
          <w:ilvl w:val="12"/>
          <w:numId w:val="0"/>
        </w:numPr>
        <w:tabs>
          <w:tab w:val="clear" w:pos="567"/>
        </w:tabs>
        <w:rPr>
          <w:bCs/>
          <w:szCs w:val="22"/>
          <w:lang w:val="pt-PT"/>
        </w:rPr>
      </w:pPr>
      <w:r w:rsidRPr="00B23863">
        <w:rPr>
          <w:lang w:val="pt-PT"/>
        </w:rPr>
        <w:t>Dornierstraße 10</w:t>
      </w:r>
    </w:p>
    <w:p w14:paraId="3A5C7B02" w14:textId="77777777" w:rsidR="0059552A" w:rsidRPr="00B23863" w:rsidRDefault="0059552A" w:rsidP="00496272">
      <w:pPr>
        <w:numPr>
          <w:ilvl w:val="12"/>
          <w:numId w:val="0"/>
        </w:numPr>
        <w:tabs>
          <w:tab w:val="clear" w:pos="567"/>
        </w:tabs>
        <w:rPr>
          <w:bCs/>
          <w:szCs w:val="22"/>
          <w:lang w:val="pt-PT"/>
        </w:rPr>
      </w:pPr>
      <w:r w:rsidRPr="00B23863">
        <w:rPr>
          <w:lang w:val="pt-PT"/>
        </w:rPr>
        <w:t>89079 Ulm</w:t>
      </w:r>
    </w:p>
    <w:p w14:paraId="08E7C0BD" w14:textId="77777777" w:rsidR="0059552A" w:rsidRPr="00B23863" w:rsidRDefault="0059552A" w:rsidP="00496272">
      <w:pPr>
        <w:tabs>
          <w:tab w:val="clear" w:pos="567"/>
        </w:tabs>
        <w:rPr>
          <w:szCs w:val="22"/>
          <w:lang w:val="pt-PT"/>
        </w:rPr>
      </w:pPr>
      <w:r w:rsidRPr="00B23863">
        <w:rPr>
          <w:lang w:val="pt-PT"/>
        </w:rPr>
        <w:t>Niemcy</w:t>
      </w:r>
    </w:p>
    <w:p w14:paraId="3DD9D14D" w14:textId="77777777" w:rsidR="0059552A" w:rsidRPr="00B23863" w:rsidRDefault="0059552A" w:rsidP="00496272">
      <w:pPr>
        <w:tabs>
          <w:tab w:val="clear" w:pos="567"/>
        </w:tabs>
        <w:rPr>
          <w:szCs w:val="22"/>
          <w:lang w:val="pt-PT"/>
        </w:rPr>
      </w:pPr>
    </w:p>
    <w:p w14:paraId="683F4B1D" w14:textId="77777777" w:rsidR="0059552A" w:rsidRPr="00B23863" w:rsidRDefault="0059552A" w:rsidP="00B13EA3">
      <w:pPr>
        <w:keepNext/>
        <w:keepLines/>
        <w:shd w:val="clear" w:color="auto" w:fill="C0C0C0"/>
        <w:tabs>
          <w:tab w:val="clear" w:pos="567"/>
        </w:tabs>
        <w:rPr>
          <w:szCs w:val="22"/>
          <w:lang w:val="pt-PT"/>
        </w:rPr>
      </w:pPr>
      <w:r w:rsidRPr="00B23863">
        <w:rPr>
          <w:lang w:val="pt-PT"/>
        </w:rPr>
        <w:lastRenderedPageBreak/>
        <w:t>Teva Pharmaceuticals Europe B.V.</w:t>
      </w:r>
    </w:p>
    <w:p w14:paraId="5F319710" w14:textId="77777777" w:rsidR="0059552A" w:rsidRPr="00B23863" w:rsidRDefault="0059552A" w:rsidP="00B13EA3">
      <w:pPr>
        <w:keepNext/>
        <w:keepLines/>
        <w:shd w:val="clear" w:color="auto" w:fill="C0C0C0"/>
        <w:tabs>
          <w:tab w:val="clear" w:pos="567"/>
        </w:tabs>
        <w:rPr>
          <w:szCs w:val="22"/>
          <w:lang w:val="pt-PT"/>
        </w:rPr>
      </w:pPr>
      <w:r w:rsidRPr="00B23863">
        <w:rPr>
          <w:lang w:val="pt-PT"/>
        </w:rPr>
        <w:t>Swensweg 5</w:t>
      </w:r>
    </w:p>
    <w:p w14:paraId="0C7D2080" w14:textId="77777777" w:rsidR="0059552A" w:rsidRPr="00B23863" w:rsidRDefault="0059552A" w:rsidP="00B13EA3">
      <w:pPr>
        <w:keepNext/>
        <w:keepLines/>
        <w:shd w:val="clear" w:color="auto" w:fill="C0C0C0"/>
        <w:tabs>
          <w:tab w:val="clear" w:pos="567"/>
        </w:tabs>
        <w:rPr>
          <w:szCs w:val="22"/>
          <w:lang w:val="pt-PT"/>
        </w:rPr>
      </w:pPr>
      <w:r w:rsidRPr="00B23863">
        <w:rPr>
          <w:lang w:val="pt-PT"/>
        </w:rPr>
        <w:t>2031 GA Haarlem</w:t>
      </w:r>
    </w:p>
    <w:p w14:paraId="37548041" w14:textId="77777777" w:rsidR="0059552A" w:rsidRPr="00B23863" w:rsidRDefault="0059552A" w:rsidP="00B13EA3">
      <w:pPr>
        <w:keepNext/>
        <w:keepLines/>
        <w:shd w:val="clear" w:color="auto" w:fill="C0C0C0"/>
        <w:tabs>
          <w:tab w:val="clear" w:pos="567"/>
        </w:tabs>
        <w:rPr>
          <w:lang w:val="pt-PT"/>
        </w:rPr>
      </w:pPr>
      <w:r w:rsidRPr="00B23863">
        <w:rPr>
          <w:lang w:val="pt-PT"/>
        </w:rPr>
        <w:t>Holandia</w:t>
      </w:r>
    </w:p>
    <w:bookmarkEnd w:id="10"/>
    <w:bookmarkEnd w:id="11"/>
    <w:p w14:paraId="5D678A67" w14:textId="77777777" w:rsidR="00DB7276" w:rsidRPr="00B23863" w:rsidRDefault="00DB7276" w:rsidP="00DB7276">
      <w:pPr>
        <w:ind w:right="-568"/>
        <w:rPr>
          <w:noProof/>
          <w:szCs w:val="22"/>
          <w:lang w:val="pt-PT"/>
        </w:rPr>
      </w:pPr>
    </w:p>
    <w:p w14:paraId="683589FA" w14:textId="77777777" w:rsidR="00DB7276" w:rsidRPr="00B23863" w:rsidRDefault="00DB7276" w:rsidP="00DB7276">
      <w:pPr>
        <w:shd w:val="clear" w:color="auto" w:fill="C0C0C0"/>
        <w:tabs>
          <w:tab w:val="clear" w:pos="567"/>
        </w:tabs>
        <w:rPr>
          <w:lang w:val="pt-PT"/>
        </w:rPr>
      </w:pPr>
      <w:r w:rsidRPr="00B23863">
        <w:rPr>
          <w:lang w:val="pt-PT"/>
        </w:rPr>
        <w:t>Merckle GmbH</w:t>
      </w:r>
    </w:p>
    <w:p w14:paraId="68FB1F9F" w14:textId="77777777" w:rsidR="00DB7276" w:rsidRPr="00275D64" w:rsidRDefault="00DB7276" w:rsidP="00DB7276">
      <w:pPr>
        <w:shd w:val="clear" w:color="auto" w:fill="C0C0C0"/>
        <w:tabs>
          <w:tab w:val="clear" w:pos="567"/>
        </w:tabs>
        <w:rPr>
          <w:lang w:val="pl-PL"/>
        </w:rPr>
      </w:pPr>
      <w:r w:rsidRPr="00275D64">
        <w:rPr>
          <w:lang w:val="pl-PL"/>
        </w:rPr>
        <w:t>Graf-Arco-Straße 3</w:t>
      </w:r>
    </w:p>
    <w:p w14:paraId="04F914DF" w14:textId="77777777" w:rsidR="00DB7276" w:rsidRPr="00275D64" w:rsidRDefault="00DB7276" w:rsidP="00DB7276">
      <w:pPr>
        <w:shd w:val="clear" w:color="auto" w:fill="C0C0C0"/>
        <w:tabs>
          <w:tab w:val="clear" w:pos="567"/>
        </w:tabs>
        <w:rPr>
          <w:lang w:val="pl-PL"/>
        </w:rPr>
      </w:pPr>
      <w:r w:rsidRPr="00275D64">
        <w:rPr>
          <w:lang w:val="pl-PL"/>
        </w:rPr>
        <w:t xml:space="preserve">89079 Ulm, </w:t>
      </w:r>
    </w:p>
    <w:p w14:paraId="62A25706" w14:textId="77777777" w:rsidR="00DB7276" w:rsidRPr="00275D64" w:rsidRDefault="00DB7276" w:rsidP="00DB7276">
      <w:pPr>
        <w:shd w:val="clear" w:color="auto" w:fill="C0C0C0"/>
        <w:tabs>
          <w:tab w:val="clear" w:pos="567"/>
        </w:tabs>
        <w:rPr>
          <w:lang w:val="pl-PL"/>
        </w:rPr>
      </w:pPr>
      <w:r w:rsidRPr="00275D64">
        <w:rPr>
          <w:lang w:val="pl-PL"/>
        </w:rPr>
        <w:t>Niemcy</w:t>
      </w:r>
    </w:p>
    <w:p w14:paraId="3FC90878" w14:textId="77777777" w:rsidR="0059552A" w:rsidRPr="00275D64" w:rsidRDefault="0059552A" w:rsidP="00496272">
      <w:pPr>
        <w:numPr>
          <w:ilvl w:val="12"/>
          <w:numId w:val="0"/>
        </w:numPr>
        <w:tabs>
          <w:tab w:val="clear" w:pos="567"/>
        </w:tabs>
        <w:ind w:right="-2"/>
        <w:rPr>
          <w:szCs w:val="22"/>
          <w:lang w:val="pl-PL"/>
        </w:rPr>
      </w:pPr>
    </w:p>
    <w:p w14:paraId="3683E51D" w14:textId="77777777" w:rsidR="0059552A" w:rsidRPr="00275D64" w:rsidRDefault="0059552A" w:rsidP="00496272">
      <w:pPr>
        <w:numPr>
          <w:ilvl w:val="12"/>
          <w:numId w:val="0"/>
        </w:numPr>
        <w:tabs>
          <w:tab w:val="clear" w:pos="567"/>
        </w:tabs>
        <w:ind w:right="-2"/>
        <w:outlineLvl w:val="0"/>
        <w:rPr>
          <w:szCs w:val="22"/>
          <w:lang w:val="pl-PL"/>
        </w:rPr>
      </w:pPr>
      <w:r w:rsidRPr="00275D64">
        <w:rPr>
          <w:b/>
          <w:lang w:val="pl-PL"/>
        </w:rPr>
        <w:t>Data ostatniej aktualizacji ulotki:{miesiąc RRRR}.</w:t>
      </w:r>
    </w:p>
    <w:p w14:paraId="7CF96D09" w14:textId="77777777" w:rsidR="0059552A" w:rsidRPr="00275D64" w:rsidRDefault="0059552A" w:rsidP="00496272">
      <w:pPr>
        <w:numPr>
          <w:ilvl w:val="12"/>
          <w:numId w:val="0"/>
        </w:numPr>
        <w:ind w:right="-2"/>
        <w:rPr>
          <w:iCs/>
          <w:szCs w:val="22"/>
          <w:lang w:val="pl-PL"/>
        </w:rPr>
      </w:pPr>
    </w:p>
    <w:p w14:paraId="07D8FADE" w14:textId="77777777" w:rsidR="0059552A" w:rsidRPr="00275D64" w:rsidRDefault="0059552A" w:rsidP="00496272">
      <w:pPr>
        <w:numPr>
          <w:ilvl w:val="12"/>
          <w:numId w:val="0"/>
        </w:numPr>
        <w:ind w:right="-2"/>
        <w:rPr>
          <w:szCs w:val="22"/>
          <w:lang w:val="pl-PL"/>
        </w:rPr>
      </w:pPr>
      <w:r w:rsidRPr="00275D64">
        <w:rPr>
          <w:lang w:val="pl-PL"/>
        </w:rPr>
        <w:t xml:space="preserve">Szczegółowe informacje o tym leku znajdują się na stronie internetowej Europejskiej Agencji Leków: </w:t>
      </w:r>
      <w:hyperlink r:id="rId10" w:history="1">
        <w:r w:rsidRPr="00275D64">
          <w:rPr>
            <w:rStyle w:val="Hyperlink"/>
            <w:lang w:val="pl-PL"/>
          </w:rPr>
          <w:t>http://www.ema.europa.eu</w:t>
        </w:r>
      </w:hyperlink>
      <w:r w:rsidRPr="00275D64">
        <w:rPr>
          <w:lang w:val="pl-PL"/>
        </w:rPr>
        <w:t>.</w:t>
      </w:r>
    </w:p>
    <w:sectPr w:rsidR="0059552A" w:rsidRPr="00275D64" w:rsidSect="0085753C">
      <w:footerReference w:type="default" r:id="rId11"/>
      <w:footerReference w:type="first" r:id="rId12"/>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7A43" w14:textId="77777777" w:rsidR="00E41040" w:rsidRDefault="00E41040">
      <w:r>
        <w:separator/>
      </w:r>
    </w:p>
  </w:endnote>
  <w:endnote w:type="continuationSeparator" w:id="0">
    <w:p w14:paraId="7621820B" w14:textId="77777777" w:rsidR="00E41040" w:rsidRDefault="00E4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5A03" w14:textId="77777777" w:rsidR="00E10854" w:rsidRDefault="00E10854">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6136A">
      <w:rPr>
        <w:rStyle w:val="PageNumber"/>
        <w:rFonts w:cs="Arial"/>
      </w:rPr>
      <w:t>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566DD" w14:textId="77777777" w:rsidR="00E10854" w:rsidRDefault="00E10854">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6136A">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5FD34" w14:textId="77777777" w:rsidR="00E41040" w:rsidRDefault="00E41040">
      <w:r>
        <w:separator/>
      </w:r>
    </w:p>
  </w:footnote>
  <w:footnote w:type="continuationSeparator" w:id="0">
    <w:p w14:paraId="54B6B987" w14:textId="77777777" w:rsidR="00E41040" w:rsidRDefault="00E41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16668CE"/>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2300F1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004E65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CA56006C"/>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92E94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7230F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461B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104B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C4C24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084212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235533E8"/>
    <w:multiLevelType w:val="hybridMultilevel"/>
    <w:tmpl w:val="063A3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19CC0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C47A1"/>
    <w:multiLevelType w:val="hybridMultilevel"/>
    <w:tmpl w:val="905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7F0EAA"/>
    <w:multiLevelType w:val="hybridMultilevel"/>
    <w:tmpl w:val="DEB69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538C2"/>
    <w:multiLevelType w:val="hybridMultilevel"/>
    <w:tmpl w:val="B8E48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126F8D"/>
    <w:multiLevelType w:val="hybridMultilevel"/>
    <w:tmpl w:val="6DCCC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1D18DB"/>
    <w:multiLevelType w:val="hybridMultilevel"/>
    <w:tmpl w:val="8C04E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0F4A4B"/>
    <w:multiLevelType w:val="multilevel"/>
    <w:tmpl w:val="BB24E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1" w15:restartNumberingAfterBreak="0">
    <w:nsid w:val="7F1B7E85"/>
    <w:multiLevelType w:val="hybridMultilevel"/>
    <w:tmpl w:val="2988B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360"/>
        <w:lvlJc w:val="left"/>
        <w:pPr>
          <w:ind w:left="360" w:hanging="360"/>
        </w:pPr>
      </w:lvl>
    </w:lvlOverride>
  </w:num>
  <w:num w:numId="12">
    <w:abstractNumId w:val="10"/>
    <w:lvlOverride w:ilvl="0">
      <w:lvl w:ilvl="0">
        <w:start w:val="1"/>
        <w:numFmt w:val="bullet"/>
        <w:lvlText w:val="-"/>
        <w:legacy w:legacy="1" w:legacySpace="0" w:legacyIndent="360"/>
        <w:lvlJc w:val="left"/>
        <w:pPr>
          <w:ind w:left="360" w:hanging="360"/>
        </w:pPr>
      </w:lvl>
    </w:lvlOverride>
  </w:num>
  <w:num w:numId="13">
    <w:abstractNumId w:val="13"/>
  </w:num>
  <w:num w:numId="14">
    <w:abstractNumId w:val="19"/>
  </w:num>
  <w:num w:numId="15">
    <w:abstractNumId w:val="21"/>
  </w:num>
  <w:num w:numId="16">
    <w:abstractNumId w:val="16"/>
  </w:num>
  <w:num w:numId="17">
    <w:abstractNumId w:val="20"/>
  </w:num>
  <w:num w:numId="18">
    <w:abstractNumId w:val="17"/>
  </w:num>
  <w:num w:numId="19">
    <w:abstractNumId w:val="11"/>
  </w:num>
  <w:num w:numId="20">
    <w:abstractNumId w:val="14"/>
  </w:num>
  <w:num w:numId="21">
    <w:abstractNumId w:val="12"/>
  </w:num>
  <w:num w:numId="22">
    <w:abstractNumId w:val="15"/>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64F"/>
    <w:rsid w:val="000134DF"/>
    <w:rsid w:val="000140B8"/>
    <w:rsid w:val="00014869"/>
    <w:rsid w:val="000150D3"/>
    <w:rsid w:val="00015FE6"/>
    <w:rsid w:val="0001648E"/>
    <w:rsid w:val="000166C1"/>
    <w:rsid w:val="00017587"/>
    <w:rsid w:val="0002006B"/>
    <w:rsid w:val="00020AE8"/>
    <w:rsid w:val="00022505"/>
    <w:rsid w:val="00022E9F"/>
    <w:rsid w:val="000248CF"/>
    <w:rsid w:val="00024F16"/>
    <w:rsid w:val="00025EBE"/>
    <w:rsid w:val="00026BF2"/>
    <w:rsid w:val="000271F6"/>
    <w:rsid w:val="000302CD"/>
    <w:rsid w:val="00030445"/>
    <w:rsid w:val="000318C7"/>
    <w:rsid w:val="0003335D"/>
    <w:rsid w:val="00033BFC"/>
    <w:rsid w:val="00033FDB"/>
    <w:rsid w:val="000344F6"/>
    <w:rsid w:val="000354DE"/>
    <w:rsid w:val="00037DC6"/>
    <w:rsid w:val="00040693"/>
    <w:rsid w:val="00042263"/>
    <w:rsid w:val="00043505"/>
    <w:rsid w:val="00044042"/>
    <w:rsid w:val="000474D2"/>
    <w:rsid w:val="000479C5"/>
    <w:rsid w:val="00050DFD"/>
    <w:rsid w:val="00050E8D"/>
    <w:rsid w:val="00051019"/>
    <w:rsid w:val="00052992"/>
    <w:rsid w:val="00053809"/>
    <w:rsid w:val="00053914"/>
    <w:rsid w:val="00054756"/>
    <w:rsid w:val="000560C5"/>
    <w:rsid w:val="00056C49"/>
    <w:rsid w:val="00056FE0"/>
    <w:rsid w:val="000603C8"/>
    <w:rsid w:val="000608A4"/>
    <w:rsid w:val="00060AA1"/>
    <w:rsid w:val="000611CA"/>
    <w:rsid w:val="000631FD"/>
    <w:rsid w:val="00071F8A"/>
    <w:rsid w:val="0007267B"/>
    <w:rsid w:val="0007353E"/>
    <w:rsid w:val="00073E04"/>
    <w:rsid w:val="0007628D"/>
    <w:rsid w:val="00081DAB"/>
    <w:rsid w:val="00082959"/>
    <w:rsid w:val="00082E8E"/>
    <w:rsid w:val="00083980"/>
    <w:rsid w:val="000860C4"/>
    <w:rsid w:val="0009351E"/>
    <w:rsid w:val="0009479A"/>
    <w:rsid w:val="00095E44"/>
    <w:rsid w:val="00096D8D"/>
    <w:rsid w:val="00096DBB"/>
    <w:rsid w:val="0009755A"/>
    <w:rsid w:val="000A1232"/>
    <w:rsid w:val="000A54D0"/>
    <w:rsid w:val="000A70A6"/>
    <w:rsid w:val="000B0097"/>
    <w:rsid w:val="000B101F"/>
    <w:rsid w:val="000B1F4B"/>
    <w:rsid w:val="000B2F27"/>
    <w:rsid w:val="000B2F58"/>
    <w:rsid w:val="000B37A8"/>
    <w:rsid w:val="000B51D9"/>
    <w:rsid w:val="000C0A5F"/>
    <w:rsid w:val="000C2B4A"/>
    <w:rsid w:val="000C308F"/>
    <w:rsid w:val="000C5A4E"/>
    <w:rsid w:val="000C635D"/>
    <w:rsid w:val="000C68A5"/>
    <w:rsid w:val="000C7F49"/>
    <w:rsid w:val="000D02B6"/>
    <w:rsid w:val="000D14EB"/>
    <w:rsid w:val="000D18DD"/>
    <w:rsid w:val="000D1AEE"/>
    <w:rsid w:val="000D1F4F"/>
    <w:rsid w:val="000D2FA9"/>
    <w:rsid w:val="000D37D8"/>
    <w:rsid w:val="000D4D07"/>
    <w:rsid w:val="000D6A66"/>
    <w:rsid w:val="000D7535"/>
    <w:rsid w:val="000E165D"/>
    <w:rsid w:val="000E16BF"/>
    <w:rsid w:val="000E1BAF"/>
    <w:rsid w:val="000E223E"/>
    <w:rsid w:val="000E2491"/>
    <w:rsid w:val="000E2EA9"/>
    <w:rsid w:val="000E46A3"/>
    <w:rsid w:val="000E4E88"/>
    <w:rsid w:val="000E4F2D"/>
    <w:rsid w:val="000E5726"/>
    <w:rsid w:val="000E6C94"/>
    <w:rsid w:val="000E724D"/>
    <w:rsid w:val="000F0548"/>
    <w:rsid w:val="000F1BB2"/>
    <w:rsid w:val="000F3F94"/>
    <w:rsid w:val="000F4009"/>
    <w:rsid w:val="00100BA0"/>
    <w:rsid w:val="0010267A"/>
    <w:rsid w:val="00103501"/>
    <w:rsid w:val="00103B2D"/>
    <w:rsid w:val="00103CD2"/>
    <w:rsid w:val="00103D01"/>
    <w:rsid w:val="00104061"/>
    <w:rsid w:val="00105FCE"/>
    <w:rsid w:val="00107236"/>
    <w:rsid w:val="001079EA"/>
    <w:rsid w:val="001101A2"/>
    <w:rsid w:val="001106F7"/>
    <w:rsid w:val="001108A9"/>
    <w:rsid w:val="00112EDA"/>
    <w:rsid w:val="001136C0"/>
    <w:rsid w:val="00114174"/>
    <w:rsid w:val="001178A0"/>
    <w:rsid w:val="00117C1D"/>
    <w:rsid w:val="00123688"/>
    <w:rsid w:val="00123D21"/>
    <w:rsid w:val="001274F9"/>
    <w:rsid w:val="00127869"/>
    <w:rsid w:val="00127F47"/>
    <w:rsid w:val="00133572"/>
    <w:rsid w:val="001341C5"/>
    <w:rsid w:val="00136654"/>
    <w:rsid w:val="001367CB"/>
    <w:rsid w:val="00136D7A"/>
    <w:rsid w:val="00137311"/>
    <w:rsid w:val="00137B69"/>
    <w:rsid w:val="00141470"/>
    <w:rsid w:val="00141540"/>
    <w:rsid w:val="001444DC"/>
    <w:rsid w:val="001449DF"/>
    <w:rsid w:val="0014569B"/>
    <w:rsid w:val="001470E0"/>
    <w:rsid w:val="00147CEF"/>
    <w:rsid w:val="00150060"/>
    <w:rsid w:val="001529E6"/>
    <w:rsid w:val="00153CFC"/>
    <w:rsid w:val="00154C69"/>
    <w:rsid w:val="0015704C"/>
    <w:rsid w:val="001572A3"/>
    <w:rsid w:val="00161701"/>
    <w:rsid w:val="00161E87"/>
    <w:rsid w:val="00163BE2"/>
    <w:rsid w:val="0016566C"/>
    <w:rsid w:val="00165EB8"/>
    <w:rsid w:val="001727F0"/>
    <w:rsid w:val="00172B06"/>
    <w:rsid w:val="0017347E"/>
    <w:rsid w:val="001736F3"/>
    <w:rsid w:val="001752D8"/>
    <w:rsid w:val="00175931"/>
    <w:rsid w:val="00176B25"/>
    <w:rsid w:val="00181676"/>
    <w:rsid w:val="0018238B"/>
    <w:rsid w:val="00183419"/>
    <w:rsid w:val="0018394A"/>
    <w:rsid w:val="00184DCC"/>
    <w:rsid w:val="00184DE9"/>
    <w:rsid w:val="00185EDA"/>
    <w:rsid w:val="00186A9D"/>
    <w:rsid w:val="001874A6"/>
    <w:rsid w:val="0018765B"/>
    <w:rsid w:val="00190913"/>
    <w:rsid w:val="00192AA1"/>
    <w:rsid w:val="001936E7"/>
    <w:rsid w:val="00193DD3"/>
    <w:rsid w:val="00195F65"/>
    <w:rsid w:val="001A07E2"/>
    <w:rsid w:val="001A1F72"/>
    <w:rsid w:val="001A2018"/>
    <w:rsid w:val="001A2298"/>
    <w:rsid w:val="001A2489"/>
    <w:rsid w:val="001A4F54"/>
    <w:rsid w:val="001A56F1"/>
    <w:rsid w:val="001B01C8"/>
    <w:rsid w:val="001B0B52"/>
    <w:rsid w:val="001B11D1"/>
    <w:rsid w:val="001B13F6"/>
    <w:rsid w:val="001B1747"/>
    <w:rsid w:val="001B2D44"/>
    <w:rsid w:val="001B752A"/>
    <w:rsid w:val="001C12FB"/>
    <w:rsid w:val="001C35E9"/>
    <w:rsid w:val="001C36BD"/>
    <w:rsid w:val="001C3733"/>
    <w:rsid w:val="001C3838"/>
    <w:rsid w:val="001C45BE"/>
    <w:rsid w:val="001C49B3"/>
    <w:rsid w:val="001C5B30"/>
    <w:rsid w:val="001D0DE0"/>
    <w:rsid w:val="001D188C"/>
    <w:rsid w:val="001D1B11"/>
    <w:rsid w:val="001D3C05"/>
    <w:rsid w:val="001D6AF4"/>
    <w:rsid w:val="001E0CC1"/>
    <w:rsid w:val="001E183A"/>
    <w:rsid w:val="001E1C10"/>
    <w:rsid w:val="001E3CC0"/>
    <w:rsid w:val="001E77C3"/>
    <w:rsid w:val="001E782D"/>
    <w:rsid w:val="001F090B"/>
    <w:rsid w:val="001F180A"/>
    <w:rsid w:val="001F1A28"/>
    <w:rsid w:val="001F1AD0"/>
    <w:rsid w:val="001F3289"/>
    <w:rsid w:val="001F35E8"/>
    <w:rsid w:val="001F4014"/>
    <w:rsid w:val="001F445E"/>
    <w:rsid w:val="00200BDA"/>
    <w:rsid w:val="00201213"/>
    <w:rsid w:val="0020165E"/>
    <w:rsid w:val="002026CF"/>
    <w:rsid w:val="00202E50"/>
    <w:rsid w:val="00203E53"/>
    <w:rsid w:val="00205180"/>
    <w:rsid w:val="0020661C"/>
    <w:rsid w:val="00207F81"/>
    <w:rsid w:val="00210885"/>
    <w:rsid w:val="002109F4"/>
    <w:rsid w:val="00211554"/>
    <w:rsid w:val="00211AEA"/>
    <w:rsid w:val="00211DE3"/>
    <w:rsid w:val="00211FDA"/>
    <w:rsid w:val="00214A5E"/>
    <w:rsid w:val="002160C2"/>
    <w:rsid w:val="00217496"/>
    <w:rsid w:val="00217FCB"/>
    <w:rsid w:val="00222BB9"/>
    <w:rsid w:val="002252C5"/>
    <w:rsid w:val="002258D6"/>
    <w:rsid w:val="002274FB"/>
    <w:rsid w:val="00230735"/>
    <w:rsid w:val="002309D2"/>
    <w:rsid w:val="00231DBD"/>
    <w:rsid w:val="0023315B"/>
    <w:rsid w:val="002347FE"/>
    <w:rsid w:val="00237563"/>
    <w:rsid w:val="0024178D"/>
    <w:rsid w:val="00243305"/>
    <w:rsid w:val="0024392B"/>
    <w:rsid w:val="002450C6"/>
    <w:rsid w:val="00245657"/>
    <w:rsid w:val="00245786"/>
    <w:rsid w:val="00245DCF"/>
    <w:rsid w:val="00246C65"/>
    <w:rsid w:val="002542A8"/>
    <w:rsid w:val="00260A11"/>
    <w:rsid w:val="0026169A"/>
    <w:rsid w:val="0026262E"/>
    <w:rsid w:val="00262763"/>
    <w:rsid w:val="00262A7E"/>
    <w:rsid w:val="00264BEA"/>
    <w:rsid w:val="00264CDF"/>
    <w:rsid w:val="00265650"/>
    <w:rsid w:val="00265A89"/>
    <w:rsid w:val="0027004B"/>
    <w:rsid w:val="00271032"/>
    <w:rsid w:val="002710A3"/>
    <w:rsid w:val="00273E3E"/>
    <w:rsid w:val="00274147"/>
    <w:rsid w:val="00275189"/>
    <w:rsid w:val="002756DC"/>
    <w:rsid w:val="00275D64"/>
    <w:rsid w:val="00276437"/>
    <w:rsid w:val="00277DD8"/>
    <w:rsid w:val="0028063F"/>
    <w:rsid w:val="00280740"/>
    <w:rsid w:val="00283B02"/>
    <w:rsid w:val="00283C5D"/>
    <w:rsid w:val="002844B0"/>
    <w:rsid w:val="002846CD"/>
    <w:rsid w:val="00286322"/>
    <w:rsid w:val="0029288C"/>
    <w:rsid w:val="00293E78"/>
    <w:rsid w:val="00294EC2"/>
    <w:rsid w:val="00296C1F"/>
    <w:rsid w:val="002A08D4"/>
    <w:rsid w:val="002A14B1"/>
    <w:rsid w:val="002A41E6"/>
    <w:rsid w:val="002A44C8"/>
    <w:rsid w:val="002A495E"/>
    <w:rsid w:val="002A5B88"/>
    <w:rsid w:val="002A5E48"/>
    <w:rsid w:val="002B0455"/>
    <w:rsid w:val="002B2BEE"/>
    <w:rsid w:val="002B35C5"/>
    <w:rsid w:val="002B3935"/>
    <w:rsid w:val="002B406A"/>
    <w:rsid w:val="002B41D4"/>
    <w:rsid w:val="002B4CEA"/>
    <w:rsid w:val="002B543F"/>
    <w:rsid w:val="002B7D73"/>
    <w:rsid w:val="002C06E3"/>
    <w:rsid w:val="002C0801"/>
    <w:rsid w:val="002C1C57"/>
    <w:rsid w:val="002C2915"/>
    <w:rsid w:val="002C33B3"/>
    <w:rsid w:val="002C44B0"/>
    <w:rsid w:val="002C4E07"/>
    <w:rsid w:val="002C6590"/>
    <w:rsid w:val="002C68E0"/>
    <w:rsid w:val="002C713F"/>
    <w:rsid w:val="002D0586"/>
    <w:rsid w:val="002D1023"/>
    <w:rsid w:val="002D1459"/>
    <w:rsid w:val="002D1470"/>
    <w:rsid w:val="002D1B6D"/>
    <w:rsid w:val="002D21CF"/>
    <w:rsid w:val="002D2701"/>
    <w:rsid w:val="002D4705"/>
    <w:rsid w:val="002D4E3A"/>
    <w:rsid w:val="002D5B65"/>
    <w:rsid w:val="002D6396"/>
    <w:rsid w:val="002D6ABC"/>
    <w:rsid w:val="002D728A"/>
    <w:rsid w:val="002D7E5E"/>
    <w:rsid w:val="002E0422"/>
    <w:rsid w:val="002E07EF"/>
    <w:rsid w:val="002E0D06"/>
    <w:rsid w:val="002E1810"/>
    <w:rsid w:val="002E22FF"/>
    <w:rsid w:val="002E2B53"/>
    <w:rsid w:val="002E49C3"/>
    <w:rsid w:val="002E4E94"/>
    <w:rsid w:val="002F07A9"/>
    <w:rsid w:val="002F07C4"/>
    <w:rsid w:val="002F1F28"/>
    <w:rsid w:val="002F33D9"/>
    <w:rsid w:val="002F3A44"/>
    <w:rsid w:val="002F43CA"/>
    <w:rsid w:val="002F57AA"/>
    <w:rsid w:val="002F714C"/>
    <w:rsid w:val="002F77BF"/>
    <w:rsid w:val="002F7A0E"/>
    <w:rsid w:val="003004A2"/>
    <w:rsid w:val="00301245"/>
    <w:rsid w:val="00302107"/>
    <w:rsid w:val="00303DD5"/>
    <w:rsid w:val="00304522"/>
    <w:rsid w:val="00305EE6"/>
    <w:rsid w:val="00307B74"/>
    <w:rsid w:val="00310764"/>
    <w:rsid w:val="00313218"/>
    <w:rsid w:val="00317C64"/>
    <w:rsid w:val="00320203"/>
    <w:rsid w:val="00322002"/>
    <w:rsid w:val="003247B0"/>
    <w:rsid w:val="00325E81"/>
    <w:rsid w:val="00326948"/>
    <w:rsid w:val="00327E10"/>
    <w:rsid w:val="00331AF7"/>
    <w:rsid w:val="00332B8A"/>
    <w:rsid w:val="0033486D"/>
    <w:rsid w:val="003367C4"/>
    <w:rsid w:val="00336D8E"/>
    <w:rsid w:val="0033745E"/>
    <w:rsid w:val="003376B3"/>
    <w:rsid w:val="003434D1"/>
    <w:rsid w:val="00345F9C"/>
    <w:rsid w:val="003464CB"/>
    <w:rsid w:val="00347776"/>
    <w:rsid w:val="00351A91"/>
    <w:rsid w:val="003520C4"/>
    <w:rsid w:val="00352989"/>
    <w:rsid w:val="003533AE"/>
    <w:rsid w:val="00354547"/>
    <w:rsid w:val="00355AA9"/>
    <w:rsid w:val="00355E14"/>
    <w:rsid w:val="00356B23"/>
    <w:rsid w:val="00361280"/>
    <w:rsid w:val="003614DC"/>
    <w:rsid w:val="003615F1"/>
    <w:rsid w:val="00361A6E"/>
    <w:rsid w:val="00363D7F"/>
    <w:rsid w:val="00367C66"/>
    <w:rsid w:val="003700B2"/>
    <w:rsid w:val="003714B6"/>
    <w:rsid w:val="0037233D"/>
    <w:rsid w:val="003736EF"/>
    <w:rsid w:val="003737E3"/>
    <w:rsid w:val="003755C1"/>
    <w:rsid w:val="00380A1A"/>
    <w:rsid w:val="00380D80"/>
    <w:rsid w:val="0038164A"/>
    <w:rsid w:val="003833B8"/>
    <w:rsid w:val="003836BA"/>
    <w:rsid w:val="00383786"/>
    <w:rsid w:val="003870C6"/>
    <w:rsid w:val="0038761D"/>
    <w:rsid w:val="003906F8"/>
    <w:rsid w:val="003935EE"/>
    <w:rsid w:val="0039408A"/>
    <w:rsid w:val="0039450A"/>
    <w:rsid w:val="0039673D"/>
    <w:rsid w:val="003975DA"/>
    <w:rsid w:val="003975DB"/>
    <w:rsid w:val="00397893"/>
    <w:rsid w:val="003A0255"/>
    <w:rsid w:val="003A2407"/>
    <w:rsid w:val="003A2CF0"/>
    <w:rsid w:val="003A33D3"/>
    <w:rsid w:val="003A3880"/>
    <w:rsid w:val="003A4255"/>
    <w:rsid w:val="003A5778"/>
    <w:rsid w:val="003A5BC5"/>
    <w:rsid w:val="003A5D55"/>
    <w:rsid w:val="003A75E6"/>
    <w:rsid w:val="003B255B"/>
    <w:rsid w:val="003B3317"/>
    <w:rsid w:val="003B52D4"/>
    <w:rsid w:val="003C1CA5"/>
    <w:rsid w:val="003C1EC7"/>
    <w:rsid w:val="003C3D5A"/>
    <w:rsid w:val="003C3D8E"/>
    <w:rsid w:val="003C600A"/>
    <w:rsid w:val="003C64A0"/>
    <w:rsid w:val="003C6F0B"/>
    <w:rsid w:val="003C7BA3"/>
    <w:rsid w:val="003D1C3F"/>
    <w:rsid w:val="003D4E9C"/>
    <w:rsid w:val="003E057C"/>
    <w:rsid w:val="003E0D78"/>
    <w:rsid w:val="003E1CB1"/>
    <w:rsid w:val="003E3A1D"/>
    <w:rsid w:val="003E50DA"/>
    <w:rsid w:val="003E59CE"/>
    <w:rsid w:val="003E6CA0"/>
    <w:rsid w:val="003E773E"/>
    <w:rsid w:val="003F1B42"/>
    <w:rsid w:val="003F2FDE"/>
    <w:rsid w:val="003F330B"/>
    <w:rsid w:val="003F6FDF"/>
    <w:rsid w:val="004016F5"/>
    <w:rsid w:val="004045AA"/>
    <w:rsid w:val="0040549A"/>
    <w:rsid w:val="00405AB7"/>
    <w:rsid w:val="00405CC9"/>
    <w:rsid w:val="00407367"/>
    <w:rsid w:val="00407D67"/>
    <w:rsid w:val="00412844"/>
    <w:rsid w:val="004138DE"/>
    <w:rsid w:val="00414B2F"/>
    <w:rsid w:val="00415E58"/>
    <w:rsid w:val="00416231"/>
    <w:rsid w:val="004205C8"/>
    <w:rsid w:val="004208AB"/>
    <w:rsid w:val="00420DEA"/>
    <w:rsid w:val="004219EF"/>
    <w:rsid w:val="00423ABA"/>
    <w:rsid w:val="00426CD9"/>
    <w:rsid w:val="00427926"/>
    <w:rsid w:val="00430FEB"/>
    <w:rsid w:val="004310EE"/>
    <w:rsid w:val="00433677"/>
    <w:rsid w:val="004340D5"/>
    <w:rsid w:val="00434880"/>
    <w:rsid w:val="0043526D"/>
    <w:rsid w:val="00436899"/>
    <w:rsid w:val="00443971"/>
    <w:rsid w:val="004439AF"/>
    <w:rsid w:val="00444A22"/>
    <w:rsid w:val="004460E9"/>
    <w:rsid w:val="00447B6F"/>
    <w:rsid w:val="00453C11"/>
    <w:rsid w:val="004557B0"/>
    <w:rsid w:val="00457946"/>
    <w:rsid w:val="00457D8B"/>
    <w:rsid w:val="00460A17"/>
    <w:rsid w:val="00463ECE"/>
    <w:rsid w:val="00470CB5"/>
    <w:rsid w:val="00471EAB"/>
    <w:rsid w:val="004723EE"/>
    <w:rsid w:val="0047512F"/>
    <w:rsid w:val="00475A92"/>
    <w:rsid w:val="00477BB9"/>
    <w:rsid w:val="0048091C"/>
    <w:rsid w:val="004811D7"/>
    <w:rsid w:val="00482CC3"/>
    <w:rsid w:val="004844EA"/>
    <w:rsid w:val="00484FEA"/>
    <w:rsid w:val="00485188"/>
    <w:rsid w:val="004857D4"/>
    <w:rsid w:val="00487366"/>
    <w:rsid w:val="004873E4"/>
    <w:rsid w:val="0049072C"/>
    <w:rsid w:val="004909BE"/>
    <w:rsid w:val="00490FD1"/>
    <w:rsid w:val="00491AD2"/>
    <w:rsid w:val="00492F22"/>
    <w:rsid w:val="004935C0"/>
    <w:rsid w:val="00493B43"/>
    <w:rsid w:val="00493BCB"/>
    <w:rsid w:val="00493C84"/>
    <w:rsid w:val="00494EB1"/>
    <w:rsid w:val="00496272"/>
    <w:rsid w:val="00496414"/>
    <w:rsid w:val="00497A38"/>
    <w:rsid w:val="004A063B"/>
    <w:rsid w:val="004A08EB"/>
    <w:rsid w:val="004A1667"/>
    <w:rsid w:val="004A24B7"/>
    <w:rsid w:val="004A45BD"/>
    <w:rsid w:val="004A4656"/>
    <w:rsid w:val="004A77B0"/>
    <w:rsid w:val="004B0C31"/>
    <w:rsid w:val="004B1CED"/>
    <w:rsid w:val="004B34A7"/>
    <w:rsid w:val="004B36B9"/>
    <w:rsid w:val="004B3B06"/>
    <w:rsid w:val="004B4643"/>
    <w:rsid w:val="004B4797"/>
    <w:rsid w:val="004B7F67"/>
    <w:rsid w:val="004C1994"/>
    <w:rsid w:val="004C49ED"/>
    <w:rsid w:val="004C4A78"/>
    <w:rsid w:val="004D3C54"/>
    <w:rsid w:val="004D4080"/>
    <w:rsid w:val="004D7149"/>
    <w:rsid w:val="004D7A6C"/>
    <w:rsid w:val="004D7F24"/>
    <w:rsid w:val="004E05FD"/>
    <w:rsid w:val="004E1A0D"/>
    <w:rsid w:val="004E23F5"/>
    <w:rsid w:val="004E25AC"/>
    <w:rsid w:val="004E35DC"/>
    <w:rsid w:val="004E3673"/>
    <w:rsid w:val="004E4521"/>
    <w:rsid w:val="004E5956"/>
    <w:rsid w:val="004E63E5"/>
    <w:rsid w:val="004E6B76"/>
    <w:rsid w:val="004E70A1"/>
    <w:rsid w:val="004F054F"/>
    <w:rsid w:val="004F155B"/>
    <w:rsid w:val="004F3540"/>
    <w:rsid w:val="004F52DB"/>
    <w:rsid w:val="004F5624"/>
    <w:rsid w:val="004F5DA4"/>
    <w:rsid w:val="004F62B2"/>
    <w:rsid w:val="004F6424"/>
    <w:rsid w:val="004F7286"/>
    <w:rsid w:val="00501363"/>
    <w:rsid w:val="00501D61"/>
    <w:rsid w:val="005040CD"/>
    <w:rsid w:val="0050420D"/>
    <w:rsid w:val="00504E86"/>
    <w:rsid w:val="00505229"/>
    <w:rsid w:val="00507F98"/>
    <w:rsid w:val="005108A3"/>
    <w:rsid w:val="00510F6E"/>
    <w:rsid w:val="005118AE"/>
    <w:rsid w:val="00512F84"/>
    <w:rsid w:val="00515404"/>
    <w:rsid w:val="0051587A"/>
    <w:rsid w:val="005158FA"/>
    <w:rsid w:val="005169AD"/>
    <w:rsid w:val="00516DF8"/>
    <w:rsid w:val="00516FD9"/>
    <w:rsid w:val="00517389"/>
    <w:rsid w:val="005208B9"/>
    <w:rsid w:val="005221F0"/>
    <w:rsid w:val="005239A6"/>
    <w:rsid w:val="00524807"/>
    <w:rsid w:val="005258CE"/>
    <w:rsid w:val="00525FF9"/>
    <w:rsid w:val="00527AF4"/>
    <w:rsid w:val="00532C41"/>
    <w:rsid w:val="00532D3F"/>
    <w:rsid w:val="0053386D"/>
    <w:rsid w:val="00534700"/>
    <w:rsid w:val="005348B6"/>
    <w:rsid w:val="0053791F"/>
    <w:rsid w:val="00542531"/>
    <w:rsid w:val="00543E16"/>
    <w:rsid w:val="00547538"/>
    <w:rsid w:val="005501C0"/>
    <w:rsid w:val="0055252D"/>
    <w:rsid w:val="00553BFA"/>
    <w:rsid w:val="005540E2"/>
    <w:rsid w:val="00554D05"/>
    <w:rsid w:val="00554EDB"/>
    <w:rsid w:val="00556449"/>
    <w:rsid w:val="00557EF1"/>
    <w:rsid w:val="0056077E"/>
    <w:rsid w:val="00560EDA"/>
    <w:rsid w:val="005629EE"/>
    <w:rsid w:val="005648FA"/>
    <w:rsid w:val="00564D50"/>
    <w:rsid w:val="00564DF8"/>
    <w:rsid w:val="00567346"/>
    <w:rsid w:val="00571DAA"/>
    <w:rsid w:val="0057371B"/>
    <w:rsid w:val="00574CAC"/>
    <w:rsid w:val="00575EB8"/>
    <w:rsid w:val="005771F7"/>
    <w:rsid w:val="00577F76"/>
    <w:rsid w:val="00581BE1"/>
    <w:rsid w:val="00582A9B"/>
    <w:rsid w:val="005832AB"/>
    <w:rsid w:val="0058437C"/>
    <w:rsid w:val="00586F05"/>
    <w:rsid w:val="005928D8"/>
    <w:rsid w:val="00592935"/>
    <w:rsid w:val="00593116"/>
    <w:rsid w:val="005935F4"/>
    <w:rsid w:val="00593E0A"/>
    <w:rsid w:val="0059552A"/>
    <w:rsid w:val="005A167F"/>
    <w:rsid w:val="005A346E"/>
    <w:rsid w:val="005A3537"/>
    <w:rsid w:val="005A6915"/>
    <w:rsid w:val="005A72F6"/>
    <w:rsid w:val="005A73CF"/>
    <w:rsid w:val="005B3F6F"/>
    <w:rsid w:val="005B56E7"/>
    <w:rsid w:val="005B798B"/>
    <w:rsid w:val="005C0C51"/>
    <w:rsid w:val="005C1FAE"/>
    <w:rsid w:val="005C226D"/>
    <w:rsid w:val="005C2817"/>
    <w:rsid w:val="005C2EE1"/>
    <w:rsid w:val="005C39E8"/>
    <w:rsid w:val="005C4A72"/>
    <w:rsid w:val="005C5660"/>
    <w:rsid w:val="005C5BD3"/>
    <w:rsid w:val="005D4B68"/>
    <w:rsid w:val="005D57BB"/>
    <w:rsid w:val="005D6FD3"/>
    <w:rsid w:val="005E11C1"/>
    <w:rsid w:val="005E2563"/>
    <w:rsid w:val="005E2A50"/>
    <w:rsid w:val="005E38BA"/>
    <w:rsid w:val="005E394C"/>
    <w:rsid w:val="005E42BF"/>
    <w:rsid w:val="005E4E70"/>
    <w:rsid w:val="005E5AA6"/>
    <w:rsid w:val="005E65BB"/>
    <w:rsid w:val="005E6661"/>
    <w:rsid w:val="005F0DA0"/>
    <w:rsid w:val="005F4914"/>
    <w:rsid w:val="005F5D9A"/>
    <w:rsid w:val="005F62B7"/>
    <w:rsid w:val="005F6869"/>
    <w:rsid w:val="005F6BB9"/>
    <w:rsid w:val="00603148"/>
    <w:rsid w:val="00604D85"/>
    <w:rsid w:val="0060595B"/>
    <w:rsid w:val="00605A02"/>
    <w:rsid w:val="00606FC7"/>
    <w:rsid w:val="00610456"/>
    <w:rsid w:val="006110FE"/>
    <w:rsid w:val="00611473"/>
    <w:rsid w:val="00611B36"/>
    <w:rsid w:val="00612D84"/>
    <w:rsid w:val="00613A34"/>
    <w:rsid w:val="00614040"/>
    <w:rsid w:val="0061497A"/>
    <w:rsid w:val="006150F0"/>
    <w:rsid w:val="00615ADA"/>
    <w:rsid w:val="00621BAB"/>
    <w:rsid w:val="006221CD"/>
    <w:rsid w:val="00623E03"/>
    <w:rsid w:val="00624036"/>
    <w:rsid w:val="006266A9"/>
    <w:rsid w:val="00630426"/>
    <w:rsid w:val="006316C1"/>
    <w:rsid w:val="00631ED4"/>
    <w:rsid w:val="00633067"/>
    <w:rsid w:val="00633B05"/>
    <w:rsid w:val="00633BC7"/>
    <w:rsid w:val="00633F30"/>
    <w:rsid w:val="00635E9C"/>
    <w:rsid w:val="00637B41"/>
    <w:rsid w:val="00640C6F"/>
    <w:rsid w:val="006414EE"/>
    <w:rsid w:val="00642524"/>
    <w:rsid w:val="00642ADD"/>
    <w:rsid w:val="00642D0A"/>
    <w:rsid w:val="00642E48"/>
    <w:rsid w:val="006437DC"/>
    <w:rsid w:val="00646FE1"/>
    <w:rsid w:val="0065036E"/>
    <w:rsid w:val="006519F1"/>
    <w:rsid w:val="00652D21"/>
    <w:rsid w:val="0065491B"/>
    <w:rsid w:val="00655C2F"/>
    <w:rsid w:val="00661140"/>
    <w:rsid w:val="00670A1A"/>
    <w:rsid w:val="006710DD"/>
    <w:rsid w:val="00672BBE"/>
    <w:rsid w:val="00673200"/>
    <w:rsid w:val="00673B40"/>
    <w:rsid w:val="0067501E"/>
    <w:rsid w:val="006773D2"/>
    <w:rsid w:val="00677500"/>
    <w:rsid w:val="00680337"/>
    <w:rsid w:val="00680581"/>
    <w:rsid w:val="00681083"/>
    <w:rsid w:val="00681A41"/>
    <w:rsid w:val="006821B2"/>
    <w:rsid w:val="0068308D"/>
    <w:rsid w:val="006838C0"/>
    <w:rsid w:val="00685901"/>
    <w:rsid w:val="00685BB9"/>
    <w:rsid w:val="00690127"/>
    <w:rsid w:val="00691BFF"/>
    <w:rsid w:val="00693EC5"/>
    <w:rsid w:val="006953C1"/>
    <w:rsid w:val="00696EB2"/>
    <w:rsid w:val="00697E52"/>
    <w:rsid w:val="006A16E9"/>
    <w:rsid w:val="006A2349"/>
    <w:rsid w:val="006A3689"/>
    <w:rsid w:val="006A5450"/>
    <w:rsid w:val="006A673B"/>
    <w:rsid w:val="006A6F34"/>
    <w:rsid w:val="006A743F"/>
    <w:rsid w:val="006B0199"/>
    <w:rsid w:val="006B0A32"/>
    <w:rsid w:val="006B0BD8"/>
    <w:rsid w:val="006B5E28"/>
    <w:rsid w:val="006C0251"/>
    <w:rsid w:val="006C2B9A"/>
    <w:rsid w:val="006C39BB"/>
    <w:rsid w:val="006C4502"/>
    <w:rsid w:val="006C4DE0"/>
    <w:rsid w:val="006C600B"/>
    <w:rsid w:val="006C6C1E"/>
    <w:rsid w:val="006C6D88"/>
    <w:rsid w:val="006D0A2F"/>
    <w:rsid w:val="006D3002"/>
    <w:rsid w:val="006D5E91"/>
    <w:rsid w:val="006E14E6"/>
    <w:rsid w:val="006E1AEE"/>
    <w:rsid w:val="006E2504"/>
    <w:rsid w:val="006E3B9C"/>
    <w:rsid w:val="006E51A2"/>
    <w:rsid w:val="006E668F"/>
    <w:rsid w:val="006E7F9E"/>
    <w:rsid w:val="006F0B23"/>
    <w:rsid w:val="006F0C83"/>
    <w:rsid w:val="006F0DE2"/>
    <w:rsid w:val="006F3495"/>
    <w:rsid w:val="006F3C40"/>
    <w:rsid w:val="006F417D"/>
    <w:rsid w:val="006F544B"/>
    <w:rsid w:val="006F59CD"/>
    <w:rsid w:val="006F5B0E"/>
    <w:rsid w:val="006F5C83"/>
    <w:rsid w:val="006F67CC"/>
    <w:rsid w:val="006F7315"/>
    <w:rsid w:val="006F77BA"/>
    <w:rsid w:val="00701C2D"/>
    <w:rsid w:val="007020B7"/>
    <w:rsid w:val="00702162"/>
    <w:rsid w:val="00703616"/>
    <w:rsid w:val="00703930"/>
    <w:rsid w:val="0070610E"/>
    <w:rsid w:val="00707759"/>
    <w:rsid w:val="00710081"/>
    <w:rsid w:val="00710B0D"/>
    <w:rsid w:val="007117D6"/>
    <w:rsid w:val="00712EE4"/>
    <w:rsid w:val="00713CB5"/>
    <w:rsid w:val="0071558B"/>
    <w:rsid w:val="00715E0D"/>
    <w:rsid w:val="00721189"/>
    <w:rsid w:val="007221C3"/>
    <w:rsid w:val="00722786"/>
    <w:rsid w:val="00722F2C"/>
    <w:rsid w:val="00723402"/>
    <w:rsid w:val="00723ADB"/>
    <w:rsid w:val="007240B3"/>
    <w:rsid w:val="00724C4A"/>
    <w:rsid w:val="007254D1"/>
    <w:rsid w:val="00725B32"/>
    <w:rsid w:val="00725B3C"/>
    <w:rsid w:val="00727AB3"/>
    <w:rsid w:val="00731805"/>
    <w:rsid w:val="00733D54"/>
    <w:rsid w:val="00736773"/>
    <w:rsid w:val="00736A4F"/>
    <w:rsid w:val="00737753"/>
    <w:rsid w:val="00740CE9"/>
    <w:rsid w:val="007428E3"/>
    <w:rsid w:val="00743365"/>
    <w:rsid w:val="0074394E"/>
    <w:rsid w:val="00744539"/>
    <w:rsid w:val="007467D8"/>
    <w:rsid w:val="00747C94"/>
    <w:rsid w:val="00750D0A"/>
    <w:rsid w:val="00751386"/>
    <w:rsid w:val="00751D93"/>
    <w:rsid w:val="00752300"/>
    <w:rsid w:val="00752F31"/>
    <w:rsid w:val="007546F8"/>
    <w:rsid w:val="00755BAB"/>
    <w:rsid w:val="007575A4"/>
    <w:rsid w:val="00757D7E"/>
    <w:rsid w:val="0076080E"/>
    <w:rsid w:val="00761675"/>
    <w:rsid w:val="007636EF"/>
    <w:rsid w:val="0076411D"/>
    <w:rsid w:val="00764296"/>
    <w:rsid w:val="007670F8"/>
    <w:rsid w:val="007671D4"/>
    <w:rsid w:val="00767533"/>
    <w:rsid w:val="00770A85"/>
    <w:rsid w:val="00771F02"/>
    <w:rsid w:val="00773DC9"/>
    <w:rsid w:val="0077572E"/>
    <w:rsid w:val="00776998"/>
    <w:rsid w:val="0078031B"/>
    <w:rsid w:val="00780369"/>
    <w:rsid w:val="00782DCD"/>
    <w:rsid w:val="00784E45"/>
    <w:rsid w:val="00784F44"/>
    <w:rsid w:val="00786252"/>
    <w:rsid w:val="00786672"/>
    <w:rsid w:val="00786FCB"/>
    <w:rsid w:val="007872CF"/>
    <w:rsid w:val="0079164F"/>
    <w:rsid w:val="0079201C"/>
    <w:rsid w:val="0079307F"/>
    <w:rsid w:val="00793C6E"/>
    <w:rsid w:val="007940C5"/>
    <w:rsid w:val="007947C4"/>
    <w:rsid w:val="007953F8"/>
    <w:rsid w:val="007955E0"/>
    <w:rsid w:val="00795CE1"/>
    <w:rsid w:val="007961D8"/>
    <w:rsid w:val="007A06AC"/>
    <w:rsid w:val="007A11E0"/>
    <w:rsid w:val="007A27B0"/>
    <w:rsid w:val="007A3058"/>
    <w:rsid w:val="007A61FA"/>
    <w:rsid w:val="007A729B"/>
    <w:rsid w:val="007B1014"/>
    <w:rsid w:val="007B103F"/>
    <w:rsid w:val="007B1484"/>
    <w:rsid w:val="007B149B"/>
    <w:rsid w:val="007B1A10"/>
    <w:rsid w:val="007B2EC0"/>
    <w:rsid w:val="007B3A5E"/>
    <w:rsid w:val="007B57CC"/>
    <w:rsid w:val="007B6659"/>
    <w:rsid w:val="007B76AB"/>
    <w:rsid w:val="007B7DBD"/>
    <w:rsid w:val="007C124E"/>
    <w:rsid w:val="007C45D3"/>
    <w:rsid w:val="007C597B"/>
    <w:rsid w:val="007C6768"/>
    <w:rsid w:val="007C760C"/>
    <w:rsid w:val="007D08FD"/>
    <w:rsid w:val="007D1584"/>
    <w:rsid w:val="007D1F65"/>
    <w:rsid w:val="007D2044"/>
    <w:rsid w:val="007D2E08"/>
    <w:rsid w:val="007D2EBC"/>
    <w:rsid w:val="007D36DB"/>
    <w:rsid w:val="007D4648"/>
    <w:rsid w:val="007D4F33"/>
    <w:rsid w:val="007D65C7"/>
    <w:rsid w:val="007D74D2"/>
    <w:rsid w:val="007D79B5"/>
    <w:rsid w:val="007E16FD"/>
    <w:rsid w:val="007E2334"/>
    <w:rsid w:val="007E23CE"/>
    <w:rsid w:val="007E2CE7"/>
    <w:rsid w:val="007E43D0"/>
    <w:rsid w:val="007E4F00"/>
    <w:rsid w:val="007E54F8"/>
    <w:rsid w:val="007E5525"/>
    <w:rsid w:val="007E5987"/>
    <w:rsid w:val="007E5BD8"/>
    <w:rsid w:val="007E7BF9"/>
    <w:rsid w:val="007F02BC"/>
    <w:rsid w:val="007F17A5"/>
    <w:rsid w:val="007F1D17"/>
    <w:rsid w:val="007F21CB"/>
    <w:rsid w:val="007F2E65"/>
    <w:rsid w:val="007F2F27"/>
    <w:rsid w:val="007F3304"/>
    <w:rsid w:val="007F43BA"/>
    <w:rsid w:val="007F45D1"/>
    <w:rsid w:val="007F4768"/>
    <w:rsid w:val="007F64BE"/>
    <w:rsid w:val="007F6DC3"/>
    <w:rsid w:val="007F7471"/>
    <w:rsid w:val="008006B4"/>
    <w:rsid w:val="008015B6"/>
    <w:rsid w:val="00803FD4"/>
    <w:rsid w:val="008040AD"/>
    <w:rsid w:val="0080481C"/>
    <w:rsid w:val="00804C54"/>
    <w:rsid w:val="00805210"/>
    <w:rsid w:val="008056DD"/>
    <w:rsid w:val="0081104C"/>
    <w:rsid w:val="00812D16"/>
    <w:rsid w:val="00814494"/>
    <w:rsid w:val="00817EB9"/>
    <w:rsid w:val="00821865"/>
    <w:rsid w:val="0082327D"/>
    <w:rsid w:val="0082433D"/>
    <w:rsid w:val="00826509"/>
    <w:rsid w:val="00827292"/>
    <w:rsid w:val="0083016E"/>
    <w:rsid w:val="00831110"/>
    <w:rsid w:val="00832205"/>
    <w:rsid w:val="0083354D"/>
    <w:rsid w:val="008337BE"/>
    <w:rsid w:val="00833B1A"/>
    <w:rsid w:val="0083561B"/>
    <w:rsid w:val="0083598A"/>
    <w:rsid w:val="0083721C"/>
    <w:rsid w:val="00837D78"/>
    <w:rsid w:val="00840D79"/>
    <w:rsid w:val="00842A21"/>
    <w:rsid w:val="00845DAD"/>
    <w:rsid w:val="008501BF"/>
    <w:rsid w:val="008506BD"/>
    <w:rsid w:val="00851908"/>
    <w:rsid w:val="00852977"/>
    <w:rsid w:val="00853377"/>
    <w:rsid w:val="00854B2F"/>
    <w:rsid w:val="00855481"/>
    <w:rsid w:val="00856354"/>
    <w:rsid w:val="00856478"/>
    <w:rsid w:val="008568E1"/>
    <w:rsid w:val="00856BE9"/>
    <w:rsid w:val="0085753C"/>
    <w:rsid w:val="008578F8"/>
    <w:rsid w:val="008601C1"/>
    <w:rsid w:val="00860566"/>
    <w:rsid w:val="00860595"/>
    <w:rsid w:val="0086072A"/>
    <w:rsid w:val="0086165C"/>
    <w:rsid w:val="00861B26"/>
    <w:rsid w:val="00862EED"/>
    <w:rsid w:val="008643FC"/>
    <w:rsid w:val="008649B9"/>
    <w:rsid w:val="0086548A"/>
    <w:rsid w:val="008663CB"/>
    <w:rsid w:val="0086784F"/>
    <w:rsid w:val="00867CF1"/>
    <w:rsid w:val="00870394"/>
    <w:rsid w:val="0087073B"/>
    <w:rsid w:val="00873CB2"/>
    <w:rsid w:val="008765D6"/>
    <w:rsid w:val="008767DC"/>
    <w:rsid w:val="00876D96"/>
    <w:rsid w:val="008770D4"/>
    <w:rsid w:val="0088127F"/>
    <w:rsid w:val="008815EF"/>
    <w:rsid w:val="0088245D"/>
    <w:rsid w:val="00883C50"/>
    <w:rsid w:val="00883C6C"/>
    <w:rsid w:val="00885273"/>
    <w:rsid w:val="008859EE"/>
    <w:rsid w:val="00885F2C"/>
    <w:rsid w:val="00886386"/>
    <w:rsid w:val="0088701C"/>
    <w:rsid w:val="00892AA5"/>
    <w:rsid w:val="0089499B"/>
    <w:rsid w:val="00894ACA"/>
    <w:rsid w:val="00894EC5"/>
    <w:rsid w:val="00895960"/>
    <w:rsid w:val="00896653"/>
    <w:rsid w:val="00896658"/>
    <w:rsid w:val="008967B5"/>
    <w:rsid w:val="008A03AC"/>
    <w:rsid w:val="008A345A"/>
    <w:rsid w:val="008A3DB9"/>
    <w:rsid w:val="008A4667"/>
    <w:rsid w:val="008A519E"/>
    <w:rsid w:val="008A58B8"/>
    <w:rsid w:val="008A5C1F"/>
    <w:rsid w:val="008A61B2"/>
    <w:rsid w:val="008A6A5C"/>
    <w:rsid w:val="008A7316"/>
    <w:rsid w:val="008A7EBA"/>
    <w:rsid w:val="008B100E"/>
    <w:rsid w:val="008B15DD"/>
    <w:rsid w:val="008B31DB"/>
    <w:rsid w:val="008B3680"/>
    <w:rsid w:val="008B3A88"/>
    <w:rsid w:val="008B500A"/>
    <w:rsid w:val="008B7135"/>
    <w:rsid w:val="008C0CC5"/>
    <w:rsid w:val="008C1610"/>
    <w:rsid w:val="008C2F1E"/>
    <w:rsid w:val="008C30E5"/>
    <w:rsid w:val="008C3B5B"/>
    <w:rsid w:val="008C409F"/>
    <w:rsid w:val="008C602D"/>
    <w:rsid w:val="008C6BCC"/>
    <w:rsid w:val="008D098D"/>
    <w:rsid w:val="008D135A"/>
    <w:rsid w:val="008D205D"/>
    <w:rsid w:val="008D2205"/>
    <w:rsid w:val="008D2331"/>
    <w:rsid w:val="008D36CD"/>
    <w:rsid w:val="008D4380"/>
    <w:rsid w:val="008D48D1"/>
    <w:rsid w:val="008D6BE8"/>
    <w:rsid w:val="008E0FF6"/>
    <w:rsid w:val="008E591E"/>
    <w:rsid w:val="008E6011"/>
    <w:rsid w:val="008E623A"/>
    <w:rsid w:val="008E79D6"/>
    <w:rsid w:val="008F2C49"/>
    <w:rsid w:val="008F2F99"/>
    <w:rsid w:val="008F302A"/>
    <w:rsid w:val="008F36F0"/>
    <w:rsid w:val="008F7CFF"/>
    <w:rsid w:val="008F7ED1"/>
    <w:rsid w:val="00901C8D"/>
    <w:rsid w:val="0090485D"/>
    <w:rsid w:val="00904A4D"/>
    <w:rsid w:val="00905EE9"/>
    <w:rsid w:val="009065F4"/>
    <w:rsid w:val="009075A7"/>
    <w:rsid w:val="00907AB6"/>
    <w:rsid w:val="00910FBA"/>
    <w:rsid w:val="00911D39"/>
    <w:rsid w:val="00912B9F"/>
    <w:rsid w:val="00914545"/>
    <w:rsid w:val="0091520F"/>
    <w:rsid w:val="00916E65"/>
    <w:rsid w:val="00917C0F"/>
    <w:rsid w:val="0092040E"/>
    <w:rsid w:val="00920C6C"/>
    <w:rsid w:val="0092192F"/>
    <w:rsid w:val="00921C6D"/>
    <w:rsid w:val="009227D9"/>
    <w:rsid w:val="00923C44"/>
    <w:rsid w:val="00927791"/>
    <w:rsid w:val="00930607"/>
    <w:rsid w:val="00930D0A"/>
    <w:rsid w:val="009319B9"/>
    <w:rsid w:val="009329BA"/>
    <w:rsid w:val="0093304D"/>
    <w:rsid w:val="00936939"/>
    <w:rsid w:val="00937BB9"/>
    <w:rsid w:val="0094053B"/>
    <w:rsid w:val="00940968"/>
    <w:rsid w:val="00941EE6"/>
    <w:rsid w:val="00942040"/>
    <w:rsid w:val="00942C9F"/>
    <w:rsid w:val="00945349"/>
    <w:rsid w:val="00945631"/>
    <w:rsid w:val="00945E15"/>
    <w:rsid w:val="00947549"/>
    <w:rsid w:val="00954967"/>
    <w:rsid w:val="0095793C"/>
    <w:rsid w:val="0096111E"/>
    <w:rsid w:val="00961125"/>
    <w:rsid w:val="0096136A"/>
    <w:rsid w:val="00963362"/>
    <w:rsid w:val="00963BD1"/>
    <w:rsid w:val="00966B1F"/>
    <w:rsid w:val="0097116E"/>
    <w:rsid w:val="00974518"/>
    <w:rsid w:val="009764F6"/>
    <w:rsid w:val="00976C13"/>
    <w:rsid w:val="00977176"/>
    <w:rsid w:val="00980247"/>
    <w:rsid w:val="00980FE0"/>
    <w:rsid w:val="00981134"/>
    <w:rsid w:val="00985BCF"/>
    <w:rsid w:val="0098712D"/>
    <w:rsid w:val="009902E6"/>
    <w:rsid w:val="00990C3B"/>
    <w:rsid w:val="009928B7"/>
    <w:rsid w:val="00992C06"/>
    <w:rsid w:val="00992FCF"/>
    <w:rsid w:val="0099321A"/>
    <w:rsid w:val="009960B7"/>
    <w:rsid w:val="0099635E"/>
    <w:rsid w:val="009972FE"/>
    <w:rsid w:val="009A050F"/>
    <w:rsid w:val="009A0CAE"/>
    <w:rsid w:val="009A2A3F"/>
    <w:rsid w:val="009A5B8B"/>
    <w:rsid w:val="009A5DAB"/>
    <w:rsid w:val="009B3A8F"/>
    <w:rsid w:val="009B536C"/>
    <w:rsid w:val="009B5783"/>
    <w:rsid w:val="009B6496"/>
    <w:rsid w:val="009B72AF"/>
    <w:rsid w:val="009C01DA"/>
    <w:rsid w:val="009C1528"/>
    <w:rsid w:val="009C20CC"/>
    <w:rsid w:val="009C3558"/>
    <w:rsid w:val="009C4C72"/>
    <w:rsid w:val="009C4D6E"/>
    <w:rsid w:val="009C562E"/>
    <w:rsid w:val="009C60AA"/>
    <w:rsid w:val="009C7531"/>
    <w:rsid w:val="009D220C"/>
    <w:rsid w:val="009D221F"/>
    <w:rsid w:val="009D3AAB"/>
    <w:rsid w:val="009E09F0"/>
    <w:rsid w:val="009E19E8"/>
    <w:rsid w:val="009E377C"/>
    <w:rsid w:val="009E411C"/>
    <w:rsid w:val="009E458A"/>
    <w:rsid w:val="009E5316"/>
    <w:rsid w:val="009E54C7"/>
    <w:rsid w:val="009E5D7C"/>
    <w:rsid w:val="009E5DFC"/>
    <w:rsid w:val="009F1789"/>
    <w:rsid w:val="009F2E3B"/>
    <w:rsid w:val="009F36D2"/>
    <w:rsid w:val="009F3B6B"/>
    <w:rsid w:val="009F4504"/>
    <w:rsid w:val="009F4DB7"/>
    <w:rsid w:val="009F502C"/>
    <w:rsid w:val="009F603B"/>
    <w:rsid w:val="009F6987"/>
    <w:rsid w:val="009F720F"/>
    <w:rsid w:val="00A00E71"/>
    <w:rsid w:val="00A010E7"/>
    <w:rsid w:val="00A01759"/>
    <w:rsid w:val="00A01A17"/>
    <w:rsid w:val="00A01A60"/>
    <w:rsid w:val="00A02554"/>
    <w:rsid w:val="00A05F8E"/>
    <w:rsid w:val="00A05FBE"/>
    <w:rsid w:val="00A06788"/>
    <w:rsid w:val="00A06EC2"/>
    <w:rsid w:val="00A076F9"/>
    <w:rsid w:val="00A07997"/>
    <w:rsid w:val="00A07F87"/>
    <w:rsid w:val="00A1131C"/>
    <w:rsid w:val="00A15AE0"/>
    <w:rsid w:val="00A16237"/>
    <w:rsid w:val="00A17263"/>
    <w:rsid w:val="00A206ED"/>
    <w:rsid w:val="00A20806"/>
    <w:rsid w:val="00A20C7F"/>
    <w:rsid w:val="00A2112A"/>
    <w:rsid w:val="00A22A37"/>
    <w:rsid w:val="00A22DBA"/>
    <w:rsid w:val="00A25BFF"/>
    <w:rsid w:val="00A27522"/>
    <w:rsid w:val="00A301C4"/>
    <w:rsid w:val="00A3282E"/>
    <w:rsid w:val="00A32B5B"/>
    <w:rsid w:val="00A32F9B"/>
    <w:rsid w:val="00A33BC5"/>
    <w:rsid w:val="00A34D0C"/>
    <w:rsid w:val="00A34D76"/>
    <w:rsid w:val="00A365D0"/>
    <w:rsid w:val="00A37595"/>
    <w:rsid w:val="00A402B8"/>
    <w:rsid w:val="00A43F91"/>
    <w:rsid w:val="00A443A6"/>
    <w:rsid w:val="00A4514B"/>
    <w:rsid w:val="00A45A1A"/>
    <w:rsid w:val="00A45E61"/>
    <w:rsid w:val="00A477B7"/>
    <w:rsid w:val="00A47F32"/>
    <w:rsid w:val="00A50528"/>
    <w:rsid w:val="00A50E98"/>
    <w:rsid w:val="00A53220"/>
    <w:rsid w:val="00A538E6"/>
    <w:rsid w:val="00A56102"/>
    <w:rsid w:val="00A56800"/>
    <w:rsid w:val="00A56D7E"/>
    <w:rsid w:val="00A57404"/>
    <w:rsid w:val="00A575BD"/>
    <w:rsid w:val="00A60EEC"/>
    <w:rsid w:val="00A63732"/>
    <w:rsid w:val="00A65BD9"/>
    <w:rsid w:val="00A66718"/>
    <w:rsid w:val="00A67A61"/>
    <w:rsid w:val="00A70B31"/>
    <w:rsid w:val="00A718BF"/>
    <w:rsid w:val="00A7276F"/>
    <w:rsid w:val="00A73A74"/>
    <w:rsid w:val="00A759FE"/>
    <w:rsid w:val="00A76D67"/>
    <w:rsid w:val="00A76F34"/>
    <w:rsid w:val="00A776B8"/>
    <w:rsid w:val="00A80228"/>
    <w:rsid w:val="00A81EB6"/>
    <w:rsid w:val="00A837FE"/>
    <w:rsid w:val="00A839E3"/>
    <w:rsid w:val="00A85357"/>
    <w:rsid w:val="00A85DA1"/>
    <w:rsid w:val="00A877B3"/>
    <w:rsid w:val="00A902DD"/>
    <w:rsid w:val="00A91617"/>
    <w:rsid w:val="00A917C5"/>
    <w:rsid w:val="00A961AC"/>
    <w:rsid w:val="00A96FA8"/>
    <w:rsid w:val="00A9770A"/>
    <w:rsid w:val="00AA0A43"/>
    <w:rsid w:val="00AA0DD3"/>
    <w:rsid w:val="00AA1C07"/>
    <w:rsid w:val="00AA3688"/>
    <w:rsid w:val="00AA5887"/>
    <w:rsid w:val="00AA7BAB"/>
    <w:rsid w:val="00AB19F8"/>
    <w:rsid w:val="00AB1E30"/>
    <w:rsid w:val="00AB2A61"/>
    <w:rsid w:val="00AB3A12"/>
    <w:rsid w:val="00AB4F86"/>
    <w:rsid w:val="00AB5654"/>
    <w:rsid w:val="00AB5A8D"/>
    <w:rsid w:val="00AB6642"/>
    <w:rsid w:val="00AB7BC5"/>
    <w:rsid w:val="00AC2EFE"/>
    <w:rsid w:val="00AC3930"/>
    <w:rsid w:val="00AC3AB1"/>
    <w:rsid w:val="00AC5BD9"/>
    <w:rsid w:val="00AC68C6"/>
    <w:rsid w:val="00AC73E9"/>
    <w:rsid w:val="00AC79C1"/>
    <w:rsid w:val="00AC7CA4"/>
    <w:rsid w:val="00AD2208"/>
    <w:rsid w:val="00AD2AE1"/>
    <w:rsid w:val="00AD4A64"/>
    <w:rsid w:val="00AD598F"/>
    <w:rsid w:val="00AD6940"/>
    <w:rsid w:val="00AD6D09"/>
    <w:rsid w:val="00AD7A57"/>
    <w:rsid w:val="00AE07DA"/>
    <w:rsid w:val="00AE098E"/>
    <w:rsid w:val="00AE0BBA"/>
    <w:rsid w:val="00AE2291"/>
    <w:rsid w:val="00AE25C8"/>
    <w:rsid w:val="00AE3D93"/>
    <w:rsid w:val="00AE4113"/>
    <w:rsid w:val="00AE4380"/>
    <w:rsid w:val="00AE5525"/>
    <w:rsid w:val="00AE6381"/>
    <w:rsid w:val="00AE656F"/>
    <w:rsid w:val="00AE7677"/>
    <w:rsid w:val="00AE7D78"/>
    <w:rsid w:val="00AE7F38"/>
    <w:rsid w:val="00AF033B"/>
    <w:rsid w:val="00AF0F81"/>
    <w:rsid w:val="00AF2643"/>
    <w:rsid w:val="00AF3332"/>
    <w:rsid w:val="00AF41F6"/>
    <w:rsid w:val="00AF438E"/>
    <w:rsid w:val="00AF45CA"/>
    <w:rsid w:val="00AF4DB0"/>
    <w:rsid w:val="00AF5BFE"/>
    <w:rsid w:val="00AF5CEE"/>
    <w:rsid w:val="00AF70B6"/>
    <w:rsid w:val="00AF7506"/>
    <w:rsid w:val="00AF7E16"/>
    <w:rsid w:val="00B0049B"/>
    <w:rsid w:val="00B007DD"/>
    <w:rsid w:val="00B0098A"/>
    <w:rsid w:val="00B01016"/>
    <w:rsid w:val="00B0146E"/>
    <w:rsid w:val="00B02160"/>
    <w:rsid w:val="00B027CB"/>
    <w:rsid w:val="00B0352B"/>
    <w:rsid w:val="00B05408"/>
    <w:rsid w:val="00B0649D"/>
    <w:rsid w:val="00B073E6"/>
    <w:rsid w:val="00B074F8"/>
    <w:rsid w:val="00B07C97"/>
    <w:rsid w:val="00B07E07"/>
    <w:rsid w:val="00B121B0"/>
    <w:rsid w:val="00B12968"/>
    <w:rsid w:val="00B13EA3"/>
    <w:rsid w:val="00B16F86"/>
    <w:rsid w:val="00B17FAB"/>
    <w:rsid w:val="00B22C5F"/>
    <w:rsid w:val="00B23687"/>
    <w:rsid w:val="00B23863"/>
    <w:rsid w:val="00B23FDE"/>
    <w:rsid w:val="00B25710"/>
    <w:rsid w:val="00B25D9E"/>
    <w:rsid w:val="00B27B03"/>
    <w:rsid w:val="00B31B62"/>
    <w:rsid w:val="00B334FA"/>
    <w:rsid w:val="00B33711"/>
    <w:rsid w:val="00B34889"/>
    <w:rsid w:val="00B37550"/>
    <w:rsid w:val="00B402C6"/>
    <w:rsid w:val="00B41DC1"/>
    <w:rsid w:val="00B44A00"/>
    <w:rsid w:val="00B4566C"/>
    <w:rsid w:val="00B46EC7"/>
    <w:rsid w:val="00B47CAE"/>
    <w:rsid w:val="00B50A91"/>
    <w:rsid w:val="00B50AC2"/>
    <w:rsid w:val="00B51761"/>
    <w:rsid w:val="00B52022"/>
    <w:rsid w:val="00B52187"/>
    <w:rsid w:val="00B54691"/>
    <w:rsid w:val="00B60CCD"/>
    <w:rsid w:val="00B62854"/>
    <w:rsid w:val="00B62EF1"/>
    <w:rsid w:val="00B63DDD"/>
    <w:rsid w:val="00B640CC"/>
    <w:rsid w:val="00B6436A"/>
    <w:rsid w:val="00B645B6"/>
    <w:rsid w:val="00B64B2F"/>
    <w:rsid w:val="00B667BF"/>
    <w:rsid w:val="00B6797D"/>
    <w:rsid w:val="00B7119F"/>
    <w:rsid w:val="00B735B8"/>
    <w:rsid w:val="00B74858"/>
    <w:rsid w:val="00B752EB"/>
    <w:rsid w:val="00B77BE4"/>
    <w:rsid w:val="00B77BE7"/>
    <w:rsid w:val="00B812BE"/>
    <w:rsid w:val="00B81A0F"/>
    <w:rsid w:val="00B82251"/>
    <w:rsid w:val="00B83864"/>
    <w:rsid w:val="00B848B2"/>
    <w:rsid w:val="00B86608"/>
    <w:rsid w:val="00B87847"/>
    <w:rsid w:val="00B90477"/>
    <w:rsid w:val="00B92AA5"/>
    <w:rsid w:val="00B940CB"/>
    <w:rsid w:val="00B955FE"/>
    <w:rsid w:val="00B96744"/>
    <w:rsid w:val="00BA0B9F"/>
    <w:rsid w:val="00BA3B1B"/>
    <w:rsid w:val="00BA6419"/>
    <w:rsid w:val="00BA6550"/>
    <w:rsid w:val="00BB070F"/>
    <w:rsid w:val="00BB1AFC"/>
    <w:rsid w:val="00BB2693"/>
    <w:rsid w:val="00BB35C6"/>
    <w:rsid w:val="00BB3642"/>
    <w:rsid w:val="00BB66AB"/>
    <w:rsid w:val="00BB6F82"/>
    <w:rsid w:val="00BC0AD6"/>
    <w:rsid w:val="00BC0ADD"/>
    <w:rsid w:val="00BC0C26"/>
    <w:rsid w:val="00BC0D30"/>
    <w:rsid w:val="00BC122E"/>
    <w:rsid w:val="00BC1DB7"/>
    <w:rsid w:val="00BC2BE0"/>
    <w:rsid w:val="00BC327C"/>
    <w:rsid w:val="00BC3584"/>
    <w:rsid w:val="00BC4821"/>
    <w:rsid w:val="00BD027D"/>
    <w:rsid w:val="00BD7BDE"/>
    <w:rsid w:val="00BE0C68"/>
    <w:rsid w:val="00BE4ED6"/>
    <w:rsid w:val="00BE539A"/>
    <w:rsid w:val="00BE54F3"/>
    <w:rsid w:val="00BE5F67"/>
    <w:rsid w:val="00BE7920"/>
    <w:rsid w:val="00BF0374"/>
    <w:rsid w:val="00BF0842"/>
    <w:rsid w:val="00BF09A2"/>
    <w:rsid w:val="00BF1E46"/>
    <w:rsid w:val="00BF2CD1"/>
    <w:rsid w:val="00BF4B6A"/>
    <w:rsid w:val="00BF5135"/>
    <w:rsid w:val="00BF7D88"/>
    <w:rsid w:val="00C009F5"/>
    <w:rsid w:val="00C01129"/>
    <w:rsid w:val="00C019E9"/>
    <w:rsid w:val="00C01FEE"/>
    <w:rsid w:val="00C02239"/>
    <w:rsid w:val="00C022E1"/>
    <w:rsid w:val="00C0398D"/>
    <w:rsid w:val="00C05D59"/>
    <w:rsid w:val="00C11014"/>
    <w:rsid w:val="00C11E4C"/>
    <w:rsid w:val="00C148D7"/>
    <w:rsid w:val="00C14954"/>
    <w:rsid w:val="00C15A81"/>
    <w:rsid w:val="00C176C7"/>
    <w:rsid w:val="00C179B0"/>
    <w:rsid w:val="00C20CA6"/>
    <w:rsid w:val="00C226F9"/>
    <w:rsid w:val="00C23398"/>
    <w:rsid w:val="00C23B23"/>
    <w:rsid w:val="00C2441F"/>
    <w:rsid w:val="00C26C22"/>
    <w:rsid w:val="00C27B03"/>
    <w:rsid w:val="00C3089B"/>
    <w:rsid w:val="00C33815"/>
    <w:rsid w:val="00C33A1A"/>
    <w:rsid w:val="00C34B40"/>
    <w:rsid w:val="00C35836"/>
    <w:rsid w:val="00C37E5B"/>
    <w:rsid w:val="00C41CD3"/>
    <w:rsid w:val="00C43438"/>
    <w:rsid w:val="00C44264"/>
    <w:rsid w:val="00C44FD8"/>
    <w:rsid w:val="00C46251"/>
    <w:rsid w:val="00C4790F"/>
    <w:rsid w:val="00C47FC0"/>
    <w:rsid w:val="00C50283"/>
    <w:rsid w:val="00C528CC"/>
    <w:rsid w:val="00C52BBB"/>
    <w:rsid w:val="00C53ABD"/>
    <w:rsid w:val="00C53AD3"/>
    <w:rsid w:val="00C53C94"/>
    <w:rsid w:val="00C5534B"/>
    <w:rsid w:val="00C55F64"/>
    <w:rsid w:val="00C5601F"/>
    <w:rsid w:val="00C567CC"/>
    <w:rsid w:val="00C57397"/>
    <w:rsid w:val="00C57741"/>
    <w:rsid w:val="00C6074F"/>
    <w:rsid w:val="00C61053"/>
    <w:rsid w:val="00C61799"/>
    <w:rsid w:val="00C62568"/>
    <w:rsid w:val="00C63C5B"/>
    <w:rsid w:val="00C64143"/>
    <w:rsid w:val="00C6434D"/>
    <w:rsid w:val="00C652E5"/>
    <w:rsid w:val="00C66811"/>
    <w:rsid w:val="00C67446"/>
    <w:rsid w:val="00C67604"/>
    <w:rsid w:val="00C70B02"/>
    <w:rsid w:val="00C70EBA"/>
    <w:rsid w:val="00C73639"/>
    <w:rsid w:val="00C76174"/>
    <w:rsid w:val="00C7697F"/>
    <w:rsid w:val="00C76C2C"/>
    <w:rsid w:val="00C8136C"/>
    <w:rsid w:val="00C82FFA"/>
    <w:rsid w:val="00C84DDA"/>
    <w:rsid w:val="00C85521"/>
    <w:rsid w:val="00C863EE"/>
    <w:rsid w:val="00C868D4"/>
    <w:rsid w:val="00C91E41"/>
    <w:rsid w:val="00C92646"/>
    <w:rsid w:val="00C9316A"/>
    <w:rsid w:val="00C93B5E"/>
    <w:rsid w:val="00C95D8D"/>
    <w:rsid w:val="00C97C7F"/>
    <w:rsid w:val="00CA2283"/>
    <w:rsid w:val="00CA2885"/>
    <w:rsid w:val="00CA2AEF"/>
    <w:rsid w:val="00CA325F"/>
    <w:rsid w:val="00CA33B8"/>
    <w:rsid w:val="00CA3DC5"/>
    <w:rsid w:val="00CA73FA"/>
    <w:rsid w:val="00CB1582"/>
    <w:rsid w:val="00CB22B7"/>
    <w:rsid w:val="00CB5032"/>
    <w:rsid w:val="00CB6000"/>
    <w:rsid w:val="00CB7DF6"/>
    <w:rsid w:val="00CC1D0F"/>
    <w:rsid w:val="00CC303F"/>
    <w:rsid w:val="00CC3C96"/>
    <w:rsid w:val="00CC59A4"/>
    <w:rsid w:val="00CC5F77"/>
    <w:rsid w:val="00CC6777"/>
    <w:rsid w:val="00CD077C"/>
    <w:rsid w:val="00CD342A"/>
    <w:rsid w:val="00CD3940"/>
    <w:rsid w:val="00CD6B6B"/>
    <w:rsid w:val="00CE31C4"/>
    <w:rsid w:val="00CE54CA"/>
    <w:rsid w:val="00CE6A0B"/>
    <w:rsid w:val="00CF0950"/>
    <w:rsid w:val="00CF3B07"/>
    <w:rsid w:val="00CF4C13"/>
    <w:rsid w:val="00CF4F45"/>
    <w:rsid w:val="00CF6384"/>
    <w:rsid w:val="00CF6902"/>
    <w:rsid w:val="00D00F08"/>
    <w:rsid w:val="00D05409"/>
    <w:rsid w:val="00D06E88"/>
    <w:rsid w:val="00D07116"/>
    <w:rsid w:val="00D07E30"/>
    <w:rsid w:val="00D112B9"/>
    <w:rsid w:val="00D11D6C"/>
    <w:rsid w:val="00D11F90"/>
    <w:rsid w:val="00D12840"/>
    <w:rsid w:val="00D13527"/>
    <w:rsid w:val="00D146EF"/>
    <w:rsid w:val="00D147DB"/>
    <w:rsid w:val="00D15D2F"/>
    <w:rsid w:val="00D15E4E"/>
    <w:rsid w:val="00D172EB"/>
    <w:rsid w:val="00D17601"/>
    <w:rsid w:val="00D20D6E"/>
    <w:rsid w:val="00D21225"/>
    <w:rsid w:val="00D21300"/>
    <w:rsid w:val="00D22352"/>
    <w:rsid w:val="00D22F7B"/>
    <w:rsid w:val="00D230DC"/>
    <w:rsid w:val="00D23A4F"/>
    <w:rsid w:val="00D24645"/>
    <w:rsid w:val="00D26C9A"/>
    <w:rsid w:val="00D303E8"/>
    <w:rsid w:val="00D31BA6"/>
    <w:rsid w:val="00D335E1"/>
    <w:rsid w:val="00D34FFF"/>
    <w:rsid w:val="00D3545E"/>
    <w:rsid w:val="00D35FEA"/>
    <w:rsid w:val="00D366E4"/>
    <w:rsid w:val="00D423AC"/>
    <w:rsid w:val="00D43E3D"/>
    <w:rsid w:val="00D44DC6"/>
    <w:rsid w:val="00D514E5"/>
    <w:rsid w:val="00D53589"/>
    <w:rsid w:val="00D539D5"/>
    <w:rsid w:val="00D541CD"/>
    <w:rsid w:val="00D544D5"/>
    <w:rsid w:val="00D602DE"/>
    <w:rsid w:val="00D6096A"/>
    <w:rsid w:val="00D60ABE"/>
    <w:rsid w:val="00D60CE5"/>
    <w:rsid w:val="00D60E65"/>
    <w:rsid w:val="00D61811"/>
    <w:rsid w:val="00D61957"/>
    <w:rsid w:val="00D6315D"/>
    <w:rsid w:val="00D63F9F"/>
    <w:rsid w:val="00D646D3"/>
    <w:rsid w:val="00D662F2"/>
    <w:rsid w:val="00D665F1"/>
    <w:rsid w:val="00D6711E"/>
    <w:rsid w:val="00D678D1"/>
    <w:rsid w:val="00D67F0B"/>
    <w:rsid w:val="00D70D3D"/>
    <w:rsid w:val="00D71E51"/>
    <w:rsid w:val="00D73B08"/>
    <w:rsid w:val="00D80127"/>
    <w:rsid w:val="00D805D1"/>
    <w:rsid w:val="00D812A4"/>
    <w:rsid w:val="00D82125"/>
    <w:rsid w:val="00D82249"/>
    <w:rsid w:val="00D82FD7"/>
    <w:rsid w:val="00D84FA6"/>
    <w:rsid w:val="00D85C5F"/>
    <w:rsid w:val="00D85ECC"/>
    <w:rsid w:val="00D864C7"/>
    <w:rsid w:val="00D869BF"/>
    <w:rsid w:val="00D86EB7"/>
    <w:rsid w:val="00D8792E"/>
    <w:rsid w:val="00D92B5E"/>
    <w:rsid w:val="00D92D39"/>
    <w:rsid w:val="00D93388"/>
    <w:rsid w:val="00D945AF"/>
    <w:rsid w:val="00D95457"/>
    <w:rsid w:val="00D97A7B"/>
    <w:rsid w:val="00DA1259"/>
    <w:rsid w:val="00DA1AAD"/>
    <w:rsid w:val="00DA1E08"/>
    <w:rsid w:val="00DA214A"/>
    <w:rsid w:val="00DA4A52"/>
    <w:rsid w:val="00DA4FBC"/>
    <w:rsid w:val="00DA7364"/>
    <w:rsid w:val="00DA7457"/>
    <w:rsid w:val="00DB1083"/>
    <w:rsid w:val="00DB2201"/>
    <w:rsid w:val="00DB2995"/>
    <w:rsid w:val="00DB2ED0"/>
    <w:rsid w:val="00DB38F0"/>
    <w:rsid w:val="00DB3EE8"/>
    <w:rsid w:val="00DB436C"/>
    <w:rsid w:val="00DB4701"/>
    <w:rsid w:val="00DB59C0"/>
    <w:rsid w:val="00DB7276"/>
    <w:rsid w:val="00DC0146"/>
    <w:rsid w:val="00DC03EE"/>
    <w:rsid w:val="00DC092A"/>
    <w:rsid w:val="00DC0D79"/>
    <w:rsid w:val="00DC2621"/>
    <w:rsid w:val="00DC36B8"/>
    <w:rsid w:val="00DC49C4"/>
    <w:rsid w:val="00DC53F2"/>
    <w:rsid w:val="00DC5A3E"/>
    <w:rsid w:val="00DC682A"/>
    <w:rsid w:val="00DC6B01"/>
    <w:rsid w:val="00DC6F76"/>
    <w:rsid w:val="00DC7797"/>
    <w:rsid w:val="00DC7F67"/>
    <w:rsid w:val="00DD0786"/>
    <w:rsid w:val="00DD078A"/>
    <w:rsid w:val="00DD1737"/>
    <w:rsid w:val="00DD2587"/>
    <w:rsid w:val="00DD34E1"/>
    <w:rsid w:val="00DD3B9B"/>
    <w:rsid w:val="00DD4C1C"/>
    <w:rsid w:val="00DD6349"/>
    <w:rsid w:val="00DD7667"/>
    <w:rsid w:val="00DD777C"/>
    <w:rsid w:val="00DE0D2F"/>
    <w:rsid w:val="00DE0D75"/>
    <w:rsid w:val="00DE0EDC"/>
    <w:rsid w:val="00DE19EB"/>
    <w:rsid w:val="00DE3908"/>
    <w:rsid w:val="00DE563B"/>
    <w:rsid w:val="00DE5B0F"/>
    <w:rsid w:val="00DE7E1C"/>
    <w:rsid w:val="00DF0FE3"/>
    <w:rsid w:val="00DF2CB1"/>
    <w:rsid w:val="00DF69F9"/>
    <w:rsid w:val="00DF72F8"/>
    <w:rsid w:val="00E02B50"/>
    <w:rsid w:val="00E03C27"/>
    <w:rsid w:val="00E04B3F"/>
    <w:rsid w:val="00E06088"/>
    <w:rsid w:val="00E060C1"/>
    <w:rsid w:val="00E06B1E"/>
    <w:rsid w:val="00E06F68"/>
    <w:rsid w:val="00E07787"/>
    <w:rsid w:val="00E07E4A"/>
    <w:rsid w:val="00E10854"/>
    <w:rsid w:val="00E10AAF"/>
    <w:rsid w:val="00E147D5"/>
    <w:rsid w:val="00E14C0E"/>
    <w:rsid w:val="00E15F3A"/>
    <w:rsid w:val="00E16642"/>
    <w:rsid w:val="00E167E5"/>
    <w:rsid w:val="00E173B0"/>
    <w:rsid w:val="00E1787C"/>
    <w:rsid w:val="00E2249E"/>
    <w:rsid w:val="00E22B76"/>
    <w:rsid w:val="00E234F1"/>
    <w:rsid w:val="00E248C8"/>
    <w:rsid w:val="00E249F8"/>
    <w:rsid w:val="00E25AF8"/>
    <w:rsid w:val="00E26C55"/>
    <w:rsid w:val="00E26F6C"/>
    <w:rsid w:val="00E27B4A"/>
    <w:rsid w:val="00E34CA3"/>
    <w:rsid w:val="00E3514C"/>
    <w:rsid w:val="00E37DA6"/>
    <w:rsid w:val="00E37FE3"/>
    <w:rsid w:val="00E41040"/>
    <w:rsid w:val="00E41065"/>
    <w:rsid w:val="00E43AAA"/>
    <w:rsid w:val="00E44C62"/>
    <w:rsid w:val="00E46612"/>
    <w:rsid w:val="00E4681E"/>
    <w:rsid w:val="00E47206"/>
    <w:rsid w:val="00E50634"/>
    <w:rsid w:val="00E510FB"/>
    <w:rsid w:val="00E520D0"/>
    <w:rsid w:val="00E54EF2"/>
    <w:rsid w:val="00E60DC5"/>
    <w:rsid w:val="00E615CD"/>
    <w:rsid w:val="00E63559"/>
    <w:rsid w:val="00E66CD1"/>
    <w:rsid w:val="00E67180"/>
    <w:rsid w:val="00E676E2"/>
    <w:rsid w:val="00E71AB4"/>
    <w:rsid w:val="00E74FA5"/>
    <w:rsid w:val="00E756A8"/>
    <w:rsid w:val="00E76032"/>
    <w:rsid w:val="00E764B7"/>
    <w:rsid w:val="00E768F2"/>
    <w:rsid w:val="00E77787"/>
    <w:rsid w:val="00E77E9E"/>
    <w:rsid w:val="00E81DED"/>
    <w:rsid w:val="00E82316"/>
    <w:rsid w:val="00E825B3"/>
    <w:rsid w:val="00E83231"/>
    <w:rsid w:val="00E849DE"/>
    <w:rsid w:val="00E85948"/>
    <w:rsid w:val="00E86536"/>
    <w:rsid w:val="00E86D79"/>
    <w:rsid w:val="00E9167E"/>
    <w:rsid w:val="00E922A4"/>
    <w:rsid w:val="00E925CE"/>
    <w:rsid w:val="00E93F3F"/>
    <w:rsid w:val="00E9738C"/>
    <w:rsid w:val="00E973BE"/>
    <w:rsid w:val="00EA05D9"/>
    <w:rsid w:val="00EA1104"/>
    <w:rsid w:val="00EA5257"/>
    <w:rsid w:val="00EA59B6"/>
    <w:rsid w:val="00EA62E2"/>
    <w:rsid w:val="00EA6397"/>
    <w:rsid w:val="00EA7647"/>
    <w:rsid w:val="00EB00B1"/>
    <w:rsid w:val="00EB0433"/>
    <w:rsid w:val="00EB15C6"/>
    <w:rsid w:val="00EB1B8B"/>
    <w:rsid w:val="00EB3C54"/>
    <w:rsid w:val="00EB4951"/>
    <w:rsid w:val="00EB7EA3"/>
    <w:rsid w:val="00EC098E"/>
    <w:rsid w:val="00EC0BCB"/>
    <w:rsid w:val="00EC0E71"/>
    <w:rsid w:val="00EC1025"/>
    <w:rsid w:val="00EC61F6"/>
    <w:rsid w:val="00ED0F6A"/>
    <w:rsid w:val="00ED613A"/>
    <w:rsid w:val="00ED69C7"/>
    <w:rsid w:val="00ED6CFA"/>
    <w:rsid w:val="00ED6D53"/>
    <w:rsid w:val="00ED749F"/>
    <w:rsid w:val="00EE1855"/>
    <w:rsid w:val="00EE2B68"/>
    <w:rsid w:val="00EE5E76"/>
    <w:rsid w:val="00EE6D70"/>
    <w:rsid w:val="00EF116D"/>
    <w:rsid w:val="00EF1386"/>
    <w:rsid w:val="00EF2491"/>
    <w:rsid w:val="00EF256B"/>
    <w:rsid w:val="00EF2B96"/>
    <w:rsid w:val="00EF362A"/>
    <w:rsid w:val="00EF37FD"/>
    <w:rsid w:val="00EF49E4"/>
    <w:rsid w:val="00EF5277"/>
    <w:rsid w:val="00EF5CAD"/>
    <w:rsid w:val="00EF611F"/>
    <w:rsid w:val="00EF76E1"/>
    <w:rsid w:val="00F016BF"/>
    <w:rsid w:val="00F01DE4"/>
    <w:rsid w:val="00F025C2"/>
    <w:rsid w:val="00F1030E"/>
    <w:rsid w:val="00F10925"/>
    <w:rsid w:val="00F10951"/>
    <w:rsid w:val="00F12F6C"/>
    <w:rsid w:val="00F13DAE"/>
    <w:rsid w:val="00F1525C"/>
    <w:rsid w:val="00F157D8"/>
    <w:rsid w:val="00F201AD"/>
    <w:rsid w:val="00F20FED"/>
    <w:rsid w:val="00F21481"/>
    <w:rsid w:val="00F21B21"/>
    <w:rsid w:val="00F222BB"/>
    <w:rsid w:val="00F2491A"/>
    <w:rsid w:val="00F24EF6"/>
    <w:rsid w:val="00F25477"/>
    <w:rsid w:val="00F254E4"/>
    <w:rsid w:val="00F27DB8"/>
    <w:rsid w:val="00F31690"/>
    <w:rsid w:val="00F31CAE"/>
    <w:rsid w:val="00F3583A"/>
    <w:rsid w:val="00F35D19"/>
    <w:rsid w:val="00F36D66"/>
    <w:rsid w:val="00F407DA"/>
    <w:rsid w:val="00F40D22"/>
    <w:rsid w:val="00F41269"/>
    <w:rsid w:val="00F41319"/>
    <w:rsid w:val="00F41BE1"/>
    <w:rsid w:val="00F41DDE"/>
    <w:rsid w:val="00F44B13"/>
    <w:rsid w:val="00F45BE7"/>
    <w:rsid w:val="00F463D7"/>
    <w:rsid w:val="00F4749D"/>
    <w:rsid w:val="00F477D6"/>
    <w:rsid w:val="00F50163"/>
    <w:rsid w:val="00F510E2"/>
    <w:rsid w:val="00F515F1"/>
    <w:rsid w:val="00F51D12"/>
    <w:rsid w:val="00F5273A"/>
    <w:rsid w:val="00F52D6B"/>
    <w:rsid w:val="00F52E18"/>
    <w:rsid w:val="00F546FB"/>
    <w:rsid w:val="00F55335"/>
    <w:rsid w:val="00F57D1C"/>
    <w:rsid w:val="00F6086A"/>
    <w:rsid w:val="00F6203F"/>
    <w:rsid w:val="00F62824"/>
    <w:rsid w:val="00F62D7C"/>
    <w:rsid w:val="00F634C8"/>
    <w:rsid w:val="00F654BC"/>
    <w:rsid w:val="00F67155"/>
    <w:rsid w:val="00F7058F"/>
    <w:rsid w:val="00F70AAD"/>
    <w:rsid w:val="00F70D21"/>
    <w:rsid w:val="00F70FEF"/>
    <w:rsid w:val="00F74F3A"/>
    <w:rsid w:val="00F74F67"/>
    <w:rsid w:val="00F75C02"/>
    <w:rsid w:val="00F76650"/>
    <w:rsid w:val="00F77ECB"/>
    <w:rsid w:val="00F81E47"/>
    <w:rsid w:val="00F824EF"/>
    <w:rsid w:val="00F8473B"/>
    <w:rsid w:val="00F856EE"/>
    <w:rsid w:val="00F863C9"/>
    <w:rsid w:val="00F86474"/>
    <w:rsid w:val="00F868B4"/>
    <w:rsid w:val="00F8730A"/>
    <w:rsid w:val="00F9016F"/>
    <w:rsid w:val="00F903C9"/>
    <w:rsid w:val="00F9053A"/>
    <w:rsid w:val="00F90601"/>
    <w:rsid w:val="00F948A0"/>
    <w:rsid w:val="00F9626A"/>
    <w:rsid w:val="00F962C9"/>
    <w:rsid w:val="00F97592"/>
    <w:rsid w:val="00FA21C6"/>
    <w:rsid w:val="00FA44EE"/>
    <w:rsid w:val="00FA64E3"/>
    <w:rsid w:val="00FA6C92"/>
    <w:rsid w:val="00FA78FD"/>
    <w:rsid w:val="00FB06B2"/>
    <w:rsid w:val="00FB09BC"/>
    <w:rsid w:val="00FB11BE"/>
    <w:rsid w:val="00FB1357"/>
    <w:rsid w:val="00FB1B56"/>
    <w:rsid w:val="00FB1C15"/>
    <w:rsid w:val="00FB4C6F"/>
    <w:rsid w:val="00FC5E76"/>
    <w:rsid w:val="00FC5E80"/>
    <w:rsid w:val="00FC69CF"/>
    <w:rsid w:val="00FC7214"/>
    <w:rsid w:val="00FD0B70"/>
    <w:rsid w:val="00FD11B8"/>
    <w:rsid w:val="00FD1440"/>
    <w:rsid w:val="00FD1489"/>
    <w:rsid w:val="00FD17D7"/>
    <w:rsid w:val="00FD2DA9"/>
    <w:rsid w:val="00FD59F1"/>
    <w:rsid w:val="00FD6FE2"/>
    <w:rsid w:val="00FD74CB"/>
    <w:rsid w:val="00FD7543"/>
    <w:rsid w:val="00FD7BF5"/>
    <w:rsid w:val="00FE185C"/>
    <w:rsid w:val="00FE2836"/>
    <w:rsid w:val="00FE2A16"/>
    <w:rsid w:val="00FE3C5F"/>
    <w:rsid w:val="00FE401B"/>
    <w:rsid w:val="00FE4705"/>
    <w:rsid w:val="00FE557C"/>
    <w:rsid w:val="00FF03E5"/>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522585E9"/>
  <w15:docId w15:val="{48F5DC8B-1BB7-4294-9E05-7B29D9D6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locked="1" w:uiPriority="0"/>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locked="1" w:uiPriority="0"/>
    <w:lsdException w:name="List Continue 4" w:locked="1" w:uiPriority="0"/>
    <w:lsdException w:name="List Continue 5" w:locked="1" w:uiPriority="0"/>
    <w:lsdException w:name="Message Header"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uiPriority="0"/>
    <w:lsdException w:name="Balloon Text" w:locked="1" w:semiHidden="1" w:uiPriority="0"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2"/>
    <w:pPr>
      <w:tabs>
        <w:tab w:val="left" w:pos="567"/>
      </w:tabs>
    </w:pPr>
    <w:rPr>
      <w:sz w:val="22"/>
      <w:lang w:val="en-GB"/>
    </w:rPr>
  </w:style>
  <w:style w:type="paragraph" w:styleId="Heading1">
    <w:name w:val="heading 1"/>
    <w:basedOn w:val="Normal"/>
    <w:next w:val="Normal"/>
    <w:link w:val="Heading1Char"/>
    <w:uiPriority w:val="99"/>
    <w:qFormat/>
    <w:rsid w:val="005C2EE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5C2EE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C2EE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5C2EE1"/>
    <w:pPr>
      <w:keepNext/>
      <w:spacing w:before="240" w:after="60"/>
      <w:outlineLvl w:val="3"/>
    </w:pPr>
    <w:rPr>
      <w:b/>
      <w:bCs/>
      <w:sz w:val="28"/>
      <w:szCs w:val="28"/>
    </w:rPr>
  </w:style>
  <w:style w:type="paragraph" w:styleId="Heading5">
    <w:name w:val="heading 5"/>
    <w:basedOn w:val="Normal"/>
    <w:next w:val="Normal"/>
    <w:link w:val="Heading5Char"/>
    <w:uiPriority w:val="99"/>
    <w:qFormat/>
    <w:rsid w:val="005C2EE1"/>
    <w:pPr>
      <w:spacing w:before="240" w:after="60"/>
      <w:outlineLvl w:val="4"/>
    </w:pPr>
    <w:rPr>
      <w:b/>
      <w:bCs/>
      <w:i/>
      <w:iCs/>
      <w:sz w:val="26"/>
      <w:szCs w:val="26"/>
    </w:rPr>
  </w:style>
  <w:style w:type="paragraph" w:styleId="Heading6">
    <w:name w:val="heading 6"/>
    <w:basedOn w:val="Normal"/>
    <w:next w:val="Normal"/>
    <w:link w:val="Heading6Char"/>
    <w:uiPriority w:val="99"/>
    <w:qFormat/>
    <w:rsid w:val="005C2EE1"/>
    <w:pPr>
      <w:spacing w:before="240" w:after="60"/>
      <w:outlineLvl w:val="5"/>
    </w:pPr>
    <w:rPr>
      <w:b/>
      <w:bCs/>
      <w:szCs w:val="22"/>
    </w:rPr>
  </w:style>
  <w:style w:type="paragraph" w:styleId="Heading7">
    <w:name w:val="heading 7"/>
    <w:basedOn w:val="Normal"/>
    <w:next w:val="Normal"/>
    <w:link w:val="Heading7Char"/>
    <w:uiPriority w:val="99"/>
    <w:qFormat/>
    <w:rsid w:val="005C2EE1"/>
    <w:pPr>
      <w:spacing w:before="240" w:after="60"/>
      <w:outlineLvl w:val="6"/>
    </w:pPr>
    <w:rPr>
      <w:sz w:val="24"/>
      <w:szCs w:val="24"/>
    </w:rPr>
  </w:style>
  <w:style w:type="paragraph" w:styleId="Heading8">
    <w:name w:val="heading 8"/>
    <w:basedOn w:val="Normal"/>
    <w:next w:val="Normal"/>
    <w:link w:val="Heading8Char"/>
    <w:uiPriority w:val="99"/>
    <w:qFormat/>
    <w:rsid w:val="005C2EE1"/>
    <w:pPr>
      <w:spacing w:before="240" w:after="60"/>
      <w:outlineLvl w:val="7"/>
    </w:pPr>
    <w:rPr>
      <w:i/>
      <w:iCs/>
      <w:sz w:val="24"/>
      <w:szCs w:val="24"/>
    </w:rPr>
  </w:style>
  <w:style w:type="paragraph" w:styleId="Heading9">
    <w:name w:val="heading 9"/>
    <w:basedOn w:val="Normal"/>
    <w:next w:val="Normal"/>
    <w:link w:val="Heading9Char"/>
    <w:uiPriority w:val="99"/>
    <w:qFormat/>
    <w:rsid w:val="005C2EE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5C80"/>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rsid w:val="002B5C80"/>
    <w:rPr>
      <w:rFonts w:ascii="Cambria" w:eastAsia="Times New Roman" w:hAnsi="Cambria" w:cs="Times New Roman"/>
      <w:b/>
      <w:bCs/>
      <w:i/>
      <w:iCs/>
      <w:sz w:val="28"/>
      <w:szCs w:val="28"/>
      <w:lang w:val="en-GB" w:eastAsia="en-US"/>
    </w:rPr>
  </w:style>
  <w:style w:type="character" w:customStyle="1" w:styleId="Heading3Char">
    <w:name w:val="Heading 3 Char"/>
    <w:link w:val="Heading3"/>
    <w:uiPriority w:val="9"/>
    <w:semiHidden/>
    <w:rsid w:val="002B5C80"/>
    <w:rPr>
      <w:rFonts w:ascii="Cambria" w:eastAsia="Times New Roman" w:hAnsi="Cambria" w:cs="Times New Roman"/>
      <w:b/>
      <w:bCs/>
      <w:sz w:val="26"/>
      <w:szCs w:val="26"/>
      <w:lang w:val="en-GB" w:eastAsia="en-US"/>
    </w:rPr>
  </w:style>
  <w:style w:type="character" w:customStyle="1" w:styleId="Heading4Char">
    <w:name w:val="Heading 4 Char"/>
    <w:link w:val="Heading4"/>
    <w:uiPriority w:val="9"/>
    <w:semiHidden/>
    <w:rsid w:val="002B5C80"/>
    <w:rPr>
      <w:rFonts w:ascii="Calibri" w:eastAsia="Times New Roman" w:hAnsi="Calibri" w:cs="Times New Roman"/>
      <w:b/>
      <w:bCs/>
      <w:sz w:val="28"/>
      <w:szCs w:val="28"/>
      <w:lang w:val="en-GB" w:eastAsia="en-US"/>
    </w:rPr>
  </w:style>
  <w:style w:type="character" w:customStyle="1" w:styleId="Heading5Char">
    <w:name w:val="Heading 5 Char"/>
    <w:link w:val="Heading5"/>
    <w:uiPriority w:val="9"/>
    <w:semiHidden/>
    <w:rsid w:val="002B5C80"/>
    <w:rPr>
      <w:rFonts w:ascii="Calibri" w:eastAsia="Times New Roman" w:hAnsi="Calibri" w:cs="Times New Roman"/>
      <w:b/>
      <w:bCs/>
      <w:i/>
      <w:iCs/>
      <w:sz w:val="26"/>
      <w:szCs w:val="26"/>
      <w:lang w:val="en-GB" w:eastAsia="en-US"/>
    </w:rPr>
  </w:style>
  <w:style w:type="character" w:customStyle="1" w:styleId="Heading6Char">
    <w:name w:val="Heading 6 Char"/>
    <w:link w:val="Heading6"/>
    <w:uiPriority w:val="9"/>
    <w:semiHidden/>
    <w:rsid w:val="002B5C80"/>
    <w:rPr>
      <w:rFonts w:ascii="Calibri" w:eastAsia="Times New Roman" w:hAnsi="Calibri" w:cs="Times New Roman"/>
      <w:b/>
      <w:bCs/>
      <w:lang w:val="en-GB" w:eastAsia="en-US"/>
    </w:rPr>
  </w:style>
  <w:style w:type="character" w:customStyle="1" w:styleId="Heading7Char">
    <w:name w:val="Heading 7 Char"/>
    <w:link w:val="Heading7"/>
    <w:uiPriority w:val="9"/>
    <w:semiHidden/>
    <w:rsid w:val="002B5C80"/>
    <w:rPr>
      <w:rFonts w:ascii="Calibri" w:eastAsia="Times New Roman" w:hAnsi="Calibri" w:cs="Times New Roman"/>
      <w:sz w:val="24"/>
      <w:szCs w:val="24"/>
      <w:lang w:val="en-GB" w:eastAsia="en-US"/>
    </w:rPr>
  </w:style>
  <w:style w:type="character" w:customStyle="1" w:styleId="Heading8Char">
    <w:name w:val="Heading 8 Char"/>
    <w:link w:val="Heading8"/>
    <w:uiPriority w:val="9"/>
    <w:semiHidden/>
    <w:rsid w:val="002B5C80"/>
    <w:rPr>
      <w:rFonts w:ascii="Calibri" w:eastAsia="Times New Roman" w:hAnsi="Calibri" w:cs="Times New Roman"/>
      <w:i/>
      <w:iCs/>
      <w:sz w:val="24"/>
      <w:szCs w:val="24"/>
      <w:lang w:val="en-GB" w:eastAsia="en-US"/>
    </w:rPr>
  </w:style>
  <w:style w:type="character" w:customStyle="1" w:styleId="Heading9Char">
    <w:name w:val="Heading 9 Char"/>
    <w:link w:val="Heading9"/>
    <w:uiPriority w:val="9"/>
    <w:semiHidden/>
    <w:rsid w:val="002B5C80"/>
    <w:rPr>
      <w:rFonts w:ascii="Cambria" w:eastAsia="Times New Roman" w:hAnsi="Cambria" w:cs="Times New Roman"/>
      <w:lang w:val="en-GB" w:eastAsia="en-US"/>
    </w:rPr>
  </w:style>
  <w:style w:type="paragraph" w:styleId="Footer">
    <w:name w:val="footer"/>
    <w:basedOn w:val="Normal"/>
    <w:link w:val="FooterChar"/>
    <w:uiPriority w:val="99"/>
    <w:rsid w:val="00BB1AFC"/>
    <w:pPr>
      <w:tabs>
        <w:tab w:val="center" w:pos="4536"/>
        <w:tab w:val="right" w:pos="8306"/>
      </w:tabs>
    </w:pPr>
    <w:rPr>
      <w:rFonts w:ascii="Arial" w:hAnsi="Arial"/>
      <w:noProof/>
      <w:sz w:val="16"/>
    </w:rPr>
  </w:style>
  <w:style w:type="character" w:customStyle="1" w:styleId="FooterChar">
    <w:name w:val="Footer Char"/>
    <w:link w:val="Footer"/>
    <w:uiPriority w:val="99"/>
    <w:semiHidden/>
    <w:rsid w:val="002B5C80"/>
    <w:rPr>
      <w:szCs w:val="20"/>
      <w:lang w:val="en-GB" w:eastAsia="en-US"/>
    </w:rPr>
  </w:style>
  <w:style w:type="paragraph" w:styleId="Header">
    <w:name w:val="header"/>
    <w:basedOn w:val="Normal"/>
    <w:link w:val="HeaderChar"/>
    <w:uiPriority w:val="99"/>
    <w:rsid w:val="00BB1AFC"/>
    <w:pPr>
      <w:tabs>
        <w:tab w:val="center" w:pos="4153"/>
        <w:tab w:val="right" w:pos="8306"/>
      </w:tabs>
    </w:pPr>
    <w:rPr>
      <w:rFonts w:ascii="Arial" w:hAnsi="Arial"/>
      <w:sz w:val="20"/>
    </w:rPr>
  </w:style>
  <w:style w:type="character" w:customStyle="1" w:styleId="HeaderChar">
    <w:name w:val="Header Char"/>
    <w:link w:val="Header"/>
    <w:uiPriority w:val="99"/>
    <w:semiHidden/>
    <w:rsid w:val="002B5C80"/>
    <w:rPr>
      <w:szCs w:val="20"/>
      <w:lang w:val="en-GB" w:eastAsia="en-US"/>
    </w:rPr>
  </w:style>
  <w:style w:type="paragraph" w:customStyle="1" w:styleId="MemoHeaderStyle">
    <w:name w:val="MemoHeaderStyle"/>
    <w:basedOn w:val="Normal"/>
    <w:next w:val="Normal"/>
    <w:uiPriority w:val="99"/>
    <w:rsid w:val="00BB1AFC"/>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pPr>
    <w:rPr>
      <w:i/>
      <w:color w:val="008000"/>
    </w:rPr>
  </w:style>
  <w:style w:type="character" w:customStyle="1" w:styleId="BodyTextChar">
    <w:name w:val="Body Text Char"/>
    <w:link w:val="BodyText"/>
    <w:uiPriority w:val="99"/>
    <w:semiHidden/>
    <w:rsid w:val="002B5C80"/>
    <w:rPr>
      <w:szCs w:val="20"/>
      <w:lang w:val="en-GB" w:eastAsia="en-US"/>
    </w:rPr>
  </w:style>
  <w:style w:type="paragraph" w:styleId="CommentText">
    <w:name w:val="annotation text"/>
    <w:basedOn w:val="Normal"/>
    <w:link w:val="CommentTextChar"/>
    <w:uiPriority w:val="99"/>
    <w:semiHidden/>
    <w:rsid w:val="00812D16"/>
    <w:rPr>
      <w:sz w:val="20"/>
    </w:rPr>
  </w:style>
  <w:style w:type="character" w:customStyle="1" w:styleId="CommentTextChar">
    <w:name w:val="Comment Text Char"/>
    <w:link w:val="CommentText"/>
    <w:uiPriority w:val="99"/>
    <w:semiHidden/>
    <w:locked/>
    <w:rsid w:val="00E249F8"/>
    <w:rPr>
      <w:rFonts w:eastAsia="Times New Roman"/>
      <w:lang w:val="en-GB" w:eastAsia="en-US"/>
    </w:rPr>
  </w:style>
  <w:style w:type="character" w:styleId="Hyperlink">
    <w:name w:val="Hyperlink"/>
    <w:uiPriority w:val="99"/>
    <w:rsid w:val="00812D16"/>
    <w:rPr>
      <w:rFonts w:cs="Times New Roman"/>
      <w:color w:val="0000FF"/>
      <w:u w:val="single"/>
    </w:rPr>
  </w:style>
  <w:style w:type="paragraph" w:customStyle="1" w:styleId="EMEAEnBodyText">
    <w:name w:val="EMEA En Body Text"/>
    <w:basedOn w:val="Normal"/>
    <w:uiPriority w:val="99"/>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rsid w:val="002B5C80"/>
    <w:rPr>
      <w:sz w:val="0"/>
      <w:szCs w:val="0"/>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uiPriority w:val="99"/>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Cs w:val="18"/>
      <w:lang w:eastAsia="en-GB"/>
    </w:rPr>
  </w:style>
  <w:style w:type="character" w:customStyle="1" w:styleId="DraftingNotesAgencyChar">
    <w:name w:val="Drafting Notes (Agency) Char"/>
    <w:link w:val="DraftingNotesAgency"/>
    <w:uiPriority w:val="99"/>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uiPriority w:val="99"/>
    <w:rsid w:val="00C179B0"/>
    <w:rPr>
      <w:rFonts w:ascii="Verdana" w:hAnsi="Verdana" w:cs="Verdana"/>
      <w:sz w:val="18"/>
      <w:szCs w:val="18"/>
      <w:lang w:val="en-GB" w:eastAsia="en-GB"/>
    </w:rPr>
  </w:style>
  <w:style w:type="table" w:customStyle="1" w:styleId="TablegridAgencyblack">
    <w:name w:val="Table grid (Agency) black"/>
    <w:uiPriority w:val="99"/>
    <w:semiHidden/>
    <w:rsid w:val="00C179B0"/>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eastAsia="Times New Roman" w:hAnsi="Verdana"/>
      <w:sz w:val="18"/>
      <w:lang w:val="en-GB" w:eastAsia="en-GB"/>
    </w:rPr>
  </w:style>
  <w:style w:type="paragraph" w:customStyle="1" w:styleId="TitleA">
    <w:name w:val="Title A"/>
    <w:basedOn w:val="Normal"/>
    <w:uiPriority w:val="99"/>
    <w:rsid w:val="007E5525"/>
    <w:pPr>
      <w:tabs>
        <w:tab w:val="left" w:pos="-1440"/>
        <w:tab w:val="left" w:pos="-720"/>
      </w:tabs>
      <w:jc w:val="center"/>
    </w:pPr>
    <w:rPr>
      <w:b/>
      <w:noProof/>
      <w:szCs w:val="22"/>
    </w:rPr>
  </w:style>
  <w:style w:type="paragraph" w:customStyle="1" w:styleId="TitleB">
    <w:name w:val="Title B"/>
    <w:basedOn w:val="Normal"/>
    <w:uiPriority w:val="99"/>
    <w:rsid w:val="00672BBE"/>
    <w:pPr>
      <w:ind w:left="567" w:hanging="567"/>
    </w:pPr>
    <w:rPr>
      <w:b/>
      <w:noProof/>
      <w:szCs w:val="22"/>
    </w:rPr>
  </w:style>
  <w:style w:type="character" w:styleId="CommentReference">
    <w:name w:val="annotation reference"/>
    <w:uiPriority w:val="99"/>
    <w:rsid w:val="00E249F8"/>
    <w:rPr>
      <w:rFonts w:cs="Times New Roman"/>
      <w:sz w:val="16"/>
    </w:rPr>
  </w:style>
  <w:style w:type="paragraph" w:styleId="CommentSubject">
    <w:name w:val="annotation subject"/>
    <w:basedOn w:val="CommentText"/>
    <w:next w:val="CommentText"/>
    <w:link w:val="CommentSubjectChar"/>
    <w:uiPriority w:val="99"/>
    <w:rsid w:val="00E249F8"/>
  </w:style>
  <w:style w:type="character" w:customStyle="1" w:styleId="CommentSubjectChar">
    <w:name w:val="Comment Subject Char"/>
    <w:link w:val="CommentSubject"/>
    <w:uiPriority w:val="99"/>
    <w:locked/>
    <w:rsid w:val="00E249F8"/>
    <w:rPr>
      <w:rFonts w:eastAsia="Times New Roman"/>
      <w:lang w:val="en-GB" w:eastAsia="en-US"/>
    </w:rPr>
  </w:style>
  <w:style w:type="table" w:styleId="TableGrid">
    <w:name w:val="Table Grid"/>
    <w:basedOn w:val="TableNormal"/>
    <w:uiPriority w:val="9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7636EF"/>
    <w:rPr>
      <w:sz w:val="22"/>
      <w:lang w:val="en-GB"/>
    </w:rPr>
  </w:style>
  <w:style w:type="paragraph" w:styleId="TableofFigures">
    <w:name w:val="table of figures"/>
    <w:basedOn w:val="Normal"/>
    <w:next w:val="Normal"/>
    <w:uiPriority w:val="99"/>
    <w:semiHidden/>
    <w:rsid w:val="005C2EE1"/>
    <w:pPr>
      <w:tabs>
        <w:tab w:val="clear" w:pos="567"/>
      </w:tabs>
    </w:pPr>
  </w:style>
  <w:style w:type="paragraph" w:styleId="Salutation">
    <w:name w:val="Salutation"/>
    <w:basedOn w:val="Normal"/>
    <w:next w:val="Normal"/>
    <w:link w:val="SalutationChar"/>
    <w:uiPriority w:val="99"/>
    <w:rsid w:val="005C2EE1"/>
  </w:style>
  <w:style w:type="character" w:customStyle="1" w:styleId="SalutationChar">
    <w:name w:val="Salutation Char"/>
    <w:link w:val="Salutation"/>
    <w:uiPriority w:val="99"/>
    <w:semiHidden/>
    <w:rsid w:val="002B5C80"/>
    <w:rPr>
      <w:szCs w:val="20"/>
      <w:lang w:val="en-GB" w:eastAsia="en-US"/>
    </w:rPr>
  </w:style>
  <w:style w:type="paragraph" w:styleId="ListBullet">
    <w:name w:val="List Bullet"/>
    <w:basedOn w:val="Normal"/>
    <w:uiPriority w:val="99"/>
    <w:rsid w:val="005C2EE1"/>
    <w:pPr>
      <w:numPr>
        <w:numId w:val="23"/>
      </w:numPr>
    </w:pPr>
  </w:style>
  <w:style w:type="paragraph" w:styleId="ListBullet2">
    <w:name w:val="List Bullet 2"/>
    <w:basedOn w:val="Normal"/>
    <w:uiPriority w:val="99"/>
    <w:rsid w:val="005C2EE1"/>
    <w:pPr>
      <w:numPr>
        <w:numId w:val="24"/>
      </w:numPr>
    </w:pPr>
  </w:style>
  <w:style w:type="paragraph" w:styleId="ListBullet3">
    <w:name w:val="List Bullet 3"/>
    <w:basedOn w:val="Normal"/>
    <w:uiPriority w:val="99"/>
    <w:rsid w:val="005C2EE1"/>
    <w:pPr>
      <w:numPr>
        <w:numId w:val="25"/>
      </w:numPr>
    </w:pPr>
  </w:style>
  <w:style w:type="paragraph" w:styleId="ListBullet4">
    <w:name w:val="List Bullet 4"/>
    <w:basedOn w:val="Normal"/>
    <w:uiPriority w:val="99"/>
    <w:rsid w:val="005C2EE1"/>
    <w:pPr>
      <w:numPr>
        <w:numId w:val="26"/>
      </w:numPr>
    </w:pPr>
  </w:style>
  <w:style w:type="paragraph" w:styleId="ListBullet5">
    <w:name w:val="List Bullet 5"/>
    <w:basedOn w:val="Normal"/>
    <w:uiPriority w:val="99"/>
    <w:rsid w:val="005C2EE1"/>
    <w:pPr>
      <w:numPr>
        <w:numId w:val="27"/>
      </w:numPr>
    </w:pPr>
  </w:style>
  <w:style w:type="paragraph" w:styleId="Caption">
    <w:name w:val="caption"/>
    <w:basedOn w:val="Normal"/>
    <w:next w:val="Normal"/>
    <w:uiPriority w:val="99"/>
    <w:qFormat/>
    <w:rsid w:val="005C2EE1"/>
    <w:rPr>
      <w:b/>
      <w:bCs/>
      <w:sz w:val="20"/>
    </w:rPr>
  </w:style>
  <w:style w:type="paragraph" w:styleId="BlockText">
    <w:name w:val="Block Text"/>
    <w:basedOn w:val="Normal"/>
    <w:uiPriority w:val="99"/>
    <w:rsid w:val="005C2EE1"/>
    <w:pPr>
      <w:spacing w:after="120"/>
      <w:ind w:left="1440" w:right="1440"/>
    </w:pPr>
  </w:style>
  <w:style w:type="paragraph" w:styleId="Date">
    <w:name w:val="Date"/>
    <w:basedOn w:val="Normal"/>
    <w:next w:val="Normal"/>
    <w:link w:val="DateChar"/>
    <w:uiPriority w:val="99"/>
    <w:rsid w:val="005C2EE1"/>
  </w:style>
  <w:style w:type="character" w:customStyle="1" w:styleId="DateChar">
    <w:name w:val="Date Char"/>
    <w:link w:val="Date"/>
    <w:uiPriority w:val="99"/>
    <w:semiHidden/>
    <w:rsid w:val="002B5C80"/>
    <w:rPr>
      <w:szCs w:val="20"/>
      <w:lang w:val="en-GB" w:eastAsia="en-US"/>
    </w:rPr>
  </w:style>
  <w:style w:type="paragraph" w:styleId="DocumentMap">
    <w:name w:val="Document Map"/>
    <w:basedOn w:val="Normal"/>
    <w:link w:val="DocumentMapChar"/>
    <w:uiPriority w:val="99"/>
    <w:semiHidden/>
    <w:rsid w:val="005C2EE1"/>
    <w:pPr>
      <w:shd w:val="clear" w:color="auto" w:fill="000080"/>
    </w:pPr>
    <w:rPr>
      <w:rFonts w:ascii="Tahoma" w:hAnsi="Tahoma" w:cs="Tahoma"/>
      <w:sz w:val="20"/>
    </w:rPr>
  </w:style>
  <w:style w:type="character" w:customStyle="1" w:styleId="DocumentMapChar">
    <w:name w:val="Document Map Char"/>
    <w:link w:val="DocumentMap"/>
    <w:uiPriority w:val="99"/>
    <w:semiHidden/>
    <w:rsid w:val="002B5C80"/>
    <w:rPr>
      <w:sz w:val="0"/>
      <w:szCs w:val="0"/>
      <w:lang w:val="en-GB" w:eastAsia="en-US"/>
    </w:rPr>
  </w:style>
  <w:style w:type="paragraph" w:styleId="E-mailSignature">
    <w:name w:val="E-mail Signature"/>
    <w:basedOn w:val="Normal"/>
    <w:link w:val="E-mailSignatureChar"/>
    <w:uiPriority w:val="99"/>
    <w:rsid w:val="005C2EE1"/>
  </w:style>
  <w:style w:type="character" w:customStyle="1" w:styleId="E-mailSignatureChar">
    <w:name w:val="E-mail Signature Char"/>
    <w:link w:val="E-mailSignature"/>
    <w:uiPriority w:val="99"/>
    <w:semiHidden/>
    <w:rsid w:val="002B5C80"/>
    <w:rPr>
      <w:szCs w:val="20"/>
      <w:lang w:val="en-GB" w:eastAsia="en-US"/>
    </w:rPr>
  </w:style>
  <w:style w:type="paragraph" w:styleId="EndnoteText">
    <w:name w:val="endnote text"/>
    <w:basedOn w:val="Normal"/>
    <w:link w:val="EndnoteTextChar"/>
    <w:uiPriority w:val="99"/>
    <w:semiHidden/>
    <w:rsid w:val="005C2EE1"/>
    <w:rPr>
      <w:sz w:val="20"/>
    </w:rPr>
  </w:style>
  <w:style w:type="character" w:customStyle="1" w:styleId="EndnoteTextChar">
    <w:name w:val="Endnote Text Char"/>
    <w:link w:val="EndnoteText"/>
    <w:uiPriority w:val="99"/>
    <w:semiHidden/>
    <w:rsid w:val="002B5C80"/>
    <w:rPr>
      <w:sz w:val="20"/>
      <w:szCs w:val="20"/>
      <w:lang w:val="en-GB" w:eastAsia="en-US"/>
    </w:rPr>
  </w:style>
  <w:style w:type="paragraph" w:styleId="NoteHeading">
    <w:name w:val="Note Heading"/>
    <w:basedOn w:val="Normal"/>
    <w:next w:val="Normal"/>
    <w:link w:val="NoteHeadingChar"/>
    <w:uiPriority w:val="99"/>
    <w:rsid w:val="005C2EE1"/>
  </w:style>
  <w:style w:type="character" w:customStyle="1" w:styleId="NoteHeadingChar">
    <w:name w:val="Note Heading Char"/>
    <w:link w:val="NoteHeading"/>
    <w:uiPriority w:val="99"/>
    <w:semiHidden/>
    <w:rsid w:val="002B5C80"/>
    <w:rPr>
      <w:szCs w:val="20"/>
      <w:lang w:val="en-GB" w:eastAsia="en-US"/>
    </w:rPr>
  </w:style>
  <w:style w:type="paragraph" w:styleId="FootnoteText">
    <w:name w:val="footnote text"/>
    <w:basedOn w:val="Normal"/>
    <w:link w:val="FootnoteTextChar"/>
    <w:uiPriority w:val="99"/>
    <w:semiHidden/>
    <w:rsid w:val="005C2EE1"/>
    <w:rPr>
      <w:sz w:val="20"/>
    </w:rPr>
  </w:style>
  <w:style w:type="character" w:customStyle="1" w:styleId="FootnoteTextChar">
    <w:name w:val="Footnote Text Char"/>
    <w:link w:val="FootnoteText"/>
    <w:uiPriority w:val="99"/>
    <w:semiHidden/>
    <w:rsid w:val="002B5C80"/>
    <w:rPr>
      <w:sz w:val="20"/>
      <w:szCs w:val="20"/>
      <w:lang w:val="en-GB" w:eastAsia="en-US"/>
    </w:rPr>
  </w:style>
  <w:style w:type="paragraph" w:styleId="Closing">
    <w:name w:val="Closing"/>
    <w:basedOn w:val="Normal"/>
    <w:link w:val="ClosingChar"/>
    <w:uiPriority w:val="99"/>
    <w:rsid w:val="005C2EE1"/>
    <w:pPr>
      <w:ind w:left="4252"/>
    </w:pPr>
  </w:style>
  <w:style w:type="character" w:customStyle="1" w:styleId="ClosingChar">
    <w:name w:val="Closing Char"/>
    <w:link w:val="Closing"/>
    <w:uiPriority w:val="99"/>
    <w:semiHidden/>
    <w:rsid w:val="002B5C80"/>
    <w:rPr>
      <w:szCs w:val="20"/>
      <w:lang w:val="en-GB" w:eastAsia="en-US"/>
    </w:rPr>
  </w:style>
  <w:style w:type="paragraph" w:styleId="HTMLAddress">
    <w:name w:val="HTML Address"/>
    <w:basedOn w:val="Normal"/>
    <w:link w:val="HTMLAddressChar"/>
    <w:uiPriority w:val="99"/>
    <w:rsid w:val="005C2EE1"/>
    <w:rPr>
      <w:i/>
      <w:iCs/>
    </w:rPr>
  </w:style>
  <w:style w:type="character" w:customStyle="1" w:styleId="HTMLAddressChar">
    <w:name w:val="HTML Address Char"/>
    <w:link w:val="HTMLAddress"/>
    <w:uiPriority w:val="99"/>
    <w:semiHidden/>
    <w:rsid w:val="002B5C80"/>
    <w:rPr>
      <w:i/>
      <w:iCs/>
      <w:szCs w:val="20"/>
      <w:lang w:val="en-GB" w:eastAsia="en-US"/>
    </w:rPr>
  </w:style>
  <w:style w:type="paragraph" w:styleId="HTMLPreformatted">
    <w:name w:val="HTML Preformatted"/>
    <w:basedOn w:val="Normal"/>
    <w:link w:val="HTMLPreformattedChar"/>
    <w:uiPriority w:val="99"/>
    <w:rsid w:val="005C2EE1"/>
    <w:rPr>
      <w:rFonts w:ascii="Courier New" w:hAnsi="Courier New" w:cs="Courier New"/>
      <w:sz w:val="20"/>
    </w:rPr>
  </w:style>
  <w:style w:type="character" w:customStyle="1" w:styleId="HTMLPreformattedChar">
    <w:name w:val="HTML Preformatted Char"/>
    <w:link w:val="HTMLPreformatted"/>
    <w:uiPriority w:val="99"/>
    <w:semiHidden/>
    <w:rsid w:val="002B5C80"/>
    <w:rPr>
      <w:rFonts w:ascii="Courier New" w:hAnsi="Courier New" w:cs="Courier New"/>
      <w:sz w:val="20"/>
      <w:szCs w:val="20"/>
      <w:lang w:val="en-GB" w:eastAsia="en-US"/>
    </w:rPr>
  </w:style>
  <w:style w:type="paragraph" w:styleId="Index1">
    <w:name w:val="index 1"/>
    <w:basedOn w:val="Normal"/>
    <w:next w:val="Normal"/>
    <w:autoRedefine/>
    <w:uiPriority w:val="99"/>
    <w:semiHidden/>
    <w:rsid w:val="005C2EE1"/>
    <w:pPr>
      <w:tabs>
        <w:tab w:val="clear" w:pos="567"/>
      </w:tabs>
      <w:ind w:left="220" w:hanging="220"/>
    </w:pPr>
  </w:style>
  <w:style w:type="paragraph" w:styleId="Index2">
    <w:name w:val="index 2"/>
    <w:basedOn w:val="Normal"/>
    <w:next w:val="Normal"/>
    <w:autoRedefine/>
    <w:uiPriority w:val="99"/>
    <w:semiHidden/>
    <w:rsid w:val="005C2EE1"/>
    <w:pPr>
      <w:tabs>
        <w:tab w:val="clear" w:pos="567"/>
      </w:tabs>
      <w:ind w:left="440" w:hanging="220"/>
    </w:pPr>
  </w:style>
  <w:style w:type="paragraph" w:styleId="Index3">
    <w:name w:val="index 3"/>
    <w:basedOn w:val="Normal"/>
    <w:next w:val="Normal"/>
    <w:autoRedefine/>
    <w:uiPriority w:val="99"/>
    <w:semiHidden/>
    <w:rsid w:val="005C2EE1"/>
    <w:pPr>
      <w:tabs>
        <w:tab w:val="clear" w:pos="567"/>
      </w:tabs>
      <w:ind w:left="660" w:hanging="220"/>
    </w:pPr>
  </w:style>
  <w:style w:type="paragraph" w:styleId="Index4">
    <w:name w:val="index 4"/>
    <w:basedOn w:val="Normal"/>
    <w:next w:val="Normal"/>
    <w:autoRedefine/>
    <w:uiPriority w:val="99"/>
    <w:semiHidden/>
    <w:rsid w:val="005C2EE1"/>
    <w:pPr>
      <w:tabs>
        <w:tab w:val="clear" w:pos="567"/>
      </w:tabs>
      <w:ind w:left="880" w:hanging="220"/>
    </w:pPr>
  </w:style>
  <w:style w:type="paragraph" w:styleId="Index5">
    <w:name w:val="index 5"/>
    <w:basedOn w:val="Normal"/>
    <w:next w:val="Normal"/>
    <w:autoRedefine/>
    <w:uiPriority w:val="99"/>
    <w:semiHidden/>
    <w:rsid w:val="005C2EE1"/>
    <w:pPr>
      <w:tabs>
        <w:tab w:val="clear" w:pos="567"/>
      </w:tabs>
      <w:ind w:left="1100" w:hanging="220"/>
    </w:pPr>
  </w:style>
  <w:style w:type="paragraph" w:styleId="Index6">
    <w:name w:val="index 6"/>
    <w:basedOn w:val="Normal"/>
    <w:next w:val="Normal"/>
    <w:autoRedefine/>
    <w:uiPriority w:val="99"/>
    <w:semiHidden/>
    <w:rsid w:val="005C2EE1"/>
    <w:pPr>
      <w:tabs>
        <w:tab w:val="clear" w:pos="567"/>
      </w:tabs>
      <w:ind w:left="1320" w:hanging="220"/>
    </w:pPr>
  </w:style>
  <w:style w:type="paragraph" w:styleId="Index7">
    <w:name w:val="index 7"/>
    <w:basedOn w:val="Normal"/>
    <w:next w:val="Normal"/>
    <w:autoRedefine/>
    <w:uiPriority w:val="99"/>
    <w:semiHidden/>
    <w:rsid w:val="005C2EE1"/>
    <w:pPr>
      <w:tabs>
        <w:tab w:val="clear" w:pos="567"/>
      </w:tabs>
      <w:ind w:left="1540" w:hanging="220"/>
    </w:pPr>
  </w:style>
  <w:style w:type="paragraph" w:styleId="Index8">
    <w:name w:val="index 8"/>
    <w:basedOn w:val="Normal"/>
    <w:next w:val="Normal"/>
    <w:autoRedefine/>
    <w:uiPriority w:val="99"/>
    <w:semiHidden/>
    <w:rsid w:val="005C2EE1"/>
    <w:pPr>
      <w:tabs>
        <w:tab w:val="clear" w:pos="567"/>
      </w:tabs>
      <w:ind w:left="1760" w:hanging="220"/>
    </w:pPr>
  </w:style>
  <w:style w:type="paragraph" w:styleId="Index9">
    <w:name w:val="index 9"/>
    <w:basedOn w:val="Normal"/>
    <w:next w:val="Normal"/>
    <w:autoRedefine/>
    <w:uiPriority w:val="99"/>
    <w:semiHidden/>
    <w:rsid w:val="005C2EE1"/>
    <w:pPr>
      <w:tabs>
        <w:tab w:val="clear" w:pos="567"/>
      </w:tabs>
      <w:ind w:left="1980" w:hanging="220"/>
    </w:pPr>
  </w:style>
  <w:style w:type="paragraph" w:styleId="IndexHeading">
    <w:name w:val="index heading"/>
    <w:basedOn w:val="Normal"/>
    <w:next w:val="Index1"/>
    <w:uiPriority w:val="99"/>
    <w:semiHidden/>
    <w:rsid w:val="005C2EE1"/>
    <w:rPr>
      <w:rFonts w:ascii="Arial" w:hAnsi="Arial" w:cs="Arial"/>
      <w:b/>
      <w:bCs/>
    </w:rPr>
  </w:style>
  <w:style w:type="paragraph" w:styleId="List">
    <w:name w:val="List"/>
    <w:basedOn w:val="Normal"/>
    <w:uiPriority w:val="99"/>
    <w:rsid w:val="005C2EE1"/>
    <w:pPr>
      <w:ind w:left="283" w:hanging="283"/>
    </w:pPr>
  </w:style>
  <w:style w:type="paragraph" w:styleId="List2">
    <w:name w:val="List 2"/>
    <w:basedOn w:val="Normal"/>
    <w:uiPriority w:val="99"/>
    <w:rsid w:val="005C2EE1"/>
    <w:pPr>
      <w:ind w:left="566" w:hanging="283"/>
    </w:pPr>
  </w:style>
  <w:style w:type="paragraph" w:styleId="List3">
    <w:name w:val="List 3"/>
    <w:basedOn w:val="Normal"/>
    <w:uiPriority w:val="99"/>
    <w:rsid w:val="005C2EE1"/>
    <w:pPr>
      <w:ind w:left="849" w:hanging="283"/>
    </w:pPr>
  </w:style>
  <w:style w:type="paragraph" w:styleId="List4">
    <w:name w:val="List 4"/>
    <w:basedOn w:val="Normal"/>
    <w:uiPriority w:val="99"/>
    <w:rsid w:val="005C2EE1"/>
    <w:pPr>
      <w:ind w:left="1132" w:hanging="283"/>
    </w:pPr>
  </w:style>
  <w:style w:type="paragraph" w:styleId="List5">
    <w:name w:val="List 5"/>
    <w:basedOn w:val="Normal"/>
    <w:uiPriority w:val="99"/>
    <w:rsid w:val="005C2EE1"/>
    <w:pPr>
      <w:ind w:left="1415" w:hanging="283"/>
    </w:pPr>
  </w:style>
  <w:style w:type="paragraph" w:styleId="ListContinue">
    <w:name w:val="List Continue"/>
    <w:basedOn w:val="Normal"/>
    <w:uiPriority w:val="99"/>
    <w:rsid w:val="005C2EE1"/>
    <w:pPr>
      <w:spacing w:after="120"/>
      <w:ind w:left="283"/>
    </w:pPr>
  </w:style>
  <w:style w:type="paragraph" w:styleId="ListContinue2">
    <w:name w:val="List Continue 2"/>
    <w:basedOn w:val="Normal"/>
    <w:uiPriority w:val="99"/>
    <w:rsid w:val="005C2EE1"/>
    <w:pPr>
      <w:spacing w:after="120"/>
      <w:ind w:left="566"/>
    </w:pPr>
  </w:style>
  <w:style w:type="paragraph" w:styleId="ListContinue3">
    <w:name w:val="List Continue 3"/>
    <w:basedOn w:val="Normal"/>
    <w:uiPriority w:val="99"/>
    <w:rsid w:val="005C2EE1"/>
    <w:pPr>
      <w:spacing w:after="120"/>
      <w:ind w:left="849"/>
    </w:pPr>
  </w:style>
  <w:style w:type="paragraph" w:styleId="ListContinue4">
    <w:name w:val="List Continue 4"/>
    <w:basedOn w:val="Normal"/>
    <w:uiPriority w:val="99"/>
    <w:rsid w:val="005C2EE1"/>
    <w:pPr>
      <w:spacing w:after="120"/>
      <w:ind w:left="1132"/>
    </w:pPr>
  </w:style>
  <w:style w:type="paragraph" w:styleId="ListContinue5">
    <w:name w:val="List Continue 5"/>
    <w:basedOn w:val="Normal"/>
    <w:uiPriority w:val="99"/>
    <w:rsid w:val="005C2EE1"/>
    <w:pPr>
      <w:spacing w:after="120"/>
      <w:ind w:left="1415"/>
    </w:pPr>
  </w:style>
  <w:style w:type="paragraph" w:styleId="ListNumber">
    <w:name w:val="List Number"/>
    <w:basedOn w:val="Normal"/>
    <w:uiPriority w:val="99"/>
    <w:rsid w:val="005C2EE1"/>
    <w:pPr>
      <w:numPr>
        <w:numId w:val="28"/>
      </w:numPr>
    </w:pPr>
  </w:style>
  <w:style w:type="paragraph" w:styleId="ListNumber2">
    <w:name w:val="List Number 2"/>
    <w:basedOn w:val="Normal"/>
    <w:uiPriority w:val="99"/>
    <w:rsid w:val="005C2EE1"/>
    <w:pPr>
      <w:numPr>
        <w:numId w:val="29"/>
      </w:numPr>
    </w:pPr>
  </w:style>
  <w:style w:type="paragraph" w:styleId="ListNumber3">
    <w:name w:val="List Number 3"/>
    <w:basedOn w:val="Normal"/>
    <w:uiPriority w:val="99"/>
    <w:rsid w:val="005C2EE1"/>
    <w:pPr>
      <w:numPr>
        <w:numId w:val="30"/>
      </w:numPr>
    </w:pPr>
  </w:style>
  <w:style w:type="paragraph" w:styleId="ListNumber4">
    <w:name w:val="List Number 4"/>
    <w:basedOn w:val="Normal"/>
    <w:uiPriority w:val="99"/>
    <w:rsid w:val="005C2EE1"/>
    <w:pPr>
      <w:numPr>
        <w:numId w:val="31"/>
      </w:numPr>
    </w:pPr>
  </w:style>
  <w:style w:type="paragraph" w:styleId="ListNumber5">
    <w:name w:val="List Number 5"/>
    <w:basedOn w:val="Normal"/>
    <w:uiPriority w:val="99"/>
    <w:rsid w:val="005C2EE1"/>
    <w:pPr>
      <w:numPr>
        <w:numId w:val="32"/>
      </w:numPr>
    </w:pPr>
  </w:style>
  <w:style w:type="paragraph" w:styleId="MacroText">
    <w:name w:val="macro"/>
    <w:link w:val="MacroTextChar"/>
    <w:uiPriority w:val="99"/>
    <w:semiHidden/>
    <w:rsid w:val="005C2E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uiPriority w:val="99"/>
    <w:semiHidden/>
    <w:rsid w:val="002B5C80"/>
    <w:rPr>
      <w:rFonts w:ascii="Courier New" w:hAnsi="Courier New" w:cs="Courier New"/>
      <w:sz w:val="20"/>
      <w:szCs w:val="20"/>
      <w:lang w:val="en-GB" w:eastAsia="en-US"/>
    </w:rPr>
  </w:style>
  <w:style w:type="paragraph" w:styleId="MessageHeader">
    <w:name w:val="Message Header"/>
    <w:basedOn w:val="Normal"/>
    <w:link w:val="MessageHeaderChar"/>
    <w:uiPriority w:val="99"/>
    <w:rsid w:val="005C2EE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2B5C80"/>
    <w:rPr>
      <w:rFonts w:ascii="Cambria" w:eastAsia="Times New Roman" w:hAnsi="Cambria" w:cs="Times New Roman"/>
      <w:sz w:val="24"/>
      <w:szCs w:val="24"/>
      <w:shd w:val="pct20" w:color="auto" w:fill="auto"/>
      <w:lang w:val="en-GB" w:eastAsia="en-US"/>
    </w:rPr>
  </w:style>
  <w:style w:type="paragraph" w:styleId="PlainText">
    <w:name w:val="Plain Text"/>
    <w:basedOn w:val="Normal"/>
    <w:link w:val="PlainTextChar"/>
    <w:uiPriority w:val="99"/>
    <w:rsid w:val="005C2EE1"/>
    <w:rPr>
      <w:rFonts w:ascii="Courier New" w:hAnsi="Courier New" w:cs="Courier New"/>
      <w:sz w:val="20"/>
    </w:rPr>
  </w:style>
  <w:style w:type="character" w:customStyle="1" w:styleId="PlainTextChar">
    <w:name w:val="Plain Text Char"/>
    <w:link w:val="PlainText"/>
    <w:uiPriority w:val="99"/>
    <w:semiHidden/>
    <w:rsid w:val="002B5C80"/>
    <w:rPr>
      <w:rFonts w:ascii="Courier New" w:hAnsi="Courier New" w:cs="Courier New"/>
      <w:sz w:val="20"/>
      <w:szCs w:val="20"/>
      <w:lang w:val="en-GB" w:eastAsia="en-US"/>
    </w:rPr>
  </w:style>
  <w:style w:type="paragraph" w:styleId="TableofAuthorities">
    <w:name w:val="table of authorities"/>
    <w:basedOn w:val="Normal"/>
    <w:next w:val="Normal"/>
    <w:uiPriority w:val="99"/>
    <w:semiHidden/>
    <w:rsid w:val="005C2EE1"/>
    <w:pPr>
      <w:tabs>
        <w:tab w:val="clear" w:pos="567"/>
      </w:tabs>
      <w:ind w:left="220" w:hanging="220"/>
    </w:pPr>
  </w:style>
  <w:style w:type="paragraph" w:styleId="TOAHeading">
    <w:name w:val="toa heading"/>
    <w:basedOn w:val="Normal"/>
    <w:next w:val="Normal"/>
    <w:uiPriority w:val="99"/>
    <w:semiHidden/>
    <w:rsid w:val="005C2EE1"/>
    <w:pPr>
      <w:spacing w:before="120"/>
    </w:pPr>
    <w:rPr>
      <w:rFonts w:ascii="Arial" w:hAnsi="Arial" w:cs="Arial"/>
      <w:b/>
      <w:bCs/>
      <w:sz w:val="24"/>
      <w:szCs w:val="24"/>
    </w:rPr>
  </w:style>
  <w:style w:type="paragraph" w:styleId="NormalWeb">
    <w:name w:val="Normal (Web)"/>
    <w:basedOn w:val="Normal"/>
    <w:uiPriority w:val="99"/>
    <w:rsid w:val="005C2EE1"/>
    <w:rPr>
      <w:sz w:val="24"/>
      <w:szCs w:val="24"/>
    </w:rPr>
  </w:style>
  <w:style w:type="paragraph" w:styleId="NormalIndent">
    <w:name w:val="Normal Indent"/>
    <w:basedOn w:val="Normal"/>
    <w:uiPriority w:val="99"/>
    <w:rsid w:val="005C2EE1"/>
    <w:pPr>
      <w:ind w:left="708"/>
    </w:pPr>
  </w:style>
  <w:style w:type="paragraph" w:styleId="BodyText2">
    <w:name w:val="Body Text 2"/>
    <w:basedOn w:val="Normal"/>
    <w:link w:val="BodyText2Char"/>
    <w:uiPriority w:val="99"/>
    <w:rsid w:val="005C2EE1"/>
    <w:pPr>
      <w:spacing w:after="120" w:line="480" w:lineRule="auto"/>
    </w:pPr>
  </w:style>
  <w:style w:type="character" w:customStyle="1" w:styleId="BodyText2Char">
    <w:name w:val="Body Text 2 Char"/>
    <w:link w:val="BodyText2"/>
    <w:uiPriority w:val="99"/>
    <w:semiHidden/>
    <w:rsid w:val="002B5C80"/>
    <w:rPr>
      <w:szCs w:val="20"/>
      <w:lang w:val="en-GB" w:eastAsia="en-US"/>
    </w:rPr>
  </w:style>
  <w:style w:type="paragraph" w:styleId="BodyText3">
    <w:name w:val="Body Text 3"/>
    <w:basedOn w:val="Normal"/>
    <w:link w:val="BodyText3Char"/>
    <w:uiPriority w:val="99"/>
    <w:rsid w:val="005C2EE1"/>
    <w:pPr>
      <w:spacing w:after="120"/>
    </w:pPr>
    <w:rPr>
      <w:sz w:val="16"/>
      <w:szCs w:val="16"/>
    </w:rPr>
  </w:style>
  <w:style w:type="character" w:customStyle="1" w:styleId="BodyText3Char">
    <w:name w:val="Body Text 3 Char"/>
    <w:link w:val="BodyText3"/>
    <w:uiPriority w:val="99"/>
    <w:semiHidden/>
    <w:rsid w:val="002B5C80"/>
    <w:rPr>
      <w:sz w:val="16"/>
      <w:szCs w:val="16"/>
      <w:lang w:val="en-GB" w:eastAsia="en-US"/>
    </w:rPr>
  </w:style>
  <w:style w:type="paragraph" w:styleId="BodyTextIndent2">
    <w:name w:val="Body Text Indent 2"/>
    <w:basedOn w:val="Normal"/>
    <w:link w:val="BodyTextIndent2Char"/>
    <w:uiPriority w:val="99"/>
    <w:rsid w:val="005C2EE1"/>
    <w:pPr>
      <w:spacing w:after="120" w:line="480" w:lineRule="auto"/>
      <w:ind w:left="283"/>
    </w:pPr>
  </w:style>
  <w:style w:type="character" w:customStyle="1" w:styleId="BodyTextIndent2Char">
    <w:name w:val="Body Text Indent 2 Char"/>
    <w:link w:val="BodyTextIndent2"/>
    <w:uiPriority w:val="99"/>
    <w:semiHidden/>
    <w:rsid w:val="002B5C80"/>
    <w:rPr>
      <w:szCs w:val="20"/>
      <w:lang w:val="en-GB" w:eastAsia="en-US"/>
    </w:rPr>
  </w:style>
  <w:style w:type="paragraph" w:styleId="BodyTextIndent3">
    <w:name w:val="Body Text Indent 3"/>
    <w:basedOn w:val="Normal"/>
    <w:link w:val="BodyTextIndent3Char"/>
    <w:uiPriority w:val="99"/>
    <w:rsid w:val="005C2EE1"/>
    <w:pPr>
      <w:spacing w:after="120"/>
      <w:ind w:left="283"/>
    </w:pPr>
    <w:rPr>
      <w:sz w:val="16"/>
      <w:szCs w:val="16"/>
    </w:rPr>
  </w:style>
  <w:style w:type="character" w:customStyle="1" w:styleId="BodyTextIndent3Char">
    <w:name w:val="Body Text Indent 3 Char"/>
    <w:link w:val="BodyTextIndent3"/>
    <w:uiPriority w:val="99"/>
    <w:semiHidden/>
    <w:rsid w:val="002B5C80"/>
    <w:rPr>
      <w:sz w:val="16"/>
      <w:szCs w:val="16"/>
      <w:lang w:val="en-GB" w:eastAsia="en-US"/>
    </w:rPr>
  </w:style>
  <w:style w:type="paragraph" w:styleId="BodyTextFirstIndent">
    <w:name w:val="Body Text First Indent"/>
    <w:basedOn w:val="BodyText"/>
    <w:link w:val="BodyTextFirstIndentChar"/>
    <w:uiPriority w:val="99"/>
    <w:rsid w:val="005C2EE1"/>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rsid w:val="002B5C80"/>
    <w:rPr>
      <w:szCs w:val="20"/>
      <w:lang w:val="en-GB" w:eastAsia="en-US"/>
    </w:rPr>
  </w:style>
  <w:style w:type="paragraph" w:styleId="BodyTextIndent">
    <w:name w:val="Body Text Indent"/>
    <w:basedOn w:val="Normal"/>
    <w:link w:val="BodyTextIndentChar"/>
    <w:uiPriority w:val="99"/>
    <w:rsid w:val="005C2EE1"/>
    <w:pPr>
      <w:spacing w:after="120"/>
      <w:ind w:left="283"/>
    </w:pPr>
  </w:style>
  <w:style w:type="character" w:customStyle="1" w:styleId="BodyTextIndentChar">
    <w:name w:val="Body Text Indent Char"/>
    <w:link w:val="BodyTextIndent"/>
    <w:uiPriority w:val="99"/>
    <w:semiHidden/>
    <w:rsid w:val="002B5C80"/>
    <w:rPr>
      <w:szCs w:val="20"/>
      <w:lang w:val="en-GB" w:eastAsia="en-US"/>
    </w:rPr>
  </w:style>
  <w:style w:type="paragraph" w:styleId="BodyTextFirstIndent2">
    <w:name w:val="Body Text First Indent 2"/>
    <w:basedOn w:val="BodyTextIndent"/>
    <w:link w:val="BodyTextFirstIndent2Char"/>
    <w:uiPriority w:val="99"/>
    <w:rsid w:val="005C2EE1"/>
    <w:pPr>
      <w:ind w:firstLine="210"/>
    </w:pPr>
  </w:style>
  <w:style w:type="character" w:customStyle="1" w:styleId="BodyTextFirstIndent2Char">
    <w:name w:val="Body Text First Indent 2 Char"/>
    <w:link w:val="BodyTextFirstIndent2"/>
    <w:uiPriority w:val="99"/>
    <w:semiHidden/>
    <w:rsid w:val="002B5C80"/>
    <w:rPr>
      <w:szCs w:val="20"/>
      <w:lang w:val="en-GB" w:eastAsia="en-US"/>
    </w:rPr>
  </w:style>
  <w:style w:type="paragraph" w:styleId="Title">
    <w:name w:val="Title"/>
    <w:basedOn w:val="Normal"/>
    <w:link w:val="TitleChar"/>
    <w:uiPriority w:val="99"/>
    <w:qFormat/>
    <w:rsid w:val="005C2EE1"/>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sid w:val="002B5C80"/>
    <w:rPr>
      <w:rFonts w:ascii="Cambria" w:eastAsia="Times New Roman" w:hAnsi="Cambria" w:cs="Times New Roman"/>
      <w:b/>
      <w:bCs/>
      <w:kern w:val="28"/>
      <w:sz w:val="32"/>
      <w:szCs w:val="32"/>
      <w:lang w:val="en-GB" w:eastAsia="en-US"/>
    </w:rPr>
  </w:style>
  <w:style w:type="paragraph" w:styleId="EnvelopeReturn">
    <w:name w:val="envelope return"/>
    <w:basedOn w:val="Normal"/>
    <w:uiPriority w:val="99"/>
    <w:rsid w:val="005C2EE1"/>
    <w:rPr>
      <w:rFonts w:ascii="Arial" w:hAnsi="Arial" w:cs="Arial"/>
      <w:sz w:val="20"/>
    </w:rPr>
  </w:style>
  <w:style w:type="paragraph" w:styleId="EnvelopeAddress">
    <w:name w:val="envelope address"/>
    <w:basedOn w:val="Normal"/>
    <w:uiPriority w:val="99"/>
    <w:rsid w:val="005C2EE1"/>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5C2EE1"/>
    <w:pPr>
      <w:ind w:left="4252"/>
    </w:pPr>
  </w:style>
  <w:style w:type="character" w:customStyle="1" w:styleId="SignatureChar">
    <w:name w:val="Signature Char"/>
    <w:link w:val="Signature"/>
    <w:uiPriority w:val="99"/>
    <w:semiHidden/>
    <w:rsid w:val="002B5C80"/>
    <w:rPr>
      <w:szCs w:val="20"/>
      <w:lang w:val="en-GB" w:eastAsia="en-US"/>
    </w:rPr>
  </w:style>
  <w:style w:type="paragraph" w:styleId="Subtitle">
    <w:name w:val="Subtitle"/>
    <w:basedOn w:val="Normal"/>
    <w:link w:val="SubtitleChar"/>
    <w:uiPriority w:val="99"/>
    <w:qFormat/>
    <w:rsid w:val="005C2EE1"/>
    <w:pPr>
      <w:spacing w:after="60"/>
      <w:jc w:val="center"/>
      <w:outlineLvl w:val="1"/>
    </w:pPr>
    <w:rPr>
      <w:rFonts w:ascii="Arial" w:hAnsi="Arial" w:cs="Arial"/>
      <w:sz w:val="24"/>
      <w:szCs w:val="24"/>
    </w:rPr>
  </w:style>
  <w:style w:type="character" w:customStyle="1" w:styleId="SubtitleChar">
    <w:name w:val="Subtitle Char"/>
    <w:link w:val="Subtitle"/>
    <w:uiPriority w:val="11"/>
    <w:rsid w:val="002B5C80"/>
    <w:rPr>
      <w:rFonts w:ascii="Cambria" w:eastAsia="Times New Roman" w:hAnsi="Cambria" w:cs="Times New Roman"/>
      <w:sz w:val="24"/>
      <w:szCs w:val="24"/>
      <w:lang w:val="en-GB" w:eastAsia="en-US"/>
    </w:rPr>
  </w:style>
  <w:style w:type="paragraph" w:styleId="TOC1">
    <w:name w:val="toc 1"/>
    <w:basedOn w:val="Normal"/>
    <w:next w:val="Normal"/>
    <w:autoRedefine/>
    <w:uiPriority w:val="99"/>
    <w:semiHidden/>
    <w:rsid w:val="005C2EE1"/>
    <w:pPr>
      <w:tabs>
        <w:tab w:val="clear" w:pos="567"/>
      </w:tabs>
    </w:pPr>
  </w:style>
  <w:style w:type="paragraph" w:styleId="TOC2">
    <w:name w:val="toc 2"/>
    <w:basedOn w:val="Normal"/>
    <w:next w:val="Normal"/>
    <w:autoRedefine/>
    <w:uiPriority w:val="99"/>
    <w:semiHidden/>
    <w:rsid w:val="005C2EE1"/>
    <w:pPr>
      <w:tabs>
        <w:tab w:val="clear" w:pos="567"/>
      </w:tabs>
      <w:ind w:left="220"/>
    </w:pPr>
  </w:style>
  <w:style w:type="paragraph" w:styleId="TOC3">
    <w:name w:val="toc 3"/>
    <w:basedOn w:val="Normal"/>
    <w:next w:val="Normal"/>
    <w:autoRedefine/>
    <w:uiPriority w:val="99"/>
    <w:semiHidden/>
    <w:rsid w:val="005C2EE1"/>
    <w:pPr>
      <w:tabs>
        <w:tab w:val="clear" w:pos="567"/>
      </w:tabs>
      <w:ind w:left="440"/>
    </w:pPr>
  </w:style>
  <w:style w:type="paragraph" w:styleId="TOC4">
    <w:name w:val="toc 4"/>
    <w:basedOn w:val="Normal"/>
    <w:next w:val="Normal"/>
    <w:autoRedefine/>
    <w:uiPriority w:val="99"/>
    <w:semiHidden/>
    <w:rsid w:val="005C2EE1"/>
    <w:pPr>
      <w:tabs>
        <w:tab w:val="clear" w:pos="567"/>
      </w:tabs>
      <w:ind w:left="660"/>
    </w:pPr>
  </w:style>
  <w:style w:type="paragraph" w:styleId="TOC5">
    <w:name w:val="toc 5"/>
    <w:basedOn w:val="Normal"/>
    <w:next w:val="Normal"/>
    <w:autoRedefine/>
    <w:uiPriority w:val="99"/>
    <w:semiHidden/>
    <w:rsid w:val="005C2EE1"/>
    <w:pPr>
      <w:tabs>
        <w:tab w:val="clear" w:pos="567"/>
      </w:tabs>
      <w:ind w:left="880"/>
    </w:pPr>
  </w:style>
  <w:style w:type="paragraph" w:styleId="TOC6">
    <w:name w:val="toc 6"/>
    <w:basedOn w:val="Normal"/>
    <w:next w:val="Normal"/>
    <w:autoRedefine/>
    <w:uiPriority w:val="99"/>
    <w:semiHidden/>
    <w:rsid w:val="005C2EE1"/>
    <w:pPr>
      <w:tabs>
        <w:tab w:val="clear" w:pos="567"/>
      </w:tabs>
      <w:ind w:left="1100"/>
    </w:pPr>
  </w:style>
  <w:style w:type="paragraph" w:styleId="TOC7">
    <w:name w:val="toc 7"/>
    <w:basedOn w:val="Normal"/>
    <w:next w:val="Normal"/>
    <w:autoRedefine/>
    <w:uiPriority w:val="99"/>
    <w:semiHidden/>
    <w:rsid w:val="005C2EE1"/>
    <w:pPr>
      <w:tabs>
        <w:tab w:val="clear" w:pos="567"/>
      </w:tabs>
      <w:ind w:left="1320"/>
    </w:pPr>
  </w:style>
  <w:style w:type="paragraph" w:styleId="TOC8">
    <w:name w:val="toc 8"/>
    <w:basedOn w:val="Normal"/>
    <w:next w:val="Normal"/>
    <w:autoRedefine/>
    <w:uiPriority w:val="99"/>
    <w:semiHidden/>
    <w:rsid w:val="005C2EE1"/>
    <w:pPr>
      <w:tabs>
        <w:tab w:val="clear" w:pos="567"/>
      </w:tabs>
      <w:ind w:left="1540"/>
    </w:pPr>
  </w:style>
  <w:style w:type="paragraph" w:styleId="TOC9">
    <w:name w:val="toc 9"/>
    <w:basedOn w:val="Normal"/>
    <w:next w:val="Normal"/>
    <w:autoRedefine/>
    <w:uiPriority w:val="99"/>
    <w:semiHidden/>
    <w:rsid w:val="005C2EE1"/>
    <w:pPr>
      <w:tabs>
        <w:tab w:val="clear" w:pos="567"/>
      </w:tabs>
      <w:ind w:left="1760"/>
    </w:pPr>
  </w:style>
  <w:style w:type="paragraph" w:styleId="TOCHeading">
    <w:name w:val="TOC Heading"/>
    <w:basedOn w:val="Heading1"/>
    <w:next w:val="Normal"/>
    <w:uiPriority w:val="99"/>
    <w:qFormat/>
    <w:rsid w:val="00727AB3"/>
    <w:pPr>
      <w:outlineLvl w:val="9"/>
    </w:pPr>
    <w:rPr>
      <w:rFonts w:ascii="Cambria" w:hAnsi="Cambria" w:cs="Times New Roman"/>
    </w:rPr>
  </w:style>
  <w:style w:type="paragraph" w:styleId="IntenseQuote">
    <w:name w:val="Intense Quote"/>
    <w:basedOn w:val="Normal"/>
    <w:next w:val="Normal"/>
    <w:link w:val="IntenseQuoteChar"/>
    <w:uiPriority w:val="99"/>
    <w:qFormat/>
    <w:rsid w:val="00727AB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727AB3"/>
    <w:rPr>
      <w:rFonts w:eastAsia="Times New Roman"/>
      <w:b/>
      <w:i/>
      <w:color w:val="4F81BD"/>
      <w:sz w:val="22"/>
      <w:lang w:val="en-GB" w:eastAsia="en-US"/>
    </w:rPr>
  </w:style>
  <w:style w:type="paragraph" w:styleId="NoSpacing">
    <w:name w:val="No Spacing"/>
    <w:uiPriority w:val="99"/>
    <w:qFormat/>
    <w:rsid w:val="00727AB3"/>
    <w:pPr>
      <w:tabs>
        <w:tab w:val="left" w:pos="567"/>
      </w:tabs>
    </w:pPr>
    <w:rPr>
      <w:sz w:val="22"/>
      <w:lang w:val="en-GB"/>
    </w:rPr>
  </w:style>
  <w:style w:type="paragraph" w:styleId="ListParagraph">
    <w:name w:val="List Paragraph"/>
    <w:basedOn w:val="Normal"/>
    <w:uiPriority w:val="99"/>
    <w:qFormat/>
    <w:rsid w:val="00727AB3"/>
    <w:pPr>
      <w:ind w:left="708"/>
    </w:pPr>
  </w:style>
  <w:style w:type="paragraph" w:styleId="Bibliography">
    <w:name w:val="Bibliography"/>
    <w:basedOn w:val="Normal"/>
    <w:next w:val="Normal"/>
    <w:uiPriority w:val="99"/>
    <w:semiHidden/>
    <w:rsid w:val="00727AB3"/>
  </w:style>
  <w:style w:type="paragraph" w:styleId="Quote">
    <w:name w:val="Quote"/>
    <w:basedOn w:val="Normal"/>
    <w:next w:val="Normal"/>
    <w:link w:val="QuoteChar"/>
    <w:uiPriority w:val="99"/>
    <w:qFormat/>
    <w:rsid w:val="00727AB3"/>
    <w:rPr>
      <w:i/>
      <w:iCs/>
      <w:color w:val="000000"/>
    </w:rPr>
  </w:style>
  <w:style w:type="character" w:customStyle="1" w:styleId="QuoteChar">
    <w:name w:val="Quote Char"/>
    <w:link w:val="Quote"/>
    <w:uiPriority w:val="99"/>
    <w:locked/>
    <w:rsid w:val="00727AB3"/>
    <w:rPr>
      <w:rFonts w:eastAsia="Times New Roman"/>
      <w:i/>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686627">
      <w:bodyDiv w:val="1"/>
      <w:marLeft w:val="0"/>
      <w:marRight w:val="0"/>
      <w:marTop w:val="0"/>
      <w:marBottom w:val="0"/>
      <w:divBdr>
        <w:top w:val="none" w:sz="0" w:space="0" w:color="auto"/>
        <w:left w:val="none" w:sz="0" w:space="0" w:color="auto"/>
        <w:bottom w:val="none" w:sz="0" w:space="0" w:color="auto"/>
        <w:right w:val="none" w:sz="0" w:space="0" w:color="auto"/>
      </w:divBdr>
    </w:div>
    <w:div w:id="19385630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a.europa.eu" TargetMode="Externa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ema.europa.eu" TargetMode="Externa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208DD-F7A2-4985-B7CE-C9D1AA0703CD}"/>
</file>

<file path=customXml/itemProps2.xml><?xml version="1.0" encoding="utf-8"?>
<ds:datastoreItem xmlns:ds="http://schemas.openxmlformats.org/officeDocument/2006/customXml" ds:itemID="{31BDAB46-44D8-4A4B-B5C9-DE6FDAF394F5}"/>
</file>

<file path=customXml/itemProps3.xml><?xml version="1.0" encoding="utf-8"?>
<ds:datastoreItem xmlns:ds="http://schemas.openxmlformats.org/officeDocument/2006/customXml" ds:itemID="{58B23D23-3C72-4301-A73B-5055C92DE553}"/>
</file>

<file path=docProps/app.xml><?xml version="1.0" encoding="utf-8"?>
<Properties xmlns="http://schemas.openxmlformats.org/officeDocument/2006/extended-properties" xmlns:vt="http://schemas.openxmlformats.org/officeDocument/2006/docPropsVTypes">
  <Template>Normal</Template>
  <TotalTime>0</TotalTime>
  <Pages>42</Pages>
  <Words>9070</Words>
  <Characters>59356</Characters>
  <Application>Microsoft Office Word</Application>
  <DocSecurity>0</DocSecurity>
  <Lines>494</Lines>
  <Paragraphs>136</Paragraphs>
  <ScaleCrop>false</ScaleCrop>
  <HeadingPairs>
    <vt:vector size="6" baseType="variant">
      <vt:variant>
        <vt:lpstr>Title</vt:lpstr>
      </vt:variant>
      <vt:variant>
        <vt:i4>1</vt:i4>
      </vt:variant>
      <vt:variant>
        <vt:lpstr>Titel</vt:lpstr>
      </vt:variant>
      <vt:variant>
        <vt:i4>1</vt:i4>
      </vt:variant>
      <vt:variant>
        <vt:lpstr>Tytuł</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cp:lastPrinted>2012-12-18T08:23:00Z</cp:lastPrinted>
  <dcterms:created xsi:type="dcterms:W3CDTF">2019-04-23T10:23:00Z</dcterms:created>
  <dcterms:modified xsi:type="dcterms:W3CDTF">2021-05-18T11:45:00Z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2021-05-18T11:45:17Z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9aa90e4c-1437-4c98-ac51-17d732f674a7</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