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FCE" w:rsidRDefault="00FA2FCE" w:rsidP="00FA2FCE">
      <w:pPr>
        <w:rPr>
          <w:lang w:val="pl-PL"/>
        </w:rPr>
      </w:pPr>
      <w:bookmarkStart w:id="0" w:name="_GoBack"/>
      <w:bookmarkEnd w:id="0"/>
    </w:p>
    <w:p w:rsidR="0008445B" w:rsidRPr="00FA2FCE" w:rsidRDefault="0008445B" w:rsidP="00FA2FCE">
      <w:pPr>
        <w:rPr>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Pr="002C7A00" w:rsidRDefault="00BC4936">
      <w:pPr>
        <w:pStyle w:val="Heading2"/>
        <w:tabs>
          <w:tab w:val="left" w:pos="567"/>
        </w:tabs>
        <w:spacing w:before="0" w:after="0"/>
        <w:rPr>
          <w:rFonts w:ascii="Times New Roman" w:hAnsi="Times New Roman"/>
          <w:b w:val="0"/>
          <w:i w:val="0"/>
          <w:sz w:val="22"/>
          <w:lang w:val="pl-PL"/>
        </w:rPr>
      </w:pPr>
    </w:p>
    <w:p w:rsidR="00BC4936" w:rsidRDefault="00BC4936" w:rsidP="00493E7C">
      <w:pPr>
        <w:pStyle w:val="Heading2"/>
        <w:tabs>
          <w:tab w:val="left" w:pos="567"/>
        </w:tabs>
        <w:spacing w:before="0" w:after="0"/>
        <w:jc w:val="center"/>
        <w:rPr>
          <w:rFonts w:ascii="Times New Roman" w:hAnsi="Times New Roman"/>
          <w:i w:val="0"/>
          <w:sz w:val="22"/>
          <w:lang w:val="pl-PL"/>
        </w:rPr>
      </w:pPr>
      <w:r>
        <w:rPr>
          <w:rFonts w:ascii="Times New Roman" w:hAnsi="Times New Roman"/>
          <w:i w:val="0"/>
          <w:sz w:val="22"/>
          <w:lang w:val="pl-PL"/>
        </w:rPr>
        <w:t>ANEKS I</w:t>
      </w:r>
    </w:p>
    <w:p w:rsidR="00BC4936" w:rsidRDefault="00BC4936" w:rsidP="00493E7C">
      <w:pPr>
        <w:pStyle w:val="EMEA1"/>
      </w:pPr>
      <w:r>
        <w:t>CHARAKTERYSTYKA PRODUKTU LECZNICZEGO</w:t>
      </w:r>
    </w:p>
    <w:p w:rsidR="00BC4936" w:rsidRDefault="00BC4936">
      <w:pPr>
        <w:pStyle w:val="Heading2"/>
        <w:tabs>
          <w:tab w:val="left" w:pos="0"/>
          <w:tab w:val="left" w:pos="567"/>
        </w:tabs>
        <w:spacing w:before="0" w:after="0"/>
        <w:rPr>
          <w:rFonts w:ascii="Times New Roman" w:hAnsi="Times New Roman"/>
          <w:i w:val="0"/>
          <w:sz w:val="22"/>
          <w:lang w:val="pl-PL"/>
        </w:rPr>
      </w:pPr>
      <w:r>
        <w:rPr>
          <w:rFonts w:ascii="Times New Roman" w:hAnsi="Times New Roman"/>
          <w:i w:val="0"/>
          <w:sz w:val="22"/>
          <w:lang w:val="pl-PL"/>
        </w:rPr>
        <w:br w:type="page"/>
      </w:r>
      <w:r>
        <w:rPr>
          <w:rFonts w:ascii="Times New Roman" w:hAnsi="Times New Roman"/>
          <w:i w:val="0"/>
          <w:sz w:val="22"/>
          <w:lang w:val="pl-PL"/>
        </w:rPr>
        <w:lastRenderedPageBreak/>
        <w:t>1.</w:t>
      </w:r>
      <w:r>
        <w:rPr>
          <w:rFonts w:ascii="Times New Roman" w:hAnsi="Times New Roman"/>
          <w:i w:val="0"/>
          <w:sz w:val="22"/>
          <w:lang w:val="pl-PL"/>
        </w:rPr>
        <w:tab/>
        <w:t>NAZWA PRODUKTU LECZNICZEGO</w:t>
      </w:r>
    </w:p>
    <w:p w:rsidR="00BC4936" w:rsidRDefault="00BC4936">
      <w:pPr>
        <w:tabs>
          <w:tab w:val="left" w:pos="567"/>
        </w:tabs>
        <w:rPr>
          <w:sz w:val="22"/>
          <w:lang w:val="pl-PL"/>
        </w:rPr>
      </w:pPr>
    </w:p>
    <w:p w:rsidR="00BC4936" w:rsidRDefault="00B04330">
      <w:pPr>
        <w:pStyle w:val="Heading3"/>
        <w:tabs>
          <w:tab w:val="left" w:pos="567"/>
        </w:tabs>
        <w:spacing w:before="0" w:after="0"/>
        <w:rPr>
          <w:rFonts w:ascii="Times New Roman" w:hAnsi="Times New Roman"/>
          <w:b w:val="0"/>
          <w:sz w:val="22"/>
          <w:lang w:val="pl-PL"/>
        </w:rPr>
      </w:pPr>
      <w:r>
        <w:rPr>
          <w:rFonts w:ascii="Times New Roman" w:hAnsi="Times New Roman"/>
          <w:b w:val="0"/>
          <w:sz w:val="22"/>
          <w:lang w:val="pl-PL"/>
        </w:rPr>
        <w:t>Plavix</w:t>
      </w:r>
      <w:r w:rsidR="00BC4936">
        <w:rPr>
          <w:rFonts w:ascii="Times New Roman" w:hAnsi="Times New Roman"/>
          <w:b w:val="0"/>
          <w:sz w:val="22"/>
          <w:lang w:val="pl-PL"/>
        </w:rPr>
        <w:t xml:space="preserve"> 75 mg tabletki powlekane</w:t>
      </w:r>
    </w:p>
    <w:p w:rsidR="00BC4936" w:rsidRDefault="00FB575A">
      <w:pPr>
        <w:pStyle w:val="Heading2"/>
        <w:tabs>
          <w:tab w:val="left" w:pos="0"/>
        </w:tabs>
        <w:spacing w:before="0" w:after="0"/>
        <w:rPr>
          <w:rFonts w:ascii="Times New Roman" w:hAnsi="Times New Roman"/>
          <w:b w:val="0"/>
          <w:i w:val="0"/>
          <w:sz w:val="22"/>
          <w:lang w:val="pl-PL"/>
        </w:rPr>
      </w:pPr>
      <w:r>
        <w:rPr>
          <w:rFonts w:ascii="Times New Roman" w:hAnsi="Times New Roman"/>
          <w:b w:val="0"/>
          <w:i w:val="0"/>
          <w:sz w:val="22"/>
          <w:lang w:val="pl-PL"/>
        </w:rPr>
        <w:t>Plavix 300</w:t>
      </w:r>
      <w:r w:rsidRPr="00FB575A">
        <w:rPr>
          <w:rFonts w:ascii="Times New Roman" w:hAnsi="Times New Roman"/>
          <w:b w:val="0"/>
          <w:i w:val="0"/>
          <w:sz w:val="22"/>
          <w:lang w:val="pl-PL"/>
        </w:rPr>
        <w:t xml:space="preserve"> mg tabletki powlekane</w:t>
      </w:r>
    </w:p>
    <w:p w:rsidR="00BC4936" w:rsidRDefault="00BC4936">
      <w:pPr>
        <w:pStyle w:val="Heading2"/>
        <w:tabs>
          <w:tab w:val="left" w:pos="0"/>
        </w:tabs>
        <w:spacing w:before="0" w:after="0"/>
        <w:rPr>
          <w:rFonts w:ascii="Times New Roman" w:hAnsi="Times New Roman"/>
          <w:b w:val="0"/>
          <w:i w:val="0"/>
          <w:sz w:val="22"/>
          <w:lang w:val="pl-PL"/>
        </w:rPr>
      </w:pPr>
    </w:p>
    <w:p w:rsidR="00E25841" w:rsidRPr="00E25841" w:rsidRDefault="00E25841" w:rsidP="00E25841">
      <w:pPr>
        <w:rPr>
          <w:lang w:val="pl-PL"/>
        </w:rPr>
      </w:pPr>
    </w:p>
    <w:p w:rsidR="00BC4936" w:rsidRDefault="00BC4936">
      <w:pPr>
        <w:pStyle w:val="Heading2"/>
        <w:numPr>
          <w:ilvl w:val="0"/>
          <w:numId w:val="27"/>
        </w:numPr>
        <w:tabs>
          <w:tab w:val="clear" w:pos="720"/>
          <w:tab w:val="num" w:pos="540"/>
          <w:tab w:val="left" w:pos="567"/>
        </w:tabs>
        <w:spacing w:before="0" w:after="0"/>
        <w:ind w:hanging="720"/>
        <w:rPr>
          <w:rFonts w:ascii="Times New Roman" w:hAnsi="Times New Roman"/>
          <w:i w:val="0"/>
          <w:sz w:val="22"/>
          <w:lang w:val="pl-PL"/>
        </w:rPr>
      </w:pPr>
      <w:r>
        <w:rPr>
          <w:rFonts w:ascii="Times New Roman" w:hAnsi="Times New Roman"/>
          <w:i w:val="0"/>
          <w:sz w:val="22"/>
          <w:lang w:val="pl-PL"/>
        </w:rPr>
        <w:t>SKŁAD JAKOŚCIOWY I ILOŚCIOWY</w:t>
      </w:r>
    </w:p>
    <w:p w:rsidR="00BC4936" w:rsidRDefault="00BC4936">
      <w:pPr>
        <w:pStyle w:val="Heading2"/>
        <w:tabs>
          <w:tab w:val="left" w:pos="360"/>
          <w:tab w:val="left" w:pos="567"/>
        </w:tabs>
        <w:spacing w:before="0" w:after="0"/>
        <w:rPr>
          <w:rFonts w:ascii="Times New Roman" w:hAnsi="Times New Roman"/>
          <w:i w:val="0"/>
          <w:sz w:val="22"/>
          <w:lang w:val="pl-PL"/>
        </w:rPr>
      </w:pPr>
    </w:p>
    <w:p w:rsidR="00FB575A" w:rsidRPr="00BD6C12" w:rsidRDefault="00FB575A">
      <w:pPr>
        <w:tabs>
          <w:tab w:val="left" w:pos="567"/>
        </w:tabs>
        <w:rPr>
          <w:sz w:val="22"/>
          <w:u w:val="single"/>
          <w:lang w:val="pl-PL"/>
        </w:rPr>
      </w:pPr>
      <w:r w:rsidRPr="00BD6C12">
        <w:rPr>
          <w:sz w:val="22"/>
          <w:u w:val="single"/>
          <w:lang w:val="pl-PL"/>
        </w:rPr>
        <w:t xml:space="preserve">Plavix 75 mg tabletki powlekane </w:t>
      </w:r>
    </w:p>
    <w:p w:rsidR="00BC4936" w:rsidRDefault="00734396">
      <w:pPr>
        <w:tabs>
          <w:tab w:val="left" w:pos="567"/>
        </w:tabs>
        <w:rPr>
          <w:sz w:val="22"/>
          <w:lang w:val="pl-PL"/>
        </w:rPr>
      </w:pPr>
      <w:r>
        <w:rPr>
          <w:sz w:val="22"/>
          <w:lang w:val="pl-PL"/>
        </w:rPr>
        <w:t>Każd</w:t>
      </w:r>
      <w:r w:rsidR="004C7ED2">
        <w:rPr>
          <w:sz w:val="22"/>
          <w:lang w:val="pl-PL"/>
        </w:rPr>
        <w:t>a tabletka powlekana zawiera 75 </w:t>
      </w:r>
      <w:r>
        <w:rPr>
          <w:sz w:val="22"/>
          <w:lang w:val="pl-PL"/>
        </w:rPr>
        <w:t>mg klopidogrelu (w postaci wodorosiarczanu).</w:t>
      </w:r>
    </w:p>
    <w:p w:rsidR="00734396" w:rsidRDefault="00734396" w:rsidP="00A333E3">
      <w:pPr>
        <w:tabs>
          <w:tab w:val="left" w:pos="567"/>
        </w:tabs>
        <w:rPr>
          <w:sz w:val="22"/>
          <w:lang w:val="pl-PL"/>
        </w:rPr>
      </w:pPr>
    </w:p>
    <w:p w:rsidR="00801F86" w:rsidRPr="00BD6C12" w:rsidRDefault="00BC4936" w:rsidP="00A333E3">
      <w:pPr>
        <w:tabs>
          <w:tab w:val="left" w:pos="567"/>
        </w:tabs>
        <w:rPr>
          <w:i/>
          <w:sz w:val="22"/>
          <w:u w:val="single"/>
          <w:lang w:val="pl-PL"/>
        </w:rPr>
      </w:pPr>
      <w:r w:rsidRPr="00BD6C12">
        <w:rPr>
          <w:i/>
          <w:sz w:val="22"/>
          <w:u w:val="single"/>
          <w:lang w:val="pl-PL"/>
        </w:rPr>
        <w:t>Substancje pomocnicze</w:t>
      </w:r>
      <w:r w:rsidR="00801F86" w:rsidRPr="00BD6C12">
        <w:rPr>
          <w:i/>
          <w:sz w:val="22"/>
          <w:u w:val="single"/>
          <w:lang w:val="pl-PL"/>
        </w:rPr>
        <w:t xml:space="preserve"> o znanym działaniu</w:t>
      </w:r>
      <w:r w:rsidRPr="00BD6C12">
        <w:rPr>
          <w:i/>
          <w:sz w:val="22"/>
          <w:u w:val="single"/>
          <w:lang w:val="pl-PL"/>
        </w:rPr>
        <w:t xml:space="preserve">: </w:t>
      </w:r>
    </w:p>
    <w:p w:rsidR="00BC4936" w:rsidRDefault="00801F86" w:rsidP="00A333E3">
      <w:pPr>
        <w:tabs>
          <w:tab w:val="left" w:pos="567"/>
        </w:tabs>
        <w:rPr>
          <w:sz w:val="22"/>
          <w:lang w:val="pl-PL"/>
        </w:rPr>
      </w:pPr>
      <w:r>
        <w:rPr>
          <w:sz w:val="22"/>
          <w:lang w:val="pl-PL"/>
        </w:rPr>
        <w:t>K</w:t>
      </w:r>
      <w:r w:rsidR="00734396">
        <w:rPr>
          <w:sz w:val="22"/>
          <w:lang w:val="pl-PL"/>
        </w:rPr>
        <w:t xml:space="preserve">ażda tabletka </w:t>
      </w:r>
      <w:r w:rsidR="00E01015">
        <w:rPr>
          <w:sz w:val="22"/>
          <w:lang w:val="pl-PL"/>
        </w:rPr>
        <w:t xml:space="preserve">powlekana </w:t>
      </w:r>
      <w:r w:rsidR="00734396">
        <w:rPr>
          <w:sz w:val="22"/>
          <w:lang w:val="pl-PL"/>
        </w:rPr>
        <w:t xml:space="preserve">zawiera </w:t>
      </w:r>
      <w:r w:rsidR="004C7ED2">
        <w:rPr>
          <w:sz w:val="22"/>
          <w:lang w:val="pl-PL"/>
        </w:rPr>
        <w:t>3 mg</w:t>
      </w:r>
      <w:r w:rsidR="00734396">
        <w:rPr>
          <w:sz w:val="22"/>
          <w:lang w:val="pl-PL"/>
        </w:rPr>
        <w:t xml:space="preserve"> laktozy i </w:t>
      </w:r>
      <w:r w:rsidR="004C7ED2">
        <w:rPr>
          <w:sz w:val="22"/>
          <w:lang w:val="pl-PL"/>
        </w:rPr>
        <w:t>3,3 mg</w:t>
      </w:r>
      <w:r w:rsidR="00815855">
        <w:rPr>
          <w:sz w:val="22"/>
          <w:lang w:val="pl-PL"/>
        </w:rPr>
        <w:t>,</w:t>
      </w:r>
      <w:r w:rsidR="004C7ED2">
        <w:rPr>
          <w:sz w:val="22"/>
          <w:lang w:val="pl-PL"/>
        </w:rPr>
        <w:t xml:space="preserve"> </w:t>
      </w:r>
      <w:r w:rsidR="00A333E3">
        <w:rPr>
          <w:sz w:val="22"/>
          <w:lang w:val="pl-PL"/>
        </w:rPr>
        <w:t>olej</w:t>
      </w:r>
      <w:r w:rsidR="004C7ED2">
        <w:rPr>
          <w:sz w:val="22"/>
          <w:lang w:val="pl-PL"/>
        </w:rPr>
        <w:t>u</w:t>
      </w:r>
      <w:r w:rsidR="00A333E3">
        <w:rPr>
          <w:sz w:val="22"/>
          <w:lang w:val="pl-PL"/>
        </w:rPr>
        <w:t xml:space="preserve"> rycynow</w:t>
      </w:r>
      <w:r w:rsidR="004C7ED2">
        <w:rPr>
          <w:sz w:val="22"/>
          <w:lang w:val="pl-PL"/>
        </w:rPr>
        <w:t>ego</w:t>
      </w:r>
      <w:r w:rsidR="00A333E3">
        <w:rPr>
          <w:sz w:val="22"/>
          <w:lang w:val="pl-PL"/>
        </w:rPr>
        <w:t xml:space="preserve"> </w:t>
      </w:r>
      <w:r w:rsidR="00600A39">
        <w:rPr>
          <w:sz w:val="22"/>
          <w:lang w:val="pl-PL"/>
        </w:rPr>
        <w:t>uwodornion</w:t>
      </w:r>
      <w:r w:rsidR="004C7ED2">
        <w:rPr>
          <w:sz w:val="22"/>
          <w:lang w:val="pl-PL"/>
        </w:rPr>
        <w:t>ego.</w:t>
      </w:r>
    </w:p>
    <w:p w:rsidR="00FB575A" w:rsidRDefault="00FB575A">
      <w:pPr>
        <w:tabs>
          <w:tab w:val="left" w:pos="567"/>
        </w:tabs>
        <w:rPr>
          <w:sz w:val="22"/>
          <w:lang w:val="pl-PL"/>
        </w:rPr>
      </w:pPr>
    </w:p>
    <w:p w:rsidR="00BC4936" w:rsidRPr="00BD6C12" w:rsidRDefault="00FB575A">
      <w:pPr>
        <w:tabs>
          <w:tab w:val="left" w:pos="567"/>
        </w:tabs>
        <w:rPr>
          <w:sz w:val="22"/>
          <w:u w:val="single"/>
          <w:lang w:val="pl-PL"/>
        </w:rPr>
      </w:pPr>
      <w:r w:rsidRPr="00BD6C12">
        <w:rPr>
          <w:sz w:val="22"/>
          <w:u w:val="single"/>
          <w:lang w:val="pl-PL"/>
        </w:rPr>
        <w:t>Plavix 300 mg tabletki powlekane</w:t>
      </w:r>
    </w:p>
    <w:p w:rsidR="00371A85" w:rsidRPr="00371A85" w:rsidRDefault="00371A85" w:rsidP="00371A85">
      <w:pPr>
        <w:tabs>
          <w:tab w:val="left" w:pos="567"/>
        </w:tabs>
        <w:rPr>
          <w:sz w:val="22"/>
          <w:lang w:val="pl-PL"/>
        </w:rPr>
      </w:pPr>
      <w:r w:rsidRPr="00371A85">
        <w:rPr>
          <w:sz w:val="22"/>
          <w:lang w:val="pl-PL"/>
        </w:rPr>
        <w:t>Każda tabletka powlekana zawiera 300 mg klopidogrelu (w postaci wodorosiarczanu).</w:t>
      </w:r>
    </w:p>
    <w:p w:rsidR="00371A85" w:rsidRPr="00371A85" w:rsidRDefault="00371A85" w:rsidP="00371A85">
      <w:pPr>
        <w:tabs>
          <w:tab w:val="left" w:pos="567"/>
        </w:tabs>
        <w:rPr>
          <w:sz w:val="22"/>
          <w:lang w:val="pl-PL"/>
        </w:rPr>
      </w:pPr>
    </w:p>
    <w:p w:rsidR="00371A85" w:rsidRPr="00BD6C12" w:rsidRDefault="00371A85" w:rsidP="00371A85">
      <w:pPr>
        <w:tabs>
          <w:tab w:val="left" w:pos="567"/>
        </w:tabs>
        <w:rPr>
          <w:i/>
          <w:sz w:val="22"/>
          <w:lang w:val="pl-PL"/>
        </w:rPr>
      </w:pPr>
      <w:r w:rsidRPr="00BD6C12">
        <w:rPr>
          <w:i/>
          <w:sz w:val="22"/>
          <w:lang w:val="pl-PL"/>
        </w:rPr>
        <w:t>Substancje pomocnicze o znanym działaniu:</w:t>
      </w:r>
    </w:p>
    <w:p w:rsidR="00371A85" w:rsidRDefault="00371A85" w:rsidP="00371A85">
      <w:pPr>
        <w:tabs>
          <w:tab w:val="left" w:pos="567"/>
        </w:tabs>
        <w:rPr>
          <w:sz w:val="22"/>
          <w:lang w:val="pl-PL"/>
        </w:rPr>
      </w:pPr>
      <w:r w:rsidRPr="00371A85">
        <w:rPr>
          <w:sz w:val="22"/>
          <w:lang w:val="pl-PL"/>
        </w:rPr>
        <w:t>Każda tabletka powlekana zawiera 12 mg laktozy i 13,2 mg oleju rycynowego uwodornionego.</w:t>
      </w:r>
    </w:p>
    <w:p w:rsidR="00371A85" w:rsidRDefault="00371A85" w:rsidP="00371A85">
      <w:pPr>
        <w:tabs>
          <w:tab w:val="left" w:pos="567"/>
        </w:tabs>
        <w:rPr>
          <w:sz w:val="22"/>
          <w:lang w:val="pl-PL"/>
        </w:rPr>
      </w:pPr>
    </w:p>
    <w:p w:rsidR="00BC4936" w:rsidRDefault="00BC4936" w:rsidP="00371A85">
      <w:pPr>
        <w:tabs>
          <w:tab w:val="left" w:pos="567"/>
        </w:tabs>
        <w:rPr>
          <w:sz w:val="22"/>
          <w:lang w:val="pl-PL"/>
        </w:rPr>
      </w:pPr>
      <w:r>
        <w:rPr>
          <w:sz w:val="22"/>
          <w:lang w:val="pl-PL"/>
        </w:rPr>
        <w:t>Pełny wykaz substancji pomocniczych, patrz punkt 6.1.</w:t>
      </w:r>
    </w:p>
    <w:p w:rsidR="00BC4936" w:rsidRDefault="00BC4936">
      <w:pPr>
        <w:tabs>
          <w:tab w:val="left" w:pos="567"/>
        </w:tabs>
        <w:rPr>
          <w:sz w:val="22"/>
          <w:lang w:val="pl-PL"/>
        </w:rPr>
      </w:pPr>
    </w:p>
    <w:p w:rsidR="00BC4936" w:rsidRDefault="00BC4936">
      <w:pPr>
        <w:tabs>
          <w:tab w:val="left" w:pos="567"/>
        </w:tabs>
        <w:rPr>
          <w:sz w:val="22"/>
          <w:lang w:val="pl-PL"/>
        </w:rPr>
      </w:pPr>
    </w:p>
    <w:p w:rsidR="00BC4936" w:rsidRDefault="00BC4936">
      <w:pPr>
        <w:pStyle w:val="Heading2"/>
        <w:numPr>
          <w:ilvl w:val="0"/>
          <w:numId w:val="27"/>
        </w:numPr>
        <w:tabs>
          <w:tab w:val="left" w:pos="567"/>
        </w:tabs>
        <w:spacing w:before="0" w:after="0"/>
        <w:ind w:hanging="720"/>
        <w:rPr>
          <w:rFonts w:ascii="Times New Roman" w:hAnsi="Times New Roman"/>
          <w:i w:val="0"/>
          <w:sz w:val="22"/>
          <w:lang w:val="pl-PL"/>
        </w:rPr>
      </w:pPr>
      <w:r>
        <w:rPr>
          <w:rFonts w:ascii="Times New Roman" w:hAnsi="Times New Roman"/>
          <w:i w:val="0"/>
          <w:sz w:val="22"/>
          <w:lang w:val="pl-PL"/>
        </w:rPr>
        <w:t>POSTAĆ FARMACEUTYCZNA</w:t>
      </w:r>
    </w:p>
    <w:p w:rsidR="00BC4936" w:rsidRDefault="00BC4936">
      <w:pPr>
        <w:rPr>
          <w:sz w:val="22"/>
          <w:lang w:val="pl-PL"/>
        </w:rPr>
      </w:pPr>
    </w:p>
    <w:p w:rsidR="00BC4936" w:rsidRDefault="00BC4936">
      <w:pPr>
        <w:tabs>
          <w:tab w:val="left" w:pos="567"/>
        </w:tabs>
        <w:rPr>
          <w:sz w:val="22"/>
          <w:lang w:val="pl-PL"/>
        </w:rPr>
      </w:pPr>
      <w:r>
        <w:rPr>
          <w:sz w:val="22"/>
          <w:lang w:val="pl-PL"/>
        </w:rPr>
        <w:t>Tabletk</w:t>
      </w:r>
      <w:r w:rsidR="002A6DC3">
        <w:rPr>
          <w:sz w:val="22"/>
          <w:lang w:val="pl-PL"/>
        </w:rPr>
        <w:t>a</w:t>
      </w:r>
      <w:r>
        <w:rPr>
          <w:sz w:val="22"/>
          <w:lang w:val="pl-PL"/>
        </w:rPr>
        <w:t xml:space="preserve"> powlekan</w:t>
      </w:r>
      <w:r w:rsidR="002A6DC3">
        <w:rPr>
          <w:sz w:val="22"/>
          <w:lang w:val="pl-PL"/>
        </w:rPr>
        <w:t>a</w:t>
      </w:r>
      <w:r>
        <w:rPr>
          <w:sz w:val="22"/>
          <w:lang w:val="pl-PL"/>
        </w:rPr>
        <w:t>.</w:t>
      </w:r>
    </w:p>
    <w:p w:rsidR="00BC4936" w:rsidRDefault="00BC4936">
      <w:pPr>
        <w:tabs>
          <w:tab w:val="left" w:pos="567"/>
        </w:tabs>
        <w:rPr>
          <w:sz w:val="22"/>
          <w:lang w:val="pl-PL"/>
        </w:rPr>
      </w:pPr>
    </w:p>
    <w:p w:rsidR="00371A85" w:rsidRPr="00BD6C12" w:rsidRDefault="00371A85">
      <w:pPr>
        <w:tabs>
          <w:tab w:val="left" w:pos="567"/>
        </w:tabs>
        <w:rPr>
          <w:sz w:val="22"/>
          <w:u w:val="single"/>
          <w:lang w:val="pl-PL"/>
        </w:rPr>
      </w:pPr>
      <w:r w:rsidRPr="00BD6C12">
        <w:rPr>
          <w:sz w:val="22"/>
          <w:u w:val="single"/>
          <w:lang w:val="pl-PL"/>
        </w:rPr>
        <w:t xml:space="preserve">Plavix 75 mg tabletki powlekane </w:t>
      </w:r>
    </w:p>
    <w:p w:rsidR="00BC4936" w:rsidRDefault="0097621B">
      <w:pPr>
        <w:tabs>
          <w:tab w:val="left" w:pos="567"/>
        </w:tabs>
        <w:rPr>
          <w:sz w:val="22"/>
          <w:lang w:val="pl-PL"/>
        </w:rPr>
      </w:pPr>
      <w:r>
        <w:rPr>
          <w:sz w:val="22"/>
          <w:lang w:val="pl-PL"/>
        </w:rPr>
        <w:t>R</w:t>
      </w:r>
      <w:r w:rsidR="00BC4936">
        <w:rPr>
          <w:sz w:val="22"/>
          <w:lang w:val="pl-PL"/>
        </w:rPr>
        <w:t xml:space="preserve">óżowe, okrągłe, </w:t>
      </w:r>
      <w:r w:rsidR="00F523E5">
        <w:rPr>
          <w:sz w:val="22"/>
          <w:lang w:val="pl-PL"/>
        </w:rPr>
        <w:t>obustronnie</w:t>
      </w:r>
      <w:r w:rsidR="00BC4936">
        <w:rPr>
          <w:sz w:val="22"/>
          <w:lang w:val="pl-PL"/>
        </w:rPr>
        <w:t xml:space="preserve"> wypukłe, z wytłoczonym «75» </w:t>
      </w:r>
      <w:r w:rsidR="002C211A">
        <w:rPr>
          <w:sz w:val="22"/>
          <w:lang w:val="pl-PL"/>
        </w:rPr>
        <w:t>po</w:t>
      </w:r>
      <w:r w:rsidR="00BC4936">
        <w:rPr>
          <w:sz w:val="22"/>
          <w:lang w:val="pl-PL"/>
        </w:rPr>
        <w:t xml:space="preserve"> jednej stronie i «1171» </w:t>
      </w:r>
      <w:r w:rsidR="002C211A">
        <w:rPr>
          <w:sz w:val="22"/>
          <w:lang w:val="pl-PL"/>
        </w:rPr>
        <w:t>po</w:t>
      </w:r>
      <w:r w:rsidR="00BC4936">
        <w:rPr>
          <w:sz w:val="22"/>
          <w:lang w:val="pl-PL"/>
        </w:rPr>
        <w:t xml:space="preserve"> drugiej stronie.</w:t>
      </w:r>
    </w:p>
    <w:p w:rsidR="00371A85" w:rsidRDefault="00371A85">
      <w:pPr>
        <w:tabs>
          <w:tab w:val="left" w:pos="567"/>
        </w:tabs>
        <w:rPr>
          <w:sz w:val="22"/>
          <w:lang w:val="pl-PL"/>
        </w:rPr>
      </w:pPr>
    </w:p>
    <w:p w:rsidR="00BC4936" w:rsidRPr="00BD6C12" w:rsidRDefault="00371A85">
      <w:pPr>
        <w:tabs>
          <w:tab w:val="left" w:pos="567"/>
        </w:tabs>
        <w:rPr>
          <w:sz w:val="22"/>
          <w:u w:val="single"/>
          <w:lang w:val="pl-PL"/>
        </w:rPr>
      </w:pPr>
      <w:r w:rsidRPr="00BD6C12">
        <w:rPr>
          <w:sz w:val="22"/>
          <w:u w:val="single"/>
          <w:lang w:val="pl-PL"/>
        </w:rPr>
        <w:t>Plavix 300 mg tabletki powlekane</w:t>
      </w:r>
    </w:p>
    <w:p w:rsidR="00371A85" w:rsidRDefault="00371A85">
      <w:pPr>
        <w:tabs>
          <w:tab w:val="left" w:pos="567"/>
        </w:tabs>
        <w:rPr>
          <w:sz w:val="22"/>
          <w:lang w:val="pl-PL"/>
        </w:rPr>
      </w:pPr>
      <w:r w:rsidRPr="00371A85">
        <w:rPr>
          <w:sz w:val="22"/>
          <w:lang w:val="pl-PL"/>
        </w:rPr>
        <w:t>Różowe, podłużne, z wytłoczonym «300» po jednej stronie i «1332» po drugiej stronie.</w:t>
      </w:r>
    </w:p>
    <w:p w:rsidR="00371A85" w:rsidRDefault="00371A85">
      <w:pPr>
        <w:tabs>
          <w:tab w:val="left" w:pos="567"/>
        </w:tabs>
        <w:rPr>
          <w:sz w:val="22"/>
          <w:lang w:val="pl-PL"/>
        </w:rPr>
      </w:pPr>
    </w:p>
    <w:p w:rsidR="00BC4936" w:rsidRDefault="00BC4936">
      <w:pPr>
        <w:tabs>
          <w:tab w:val="left" w:pos="567"/>
        </w:tabs>
        <w:rPr>
          <w:sz w:val="22"/>
          <w:lang w:val="pl-PL"/>
        </w:rPr>
      </w:pPr>
    </w:p>
    <w:p w:rsidR="00BC4936" w:rsidRDefault="00BC4936">
      <w:pPr>
        <w:pStyle w:val="Heading2"/>
        <w:numPr>
          <w:ilvl w:val="0"/>
          <w:numId w:val="1"/>
        </w:numPr>
        <w:tabs>
          <w:tab w:val="clear" w:pos="390"/>
          <w:tab w:val="left" w:pos="567"/>
        </w:tabs>
        <w:spacing w:before="0" w:after="0"/>
        <w:ind w:left="0" w:firstLine="0"/>
        <w:rPr>
          <w:rFonts w:ascii="Times New Roman" w:hAnsi="Times New Roman"/>
          <w:i w:val="0"/>
          <w:sz w:val="22"/>
          <w:lang w:val="pl-PL"/>
        </w:rPr>
      </w:pPr>
      <w:r>
        <w:rPr>
          <w:rFonts w:ascii="Times New Roman" w:hAnsi="Times New Roman"/>
          <w:i w:val="0"/>
          <w:sz w:val="22"/>
          <w:lang w:val="pl-PL"/>
        </w:rPr>
        <w:t>SZCZEGÓŁOWE DANE KLINICZNE</w:t>
      </w:r>
    </w:p>
    <w:p w:rsidR="00BC4936" w:rsidRDefault="00BC4936">
      <w:pPr>
        <w:rPr>
          <w:sz w:val="22"/>
          <w:lang w:val="pl-PL"/>
        </w:rPr>
      </w:pPr>
    </w:p>
    <w:p w:rsidR="00BC4936" w:rsidRDefault="00BC4936">
      <w:pPr>
        <w:pStyle w:val="Heading2"/>
        <w:numPr>
          <w:ilvl w:val="1"/>
          <w:numId w:val="2"/>
        </w:numPr>
        <w:tabs>
          <w:tab w:val="clear" w:pos="360"/>
          <w:tab w:val="left" w:pos="0"/>
          <w:tab w:val="left" w:pos="567"/>
        </w:tabs>
        <w:spacing w:before="0" w:after="0"/>
        <w:ind w:left="0" w:firstLine="0"/>
        <w:rPr>
          <w:rFonts w:ascii="Times New Roman" w:hAnsi="Times New Roman"/>
          <w:i w:val="0"/>
          <w:sz w:val="22"/>
          <w:lang w:val="pl-PL"/>
        </w:rPr>
      </w:pPr>
      <w:r>
        <w:rPr>
          <w:rFonts w:ascii="Times New Roman" w:hAnsi="Times New Roman"/>
          <w:i w:val="0"/>
          <w:sz w:val="22"/>
          <w:lang w:val="pl-PL"/>
        </w:rPr>
        <w:t>Wskazania do stosowania</w:t>
      </w:r>
    </w:p>
    <w:p w:rsidR="00BC4936" w:rsidRDefault="00BC4936">
      <w:pPr>
        <w:rPr>
          <w:sz w:val="22"/>
          <w:lang w:val="pl-PL"/>
        </w:rPr>
      </w:pPr>
    </w:p>
    <w:p w:rsidR="00906110" w:rsidRPr="00FA2FCE" w:rsidRDefault="00FA2FCE">
      <w:pPr>
        <w:rPr>
          <w:i/>
          <w:sz w:val="22"/>
          <w:lang w:val="pl-PL"/>
        </w:rPr>
      </w:pPr>
      <w:r w:rsidRPr="00FA2FCE">
        <w:rPr>
          <w:i/>
          <w:sz w:val="22"/>
          <w:lang w:val="pl-PL"/>
        </w:rPr>
        <w:t xml:space="preserve">Profilaktyka </w:t>
      </w:r>
      <w:r w:rsidR="00173385">
        <w:rPr>
          <w:i/>
          <w:sz w:val="22"/>
          <w:lang w:val="pl-PL"/>
        </w:rPr>
        <w:t xml:space="preserve">wtórna </w:t>
      </w:r>
      <w:r w:rsidR="0002533B">
        <w:rPr>
          <w:i/>
          <w:sz w:val="22"/>
          <w:lang w:val="pl-PL"/>
        </w:rPr>
        <w:t>powikłań zakrzepowych</w:t>
      </w:r>
      <w:r w:rsidR="00670D02">
        <w:rPr>
          <w:i/>
          <w:sz w:val="22"/>
          <w:lang w:val="pl-PL"/>
        </w:rPr>
        <w:t xml:space="preserve"> </w:t>
      </w:r>
      <w:r w:rsidR="00966D0C">
        <w:rPr>
          <w:i/>
          <w:sz w:val="22"/>
          <w:lang w:val="pl-PL"/>
        </w:rPr>
        <w:t xml:space="preserve">w </w:t>
      </w:r>
      <w:r w:rsidR="00670D02">
        <w:rPr>
          <w:i/>
          <w:sz w:val="22"/>
          <w:lang w:val="pl-PL"/>
        </w:rPr>
        <w:t>miażdżycy</w:t>
      </w:r>
    </w:p>
    <w:p w:rsidR="00BC4936" w:rsidRDefault="00BC4936">
      <w:pPr>
        <w:tabs>
          <w:tab w:val="left" w:pos="567"/>
        </w:tabs>
        <w:rPr>
          <w:sz w:val="22"/>
          <w:lang w:val="pl-PL"/>
        </w:rPr>
      </w:pPr>
      <w:r>
        <w:rPr>
          <w:sz w:val="22"/>
          <w:lang w:val="pl-PL"/>
        </w:rPr>
        <w:t xml:space="preserve">Klopidogrel wskazany jest </w:t>
      </w:r>
      <w:r w:rsidR="00C22471">
        <w:rPr>
          <w:sz w:val="22"/>
          <w:lang w:val="pl-PL"/>
        </w:rPr>
        <w:t>u</w:t>
      </w:r>
      <w:r>
        <w:rPr>
          <w:sz w:val="22"/>
          <w:lang w:val="pl-PL"/>
        </w:rPr>
        <w:t>:</w:t>
      </w:r>
    </w:p>
    <w:p w:rsidR="00BC4936" w:rsidRDefault="00BC4936">
      <w:pPr>
        <w:tabs>
          <w:tab w:val="left" w:pos="567"/>
        </w:tabs>
        <w:ind w:left="1080" w:hanging="540"/>
        <w:rPr>
          <w:sz w:val="22"/>
          <w:lang w:val="pl-PL"/>
        </w:rPr>
      </w:pPr>
    </w:p>
    <w:p w:rsidR="00BC4936" w:rsidRDefault="00FA2FCE">
      <w:pPr>
        <w:numPr>
          <w:ilvl w:val="0"/>
          <w:numId w:val="10"/>
        </w:numPr>
        <w:rPr>
          <w:sz w:val="22"/>
          <w:lang w:val="pl-PL"/>
        </w:rPr>
      </w:pPr>
      <w:r>
        <w:rPr>
          <w:sz w:val="22"/>
          <w:lang w:val="pl-PL"/>
        </w:rPr>
        <w:t xml:space="preserve">Dorosłych </w:t>
      </w:r>
      <w:r w:rsidR="00BC4936">
        <w:rPr>
          <w:sz w:val="22"/>
          <w:lang w:val="pl-PL"/>
        </w:rPr>
        <w:t>pacjentów z zawałem mięśnia sercowego (od kilku dni do mniej niż 35 dni), z</w:t>
      </w:r>
      <w:r w:rsidR="0006629F">
        <w:rPr>
          <w:sz w:val="22"/>
          <w:lang w:val="pl-PL"/>
        </w:rPr>
        <w:t> </w:t>
      </w:r>
      <w:r w:rsidR="00BC4936">
        <w:rPr>
          <w:sz w:val="22"/>
          <w:lang w:val="pl-PL"/>
        </w:rPr>
        <w:t xml:space="preserve">udarem niedokrwiennym (od 7 dni do mniej niż 6 miesięcy) </w:t>
      </w:r>
      <w:r w:rsidR="0006629F">
        <w:rPr>
          <w:sz w:val="22"/>
          <w:lang w:val="pl-PL"/>
        </w:rPr>
        <w:t>lub</w:t>
      </w:r>
      <w:r w:rsidR="00BC4936">
        <w:rPr>
          <w:sz w:val="22"/>
          <w:lang w:val="pl-PL"/>
        </w:rPr>
        <w:t xml:space="preserve"> z rozpoznaną chorobą tętnic obwodowych.</w:t>
      </w:r>
    </w:p>
    <w:p w:rsidR="00BC4936" w:rsidRDefault="00BC4936" w:rsidP="002A3419">
      <w:pPr>
        <w:tabs>
          <w:tab w:val="left" w:pos="567"/>
        </w:tabs>
        <w:rPr>
          <w:sz w:val="22"/>
          <w:lang w:val="pl-PL"/>
        </w:rPr>
      </w:pPr>
    </w:p>
    <w:p w:rsidR="00BC4936" w:rsidRPr="00742A0D" w:rsidRDefault="00FA2FCE" w:rsidP="002A3419">
      <w:pPr>
        <w:numPr>
          <w:ilvl w:val="0"/>
          <w:numId w:val="10"/>
        </w:numPr>
        <w:rPr>
          <w:sz w:val="22"/>
          <w:lang w:val="pl-PL"/>
        </w:rPr>
      </w:pPr>
      <w:r>
        <w:rPr>
          <w:sz w:val="22"/>
          <w:lang w:val="pl-PL"/>
        </w:rPr>
        <w:t xml:space="preserve">Dorosłych </w:t>
      </w:r>
      <w:r w:rsidR="00BC4936" w:rsidRPr="00742A0D">
        <w:rPr>
          <w:sz w:val="22"/>
          <w:lang w:val="pl-PL"/>
        </w:rPr>
        <w:t xml:space="preserve">pacjentów z ostrym zespołem wieńcowym: </w:t>
      </w:r>
    </w:p>
    <w:p w:rsidR="00BC4936" w:rsidRPr="00742A0D" w:rsidRDefault="00BC4936" w:rsidP="002A3419">
      <w:pPr>
        <w:ind w:left="1080" w:hanging="540"/>
        <w:rPr>
          <w:sz w:val="22"/>
          <w:lang w:val="pl-PL"/>
        </w:rPr>
      </w:pPr>
      <w:r>
        <w:rPr>
          <w:sz w:val="22"/>
          <w:lang w:val="pl-PL"/>
        </w:rPr>
        <w:t xml:space="preserve">- </w:t>
      </w:r>
      <w:r>
        <w:rPr>
          <w:sz w:val="22"/>
          <w:lang w:val="pl-PL"/>
        </w:rPr>
        <w:tab/>
        <w:t xml:space="preserve">bez uniesienia odcinka ST (niestabilna dławica piersiowa lub zawał mięśnia sercowego bez załamka Q), </w:t>
      </w:r>
      <w:r w:rsidR="00815855" w:rsidRPr="00742A0D">
        <w:rPr>
          <w:sz w:val="22"/>
          <w:lang w:val="pl-PL"/>
        </w:rPr>
        <w:t xml:space="preserve">w tym pacjentów, którym wszczepia się stent </w:t>
      </w:r>
      <w:r w:rsidR="00423E47" w:rsidRPr="00742A0D">
        <w:rPr>
          <w:sz w:val="22"/>
          <w:lang w:val="pl-PL"/>
        </w:rPr>
        <w:t>w</w:t>
      </w:r>
      <w:r w:rsidR="00815855" w:rsidRPr="00742A0D">
        <w:rPr>
          <w:sz w:val="22"/>
          <w:lang w:val="pl-PL"/>
        </w:rPr>
        <w:t xml:space="preserve"> </w:t>
      </w:r>
      <w:r w:rsidR="00423E47" w:rsidRPr="00742A0D">
        <w:rPr>
          <w:sz w:val="22"/>
          <w:lang w:val="pl-PL"/>
        </w:rPr>
        <w:t xml:space="preserve">czasie zabiegu </w:t>
      </w:r>
      <w:r w:rsidR="00815855" w:rsidRPr="00742A0D">
        <w:rPr>
          <w:sz w:val="22"/>
          <w:lang w:val="pl-PL"/>
        </w:rPr>
        <w:t>przezskórn</w:t>
      </w:r>
      <w:r w:rsidR="00423E47" w:rsidRPr="00742A0D">
        <w:rPr>
          <w:sz w:val="22"/>
          <w:lang w:val="pl-PL"/>
        </w:rPr>
        <w:t xml:space="preserve">ej angioplastyki </w:t>
      </w:r>
      <w:r w:rsidR="00815855" w:rsidRPr="00742A0D">
        <w:rPr>
          <w:sz w:val="22"/>
          <w:lang w:val="pl-PL"/>
        </w:rPr>
        <w:t>wieńcow</w:t>
      </w:r>
      <w:r w:rsidR="00423E47" w:rsidRPr="00742A0D">
        <w:rPr>
          <w:sz w:val="22"/>
          <w:lang w:val="pl-PL"/>
        </w:rPr>
        <w:t>ej</w:t>
      </w:r>
      <w:r w:rsidR="00815855" w:rsidRPr="00742A0D">
        <w:rPr>
          <w:sz w:val="22"/>
          <w:lang w:val="pl-PL"/>
        </w:rPr>
        <w:t xml:space="preserve">, </w:t>
      </w:r>
      <w:r w:rsidRPr="00742A0D">
        <w:rPr>
          <w:sz w:val="22"/>
          <w:lang w:val="pl-PL"/>
        </w:rPr>
        <w:t>w skojarzeniu z kwasem acetylosalicylowym (ang.</w:t>
      </w:r>
      <w:r w:rsidR="002A6DC3" w:rsidRPr="00742A0D">
        <w:rPr>
          <w:sz w:val="22"/>
          <w:lang w:val="pl-PL"/>
        </w:rPr>
        <w:t> </w:t>
      </w:r>
      <w:r w:rsidRPr="00742A0D">
        <w:rPr>
          <w:sz w:val="22"/>
          <w:lang w:val="pl-PL"/>
        </w:rPr>
        <w:t>ASA).</w:t>
      </w:r>
    </w:p>
    <w:p w:rsidR="00BC4936" w:rsidRPr="00742A0D" w:rsidRDefault="00BC4936" w:rsidP="002A3419">
      <w:pPr>
        <w:ind w:left="1080" w:hanging="540"/>
        <w:rPr>
          <w:sz w:val="22"/>
          <w:lang w:val="pl-PL"/>
        </w:rPr>
      </w:pPr>
      <w:r>
        <w:rPr>
          <w:sz w:val="22"/>
          <w:lang w:val="pl-PL"/>
        </w:rPr>
        <w:t xml:space="preserve">- </w:t>
      </w:r>
      <w:r>
        <w:rPr>
          <w:sz w:val="22"/>
          <w:lang w:val="pl-PL"/>
        </w:rPr>
        <w:tab/>
      </w:r>
      <w:bookmarkStart w:id="1" w:name="OLE_LINK1"/>
      <w:bookmarkStart w:id="2" w:name="OLE_LINK2"/>
      <w:r>
        <w:rPr>
          <w:sz w:val="22"/>
          <w:lang w:val="pl-PL"/>
        </w:rPr>
        <w:t>z ostrym zawałem mięśnia sercowego z uniesieniem odcinka ST, w</w:t>
      </w:r>
      <w:r w:rsidRPr="00742A0D">
        <w:rPr>
          <w:sz w:val="22"/>
          <w:lang w:val="pl-PL"/>
        </w:rPr>
        <w:t xml:space="preserve"> skojarzeniu z ASA, </w:t>
      </w:r>
      <w:bookmarkEnd w:id="1"/>
      <w:bookmarkEnd w:id="2"/>
      <w:r w:rsidRPr="00742A0D">
        <w:rPr>
          <w:sz w:val="22"/>
          <w:lang w:val="pl-PL"/>
        </w:rPr>
        <w:t>u</w:t>
      </w:r>
      <w:r w:rsidR="002A6DC3" w:rsidRPr="00742A0D">
        <w:rPr>
          <w:sz w:val="22"/>
          <w:lang w:val="pl-PL"/>
        </w:rPr>
        <w:t> </w:t>
      </w:r>
      <w:r w:rsidRPr="00742A0D">
        <w:rPr>
          <w:sz w:val="22"/>
          <w:lang w:val="pl-PL"/>
        </w:rPr>
        <w:t>pacjentów leczonych zachowawczo kwalifikujących się do leczenia trombolitycznego.</w:t>
      </w:r>
    </w:p>
    <w:p w:rsidR="00BC4936" w:rsidRDefault="00BC4936">
      <w:pPr>
        <w:pStyle w:val="Header"/>
        <w:tabs>
          <w:tab w:val="clear" w:pos="4536"/>
          <w:tab w:val="clear" w:pos="9072"/>
          <w:tab w:val="right" w:pos="540"/>
        </w:tabs>
        <w:rPr>
          <w:lang w:val="pl-PL"/>
        </w:rPr>
      </w:pPr>
    </w:p>
    <w:p w:rsidR="00176E80" w:rsidRPr="00176E80" w:rsidRDefault="00176E80" w:rsidP="00176E80">
      <w:pPr>
        <w:tabs>
          <w:tab w:val="right" w:pos="540"/>
        </w:tabs>
        <w:rPr>
          <w:sz w:val="22"/>
          <w:szCs w:val="22"/>
          <w:lang w:val="pl-PL"/>
        </w:rPr>
      </w:pPr>
      <w:r w:rsidRPr="00176E80">
        <w:rPr>
          <w:i/>
          <w:iCs/>
          <w:sz w:val="22"/>
          <w:szCs w:val="22"/>
          <w:lang w:val="pl-PL"/>
        </w:rPr>
        <w:t xml:space="preserve">U pacjentów z umiarkowanym </w:t>
      </w:r>
      <w:r w:rsidR="007D6745">
        <w:rPr>
          <w:i/>
          <w:iCs/>
          <w:sz w:val="22"/>
          <w:szCs w:val="22"/>
          <w:lang w:val="pl-PL"/>
        </w:rPr>
        <w:t>do</w:t>
      </w:r>
      <w:r w:rsidRPr="00176E80">
        <w:rPr>
          <w:i/>
          <w:iCs/>
          <w:sz w:val="22"/>
          <w:szCs w:val="22"/>
          <w:lang w:val="pl-PL"/>
        </w:rPr>
        <w:t xml:space="preserve"> wysok</w:t>
      </w:r>
      <w:r w:rsidR="005F0D6B">
        <w:rPr>
          <w:i/>
          <w:iCs/>
          <w:sz w:val="22"/>
          <w:szCs w:val="22"/>
          <w:lang w:val="pl-PL"/>
        </w:rPr>
        <w:t>i</w:t>
      </w:r>
      <w:r w:rsidR="007D6745">
        <w:rPr>
          <w:i/>
          <w:iCs/>
          <w:sz w:val="22"/>
          <w:szCs w:val="22"/>
          <w:lang w:val="pl-PL"/>
        </w:rPr>
        <w:t>ego</w:t>
      </w:r>
      <w:r w:rsidRPr="00176E80">
        <w:rPr>
          <w:i/>
          <w:iCs/>
          <w:sz w:val="22"/>
          <w:szCs w:val="22"/>
          <w:lang w:val="pl-PL"/>
        </w:rPr>
        <w:t xml:space="preserve"> ryzykiem przemijającego</w:t>
      </w:r>
      <w:r w:rsidR="002666EA">
        <w:rPr>
          <w:i/>
          <w:iCs/>
          <w:sz w:val="22"/>
          <w:szCs w:val="22"/>
          <w:lang w:val="pl-PL"/>
        </w:rPr>
        <w:t xml:space="preserve"> </w:t>
      </w:r>
      <w:r w:rsidRPr="00176E80">
        <w:rPr>
          <w:i/>
          <w:iCs/>
          <w:sz w:val="22"/>
          <w:szCs w:val="22"/>
          <w:lang w:val="pl-PL"/>
        </w:rPr>
        <w:t>niedokrwienia mózgu (ang.</w:t>
      </w:r>
      <w:r w:rsidR="001D7D47">
        <w:rPr>
          <w:i/>
          <w:iCs/>
          <w:sz w:val="22"/>
          <w:szCs w:val="22"/>
          <w:lang w:val="pl-PL"/>
        </w:rPr>
        <w:t xml:space="preserve"> </w:t>
      </w:r>
      <w:r w:rsidR="001D7D47" w:rsidRPr="00176E80">
        <w:rPr>
          <w:i/>
          <w:iCs/>
          <w:sz w:val="22"/>
          <w:szCs w:val="22"/>
          <w:lang w:val="pl-PL"/>
        </w:rPr>
        <w:t>TIA</w:t>
      </w:r>
      <w:r w:rsidR="001D7D47">
        <w:rPr>
          <w:i/>
          <w:iCs/>
          <w:sz w:val="22"/>
          <w:szCs w:val="22"/>
          <w:lang w:val="pl-PL"/>
        </w:rPr>
        <w:t xml:space="preserve"> -</w:t>
      </w:r>
      <w:r w:rsidRPr="00176E80">
        <w:rPr>
          <w:sz w:val="22"/>
          <w:szCs w:val="22"/>
          <w:lang w:val="pl-PL"/>
        </w:rPr>
        <w:t xml:space="preserve"> </w:t>
      </w:r>
      <w:r w:rsidRPr="00176E80">
        <w:rPr>
          <w:i/>
          <w:iCs/>
          <w:sz w:val="22"/>
          <w:szCs w:val="22"/>
          <w:lang w:val="pl-PL"/>
        </w:rPr>
        <w:t xml:space="preserve">Transient Ischemic Attack) lub </w:t>
      </w:r>
      <w:r w:rsidR="007D6745">
        <w:rPr>
          <w:i/>
          <w:iCs/>
          <w:sz w:val="22"/>
          <w:szCs w:val="22"/>
          <w:lang w:val="pl-PL"/>
        </w:rPr>
        <w:t>niewielkim</w:t>
      </w:r>
      <w:r w:rsidRPr="00176E80">
        <w:rPr>
          <w:i/>
          <w:iCs/>
          <w:sz w:val="22"/>
          <w:szCs w:val="22"/>
          <w:lang w:val="pl-PL"/>
        </w:rPr>
        <w:t xml:space="preserve"> udarem niedokrwiennym (ang.</w:t>
      </w:r>
      <w:r w:rsidR="001D7D47" w:rsidRPr="00176E80">
        <w:rPr>
          <w:i/>
          <w:iCs/>
          <w:sz w:val="22"/>
          <w:szCs w:val="22"/>
          <w:lang w:val="pl-PL"/>
        </w:rPr>
        <w:t xml:space="preserve"> IS</w:t>
      </w:r>
      <w:r w:rsidR="001D7D47">
        <w:rPr>
          <w:i/>
          <w:iCs/>
          <w:sz w:val="22"/>
          <w:szCs w:val="22"/>
          <w:lang w:val="pl-PL"/>
        </w:rPr>
        <w:t xml:space="preserve"> - </w:t>
      </w:r>
      <w:r w:rsidRPr="00176E80">
        <w:rPr>
          <w:sz w:val="22"/>
          <w:szCs w:val="22"/>
          <w:lang w:val="pl-PL"/>
        </w:rPr>
        <w:t xml:space="preserve"> </w:t>
      </w:r>
      <w:r w:rsidRPr="00176E80">
        <w:rPr>
          <w:i/>
          <w:iCs/>
          <w:sz w:val="22"/>
          <w:szCs w:val="22"/>
          <w:lang w:val="pl-PL"/>
        </w:rPr>
        <w:t xml:space="preserve">Ischemic Stroke) </w:t>
      </w:r>
    </w:p>
    <w:p w:rsidR="00176E80" w:rsidRPr="00176E80" w:rsidRDefault="001F518A" w:rsidP="00176E80">
      <w:pPr>
        <w:tabs>
          <w:tab w:val="left" w:pos="567"/>
        </w:tabs>
        <w:rPr>
          <w:sz w:val="22"/>
          <w:szCs w:val="22"/>
          <w:lang w:val="pl-PL"/>
        </w:rPr>
      </w:pPr>
      <w:r>
        <w:rPr>
          <w:sz w:val="22"/>
          <w:szCs w:val="22"/>
          <w:lang w:val="pl-PL"/>
        </w:rPr>
        <w:t>K</w:t>
      </w:r>
      <w:r w:rsidR="00176E80" w:rsidRPr="00176E80">
        <w:rPr>
          <w:sz w:val="22"/>
          <w:szCs w:val="22"/>
          <w:lang w:val="pl-PL"/>
        </w:rPr>
        <w:t>lopidogrel w skojarzeniu z ASA wskazany jest u:</w:t>
      </w:r>
    </w:p>
    <w:p w:rsidR="00176E80" w:rsidRPr="00176E80" w:rsidRDefault="00176E80" w:rsidP="00176E80">
      <w:pPr>
        <w:tabs>
          <w:tab w:val="left" w:pos="567"/>
        </w:tabs>
        <w:rPr>
          <w:sz w:val="22"/>
          <w:lang w:val="pl-PL"/>
        </w:rPr>
      </w:pPr>
      <w:r w:rsidRPr="00176E80">
        <w:rPr>
          <w:sz w:val="22"/>
          <w:lang w:val="pl-PL"/>
        </w:rPr>
        <w:lastRenderedPageBreak/>
        <w:t>-</w:t>
      </w:r>
      <w:r w:rsidRPr="00176E80">
        <w:rPr>
          <w:sz w:val="22"/>
          <w:lang w:val="pl-PL"/>
        </w:rPr>
        <w:tab/>
        <w:t>dorosłych</w:t>
      </w:r>
      <w:r w:rsidR="001F518A">
        <w:rPr>
          <w:sz w:val="22"/>
          <w:lang w:val="pl-PL"/>
        </w:rPr>
        <w:t xml:space="preserve"> pacjentów</w:t>
      </w:r>
      <w:r w:rsidRPr="00176E80">
        <w:rPr>
          <w:sz w:val="22"/>
          <w:lang w:val="pl-PL"/>
        </w:rPr>
        <w:t xml:space="preserve"> z umiarkowanym </w:t>
      </w:r>
      <w:r w:rsidR="007D6745">
        <w:rPr>
          <w:sz w:val="22"/>
          <w:lang w:val="pl-PL"/>
        </w:rPr>
        <w:t>do</w:t>
      </w:r>
      <w:r w:rsidRPr="00176E80">
        <w:rPr>
          <w:sz w:val="22"/>
          <w:lang w:val="pl-PL"/>
        </w:rPr>
        <w:t xml:space="preserve"> wysoki</w:t>
      </w:r>
      <w:r w:rsidR="007D6745">
        <w:rPr>
          <w:sz w:val="22"/>
          <w:lang w:val="pl-PL"/>
        </w:rPr>
        <w:t>ego</w:t>
      </w:r>
      <w:r w:rsidRPr="00176E80">
        <w:rPr>
          <w:sz w:val="22"/>
          <w:lang w:val="pl-PL"/>
        </w:rPr>
        <w:t xml:space="preserve"> ryzykiem</w:t>
      </w:r>
      <w:r w:rsidR="000D01D1">
        <w:rPr>
          <w:sz w:val="22"/>
          <w:lang w:val="pl-PL"/>
        </w:rPr>
        <w:t xml:space="preserve"> </w:t>
      </w:r>
      <w:r w:rsidR="006F6F4D">
        <w:rPr>
          <w:sz w:val="22"/>
          <w:lang w:val="pl-PL"/>
        </w:rPr>
        <w:t>wystąpienia TIA</w:t>
      </w:r>
      <w:r w:rsidR="000D01D1">
        <w:rPr>
          <w:sz w:val="22"/>
          <w:lang w:val="pl-PL"/>
        </w:rPr>
        <w:t xml:space="preserve"> </w:t>
      </w:r>
      <w:r w:rsidRPr="00176E80">
        <w:rPr>
          <w:sz w:val="22"/>
          <w:lang w:val="pl-PL"/>
        </w:rPr>
        <w:t>(</w:t>
      </w:r>
      <w:r w:rsidR="000D01D1" w:rsidRPr="00711757">
        <w:rPr>
          <w:sz w:val="22"/>
          <w:lang w:val="pl-PL"/>
        </w:rPr>
        <w:t>wynik</w:t>
      </w:r>
      <w:r w:rsidRPr="00711757">
        <w:rPr>
          <w:sz w:val="22"/>
          <w:lang w:val="pl-PL"/>
        </w:rPr>
        <w:t xml:space="preserve"> ABCD2</w:t>
      </w:r>
      <w:r w:rsidRPr="00711757">
        <w:rPr>
          <w:sz w:val="22"/>
          <w:vertAlign w:val="superscript"/>
          <w:lang w:val="pl-PL"/>
        </w:rPr>
        <w:footnoteReference w:id="2"/>
      </w:r>
      <w:r w:rsidRPr="00176E80">
        <w:rPr>
          <w:sz w:val="22"/>
          <w:lang w:val="pl-PL"/>
        </w:rPr>
        <w:t xml:space="preserve"> ≥4) lub </w:t>
      </w:r>
      <w:r w:rsidR="007D6745">
        <w:rPr>
          <w:sz w:val="22"/>
          <w:lang w:val="pl-PL"/>
        </w:rPr>
        <w:t>niewielkiego</w:t>
      </w:r>
      <w:r w:rsidRPr="00176E80">
        <w:rPr>
          <w:sz w:val="22"/>
          <w:lang w:val="pl-PL"/>
        </w:rPr>
        <w:t xml:space="preserve"> IS (NIHSS</w:t>
      </w:r>
      <w:r w:rsidRPr="00176E80">
        <w:rPr>
          <w:sz w:val="22"/>
          <w:vertAlign w:val="superscript"/>
          <w:lang w:val="pl-PL"/>
        </w:rPr>
        <w:footnoteReference w:id="3"/>
      </w:r>
      <w:r w:rsidRPr="00176E80">
        <w:rPr>
          <w:sz w:val="22"/>
          <w:vertAlign w:val="superscript"/>
          <w:lang w:val="pl-PL"/>
        </w:rPr>
        <w:t xml:space="preserve"> </w:t>
      </w:r>
      <w:r w:rsidR="00825F43" w:rsidRPr="00711757">
        <w:rPr>
          <w:sz w:val="22"/>
          <w:szCs w:val="22"/>
          <w:lang w:val="pl-PL"/>
        </w:rPr>
        <w:t>≤</w:t>
      </w:r>
      <w:r w:rsidRPr="00176E80">
        <w:rPr>
          <w:sz w:val="22"/>
          <w:lang w:val="pl-PL"/>
        </w:rPr>
        <w:t xml:space="preserve">3) w ciągu 24 godzin od wystąpienia TIA lub IS. </w:t>
      </w:r>
    </w:p>
    <w:p w:rsidR="002B671A" w:rsidRPr="002B671A" w:rsidRDefault="002B671A">
      <w:pPr>
        <w:pStyle w:val="Header"/>
        <w:tabs>
          <w:tab w:val="clear" w:pos="4536"/>
          <w:tab w:val="clear" w:pos="9072"/>
          <w:tab w:val="right" w:pos="540"/>
        </w:tabs>
        <w:rPr>
          <w:lang w:val="pl-PL"/>
        </w:rPr>
      </w:pPr>
    </w:p>
    <w:p w:rsidR="001E6217" w:rsidRPr="00421448" w:rsidRDefault="0002533B" w:rsidP="00E25841">
      <w:pPr>
        <w:keepNext/>
        <w:tabs>
          <w:tab w:val="left" w:pos="2400"/>
          <w:tab w:val="left" w:pos="7280"/>
        </w:tabs>
        <w:ind w:right="-28"/>
        <w:rPr>
          <w:i/>
          <w:sz w:val="22"/>
          <w:szCs w:val="22"/>
          <w:lang w:val="pl-PL"/>
        </w:rPr>
      </w:pPr>
      <w:r w:rsidRPr="00421448">
        <w:rPr>
          <w:i/>
          <w:sz w:val="22"/>
          <w:szCs w:val="22"/>
          <w:lang w:val="pl-PL"/>
        </w:rPr>
        <w:t xml:space="preserve">Profilaktyka powikłań </w:t>
      </w:r>
      <w:r w:rsidR="00966D0C">
        <w:rPr>
          <w:i/>
          <w:sz w:val="22"/>
          <w:szCs w:val="22"/>
          <w:lang w:val="pl-PL"/>
        </w:rPr>
        <w:t>zakrzepowych w</w:t>
      </w:r>
      <w:r w:rsidRPr="00421448">
        <w:rPr>
          <w:i/>
          <w:sz w:val="22"/>
          <w:szCs w:val="22"/>
          <w:lang w:val="pl-PL"/>
        </w:rPr>
        <w:t xml:space="preserve"> miażdżycy i zakrzepowo-zatorowych </w:t>
      </w:r>
      <w:r w:rsidR="00966D0C">
        <w:rPr>
          <w:i/>
          <w:sz w:val="22"/>
          <w:szCs w:val="22"/>
          <w:lang w:val="pl-PL"/>
        </w:rPr>
        <w:t xml:space="preserve">w </w:t>
      </w:r>
      <w:r w:rsidRPr="00421448">
        <w:rPr>
          <w:i/>
          <w:sz w:val="22"/>
          <w:szCs w:val="22"/>
          <w:lang w:val="pl-PL"/>
        </w:rPr>
        <w:t>migotani</w:t>
      </w:r>
      <w:r w:rsidR="004200AB">
        <w:rPr>
          <w:i/>
          <w:sz w:val="22"/>
          <w:szCs w:val="22"/>
          <w:lang w:val="pl-PL"/>
        </w:rPr>
        <w:t>u</w:t>
      </w:r>
      <w:r w:rsidRPr="00421448">
        <w:rPr>
          <w:i/>
          <w:sz w:val="22"/>
          <w:szCs w:val="22"/>
          <w:lang w:val="pl-PL"/>
        </w:rPr>
        <w:t xml:space="preserve"> przedsionków</w:t>
      </w:r>
    </w:p>
    <w:p w:rsidR="0002533B" w:rsidRPr="00421448" w:rsidRDefault="0002533B" w:rsidP="00E25841">
      <w:pPr>
        <w:keepNext/>
        <w:tabs>
          <w:tab w:val="left" w:pos="2400"/>
          <w:tab w:val="left" w:pos="7280"/>
        </w:tabs>
        <w:ind w:right="-28"/>
        <w:rPr>
          <w:sz w:val="22"/>
          <w:szCs w:val="22"/>
          <w:lang w:val="pl-PL"/>
        </w:rPr>
      </w:pPr>
      <w:bookmarkStart w:id="3" w:name="OLE_LINK32"/>
      <w:bookmarkStart w:id="4" w:name="OLE_LINK28"/>
      <w:bookmarkStart w:id="5" w:name="OLE_LINK33"/>
      <w:r w:rsidRPr="00421448">
        <w:rPr>
          <w:sz w:val="22"/>
          <w:szCs w:val="22"/>
          <w:lang w:val="pl-PL"/>
        </w:rPr>
        <w:t xml:space="preserve">U dorosłych pacjentów z migotaniem przedsionków i przynajmniej jednym czynnikiem ryzyka powikłań naczyniowych, u których leczenie antagonistami witaminy K </w:t>
      </w:r>
      <w:r w:rsidR="00CC14AA">
        <w:rPr>
          <w:sz w:val="22"/>
          <w:szCs w:val="22"/>
          <w:lang w:val="pl-PL"/>
        </w:rPr>
        <w:t>nie może być zastosowane</w:t>
      </w:r>
      <w:r w:rsidRPr="00421448">
        <w:rPr>
          <w:sz w:val="22"/>
          <w:szCs w:val="22"/>
          <w:lang w:val="pl-PL"/>
        </w:rPr>
        <w:t>, a</w:t>
      </w:r>
      <w:r w:rsidR="0006629F">
        <w:rPr>
          <w:sz w:val="22"/>
          <w:szCs w:val="22"/>
          <w:lang w:val="pl-PL"/>
        </w:rPr>
        <w:t> </w:t>
      </w:r>
      <w:r w:rsidRPr="00421448">
        <w:rPr>
          <w:sz w:val="22"/>
          <w:szCs w:val="22"/>
          <w:lang w:val="pl-PL"/>
        </w:rPr>
        <w:t xml:space="preserve">ryzyko krwawienia jest niewielkie, klopidogrel w skojarzeniu z kwasem acetylosalicylowym stosuje się w celu profilaktyki powikłań zakrzepowych </w:t>
      </w:r>
      <w:r w:rsidR="00CC14AA">
        <w:rPr>
          <w:sz w:val="22"/>
          <w:szCs w:val="22"/>
          <w:lang w:val="pl-PL"/>
        </w:rPr>
        <w:t xml:space="preserve">w </w:t>
      </w:r>
      <w:r w:rsidRPr="00421448">
        <w:rPr>
          <w:sz w:val="22"/>
          <w:szCs w:val="22"/>
          <w:lang w:val="pl-PL"/>
        </w:rPr>
        <w:t>miażdżycy i powikłań zakrzepowo-zatorowych, w</w:t>
      </w:r>
      <w:r w:rsidR="0006629F">
        <w:rPr>
          <w:sz w:val="22"/>
          <w:szCs w:val="22"/>
          <w:lang w:val="pl-PL"/>
        </w:rPr>
        <w:t> </w:t>
      </w:r>
      <w:r w:rsidRPr="00421448">
        <w:rPr>
          <w:sz w:val="22"/>
          <w:szCs w:val="22"/>
          <w:lang w:val="pl-PL"/>
        </w:rPr>
        <w:t>tym udaru.</w:t>
      </w:r>
    </w:p>
    <w:bookmarkEnd w:id="3"/>
    <w:bookmarkEnd w:id="4"/>
    <w:bookmarkEnd w:id="5"/>
    <w:p w:rsidR="00FA2FCE" w:rsidRPr="00FA2FCE" w:rsidRDefault="00FA2FCE">
      <w:pPr>
        <w:tabs>
          <w:tab w:val="left" w:pos="567"/>
        </w:tabs>
        <w:rPr>
          <w:i/>
          <w:sz w:val="22"/>
          <w:lang w:val="pl-PL"/>
        </w:rPr>
      </w:pPr>
    </w:p>
    <w:p w:rsidR="00BC4936" w:rsidRDefault="00BC4936">
      <w:pPr>
        <w:tabs>
          <w:tab w:val="left" w:pos="567"/>
        </w:tabs>
        <w:rPr>
          <w:sz w:val="22"/>
          <w:lang w:val="pl-PL"/>
        </w:rPr>
      </w:pPr>
      <w:r>
        <w:rPr>
          <w:sz w:val="22"/>
          <w:lang w:val="pl-PL"/>
        </w:rPr>
        <w:t>W celu uzyskania dodatkowych informacji, patrz punkt 5.1.</w:t>
      </w:r>
    </w:p>
    <w:p w:rsidR="00BC4936" w:rsidRDefault="00BC4936">
      <w:pPr>
        <w:tabs>
          <w:tab w:val="left" w:pos="567"/>
        </w:tabs>
        <w:rPr>
          <w:sz w:val="22"/>
          <w:lang w:val="pl-PL"/>
        </w:rPr>
      </w:pPr>
    </w:p>
    <w:p w:rsidR="00BC4936" w:rsidRDefault="00BC4936" w:rsidP="004363B4">
      <w:pPr>
        <w:pStyle w:val="Heading2"/>
        <w:numPr>
          <w:ilvl w:val="1"/>
          <w:numId w:val="2"/>
        </w:numPr>
        <w:tabs>
          <w:tab w:val="clear" w:pos="360"/>
          <w:tab w:val="left" w:pos="567"/>
        </w:tabs>
        <w:spacing w:before="0" w:after="0"/>
        <w:ind w:left="0" w:firstLine="0"/>
        <w:rPr>
          <w:rFonts w:ascii="Times New Roman" w:hAnsi="Times New Roman"/>
          <w:i w:val="0"/>
          <w:sz w:val="22"/>
          <w:lang w:val="pl-PL"/>
        </w:rPr>
      </w:pPr>
      <w:r>
        <w:rPr>
          <w:rFonts w:ascii="Times New Roman" w:hAnsi="Times New Roman"/>
          <w:i w:val="0"/>
          <w:sz w:val="22"/>
          <w:lang w:val="pl-PL"/>
        </w:rPr>
        <w:t>Dawkowanie i sposób podawania</w:t>
      </w:r>
    </w:p>
    <w:p w:rsidR="00FA2FCE" w:rsidRDefault="00FA2FCE" w:rsidP="00A64B0E">
      <w:pPr>
        <w:keepNext/>
        <w:rPr>
          <w:sz w:val="22"/>
          <w:lang w:val="pl-PL"/>
        </w:rPr>
      </w:pPr>
    </w:p>
    <w:p w:rsidR="00BC4936" w:rsidRPr="00801F86" w:rsidRDefault="00FA2FCE" w:rsidP="00A64B0E">
      <w:pPr>
        <w:keepNext/>
        <w:rPr>
          <w:sz w:val="22"/>
          <w:u w:val="single"/>
          <w:lang w:val="pl-PL"/>
        </w:rPr>
      </w:pPr>
      <w:r w:rsidRPr="00801F86">
        <w:rPr>
          <w:sz w:val="22"/>
          <w:u w:val="single"/>
          <w:lang w:val="pl-PL"/>
        </w:rPr>
        <w:t>Dawkowanie</w:t>
      </w:r>
    </w:p>
    <w:p w:rsidR="00BC4936" w:rsidRDefault="00BC4936" w:rsidP="00A64B0E">
      <w:pPr>
        <w:keepNext/>
        <w:numPr>
          <w:ilvl w:val="0"/>
          <w:numId w:val="11"/>
        </w:numPr>
        <w:rPr>
          <w:sz w:val="22"/>
          <w:lang w:val="pl-PL"/>
        </w:rPr>
      </w:pPr>
      <w:r w:rsidRPr="0032595E">
        <w:rPr>
          <w:sz w:val="22"/>
          <w:lang w:val="pl-PL"/>
        </w:rPr>
        <w:t>Dorośli</w:t>
      </w:r>
      <w:r>
        <w:rPr>
          <w:sz w:val="22"/>
          <w:lang w:val="pl-PL"/>
        </w:rPr>
        <w:t xml:space="preserve"> i osoby w podeszłym wieku</w:t>
      </w:r>
    </w:p>
    <w:p w:rsidR="00371A85" w:rsidRDefault="00371A85" w:rsidP="00A64B0E">
      <w:pPr>
        <w:keepNext/>
        <w:tabs>
          <w:tab w:val="left" w:pos="567"/>
        </w:tabs>
        <w:rPr>
          <w:sz w:val="22"/>
          <w:lang w:val="pl-PL"/>
        </w:rPr>
      </w:pPr>
    </w:p>
    <w:p w:rsidR="00BC4936" w:rsidRPr="00BD6C12" w:rsidRDefault="00371A85" w:rsidP="00A64B0E">
      <w:pPr>
        <w:keepNext/>
        <w:tabs>
          <w:tab w:val="left" w:pos="567"/>
        </w:tabs>
        <w:rPr>
          <w:sz w:val="22"/>
          <w:u w:val="single"/>
          <w:lang w:val="pl-PL"/>
        </w:rPr>
      </w:pPr>
      <w:r w:rsidRPr="00BD6C12">
        <w:rPr>
          <w:sz w:val="22"/>
          <w:u w:val="single"/>
          <w:lang w:val="pl-PL"/>
        </w:rPr>
        <w:t>Plavix 75 mg tabletki powlekane</w:t>
      </w:r>
    </w:p>
    <w:p w:rsidR="0021047C" w:rsidRDefault="00BC4936" w:rsidP="00BD6C12">
      <w:pPr>
        <w:keepNext/>
        <w:ind w:left="709"/>
        <w:rPr>
          <w:sz w:val="22"/>
          <w:szCs w:val="22"/>
          <w:lang w:val="pl-PL"/>
        </w:rPr>
      </w:pPr>
      <w:r w:rsidRPr="002A6DC3">
        <w:rPr>
          <w:sz w:val="22"/>
          <w:szCs w:val="22"/>
          <w:lang w:val="pl-PL"/>
        </w:rPr>
        <w:t>Klopidogrel należy podawać w pojedynczej dawce 75 mg na dobę</w:t>
      </w:r>
      <w:r w:rsidR="002A6DC3" w:rsidRPr="002A6DC3">
        <w:rPr>
          <w:sz w:val="22"/>
          <w:szCs w:val="22"/>
          <w:lang w:val="pl-PL"/>
        </w:rPr>
        <w:t>.</w:t>
      </w:r>
      <w:r w:rsidRPr="002A6DC3">
        <w:rPr>
          <w:sz w:val="22"/>
          <w:szCs w:val="22"/>
          <w:lang w:val="pl-PL"/>
        </w:rPr>
        <w:t xml:space="preserve"> </w:t>
      </w:r>
    </w:p>
    <w:p w:rsidR="006A4CDC" w:rsidRDefault="006A4CDC" w:rsidP="00A64B0E">
      <w:pPr>
        <w:keepNext/>
        <w:ind w:left="567"/>
        <w:rPr>
          <w:sz w:val="22"/>
          <w:szCs w:val="22"/>
          <w:lang w:val="pl-PL"/>
        </w:rPr>
      </w:pPr>
    </w:p>
    <w:p w:rsidR="0021047C" w:rsidRPr="00BD6C12" w:rsidRDefault="006A4CDC" w:rsidP="002A6DC3">
      <w:pPr>
        <w:rPr>
          <w:sz w:val="22"/>
          <w:szCs w:val="22"/>
          <w:u w:val="single"/>
          <w:lang w:val="pl-PL"/>
        </w:rPr>
      </w:pPr>
      <w:r w:rsidRPr="00BD6C12">
        <w:rPr>
          <w:sz w:val="22"/>
          <w:szCs w:val="22"/>
          <w:u w:val="single"/>
          <w:lang w:val="pl-PL"/>
        </w:rPr>
        <w:t>Plavix 300 mg tabletki powlekane</w:t>
      </w:r>
    </w:p>
    <w:p w:rsidR="006A4CDC" w:rsidRDefault="006A4CDC" w:rsidP="00BD6C12">
      <w:pPr>
        <w:ind w:left="567"/>
        <w:rPr>
          <w:sz w:val="22"/>
          <w:szCs w:val="22"/>
          <w:lang w:val="pl-PL"/>
        </w:rPr>
      </w:pPr>
      <w:r w:rsidRPr="006A4CDC">
        <w:rPr>
          <w:sz w:val="22"/>
          <w:szCs w:val="22"/>
          <w:lang w:val="pl-PL"/>
        </w:rPr>
        <w:t>Tabletka 300 mg klopidogrelu jest przeznaczona do stosowania jako dawka nasycająca</w:t>
      </w:r>
      <w:r>
        <w:rPr>
          <w:sz w:val="22"/>
          <w:szCs w:val="22"/>
          <w:lang w:val="pl-PL"/>
        </w:rPr>
        <w:t>.</w:t>
      </w:r>
    </w:p>
    <w:p w:rsidR="006A4CDC" w:rsidRDefault="006A4CDC" w:rsidP="002A6DC3">
      <w:pPr>
        <w:rPr>
          <w:sz w:val="22"/>
          <w:szCs w:val="22"/>
          <w:lang w:val="pl-PL"/>
        </w:rPr>
      </w:pPr>
    </w:p>
    <w:p w:rsidR="00BC4936" w:rsidRPr="002A6DC3" w:rsidRDefault="00BC4936" w:rsidP="00A64B0E">
      <w:pPr>
        <w:ind w:left="567"/>
        <w:rPr>
          <w:sz w:val="22"/>
          <w:szCs w:val="22"/>
          <w:lang w:val="pl-PL"/>
        </w:rPr>
      </w:pPr>
      <w:r w:rsidRPr="002A6DC3">
        <w:rPr>
          <w:sz w:val="22"/>
          <w:szCs w:val="22"/>
          <w:lang w:val="pl-PL"/>
        </w:rPr>
        <w:t>U pacjentów z ostrym zespołem wieńcowym:</w:t>
      </w:r>
    </w:p>
    <w:p w:rsidR="00BC4936" w:rsidRDefault="00BC4936">
      <w:pPr>
        <w:tabs>
          <w:tab w:val="left" w:pos="1080"/>
        </w:tabs>
        <w:ind w:left="1080" w:hanging="513"/>
        <w:rPr>
          <w:sz w:val="22"/>
          <w:lang w:val="pl-PL"/>
        </w:rPr>
      </w:pPr>
      <w:r>
        <w:rPr>
          <w:sz w:val="22"/>
          <w:lang w:val="pl-PL"/>
        </w:rPr>
        <w:t>-</w:t>
      </w:r>
      <w:r>
        <w:rPr>
          <w:sz w:val="22"/>
          <w:lang w:val="pl-PL"/>
        </w:rPr>
        <w:tab/>
        <w:t>bez uniesienia odcinka ST (niestabilna dławica piersiowa lub zawał mięśnia sercowego bez załamka Q)</w:t>
      </w:r>
      <w:r w:rsidR="004B20AA">
        <w:rPr>
          <w:sz w:val="22"/>
          <w:lang w:val="pl-PL"/>
        </w:rPr>
        <w:t>:</w:t>
      </w:r>
      <w:r>
        <w:rPr>
          <w:sz w:val="22"/>
          <w:lang w:val="pl-PL"/>
        </w:rPr>
        <w:t xml:space="preserve"> leczenie klopidogrelem należy rozpocząć od pojedynczej dawki </w:t>
      </w:r>
      <w:r w:rsidR="00A2638A">
        <w:rPr>
          <w:sz w:val="22"/>
          <w:lang w:val="pl-PL"/>
        </w:rPr>
        <w:t xml:space="preserve">nasycającej </w:t>
      </w:r>
      <w:r>
        <w:rPr>
          <w:sz w:val="22"/>
          <w:lang w:val="pl-PL"/>
        </w:rPr>
        <w:t xml:space="preserve">300 mg i następnie kontynuować dawką 75 mg raz na dobę </w:t>
      </w:r>
      <w:r w:rsidR="0006629F">
        <w:rPr>
          <w:sz w:val="22"/>
          <w:lang w:val="pl-PL"/>
        </w:rPr>
        <w:t>[</w:t>
      </w:r>
      <w:r>
        <w:rPr>
          <w:sz w:val="22"/>
          <w:lang w:val="pl-PL"/>
        </w:rPr>
        <w:t>z kwasem acetylosalicylowym (ASA) 75 mg do 325 mg na dobę</w:t>
      </w:r>
      <w:r w:rsidR="0006629F">
        <w:rPr>
          <w:sz w:val="22"/>
          <w:lang w:val="pl-PL"/>
        </w:rPr>
        <w:t>]</w:t>
      </w:r>
      <w:r>
        <w:rPr>
          <w:sz w:val="22"/>
          <w:lang w:val="pl-PL"/>
        </w:rPr>
        <w:t xml:space="preserve">. Ponieważ </w:t>
      </w:r>
      <w:r w:rsidR="00A2638A">
        <w:rPr>
          <w:sz w:val="22"/>
          <w:lang w:val="pl-PL"/>
        </w:rPr>
        <w:t>większe</w:t>
      </w:r>
      <w:r>
        <w:rPr>
          <w:sz w:val="22"/>
          <w:lang w:val="pl-PL"/>
        </w:rPr>
        <w:t xml:space="preserve"> dawki ASA były związane z większym ryzykiem krwawienia, zaleca się żeby dawka ASA nie była </w:t>
      </w:r>
      <w:r w:rsidR="00A2638A">
        <w:rPr>
          <w:sz w:val="22"/>
          <w:lang w:val="pl-PL"/>
        </w:rPr>
        <w:t xml:space="preserve">większa </w:t>
      </w:r>
      <w:r>
        <w:rPr>
          <w:sz w:val="22"/>
          <w:lang w:val="pl-PL"/>
        </w:rPr>
        <w:t xml:space="preserve">niż 100 mg. Optymalny czas trwania leczenia nie został </w:t>
      </w:r>
      <w:r w:rsidR="0006629F">
        <w:rPr>
          <w:sz w:val="22"/>
          <w:lang w:val="pl-PL"/>
        </w:rPr>
        <w:t xml:space="preserve">jednoznacznie </w:t>
      </w:r>
      <w:r>
        <w:rPr>
          <w:sz w:val="22"/>
          <w:lang w:val="pl-PL"/>
        </w:rPr>
        <w:t xml:space="preserve">ustalony. Dane z badań klinicznych potwierdzają stosowanie do 12 miesięcy, a maksymalnie korzystny efekt obserwowano po 3 miesiącach (patrz punkt 5.1). </w:t>
      </w:r>
    </w:p>
    <w:p w:rsidR="00BC4936" w:rsidRDefault="00BC4936" w:rsidP="002A3419">
      <w:pPr>
        <w:ind w:left="1080" w:hanging="540"/>
        <w:rPr>
          <w:color w:val="000000"/>
          <w:sz w:val="22"/>
          <w:lang w:val="pl-PL"/>
        </w:rPr>
      </w:pPr>
      <w:r>
        <w:rPr>
          <w:sz w:val="22"/>
          <w:lang w:val="pl-PL"/>
        </w:rPr>
        <w:t>-</w:t>
      </w:r>
      <w:r>
        <w:rPr>
          <w:sz w:val="22"/>
          <w:lang w:val="pl-PL"/>
        </w:rPr>
        <w:tab/>
      </w:r>
      <w:r w:rsidRPr="00742A0D">
        <w:rPr>
          <w:sz w:val="22"/>
          <w:lang w:val="pl-PL"/>
        </w:rPr>
        <w:t xml:space="preserve">z ostrym zawałem mięśnia sercowego z uniesieniem odcinka ST: leczenie klopidogrelem należy rozpocząć od dawki nasycającej </w:t>
      </w:r>
      <w:r w:rsidR="00F845FA" w:rsidRPr="00742A0D">
        <w:rPr>
          <w:sz w:val="22"/>
          <w:lang w:val="pl-PL"/>
        </w:rPr>
        <w:t xml:space="preserve">300 mg, </w:t>
      </w:r>
      <w:r w:rsidRPr="00742A0D">
        <w:rPr>
          <w:sz w:val="22"/>
          <w:lang w:val="pl-PL"/>
        </w:rPr>
        <w:t>a następnie podawać dawkę 75 mg raz na dobę w skojarzeniu z ASA i lekami trombolitycznymi</w:t>
      </w:r>
      <w:r>
        <w:rPr>
          <w:color w:val="000000"/>
          <w:sz w:val="22"/>
          <w:lang w:val="pl-PL"/>
        </w:rPr>
        <w:t xml:space="preserve"> </w:t>
      </w:r>
      <w:r w:rsidRPr="00742A0D">
        <w:rPr>
          <w:color w:val="000000"/>
          <w:sz w:val="22"/>
          <w:lang w:val="pl-PL"/>
        </w:rPr>
        <w:t>lub bez leków trombolitycznych. U</w:t>
      </w:r>
      <w:r w:rsidR="008270C5">
        <w:rPr>
          <w:color w:val="000000"/>
          <w:sz w:val="22"/>
          <w:lang w:val="pl-PL"/>
        </w:rPr>
        <w:t> </w:t>
      </w:r>
      <w:r w:rsidRPr="00742A0D">
        <w:rPr>
          <w:color w:val="000000"/>
          <w:sz w:val="22"/>
          <w:lang w:val="pl-PL"/>
        </w:rPr>
        <w:t xml:space="preserve">pacjentów powyżej 75. roku życia leczenie klopidogrelem należy rozpocząć bez podawania dawki </w:t>
      </w:r>
      <w:r w:rsidRPr="00742A0D">
        <w:rPr>
          <w:sz w:val="22"/>
          <w:lang w:val="pl-PL"/>
        </w:rPr>
        <w:t>nasycającej</w:t>
      </w:r>
      <w:r w:rsidRPr="00742A0D">
        <w:rPr>
          <w:color w:val="000000"/>
          <w:sz w:val="22"/>
          <w:lang w:val="pl-PL"/>
        </w:rPr>
        <w:t>. Leczenie skojarzone należy rozpocząć jak najszybciej po wystąpieniu objawów i kontynuować przez co najmniej 4 tygodnie. Nie badano korzyści z</w:t>
      </w:r>
      <w:r w:rsidR="002A6DC3" w:rsidRPr="00742A0D">
        <w:rPr>
          <w:sz w:val="22"/>
          <w:lang w:val="pl-PL"/>
        </w:rPr>
        <w:t> </w:t>
      </w:r>
      <w:r w:rsidRPr="00742A0D">
        <w:rPr>
          <w:color w:val="000000"/>
          <w:sz w:val="22"/>
          <w:lang w:val="pl-PL"/>
        </w:rPr>
        <w:t>jednoczesnego stosowania klopidogrelu i ASA w okresie powyżej 4 tygodni w tym modelu leczenia (patrz punkt 5.1).</w:t>
      </w:r>
    </w:p>
    <w:p w:rsidR="00176E80" w:rsidRPr="00742A0D" w:rsidRDefault="00176E80" w:rsidP="002A3419">
      <w:pPr>
        <w:ind w:left="1080" w:hanging="540"/>
        <w:rPr>
          <w:color w:val="000000"/>
          <w:sz w:val="22"/>
          <w:lang w:val="pl-PL"/>
        </w:rPr>
      </w:pPr>
    </w:p>
    <w:p w:rsidR="00176E80" w:rsidRDefault="00176E80" w:rsidP="00176E80">
      <w:pPr>
        <w:pStyle w:val="Header"/>
        <w:rPr>
          <w:sz w:val="22"/>
          <w:szCs w:val="22"/>
          <w:lang w:val="pl-PL"/>
        </w:rPr>
      </w:pPr>
      <w:r w:rsidRPr="0032595E">
        <w:rPr>
          <w:sz w:val="22"/>
          <w:szCs w:val="22"/>
          <w:lang w:val="pl-PL"/>
        </w:rPr>
        <w:t>Dorośli</w:t>
      </w:r>
      <w:r w:rsidRPr="00FF09BE">
        <w:rPr>
          <w:sz w:val="22"/>
          <w:szCs w:val="22"/>
          <w:lang w:val="pl-PL"/>
        </w:rPr>
        <w:t xml:space="preserve"> </w:t>
      </w:r>
      <w:r w:rsidR="00DC6BE4">
        <w:rPr>
          <w:sz w:val="22"/>
          <w:szCs w:val="22"/>
          <w:lang w:val="pl-PL"/>
        </w:rPr>
        <w:t xml:space="preserve">pacjenci </w:t>
      </w:r>
      <w:r w:rsidRPr="00FF09BE">
        <w:rPr>
          <w:sz w:val="22"/>
          <w:szCs w:val="22"/>
          <w:lang w:val="pl-PL"/>
        </w:rPr>
        <w:t xml:space="preserve">z umiarkowanym </w:t>
      </w:r>
      <w:r w:rsidR="007D6745">
        <w:rPr>
          <w:sz w:val="22"/>
          <w:szCs w:val="22"/>
          <w:lang w:val="pl-PL"/>
        </w:rPr>
        <w:t>do</w:t>
      </w:r>
      <w:r w:rsidRPr="00FF09BE">
        <w:rPr>
          <w:sz w:val="22"/>
          <w:szCs w:val="22"/>
          <w:lang w:val="pl-PL"/>
        </w:rPr>
        <w:t xml:space="preserve"> wysoki</w:t>
      </w:r>
      <w:r w:rsidR="007D6745">
        <w:rPr>
          <w:sz w:val="22"/>
          <w:szCs w:val="22"/>
          <w:lang w:val="pl-PL"/>
        </w:rPr>
        <w:t>ego</w:t>
      </w:r>
      <w:r w:rsidRPr="00FF09BE">
        <w:rPr>
          <w:sz w:val="22"/>
          <w:szCs w:val="22"/>
          <w:lang w:val="pl-PL"/>
        </w:rPr>
        <w:t xml:space="preserve"> ryzykiem</w:t>
      </w:r>
      <w:r w:rsidR="006F6F4D">
        <w:rPr>
          <w:sz w:val="22"/>
          <w:szCs w:val="22"/>
          <w:lang w:val="pl-PL"/>
        </w:rPr>
        <w:t xml:space="preserve"> wystąpienia</w:t>
      </w:r>
      <w:r w:rsidRPr="00FF09BE">
        <w:rPr>
          <w:sz w:val="22"/>
          <w:szCs w:val="22"/>
          <w:lang w:val="pl-PL"/>
        </w:rPr>
        <w:t xml:space="preserve"> TIA lub </w:t>
      </w:r>
      <w:r w:rsidR="007D6745">
        <w:rPr>
          <w:sz w:val="22"/>
          <w:szCs w:val="22"/>
          <w:lang w:val="pl-PL"/>
        </w:rPr>
        <w:t>niewielki</w:t>
      </w:r>
      <w:r w:rsidR="001F518A">
        <w:rPr>
          <w:sz w:val="22"/>
          <w:szCs w:val="22"/>
          <w:lang w:val="pl-PL"/>
        </w:rPr>
        <w:t>m</w:t>
      </w:r>
      <w:r w:rsidRPr="00FF09BE">
        <w:rPr>
          <w:sz w:val="22"/>
          <w:szCs w:val="22"/>
          <w:lang w:val="pl-PL"/>
        </w:rPr>
        <w:t xml:space="preserve"> IS</w:t>
      </w:r>
      <w:r>
        <w:rPr>
          <w:sz w:val="22"/>
          <w:szCs w:val="22"/>
          <w:lang w:val="pl-PL"/>
        </w:rPr>
        <w:t>:</w:t>
      </w:r>
    </w:p>
    <w:p w:rsidR="00176E80" w:rsidRPr="00FF09BE" w:rsidRDefault="00176E80" w:rsidP="00176E80">
      <w:pPr>
        <w:pStyle w:val="Header"/>
        <w:rPr>
          <w:sz w:val="22"/>
          <w:szCs w:val="22"/>
          <w:lang w:val="pl-PL"/>
        </w:rPr>
      </w:pPr>
      <w:r w:rsidRPr="003453B0">
        <w:rPr>
          <w:sz w:val="22"/>
          <w:szCs w:val="22"/>
          <w:lang w:val="pl-PL"/>
        </w:rPr>
        <w:t xml:space="preserve">Dorośli </w:t>
      </w:r>
      <w:r w:rsidR="00DC6BE4">
        <w:rPr>
          <w:sz w:val="22"/>
          <w:szCs w:val="22"/>
          <w:lang w:val="pl-PL"/>
        </w:rPr>
        <w:t xml:space="preserve">pacjenci </w:t>
      </w:r>
      <w:r w:rsidR="0006131F">
        <w:rPr>
          <w:sz w:val="22"/>
          <w:szCs w:val="22"/>
          <w:lang w:val="pl-PL"/>
        </w:rPr>
        <w:t xml:space="preserve"> </w:t>
      </w:r>
      <w:r w:rsidRPr="003453B0">
        <w:rPr>
          <w:sz w:val="22"/>
          <w:szCs w:val="22"/>
          <w:lang w:val="pl-PL"/>
        </w:rPr>
        <w:t xml:space="preserve">z umiarkowanym </w:t>
      </w:r>
      <w:r w:rsidR="007D6745">
        <w:rPr>
          <w:sz w:val="22"/>
          <w:szCs w:val="22"/>
          <w:lang w:val="pl-PL"/>
        </w:rPr>
        <w:t>do</w:t>
      </w:r>
      <w:r w:rsidRPr="003453B0">
        <w:rPr>
          <w:sz w:val="22"/>
          <w:szCs w:val="22"/>
          <w:lang w:val="pl-PL"/>
        </w:rPr>
        <w:t xml:space="preserve"> wysoki</w:t>
      </w:r>
      <w:r w:rsidR="007D6745">
        <w:rPr>
          <w:sz w:val="22"/>
          <w:szCs w:val="22"/>
          <w:lang w:val="pl-PL"/>
        </w:rPr>
        <w:t>ego</w:t>
      </w:r>
      <w:r w:rsidRPr="003453B0">
        <w:rPr>
          <w:sz w:val="22"/>
          <w:szCs w:val="22"/>
          <w:lang w:val="pl-PL"/>
        </w:rPr>
        <w:t xml:space="preserve"> ryzykiem </w:t>
      </w:r>
      <w:r w:rsidR="00015CE8">
        <w:rPr>
          <w:sz w:val="22"/>
          <w:szCs w:val="22"/>
          <w:lang w:val="pl-PL"/>
        </w:rPr>
        <w:t xml:space="preserve">wystąpienia </w:t>
      </w:r>
      <w:r w:rsidRPr="003453B0">
        <w:rPr>
          <w:sz w:val="22"/>
          <w:szCs w:val="22"/>
          <w:lang w:val="pl-PL"/>
        </w:rPr>
        <w:t>TIA</w:t>
      </w:r>
      <w:r>
        <w:rPr>
          <w:sz w:val="22"/>
          <w:szCs w:val="22"/>
          <w:lang w:val="pl-PL"/>
        </w:rPr>
        <w:t xml:space="preserve"> (wynik ABCD2 ≥4) lub </w:t>
      </w:r>
      <w:r w:rsidR="007D6745">
        <w:rPr>
          <w:sz w:val="22"/>
          <w:szCs w:val="22"/>
          <w:lang w:val="pl-PL"/>
        </w:rPr>
        <w:t>niewielki</w:t>
      </w:r>
      <w:r w:rsidR="001F518A">
        <w:rPr>
          <w:sz w:val="22"/>
          <w:szCs w:val="22"/>
          <w:lang w:val="pl-PL"/>
        </w:rPr>
        <w:t>m</w:t>
      </w:r>
      <w:r>
        <w:rPr>
          <w:sz w:val="22"/>
          <w:szCs w:val="22"/>
          <w:lang w:val="pl-PL"/>
        </w:rPr>
        <w:t xml:space="preserve"> IS (NHSS </w:t>
      </w:r>
      <w:r w:rsidR="0069411A" w:rsidRPr="0069411A">
        <w:rPr>
          <w:sz w:val="22"/>
          <w:szCs w:val="22"/>
          <w:lang w:val="pl-PL"/>
        </w:rPr>
        <w:t>≤</w:t>
      </w:r>
      <w:r>
        <w:rPr>
          <w:sz w:val="22"/>
          <w:szCs w:val="22"/>
          <w:lang w:val="pl-PL"/>
        </w:rPr>
        <w:t>3</w:t>
      </w:r>
      <w:r w:rsidRPr="0032595E">
        <w:rPr>
          <w:sz w:val="22"/>
          <w:szCs w:val="22"/>
          <w:lang w:val="pl-PL"/>
        </w:rPr>
        <w:t>) powinni otrzymać</w:t>
      </w:r>
      <w:r>
        <w:rPr>
          <w:sz w:val="22"/>
          <w:szCs w:val="22"/>
          <w:lang w:val="pl-PL"/>
        </w:rPr>
        <w:t xml:space="preserve"> dawkę nasycającą klopidogrelu 300 mg, a następnie 75 mg klopidogrelu raz na dobę </w:t>
      </w:r>
      <w:r w:rsidR="00015CE8">
        <w:rPr>
          <w:sz w:val="22"/>
          <w:szCs w:val="22"/>
          <w:lang w:val="pl-PL"/>
        </w:rPr>
        <w:t>oraz</w:t>
      </w:r>
      <w:r>
        <w:rPr>
          <w:sz w:val="22"/>
          <w:szCs w:val="22"/>
          <w:lang w:val="pl-PL"/>
        </w:rPr>
        <w:t xml:space="preserve"> ASA (75</w:t>
      </w:r>
      <w:r w:rsidR="00DC7597">
        <w:rPr>
          <w:sz w:val="22"/>
          <w:szCs w:val="22"/>
          <w:lang w:val="pl-PL"/>
        </w:rPr>
        <w:t xml:space="preserve"> </w:t>
      </w:r>
      <w:r>
        <w:rPr>
          <w:sz w:val="22"/>
          <w:szCs w:val="22"/>
          <w:lang w:val="pl-PL"/>
        </w:rPr>
        <w:t>-</w:t>
      </w:r>
      <w:r w:rsidR="00DC7597">
        <w:rPr>
          <w:sz w:val="22"/>
          <w:szCs w:val="22"/>
          <w:lang w:val="pl-PL"/>
        </w:rPr>
        <w:t xml:space="preserve"> </w:t>
      </w:r>
      <w:r>
        <w:rPr>
          <w:sz w:val="22"/>
          <w:szCs w:val="22"/>
          <w:lang w:val="pl-PL"/>
        </w:rPr>
        <w:t>100 mg raz na dobę). Leczenie klopidogrelem i ASA należy rozpocząć w ciągu 24 godzin od</w:t>
      </w:r>
      <w:r w:rsidR="00B96911">
        <w:rPr>
          <w:sz w:val="22"/>
          <w:szCs w:val="22"/>
          <w:lang w:val="pl-PL"/>
        </w:rPr>
        <w:t xml:space="preserve"> </w:t>
      </w:r>
      <w:r w:rsidR="0032595E">
        <w:rPr>
          <w:sz w:val="22"/>
          <w:szCs w:val="22"/>
          <w:lang w:val="pl-PL"/>
        </w:rPr>
        <w:t>zdarzenia</w:t>
      </w:r>
      <w:r w:rsidR="00B96911">
        <w:rPr>
          <w:sz w:val="22"/>
          <w:szCs w:val="22"/>
          <w:lang w:val="pl-PL"/>
        </w:rPr>
        <w:t xml:space="preserve"> </w:t>
      </w:r>
      <w:r>
        <w:rPr>
          <w:sz w:val="22"/>
          <w:szCs w:val="22"/>
          <w:lang w:val="pl-PL"/>
        </w:rPr>
        <w:t>i kontynuować przez 21 dni</w:t>
      </w:r>
      <w:r w:rsidR="00015CE8">
        <w:rPr>
          <w:sz w:val="22"/>
          <w:szCs w:val="22"/>
          <w:lang w:val="pl-PL"/>
        </w:rPr>
        <w:t>,</w:t>
      </w:r>
      <w:r w:rsidR="000D01D1">
        <w:rPr>
          <w:sz w:val="22"/>
          <w:szCs w:val="22"/>
          <w:lang w:val="pl-PL"/>
        </w:rPr>
        <w:t xml:space="preserve"> </w:t>
      </w:r>
      <w:r w:rsidR="00015CE8">
        <w:rPr>
          <w:sz w:val="22"/>
          <w:szCs w:val="22"/>
          <w:lang w:val="pl-PL"/>
        </w:rPr>
        <w:t xml:space="preserve">a następnie zastosować </w:t>
      </w:r>
      <w:r w:rsidRPr="0032595E">
        <w:rPr>
          <w:sz w:val="22"/>
          <w:szCs w:val="22"/>
          <w:lang w:val="pl-PL"/>
        </w:rPr>
        <w:t>pojedynczą terapię przeciwpłytkową.</w:t>
      </w:r>
      <w:r>
        <w:rPr>
          <w:sz w:val="22"/>
          <w:szCs w:val="22"/>
          <w:lang w:val="pl-PL"/>
        </w:rPr>
        <w:t xml:space="preserve"> </w:t>
      </w:r>
    </w:p>
    <w:p w:rsidR="007A71A4" w:rsidRPr="001E6217" w:rsidRDefault="007A71A4" w:rsidP="001E6217">
      <w:pPr>
        <w:pStyle w:val="Header"/>
        <w:rPr>
          <w:lang w:val="pl-PL"/>
        </w:rPr>
      </w:pPr>
    </w:p>
    <w:p w:rsidR="001E6217" w:rsidRPr="00421448" w:rsidRDefault="001E6217" w:rsidP="00A64B0E">
      <w:pPr>
        <w:tabs>
          <w:tab w:val="left" w:pos="2400"/>
          <w:tab w:val="left" w:pos="7280"/>
        </w:tabs>
        <w:ind w:left="567" w:right="-29"/>
        <w:outlineLvl w:val="0"/>
        <w:rPr>
          <w:sz w:val="22"/>
          <w:szCs w:val="22"/>
          <w:lang w:val="pl-PL"/>
        </w:rPr>
      </w:pPr>
      <w:r w:rsidRPr="00421448">
        <w:rPr>
          <w:sz w:val="22"/>
          <w:szCs w:val="22"/>
          <w:lang w:val="pl-PL"/>
        </w:rPr>
        <w:t>U pacjentów z migotaniem przedsionków, klopidogrel należy podawać w postaci pojedynczej dawki dobowej 75 mg. Równocześnie należy rozpocząć i kontynuować stosowanie kwasu acetylosalicylowego (75</w:t>
      </w:r>
      <w:r w:rsidRPr="00421448">
        <w:rPr>
          <w:sz w:val="22"/>
          <w:szCs w:val="22"/>
          <w:lang w:val="pl-PL"/>
        </w:rPr>
        <w:noBreakHyphen/>
        <w:t>100 mg na dobę) (patrz punkt 5.1).</w:t>
      </w:r>
    </w:p>
    <w:p w:rsidR="00FA2FCE" w:rsidRPr="002A6DC3" w:rsidRDefault="00FA2FCE" w:rsidP="008F1952">
      <w:pPr>
        <w:pStyle w:val="Header"/>
        <w:rPr>
          <w:sz w:val="22"/>
          <w:szCs w:val="22"/>
          <w:lang w:val="pl-PL"/>
        </w:rPr>
      </w:pPr>
    </w:p>
    <w:p w:rsidR="00FA2FCE" w:rsidRPr="002A6DC3" w:rsidRDefault="00FA2FCE" w:rsidP="008F1952">
      <w:pPr>
        <w:pStyle w:val="Header"/>
        <w:rPr>
          <w:sz w:val="22"/>
          <w:szCs w:val="22"/>
          <w:lang w:val="pl-PL"/>
        </w:rPr>
      </w:pPr>
      <w:r w:rsidRPr="002A6DC3">
        <w:rPr>
          <w:sz w:val="22"/>
          <w:szCs w:val="22"/>
          <w:lang w:val="pl-PL"/>
        </w:rPr>
        <w:t>W razie pominięcia dawki</w:t>
      </w:r>
      <w:r w:rsidR="000724B7" w:rsidRPr="002A6DC3">
        <w:rPr>
          <w:sz w:val="22"/>
          <w:szCs w:val="22"/>
          <w:lang w:val="pl-PL"/>
        </w:rPr>
        <w:t>:</w:t>
      </w:r>
    </w:p>
    <w:p w:rsidR="008270C5" w:rsidRPr="002A6DC3" w:rsidRDefault="000724B7" w:rsidP="00A64B0E">
      <w:pPr>
        <w:pStyle w:val="Header"/>
        <w:numPr>
          <w:ilvl w:val="0"/>
          <w:numId w:val="49"/>
        </w:numPr>
        <w:tabs>
          <w:tab w:val="clear" w:pos="4536"/>
          <w:tab w:val="center" w:pos="709"/>
        </w:tabs>
        <w:rPr>
          <w:sz w:val="22"/>
          <w:szCs w:val="22"/>
          <w:lang w:val="pl-PL"/>
        </w:rPr>
      </w:pPr>
      <w:r w:rsidRPr="002A6DC3">
        <w:rPr>
          <w:sz w:val="22"/>
          <w:szCs w:val="22"/>
          <w:lang w:val="pl-PL"/>
        </w:rPr>
        <w:t>Przed upływem 12 godzin od przewidzianego czasu przyjęcia dawki: pacjent powinien</w:t>
      </w:r>
      <w:r w:rsidR="002A6DC3">
        <w:rPr>
          <w:sz w:val="22"/>
          <w:szCs w:val="22"/>
          <w:lang w:val="pl-PL"/>
        </w:rPr>
        <w:t xml:space="preserve"> </w:t>
      </w:r>
      <w:r w:rsidRPr="002A6DC3">
        <w:rPr>
          <w:sz w:val="22"/>
          <w:szCs w:val="22"/>
          <w:lang w:val="pl-PL"/>
        </w:rPr>
        <w:t>niezwłocznie przyjąć pominiętą dawkę i przyjąć następną dawkę w przewidzianym czasie.</w:t>
      </w:r>
    </w:p>
    <w:p w:rsidR="000724B7" w:rsidRPr="008270C5" w:rsidRDefault="000724B7" w:rsidP="00A64B0E">
      <w:pPr>
        <w:pStyle w:val="Header"/>
        <w:numPr>
          <w:ilvl w:val="0"/>
          <w:numId w:val="49"/>
        </w:numPr>
        <w:tabs>
          <w:tab w:val="clear" w:pos="4536"/>
          <w:tab w:val="center" w:pos="709"/>
        </w:tabs>
        <w:rPr>
          <w:sz w:val="22"/>
          <w:szCs w:val="22"/>
          <w:lang w:val="pl-PL"/>
        </w:rPr>
      </w:pPr>
      <w:r w:rsidRPr="008270C5">
        <w:rPr>
          <w:sz w:val="22"/>
          <w:szCs w:val="22"/>
          <w:lang w:val="pl-PL"/>
        </w:rPr>
        <w:t xml:space="preserve">Po upływie 12 godzin: pacjent powinien przyjąć </w:t>
      </w:r>
      <w:r w:rsidR="00784ED8" w:rsidRPr="008270C5">
        <w:rPr>
          <w:sz w:val="22"/>
          <w:szCs w:val="22"/>
          <w:lang w:val="pl-PL"/>
        </w:rPr>
        <w:t>następną</w:t>
      </w:r>
      <w:r w:rsidRPr="008270C5">
        <w:rPr>
          <w:sz w:val="22"/>
          <w:szCs w:val="22"/>
          <w:lang w:val="pl-PL"/>
        </w:rPr>
        <w:t xml:space="preserve"> dawkę w przewidzianym czasie i</w:t>
      </w:r>
      <w:r w:rsidR="008270C5">
        <w:rPr>
          <w:sz w:val="22"/>
          <w:szCs w:val="22"/>
          <w:lang w:val="pl-PL"/>
        </w:rPr>
        <w:t> </w:t>
      </w:r>
      <w:r w:rsidRPr="008270C5">
        <w:rPr>
          <w:sz w:val="22"/>
          <w:szCs w:val="22"/>
          <w:lang w:val="pl-PL"/>
        </w:rPr>
        <w:t>nie przyjmować podwójnej dawki.</w:t>
      </w:r>
    </w:p>
    <w:p w:rsidR="000724B7" w:rsidRPr="002A6DC3" w:rsidRDefault="000724B7" w:rsidP="008F1952">
      <w:pPr>
        <w:pStyle w:val="Header"/>
        <w:rPr>
          <w:sz w:val="22"/>
          <w:szCs w:val="22"/>
          <w:lang w:val="pl-PL"/>
        </w:rPr>
      </w:pPr>
    </w:p>
    <w:p w:rsidR="00F845FA" w:rsidRDefault="00A2638A" w:rsidP="00A64B0E">
      <w:pPr>
        <w:numPr>
          <w:ilvl w:val="0"/>
          <w:numId w:val="50"/>
        </w:numPr>
        <w:ind w:left="567" w:hanging="567"/>
        <w:rPr>
          <w:sz w:val="22"/>
          <w:lang w:val="pl-PL"/>
        </w:rPr>
      </w:pPr>
      <w:r>
        <w:rPr>
          <w:sz w:val="22"/>
          <w:lang w:val="pl-PL"/>
        </w:rPr>
        <w:t>Dzieci i młodzież</w:t>
      </w:r>
    </w:p>
    <w:p w:rsidR="00382C56" w:rsidRDefault="00382C56" w:rsidP="00A64B0E">
      <w:pPr>
        <w:ind w:left="567"/>
        <w:rPr>
          <w:sz w:val="22"/>
          <w:lang w:val="pl-PL"/>
        </w:rPr>
      </w:pPr>
      <w:r>
        <w:rPr>
          <w:sz w:val="22"/>
          <w:lang w:val="pl-PL"/>
        </w:rPr>
        <w:t xml:space="preserve">Klopidogrelu nie należy stosować u dzieci, ze względu na wątpliwości </w:t>
      </w:r>
      <w:r w:rsidR="0021047C">
        <w:rPr>
          <w:sz w:val="22"/>
          <w:lang w:val="pl-PL"/>
        </w:rPr>
        <w:t>dotyczące jego</w:t>
      </w:r>
      <w:r>
        <w:rPr>
          <w:sz w:val="22"/>
          <w:lang w:val="pl-PL"/>
        </w:rPr>
        <w:t xml:space="preserve"> skuteczności (patrz punkt 5.1).</w:t>
      </w:r>
    </w:p>
    <w:p w:rsidR="00427769" w:rsidRDefault="00427769" w:rsidP="00C12890">
      <w:pPr>
        <w:pStyle w:val="Header"/>
        <w:rPr>
          <w:sz w:val="22"/>
          <w:lang w:val="pl-PL"/>
        </w:rPr>
      </w:pPr>
    </w:p>
    <w:p w:rsidR="00C12890" w:rsidRDefault="00C12890" w:rsidP="00A64B0E">
      <w:pPr>
        <w:pStyle w:val="Header"/>
        <w:numPr>
          <w:ilvl w:val="0"/>
          <w:numId w:val="50"/>
        </w:numPr>
        <w:tabs>
          <w:tab w:val="clear" w:pos="4536"/>
          <w:tab w:val="center" w:pos="567"/>
        </w:tabs>
        <w:ind w:left="567" w:hanging="567"/>
        <w:rPr>
          <w:sz w:val="22"/>
          <w:lang w:val="pl-PL"/>
        </w:rPr>
      </w:pPr>
      <w:r>
        <w:rPr>
          <w:sz w:val="22"/>
          <w:lang w:val="pl-PL"/>
        </w:rPr>
        <w:t>Zaburzeni</w:t>
      </w:r>
      <w:r w:rsidR="008270C5">
        <w:rPr>
          <w:sz w:val="22"/>
          <w:lang w:val="pl-PL"/>
        </w:rPr>
        <w:t>a</w:t>
      </w:r>
      <w:r>
        <w:rPr>
          <w:sz w:val="22"/>
          <w:lang w:val="pl-PL"/>
        </w:rPr>
        <w:t xml:space="preserve"> czynności nerek</w:t>
      </w:r>
    </w:p>
    <w:p w:rsidR="00C12890" w:rsidRPr="00CE436C" w:rsidRDefault="00C12890" w:rsidP="00A64B0E">
      <w:pPr>
        <w:pStyle w:val="Header"/>
        <w:ind w:left="567"/>
        <w:rPr>
          <w:sz w:val="22"/>
          <w:szCs w:val="22"/>
          <w:lang w:val="pl-PL"/>
        </w:rPr>
      </w:pPr>
      <w:r>
        <w:rPr>
          <w:sz w:val="22"/>
          <w:lang w:val="pl-PL"/>
        </w:rPr>
        <w:t>Doświadczenie terapeutyczne u pacjentów z zaburzeni</w:t>
      </w:r>
      <w:r w:rsidR="008270C5">
        <w:rPr>
          <w:sz w:val="22"/>
          <w:lang w:val="pl-PL"/>
        </w:rPr>
        <w:t>ami</w:t>
      </w:r>
      <w:r>
        <w:rPr>
          <w:sz w:val="22"/>
          <w:lang w:val="pl-PL"/>
        </w:rPr>
        <w:t xml:space="preserve"> czynności nerek </w:t>
      </w:r>
      <w:r w:rsidR="00163E59">
        <w:rPr>
          <w:sz w:val="22"/>
          <w:lang w:val="pl-PL"/>
        </w:rPr>
        <w:t xml:space="preserve">jest ograniczone </w:t>
      </w:r>
      <w:r>
        <w:rPr>
          <w:sz w:val="22"/>
          <w:lang w:val="pl-PL"/>
        </w:rPr>
        <w:t>(patrz</w:t>
      </w:r>
      <w:r w:rsidR="002A6DC3">
        <w:rPr>
          <w:sz w:val="22"/>
          <w:lang w:val="pl-PL"/>
        </w:rPr>
        <w:t> </w:t>
      </w:r>
      <w:r>
        <w:rPr>
          <w:sz w:val="22"/>
          <w:lang w:val="pl-PL"/>
        </w:rPr>
        <w:t>punkt 4.4).</w:t>
      </w:r>
    </w:p>
    <w:p w:rsidR="00C12890" w:rsidRDefault="00C12890" w:rsidP="00C12890">
      <w:pPr>
        <w:tabs>
          <w:tab w:val="left" w:pos="1260"/>
        </w:tabs>
        <w:ind w:left="567"/>
        <w:rPr>
          <w:sz w:val="22"/>
          <w:lang w:val="pl-PL"/>
        </w:rPr>
      </w:pPr>
    </w:p>
    <w:p w:rsidR="00C12890" w:rsidRDefault="00C12890" w:rsidP="00A64B0E">
      <w:pPr>
        <w:numPr>
          <w:ilvl w:val="0"/>
          <w:numId w:val="50"/>
        </w:numPr>
        <w:tabs>
          <w:tab w:val="left" w:pos="567"/>
        </w:tabs>
        <w:ind w:left="567" w:hanging="567"/>
        <w:rPr>
          <w:sz w:val="22"/>
          <w:lang w:val="pl-PL"/>
        </w:rPr>
      </w:pPr>
      <w:r>
        <w:rPr>
          <w:sz w:val="22"/>
          <w:lang w:val="pl-PL"/>
        </w:rPr>
        <w:t>Zaburzeni</w:t>
      </w:r>
      <w:r w:rsidR="008270C5">
        <w:rPr>
          <w:sz w:val="22"/>
          <w:lang w:val="pl-PL"/>
        </w:rPr>
        <w:t>a</w:t>
      </w:r>
      <w:r>
        <w:rPr>
          <w:sz w:val="22"/>
          <w:lang w:val="pl-PL"/>
        </w:rPr>
        <w:t xml:space="preserve"> czynności wątroby</w:t>
      </w:r>
    </w:p>
    <w:p w:rsidR="00C12890" w:rsidRDefault="00163E59" w:rsidP="00A64B0E">
      <w:pPr>
        <w:tabs>
          <w:tab w:val="left" w:pos="1260"/>
        </w:tabs>
        <w:ind w:left="567"/>
        <w:rPr>
          <w:sz w:val="22"/>
          <w:szCs w:val="22"/>
          <w:lang w:val="pl-PL"/>
        </w:rPr>
      </w:pPr>
      <w:r>
        <w:rPr>
          <w:sz w:val="22"/>
          <w:lang w:val="pl-PL"/>
        </w:rPr>
        <w:t>Doświadczenie t</w:t>
      </w:r>
      <w:r w:rsidR="00C12890">
        <w:rPr>
          <w:sz w:val="22"/>
          <w:lang w:val="pl-PL"/>
        </w:rPr>
        <w:t xml:space="preserve">erapeutyczne u pacjentów z umiarkowanie nasilonymi chorobami wątroby, </w:t>
      </w:r>
      <w:r w:rsidR="00C12890">
        <w:rPr>
          <w:sz w:val="22"/>
          <w:szCs w:val="22"/>
          <w:lang w:val="pl-PL"/>
        </w:rPr>
        <w:t xml:space="preserve">którzy mogą mieć skłonności do krwawień </w:t>
      </w:r>
      <w:r>
        <w:rPr>
          <w:sz w:val="22"/>
          <w:lang w:val="pl-PL"/>
        </w:rPr>
        <w:t xml:space="preserve">jest ograniczone </w:t>
      </w:r>
      <w:r w:rsidR="00C12890">
        <w:rPr>
          <w:sz w:val="22"/>
          <w:szCs w:val="22"/>
          <w:lang w:val="pl-PL"/>
        </w:rPr>
        <w:t>(patrz punkt 4.4).</w:t>
      </w:r>
    </w:p>
    <w:p w:rsidR="003816E5" w:rsidRDefault="003816E5" w:rsidP="00C12890">
      <w:pPr>
        <w:tabs>
          <w:tab w:val="left" w:pos="1260"/>
        </w:tabs>
        <w:rPr>
          <w:sz w:val="22"/>
          <w:szCs w:val="22"/>
          <w:lang w:val="pl-PL"/>
        </w:rPr>
      </w:pPr>
    </w:p>
    <w:p w:rsidR="003816E5" w:rsidRPr="00801F86" w:rsidRDefault="003816E5" w:rsidP="00C12890">
      <w:pPr>
        <w:tabs>
          <w:tab w:val="left" w:pos="1260"/>
        </w:tabs>
        <w:rPr>
          <w:sz w:val="22"/>
          <w:szCs w:val="22"/>
          <w:u w:val="single"/>
          <w:lang w:val="pl-PL"/>
        </w:rPr>
      </w:pPr>
      <w:r w:rsidRPr="00801F86">
        <w:rPr>
          <w:sz w:val="22"/>
          <w:szCs w:val="22"/>
          <w:u w:val="single"/>
          <w:lang w:val="pl-PL"/>
        </w:rPr>
        <w:t>Sposób podawania</w:t>
      </w:r>
    </w:p>
    <w:p w:rsidR="003816E5" w:rsidRDefault="003816E5" w:rsidP="00C12890">
      <w:pPr>
        <w:tabs>
          <w:tab w:val="left" w:pos="1260"/>
        </w:tabs>
        <w:rPr>
          <w:sz w:val="22"/>
          <w:szCs w:val="22"/>
          <w:lang w:val="pl-PL"/>
        </w:rPr>
      </w:pPr>
      <w:r>
        <w:rPr>
          <w:sz w:val="22"/>
          <w:szCs w:val="22"/>
          <w:lang w:val="pl-PL"/>
        </w:rPr>
        <w:t>Do podawania doustnego</w:t>
      </w:r>
      <w:r w:rsidR="008270C5">
        <w:rPr>
          <w:sz w:val="22"/>
          <w:szCs w:val="22"/>
          <w:lang w:val="pl-PL"/>
        </w:rPr>
        <w:t>.</w:t>
      </w:r>
    </w:p>
    <w:p w:rsidR="003816E5" w:rsidRDefault="003816E5" w:rsidP="00C12890">
      <w:pPr>
        <w:tabs>
          <w:tab w:val="left" w:pos="1260"/>
        </w:tabs>
        <w:rPr>
          <w:sz w:val="22"/>
          <w:lang w:val="pl-PL"/>
        </w:rPr>
      </w:pPr>
      <w:r>
        <w:rPr>
          <w:sz w:val="22"/>
          <w:szCs w:val="22"/>
          <w:lang w:val="pl-PL"/>
        </w:rPr>
        <w:t>Produkt moż</w:t>
      </w:r>
      <w:r w:rsidR="005B5A1B">
        <w:rPr>
          <w:sz w:val="22"/>
          <w:szCs w:val="22"/>
          <w:lang w:val="pl-PL"/>
        </w:rPr>
        <w:t>na</w:t>
      </w:r>
      <w:r>
        <w:rPr>
          <w:sz w:val="22"/>
          <w:szCs w:val="22"/>
          <w:lang w:val="pl-PL"/>
        </w:rPr>
        <w:t xml:space="preserve"> przyjmowa</w:t>
      </w:r>
      <w:r w:rsidR="005B5A1B">
        <w:rPr>
          <w:sz w:val="22"/>
          <w:szCs w:val="22"/>
          <w:lang w:val="pl-PL"/>
        </w:rPr>
        <w:t>ć</w:t>
      </w:r>
      <w:r>
        <w:rPr>
          <w:sz w:val="22"/>
          <w:szCs w:val="22"/>
          <w:lang w:val="pl-PL"/>
        </w:rPr>
        <w:t xml:space="preserve"> </w:t>
      </w:r>
      <w:r w:rsidR="00784ED8">
        <w:rPr>
          <w:sz w:val="22"/>
          <w:szCs w:val="22"/>
          <w:lang w:val="pl-PL"/>
        </w:rPr>
        <w:t>jednocześnie</w:t>
      </w:r>
      <w:r>
        <w:rPr>
          <w:sz w:val="22"/>
          <w:szCs w:val="22"/>
          <w:lang w:val="pl-PL"/>
        </w:rPr>
        <w:t xml:space="preserve"> z posiłkiem lub </w:t>
      </w:r>
      <w:r w:rsidR="002A6DC3">
        <w:rPr>
          <w:sz w:val="22"/>
          <w:szCs w:val="22"/>
          <w:lang w:val="pl-PL"/>
        </w:rPr>
        <w:t>bez posiłku</w:t>
      </w:r>
      <w:r>
        <w:rPr>
          <w:sz w:val="22"/>
          <w:szCs w:val="22"/>
          <w:lang w:val="pl-PL"/>
        </w:rPr>
        <w:t>.</w:t>
      </w:r>
    </w:p>
    <w:p w:rsidR="00BC4936" w:rsidRDefault="00BC4936" w:rsidP="00163E59">
      <w:pPr>
        <w:rPr>
          <w:lang w:val="pl-PL"/>
        </w:rPr>
      </w:pPr>
    </w:p>
    <w:p w:rsidR="00BC4936" w:rsidRDefault="00BC4936">
      <w:pPr>
        <w:pStyle w:val="Heading2"/>
        <w:numPr>
          <w:ilvl w:val="1"/>
          <w:numId w:val="2"/>
        </w:numPr>
        <w:tabs>
          <w:tab w:val="clear" w:pos="360"/>
          <w:tab w:val="left" w:pos="0"/>
          <w:tab w:val="num" w:pos="567"/>
        </w:tabs>
        <w:spacing w:before="0" w:after="0"/>
        <w:rPr>
          <w:rFonts w:ascii="Times New Roman" w:hAnsi="Times New Roman"/>
          <w:i w:val="0"/>
          <w:sz w:val="22"/>
          <w:lang w:val="pl-PL"/>
        </w:rPr>
      </w:pPr>
      <w:r>
        <w:rPr>
          <w:rFonts w:ascii="Times New Roman" w:hAnsi="Times New Roman"/>
          <w:i w:val="0"/>
          <w:sz w:val="22"/>
          <w:lang w:val="pl-PL"/>
        </w:rPr>
        <w:t>Przeciwwskazania</w:t>
      </w:r>
    </w:p>
    <w:p w:rsidR="00BC4936" w:rsidRDefault="00BC4936">
      <w:pPr>
        <w:rPr>
          <w:sz w:val="22"/>
          <w:lang w:val="pl-PL"/>
        </w:rPr>
      </w:pPr>
    </w:p>
    <w:p w:rsidR="00BC4936" w:rsidRDefault="00BC4936">
      <w:pPr>
        <w:numPr>
          <w:ilvl w:val="0"/>
          <w:numId w:val="8"/>
        </w:numPr>
        <w:tabs>
          <w:tab w:val="left" w:pos="567"/>
        </w:tabs>
        <w:rPr>
          <w:sz w:val="22"/>
          <w:lang w:val="pl-PL"/>
        </w:rPr>
      </w:pPr>
      <w:r>
        <w:rPr>
          <w:sz w:val="22"/>
          <w:lang w:val="pl-PL"/>
        </w:rPr>
        <w:t xml:space="preserve">Nadwrażliwość na substancję czynną lub </w:t>
      </w:r>
      <w:r w:rsidR="0074250C">
        <w:rPr>
          <w:sz w:val="22"/>
          <w:lang w:val="pl-PL"/>
        </w:rPr>
        <w:t xml:space="preserve">na </w:t>
      </w:r>
      <w:r>
        <w:rPr>
          <w:sz w:val="22"/>
          <w:lang w:val="pl-PL"/>
        </w:rPr>
        <w:t>któr</w:t>
      </w:r>
      <w:r w:rsidR="0074250C">
        <w:rPr>
          <w:sz w:val="22"/>
          <w:lang w:val="pl-PL"/>
        </w:rPr>
        <w:t>ą</w:t>
      </w:r>
      <w:r>
        <w:rPr>
          <w:sz w:val="22"/>
          <w:lang w:val="pl-PL"/>
        </w:rPr>
        <w:t xml:space="preserve">kolwiek </w:t>
      </w:r>
      <w:r w:rsidR="0074250C">
        <w:rPr>
          <w:sz w:val="22"/>
          <w:lang w:val="pl-PL"/>
        </w:rPr>
        <w:t>substancję pomocniczą</w:t>
      </w:r>
      <w:r w:rsidR="00801F86">
        <w:rPr>
          <w:sz w:val="22"/>
          <w:lang w:val="pl-PL"/>
        </w:rPr>
        <w:t xml:space="preserve"> wymienioną w punkcie </w:t>
      </w:r>
      <w:r w:rsidR="00555583">
        <w:rPr>
          <w:sz w:val="22"/>
          <w:lang w:val="pl-PL"/>
        </w:rPr>
        <w:t xml:space="preserve">2 lub w punkcie </w:t>
      </w:r>
      <w:r w:rsidR="00801F86">
        <w:rPr>
          <w:sz w:val="22"/>
          <w:lang w:val="pl-PL"/>
        </w:rPr>
        <w:t>6.1</w:t>
      </w:r>
      <w:r>
        <w:rPr>
          <w:sz w:val="22"/>
          <w:lang w:val="pl-PL"/>
        </w:rPr>
        <w:t>.</w:t>
      </w:r>
    </w:p>
    <w:p w:rsidR="00BC4936" w:rsidRDefault="00BC4936">
      <w:pPr>
        <w:numPr>
          <w:ilvl w:val="0"/>
          <w:numId w:val="9"/>
        </w:numPr>
        <w:tabs>
          <w:tab w:val="left" w:pos="567"/>
        </w:tabs>
        <w:rPr>
          <w:sz w:val="22"/>
          <w:lang w:val="pl-PL"/>
        </w:rPr>
      </w:pPr>
      <w:r>
        <w:rPr>
          <w:sz w:val="22"/>
          <w:lang w:val="pl-PL"/>
        </w:rPr>
        <w:t>Ciężkie zaburzeni</w:t>
      </w:r>
      <w:r w:rsidR="0080674E">
        <w:rPr>
          <w:sz w:val="22"/>
          <w:lang w:val="pl-PL"/>
        </w:rPr>
        <w:t>a</w:t>
      </w:r>
      <w:r>
        <w:rPr>
          <w:sz w:val="22"/>
          <w:lang w:val="pl-PL"/>
        </w:rPr>
        <w:t xml:space="preserve"> czynności wątroby.</w:t>
      </w:r>
    </w:p>
    <w:p w:rsidR="00BC4936" w:rsidRDefault="00BC4936" w:rsidP="009621A3">
      <w:pPr>
        <w:numPr>
          <w:ilvl w:val="0"/>
          <w:numId w:val="9"/>
        </w:numPr>
        <w:tabs>
          <w:tab w:val="left" w:pos="567"/>
        </w:tabs>
        <w:rPr>
          <w:sz w:val="22"/>
          <w:lang w:val="pl-PL"/>
        </w:rPr>
      </w:pPr>
      <w:r>
        <w:rPr>
          <w:sz w:val="22"/>
          <w:lang w:val="pl-PL"/>
        </w:rPr>
        <w:t>Czynne patologiczne krwawienie, takie jak wrzód trawienny lub krwotok wewnątrzczaszkowy.</w:t>
      </w:r>
    </w:p>
    <w:p w:rsidR="00BC4936" w:rsidRDefault="00BC4936">
      <w:pPr>
        <w:tabs>
          <w:tab w:val="left" w:pos="360"/>
          <w:tab w:val="left" w:pos="567"/>
        </w:tabs>
        <w:rPr>
          <w:sz w:val="22"/>
          <w:lang w:val="pl-PL"/>
        </w:rPr>
      </w:pPr>
    </w:p>
    <w:p w:rsidR="00BC4936" w:rsidRDefault="00BC4936">
      <w:pPr>
        <w:pStyle w:val="Heading2"/>
        <w:numPr>
          <w:ilvl w:val="1"/>
          <w:numId w:val="3"/>
        </w:numPr>
        <w:tabs>
          <w:tab w:val="clear" w:pos="360"/>
          <w:tab w:val="num" w:pos="0"/>
          <w:tab w:val="left" w:pos="567"/>
        </w:tabs>
        <w:spacing w:before="0" w:after="0"/>
        <w:ind w:left="0" w:firstLine="0"/>
        <w:rPr>
          <w:rFonts w:ascii="Times New Roman" w:hAnsi="Times New Roman"/>
          <w:i w:val="0"/>
          <w:sz w:val="22"/>
          <w:lang w:val="pl-PL"/>
        </w:rPr>
      </w:pPr>
      <w:r>
        <w:rPr>
          <w:rFonts w:ascii="Times New Roman" w:hAnsi="Times New Roman"/>
          <w:i w:val="0"/>
          <w:sz w:val="22"/>
          <w:lang w:val="pl-PL"/>
        </w:rPr>
        <w:t>Specjalne ostrzeżenia i środki ostrożności dotyczące stosowania</w:t>
      </w:r>
    </w:p>
    <w:p w:rsidR="00BC4936" w:rsidRDefault="00BC4936">
      <w:pPr>
        <w:rPr>
          <w:sz w:val="22"/>
          <w:lang w:val="pl-PL"/>
        </w:rPr>
      </w:pPr>
    </w:p>
    <w:p w:rsidR="003A63AD" w:rsidRPr="00E35828" w:rsidRDefault="003A63AD">
      <w:pPr>
        <w:rPr>
          <w:i/>
          <w:sz w:val="22"/>
          <w:lang w:val="pl-PL"/>
        </w:rPr>
      </w:pPr>
      <w:r w:rsidRPr="00E35828">
        <w:rPr>
          <w:i/>
          <w:sz w:val="22"/>
          <w:lang w:val="pl-PL"/>
        </w:rPr>
        <w:t>Krwawienia i zaburzenia hematologiczne</w:t>
      </w:r>
    </w:p>
    <w:p w:rsidR="00BC4936" w:rsidRDefault="0053198D">
      <w:pPr>
        <w:pStyle w:val="BodyText"/>
        <w:tabs>
          <w:tab w:val="left" w:pos="567"/>
        </w:tabs>
        <w:jc w:val="left"/>
        <w:rPr>
          <w:rFonts w:ascii="Times New Roman" w:hAnsi="Times New Roman"/>
          <w:sz w:val="22"/>
        </w:rPr>
      </w:pPr>
      <w:r>
        <w:rPr>
          <w:rFonts w:ascii="Times New Roman" w:hAnsi="Times New Roman"/>
          <w:sz w:val="22"/>
        </w:rPr>
        <w:t xml:space="preserve">Podczas stosowania klopidogrelu istnieje </w:t>
      </w:r>
      <w:r w:rsidR="00BC4936">
        <w:rPr>
          <w:rFonts w:ascii="Times New Roman" w:hAnsi="Times New Roman"/>
          <w:sz w:val="22"/>
        </w:rPr>
        <w:t>ryzyk</w:t>
      </w:r>
      <w:r>
        <w:rPr>
          <w:rFonts w:ascii="Times New Roman" w:hAnsi="Times New Roman"/>
          <w:sz w:val="22"/>
        </w:rPr>
        <w:t>o wystąpienia</w:t>
      </w:r>
      <w:r w:rsidR="00BC4936">
        <w:rPr>
          <w:rFonts w:ascii="Times New Roman" w:hAnsi="Times New Roman"/>
          <w:sz w:val="22"/>
        </w:rPr>
        <w:t xml:space="preserve"> krwawie</w:t>
      </w:r>
      <w:r>
        <w:rPr>
          <w:rFonts w:ascii="Times New Roman" w:hAnsi="Times New Roman"/>
          <w:sz w:val="22"/>
        </w:rPr>
        <w:t>ń</w:t>
      </w:r>
      <w:r w:rsidR="00BC4936">
        <w:rPr>
          <w:rFonts w:ascii="Times New Roman" w:hAnsi="Times New Roman"/>
          <w:sz w:val="22"/>
        </w:rPr>
        <w:t xml:space="preserve"> </w:t>
      </w:r>
      <w:r>
        <w:rPr>
          <w:rFonts w:ascii="Times New Roman" w:hAnsi="Times New Roman"/>
          <w:sz w:val="22"/>
        </w:rPr>
        <w:t>oraz</w:t>
      </w:r>
      <w:r w:rsidR="00BC4936">
        <w:rPr>
          <w:rFonts w:ascii="Times New Roman" w:hAnsi="Times New Roman"/>
          <w:sz w:val="22"/>
        </w:rPr>
        <w:t xml:space="preserve"> hematologicznych działań niepożądanych</w:t>
      </w:r>
      <w:r>
        <w:rPr>
          <w:rFonts w:ascii="Times New Roman" w:hAnsi="Times New Roman"/>
          <w:sz w:val="22"/>
        </w:rPr>
        <w:t xml:space="preserve">. Dlatego jeśli w trakcie leczenia wystąpią objawy kliniczne sugerujące krwawienie, </w:t>
      </w:r>
      <w:r w:rsidR="00BC4936">
        <w:rPr>
          <w:rFonts w:ascii="Times New Roman" w:hAnsi="Times New Roman"/>
          <w:sz w:val="22"/>
        </w:rPr>
        <w:t>należy niezwłocznie</w:t>
      </w:r>
      <w:r w:rsidR="005C4C5D">
        <w:rPr>
          <w:rFonts w:ascii="Times New Roman" w:hAnsi="Times New Roman"/>
          <w:sz w:val="22"/>
        </w:rPr>
        <w:t xml:space="preserve"> wykonać</w:t>
      </w:r>
      <w:r w:rsidR="00BC4936">
        <w:rPr>
          <w:rFonts w:ascii="Times New Roman" w:hAnsi="Times New Roman"/>
          <w:sz w:val="22"/>
        </w:rPr>
        <w:t xml:space="preserve"> oznaczenie morfologii krwi i (lub) inn</w:t>
      </w:r>
      <w:r w:rsidR="005C4C5D">
        <w:rPr>
          <w:rFonts w:ascii="Times New Roman" w:hAnsi="Times New Roman"/>
          <w:sz w:val="22"/>
        </w:rPr>
        <w:t>e</w:t>
      </w:r>
      <w:r w:rsidR="00BC4936">
        <w:rPr>
          <w:rFonts w:ascii="Times New Roman" w:hAnsi="Times New Roman"/>
          <w:sz w:val="22"/>
        </w:rPr>
        <w:t xml:space="preserve"> odpowiedni</w:t>
      </w:r>
      <w:r w:rsidR="005C4C5D">
        <w:rPr>
          <w:rFonts w:ascii="Times New Roman" w:hAnsi="Times New Roman"/>
          <w:sz w:val="22"/>
        </w:rPr>
        <w:t>e</w:t>
      </w:r>
      <w:r w:rsidR="00BC4936">
        <w:rPr>
          <w:rFonts w:ascii="Times New Roman" w:hAnsi="Times New Roman"/>
          <w:sz w:val="22"/>
        </w:rPr>
        <w:t xml:space="preserve"> bada</w:t>
      </w:r>
      <w:r w:rsidR="005C4C5D">
        <w:rPr>
          <w:rFonts w:ascii="Times New Roman" w:hAnsi="Times New Roman"/>
          <w:sz w:val="22"/>
        </w:rPr>
        <w:t xml:space="preserve">nia </w:t>
      </w:r>
      <w:r w:rsidR="00BC4936">
        <w:rPr>
          <w:rFonts w:ascii="Times New Roman" w:hAnsi="Times New Roman"/>
          <w:sz w:val="22"/>
        </w:rPr>
        <w:t>(patrz punkt 4.8). Podobnie jak w przypadku innych leków przeciwpłytkowych, należy zachować ostrożność stosując klopidogrel u pacjentów</w:t>
      </w:r>
      <w:r w:rsidR="0080674E">
        <w:rPr>
          <w:rFonts w:ascii="Times New Roman" w:hAnsi="Times New Roman"/>
          <w:sz w:val="22"/>
        </w:rPr>
        <w:t xml:space="preserve"> z</w:t>
      </w:r>
      <w:r w:rsidR="00BC4936">
        <w:rPr>
          <w:rFonts w:ascii="Times New Roman" w:hAnsi="Times New Roman"/>
          <w:sz w:val="22"/>
        </w:rPr>
        <w:t xml:space="preserve"> ryzykiem wystąpienia większego krwawienia z</w:t>
      </w:r>
      <w:r w:rsidR="002A6DC3">
        <w:rPr>
          <w:rFonts w:ascii="Times New Roman" w:hAnsi="Times New Roman"/>
          <w:sz w:val="22"/>
        </w:rPr>
        <w:t> </w:t>
      </w:r>
      <w:r w:rsidR="00BC4936">
        <w:rPr>
          <w:rFonts w:ascii="Times New Roman" w:hAnsi="Times New Roman"/>
          <w:sz w:val="22"/>
        </w:rPr>
        <w:t>powodu urazu, zabiegu chirurgicznego lub innych stanów patologicznych</w:t>
      </w:r>
      <w:r w:rsidR="0080674E">
        <w:rPr>
          <w:rFonts w:ascii="Times New Roman" w:hAnsi="Times New Roman"/>
          <w:sz w:val="22"/>
        </w:rPr>
        <w:t xml:space="preserve"> oraz</w:t>
      </w:r>
      <w:r w:rsidR="00BC4936">
        <w:rPr>
          <w:rFonts w:ascii="Times New Roman" w:hAnsi="Times New Roman"/>
          <w:sz w:val="22"/>
        </w:rPr>
        <w:t xml:space="preserve"> u pacjentów otrzymujących ASA, </w:t>
      </w:r>
      <w:r w:rsidR="00083050">
        <w:rPr>
          <w:rFonts w:ascii="Times New Roman" w:hAnsi="Times New Roman"/>
          <w:sz w:val="22"/>
        </w:rPr>
        <w:t>heparynę, inhibitory glikoprotein IIb/</w:t>
      </w:r>
      <w:r w:rsidR="00AD1E90">
        <w:rPr>
          <w:rFonts w:ascii="Times New Roman" w:hAnsi="Times New Roman"/>
          <w:sz w:val="22"/>
        </w:rPr>
        <w:t>IIIa</w:t>
      </w:r>
      <w:r w:rsidR="0080674E">
        <w:rPr>
          <w:rFonts w:ascii="Times New Roman" w:hAnsi="Times New Roman"/>
          <w:sz w:val="22"/>
        </w:rPr>
        <w:t xml:space="preserve">, </w:t>
      </w:r>
      <w:r w:rsidR="00BC4936">
        <w:rPr>
          <w:rFonts w:ascii="Times New Roman" w:hAnsi="Times New Roman"/>
          <w:sz w:val="22"/>
        </w:rPr>
        <w:t>niesteroidowe leki przeciwzapalne, w</w:t>
      </w:r>
      <w:r w:rsidR="005C4C5D">
        <w:rPr>
          <w:rFonts w:ascii="Times New Roman" w:hAnsi="Times New Roman"/>
          <w:sz w:val="22"/>
        </w:rPr>
        <w:t> </w:t>
      </w:r>
      <w:r w:rsidR="00BC4936">
        <w:rPr>
          <w:rFonts w:ascii="Times New Roman" w:hAnsi="Times New Roman"/>
          <w:sz w:val="22"/>
        </w:rPr>
        <w:t>tym inhibitory Cox-2</w:t>
      </w:r>
      <w:r w:rsidR="00B7721E">
        <w:rPr>
          <w:rFonts w:ascii="Times New Roman" w:hAnsi="Times New Roman"/>
          <w:sz w:val="22"/>
        </w:rPr>
        <w:t xml:space="preserve">, </w:t>
      </w:r>
      <w:r w:rsidR="0080674E">
        <w:rPr>
          <w:rFonts w:ascii="Times New Roman" w:hAnsi="Times New Roman"/>
          <w:sz w:val="22"/>
        </w:rPr>
        <w:t>selektywne inhibitory wychwytu zwrotnego serotoniny (SSRI)</w:t>
      </w:r>
      <w:r w:rsidR="00B7721E">
        <w:rPr>
          <w:rFonts w:ascii="Times New Roman" w:hAnsi="Times New Roman"/>
          <w:sz w:val="22"/>
        </w:rPr>
        <w:t xml:space="preserve">, silne induktory cytochromu CYP2C19 </w:t>
      </w:r>
      <w:r w:rsidR="004E65EF">
        <w:rPr>
          <w:rFonts w:ascii="Times New Roman" w:hAnsi="Times New Roman"/>
          <w:sz w:val="22"/>
        </w:rPr>
        <w:t xml:space="preserve">lub </w:t>
      </w:r>
      <w:r w:rsidR="00796239">
        <w:rPr>
          <w:rFonts w:ascii="Times New Roman" w:hAnsi="Times New Roman"/>
          <w:sz w:val="22"/>
        </w:rPr>
        <w:t xml:space="preserve">inne </w:t>
      </w:r>
      <w:r w:rsidR="004E65EF" w:rsidRPr="004E65EF">
        <w:rPr>
          <w:rFonts w:ascii="Times New Roman" w:hAnsi="Times New Roman"/>
          <w:sz w:val="22"/>
        </w:rPr>
        <w:t>produkt</w:t>
      </w:r>
      <w:r w:rsidR="004E65EF">
        <w:rPr>
          <w:rFonts w:ascii="Times New Roman" w:hAnsi="Times New Roman"/>
          <w:sz w:val="22"/>
        </w:rPr>
        <w:t>y</w:t>
      </w:r>
      <w:r w:rsidR="004E65EF" w:rsidRPr="004E65EF">
        <w:rPr>
          <w:rFonts w:ascii="Times New Roman" w:hAnsi="Times New Roman"/>
          <w:sz w:val="22"/>
        </w:rPr>
        <w:t xml:space="preserve"> lecznicz</w:t>
      </w:r>
      <w:r w:rsidR="004E65EF">
        <w:rPr>
          <w:rFonts w:ascii="Times New Roman" w:hAnsi="Times New Roman"/>
          <w:sz w:val="22"/>
        </w:rPr>
        <w:t>e</w:t>
      </w:r>
      <w:r w:rsidR="004E65EF" w:rsidRPr="001E79CA">
        <w:rPr>
          <w:rFonts w:ascii="Times New Roman" w:hAnsi="Times New Roman"/>
          <w:sz w:val="22"/>
        </w:rPr>
        <w:t xml:space="preserve"> </w:t>
      </w:r>
      <w:r w:rsidR="004E65EF" w:rsidRPr="004E65EF">
        <w:rPr>
          <w:rFonts w:ascii="Times New Roman" w:hAnsi="Times New Roman"/>
          <w:sz w:val="22"/>
        </w:rPr>
        <w:t>związan</w:t>
      </w:r>
      <w:r w:rsidR="004E65EF">
        <w:rPr>
          <w:rFonts w:ascii="Times New Roman" w:hAnsi="Times New Roman"/>
          <w:sz w:val="22"/>
        </w:rPr>
        <w:t>e</w:t>
      </w:r>
      <w:r w:rsidR="004E65EF" w:rsidRPr="001E79CA">
        <w:rPr>
          <w:rFonts w:ascii="Times New Roman" w:hAnsi="Times New Roman"/>
          <w:sz w:val="22"/>
        </w:rPr>
        <w:t xml:space="preserve"> z ryzykiem krwawienia</w:t>
      </w:r>
      <w:r w:rsidR="004E65EF">
        <w:rPr>
          <w:rFonts w:ascii="Times New Roman" w:hAnsi="Times New Roman"/>
          <w:sz w:val="22"/>
        </w:rPr>
        <w:t>, takie jak: pentoksyfilina (patrz punkt 4.5)</w:t>
      </w:r>
      <w:r w:rsidR="004E65EF" w:rsidRPr="001E79CA">
        <w:rPr>
          <w:rFonts w:ascii="Times New Roman" w:hAnsi="Times New Roman"/>
          <w:sz w:val="22"/>
        </w:rPr>
        <w:t>.</w:t>
      </w:r>
      <w:r w:rsidR="004E65EF">
        <w:rPr>
          <w:rFonts w:ascii="Times New Roman" w:hAnsi="Times New Roman"/>
          <w:sz w:val="22"/>
        </w:rPr>
        <w:t xml:space="preserve"> </w:t>
      </w:r>
      <w:r w:rsidR="00BC4936">
        <w:rPr>
          <w:rFonts w:ascii="Times New Roman" w:hAnsi="Times New Roman"/>
          <w:sz w:val="22"/>
        </w:rPr>
        <w:t xml:space="preserve">Pacjentów należy dokładnie obserwować pod kątem wystąpienia jakichkolwiek objawów krwawienia, włącznie z krwawieniem utajonym, zwłaszcza podczas pierwszych tygodni leczenia i (lub) po inwazyjnych zabiegach kardiologicznych lub po zabiegu chirurgicznym. </w:t>
      </w:r>
      <w:r w:rsidR="0080674E">
        <w:rPr>
          <w:rFonts w:ascii="Times New Roman" w:hAnsi="Times New Roman"/>
          <w:sz w:val="22"/>
        </w:rPr>
        <w:t>Nie zaleca się j</w:t>
      </w:r>
      <w:r w:rsidR="00BC4936">
        <w:rPr>
          <w:rFonts w:ascii="Times New Roman" w:hAnsi="Times New Roman"/>
          <w:sz w:val="22"/>
        </w:rPr>
        <w:t>ednoczesne</w:t>
      </w:r>
      <w:r w:rsidR="0080674E">
        <w:rPr>
          <w:rFonts w:ascii="Times New Roman" w:hAnsi="Times New Roman"/>
          <w:sz w:val="22"/>
        </w:rPr>
        <w:t>go</w:t>
      </w:r>
      <w:r w:rsidR="00BC4936">
        <w:rPr>
          <w:rFonts w:ascii="Times New Roman" w:hAnsi="Times New Roman"/>
          <w:sz w:val="22"/>
        </w:rPr>
        <w:t xml:space="preserve"> stosowani</w:t>
      </w:r>
      <w:r w:rsidR="0080674E">
        <w:rPr>
          <w:rFonts w:ascii="Times New Roman" w:hAnsi="Times New Roman"/>
          <w:sz w:val="22"/>
        </w:rPr>
        <w:t>a</w:t>
      </w:r>
      <w:r w:rsidR="00BC4936">
        <w:rPr>
          <w:rFonts w:ascii="Times New Roman" w:hAnsi="Times New Roman"/>
          <w:sz w:val="22"/>
        </w:rPr>
        <w:t xml:space="preserve"> klopidogrelu i </w:t>
      </w:r>
      <w:r w:rsidR="007079CE">
        <w:rPr>
          <w:rFonts w:ascii="Times New Roman" w:hAnsi="Times New Roman"/>
          <w:sz w:val="22"/>
        </w:rPr>
        <w:t>doustnych leków przeciwzakrzepowych</w:t>
      </w:r>
      <w:r w:rsidR="00BC4936">
        <w:rPr>
          <w:rFonts w:ascii="Times New Roman" w:hAnsi="Times New Roman"/>
          <w:sz w:val="22"/>
        </w:rPr>
        <w:t>, ponieważ może to zwiększać intensywność krwawień (patrz</w:t>
      </w:r>
      <w:r w:rsidR="002A6DC3">
        <w:rPr>
          <w:rFonts w:ascii="Times New Roman" w:hAnsi="Times New Roman"/>
          <w:sz w:val="22"/>
        </w:rPr>
        <w:t> </w:t>
      </w:r>
      <w:r w:rsidR="00BC4936">
        <w:rPr>
          <w:rFonts w:ascii="Times New Roman" w:hAnsi="Times New Roman"/>
          <w:sz w:val="22"/>
        </w:rPr>
        <w:t>punkt 4.5).</w:t>
      </w:r>
    </w:p>
    <w:p w:rsidR="00BC4936" w:rsidRDefault="00BC4936">
      <w:pPr>
        <w:tabs>
          <w:tab w:val="left" w:pos="567"/>
        </w:tabs>
        <w:rPr>
          <w:sz w:val="22"/>
          <w:lang w:val="pl-PL"/>
        </w:rPr>
      </w:pPr>
    </w:p>
    <w:p w:rsidR="00BC4936" w:rsidRDefault="00BC4936">
      <w:pPr>
        <w:pStyle w:val="BodyText3"/>
        <w:rPr>
          <w:lang w:val="pl-PL"/>
        </w:rPr>
      </w:pPr>
      <w:r>
        <w:rPr>
          <w:lang w:val="pl-PL"/>
        </w:rPr>
        <w:t xml:space="preserve">Jeśli pacjent ma być poddany planowemu zabiegowi chirurgicznemu, a działanie przeciwpłytkowe </w:t>
      </w:r>
      <w:r w:rsidR="005C4C5D">
        <w:rPr>
          <w:lang w:val="pl-PL"/>
        </w:rPr>
        <w:t xml:space="preserve">nie </w:t>
      </w:r>
      <w:r>
        <w:rPr>
          <w:lang w:val="pl-PL"/>
        </w:rPr>
        <w:t xml:space="preserve">jest </w:t>
      </w:r>
      <w:r w:rsidR="000C6EBD">
        <w:rPr>
          <w:lang w:val="pl-PL"/>
        </w:rPr>
        <w:t>tymczasowo</w:t>
      </w:r>
      <w:r w:rsidR="00881B09">
        <w:rPr>
          <w:lang w:val="pl-PL"/>
        </w:rPr>
        <w:t xml:space="preserve"> </w:t>
      </w:r>
      <w:r w:rsidR="00820889">
        <w:rPr>
          <w:lang w:val="pl-PL"/>
        </w:rPr>
        <w:t>pożą</w:t>
      </w:r>
      <w:r w:rsidR="00881B09">
        <w:rPr>
          <w:lang w:val="pl-PL"/>
        </w:rPr>
        <w:t>dane</w:t>
      </w:r>
      <w:r>
        <w:rPr>
          <w:lang w:val="pl-PL"/>
        </w:rPr>
        <w:t xml:space="preserve">, leczenie klopidogrelem należy przerwać na 7 dni przed zabiegiem chirurgicznym. </w:t>
      </w:r>
      <w:r w:rsidR="00082933">
        <w:rPr>
          <w:lang w:val="pl-PL"/>
        </w:rPr>
        <w:t xml:space="preserve">Pacjenci powinni </w:t>
      </w:r>
      <w:r w:rsidR="00881B09">
        <w:rPr>
          <w:lang w:val="pl-PL"/>
        </w:rPr>
        <w:t>i</w:t>
      </w:r>
      <w:r w:rsidR="00820889">
        <w:rPr>
          <w:lang w:val="pl-PL"/>
        </w:rPr>
        <w:t xml:space="preserve">nformować lekarzy i </w:t>
      </w:r>
      <w:r w:rsidR="00EC7E90">
        <w:rPr>
          <w:lang w:val="pl-PL"/>
        </w:rPr>
        <w:t>lekarzy</w:t>
      </w:r>
      <w:r w:rsidR="002A6DC3">
        <w:rPr>
          <w:lang w:val="pl-PL"/>
        </w:rPr>
        <w:t xml:space="preserve"> </w:t>
      </w:r>
      <w:r w:rsidR="00820889">
        <w:rPr>
          <w:lang w:val="pl-PL"/>
        </w:rPr>
        <w:t>stomatolog</w:t>
      </w:r>
      <w:r w:rsidR="00EC7E90">
        <w:rPr>
          <w:lang w:val="pl-PL"/>
        </w:rPr>
        <w:t>ów</w:t>
      </w:r>
      <w:r w:rsidR="00082933">
        <w:rPr>
          <w:lang w:val="pl-PL"/>
        </w:rPr>
        <w:t xml:space="preserve"> o przyjmowaniu</w:t>
      </w:r>
      <w:r w:rsidR="00881B09">
        <w:rPr>
          <w:lang w:val="pl-PL"/>
        </w:rPr>
        <w:t xml:space="preserve"> klopidogrel</w:t>
      </w:r>
      <w:r w:rsidR="00082933">
        <w:rPr>
          <w:lang w:val="pl-PL"/>
        </w:rPr>
        <w:t>u</w:t>
      </w:r>
      <w:r w:rsidR="00881B09">
        <w:rPr>
          <w:lang w:val="pl-PL"/>
        </w:rPr>
        <w:t xml:space="preserve"> przed </w:t>
      </w:r>
      <w:r w:rsidR="00774F38">
        <w:rPr>
          <w:lang w:val="pl-PL"/>
        </w:rPr>
        <w:t>zaplanowaniem jakiegokolwiek zabiegu chirurgicznego i przed zastosowaniem</w:t>
      </w:r>
      <w:r w:rsidR="00082933">
        <w:rPr>
          <w:lang w:val="pl-PL"/>
        </w:rPr>
        <w:t xml:space="preserve"> każdego</w:t>
      </w:r>
      <w:r w:rsidR="00774F38">
        <w:rPr>
          <w:lang w:val="pl-PL"/>
        </w:rPr>
        <w:t xml:space="preserve"> nowego produktu leczniczego.</w:t>
      </w:r>
      <w:r w:rsidR="00881B09">
        <w:rPr>
          <w:lang w:val="pl-PL"/>
        </w:rPr>
        <w:t xml:space="preserve"> </w:t>
      </w:r>
      <w:r>
        <w:rPr>
          <w:lang w:val="pl-PL"/>
        </w:rPr>
        <w:t>Klopidogrel wydłuża czas krwawienia i</w:t>
      </w:r>
      <w:r w:rsidR="005C4C5D">
        <w:rPr>
          <w:lang w:val="pl-PL"/>
        </w:rPr>
        <w:t xml:space="preserve"> należy go </w:t>
      </w:r>
      <w:r>
        <w:rPr>
          <w:lang w:val="pl-PL"/>
        </w:rPr>
        <w:t>stosowa</w:t>
      </w:r>
      <w:r w:rsidR="005C4C5D">
        <w:rPr>
          <w:lang w:val="pl-PL"/>
        </w:rPr>
        <w:t>ć</w:t>
      </w:r>
      <w:r>
        <w:rPr>
          <w:lang w:val="pl-PL"/>
        </w:rPr>
        <w:t xml:space="preserve"> ostrożnie u pacjentów ze zmianami chorobowymi usposabiającymi do krwawień (zwłaszcza </w:t>
      </w:r>
      <w:r w:rsidR="00A2638A">
        <w:rPr>
          <w:lang w:val="pl-PL"/>
        </w:rPr>
        <w:t>z</w:t>
      </w:r>
      <w:r w:rsidR="005C4C5D">
        <w:rPr>
          <w:lang w:val="pl-PL"/>
        </w:rPr>
        <w:t> </w:t>
      </w:r>
      <w:r w:rsidR="00A2638A">
        <w:rPr>
          <w:lang w:val="pl-PL"/>
        </w:rPr>
        <w:t xml:space="preserve">przewodu pokarmowego </w:t>
      </w:r>
      <w:r>
        <w:rPr>
          <w:lang w:val="pl-PL"/>
        </w:rPr>
        <w:t>i wewnątrzgałkowych).</w:t>
      </w:r>
    </w:p>
    <w:p w:rsidR="00BC4936" w:rsidRDefault="00BC4936" w:rsidP="002A3419">
      <w:pPr>
        <w:tabs>
          <w:tab w:val="left" w:pos="567"/>
        </w:tabs>
        <w:rPr>
          <w:sz w:val="22"/>
          <w:lang w:val="pl-PL"/>
        </w:rPr>
      </w:pPr>
    </w:p>
    <w:p w:rsidR="00BC4936" w:rsidRDefault="005C4C5D">
      <w:pPr>
        <w:tabs>
          <w:tab w:val="left" w:pos="567"/>
        </w:tabs>
        <w:rPr>
          <w:sz w:val="22"/>
          <w:lang w:val="pl-PL"/>
        </w:rPr>
      </w:pPr>
      <w:r>
        <w:rPr>
          <w:sz w:val="22"/>
          <w:lang w:val="pl-PL"/>
        </w:rPr>
        <w:t>Należy poinformować p</w:t>
      </w:r>
      <w:r w:rsidR="00BC4936">
        <w:rPr>
          <w:sz w:val="22"/>
          <w:lang w:val="pl-PL"/>
        </w:rPr>
        <w:t>acjen</w:t>
      </w:r>
      <w:r>
        <w:rPr>
          <w:sz w:val="22"/>
          <w:lang w:val="pl-PL"/>
        </w:rPr>
        <w:t>tów</w:t>
      </w:r>
      <w:r w:rsidR="00BC4936">
        <w:rPr>
          <w:sz w:val="22"/>
          <w:lang w:val="pl-PL"/>
        </w:rPr>
        <w:t xml:space="preserve">, że </w:t>
      </w:r>
      <w:r>
        <w:rPr>
          <w:sz w:val="22"/>
          <w:lang w:val="pl-PL"/>
        </w:rPr>
        <w:t xml:space="preserve">podczas stosowania klopidogrelu (samego lub w skojarzeniu z ASA) </w:t>
      </w:r>
      <w:r w:rsidR="00BC4936">
        <w:rPr>
          <w:sz w:val="22"/>
          <w:lang w:val="pl-PL"/>
        </w:rPr>
        <w:t>tamowanie krwawienia może trwać dłużej niż zazwycza</w:t>
      </w:r>
      <w:r w:rsidR="00CC6996">
        <w:rPr>
          <w:sz w:val="22"/>
          <w:lang w:val="pl-PL"/>
        </w:rPr>
        <w:t>j</w:t>
      </w:r>
      <w:r w:rsidR="00BC4936">
        <w:rPr>
          <w:sz w:val="22"/>
          <w:lang w:val="pl-PL"/>
        </w:rPr>
        <w:t xml:space="preserve"> i że powinni informować lekarza o</w:t>
      </w:r>
      <w:r w:rsidR="002A6DC3">
        <w:rPr>
          <w:sz w:val="22"/>
          <w:lang w:val="pl-PL"/>
        </w:rPr>
        <w:t> </w:t>
      </w:r>
      <w:r w:rsidR="00BC4936">
        <w:rPr>
          <w:sz w:val="22"/>
          <w:lang w:val="pl-PL"/>
        </w:rPr>
        <w:t>każdym niecodziennym krwawieniu</w:t>
      </w:r>
      <w:r>
        <w:rPr>
          <w:sz w:val="22"/>
          <w:lang w:val="pl-PL"/>
        </w:rPr>
        <w:t xml:space="preserve">, podając </w:t>
      </w:r>
      <w:r w:rsidR="00BC4936">
        <w:rPr>
          <w:sz w:val="22"/>
          <w:lang w:val="pl-PL"/>
        </w:rPr>
        <w:t xml:space="preserve">miejsce </w:t>
      </w:r>
      <w:r>
        <w:rPr>
          <w:sz w:val="22"/>
          <w:lang w:val="pl-PL"/>
        </w:rPr>
        <w:t xml:space="preserve">krwawienia </w:t>
      </w:r>
      <w:r w:rsidR="00BC4936">
        <w:rPr>
          <w:sz w:val="22"/>
          <w:lang w:val="pl-PL"/>
        </w:rPr>
        <w:t>oraz czas trwania.</w:t>
      </w:r>
    </w:p>
    <w:p w:rsidR="00BC4936" w:rsidRDefault="00BC4936">
      <w:pPr>
        <w:pStyle w:val="BodyText"/>
        <w:tabs>
          <w:tab w:val="left" w:pos="567"/>
        </w:tabs>
        <w:jc w:val="left"/>
        <w:rPr>
          <w:rFonts w:ascii="Times New Roman" w:hAnsi="Times New Roman"/>
          <w:sz w:val="22"/>
        </w:rPr>
      </w:pPr>
    </w:p>
    <w:p w:rsidR="009D0D2E" w:rsidRPr="00BC1AA9" w:rsidRDefault="009D0D2E">
      <w:pPr>
        <w:pStyle w:val="BodyText"/>
        <w:tabs>
          <w:tab w:val="left" w:pos="567"/>
        </w:tabs>
        <w:jc w:val="left"/>
        <w:rPr>
          <w:rFonts w:ascii="Times New Roman" w:hAnsi="Times New Roman"/>
          <w:i/>
          <w:sz w:val="22"/>
        </w:rPr>
      </w:pPr>
      <w:r w:rsidRPr="00BC1AA9">
        <w:rPr>
          <w:rFonts w:ascii="Times New Roman" w:hAnsi="Times New Roman"/>
          <w:i/>
          <w:sz w:val="22"/>
        </w:rPr>
        <w:t>Zakrzepowa plamica małopłytkowa (TTP)</w:t>
      </w:r>
    </w:p>
    <w:p w:rsidR="00BC4936" w:rsidRDefault="00BC4936">
      <w:pPr>
        <w:pStyle w:val="BodyText"/>
        <w:tabs>
          <w:tab w:val="left" w:pos="567"/>
        </w:tabs>
        <w:jc w:val="left"/>
        <w:rPr>
          <w:rFonts w:ascii="Times New Roman" w:hAnsi="Times New Roman"/>
          <w:sz w:val="22"/>
        </w:rPr>
      </w:pPr>
      <w:r>
        <w:rPr>
          <w:rFonts w:ascii="Times New Roman" w:hAnsi="Times New Roman"/>
          <w:sz w:val="22"/>
        </w:rPr>
        <w:t xml:space="preserve">Bardzo rzadko donoszono o występowaniu zakrzepowej plamicy małopłytkowej (ang. </w:t>
      </w:r>
      <w:r w:rsidRPr="001E79CA">
        <w:rPr>
          <w:rFonts w:ascii="Times New Roman" w:hAnsi="Times New Roman"/>
          <w:sz w:val="22"/>
        </w:rPr>
        <w:t>Thrombotic Thrombocytopenic Purpura-TTP</w:t>
      </w:r>
      <w:r>
        <w:rPr>
          <w:rFonts w:ascii="Times New Roman" w:hAnsi="Times New Roman"/>
          <w:sz w:val="22"/>
        </w:rPr>
        <w:t>) po leczeniu klopidogrelem, czasami</w:t>
      </w:r>
      <w:r w:rsidR="00DA0E56">
        <w:rPr>
          <w:rFonts w:ascii="Times New Roman" w:hAnsi="Times New Roman"/>
          <w:sz w:val="22"/>
        </w:rPr>
        <w:t xml:space="preserve"> krótkim</w:t>
      </w:r>
      <w:r>
        <w:rPr>
          <w:rFonts w:ascii="Times New Roman" w:hAnsi="Times New Roman"/>
          <w:sz w:val="22"/>
        </w:rPr>
        <w:t xml:space="preserve">. Charakteryzuje się ona wystąpieniem trombocytopenii i mikroangiopatycznej niedokrwistości hemolitycznej, skojarzonej albo ze zmianami neurologicznymi, albo z zaburzeniami czynności nerek, lub też z gorączką. TTP  </w:t>
      </w:r>
      <w:r w:rsidR="00DA0E56">
        <w:rPr>
          <w:rFonts w:ascii="Times New Roman" w:hAnsi="Times New Roman"/>
          <w:sz w:val="22"/>
        </w:rPr>
        <w:t xml:space="preserve">może mieć przebieg śmiertelny i konieczne jest </w:t>
      </w:r>
      <w:r>
        <w:rPr>
          <w:rFonts w:ascii="Times New Roman" w:hAnsi="Times New Roman"/>
          <w:sz w:val="22"/>
        </w:rPr>
        <w:t xml:space="preserve">natychmiastowe </w:t>
      </w:r>
      <w:r w:rsidR="00A52108">
        <w:rPr>
          <w:rFonts w:ascii="Times New Roman" w:hAnsi="Times New Roman"/>
          <w:sz w:val="22"/>
        </w:rPr>
        <w:t>wdrożenie</w:t>
      </w:r>
      <w:r w:rsidR="00E72869">
        <w:rPr>
          <w:rFonts w:ascii="Times New Roman" w:hAnsi="Times New Roman"/>
          <w:sz w:val="22"/>
        </w:rPr>
        <w:t xml:space="preserve"> </w:t>
      </w:r>
      <w:r>
        <w:rPr>
          <w:rFonts w:ascii="Times New Roman" w:hAnsi="Times New Roman"/>
          <w:sz w:val="22"/>
        </w:rPr>
        <w:t>leczeni</w:t>
      </w:r>
      <w:r w:rsidR="00E72869">
        <w:rPr>
          <w:rFonts w:ascii="Times New Roman" w:hAnsi="Times New Roman"/>
          <w:sz w:val="22"/>
        </w:rPr>
        <w:t>a</w:t>
      </w:r>
      <w:r>
        <w:rPr>
          <w:rFonts w:ascii="Times New Roman" w:hAnsi="Times New Roman"/>
          <w:sz w:val="22"/>
        </w:rPr>
        <w:t xml:space="preserve">, </w:t>
      </w:r>
      <w:r w:rsidR="00DA0E56">
        <w:rPr>
          <w:rFonts w:ascii="Times New Roman" w:hAnsi="Times New Roman"/>
          <w:sz w:val="22"/>
        </w:rPr>
        <w:t xml:space="preserve">w tym </w:t>
      </w:r>
      <w:r>
        <w:rPr>
          <w:rFonts w:ascii="Times New Roman" w:hAnsi="Times New Roman"/>
          <w:sz w:val="22"/>
        </w:rPr>
        <w:t>plazmaferez</w:t>
      </w:r>
      <w:r w:rsidR="006D5883">
        <w:rPr>
          <w:rFonts w:ascii="Times New Roman" w:hAnsi="Times New Roman"/>
          <w:sz w:val="22"/>
        </w:rPr>
        <w:t>y</w:t>
      </w:r>
      <w:r>
        <w:rPr>
          <w:rFonts w:ascii="Times New Roman" w:hAnsi="Times New Roman"/>
          <w:sz w:val="22"/>
        </w:rPr>
        <w:t xml:space="preserve">. </w:t>
      </w:r>
    </w:p>
    <w:p w:rsidR="00DF2FD8" w:rsidRPr="002A3419" w:rsidRDefault="00DF2FD8" w:rsidP="00F57D32">
      <w:pPr>
        <w:rPr>
          <w:i/>
          <w:sz w:val="22"/>
          <w:szCs w:val="22"/>
          <w:lang w:val="pl-PL"/>
        </w:rPr>
      </w:pPr>
    </w:p>
    <w:p w:rsidR="00F57D32" w:rsidRDefault="00F57D32" w:rsidP="00F57D32">
      <w:pPr>
        <w:rPr>
          <w:sz w:val="22"/>
          <w:szCs w:val="22"/>
        </w:rPr>
      </w:pPr>
      <w:r w:rsidRPr="001D77E5">
        <w:rPr>
          <w:i/>
          <w:sz w:val="22"/>
          <w:szCs w:val="22"/>
        </w:rPr>
        <w:t>Hemofilia nabyta</w:t>
      </w:r>
      <w:r w:rsidR="00DF2FD8">
        <w:rPr>
          <w:i/>
          <w:sz w:val="22"/>
          <w:szCs w:val="22"/>
        </w:rPr>
        <w:t xml:space="preserve"> </w:t>
      </w:r>
      <w:r w:rsidR="00DF2FD8">
        <w:rPr>
          <w:sz w:val="22"/>
          <w:szCs w:val="22"/>
        </w:rPr>
        <w:t xml:space="preserve">(ang. </w:t>
      </w:r>
      <w:r w:rsidR="00DF2FD8">
        <w:rPr>
          <w:i/>
          <w:iCs/>
          <w:sz w:val="22"/>
          <w:szCs w:val="22"/>
        </w:rPr>
        <w:t xml:space="preserve">acquired haemophilia </w:t>
      </w:r>
      <w:r w:rsidR="00DF2FD8">
        <w:rPr>
          <w:sz w:val="22"/>
          <w:szCs w:val="22"/>
        </w:rPr>
        <w:t>– AH)</w:t>
      </w:r>
    </w:p>
    <w:p w:rsidR="00DF2FD8" w:rsidRPr="001D77E5" w:rsidRDefault="00DF2FD8" w:rsidP="00F57D32">
      <w:pPr>
        <w:rPr>
          <w:sz w:val="22"/>
          <w:szCs w:val="22"/>
          <w:lang w:val="pl-PL"/>
        </w:rPr>
      </w:pPr>
      <w:r w:rsidRPr="001D77E5">
        <w:rPr>
          <w:sz w:val="22"/>
          <w:szCs w:val="22"/>
          <w:lang w:val="pl-PL"/>
        </w:rPr>
        <w:t xml:space="preserve">Zgłaszano przypadki nabytej hemofilii po leczeniu klopidogrelem. </w:t>
      </w:r>
      <w:r>
        <w:rPr>
          <w:sz w:val="22"/>
          <w:szCs w:val="22"/>
          <w:lang w:val="pl-PL"/>
        </w:rPr>
        <w:t xml:space="preserve">W przypadku potwierdzenia izolowanego przedłużenia czasu częściowej tromboplastyny po aktywacji (APTT ang. </w:t>
      </w:r>
      <w:r w:rsidRPr="001E79CA">
        <w:rPr>
          <w:sz w:val="22"/>
          <w:szCs w:val="22"/>
          <w:lang w:val="pl-PL"/>
        </w:rPr>
        <w:t>activated partial</w:t>
      </w:r>
      <w:r w:rsidRPr="00936122">
        <w:rPr>
          <w:sz w:val="22"/>
          <w:szCs w:val="22"/>
          <w:lang w:val="pl-PL"/>
        </w:rPr>
        <w:t xml:space="preserve"> </w:t>
      </w:r>
      <w:r w:rsidRPr="001E79CA">
        <w:rPr>
          <w:sz w:val="22"/>
          <w:szCs w:val="22"/>
          <w:lang w:val="pl-PL"/>
        </w:rPr>
        <w:t>thromboplastin time</w:t>
      </w:r>
      <w:r>
        <w:rPr>
          <w:sz w:val="22"/>
          <w:szCs w:val="22"/>
          <w:lang w:val="pl-PL"/>
        </w:rPr>
        <w:t>) z krwawieniem lub bez krwawienia</w:t>
      </w:r>
      <w:r w:rsidR="00BA5848">
        <w:rPr>
          <w:sz w:val="22"/>
          <w:szCs w:val="22"/>
          <w:lang w:val="pl-PL"/>
        </w:rPr>
        <w:t>,</w:t>
      </w:r>
      <w:r>
        <w:rPr>
          <w:sz w:val="22"/>
          <w:szCs w:val="22"/>
          <w:lang w:val="pl-PL"/>
        </w:rPr>
        <w:t xml:space="preserve"> należy wziąć pod uwagę możliwość wystąpienia hemofilii nabytej. Pacjenci z potwierdzonym rozpoznaniem hemofilii nabytej powinni być poddani specjalistycznej opiece lekarskiej, a leczenie klopidogrelem </w:t>
      </w:r>
      <w:r w:rsidR="006E5D0D">
        <w:rPr>
          <w:sz w:val="22"/>
          <w:szCs w:val="22"/>
          <w:lang w:val="pl-PL"/>
        </w:rPr>
        <w:t>należy</w:t>
      </w:r>
      <w:r>
        <w:rPr>
          <w:sz w:val="22"/>
          <w:szCs w:val="22"/>
          <w:lang w:val="pl-PL"/>
        </w:rPr>
        <w:t xml:space="preserve"> przerwa</w:t>
      </w:r>
      <w:r w:rsidR="006E5D0D">
        <w:rPr>
          <w:sz w:val="22"/>
          <w:szCs w:val="22"/>
          <w:lang w:val="pl-PL"/>
        </w:rPr>
        <w:t>ć</w:t>
      </w:r>
      <w:r>
        <w:rPr>
          <w:sz w:val="22"/>
          <w:szCs w:val="22"/>
          <w:lang w:val="pl-PL"/>
        </w:rPr>
        <w:t>.</w:t>
      </w:r>
    </w:p>
    <w:p w:rsidR="00BC4936" w:rsidRDefault="00BC4936">
      <w:pPr>
        <w:pStyle w:val="BodyText"/>
        <w:tabs>
          <w:tab w:val="left" w:pos="567"/>
        </w:tabs>
        <w:jc w:val="left"/>
        <w:rPr>
          <w:rFonts w:ascii="Times New Roman" w:hAnsi="Times New Roman"/>
          <w:sz w:val="22"/>
        </w:rPr>
      </w:pPr>
    </w:p>
    <w:p w:rsidR="009D0D2E" w:rsidRDefault="00F44AD3" w:rsidP="00BD6C12">
      <w:pPr>
        <w:pStyle w:val="BodyText"/>
        <w:keepNext/>
        <w:tabs>
          <w:tab w:val="left" w:pos="567"/>
        </w:tabs>
        <w:jc w:val="left"/>
        <w:rPr>
          <w:rFonts w:ascii="Times New Roman" w:hAnsi="Times New Roman"/>
          <w:i/>
          <w:sz w:val="22"/>
        </w:rPr>
      </w:pPr>
      <w:r>
        <w:rPr>
          <w:rFonts w:ascii="Times New Roman" w:hAnsi="Times New Roman"/>
          <w:i/>
          <w:sz w:val="22"/>
        </w:rPr>
        <w:t>Świeży</w:t>
      </w:r>
      <w:r w:rsidR="005D5272" w:rsidRPr="00BC1AA9">
        <w:rPr>
          <w:rFonts w:ascii="Times New Roman" w:hAnsi="Times New Roman"/>
          <w:i/>
          <w:sz w:val="22"/>
        </w:rPr>
        <w:t xml:space="preserve"> udar niedokrwienny</w:t>
      </w:r>
    </w:p>
    <w:p w:rsidR="0032595E" w:rsidRDefault="0032595E" w:rsidP="0032595E">
      <w:pPr>
        <w:keepNext/>
        <w:numPr>
          <w:ilvl w:val="0"/>
          <w:numId w:val="50"/>
        </w:numPr>
        <w:tabs>
          <w:tab w:val="left" w:pos="567"/>
        </w:tabs>
        <w:rPr>
          <w:i/>
          <w:iCs/>
          <w:sz w:val="22"/>
          <w:szCs w:val="22"/>
          <w:lang w:val="pl-PL"/>
        </w:rPr>
      </w:pPr>
      <w:bookmarkStart w:id="6" w:name="_Hlk60148000"/>
      <w:r>
        <w:rPr>
          <w:i/>
          <w:iCs/>
          <w:sz w:val="22"/>
          <w:szCs w:val="22"/>
          <w:lang w:val="pl-PL"/>
        </w:rPr>
        <w:t>Rozpoczęcie leczenia</w:t>
      </w:r>
    </w:p>
    <w:p w:rsidR="00625B87" w:rsidRDefault="00625B87" w:rsidP="00625B87">
      <w:pPr>
        <w:keepNext/>
        <w:numPr>
          <w:ilvl w:val="1"/>
          <w:numId w:val="50"/>
        </w:numPr>
        <w:tabs>
          <w:tab w:val="left" w:pos="567"/>
        </w:tabs>
        <w:rPr>
          <w:sz w:val="22"/>
          <w:szCs w:val="22"/>
          <w:lang w:val="pl-PL"/>
        </w:rPr>
      </w:pPr>
      <w:r w:rsidRPr="00E07053">
        <w:rPr>
          <w:sz w:val="22"/>
          <w:szCs w:val="22"/>
          <w:lang w:val="pl-PL"/>
        </w:rPr>
        <w:t>U pacjentów z ostrym</w:t>
      </w:r>
      <w:r w:rsidR="007D6745">
        <w:rPr>
          <w:sz w:val="22"/>
          <w:szCs w:val="22"/>
          <w:lang w:val="pl-PL"/>
        </w:rPr>
        <w:t>, niewielkim</w:t>
      </w:r>
      <w:r w:rsidR="006F6F4D">
        <w:rPr>
          <w:sz w:val="22"/>
          <w:szCs w:val="22"/>
          <w:lang w:val="pl-PL"/>
        </w:rPr>
        <w:t xml:space="preserve"> IS</w:t>
      </w:r>
      <w:r>
        <w:rPr>
          <w:sz w:val="22"/>
          <w:szCs w:val="22"/>
          <w:lang w:val="pl-PL"/>
        </w:rPr>
        <w:t xml:space="preserve"> </w:t>
      </w:r>
      <w:r w:rsidRPr="00E07053">
        <w:rPr>
          <w:sz w:val="22"/>
          <w:szCs w:val="22"/>
          <w:lang w:val="pl-PL"/>
        </w:rPr>
        <w:t>lub</w:t>
      </w:r>
      <w:r w:rsidR="007F7189">
        <w:rPr>
          <w:sz w:val="22"/>
          <w:szCs w:val="22"/>
          <w:lang w:val="pl-PL"/>
        </w:rPr>
        <w:t xml:space="preserve"> z</w:t>
      </w:r>
      <w:r w:rsidRPr="00E07053">
        <w:rPr>
          <w:sz w:val="22"/>
          <w:szCs w:val="22"/>
          <w:lang w:val="pl-PL"/>
        </w:rPr>
        <w:t xml:space="preserve"> </w:t>
      </w:r>
      <w:r w:rsidR="007F7189" w:rsidRPr="00E07053">
        <w:rPr>
          <w:sz w:val="22"/>
          <w:szCs w:val="22"/>
          <w:lang w:val="pl-PL"/>
        </w:rPr>
        <w:t>umiarkowan</w:t>
      </w:r>
      <w:r w:rsidR="001F518A">
        <w:rPr>
          <w:sz w:val="22"/>
          <w:szCs w:val="22"/>
          <w:lang w:val="pl-PL"/>
        </w:rPr>
        <w:t>ym</w:t>
      </w:r>
      <w:r w:rsidR="007F7189" w:rsidRPr="00E07053">
        <w:rPr>
          <w:sz w:val="22"/>
          <w:szCs w:val="22"/>
          <w:lang w:val="pl-PL"/>
        </w:rPr>
        <w:t xml:space="preserve"> </w:t>
      </w:r>
      <w:r w:rsidR="007D6745">
        <w:rPr>
          <w:sz w:val="22"/>
          <w:szCs w:val="22"/>
          <w:lang w:val="pl-PL"/>
        </w:rPr>
        <w:t xml:space="preserve">do </w:t>
      </w:r>
      <w:r w:rsidR="007F7189" w:rsidRPr="00E07053">
        <w:rPr>
          <w:sz w:val="22"/>
          <w:szCs w:val="22"/>
          <w:lang w:val="pl-PL"/>
        </w:rPr>
        <w:t>wysoki</w:t>
      </w:r>
      <w:r w:rsidR="007D6745">
        <w:rPr>
          <w:sz w:val="22"/>
          <w:szCs w:val="22"/>
          <w:lang w:val="pl-PL"/>
        </w:rPr>
        <w:t>ego</w:t>
      </w:r>
      <w:r w:rsidR="007F7189">
        <w:rPr>
          <w:sz w:val="22"/>
          <w:szCs w:val="22"/>
          <w:lang w:val="pl-PL"/>
        </w:rPr>
        <w:t xml:space="preserve"> ryzykiem </w:t>
      </w:r>
      <w:r w:rsidR="006F6F4D">
        <w:rPr>
          <w:sz w:val="22"/>
          <w:szCs w:val="22"/>
          <w:lang w:val="pl-PL"/>
        </w:rPr>
        <w:t xml:space="preserve">wystąpienia </w:t>
      </w:r>
      <w:r w:rsidRPr="00E07053">
        <w:rPr>
          <w:sz w:val="22"/>
          <w:szCs w:val="22"/>
          <w:lang w:val="pl-PL"/>
        </w:rPr>
        <w:t xml:space="preserve">TIA należy rozpocząć </w:t>
      </w:r>
      <w:r>
        <w:rPr>
          <w:sz w:val="22"/>
          <w:szCs w:val="22"/>
          <w:lang w:val="pl-PL"/>
        </w:rPr>
        <w:t>podwójne leczenie</w:t>
      </w:r>
      <w:r w:rsidRPr="00E07053">
        <w:rPr>
          <w:sz w:val="22"/>
          <w:szCs w:val="22"/>
          <w:lang w:val="pl-PL"/>
        </w:rPr>
        <w:t xml:space="preserve"> przeciwpłytkow</w:t>
      </w:r>
      <w:r>
        <w:rPr>
          <w:sz w:val="22"/>
          <w:szCs w:val="22"/>
          <w:lang w:val="pl-PL"/>
        </w:rPr>
        <w:t>e</w:t>
      </w:r>
      <w:r w:rsidRPr="00E07053">
        <w:rPr>
          <w:sz w:val="22"/>
          <w:szCs w:val="22"/>
          <w:lang w:val="pl-PL"/>
        </w:rPr>
        <w:t xml:space="preserve"> (klopidogrel i ASA) nie później niż 24 godziny po wystąpieniu </w:t>
      </w:r>
      <w:r w:rsidRPr="0032595E">
        <w:rPr>
          <w:sz w:val="22"/>
          <w:szCs w:val="22"/>
          <w:lang w:val="pl-PL"/>
        </w:rPr>
        <w:t>objawów.</w:t>
      </w:r>
    </w:p>
    <w:p w:rsidR="00625B87" w:rsidRDefault="0032595E" w:rsidP="00625B87">
      <w:pPr>
        <w:keepNext/>
        <w:numPr>
          <w:ilvl w:val="1"/>
          <w:numId w:val="50"/>
        </w:numPr>
        <w:tabs>
          <w:tab w:val="left" w:pos="567"/>
        </w:tabs>
        <w:rPr>
          <w:sz w:val="22"/>
          <w:szCs w:val="22"/>
          <w:lang w:val="pl-PL"/>
        </w:rPr>
      </w:pPr>
      <w:r>
        <w:rPr>
          <w:sz w:val="22"/>
          <w:szCs w:val="22"/>
          <w:lang w:val="pl-PL"/>
        </w:rPr>
        <w:t>Nie ma</w:t>
      </w:r>
      <w:r w:rsidR="00625B87" w:rsidRPr="00FF09BE">
        <w:rPr>
          <w:sz w:val="22"/>
          <w:szCs w:val="22"/>
          <w:lang w:val="pl-PL"/>
        </w:rPr>
        <w:t xml:space="preserve"> danych dotyczących</w:t>
      </w:r>
      <w:r w:rsidR="00647658">
        <w:rPr>
          <w:sz w:val="22"/>
          <w:szCs w:val="22"/>
          <w:lang w:val="pl-PL"/>
        </w:rPr>
        <w:t xml:space="preserve"> stosunku</w:t>
      </w:r>
      <w:r w:rsidR="00625B87" w:rsidRPr="00FF09BE">
        <w:rPr>
          <w:sz w:val="22"/>
          <w:szCs w:val="22"/>
          <w:lang w:val="pl-PL"/>
        </w:rPr>
        <w:t xml:space="preserve"> korzyści </w:t>
      </w:r>
      <w:r w:rsidR="00647658">
        <w:rPr>
          <w:sz w:val="22"/>
          <w:szCs w:val="22"/>
          <w:lang w:val="pl-PL"/>
        </w:rPr>
        <w:t xml:space="preserve">do </w:t>
      </w:r>
      <w:r w:rsidR="00625B87" w:rsidRPr="00FF09BE">
        <w:rPr>
          <w:sz w:val="22"/>
          <w:szCs w:val="22"/>
          <w:lang w:val="pl-PL"/>
        </w:rPr>
        <w:t xml:space="preserve">ryzyka </w:t>
      </w:r>
      <w:r w:rsidR="00625B87" w:rsidRPr="0032595E">
        <w:rPr>
          <w:sz w:val="22"/>
          <w:szCs w:val="22"/>
          <w:lang w:val="pl-PL"/>
        </w:rPr>
        <w:t>krótkot</w:t>
      </w:r>
      <w:r w:rsidR="007F7189" w:rsidRPr="0032595E">
        <w:rPr>
          <w:sz w:val="22"/>
          <w:szCs w:val="22"/>
          <w:lang w:val="pl-PL"/>
        </w:rPr>
        <w:t>rwałego</w:t>
      </w:r>
      <w:r w:rsidR="00625B87" w:rsidRPr="00FF09BE">
        <w:rPr>
          <w:sz w:val="22"/>
          <w:szCs w:val="22"/>
          <w:lang w:val="pl-PL"/>
        </w:rPr>
        <w:t xml:space="preserve"> podwójne</w:t>
      </w:r>
      <w:r w:rsidR="007F7189">
        <w:rPr>
          <w:sz w:val="22"/>
          <w:szCs w:val="22"/>
          <w:lang w:val="pl-PL"/>
        </w:rPr>
        <w:t>go</w:t>
      </w:r>
      <w:r w:rsidR="00625B87" w:rsidRPr="00FF09BE">
        <w:rPr>
          <w:sz w:val="22"/>
          <w:szCs w:val="22"/>
          <w:lang w:val="pl-PL"/>
        </w:rPr>
        <w:t xml:space="preserve"> </w:t>
      </w:r>
      <w:r w:rsidR="00625B87">
        <w:rPr>
          <w:sz w:val="22"/>
          <w:szCs w:val="22"/>
          <w:lang w:val="pl-PL"/>
        </w:rPr>
        <w:t>leczenia</w:t>
      </w:r>
      <w:r w:rsidR="00625B87" w:rsidRPr="00FF09BE">
        <w:rPr>
          <w:sz w:val="22"/>
          <w:szCs w:val="22"/>
          <w:lang w:val="pl-PL"/>
        </w:rPr>
        <w:t xml:space="preserve"> przeciwpłytkowe</w:t>
      </w:r>
      <w:r w:rsidR="00625B87">
        <w:rPr>
          <w:sz w:val="22"/>
          <w:szCs w:val="22"/>
          <w:lang w:val="pl-PL"/>
        </w:rPr>
        <w:t>go</w:t>
      </w:r>
      <w:r w:rsidR="00625B87" w:rsidRPr="00FF09BE">
        <w:rPr>
          <w:sz w:val="22"/>
          <w:szCs w:val="22"/>
          <w:lang w:val="pl-PL"/>
        </w:rPr>
        <w:t xml:space="preserve"> u pacjentów z ostrym</w:t>
      </w:r>
      <w:r w:rsidR="008C6EF1">
        <w:rPr>
          <w:sz w:val="22"/>
          <w:szCs w:val="22"/>
          <w:lang w:val="pl-PL"/>
        </w:rPr>
        <w:t xml:space="preserve"> </w:t>
      </w:r>
      <w:r w:rsidR="007D6745">
        <w:rPr>
          <w:sz w:val="22"/>
          <w:szCs w:val="22"/>
          <w:lang w:val="pl-PL"/>
        </w:rPr>
        <w:t>niewielkim</w:t>
      </w:r>
      <w:r w:rsidR="00625B87" w:rsidRPr="00FF09BE">
        <w:rPr>
          <w:sz w:val="22"/>
          <w:szCs w:val="22"/>
          <w:lang w:val="pl-PL"/>
        </w:rPr>
        <w:t xml:space="preserve"> </w:t>
      </w:r>
      <w:r w:rsidR="008C6EF1">
        <w:rPr>
          <w:sz w:val="22"/>
          <w:szCs w:val="22"/>
          <w:lang w:val="pl-PL"/>
        </w:rPr>
        <w:t>IS</w:t>
      </w:r>
      <w:r w:rsidR="00625B87" w:rsidRPr="00FF09BE">
        <w:rPr>
          <w:sz w:val="22"/>
          <w:szCs w:val="22"/>
          <w:lang w:val="pl-PL"/>
        </w:rPr>
        <w:t xml:space="preserve"> lub </w:t>
      </w:r>
      <w:r w:rsidR="007F7189">
        <w:rPr>
          <w:sz w:val="22"/>
          <w:szCs w:val="22"/>
          <w:lang w:val="pl-PL"/>
        </w:rPr>
        <w:t>z</w:t>
      </w:r>
      <w:r w:rsidR="007F7189" w:rsidRPr="00E07053">
        <w:rPr>
          <w:sz w:val="22"/>
          <w:szCs w:val="22"/>
          <w:lang w:val="pl-PL"/>
        </w:rPr>
        <w:t xml:space="preserve"> umiarkowan</w:t>
      </w:r>
      <w:r w:rsidR="007F7189">
        <w:rPr>
          <w:sz w:val="22"/>
          <w:szCs w:val="22"/>
          <w:lang w:val="pl-PL"/>
        </w:rPr>
        <w:t>ym</w:t>
      </w:r>
      <w:r w:rsidR="007F7189" w:rsidRPr="00E07053">
        <w:rPr>
          <w:sz w:val="22"/>
          <w:szCs w:val="22"/>
          <w:lang w:val="pl-PL"/>
        </w:rPr>
        <w:t xml:space="preserve"> </w:t>
      </w:r>
      <w:r w:rsidR="007D6745">
        <w:rPr>
          <w:sz w:val="22"/>
          <w:szCs w:val="22"/>
          <w:lang w:val="pl-PL"/>
        </w:rPr>
        <w:t xml:space="preserve">do </w:t>
      </w:r>
      <w:r w:rsidR="007F7189" w:rsidRPr="00E07053">
        <w:rPr>
          <w:sz w:val="22"/>
          <w:szCs w:val="22"/>
          <w:lang w:val="pl-PL"/>
        </w:rPr>
        <w:t>wysoki</w:t>
      </w:r>
      <w:r w:rsidR="007D6745">
        <w:rPr>
          <w:sz w:val="22"/>
          <w:szCs w:val="22"/>
          <w:lang w:val="pl-PL"/>
        </w:rPr>
        <w:t>ego</w:t>
      </w:r>
      <w:r w:rsidR="007F7189">
        <w:rPr>
          <w:sz w:val="22"/>
          <w:szCs w:val="22"/>
          <w:lang w:val="pl-PL"/>
        </w:rPr>
        <w:t xml:space="preserve"> ryzykiem </w:t>
      </w:r>
      <w:r w:rsidR="008C6EF1">
        <w:rPr>
          <w:sz w:val="22"/>
          <w:szCs w:val="22"/>
          <w:lang w:val="pl-PL"/>
        </w:rPr>
        <w:t>wystąpienia</w:t>
      </w:r>
      <w:r w:rsidR="007F7189">
        <w:rPr>
          <w:sz w:val="22"/>
          <w:szCs w:val="22"/>
          <w:lang w:val="pl-PL"/>
        </w:rPr>
        <w:t xml:space="preserve"> </w:t>
      </w:r>
      <w:r w:rsidR="007F7189" w:rsidRPr="00E07053">
        <w:rPr>
          <w:sz w:val="22"/>
          <w:szCs w:val="22"/>
          <w:lang w:val="pl-PL"/>
        </w:rPr>
        <w:t>TIA</w:t>
      </w:r>
      <w:r w:rsidR="00625B87" w:rsidRPr="00FF09BE">
        <w:rPr>
          <w:sz w:val="22"/>
          <w:szCs w:val="22"/>
          <w:lang w:val="pl-PL"/>
        </w:rPr>
        <w:t xml:space="preserve">, </w:t>
      </w:r>
      <w:r w:rsidR="00625B87" w:rsidRPr="0032595E">
        <w:rPr>
          <w:sz w:val="22"/>
          <w:szCs w:val="22"/>
          <w:lang w:val="pl-PL"/>
        </w:rPr>
        <w:t>u których w wywiadzie stwierdzono (</w:t>
      </w:r>
      <w:bookmarkStart w:id="7" w:name="_Hlk60147518"/>
      <w:r w:rsidR="00625B87" w:rsidRPr="0032595E">
        <w:rPr>
          <w:sz w:val="22"/>
          <w:szCs w:val="22"/>
          <w:lang w:val="pl-PL"/>
        </w:rPr>
        <w:t>nie</w:t>
      </w:r>
      <w:r w:rsidR="007F7189" w:rsidRPr="0032595E">
        <w:rPr>
          <w:sz w:val="22"/>
          <w:szCs w:val="22"/>
          <w:lang w:val="pl-PL"/>
        </w:rPr>
        <w:t xml:space="preserve"> wywołujący urazów</w:t>
      </w:r>
      <w:bookmarkEnd w:id="7"/>
      <w:r w:rsidR="00625B87" w:rsidRPr="0032595E">
        <w:rPr>
          <w:sz w:val="22"/>
          <w:szCs w:val="22"/>
          <w:lang w:val="pl-PL"/>
        </w:rPr>
        <w:t>) krwotok wewnątrzczaszkowy.</w:t>
      </w:r>
    </w:p>
    <w:p w:rsidR="00625B87" w:rsidRDefault="00625B87" w:rsidP="00625B87">
      <w:pPr>
        <w:keepNext/>
        <w:numPr>
          <w:ilvl w:val="1"/>
          <w:numId w:val="50"/>
        </w:numPr>
        <w:tabs>
          <w:tab w:val="left" w:pos="567"/>
        </w:tabs>
        <w:rPr>
          <w:sz w:val="22"/>
          <w:szCs w:val="22"/>
          <w:lang w:val="pl-PL"/>
        </w:rPr>
      </w:pPr>
      <w:r w:rsidRPr="00E07053">
        <w:rPr>
          <w:sz w:val="22"/>
          <w:szCs w:val="22"/>
          <w:lang w:val="pl-PL"/>
        </w:rPr>
        <w:t xml:space="preserve">U </w:t>
      </w:r>
      <w:r>
        <w:rPr>
          <w:sz w:val="22"/>
          <w:szCs w:val="22"/>
          <w:lang w:val="pl-PL"/>
        </w:rPr>
        <w:t xml:space="preserve">pacjentów ze </w:t>
      </w:r>
      <w:r w:rsidRPr="0032595E">
        <w:rPr>
          <w:sz w:val="22"/>
          <w:szCs w:val="22"/>
          <w:lang w:val="pl-PL"/>
        </w:rPr>
        <w:t>znacznym</w:t>
      </w:r>
      <w:r>
        <w:rPr>
          <w:sz w:val="22"/>
          <w:szCs w:val="22"/>
          <w:lang w:val="pl-PL"/>
        </w:rPr>
        <w:t xml:space="preserve"> IS</w:t>
      </w:r>
      <w:r w:rsidRPr="00E07053">
        <w:rPr>
          <w:sz w:val="22"/>
          <w:szCs w:val="22"/>
          <w:lang w:val="pl-PL"/>
        </w:rPr>
        <w:t xml:space="preserve"> </w:t>
      </w:r>
      <w:r w:rsidR="00647658">
        <w:rPr>
          <w:sz w:val="22"/>
          <w:szCs w:val="22"/>
          <w:lang w:val="pl-PL"/>
        </w:rPr>
        <w:t>monoterapi</w:t>
      </w:r>
      <w:r w:rsidR="00DC7597">
        <w:rPr>
          <w:sz w:val="22"/>
          <w:szCs w:val="22"/>
          <w:lang w:val="pl-PL"/>
        </w:rPr>
        <w:t>ę</w:t>
      </w:r>
      <w:r>
        <w:rPr>
          <w:sz w:val="22"/>
          <w:szCs w:val="22"/>
          <w:lang w:val="pl-PL"/>
        </w:rPr>
        <w:t xml:space="preserve"> </w:t>
      </w:r>
      <w:r w:rsidRPr="00E07053">
        <w:rPr>
          <w:sz w:val="22"/>
          <w:szCs w:val="22"/>
          <w:lang w:val="pl-PL"/>
        </w:rPr>
        <w:t xml:space="preserve">klopidogrelem </w:t>
      </w:r>
      <w:r w:rsidR="0032595E">
        <w:rPr>
          <w:sz w:val="22"/>
          <w:szCs w:val="22"/>
          <w:lang w:val="pl-PL"/>
        </w:rPr>
        <w:t>należy rozpocząć</w:t>
      </w:r>
      <w:r w:rsidRPr="00E07053">
        <w:rPr>
          <w:sz w:val="22"/>
          <w:szCs w:val="22"/>
          <w:lang w:val="pl-PL"/>
        </w:rPr>
        <w:t xml:space="preserve"> dopiero po pierwszych 7 dniach </w:t>
      </w:r>
      <w:r>
        <w:rPr>
          <w:sz w:val="22"/>
          <w:szCs w:val="22"/>
          <w:lang w:val="pl-PL"/>
        </w:rPr>
        <w:t>od wystąpienia objawów.</w:t>
      </w:r>
    </w:p>
    <w:p w:rsidR="00625B87" w:rsidRPr="00FF09BE" w:rsidRDefault="007F7189" w:rsidP="00625B87">
      <w:pPr>
        <w:keepNext/>
        <w:numPr>
          <w:ilvl w:val="0"/>
          <w:numId w:val="50"/>
        </w:numPr>
        <w:tabs>
          <w:tab w:val="left" w:pos="567"/>
        </w:tabs>
        <w:rPr>
          <w:i/>
          <w:iCs/>
          <w:sz w:val="22"/>
          <w:szCs w:val="22"/>
          <w:lang w:val="pl-PL"/>
        </w:rPr>
      </w:pPr>
      <w:r>
        <w:rPr>
          <w:i/>
          <w:iCs/>
          <w:sz w:val="22"/>
          <w:szCs w:val="22"/>
          <w:lang w:val="pl-PL"/>
        </w:rPr>
        <w:t>P</w:t>
      </w:r>
      <w:r w:rsidRPr="007F7189">
        <w:rPr>
          <w:i/>
          <w:iCs/>
          <w:sz w:val="22"/>
          <w:szCs w:val="22"/>
          <w:lang w:val="pl-PL"/>
        </w:rPr>
        <w:t>acjenci z</w:t>
      </w:r>
      <w:r w:rsidR="008C6EF1">
        <w:rPr>
          <w:i/>
          <w:iCs/>
          <w:sz w:val="22"/>
          <w:szCs w:val="22"/>
          <w:lang w:val="pl-PL"/>
        </w:rPr>
        <w:t xml:space="preserve">e </w:t>
      </w:r>
      <w:r w:rsidR="008C6EF1" w:rsidRPr="0032595E">
        <w:rPr>
          <w:i/>
          <w:iCs/>
          <w:sz w:val="22"/>
          <w:szCs w:val="22"/>
          <w:lang w:val="pl-PL"/>
        </w:rPr>
        <w:t>znacznym</w:t>
      </w:r>
      <w:r w:rsidR="008C6EF1">
        <w:rPr>
          <w:i/>
          <w:iCs/>
          <w:sz w:val="22"/>
          <w:szCs w:val="22"/>
          <w:lang w:val="pl-PL"/>
        </w:rPr>
        <w:t xml:space="preserve"> IS</w:t>
      </w:r>
      <w:r w:rsidRPr="007F7189">
        <w:rPr>
          <w:i/>
          <w:iCs/>
          <w:sz w:val="22"/>
          <w:szCs w:val="22"/>
          <w:lang w:val="pl-PL"/>
        </w:rPr>
        <w:t xml:space="preserve"> </w:t>
      </w:r>
      <w:r w:rsidR="00625B87" w:rsidRPr="00FF09BE">
        <w:rPr>
          <w:i/>
          <w:iCs/>
          <w:sz w:val="22"/>
          <w:szCs w:val="22"/>
          <w:lang w:val="pl-PL"/>
        </w:rPr>
        <w:t>(NIHSS &gt;4)</w:t>
      </w:r>
    </w:p>
    <w:p w:rsidR="0032595E" w:rsidRDefault="0032595E" w:rsidP="00711757">
      <w:pPr>
        <w:tabs>
          <w:tab w:val="left" w:pos="567"/>
        </w:tabs>
        <w:ind w:left="720"/>
        <w:rPr>
          <w:sz w:val="22"/>
          <w:szCs w:val="22"/>
          <w:lang w:val="pl-PL"/>
        </w:rPr>
      </w:pPr>
      <w:r>
        <w:rPr>
          <w:sz w:val="22"/>
          <w:szCs w:val="22"/>
          <w:lang w:val="pl-PL"/>
        </w:rPr>
        <w:t>Ze względu na brak danych nie zaleca się stosowania podwójnego leczenia przeciwpłytkowego (patrz punkt 4.1).</w:t>
      </w:r>
    </w:p>
    <w:p w:rsidR="00625B87" w:rsidRDefault="007F7189" w:rsidP="00625B87">
      <w:pPr>
        <w:keepNext/>
        <w:numPr>
          <w:ilvl w:val="0"/>
          <w:numId w:val="50"/>
        </w:numPr>
        <w:tabs>
          <w:tab w:val="left" w:pos="567"/>
        </w:tabs>
        <w:rPr>
          <w:i/>
          <w:iCs/>
          <w:sz w:val="22"/>
          <w:szCs w:val="22"/>
          <w:lang w:val="pl-PL"/>
        </w:rPr>
      </w:pPr>
      <w:bookmarkStart w:id="8" w:name="_Hlk60147719"/>
      <w:r>
        <w:rPr>
          <w:i/>
          <w:iCs/>
          <w:sz w:val="22"/>
          <w:szCs w:val="22"/>
          <w:lang w:val="pl-PL"/>
        </w:rPr>
        <w:t>Pacjenci ze ś</w:t>
      </w:r>
      <w:r w:rsidR="00625B87">
        <w:rPr>
          <w:i/>
          <w:iCs/>
          <w:sz w:val="22"/>
          <w:szCs w:val="22"/>
          <w:lang w:val="pl-PL"/>
        </w:rPr>
        <w:t>wieży</w:t>
      </w:r>
      <w:r>
        <w:rPr>
          <w:i/>
          <w:iCs/>
          <w:sz w:val="22"/>
          <w:szCs w:val="22"/>
          <w:lang w:val="pl-PL"/>
        </w:rPr>
        <w:t>m</w:t>
      </w:r>
      <w:r w:rsidR="00625B87" w:rsidRPr="00FF09BE">
        <w:rPr>
          <w:i/>
          <w:iCs/>
          <w:sz w:val="22"/>
          <w:szCs w:val="22"/>
          <w:lang w:val="pl-PL"/>
        </w:rPr>
        <w:t xml:space="preserve">, </w:t>
      </w:r>
      <w:r w:rsidR="00647658">
        <w:rPr>
          <w:i/>
          <w:iCs/>
          <w:sz w:val="22"/>
          <w:szCs w:val="22"/>
          <w:lang w:val="pl-PL"/>
        </w:rPr>
        <w:t>niewielkim</w:t>
      </w:r>
      <w:r w:rsidR="00625B87" w:rsidRPr="00FF09BE">
        <w:rPr>
          <w:i/>
          <w:iCs/>
          <w:sz w:val="22"/>
          <w:szCs w:val="22"/>
          <w:lang w:val="pl-PL"/>
        </w:rPr>
        <w:t xml:space="preserve"> </w:t>
      </w:r>
      <w:bookmarkEnd w:id="8"/>
      <w:r w:rsidR="00625B87" w:rsidRPr="00FF09BE">
        <w:rPr>
          <w:i/>
          <w:iCs/>
          <w:sz w:val="22"/>
          <w:szCs w:val="22"/>
          <w:lang w:val="pl-PL"/>
        </w:rPr>
        <w:t xml:space="preserve">IS lub </w:t>
      </w:r>
      <w:r w:rsidRPr="007F7189">
        <w:rPr>
          <w:i/>
          <w:iCs/>
          <w:sz w:val="22"/>
          <w:szCs w:val="22"/>
          <w:lang w:val="pl-PL"/>
        </w:rPr>
        <w:t>z umiarkowan</w:t>
      </w:r>
      <w:r>
        <w:rPr>
          <w:i/>
          <w:iCs/>
          <w:sz w:val="22"/>
          <w:szCs w:val="22"/>
          <w:lang w:val="pl-PL"/>
        </w:rPr>
        <w:t>ym</w:t>
      </w:r>
      <w:r w:rsidRPr="007F7189">
        <w:rPr>
          <w:i/>
          <w:iCs/>
          <w:sz w:val="22"/>
          <w:szCs w:val="22"/>
          <w:lang w:val="pl-PL"/>
        </w:rPr>
        <w:t xml:space="preserve"> </w:t>
      </w:r>
      <w:r w:rsidR="007D6745">
        <w:rPr>
          <w:i/>
          <w:iCs/>
          <w:sz w:val="22"/>
          <w:szCs w:val="22"/>
          <w:lang w:val="pl-PL"/>
        </w:rPr>
        <w:t>do</w:t>
      </w:r>
      <w:r w:rsidRPr="007F7189">
        <w:rPr>
          <w:i/>
          <w:iCs/>
          <w:sz w:val="22"/>
          <w:szCs w:val="22"/>
          <w:lang w:val="pl-PL"/>
        </w:rPr>
        <w:t xml:space="preserve"> wysokiego ryzykiem </w:t>
      </w:r>
      <w:r w:rsidR="008C6EF1">
        <w:rPr>
          <w:i/>
          <w:iCs/>
          <w:sz w:val="22"/>
          <w:szCs w:val="22"/>
          <w:lang w:val="pl-PL"/>
        </w:rPr>
        <w:t xml:space="preserve">wystąpienia </w:t>
      </w:r>
      <w:r w:rsidRPr="007F7189">
        <w:rPr>
          <w:i/>
          <w:iCs/>
          <w:sz w:val="22"/>
          <w:szCs w:val="22"/>
          <w:lang w:val="pl-PL"/>
        </w:rPr>
        <w:t>TIA</w:t>
      </w:r>
      <w:r w:rsidR="00625B87" w:rsidRPr="00FF09BE">
        <w:rPr>
          <w:i/>
          <w:iCs/>
          <w:sz w:val="22"/>
          <w:szCs w:val="22"/>
          <w:lang w:val="pl-PL"/>
        </w:rPr>
        <w:t>, u których</w:t>
      </w:r>
      <w:r w:rsidR="00625B87">
        <w:rPr>
          <w:i/>
          <w:iCs/>
          <w:sz w:val="22"/>
          <w:szCs w:val="22"/>
          <w:lang w:val="pl-PL"/>
        </w:rPr>
        <w:t xml:space="preserve"> </w:t>
      </w:r>
      <w:r w:rsidR="00625B87" w:rsidRPr="00FF09BE">
        <w:rPr>
          <w:i/>
          <w:iCs/>
          <w:sz w:val="22"/>
          <w:szCs w:val="22"/>
          <w:lang w:val="pl-PL"/>
        </w:rPr>
        <w:t>wskazan</w:t>
      </w:r>
      <w:r w:rsidR="00647658">
        <w:rPr>
          <w:i/>
          <w:iCs/>
          <w:sz w:val="22"/>
          <w:szCs w:val="22"/>
          <w:lang w:val="pl-PL"/>
        </w:rPr>
        <w:t>y</w:t>
      </w:r>
      <w:r w:rsidR="00625B87" w:rsidRPr="00FF09BE">
        <w:rPr>
          <w:i/>
          <w:iCs/>
          <w:sz w:val="22"/>
          <w:szCs w:val="22"/>
          <w:lang w:val="pl-PL"/>
        </w:rPr>
        <w:t xml:space="preserve"> lub planowan</w:t>
      </w:r>
      <w:r w:rsidR="00647658">
        <w:rPr>
          <w:i/>
          <w:iCs/>
          <w:sz w:val="22"/>
          <w:szCs w:val="22"/>
          <w:lang w:val="pl-PL"/>
        </w:rPr>
        <w:t>y jest zabieg</w:t>
      </w:r>
    </w:p>
    <w:p w:rsidR="00625B87" w:rsidRPr="00711757" w:rsidRDefault="0032595E" w:rsidP="00711757">
      <w:pPr>
        <w:keepNext/>
        <w:tabs>
          <w:tab w:val="left" w:pos="567"/>
        </w:tabs>
        <w:ind w:left="720"/>
        <w:rPr>
          <w:sz w:val="22"/>
          <w:szCs w:val="22"/>
          <w:lang w:val="pl-PL"/>
        </w:rPr>
      </w:pPr>
      <w:r>
        <w:rPr>
          <w:sz w:val="22"/>
          <w:szCs w:val="22"/>
          <w:lang w:val="pl-PL"/>
        </w:rPr>
        <w:t xml:space="preserve">Nie ma </w:t>
      </w:r>
      <w:r w:rsidR="00625B87" w:rsidRPr="00FF09BE">
        <w:rPr>
          <w:sz w:val="22"/>
          <w:szCs w:val="22"/>
          <w:lang w:val="pl-PL"/>
        </w:rPr>
        <w:t>danych przemawiających za stosowaniem podwójne</w:t>
      </w:r>
      <w:r w:rsidR="00625B87">
        <w:rPr>
          <w:sz w:val="22"/>
          <w:szCs w:val="22"/>
          <w:lang w:val="pl-PL"/>
        </w:rPr>
        <w:t>go</w:t>
      </w:r>
      <w:r w:rsidR="00625B87" w:rsidRPr="00FF09BE">
        <w:rPr>
          <w:sz w:val="22"/>
          <w:szCs w:val="22"/>
          <w:lang w:val="pl-PL"/>
        </w:rPr>
        <w:t xml:space="preserve"> </w:t>
      </w:r>
      <w:r w:rsidR="00625B87">
        <w:rPr>
          <w:sz w:val="22"/>
          <w:szCs w:val="22"/>
          <w:lang w:val="pl-PL"/>
        </w:rPr>
        <w:t>leczenia</w:t>
      </w:r>
      <w:r w:rsidR="00625B87" w:rsidRPr="00FF09BE">
        <w:rPr>
          <w:sz w:val="22"/>
          <w:szCs w:val="22"/>
          <w:lang w:val="pl-PL"/>
        </w:rPr>
        <w:t xml:space="preserve"> przeciwpłytkowe</w:t>
      </w:r>
      <w:r w:rsidR="00625B87">
        <w:rPr>
          <w:sz w:val="22"/>
          <w:szCs w:val="22"/>
          <w:lang w:val="pl-PL"/>
        </w:rPr>
        <w:t>go</w:t>
      </w:r>
      <w:r w:rsidR="00625B87" w:rsidRPr="00FF09BE">
        <w:rPr>
          <w:sz w:val="22"/>
          <w:szCs w:val="22"/>
          <w:lang w:val="pl-PL"/>
        </w:rPr>
        <w:t xml:space="preserve"> u pacjentów, u których wskazan</w:t>
      </w:r>
      <w:r w:rsidR="00625B87">
        <w:rPr>
          <w:sz w:val="22"/>
          <w:szCs w:val="22"/>
          <w:lang w:val="pl-PL"/>
        </w:rPr>
        <w:t>a</w:t>
      </w:r>
      <w:r w:rsidR="00625B87" w:rsidRPr="00FF09BE">
        <w:rPr>
          <w:sz w:val="22"/>
          <w:szCs w:val="22"/>
          <w:lang w:val="pl-PL"/>
        </w:rPr>
        <w:t xml:space="preserve"> jest </w:t>
      </w:r>
      <w:r w:rsidR="00625B87">
        <w:rPr>
          <w:sz w:val="22"/>
          <w:szCs w:val="22"/>
          <w:lang w:val="pl-PL"/>
        </w:rPr>
        <w:t>e</w:t>
      </w:r>
      <w:r w:rsidR="00625B87" w:rsidRPr="00A66FF5">
        <w:rPr>
          <w:sz w:val="22"/>
          <w:szCs w:val="22"/>
          <w:lang w:val="pl-PL"/>
        </w:rPr>
        <w:t xml:space="preserve">ndarterektomia tętnic szyjnych </w:t>
      </w:r>
      <w:r w:rsidR="00625B87" w:rsidRPr="00FF09BE">
        <w:rPr>
          <w:sz w:val="22"/>
          <w:szCs w:val="22"/>
          <w:lang w:val="pl-PL"/>
        </w:rPr>
        <w:t>lub trombektomią wewnątrznaczyniow</w:t>
      </w:r>
      <w:r w:rsidR="00DC7597">
        <w:rPr>
          <w:sz w:val="22"/>
          <w:szCs w:val="22"/>
          <w:lang w:val="pl-PL"/>
        </w:rPr>
        <w:t>a</w:t>
      </w:r>
      <w:r w:rsidR="00625B87" w:rsidRPr="00FF09BE">
        <w:rPr>
          <w:sz w:val="22"/>
          <w:szCs w:val="22"/>
          <w:lang w:val="pl-PL"/>
        </w:rPr>
        <w:t xml:space="preserve">, </w:t>
      </w:r>
      <w:r w:rsidR="00625B87" w:rsidRPr="00711757">
        <w:rPr>
          <w:sz w:val="22"/>
          <w:szCs w:val="22"/>
          <w:lang w:val="pl-PL"/>
        </w:rPr>
        <w:t>a także</w:t>
      </w:r>
      <w:r w:rsidR="00625B87" w:rsidRPr="00FF09BE">
        <w:rPr>
          <w:sz w:val="22"/>
          <w:szCs w:val="22"/>
          <w:lang w:val="pl-PL"/>
        </w:rPr>
        <w:t xml:space="preserve"> u pacjentów </w:t>
      </w:r>
      <w:r w:rsidR="00625B87">
        <w:rPr>
          <w:sz w:val="22"/>
          <w:szCs w:val="22"/>
          <w:lang w:val="pl-PL"/>
        </w:rPr>
        <w:t xml:space="preserve">u których </w:t>
      </w:r>
      <w:r w:rsidR="00625B87" w:rsidRPr="00FF09BE">
        <w:rPr>
          <w:sz w:val="22"/>
          <w:szCs w:val="22"/>
          <w:lang w:val="pl-PL"/>
        </w:rPr>
        <w:t>planowan</w:t>
      </w:r>
      <w:r>
        <w:rPr>
          <w:sz w:val="22"/>
          <w:szCs w:val="22"/>
          <w:lang w:val="pl-PL"/>
        </w:rPr>
        <w:t>e jest</w:t>
      </w:r>
      <w:r w:rsidR="00625B87">
        <w:rPr>
          <w:sz w:val="22"/>
          <w:szCs w:val="22"/>
          <w:lang w:val="pl-PL"/>
        </w:rPr>
        <w:t xml:space="preserve"> </w:t>
      </w:r>
      <w:r>
        <w:rPr>
          <w:sz w:val="22"/>
          <w:szCs w:val="22"/>
          <w:lang w:val="pl-PL"/>
        </w:rPr>
        <w:t xml:space="preserve">leczenie trombolityczne lub przeciwzakrzepowe. </w:t>
      </w:r>
      <w:r w:rsidR="00625B87" w:rsidRPr="00FF09BE">
        <w:rPr>
          <w:sz w:val="22"/>
          <w:szCs w:val="22"/>
          <w:lang w:val="pl-PL"/>
        </w:rPr>
        <w:t>Podwójn</w:t>
      </w:r>
      <w:r w:rsidR="007F7189">
        <w:rPr>
          <w:sz w:val="22"/>
          <w:szCs w:val="22"/>
          <w:lang w:val="pl-PL"/>
        </w:rPr>
        <w:t xml:space="preserve">e leczenie </w:t>
      </w:r>
      <w:r w:rsidR="00625B87" w:rsidRPr="00FF09BE">
        <w:rPr>
          <w:sz w:val="22"/>
          <w:szCs w:val="22"/>
          <w:lang w:val="pl-PL"/>
        </w:rPr>
        <w:t>przeciwpłytkow</w:t>
      </w:r>
      <w:r w:rsidR="00DC7597">
        <w:rPr>
          <w:sz w:val="22"/>
          <w:szCs w:val="22"/>
          <w:lang w:val="pl-PL"/>
        </w:rPr>
        <w:t>e</w:t>
      </w:r>
      <w:r w:rsidR="00625B87" w:rsidRPr="00FF09BE">
        <w:rPr>
          <w:sz w:val="22"/>
          <w:szCs w:val="22"/>
          <w:lang w:val="pl-PL"/>
        </w:rPr>
        <w:t xml:space="preserve"> nie jest zalecan</w:t>
      </w:r>
      <w:r w:rsidR="00DC7597">
        <w:rPr>
          <w:sz w:val="22"/>
          <w:szCs w:val="22"/>
          <w:lang w:val="pl-PL"/>
        </w:rPr>
        <w:t>e</w:t>
      </w:r>
      <w:r w:rsidR="00625B87" w:rsidRPr="00FF09BE">
        <w:rPr>
          <w:sz w:val="22"/>
          <w:szCs w:val="22"/>
          <w:lang w:val="pl-PL"/>
        </w:rPr>
        <w:t xml:space="preserve"> w takich sytuacjach</w:t>
      </w:r>
      <w:r w:rsidR="00E829E1" w:rsidRPr="00973060">
        <w:rPr>
          <w:sz w:val="22"/>
          <w:szCs w:val="22"/>
        </w:rPr>
        <w:t>.</w:t>
      </w:r>
    </w:p>
    <w:bookmarkEnd w:id="6"/>
    <w:p w:rsidR="00E07053" w:rsidRPr="00E07053" w:rsidRDefault="00E07053" w:rsidP="00BC1AA9">
      <w:pPr>
        <w:rPr>
          <w:i/>
          <w:sz w:val="22"/>
          <w:szCs w:val="22"/>
          <w:lang w:val="pl-PL"/>
        </w:rPr>
      </w:pPr>
    </w:p>
    <w:p w:rsidR="00BC4936" w:rsidRPr="00BC1AA9" w:rsidRDefault="00BC1AA9" w:rsidP="00BC1AA9">
      <w:pPr>
        <w:rPr>
          <w:i/>
          <w:sz w:val="22"/>
          <w:szCs w:val="22"/>
          <w:lang w:val="pl-PL"/>
        </w:rPr>
      </w:pPr>
      <w:r w:rsidRPr="00BC1AA9">
        <w:rPr>
          <w:i/>
          <w:sz w:val="22"/>
          <w:szCs w:val="22"/>
          <w:lang w:val="pl-PL"/>
        </w:rPr>
        <w:t>Cytochrom P 450 2C19 (CYP2C19)</w:t>
      </w:r>
    </w:p>
    <w:p w:rsidR="00984C1F" w:rsidRDefault="00D07B3F" w:rsidP="009A5894">
      <w:pPr>
        <w:rPr>
          <w:sz w:val="22"/>
          <w:lang w:val="pl-PL"/>
        </w:rPr>
      </w:pPr>
      <w:r w:rsidRPr="00D07B3F">
        <w:rPr>
          <w:sz w:val="22"/>
          <w:lang w:val="pl-PL"/>
        </w:rPr>
        <w:t>Farmakogenetyka: U pacjentów ze słabym metabolizmem przez CYP2C19</w:t>
      </w:r>
      <w:r w:rsidR="00BA5848">
        <w:rPr>
          <w:sz w:val="22"/>
          <w:lang w:val="pl-PL"/>
        </w:rPr>
        <w:t>,</w:t>
      </w:r>
      <w:r w:rsidRPr="00D07B3F">
        <w:rPr>
          <w:sz w:val="22"/>
          <w:lang w:val="pl-PL"/>
        </w:rPr>
        <w:t xml:space="preserve"> klopidogrel podawany w</w:t>
      </w:r>
      <w:r w:rsidR="002A6DC3">
        <w:rPr>
          <w:sz w:val="22"/>
          <w:lang w:val="pl-PL"/>
        </w:rPr>
        <w:t> </w:t>
      </w:r>
      <w:r w:rsidRPr="00D07B3F">
        <w:rPr>
          <w:sz w:val="22"/>
          <w:lang w:val="pl-PL"/>
        </w:rPr>
        <w:t xml:space="preserve">zalecanych dawkach tworzy mniej </w:t>
      </w:r>
      <w:r w:rsidR="00253BDF">
        <w:rPr>
          <w:sz w:val="22"/>
          <w:lang w:val="pl-PL"/>
        </w:rPr>
        <w:t>czynnego</w:t>
      </w:r>
      <w:r w:rsidRPr="00D07B3F">
        <w:rPr>
          <w:sz w:val="22"/>
          <w:lang w:val="pl-PL"/>
        </w:rPr>
        <w:t xml:space="preserve"> metabolitu</w:t>
      </w:r>
      <w:r w:rsidR="006F6DDB">
        <w:rPr>
          <w:sz w:val="22"/>
          <w:lang w:val="pl-PL"/>
        </w:rPr>
        <w:t xml:space="preserve"> klopidogrelu</w:t>
      </w:r>
      <w:r w:rsidRPr="00D07B3F">
        <w:rPr>
          <w:sz w:val="22"/>
          <w:lang w:val="pl-PL"/>
        </w:rPr>
        <w:t xml:space="preserve"> i wywiera słabsze działanie na czynność płytek. Dostępne są testy określające genotyp CYP2C19 pacjenta. </w:t>
      </w:r>
    </w:p>
    <w:p w:rsidR="00784ED8" w:rsidRPr="009A5894" w:rsidRDefault="00784ED8" w:rsidP="009A5894">
      <w:pPr>
        <w:rPr>
          <w:sz w:val="22"/>
          <w:szCs w:val="22"/>
          <w:lang w:val="pl-PL"/>
        </w:rPr>
      </w:pPr>
    </w:p>
    <w:p w:rsidR="00984C1F" w:rsidRDefault="00984C1F" w:rsidP="00984C1F">
      <w:pPr>
        <w:rPr>
          <w:sz w:val="22"/>
          <w:szCs w:val="22"/>
          <w:lang w:val="pl-PL"/>
        </w:rPr>
      </w:pPr>
      <w:bookmarkStart w:id="9" w:name="_Hlk46089039"/>
      <w:r w:rsidRPr="00984C1F">
        <w:rPr>
          <w:sz w:val="22"/>
          <w:szCs w:val="22"/>
          <w:lang w:val="pl-PL"/>
        </w:rPr>
        <w:t xml:space="preserve">Ponieważ klopidogrel jest metabolizowany </w:t>
      </w:r>
      <w:r w:rsidR="00BC1AA9">
        <w:rPr>
          <w:sz w:val="22"/>
          <w:szCs w:val="22"/>
          <w:lang w:val="pl-PL"/>
        </w:rPr>
        <w:t xml:space="preserve">do czynnego metabolitu </w:t>
      </w:r>
      <w:r w:rsidRPr="00984C1F">
        <w:rPr>
          <w:sz w:val="22"/>
          <w:szCs w:val="22"/>
          <w:lang w:val="pl-PL"/>
        </w:rPr>
        <w:t>c</w:t>
      </w:r>
      <w:r w:rsidR="00DA523F">
        <w:rPr>
          <w:sz w:val="22"/>
          <w:szCs w:val="22"/>
          <w:lang w:val="pl-PL"/>
        </w:rPr>
        <w:t>zęściowo przez izoenzym CYP2C19</w:t>
      </w:r>
      <w:r w:rsidRPr="00984C1F">
        <w:rPr>
          <w:sz w:val="22"/>
          <w:szCs w:val="22"/>
          <w:lang w:val="pl-PL"/>
        </w:rPr>
        <w:t xml:space="preserve">, jednoczesne stosowanie leków hamujących aktywność </w:t>
      </w:r>
      <w:r w:rsidR="007A3102">
        <w:rPr>
          <w:sz w:val="22"/>
          <w:szCs w:val="22"/>
          <w:lang w:val="pl-PL"/>
        </w:rPr>
        <w:t xml:space="preserve">tego enzymu </w:t>
      </w:r>
      <w:r w:rsidRPr="00984C1F">
        <w:rPr>
          <w:sz w:val="22"/>
          <w:szCs w:val="22"/>
          <w:lang w:val="pl-PL"/>
        </w:rPr>
        <w:t xml:space="preserve">może zmniejszać </w:t>
      </w:r>
      <w:r w:rsidR="00F25483">
        <w:rPr>
          <w:sz w:val="22"/>
          <w:szCs w:val="22"/>
          <w:lang w:val="pl-PL"/>
        </w:rPr>
        <w:t>stężenie</w:t>
      </w:r>
      <w:r w:rsidRPr="00984C1F">
        <w:rPr>
          <w:sz w:val="22"/>
          <w:szCs w:val="22"/>
          <w:lang w:val="pl-PL"/>
        </w:rPr>
        <w:t xml:space="preserve"> </w:t>
      </w:r>
      <w:r w:rsidR="007A3102" w:rsidRPr="00885C1E">
        <w:rPr>
          <w:sz w:val="22"/>
          <w:szCs w:val="22"/>
          <w:lang w:val="pl-PL"/>
        </w:rPr>
        <w:t>czynnego</w:t>
      </w:r>
      <w:r w:rsidRPr="00885C1E">
        <w:rPr>
          <w:sz w:val="22"/>
          <w:szCs w:val="22"/>
          <w:lang w:val="pl-PL"/>
        </w:rPr>
        <w:t xml:space="preserve"> metabolit</w:t>
      </w:r>
      <w:r w:rsidR="007A3102" w:rsidRPr="00885C1E">
        <w:rPr>
          <w:sz w:val="22"/>
          <w:szCs w:val="22"/>
          <w:lang w:val="pl-PL"/>
        </w:rPr>
        <w:t>u</w:t>
      </w:r>
      <w:r w:rsidRPr="00885C1E">
        <w:rPr>
          <w:sz w:val="22"/>
          <w:szCs w:val="22"/>
          <w:lang w:val="pl-PL"/>
        </w:rPr>
        <w:t xml:space="preserve"> klopidogrelu</w:t>
      </w:r>
      <w:r w:rsidR="007A3102" w:rsidRPr="00885C1E">
        <w:rPr>
          <w:sz w:val="22"/>
          <w:szCs w:val="22"/>
          <w:lang w:val="pl-PL"/>
        </w:rPr>
        <w:t>.</w:t>
      </w:r>
      <w:r w:rsidR="00680B14" w:rsidRPr="00885C1E">
        <w:rPr>
          <w:sz w:val="22"/>
          <w:szCs w:val="22"/>
          <w:lang w:val="pl-PL"/>
        </w:rPr>
        <w:t xml:space="preserve"> </w:t>
      </w:r>
      <w:r w:rsidR="007A3102" w:rsidRPr="00885C1E">
        <w:rPr>
          <w:sz w:val="22"/>
          <w:szCs w:val="22"/>
          <w:lang w:val="pl-PL"/>
        </w:rPr>
        <w:t>Znaczenie</w:t>
      </w:r>
      <w:r w:rsidR="007A3102">
        <w:rPr>
          <w:sz w:val="22"/>
          <w:szCs w:val="22"/>
          <w:lang w:val="pl-PL"/>
        </w:rPr>
        <w:t xml:space="preserve"> </w:t>
      </w:r>
      <w:r w:rsidRPr="00984C1F">
        <w:rPr>
          <w:sz w:val="22"/>
          <w:szCs w:val="22"/>
          <w:lang w:val="pl-PL"/>
        </w:rPr>
        <w:t>kliniczn</w:t>
      </w:r>
      <w:r w:rsidR="007A3102">
        <w:rPr>
          <w:sz w:val="22"/>
          <w:szCs w:val="22"/>
          <w:lang w:val="pl-PL"/>
        </w:rPr>
        <w:t>e tej in</w:t>
      </w:r>
      <w:r w:rsidR="009F4E87">
        <w:rPr>
          <w:sz w:val="22"/>
          <w:szCs w:val="22"/>
          <w:lang w:val="pl-PL"/>
        </w:rPr>
        <w:t>t</w:t>
      </w:r>
      <w:r w:rsidR="007A3102">
        <w:rPr>
          <w:sz w:val="22"/>
          <w:szCs w:val="22"/>
          <w:lang w:val="pl-PL"/>
        </w:rPr>
        <w:t xml:space="preserve">erakcji </w:t>
      </w:r>
      <w:r w:rsidR="00680B14">
        <w:rPr>
          <w:sz w:val="22"/>
          <w:szCs w:val="22"/>
          <w:lang w:val="pl-PL"/>
        </w:rPr>
        <w:t>nie jest potwierdzone</w:t>
      </w:r>
      <w:r w:rsidR="009F4E87">
        <w:rPr>
          <w:sz w:val="22"/>
          <w:szCs w:val="22"/>
          <w:lang w:val="pl-PL"/>
        </w:rPr>
        <w:t>.</w:t>
      </w:r>
      <w:r w:rsidR="00BA5848">
        <w:rPr>
          <w:sz w:val="22"/>
          <w:szCs w:val="22"/>
          <w:lang w:val="pl-PL"/>
        </w:rPr>
        <w:t xml:space="preserve"> </w:t>
      </w:r>
      <w:r w:rsidR="00680B14">
        <w:rPr>
          <w:sz w:val="22"/>
          <w:szCs w:val="22"/>
          <w:lang w:val="pl-PL"/>
        </w:rPr>
        <w:t>N</w:t>
      </w:r>
      <w:r w:rsidR="00B65E5F">
        <w:rPr>
          <w:sz w:val="22"/>
          <w:szCs w:val="22"/>
          <w:lang w:val="pl-PL"/>
        </w:rPr>
        <w:t xml:space="preserve">ie zaleca się </w:t>
      </w:r>
      <w:r w:rsidR="00680B14">
        <w:rPr>
          <w:sz w:val="22"/>
          <w:szCs w:val="22"/>
          <w:lang w:val="pl-PL"/>
        </w:rPr>
        <w:t xml:space="preserve">jednoczesnego </w:t>
      </w:r>
      <w:r w:rsidRPr="00984C1F">
        <w:rPr>
          <w:sz w:val="22"/>
          <w:szCs w:val="22"/>
          <w:lang w:val="pl-PL"/>
        </w:rPr>
        <w:t xml:space="preserve">podawania </w:t>
      </w:r>
      <w:r w:rsidR="00D07B3F" w:rsidRPr="00D07B3F">
        <w:rPr>
          <w:sz w:val="22"/>
          <w:lang w:val="pl-PL"/>
        </w:rPr>
        <w:t>silnych i umiarkowanych inhibitorów CYP2C19</w:t>
      </w:r>
      <w:r w:rsidRPr="00984C1F">
        <w:rPr>
          <w:sz w:val="22"/>
          <w:szCs w:val="22"/>
          <w:lang w:val="pl-PL"/>
        </w:rPr>
        <w:t xml:space="preserve"> (</w:t>
      </w:r>
      <w:r>
        <w:rPr>
          <w:sz w:val="22"/>
          <w:szCs w:val="22"/>
          <w:lang w:val="pl-PL"/>
        </w:rPr>
        <w:t xml:space="preserve">wykaz inhibitorów hamujących działanie CYP2C19 </w:t>
      </w:r>
      <w:r w:rsidRPr="00984C1F">
        <w:rPr>
          <w:sz w:val="22"/>
          <w:szCs w:val="22"/>
          <w:lang w:val="pl-PL"/>
        </w:rPr>
        <w:t>patrz punkt 4.</w:t>
      </w:r>
      <w:r w:rsidR="00C86C19">
        <w:rPr>
          <w:sz w:val="22"/>
          <w:szCs w:val="22"/>
          <w:lang w:val="pl-PL"/>
        </w:rPr>
        <w:t>5</w:t>
      </w:r>
      <w:r>
        <w:rPr>
          <w:sz w:val="22"/>
          <w:szCs w:val="22"/>
          <w:lang w:val="pl-PL"/>
        </w:rPr>
        <w:t>, patrz także punkt</w:t>
      </w:r>
      <w:r w:rsidRPr="00984C1F">
        <w:rPr>
          <w:sz w:val="22"/>
          <w:szCs w:val="22"/>
          <w:lang w:val="pl-PL"/>
        </w:rPr>
        <w:t xml:space="preserve"> 5.2</w:t>
      </w:r>
      <w:bookmarkEnd w:id="9"/>
      <w:r w:rsidRPr="00984C1F">
        <w:rPr>
          <w:sz w:val="22"/>
          <w:szCs w:val="22"/>
          <w:lang w:val="pl-PL"/>
        </w:rPr>
        <w:t xml:space="preserve">). </w:t>
      </w:r>
    </w:p>
    <w:p w:rsidR="00B7721E" w:rsidRDefault="00B7721E" w:rsidP="00984C1F">
      <w:pPr>
        <w:rPr>
          <w:sz w:val="22"/>
          <w:szCs w:val="22"/>
          <w:lang w:val="pl-PL"/>
        </w:rPr>
      </w:pPr>
    </w:p>
    <w:p w:rsidR="00B7721E" w:rsidRDefault="00C30C6A" w:rsidP="00984C1F">
      <w:pPr>
        <w:rPr>
          <w:sz w:val="22"/>
          <w:szCs w:val="22"/>
          <w:lang w:val="pl-PL"/>
        </w:rPr>
      </w:pPr>
      <w:r>
        <w:rPr>
          <w:sz w:val="22"/>
          <w:szCs w:val="22"/>
          <w:lang w:val="pl-PL"/>
        </w:rPr>
        <w:t xml:space="preserve">Stosowanie </w:t>
      </w:r>
      <w:r w:rsidR="00D51A9B">
        <w:rPr>
          <w:sz w:val="22"/>
          <w:szCs w:val="22"/>
          <w:lang w:val="pl-PL"/>
        </w:rPr>
        <w:t>produktów leczniczych</w:t>
      </w:r>
      <w:r w:rsidR="00B7721E">
        <w:rPr>
          <w:sz w:val="22"/>
          <w:szCs w:val="22"/>
          <w:lang w:val="pl-PL"/>
        </w:rPr>
        <w:t>, które indukują aktywność CYP2C19 mo</w:t>
      </w:r>
      <w:r w:rsidR="000C3378">
        <w:rPr>
          <w:sz w:val="22"/>
          <w:szCs w:val="22"/>
          <w:lang w:val="pl-PL"/>
        </w:rPr>
        <w:t>że</w:t>
      </w:r>
      <w:r w:rsidR="00B7721E">
        <w:rPr>
          <w:sz w:val="22"/>
          <w:szCs w:val="22"/>
          <w:lang w:val="pl-PL"/>
        </w:rPr>
        <w:t xml:space="preserve"> spowodować </w:t>
      </w:r>
      <w:r>
        <w:rPr>
          <w:sz w:val="22"/>
          <w:szCs w:val="22"/>
          <w:lang w:val="pl-PL"/>
        </w:rPr>
        <w:t>zwiększenie stężenia czynnego metabolitu klopidogrelu,</w:t>
      </w:r>
      <w:r w:rsidR="00516954">
        <w:rPr>
          <w:sz w:val="22"/>
          <w:szCs w:val="22"/>
          <w:lang w:val="pl-PL"/>
        </w:rPr>
        <w:t xml:space="preserve"> co może </w:t>
      </w:r>
      <w:r w:rsidR="00CE1DDE">
        <w:rPr>
          <w:sz w:val="22"/>
          <w:szCs w:val="22"/>
          <w:lang w:val="pl-PL"/>
        </w:rPr>
        <w:t xml:space="preserve">nasilić </w:t>
      </w:r>
      <w:r w:rsidR="00516954">
        <w:rPr>
          <w:sz w:val="22"/>
          <w:szCs w:val="22"/>
          <w:lang w:val="pl-PL"/>
        </w:rPr>
        <w:t xml:space="preserve">ryzyko krwawień. </w:t>
      </w:r>
      <w:r w:rsidR="00D51A9B">
        <w:rPr>
          <w:sz w:val="22"/>
          <w:szCs w:val="22"/>
          <w:lang w:val="pl-PL"/>
        </w:rPr>
        <w:t xml:space="preserve">Nie zaleca się jednoczesnego </w:t>
      </w:r>
      <w:r w:rsidR="00D51A9B" w:rsidRPr="00984C1F">
        <w:rPr>
          <w:sz w:val="22"/>
          <w:szCs w:val="22"/>
          <w:lang w:val="pl-PL"/>
        </w:rPr>
        <w:t xml:space="preserve">podawania </w:t>
      </w:r>
      <w:r w:rsidR="00516954">
        <w:rPr>
          <w:sz w:val="22"/>
          <w:szCs w:val="22"/>
          <w:lang w:val="pl-PL"/>
        </w:rPr>
        <w:t xml:space="preserve">silnych induktorów CYP2C19 </w:t>
      </w:r>
      <w:r w:rsidR="00216B1A">
        <w:rPr>
          <w:sz w:val="22"/>
          <w:szCs w:val="22"/>
          <w:lang w:val="pl-PL"/>
        </w:rPr>
        <w:t>(</w:t>
      </w:r>
      <w:r w:rsidR="00516954">
        <w:rPr>
          <w:sz w:val="22"/>
          <w:szCs w:val="22"/>
          <w:lang w:val="pl-PL"/>
        </w:rPr>
        <w:t>patrz punkt 4.5)</w:t>
      </w:r>
      <w:r w:rsidR="00D51A9B">
        <w:rPr>
          <w:sz w:val="22"/>
          <w:szCs w:val="22"/>
          <w:lang w:val="pl-PL"/>
        </w:rPr>
        <w:t>.</w:t>
      </w:r>
    </w:p>
    <w:p w:rsidR="004E65EF" w:rsidRPr="00984C1F" w:rsidRDefault="004E65EF" w:rsidP="00984C1F">
      <w:pPr>
        <w:rPr>
          <w:sz w:val="22"/>
          <w:szCs w:val="22"/>
          <w:lang w:val="pl-PL"/>
        </w:rPr>
      </w:pPr>
    </w:p>
    <w:p w:rsidR="004E65EF" w:rsidRPr="001E79CA" w:rsidRDefault="00F35E29" w:rsidP="004E65EF">
      <w:pPr>
        <w:tabs>
          <w:tab w:val="left" w:pos="7280"/>
        </w:tabs>
        <w:ind w:right="-29"/>
        <w:rPr>
          <w:i/>
          <w:sz w:val="22"/>
          <w:szCs w:val="22"/>
          <w:lang w:val="pl-PL" w:eastAsia="en-US"/>
        </w:rPr>
      </w:pPr>
      <w:r w:rsidRPr="001E79CA">
        <w:rPr>
          <w:i/>
          <w:sz w:val="22"/>
          <w:szCs w:val="22"/>
          <w:lang w:val="pl-PL" w:eastAsia="en-US"/>
        </w:rPr>
        <w:t>Substraty CYP2C8</w:t>
      </w:r>
    </w:p>
    <w:p w:rsidR="004E65EF" w:rsidRPr="001E79CA" w:rsidRDefault="004E65EF" w:rsidP="001E79CA">
      <w:pPr>
        <w:tabs>
          <w:tab w:val="left" w:pos="7280"/>
        </w:tabs>
        <w:ind w:right="-29"/>
        <w:rPr>
          <w:sz w:val="22"/>
          <w:szCs w:val="22"/>
          <w:lang w:val="pl-PL" w:eastAsia="en-US"/>
        </w:rPr>
      </w:pPr>
      <w:r w:rsidRPr="001E79CA">
        <w:rPr>
          <w:sz w:val="22"/>
          <w:szCs w:val="22"/>
          <w:lang w:val="pl-PL" w:eastAsia="en-US"/>
        </w:rPr>
        <w:t xml:space="preserve">Należy zachować ostrożność u pacjentów leczonych jednocześnie klopidogrelem </w:t>
      </w:r>
      <w:r>
        <w:rPr>
          <w:sz w:val="22"/>
          <w:szCs w:val="22"/>
          <w:lang w:val="pl-PL" w:eastAsia="en-US"/>
        </w:rPr>
        <w:t xml:space="preserve">i </w:t>
      </w:r>
      <w:r w:rsidR="00F35E29">
        <w:rPr>
          <w:sz w:val="22"/>
          <w:szCs w:val="22"/>
          <w:lang w:val="pl-PL" w:eastAsia="en-US"/>
        </w:rPr>
        <w:t xml:space="preserve">produktami leczniczymi będącymi substratami </w:t>
      </w:r>
      <w:r w:rsidRPr="001E79CA">
        <w:rPr>
          <w:sz w:val="22"/>
          <w:szCs w:val="22"/>
          <w:lang w:val="pl-PL" w:eastAsia="en-US"/>
        </w:rPr>
        <w:t>CYP2C8 (</w:t>
      </w:r>
      <w:r w:rsidR="00F35E29">
        <w:rPr>
          <w:sz w:val="22"/>
          <w:szCs w:val="22"/>
          <w:lang w:val="pl-PL" w:eastAsia="en-US"/>
        </w:rPr>
        <w:t>patrz punkt</w:t>
      </w:r>
      <w:r w:rsidRPr="001E79CA">
        <w:rPr>
          <w:sz w:val="22"/>
          <w:szCs w:val="22"/>
          <w:lang w:val="pl-PL" w:eastAsia="en-US"/>
        </w:rPr>
        <w:t xml:space="preserve"> 4.5).</w:t>
      </w:r>
    </w:p>
    <w:p w:rsidR="00BC4936" w:rsidRPr="001E79CA" w:rsidRDefault="00BC4936" w:rsidP="002A3419">
      <w:pPr>
        <w:tabs>
          <w:tab w:val="left" w:pos="2400"/>
          <w:tab w:val="left" w:pos="7280"/>
        </w:tabs>
        <w:ind w:right="-29"/>
        <w:rPr>
          <w:sz w:val="22"/>
          <w:lang w:val="pl-PL"/>
        </w:rPr>
      </w:pPr>
    </w:p>
    <w:p w:rsidR="00427769" w:rsidRPr="0007513E" w:rsidRDefault="00427769" w:rsidP="000750DD">
      <w:pPr>
        <w:keepNext/>
        <w:tabs>
          <w:tab w:val="left" w:pos="2400"/>
          <w:tab w:val="left" w:pos="7280"/>
        </w:tabs>
        <w:ind w:right="-28"/>
        <w:rPr>
          <w:i/>
          <w:sz w:val="22"/>
          <w:szCs w:val="22"/>
          <w:lang w:val="pl-PL"/>
        </w:rPr>
      </w:pPr>
      <w:bookmarkStart w:id="10" w:name="OLE_LINK9"/>
      <w:bookmarkStart w:id="11" w:name="OLE_LINK10"/>
      <w:r>
        <w:rPr>
          <w:i/>
          <w:sz w:val="22"/>
          <w:szCs w:val="22"/>
          <w:lang w:val="pl-PL"/>
        </w:rPr>
        <w:t>R</w:t>
      </w:r>
      <w:r w:rsidRPr="0007513E">
        <w:rPr>
          <w:i/>
          <w:sz w:val="22"/>
          <w:szCs w:val="22"/>
          <w:lang w:val="pl-PL"/>
        </w:rPr>
        <w:t>eakcje krzyżowe</w:t>
      </w:r>
      <w:r>
        <w:rPr>
          <w:i/>
          <w:sz w:val="22"/>
          <w:szCs w:val="22"/>
          <w:lang w:val="pl-PL"/>
        </w:rPr>
        <w:t xml:space="preserve"> wśród tienopirydyn</w:t>
      </w:r>
    </w:p>
    <w:p w:rsidR="00427769" w:rsidRPr="0007513E" w:rsidRDefault="00427769" w:rsidP="000750DD">
      <w:pPr>
        <w:keepNext/>
        <w:tabs>
          <w:tab w:val="left" w:pos="2400"/>
          <w:tab w:val="left" w:pos="7280"/>
        </w:tabs>
        <w:ind w:right="-28"/>
        <w:rPr>
          <w:sz w:val="22"/>
          <w:szCs w:val="22"/>
          <w:lang w:val="pl-PL"/>
        </w:rPr>
      </w:pPr>
      <w:r w:rsidRPr="003514D8">
        <w:rPr>
          <w:sz w:val="22"/>
          <w:szCs w:val="22"/>
          <w:lang w:val="pl-PL"/>
        </w:rPr>
        <w:t>Należy zebrać wywiad</w:t>
      </w:r>
      <w:r w:rsidRPr="00970223">
        <w:rPr>
          <w:sz w:val="22"/>
          <w:szCs w:val="22"/>
          <w:lang w:val="pl-PL"/>
        </w:rPr>
        <w:t xml:space="preserve"> w kierunku</w:t>
      </w:r>
      <w:r>
        <w:rPr>
          <w:sz w:val="22"/>
          <w:szCs w:val="22"/>
          <w:lang w:val="pl-PL"/>
        </w:rPr>
        <w:t xml:space="preserve"> występowania </w:t>
      </w:r>
      <w:r w:rsidRPr="0007513E">
        <w:rPr>
          <w:sz w:val="22"/>
          <w:szCs w:val="22"/>
          <w:lang w:val="pl-PL"/>
        </w:rPr>
        <w:t>nadwrażliwości na tienopirydyny (takie jak</w:t>
      </w:r>
      <w:r w:rsidR="00BA5848">
        <w:rPr>
          <w:sz w:val="22"/>
          <w:szCs w:val="22"/>
          <w:lang w:val="pl-PL"/>
        </w:rPr>
        <w:t>:</w:t>
      </w:r>
      <w:r w:rsidRPr="0007513E">
        <w:rPr>
          <w:sz w:val="22"/>
          <w:szCs w:val="22"/>
          <w:lang w:val="pl-PL"/>
        </w:rPr>
        <w:t xml:space="preserve"> </w:t>
      </w:r>
      <w:r>
        <w:rPr>
          <w:sz w:val="22"/>
          <w:szCs w:val="22"/>
          <w:lang w:val="pl-PL"/>
        </w:rPr>
        <w:t xml:space="preserve">klopidogrel, </w:t>
      </w:r>
      <w:r w:rsidRPr="0007513E">
        <w:rPr>
          <w:sz w:val="22"/>
          <w:szCs w:val="22"/>
          <w:lang w:val="pl-PL"/>
        </w:rPr>
        <w:t>t</w:t>
      </w:r>
      <w:r>
        <w:rPr>
          <w:sz w:val="22"/>
          <w:szCs w:val="22"/>
          <w:lang w:val="pl-PL"/>
        </w:rPr>
        <w:t>y</w:t>
      </w:r>
      <w:r w:rsidRPr="0007513E">
        <w:rPr>
          <w:sz w:val="22"/>
          <w:szCs w:val="22"/>
          <w:lang w:val="pl-PL"/>
        </w:rPr>
        <w:t>klopidyna, prasugrel)</w:t>
      </w:r>
      <w:r>
        <w:rPr>
          <w:sz w:val="22"/>
          <w:szCs w:val="22"/>
          <w:lang w:val="pl-PL"/>
        </w:rPr>
        <w:t>,</w:t>
      </w:r>
      <w:r w:rsidRPr="0007513E">
        <w:rPr>
          <w:sz w:val="22"/>
          <w:szCs w:val="22"/>
          <w:lang w:val="pl-PL"/>
        </w:rPr>
        <w:t xml:space="preserve"> gdyż zgłaszano </w:t>
      </w:r>
      <w:r>
        <w:rPr>
          <w:sz w:val="22"/>
          <w:szCs w:val="22"/>
          <w:lang w:val="pl-PL"/>
        </w:rPr>
        <w:t xml:space="preserve">występowanie </w:t>
      </w:r>
      <w:r w:rsidRPr="00535FA9">
        <w:rPr>
          <w:sz w:val="22"/>
          <w:szCs w:val="22"/>
          <w:lang w:val="pl-PL"/>
        </w:rPr>
        <w:t>reakcj</w:t>
      </w:r>
      <w:r>
        <w:rPr>
          <w:sz w:val="22"/>
          <w:szCs w:val="22"/>
          <w:lang w:val="pl-PL"/>
        </w:rPr>
        <w:t>i</w:t>
      </w:r>
      <w:r w:rsidRPr="00535FA9">
        <w:rPr>
          <w:sz w:val="22"/>
          <w:szCs w:val="22"/>
          <w:lang w:val="pl-PL"/>
        </w:rPr>
        <w:t xml:space="preserve"> krzyżow</w:t>
      </w:r>
      <w:r>
        <w:rPr>
          <w:sz w:val="22"/>
          <w:szCs w:val="22"/>
          <w:lang w:val="pl-PL"/>
        </w:rPr>
        <w:t>ych</w:t>
      </w:r>
      <w:r w:rsidRPr="0007513E">
        <w:rPr>
          <w:sz w:val="22"/>
          <w:szCs w:val="22"/>
          <w:lang w:val="pl-PL"/>
        </w:rPr>
        <w:t xml:space="preserve"> </w:t>
      </w:r>
      <w:r>
        <w:rPr>
          <w:sz w:val="22"/>
          <w:szCs w:val="22"/>
          <w:lang w:val="pl-PL"/>
        </w:rPr>
        <w:t>wśród</w:t>
      </w:r>
      <w:r w:rsidRPr="0007513E">
        <w:rPr>
          <w:sz w:val="22"/>
          <w:szCs w:val="22"/>
          <w:lang w:val="pl-PL"/>
        </w:rPr>
        <w:t xml:space="preserve"> tienopirydyn (patrz punkt 4.8).</w:t>
      </w:r>
      <w:r>
        <w:rPr>
          <w:sz w:val="22"/>
          <w:szCs w:val="22"/>
          <w:lang w:val="pl-PL"/>
        </w:rPr>
        <w:t xml:space="preserve"> Tienopirydyny mogą powodować łagodne do ciężkich reakcje </w:t>
      </w:r>
      <w:r w:rsidRPr="0007513E">
        <w:rPr>
          <w:sz w:val="22"/>
          <w:lang w:val="pl-PL"/>
        </w:rPr>
        <w:t>alergiczne</w:t>
      </w:r>
      <w:r w:rsidR="00BA5848">
        <w:rPr>
          <w:sz w:val="22"/>
          <w:lang w:val="pl-PL"/>
        </w:rPr>
        <w:t>,</w:t>
      </w:r>
      <w:r w:rsidRPr="0007513E">
        <w:rPr>
          <w:sz w:val="22"/>
          <w:lang w:val="pl-PL"/>
        </w:rPr>
        <w:t xml:space="preserve"> takie jak</w:t>
      </w:r>
      <w:r w:rsidR="00BA5848">
        <w:rPr>
          <w:sz w:val="22"/>
          <w:lang w:val="pl-PL"/>
        </w:rPr>
        <w:t>:</w:t>
      </w:r>
      <w:r w:rsidRPr="0007513E">
        <w:rPr>
          <w:sz w:val="22"/>
          <w:lang w:val="pl-PL"/>
        </w:rPr>
        <w:t xml:space="preserve"> wysypka, obrzęk naczynioruchowy lub hematologiczne reakcje krzyżowe</w:t>
      </w:r>
      <w:r w:rsidR="00BA5848">
        <w:rPr>
          <w:sz w:val="22"/>
          <w:lang w:val="pl-PL"/>
        </w:rPr>
        <w:t>,</w:t>
      </w:r>
      <w:r w:rsidRPr="0007513E">
        <w:rPr>
          <w:sz w:val="22"/>
          <w:lang w:val="pl-PL"/>
        </w:rPr>
        <w:t xml:space="preserve"> takie jak</w:t>
      </w:r>
      <w:r w:rsidR="00BA5848">
        <w:rPr>
          <w:sz w:val="22"/>
          <w:lang w:val="pl-PL"/>
        </w:rPr>
        <w:t>:</w:t>
      </w:r>
      <w:r w:rsidRPr="0007513E">
        <w:rPr>
          <w:sz w:val="22"/>
          <w:lang w:val="pl-PL"/>
        </w:rPr>
        <w:t xml:space="preserve"> trombocytopenia lub neutropenia</w:t>
      </w:r>
      <w:r>
        <w:rPr>
          <w:sz w:val="22"/>
          <w:lang w:val="pl-PL"/>
        </w:rPr>
        <w:t>.</w:t>
      </w:r>
      <w:r>
        <w:rPr>
          <w:sz w:val="22"/>
          <w:szCs w:val="22"/>
          <w:lang w:val="pl-PL"/>
        </w:rPr>
        <w:t xml:space="preserve"> </w:t>
      </w:r>
      <w:r w:rsidR="002A137A" w:rsidRPr="0007513E">
        <w:rPr>
          <w:sz w:val="22"/>
          <w:lang w:val="pl-PL"/>
        </w:rPr>
        <w:t>Pacjenci, u których</w:t>
      </w:r>
      <w:r w:rsidRPr="0007513E">
        <w:rPr>
          <w:sz w:val="22"/>
          <w:lang w:val="pl-PL"/>
        </w:rPr>
        <w:t xml:space="preserve"> </w:t>
      </w:r>
      <w:r>
        <w:rPr>
          <w:sz w:val="22"/>
          <w:lang w:val="pl-PL"/>
        </w:rPr>
        <w:t>w przeszłości</w:t>
      </w:r>
      <w:r w:rsidRPr="0007513E">
        <w:rPr>
          <w:sz w:val="22"/>
          <w:lang w:val="pl-PL"/>
        </w:rPr>
        <w:t xml:space="preserve"> wystąpiła reakcja alergiczna </w:t>
      </w:r>
      <w:r w:rsidR="00BA5848">
        <w:rPr>
          <w:sz w:val="22"/>
          <w:lang w:val="pl-PL"/>
        </w:rPr>
        <w:t>i</w:t>
      </w:r>
      <w:r w:rsidR="00BA5848" w:rsidRPr="00A64B0E">
        <w:rPr>
          <w:lang w:val="pl-PL"/>
        </w:rPr>
        <w:t> </w:t>
      </w:r>
      <w:r w:rsidRPr="0007513E">
        <w:rPr>
          <w:sz w:val="22"/>
          <w:lang w:val="pl-PL"/>
        </w:rPr>
        <w:t>(lub) reakcja hematologiczna na jedną z tienopirydyn mogą mieć podwyższone ryzyko wystąpienia takich samych lub innych reakcji na pozostałe tienopirydyny</w:t>
      </w:r>
      <w:r>
        <w:rPr>
          <w:sz w:val="22"/>
          <w:lang w:val="pl-PL"/>
        </w:rPr>
        <w:t xml:space="preserve">. </w:t>
      </w:r>
      <w:r>
        <w:rPr>
          <w:sz w:val="22"/>
          <w:szCs w:val="22"/>
          <w:lang w:val="pl-PL"/>
        </w:rPr>
        <w:t>Zaleca się</w:t>
      </w:r>
      <w:r w:rsidRPr="00E849F1">
        <w:rPr>
          <w:sz w:val="22"/>
          <w:szCs w:val="22"/>
          <w:lang w:val="pl-PL"/>
        </w:rPr>
        <w:t xml:space="preserve"> monitorowa</w:t>
      </w:r>
      <w:r>
        <w:rPr>
          <w:sz w:val="22"/>
          <w:szCs w:val="22"/>
          <w:lang w:val="pl-PL"/>
        </w:rPr>
        <w:t>nie</w:t>
      </w:r>
      <w:r w:rsidRPr="00E849F1">
        <w:rPr>
          <w:sz w:val="22"/>
          <w:szCs w:val="22"/>
          <w:lang w:val="pl-PL"/>
        </w:rPr>
        <w:t xml:space="preserve"> </w:t>
      </w:r>
      <w:r w:rsidRPr="0007513E">
        <w:rPr>
          <w:sz w:val="22"/>
          <w:szCs w:val="22"/>
          <w:lang w:val="pl-PL"/>
        </w:rPr>
        <w:t>objawów przedmiotowych nadwrażliwości</w:t>
      </w:r>
      <w:r w:rsidRPr="001616E9">
        <w:rPr>
          <w:sz w:val="22"/>
          <w:lang w:val="pl-PL"/>
        </w:rPr>
        <w:t xml:space="preserve"> </w:t>
      </w:r>
      <w:r w:rsidRPr="0007513E">
        <w:rPr>
          <w:sz w:val="22"/>
          <w:lang w:val="pl-PL"/>
        </w:rPr>
        <w:t>u pacjentów ze stwierdzoną alergią na tienopirydyny</w:t>
      </w:r>
      <w:r w:rsidRPr="0007513E">
        <w:rPr>
          <w:sz w:val="22"/>
          <w:szCs w:val="22"/>
          <w:lang w:val="pl-PL"/>
        </w:rPr>
        <w:t>.</w:t>
      </w:r>
    </w:p>
    <w:bookmarkEnd w:id="10"/>
    <w:bookmarkEnd w:id="11"/>
    <w:p w:rsidR="00BC4936" w:rsidRDefault="00BC4936">
      <w:pPr>
        <w:tabs>
          <w:tab w:val="left" w:pos="567"/>
        </w:tabs>
        <w:rPr>
          <w:sz w:val="22"/>
          <w:lang w:val="pl-PL"/>
        </w:rPr>
      </w:pPr>
    </w:p>
    <w:p w:rsidR="00680B14" w:rsidRPr="00680B14" w:rsidRDefault="00680B14">
      <w:pPr>
        <w:tabs>
          <w:tab w:val="left" w:pos="567"/>
        </w:tabs>
        <w:rPr>
          <w:i/>
          <w:sz w:val="22"/>
          <w:lang w:val="pl-PL"/>
        </w:rPr>
      </w:pPr>
      <w:r w:rsidRPr="00680B14">
        <w:rPr>
          <w:i/>
          <w:sz w:val="22"/>
          <w:lang w:val="pl-PL"/>
        </w:rPr>
        <w:t>Zaburzenia czynności nerek</w:t>
      </w:r>
    </w:p>
    <w:p w:rsidR="00680B14" w:rsidRDefault="00BC4936">
      <w:pPr>
        <w:tabs>
          <w:tab w:val="left" w:pos="567"/>
        </w:tabs>
        <w:rPr>
          <w:sz w:val="22"/>
          <w:lang w:val="pl-PL"/>
        </w:rPr>
      </w:pPr>
      <w:r>
        <w:rPr>
          <w:sz w:val="22"/>
          <w:lang w:val="pl-PL"/>
        </w:rPr>
        <w:t xml:space="preserve">Doświadczenie terapeutyczne </w:t>
      </w:r>
      <w:r w:rsidR="00BA5848">
        <w:rPr>
          <w:sz w:val="22"/>
          <w:lang w:val="pl-PL"/>
        </w:rPr>
        <w:t xml:space="preserve">dotyczące </w:t>
      </w:r>
      <w:r>
        <w:rPr>
          <w:sz w:val="22"/>
          <w:lang w:val="pl-PL"/>
        </w:rPr>
        <w:t>stosowani</w:t>
      </w:r>
      <w:r w:rsidR="00BA5848">
        <w:rPr>
          <w:sz w:val="22"/>
          <w:lang w:val="pl-PL"/>
        </w:rPr>
        <w:t>a</w:t>
      </w:r>
      <w:r>
        <w:rPr>
          <w:sz w:val="22"/>
          <w:lang w:val="pl-PL"/>
        </w:rPr>
        <w:t xml:space="preserve"> klopidogrelu u pacjentów z zaburzeni</w:t>
      </w:r>
      <w:r w:rsidR="00BA5848">
        <w:rPr>
          <w:sz w:val="22"/>
          <w:lang w:val="pl-PL"/>
        </w:rPr>
        <w:t>a</w:t>
      </w:r>
      <w:r>
        <w:rPr>
          <w:sz w:val="22"/>
          <w:lang w:val="pl-PL"/>
        </w:rPr>
        <w:t>m</w:t>
      </w:r>
      <w:r w:rsidR="00BA5848">
        <w:rPr>
          <w:sz w:val="22"/>
          <w:lang w:val="pl-PL"/>
        </w:rPr>
        <w:t>i</w:t>
      </w:r>
      <w:r>
        <w:rPr>
          <w:sz w:val="22"/>
          <w:lang w:val="pl-PL"/>
        </w:rPr>
        <w:t xml:space="preserve"> czynności nerek jest ograniczone. Dlatego należy </w:t>
      </w:r>
      <w:r w:rsidR="00680B14">
        <w:rPr>
          <w:sz w:val="22"/>
          <w:lang w:val="pl-PL"/>
        </w:rPr>
        <w:t xml:space="preserve">zachować </w:t>
      </w:r>
      <w:r>
        <w:rPr>
          <w:sz w:val="22"/>
          <w:lang w:val="pl-PL"/>
        </w:rPr>
        <w:t>ostrożn</w:t>
      </w:r>
      <w:r w:rsidR="00680B14">
        <w:rPr>
          <w:sz w:val="22"/>
          <w:lang w:val="pl-PL"/>
        </w:rPr>
        <w:t>ość w przypadku stosowania klopidogrelu</w:t>
      </w:r>
      <w:r>
        <w:rPr>
          <w:sz w:val="22"/>
          <w:lang w:val="pl-PL"/>
        </w:rPr>
        <w:t xml:space="preserve"> u tych pacjentów</w:t>
      </w:r>
      <w:r w:rsidR="00606899">
        <w:rPr>
          <w:sz w:val="22"/>
          <w:lang w:val="pl-PL"/>
        </w:rPr>
        <w:t xml:space="preserve"> (patrz punkt 4.2).</w:t>
      </w:r>
    </w:p>
    <w:p w:rsidR="00680B14" w:rsidRDefault="00680B14">
      <w:pPr>
        <w:tabs>
          <w:tab w:val="left" w:pos="567"/>
        </w:tabs>
        <w:rPr>
          <w:sz w:val="22"/>
          <w:lang w:val="pl-PL"/>
        </w:rPr>
      </w:pPr>
    </w:p>
    <w:p w:rsidR="00BC4936" w:rsidRPr="00680B14" w:rsidRDefault="00680B14">
      <w:pPr>
        <w:tabs>
          <w:tab w:val="left" w:pos="567"/>
        </w:tabs>
        <w:rPr>
          <w:i/>
          <w:sz w:val="22"/>
          <w:lang w:val="pl-PL"/>
        </w:rPr>
      </w:pPr>
      <w:r w:rsidRPr="00680B14">
        <w:rPr>
          <w:i/>
          <w:sz w:val="22"/>
          <w:lang w:val="pl-PL"/>
        </w:rPr>
        <w:t>Zaburzenia czynności wątroby</w:t>
      </w:r>
    </w:p>
    <w:p w:rsidR="00BC4936" w:rsidRDefault="00BC4936">
      <w:pPr>
        <w:pStyle w:val="BodyText3"/>
        <w:rPr>
          <w:lang w:val="pl-PL"/>
        </w:rPr>
      </w:pPr>
      <w:r>
        <w:rPr>
          <w:lang w:val="pl-PL"/>
        </w:rPr>
        <w:t xml:space="preserve">Doświadczenie </w:t>
      </w:r>
      <w:r w:rsidR="000D424D">
        <w:rPr>
          <w:lang w:val="pl-PL"/>
        </w:rPr>
        <w:t>dotyczące</w:t>
      </w:r>
      <w:r w:rsidR="009F4E87">
        <w:rPr>
          <w:lang w:val="pl-PL"/>
        </w:rPr>
        <w:t xml:space="preserve"> stosowani</w:t>
      </w:r>
      <w:r w:rsidR="00BA5848">
        <w:rPr>
          <w:lang w:val="pl-PL"/>
        </w:rPr>
        <w:t>a</w:t>
      </w:r>
      <w:r w:rsidR="009F4E87">
        <w:rPr>
          <w:lang w:val="pl-PL"/>
        </w:rPr>
        <w:t xml:space="preserve"> klopidogrelu </w:t>
      </w:r>
      <w:r>
        <w:rPr>
          <w:lang w:val="pl-PL"/>
        </w:rPr>
        <w:t>u pacjentów z umiarkowanie nasilonymi chorobami wątroby, którzy mogą mieć skłonności do krwawień, jest ograniczone. Dlatego klopidogrel należy stosować ostrożnie w tej populacji</w:t>
      </w:r>
      <w:r w:rsidR="00B4082D">
        <w:rPr>
          <w:lang w:val="pl-PL"/>
        </w:rPr>
        <w:t xml:space="preserve"> (patrz punkt 4.2).</w:t>
      </w:r>
    </w:p>
    <w:p w:rsidR="00BC4936" w:rsidRDefault="00BC4936">
      <w:pPr>
        <w:pStyle w:val="BodyText3"/>
        <w:rPr>
          <w:lang w:val="pl-PL"/>
        </w:rPr>
      </w:pPr>
    </w:p>
    <w:p w:rsidR="009F4E87" w:rsidRPr="009F4E87" w:rsidRDefault="009F4E87">
      <w:pPr>
        <w:pStyle w:val="BodyText3"/>
        <w:rPr>
          <w:i/>
          <w:lang w:val="pl-PL"/>
        </w:rPr>
      </w:pPr>
      <w:r w:rsidRPr="009F4E87">
        <w:rPr>
          <w:i/>
          <w:lang w:val="pl-PL"/>
        </w:rPr>
        <w:t>Substancje pomocnicze</w:t>
      </w:r>
    </w:p>
    <w:p w:rsidR="00434D23" w:rsidRDefault="00B04330" w:rsidP="00434D23">
      <w:pPr>
        <w:pStyle w:val="Tekstprzypisukoncowego"/>
        <w:tabs>
          <w:tab w:val="clear" w:pos="567"/>
        </w:tabs>
        <w:autoSpaceDE/>
        <w:autoSpaceDN/>
        <w:rPr>
          <w:rFonts w:ascii="Times New Roman" w:hAnsi="Times New Roman" w:cs="Times New Roman"/>
          <w:bCs/>
          <w:szCs w:val="20"/>
          <w:lang w:val="pl-PL"/>
        </w:rPr>
      </w:pPr>
      <w:r>
        <w:rPr>
          <w:rFonts w:ascii="Times New Roman" w:hAnsi="Times New Roman" w:cs="Times New Roman"/>
          <w:bCs/>
          <w:lang w:val="pl-PL"/>
        </w:rPr>
        <w:t>Plavix</w:t>
      </w:r>
      <w:r w:rsidR="00583F62">
        <w:rPr>
          <w:rFonts w:ascii="Times New Roman" w:hAnsi="Times New Roman" w:cs="Times New Roman"/>
          <w:bCs/>
          <w:lang w:val="pl-PL"/>
        </w:rPr>
        <w:t xml:space="preserve"> zawiera laktozę. </w:t>
      </w:r>
      <w:r w:rsidR="00434D23">
        <w:rPr>
          <w:rFonts w:ascii="Times New Roman" w:hAnsi="Times New Roman" w:cs="Times New Roman"/>
          <w:bCs/>
          <w:lang w:val="pl-PL"/>
        </w:rPr>
        <w:t xml:space="preserve">Nie powinien być stosowany u pacjentów z rzadko występującą dziedziczną nietolerancją </w:t>
      </w:r>
      <w:r w:rsidR="00434D23">
        <w:rPr>
          <w:rFonts w:ascii="Times New Roman" w:hAnsi="Times New Roman" w:cs="Times New Roman"/>
          <w:bCs/>
          <w:szCs w:val="20"/>
          <w:lang w:val="pl-PL"/>
        </w:rPr>
        <w:t xml:space="preserve">galaktozy, </w:t>
      </w:r>
      <w:r w:rsidR="00216B1A">
        <w:rPr>
          <w:rFonts w:ascii="Times New Roman" w:hAnsi="Times New Roman" w:cs="Times New Roman"/>
          <w:bCs/>
          <w:szCs w:val="20"/>
          <w:lang w:val="pl-PL"/>
        </w:rPr>
        <w:t xml:space="preserve">całkowitym </w:t>
      </w:r>
      <w:r w:rsidR="00434D23">
        <w:rPr>
          <w:rFonts w:ascii="Times New Roman" w:hAnsi="Times New Roman" w:cs="Times New Roman"/>
          <w:bCs/>
          <w:szCs w:val="20"/>
          <w:lang w:val="pl-PL"/>
        </w:rPr>
        <w:t>niedoborem laktazy lub zespołem złego wchłaniania glukozy</w:t>
      </w:r>
      <w:r w:rsidR="00BA5848">
        <w:rPr>
          <w:rFonts w:ascii="Times New Roman" w:hAnsi="Times New Roman" w:cs="Times New Roman"/>
          <w:bCs/>
          <w:szCs w:val="20"/>
          <w:lang w:val="pl-PL"/>
        </w:rPr>
        <w:noBreakHyphen/>
      </w:r>
      <w:r w:rsidR="00434D23">
        <w:rPr>
          <w:rFonts w:ascii="Times New Roman" w:hAnsi="Times New Roman" w:cs="Times New Roman"/>
          <w:bCs/>
          <w:szCs w:val="20"/>
          <w:lang w:val="pl-PL"/>
        </w:rPr>
        <w:t>galaktozy.</w:t>
      </w:r>
    </w:p>
    <w:p w:rsidR="00BC4936" w:rsidRDefault="00BC4936">
      <w:pPr>
        <w:pStyle w:val="BodyText3"/>
        <w:rPr>
          <w:lang w:val="pl-PL"/>
        </w:rPr>
      </w:pPr>
    </w:p>
    <w:p w:rsidR="00CD6167" w:rsidRDefault="00CD6167">
      <w:pPr>
        <w:pStyle w:val="BodyText3"/>
        <w:rPr>
          <w:lang w:val="pl-PL"/>
        </w:rPr>
      </w:pPr>
      <w:r>
        <w:rPr>
          <w:bCs/>
          <w:lang w:val="pl-PL"/>
        </w:rPr>
        <w:t xml:space="preserve">Produkt </w:t>
      </w:r>
      <w:r w:rsidR="00F85658">
        <w:rPr>
          <w:bCs/>
          <w:lang w:val="pl-PL"/>
        </w:rPr>
        <w:t xml:space="preserve">leczniczy </w:t>
      </w:r>
      <w:r>
        <w:rPr>
          <w:bCs/>
          <w:lang w:val="pl-PL"/>
        </w:rPr>
        <w:t>zawiera olej rycynowy uwodorniony, który może powodować niestrawność i</w:t>
      </w:r>
      <w:r w:rsidR="0068326B">
        <w:rPr>
          <w:bCs/>
          <w:lang w:val="pl-PL"/>
        </w:rPr>
        <w:t> </w:t>
      </w:r>
      <w:r>
        <w:rPr>
          <w:bCs/>
          <w:lang w:val="pl-PL"/>
        </w:rPr>
        <w:t>biegunkę</w:t>
      </w:r>
      <w:r w:rsidR="00BA5848">
        <w:rPr>
          <w:bCs/>
          <w:lang w:val="pl-PL"/>
        </w:rPr>
        <w:t>.</w:t>
      </w:r>
    </w:p>
    <w:p w:rsidR="00CD6167" w:rsidRDefault="00CD6167">
      <w:pPr>
        <w:pStyle w:val="BodyText3"/>
        <w:rPr>
          <w:lang w:val="pl-PL"/>
        </w:rPr>
      </w:pPr>
    </w:p>
    <w:p w:rsidR="00BC4936" w:rsidRDefault="00BC4936" w:rsidP="00DB41CD">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4.5</w:t>
      </w:r>
      <w:r>
        <w:rPr>
          <w:rFonts w:ascii="Times New Roman" w:hAnsi="Times New Roman"/>
          <w:i w:val="0"/>
          <w:sz w:val="22"/>
          <w:lang w:val="pl-PL"/>
        </w:rPr>
        <w:tab/>
        <w:t xml:space="preserve">Interakcje z innymi </w:t>
      </w:r>
      <w:r w:rsidR="00CF4B3E">
        <w:rPr>
          <w:rFonts w:ascii="Times New Roman" w:hAnsi="Times New Roman"/>
          <w:i w:val="0"/>
          <w:sz w:val="22"/>
          <w:lang w:val="pl-PL"/>
        </w:rPr>
        <w:t xml:space="preserve">produktami leczniczymi </w:t>
      </w:r>
      <w:r>
        <w:rPr>
          <w:rFonts w:ascii="Times New Roman" w:hAnsi="Times New Roman"/>
          <w:i w:val="0"/>
          <w:sz w:val="22"/>
          <w:lang w:val="pl-PL"/>
        </w:rPr>
        <w:t>i inne rodzaje interakcji</w:t>
      </w:r>
    </w:p>
    <w:p w:rsidR="00BC4936" w:rsidRDefault="00BC4936" w:rsidP="00CE6A17">
      <w:pPr>
        <w:keepNext/>
        <w:tabs>
          <w:tab w:val="left" w:pos="567"/>
        </w:tabs>
        <w:rPr>
          <w:sz w:val="22"/>
          <w:lang w:val="pl-PL"/>
        </w:rPr>
      </w:pPr>
    </w:p>
    <w:p w:rsidR="006522F1" w:rsidRDefault="006522F1" w:rsidP="00CE6A17">
      <w:pPr>
        <w:keepNext/>
        <w:tabs>
          <w:tab w:val="left" w:pos="567"/>
        </w:tabs>
        <w:rPr>
          <w:sz w:val="22"/>
          <w:lang w:val="pl-PL"/>
        </w:rPr>
      </w:pPr>
      <w:r w:rsidRPr="001E79CA">
        <w:rPr>
          <w:i/>
          <w:sz w:val="22"/>
          <w:lang w:val="pl-PL"/>
        </w:rPr>
        <w:t>Prod</w:t>
      </w:r>
      <w:r w:rsidR="00984757" w:rsidRPr="003B030F">
        <w:rPr>
          <w:i/>
          <w:sz w:val="22"/>
          <w:lang w:val="pl-PL"/>
        </w:rPr>
        <w:t xml:space="preserve">ukty lecznicze </w:t>
      </w:r>
      <w:r w:rsidR="00FB5E17">
        <w:rPr>
          <w:i/>
          <w:sz w:val="22"/>
          <w:lang w:val="pl-PL"/>
        </w:rPr>
        <w:t>związane</w:t>
      </w:r>
      <w:r w:rsidR="00984757">
        <w:rPr>
          <w:i/>
          <w:sz w:val="22"/>
          <w:lang w:val="pl-PL"/>
        </w:rPr>
        <w:t xml:space="preserve"> z</w:t>
      </w:r>
      <w:r w:rsidRPr="003B030F">
        <w:rPr>
          <w:i/>
          <w:sz w:val="22"/>
          <w:lang w:val="pl-PL"/>
        </w:rPr>
        <w:t xml:space="preserve"> ryzyk</w:t>
      </w:r>
      <w:r>
        <w:rPr>
          <w:i/>
          <w:sz w:val="22"/>
          <w:lang w:val="pl-PL"/>
        </w:rPr>
        <w:t>iem</w:t>
      </w:r>
      <w:r w:rsidRPr="001E79CA">
        <w:rPr>
          <w:i/>
          <w:sz w:val="22"/>
          <w:lang w:val="pl-PL"/>
        </w:rPr>
        <w:t xml:space="preserve"> krwawienia</w:t>
      </w:r>
      <w:r w:rsidR="00984757">
        <w:rPr>
          <w:sz w:val="22"/>
          <w:lang w:val="pl-PL"/>
        </w:rPr>
        <w:t>: R</w:t>
      </w:r>
      <w:r w:rsidRPr="006522F1">
        <w:rPr>
          <w:sz w:val="22"/>
          <w:lang w:val="pl-PL"/>
        </w:rPr>
        <w:t>yzyko krwawienia</w:t>
      </w:r>
      <w:r w:rsidR="00984757">
        <w:rPr>
          <w:sz w:val="22"/>
          <w:lang w:val="pl-PL"/>
        </w:rPr>
        <w:t xml:space="preserve"> zwiększa się</w:t>
      </w:r>
      <w:r w:rsidRPr="006522F1">
        <w:rPr>
          <w:sz w:val="22"/>
          <w:lang w:val="pl-PL"/>
        </w:rPr>
        <w:t xml:space="preserve"> z powo</w:t>
      </w:r>
      <w:r w:rsidR="00FB5E17">
        <w:rPr>
          <w:sz w:val="22"/>
          <w:lang w:val="pl-PL"/>
        </w:rPr>
        <w:t>du potencjalnego efektu addycyjnego</w:t>
      </w:r>
      <w:r w:rsidRPr="006522F1">
        <w:rPr>
          <w:sz w:val="22"/>
          <w:lang w:val="pl-PL"/>
        </w:rPr>
        <w:t xml:space="preserve">. </w:t>
      </w:r>
      <w:r w:rsidR="00FB5E17">
        <w:rPr>
          <w:sz w:val="22"/>
          <w:lang w:val="pl-PL"/>
        </w:rPr>
        <w:t>N</w:t>
      </w:r>
      <w:r w:rsidR="00FB5E17" w:rsidRPr="006522F1">
        <w:rPr>
          <w:sz w:val="22"/>
          <w:lang w:val="pl-PL"/>
        </w:rPr>
        <w:t>ależy zachować ostrożność</w:t>
      </w:r>
      <w:r w:rsidR="00FB5E17">
        <w:rPr>
          <w:sz w:val="22"/>
          <w:lang w:val="pl-PL"/>
        </w:rPr>
        <w:t xml:space="preserve"> podczas j</w:t>
      </w:r>
      <w:r w:rsidRPr="006522F1">
        <w:rPr>
          <w:sz w:val="22"/>
          <w:lang w:val="pl-PL"/>
        </w:rPr>
        <w:t>ednoczesne</w:t>
      </w:r>
      <w:r w:rsidR="00FB5E17">
        <w:rPr>
          <w:sz w:val="22"/>
          <w:lang w:val="pl-PL"/>
        </w:rPr>
        <w:t>go stosowania</w:t>
      </w:r>
      <w:r w:rsidRPr="006522F1">
        <w:rPr>
          <w:sz w:val="22"/>
          <w:lang w:val="pl-PL"/>
        </w:rPr>
        <w:t xml:space="preserve"> </w:t>
      </w:r>
      <w:r w:rsidR="00FB5E17">
        <w:rPr>
          <w:sz w:val="22"/>
          <w:lang w:val="pl-PL"/>
        </w:rPr>
        <w:t>produktów leczniczych związanych</w:t>
      </w:r>
      <w:r w:rsidRPr="006522F1">
        <w:rPr>
          <w:sz w:val="22"/>
          <w:lang w:val="pl-PL"/>
        </w:rPr>
        <w:t xml:space="preserve"> z ryzykiem krwawienia</w:t>
      </w:r>
      <w:r w:rsidR="00393563">
        <w:rPr>
          <w:sz w:val="22"/>
          <w:lang w:val="pl-PL"/>
        </w:rPr>
        <w:t xml:space="preserve"> (patrz punkt 4.4)</w:t>
      </w:r>
      <w:r w:rsidRPr="006522F1">
        <w:rPr>
          <w:sz w:val="22"/>
          <w:lang w:val="pl-PL"/>
        </w:rPr>
        <w:t>.</w:t>
      </w:r>
    </w:p>
    <w:p w:rsidR="006522F1" w:rsidRDefault="006522F1">
      <w:pPr>
        <w:tabs>
          <w:tab w:val="left" w:pos="567"/>
        </w:tabs>
        <w:rPr>
          <w:sz w:val="22"/>
          <w:lang w:val="pl-PL"/>
        </w:rPr>
      </w:pPr>
    </w:p>
    <w:p w:rsidR="00BC4936" w:rsidRPr="004200AB" w:rsidRDefault="00DB34CC" w:rsidP="00AF490B">
      <w:pPr>
        <w:tabs>
          <w:tab w:val="left" w:pos="2400"/>
          <w:tab w:val="left" w:pos="7280"/>
        </w:tabs>
        <w:ind w:right="-29"/>
        <w:rPr>
          <w:sz w:val="22"/>
          <w:lang w:val="pl-PL"/>
        </w:rPr>
      </w:pPr>
      <w:r w:rsidRPr="00AF490B">
        <w:rPr>
          <w:i/>
          <w:sz w:val="22"/>
          <w:lang w:val="pl-PL"/>
        </w:rPr>
        <w:t>Doustne leki przeciwzakrzepowe</w:t>
      </w:r>
      <w:r w:rsidR="00BC4936" w:rsidRPr="00AF490B">
        <w:rPr>
          <w:i/>
          <w:sz w:val="22"/>
          <w:lang w:val="pl-PL"/>
        </w:rPr>
        <w:t>:</w:t>
      </w:r>
      <w:r w:rsidR="00BC4936" w:rsidRPr="00AF490B">
        <w:rPr>
          <w:sz w:val="22"/>
          <w:lang w:val="pl-PL"/>
        </w:rPr>
        <w:t xml:space="preserve"> Jednoczesne stosowanie klopidogrelu i </w:t>
      </w:r>
      <w:r w:rsidR="009949EC" w:rsidRPr="00AF490B">
        <w:rPr>
          <w:sz w:val="22"/>
          <w:lang w:val="pl-PL"/>
        </w:rPr>
        <w:t>doustnych leków przeciwzakrzepowych</w:t>
      </w:r>
      <w:r w:rsidR="00BC4936" w:rsidRPr="00AF490B">
        <w:rPr>
          <w:sz w:val="22"/>
          <w:lang w:val="pl-PL"/>
        </w:rPr>
        <w:t xml:space="preserve"> nie jest zalecane, ponieważ może to zwiększać intensywność krwawień (patrz</w:t>
      </w:r>
      <w:r w:rsidR="00CF4B3E">
        <w:rPr>
          <w:sz w:val="22"/>
          <w:lang w:val="pl-PL"/>
        </w:rPr>
        <w:t> </w:t>
      </w:r>
      <w:r w:rsidR="00BC4936" w:rsidRPr="00AF490B">
        <w:rPr>
          <w:sz w:val="22"/>
          <w:lang w:val="pl-PL"/>
        </w:rPr>
        <w:t>punkt 4.4).</w:t>
      </w:r>
      <w:r w:rsidR="00AF490B" w:rsidRPr="00AF490B">
        <w:rPr>
          <w:sz w:val="22"/>
          <w:lang w:val="pl-PL"/>
        </w:rPr>
        <w:t xml:space="preserve"> Chociaż podawanie klopidogrelu w dawce 75 mg/dobę nie wpłynęło na farmakokinetykę S</w:t>
      </w:r>
      <w:r w:rsidR="00AF490B" w:rsidRPr="00AF490B">
        <w:rPr>
          <w:sz w:val="22"/>
          <w:lang w:val="pl-PL"/>
        </w:rPr>
        <w:noBreakHyphen/>
        <w:t xml:space="preserve">warfaryny ani na wartość </w:t>
      </w:r>
      <w:r w:rsidR="004200AB">
        <w:rPr>
          <w:sz w:val="22"/>
          <w:lang w:val="pl-PL"/>
        </w:rPr>
        <w:t xml:space="preserve">Międzynarodowego Znormalizowanego Wskaźnika Protrombinowego (ang. </w:t>
      </w:r>
      <w:r w:rsidR="00AF490B" w:rsidRPr="00AF490B">
        <w:rPr>
          <w:sz w:val="22"/>
          <w:lang w:val="pl-PL"/>
        </w:rPr>
        <w:t xml:space="preserve">INR </w:t>
      </w:r>
      <w:r w:rsidR="004200AB">
        <w:rPr>
          <w:sz w:val="22"/>
          <w:lang w:val="pl-PL"/>
        </w:rPr>
        <w:t xml:space="preserve">– </w:t>
      </w:r>
      <w:r w:rsidR="004200AB" w:rsidRPr="001E79CA">
        <w:rPr>
          <w:sz w:val="22"/>
          <w:lang w:val="pl-PL"/>
        </w:rPr>
        <w:t>International Normalised Ratio</w:t>
      </w:r>
      <w:r w:rsidR="004200AB">
        <w:rPr>
          <w:sz w:val="22"/>
          <w:lang w:val="pl-PL"/>
        </w:rPr>
        <w:t xml:space="preserve">) </w:t>
      </w:r>
      <w:r w:rsidR="00AF490B" w:rsidRPr="00AF490B">
        <w:rPr>
          <w:sz w:val="22"/>
          <w:lang w:val="pl-PL"/>
        </w:rPr>
        <w:t xml:space="preserve">u pacjentów leczonych </w:t>
      </w:r>
      <w:r w:rsidR="00CF4B3E" w:rsidRPr="00AF490B">
        <w:rPr>
          <w:sz w:val="22"/>
          <w:lang w:val="pl-PL"/>
        </w:rPr>
        <w:t>długo</w:t>
      </w:r>
      <w:r w:rsidR="00CF4B3E">
        <w:rPr>
          <w:sz w:val="22"/>
          <w:lang w:val="pl-PL"/>
        </w:rPr>
        <w:t>trwale</w:t>
      </w:r>
      <w:r w:rsidR="00CF4B3E" w:rsidRPr="00AF490B">
        <w:rPr>
          <w:sz w:val="22"/>
          <w:lang w:val="pl-PL"/>
        </w:rPr>
        <w:t xml:space="preserve"> </w:t>
      </w:r>
      <w:r w:rsidR="00AF490B" w:rsidRPr="00AF490B">
        <w:rPr>
          <w:sz w:val="22"/>
          <w:lang w:val="pl-PL"/>
        </w:rPr>
        <w:t xml:space="preserve">warfaryną, jednoczesne podawania klopidogrelu i warfaryny zwiększa ryzyko krwawienia z uwagi na niezależny wpływ na hemostazę. </w:t>
      </w:r>
    </w:p>
    <w:p w:rsidR="00BC4936" w:rsidRDefault="00BC4936">
      <w:pPr>
        <w:tabs>
          <w:tab w:val="left" w:pos="567"/>
        </w:tabs>
        <w:rPr>
          <w:b/>
          <w:sz w:val="22"/>
          <w:lang w:val="pl-PL"/>
        </w:rPr>
      </w:pPr>
    </w:p>
    <w:p w:rsidR="00BC4936" w:rsidRDefault="00BC4936">
      <w:pPr>
        <w:tabs>
          <w:tab w:val="left" w:pos="567"/>
        </w:tabs>
        <w:rPr>
          <w:sz w:val="22"/>
          <w:lang w:val="pl-PL"/>
        </w:rPr>
      </w:pPr>
      <w:r>
        <w:rPr>
          <w:i/>
          <w:sz w:val="22"/>
          <w:lang w:val="pl-PL"/>
        </w:rPr>
        <w:t>Inhibitory glikoprotein IIb/IIIa:</w:t>
      </w:r>
      <w:r>
        <w:rPr>
          <w:sz w:val="22"/>
          <w:lang w:val="pl-PL"/>
        </w:rPr>
        <w:t xml:space="preserve"> należy zachować ostrożność stosując klopidogrel u pacjentów, którzy otrzymują jednocześnie inhibitory glikoprotein IIb/IIIa (patrz punkt 4.4).</w:t>
      </w:r>
    </w:p>
    <w:p w:rsidR="00BC4936" w:rsidRDefault="00BC4936">
      <w:pPr>
        <w:tabs>
          <w:tab w:val="left" w:pos="567"/>
        </w:tabs>
        <w:rPr>
          <w:sz w:val="22"/>
          <w:u w:val="single"/>
          <w:lang w:val="pl-PL"/>
        </w:rPr>
      </w:pPr>
    </w:p>
    <w:p w:rsidR="00BC4936" w:rsidRDefault="00BC4936">
      <w:pPr>
        <w:tabs>
          <w:tab w:val="left" w:pos="567"/>
        </w:tabs>
        <w:rPr>
          <w:sz w:val="22"/>
          <w:lang w:val="pl-PL"/>
        </w:rPr>
      </w:pPr>
      <w:r>
        <w:rPr>
          <w:i/>
          <w:sz w:val="22"/>
          <w:lang w:val="pl-PL"/>
        </w:rPr>
        <w:t>Kwas acetylosalicylowy (ASA):</w:t>
      </w:r>
      <w:r>
        <w:rPr>
          <w:sz w:val="22"/>
          <w:lang w:val="pl-PL"/>
        </w:rPr>
        <w:t xml:space="preserve"> ASA nie modyfikował hamowania przez klopidogrel agregacji płytek indukowanej ADP, natomiast klopidogrel nasilał działanie ASA na indukowaną kolagenem agregację płytek. Jednak jednoczesne stosowanie 500 mg ASA dwa razy na dobę przez jeden dzień nie zwiększało znacząco wydłużenia czasu krwawienia wywołanego przyjmowaniem klopidogrelu. Farmakodynamiczna interakcja między klopidogrelem i kwasem acetylosalicylowym jest możliwa i</w:t>
      </w:r>
      <w:r w:rsidR="00BA5848">
        <w:rPr>
          <w:sz w:val="22"/>
          <w:lang w:val="pl-PL"/>
        </w:rPr>
        <w:t> </w:t>
      </w:r>
      <w:r>
        <w:rPr>
          <w:sz w:val="22"/>
          <w:lang w:val="pl-PL"/>
        </w:rPr>
        <w:t>może prowadzić do zwiększenia ryzyka krwawienia. Dlatego jednoczesne stosowanie należy podejmować ostrożnie (patrz punkt 4.4). Niemniej jednak, klopidogrel i ASA były podawane razem przez okres do jednego roku (patrz punkt 5.1).</w:t>
      </w:r>
    </w:p>
    <w:p w:rsidR="00BC4936" w:rsidRDefault="00BC4936">
      <w:pPr>
        <w:tabs>
          <w:tab w:val="left" w:pos="567"/>
        </w:tabs>
        <w:rPr>
          <w:sz w:val="22"/>
          <w:u w:val="single"/>
          <w:lang w:val="pl-PL"/>
        </w:rPr>
      </w:pPr>
    </w:p>
    <w:p w:rsidR="00BC4936" w:rsidRDefault="00BC4936">
      <w:pPr>
        <w:tabs>
          <w:tab w:val="left" w:pos="567"/>
        </w:tabs>
        <w:rPr>
          <w:sz w:val="22"/>
          <w:lang w:val="pl-PL"/>
        </w:rPr>
      </w:pPr>
      <w:r>
        <w:rPr>
          <w:i/>
          <w:sz w:val="22"/>
          <w:lang w:val="pl-PL"/>
        </w:rPr>
        <w:t>Heparyna:</w:t>
      </w:r>
      <w:r>
        <w:rPr>
          <w:sz w:val="22"/>
          <w:lang w:val="pl-PL"/>
        </w:rPr>
        <w:t xml:space="preserve"> w badaniu klinicznym przeprowadzonym u zdrowych osób, stosowanie klopidogrelu nie wymagało modyfikacji dawki heparyny ani nie zmieniało wpływu heparyny na krzepnięcie. Jednoczesne podawanie heparyny nie miało wpływu na hamowanie agregacji płytek wywołane przez klopidogrel. Farmakodynamiczna interakcja między klopidogrelem i heparyną jest możliwa i może prowadzić do zwiększenia ryzyka krwawienia. Dlatego jednoczesne stosowanie </w:t>
      </w:r>
      <w:r w:rsidR="00BA5848">
        <w:rPr>
          <w:sz w:val="22"/>
          <w:lang w:val="pl-PL"/>
        </w:rPr>
        <w:t xml:space="preserve">należy podejmować </w:t>
      </w:r>
      <w:r>
        <w:rPr>
          <w:sz w:val="22"/>
          <w:lang w:val="pl-PL"/>
        </w:rPr>
        <w:t>ostrożn</w:t>
      </w:r>
      <w:r w:rsidR="00BA5848">
        <w:rPr>
          <w:sz w:val="22"/>
          <w:lang w:val="pl-PL"/>
        </w:rPr>
        <w:t>ie</w:t>
      </w:r>
      <w:r>
        <w:rPr>
          <w:sz w:val="22"/>
          <w:lang w:val="pl-PL"/>
        </w:rPr>
        <w:t xml:space="preserve"> (patrz punkt 4.4).</w:t>
      </w:r>
    </w:p>
    <w:p w:rsidR="00BC4936" w:rsidRDefault="00BC4936" w:rsidP="002A3419">
      <w:pPr>
        <w:tabs>
          <w:tab w:val="left" w:pos="567"/>
        </w:tabs>
        <w:rPr>
          <w:sz w:val="22"/>
          <w:u w:val="single"/>
          <w:lang w:val="pl-PL"/>
        </w:rPr>
      </w:pPr>
    </w:p>
    <w:p w:rsidR="00BC4936" w:rsidRPr="00742A0D" w:rsidRDefault="00BC4936" w:rsidP="002A3419">
      <w:pPr>
        <w:tabs>
          <w:tab w:val="left" w:pos="567"/>
        </w:tabs>
        <w:rPr>
          <w:sz w:val="22"/>
          <w:lang w:val="pl-PL"/>
        </w:rPr>
      </w:pPr>
      <w:r>
        <w:rPr>
          <w:i/>
          <w:sz w:val="22"/>
          <w:lang w:val="pl-PL"/>
        </w:rPr>
        <w:t>Leki trombolityczne:</w:t>
      </w:r>
      <w:r w:rsidRPr="00742A0D">
        <w:rPr>
          <w:sz w:val="22"/>
          <w:lang w:val="pl-PL"/>
        </w:rPr>
        <w:t xml:space="preserve"> bezpieczeństwo jednoczesnego podawania klopidogrelu, leków trombolitycznych swoistych lub nieswoistych dla fibryny oraz heparyn oceniano u pacjentów z ostrym zawałem mięśnia sercowego. Częstość występowania klinicznie znaczącego krwawienia była podobna, jak obserwowana przy jednoczesnym podawaniu leków trombolitycznych i heparyny z ASA (patrz</w:t>
      </w:r>
      <w:r w:rsidR="00CF4B3E" w:rsidRPr="00742A0D">
        <w:rPr>
          <w:sz w:val="22"/>
          <w:lang w:val="pl-PL"/>
        </w:rPr>
        <w:t> </w:t>
      </w:r>
      <w:r w:rsidRPr="00742A0D">
        <w:rPr>
          <w:sz w:val="22"/>
          <w:lang w:val="pl-PL"/>
        </w:rPr>
        <w:t>punkt</w:t>
      </w:r>
      <w:r w:rsidR="00CF4B3E" w:rsidRPr="00742A0D">
        <w:rPr>
          <w:sz w:val="22"/>
          <w:lang w:val="pl-PL"/>
        </w:rPr>
        <w:t> </w:t>
      </w:r>
      <w:r w:rsidRPr="00742A0D">
        <w:rPr>
          <w:sz w:val="22"/>
          <w:lang w:val="pl-PL"/>
        </w:rPr>
        <w:t>4.8).</w:t>
      </w:r>
    </w:p>
    <w:p w:rsidR="00BC4936" w:rsidRDefault="00BC4936" w:rsidP="002A3419">
      <w:pPr>
        <w:tabs>
          <w:tab w:val="left" w:pos="567"/>
        </w:tabs>
        <w:rPr>
          <w:sz w:val="22"/>
          <w:u w:val="single"/>
          <w:lang w:val="pl-PL"/>
        </w:rPr>
      </w:pPr>
    </w:p>
    <w:p w:rsidR="00BC4936" w:rsidRPr="00742A0D" w:rsidRDefault="00BC4936" w:rsidP="002A3419">
      <w:pPr>
        <w:tabs>
          <w:tab w:val="left" w:pos="567"/>
        </w:tabs>
        <w:rPr>
          <w:sz w:val="22"/>
          <w:lang w:val="pl-PL"/>
        </w:rPr>
      </w:pPr>
      <w:r>
        <w:rPr>
          <w:i/>
          <w:sz w:val="22"/>
          <w:lang w:val="pl-PL"/>
        </w:rPr>
        <w:t>Niesteroidowe leki przeciwzapalne (NLPZ):</w:t>
      </w:r>
      <w:r w:rsidRPr="00742A0D">
        <w:rPr>
          <w:sz w:val="22"/>
          <w:lang w:val="pl-PL"/>
        </w:rPr>
        <w:t xml:space="preserve"> w badaniu klinicznym, przeprowadzonym u zdrowych ochotników, jednoczesne podawanie klopidogrelu i naproksenu zwiększało utajoną utratę krwi z</w:t>
      </w:r>
      <w:r w:rsidR="00CF4B3E" w:rsidRPr="00742A0D">
        <w:rPr>
          <w:sz w:val="22"/>
          <w:lang w:val="pl-PL"/>
        </w:rPr>
        <w:t> </w:t>
      </w:r>
      <w:r w:rsidRPr="00742A0D">
        <w:rPr>
          <w:sz w:val="22"/>
          <w:lang w:val="pl-PL"/>
        </w:rPr>
        <w:t xml:space="preserve">przewodu pokarmowego. Jednak z powodu braku badań interakcji z innymi NLPZ nie jest obecnie jasne, czy istnieje zwiększone ryzyko krwawienia z przewodu pokarmowego podczas stosowania wszystkich NLPZ. </w:t>
      </w:r>
      <w:r w:rsidR="00BA5848">
        <w:rPr>
          <w:sz w:val="22"/>
          <w:lang w:val="pl-PL"/>
        </w:rPr>
        <w:t xml:space="preserve">Dlatego należy zachować ostrożność </w:t>
      </w:r>
      <w:r w:rsidRPr="00742A0D">
        <w:rPr>
          <w:sz w:val="22"/>
          <w:lang w:val="pl-PL"/>
        </w:rPr>
        <w:t>stos</w:t>
      </w:r>
      <w:r w:rsidR="00BA5848">
        <w:rPr>
          <w:sz w:val="22"/>
          <w:lang w:val="pl-PL"/>
        </w:rPr>
        <w:t>ując</w:t>
      </w:r>
      <w:r w:rsidRPr="00742A0D">
        <w:rPr>
          <w:sz w:val="22"/>
          <w:lang w:val="pl-PL"/>
        </w:rPr>
        <w:t xml:space="preserve"> </w:t>
      </w:r>
      <w:r w:rsidR="00BA5848">
        <w:rPr>
          <w:sz w:val="22"/>
          <w:lang w:val="pl-PL"/>
        </w:rPr>
        <w:t>jednocześ</w:t>
      </w:r>
      <w:r w:rsidR="00BA5848" w:rsidRPr="00742A0D">
        <w:rPr>
          <w:sz w:val="22"/>
          <w:lang w:val="pl-PL"/>
        </w:rPr>
        <w:t>n</w:t>
      </w:r>
      <w:r w:rsidR="00BA5848">
        <w:rPr>
          <w:sz w:val="22"/>
          <w:lang w:val="pl-PL"/>
        </w:rPr>
        <w:t>i</w:t>
      </w:r>
      <w:r w:rsidR="00BA5848" w:rsidRPr="00742A0D">
        <w:rPr>
          <w:sz w:val="22"/>
          <w:lang w:val="pl-PL"/>
        </w:rPr>
        <w:t xml:space="preserve">e </w:t>
      </w:r>
      <w:r w:rsidRPr="00742A0D">
        <w:rPr>
          <w:sz w:val="22"/>
          <w:lang w:val="pl-PL"/>
        </w:rPr>
        <w:t>NLPZ, w tym inhibitor</w:t>
      </w:r>
      <w:r w:rsidR="00EA7F00">
        <w:rPr>
          <w:sz w:val="22"/>
          <w:lang w:val="pl-PL"/>
        </w:rPr>
        <w:t>y</w:t>
      </w:r>
      <w:r w:rsidRPr="00742A0D">
        <w:rPr>
          <w:sz w:val="22"/>
          <w:lang w:val="pl-PL"/>
        </w:rPr>
        <w:t xml:space="preserve"> Cox-2, i klopidogrel (patrz punkt 4.4).</w:t>
      </w:r>
    </w:p>
    <w:p w:rsidR="00BC4936" w:rsidRDefault="00BC4936" w:rsidP="002A3419">
      <w:pPr>
        <w:tabs>
          <w:tab w:val="left" w:pos="567"/>
        </w:tabs>
        <w:rPr>
          <w:sz w:val="22"/>
          <w:u w:val="single"/>
          <w:lang w:val="pl-PL"/>
        </w:rPr>
      </w:pPr>
    </w:p>
    <w:p w:rsidR="00EA7F00" w:rsidRPr="00A64B0E" w:rsidRDefault="00EA7F00" w:rsidP="00A64B0E">
      <w:pPr>
        <w:pStyle w:val="Header"/>
        <w:rPr>
          <w:sz w:val="22"/>
          <w:szCs w:val="22"/>
          <w:lang w:val="pl-PL"/>
        </w:rPr>
      </w:pPr>
      <w:r w:rsidRPr="00A64B0E">
        <w:rPr>
          <w:i/>
          <w:sz w:val="22"/>
          <w:szCs w:val="22"/>
          <w:lang w:val="pl-PL"/>
        </w:rPr>
        <w:t>Selektywne inhibitory zwrotnego wychwytu serotoniny (SSRI):</w:t>
      </w:r>
      <w:r w:rsidRPr="00A64B0E">
        <w:rPr>
          <w:sz w:val="22"/>
          <w:szCs w:val="22"/>
          <w:lang w:val="pl-PL"/>
        </w:rPr>
        <w:t xml:space="preserve"> ponieważ SSRI wpływają na aktywację płytek krwi i zwiększają ryzyko krwawienia, należy zachować ostrożność stosując jednocześnie SSRI i klopidogrel.</w:t>
      </w:r>
    </w:p>
    <w:p w:rsidR="00EA7F00" w:rsidRDefault="00EA7F00" w:rsidP="002A3419">
      <w:pPr>
        <w:tabs>
          <w:tab w:val="left" w:pos="567"/>
        </w:tabs>
        <w:rPr>
          <w:sz w:val="22"/>
          <w:u w:val="single"/>
          <w:lang w:val="pl-PL"/>
        </w:rPr>
      </w:pPr>
    </w:p>
    <w:p w:rsidR="0061421F" w:rsidRDefault="00BC4936" w:rsidP="00A64B0E">
      <w:pPr>
        <w:tabs>
          <w:tab w:val="left" w:pos="567"/>
        </w:tabs>
        <w:rPr>
          <w:i/>
          <w:sz w:val="22"/>
          <w:lang w:val="pl-PL"/>
        </w:rPr>
      </w:pPr>
      <w:r>
        <w:rPr>
          <w:i/>
          <w:sz w:val="22"/>
          <w:lang w:val="pl-PL"/>
        </w:rPr>
        <w:t>Inne jednocześnie stosowane sposoby leczenia:</w:t>
      </w:r>
    </w:p>
    <w:p w:rsidR="0061421F" w:rsidRDefault="0061421F" w:rsidP="00A64B0E">
      <w:pPr>
        <w:tabs>
          <w:tab w:val="left" w:pos="567"/>
        </w:tabs>
        <w:rPr>
          <w:iCs/>
          <w:sz w:val="22"/>
          <w:lang w:val="pl-PL"/>
        </w:rPr>
      </w:pPr>
    </w:p>
    <w:p w:rsidR="0061421F" w:rsidRDefault="0061421F" w:rsidP="00A64B0E">
      <w:pPr>
        <w:tabs>
          <w:tab w:val="left" w:pos="567"/>
        </w:tabs>
        <w:rPr>
          <w:iCs/>
          <w:sz w:val="22"/>
          <w:lang w:val="pl-PL"/>
        </w:rPr>
      </w:pPr>
      <w:r>
        <w:rPr>
          <w:iCs/>
          <w:sz w:val="22"/>
          <w:lang w:val="pl-PL"/>
        </w:rPr>
        <w:t>Induktory CYP2C19</w:t>
      </w:r>
    </w:p>
    <w:p w:rsidR="0061421F" w:rsidRDefault="0061421F" w:rsidP="00A64B0E">
      <w:pPr>
        <w:tabs>
          <w:tab w:val="left" w:pos="567"/>
        </w:tabs>
        <w:rPr>
          <w:iCs/>
          <w:sz w:val="22"/>
          <w:lang w:val="pl-PL"/>
        </w:rPr>
      </w:pPr>
      <w:r w:rsidRPr="0061421F">
        <w:rPr>
          <w:iCs/>
          <w:sz w:val="22"/>
          <w:lang w:val="pl-PL"/>
        </w:rPr>
        <w:t xml:space="preserve">Ponieważ klopidogrel jest metabolizowany do czynnego metabolitu częściowo przez izoenzym CYP2C19, jednoczesne stosowanie </w:t>
      </w:r>
      <w:r w:rsidR="00D51A9B">
        <w:rPr>
          <w:iCs/>
          <w:sz w:val="22"/>
          <w:lang w:val="pl-PL"/>
        </w:rPr>
        <w:t xml:space="preserve">produktów leczniczych </w:t>
      </w:r>
      <w:r w:rsidR="00C22AAA">
        <w:rPr>
          <w:iCs/>
          <w:sz w:val="22"/>
          <w:lang w:val="pl-PL"/>
        </w:rPr>
        <w:t>zwiększających</w:t>
      </w:r>
      <w:r w:rsidRPr="0061421F">
        <w:rPr>
          <w:iCs/>
          <w:sz w:val="22"/>
          <w:lang w:val="pl-PL"/>
        </w:rPr>
        <w:t xml:space="preserve"> aktywność tego enzymu</w:t>
      </w:r>
      <w:r w:rsidR="00D51A9B">
        <w:rPr>
          <w:iCs/>
          <w:sz w:val="22"/>
          <w:lang w:val="pl-PL"/>
        </w:rPr>
        <w:t xml:space="preserve">, </w:t>
      </w:r>
      <w:r w:rsidRPr="0061421F">
        <w:rPr>
          <w:iCs/>
          <w:sz w:val="22"/>
          <w:lang w:val="pl-PL"/>
        </w:rPr>
        <w:t>może</w:t>
      </w:r>
      <w:r w:rsidR="00C22AAA">
        <w:rPr>
          <w:iCs/>
          <w:sz w:val="22"/>
          <w:lang w:val="pl-PL"/>
        </w:rPr>
        <w:t xml:space="preserve"> </w:t>
      </w:r>
      <w:r w:rsidR="00C30C6A">
        <w:rPr>
          <w:iCs/>
          <w:sz w:val="22"/>
          <w:lang w:val="pl-PL"/>
        </w:rPr>
        <w:t xml:space="preserve">zwiększyć </w:t>
      </w:r>
      <w:r w:rsidR="00C22AAA">
        <w:rPr>
          <w:iCs/>
          <w:sz w:val="22"/>
          <w:lang w:val="pl-PL"/>
        </w:rPr>
        <w:t xml:space="preserve">stężenie </w:t>
      </w:r>
      <w:r w:rsidR="00C30C6A">
        <w:rPr>
          <w:iCs/>
          <w:sz w:val="22"/>
          <w:lang w:val="pl-PL"/>
        </w:rPr>
        <w:t>czynnego metabolitu</w:t>
      </w:r>
      <w:r w:rsidR="00C22AAA">
        <w:rPr>
          <w:iCs/>
          <w:sz w:val="22"/>
          <w:lang w:val="pl-PL"/>
        </w:rPr>
        <w:t xml:space="preserve"> klopidogrelu</w:t>
      </w:r>
      <w:r w:rsidR="00C30C6A">
        <w:rPr>
          <w:iCs/>
          <w:sz w:val="22"/>
          <w:lang w:val="pl-PL"/>
        </w:rPr>
        <w:t>.</w:t>
      </w:r>
    </w:p>
    <w:p w:rsidR="00C22AAA" w:rsidRDefault="00C22AAA" w:rsidP="00A64B0E">
      <w:pPr>
        <w:tabs>
          <w:tab w:val="left" w:pos="567"/>
        </w:tabs>
        <w:rPr>
          <w:iCs/>
          <w:sz w:val="22"/>
          <w:lang w:val="pl-PL"/>
        </w:rPr>
      </w:pPr>
    </w:p>
    <w:p w:rsidR="00C22AAA" w:rsidRDefault="00C22AAA" w:rsidP="00A64B0E">
      <w:pPr>
        <w:tabs>
          <w:tab w:val="left" w:pos="567"/>
        </w:tabs>
        <w:rPr>
          <w:iCs/>
          <w:sz w:val="22"/>
          <w:lang w:val="pl-PL"/>
        </w:rPr>
      </w:pPr>
      <w:r>
        <w:rPr>
          <w:iCs/>
          <w:sz w:val="22"/>
          <w:lang w:val="pl-PL"/>
        </w:rPr>
        <w:t>R</w:t>
      </w:r>
      <w:r w:rsidR="00C30C6A">
        <w:rPr>
          <w:iCs/>
          <w:sz w:val="22"/>
          <w:lang w:val="pl-PL"/>
        </w:rPr>
        <w:t>y</w:t>
      </w:r>
      <w:r>
        <w:rPr>
          <w:iCs/>
          <w:sz w:val="22"/>
          <w:lang w:val="pl-PL"/>
        </w:rPr>
        <w:t>fampicyna silnie indukuje CYP2C19,</w:t>
      </w:r>
      <w:r w:rsidR="00516954">
        <w:rPr>
          <w:iCs/>
          <w:sz w:val="22"/>
          <w:lang w:val="pl-PL"/>
        </w:rPr>
        <w:t xml:space="preserve"> </w:t>
      </w:r>
      <w:r w:rsidR="00D51A9B">
        <w:rPr>
          <w:iCs/>
          <w:sz w:val="22"/>
          <w:lang w:val="pl-PL"/>
        </w:rPr>
        <w:t>powodując</w:t>
      </w:r>
      <w:r>
        <w:rPr>
          <w:iCs/>
          <w:sz w:val="22"/>
          <w:lang w:val="pl-PL"/>
        </w:rPr>
        <w:t xml:space="preserve"> </w:t>
      </w:r>
      <w:r w:rsidR="00C30C6A">
        <w:rPr>
          <w:iCs/>
          <w:sz w:val="22"/>
          <w:lang w:val="pl-PL"/>
        </w:rPr>
        <w:t>równoczesne zwiększenie</w:t>
      </w:r>
      <w:r w:rsidR="005C1D9E">
        <w:rPr>
          <w:iCs/>
          <w:sz w:val="22"/>
          <w:lang w:val="pl-PL"/>
        </w:rPr>
        <w:t xml:space="preserve"> stężenia </w:t>
      </w:r>
      <w:r w:rsidR="00C30C6A">
        <w:rPr>
          <w:iCs/>
          <w:sz w:val="22"/>
          <w:lang w:val="pl-PL"/>
        </w:rPr>
        <w:t>czynnego metabolitu</w:t>
      </w:r>
      <w:r w:rsidR="005C1D9E">
        <w:rPr>
          <w:iCs/>
          <w:sz w:val="22"/>
          <w:lang w:val="pl-PL"/>
        </w:rPr>
        <w:t xml:space="preserve"> klopidogr</w:t>
      </w:r>
      <w:r w:rsidR="00C30C6A">
        <w:rPr>
          <w:iCs/>
          <w:sz w:val="22"/>
          <w:lang w:val="pl-PL"/>
        </w:rPr>
        <w:t>e</w:t>
      </w:r>
      <w:r w:rsidR="005C1D9E">
        <w:rPr>
          <w:iCs/>
          <w:sz w:val="22"/>
          <w:lang w:val="pl-PL"/>
        </w:rPr>
        <w:t xml:space="preserve">lu oraz zahamowanie agregacji płytek, co może w sposób szczególny </w:t>
      </w:r>
      <w:r w:rsidR="00CE1DDE">
        <w:rPr>
          <w:iCs/>
          <w:sz w:val="22"/>
          <w:lang w:val="pl-PL"/>
        </w:rPr>
        <w:t>nasilić ry</w:t>
      </w:r>
      <w:r w:rsidR="00000DA7">
        <w:rPr>
          <w:iCs/>
          <w:sz w:val="22"/>
          <w:lang w:val="pl-PL"/>
        </w:rPr>
        <w:t xml:space="preserve">zyko krwawień. </w:t>
      </w:r>
      <w:r w:rsidR="00000DA7">
        <w:rPr>
          <w:sz w:val="22"/>
          <w:szCs w:val="22"/>
          <w:lang w:val="pl-PL"/>
        </w:rPr>
        <w:t xml:space="preserve">Nie zaleca się jednoczesnego </w:t>
      </w:r>
      <w:r w:rsidR="00000DA7" w:rsidRPr="00984C1F">
        <w:rPr>
          <w:sz w:val="22"/>
          <w:szCs w:val="22"/>
          <w:lang w:val="pl-PL"/>
        </w:rPr>
        <w:t xml:space="preserve">podawania </w:t>
      </w:r>
      <w:r w:rsidR="00000DA7" w:rsidRPr="00D07B3F">
        <w:rPr>
          <w:sz w:val="22"/>
          <w:lang w:val="pl-PL"/>
        </w:rPr>
        <w:t>silnych</w:t>
      </w:r>
      <w:r w:rsidR="00000DA7">
        <w:rPr>
          <w:sz w:val="22"/>
          <w:lang w:val="pl-PL"/>
        </w:rPr>
        <w:t xml:space="preserve"> induktorów CYP2C19 (patrz punkt 4.4).</w:t>
      </w:r>
    </w:p>
    <w:p w:rsidR="0061421F" w:rsidRDefault="0061421F" w:rsidP="00A64B0E">
      <w:pPr>
        <w:tabs>
          <w:tab w:val="left" w:pos="567"/>
        </w:tabs>
        <w:rPr>
          <w:iCs/>
          <w:sz w:val="22"/>
          <w:lang w:val="pl-PL"/>
        </w:rPr>
      </w:pPr>
    </w:p>
    <w:p w:rsidR="00CE1DDE" w:rsidRDefault="0061421F" w:rsidP="00A64B0E">
      <w:pPr>
        <w:tabs>
          <w:tab w:val="left" w:pos="567"/>
        </w:tabs>
        <w:rPr>
          <w:iCs/>
          <w:sz w:val="22"/>
          <w:lang w:val="pl-PL"/>
        </w:rPr>
      </w:pPr>
      <w:r>
        <w:rPr>
          <w:iCs/>
          <w:sz w:val="22"/>
          <w:lang w:val="pl-PL"/>
        </w:rPr>
        <w:t>Inhibitory CYP2C19</w:t>
      </w:r>
    </w:p>
    <w:p w:rsidR="00E62613" w:rsidRPr="0061421F" w:rsidRDefault="00CE1DDE" w:rsidP="00A64B0E">
      <w:pPr>
        <w:tabs>
          <w:tab w:val="left" w:pos="567"/>
        </w:tabs>
        <w:rPr>
          <w:iCs/>
          <w:sz w:val="22"/>
          <w:lang w:val="pl-PL"/>
        </w:rPr>
      </w:pPr>
      <w:bookmarkStart w:id="12" w:name="_Hlk45868285"/>
      <w:r>
        <w:rPr>
          <w:i/>
          <w:sz w:val="22"/>
          <w:lang w:val="pl-PL"/>
        </w:rPr>
        <w:t xml:space="preserve"> </w:t>
      </w:r>
      <w:r>
        <w:rPr>
          <w:sz w:val="22"/>
          <w:szCs w:val="22"/>
          <w:lang w:val="pl-PL"/>
        </w:rPr>
        <w:t>P</w:t>
      </w:r>
      <w:r w:rsidR="00E62613" w:rsidRPr="00984C1F">
        <w:rPr>
          <w:sz w:val="22"/>
          <w:szCs w:val="22"/>
          <w:lang w:val="pl-PL"/>
        </w:rPr>
        <w:t xml:space="preserve">onieważ klopidogrel jest metabolizowany </w:t>
      </w:r>
      <w:r w:rsidR="009F4E87">
        <w:rPr>
          <w:sz w:val="22"/>
          <w:szCs w:val="22"/>
          <w:lang w:val="pl-PL"/>
        </w:rPr>
        <w:t xml:space="preserve">do czynnego metabolitu </w:t>
      </w:r>
      <w:r w:rsidR="00E62613" w:rsidRPr="00984C1F">
        <w:rPr>
          <w:sz w:val="22"/>
          <w:szCs w:val="22"/>
          <w:lang w:val="pl-PL"/>
        </w:rPr>
        <w:t xml:space="preserve">częściowo przez izoenzym CYP2C19, jednoczesne stosowanie leków hamujących aktywność </w:t>
      </w:r>
      <w:r w:rsidR="009F4E87">
        <w:rPr>
          <w:sz w:val="22"/>
          <w:szCs w:val="22"/>
          <w:lang w:val="pl-PL"/>
        </w:rPr>
        <w:t xml:space="preserve">tego enzymu </w:t>
      </w:r>
      <w:r w:rsidR="00E62613" w:rsidRPr="00984C1F">
        <w:rPr>
          <w:sz w:val="22"/>
          <w:szCs w:val="22"/>
          <w:lang w:val="pl-PL"/>
        </w:rPr>
        <w:t xml:space="preserve">może </w:t>
      </w:r>
      <w:bookmarkEnd w:id="12"/>
      <w:r w:rsidR="00E62613" w:rsidRPr="00984C1F">
        <w:rPr>
          <w:sz w:val="22"/>
          <w:szCs w:val="22"/>
          <w:lang w:val="pl-PL"/>
        </w:rPr>
        <w:t xml:space="preserve">zmniejszać </w:t>
      </w:r>
      <w:r w:rsidR="00F25483">
        <w:rPr>
          <w:sz w:val="22"/>
          <w:szCs w:val="22"/>
          <w:lang w:val="pl-PL"/>
        </w:rPr>
        <w:t>stężenie</w:t>
      </w:r>
      <w:r w:rsidR="00E62613" w:rsidRPr="00984C1F">
        <w:rPr>
          <w:sz w:val="22"/>
          <w:szCs w:val="22"/>
          <w:lang w:val="pl-PL"/>
        </w:rPr>
        <w:t xml:space="preserve"> </w:t>
      </w:r>
      <w:r w:rsidR="009F4E87">
        <w:rPr>
          <w:sz w:val="22"/>
          <w:szCs w:val="22"/>
          <w:lang w:val="pl-PL"/>
        </w:rPr>
        <w:t>czynnego</w:t>
      </w:r>
      <w:r w:rsidR="00E62613" w:rsidRPr="00984C1F">
        <w:rPr>
          <w:sz w:val="22"/>
          <w:szCs w:val="22"/>
          <w:lang w:val="pl-PL"/>
        </w:rPr>
        <w:t xml:space="preserve"> metabolit</w:t>
      </w:r>
      <w:r w:rsidR="009F4E87">
        <w:rPr>
          <w:sz w:val="22"/>
          <w:szCs w:val="22"/>
          <w:lang w:val="pl-PL"/>
        </w:rPr>
        <w:t>u</w:t>
      </w:r>
      <w:r w:rsidR="00E62613" w:rsidRPr="00984C1F">
        <w:rPr>
          <w:sz w:val="22"/>
          <w:szCs w:val="22"/>
          <w:lang w:val="pl-PL"/>
        </w:rPr>
        <w:t xml:space="preserve"> klopidogrelu</w:t>
      </w:r>
      <w:r w:rsidR="009F4E87">
        <w:rPr>
          <w:sz w:val="22"/>
          <w:szCs w:val="22"/>
          <w:lang w:val="pl-PL"/>
        </w:rPr>
        <w:t>.</w:t>
      </w:r>
      <w:r w:rsidR="00E62613" w:rsidRPr="00984C1F">
        <w:rPr>
          <w:sz w:val="22"/>
          <w:szCs w:val="22"/>
          <w:lang w:val="pl-PL"/>
        </w:rPr>
        <w:t xml:space="preserve"> </w:t>
      </w:r>
      <w:r w:rsidR="009F4E87">
        <w:rPr>
          <w:sz w:val="22"/>
          <w:szCs w:val="22"/>
          <w:lang w:val="pl-PL"/>
        </w:rPr>
        <w:t xml:space="preserve">Znaczenie </w:t>
      </w:r>
      <w:r w:rsidR="009F4E87" w:rsidRPr="00984C1F">
        <w:rPr>
          <w:sz w:val="22"/>
          <w:szCs w:val="22"/>
          <w:lang w:val="pl-PL"/>
        </w:rPr>
        <w:t>kliniczn</w:t>
      </w:r>
      <w:r w:rsidR="009F4E87">
        <w:rPr>
          <w:sz w:val="22"/>
          <w:szCs w:val="22"/>
          <w:lang w:val="pl-PL"/>
        </w:rPr>
        <w:t>e tej interakcji nie jest potwierdzone.</w:t>
      </w:r>
      <w:r w:rsidR="009F4E87" w:rsidRPr="00984C1F">
        <w:rPr>
          <w:sz w:val="22"/>
          <w:szCs w:val="22"/>
          <w:lang w:val="pl-PL"/>
        </w:rPr>
        <w:t xml:space="preserve"> </w:t>
      </w:r>
      <w:r w:rsidR="009F4E87">
        <w:rPr>
          <w:sz w:val="22"/>
          <w:szCs w:val="22"/>
          <w:lang w:val="pl-PL"/>
        </w:rPr>
        <w:t>N</w:t>
      </w:r>
      <w:r w:rsidR="00B65E5F">
        <w:rPr>
          <w:sz w:val="22"/>
          <w:szCs w:val="22"/>
          <w:lang w:val="pl-PL"/>
        </w:rPr>
        <w:t xml:space="preserve">ie zaleca się </w:t>
      </w:r>
      <w:r w:rsidR="009F4E87">
        <w:rPr>
          <w:sz w:val="22"/>
          <w:szCs w:val="22"/>
          <w:lang w:val="pl-PL"/>
        </w:rPr>
        <w:t xml:space="preserve">jednoczesnego </w:t>
      </w:r>
      <w:r w:rsidR="009F4E87" w:rsidRPr="00984C1F">
        <w:rPr>
          <w:sz w:val="22"/>
          <w:szCs w:val="22"/>
          <w:lang w:val="pl-PL"/>
        </w:rPr>
        <w:t xml:space="preserve">podawania </w:t>
      </w:r>
      <w:r w:rsidR="00AE7DD8" w:rsidRPr="00D07B3F">
        <w:rPr>
          <w:sz w:val="22"/>
          <w:lang w:val="pl-PL"/>
        </w:rPr>
        <w:t xml:space="preserve">silnych i umiarkowanych inhibitorów </w:t>
      </w:r>
      <w:r w:rsidR="009F4E87" w:rsidRPr="00984C1F">
        <w:rPr>
          <w:sz w:val="22"/>
          <w:szCs w:val="22"/>
          <w:lang w:val="pl-PL"/>
        </w:rPr>
        <w:t xml:space="preserve">CYP2C19 </w:t>
      </w:r>
      <w:r w:rsidR="00E62613" w:rsidRPr="00984C1F">
        <w:rPr>
          <w:sz w:val="22"/>
          <w:szCs w:val="22"/>
          <w:lang w:val="pl-PL"/>
        </w:rPr>
        <w:t>(patrz</w:t>
      </w:r>
      <w:r w:rsidR="00CF4B3E">
        <w:rPr>
          <w:sz w:val="22"/>
          <w:lang w:val="pl-PL"/>
        </w:rPr>
        <w:t> </w:t>
      </w:r>
      <w:r w:rsidR="00E62613" w:rsidRPr="00984C1F">
        <w:rPr>
          <w:sz w:val="22"/>
          <w:szCs w:val="22"/>
          <w:lang w:val="pl-PL"/>
        </w:rPr>
        <w:t>punkty 4.4</w:t>
      </w:r>
      <w:r w:rsidR="00AE7DD8">
        <w:rPr>
          <w:sz w:val="22"/>
          <w:szCs w:val="22"/>
          <w:lang w:val="pl-PL"/>
        </w:rPr>
        <w:t xml:space="preserve"> i 5.2).</w:t>
      </w:r>
    </w:p>
    <w:p w:rsidR="000B03DF" w:rsidRPr="00984C1F" w:rsidRDefault="000B03DF" w:rsidP="00984C1F">
      <w:pPr>
        <w:rPr>
          <w:sz w:val="22"/>
          <w:szCs w:val="22"/>
          <w:lang w:val="pl-PL"/>
        </w:rPr>
      </w:pPr>
    </w:p>
    <w:p w:rsidR="000B03DF" w:rsidRDefault="00E655F1" w:rsidP="00984C1F">
      <w:pPr>
        <w:rPr>
          <w:sz w:val="22"/>
          <w:szCs w:val="22"/>
          <w:lang w:val="pl-PL"/>
        </w:rPr>
      </w:pPr>
      <w:r w:rsidRPr="00984C1F">
        <w:rPr>
          <w:sz w:val="22"/>
          <w:szCs w:val="22"/>
          <w:lang w:val="pl-PL"/>
        </w:rPr>
        <w:t xml:space="preserve">Do </w:t>
      </w:r>
      <w:r>
        <w:rPr>
          <w:sz w:val="22"/>
          <w:szCs w:val="22"/>
          <w:lang w:val="pl-PL"/>
        </w:rPr>
        <w:t>produktów leczniczych, które są silnymi bądź umiarkowanymi inhibitorami</w:t>
      </w:r>
      <w:r w:rsidRPr="00984C1F">
        <w:rPr>
          <w:sz w:val="22"/>
          <w:szCs w:val="22"/>
          <w:lang w:val="pl-PL"/>
        </w:rPr>
        <w:t xml:space="preserve"> </w:t>
      </w:r>
      <w:r w:rsidR="000B03DF" w:rsidRPr="00984C1F">
        <w:rPr>
          <w:sz w:val="22"/>
          <w:szCs w:val="22"/>
          <w:lang w:val="pl-PL"/>
        </w:rPr>
        <w:t>CYP2C19 zaliczane są</w:t>
      </w:r>
      <w:r w:rsidR="006E34AE">
        <w:rPr>
          <w:sz w:val="22"/>
          <w:szCs w:val="22"/>
          <w:lang w:val="pl-PL"/>
        </w:rPr>
        <w:t xml:space="preserve"> na przykład</w:t>
      </w:r>
      <w:r w:rsidR="000B03DF" w:rsidRPr="00984C1F">
        <w:rPr>
          <w:sz w:val="22"/>
          <w:szCs w:val="22"/>
          <w:lang w:val="pl-PL"/>
        </w:rPr>
        <w:t>: omeprazol i e</w:t>
      </w:r>
      <w:r w:rsidR="00B97185">
        <w:rPr>
          <w:sz w:val="22"/>
          <w:szCs w:val="22"/>
          <w:lang w:val="pl-PL"/>
        </w:rPr>
        <w:t>z</w:t>
      </w:r>
      <w:r w:rsidR="000B03DF" w:rsidRPr="00984C1F">
        <w:rPr>
          <w:sz w:val="22"/>
          <w:szCs w:val="22"/>
          <w:lang w:val="pl-PL"/>
        </w:rPr>
        <w:t xml:space="preserve">omeprazol, fluwoksamina, fluoksetyna, </w:t>
      </w:r>
      <w:r w:rsidRPr="00984C1F">
        <w:rPr>
          <w:sz w:val="22"/>
          <w:szCs w:val="22"/>
          <w:lang w:val="pl-PL"/>
        </w:rPr>
        <w:t>moklobemid</w:t>
      </w:r>
      <w:r w:rsidR="000B03DF" w:rsidRPr="00984C1F">
        <w:rPr>
          <w:sz w:val="22"/>
          <w:szCs w:val="22"/>
          <w:lang w:val="pl-PL"/>
        </w:rPr>
        <w:t>, worykonazol, flukonazol,</w:t>
      </w:r>
      <w:r w:rsidR="00E66E16">
        <w:rPr>
          <w:sz w:val="22"/>
          <w:szCs w:val="22"/>
          <w:lang w:val="pl-PL"/>
        </w:rPr>
        <w:t xml:space="preserve"> </w:t>
      </w:r>
      <w:r w:rsidR="000B03DF" w:rsidRPr="00984C1F">
        <w:rPr>
          <w:sz w:val="22"/>
          <w:szCs w:val="22"/>
          <w:lang w:val="pl-PL"/>
        </w:rPr>
        <w:t>tyklopidyna</w:t>
      </w:r>
      <w:r w:rsidR="00E117C1">
        <w:rPr>
          <w:sz w:val="22"/>
          <w:szCs w:val="22"/>
          <w:lang w:val="pl-PL"/>
        </w:rPr>
        <w:t>, karbamazepina</w:t>
      </w:r>
      <w:r w:rsidR="00D153F1">
        <w:rPr>
          <w:sz w:val="22"/>
          <w:szCs w:val="22"/>
          <w:lang w:val="pl-PL"/>
        </w:rPr>
        <w:t xml:space="preserve"> i</w:t>
      </w:r>
      <w:r w:rsidR="000B03DF" w:rsidRPr="00984C1F">
        <w:rPr>
          <w:sz w:val="22"/>
          <w:szCs w:val="22"/>
          <w:lang w:val="pl-PL"/>
        </w:rPr>
        <w:t xml:space="preserve"> </w:t>
      </w:r>
      <w:r w:rsidR="00D153F1">
        <w:rPr>
          <w:sz w:val="22"/>
          <w:szCs w:val="22"/>
          <w:lang w:val="pl-PL"/>
        </w:rPr>
        <w:t>efawirenz</w:t>
      </w:r>
      <w:r w:rsidR="000B03DF" w:rsidRPr="00984C1F">
        <w:rPr>
          <w:sz w:val="22"/>
          <w:szCs w:val="22"/>
          <w:lang w:val="pl-PL"/>
        </w:rPr>
        <w:t xml:space="preserve">. </w:t>
      </w:r>
    </w:p>
    <w:p w:rsidR="001A4ECB" w:rsidRPr="00AF490B" w:rsidRDefault="001A4ECB" w:rsidP="00AF490B">
      <w:pPr>
        <w:tabs>
          <w:tab w:val="left" w:pos="2400"/>
          <w:tab w:val="left" w:pos="7280"/>
        </w:tabs>
        <w:ind w:right="-29"/>
        <w:rPr>
          <w:b/>
          <w:sz w:val="22"/>
          <w:lang w:val="pl-PL"/>
        </w:rPr>
      </w:pPr>
    </w:p>
    <w:p w:rsidR="0002533B" w:rsidRDefault="00B50952" w:rsidP="00AF490B">
      <w:pPr>
        <w:tabs>
          <w:tab w:val="left" w:pos="2400"/>
          <w:tab w:val="left" w:pos="7280"/>
        </w:tabs>
        <w:ind w:right="-29"/>
        <w:rPr>
          <w:sz w:val="22"/>
          <w:szCs w:val="22"/>
          <w:lang w:val="pl-PL"/>
        </w:rPr>
      </w:pPr>
      <w:r>
        <w:rPr>
          <w:sz w:val="22"/>
          <w:lang w:val="pl-PL"/>
        </w:rPr>
        <w:t>Inhibitory pompy protonowej (</w:t>
      </w:r>
      <w:r w:rsidR="00F25483">
        <w:rPr>
          <w:sz w:val="22"/>
          <w:lang w:val="pl-PL"/>
        </w:rPr>
        <w:t>ang.</w:t>
      </w:r>
      <w:r w:rsidR="00A52108">
        <w:rPr>
          <w:sz w:val="22"/>
          <w:lang w:val="pl-PL"/>
        </w:rPr>
        <w:t xml:space="preserve"> </w:t>
      </w:r>
      <w:r>
        <w:rPr>
          <w:sz w:val="22"/>
          <w:lang w:val="pl-PL"/>
        </w:rPr>
        <w:t>PPI</w:t>
      </w:r>
      <w:r w:rsidR="00F25483">
        <w:rPr>
          <w:sz w:val="22"/>
          <w:lang w:val="pl-PL"/>
        </w:rPr>
        <w:t xml:space="preserve"> </w:t>
      </w:r>
      <w:r w:rsidR="00E935B1">
        <w:rPr>
          <w:sz w:val="22"/>
          <w:lang w:val="pl-PL"/>
        </w:rPr>
        <w:t>–</w:t>
      </w:r>
      <w:r w:rsidR="00F25483">
        <w:rPr>
          <w:sz w:val="22"/>
          <w:lang w:val="pl-PL"/>
        </w:rPr>
        <w:t xml:space="preserve"> </w:t>
      </w:r>
      <w:r w:rsidR="00F25483">
        <w:rPr>
          <w:i/>
          <w:sz w:val="22"/>
          <w:lang w:val="pl-PL"/>
        </w:rPr>
        <w:t xml:space="preserve">Proton </w:t>
      </w:r>
      <w:r w:rsidR="00E935B1">
        <w:rPr>
          <w:i/>
          <w:sz w:val="22"/>
          <w:lang w:val="pl-PL"/>
        </w:rPr>
        <w:t xml:space="preserve">Pump </w:t>
      </w:r>
      <w:r w:rsidR="00F25483">
        <w:rPr>
          <w:i/>
          <w:sz w:val="22"/>
          <w:lang w:val="pl-PL"/>
        </w:rPr>
        <w:t>Inhibitors</w:t>
      </w:r>
      <w:r>
        <w:rPr>
          <w:sz w:val="22"/>
          <w:lang w:val="pl-PL"/>
        </w:rPr>
        <w:t>):</w:t>
      </w:r>
      <w:r w:rsidRPr="00B50952">
        <w:rPr>
          <w:sz w:val="22"/>
          <w:szCs w:val="22"/>
          <w:lang w:val="pl-PL"/>
        </w:rPr>
        <w:t xml:space="preserve"> </w:t>
      </w:r>
    </w:p>
    <w:p w:rsidR="0002533B" w:rsidRPr="0002533B" w:rsidRDefault="0002533B" w:rsidP="0002533B">
      <w:pPr>
        <w:tabs>
          <w:tab w:val="left" w:pos="2400"/>
          <w:tab w:val="left" w:pos="7280"/>
        </w:tabs>
        <w:ind w:right="-29"/>
        <w:rPr>
          <w:sz w:val="22"/>
          <w:szCs w:val="22"/>
          <w:lang w:val="pl-PL"/>
        </w:rPr>
      </w:pPr>
      <w:r w:rsidRPr="0002533B">
        <w:rPr>
          <w:sz w:val="22"/>
          <w:szCs w:val="22"/>
          <w:lang w:val="pl-PL"/>
        </w:rPr>
        <w:t xml:space="preserve">Omeprazol podawany raz </w:t>
      </w:r>
      <w:r w:rsidR="00CF4B3E">
        <w:rPr>
          <w:sz w:val="22"/>
          <w:szCs w:val="22"/>
          <w:lang w:val="pl-PL"/>
        </w:rPr>
        <w:t>na dobę</w:t>
      </w:r>
      <w:r w:rsidR="00CF4B3E" w:rsidRPr="0002533B">
        <w:rPr>
          <w:sz w:val="22"/>
          <w:szCs w:val="22"/>
          <w:lang w:val="pl-PL"/>
        </w:rPr>
        <w:t xml:space="preserve"> </w:t>
      </w:r>
      <w:r w:rsidRPr="0002533B">
        <w:rPr>
          <w:sz w:val="22"/>
          <w:szCs w:val="22"/>
          <w:lang w:val="pl-PL"/>
        </w:rPr>
        <w:t>w dawce 80 mg o tej samej porze z klopidogrelem</w:t>
      </w:r>
      <w:r w:rsidR="00EA7F00">
        <w:rPr>
          <w:sz w:val="22"/>
          <w:szCs w:val="22"/>
          <w:lang w:val="pl-PL"/>
        </w:rPr>
        <w:t xml:space="preserve"> lub </w:t>
      </w:r>
      <w:r w:rsidRPr="0002533B">
        <w:rPr>
          <w:sz w:val="22"/>
          <w:szCs w:val="22"/>
          <w:lang w:val="pl-PL"/>
        </w:rPr>
        <w:t xml:space="preserve">w odstępie 12 godzin prowadził do zmniejszenia ekspozycji na </w:t>
      </w:r>
      <w:r w:rsidR="00253BDF">
        <w:rPr>
          <w:sz w:val="22"/>
          <w:szCs w:val="22"/>
          <w:lang w:val="pl-PL"/>
        </w:rPr>
        <w:t>czynny</w:t>
      </w:r>
      <w:r w:rsidRPr="0002533B">
        <w:rPr>
          <w:sz w:val="22"/>
          <w:szCs w:val="22"/>
          <w:lang w:val="pl-PL"/>
        </w:rPr>
        <w:t xml:space="preserve"> metabolit klopidogrelu o 45% (dawka</w:t>
      </w:r>
      <w:r w:rsidR="00CF4B3E">
        <w:rPr>
          <w:sz w:val="22"/>
          <w:lang w:val="pl-PL"/>
        </w:rPr>
        <w:t> </w:t>
      </w:r>
      <w:r w:rsidRPr="0002533B">
        <w:rPr>
          <w:sz w:val="22"/>
          <w:szCs w:val="22"/>
          <w:lang w:val="pl-PL"/>
        </w:rPr>
        <w:t>nasycająca)</w:t>
      </w:r>
      <w:r w:rsidR="00784ED8">
        <w:rPr>
          <w:sz w:val="22"/>
          <w:szCs w:val="22"/>
          <w:lang w:val="pl-PL"/>
        </w:rPr>
        <w:t xml:space="preserve"> </w:t>
      </w:r>
      <w:r w:rsidRPr="0002533B">
        <w:rPr>
          <w:sz w:val="22"/>
          <w:szCs w:val="22"/>
          <w:lang w:val="pl-PL"/>
        </w:rPr>
        <w:t>i 40% (dawka podtrzymująca). Spadek stężenia wiązał się ze zmniejszeniem o</w:t>
      </w:r>
      <w:r w:rsidR="00EA7F00">
        <w:rPr>
          <w:sz w:val="22"/>
          <w:szCs w:val="22"/>
          <w:lang w:val="pl-PL"/>
        </w:rPr>
        <w:t> </w:t>
      </w:r>
      <w:r w:rsidRPr="0002533B">
        <w:rPr>
          <w:sz w:val="22"/>
          <w:szCs w:val="22"/>
          <w:lang w:val="pl-PL"/>
        </w:rPr>
        <w:t>39% (dawka nasycająca) i 21% (dawka podtrzymująca) działania hamującego agregację płytek krwi. Podobnych interakcji</w:t>
      </w:r>
      <w:r w:rsidR="00B97185">
        <w:rPr>
          <w:sz w:val="22"/>
          <w:szCs w:val="22"/>
          <w:lang w:val="pl-PL"/>
        </w:rPr>
        <w:t xml:space="preserve"> należy oczekiwać w przypadku ez</w:t>
      </w:r>
      <w:r w:rsidRPr="0002533B">
        <w:rPr>
          <w:sz w:val="22"/>
          <w:szCs w:val="22"/>
          <w:lang w:val="pl-PL"/>
        </w:rPr>
        <w:t>omeprazolu.</w:t>
      </w:r>
    </w:p>
    <w:p w:rsidR="00214AE0" w:rsidRDefault="00214AE0" w:rsidP="00CF4B3E">
      <w:pPr>
        <w:tabs>
          <w:tab w:val="left" w:pos="2400"/>
          <w:tab w:val="left" w:pos="7280"/>
        </w:tabs>
        <w:ind w:right="-29"/>
        <w:rPr>
          <w:color w:val="000000"/>
          <w:sz w:val="22"/>
          <w:szCs w:val="22"/>
          <w:lang w:val="pl-PL" w:eastAsia="es-ES"/>
        </w:rPr>
      </w:pPr>
    </w:p>
    <w:p w:rsidR="00214AE0" w:rsidRDefault="0002533B" w:rsidP="00214AE0">
      <w:pPr>
        <w:rPr>
          <w:color w:val="000000"/>
          <w:sz w:val="22"/>
          <w:szCs w:val="22"/>
          <w:lang w:val="pl-PL" w:eastAsia="es-ES"/>
        </w:rPr>
      </w:pPr>
      <w:r w:rsidRPr="00214AE0">
        <w:rPr>
          <w:color w:val="000000"/>
          <w:sz w:val="22"/>
          <w:szCs w:val="22"/>
          <w:lang w:val="pl-PL" w:eastAsia="es-ES"/>
        </w:rPr>
        <w:t>W badaniach obserwacyjnych i badaniach klinicznych opisywano niejednoznaczne dane dotyczące klinicznych następstw opisanych interakcji farmakokinetycznych (PK</w:t>
      </w:r>
      <w:r w:rsidR="00CF4B3E" w:rsidRPr="00214AE0">
        <w:rPr>
          <w:color w:val="000000"/>
          <w:sz w:val="22"/>
          <w:szCs w:val="22"/>
          <w:lang w:val="pl-PL" w:eastAsia="es-ES"/>
        </w:rPr>
        <w:t>)</w:t>
      </w:r>
      <w:r w:rsidR="00CF4B3E">
        <w:rPr>
          <w:color w:val="000000"/>
          <w:sz w:val="22"/>
          <w:szCs w:val="22"/>
          <w:lang w:val="pl-PL" w:eastAsia="es-ES"/>
        </w:rPr>
        <w:t xml:space="preserve"> lub </w:t>
      </w:r>
      <w:r w:rsidRPr="00214AE0">
        <w:rPr>
          <w:color w:val="000000"/>
          <w:sz w:val="22"/>
          <w:szCs w:val="22"/>
          <w:lang w:val="pl-PL" w:eastAsia="es-ES"/>
        </w:rPr>
        <w:t>farmakodynamicznych (PD) w</w:t>
      </w:r>
      <w:r w:rsidR="00CF4B3E">
        <w:rPr>
          <w:sz w:val="22"/>
          <w:lang w:val="pl-PL"/>
        </w:rPr>
        <w:t> </w:t>
      </w:r>
      <w:r w:rsidRPr="00214AE0">
        <w:rPr>
          <w:color w:val="000000"/>
          <w:sz w:val="22"/>
          <w:szCs w:val="22"/>
          <w:lang w:val="pl-PL" w:eastAsia="es-ES"/>
        </w:rPr>
        <w:t xml:space="preserve">odniesieniu do poważnych powikłań </w:t>
      </w:r>
      <w:r w:rsidR="00CF4B3E">
        <w:rPr>
          <w:color w:val="000000"/>
          <w:sz w:val="22"/>
          <w:szCs w:val="22"/>
          <w:lang w:val="pl-PL" w:eastAsia="es-ES"/>
        </w:rPr>
        <w:t>dotyczących</w:t>
      </w:r>
      <w:r w:rsidRPr="00214AE0">
        <w:rPr>
          <w:color w:val="000000"/>
          <w:sz w:val="22"/>
          <w:szCs w:val="22"/>
          <w:lang w:val="pl-PL" w:eastAsia="es-ES"/>
        </w:rPr>
        <w:t xml:space="preserve"> układu </w:t>
      </w:r>
      <w:r w:rsidR="00482922">
        <w:rPr>
          <w:color w:val="000000"/>
          <w:sz w:val="22"/>
          <w:szCs w:val="22"/>
          <w:lang w:val="pl-PL" w:eastAsia="es-ES"/>
        </w:rPr>
        <w:t>sercowo-naczyniowego</w:t>
      </w:r>
      <w:r w:rsidRPr="00214AE0">
        <w:rPr>
          <w:color w:val="000000"/>
          <w:sz w:val="22"/>
          <w:szCs w:val="22"/>
          <w:lang w:val="pl-PL" w:eastAsia="es-ES"/>
        </w:rPr>
        <w:t>. N</w:t>
      </w:r>
      <w:r w:rsidR="004200AB">
        <w:rPr>
          <w:color w:val="000000"/>
          <w:sz w:val="22"/>
          <w:szCs w:val="22"/>
          <w:lang w:val="pl-PL" w:eastAsia="es-ES"/>
        </w:rPr>
        <w:t>ie zaleca si</w:t>
      </w:r>
      <w:r w:rsidR="00CF4B3E">
        <w:rPr>
          <w:color w:val="000000"/>
          <w:sz w:val="22"/>
          <w:szCs w:val="22"/>
          <w:lang w:val="pl-PL" w:eastAsia="es-ES"/>
        </w:rPr>
        <w:t>ę</w:t>
      </w:r>
      <w:r w:rsidRPr="00214AE0">
        <w:rPr>
          <w:color w:val="000000"/>
          <w:sz w:val="22"/>
          <w:szCs w:val="22"/>
          <w:lang w:val="pl-PL" w:eastAsia="es-ES"/>
        </w:rPr>
        <w:t xml:space="preserve"> równoczesnego stosowania omeprazolu </w:t>
      </w:r>
      <w:r w:rsidR="00784ED8">
        <w:rPr>
          <w:color w:val="000000"/>
          <w:sz w:val="22"/>
          <w:szCs w:val="22"/>
          <w:lang w:val="pl-PL" w:eastAsia="es-ES"/>
        </w:rPr>
        <w:t>lub</w:t>
      </w:r>
      <w:r w:rsidR="00B97185">
        <w:rPr>
          <w:color w:val="000000"/>
          <w:sz w:val="22"/>
          <w:szCs w:val="22"/>
          <w:lang w:val="pl-PL" w:eastAsia="es-ES"/>
        </w:rPr>
        <w:t xml:space="preserve"> ez</w:t>
      </w:r>
      <w:r w:rsidRPr="00214AE0">
        <w:rPr>
          <w:color w:val="000000"/>
          <w:sz w:val="22"/>
          <w:szCs w:val="22"/>
          <w:lang w:val="pl-PL" w:eastAsia="es-ES"/>
        </w:rPr>
        <w:t>omeprazolu (patrz punkt 4.4).</w:t>
      </w:r>
    </w:p>
    <w:p w:rsidR="00482922" w:rsidRDefault="00482922" w:rsidP="00214AE0">
      <w:pPr>
        <w:rPr>
          <w:color w:val="000000"/>
          <w:sz w:val="22"/>
          <w:szCs w:val="22"/>
          <w:lang w:val="pl-PL" w:eastAsia="es-ES"/>
        </w:rPr>
      </w:pPr>
    </w:p>
    <w:p w:rsidR="00214AE0" w:rsidRPr="00E429F8" w:rsidRDefault="00214AE0" w:rsidP="00214AE0">
      <w:pPr>
        <w:rPr>
          <w:color w:val="000000"/>
          <w:sz w:val="22"/>
          <w:szCs w:val="22"/>
          <w:lang w:val="pl-PL" w:eastAsia="es-ES"/>
        </w:rPr>
      </w:pPr>
      <w:r w:rsidRPr="00E429F8">
        <w:rPr>
          <w:color w:val="000000"/>
          <w:sz w:val="22"/>
          <w:szCs w:val="22"/>
          <w:lang w:val="pl-PL" w:eastAsia="es-ES"/>
        </w:rPr>
        <w:t>Pantoprazol i lanzoprazol w mniejszym stopniu zmniejszały ekspozycję na metabolit klopidogrelu.</w:t>
      </w:r>
    </w:p>
    <w:p w:rsidR="00214AE0" w:rsidRPr="00512A93" w:rsidRDefault="00214AE0" w:rsidP="00214AE0">
      <w:pPr>
        <w:rPr>
          <w:color w:val="000000"/>
          <w:sz w:val="22"/>
          <w:szCs w:val="22"/>
          <w:lang w:val="pl-PL" w:eastAsia="es-ES"/>
        </w:rPr>
      </w:pPr>
      <w:r w:rsidRPr="00E429F8">
        <w:rPr>
          <w:color w:val="000000"/>
          <w:sz w:val="22"/>
          <w:szCs w:val="22"/>
          <w:lang w:val="pl-PL" w:eastAsia="es-ES"/>
        </w:rPr>
        <w:t xml:space="preserve">Stężenie </w:t>
      </w:r>
      <w:r w:rsidR="00253BDF">
        <w:rPr>
          <w:color w:val="000000"/>
          <w:sz w:val="22"/>
          <w:szCs w:val="22"/>
          <w:lang w:val="pl-PL" w:eastAsia="es-ES"/>
        </w:rPr>
        <w:t>czynnego</w:t>
      </w:r>
      <w:r w:rsidRPr="00E429F8">
        <w:rPr>
          <w:color w:val="000000"/>
          <w:sz w:val="22"/>
          <w:szCs w:val="22"/>
          <w:lang w:val="pl-PL" w:eastAsia="es-ES"/>
        </w:rPr>
        <w:t xml:space="preserve"> metabolitu w osoczu podczas równoczesnego stosowania pantoprazolu w dawce 80</w:t>
      </w:r>
      <w:r w:rsidR="00CF4B3E">
        <w:rPr>
          <w:sz w:val="22"/>
          <w:lang w:val="pl-PL"/>
        </w:rPr>
        <w:t> </w:t>
      </w:r>
      <w:r w:rsidRPr="00E429F8">
        <w:rPr>
          <w:color w:val="000000"/>
          <w:sz w:val="22"/>
          <w:szCs w:val="22"/>
          <w:lang w:val="pl-PL" w:eastAsia="es-ES"/>
        </w:rPr>
        <w:t xml:space="preserve">mg raz </w:t>
      </w:r>
      <w:r w:rsidR="00CF4B3E">
        <w:rPr>
          <w:color w:val="000000"/>
          <w:sz w:val="22"/>
          <w:szCs w:val="22"/>
          <w:lang w:val="pl-PL" w:eastAsia="es-ES"/>
        </w:rPr>
        <w:t>na dobę</w:t>
      </w:r>
      <w:r w:rsidR="00CF4B3E" w:rsidRPr="00E429F8">
        <w:rPr>
          <w:color w:val="000000"/>
          <w:sz w:val="22"/>
          <w:szCs w:val="22"/>
          <w:lang w:val="pl-PL" w:eastAsia="es-ES"/>
        </w:rPr>
        <w:t xml:space="preserve"> </w:t>
      </w:r>
      <w:r w:rsidRPr="00E429F8">
        <w:rPr>
          <w:color w:val="000000"/>
          <w:sz w:val="22"/>
          <w:szCs w:val="22"/>
          <w:lang w:val="pl-PL" w:eastAsia="es-ES"/>
        </w:rPr>
        <w:t>w przypadku dawki nasycającej i dawki podtrzymującej klopidogrelu było mniejsze odpowiednio o 20%</w:t>
      </w:r>
      <w:r w:rsidR="00E357C8">
        <w:rPr>
          <w:color w:val="000000"/>
          <w:sz w:val="22"/>
          <w:szCs w:val="22"/>
          <w:lang w:val="pl-PL" w:eastAsia="es-ES"/>
        </w:rPr>
        <w:t xml:space="preserve"> (dawka nasycająca) i </w:t>
      </w:r>
      <w:r w:rsidRPr="00E429F8">
        <w:rPr>
          <w:color w:val="000000"/>
          <w:sz w:val="22"/>
          <w:szCs w:val="22"/>
          <w:lang w:val="pl-PL" w:eastAsia="es-ES"/>
        </w:rPr>
        <w:t>14%</w:t>
      </w:r>
      <w:r w:rsidR="00E357C8">
        <w:rPr>
          <w:color w:val="000000"/>
          <w:sz w:val="22"/>
          <w:szCs w:val="22"/>
          <w:lang w:val="pl-PL" w:eastAsia="es-ES"/>
        </w:rPr>
        <w:t xml:space="preserve"> (dawka podtrzymująca)</w:t>
      </w:r>
      <w:r w:rsidRPr="00E429F8">
        <w:rPr>
          <w:color w:val="000000"/>
          <w:sz w:val="22"/>
          <w:szCs w:val="22"/>
          <w:lang w:val="pl-PL" w:eastAsia="es-ES"/>
        </w:rPr>
        <w:t>. Spadek stężenia wiązał się ze zmniejszeniem średniego zahamowania agregacji płytek krwi odpowiednio o 15% i 11%.</w:t>
      </w:r>
      <w:r w:rsidR="00E357C8">
        <w:rPr>
          <w:color w:val="000000"/>
          <w:sz w:val="22"/>
          <w:szCs w:val="22"/>
          <w:lang w:val="pl-PL" w:eastAsia="es-ES"/>
        </w:rPr>
        <w:t xml:space="preserve"> Opisane wyniki wskazują na możl</w:t>
      </w:r>
      <w:r w:rsidRPr="00E429F8">
        <w:rPr>
          <w:color w:val="000000"/>
          <w:sz w:val="22"/>
          <w:szCs w:val="22"/>
          <w:lang w:val="pl-PL" w:eastAsia="es-ES"/>
        </w:rPr>
        <w:t>iwość stosowania klopidogrelu i pantoprazolu.</w:t>
      </w:r>
    </w:p>
    <w:p w:rsidR="00B50952" w:rsidRDefault="00B50952" w:rsidP="001A4ECB">
      <w:pPr>
        <w:tabs>
          <w:tab w:val="left" w:pos="567"/>
        </w:tabs>
        <w:rPr>
          <w:sz w:val="22"/>
          <w:lang w:val="pl-PL"/>
        </w:rPr>
      </w:pPr>
    </w:p>
    <w:p w:rsidR="001A4ECB" w:rsidRDefault="001A4ECB" w:rsidP="001A4ECB">
      <w:pPr>
        <w:tabs>
          <w:tab w:val="left" w:pos="567"/>
        </w:tabs>
        <w:rPr>
          <w:sz w:val="22"/>
          <w:lang w:val="pl-PL"/>
        </w:rPr>
      </w:pPr>
      <w:r>
        <w:rPr>
          <w:sz w:val="22"/>
          <w:lang w:val="pl-PL"/>
        </w:rPr>
        <w:t xml:space="preserve">Brak jest danych wskazujących na to, aby inne </w:t>
      </w:r>
      <w:r w:rsidR="00036772">
        <w:rPr>
          <w:sz w:val="22"/>
          <w:lang w:val="pl-PL"/>
        </w:rPr>
        <w:t>produkty lecznicze</w:t>
      </w:r>
      <w:r>
        <w:rPr>
          <w:sz w:val="22"/>
          <w:lang w:val="pl-PL"/>
        </w:rPr>
        <w:t xml:space="preserve"> zmniejszające wydzielanie </w:t>
      </w:r>
      <w:r w:rsidR="00036772">
        <w:rPr>
          <w:sz w:val="22"/>
          <w:lang w:val="pl-PL"/>
        </w:rPr>
        <w:t>soku żołądkowego</w:t>
      </w:r>
      <w:r>
        <w:rPr>
          <w:sz w:val="22"/>
          <w:lang w:val="pl-PL"/>
        </w:rPr>
        <w:t>, takie jak</w:t>
      </w:r>
      <w:r w:rsidR="00EA7F00">
        <w:rPr>
          <w:sz w:val="22"/>
          <w:lang w:val="pl-PL"/>
        </w:rPr>
        <w:t>:</w:t>
      </w:r>
      <w:r>
        <w:rPr>
          <w:sz w:val="22"/>
          <w:lang w:val="pl-PL"/>
        </w:rPr>
        <w:t xml:space="preserve"> </w:t>
      </w:r>
      <w:r w:rsidR="00036772">
        <w:rPr>
          <w:sz w:val="22"/>
          <w:lang w:val="pl-PL"/>
        </w:rPr>
        <w:t xml:space="preserve">leki </w:t>
      </w:r>
      <w:r>
        <w:rPr>
          <w:sz w:val="22"/>
          <w:lang w:val="pl-PL"/>
        </w:rPr>
        <w:t>blok</w:t>
      </w:r>
      <w:r w:rsidR="00036772">
        <w:rPr>
          <w:sz w:val="22"/>
          <w:lang w:val="pl-PL"/>
        </w:rPr>
        <w:t>ujące</w:t>
      </w:r>
      <w:r>
        <w:rPr>
          <w:sz w:val="22"/>
          <w:lang w:val="pl-PL"/>
        </w:rPr>
        <w:t xml:space="preserve"> receptor</w:t>
      </w:r>
      <w:r w:rsidR="00036772">
        <w:rPr>
          <w:sz w:val="22"/>
          <w:lang w:val="pl-PL"/>
        </w:rPr>
        <w:t>y</w:t>
      </w:r>
      <w:r>
        <w:rPr>
          <w:sz w:val="22"/>
          <w:lang w:val="pl-PL"/>
        </w:rPr>
        <w:t xml:space="preserve"> H2 lub leki zobojętniające </w:t>
      </w:r>
      <w:r w:rsidR="00036772">
        <w:rPr>
          <w:sz w:val="22"/>
          <w:lang w:val="pl-PL"/>
        </w:rPr>
        <w:t xml:space="preserve">sok </w:t>
      </w:r>
      <w:r>
        <w:rPr>
          <w:sz w:val="22"/>
          <w:lang w:val="pl-PL"/>
        </w:rPr>
        <w:t xml:space="preserve">żołądkowy wpływały na przeciwpłytkowe </w:t>
      </w:r>
      <w:r w:rsidR="00E66E16">
        <w:rPr>
          <w:sz w:val="22"/>
          <w:lang w:val="pl-PL"/>
        </w:rPr>
        <w:t>działanie</w:t>
      </w:r>
      <w:r w:rsidR="00EA7F00">
        <w:rPr>
          <w:sz w:val="22"/>
          <w:lang w:val="pl-PL"/>
        </w:rPr>
        <w:t xml:space="preserve"> </w:t>
      </w:r>
      <w:r>
        <w:rPr>
          <w:sz w:val="22"/>
          <w:lang w:val="pl-PL"/>
        </w:rPr>
        <w:t>klopidogrelu.</w:t>
      </w:r>
    </w:p>
    <w:p w:rsidR="00935290" w:rsidRDefault="00935290" w:rsidP="001A4ECB">
      <w:pPr>
        <w:tabs>
          <w:tab w:val="left" w:pos="567"/>
        </w:tabs>
        <w:rPr>
          <w:sz w:val="22"/>
          <w:lang w:val="pl-PL"/>
        </w:rPr>
      </w:pPr>
    </w:p>
    <w:p w:rsidR="00935290" w:rsidRDefault="00935290" w:rsidP="00935290">
      <w:pPr>
        <w:tabs>
          <w:tab w:val="left" w:pos="567"/>
        </w:tabs>
        <w:rPr>
          <w:sz w:val="22"/>
          <w:lang w:val="pl-PL"/>
        </w:rPr>
      </w:pPr>
      <w:r w:rsidRPr="00935290">
        <w:rPr>
          <w:sz w:val="22"/>
          <w:lang w:val="pl-PL"/>
        </w:rPr>
        <w:t>Wzmocniona tera</w:t>
      </w:r>
      <w:r>
        <w:rPr>
          <w:sz w:val="22"/>
          <w:lang w:val="pl-PL"/>
        </w:rPr>
        <w:t xml:space="preserve">pia przeciwretrowirusowa (ART): </w:t>
      </w:r>
      <w:r w:rsidRPr="00935290">
        <w:rPr>
          <w:sz w:val="22"/>
          <w:lang w:val="pl-PL"/>
        </w:rPr>
        <w:t>Pacjenci z HIV leczeni wzmocnionymi terapiami przeciwretrowirusowymi (ART- ang. antiretroviral therapy) są w grupie wysokiego ryzyka zdarzeń naczyniowych.</w:t>
      </w:r>
    </w:p>
    <w:p w:rsidR="00935290" w:rsidRDefault="00935290" w:rsidP="00935290">
      <w:pPr>
        <w:tabs>
          <w:tab w:val="left" w:pos="567"/>
        </w:tabs>
        <w:rPr>
          <w:sz w:val="22"/>
          <w:lang w:val="pl-PL"/>
        </w:rPr>
      </w:pPr>
    </w:p>
    <w:p w:rsidR="00935290" w:rsidRDefault="00935290" w:rsidP="00935290">
      <w:pPr>
        <w:tabs>
          <w:tab w:val="left" w:pos="567"/>
        </w:tabs>
        <w:rPr>
          <w:sz w:val="22"/>
          <w:lang w:val="pl-PL"/>
        </w:rPr>
      </w:pPr>
      <w:r>
        <w:rPr>
          <w:sz w:val="22"/>
          <w:lang w:val="pl-PL"/>
        </w:rPr>
        <w:t>U</w:t>
      </w:r>
      <w:r w:rsidRPr="00935290">
        <w:rPr>
          <w:sz w:val="22"/>
          <w:lang w:val="pl-PL"/>
        </w:rPr>
        <w:t xml:space="preserve"> pacjentów zakażonych wirusem HI</w:t>
      </w:r>
      <w:r>
        <w:rPr>
          <w:sz w:val="22"/>
          <w:lang w:val="pl-PL"/>
        </w:rPr>
        <w:t xml:space="preserve">V, leczonych rytonawirem lub kobicystatem </w:t>
      </w:r>
      <w:r w:rsidRPr="00935290">
        <w:rPr>
          <w:sz w:val="22"/>
          <w:lang w:val="pl-PL"/>
        </w:rPr>
        <w:t>- wzmocnione terapie przeciwretrowirusowe (ART), obserwow</w:t>
      </w:r>
      <w:r>
        <w:rPr>
          <w:sz w:val="22"/>
          <w:lang w:val="pl-PL"/>
        </w:rPr>
        <w:t xml:space="preserve">ano </w:t>
      </w:r>
      <w:r w:rsidRPr="00935290">
        <w:rPr>
          <w:sz w:val="22"/>
          <w:lang w:val="pl-PL"/>
        </w:rPr>
        <w:t>znaczne zmniejszenie hamowania aktywności płytek krwi. Chociaż znaczenie kliniczne tych wyników jest niepewne, zgłaszano spontaniczne przypadki pacjentów zakażonych wirusem HIV, leczonych terapią przeciwretrowirusową (ART) wzmocnioną rytonawirem, którzy doświadczyli zdarzeń ponownego zamknięcia naczynia krwionośnego po jego udrożnieniu lub doznali zdarzeń zakrzepowych w ramach schematu leczenia dawką nasycającą klopidogrelu. Średnie hamowanie</w:t>
      </w:r>
      <w:r>
        <w:rPr>
          <w:sz w:val="22"/>
          <w:lang w:val="pl-PL"/>
        </w:rPr>
        <w:t xml:space="preserve"> aktywności</w:t>
      </w:r>
      <w:r w:rsidRPr="00935290">
        <w:rPr>
          <w:sz w:val="22"/>
          <w:lang w:val="pl-PL"/>
        </w:rPr>
        <w:t xml:space="preserve"> płytek</w:t>
      </w:r>
      <w:r>
        <w:rPr>
          <w:sz w:val="22"/>
          <w:lang w:val="pl-PL"/>
        </w:rPr>
        <w:t xml:space="preserve"> krwi</w:t>
      </w:r>
      <w:r w:rsidRPr="00935290">
        <w:rPr>
          <w:sz w:val="22"/>
          <w:lang w:val="pl-PL"/>
        </w:rPr>
        <w:t xml:space="preserve"> może być zmniejszone przy jednoczesnym stosowaniu klopidogrelu i rytonawiru.</w:t>
      </w:r>
      <w:r>
        <w:rPr>
          <w:sz w:val="22"/>
          <w:lang w:val="pl-PL"/>
        </w:rPr>
        <w:t xml:space="preserve"> </w:t>
      </w:r>
      <w:r w:rsidRPr="00935290">
        <w:rPr>
          <w:sz w:val="22"/>
          <w:lang w:val="pl-PL"/>
        </w:rPr>
        <w:t xml:space="preserve">Dlatego </w:t>
      </w:r>
      <w:r>
        <w:rPr>
          <w:sz w:val="22"/>
          <w:lang w:val="pl-PL"/>
        </w:rPr>
        <w:t>nie zaleca się jednoczesnego stosowania</w:t>
      </w:r>
      <w:r w:rsidRPr="00935290">
        <w:rPr>
          <w:sz w:val="22"/>
          <w:lang w:val="pl-PL"/>
        </w:rPr>
        <w:t xml:space="preserve"> klopidogrelu u pacjentów z HIV leczonych wzmocnionymi terapiami przeciwretrowirusowymi (ART).</w:t>
      </w:r>
    </w:p>
    <w:p w:rsidR="00E62613" w:rsidRPr="00E62613" w:rsidRDefault="00E62613" w:rsidP="00E62613">
      <w:pPr>
        <w:pStyle w:val="Header"/>
        <w:rPr>
          <w:lang w:val="pl-PL"/>
        </w:rPr>
      </w:pPr>
    </w:p>
    <w:p w:rsidR="00BC4936" w:rsidRPr="00742A0D" w:rsidRDefault="00902981" w:rsidP="002A3419">
      <w:pPr>
        <w:tabs>
          <w:tab w:val="left" w:pos="567"/>
        </w:tabs>
        <w:rPr>
          <w:sz w:val="22"/>
          <w:lang w:val="pl-PL"/>
        </w:rPr>
      </w:pPr>
      <w:r>
        <w:rPr>
          <w:sz w:val="22"/>
          <w:lang w:val="pl-PL"/>
        </w:rPr>
        <w:t xml:space="preserve">Inne produkty lecznicze: </w:t>
      </w:r>
      <w:r w:rsidR="00036772" w:rsidRPr="00742A0D">
        <w:rPr>
          <w:sz w:val="22"/>
          <w:lang w:val="pl-PL"/>
        </w:rPr>
        <w:t>p</w:t>
      </w:r>
      <w:r w:rsidR="00BC4936" w:rsidRPr="00742A0D">
        <w:rPr>
          <w:sz w:val="22"/>
          <w:lang w:val="pl-PL"/>
        </w:rPr>
        <w:t xml:space="preserve">rzeprowadzono szereg innych badań klinicznych z klopidogrelem i innymi jednocześnie stosowanymi </w:t>
      </w:r>
      <w:r w:rsidR="00C46A72" w:rsidRPr="00742A0D">
        <w:rPr>
          <w:sz w:val="22"/>
          <w:lang w:val="pl-PL"/>
        </w:rPr>
        <w:t>produktami leczniczymi</w:t>
      </w:r>
      <w:r w:rsidR="00BC4936" w:rsidRPr="00742A0D">
        <w:rPr>
          <w:sz w:val="22"/>
          <w:lang w:val="pl-PL"/>
        </w:rPr>
        <w:t xml:space="preserve"> w celu zbadania potencjalnych interakcji farmakodynamicznych i farmakokinetycznych. Nie obserwowano znaczących klinicznie interakcji farmakodynamicznych w przypadku jednoczesnego podawania klopidogrelu z atenololem, nifedypiną lub z oboma lekami atenololem i nifedypiną. Ponadto</w:t>
      </w:r>
      <w:r w:rsidR="00026306">
        <w:rPr>
          <w:sz w:val="22"/>
          <w:lang w:val="pl-PL"/>
        </w:rPr>
        <w:t>,</w:t>
      </w:r>
      <w:r w:rsidR="00BC4936" w:rsidRPr="00742A0D">
        <w:rPr>
          <w:sz w:val="22"/>
          <w:lang w:val="pl-PL"/>
        </w:rPr>
        <w:t xml:space="preserve"> na farmakodynamiczną aktywność klopidogrelu nie wpływało znacząco jednoczesne podawanie fenobarbitalu </w:t>
      </w:r>
      <w:r w:rsidR="00946122" w:rsidRPr="00742A0D">
        <w:rPr>
          <w:sz w:val="22"/>
          <w:lang w:val="pl-PL"/>
        </w:rPr>
        <w:t>lub</w:t>
      </w:r>
      <w:r w:rsidR="00BC4936" w:rsidRPr="00742A0D">
        <w:rPr>
          <w:sz w:val="22"/>
          <w:lang w:val="pl-PL"/>
        </w:rPr>
        <w:t xml:space="preserve"> estrogenu.</w:t>
      </w:r>
    </w:p>
    <w:p w:rsidR="00BC4936" w:rsidRDefault="00BC4936" w:rsidP="002A3419">
      <w:pPr>
        <w:tabs>
          <w:tab w:val="left" w:pos="567"/>
        </w:tabs>
        <w:rPr>
          <w:sz w:val="22"/>
          <w:lang w:val="pl-PL"/>
        </w:rPr>
      </w:pPr>
    </w:p>
    <w:p w:rsidR="00BC4936" w:rsidRPr="00742A0D" w:rsidRDefault="00BC4936" w:rsidP="002A3419">
      <w:pPr>
        <w:tabs>
          <w:tab w:val="left" w:pos="567"/>
        </w:tabs>
        <w:rPr>
          <w:sz w:val="22"/>
          <w:lang w:val="pl-PL"/>
        </w:rPr>
      </w:pPr>
      <w:r>
        <w:rPr>
          <w:sz w:val="22"/>
          <w:lang w:val="pl-PL"/>
        </w:rPr>
        <w:t xml:space="preserve">Farmakokinetyka digoksyny oraz teofiliny nie zmieniała się </w:t>
      </w:r>
      <w:r w:rsidR="00CF4B3E" w:rsidRPr="00742A0D">
        <w:rPr>
          <w:sz w:val="22"/>
          <w:lang w:val="pl-PL"/>
        </w:rPr>
        <w:t xml:space="preserve">po </w:t>
      </w:r>
      <w:r w:rsidRPr="00742A0D">
        <w:rPr>
          <w:sz w:val="22"/>
          <w:lang w:val="pl-PL"/>
        </w:rPr>
        <w:t>jednoczesnym podawaniu klopidogrelu. Leki zobojętniające sok żołądkowy nie zmieniały stopnia wchłaniania klopidogrelu.</w:t>
      </w:r>
    </w:p>
    <w:p w:rsidR="00BA322B" w:rsidRPr="00BA322B" w:rsidRDefault="00BA322B" w:rsidP="00BA322B">
      <w:pPr>
        <w:tabs>
          <w:tab w:val="left" w:pos="567"/>
        </w:tabs>
        <w:rPr>
          <w:sz w:val="22"/>
          <w:lang w:val="pl-PL"/>
        </w:rPr>
      </w:pPr>
    </w:p>
    <w:p w:rsidR="00BA322B" w:rsidRPr="00BA322B" w:rsidRDefault="00BA322B" w:rsidP="00BA322B">
      <w:pPr>
        <w:tabs>
          <w:tab w:val="left" w:pos="567"/>
        </w:tabs>
        <w:rPr>
          <w:sz w:val="22"/>
          <w:lang w:val="pl-PL"/>
        </w:rPr>
      </w:pPr>
      <w:r w:rsidRPr="00BA322B">
        <w:rPr>
          <w:sz w:val="22"/>
          <w:lang w:val="pl-PL"/>
        </w:rPr>
        <w:t>Dane z badania CAPRIE wskazują, że fenytoina i tolbutamid, które są metabolizowane przez CYP2C9 mogą być bezpiecznie podawane jednocześnie z klopidogrelem.</w:t>
      </w:r>
    </w:p>
    <w:p w:rsidR="00BA322B" w:rsidRDefault="00BA322B" w:rsidP="002A3419">
      <w:pPr>
        <w:tabs>
          <w:tab w:val="left" w:pos="567"/>
        </w:tabs>
        <w:rPr>
          <w:sz w:val="22"/>
          <w:lang w:val="pl-PL"/>
        </w:rPr>
      </w:pPr>
    </w:p>
    <w:p w:rsidR="00FB5E17" w:rsidRDefault="00FB5E17" w:rsidP="002A3419">
      <w:pPr>
        <w:tabs>
          <w:tab w:val="left" w:pos="567"/>
        </w:tabs>
        <w:rPr>
          <w:sz w:val="22"/>
          <w:lang w:val="pl-PL"/>
        </w:rPr>
      </w:pPr>
      <w:r w:rsidRPr="003B030F">
        <w:rPr>
          <w:sz w:val="22"/>
          <w:lang w:val="pl-PL"/>
        </w:rPr>
        <w:t xml:space="preserve">Produkty lecznicze będące substratami CYP2C8: </w:t>
      </w:r>
      <w:r>
        <w:rPr>
          <w:sz w:val="22"/>
          <w:lang w:val="pl-PL"/>
        </w:rPr>
        <w:t>Wykazano</w:t>
      </w:r>
      <w:r w:rsidR="003B030F">
        <w:rPr>
          <w:sz w:val="22"/>
          <w:lang w:val="pl-PL"/>
        </w:rPr>
        <w:t>,</w:t>
      </w:r>
      <w:r>
        <w:rPr>
          <w:sz w:val="22"/>
          <w:lang w:val="pl-PL"/>
        </w:rPr>
        <w:t xml:space="preserve"> że klopidogrel</w:t>
      </w:r>
      <w:r w:rsidRPr="00FB5E17">
        <w:rPr>
          <w:sz w:val="22"/>
          <w:lang w:val="pl-PL"/>
        </w:rPr>
        <w:t xml:space="preserve"> zwiększa </w:t>
      </w:r>
      <w:r w:rsidR="00B524FD">
        <w:rPr>
          <w:sz w:val="22"/>
          <w:lang w:val="pl-PL"/>
        </w:rPr>
        <w:t>narażenie</w:t>
      </w:r>
      <w:r w:rsidR="00B524FD" w:rsidRPr="00B524FD">
        <w:rPr>
          <w:sz w:val="22"/>
          <w:lang w:val="pl-PL"/>
        </w:rPr>
        <w:t xml:space="preserve"> na repaglinid</w:t>
      </w:r>
      <w:r w:rsidRPr="00FB5E17">
        <w:rPr>
          <w:sz w:val="22"/>
          <w:lang w:val="pl-PL"/>
        </w:rPr>
        <w:t xml:space="preserve"> u zdrowych ochotników. W badaniach </w:t>
      </w:r>
      <w:r w:rsidRPr="001E79CA">
        <w:rPr>
          <w:i/>
          <w:sz w:val="22"/>
          <w:lang w:val="pl-PL"/>
        </w:rPr>
        <w:t xml:space="preserve">in vitro </w:t>
      </w:r>
      <w:r w:rsidRPr="00FB5E17">
        <w:rPr>
          <w:sz w:val="22"/>
          <w:lang w:val="pl-PL"/>
        </w:rPr>
        <w:t>wykazano</w:t>
      </w:r>
      <w:r>
        <w:rPr>
          <w:sz w:val="22"/>
          <w:lang w:val="pl-PL"/>
        </w:rPr>
        <w:t>, że wzrost narażenia na</w:t>
      </w:r>
      <w:r w:rsidRPr="00FB5E17">
        <w:rPr>
          <w:sz w:val="22"/>
          <w:lang w:val="pl-PL"/>
        </w:rPr>
        <w:t xml:space="preserve"> repaglinid </w:t>
      </w:r>
      <w:r>
        <w:rPr>
          <w:sz w:val="22"/>
          <w:lang w:val="pl-PL"/>
        </w:rPr>
        <w:t xml:space="preserve">związany jest z </w:t>
      </w:r>
      <w:r w:rsidRPr="00FB5E17">
        <w:rPr>
          <w:sz w:val="22"/>
          <w:lang w:val="pl-PL"/>
        </w:rPr>
        <w:t>hamowanie</w:t>
      </w:r>
      <w:r>
        <w:rPr>
          <w:sz w:val="22"/>
          <w:lang w:val="pl-PL"/>
        </w:rPr>
        <w:t>m CYP2C8 przez glukuronidowy metabolit klopidogrelu</w:t>
      </w:r>
      <w:r w:rsidRPr="00FB5E17">
        <w:rPr>
          <w:sz w:val="22"/>
          <w:lang w:val="pl-PL"/>
        </w:rPr>
        <w:t xml:space="preserve">. Ze względu na ryzyko zwiększenia stężenia w osoczu, </w:t>
      </w:r>
      <w:r w:rsidR="00093ADA" w:rsidRPr="00FB5E17">
        <w:rPr>
          <w:sz w:val="22"/>
          <w:lang w:val="pl-PL"/>
        </w:rPr>
        <w:t xml:space="preserve">należy zachować ostrożność </w:t>
      </w:r>
      <w:r w:rsidR="00093ADA">
        <w:rPr>
          <w:sz w:val="22"/>
          <w:lang w:val="pl-PL"/>
        </w:rPr>
        <w:t xml:space="preserve">podczas </w:t>
      </w:r>
      <w:r w:rsidRPr="00FB5E17">
        <w:rPr>
          <w:sz w:val="22"/>
          <w:lang w:val="pl-PL"/>
        </w:rPr>
        <w:t>jednoczesne</w:t>
      </w:r>
      <w:r w:rsidR="00093ADA">
        <w:rPr>
          <w:sz w:val="22"/>
          <w:lang w:val="pl-PL"/>
        </w:rPr>
        <w:t>go stosowania</w:t>
      </w:r>
      <w:r>
        <w:rPr>
          <w:sz w:val="22"/>
          <w:lang w:val="pl-PL"/>
        </w:rPr>
        <w:t xml:space="preserve"> klopidogrelu i produktów leczniczych metabolizowanych głównie przez</w:t>
      </w:r>
      <w:r w:rsidR="00093ADA">
        <w:rPr>
          <w:sz w:val="22"/>
          <w:lang w:val="pl-PL"/>
        </w:rPr>
        <w:t xml:space="preserve"> CYP2C8 (np.:</w:t>
      </w:r>
      <w:r w:rsidR="00B524FD">
        <w:rPr>
          <w:lang w:val="pl-PL"/>
        </w:rPr>
        <w:t> </w:t>
      </w:r>
      <w:r w:rsidR="00093ADA">
        <w:rPr>
          <w:sz w:val="22"/>
          <w:lang w:val="pl-PL"/>
        </w:rPr>
        <w:t>repaglini</w:t>
      </w:r>
      <w:r w:rsidRPr="00FB5E17">
        <w:rPr>
          <w:sz w:val="22"/>
          <w:lang w:val="pl-PL"/>
        </w:rPr>
        <w:t>d</w:t>
      </w:r>
      <w:r w:rsidR="00093ADA">
        <w:rPr>
          <w:sz w:val="22"/>
          <w:lang w:val="pl-PL"/>
        </w:rPr>
        <w:t>,</w:t>
      </w:r>
      <w:r w:rsidRPr="00FB5E17">
        <w:rPr>
          <w:sz w:val="22"/>
          <w:lang w:val="pl-PL"/>
        </w:rPr>
        <w:t xml:space="preserve"> paklitaksel)</w:t>
      </w:r>
      <w:r w:rsidR="00DF6C4C">
        <w:rPr>
          <w:sz w:val="22"/>
          <w:lang w:val="pl-PL"/>
        </w:rPr>
        <w:t xml:space="preserve"> (patrz punkt 4.4)</w:t>
      </w:r>
      <w:r w:rsidRPr="00FB5E17">
        <w:rPr>
          <w:sz w:val="22"/>
          <w:lang w:val="pl-PL"/>
        </w:rPr>
        <w:t>.</w:t>
      </w:r>
    </w:p>
    <w:p w:rsidR="00E37E72" w:rsidRPr="00E37E72" w:rsidRDefault="00E37E72" w:rsidP="00E37E72">
      <w:pPr>
        <w:pStyle w:val="Header"/>
        <w:rPr>
          <w:lang w:val="pl-PL"/>
        </w:rPr>
      </w:pPr>
    </w:p>
    <w:p w:rsidR="00BC4936" w:rsidRDefault="00BC4936" w:rsidP="002A3419">
      <w:pPr>
        <w:tabs>
          <w:tab w:val="left" w:pos="567"/>
        </w:tabs>
        <w:rPr>
          <w:sz w:val="22"/>
          <w:lang w:val="pl-PL"/>
        </w:rPr>
      </w:pPr>
      <w:r>
        <w:rPr>
          <w:sz w:val="22"/>
          <w:lang w:val="pl-PL"/>
        </w:rPr>
        <w:t xml:space="preserve">Oprócz informacji o specyficznych interakcjach </w:t>
      </w:r>
      <w:r w:rsidR="00C16361" w:rsidRPr="00742A0D">
        <w:rPr>
          <w:sz w:val="22"/>
          <w:lang w:val="pl-PL"/>
        </w:rPr>
        <w:t>produkt</w:t>
      </w:r>
      <w:r w:rsidR="00527F9F" w:rsidRPr="00742A0D">
        <w:rPr>
          <w:sz w:val="22"/>
          <w:lang w:val="pl-PL"/>
        </w:rPr>
        <w:t>ów</w:t>
      </w:r>
      <w:r w:rsidR="00C16361" w:rsidRPr="00742A0D">
        <w:rPr>
          <w:sz w:val="22"/>
          <w:lang w:val="pl-PL"/>
        </w:rPr>
        <w:t xml:space="preserve"> lecznicz</w:t>
      </w:r>
      <w:r w:rsidR="00527F9F" w:rsidRPr="00742A0D">
        <w:rPr>
          <w:sz w:val="22"/>
          <w:lang w:val="pl-PL"/>
        </w:rPr>
        <w:t>ych</w:t>
      </w:r>
      <w:r w:rsidRPr="00742A0D">
        <w:rPr>
          <w:sz w:val="22"/>
          <w:lang w:val="pl-PL"/>
        </w:rPr>
        <w:t xml:space="preserve">, opisanych powyżej, nie przeprowadzono badań interakcji klopidogrelu z niektórymi </w:t>
      </w:r>
      <w:r w:rsidR="00C16361" w:rsidRPr="00742A0D">
        <w:rPr>
          <w:sz w:val="22"/>
          <w:lang w:val="pl-PL"/>
        </w:rPr>
        <w:t>produktami leczniczymi</w:t>
      </w:r>
      <w:r w:rsidRPr="00742A0D">
        <w:rPr>
          <w:sz w:val="22"/>
          <w:lang w:val="pl-PL"/>
        </w:rPr>
        <w:t xml:space="preserve"> zwykle podawanymi pacjentom z zakrzepicą w przebiegu objawowej miażdżycy. Jednak pacjenci włączani do badań klinicznych z klopidogrelem otrzymywali wiele jednocześnie podawanych </w:t>
      </w:r>
      <w:r w:rsidR="00C16361" w:rsidRPr="00742A0D">
        <w:rPr>
          <w:sz w:val="22"/>
          <w:lang w:val="pl-PL"/>
        </w:rPr>
        <w:t>produktów leczniczych</w:t>
      </w:r>
      <w:r w:rsidRPr="00742A0D">
        <w:rPr>
          <w:sz w:val="22"/>
          <w:lang w:val="pl-PL"/>
        </w:rPr>
        <w:t>, w tym leki moczopędne, beta-adrenolityczne, inhibitory konwertazy angiotensyny (ang.</w:t>
      </w:r>
      <w:r w:rsidR="00B524FD">
        <w:rPr>
          <w:sz w:val="22"/>
          <w:lang w:val="pl-PL"/>
        </w:rPr>
        <w:t> </w:t>
      </w:r>
      <w:r w:rsidRPr="00742A0D">
        <w:rPr>
          <w:sz w:val="22"/>
          <w:lang w:val="pl-PL"/>
        </w:rPr>
        <w:t>ACEI), antagoniści wapnia, leki obniżające stężenie cholesterolu, leki rozszerzające naczynia wieńcowe, leki przeciwcukrzycowe (włącznie z insuliną), leki przeciwpadaczkowe</w:t>
      </w:r>
      <w:r w:rsidR="005A6BD9" w:rsidRPr="00742A0D">
        <w:rPr>
          <w:sz w:val="22"/>
          <w:lang w:val="pl-PL"/>
        </w:rPr>
        <w:t xml:space="preserve"> </w:t>
      </w:r>
      <w:r w:rsidRPr="00742A0D">
        <w:rPr>
          <w:sz w:val="22"/>
          <w:lang w:val="pl-PL"/>
        </w:rPr>
        <w:t>i antagoniści GPIIb/IIIa, bez klinicznie znaczących niepożądanych interakcji.</w:t>
      </w:r>
    </w:p>
    <w:p w:rsidR="000437A5" w:rsidRPr="00502591" w:rsidRDefault="000437A5" w:rsidP="00502591">
      <w:pPr>
        <w:tabs>
          <w:tab w:val="left" w:pos="567"/>
        </w:tabs>
        <w:rPr>
          <w:sz w:val="22"/>
          <w:lang w:val="pl-PL"/>
        </w:rPr>
      </w:pPr>
    </w:p>
    <w:p w:rsidR="000437A5" w:rsidRPr="000437A5" w:rsidRDefault="000437A5" w:rsidP="000437A5">
      <w:pPr>
        <w:tabs>
          <w:tab w:val="left" w:pos="567"/>
        </w:tabs>
        <w:rPr>
          <w:sz w:val="22"/>
          <w:lang w:val="pl-PL"/>
        </w:rPr>
      </w:pPr>
      <w:r w:rsidRPr="000437A5">
        <w:rPr>
          <w:sz w:val="22"/>
          <w:lang w:val="pl-PL"/>
        </w:rPr>
        <w:t>Podobnie jak w przypadku innych doustnych inhibitorów P2Y12, jednoczesne podawanie agonistów opioidów może potencjalnie opóźniać i zmniejszać wchłanianie klopidogrelu, prawdopodobnie z powodu spowolnionego opróżniania żołądka. Znaczenie kliniczne tych badań nie jest znane. Należy rozważyć użycie pozajelitowego leku przeciwpłytkowego u pacjentów z ostrym zespołem wieńcowym, wymagających jednoczesnego podawania morfiny lub innych agonistów opioidowych.</w:t>
      </w:r>
    </w:p>
    <w:p w:rsidR="004330B9" w:rsidRPr="004330B9" w:rsidRDefault="004330B9" w:rsidP="004330B9">
      <w:pPr>
        <w:pStyle w:val="Header"/>
        <w:rPr>
          <w:lang w:val="pl-PL"/>
        </w:rPr>
      </w:pPr>
    </w:p>
    <w:p w:rsidR="00BC4936" w:rsidRDefault="00CF4B3E">
      <w:pPr>
        <w:pStyle w:val="Heading2"/>
        <w:numPr>
          <w:ilvl w:val="1"/>
          <w:numId w:val="4"/>
        </w:numPr>
        <w:tabs>
          <w:tab w:val="clear" w:pos="360"/>
          <w:tab w:val="left" w:pos="567"/>
        </w:tabs>
        <w:spacing w:before="0" w:after="0"/>
        <w:ind w:left="0" w:firstLine="0"/>
        <w:rPr>
          <w:rFonts w:ascii="Times New Roman" w:hAnsi="Times New Roman"/>
          <w:i w:val="0"/>
          <w:sz w:val="22"/>
          <w:lang w:val="pl-PL"/>
        </w:rPr>
      </w:pPr>
      <w:r>
        <w:rPr>
          <w:rFonts w:ascii="Times New Roman" w:hAnsi="Times New Roman"/>
          <w:i w:val="0"/>
          <w:sz w:val="22"/>
          <w:lang w:val="pl-PL"/>
        </w:rPr>
        <w:t>Wpływ na p</w:t>
      </w:r>
      <w:r w:rsidR="009C6C9E">
        <w:rPr>
          <w:rFonts w:ascii="Times New Roman" w:hAnsi="Times New Roman"/>
          <w:i w:val="0"/>
          <w:sz w:val="22"/>
          <w:lang w:val="pl-PL"/>
        </w:rPr>
        <w:t>łodność, c</w:t>
      </w:r>
      <w:r w:rsidR="00BC4936">
        <w:rPr>
          <w:rFonts w:ascii="Times New Roman" w:hAnsi="Times New Roman"/>
          <w:i w:val="0"/>
          <w:sz w:val="22"/>
          <w:lang w:val="pl-PL"/>
        </w:rPr>
        <w:t>iąż</w:t>
      </w:r>
      <w:r>
        <w:rPr>
          <w:rFonts w:ascii="Times New Roman" w:hAnsi="Times New Roman"/>
          <w:i w:val="0"/>
          <w:sz w:val="22"/>
          <w:lang w:val="pl-PL"/>
        </w:rPr>
        <w:t>ę</w:t>
      </w:r>
      <w:r w:rsidR="00BC4936">
        <w:rPr>
          <w:rFonts w:ascii="Times New Roman" w:hAnsi="Times New Roman"/>
          <w:i w:val="0"/>
          <w:sz w:val="22"/>
          <w:lang w:val="pl-PL"/>
        </w:rPr>
        <w:t xml:space="preserve"> i laktacj</w:t>
      </w:r>
      <w:r>
        <w:rPr>
          <w:rFonts w:ascii="Times New Roman" w:hAnsi="Times New Roman"/>
          <w:i w:val="0"/>
          <w:sz w:val="22"/>
          <w:lang w:val="pl-PL"/>
        </w:rPr>
        <w:t>ę</w:t>
      </w:r>
    </w:p>
    <w:p w:rsidR="00BC4936" w:rsidRDefault="00BC4936" w:rsidP="0007263E">
      <w:pPr>
        <w:rPr>
          <w:sz w:val="22"/>
          <w:lang w:val="pl-PL"/>
        </w:rPr>
      </w:pPr>
    </w:p>
    <w:p w:rsidR="009C6C9E" w:rsidRPr="009A3E53" w:rsidRDefault="009C6C9E" w:rsidP="0007263E">
      <w:pPr>
        <w:rPr>
          <w:i/>
          <w:sz w:val="22"/>
          <w:lang w:val="pl-PL"/>
        </w:rPr>
      </w:pPr>
      <w:r w:rsidRPr="009A3E53">
        <w:rPr>
          <w:i/>
          <w:sz w:val="22"/>
          <w:lang w:val="pl-PL"/>
        </w:rPr>
        <w:t>Ciąża</w:t>
      </w:r>
    </w:p>
    <w:p w:rsidR="00BC4936" w:rsidRDefault="00EA7F00">
      <w:pPr>
        <w:pStyle w:val="BodyText2"/>
        <w:tabs>
          <w:tab w:val="clear" w:pos="360"/>
          <w:tab w:val="left" w:pos="567"/>
        </w:tabs>
        <w:spacing w:line="240" w:lineRule="auto"/>
        <w:rPr>
          <w:rFonts w:ascii="Times New Roman" w:hAnsi="Times New Roman"/>
          <w:sz w:val="22"/>
          <w:lang w:val="pl-PL"/>
        </w:rPr>
      </w:pPr>
      <w:r>
        <w:rPr>
          <w:rFonts w:ascii="Times New Roman" w:hAnsi="Times New Roman"/>
          <w:sz w:val="22"/>
          <w:lang w:val="pl-PL"/>
        </w:rPr>
        <w:t>Z uwagi na brak</w:t>
      </w:r>
      <w:r w:rsidR="00BC4936">
        <w:rPr>
          <w:rFonts w:ascii="Times New Roman" w:hAnsi="Times New Roman"/>
          <w:sz w:val="22"/>
          <w:lang w:val="pl-PL"/>
        </w:rPr>
        <w:t xml:space="preserve"> </w:t>
      </w:r>
      <w:r>
        <w:rPr>
          <w:rFonts w:ascii="Times New Roman" w:hAnsi="Times New Roman"/>
          <w:sz w:val="22"/>
          <w:lang w:val="pl-PL"/>
        </w:rPr>
        <w:t xml:space="preserve">danych </w:t>
      </w:r>
      <w:r w:rsidR="00BC4936">
        <w:rPr>
          <w:rFonts w:ascii="Times New Roman" w:hAnsi="Times New Roman"/>
          <w:sz w:val="22"/>
          <w:lang w:val="pl-PL"/>
        </w:rPr>
        <w:t>kliniczn</w:t>
      </w:r>
      <w:r>
        <w:rPr>
          <w:rFonts w:ascii="Times New Roman" w:hAnsi="Times New Roman"/>
          <w:sz w:val="22"/>
          <w:lang w:val="pl-PL"/>
        </w:rPr>
        <w:t>ych dotyczących</w:t>
      </w:r>
      <w:r w:rsidR="00932470">
        <w:rPr>
          <w:rFonts w:ascii="Times New Roman" w:hAnsi="Times New Roman"/>
          <w:sz w:val="22"/>
          <w:lang w:val="pl-PL"/>
        </w:rPr>
        <w:t xml:space="preserve"> stosowania</w:t>
      </w:r>
      <w:r w:rsidR="00BC4936">
        <w:rPr>
          <w:rFonts w:ascii="Times New Roman" w:hAnsi="Times New Roman"/>
          <w:sz w:val="22"/>
          <w:lang w:val="pl-PL"/>
        </w:rPr>
        <w:t xml:space="preserve"> </w:t>
      </w:r>
      <w:r w:rsidR="008E64F6">
        <w:rPr>
          <w:rFonts w:ascii="Times New Roman" w:hAnsi="Times New Roman"/>
          <w:sz w:val="22"/>
          <w:lang w:val="pl-PL"/>
        </w:rPr>
        <w:t>klopidogrel</w:t>
      </w:r>
      <w:r w:rsidR="00932470">
        <w:rPr>
          <w:rFonts w:ascii="Times New Roman" w:hAnsi="Times New Roman"/>
          <w:sz w:val="22"/>
          <w:lang w:val="pl-PL"/>
        </w:rPr>
        <w:t>u u kobiet w okresie</w:t>
      </w:r>
      <w:r w:rsidR="008E64F6">
        <w:rPr>
          <w:rFonts w:ascii="Times New Roman" w:hAnsi="Times New Roman"/>
          <w:sz w:val="22"/>
          <w:lang w:val="pl-PL"/>
        </w:rPr>
        <w:t xml:space="preserve"> ciąży</w:t>
      </w:r>
      <w:r>
        <w:rPr>
          <w:rFonts w:ascii="Times New Roman" w:hAnsi="Times New Roman"/>
          <w:sz w:val="22"/>
          <w:lang w:val="pl-PL"/>
        </w:rPr>
        <w:t xml:space="preserve">, </w:t>
      </w:r>
      <w:r w:rsidR="00BC4936">
        <w:rPr>
          <w:rFonts w:ascii="Times New Roman" w:hAnsi="Times New Roman"/>
          <w:sz w:val="22"/>
          <w:lang w:val="pl-PL"/>
        </w:rPr>
        <w:t>nie</w:t>
      </w:r>
      <w:r w:rsidR="00932470">
        <w:rPr>
          <w:rFonts w:ascii="Times New Roman" w:hAnsi="Times New Roman"/>
          <w:sz w:val="22"/>
          <w:lang w:val="pl-PL"/>
        </w:rPr>
        <w:t xml:space="preserve"> </w:t>
      </w:r>
      <w:r>
        <w:rPr>
          <w:rFonts w:ascii="Times New Roman" w:hAnsi="Times New Roman"/>
          <w:sz w:val="22"/>
          <w:lang w:val="pl-PL"/>
        </w:rPr>
        <w:t>zaleca się stosowania</w:t>
      </w:r>
      <w:r w:rsidR="00BC4936">
        <w:rPr>
          <w:rFonts w:ascii="Times New Roman" w:hAnsi="Times New Roman"/>
          <w:sz w:val="22"/>
          <w:lang w:val="pl-PL"/>
        </w:rPr>
        <w:t xml:space="preserve"> klopidogrelu </w:t>
      </w:r>
      <w:r>
        <w:rPr>
          <w:rFonts w:ascii="Times New Roman" w:hAnsi="Times New Roman"/>
          <w:sz w:val="22"/>
          <w:lang w:val="pl-PL"/>
        </w:rPr>
        <w:t xml:space="preserve">w okresie </w:t>
      </w:r>
      <w:r w:rsidR="00BC4936">
        <w:rPr>
          <w:rFonts w:ascii="Times New Roman" w:hAnsi="Times New Roman"/>
          <w:sz w:val="22"/>
          <w:lang w:val="pl-PL"/>
        </w:rPr>
        <w:t>ciąży.</w:t>
      </w:r>
    </w:p>
    <w:p w:rsidR="00BC4936" w:rsidRDefault="00BC4936">
      <w:pPr>
        <w:pStyle w:val="BodyText2"/>
        <w:tabs>
          <w:tab w:val="clear" w:pos="360"/>
          <w:tab w:val="left" w:pos="567"/>
        </w:tabs>
        <w:spacing w:line="240" w:lineRule="auto"/>
        <w:rPr>
          <w:rFonts w:ascii="Times New Roman" w:hAnsi="Times New Roman"/>
          <w:sz w:val="22"/>
          <w:lang w:val="pl-PL"/>
        </w:rPr>
      </w:pPr>
    </w:p>
    <w:p w:rsidR="00CF4B3E" w:rsidRDefault="00BC4936" w:rsidP="008E64F6">
      <w:pPr>
        <w:tabs>
          <w:tab w:val="left" w:pos="567"/>
        </w:tabs>
        <w:rPr>
          <w:sz w:val="22"/>
          <w:lang w:val="pl-PL"/>
        </w:rPr>
      </w:pPr>
      <w:r>
        <w:rPr>
          <w:sz w:val="22"/>
          <w:lang w:val="pl-PL"/>
        </w:rPr>
        <w:t>Badania na zwierzętach nie wykaz</w:t>
      </w:r>
      <w:r w:rsidR="00932470">
        <w:rPr>
          <w:sz w:val="22"/>
          <w:lang w:val="pl-PL"/>
        </w:rPr>
        <w:t>ały</w:t>
      </w:r>
      <w:r>
        <w:rPr>
          <w:sz w:val="22"/>
          <w:lang w:val="pl-PL"/>
        </w:rPr>
        <w:t xml:space="preserve"> bezpośredniego </w:t>
      </w:r>
      <w:r w:rsidR="00932470">
        <w:rPr>
          <w:sz w:val="22"/>
          <w:lang w:val="pl-PL"/>
        </w:rPr>
        <w:t>ani</w:t>
      </w:r>
      <w:r>
        <w:rPr>
          <w:sz w:val="22"/>
          <w:lang w:val="pl-PL"/>
        </w:rPr>
        <w:t xml:space="preserve"> pośredniego szkodliwego wpływu na przebieg ciąży, rozwój zarodka </w:t>
      </w:r>
      <w:r w:rsidR="00932470">
        <w:rPr>
          <w:sz w:val="22"/>
          <w:lang w:val="pl-PL"/>
        </w:rPr>
        <w:t>(</w:t>
      </w:r>
      <w:r>
        <w:rPr>
          <w:sz w:val="22"/>
          <w:lang w:val="pl-PL"/>
        </w:rPr>
        <w:t>płodu</w:t>
      </w:r>
      <w:r w:rsidR="00932470">
        <w:rPr>
          <w:sz w:val="22"/>
          <w:lang w:val="pl-PL"/>
        </w:rPr>
        <w:t>)</w:t>
      </w:r>
      <w:r>
        <w:rPr>
          <w:sz w:val="22"/>
          <w:lang w:val="pl-PL"/>
        </w:rPr>
        <w:t>, przebieg porodu lub rozwój pourodzeniowy (patrz</w:t>
      </w:r>
      <w:r w:rsidR="00CF4B3E">
        <w:rPr>
          <w:sz w:val="22"/>
          <w:lang w:val="pl-PL"/>
        </w:rPr>
        <w:t> </w:t>
      </w:r>
      <w:r>
        <w:rPr>
          <w:sz w:val="22"/>
          <w:lang w:val="pl-PL"/>
        </w:rPr>
        <w:t>punkt</w:t>
      </w:r>
      <w:r w:rsidR="00CF4B3E">
        <w:rPr>
          <w:sz w:val="22"/>
          <w:lang w:val="pl-PL"/>
        </w:rPr>
        <w:t> </w:t>
      </w:r>
      <w:r>
        <w:rPr>
          <w:sz w:val="22"/>
          <w:lang w:val="pl-PL"/>
        </w:rPr>
        <w:t>5.3).</w:t>
      </w:r>
    </w:p>
    <w:p w:rsidR="0091721A" w:rsidRDefault="0091721A" w:rsidP="008E64F6">
      <w:pPr>
        <w:tabs>
          <w:tab w:val="left" w:pos="567"/>
        </w:tabs>
        <w:rPr>
          <w:sz w:val="22"/>
          <w:lang w:val="pl-PL"/>
        </w:rPr>
      </w:pPr>
    </w:p>
    <w:p w:rsidR="009C6C9E" w:rsidRPr="009A3E53" w:rsidRDefault="00EA7F00" w:rsidP="00BD6C12">
      <w:pPr>
        <w:keepNext/>
        <w:tabs>
          <w:tab w:val="left" w:pos="567"/>
        </w:tabs>
        <w:rPr>
          <w:i/>
          <w:sz w:val="22"/>
          <w:lang w:val="pl-PL"/>
        </w:rPr>
      </w:pPr>
      <w:r>
        <w:rPr>
          <w:i/>
          <w:sz w:val="22"/>
          <w:lang w:val="pl-PL"/>
        </w:rPr>
        <w:t>Karmienie piersią</w:t>
      </w:r>
    </w:p>
    <w:p w:rsidR="008E64F6" w:rsidRDefault="00BC4936" w:rsidP="00BD6C12">
      <w:pPr>
        <w:keepNext/>
        <w:tabs>
          <w:tab w:val="left" w:pos="567"/>
        </w:tabs>
        <w:rPr>
          <w:sz w:val="22"/>
          <w:lang w:val="pl-PL"/>
        </w:rPr>
      </w:pPr>
      <w:r>
        <w:rPr>
          <w:sz w:val="22"/>
          <w:lang w:val="pl-PL"/>
        </w:rPr>
        <w:t xml:space="preserve">Nie wiadomo, czy </w:t>
      </w:r>
      <w:r w:rsidR="00660097">
        <w:rPr>
          <w:sz w:val="22"/>
          <w:lang w:val="pl-PL"/>
        </w:rPr>
        <w:t>klopidogrel</w:t>
      </w:r>
      <w:r>
        <w:rPr>
          <w:sz w:val="22"/>
          <w:lang w:val="pl-PL"/>
        </w:rPr>
        <w:t xml:space="preserve"> przenika do mleka</w:t>
      </w:r>
      <w:r w:rsidR="00932470">
        <w:rPr>
          <w:sz w:val="22"/>
          <w:lang w:val="pl-PL"/>
        </w:rPr>
        <w:t xml:space="preserve"> ludzkiego</w:t>
      </w:r>
      <w:r w:rsidR="008E64F6">
        <w:rPr>
          <w:sz w:val="22"/>
          <w:lang w:val="pl-PL"/>
        </w:rPr>
        <w:t>. Badania na zwierzętach wykazały,</w:t>
      </w:r>
      <w:r w:rsidR="00CF4B3E">
        <w:rPr>
          <w:sz w:val="22"/>
          <w:lang w:val="pl-PL"/>
        </w:rPr>
        <w:t xml:space="preserve"> </w:t>
      </w:r>
      <w:r w:rsidR="008E64F6">
        <w:rPr>
          <w:sz w:val="22"/>
          <w:lang w:val="pl-PL"/>
        </w:rPr>
        <w:t xml:space="preserve">że klopidogrel przenika do mleka. </w:t>
      </w:r>
      <w:r w:rsidR="00932470">
        <w:rPr>
          <w:sz w:val="22"/>
          <w:lang w:val="pl-PL"/>
        </w:rPr>
        <w:t xml:space="preserve">W celu zachowania ostrożności zaleca się przerwanie </w:t>
      </w:r>
      <w:r w:rsidR="00AD3BAA">
        <w:rPr>
          <w:sz w:val="22"/>
          <w:lang w:val="pl-PL"/>
        </w:rPr>
        <w:t>karmieni</w:t>
      </w:r>
      <w:r w:rsidR="006D5883">
        <w:rPr>
          <w:sz w:val="22"/>
          <w:lang w:val="pl-PL"/>
        </w:rPr>
        <w:t>a</w:t>
      </w:r>
      <w:r w:rsidR="00AD3BAA">
        <w:rPr>
          <w:sz w:val="22"/>
          <w:lang w:val="pl-PL"/>
        </w:rPr>
        <w:t xml:space="preserve"> piersią podczas leczenia produktem Plavix.</w:t>
      </w:r>
    </w:p>
    <w:p w:rsidR="000B42C3" w:rsidRDefault="000B42C3" w:rsidP="008E64F6">
      <w:pPr>
        <w:tabs>
          <w:tab w:val="left" w:pos="567"/>
        </w:tabs>
        <w:rPr>
          <w:sz w:val="22"/>
          <w:lang w:val="pl-PL"/>
        </w:rPr>
      </w:pPr>
    </w:p>
    <w:p w:rsidR="000B42C3" w:rsidRPr="009A3E53" w:rsidRDefault="000B42C3" w:rsidP="008E64F6">
      <w:pPr>
        <w:tabs>
          <w:tab w:val="left" w:pos="567"/>
        </w:tabs>
        <w:rPr>
          <w:i/>
          <w:sz w:val="22"/>
          <w:lang w:val="pl-PL"/>
        </w:rPr>
      </w:pPr>
      <w:r w:rsidRPr="009A3E53">
        <w:rPr>
          <w:i/>
          <w:sz w:val="22"/>
          <w:lang w:val="pl-PL"/>
        </w:rPr>
        <w:t>Płodność</w:t>
      </w:r>
    </w:p>
    <w:p w:rsidR="000B42C3" w:rsidRDefault="000B42C3" w:rsidP="008E64F6">
      <w:pPr>
        <w:tabs>
          <w:tab w:val="left" w:pos="567"/>
        </w:tabs>
        <w:rPr>
          <w:sz w:val="22"/>
          <w:lang w:val="pl-PL"/>
        </w:rPr>
      </w:pPr>
      <w:r>
        <w:rPr>
          <w:sz w:val="22"/>
          <w:lang w:val="pl-PL"/>
        </w:rPr>
        <w:t xml:space="preserve">W badaniach </w:t>
      </w:r>
      <w:r w:rsidR="00932470">
        <w:rPr>
          <w:sz w:val="22"/>
          <w:lang w:val="pl-PL"/>
        </w:rPr>
        <w:t xml:space="preserve">przeprowadzonych </w:t>
      </w:r>
      <w:r>
        <w:rPr>
          <w:sz w:val="22"/>
          <w:lang w:val="pl-PL"/>
        </w:rPr>
        <w:t xml:space="preserve">na </w:t>
      </w:r>
      <w:r w:rsidR="00BD78B2">
        <w:rPr>
          <w:sz w:val="22"/>
          <w:lang w:val="pl-PL"/>
        </w:rPr>
        <w:t>zwierzętach</w:t>
      </w:r>
      <w:r w:rsidR="00932470" w:rsidRPr="00932470">
        <w:rPr>
          <w:sz w:val="22"/>
          <w:lang w:val="pl-PL"/>
        </w:rPr>
        <w:t xml:space="preserve"> </w:t>
      </w:r>
      <w:r w:rsidR="00932470">
        <w:rPr>
          <w:sz w:val="22"/>
          <w:lang w:val="pl-PL"/>
        </w:rPr>
        <w:t>klopidogrel nie zaburzał płodności.</w:t>
      </w:r>
    </w:p>
    <w:p w:rsidR="00BC4936" w:rsidRDefault="00BC4936">
      <w:pPr>
        <w:tabs>
          <w:tab w:val="left" w:pos="567"/>
        </w:tabs>
        <w:rPr>
          <w:sz w:val="22"/>
          <w:lang w:val="pl-PL"/>
        </w:rPr>
      </w:pPr>
    </w:p>
    <w:p w:rsidR="00BC4936" w:rsidRDefault="00BC4936">
      <w:pPr>
        <w:pStyle w:val="Heading2"/>
        <w:tabs>
          <w:tab w:val="left" w:pos="567"/>
        </w:tabs>
        <w:spacing w:before="0" w:after="0"/>
        <w:ind w:left="567" w:hanging="567"/>
        <w:rPr>
          <w:rFonts w:ascii="Times New Roman" w:hAnsi="Times New Roman"/>
          <w:i w:val="0"/>
          <w:sz w:val="22"/>
          <w:lang w:val="pl-PL"/>
        </w:rPr>
      </w:pPr>
      <w:r>
        <w:rPr>
          <w:rFonts w:ascii="Times New Roman" w:hAnsi="Times New Roman"/>
          <w:i w:val="0"/>
          <w:sz w:val="22"/>
          <w:lang w:val="pl-PL"/>
        </w:rPr>
        <w:t>4.7</w:t>
      </w:r>
      <w:r>
        <w:rPr>
          <w:rFonts w:ascii="Times New Roman" w:hAnsi="Times New Roman"/>
          <w:i w:val="0"/>
          <w:sz w:val="22"/>
          <w:lang w:val="pl-PL"/>
        </w:rPr>
        <w:tab/>
        <w:t xml:space="preserve">Wpływ na zdolność prowadzenia pojazdów i obsługiwania </w:t>
      </w:r>
      <w:r w:rsidR="00CF4B3E">
        <w:rPr>
          <w:rFonts w:ascii="Times New Roman" w:hAnsi="Times New Roman"/>
          <w:i w:val="0"/>
          <w:sz w:val="22"/>
          <w:lang w:val="pl-PL"/>
        </w:rPr>
        <w:t>maszyn</w:t>
      </w:r>
    </w:p>
    <w:p w:rsidR="00BC4936" w:rsidRDefault="00BC4936">
      <w:pPr>
        <w:pStyle w:val="Heading2"/>
        <w:tabs>
          <w:tab w:val="left" w:pos="0"/>
        </w:tabs>
        <w:spacing w:before="0" w:after="0"/>
        <w:rPr>
          <w:rFonts w:ascii="Times New Roman" w:hAnsi="Times New Roman"/>
          <w:b w:val="0"/>
          <w:i w:val="0"/>
          <w:sz w:val="22"/>
          <w:lang w:val="pl-PL"/>
        </w:rPr>
      </w:pPr>
    </w:p>
    <w:p w:rsidR="00BC4936" w:rsidRDefault="00BC4936">
      <w:pPr>
        <w:pStyle w:val="Heading2"/>
        <w:tabs>
          <w:tab w:val="left" w:pos="0"/>
        </w:tabs>
        <w:spacing w:before="0" w:after="0"/>
        <w:rPr>
          <w:rFonts w:ascii="Times New Roman" w:hAnsi="Times New Roman"/>
          <w:b w:val="0"/>
          <w:i w:val="0"/>
          <w:sz w:val="22"/>
          <w:lang w:val="pl-PL"/>
        </w:rPr>
      </w:pPr>
      <w:r>
        <w:rPr>
          <w:rFonts w:ascii="Times New Roman" w:hAnsi="Times New Roman"/>
          <w:b w:val="0"/>
          <w:i w:val="0"/>
          <w:sz w:val="22"/>
          <w:lang w:val="pl-PL"/>
        </w:rPr>
        <w:t>Klopidogrel nie ma wpływu lub wywiera nieistotny wpływ na zdolność prowadzenia pojazdów i</w:t>
      </w:r>
      <w:r w:rsidR="00971B81">
        <w:rPr>
          <w:rFonts w:ascii="Times New Roman" w:hAnsi="Times New Roman"/>
          <w:b w:val="0"/>
          <w:i w:val="0"/>
          <w:sz w:val="22"/>
          <w:lang w:val="pl-PL"/>
        </w:rPr>
        <w:t> </w:t>
      </w:r>
      <w:r>
        <w:rPr>
          <w:rFonts w:ascii="Times New Roman" w:hAnsi="Times New Roman"/>
          <w:b w:val="0"/>
          <w:i w:val="0"/>
          <w:sz w:val="22"/>
          <w:lang w:val="pl-PL"/>
        </w:rPr>
        <w:t xml:space="preserve">obsługiwania </w:t>
      </w:r>
      <w:r w:rsidR="00971B81">
        <w:rPr>
          <w:rFonts w:ascii="Times New Roman" w:hAnsi="Times New Roman"/>
          <w:b w:val="0"/>
          <w:i w:val="0"/>
          <w:sz w:val="22"/>
          <w:lang w:val="pl-PL"/>
        </w:rPr>
        <w:t>maszyn.</w:t>
      </w:r>
    </w:p>
    <w:p w:rsidR="00BC4936" w:rsidRDefault="00BC4936">
      <w:pPr>
        <w:tabs>
          <w:tab w:val="left" w:pos="567"/>
        </w:tabs>
        <w:rPr>
          <w:sz w:val="22"/>
          <w:lang w:val="pl-PL"/>
        </w:rPr>
      </w:pPr>
    </w:p>
    <w:p w:rsidR="00BC4936" w:rsidRDefault="00BC4936" w:rsidP="00B368D0">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4.8</w:t>
      </w:r>
      <w:r>
        <w:rPr>
          <w:rFonts w:ascii="Times New Roman" w:hAnsi="Times New Roman"/>
          <w:i w:val="0"/>
          <w:sz w:val="22"/>
          <w:lang w:val="pl-PL"/>
        </w:rPr>
        <w:tab/>
        <w:t>Działania niepożądane</w:t>
      </w:r>
    </w:p>
    <w:p w:rsidR="00BC4936" w:rsidRDefault="00BC4936" w:rsidP="001E79CA">
      <w:pPr>
        <w:keepNext/>
        <w:rPr>
          <w:sz w:val="22"/>
          <w:lang w:val="pl-PL"/>
        </w:rPr>
      </w:pPr>
    </w:p>
    <w:p w:rsidR="00555583" w:rsidRPr="00377B32" w:rsidRDefault="00555583" w:rsidP="00555583">
      <w:pPr>
        <w:keepNext/>
        <w:numPr>
          <w:ilvl w:val="12"/>
          <w:numId w:val="0"/>
        </w:numPr>
        <w:ind w:left="540" w:hanging="540"/>
        <w:rPr>
          <w:i/>
          <w:sz w:val="22"/>
          <w:szCs w:val="22"/>
          <w:lang w:val="pl-PL"/>
        </w:rPr>
      </w:pPr>
      <w:r w:rsidRPr="00377B32">
        <w:rPr>
          <w:i/>
          <w:sz w:val="22"/>
          <w:szCs w:val="22"/>
          <w:lang w:val="pl-PL"/>
        </w:rPr>
        <w:t>Podsumowanie profilu bezpieczeństwa</w:t>
      </w:r>
    </w:p>
    <w:p w:rsidR="00555583" w:rsidRDefault="00555583">
      <w:pPr>
        <w:rPr>
          <w:sz w:val="22"/>
          <w:lang w:val="pl-PL"/>
        </w:rPr>
      </w:pPr>
    </w:p>
    <w:p w:rsidR="00403763" w:rsidRDefault="00403763" w:rsidP="00403763">
      <w:pPr>
        <w:tabs>
          <w:tab w:val="left" w:pos="567"/>
        </w:tabs>
        <w:rPr>
          <w:sz w:val="22"/>
          <w:lang w:val="pl-PL"/>
        </w:rPr>
      </w:pPr>
      <w:r>
        <w:rPr>
          <w:sz w:val="22"/>
          <w:lang w:val="pl-PL"/>
        </w:rPr>
        <w:t>Klopidogrel był oceniany pod kątem bezpieczeństwa u więcej niż</w:t>
      </w:r>
      <w:r w:rsidR="000B42C3">
        <w:rPr>
          <w:sz w:val="22"/>
          <w:lang w:val="pl-PL"/>
        </w:rPr>
        <w:t xml:space="preserve"> 44</w:t>
      </w:r>
      <w:r w:rsidR="00B368D0">
        <w:rPr>
          <w:sz w:val="22"/>
          <w:lang w:val="pl-PL"/>
        </w:rPr>
        <w:t> </w:t>
      </w:r>
      <w:r>
        <w:rPr>
          <w:sz w:val="22"/>
          <w:lang w:val="pl-PL"/>
        </w:rPr>
        <w:t xml:space="preserve">000 pacjentów, którzy brali udział w badaniach klinicznych, w tym ponad </w:t>
      </w:r>
      <w:r w:rsidR="000B42C3">
        <w:rPr>
          <w:sz w:val="22"/>
          <w:lang w:val="pl-PL"/>
        </w:rPr>
        <w:t>12</w:t>
      </w:r>
      <w:r>
        <w:rPr>
          <w:sz w:val="22"/>
          <w:lang w:val="pl-PL"/>
        </w:rPr>
        <w:t> 000 pacjentów leczonych przez 1 rok lub dłużej. W</w:t>
      </w:r>
      <w:r w:rsidR="00CF4B3E">
        <w:rPr>
          <w:sz w:val="22"/>
          <w:lang w:val="pl-PL"/>
        </w:rPr>
        <w:t> </w:t>
      </w:r>
      <w:r>
        <w:rPr>
          <w:sz w:val="22"/>
          <w:lang w:val="pl-PL"/>
        </w:rPr>
        <w:t xml:space="preserve">sumie </w:t>
      </w:r>
      <w:r w:rsidR="000B42C3">
        <w:rPr>
          <w:sz w:val="22"/>
          <w:lang w:val="pl-PL"/>
        </w:rPr>
        <w:t>w badaniu CAPRIE</w:t>
      </w:r>
      <w:r>
        <w:rPr>
          <w:sz w:val="22"/>
          <w:lang w:val="pl-PL"/>
        </w:rPr>
        <w:t xml:space="preserve"> klopidogrel w dawce 75 mg/dobę był porównywalny z ASA w dawce 325 mg/dobę. bez względu na wiek, płeć i rasę.</w:t>
      </w:r>
      <w:r w:rsidR="00BC0831">
        <w:rPr>
          <w:sz w:val="22"/>
          <w:lang w:val="pl-PL"/>
        </w:rPr>
        <w:t xml:space="preserve"> </w:t>
      </w:r>
      <w:r w:rsidR="000B42C3">
        <w:rPr>
          <w:sz w:val="22"/>
          <w:lang w:val="pl-PL"/>
        </w:rPr>
        <w:t xml:space="preserve">Klinicznie istotne </w:t>
      </w:r>
      <w:r w:rsidR="00971B81">
        <w:rPr>
          <w:sz w:val="22"/>
          <w:lang w:val="pl-PL"/>
        </w:rPr>
        <w:t xml:space="preserve">działania </w:t>
      </w:r>
      <w:r w:rsidR="000B42C3">
        <w:rPr>
          <w:sz w:val="22"/>
          <w:lang w:val="pl-PL"/>
        </w:rPr>
        <w:t xml:space="preserve">niepożądane obserwowane w badaniach CAPRIE, CURE, CLARITY, COMMIT and ACTIVE-A omówiono poniżej. </w:t>
      </w:r>
      <w:r w:rsidR="00BC0831">
        <w:rPr>
          <w:sz w:val="22"/>
          <w:lang w:val="pl-PL"/>
        </w:rPr>
        <w:t>W</w:t>
      </w:r>
      <w:r w:rsidR="00DB717D">
        <w:rPr>
          <w:sz w:val="22"/>
          <w:lang w:val="pl-PL"/>
        </w:rPr>
        <w:t> </w:t>
      </w:r>
      <w:r w:rsidR="00BC0831">
        <w:rPr>
          <w:sz w:val="22"/>
          <w:lang w:val="pl-PL"/>
        </w:rPr>
        <w:t>uzupełnieniu</w:t>
      </w:r>
      <w:r>
        <w:rPr>
          <w:sz w:val="22"/>
          <w:lang w:val="pl-PL"/>
        </w:rPr>
        <w:t xml:space="preserve"> do doświadczeń z badań klinicznych, </w:t>
      </w:r>
      <w:r w:rsidR="00971B81">
        <w:rPr>
          <w:sz w:val="22"/>
          <w:lang w:val="pl-PL"/>
        </w:rPr>
        <w:t xml:space="preserve">działania </w:t>
      </w:r>
      <w:r>
        <w:rPr>
          <w:sz w:val="22"/>
          <w:lang w:val="pl-PL"/>
        </w:rPr>
        <w:t>niepożądane były zgłaszane spontanicznie.</w:t>
      </w:r>
    </w:p>
    <w:p w:rsidR="00403763" w:rsidRDefault="00403763" w:rsidP="00403763">
      <w:pPr>
        <w:tabs>
          <w:tab w:val="left" w:pos="567"/>
        </w:tabs>
        <w:rPr>
          <w:sz w:val="22"/>
          <w:u w:val="single"/>
          <w:lang w:val="pl-PL"/>
        </w:rPr>
      </w:pPr>
    </w:p>
    <w:p w:rsidR="00403763" w:rsidRDefault="00403763" w:rsidP="00403763">
      <w:pPr>
        <w:tabs>
          <w:tab w:val="left" w:pos="567"/>
        </w:tabs>
        <w:rPr>
          <w:sz w:val="22"/>
          <w:lang w:val="pl-PL"/>
        </w:rPr>
      </w:pPr>
      <w:r>
        <w:rPr>
          <w:sz w:val="22"/>
          <w:lang w:val="pl-PL"/>
        </w:rPr>
        <w:t>Krwawienie jest najczęstsz</w:t>
      </w:r>
      <w:r w:rsidR="00971B81">
        <w:rPr>
          <w:sz w:val="22"/>
          <w:lang w:val="pl-PL"/>
        </w:rPr>
        <w:t>ym działaniem</w:t>
      </w:r>
      <w:r>
        <w:rPr>
          <w:sz w:val="22"/>
          <w:lang w:val="pl-PL"/>
        </w:rPr>
        <w:t xml:space="preserve"> zgłaszan</w:t>
      </w:r>
      <w:r w:rsidR="00971B81">
        <w:rPr>
          <w:sz w:val="22"/>
          <w:lang w:val="pl-PL"/>
        </w:rPr>
        <w:t>ym</w:t>
      </w:r>
      <w:r>
        <w:rPr>
          <w:sz w:val="22"/>
          <w:lang w:val="pl-PL"/>
        </w:rPr>
        <w:t xml:space="preserve"> zarówno w badaniach klinicznych, jaki i po wprowadzeniu</w:t>
      </w:r>
      <w:r w:rsidR="00971B81">
        <w:rPr>
          <w:sz w:val="22"/>
          <w:lang w:val="pl-PL"/>
        </w:rPr>
        <w:t xml:space="preserve"> produktu do obrotu</w:t>
      </w:r>
      <w:r>
        <w:rPr>
          <w:sz w:val="22"/>
          <w:lang w:val="pl-PL"/>
        </w:rPr>
        <w:t>, gdzie było przeważnie zgłaszane podczas pierwszego miesiąca leczenia.</w:t>
      </w:r>
    </w:p>
    <w:p w:rsidR="0056119D" w:rsidRDefault="0056119D" w:rsidP="00403763">
      <w:pPr>
        <w:tabs>
          <w:tab w:val="left" w:pos="567"/>
        </w:tabs>
        <w:rPr>
          <w:sz w:val="22"/>
          <w:u w:val="single"/>
          <w:lang w:val="pl-PL"/>
        </w:rPr>
      </w:pPr>
    </w:p>
    <w:p w:rsidR="00403763" w:rsidRDefault="00403763" w:rsidP="00403763">
      <w:pPr>
        <w:tabs>
          <w:tab w:val="left" w:pos="567"/>
        </w:tabs>
        <w:rPr>
          <w:sz w:val="22"/>
          <w:lang w:val="pl-PL"/>
        </w:rPr>
      </w:pPr>
      <w:r>
        <w:rPr>
          <w:sz w:val="22"/>
          <w:lang w:val="pl-PL"/>
        </w:rPr>
        <w:t xml:space="preserve">W </w:t>
      </w:r>
      <w:r w:rsidR="00D90974">
        <w:rPr>
          <w:sz w:val="22"/>
          <w:lang w:val="pl-PL"/>
        </w:rPr>
        <w:t xml:space="preserve">badaniu </w:t>
      </w:r>
      <w:r>
        <w:rPr>
          <w:sz w:val="22"/>
          <w:lang w:val="pl-PL"/>
        </w:rPr>
        <w:t>CAPRIE</w:t>
      </w:r>
      <w:r>
        <w:rPr>
          <w:sz w:val="22"/>
          <w:u w:val="single"/>
          <w:lang w:val="pl-PL"/>
        </w:rPr>
        <w:t>,</w:t>
      </w:r>
      <w:r>
        <w:rPr>
          <w:sz w:val="22"/>
          <w:lang w:val="pl-PL"/>
        </w:rPr>
        <w:t xml:space="preserve"> u pacjentów leczonych albo klopidogrelem albo ASA, całkowita częstość występowania jakiegokolwiek krwawienia wynosiła 9,3%. Częstość występowania ciężkich przypadków </w:t>
      </w:r>
      <w:r w:rsidR="000B42C3">
        <w:rPr>
          <w:sz w:val="22"/>
          <w:lang w:val="pl-PL"/>
        </w:rPr>
        <w:t xml:space="preserve">była podobna </w:t>
      </w:r>
      <w:r>
        <w:rPr>
          <w:sz w:val="22"/>
          <w:lang w:val="pl-PL"/>
        </w:rPr>
        <w:t xml:space="preserve">dla klopidogrelu i ASA. </w:t>
      </w:r>
    </w:p>
    <w:p w:rsidR="006D0372" w:rsidRDefault="006D0372" w:rsidP="006D0372">
      <w:pPr>
        <w:keepLines/>
        <w:spacing w:line="240" w:lineRule="atLeast"/>
        <w:rPr>
          <w:sz w:val="22"/>
          <w:lang w:val="pl-PL"/>
        </w:rPr>
      </w:pPr>
    </w:p>
    <w:p w:rsidR="006D0372" w:rsidRPr="006D0372" w:rsidRDefault="006D0372" w:rsidP="006D0372">
      <w:pPr>
        <w:keepLines/>
        <w:spacing w:line="240" w:lineRule="atLeast"/>
        <w:rPr>
          <w:lang w:val="pl-PL"/>
        </w:rPr>
      </w:pPr>
      <w:r w:rsidRPr="006D0372">
        <w:rPr>
          <w:sz w:val="22"/>
          <w:lang w:val="pl-PL"/>
        </w:rPr>
        <w:t xml:space="preserve">W badaniu CURE nie stwierdzono zwiększenia częstości poważnych krwawień </w:t>
      </w:r>
      <w:r w:rsidR="00DB717D" w:rsidRPr="006D0372">
        <w:rPr>
          <w:sz w:val="22"/>
          <w:lang w:val="pl-PL"/>
        </w:rPr>
        <w:t>p</w:t>
      </w:r>
      <w:r w:rsidR="00DB717D">
        <w:rPr>
          <w:sz w:val="22"/>
          <w:lang w:val="pl-PL"/>
        </w:rPr>
        <w:t>o</w:t>
      </w:r>
      <w:r w:rsidR="00DB717D" w:rsidRPr="006D0372">
        <w:rPr>
          <w:sz w:val="22"/>
          <w:lang w:val="pl-PL"/>
        </w:rPr>
        <w:t xml:space="preserve"> </w:t>
      </w:r>
      <w:r w:rsidRPr="006D0372">
        <w:rPr>
          <w:sz w:val="22"/>
          <w:lang w:val="pl-PL"/>
        </w:rPr>
        <w:t xml:space="preserve">stosowaniu klopidogrelu </w:t>
      </w:r>
      <w:r w:rsidR="0021047C">
        <w:rPr>
          <w:sz w:val="22"/>
          <w:lang w:val="pl-PL"/>
        </w:rPr>
        <w:t xml:space="preserve">plus </w:t>
      </w:r>
      <w:r w:rsidRPr="006D0372">
        <w:rPr>
          <w:sz w:val="22"/>
          <w:lang w:val="pl-PL"/>
        </w:rPr>
        <w:t>ASA przez siedem dni po zabiegu pomostowania tętnic wieńcowych u</w:t>
      </w:r>
      <w:r w:rsidR="00DB717D">
        <w:rPr>
          <w:sz w:val="22"/>
          <w:lang w:val="pl-PL"/>
        </w:rPr>
        <w:t> </w:t>
      </w:r>
      <w:r w:rsidRPr="006D0372">
        <w:rPr>
          <w:sz w:val="22"/>
          <w:lang w:val="pl-PL"/>
        </w:rPr>
        <w:t>pacjentów, którzy przerwali leczenie ponad pięć dni przed zabiegiem. U pacjentów, którzy stosowali leczenie w</w:t>
      </w:r>
      <w:r w:rsidR="00971B81">
        <w:rPr>
          <w:sz w:val="22"/>
          <w:lang w:val="pl-PL"/>
        </w:rPr>
        <w:t> </w:t>
      </w:r>
      <w:r w:rsidRPr="006D0372">
        <w:rPr>
          <w:sz w:val="22"/>
          <w:lang w:val="pl-PL"/>
        </w:rPr>
        <w:t>ciągu pięciu dni po zabiegu pomostowania tętnic wieńcowych, częstość zdarzeń wynosiła 9,6% w</w:t>
      </w:r>
      <w:r w:rsidR="00971B81">
        <w:rPr>
          <w:sz w:val="22"/>
          <w:lang w:val="pl-PL"/>
        </w:rPr>
        <w:t> </w:t>
      </w:r>
      <w:r w:rsidRPr="006D0372">
        <w:rPr>
          <w:sz w:val="22"/>
          <w:lang w:val="pl-PL"/>
        </w:rPr>
        <w:t>grupie klopidogrelu plus ASA wobec 6,3% w grupie placebo plus ASA.</w:t>
      </w:r>
    </w:p>
    <w:p w:rsidR="006D0372" w:rsidRPr="006D0372" w:rsidRDefault="006D0372" w:rsidP="006D0372">
      <w:pPr>
        <w:tabs>
          <w:tab w:val="left" w:pos="240"/>
        </w:tabs>
        <w:rPr>
          <w:sz w:val="22"/>
          <w:lang w:val="pl-PL"/>
        </w:rPr>
      </w:pPr>
    </w:p>
    <w:p w:rsidR="006D0372" w:rsidRDefault="006D0372" w:rsidP="006D0372">
      <w:pPr>
        <w:pStyle w:val="EndnoteText"/>
        <w:rPr>
          <w:szCs w:val="24"/>
          <w:lang w:val="pl-PL"/>
        </w:rPr>
      </w:pPr>
      <w:r>
        <w:rPr>
          <w:szCs w:val="24"/>
          <w:lang w:val="pl-PL"/>
        </w:rPr>
        <w:t xml:space="preserve">W badaniu CLARITY stwierdzono wzrost ogólnej częstości krwawień w grupie klopidogrelu plus ASA w porównaniu do grupy placebo plus ASA. Częstość występowania poważnych krwawień była podobna w obu grupach. Obserwacja ta występowała we wszystkich podgrupach pacjentów określonych w zależności od charakterystyki wyjściowej oraz typu leczenia fibrynolitycznego lub leczenia heparyną. </w:t>
      </w:r>
    </w:p>
    <w:p w:rsidR="006D0372" w:rsidRDefault="006D0372" w:rsidP="00403763">
      <w:pPr>
        <w:tabs>
          <w:tab w:val="left" w:pos="567"/>
        </w:tabs>
        <w:rPr>
          <w:sz w:val="22"/>
          <w:lang w:val="pl-PL"/>
        </w:rPr>
      </w:pPr>
    </w:p>
    <w:p w:rsidR="00403763" w:rsidRDefault="00403763" w:rsidP="00403763">
      <w:pPr>
        <w:pStyle w:val="EndnoteText"/>
        <w:rPr>
          <w:lang w:val="pl-PL"/>
        </w:rPr>
      </w:pPr>
      <w:r>
        <w:rPr>
          <w:szCs w:val="16"/>
          <w:lang w:val="pl-PL"/>
        </w:rPr>
        <w:t>W badaniu COMMIT ogólny odsetek dużych krwawień pozamózgowych oraz krwawień mózgowych był mały i zbliżony w obu grupach</w:t>
      </w:r>
      <w:r w:rsidR="006D0372">
        <w:rPr>
          <w:szCs w:val="16"/>
          <w:lang w:val="pl-PL"/>
        </w:rPr>
        <w:t>.</w:t>
      </w:r>
      <w:r>
        <w:rPr>
          <w:szCs w:val="16"/>
          <w:lang w:val="pl-PL"/>
        </w:rPr>
        <w:t xml:space="preserve"> </w:t>
      </w:r>
    </w:p>
    <w:p w:rsidR="00403763" w:rsidRDefault="00403763" w:rsidP="00403763">
      <w:pPr>
        <w:pStyle w:val="Heading1"/>
        <w:tabs>
          <w:tab w:val="left" w:pos="567"/>
        </w:tabs>
        <w:spacing w:line="240" w:lineRule="auto"/>
        <w:rPr>
          <w:rFonts w:ascii="Times New Roman" w:hAnsi="Times New Roman"/>
          <w:sz w:val="22"/>
          <w:lang w:val="pl-PL"/>
        </w:rPr>
      </w:pPr>
    </w:p>
    <w:p w:rsidR="00214AE0" w:rsidRPr="00421448" w:rsidRDefault="00214AE0" w:rsidP="00214AE0">
      <w:pPr>
        <w:ind w:right="-29"/>
        <w:rPr>
          <w:sz w:val="22"/>
          <w:szCs w:val="22"/>
          <w:lang w:val="pl-PL"/>
        </w:rPr>
      </w:pPr>
      <w:r w:rsidRPr="00421448">
        <w:rPr>
          <w:sz w:val="22"/>
          <w:szCs w:val="22"/>
          <w:lang w:val="pl-PL"/>
        </w:rPr>
        <w:t>W badaniu ACTIVE</w:t>
      </w:r>
      <w:r w:rsidRPr="00421448">
        <w:rPr>
          <w:sz w:val="22"/>
          <w:szCs w:val="22"/>
          <w:lang w:val="pl-PL"/>
        </w:rPr>
        <w:noBreakHyphen/>
        <w:t xml:space="preserve">A, częstość występowania poważnego krwawienia była większa w grupie otrzymującej klopidogrel z kwasem acetylosalicylowym niż placebo z kwasem acetylosalicylowym (6,7% </w:t>
      </w:r>
      <w:r w:rsidRPr="00421448">
        <w:rPr>
          <w:i/>
          <w:sz w:val="22"/>
          <w:szCs w:val="22"/>
          <w:lang w:val="pl-PL"/>
        </w:rPr>
        <w:t xml:space="preserve">vs </w:t>
      </w:r>
      <w:r w:rsidRPr="00421448">
        <w:rPr>
          <w:sz w:val="22"/>
          <w:szCs w:val="22"/>
          <w:lang w:val="pl-PL"/>
        </w:rPr>
        <w:t>4,3%). W obu grupach poważne krwawienie dotyczyło najczęściej lokalizacji pozaczaszkowej (5,3% w grupie otrzymującej klopidogrel z kwasem acetylosalicylowym; 3,5% w</w:t>
      </w:r>
      <w:r w:rsidR="00DB717D">
        <w:rPr>
          <w:sz w:val="22"/>
          <w:lang w:val="pl-PL"/>
        </w:rPr>
        <w:t> </w:t>
      </w:r>
      <w:r w:rsidRPr="00421448">
        <w:rPr>
          <w:sz w:val="22"/>
          <w:szCs w:val="22"/>
          <w:lang w:val="pl-PL"/>
        </w:rPr>
        <w:t xml:space="preserve">grupie placebo z kwasem acetylosalicylowym), głównie przewodu pokarmowego (3,5% </w:t>
      </w:r>
      <w:r w:rsidRPr="00421448">
        <w:rPr>
          <w:i/>
          <w:sz w:val="22"/>
          <w:szCs w:val="22"/>
          <w:lang w:val="pl-PL"/>
        </w:rPr>
        <w:t>vs</w:t>
      </w:r>
      <w:r w:rsidR="003D4E05">
        <w:rPr>
          <w:i/>
          <w:sz w:val="22"/>
          <w:szCs w:val="22"/>
          <w:lang w:val="pl-PL"/>
        </w:rPr>
        <w:t>.</w:t>
      </w:r>
      <w:r w:rsidRPr="00421448">
        <w:rPr>
          <w:sz w:val="22"/>
          <w:szCs w:val="22"/>
          <w:lang w:val="pl-PL"/>
        </w:rPr>
        <w:t xml:space="preserve"> 1,8%). Liczba przypadków krwawień wewnątrzczaszkowych była większa </w:t>
      </w:r>
      <w:r w:rsidR="00DB717D">
        <w:rPr>
          <w:sz w:val="22"/>
          <w:szCs w:val="22"/>
          <w:lang w:val="pl-PL"/>
        </w:rPr>
        <w:t>po podaniu</w:t>
      </w:r>
      <w:r w:rsidRPr="00421448">
        <w:rPr>
          <w:sz w:val="22"/>
          <w:szCs w:val="22"/>
          <w:lang w:val="pl-PL"/>
        </w:rPr>
        <w:t xml:space="preserve"> skojarz</w:t>
      </w:r>
      <w:r w:rsidR="00DB717D">
        <w:rPr>
          <w:sz w:val="22"/>
          <w:szCs w:val="22"/>
          <w:lang w:val="pl-PL"/>
        </w:rPr>
        <w:t>onym</w:t>
      </w:r>
      <w:r w:rsidRPr="00421448">
        <w:rPr>
          <w:sz w:val="22"/>
          <w:szCs w:val="22"/>
          <w:lang w:val="pl-PL"/>
        </w:rPr>
        <w:t xml:space="preserve"> klopidogrelu z kwasem acetylosalicylowym niż w przypadku placebo z kwasem acetylosalicylowym (odpowiednio 1,4% </w:t>
      </w:r>
      <w:r w:rsidRPr="00421448">
        <w:rPr>
          <w:i/>
          <w:sz w:val="22"/>
          <w:szCs w:val="22"/>
          <w:lang w:val="pl-PL"/>
        </w:rPr>
        <w:t>vs</w:t>
      </w:r>
      <w:r w:rsidR="003D4E05">
        <w:rPr>
          <w:i/>
          <w:sz w:val="22"/>
          <w:szCs w:val="22"/>
          <w:lang w:val="pl-PL"/>
        </w:rPr>
        <w:t>.</w:t>
      </w:r>
      <w:r w:rsidRPr="00421448">
        <w:rPr>
          <w:i/>
          <w:sz w:val="22"/>
          <w:szCs w:val="22"/>
          <w:lang w:val="pl-PL"/>
        </w:rPr>
        <w:t xml:space="preserve"> </w:t>
      </w:r>
      <w:r w:rsidRPr="00421448">
        <w:rPr>
          <w:sz w:val="22"/>
          <w:szCs w:val="22"/>
          <w:lang w:val="pl-PL"/>
        </w:rPr>
        <w:t>0,8%). Nie stwierdzono znamiennej statystycznie różnicy między grupami w</w:t>
      </w:r>
      <w:r w:rsidR="00DB717D">
        <w:rPr>
          <w:sz w:val="22"/>
          <w:lang w:val="pl-PL"/>
        </w:rPr>
        <w:t> </w:t>
      </w:r>
      <w:r w:rsidRPr="00421448">
        <w:rPr>
          <w:sz w:val="22"/>
          <w:szCs w:val="22"/>
          <w:lang w:val="pl-PL"/>
        </w:rPr>
        <w:t>częstości występowania krwawień zakończonych zgonem (1,1% w grupie otrzymującej klopidogrel z kwasem acetylosalicylowym i 0,7% w grupie placebo z kwasem acetylosalicylowym) i udaru krwotocznego (odpowiednio 0,8% i 0,6%).</w:t>
      </w:r>
    </w:p>
    <w:p w:rsidR="001B5862" w:rsidRDefault="001B5862" w:rsidP="00403763">
      <w:pPr>
        <w:pStyle w:val="Heading1"/>
        <w:tabs>
          <w:tab w:val="left" w:pos="567"/>
        </w:tabs>
        <w:spacing w:line="240" w:lineRule="auto"/>
        <w:rPr>
          <w:rFonts w:ascii="Times New Roman" w:hAnsi="Times New Roman"/>
          <w:sz w:val="22"/>
          <w:lang w:val="pl-PL"/>
        </w:rPr>
      </w:pPr>
    </w:p>
    <w:p w:rsidR="00332EC4" w:rsidRPr="00A64B0E" w:rsidRDefault="00332EC4" w:rsidP="00332EC4">
      <w:pPr>
        <w:rPr>
          <w:i/>
          <w:sz w:val="22"/>
          <w:szCs w:val="22"/>
          <w:lang w:val="pl-PL"/>
        </w:rPr>
      </w:pPr>
      <w:r w:rsidRPr="00A64B0E">
        <w:rPr>
          <w:i/>
          <w:sz w:val="22"/>
          <w:szCs w:val="22"/>
          <w:lang w:val="pl-PL"/>
        </w:rPr>
        <w:t>Tabelaryczne zestawienie działań niepożądanych</w:t>
      </w:r>
    </w:p>
    <w:p w:rsidR="00332EC4" w:rsidRPr="00332EC4" w:rsidRDefault="00332EC4" w:rsidP="00332EC4">
      <w:pPr>
        <w:rPr>
          <w:lang w:val="pl-PL"/>
        </w:rPr>
      </w:pPr>
    </w:p>
    <w:p w:rsidR="002C6060" w:rsidRDefault="00971B81" w:rsidP="002C6060">
      <w:pPr>
        <w:numPr>
          <w:ilvl w:val="12"/>
          <w:numId w:val="0"/>
        </w:numPr>
        <w:rPr>
          <w:sz w:val="22"/>
          <w:szCs w:val="22"/>
          <w:lang w:val="pl-PL"/>
        </w:rPr>
      </w:pPr>
      <w:r>
        <w:rPr>
          <w:sz w:val="22"/>
          <w:lang w:val="pl-PL"/>
        </w:rPr>
        <w:t>Działania n</w:t>
      </w:r>
      <w:r w:rsidR="00403763">
        <w:rPr>
          <w:sz w:val="22"/>
          <w:lang w:val="pl-PL"/>
        </w:rPr>
        <w:t xml:space="preserve">iepożądane, które wystąpiły podczas badań klinicznych </w:t>
      </w:r>
      <w:r>
        <w:rPr>
          <w:sz w:val="22"/>
          <w:lang w:val="pl-PL"/>
        </w:rPr>
        <w:t xml:space="preserve">lub </w:t>
      </w:r>
      <w:r w:rsidR="00403763">
        <w:rPr>
          <w:sz w:val="22"/>
          <w:lang w:val="pl-PL"/>
        </w:rPr>
        <w:t>były spontanicznie zgłaszane</w:t>
      </w:r>
      <w:r>
        <w:rPr>
          <w:sz w:val="22"/>
          <w:lang w:val="pl-PL"/>
        </w:rPr>
        <w:t>,</w:t>
      </w:r>
      <w:r w:rsidR="00403763">
        <w:rPr>
          <w:sz w:val="22"/>
          <w:lang w:val="pl-PL"/>
        </w:rPr>
        <w:t xml:space="preserve"> są przedstawione w tabeli poniżej. Ich częstość jest zdefiniowana</w:t>
      </w:r>
      <w:r>
        <w:rPr>
          <w:sz w:val="22"/>
          <w:lang w:val="pl-PL"/>
        </w:rPr>
        <w:t xml:space="preserve"> </w:t>
      </w:r>
      <w:r w:rsidR="006D3024">
        <w:rPr>
          <w:sz w:val="22"/>
          <w:lang w:val="pl-PL"/>
        </w:rPr>
        <w:t>następująco</w:t>
      </w:r>
      <w:r w:rsidR="00403763">
        <w:rPr>
          <w:sz w:val="22"/>
          <w:lang w:val="pl-PL"/>
        </w:rPr>
        <w:t>: często (≥1/100 do &lt;1/10); niezbyt często (≥1/1000 do &lt;1/100); rzadko (≥1/10 000 do &lt;1/1000); bardzo rzadko (&lt;1/10 000)</w:t>
      </w:r>
      <w:r w:rsidR="00682C16">
        <w:rPr>
          <w:sz w:val="22"/>
          <w:lang w:val="pl-PL"/>
        </w:rPr>
        <w:t>;</w:t>
      </w:r>
      <w:r w:rsidR="00555583">
        <w:rPr>
          <w:sz w:val="22"/>
          <w:lang w:val="pl-PL"/>
        </w:rPr>
        <w:t xml:space="preserve"> </w:t>
      </w:r>
      <w:r w:rsidR="00555583">
        <w:rPr>
          <w:sz w:val="22"/>
          <w:szCs w:val="22"/>
          <w:lang w:val="pl-PL"/>
        </w:rPr>
        <w:t>nieznana (częstość nie może być określona na podstawie dostępnych danych).</w:t>
      </w:r>
    </w:p>
    <w:p w:rsidR="00403763" w:rsidRDefault="00403763" w:rsidP="002C6060">
      <w:pPr>
        <w:numPr>
          <w:ilvl w:val="12"/>
          <w:numId w:val="0"/>
        </w:numPr>
        <w:rPr>
          <w:sz w:val="22"/>
          <w:lang w:val="pl-PL"/>
        </w:rPr>
      </w:pPr>
      <w:r>
        <w:rPr>
          <w:sz w:val="22"/>
          <w:lang w:val="pl-PL"/>
        </w:rPr>
        <w:t>W obrębie każdej grupy układ</w:t>
      </w:r>
      <w:r w:rsidR="00D6326D">
        <w:rPr>
          <w:sz w:val="22"/>
          <w:lang w:val="pl-PL"/>
        </w:rPr>
        <w:t>ów i</w:t>
      </w:r>
      <w:r>
        <w:rPr>
          <w:sz w:val="22"/>
          <w:lang w:val="pl-PL"/>
        </w:rPr>
        <w:t xml:space="preserve"> narząd</w:t>
      </w:r>
      <w:r w:rsidR="00D6326D">
        <w:rPr>
          <w:sz w:val="22"/>
          <w:lang w:val="pl-PL"/>
        </w:rPr>
        <w:t>ów</w:t>
      </w:r>
      <w:r>
        <w:rPr>
          <w:sz w:val="22"/>
          <w:lang w:val="pl-PL"/>
        </w:rPr>
        <w:t xml:space="preserve"> objawy niepożądane są wymienione zgodnie ze zmniejszającym się nasileniem.</w:t>
      </w:r>
    </w:p>
    <w:p w:rsidR="006201B0" w:rsidRPr="002C6060" w:rsidRDefault="006201B0" w:rsidP="002C6060">
      <w:pPr>
        <w:numPr>
          <w:ilvl w:val="12"/>
          <w:numId w:val="0"/>
        </w:numPr>
        <w:rPr>
          <w:sz w:val="22"/>
          <w:szCs w:val="22"/>
          <w:lang w:val="pl-P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5"/>
        <w:gridCol w:w="10"/>
        <w:gridCol w:w="1465"/>
        <w:gridCol w:w="1963"/>
        <w:gridCol w:w="1843"/>
        <w:gridCol w:w="2126"/>
      </w:tblGrid>
      <w:tr w:rsidR="00403763" w:rsidRPr="003C4717" w:rsidTr="006201B0">
        <w:trPr>
          <w:trHeight w:val="615"/>
          <w:tblHeader/>
        </w:trPr>
        <w:tc>
          <w:tcPr>
            <w:tcW w:w="1915" w:type="dxa"/>
          </w:tcPr>
          <w:p w:rsidR="00403763" w:rsidRPr="003C4717" w:rsidRDefault="00263BD7" w:rsidP="006201B0">
            <w:pPr>
              <w:widowControl w:val="0"/>
              <w:tabs>
                <w:tab w:val="left" w:pos="567"/>
              </w:tabs>
              <w:rPr>
                <w:b/>
                <w:sz w:val="22"/>
                <w:lang w:val="pl-PL"/>
              </w:rPr>
            </w:pPr>
            <w:r w:rsidRPr="003C4717">
              <w:rPr>
                <w:b/>
                <w:sz w:val="22"/>
                <w:lang w:val="pl-PL"/>
              </w:rPr>
              <w:t>Klasyfikacja układów i narządów</w:t>
            </w:r>
          </w:p>
        </w:tc>
        <w:tc>
          <w:tcPr>
            <w:tcW w:w="1475" w:type="dxa"/>
            <w:gridSpan w:val="2"/>
          </w:tcPr>
          <w:p w:rsidR="00403763" w:rsidRPr="003C4717" w:rsidRDefault="00403763" w:rsidP="006201B0">
            <w:pPr>
              <w:widowControl w:val="0"/>
              <w:tabs>
                <w:tab w:val="left" w:pos="567"/>
              </w:tabs>
              <w:jc w:val="center"/>
              <w:rPr>
                <w:b/>
                <w:sz w:val="22"/>
                <w:lang w:val="pl-PL"/>
              </w:rPr>
            </w:pPr>
            <w:r w:rsidRPr="003C4717">
              <w:rPr>
                <w:b/>
                <w:sz w:val="22"/>
                <w:lang w:val="pl-PL"/>
              </w:rPr>
              <w:t>Często</w:t>
            </w:r>
          </w:p>
          <w:p w:rsidR="00403763" w:rsidRPr="003C4717" w:rsidRDefault="00403763" w:rsidP="006201B0">
            <w:pPr>
              <w:widowControl w:val="0"/>
              <w:tabs>
                <w:tab w:val="left" w:pos="567"/>
              </w:tabs>
              <w:jc w:val="center"/>
              <w:rPr>
                <w:b/>
                <w:sz w:val="22"/>
                <w:lang w:val="pl-PL"/>
              </w:rPr>
            </w:pPr>
          </w:p>
        </w:tc>
        <w:tc>
          <w:tcPr>
            <w:tcW w:w="1963" w:type="dxa"/>
          </w:tcPr>
          <w:p w:rsidR="00403763" w:rsidRPr="003C4717" w:rsidRDefault="00403763" w:rsidP="006201B0">
            <w:pPr>
              <w:widowControl w:val="0"/>
              <w:tabs>
                <w:tab w:val="left" w:pos="567"/>
              </w:tabs>
              <w:jc w:val="center"/>
              <w:rPr>
                <w:b/>
                <w:sz w:val="22"/>
                <w:lang w:val="pl-PL"/>
              </w:rPr>
            </w:pPr>
            <w:r w:rsidRPr="003C4717">
              <w:rPr>
                <w:b/>
                <w:sz w:val="22"/>
                <w:lang w:val="pl-PL"/>
              </w:rPr>
              <w:t>Niezbyt często</w:t>
            </w:r>
          </w:p>
          <w:p w:rsidR="00403763" w:rsidRPr="003C4717" w:rsidRDefault="00403763" w:rsidP="006201B0">
            <w:pPr>
              <w:widowControl w:val="0"/>
              <w:tabs>
                <w:tab w:val="left" w:pos="567"/>
              </w:tabs>
              <w:jc w:val="center"/>
              <w:rPr>
                <w:b/>
                <w:sz w:val="22"/>
                <w:lang w:val="pl-PL"/>
              </w:rPr>
            </w:pPr>
          </w:p>
        </w:tc>
        <w:tc>
          <w:tcPr>
            <w:tcW w:w="1843" w:type="dxa"/>
          </w:tcPr>
          <w:p w:rsidR="00403763" w:rsidRPr="003C4717" w:rsidRDefault="00403763" w:rsidP="006201B0">
            <w:pPr>
              <w:widowControl w:val="0"/>
              <w:tabs>
                <w:tab w:val="left" w:pos="567"/>
              </w:tabs>
              <w:jc w:val="center"/>
              <w:rPr>
                <w:b/>
                <w:sz w:val="22"/>
                <w:lang w:val="pl-PL"/>
              </w:rPr>
            </w:pPr>
            <w:r w:rsidRPr="003C4717">
              <w:rPr>
                <w:b/>
                <w:sz w:val="22"/>
                <w:lang w:val="pl-PL"/>
              </w:rPr>
              <w:t>Rzadko</w:t>
            </w:r>
          </w:p>
          <w:p w:rsidR="00403763" w:rsidRPr="003C4717" w:rsidRDefault="00403763" w:rsidP="006201B0">
            <w:pPr>
              <w:widowControl w:val="0"/>
              <w:tabs>
                <w:tab w:val="left" w:pos="567"/>
              </w:tabs>
              <w:jc w:val="center"/>
              <w:rPr>
                <w:b/>
                <w:sz w:val="22"/>
                <w:lang w:val="pl-PL"/>
              </w:rPr>
            </w:pPr>
          </w:p>
        </w:tc>
        <w:tc>
          <w:tcPr>
            <w:tcW w:w="2126" w:type="dxa"/>
          </w:tcPr>
          <w:p w:rsidR="00403763" w:rsidRDefault="00403763" w:rsidP="006201B0">
            <w:pPr>
              <w:widowControl w:val="0"/>
              <w:tabs>
                <w:tab w:val="left" w:pos="567"/>
              </w:tabs>
              <w:jc w:val="center"/>
              <w:rPr>
                <w:b/>
                <w:sz w:val="22"/>
                <w:lang w:val="pl-PL"/>
              </w:rPr>
            </w:pPr>
            <w:r w:rsidRPr="003C4717">
              <w:rPr>
                <w:b/>
                <w:sz w:val="22"/>
                <w:lang w:val="pl-PL"/>
              </w:rPr>
              <w:t>Bardzo rzadko</w:t>
            </w:r>
            <w:r w:rsidR="00555583">
              <w:rPr>
                <w:b/>
                <w:sz w:val="22"/>
                <w:lang w:val="pl-PL"/>
              </w:rPr>
              <w:t>,</w:t>
            </w:r>
          </w:p>
          <w:p w:rsidR="00555583" w:rsidRPr="003C4717" w:rsidRDefault="00555583" w:rsidP="006201B0">
            <w:pPr>
              <w:widowControl w:val="0"/>
              <w:tabs>
                <w:tab w:val="left" w:pos="567"/>
              </w:tabs>
              <w:jc w:val="center"/>
              <w:rPr>
                <w:b/>
                <w:sz w:val="22"/>
                <w:lang w:val="pl-PL"/>
              </w:rPr>
            </w:pPr>
            <w:r>
              <w:rPr>
                <w:b/>
                <w:sz w:val="22"/>
                <w:lang w:val="pl-PL"/>
              </w:rPr>
              <w:t xml:space="preserve">częstość </w:t>
            </w:r>
            <w:r w:rsidRPr="00555583">
              <w:rPr>
                <w:b/>
                <w:sz w:val="22"/>
                <w:lang w:val="pl-PL"/>
              </w:rPr>
              <w:t>nieznana</w:t>
            </w:r>
            <w:r w:rsidR="00A45CB5">
              <w:rPr>
                <w:b/>
                <w:sz w:val="22"/>
                <w:lang w:val="pl-PL"/>
              </w:rPr>
              <w:t>*</w:t>
            </w:r>
          </w:p>
        </w:tc>
      </w:tr>
      <w:tr w:rsidR="00403763" w:rsidRPr="00A64B0E"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Zaburzenia krwi i układu chłonnego</w:t>
            </w:r>
          </w:p>
          <w:p w:rsidR="00403763" w:rsidRPr="003C4717" w:rsidRDefault="00403763" w:rsidP="006201B0">
            <w:pPr>
              <w:widowControl w:val="0"/>
              <w:tabs>
                <w:tab w:val="left" w:pos="567"/>
              </w:tabs>
              <w:rPr>
                <w:sz w:val="22"/>
                <w:lang w:val="pl-PL"/>
              </w:rPr>
            </w:pPr>
          </w:p>
        </w:tc>
        <w:tc>
          <w:tcPr>
            <w:tcW w:w="1475" w:type="dxa"/>
            <w:gridSpan w:val="2"/>
          </w:tcPr>
          <w:p w:rsidR="00403763" w:rsidRPr="003C4717" w:rsidRDefault="00403763" w:rsidP="006201B0">
            <w:pPr>
              <w:widowControl w:val="0"/>
              <w:tabs>
                <w:tab w:val="left" w:pos="567"/>
              </w:tabs>
              <w:rPr>
                <w:sz w:val="22"/>
                <w:lang w:val="pl-PL"/>
              </w:rPr>
            </w:pPr>
          </w:p>
        </w:tc>
        <w:tc>
          <w:tcPr>
            <w:tcW w:w="1963" w:type="dxa"/>
          </w:tcPr>
          <w:p w:rsidR="00403763" w:rsidRPr="003C4717" w:rsidRDefault="00403763" w:rsidP="006201B0">
            <w:pPr>
              <w:widowControl w:val="0"/>
              <w:tabs>
                <w:tab w:val="left" w:pos="567"/>
              </w:tabs>
              <w:rPr>
                <w:sz w:val="22"/>
                <w:lang w:val="pl-PL"/>
              </w:rPr>
            </w:pPr>
            <w:r w:rsidRPr="003C4717">
              <w:rPr>
                <w:sz w:val="22"/>
                <w:lang w:val="pl-PL"/>
              </w:rPr>
              <w:t>Małopłytkowość</w:t>
            </w:r>
          </w:p>
          <w:p w:rsidR="00403763" w:rsidRPr="003C4717" w:rsidRDefault="00E47886" w:rsidP="006201B0">
            <w:pPr>
              <w:widowControl w:val="0"/>
              <w:tabs>
                <w:tab w:val="left" w:pos="567"/>
              </w:tabs>
              <w:rPr>
                <w:sz w:val="22"/>
                <w:lang w:val="pl-PL"/>
              </w:rPr>
            </w:pPr>
            <w:r w:rsidRPr="003C4717">
              <w:rPr>
                <w:sz w:val="22"/>
                <w:lang w:val="pl-PL"/>
              </w:rPr>
              <w:t>l</w:t>
            </w:r>
            <w:r w:rsidR="00403763" w:rsidRPr="003C4717">
              <w:rPr>
                <w:sz w:val="22"/>
                <w:lang w:val="pl-PL"/>
              </w:rPr>
              <w:t>eukopenia,</w:t>
            </w:r>
          </w:p>
          <w:p w:rsidR="00403763" w:rsidRPr="003C4717" w:rsidRDefault="00E47886" w:rsidP="006201B0">
            <w:pPr>
              <w:widowControl w:val="0"/>
              <w:tabs>
                <w:tab w:val="left" w:pos="567"/>
              </w:tabs>
              <w:rPr>
                <w:sz w:val="22"/>
                <w:lang w:val="pl-PL"/>
              </w:rPr>
            </w:pPr>
            <w:r w:rsidRPr="003C4717">
              <w:rPr>
                <w:sz w:val="22"/>
                <w:lang w:val="pl-PL"/>
              </w:rPr>
              <w:t>e</w:t>
            </w:r>
            <w:r w:rsidR="00403763" w:rsidRPr="003C4717">
              <w:rPr>
                <w:sz w:val="22"/>
                <w:lang w:val="pl-PL"/>
              </w:rPr>
              <w:t>ozynofilia</w:t>
            </w:r>
          </w:p>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r w:rsidRPr="003C4717">
              <w:rPr>
                <w:sz w:val="22"/>
                <w:lang w:val="pl-PL"/>
              </w:rPr>
              <w:t>Neutropenia, w</w:t>
            </w:r>
            <w:r w:rsidR="00DB717D">
              <w:rPr>
                <w:sz w:val="22"/>
                <w:lang w:val="pl-PL"/>
              </w:rPr>
              <w:t> </w:t>
            </w:r>
            <w:r w:rsidRPr="003C4717">
              <w:rPr>
                <w:sz w:val="22"/>
                <w:lang w:val="pl-PL"/>
              </w:rPr>
              <w:t>tym ciężka neutropenia</w:t>
            </w:r>
          </w:p>
          <w:p w:rsidR="00403763" w:rsidRPr="003C4717" w:rsidRDefault="00403763" w:rsidP="006201B0">
            <w:pPr>
              <w:widowControl w:val="0"/>
              <w:tabs>
                <w:tab w:val="left" w:pos="567"/>
              </w:tabs>
              <w:rPr>
                <w:sz w:val="22"/>
                <w:lang w:val="pl-PL"/>
              </w:rPr>
            </w:pPr>
          </w:p>
        </w:tc>
        <w:tc>
          <w:tcPr>
            <w:tcW w:w="2126" w:type="dxa"/>
          </w:tcPr>
          <w:p w:rsidR="00403763" w:rsidRPr="003C4717" w:rsidRDefault="00403763" w:rsidP="006201B0">
            <w:pPr>
              <w:widowControl w:val="0"/>
              <w:tabs>
                <w:tab w:val="left" w:pos="567"/>
              </w:tabs>
              <w:rPr>
                <w:sz w:val="22"/>
                <w:lang w:val="pl-PL"/>
              </w:rPr>
            </w:pPr>
            <w:r w:rsidRPr="003C4717">
              <w:rPr>
                <w:sz w:val="22"/>
                <w:szCs w:val="22"/>
                <w:lang w:val="pl-PL"/>
              </w:rPr>
              <w:t>Zakrzepowa plamica małopłytkowa (ang. TTP</w:t>
            </w:r>
            <w:r w:rsidR="00DB717D">
              <w:rPr>
                <w:sz w:val="22"/>
                <w:szCs w:val="22"/>
                <w:lang w:val="pl-PL"/>
              </w:rPr>
              <w:t xml:space="preserve"> – </w:t>
            </w:r>
            <w:r w:rsidR="00DB717D" w:rsidRPr="001E79CA">
              <w:rPr>
                <w:sz w:val="22"/>
                <w:szCs w:val="22"/>
                <w:lang w:val="pl-PL"/>
              </w:rPr>
              <w:t>Thrombotic thrombocytopenic purpura</w:t>
            </w:r>
            <w:r w:rsidRPr="003C4717">
              <w:rPr>
                <w:sz w:val="22"/>
                <w:szCs w:val="22"/>
                <w:lang w:val="pl-PL"/>
              </w:rPr>
              <w:t xml:space="preserve">) (patrz punkt 4.4), niedokrwistość aplastyczna, pancytopenia, agranulocytoza, ciężka małopłytkowość, </w:t>
            </w:r>
            <w:r w:rsidR="00A45CB5">
              <w:rPr>
                <w:sz w:val="22"/>
                <w:szCs w:val="22"/>
                <w:lang w:val="pl-PL"/>
              </w:rPr>
              <w:t>hemofilia</w:t>
            </w:r>
            <w:r w:rsidR="003B3A1E">
              <w:rPr>
                <w:sz w:val="22"/>
                <w:szCs w:val="22"/>
                <w:lang w:val="pl-PL"/>
              </w:rPr>
              <w:t xml:space="preserve"> </w:t>
            </w:r>
            <w:r w:rsidR="008701A3">
              <w:rPr>
                <w:sz w:val="22"/>
                <w:szCs w:val="22"/>
                <w:lang w:val="pl-PL"/>
              </w:rPr>
              <w:t xml:space="preserve">nabyta </w:t>
            </w:r>
            <w:r w:rsidR="003B3A1E">
              <w:rPr>
                <w:sz w:val="22"/>
                <w:szCs w:val="22"/>
                <w:lang w:val="pl-PL"/>
              </w:rPr>
              <w:t>A</w:t>
            </w:r>
            <w:r w:rsidR="00A45CB5">
              <w:rPr>
                <w:sz w:val="22"/>
                <w:szCs w:val="22"/>
                <w:lang w:val="pl-PL"/>
              </w:rPr>
              <w:t xml:space="preserve">, </w:t>
            </w:r>
            <w:r w:rsidRPr="003C4717">
              <w:rPr>
                <w:sz w:val="22"/>
                <w:szCs w:val="22"/>
                <w:lang w:val="pl-PL"/>
              </w:rPr>
              <w:t>granulocytopenia, niedokrwistość</w:t>
            </w:r>
          </w:p>
        </w:tc>
      </w:tr>
      <w:tr w:rsidR="006A4CDC" w:rsidRPr="00A64B0E" w:rsidTr="006201B0">
        <w:tc>
          <w:tcPr>
            <w:tcW w:w="1915" w:type="dxa"/>
          </w:tcPr>
          <w:p w:rsidR="006A4CDC" w:rsidRPr="003C4717" w:rsidRDefault="006A4CDC" w:rsidP="006201B0">
            <w:pPr>
              <w:widowControl w:val="0"/>
              <w:tabs>
                <w:tab w:val="left" w:pos="567"/>
              </w:tabs>
              <w:rPr>
                <w:sz w:val="22"/>
                <w:lang w:val="pl-PL"/>
              </w:rPr>
            </w:pPr>
            <w:r w:rsidRPr="006A4CDC">
              <w:rPr>
                <w:sz w:val="22"/>
                <w:lang w:val="pl-PL"/>
              </w:rPr>
              <w:t>Zaburzenia serca</w:t>
            </w:r>
          </w:p>
        </w:tc>
        <w:tc>
          <w:tcPr>
            <w:tcW w:w="1475" w:type="dxa"/>
            <w:gridSpan w:val="2"/>
          </w:tcPr>
          <w:p w:rsidR="006A4CDC" w:rsidRPr="003C4717" w:rsidRDefault="006A4CDC" w:rsidP="006201B0">
            <w:pPr>
              <w:widowControl w:val="0"/>
              <w:tabs>
                <w:tab w:val="left" w:pos="567"/>
              </w:tabs>
              <w:rPr>
                <w:sz w:val="22"/>
                <w:lang w:val="pl-PL"/>
              </w:rPr>
            </w:pPr>
          </w:p>
        </w:tc>
        <w:tc>
          <w:tcPr>
            <w:tcW w:w="1963" w:type="dxa"/>
          </w:tcPr>
          <w:p w:rsidR="006A4CDC" w:rsidRPr="003C4717" w:rsidRDefault="006A4CDC" w:rsidP="006201B0">
            <w:pPr>
              <w:widowControl w:val="0"/>
              <w:tabs>
                <w:tab w:val="left" w:pos="567"/>
              </w:tabs>
              <w:rPr>
                <w:sz w:val="22"/>
                <w:lang w:val="pl-PL"/>
              </w:rPr>
            </w:pPr>
          </w:p>
        </w:tc>
        <w:tc>
          <w:tcPr>
            <w:tcW w:w="1843" w:type="dxa"/>
          </w:tcPr>
          <w:p w:rsidR="006A4CDC" w:rsidRPr="003C4717" w:rsidRDefault="006A4CDC" w:rsidP="006201B0">
            <w:pPr>
              <w:widowControl w:val="0"/>
              <w:tabs>
                <w:tab w:val="left" w:pos="567"/>
              </w:tabs>
              <w:rPr>
                <w:sz w:val="22"/>
                <w:lang w:val="pl-PL"/>
              </w:rPr>
            </w:pPr>
          </w:p>
        </w:tc>
        <w:tc>
          <w:tcPr>
            <w:tcW w:w="2126" w:type="dxa"/>
          </w:tcPr>
          <w:p w:rsidR="008A4680" w:rsidRPr="008A4680" w:rsidRDefault="006A4CDC" w:rsidP="006201B0">
            <w:pPr>
              <w:widowControl w:val="0"/>
              <w:tabs>
                <w:tab w:val="left" w:pos="567"/>
              </w:tabs>
              <w:rPr>
                <w:sz w:val="22"/>
                <w:szCs w:val="22"/>
                <w:lang w:val="pl-PL"/>
              </w:rPr>
            </w:pPr>
            <w:r>
              <w:rPr>
                <w:sz w:val="22"/>
                <w:szCs w:val="22"/>
                <w:lang w:val="pl-PL"/>
              </w:rPr>
              <w:t>Zespół Kounisa (</w:t>
            </w:r>
            <w:r w:rsidR="008A4680">
              <w:rPr>
                <w:sz w:val="22"/>
                <w:szCs w:val="22"/>
                <w:lang w:val="pl-PL"/>
              </w:rPr>
              <w:t>alergiczna dławica piersiowa związana</w:t>
            </w:r>
            <w:r w:rsidR="008A4680" w:rsidRPr="008A4680">
              <w:rPr>
                <w:sz w:val="22"/>
                <w:szCs w:val="22"/>
                <w:lang w:val="pl-PL"/>
              </w:rPr>
              <w:t xml:space="preserve"> ze skurczem naczyń</w:t>
            </w:r>
          </w:p>
          <w:p w:rsidR="006A4CDC" w:rsidRPr="003C4717" w:rsidRDefault="008A4680" w:rsidP="006201B0">
            <w:pPr>
              <w:widowControl w:val="0"/>
              <w:tabs>
                <w:tab w:val="left" w:pos="567"/>
              </w:tabs>
              <w:rPr>
                <w:sz w:val="22"/>
                <w:szCs w:val="22"/>
                <w:lang w:val="pl-PL"/>
              </w:rPr>
            </w:pPr>
            <w:r w:rsidRPr="008A4680">
              <w:rPr>
                <w:sz w:val="22"/>
                <w:szCs w:val="22"/>
                <w:lang w:val="pl-PL"/>
              </w:rPr>
              <w:t>wieńcowych</w:t>
            </w:r>
            <w:r>
              <w:rPr>
                <w:sz w:val="22"/>
                <w:szCs w:val="22"/>
                <w:lang w:val="pl-PL"/>
              </w:rPr>
              <w:t>/ alergiczny zawał</w:t>
            </w:r>
            <w:r w:rsidR="003E464A">
              <w:rPr>
                <w:sz w:val="22"/>
                <w:szCs w:val="22"/>
                <w:lang w:val="pl-PL"/>
              </w:rPr>
              <w:t xml:space="preserve"> mięśnia sercowego</w:t>
            </w:r>
            <w:r>
              <w:rPr>
                <w:sz w:val="22"/>
                <w:szCs w:val="22"/>
                <w:lang w:val="pl-PL"/>
              </w:rPr>
              <w:t>)</w:t>
            </w:r>
            <w:r w:rsidR="003E464A">
              <w:rPr>
                <w:sz w:val="22"/>
                <w:szCs w:val="22"/>
                <w:lang w:val="pl-PL"/>
              </w:rPr>
              <w:t xml:space="preserve"> związany z reakcją alergiczną na klopidogrel*</w:t>
            </w:r>
          </w:p>
        </w:tc>
      </w:tr>
      <w:tr w:rsidR="00403763" w:rsidRPr="00A64B0E"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Zaburzenia układu immunologicznego</w:t>
            </w:r>
          </w:p>
        </w:tc>
        <w:tc>
          <w:tcPr>
            <w:tcW w:w="1475" w:type="dxa"/>
            <w:gridSpan w:val="2"/>
          </w:tcPr>
          <w:p w:rsidR="00403763" w:rsidRPr="003C4717" w:rsidRDefault="00403763" w:rsidP="006201B0">
            <w:pPr>
              <w:widowControl w:val="0"/>
              <w:tabs>
                <w:tab w:val="left" w:pos="567"/>
              </w:tabs>
              <w:rPr>
                <w:sz w:val="22"/>
                <w:lang w:val="pl-PL"/>
              </w:rPr>
            </w:pPr>
          </w:p>
        </w:tc>
        <w:tc>
          <w:tcPr>
            <w:tcW w:w="1963" w:type="dxa"/>
          </w:tcPr>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p>
        </w:tc>
        <w:tc>
          <w:tcPr>
            <w:tcW w:w="2126" w:type="dxa"/>
          </w:tcPr>
          <w:p w:rsidR="00403763" w:rsidRDefault="00403763" w:rsidP="006201B0">
            <w:pPr>
              <w:widowControl w:val="0"/>
              <w:tabs>
                <w:tab w:val="left" w:pos="567"/>
              </w:tabs>
              <w:rPr>
                <w:sz w:val="22"/>
                <w:szCs w:val="22"/>
                <w:lang w:val="pl-PL"/>
              </w:rPr>
            </w:pPr>
            <w:r w:rsidRPr="003C4717">
              <w:rPr>
                <w:sz w:val="22"/>
                <w:szCs w:val="22"/>
                <w:lang w:val="pl-PL"/>
              </w:rPr>
              <w:t xml:space="preserve">Choroba posurowicza, reakcje </w:t>
            </w:r>
            <w:r w:rsidR="00C05F4C">
              <w:rPr>
                <w:sz w:val="22"/>
                <w:szCs w:val="22"/>
                <w:lang w:val="pl-PL"/>
              </w:rPr>
              <w:t>rzekomo</w:t>
            </w:r>
            <w:r w:rsidR="00DC5DD9">
              <w:rPr>
                <w:sz w:val="22"/>
                <w:szCs w:val="22"/>
                <w:lang w:val="pl-PL"/>
              </w:rPr>
              <w:t>anafilakty</w:t>
            </w:r>
            <w:r w:rsidR="00C05F4C">
              <w:rPr>
                <w:sz w:val="22"/>
                <w:szCs w:val="22"/>
                <w:lang w:val="pl-PL"/>
              </w:rPr>
              <w:t xml:space="preserve"> -</w:t>
            </w:r>
            <w:r w:rsidR="00DC5DD9">
              <w:rPr>
                <w:sz w:val="22"/>
                <w:szCs w:val="22"/>
                <w:lang w:val="pl-PL"/>
              </w:rPr>
              <w:t>czne</w:t>
            </w:r>
            <w:r w:rsidR="0028710B">
              <w:rPr>
                <w:sz w:val="22"/>
                <w:szCs w:val="22"/>
                <w:lang w:val="pl-PL"/>
              </w:rPr>
              <w:t>,</w:t>
            </w:r>
          </w:p>
          <w:p w:rsidR="00403763" w:rsidRPr="003C4717" w:rsidRDefault="00DC5DD9" w:rsidP="000E1F5E">
            <w:pPr>
              <w:widowControl w:val="0"/>
              <w:tabs>
                <w:tab w:val="left" w:pos="567"/>
              </w:tabs>
              <w:ind w:right="-21"/>
              <w:rPr>
                <w:sz w:val="22"/>
                <w:szCs w:val="22"/>
                <w:lang w:val="pl-PL"/>
              </w:rPr>
            </w:pPr>
            <w:r w:rsidRPr="00E50D2E">
              <w:rPr>
                <w:sz w:val="22"/>
                <w:szCs w:val="22"/>
                <w:lang w:val="pl-PL"/>
              </w:rPr>
              <w:t>reakcje krzyżowe nadwrażliwości na lek wśród tienopirydyn (takich jak t</w:t>
            </w:r>
            <w:r>
              <w:rPr>
                <w:sz w:val="22"/>
                <w:szCs w:val="22"/>
                <w:lang w:val="pl-PL"/>
              </w:rPr>
              <w:t>y</w:t>
            </w:r>
            <w:r w:rsidRPr="00E50D2E">
              <w:rPr>
                <w:sz w:val="22"/>
                <w:szCs w:val="22"/>
                <w:lang w:val="pl-PL"/>
              </w:rPr>
              <w:t>klopidyn</w:t>
            </w:r>
            <w:r>
              <w:rPr>
                <w:sz w:val="22"/>
                <w:szCs w:val="22"/>
                <w:lang w:val="pl-PL"/>
              </w:rPr>
              <w:t>a</w:t>
            </w:r>
            <w:r w:rsidRPr="00E50D2E">
              <w:rPr>
                <w:sz w:val="22"/>
                <w:szCs w:val="22"/>
                <w:lang w:val="pl-PL"/>
              </w:rPr>
              <w:t>, prasugrel) (patrz punkt 4.4)</w:t>
            </w:r>
            <w:r w:rsidR="00EA339A">
              <w:rPr>
                <w:sz w:val="22"/>
                <w:szCs w:val="22"/>
                <w:lang w:val="pl-PL"/>
              </w:rPr>
              <w:t>*</w:t>
            </w:r>
            <w:r w:rsidR="00B156E0">
              <w:rPr>
                <w:sz w:val="22"/>
                <w:szCs w:val="22"/>
                <w:lang w:val="pl-PL"/>
              </w:rPr>
              <w:t xml:space="preserve">, </w:t>
            </w:r>
            <w:r w:rsidR="00402EE0">
              <w:rPr>
                <w:sz w:val="22"/>
                <w:szCs w:val="22"/>
                <w:lang w:val="pl-PL"/>
              </w:rPr>
              <w:t xml:space="preserve">autoimmunologiczny </w:t>
            </w:r>
            <w:r w:rsidR="000E1F5E">
              <w:rPr>
                <w:sz w:val="22"/>
                <w:szCs w:val="22"/>
                <w:lang w:val="pl-PL"/>
              </w:rPr>
              <w:t>zespół</w:t>
            </w:r>
            <w:r w:rsidR="00402EE0">
              <w:rPr>
                <w:sz w:val="22"/>
                <w:szCs w:val="22"/>
                <w:lang w:val="pl-PL"/>
              </w:rPr>
              <w:t xml:space="preserve"> insulinowy</w:t>
            </w:r>
            <w:r w:rsidR="009F6680">
              <w:rPr>
                <w:sz w:val="22"/>
                <w:szCs w:val="22"/>
                <w:lang w:val="pl-PL"/>
              </w:rPr>
              <w:t>, który może prowadzić do ciężkiej hipoglikemii</w:t>
            </w:r>
            <w:r w:rsidR="00630589">
              <w:rPr>
                <w:sz w:val="22"/>
                <w:szCs w:val="22"/>
                <w:lang w:val="pl-PL"/>
              </w:rPr>
              <w:t>, szczególnie u pacjentów z podtypem HLA DRA4 (występującym częściej w populacji japońskiej)</w:t>
            </w:r>
            <w:r w:rsidRPr="00E50D2E">
              <w:rPr>
                <w:sz w:val="22"/>
                <w:szCs w:val="22"/>
                <w:lang w:val="pl-PL"/>
              </w:rPr>
              <w:t>*</w:t>
            </w:r>
          </w:p>
        </w:tc>
      </w:tr>
      <w:tr w:rsidR="00403763" w:rsidRPr="003C4717"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Zaburzenia psychiczne</w:t>
            </w:r>
          </w:p>
        </w:tc>
        <w:tc>
          <w:tcPr>
            <w:tcW w:w="1475" w:type="dxa"/>
            <w:gridSpan w:val="2"/>
          </w:tcPr>
          <w:p w:rsidR="00403763" w:rsidRPr="003C4717" w:rsidRDefault="00403763" w:rsidP="006201B0">
            <w:pPr>
              <w:widowControl w:val="0"/>
              <w:tabs>
                <w:tab w:val="left" w:pos="567"/>
              </w:tabs>
              <w:rPr>
                <w:sz w:val="22"/>
                <w:lang w:val="pl-PL"/>
              </w:rPr>
            </w:pPr>
          </w:p>
        </w:tc>
        <w:tc>
          <w:tcPr>
            <w:tcW w:w="1963" w:type="dxa"/>
          </w:tcPr>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p>
        </w:tc>
        <w:tc>
          <w:tcPr>
            <w:tcW w:w="2126" w:type="dxa"/>
          </w:tcPr>
          <w:p w:rsidR="006A3B54" w:rsidRPr="003C4717" w:rsidRDefault="00403763" w:rsidP="006201B0">
            <w:pPr>
              <w:widowControl w:val="0"/>
              <w:tabs>
                <w:tab w:val="left" w:pos="567"/>
              </w:tabs>
              <w:rPr>
                <w:sz w:val="22"/>
                <w:szCs w:val="22"/>
                <w:lang w:val="pl-PL"/>
              </w:rPr>
            </w:pPr>
            <w:r w:rsidRPr="003C4717">
              <w:rPr>
                <w:sz w:val="22"/>
                <w:szCs w:val="22"/>
                <w:lang w:val="pl-PL"/>
              </w:rPr>
              <w:t xml:space="preserve">Omamy, </w:t>
            </w:r>
          </w:p>
          <w:p w:rsidR="00403763" w:rsidRPr="003C4717" w:rsidRDefault="00403763" w:rsidP="006201B0">
            <w:pPr>
              <w:widowControl w:val="0"/>
              <w:tabs>
                <w:tab w:val="left" w:pos="567"/>
              </w:tabs>
              <w:rPr>
                <w:sz w:val="22"/>
                <w:szCs w:val="22"/>
                <w:lang w:val="pl-PL"/>
              </w:rPr>
            </w:pPr>
            <w:r w:rsidRPr="003C4717">
              <w:rPr>
                <w:sz w:val="22"/>
                <w:szCs w:val="22"/>
                <w:lang w:val="pl-PL"/>
              </w:rPr>
              <w:t>stan splątania</w:t>
            </w:r>
          </w:p>
        </w:tc>
      </w:tr>
      <w:tr w:rsidR="00403763" w:rsidRPr="003C4717"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Zaburzenia układu nerwowego</w:t>
            </w:r>
          </w:p>
        </w:tc>
        <w:tc>
          <w:tcPr>
            <w:tcW w:w="1475" w:type="dxa"/>
            <w:gridSpan w:val="2"/>
          </w:tcPr>
          <w:p w:rsidR="00403763" w:rsidRPr="003C4717" w:rsidRDefault="00403763" w:rsidP="006201B0">
            <w:pPr>
              <w:widowControl w:val="0"/>
              <w:tabs>
                <w:tab w:val="left" w:pos="567"/>
              </w:tabs>
              <w:rPr>
                <w:sz w:val="22"/>
                <w:lang w:val="pl-PL"/>
              </w:rPr>
            </w:pPr>
          </w:p>
        </w:tc>
        <w:tc>
          <w:tcPr>
            <w:tcW w:w="1963" w:type="dxa"/>
          </w:tcPr>
          <w:p w:rsidR="00403763" w:rsidRPr="003C4717" w:rsidRDefault="00403763" w:rsidP="006201B0">
            <w:pPr>
              <w:widowControl w:val="0"/>
              <w:tabs>
                <w:tab w:val="left" w:pos="567"/>
              </w:tabs>
              <w:rPr>
                <w:sz w:val="22"/>
                <w:lang w:val="pl-PL"/>
              </w:rPr>
            </w:pPr>
            <w:r w:rsidRPr="003C4717">
              <w:rPr>
                <w:sz w:val="22"/>
                <w:lang w:val="pl-PL"/>
              </w:rPr>
              <w:t>Krwawienie wewnątrzczaszkowe (</w:t>
            </w:r>
            <w:r w:rsidRPr="003C4717">
              <w:rPr>
                <w:sz w:val="22"/>
                <w:szCs w:val="22"/>
                <w:lang w:val="pl-PL"/>
              </w:rPr>
              <w:t>zgłaszano, że niektóre przypadki były śmiertelne),</w:t>
            </w:r>
            <w:r w:rsidRPr="003C4717">
              <w:rPr>
                <w:sz w:val="22"/>
                <w:lang w:val="pl-PL"/>
              </w:rPr>
              <w:t xml:space="preserve"> </w:t>
            </w:r>
          </w:p>
          <w:p w:rsidR="00403763" w:rsidRPr="003C4717" w:rsidRDefault="00403763" w:rsidP="006201B0">
            <w:pPr>
              <w:widowControl w:val="0"/>
              <w:tabs>
                <w:tab w:val="left" w:pos="567"/>
              </w:tabs>
              <w:rPr>
                <w:sz w:val="22"/>
                <w:lang w:val="pl-PL"/>
              </w:rPr>
            </w:pPr>
            <w:r w:rsidRPr="003C4717">
              <w:rPr>
                <w:sz w:val="22"/>
                <w:lang w:val="pl-PL"/>
              </w:rPr>
              <w:t>bóle głowy</w:t>
            </w:r>
          </w:p>
          <w:p w:rsidR="00403763" w:rsidRPr="003C4717" w:rsidRDefault="00403763" w:rsidP="006201B0">
            <w:pPr>
              <w:widowControl w:val="0"/>
              <w:tabs>
                <w:tab w:val="left" w:pos="567"/>
              </w:tabs>
              <w:rPr>
                <w:sz w:val="22"/>
                <w:lang w:val="pl-PL"/>
              </w:rPr>
            </w:pPr>
            <w:r w:rsidRPr="003C4717">
              <w:rPr>
                <w:sz w:val="22"/>
                <w:lang w:val="pl-PL"/>
              </w:rPr>
              <w:t xml:space="preserve">parestezje, </w:t>
            </w:r>
          </w:p>
          <w:p w:rsidR="00403763" w:rsidRPr="003C4717" w:rsidRDefault="00403763" w:rsidP="006201B0">
            <w:pPr>
              <w:widowControl w:val="0"/>
              <w:tabs>
                <w:tab w:val="left" w:pos="567"/>
              </w:tabs>
              <w:rPr>
                <w:sz w:val="22"/>
                <w:lang w:val="pl-PL"/>
              </w:rPr>
            </w:pPr>
            <w:r w:rsidRPr="003C4717">
              <w:rPr>
                <w:sz w:val="22"/>
                <w:lang w:val="pl-PL"/>
              </w:rPr>
              <w:t>zawroty głowy</w:t>
            </w:r>
            <w:r w:rsidR="00971B81">
              <w:rPr>
                <w:sz w:val="22"/>
                <w:lang w:val="pl-PL"/>
              </w:rPr>
              <w:t xml:space="preserve"> pochodzenia ośrodkowego</w:t>
            </w:r>
          </w:p>
        </w:tc>
        <w:tc>
          <w:tcPr>
            <w:tcW w:w="1843" w:type="dxa"/>
          </w:tcPr>
          <w:p w:rsidR="00403763" w:rsidRPr="003C4717" w:rsidRDefault="00403763" w:rsidP="006201B0">
            <w:pPr>
              <w:widowControl w:val="0"/>
              <w:tabs>
                <w:tab w:val="left" w:pos="567"/>
              </w:tabs>
              <w:rPr>
                <w:sz w:val="22"/>
                <w:lang w:val="pl-PL"/>
              </w:rPr>
            </w:pPr>
          </w:p>
        </w:tc>
        <w:tc>
          <w:tcPr>
            <w:tcW w:w="2126" w:type="dxa"/>
          </w:tcPr>
          <w:p w:rsidR="00403763" w:rsidRPr="003C4717" w:rsidRDefault="00403763" w:rsidP="006201B0">
            <w:pPr>
              <w:widowControl w:val="0"/>
              <w:tabs>
                <w:tab w:val="left" w:pos="567"/>
              </w:tabs>
              <w:rPr>
                <w:sz w:val="22"/>
                <w:lang w:val="pl-PL"/>
              </w:rPr>
            </w:pPr>
            <w:r w:rsidRPr="003C4717">
              <w:rPr>
                <w:sz w:val="22"/>
                <w:szCs w:val="22"/>
                <w:lang w:val="pl-PL"/>
              </w:rPr>
              <w:t>Zaburzenia smaku</w:t>
            </w:r>
            <w:r w:rsidR="00C82536">
              <w:rPr>
                <w:sz w:val="22"/>
                <w:szCs w:val="22"/>
                <w:lang w:val="pl-PL"/>
              </w:rPr>
              <w:t xml:space="preserve">, utrata </w:t>
            </w:r>
            <w:r w:rsidR="00001800">
              <w:rPr>
                <w:sz w:val="22"/>
                <w:szCs w:val="22"/>
                <w:lang w:val="pl-PL"/>
              </w:rPr>
              <w:t>smaku</w:t>
            </w:r>
          </w:p>
        </w:tc>
      </w:tr>
      <w:tr w:rsidR="00403763" w:rsidRPr="00A64B0E"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Zaburzenia oka</w:t>
            </w:r>
          </w:p>
        </w:tc>
        <w:tc>
          <w:tcPr>
            <w:tcW w:w="1475" w:type="dxa"/>
            <w:gridSpan w:val="2"/>
          </w:tcPr>
          <w:p w:rsidR="00403763" w:rsidRPr="003C4717" w:rsidRDefault="00403763" w:rsidP="006201B0">
            <w:pPr>
              <w:widowControl w:val="0"/>
              <w:tabs>
                <w:tab w:val="left" w:pos="567"/>
              </w:tabs>
              <w:rPr>
                <w:sz w:val="22"/>
                <w:lang w:val="pl-PL"/>
              </w:rPr>
            </w:pPr>
          </w:p>
        </w:tc>
        <w:tc>
          <w:tcPr>
            <w:tcW w:w="1963" w:type="dxa"/>
          </w:tcPr>
          <w:p w:rsidR="00403763" w:rsidRPr="003C4717" w:rsidRDefault="00403763" w:rsidP="006201B0">
            <w:pPr>
              <w:widowControl w:val="0"/>
              <w:tabs>
                <w:tab w:val="left" w:pos="567"/>
              </w:tabs>
              <w:rPr>
                <w:sz w:val="22"/>
                <w:szCs w:val="22"/>
                <w:lang w:val="pl-PL"/>
              </w:rPr>
            </w:pPr>
            <w:r w:rsidRPr="003C4717">
              <w:rPr>
                <w:sz w:val="22"/>
                <w:szCs w:val="22"/>
                <w:lang w:val="pl-PL"/>
              </w:rPr>
              <w:t>Krwawienia do oka (dospojówkowe, wewnątrzgałkowe, dosiatkówkowe)</w:t>
            </w:r>
          </w:p>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p>
        </w:tc>
        <w:tc>
          <w:tcPr>
            <w:tcW w:w="2126" w:type="dxa"/>
          </w:tcPr>
          <w:p w:rsidR="00403763" w:rsidRPr="003C4717" w:rsidRDefault="00403763" w:rsidP="006201B0">
            <w:pPr>
              <w:widowControl w:val="0"/>
              <w:tabs>
                <w:tab w:val="left" w:pos="567"/>
              </w:tabs>
              <w:rPr>
                <w:sz w:val="22"/>
                <w:szCs w:val="22"/>
                <w:lang w:val="pl-PL"/>
              </w:rPr>
            </w:pPr>
          </w:p>
        </w:tc>
      </w:tr>
      <w:tr w:rsidR="00403763" w:rsidRPr="003C4717"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Zaburzenia ucha i błędnika</w:t>
            </w:r>
          </w:p>
        </w:tc>
        <w:tc>
          <w:tcPr>
            <w:tcW w:w="1475" w:type="dxa"/>
            <w:gridSpan w:val="2"/>
          </w:tcPr>
          <w:p w:rsidR="00403763" w:rsidRPr="003C4717" w:rsidRDefault="00403763" w:rsidP="006201B0">
            <w:pPr>
              <w:widowControl w:val="0"/>
              <w:tabs>
                <w:tab w:val="left" w:pos="567"/>
              </w:tabs>
              <w:rPr>
                <w:sz w:val="22"/>
                <w:lang w:val="pl-PL"/>
              </w:rPr>
            </w:pPr>
          </w:p>
        </w:tc>
        <w:tc>
          <w:tcPr>
            <w:tcW w:w="1963" w:type="dxa"/>
          </w:tcPr>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r w:rsidRPr="003C4717">
              <w:rPr>
                <w:sz w:val="22"/>
                <w:lang w:val="pl-PL"/>
              </w:rPr>
              <w:t>Zawroty głowy pochodzenia błędnikowego</w:t>
            </w:r>
          </w:p>
        </w:tc>
        <w:tc>
          <w:tcPr>
            <w:tcW w:w="2126" w:type="dxa"/>
          </w:tcPr>
          <w:p w:rsidR="00403763" w:rsidRPr="003C4717" w:rsidRDefault="00403763" w:rsidP="006201B0">
            <w:pPr>
              <w:widowControl w:val="0"/>
              <w:tabs>
                <w:tab w:val="left" w:pos="567"/>
              </w:tabs>
              <w:rPr>
                <w:sz w:val="22"/>
                <w:lang w:val="pl-PL"/>
              </w:rPr>
            </w:pPr>
          </w:p>
        </w:tc>
      </w:tr>
      <w:tr w:rsidR="00403763" w:rsidRPr="00A64B0E"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Zaburzenia naczyniowe</w:t>
            </w:r>
          </w:p>
        </w:tc>
        <w:tc>
          <w:tcPr>
            <w:tcW w:w="1475" w:type="dxa"/>
            <w:gridSpan w:val="2"/>
          </w:tcPr>
          <w:p w:rsidR="00403763" w:rsidRPr="003C4717" w:rsidRDefault="00403763" w:rsidP="006201B0">
            <w:pPr>
              <w:widowControl w:val="0"/>
              <w:tabs>
                <w:tab w:val="left" w:pos="567"/>
              </w:tabs>
              <w:rPr>
                <w:sz w:val="22"/>
                <w:lang w:val="pl-PL"/>
              </w:rPr>
            </w:pPr>
            <w:r w:rsidRPr="003C4717">
              <w:rPr>
                <w:sz w:val="22"/>
                <w:lang w:val="pl-PL"/>
              </w:rPr>
              <w:t>Krwiak</w:t>
            </w:r>
          </w:p>
        </w:tc>
        <w:tc>
          <w:tcPr>
            <w:tcW w:w="1963" w:type="dxa"/>
          </w:tcPr>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p>
        </w:tc>
        <w:tc>
          <w:tcPr>
            <w:tcW w:w="2126" w:type="dxa"/>
          </w:tcPr>
          <w:p w:rsidR="00403763" w:rsidRPr="003C4717" w:rsidRDefault="00403763" w:rsidP="006201B0">
            <w:pPr>
              <w:widowControl w:val="0"/>
              <w:tabs>
                <w:tab w:val="left" w:pos="567"/>
              </w:tabs>
              <w:rPr>
                <w:sz w:val="22"/>
                <w:lang w:val="pl-PL"/>
              </w:rPr>
            </w:pPr>
            <w:r w:rsidRPr="003C4717">
              <w:rPr>
                <w:sz w:val="22"/>
                <w:szCs w:val="22"/>
                <w:lang w:val="pl-PL"/>
              </w:rPr>
              <w:t>Ciężki krwotok, krwotok z ran operacyjnych, zapalenie naczyń, niedociśnienie</w:t>
            </w:r>
            <w:r w:rsidR="00263BD7" w:rsidRPr="003C4717">
              <w:rPr>
                <w:sz w:val="22"/>
                <w:szCs w:val="22"/>
                <w:lang w:val="pl-PL"/>
              </w:rPr>
              <w:t xml:space="preserve"> tętnicze</w:t>
            </w:r>
          </w:p>
        </w:tc>
      </w:tr>
      <w:tr w:rsidR="00403763" w:rsidRPr="00A64B0E" w:rsidTr="006201B0">
        <w:tc>
          <w:tcPr>
            <w:tcW w:w="1915" w:type="dxa"/>
          </w:tcPr>
          <w:p w:rsidR="00403763" w:rsidRPr="003C4717" w:rsidRDefault="00403763" w:rsidP="006201B0">
            <w:pPr>
              <w:widowControl w:val="0"/>
              <w:tabs>
                <w:tab w:val="left" w:pos="567"/>
              </w:tabs>
              <w:rPr>
                <w:sz w:val="22"/>
                <w:lang w:val="pl-PL"/>
              </w:rPr>
            </w:pPr>
            <w:r w:rsidRPr="003C4717">
              <w:rPr>
                <w:sz w:val="22"/>
                <w:szCs w:val="22"/>
                <w:lang w:val="pl-PL"/>
              </w:rPr>
              <w:t>Zaburzenia układu oddechowego, klatki piersiowej i śródpiersia</w:t>
            </w:r>
          </w:p>
        </w:tc>
        <w:tc>
          <w:tcPr>
            <w:tcW w:w="1475" w:type="dxa"/>
            <w:gridSpan w:val="2"/>
          </w:tcPr>
          <w:p w:rsidR="00403763" w:rsidRPr="003C4717" w:rsidRDefault="00403763" w:rsidP="006201B0">
            <w:pPr>
              <w:widowControl w:val="0"/>
              <w:tabs>
                <w:tab w:val="left" w:pos="567"/>
              </w:tabs>
              <w:rPr>
                <w:sz w:val="22"/>
                <w:lang w:val="pl-PL"/>
              </w:rPr>
            </w:pPr>
            <w:r w:rsidRPr="003C4717">
              <w:rPr>
                <w:sz w:val="22"/>
                <w:szCs w:val="22"/>
                <w:lang w:val="pl-PL"/>
              </w:rPr>
              <w:t>Krwawienia z nosa</w:t>
            </w:r>
          </w:p>
        </w:tc>
        <w:tc>
          <w:tcPr>
            <w:tcW w:w="1963" w:type="dxa"/>
          </w:tcPr>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p>
        </w:tc>
        <w:tc>
          <w:tcPr>
            <w:tcW w:w="2126" w:type="dxa"/>
          </w:tcPr>
          <w:p w:rsidR="00403763" w:rsidRDefault="00403763" w:rsidP="006201B0">
            <w:pPr>
              <w:widowControl w:val="0"/>
              <w:tabs>
                <w:tab w:val="left" w:pos="567"/>
              </w:tabs>
              <w:rPr>
                <w:sz w:val="22"/>
                <w:szCs w:val="22"/>
                <w:lang w:val="pl-PL"/>
              </w:rPr>
            </w:pPr>
            <w:r w:rsidRPr="003C4717">
              <w:rPr>
                <w:sz w:val="22"/>
                <w:szCs w:val="22"/>
                <w:lang w:val="pl-PL"/>
              </w:rPr>
              <w:t xml:space="preserve">Krwawienie z dróg oddechowych (krwioplucie, krwotok płucny), skurcz oskrzeli, śródmiąższowe zapalenie płuc, </w:t>
            </w:r>
            <w:r w:rsidR="00E47306" w:rsidRPr="00E47306">
              <w:rPr>
                <w:sz w:val="22"/>
                <w:szCs w:val="22"/>
                <w:lang w:val="pl-PL"/>
              </w:rPr>
              <w:t>eozynofilowe zapalenie płuc</w:t>
            </w:r>
          </w:p>
          <w:p w:rsidR="00F75873" w:rsidRPr="003C4717" w:rsidRDefault="00F75873" w:rsidP="006201B0">
            <w:pPr>
              <w:widowControl w:val="0"/>
              <w:tabs>
                <w:tab w:val="left" w:pos="567"/>
              </w:tabs>
              <w:rPr>
                <w:sz w:val="22"/>
                <w:szCs w:val="22"/>
                <w:lang w:val="pl-PL"/>
              </w:rPr>
            </w:pPr>
          </w:p>
        </w:tc>
      </w:tr>
      <w:tr w:rsidR="00403763" w:rsidRPr="00A64B0E"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Zaburzenia żołądka i jelit</w:t>
            </w:r>
          </w:p>
        </w:tc>
        <w:tc>
          <w:tcPr>
            <w:tcW w:w="1475" w:type="dxa"/>
            <w:gridSpan w:val="2"/>
          </w:tcPr>
          <w:p w:rsidR="00403763" w:rsidRPr="003C4717" w:rsidRDefault="00403763" w:rsidP="006201B0">
            <w:pPr>
              <w:widowControl w:val="0"/>
              <w:tabs>
                <w:tab w:val="left" w:pos="567"/>
              </w:tabs>
              <w:rPr>
                <w:sz w:val="22"/>
                <w:lang w:val="pl-PL"/>
              </w:rPr>
            </w:pPr>
            <w:r w:rsidRPr="003C4717">
              <w:rPr>
                <w:sz w:val="22"/>
                <w:szCs w:val="22"/>
                <w:lang w:val="pl-PL"/>
              </w:rPr>
              <w:t xml:space="preserve">Krwotok </w:t>
            </w:r>
            <w:r w:rsidR="00263BD7" w:rsidRPr="003C4717">
              <w:rPr>
                <w:sz w:val="22"/>
                <w:szCs w:val="22"/>
                <w:lang w:val="pl-PL"/>
              </w:rPr>
              <w:t>z przewodu pokarmowego</w:t>
            </w:r>
          </w:p>
          <w:p w:rsidR="00403763" w:rsidRPr="003C4717" w:rsidRDefault="00403763" w:rsidP="006201B0">
            <w:pPr>
              <w:widowControl w:val="0"/>
              <w:tabs>
                <w:tab w:val="left" w:pos="567"/>
              </w:tabs>
              <w:rPr>
                <w:sz w:val="22"/>
                <w:lang w:val="pl-PL"/>
              </w:rPr>
            </w:pPr>
            <w:r w:rsidRPr="003C4717">
              <w:rPr>
                <w:sz w:val="22"/>
                <w:lang w:val="pl-PL"/>
              </w:rPr>
              <w:t>biegunka, bóle brzucha, niestrawność</w:t>
            </w:r>
          </w:p>
        </w:tc>
        <w:tc>
          <w:tcPr>
            <w:tcW w:w="1963" w:type="dxa"/>
          </w:tcPr>
          <w:p w:rsidR="00403763" w:rsidRPr="003C4717" w:rsidRDefault="00403763" w:rsidP="006201B0">
            <w:pPr>
              <w:widowControl w:val="0"/>
              <w:tabs>
                <w:tab w:val="left" w:pos="567"/>
              </w:tabs>
              <w:rPr>
                <w:sz w:val="22"/>
                <w:lang w:val="pl-PL"/>
              </w:rPr>
            </w:pPr>
            <w:r w:rsidRPr="003C4717">
              <w:rPr>
                <w:sz w:val="22"/>
                <w:lang w:val="pl-PL"/>
              </w:rPr>
              <w:t xml:space="preserve">Wrzód żołądka i wrzód dwunastnicy, zapalenie </w:t>
            </w:r>
            <w:r w:rsidR="00263BD7" w:rsidRPr="003C4717">
              <w:rPr>
                <w:sz w:val="22"/>
                <w:lang w:val="pl-PL"/>
              </w:rPr>
              <w:t xml:space="preserve">błony śluzowej </w:t>
            </w:r>
            <w:r w:rsidRPr="003C4717">
              <w:rPr>
                <w:sz w:val="22"/>
                <w:lang w:val="pl-PL"/>
              </w:rPr>
              <w:t xml:space="preserve">żołądka, wymioty, nudności, zaparcie, wzdęcie z oddawaniem </w:t>
            </w:r>
            <w:r w:rsidR="00263BD7" w:rsidRPr="003C4717">
              <w:rPr>
                <w:sz w:val="22"/>
                <w:lang w:val="pl-PL"/>
              </w:rPr>
              <w:t>gazów</w:t>
            </w:r>
          </w:p>
        </w:tc>
        <w:tc>
          <w:tcPr>
            <w:tcW w:w="1843" w:type="dxa"/>
          </w:tcPr>
          <w:p w:rsidR="00403763" w:rsidRPr="003C4717" w:rsidRDefault="00403763" w:rsidP="006201B0">
            <w:pPr>
              <w:widowControl w:val="0"/>
              <w:tabs>
                <w:tab w:val="left" w:pos="567"/>
              </w:tabs>
              <w:rPr>
                <w:sz w:val="22"/>
                <w:lang w:val="pl-PL"/>
              </w:rPr>
            </w:pPr>
            <w:r w:rsidRPr="003C4717">
              <w:rPr>
                <w:sz w:val="22"/>
                <w:szCs w:val="22"/>
                <w:lang w:val="pl-PL"/>
              </w:rPr>
              <w:t>Krwotok pozaotrzewnowy</w:t>
            </w:r>
          </w:p>
        </w:tc>
        <w:tc>
          <w:tcPr>
            <w:tcW w:w="2126" w:type="dxa"/>
          </w:tcPr>
          <w:p w:rsidR="00403763" w:rsidRPr="003C4717" w:rsidRDefault="00403763" w:rsidP="006201B0">
            <w:pPr>
              <w:widowControl w:val="0"/>
              <w:tabs>
                <w:tab w:val="left" w:pos="567"/>
              </w:tabs>
              <w:rPr>
                <w:sz w:val="22"/>
                <w:lang w:val="pl-PL"/>
              </w:rPr>
            </w:pPr>
            <w:r w:rsidRPr="003C4717">
              <w:rPr>
                <w:sz w:val="22"/>
                <w:szCs w:val="22"/>
                <w:lang w:val="pl-PL"/>
              </w:rPr>
              <w:t xml:space="preserve">Krwotok </w:t>
            </w:r>
            <w:r w:rsidR="00263BD7" w:rsidRPr="003C4717">
              <w:rPr>
                <w:sz w:val="22"/>
                <w:szCs w:val="22"/>
                <w:lang w:val="pl-PL"/>
              </w:rPr>
              <w:t>z przewodu pokarmowego</w:t>
            </w:r>
            <w:r w:rsidRPr="003C4717">
              <w:rPr>
                <w:sz w:val="22"/>
                <w:szCs w:val="22"/>
                <w:lang w:val="pl-PL"/>
              </w:rPr>
              <w:t xml:space="preserve"> i pozaotrzewnowy z</w:t>
            </w:r>
            <w:r w:rsidR="00263BD7" w:rsidRPr="003C4717">
              <w:rPr>
                <w:sz w:val="22"/>
                <w:szCs w:val="22"/>
                <w:lang w:val="pl-PL"/>
              </w:rPr>
              <w:t>akończony zgonem</w:t>
            </w:r>
            <w:r w:rsidRPr="003C4717">
              <w:rPr>
                <w:sz w:val="22"/>
                <w:szCs w:val="22"/>
                <w:lang w:val="pl-PL"/>
              </w:rPr>
              <w:t xml:space="preserve">, zapalenie trzustki, zapalenie jelita grubego (w tym wrzodziejące oraz limfocytowe zapalenie jelita grubego), zapalenie </w:t>
            </w:r>
            <w:r w:rsidR="00263BD7" w:rsidRPr="003C4717">
              <w:rPr>
                <w:sz w:val="22"/>
                <w:szCs w:val="22"/>
                <w:lang w:val="pl-PL"/>
              </w:rPr>
              <w:t xml:space="preserve">błony śluzowej </w:t>
            </w:r>
            <w:r w:rsidRPr="003C4717">
              <w:rPr>
                <w:sz w:val="22"/>
                <w:szCs w:val="22"/>
                <w:lang w:val="pl-PL"/>
              </w:rPr>
              <w:t>jamy ustnej</w:t>
            </w:r>
          </w:p>
        </w:tc>
      </w:tr>
      <w:tr w:rsidR="00403763" w:rsidRPr="00A64B0E" w:rsidTr="006201B0">
        <w:tc>
          <w:tcPr>
            <w:tcW w:w="1915" w:type="dxa"/>
          </w:tcPr>
          <w:p w:rsidR="00403763" w:rsidRPr="003C4717" w:rsidRDefault="00403763" w:rsidP="006201B0">
            <w:pPr>
              <w:widowControl w:val="0"/>
              <w:tabs>
                <w:tab w:val="left" w:pos="567"/>
              </w:tabs>
              <w:rPr>
                <w:sz w:val="22"/>
                <w:szCs w:val="22"/>
                <w:lang w:val="pl-PL"/>
              </w:rPr>
            </w:pPr>
            <w:r w:rsidRPr="003C4717">
              <w:rPr>
                <w:sz w:val="22"/>
                <w:szCs w:val="22"/>
                <w:lang w:val="pl-PL"/>
              </w:rPr>
              <w:t>Zaburzenia wątroby i dróg żółciowych</w:t>
            </w:r>
          </w:p>
          <w:p w:rsidR="00403763" w:rsidRPr="003C4717" w:rsidRDefault="00403763" w:rsidP="006201B0">
            <w:pPr>
              <w:widowControl w:val="0"/>
              <w:tabs>
                <w:tab w:val="left" w:pos="567"/>
              </w:tabs>
              <w:rPr>
                <w:sz w:val="22"/>
                <w:lang w:val="pl-PL"/>
              </w:rPr>
            </w:pPr>
          </w:p>
        </w:tc>
        <w:tc>
          <w:tcPr>
            <w:tcW w:w="1475" w:type="dxa"/>
            <w:gridSpan w:val="2"/>
          </w:tcPr>
          <w:p w:rsidR="00403763" w:rsidRPr="003C4717" w:rsidRDefault="00403763" w:rsidP="006201B0">
            <w:pPr>
              <w:widowControl w:val="0"/>
              <w:tabs>
                <w:tab w:val="left" w:pos="567"/>
              </w:tabs>
              <w:rPr>
                <w:sz w:val="22"/>
                <w:lang w:val="pl-PL"/>
              </w:rPr>
            </w:pPr>
          </w:p>
        </w:tc>
        <w:tc>
          <w:tcPr>
            <w:tcW w:w="1963" w:type="dxa"/>
          </w:tcPr>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p>
        </w:tc>
        <w:tc>
          <w:tcPr>
            <w:tcW w:w="2126" w:type="dxa"/>
          </w:tcPr>
          <w:p w:rsidR="00403763" w:rsidRPr="003C4717" w:rsidRDefault="00403763" w:rsidP="006201B0">
            <w:pPr>
              <w:widowControl w:val="0"/>
              <w:tabs>
                <w:tab w:val="left" w:pos="567"/>
              </w:tabs>
              <w:rPr>
                <w:sz w:val="22"/>
                <w:szCs w:val="22"/>
                <w:lang w:val="pl-PL"/>
              </w:rPr>
            </w:pPr>
            <w:r w:rsidRPr="003C4717">
              <w:rPr>
                <w:sz w:val="22"/>
                <w:szCs w:val="22"/>
                <w:lang w:val="pl-PL"/>
              </w:rPr>
              <w:t>Ostra niewydolność wątroby, zapalenie wątroby, nieprawidłowe wyniki testów czynności wątroby</w:t>
            </w:r>
          </w:p>
          <w:p w:rsidR="00403763" w:rsidRPr="003C4717" w:rsidRDefault="00403763" w:rsidP="006201B0">
            <w:pPr>
              <w:widowControl w:val="0"/>
              <w:tabs>
                <w:tab w:val="left" w:pos="567"/>
              </w:tabs>
              <w:rPr>
                <w:sz w:val="22"/>
                <w:szCs w:val="22"/>
                <w:lang w:val="pl-PL"/>
              </w:rPr>
            </w:pPr>
          </w:p>
        </w:tc>
      </w:tr>
      <w:tr w:rsidR="00403763" w:rsidRPr="00A64B0E"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Zaburzenia skóry i tkanki podskórnej</w:t>
            </w:r>
          </w:p>
        </w:tc>
        <w:tc>
          <w:tcPr>
            <w:tcW w:w="1475" w:type="dxa"/>
            <w:gridSpan w:val="2"/>
          </w:tcPr>
          <w:p w:rsidR="00403763" w:rsidRPr="003C4717" w:rsidRDefault="00403763" w:rsidP="006201B0">
            <w:pPr>
              <w:widowControl w:val="0"/>
              <w:tabs>
                <w:tab w:val="left" w:pos="567"/>
              </w:tabs>
              <w:rPr>
                <w:sz w:val="22"/>
                <w:lang w:val="pl-PL"/>
              </w:rPr>
            </w:pPr>
            <w:r w:rsidRPr="003C4717">
              <w:rPr>
                <w:sz w:val="22"/>
                <w:lang w:val="pl-PL"/>
              </w:rPr>
              <w:t>Siniak</w:t>
            </w:r>
          </w:p>
        </w:tc>
        <w:tc>
          <w:tcPr>
            <w:tcW w:w="1963" w:type="dxa"/>
          </w:tcPr>
          <w:p w:rsidR="00403763" w:rsidRPr="003C4717" w:rsidRDefault="00403763" w:rsidP="006201B0">
            <w:pPr>
              <w:widowControl w:val="0"/>
              <w:tabs>
                <w:tab w:val="left" w:pos="567"/>
              </w:tabs>
              <w:rPr>
                <w:sz w:val="22"/>
                <w:lang w:val="pl-PL"/>
              </w:rPr>
            </w:pPr>
            <w:r w:rsidRPr="003C4717">
              <w:rPr>
                <w:sz w:val="22"/>
                <w:lang w:val="pl-PL"/>
              </w:rPr>
              <w:t>Wysypka, świąd, krwawienie do skóry (plamica)</w:t>
            </w:r>
          </w:p>
        </w:tc>
        <w:tc>
          <w:tcPr>
            <w:tcW w:w="1843" w:type="dxa"/>
          </w:tcPr>
          <w:p w:rsidR="00403763" w:rsidRPr="003C4717" w:rsidRDefault="00403763" w:rsidP="006201B0">
            <w:pPr>
              <w:widowControl w:val="0"/>
              <w:tabs>
                <w:tab w:val="left" w:pos="567"/>
              </w:tabs>
              <w:rPr>
                <w:sz w:val="22"/>
                <w:lang w:val="pl-PL"/>
              </w:rPr>
            </w:pPr>
          </w:p>
        </w:tc>
        <w:tc>
          <w:tcPr>
            <w:tcW w:w="2126" w:type="dxa"/>
          </w:tcPr>
          <w:p w:rsidR="00403763" w:rsidRPr="003C4717" w:rsidRDefault="00403763" w:rsidP="006201B0">
            <w:pPr>
              <w:widowControl w:val="0"/>
              <w:tabs>
                <w:tab w:val="left" w:pos="567"/>
              </w:tabs>
              <w:rPr>
                <w:sz w:val="22"/>
                <w:szCs w:val="22"/>
                <w:lang w:val="pl-PL"/>
              </w:rPr>
            </w:pPr>
            <w:r w:rsidRPr="003C4717">
              <w:rPr>
                <w:sz w:val="22"/>
                <w:szCs w:val="22"/>
                <w:lang w:val="pl-PL"/>
              </w:rPr>
              <w:t>Pęcherzowe zapalenie skóry (toksyczn</w:t>
            </w:r>
            <w:r w:rsidR="00263BD7" w:rsidRPr="003C4717">
              <w:rPr>
                <w:sz w:val="22"/>
                <w:szCs w:val="22"/>
                <w:lang w:val="pl-PL"/>
              </w:rPr>
              <w:t>e martwicze</w:t>
            </w:r>
            <w:r w:rsidR="00154F94">
              <w:rPr>
                <w:sz w:val="22"/>
                <w:szCs w:val="22"/>
                <w:lang w:val="pl-PL"/>
              </w:rPr>
              <w:t xml:space="preserve"> </w:t>
            </w:r>
            <w:r w:rsidR="00263BD7" w:rsidRPr="003C4717">
              <w:rPr>
                <w:sz w:val="22"/>
                <w:szCs w:val="22"/>
                <w:lang w:val="pl-PL"/>
              </w:rPr>
              <w:t>oddzielanie się naskórka</w:t>
            </w:r>
            <w:r w:rsidRPr="003C4717">
              <w:rPr>
                <w:sz w:val="22"/>
                <w:szCs w:val="22"/>
                <w:lang w:val="pl-PL"/>
              </w:rPr>
              <w:t xml:space="preserve">, zespół Stevensa-Johnsona, </w:t>
            </w:r>
          </w:p>
          <w:p w:rsidR="00403763" w:rsidRPr="003C4717" w:rsidRDefault="00403763" w:rsidP="006201B0">
            <w:pPr>
              <w:widowControl w:val="0"/>
              <w:tabs>
                <w:tab w:val="left" w:pos="567"/>
              </w:tabs>
              <w:rPr>
                <w:sz w:val="22"/>
                <w:lang w:val="pl-PL"/>
              </w:rPr>
            </w:pPr>
            <w:r w:rsidRPr="003C4717">
              <w:rPr>
                <w:sz w:val="22"/>
                <w:szCs w:val="22"/>
                <w:lang w:val="pl-PL"/>
              </w:rPr>
              <w:t xml:space="preserve">rumień wielopostaciowy, </w:t>
            </w:r>
            <w:r w:rsidR="004D1428" w:rsidRPr="005E100A">
              <w:rPr>
                <w:sz w:val="22"/>
                <w:szCs w:val="22"/>
                <w:lang w:val="pl-PL"/>
              </w:rPr>
              <w:t>ostra uogólniona osutka krostkowa (ang. AGEP - acute generalised exanthematous pustulosis)</w:t>
            </w:r>
            <w:r w:rsidR="005E100A" w:rsidRPr="005E100A">
              <w:rPr>
                <w:sz w:val="22"/>
                <w:szCs w:val="22"/>
                <w:lang w:val="pl-PL"/>
              </w:rPr>
              <w:t>)</w:t>
            </w:r>
            <w:r w:rsidR="004D1428" w:rsidRPr="005E100A">
              <w:rPr>
                <w:sz w:val="22"/>
                <w:szCs w:val="22"/>
                <w:lang w:val="pl-PL"/>
              </w:rPr>
              <w:t>,</w:t>
            </w:r>
            <w:r w:rsidR="004D1428">
              <w:rPr>
                <w:sz w:val="22"/>
                <w:szCs w:val="22"/>
                <w:lang w:val="pl-PL"/>
              </w:rPr>
              <w:t xml:space="preserve"> </w:t>
            </w:r>
            <w:r w:rsidR="00CD7CB9" w:rsidRPr="00CD7CB9">
              <w:rPr>
                <w:sz w:val="22"/>
                <w:szCs w:val="22"/>
                <w:lang w:val="pl-PL"/>
              </w:rPr>
              <w:t xml:space="preserve">obrzęk naczynioruchowy, </w:t>
            </w:r>
            <w:r w:rsidR="00DC5DD9">
              <w:rPr>
                <w:sz w:val="22"/>
                <w:szCs w:val="22"/>
                <w:lang w:val="pl-PL"/>
              </w:rPr>
              <w:t>zespół nadwrażliwości indukowany lekami, wysypka polekowa z eozynofilią i objawami układowymi (zespół DRESS),</w:t>
            </w:r>
            <w:r w:rsidRPr="003C4717">
              <w:rPr>
                <w:sz w:val="22"/>
                <w:szCs w:val="22"/>
                <w:lang w:val="pl-PL"/>
              </w:rPr>
              <w:t xml:space="preserve">wysypka rumieniowa, pokrzywka, wyprysk, liszaj płaski </w:t>
            </w:r>
          </w:p>
        </w:tc>
      </w:tr>
      <w:tr w:rsidR="00700C1D" w:rsidRPr="00713C98" w:rsidTr="006201B0">
        <w:tc>
          <w:tcPr>
            <w:tcW w:w="1925" w:type="dxa"/>
            <w:gridSpan w:val="2"/>
          </w:tcPr>
          <w:p w:rsidR="00700C1D" w:rsidRPr="00946533" w:rsidRDefault="00700C1D" w:rsidP="006201B0">
            <w:pPr>
              <w:widowControl w:val="0"/>
              <w:tabs>
                <w:tab w:val="left" w:pos="851"/>
                <w:tab w:val="left" w:pos="2400"/>
                <w:tab w:val="left" w:pos="7280"/>
              </w:tabs>
              <w:ind w:right="-29"/>
              <w:rPr>
                <w:sz w:val="22"/>
                <w:szCs w:val="22"/>
                <w:lang w:val="pl-PL"/>
              </w:rPr>
            </w:pPr>
            <w:r w:rsidRPr="005E100A">
              <w:rPr>
                <w:sz w:val="22"/>
                <w:szCs w:val="22"/>
                <w:lang w:val="pl-PL"/>
              </w:rPr>
              <w:t>Zaburzenia układu rozrodczego i piersi</w:t>
            </w:r>
          </w:p>
        </w:tc>
        <w:tc>
          <w:tcPr>
            <w:tcW w:w="1465" w:type="dxa"/>
          </w:tcPr>
          <w:p w:rsidR="00700C1D" w:rsidRPr="00D16878" w:rsidRDefault="00700C1D" w:rsidP="006201B0">
            <w:pPr>
              <w:widowControl w:val="0"/>
              <w:tabs>
                <w:tab w:val="left" w:pos="851"/>
                <w:tab w:val="left" w:pos="2400"/>
                <w:tab w:val="left" w:pos="7280"/>
              </w:tabs>
              <w:ind w:right="-29"/>
              <w:rPr>
                <w:sz w:val="22"/>
                <w:szCs w:val="22"/>
                <w:lang w:val="pl-PL"/>
              </w:rPr>
            </w:pPr>
          </w:p>
        </w:tc>
        <w:tc>
          <w:tcPr>
            <w:tcW w:w="1963" w:type="dxa"/>
          </w:tcPr>
          <w:p w:rsidR="00700C1D" w:rsidRPr="00BD4903" w:rsidRDefault="00700C1D" w:rsidP="006201B0">
            <w:pPr>
              <w:widowControl w:val="0"/>
              <w:tabs>
                <w:tab w:val="left" w:pos="851"/>
                <w:tab w:val="left" w:pos="2400"/>
                <w:tab w:val="left" w:pos="7280"/>
              </w:tabs>
              <w:ind w:right="-29"/>
              <w:rPr>
                <w:sz w:val="22"/>
                <w:szCs w:val="22"/>
                <w:lang w:val="pl-PL"/>
              </w:rPr>
            </w:pPr>
          </w:p>
        </w:tc>
        <w:tc>
          <w:tcPr>
            <w:tcW w:w="1843" w:type="dxa"/>
          </w:tcPr>
          <w:p w:rsidR="00700C1D" w:rsidRPr="00BD4903" w:rsidRDefault="00700C1D" w:rsidP="006201B0">
            <w:pPr>
              <w:widowControl w:val="0"/>
              <w:tabs>
                <w:tab w:val="left" w:pos="851"/>
                <w:tab w:val="left" w:pos="2400"/>
                <w:tab w:val="left" w:pos="7280"/>
              </w:tabs>
              <w:ind w:right="-108"/>
              <w:rPr>
                <w:sz w:val="22"/>
                <w:szCs w:val="22"/>
                <w:lang w:val="pl-PL"/>
              </w:rPr>
            </w:pPr>
            <w:r w:rsidRPr="00BD4903">
              <w:rPr>
                <w:sz w:val="22"/>
                <w:szCs w:val="22"/>
                <w:lang w:val="pl-PL"/>
              </w:rPr>
              <w:t>Ginekomastia</w:t>
            </w:r>
          </w:p>
        </w:tc>
        <w:tc>
          <w:tcPr>
            <w:tcW w:w="2126" w:type="dxa"/>
          </w:tcPr>
          <w:p w:rsidR="00700C1D" w:rsidRPr="00BD4903" w:rsidRDefault="00700C1D" w:rsidP="006201B0">
            <w:pPr>
              <w:widowControl w:val="0"/>
              <w:ind w:right="317"/>
              <w:rPr>
                <w:sz w:val="22"/>
                <w:szCs w:val="22"/>
                <w:lang w:val="pl-PL"/>
              </w:rPr>
            </w:pPr>
          </w:p>
        </w:tc>
      </w:tr>
      <w:tr w:rsidR="00403763" w:rsidRPr="00A64B0E" w:rsidTr="006201B0">
        <w:tc>
          <w:tcPr>
            <w:tcW w:w="1915" w:type="dxa"/>
          </w:tcPr>
          <w:p w:rsidR="00403763" w:rsidRPr="003C4717" w:rsidRDefault="00403763" w:rsidP="006201B0">
            <w:pPr>
              <w:widowControl w:val="0"/>
              <w:tabs>
                <w:tab w:val="left" w:pos="567"/>
              </w:tabs>
              <w:rPr>
                <w:sz w:val="22"/>
                <w:lang w:val="pl-PL"/>
              </w:rPr>
            </w:pPr>
            <w:r w:rsidRPr="003C4717">
              <w:rPr>
                <w:sz w:val="22"/>
                <w:szCs w:val="22"/>
                <w:lang w:val="pl-PL"/>
              </w:rPr>
              <w:t>Zaburzenia mięśniowo-szkieletowe i tkanki łącznej</w:t>
            </w:r>
          </w:p>
        </w:tc>
        <w:tc>
          <w:tcPr>
            <w:tcW w:w="1475" w:type="dxa"/>
            <w:gridSpan w:val="2"/>
          </w:tcPr>
          <w:p w:rsidR="00403763" w:rsidRPr="003C4717" w:rsidRDefault="00403763" w:rsidP="006201B0">
            <w:pPr>
              <w:widowControl w:val="0"/>
              <w:tabs>
                <w:tab w:val="left" w:pos="567"/>
              </w:tabs>
              <w:rPr>
                <w:sz w:val="22"/>
                <w:lang w:val="pl-PL"/>
              </w:rPr>
            </w:pPr>
          </w:p>
        </w:tc>
        <w:tc>
          <w:tcPr>
            <w:tcW w:w="1963" w:type="dxa"/>
          </w:tcPr>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p>
        </w:tc>
        <w:tc>
          <w:tcPr>
            <w:tcW w:w="2126" w:type="dxa"/>
          </w:tcPr>
          <w:p w:rsidR="00403763" w:rsidRPr="003C4717" w:rsidRDefault="00403763" w:rsidP="006201B0">
            <w:pPr>
              <w:widowControl w:val="0"/>
              <w:tabs>
                <w:tab w:val="left" w:pos="567"/>
              </w:tabs>
              <w:rPr>
                <w:sz w:val="22"/>
                <w:szCs w:val="22"/>
                <w:lang w:val="pl-PL"/>
              </w:rPr>
            </w:pPr>
            <w:r w:rsidRPr="003C4717">
              <w:rPr>
                <w:sz w:val="22"/>
                <w:szCs w:val="22"/>
                <w:lang w:val="pl-PL"/>
              </w:rPr>
              <w:t xml:space="preserve">Krwawienia </w:t>
            </w:r>
            <w:r w:rsidR="00263BD7" w:rsidRPr="003C4717">
              <w:rPr>
                <w:sz w:val="22"/>
                <w:szCs w:val="22"/>
                <w:lang w:val="pl-PL"/>
              </w:rPr>
              <w:t xml:space="preserve">w obrębie układu </w:t>
            </w:r>
            <w:r w:rsidRPr="003C4717">
              <w:rPr>
                <w:sz w:val="22"/>
                <w:szCs w:val="22"/>
                <w:lang w:val="pl-PL"/>
              </w:rPr>
              <w:t>mięśniowo-szkieletowe</w:t>
            </w:r>
            <w:r w:rsidR="00263BD7" w:rsidRPr="003C4717">
              <w:rPr>
                <w:sz w:val="22"/>
                <w:szCs w:val="22"/>
                <w:lang w:val="pl-PL"/>
              </w:rPr>
              <w:t>go</w:t>
            </w:r>
            <w:r w:rsidRPr="003C4717">
              <w:rPr>
                <w:sz w:val="22"/>
                <w:szCs w:val="22"/>
                <w:lang w:val="pl-PL"/>
              </w:rPr>
              <w:t xml:space="preserve"> (krwawienia dostawowe), zapalenie stawów, bóle stawów, bóle mięśniowe</w:t>
            </w:r>
          </w:p>
        </w:tc>
      </w:tr>
      <w:tr w:rsidR="00403763" w:rsidRPr="00A64B0E" w:rsidTr="006201B0">
        <w:tc>
          <w:tcPr>
            <w:tcW w:w="1915" w:type="dxa"/>
          </w:tcPr>
          <w:p w:rsidR="00403763" w:rsidRPr="003C4717" w:rsidRDefault="00403763" w:rsidP="006201B0">
            <w:pPr>
              <w:widowControl w:val="0"/>
              <w:tabs>
                <w:tab w:val="left" w:pos="567"/>
              </w:tabs>
              <w:rPr>
                <w:b/>
                <w:sz w:val="22"/>
                <w:lang w:val="pl-PL"/>
              </w:rPr>
            </w:pPr>
            <w:r w:rsidRPr="003C4717">
              <w:rPr>
                <w:sz w:val="22"/>
                <w:szCs w:val="22"/>
                <w:lang w:val="pl-PL"/>
              </w:rPr>
              <w:t>Zaburzenia nerek i dróg moczowych</w:t>
            </w:r>
          </w:p>
        </w:tc>
        <w:tc>
          <w:tcPr>
            <w:tcW w:w="1475" w:type="dxa"/>
            <w:gridSpan w:val="2"/>
          </w:tcPr>
          <w:p w:rsidR="00403763" w:rsidRPr="003C4717" w:rsidRDefault="00403763" w:rsidP="006201B0">
            <w:pPr>
              <w:widowControl w:val="0"/>
              <w:tabs>
                <w:tab w:val="left" w:pos="567"/>
              </w:tabs>
              <w:rPr>
                <w:b/>
                <w:sz w:val="22"/>
                <w:lang w:val="pl-PL"/>
              </w:rPr>
            </w:pPr>
          </w:p>
        </w:tc>
        <w:tc>
          <w:tcPr>
            <w:tcW w:w="1963" w:type="dxa"/>
          </w:tcPr>
          <w:p w:rsidR="00403763" w:rsidRPr="003C4717" w:rsidRDefault="00403763" w:rsidP="006201B0">
            <w:pPr>
              <w:widowControl w:val="0"/>
              <w:tabs>
                <w:tab w:val="left" w:pos="567"/>
              </w:tabs>
              <w:rPr>
                <w:sz w:val="22"/>
                <w:lang w:val="pl-PL"/>
              </w:rPr>
            </w:pPr>
            <w:r w:rsidRPr="003C4717">
              <w:rPr>
                <w:sz w:val="22"/>
                <w:lang w:val="pl-PL"/>
              </w:rPr>
              <w:t>Krwiomocz</w:t>
            </w:r>
          </w:p>
        </w:tc>
        <w:tc>
          <w:tcPr>
            <w:tcW w:w="1843" w:type="dxa"/>
          </w:tcPr>
          <w:p w:rsidR="00403763" w:rsidRPr="003C4717" w:rsidRDefault="00403763" w:rsidP="006201B0">
            <w:pPr>
              <w:widowControl w:val="0"/>
              <w:tabs>
                <w:tab w:val="left" w:pos="567"/>
              </w:tabs>
              <w:rPr>
                <w:b/>
                <w:sz w:val="22"/>
                <w:lang w:val="pl-PL"/>
              </w:rPr>
            </w:pPr>
          </w:p>
        </w:tc>
        <w:tc>
          <w:tcPr>
            <w:tcW w:w="2126" w:type="dxa"/>
          </w:tcPr>
          <w:p w:rsidR="00403763" w:rsidRPr="003C4717" w:rsidRDefault="00403763" w:rsidP="006201B0">
            <w:pPr>
              <w:widowControl w:val="0"/>
              <w:tabs>
                <w:tab w:val="left" w:pos="567"/>
              </w:tabs>
              <w:rPr>
                <w:b/>
                <w:sz w:val="22"/>
                <w:lang w:val="pl-PL"/>
              </w:rPr>
            </w:pPr>
            <w:r w:rsidRPr="003C4717">
              <w:rPr>
                <w:sz w:val="22"/>
                <w:szCs w:val="22"/>
                <w:lang w:val="pl-PL"/>
              </w:rPr>
              <w:t>Zapalenie kłębuszkowe nerek, zwiększenie stężenia kreatyniny we krwi,</w:t>
            </w:r>
          </w:p>
        </w:tc>
      </w:tr>
      <w:tr w:rsidR="00403763" w:rsidRPr="003C4717" w:rsidTr="006201B0">
        <w:tc>
          <w:tcPr>
            <w:tcW w:w="1915" w:type="dxa"/>
          </w:tcPr>
          <w:p w:rsidR="00403763" w:rsidRPr="003C4717" w:rsidRDefault="00403763" w:rsidP="006201B0">
            <w:pPr>
              <w:widowControl w:val="0"/>
              <w:tabs>
                <w:tab w:val="left" w:pos="567"/>
              </w:tabs>
              <w:rPr>
                <w:sz w:val="22"/>
                <w:szCs w:val="22"/>
                <w:lang w:val="pl-PL"/>
              </w:rPr>
            </w:pPr>
            <w:r w:rsidRPr="003C4717">
              <w:rPr>
                <w:sz w:val="22"/>
                <w:szCs w:val="22"/>
                <w:lang w:val="pl-PL"/>
              </w:rPr>
              <w:t>Zaburzenia ogólne i stany w miejscu podania</w:t>
            </w:r>
          </w:p>
        </w:tc>
        <w:tc>
          <w:tcPr>
            <w:tcW w:w="1475" w:type="dxa"/>
            <w:gridSpan w:val="2"/>
          </w:tcPr>
          <w:p w:rsidR="00403763" w:rsidRPr="003C4717" w:rsidRDefault="00403763" w:rsidP="006201B0">
            <w:pPr>
              <w:widowControl w:val="0"/>
              <w:tabs>
                <w:tab w:val="left" w:pos="567"/>
              </w:tabs>
              <w:rPr>
                <w:sz w:val="22"/>
                <w:lang w:val="pl-PL"/>
              </w:rPr>
            </w:pPr>
            <w:r w:rsidRPr="003C4717">
              <w:rPr>
                <w:sz w:val="22"/>
                <w:lang w:val="pl-PL"/>
              </w:rPr>
              <w:t>Krwawienie w miejscu wkłucia</w:t>
            </w:r>
          </w:p>
        </w:tc>
        <w:tc>
          <w:tcPr>
            <w:tcW w:w="1963" w:type="dxa"/>
          </w:tcPr>
          <w:p w:rsidR="00403763" w:rsidRPr="003C4717" w:rsidRDefault="00403763" w:rsidP="006201B0">
            <w:pPr>
              <w:widowControl w:val="0"/>
              <w:tabs>
                <w:tab w:val="left" w:pos="567"/>
              </w:tabs>
              <w:rPr>
                <w:b/>
                <w:sz w:val="22"/>
                <w:lang w:val="pl-PL"/>
              </w:rPr>
            </w:pPr>
          </w:p>
        </w:tc>
        <w:tc>
          <w:tcPr>
            <w:tcW w:w="1843" w:type="dxa"/>
          </w:tcPr>
          <w:p w:rsidR="00403763" w:rsidRPr="003C4717" w:rsidRDefault="00403763" w:rsidP="006201B0">
            <w:pPr>
              <w:widowControl w:val="0"/>
              <w:tabs>
                <w:tab w:val="left" w:pos="567"/>
              </w:tabs>
              <w:rPr>
                <w:b/>
                <w:sz w:val="22"/>
                <w:lang w:val="pl-PL"/>
              </w:rPr>
            </w:pPr>
          </w:p>
        </w:tc>
        <w:tc>
          <w:tcPr>
            <w:tcW w:w="2126" w:type="dxa"/>
          </w:tcPr>
          <w:p w:rsidR="00403763" w:rsidRPr="003C4717" w:rsidRDefault="00403763" w:rsidP="006201B0">
            <w:pPr>
              <w:widowControl w:val="0"/>
              <w:tabs>
                <w:tab w:val="left" w:pos="567"/>
              </w:tabs>
              <w:rPr>
                <w:sz w:val="22"/>
                <w:szCs w:val="22"/>
                <w:lang w:val="pl-PL"/>
              </w:rPr>
            </w:pPr>
            <w:r w:rsidRPr="003C4717">
              <w:rPr>
                <w:sz w:val="22"/>
                <w:szCs w:val="22"/>
                <w:lang w:val="pl-PL"/>
              </w:rPr>
              <w:t>Gorączka</w:t>
            </w:r>
          </w:p>
        </w:tc>
      </w:tr>
      <w:tr w:rsidR="00403763" w:rsidRPr="00A64B0E" w:rsidTr="006201B0">
        <w:tc>
          <w:tcPr>
            <w:tcW w:w="1915" w:type="dxa"/>
          </w:tcPr>
          <w:p w:rsidR="00403763" w:rsidRPr="003C4717" w:rsidRDefault="00403763" w:rsidP="006201B0">
            <w:pPr>
              <w:widowControl w:val="0"/>
              <w:tabs>
                <w:tab w:val="left" w:pos="567"/>
              </w:tabs>
              <w:rPr>
                <w:sz w:val="22"/>
                <w:lang w:val="pl-PL"/>
              </w:rPr>
            </w:pPr>
            <w:r w:rsidRPr="003C4717">
              <w:rPr>
                <w:sz w:val="22"/>
                <w:lang w:val="pl-PL"/>
              </w:rPr>
              <w:t>Badania diagnostyczne</w:t>
            </w:r>
          </w:p>
        </w:tc>
        <w:tc>
          <w:tcPr>
            <w:tcW w:w="1475" w:type="dxa"/>
            <w:gridSpan w:val="2"/>
          </w:tcPr>
          <w:p w:rsidR="00403763" w:rsidRPr="003C4717" w:rsidRDefault="00403763" w:rsidP="006201B0">
            <w:pPr>
              <w:widowControl w:val="0"/>
              <w:tabs>
                <w:tab w:val="left" w:pos="567"/>
              </w:tabs>
              <w:rPr>
                <w:sz w:val="22"/>
                <w:lang w:val="pl-PL"/>
              </w:rPr>
            </w:pPr>
          </w:p>
        </w:tc>
        <w:tc>
          <w:tcPr>
            <w:tcW w:w="1963" w:type="dxa"/>
          </w:tcPr>
          <w:p w:rsidR="00403763" w:rsidRPr="003C4717" w:rsidRDefault="00403763" w:rsidP="006201B0">
            <w:pPr>
              <w:widowControl w:val="0"/>
              <w:tabs>
                <w:tab w:val="left" w:pos="567"/>
              </w:tabs>
              <w:rPr>
                <w:sz w:val="22"/>
                <w:lang w:val="pl-PL"/>
              </w:rPr>
            </w:pPr>
            <w:r w:rsidRPr="003C4717">
              <w:rPr>
                <w:sz w:val="22"/>
                <w:lang w:val="pl-PL"/>
              </w:rPr>
              <w:t>Wydłużenie czasu krwawienia, zmniejszenie liczby neutrofili, zmniejszenie liczby płytek</w:t>
            </w:r>
          </w:p>
          <w:p w:rsidR="00403763" w:rsidRPr="003C4717" w:rsidRDefault="00403763" w:rsidP="006201B0">
            <w:pPr>
              <w:widowControl w:val="0"/>
              <w:tabs>
                <w:tab w:val="left" w:pos="567"/>
              </w:tabs>
              <w:rPr>
                <w:sz w:val="22"/>
                <w:lang w:val="pl-PL"/>
              </w:rPr>
            </w:pPr>
          </w:p>
        </w:tc>
        <w:tc>
          <w:tcPr>
            <w:tcW w:w="1843" w:type="dxa"/>
          </w:tcPr>
          <w:p w:rsidR="00403763" w:rsidRPr="003C4717" w:rsidRDefault="00403763" w:rsidP="006201B0">
            <w:pPr>
              <w:widowControl w:val="0"/>
              <w:tabs>
                <w:tab w:val="left" w:pos="567"/>
              </w:tabs>
              <w:rPr>
                <w:sz w:val="22"/>
                <w:lang w:val="pl-PL"/>
              </w:rPr>
            </w:pPr>
          </w:p>
        </w:tc>
        <w:tc>
          <w:tcPr>
            <w:tcW w:w="2126" w:type="dxa"/>
          </w:tcPr>
          <w:p w:rsidR="00403763" w:rsidRPr="003C4717" w:rsidRDefault="00403763" w:rsidP="006201B0">
            <w:pPr>
              <w:widowControl w:val="0"/>
              <w:tabs>
                <w:tab w:val="left" w:pos="567"/>
              </w:tabs>
              <w:rPr>
                <w:sz w:val="22"/>
                <w:lang w:val="pl-PL"/>
              </w:rPr>
            </w:pPr>
          </w:p>
        </w:tc>
      </w:tr>
    </w:tbl>
    <w:p w:rsidR="00A45CB5" w:rsidRPr="00344BAE" w:rsidRDefault="00A45CB5" w:rsidP="00A45CB5">
      <w:pPr>
        <w:rPr>
          <w:sz w:val="22"/>
          <w:szCs w:val="22"/>
          <w:lang w:val="pl-PL"/>
        </w:rPr>
      </w:pPr>
      <w:r w:rsidRPr="00344BAE">
        <w:rPr>
          <w:sz w:val="22"/>
          <w:szCs w:val="22"/>
          <w:lang w:val="pl-PL"/>
        </w:rPr>
        <w:t>* Informacje odnoszące się do klopidogrelu z częstością wyst</w:t>
      </w:r>
      <w:r>
        <w:rPr>
          <w:sz w:val="22"/>
          <w:szCs w:val="22"/>
          <w:lang w:val="pl-PL"/>
        </w:rPr>
        <w:t>ę</w:t>
      </w:r>
      <w:r w:rsidRPr="00344BAE">
        <w:rPr>
          <w:sz w:val="22"/>
          <w:szCs w:val="22"/>
          <w:lang w:val="pl-PL"/>
        </w:rPr>
        <w:t xml:space="preserve">powania </w:t>
      </w:r>
      <w:r>
        <w:rPr>
          <w:sz w:val="22"/>
          <w:szCs w:val="22"/>
          <w:lang w:val="pl-PL"/>
        </w:rPr>
        <w:t>„</w:t>
      </w:r>
      <w:r w:rsidRPr="00B72258">
        <w:rPr>
          <w:sz w:val="22"/>
          <w:szCs w:val="22"/>
          <w:lang w:val="pl-PL"/>
        </w:rPr>
        <w:t>nie</w:t>
      </w:r>
      <w:r w:rsidRPr="00344BAE">
        <w:rPr>
          <w:sz w:val="22"/>
          <w:szCs w:val="22"/>
          <w:lang w:val="pl-PL"/>
        </w:rPr>
        <w:t>znana”.</w:t>
      </w:r>
    </w:p>
    <w:p w:rsidR="00BC4936" w:rsidRDefault="00BC4936">
      <w:pPr>
        <w:pStyle w:val="BodyText2"/>
        <w:tabs>
          <w:tab w:val="clear" w:pos="360"/>
          <w:tab w:val="left" w:pos="567"/>
        </w:tabs>
        <w:spacing w:line="240" w:lineRule="auto"/>
        <w:rPr>
          <w:rFonts w:ascii="Times New Roman" w:hAnsi="Times New Roman"/>
          <w:sz w:val="22"/>
          <w:lang w:val="pl-PL"/>
        </w:rPr>
      </w:pPr>
    </w:p>
    <w:p w:rsidR="000F7CD8" w:rsidRPr="001D77E5" w:rsidRDefault="000F7CD8" w:rsidP="00BD6C12">
      <w:pPr>
        <w:keepNext/>
        <w:rPr>
          <w:sz w:val="22"/>
          <w:szCs w:val="22"/>
          <w:u w:val="single"/>
          <w:lang w:val="pl-PL"/>
        </w:rPr>
      </w:pPr>
      <w:r w:rsidRPr="001D77E5">
        <w:rPr>
          <w:sz w:val="22"/>
          <w:szCs w:val="22"/>
          <w:u w:val="single"/>
          <w:lang w:val="pl-PL"/>
        </w:rPr>
        <w:t>Zgłaszanie podejrzewanych działań niepożądanych</w:t>
      </w:r>
    </w:p>
    <w:p w:rsidR="000F7CD8" w:rsidRPr="00A45CB5" w:rsidRDefault="000F7CD8" w:rsidP="00BD6C12">
      <w:pPr>
        <w:keepNext/>
        <w:rPr>
          <w:rFonts w:ascii="Calibri" w:hAnsi="Calibri"/>
          <w:sz w:val="22"/>
          <w:szCs w:val="22"/>
          <w:lang w:val="pl-PL"/>
        </w:rPr>
      </w:pPr>
      <w:r w:rsidRPr="001D77E5">
        <w:rPr>
          <w:sz w:val="22"/>
          <w:szCs w:val="22"/>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00A45CB5" w:rsidRPr="00AE05B3">
        <w:rPr>
          <w:sz w:val="22"/>
          <w:szCs w:val="22"/>
          <w:highlight w:val="lightGray"/>
          <w:lang w:val="pl-PL"/>
        </w:rPr>
        <w:t xml:space="preserve">krajowego systemu zgłaszania wymienionego w </w:t>
      </w:r>
      <w:hyperlink r:id="rId11" w:history="1">
        <w:r w:rsidR="00B85B91" w:rsidRPr="00AE05B3">
          <w:rPr>
            <w:color w:val="0000FF"/>
            <w:sz w:val="22"/>
            <w:highlight w:val="lightGray"/>
            <w:u w:val="single"/>
            <w:lang w:val="pl-PL" w:eastAsia="en-US"/>
          </w:rPr>
          <w:t>załączniku V</w:t>
        </w:r>
      </w:hyperlink>
      <w:r w:rsidR="00A45CB5" w:rsidRPr="00AE05B3">
        <w:rPr>
          <w:sz w:val="22"/>
          <w:szCs w:val="22"/>
          <w:highlight w:val="lightGray"/>
          <w:lang w:val="pl-PL"/>
        </w:rPr>
        <w:t>.</w:t>
      </w:r>
      <w:r w:rsidRPr="001D77E5">
        <w:rPr>
          <w:sz w:val="22"/>
          <w:szCs w:val="22"/>
          <w:lang w:val="pl-PL"/>
        </w:rPr>
        <w:t xml:space="preserve"> </w:t>
      </w:r>
    </w:p>
    <w:p w:rsidR="00BC4936" w:rsidRPr="00A64B0E" w:rsidRDefault="00BC4936" w:rsidP="004126DB">
      <w:pPr>
        <w:pStyle w:val="BodyText2"/>
        <w:tabs>
          <w:tab w:val="clear" w:pos="360"/>
          <w:tab w:val="left" w:pos="567"/>
        </w:tabs>
        <w:spacing w:line="240" w:lineRule="auto"/>
        <w:rPr>
          <w:rFonts w:ascii="Times New Roman" w:hAnsi="Times New Roman"/>
          <w:sz w:val="22"/>
          <w:szCs w:val="22"/>
          <w:lang w:val="pl-PL"/>
        </w:rPr>
      </w:pPr>
    </w:p>
    <w:p w:rsidR="00BC4936" w:rsidRDefault="00BC4936">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4.9</w:t>
      </w:r>
      <w:r>
        <w:rPr>
          <w:rFonts w:ascii="Times New Roman" w:hAnsi="Times New Roman"/>
          <w:i w:val="0"/>
          <w:sz w:val="22"/>
          <w:lang w:val="pl-PL"/>
        </w:rPr>
        <w:tab/>
        <w:t>Przedawkowanie</w:t>
      </w:r>
    </w:p>
    <w:p w:rsidR="00BC4936" w:rsidRDefault="00BC4936">
      <w:pPr>
        <w:rPr>
          <w:sz w:val="22"/>
          <w:lang w:val="pl-PL"/>
        </w:rPr>
      </w:pPr>
    </w:p>
    <w:p w:rsidR="00BC4936" w:rsidRDefault="00BC4936">
      <w:pPr>
        <w:pStyle w:val="BodyText2"/>
        <w:tabs>
          <w:tab w:val="clear" w:pos="360"/>
          <w:tab w:val="left" w:pos="567"/>
        </w:tabs>
        <w:spacing w:line="240" w:lineRule="auto"/>
        <w:rPr>
          <w:rFonts w:ascii="Times New Roman" w:hAnsi="Times New Roman"/>
          <w:sz w:val="22"/>
          <w:lang w:val="pl-PL"/>
        </w:rPr>
      </w:pPr>
      <w:r>
        <w:rPr>
          <w:rFonts w:ascii="Times New Roman" w:hAnsi="Times New Roman"/>
          <w:sz w:val="22"/>
          <w:lang w:val="pl-PL"/>
        </w:rPr>
        <w:t>Przedawkowanie w następstwie podawania klopidogrelu może prowadzić do wydłużenia czasu krwawienia i wynikających z tego powikłań w postaci krwawień. W przypadku zaobserwowania krwawień należy rozważyć zastosowanie odpowiedniego leczenia.</w:t>
      </w:r>
    </w:p>
    <w:p w:rsidR="00BC4936" w:rsidRDefault="00BC4936">
      <w:pPr>
        <w:pStyle w:val="BodyText2"/>
        <w:tabs>
          <w:tab w:val="clear" w:pos="360"/>
          <w:tab w:val="left" w:pos="567"/>
        </w:tabs>
        <w:spacing w:line="240" w:lineRule="auto"/>
        <w:rPr>
          <w:rFonts w:ascii="Times New Roman" w:hAnsi="Times New Roman"/>
          <w:sz w:val="22"/>
          <w:lang w:val="pl-PL"/>
        </w:rPr>
      </w:pPr>
      <w:r>
        <w:rPr>
          <w:rFonts w:ascii="Times New Roman" w:hAnsi="Times New Roman"/>
          <w:sz w:val="22"/>
          <w:lang w:val="pl-PL"/>
        </w:rPr>
        <w:t>Nie znaleziono antidotum dla farmakologicznego działania klopidogrelu. Jeśli wymagana jest szybka korekcja wydłużonego czasu krwawienia, to przetoczenie masy płytkowej może odwrócić działania klopidogrelu.</w:t>
      </w:r>
    </w:p>
    <w:p w:rsidR="00BC4936" w:rsidRDefault="00BC4936">
      <w:pPr>
        <w:pStyle w:val="BodyText2"/>
        <w:tabs>
          <w:tab w:val="clear" w:pos="360"/>
          <w:tab w:val="left" w:pos="567"/>
        </w:tabs>
        <w:spacing w:line="240" w:lineRule="auto"/>
        <w:rPr>
          <w:rFonts w:ascii="Times New Roman" w:hAnsi="Times New Roman"/>
          <w:sz w:val="22"/>
          <w:lang w:val="pl-PL"/>
        </w:rPr>
      </w:pPr>
    </w:p>
    <w:p w:rsidR="00DB717D" w:rsidRDefault="00DB717D">
      <w:pPr>
        <w:pStyle w:val="BodyText2"/>
        <w:tabs>
          <w:tab w:val="clear" w:pos="360"/>
          <w:tab w:val="left" w:pos="567"/>
        </w:tabs>
        <w:spacing w:line="240" w:lineRule="auto"/>
        <w:rPr>
          <w:rFonts w:ascii="Times New Roman" w:hAnsi="Times New Roman"/>
          <w:sz w:val="22"/>
          <w:lang w:val="pl-PL"/>
        </w:rPr>
      </w:pPr>
    </w:p>
    <w:p w:rsidR="00BC4936" w:rsidRDefault="00BC4936" w:rsidP="00F7287B">
      <w:pPr>
        <w:pStyle w:val="Heading2"/>
        <w:numPr>
          <w:ilvl w:val="0"/>
          <w:numId w:val="1"/>
        </w:numPr>
        <w:tabs>
          <w:tab w:val="clear" w:pos="390"/>
          <w:tab w:val="num" w:pos="0"/>
          <w:tab w:val="left" w:pos="567"/>
        </w:tabs>
        <w:spacing w:before="0" w:after="0"/>
        <w:ind w:left="0" w:firstLine="0"/>
        <w:rPr>
          <w:rFonts w:ascii="Times New Roman" w:hAnsi="Times New Roman"/>
          <w:i w:val="0"/>
          <w:sz w:val="22"/>
          <w:lang w:val="pl-PL"/>
        </w:rPr>
      </w:pPr>
      <w:r>
        <w:rPr>
          <w:rFonts w:ascii="Times New Roman" w:hAnsi="Times New Roman"/>
          <w:i w:val="0"/>
          <w:sz w:val="22"/>
          <w:lang w:val="pl-PL"/>
        </w:rPr>
        <w:t>WŁAŚCIWOŚCI FARMAKOLOGICZNE</w:t>
      </w:r>
    </w:p>
    <w:p w:rsidR="00BC4936" w:rsidRDefault="00BC4936" w:rsidP="00F7287B">
      <w:pPr>
        <w:keepNext/>
        <w:rPr>
          <w:sz w:val="22"/>
          <w:lang w:val="pl-PL"/>
        </w:rPr>
      </w:pPr>
    </w:p>
    <w:p w:rsidR="00BC4936" w:rsidRDefault="00BC4936" w:rsidP="00F7287B">
      <w:pPr>
        <w:pStyle w:val="Heading2"/>
        <w:numPr>
          <w:ilvl w:val="1"/>
          <w:numId w:val="5"/>
        </w:numPr>
        <w:tabs>
          <w:tab w:val="clear" w:pos="360"/>
          <w:tab w:val="left" w:pos="567"/>
        </w:tabs>
        <w:spacing w:before="0" w:after="0"/>
        <w:ind w:left="0" w:firstLine="0"/>
        <w:rPr>
          <w:rFonts w:ascii="Times New Roman" w:hAnsi="Times New Roman"/>
          <w:i w:val="0"/>
          <w:sz w:val="22"/>
          <w:lang w:val="pl-PL"/>
        </w:rPr>
      </w:pPr>
      <w:r>
        <w:rPr>
          <w:rFonts w:ascii="Times New Roman" w:hAnsi="Times New Roman"/>
          <w:i w:val="0"/>
          <w:sz w:val="22"/>
          <w:lang w:val="pl-PL"/>
        </w:rPr>
        <w:t>Właściwości farmakodynamiczne</w:t>
      </w:r>
    </w:p>
    <w:p w:rsidR="00BC4936" w:rsidRDefault="00BC4936" w:rsidP="00F7287B">
      <w:pPr>
        <w:keepNext/>
        <w:rPr>
          <w:sz w:val="22"/>
          <w:lang w:val="pl-PL"/>
        </w:rPr>
      </w:pPr>
    </w:p>
    <w:p w:rsidR="00BC4936" w:rsidRDefault="00BC4936" w:rsidP="00F7287B">
      <w:pPr>
        <w:keepNext/>
        <w:tabs>
          <w:tab w:val="left" w:pos="567"/>
        </w:tabs>
        <w:rPr>
          <w:sz w:val="22"/>
          <w:lang w:val="pl-PL"/>
        </w:rPr>
      </w:pPr>
      <w:r>
        <w:rPr>
          <w:sz w:val="22"/>
          <w:lang w:val="pl-PL"/>
        </w:rPr>
        <w:t>Grupa farmakoterapeutyczna: inhibitory agregacji płytek z wyłączeniem heparyny,</w:t>
      </w:r>
    </w:p>
    <w:p w:rsidR="00BC4936" w:rsidRDefault="00BC4936" w:rsidP="00F7287B">
      <w:pPr>
        <w:keepNext/>
        <w:tabs>
          <w:tab w:val="left" w:pos="567"/>
        </w:tabs>
        <w:rPr>
          <w:sz w:val="22"/>
          <w:lang w:val="pl-PL"/>
        </w:rPr>
      </w:pPr>
      <w:r>
        <w:rPr>
          <w:sz w:val="22"/>
          <w:lang w:val="pl-PL"/>
        </w:rPr>
        <w:t>Kod ATC: B01AC04.</w:t>
      </w:r>
    </w:p>
    <w:p w:rsidR="00BC4936" w:rsidRDefault="00BC4936" w:rsidP="00EF4F42">
      <w:pPr>
        <w:pStyle w:val="BodyText2"/>
        <w:tabs>
          <w:tab w:val="clear" w:pos="360"/>
          <w:tab w:val="left" w:pos="567"/>
        </w:tabs>
        <w:spacing w:line="240" w:lineRule="auto"/>
        <w:rPr>
          <w:rFonts w:ascii="Times New Roman" w:hAnsi="Times New Roman"/>
          <w:sz w:val="22"/>
          <w:szCs w:val="22"/>
          <w:lang w:val="pl-PL"/>
        </w:rPr>
      </w:pPr>
    </w:p>
    <w:p w:rsidR="00F75873" w:rsidRPr="006875B4" w:rsidRDefault="00F75873" w:rsidP="00F75873">
      <w:pPr>
        <w:numPr>
          <w:ilvl w:val="12"/>
          <w:numId w:val="0"/>
        </w:numPr>
        <w:rPr>
          <w:i/>
          <w:sz w:val="22"/>
          <w:szCs w:val="22"/>
          <w:lang w:val="pl-PL"/>
        </w:rPr>
      </w:pPr>
      <w:r>
        <w:rPr>
          <w:i/>
          <w:sz w:val="22"/>
          <w:szCs w:val="22"/>
          <w:lang w:val="pl-PL"/>
        </w:rPr>
        <w:t>Mechanizm</w:t>
      </w:r>
      <w:r w:rsidRPr="006875B4">
        <w:rPr>
          <w:i/>
          <w:sz w:val="22"/>
          <w:szCs w:val="22"/>
          <w:lang w:val="pl-PL"/>
        </w:rPr>
        <w:t xml:space="preserve"> działania</w:t>
      </w:r>
    </w:p>
    <w:p w:rsidR="00F75873" w:rsidRPr="00EF4F42" w:rsidRDefault="00F75873" w:rsidP="00EF4F42">
      <w:pPr>
        <w:pStyle w:val="BodyText2"/>
        <w:tabs>
          <w:tab w:val="clear" w:pos="360"/>
          <w:tab w:val="left" w:pos="567"/>
        </w:tabs>
        <w:spacing w:line="240" w:lineRule="auto"/>
        <w:rPr>
          <w:rFonts w:ascii="Times New Roman" w:hAnsi="Times New Roman"/>
          <w:sz w:val="22"/>
          <w:szCs w:val="22"/>
          <w:lang w:val="pl-PL"/>
        </w:rPr>
      </w:pPr>
    </w:p>
    <w:p w:rsidR="00A758C7" w:rsidRPr="00EF4F42" w:rsidRDefault="00A758C7" w:rsidP="00EF4F42">
      <w:pPr>
        <w:rPr>
          <w:sz w:val="22"/>
          <w:szCs w:val="22"/>
          <w:lang w:val="pl-PL"/>
        </w:rPr>
      </w:pPr>
      <w:r w:rsidRPr="00EF4F42">
        <w:rPr>
          <w:sz w:val="22"/>
          <w:szCs w:val="22"/>
          <w:lang w:val="pl-PL"/>
        </w:rPr>
        <w:t xml:space="preserve">Klopidogrel jest prolekiem, a jeden z jego </w:t>
      </w:r>
      <w:r w:rsidR="00253BDF">
        <w:rPr>
          <w:sz w:val="22"/>
          <w:szCs w:val="22"/>
          <w:lang w:val="pl-PL"/>
        </w:rPr>
        <w:t>czynnych</w:t>
      </w:r>
      <w:r w:rsidR="00253BDF" w:rsidRPr="00EF4F42">
        <w:rPr>
          <w:sz w:val="22"/>
          <w:szCs w:val="22"/>
          <w:lang w:val="pl-PL"/>
        </w:rPr>
        <w:t xml:space="preserve"> </w:t>
      </w:r>
      <w:r w:rsidRPr="00EF4F42">
        <w:rPr>
          <w:sz w:val="22"/>
          <w:szCs w:val="22"/>
          <w:lang w:val="pl-PL"/>
        </w:rPr>
        <w:t>metabolitów hamuje agregację płytek krwi. Aby</w:t>
      </w:r>
      <w:r w:rsidR="00DB717D">
        <w:rPr>
          <w:sz w:val="22"/>
          <w:lang w:val="pl-PL"/>
        </w:rPr>
        <w:t> </w:t>
      </w:r>
      <w:r w:rsidRPr="00EF4F42">
        <w:rPr>
          <w:sz w:val="22"/>
          <w:szCs w:val="22"/>
          <w:lang w:val="pl-PL"/>
        </w:rPr>
        <w:t xml:space="preserve">powstał czynny metabolit klopidogrelu o działaniu hamującym agregację płytek klopidogrel musi zostać zmetabolizowany przez enzymy cytochromu CYP450. </w:t>
      </w:r>
      <w:r w:rsidR="00253BDF">
        <w:rPr>
          <w:sz w:val="22"/>
          <w:szCs w:val="22"/>
          <w:lang w:val="pl-PL"/>
        </w:rPr>
        <w:t>Czynny</w:t>
      </w:r>
      <w:r w:rsidRPr="00EF4F42">
        <w:rPr>
          <w:sz w:val="22"/>
          <w:szCs w:val="22"/>
          <w:lang w:val="pl-PL"/>
        </w:rPr>
        <w:t xml:space="preserve"> metabolit klopidogrelu wybiórczo hamuje wiązanie difosforanu adenozyny (ADP) z jego receptorem płytkowym P2Y</w:t>
      </w:r>
      <w:r w:rsidRPr="00EF4F42">
        <w:rPr>
          <w:sz w:val="22"/>
          <w:szCs w:val="22"/>
          <w:vertAlign w:val="subscript"/>
          <w:lang w:val="pl-PL"/>
        </w:rPr>
        <w:t>12</w:t>
      </w:r>
      <w:r w:rsidRPr="00EF4F42">
        <w:rPr>
          <w:sz w:val="22"/>
          <w:szCs w:val="22"/>
          <w:lang w:val="pl-PL"/>
        </w:rPr>
        <w:t xml:space="preserve"> i</w:t>
      </w:r>
      <w:r w:rsidR="002C7A00">
        <w:rPr>
          <w:sz w:val="22"/>
          <w:szCs w:val="22"/>
          <w:lang w:val="pl-PL"/>
        </w:rPr>
        <w:t> </w:t>
      </w:r>
      <w:r w:rsidRPr="00EF4F42">
        <w:rPr>
          <w:sz w:val="22"/>
          <w:szCs w:val="22"/>
          <w:lang w:val="pl-PL"/>
        </w:rPr>
        <w:t>dalszą aktywację kompleksu glikoprotein GPIIb/IIIa, w której pośredniczy ADP, co powoduje zahamowanie agregacji płytek krwi. Z uwagi na nie</w:t>
      </w:r>
      <w:r w:rsidR="00311D81">
        <w:rPr>
          <w:sz w:val="22"/>
          <w:szCs w:val="22"/>
          <w:lang w:val="pl-PL"/>
        </w:rPr>
        <w:t>o</w:t>
      </w:r>
      <w:r w:rsidRPr="00EF4F42">
        <w:rPr>
          <w:sz w:val="22"/>
          <w:szCs w:val="22"/>
          <w:lang w:val="pl-PL"/>
        </w:rPr>
        <w:t>dwracalny charakter modyfikacji receptora płytkowego płytki poddane działaniu klopidogrelu pozostają pod jego wpływem przez resztę życia (około 7-10 dni), a powrót prawidłowej czynności płytek krwi występuje z szybkością zgodną z</w:t>
      </w:r>
      <w:r w:rsidR="00DB717D">
        <w:rPr>
          <w:sz w:val="22"/>
          <w:lang w:val="pl-PL"/>
        </w:rPr>
        <w:t> </w:t>
      </w:r>
      <w:r w:rsidRPr="00EF4F42">
        <w:rPr>
          <w:sz w:val="22"/>
          <w:szCs w:val="22"/>
          <w:lang w:val="pl-PL"/>
        </w:rPr>
        <w:t xml:space="preserve">obrotem płytek w ustroju. Klopidogrel hamuje również agregację płytek krwi indukowaną przez innych agonistów niż ADP, poprzez zablokowanie nasilonej aktywacji płytek krwi przez uwolniony ADP. </w:t>
      </w:r>
    </w:p>
    <w:p w:rsidR="00A758C7" w:rsidRPr="00EF4F42" w:rsidRDefault="00A758C7" w:rsidP="00EF4F42">
      <w:pPr>
        <w:rPr>
          <w:sz w:val="22"/>
          <w:szCs w:val="22"/>
          <w:lang w:val="pl-PL"/>
        </w:rPr>
      </w:pPr>
    </w:p>
    <w:p w:rsidR="00A758C7" w:rsidRPr="00A758C7" w:rsidRDefault="00A758C7" w:rsidP="00EF4F42">
      <w:pPr>
        <w:rPr>
          <w:lang w:val="pl-PL"/>
        </w:rPr>
      </w:pPr>
      <w:r w:rsidRPr="00EF4F42">
        <w:rPr>
          <w:sz w:val="22"/>
          <w:szCs w:val="22"/>
          <w:lang w:val="pl-PL"/>
        </w:rPr>
        <w:t xml:space="preserve">Ponieważ </w:t>
      </w:r>
      <w:r w:rsidR="00253BDF">
        <w:rPr>
          <w:sz w:val="22"/>
          <w:szCs w:val="22"/>
          <w:lang w:val="pl-PL"/>
        </w:rPr>
        <w:t>czynny</w:t>
      </w:r>
      <w:r w:rsidRPr="00EF4F42">
        <w:rPr>
          <w:sz w:val="22"/>
          <w:szCs w:val="22"/>
          <w:lang w:val="pl-PL"/>
        </w:rPr>
        <w:t xml:space="preserve"> metabolit klopidogrelu powstaje na skutek metabolizmu regulowanego przez enzymy CYP450, z których część wykazuje polimorfizm lub ich aktywność może być zahamowana przez inne </w:t>
      </w:r>
      <w:r w:rsidR="0011707A">
        <w:rPr>
          <w:sz w:val="22"/>
          <w:szCs w:val="22"/>
          <w:lang w:val="pl-PL"/>
        </w:rPr>
        <w:t>produkty lecznicze</w:t>
      </w:r>
      <w:r w:rsidRPr="00EF4F42">
        <w:rPr>
          <w:sz w:val="22"/>
          <w:szCs w:val="22"/>
          <w:lang w:val="pl-PL"/>
        </w:rPr>
        <w:t>, nie u wszystkich pacjentów dochodzi do oczekiwanego zahamowania agregacji płytek krwi.</w:t>
      </w:r>
      <w:r w:rsidRPr="00A758C7">
        <w:rPr>
          <w:lang w:val="pl-PL"/>
        </w:rPr>
        <w:t xml:space="preserve"> </w:t>
      </w:r>
    </w:p>
    <w:p w:rsidR="00BC4936" w:rsidRDefault="00BC4936" w:rsidP="002A3419">
      <w:pPr>
        <w:tabs>
          <w:tab w:val="left" w:pos="567"/>
        </w:tabs>
        <w:rPr>
          <w:sz w:val="22"/>
          <w:lang w:val="pl-PL"/>
        </w:rPr>
      </w:pPr>
    </w:p>
    <w:p w:rsidR="00F75873" w:rsidRPr="00F75873" w:rsidRDefault="0068326B" w:rsidP="00744BD4">
      <w:pPr>
        <w:keepNext/>
        <w:numPr>
          <w:ilvl w:val="12"/>
          <w:numId w:val="0"/>
        </w:numPr>
        <w:rPr>
          <w:i/>
          <w:sz w:val="22"/>
          <w:szCs w:val="22"/>
          <w:lang w:val="pl-PL"/>
        </w:rPr>
      </w:pPr>
      <w:r>
        <w:rPr>
          <w:i/>
          <w:sz w:val="22"/>
          <w:szCs w:val="22"/>
          <w:lang w:val="pl-PL"/>
        </w:rPr>
        <w:t>D</w:t>
      </w:r>
      <w:r w:rsidR="00F75873" w:rsidRPr="00F75873">
        <w:rPr>
          <w:i/>
          <w:sz w:val="22"/>
          <w:szCs w:val="22"/>
          <w:lang w:val="pl-PL"/>
        </w:rPr>
        <w:t>ziałani</w:t>
      </w:r>
      <w:r>
        <w:rPr>
          <w:i/>
          <w:sz w:val="22"/>
          <w:szCs w:val="22"/>
          <w:lang w:val="pl-PL"/>
        </w:rPr>
        <w:t>e</w:t>
      </w:r>
      <w:r w:rsidR="00F75873" w:rsidRPr="00F75873">
        <w:rPr>
          <w:i/>
          <w:sz w:val="22"/>
          <w:szCs w:val="22"/>
          <w:lang w:val="pl-PL"/>
        </w:rPr>
        <w:t xml:space="preserve"> farmakodynamiczne</w:t>
      </w:r>
    </w:p>
    <w:p w:rsidR="00F75873" w:rsidRPr="00F75873" w:rsidRDefault="00F75873" w:rsidP="00744BD4">
      <w:pPr>
        <w:pStyle w:val="Header"/>
        <w:keepNext/>
        <w:rPr>
          <w:lang w:val="pl-PL"/>
        </w:rPr>
      </w:pPr>
    </w:p>
    <w:p w:rsidR="00BC4936" w:rsidRDefault="00BC4936">
      <w:pPr>
        <w:tabs>
          <w:tab w:val="left" w:pos="567"/>
        </w:tabs>
        <w:rPr>
          <w:sz w:val="22"/>
          <w:lang w:val="pl-PL"/>
        </w:rPr>
      </w:pPr>
      <w:r>
        <w:rPr>
          <w:sz w:val="22"/>
          <w:lang w:val="pl-PL"/>
        </w:rPr>
        <w:t xml:space="preserve">Powtarzane dawki 75 mg na dobę powodują od pierwszego dnia znaczne zahamowanie indukowanej przez ADP agregacji płytek, które stopniowo narasta i osiąga stan równowagi między dniem 3. </w:t>
      </w:r>
      <w:r w:rsidR="002C7A00">
        <w:rPr>
          <w:sz w:val="22"/>
          <w:lang w:val="pl-PL"/>
        </w:rPr>
        <w:t>A </w:t>
      </w:r>
      <w:r>
        <w:rPr>
          <w:sz w:val="22"/>
          <w:lang w:val="pl-PL"/>
        </w:rPr>
        <w:t>dniem 7. W stanie równowagi, średni poziom hamowania obserwowany po dawce 75 mg na dobę wynosił między 40% a 60%. Agregacja płytek i czas krwawienia stopniowo powracają do wartości wyjściowych, zazwyczaj w ciągu 5 dni po zaprzestaniu leczenia.</w:t>
      </w:r>
    </w:p>
    <w:p w:rsidR="00BC4936" w:rsidRDefault="00BC4936">
      <w:pPr>
        <w:tabs>
          <w:tab w:val="left" w:pos="567"/>
        </w:tabs>
        <w:rPr>
          <w:sz w:val="22"/>
          <w:lang w:val="pl-PL"/>
        </w:rPr>
      </w:pPr>
    </w:p>
    <w:p w:rsidR="00F75873" w:rsidRPr="00F75873" w:rsidRDefault="00F75873" w:rsidP="00F75873">
      <w:pPr>
        <w:numPr>
          <w:ilvl w:val="12"/>
          <w:numId w:val="0"/>
        </w:numPr>
        <w:rPr>
          <w:i/>
          <w:sz w:val="22"/>
          <w:szCs w:val="22"/>
          <w:lang w:val="pl-PL"/>
        </w:rPr>
      </w:pPr>
      <w:r w:rsidRPr="00F75873">
        <w:rPr>
          <w:i/>
          <w:sz w:val="22"/>
          <w:szCs w:val="22"/>
          <w:lang w:val="pl-PL"/>
        </w:rPr>
        <w:t>Skuteczność kliniczna i bezpieczeństwo stosowania</w:t>
      </w:r>
    </w:p>
    <w:p w:rsidR="00F75873" w:rsidRDefault="00F75873">
      <w:pPr>
        <w:tabs>
          <w:tab w:val="left" w:pos="567"/>
        </w:tabs>
        <w:rPr>
          <w:sz w:val="22"/>
          <w:lang w:val="pl-PL"/>
        </w:rPr>
      </w:pPr>
    </w:p>
    <w:p w:rsidR="00BC4936" w:rsidRDefault="00BC4936">
      <w:pPr>
        <w:pStyle w:val="BodyText2"/>
        <w:tabs>
          <w:tab w:val="clear" w:pos="360"/>
          <w:tab w:val="left" w:pos="567"/>
        </w:tabs>
        <w:spacing w:line="240" w:lineRule="auto"/>
        <w:rPr>
          <w:rFonts w:ascii="Times New Roman" w:hAnsi="Times New Roman"/>
          <w:sz w:val="22"/>
          <w:lang w:val="pl-PL"/>
        </w:rPr>
      </w:pPr>
      <w:r>
        <w:rPr>
          <w:rFonts w:ascii="Times New Roman" w:hAnsi="Times New Roman"/>
          <w:sz w:val="22"/>
          <w:lang w:val="pl-PL"/>
        </w:rPr>
        <w:t xml:space="preserve">Bezpieczeństwo </w:t>
      </w:r>
      <w:r w:rsidR="00263BD7">
        <w:rPr>
          <w:rFonts w:ascii="Times New Roman" w:hAnsi="Times New Roman"/>
          <w:sz w:val="22"/>
          <w:lang w:val="pl-PL"/>
        </w:rPr>
        <w:t xml:space="preserve">stosowania </w:t>
      </w:r>
      <w:r>
        <w:rPr>
          <w:rFonts w:ascii="Times New Roman" w:hAnsi="Times New Roman"/>
          <w:sz w:val="22"/>
          <w:lang w:val="pl-PL"/>
        </w:rPr>
        <w:t xml:space="preserve">i skuteczność klopidogrelu były oceniane </w:t>
      </w:r>
      <w:r>
        <w:rPr>
          <w:rFonts w:ascii="Times New Roman" w:hAnsi="Times New Roman"/>
          <w:sz w:val="22"/>
          <w:szCs w:val="16"/>
          <w:lang w:val="pl-PL"/>
        </w:rPr>
        <w:t xml:space="preserve">w </w:t>
      </w:r>
      <w:r w:rsidR="00E742AD">
        <w:rPr>
          <w:rFonts w:ascii="Times New Roman" w:hAnsi="Times New Roman"/>
          <w:sz w:val="22"/>
          <w:szCs w:val="16"/>
          <w:lang w:val="pl-PL"/>
        </w:rPr>
        <w:t>7</w:t>
      </w:r>
      <w:r w:rsidR="00CB742B">
        <w:rPr>
          <w:rFonts w:ascii="Times New Roman" w:hAnsi="Times New Roman"/>
          <w:sz w:val="22"/>
          <w:szCs w:val="16"/>
          <w:lang w:val="pl-PL"/>
        </w:rPr>
        <w:t xml:space="preserve"> </w:t>
      </w:r>
      <w:r>
        <w:rPr>
          <w:rFonts w:ascii="Times New Roman" w:hAnsi="Times New Roman"/>
          <w:sz w:val="22"/>
          <w:szCs w:val="16"/>
          <w:lang w:val="pl-PL"/>
        </w:rPr>
        <w:t xml:space="preserve">badaniach przeprowadzanych metodą podwójnej ślepej próby z udziałem ponad </w:t>
      </w:r>
      <w:r w:rsidR="00E742AD">
        <w:rPr>
          <w:rFonts w:ascii="Times New Roman" w:hAnsi="Times New Roman"/>
          <w:sz w:val="22"/>
          <w:szCs w:val="16"/>
          <w:lang w:val="pl-PL"/>
        </w:rPr>
        <w:t>100</w:t>
      </w:r>
      <w:r w:rsidR="00AF6849">
        <w:rPr>
          <w:rFonts w:ascii="Times New Roman" w:hAnsi="Times New Roman"/>
          <w:sz w:val="22"/>
          <w:szCs w:val="16"/>
          <w:lang w:val="pl-PL"/>
        </w:rPr>
        <w:t xml:space="preserve"> </w:t>
      </w:r>
      <w:r>
        <w:rPr>
          <w:rFonts w:ascii="Times New Roman" w:hAnsi="Times New Roman"/>
          <w:sz w:val="22"/>
          <w:szCs w:val="16"/>
          <w:lang w:val="pl-PL"/>
        </w:rPr>
        <w:t xml:space="preserve">000 pacjentów: </w:t>
      </w:r>
      <w:r>
        <w:rPr>
          <w:rFonts w:ascii="Times New Roman" w:hAnsi="Times New Roman"/>
          <w:sz w:val="22"/>
          <w:lang w:val="pl-PL"/>
        </w:rPr>
        <w:t xml:space="preserve">badanie CAPRIE, porównujące klopidogrel z ASA, i badania </w:t>
      </w:r>
      <w:r w:rsidRPr="00DB717D">
        <w:rPr>
          <w:rFonts w:ascii="Times New Roman" w:hAnsi="Times New Roman"/>
          <w:sz w:val="22"/>
          <w:lang w:val="pl-PL"/>
        </w:rPr>
        <w:t>CURE, CLARITY</w:t>
      </w:r>
      <w:r w:rsidR="00CB742B" w:rsidRPr="00DB717D">
        <w:rPr>
          <w:rFonts w:ascii="Times New Roman" w:hAnsi="Times New Roman"/>
          <w:sz w:val="22"/>
          <w:lang w:val="pl-PL"/>
        </w:rPr>
        <w:t>,</w:t>
      </w:r>
      <w:r w:rsidRPr="00DB717D">
        <w:rPr>
          <w:rFonts w:ascii="Times New Roman" w:hAnsi="Times New Roman"/>
          <w:sz w:val="22"/>
          <w:lang w:val="pl-PL"/>
        </w:rPr>
        <w:t xml:space="preserve"> COMMIT</w:t>
      </w:r>
      <w:r w:rsidR="00E742AD">
        <w:rPr>
          <w:rFonts w:ascii="Times New Roman" w:hAnsi="Times New Roman"/>
          <w:sz w:val="22"/>
          <w:lang w:val="pl-PL"/>
        </w:rPr>
        <w:t>, CHANCE, POINT</w:t>
      </w:r>
      <w:r w:rsidRPr="00DB717D">
        <w:rPr>
          <w:rFonts w:ascii="Times New Roman" w:hAnsi="Times New Roman"/>
          <w:sz w:val="22"/>
          <w:szCs w:val="16"/>
          <w:lang w:val="pl-PL"/>
        </w:rPr>
        <w:t xml:space="preserve"> </w:t>
      </w:r>
      <w:r w:rsidR="00DB717D" w:rsidRPr="00DB717D">
        <w:rPr>
          <w:rFonts w:ascii="Times New Roman" w:hAnsi="Times New Roman"/>
          <w:sz w:val="22"/>
          <w:szCs w:val="16"/>
          <w:lang w:val="pl-PL"/>
        </w:rPr>
        <w:t xml:space="preserve">i </w:t>
      </w:r>
      <w:r w:rsidR="00CB742B" w:rsidRPr="00DB717D">
        <w:rPr>
          <w:rFonts w:ascii="Times New Roman" w:hAnsi="Times New Roman"/>
          <w:sz w:val="22"/>
          <w:szCs w:val="16"/>
          <w:lang w:val="pl-PL"/>
        </w:rPr>
        <w:t xml:space="preserve">ACTIVE-A </w:t>
      </w:r>
      <w:r w:rsidRPr="00DB717D">
        <w:rPr>
          <w:rFonts w:ascii="Times New Roman" w:hAnsi="Times New Roman"/>
          <w:sz w:val="22"/>
          <w:szCs w:val="16"/>
          <w:lang w:val="pl-PL"/>
        </w:rPr>
        <w:t>porównujące klopidogrel z placebo</w:t>
      </w:r>
      <w:r w:rsidRPr="00DB717D">
        <w:rPr>
          <w:rFonts w:ascii="Times New Roman" w:hAnsi="Times New Roman"/>
          <w:sz w:val="22"/>
          <w:lang w:val="pl-PL"/>
        </w:rPr>
        <w:t xml:space="preserve">, </w:t>
      </w:r>
      <w:r w:rsidRPr="00DB717D">
        <w:rPr>
          <w:rFonts w:ascii="Times New Roman" w:hAnsi="Times New Roman"/>
          <w:sz w:val="22"/>
          <w:szCs w:val="16"/>
          <w:lang w:val="pl-PL"/>
        </w:rPr>
        <w:t xml:space="preserve">oba </w:t>
      </w:r>
      <w:r w:rsidR="00B90632" w:rsidRPr="00DB717D">
        <w:rPr>
          <w:rFonts w:ascii="Times New Roman" w:hAnsi="Times New Roman"/>
          <w:sz w:val="22"/>
          <w:szCs w:val="16"/>
          <w:lang w:val="pl-PL"/>
        </w:rPr>
        <w:t>p</w:t>
      </w:r>
      <w:r w:rsidR="00B90632">
        <w:rPr>
          <w:rFonts w:ascii="Times New Roman" w:hAnsi="Times New Roman"/>
          <w:sz w:val="22"/>
          <w:szCs w:val="16"/>
          <w:lang w:val="pl-PL"/>
        </w:rPr>
        <w:t>rodukty lecznicze</w:t>
      </w:r>
      <w:r w:rsidR="009B6511">
        <w:rPr>
          <w:rFonts w:ascii="Times New Roman" w:hAnsi="Times New Roman"/>
          <w:sz w:val="22"/>
          <w:szCs w:val="16"/>
          <w:lang w:val="pl-PL"/>
        </w:rPr>
        <w:t xml:space="preserve"> </w:t>
      </w:r>
      <w:r>
        <w:rPr>
          <w:rFonts w:ascii="Times New Roman" w:hAnsi="Times New Roman"/>
          <w:sz w:val="22"/>
          <w:szCs w:val="16"/>
          <w:lang w:val="pl-PL"/>
        </w:rPr>
        <w:t>podawane w skojarzeniu z ASA oraz innym standardowym leczeniem.</w:t>
      </w:r>
      <w:r>
        <w:rPr>
          <w:rFonts w:ascii="Times New Roman" w:hAnsi="Times New Roman"/>
          <w:sz w:val="22"/>
          <w:lang w:val="pl-PL"/>
        </w:rPr>
        <w:t xml:space="preserve"> </w:t>
      </w:r>
    </w:p>
    <w:p w:rsidR="00BC4936" w:rsidRDefault="00BC4936">
      <w:pPr>
        <w:pStyle w:val="BodyText2"/>
        <w:tabs>
          <w:tab w:val="clear" w:pos="360"/>
          <w:tab w:val="left" w:pos="567"/>
        </w:tabs>
        <w:spacing w:line="240" w:lineRule="auto"/>
        <w:rPr>
          <w:rFonts w:ascii="Times New Roman" w:hAnsi="Times New Roman"/>
          <w:sz w:val="22"/>
          <w:lang w:val="pl-PL"/>
        </w:rPr>
      </w:pPr>
    </w:p>
    <w:p w:rsidR="00BC4936" w:rsidRPr="002A3419" w:rsidRDefault="00BC4936" w:rsidP="006201B0">
      <w:pPr>
        <w:pStyle w:val="BodyText2"/>
        <w:keepNext/>
        <w:tabs>
          <w:tab w:val="clear" w:pos="360"/>
          <w:tab w:val="left" w:pos="567"/>
        </w:tabs>
        <w:spacing w:line="240" w:lineRule="auto"/>
        <w:rPr>
          <w:rFonts w:ascii="Times New Roman" w:hAnsi="Times New Roman"/>
          <w:i/>
          <w:sz w:val="22"/>
          <w:lang w:val="pl-PL"/>
        </w:rPr>
      </w:pPr>
      <w:r w:rsidRPr="002A3419">
        <w:rPr>
          <w:rFonts w:ascii="Times New Roman" w:hAnsi="Times New Roman"/>
          <w:i/>
          <w:sz w:val="22"/>
          <w:lang w:val="pl-PL"/>
        </w:rPr>
        <w:t>Świeży zawał mięśnia sercowego (</w:t>
      </w:r>
      <w:r w:rsidRPr="00A64B0E">
        <w:rPr>
          <w:rFonts w:ascii="Times New Roman" w:hAnsi="Times New Roman"/>
          <w:i/>
          <w:sz w:val="22"/>
          <w:lang w:val="pl-PL"/>
        </w:rPr>
        <w:t>ang.</w:t>
      </w:r>
      <w:r w:rsidR="00CA2AC5">
        <w:rPr>
          <w:rFonts w:ascii="Times New Roman" w:hAnsi="Times New Roman"/>
          <w:i/>
          <w:sz w:val="22"/>
          <w:lang w:val="pl-PL"/>
        </w:rPr>
        <w:t xml:space="preserve"> </w:t>
      </w:r>
      <w:r w:rsidR="00263BD7" w:rsidRPr="00A64B0E">
        <w:rPr>
          <w:rFonts w:ascii="Times New Roman" w:hAnsi="Times New Roman"/>
          <w:i/>
          <w:sz w:val="22"/>
          <w:lang w:val="pl-PL"/>
        </w:rPr>
        <w:t>MI</w:t>
      </w:r>
      <w:r w:rsidR="00263BD7" w:rsidRPr="002A3419">
        <w:rPr>
          <w:rFonts w:ascii="Times New Roman" w:hAnsi="Times New Roman"/>
          <w:sz w:val="22"/>
          <w:lang w:val="pl-PL"/>
        </w:rPr>
        <w:t xml:space="preserve"> - </w:t>
      </w:r>
      <w:r w:rsidR="00263BD7" w:rsidRPr="002A3419">
        <w:rPr>
          <w:rFonts w:ascii="Times New Roman" w:hAnsi="Times New Roman"/>
          <w:i/>
          <w:sz w:val="22"/>
          <w:lang w:val="pl-PL"/>
        </w:rPr>
        <w:t>M</w:t>
      </w:r>
      <w:r w:rsidRPr="002A3419">
        <w:rPr>
          <w:rFonts w:ascii="Times New Roman" w:hAnsi="Times New Roman"/>
          <w:i/>
          <w:sz w:val="22"/>
          <w:lang w:val="pl-PL"/>
        </w:rPr>
        <w:t>yocardial</w:t>
      </w:r>
      <w:r w:rsidR="00263BD7" w:rsidRPr="002A3419">
        <w:rPr>
          <w:rFonts w:ascii="Times New Roman" w:hAnsi="Times New Roman"/>
          <w:i/>
          <w:sz w:val="22"/>
          <w:lang w:val="pl-PL"/>
        </w:rPr>
        <w:t xml:space="preserve"> I</w:t>
      </w:r>
      <w:r w:rsidRPr="002A3419">
        <w:rPr>
          <w:rFonts w:ascii="Times New Roman" w:hAnsi="Times New Roman"/>
          <w:i/>
          <w:sz w:val="22"/>
          <w:lang w:val="pl-PL"/>
        </w:rPr>
        <w:t>nfarction), świeży udar niedokrwienny lub rozpoznana choroba tętnic obwodowych</w:t>
      </w:r>
    </w:p>
    <w:p w:rsidR="00BC4936" w:rsidRDefault="00BC4936" w:rsidP="006201B0">
      <w:pPr>
        <w:pStyle w:val="BodyText2"/>
        <w:keepNext/>
        <w:tabs>
          <w:tab w:val="clear" w:pos="360"/>
          <w:tab w:val="left" w:pos="567"/>
        </w:tabs>
        <w:spacing w:line="240" w:lineRule="auto"/>
        <w:rPr>
          <w:rFonts w:ascii="Times New Roman" w:hAnsi="Times New Roman"/>
          <w:sz w:val="22"/>
          <w:lang w:val="pl-PL"/>
        </w:rPr>
      </w:pPr>
    </w:p>
    <w:p w:rsidR="00BC4936" w:rsidRDefault="00BC4936" w:rsidP="006201B0">
      <w:pPr>
        <w:pStyle w:val="BodyText2"/>
        <w:keepNext/>
        <w:tabs>
          <w:tab w:val="clear" w:pos="360"/>
          <w:tab w:val="left" w:pos="567"/>
        </w:tabs>
        <w:spacing w:line="240" w:lineRule="auto"/>
        <w:rPr>
          <w:rFonts w:ascii="Times New Roman" w:hAnsi="Times New Roman"/>
          <w:sz w:val="22"/>
          <w:lang w:val="pl-PL"/>
        </w:rPr>
      </w:pPr>
      <w:r>
        <w:rPr>
          <w:rFonts w:ascii="Times New Roman" w:hAnsi="Times New Roman"/>
          <w:sz w:val="22"/>
          <w:lang w:val="pl-PL"/>
        </w:rPr>
        <w:t>Badanie CAPRIE obejmowało 19 185 pacjentów z zakrzepicą w przebiegu objawowej miażdżycy, która manifestowała się jako świeży zawał mięśnia sercowego (&lt;35 dni), świeży udar niedokrwienny (między 7 dniami a 6 miesiącami) lub rozpoznana choroba tętnic obwodowych (ang.</w:t>
      </w:r>
      <w:r w:rsidR="008D68C4">
        <w:rPr>
          <w:rFonts w:ascii="Times New Roman" w:hAnsi="Times New Roman"/>
          <w:sz w:val="22"/>
          <w:lang w:val="pl-PL"/>
        </w:rPr>
        <w:t xml:space="preserve"> </w:t>
      </w:r>
      <w:r w:rsidR="008D68C4" w:rsidRPr="001E79CA">
        <w:rPr>
          <w:rFonts w:ascii="Times New Roman" w:hAnsi="Times New Roman"/>
          <w:sz w:val="22"/>
          <w:lang w:val="pl-PL"/>
        </w:rPr>
        <w:t xml:space="preserve">PAD </w:t>
      </w:r>
      <w:r w:rsidR="00E935B1" w:rsidRPr="001E79CA">
        <w:rPr>
          <w:rFonts w:ascii="Times New Roman" w:hAnsi="Times New Roman"/>
          <w:sz w:val="22"/>
          <w:lang w:val="pl-PL"/>
        </w:rPr>
        <w:t>–</w:t>
      </w:r>
      <w:r w:rsidRPr="00936122">
        <w:rPr>
          <w:rFonts w:ascii="Times New Roman" w:hAnsi="Times New Roman"/>
          <w:sz w:val="22"/>
          <w:lang w:val="pl-PL"/>
        </w:rPr>
        <w:t xml:space="preserve"> </w:t>
      </w:r>
      <w:r w:rsidR="008D68C4" w:rsidRPr="001E79CA">
        <w:rPr>
          <w:rFonts w:ascii="Times New Roman" w:hAnsi="Times New Roman"/>
          <w:sz w:val="22"/>
          <w:lang w:val="pl-PL"/>
        </w:rPr>
        <w:t>P</w:t>
      </w:r>
      <w:r w:rsidRPr="001E79CA">
        <w:rPr>
          <w:rFonts w:ascii="Times New Roman" w:hAnsi="Times New Roman"/>
          <w:sz w:val="22"/>
          <w:lang w:val="pl-PL"/>
        </w:rPr>
        <w:t>eripheral</w:t>
      </w:r>
      <w:r w:rsidR="008D68C4" w:rsidRPr="001E79CA">
        <w:rPr>
          <w:rFonts w:ascii="Times New Roman" w:hAnsi="Times New Roman"/>
          <w:sz w:val="22"/>
          <w:lang w:val="pl-PL"/>
        </w:rPr>
        <w:t xml:space="preserve"> A</w:t>
      </w:r>
      <w:r w:rsidRPr="001E79CA">
        <w:rPr>
          <w:rFonts w:ascii="Times New Roman" w:hAnsi="Times New Roman"/>
          <w:sz w:val="22"/>
          <w:lang w:val="pl-PL"/>
        </w:rPr>
        <w:t xml:space="preserve">rterial </w:t>
      </w:r>
      <w:r w:rsidR="008D68C4" w:rsidRPr="001E79CA">
        <w:rPr>
          <w:rFonts w:ascii="Times New Roman" w:hAnsi="Times New Roman"/>
          <w:sz w:val="22"/>
          <w:lang w:val="pl-PL"/>
        </w:rPr>
        <w:t>D</w:t>
      </w:r>
      <w:r w:rsidRPr="001E79CA">
        <w:rPr>
          <w:rFonts w:ascii="Times New Roman" w:hAnsi="Times New Roman"/>
          <w:sz w:val="22"/>
          <w:lang w:val="pl-PL"/>
        </w:rPr>
        <w:t>iseas</w:t>
      </w:r>
      <w:r w:rsidR="008D68C4" w:rsidRPr="001E79CA">
        <w:rPr>
          <w:rFonts w:ascii="Times New Roman" w:hAnsi="Times New Roman"/>
          <w:sz w:val="22"/>
          <w:lang w:val="pl-PL"/>
        </w:rPr>
        <w:t>e)</w:t>
      </w:r>
      <w:r>
        <w:rPr>
          <w:rFonts w:ascii="Times New Roman" w:hAnsi="Times New Roman"/>
          <w:i/>
          <w:sz w:val="22"/>
          <w:lang w:val="pl-PL"/>
        </w:rPr>
        <w:t>.</w:t>
      </w:r>
      <w:r>
        <w:rPr>
          <w:rFonts w:ascii="Times New Roman" w:hAnsi="Times New Roman"/>
          <w:sz w:val="22"/>
          <w:lang w:val="pl-PL"/>
        </w:rPr>
        <w:t xml:space="preserve"> Pacjenci byli randomizowani do klopidogrelu 75 mg/dobę lub ASA 325 mg/dobę i byli obserwowani przez 1 do 3 lat. W podgrupie z zawałem mięśnia sercowego, większość pacjentów otrzymywała ASA przez pierwsze kilka dni po ostrym zawale mięśnia sercowego.</w:t>
      </w:r>
    </w:p>
    <w:p w:rsidR="00BC4936" w:rsidRDefault="00BC4936">
      <w:pPr>
        <w:tabs>
          <w:tab w:val="left" w:pos="567"/>
        </w:tabs>
        <w:rPr>
          <w:sz w:val="22"/>
          <w:lang w:val="pl-PL"/>
        </w:rPr>
      </w:pPr>
    </w:p>
    <w:p w:rsidR="00CB742B" w:rsidRDefault="00BC4936">
      <w:pPr>
        <w:tabs>
          <w:tab w:val="left" w:pos="567"/>
        </w:tabs>
        <w:rPr>
          <w:sz w:val="22"/>
          <w:lang w:val="pl-PL"/>
        </w:rPr>
      </w:pPr>
      <w:r>
        <w:rPr>
          <w:sz w:val="22"/>
          <w:lang w:val="pl-PL"/>
        </w:rPr>
        <w:t xml:space="preserve">Klopidogrel, w porównaniu z ASA, znacząco </w:t>
      </w:r>
      <w:r w:rsidR="00A75DF5">
        <w:rPr>
          <w:sz w:val="22"/>
          <w:lang w:val="pl-PL"/>
        </w:rPr>
        <w:t>zmniejszał</w:t>
      </w:r>
      <w:r>
        <w:rPr>
          <w:sz w:val="22"/>
          <w:lang w:val="pl-PL"/>
        </w:rPr>
        <w:t xml:space="preserve"> częstość występowania nowych incydentów niedokrwiennych (</w:t>
      </w:r>
      <w:r w:rsidR="008D68C4">
        <w:rPr>
          <w:sz w:val="22"/>
          <w:lang w:val="pl-PL"/>
        </w:rPr>
        <w:t>równorzędny</w:t>
      </w:r>
      <w:r>
        <w:rPr>
          <w:sz w:val="22"/>
          <w:lang w:val="pl-PL"/>
        </w:rPr>
        <w:t xml:space="preserve"> punkt końcowy: zawał mięśnia sercowego, udar niedokrwienny i</w:t>
      </w:r>
      <w:r w:rsidR="002C7A00">
        <w:rPr>
          <w:sz w:val="22"/>
          <w:lang w:val="pl-PL"/>
        </w:rPr>
        <w:t> </w:t>
      </w:r>
      <w:r>
        <w:rPr>
          <w:sz w:val="22"/>
          <w:lang w:val="pl-PL"/>
        </w:rPr>
        <w:t xml:space="preserve">śmierć z przyczyn naczyniowych). W analizie zgodnej z zaplanowanym leczeniem [analiza ITT (ang.)], zaobserwowano 939 incydentów w grupie stosującej klopidogrel i 1020 incydentów z ASA (względne zmniejszenie ryzyka (ang. </w:t>
      </w:r>
      <w:r w:rsidRPr="001E79CA">
        <w:rPr>
          <w:sz w:val="22"/>
          <w:lang w:val="pl-PL"/>
        </w:rPr>
        <w:t>RRR</w:t>
      </w:r>
      <w:r w:rsidR="008D68C4" w:rsidRPr="001E79CA">
        <w:rPr>
          <w:sz w:val="22"/>
          <w:lang w:val="pl-PL"/>
        </w:rPr>
        <w:t xml:space="preserve"> </w:t>
      </w:r>
      <w:r w:rsidR="00E935B1" w:rsidRPr="00936122">
        <w:rPr>
          <w:sz w:val="22"/>
          <w:lang w:val="pl-PL"/>
        </w:rPr>
        <w:t>–</w:t>
      </w:r>
      <w:r w:rsidR="008D68C4" w:rsidRPr="009A4B26">
        <w:rPr>
          <w:sz w:val="22"/>
          <w:lang w:val="pl-PL"/>
        </w:rPr>
        <w:t xml:space="preserve"> </w:t>
      </w:r>
      <w:r w:rsidR="008D68C4" w:rsidRPr="001E79CA">
        <w:rPr>
          <w:sz w:val="22"/>
          <w:lang w:val="pl-PL"/>
        </w:rPr>
        <w:t>Relative Risk Redu</w:t>
      </w:r>
      <w:r w:rsidR="00704E33" w:rsidRPr="001E79CA">
        <w:rPr>
          <w:sz w:val="22"/>
          <w:lang w:val="pl-PL"/>
        </w:rPr>
        <w:t>c</w:t>
      </w:r>
      <w:r w:rsidR="008D68C4" w:rsidRPr="001E79CA">
        <w:rPr>
          <w:sz w:val="22"/>
          <w:lang w:val="pl-PL"/>
        </w:rPr>
        <w:t>tion</w:t>
      </w:r>
      <w:r>
        <w:rPr>
          <w:sz w:val="22"/>
          <w:lang w:val="pl-PL"/>
        </w:rPr>
        <w:t xml:space="preserve">) 8,7%, </w:t>
      </w:r>
      <w:r>
        <w:rPr>
          <w:sz w:val="22"/>
          <w:lang w:val="pl-PL"/>
        </w:rPr>
        <w:sym w:font="Symbol" w:char="F05B"/>
      </w:r>
      <w:r>
        <w:rPr>
          <w:sz w:val="22"/>
          <w:lang w:val="pl-PL"/>
        </w:rPr>
        <w:t>95% CI: 0,2 do 16,4</w:t>
      </w:r>
      <w:r>
        <w:rPr>
          <w:sz w:val="22"/>
          <w:lang w:val="pl-PL"/>
        </w:rPr>
        <w:sym w:font="Symbol" w:char="F05D"/>
      </w:r>
      <w:r>
        <w:rPr>
          <w:sz w:val="22"/>
          <w:lang w:val="pl-PL"/>
        </w:rPr>
        <w:t xml:space="preserve">; </w:t>
      </w:r>
    </w:p>
    <w:p w:rsidR="00BC4936" w:rsidRDefault="00BC4936">
      <w:pPr>
        <w:tabs>
          <w:tab w:val="left" w:pos="567"/>
        </w:tabs>
        <w:rPr>
          <w:sz w:val="22"/>
          <w:lang w:val="pl-PL"/>
        </w:rPr>
      </w:pPr>
      <w:r>
        <w:rPr>
          <w:sz w:val="22"/>
          <w:lang w:val="pl-PL"/>
        </w:rPr>
        <w:t xml:space="preserve">p = 0,045), co oznacza na każdych 1000 pacjentów leczonych przez 2 lata, ochronę do 10 </w:t>
      </w:r>
      <w:r>
        <w:rPr>
          <w:sz w:val="22"/>
          <w:lang w:val="pl-PL"/>
        </w:rPr>
        <w:sym w:font="Symbol" w:char="F05B"/>
      </w:r>
      <w:r>
        <w:rPr>
          <w:sz w:val="22"/>
          <w:lang w:val="pl-PL"/>
        </w:rPr>
        <w:t>CI: 0 do 20</w:t>
      </w:r>
      <w:r>
        <w:rPr>
          <w:sz w:val="22"/>
          <w:lang w:val="pl-PL"/>
        </w:rPr>
        <w:sym w:font="Symbol" w:char="F05D"/>
      </w:r>
      <w:r>
        <w:rPr>
          <w:sz w:val="22"/>
          <w:lang w:val="pl-PL"/>
        </w:rPr>
        <w:t xml:space="preserve"> dodatkowych pacjentów przed wystąpieniem nowego incydentu niedokrwienia. Analiza ogólnej umieralności, jako wtórnego punktu końcowego, nie wykazała jakiś znaczących różnic pomiędzy klopidogrelem (5,8%) a ASA (6,0%).</w:t>
      </w:r>
    </w:p>
    <w:p w:rsidR="00BC4936" w:rsidRDefault="00BC4936">
      <w:pPr>
        <w:pStyle w:val="BodyText2"/>
        <w:tabs>
          <w:tab w:val="clear" w:pos="360"/>
          <w:tab w:val="left" w:pos="567"/>
        </w:tabs>
        <w:spacing w:line="240" w:lineRule="auto"/>
        <w:rPr>
          <w:rFonts w:ascii="Times New Roman" w:hAnsi="Times New Roman"/>
          <w:sz w:val="22"/>
          <w:lang w:val="pl-PL"/>
        </w:rPr>
      </w:pPr>
    </w:p>
    <w:p w:rsidR="00BC4936" w:rsidRDefault="00BC4936">
      <w:pPr>
        <w:pStyle w:val="BodyText2"/>
        <w:tabs>
          <w:tab w:val="clear" w:pos="360"/>
          <w:tab w:val="left" w:pos="567"/>
        </w:tabs>
        <w:spacing w:line="240" w:lineRule="auto"/>
        <w:rPr>
          <w:rFonts w:ascii="Times New Roman" w:hAnsi="Times New Roman"/>
          <w:sz w:val="22"/>
          <w:lang w:val="pl-PL"/>
        </w:rPr>
      </w:pPr>
      <w:r>
        <w:rPr>
          <w:rFonts w:ascii="Times New Roman" w:hAnsi="Times New Roman"/>
          <w:sz w:val="22"/>
          <w:lang w:val="pl-PL"/>
        </w:rPr>
        <w:t>W analizie podgrup wydzielonych na podstawie stanów kwalifikujących do włączenia do badania (zawał mięśnia sercowego, udar niedokrwienny i PAD) korzyść wydaje się być największa (osiągając znamienność statystyczną przy p = 0,003) u pacjentów włączonych z powodu PAD (szczególnie tych, którzy również mieli zawał mięśnia sercowego w wywiadzie) (RRR = 23,7%; CI: 8,9 do 36,2) i</w:t>
      </w:r>
      <w:r w:rsidR="002C7A00">
        <w:rPr>
          <w:rFonts w:ascii="Times New Roman" w:hAnsi="Times New Roman"/>
          <w:sz w:val="22"/>
          <w:lang w:val="pl-PL"/>
        </w:rPr>
        <w:t> </w:t>
      </w:r>
      <w:r>
        <w:rPr>
          <w:rFonts w:ascii="Times New Roman" w:hAnsi="Times New Roman"/>
          <w:sz w:val="22"/>
          <w:lang w:val="pl-PL"/>
        </w:rPr>
        <w:t>mniejsza (nie różna znamiennie od ASA) u pacjentów z udarem (RRR = 7,3%; CI: -5,7 do 18,7</w:t>
      </w:r>
      <w:r w:rsidR="00BE3CCC">
        <w:rPr>
          <w:rFonts w:ascii="Times New Roman" w:hAnsi="Times New Roman"/>
          <w:sz w:val="22"/>
          <w:lang w:val="pl-PL"/>
        </w:rPr>
        <w:t xml:space="preserve"> [p=0,258])</w:t>
      </w:r>
      <w:r>
        <w:rPr>
          <w:rFonts w:ascii="Times New Roman" w:hAnsi="Times New Roman"/>
          <w:sz w:val="22"/>
          <w:lang w:val="pl-PL"/>
        </w:rPr>
        <w:t>. U pacjentów, którzy zostali włączeni do badania jedynie na podstawie świeżego zawału mięśnia sercowego, klopidogrel był liczbowo gorszy, ale nie statystycznie różny od ASA (RRR = -4,0%; CI: -22,5 do 11,7</w:t>
      </w:r>
      <w:r w:rsidR="00C65433">
        <w:rPr>
          <w:rFonts w:ascii="Times New Roman" w:hAnsi="Times New Roman"/>
          <w:sz w:val="22"/>
          <w:lang w:val="pl-PL"/>
        </w:rPr>
        <w:t xml:space="preserve"> [p=0,639]</w:t>
      </w:r>
      <w:r>
        <w:rPr>
          <w:rFonts w:ascii="Times New Roman" w:hAnsi="Times New Roman"/>
          <w:sz w:val="22"/>
          <w:lang w:val="pl-PL"/>
        </w:rPr>
        <w:t>). Ponadto, analiza podgrup na podstawie wieku sugerowała, że korzyść ze stosowania klopidogrelu u pacjentów powyżej 75 lat była mniejsza niż to obserwowano u</w:t>
      </w:r>
      <w:r w:rsidR="00DB717D">
        <w:rPr>
          <w:rFonts w:ascii="Times New Roman" w:hAnsi="Times New Roman"/>
          <w:sz w:val="22"/>
          <w:lang w:val="pl-PL"/>
        </w:rPr>
        <w:t> </w:t>
      </w:r>
      <w:r>
        <w:rPr>
          <w:rFonts w:ascii="Times New Roman" w:hAnsi="Times New Roman"/>
          <w:sz w:val="22"/>
          <w:lang w:val="pl-PL"/>
        </w:rPr>
        <w:t xml:space="preserve">pacjentów </w:t>
      </w:r>
      <w:r>
        <w:rPr>
          <w:rFonts w:ascii="Times New Roman" w:hAnsi="Times New Roman"/>
          <w:sz w:val="22"/>
          <w:lang w:val="pl-PL"/>
        </w:rPr>
        <w:sym w:font="Symbol" w:char="F0A3"/>
      </w:r>
      <w:r>
        <w:rPr>
          <w:rFonts w:ascii="Times New Roman" w:hAnsi="Times New Roman"/>
          <w:sz w:val="22"/>
          <w:lang w:val="pl-PL"/>
        </w:rPr>
        <w:t>75 lat.</w:t>
      </w:r>
    </w:p>
    <w:p w:rsidR="00BC4936" w:rsidRDefault="00BC4936">
      <w:pPr>
        <w:tabs>
          <w:tab w:val="left" w:pos="567"/>
        </w:tabs>
        <w:rPr>
          <w:sz w:val="22"/>
          <w:lang w:val="pl-PL"/>
        </w:rPr>
      </w:pPr>
    </w:p>
    <w:p w:rsidR="00BC4936" w:rsidRDefault="00BC4936">
      <w:pPr>
        <w:tabs>
          <w:tab w:val="left" w:pos="567"/>
        </w:tabs>
        <w:rPr>
          <w:sz w:val="22"/>
          <w:lang w:val="pl-PL"/>
        </w:rPr>
      </w:pPr>
      <w:r>
        <w:rPr>
          <w:sz w:val="22"/>
          <w:lang w:val="pl-PL"/>
        </w:rPr>
        <w:t>Ponieważ badanie CAPRIE nie posiadało mocy do oceny skuteczności w indywidualnych podgrupach, dlatego nie jest jasne, czy różnice we względnym zmniejszeniu ryzyka pomiędzy różnymi stanami są rzeczywiste, czy są wynikiem przypadku.</w:t>
      </w:r>
    </w:p>
    <w:p w:rsidR="00BC4936" w:rsidRDefault="00BC4936">
      <w:pPr>
        <w:tabs>
          <w:tab w:val="left" w:pos="567"/>
        </w:tabs>
        <w:rPr>
          <w:sz w:val="22"/>
          <w:lang w:val="pl-PL"/>
        </w:rPr>
      </w:pPr>
    </w:p>
    <w:p w:rsidR="00BC4936" w:rsidRPr="00625448" w:rsidRDefault="00BC4936">
      <w:pPr>
        <w:tabs>
          <w:tab w:val="left" w:pos="567"/>
        </w:tabs>
        <w:rPr>
          <w:i/>
          <w:sz w:val="22"/>
          <w:lang w:val="pl-PL"/>
        </w:rPr>
      </w:pPr>
      <w:r w:rsidRPr="00625448">
        <w:rPr>
          <w:i/>
          <w:sz w:val="22"/>
          <w:lang w:val="pl-PL"/>
        </w:rPr>
        <w:t>Ostry zespół wieńcowy</w:t>
      </w:r>
    </w:p>
    <w:p w:rsidR="00BC4936" w:rsidRDefault="00BC4936">
      <w:pPr>
        <w:tabs>
          <w:tab w:val="left" w:pos="567"/>
        </w:tabs>
        <w:rPr>
          <w:sz w:val="22"/>
          <w:lang w:val="pl-PL"/>
        </w:rPr>
      </w:pPr>
    </w:p>
    <w:p w:rsidR="00DB717D" w:rsidRDefault="00BC4936">
      <w:pPr>
        <w:tabs>
          <w:tab w:val="left" w:pos="567"/>
        </w:tabs>
        <w:rPr>
          <w:sz w:val="22"/>
          <w:lang w:val="pl-PL"/>
        </w:rPr>
      </w:pPr>
      <w:r>
        <w:rPr>
          <w:sz w:val="22"/>
          <w:lang w:val="pl-PL"/>
        </w:rPr>
        <w:t>Badanie CURE obejmowało 12 562 pacjentów z ostrym zespołem wieńcowym bez uniesienia odcinka ST (niestabilna dławica piersiowa lub zawał mięśnia sercowego bez załamka Q) i prezentujących w</w:t>
      </w:r>
      <w:r w:rsidR="00DB717D">
        <w:rPr>
          <w:sz w:val="22"/>
          <w:lang w:val="pl-PL"/>
        </w:rPr>
        <w:t> </w:t>
      </w:r>
      <w:r>
        <w:rPr>
          <w:sz w:val="22"/>
          <w:lang w:val="pl-PL"/>
        </w:rPr>
        <w:t xml:space="preserve">ciągu 24 godzin początek ostatniego epizodu bólu w klatce piersiowej lub objawów sugerujących niedokrwienie. Pacjenci musieli mieć albo zmiany w EKG zgodne z nowym niedokrwieniem albo podwyższone enzymy sercowe lub troponinę I lub T, co najmniej 2-krotnie przewyższające górną granicę normy. Pacjentów randomizowano do klopidogrelu (300 mg dawka </w:t>
      </w:r>
      <w:r w:rsidR="00DB717D">
        <w:rPr>
          <w:sz w:val="22"/>
          <w:lang w:val="pl-PL"/>
        </w:rPr>
        <w:t>nasycająca</w:t>
      </w:r>
      <w:r>
        <w:rPr>
          <w:sz w:val="22"/>
          <w:lang w:val="pl-PL"/>
        </w:rPr>
        <w:t xml:space="preserve">, a następnie 75 mg/dobę, N=6259) lub do placebo (N=6303), obydwa podawane w skojarzeniu z ASA </w:t>
      </w:r>
    </w:p>
    <w:p w:rsidR="00BC4936" w:rsidRDefault="00BC4936">
      <w:pPr>
        <w:tabs>
          <w:tab w:val="left" w:pos="567"/>
        </w:tabs>
        <w:rPr>
          <w:sz w:val="22"/>
          <w:lang w:val="pl-PL"/>
        </w:rPr>
      </w:pPr>
      <w:r>
        <w:rPr>
          <w:sz w:val="22"/>
          <w:lang w:val="pl-PL"/>
        </w:rPr>
        <w:t>(75</w:t>
      </w:r>
      <w:r w:rsidR="00DB717D">
        <w:rPr>
          <w:sz w:val="22"/>
          <w:lang w:val="pl-PL"/>
        </w:rPr>
        <w:t> – </w:t>
      </w:r>
      <w:r>
        <w:rPr>
          <w:sz w:val="22"/>
          <w:lang w:val="pl-PL"/>
        </w:rPr>
        <w:t>325 mg raz na dobę) i innymi standardowymi sposobami leczenia. Pacjenci byli leczeni do jednego roku. W CURE, 823 (6,6%) pacjentów otrzymywało jednoczesne leczenie antagonistami receptora GPIIb/IIIa. Heparyny podawano u więcej niż 90% pacjentów i jednoczesne stosowanie heparyn nie wpływało znacząco na częstotliwość krwawienia, porównując klopidogrel i placebo.</w:t>
      </w:r>
    </w:p>
    <w:p w:rsidR="005D51D3" w:rsidRDefault="005D51D3">
      <w:pPr>
        <w:tabs>
          <w:tab w:val="left" w:pos="567"/>
        </w:tabs>
        <w:rPr>
          <w:sz w:val="22"/>
          <w:lang w:val="pl-PL"/>
        </w:rPr>
      </w:pPr>
    </w:p>
    <w:p w:rsidR="00BC4936" w:rsidRDefault="00BC4936">
      <w:pPr>
        <w:tabs>
          <w:tab w:val="left" w:pos="567"/>
        </w:tabs>
        <w:rPr>
          <w:sz w:val="22"/>
          <w:lang w:val="pl-PL"/>
        </w:rPr>
      </w:pPr>
      <w:r>
        <w:rPr>
          <w:sz w:val="22"/>
          <w:lang w:val="pl-PL"/>
        </w:rPr>
        <w:t>Liczba pacjentów, u których wystąpił pier</w:t>
      </w:r>
      <w:r w:rsidR="008D68C4">
        <w:rPr>
          <w:sz w:val="22"/>
          <w:lang w:val="pl-PL"/>
        </w:rPr>
        <w:t>wszorzędowy</w:t>
      </w:r>
      <w:r>
        <w:rPr>
          <w:sz w:val="22"/>
          <w:lang w:val="pl-PL"/>
        </w:rPr>
        <w:t xml:space="preserve"> punkt końcowy [śmierć z przyczyn sercowo-naczyniowych (ang.</w:t>
      </w:r>
      <w:r w:rsidR="003D4E05">
        <w:rPr>
          <w:sz w:val="22"/>
          <w:lang w:val="pl-PL"/>
        </w:rPr>
        <w:t xml:space="preserve"> </w:t>
      </w:r>
      <w:r w:rsidR="008D68C4">
        <w:rPr>
          <w:sz w:val="22"/>
          <w:lang w:val="pl-PL"/>
        </w:rPr>
        <w:t>CV</w:t>
      </w:r>
      <w:r w:rsidR="00B368D0">
        <w:rPr>
          <w:sz w:val="22"/>
          <w:lang w:val="pl-PL"/>
        </w:rPr>
        <w:t>,</w:t>
      </w:r>
      <w:r>
        <w:rPr>
          <w:sz w:val="22"/>
          <w:lang w:val="pl-PL"/>
        </w:rPr>
        <w:t xml:space="preserve"> </w:t>
      </w:r>
      <w:r w:rsidR="008D68C4" w:rsidRPr="001E79CA">
        <w:rPr>
          <w:sz w:val="22"/>
          <w:lang w:val="pl-PL"/>
        </w:rPr>
        <w:t>C</w:t>
      </w:r>
      <w:r w:rsidRPr="001E79CA">
        <w:rPr>
          <w:sz w:val="22"/>
          <w:lang w:val="pl-PL"/>
        </w:rPr>
        <w:t>ardiovascular</w:t>
      </w:r>
      <w:r>
        <w:rPr>
          <w:sz w:val="22"/>
          <w:lang w:val="pl-PL"/>
        </w:rPr>
        <w:t>), zawał mięśnia sercowego (ang.</w:t>
      </w:r>
      <w:r w:rsidR="003D4E05">
        <w:rPr>
          <w:sz w:val="22"/>
          <w:lang w:val="pl-PL"/>
        </w:rPr>
        <w:t xml:space="preserve"> </w:t>
      </w:r>
      <w:r w:rsidR="008D68C4" w:rsidRPr="001E79CA">
        <w:rPr>
          <w:sz w:val="22"/>
          <w:lang w:val="pl-PL"/>
        </w:rPr>
        <w:t>MI</w:t>
      </w:r>
      <w:r w:rsidR="00B368D0" w:rsidRPr="001867D9">
        <w:rPr>
          <w:sz w:val="22"/>
          <w:lang w:val="pl-PL"/>
        </w:rPr>
        <w:t>,</w:t>
      </w:r>
      <w:r>
        <w:rPr>
          <w:sz w:val="22"/>
          <w:lang w:val="pl-PL"/>
        </w:rPr>
        <w:t xml:space="preserve"> </w:t>
      </w:r>
      <w:r w:rsidR="008D68C4" w:rsidRPr="001E79CA">
        <w:rPr>
          <w:sz w:val="22"/>
          <w:lang w:val="pl-PL"/>
        </w:rPr>
        <w:t>M</w:t>
      </w:r>
      <w:r w:rsidRPr="001E79CA">
        <w:rPr>
          <w:sz w:val="22"/>
          <w:lang w:val="pl-PL"/>
        </w:rPr>
        <w:t>yocardial</w:t>
      </w:r>
      <w:r w:rsidR="008D68C4" w:rsidRPr="001E79CA">
        <w:rPr>
          <w:sz w:val="22"/>
          <w:lang w:val="pl-PL"/>
        </w:rPr>
        <w:t xml:space="preserve"> I</w:t>
      </w:r>
      <w:r w:rsidRPr="001E79CA">
        <w:rPr>
          <w:sz w:val="22"/>
          <w:lang w:val="pl-PL"/>
        </w:rPr>
        <w:t>nfarction</w:t>
      </w:r>
      <w:r>
        <w:rPr>
          <w:sz w:val="22"/>
          <w:lang w:val="pl-PL"/>
        </w:rPr>
        <w:t xml:space="preserve">) lub udar] wynosiła 582 (9,3%) w grupie leczonej klopidogrelem i 719 (11,4%) w grupie leczonej placebo, względne zmniejszenie ryzyka dla grupy leczonej klopidogrelem: 20% (95% CI: 10% do 28%; p=0,00009) (względne zmniejszenie ryzyka: 17% w przypadku, gdy pacjenci byli leczeni zachowawczo, 29% w przypadku pacjentów poddanych </w:t>
      </w:r>
      <w:r w:rsidR="00067CAF">
        <w:rPr>
          <w:sz w:val="22"/>
          <w:lang w:val="pl-PL"/>
        </w:rPr>
        <w:t>przezskórnej a</w:t>
      </w:r>
      <w:r w:rsidR="00DB767A">
        <w:rPr>
          <w:sz w:val="22"/>
          <w:lang w:val="pl-PL"/>
        </w:rPr>
        <w:t>n</w:t>
      </w:r>
      <w:r w:rsidR="00067CAF">
        <w:rPr>
          <w:sz w:val="22"/>
          <w:lang w:val="pl-PL"/>
        </w:rPr>
        <w:t>gioplastyce naczyń wieńcowych (</w:t>
      </w:r>
      <w:r w:rsidR="008D68C4">
        <w:rPr>
          <w:sz w:val="22"/>
          <w:lang w:val="pl-PL"/>
        </w:rPr>
        <w:t xml:space="preserve">ang. </w:t>
      </w:r>
      <w:r>
        <w:rPr>
          <w:sz w:val="22"/>
          <w:lang w:val="pl-PL"/>
        </w:rPr>
        <w:t>PTCA</w:t>
      </w:r>
      <w:r w:rsidR="008D68C4">
        <w:rPr>
          <w:sz w:val="22"/>
          <w:lang w:val="pl-PL"/>
        </w:rPr>
        <w:t xml:space="preserve"> </w:t>
      </w:r>
      <w:r w:rsidR="00E935B1">
        <w:rPr>
          <w:sz w:val="22"/>
          <w:lang w:val="pl-PL"/>
        </w:rPr>
        <w:t>–</w:t>
      </w:r>
      <w:r w:rsidR="008D68C4">
        <w:rPr>
          <w:sz w:val="22"/>
          <w:lang w:val="pl-PL"/>
        </w:rPr>
        <w:t xml:space="preserve"> </w:t>
      </w:r>
      <w:r w:rsidR="008D68C4" w:rsidRPr="001E79CA">
        <w:rPr>
          <w:sz w:val="22"/>
          <w:lang w:val="pl-PL"/>
        </w:rPr>
        <w:t>Percutaneous Transluminal Coronary Angioplasty</w:t>
      </w:r>
      <w:r w:rsidR="00067CAF">
        <w:rPr>
          <w:sz w:val="22"/>
          <w:lang w:val="pl-PL"/>
        </w:rPr>
        <w:t>)</w:t>
      </w:r>
      <w:r>
        <w:rPr>
          <w:sz w:val="22"/>
          <w:lang w:val="pl-PL"/>
        </w:rPr>
        <w:t xml:space="preserve"> z lub bez stentu i 10% u pacjentów poddanych </w:t>
      </w:r>
      <w:r w:rsidR="00512B04">
        <w:rPr>
          <w:sz w:val="22"/>
          <w:lang w:val="pl-PL"/>
        </w:rPr>
        <w:t>operacji wieńcowego przeszczepu omijającego (</w:t>
      </w:r>
      <w:r w:rsidR="008D68C4">
        <w:rPr>
          <w:sz w:val="22"/>
          <w:lang w:val="pl-PL"/>
        </w:rPr>
        <w:t>ang.</w:t>
      </w:r>
      <w:r w:rsidR="003D4E05">
        <w:rPr>
          <w:sz w:val="22"/>
          <w:lang w:val="pl-PL"/>
        </w:rPr>
        <w:t xml:space="preserve"> </w:t>
      </w:r>
      <w:r>
        <w:rPr>
          <w:sz w:val="22"/>
          <w:lang w:val="pl-PL"/>
        </w:rPr>
        <w:t>CABG</w:t>
      </w:r>
      <w:r w:rsidR="008D68C4">
        <w:rPr>
          <w:sz w:val="22"/>
          <w:lang w:val="pl-PL"/>
        </w:rPr>
        <w:t xml:space="preserve">- </w:t>
      </w:r>
      <w:r w:rsidR="008D68C4" w:rsidRPr="001E79CA">
        <w:rPr>
          <w:sz w:val="22"/>
          <w:lang w:val="pl-PL"/>
        </w:rPr>
        <w:t>Coronary Artery</w:t>
      </w:r>
      <w:r w:rsidR="008D68C4" w:rsidRPr="00936122">
        <w:rPr>
          <w:sz w:val="22"/>
          <w:lang w:val="pl-PL"/>
        </w:rPr>
        <w:t xml:space="preserve"> </w:t>
      </w:r>
      <w:r w:rsidR="008D68C4" w:rsidRPr="001E79CA">
        <w:rPr>
          <w:sz w:val="22"/>
          <w:lang w:val="pl-PL"/>
        </w:rPr>
        <w:t>Bypass Graft</w:t>
      </w:r>
      <w:r>
        <w:rPr>
          <w:sz w:val="22"/>
          <w:lang w:val="pl-PL"/>
        </w:rPr>
        <w:t>). Leczenie zapobiegało występowaniu nowych przypadków sercowo-naczyniowych (pierw</w:t>
      </w:r>
      <w:r w:rsidR="008D68C4">
        <w:rPr>
          <w:sz w:val="22"/>
          <w:lang w:val="pl-PL"/>
        </w:rPr>
        <w:t>sz</w:t>
      </w:r>
      <w:r>
        <w:rPr>
          <w:sz w:val="22"/>
          <w:lang w:val="pl-PL"/>
        </w:rPr>
        <w:t>o</w:t>
      </w:r>
      <w:r w:rsidR="008D68C4">
        <w:rPr>
          <w:sz w:val="22"/>
          <w:lang w:val="pl-PL"/>
        </w:rPr>
        <w:t>rzędowy</w:t>
      </w:r>
      <w:r>
        <w:rPr>
          <w:sz w:val="22"/>
          <w:lang w:val="pl-PL"/>
        </w:rPr>
        <w:t xml:space="preserve"> punkt końcowy) z względnym zmniejszeniem ryzyka wynoszącym 22% (CI: 8,6, 33,4), 32% (CI: 12,8, 46,4), 4% (CI: -26,9, 26,7), 6% (CI: -33,5, 34,3) i 14% (CI: -31,6, 44,2), odpowiednio w przedziałach badania między miesiącami 0-1, 1-3, 3-6, 6-9 i 9-12. Zatem powyżej 3</w:t>
      </w:r>
      <w:r w:rsidR="00DB717D">
        <w:rPr>
          <w:sz w:val="22"/>
          <w:lang w:val="pl-PL"/>
        </w:rPr>
        <w:t> </w:t>
      </w:r>
      <w:r>
        <w:rPr>
          <w:sz w:val="22"/>
          <w:lang w:val="pl-PL"/>
        </w:rPr>
        <w:t>miesięcy leczenia korzyść obserwowana w grupie klopidogrel + ASA nie zwiększała się dalej, podczas gdy ryzyko krwotoku utrzymywało się (patrz punkt 4.4).</w:t>
      </w:r>
    </w:p>
    <w:p w:rsidR="00BC4936" w:rsidRDefault="00BC4936">
      <w:pPr>
        <w:tabs>
          <w:tab w:val="left" w:pos="567"/>
        </w:tabs>
        <w:rPr>
          <w:sz w:val="22"/>
          <w:lang w:val="pl-PL"/>
        </w:rPr>
      </w:pPr>
    </w:p>
    <w:p w:rsidR="00BC4936" w:rsidRDefault="00BC4936">
      <w:pPr>
        <w:tabs>
          <w:tab w:val="left" w:pos="567"/>
        </w:tabs>
        <w:rPr>
          <w:sz w:val="22"/>
          <w:lang w:val="pl-PL"/>
        </w:rPr>
      </w:pPr>
      <w:r>
        <w:rPr>
          <w:sz w:val="22"/>
          <w:lang w:val="pl-PL"/>
        </w:rPr>
        <w:t xml:space="preserve">Stosowanie klopidogrelu w CURE było związane ze zmniejszoną potrzebą zastosowania leczenia trombolitycznego (RRR = 43,3%; CI: 24,3%, 57,5%) i inhibitorów GPIIb/IIIa (RRR = 18,2%; </w:t>
      </w:r>
    </w:p>
    <w:p w:rsidR="00BC4936" w:rsidRDefault="00BC4936">
      <w:pPr>
        <w:tabs>
          <w:tab w:val="left" w:pos="567"/>
        </w:tabs>
        <w:rPr>
          <w:sz w:val="22"/>
          <w:lang w:val="pl-PL"/>
        </w:rPr>
      </w:pPr>
      <w:r>
        <w:rPr>
          <w:sz w:val="22"/>
          <w:lang w:val="pl-PL"/>
        </w:rPr>
        <w:t>CI: 6,5%, 28,3%).</w:t>
      </w:r>
    </w:p>
    <w:p w:rsidR="00BC4936" w:rsidRDefault="00BC4936">
      <w:pPr>
        <w:tabs>
          <w:tab w:val="left" w:pos="567"/>
        </w:tabs>
        <w:rPr>
          <w:sz w:val="22"/>
          <w:lang w:val="pl-PL"/>
        </w:rPr>
      </w:pPr>
    </w:p>
    <w:p w:rsidR="00BC4936" w:rsidRDefault="00BC4936">
      <w:pPr>
        <w:tabs>
          <w:tab w:val="left" w:pos="567"/>
        </w:tabs>
        <w:rPr>
          <w:sz w:val="22"/>
          <w:lang w:val="pl-PL"/>
        </w:rPr>
      </w:pPr>
      <w:r>
        <w:rPr>
          <w:sz w:val="22"/>
          <w:lang w:val="pl-PL"/>
        </w:rPr>
        <w:t xml:space="preserve">Liczba pacjentów, u których wystąpił </w:t>
      </w:r>
      <w:r w:rsidR="00DB717D">
        <w:rPr>
          <w:sz w:val="22"/>
          <w:lang w:val="pl-PL"/>
        </w:rPr>
        <w:t xml:space="preserve">równorzędny </w:t>
      </w:r>
      <w:r w:rsidR="008D68C4">
        <w:rPr>
          <w:sz w:val="22"/>
          <w:lang w:val="pl-PL"/>
        </w:rPr>
        <w:t>pierwszorzędowy</w:t>
      </w:r>
      <w:r>
        <w:rPr>
          <w:sz w:val="22"/>
          <w:lang w:val="pl-PL"/>
        </w:rPr>
        <w:t xml:space="preserve"> punkt końcowy (śmierć z</w:t>
      </w:r>
      <w:r w:rsidR="00DB717D">
        <w:rPr>
          <w:sz w:val="22"/>
          <w:lang w:val="pl-PL"/>
        </w:rPr>
        <w:t> </w:t>
      </w:r>
      <w:r>
        <w:rPr>
          <w:sz w:val="22"/>
          <w:lang w:val="pl-PL"/>
        </w:rPr>
        <w:t>przyczyn sercowo-naczyniowych CV, MI, udar lub oporne na leczenie niedokrwienie) wynosiła 1035 (16,5%) w grupie leczonej klopidogrelem i 1187 (18,8%) w grupie leczonej placebo; względne zmniejszenie ryzyka dla grupy leczonej klopidogrelem: 14% (95% CI: 6% do 21%, p=0,0005). Ta</w:t>
      </w:r>
      <w:r w:rsidR="00DB717D">
        <w:rPr>
          <w:sz w:val="22"/>
          <w:lang w:val="pl-PL"/>
        </w:rPr>
        <w:t> </w:t>
      </w:r>
      <w:r>
        <w:rPr>
          <w:sz w:val="22"/>
          <w:lang w:val="pl-PL"/>
        </w:rPr>
        <w:t xml:space="preserve">korzyść była głównie spowodowana statystycznie znamiennym zmniejszeniem częstości występowania MI [287 (4,6%) w grupie leczonej klopidogrelem i 363 (5,8%) w grupie leczonej placebo]. Nie obserwowano wpływu na częstość powtórnej hospitalizacji z powodu niestabilnej dławicy piersiowej. </w:t>
      </w:r>
    </w:p>
    <w:p w:rsidR="00BC4936" w:rsidRDefault="00BC4936">
      <w:pPr>
        <w:tabs>
          <w:tab w:val="left" w:pos="567"/>
        </w:tabs>
        <w:rPr>
          <w:sz w:val="22"/>
          <w:lang w:val="pl-PL"/>
        </w:rPr>
      </w:pPr>
    </w:p>
    <w:p w:rsidR="00815855" w:rsidRDefault="00BC4936" w:rsidP="00815855">
      <w:pPr>
        <w:tabs>
          <w:tab w:val="left" w:pos="567"/>
        </w:tabs>
        <w:rPr>
          <w:sz w:val="22"/>
          <w:lang w:val="pl-PL"/>
        </w:rPr>
      </w:pPr>
      <w:r>
        <w:rPr>
          <w:sz w:val="22"/>
          <w:lang w:val="pl-PL"/>
        </w:rPr>
        <w:t>Wyniki uzyskane w populacjach o różnych charakterystykach (np. niestabilna dławica piersiowa lub</w:t>
      </w:r>
      <w:r w:rsidR="00DB717D">
        <w:rPr>
          <w:sz w:val="22"/>
          <w:lang w:val="pl-PL"/>
        </w:rPr>
        <w:t> </w:t>
      </w:r>
      <w:r>
        <w:rPr>
          <w:sz w:val="22"/>
          <w:lang w:val="pl-PL"/>
        </w:rPr>
        <w:t xml:space="preserve">MI bez załamka Q, poziomy ryzyka od niskiego do wysokiego, cukrzyca, potrzeba wykonania rewaskularyzacji, wiek, płeć, itd.) były zgodne z wynikami pierwotnej analizy. </w:t>
      </w:r>
      <w:r w:rsidR="00423E47">
        <w:rPr>
          <w:sz w:val="22"/>
          <w:lang w:val="pl-PL"/>
        </w:rPr>
        <w:t>Szczególnie</w:t>
      </w:r>
      <w:r w:rsidR="00815855">
        <w:rPr>
          <w:sz w:val="22"/>
          <w:lang w:val="pl-PL"/>
        </w:rPr>
        <w:t xml:space="preserve">, w analizie </w:t>
      </w:r>
      <w:r w:rsidR="00815855" w:rsidRPr="009D42AE">
        <w:rPr>
          <w:i/>
          <w:sz w:val="22"/>
          <w:lang w:val="pl-PL"/>
        </w:rPr>
        <w:t>post hoc</w:t>
      </w:r>
      <w:r w:rsidR="00815855">
        <w:rPr>
          <w:sz w:val="22"/>
          <w:lang w:val="pl-PL"/>
        </w:rPr>
        <w:t xml:space="preserve">, którą objęto 2172 pacjentów (17% uczestników badania CURE), u których wszczepiono stenty (badanie Stent-CURE), dane wskazywały na znamienne </w:t>
      </w:r>
      <w:r w:rsidR="008D68C4">
        <w:rPr>
          <w:sz w:val="22"/>
          <w:lang w:val="pl-PL"/>
        </w:rPr>
        <w:t xml:space="preserve">RRR </w:t>
      </w:r>
      <w:r w:rsidR="00815855">
        <w:rPr>
          <w:sz w:val="22"/>
          <w:lang w:val="pl-PL"/>
        </w:rPr>
        <w:t xml:space="preserve">o 26,2% na korzyść klopidogrelu względem placebo, w odniesieniu do </w:t>
      </w:r>
      <w:r w:rsidR="008D68C4">
        <w:rPr>
          <w:sz w:val="22"/>
          <w:lang w:val="pl-PL"/>
        </w:rPr>
        <w:t xml:space="preserve">równorzędnego pierwszorzędowego </w:t>
      </w:r>
      <w:r w:rsidR="00815855">
        <w:rPr>
          <w:sz w:val="22"/>
          <w:lang w:val="pl-PL"/>
        </w:rPr>
        <w:t xml:space="preserve">punktu końcowego, obejmującego zgon z przyczyn </w:t>
      </w:r>
      <w:r w:rsidR="00423E47">
        <w:rPr>
          <w:sz w:val="22"/>
          <w:lang w:val="pl-PL"/>
        </w:rPr>
        <w:t>sercowo-naczyniowych</w:t>
      </w:r>
      <w:r w:rsidR="00815855">
        <w:rPr>
          <w:sz w:val="22"/>
          <w:lang w:val="pl-PL"/>
        </w:rPr>
        <w:t xml:space="preserve">, zawał mięśnia sercowego i udar mózgu. Stwierdzono także znamienne zmniejszenie ryzyka względnego, o 23,9%, w odniesieniu do drugiego </w:t>
      </w:r>
      <w:r w:rsidR="005E10F3">
        <w:rPr>
          <w:sz w:val="22"/>
          <w:lang w:val="pl-PL"/>
        </w:rPr>
        <w:t>równorzędnego pierwszorzędowego</w:t>
      </w:r>
      <w:r w:rsidR="00815855">
        <w:rPr>
          <w:sz w:val="22"/>
          <w:lang w:val="pl-PL"/>
        </w:rPr>
        <w:t xml:space="preserve"> punktu końcowego (zgon z przyczyn </w:t>
      </w:r>
      <w:r w:rsidR="00423E47">
        <w:rPr>
          <w:sz w:val="22"/>
          <w:lang w:val="pl-PL"/>
        </w:rPr>
        <w:t>sercowo-naczyniowych</w:t>
      </w:r>
      <w:r w:rsidR="00815855">
        <w:rPr>
          <w:sz w:val="22"/>
          <w:lang w:val="pl-PL"/>
        </w:rPr>
        <w:t xml:space="preserve">, zawał mięśnia sercowego, udar mózgu lub niedokrwienie oporne na leczenie). Ponadto, </w:t>
      </w:r>
      <w:r w:rsidR="00423E47">
        <w:rPr>
          <w:sz w:val="22"/>
          <w:lang w:val="pl-PL"/>
        </w:rPr>
        <w:t xml:space="preserve">profil bezpieczeństwa terapii </w:t>
      </w:r>
      <w:r w:rsidR="00815855">
        <w:rPr>
          <w:sz w:val="22"/>
          <w:lang w:val="pl-PL"/>
        </w:rPr>
        <w:t>klopidogrel</w:t>
      </w:r>
      <w:r w:rsidR="00423E47">
        <w:rPr>
          <w:sz w:val="22"/>
          <w:lang w:val="pl-PL"/>
        </w:rPr>
        <w:t xml:space="preserve">em </w:t>
      </w:r>
      <w:r w:rsidR="00815855">
        <w:rPr>
          <w:sz w:val="22"/>
          <w:lang w:val="pl-PL"/>
        </w:rPr>
        <w:t>w tej podgrupie pacjentów nie budził szczególnych zastrzeżeń. Wyniki uzyskane w tej szczególnej grupie pacjentów były zgodne z obserwowanymi w całym badaniu.</w:t>
      </w:r>
    </w:p>
    <w:p w:rsidR="00BC4936" w:rsidRDefault="00BC4936">
      <w:pPr>
        <w:tabs>
          <w:tab w:val="left" w:pos="567"/>
        </w:tabs>
        <w:rPr>
          <w:sz w:val="22"/>
          <w:lang w:val="pl-PL"/>
        </w:rPr>
      </w:pPr>
    </w:p>
    <w:p w:rsidR="00BC4936" w:rsidRDefault="00BC4936">
      <w:pPr>
        <w:tabs>
          <w:tab w:val="left" w:pos="567"/>
        </w:tabs>
        <w:rPr>
          <w:sz w:val="22"/>
          <w:lang w:val="pl-PL"/>
        </w:rPr>
      </w:pPr>
      <w:r>
        <w:rPr>
          <w:sz w:val="22"/>
          <w:lang w:val="pl-PL"/>
        </w:rPr>
        <w:t xml:space="preserve">Korzyści obserwowane po klopidogrelu były niezależne od innych doraźnych i długotrwałych terapii układu sercowo-naczyniowego (takich jak heparyna lub drobnocząsteczkowa heparyna-(ang. LMWH), antagoniści GPIIb/IIIa, </w:t>
      </w:r>
      <w:r w:rsidR="00D37845">
        <w:rPr>
          <w:sz w:val="22"/>
          <w:lang w:val="pl-PL"/>
        </w:rPr>
        <w:t xml:space="preserve">produkty lecznicze </w:t>
      </w:r>
      <w:r>
        <w:rPr>
          <w:sz w:val="22"/>
          <w:lang w:val="pl-PL"/>
        </w:rPr>
        <w:t>obniżające stężenie lipidów, beta-adrenolityczne i</w:t>
      </w:r>
      <w:r w:rsidR="002C7A00">
        <w:rPr>
          <w:sz w:val="22"/>
          <w:lang w:val="pl-PL"/>
        </w:rPr>
        <w:t> </w:t>
      </w:r>
      <w:r>
        <w:rPr>
          <w:sz w:val="22"/>
          <w:lang w:val="pl-PL"/>
        </w:rPr>
        <w:t>inhibitory ACE). Skuteczność klopidogrelu obserwowano niezależnie od dawki ASA (75-325 mg raz na dobę).</w:t>
      </w:r>
    </w:p>
    <w:p w:rsidR="00BC4936" w:rsidRDefault="00BC4936">
      <w:pPr>
        <w:tabs>
          <w:tab w:val="left" w:pos="567"/>
        </w:tabs>
        <w:rPr>
          <w:sz w:val="22"/>
          <w:lang w:val="pl-PL"/>
        </w:rPr>
      </w:pPr>
    </w:p>
    <w:p w:rsidR="00BC4936" w:rsidRDefault="00BC4936">
      <w:pPr>
        <w:tabs>
          <w:tab w:val="left" w:pos="567"/>
        </w:tabs>
        <w:rPr>
          <w:sz w:val="22"/>
          <w:lang w:val="pl-PL"/>
        </w:rPr>
      </w:pPr>
      <w:r>
        <w:rPr>
          <w:sz w:val="22"/>
          <w:lang w:val="pl-PL"/>
        </w:rPr>
        <w:t>U pacjentów z ostrym zawałem mięśnia sercowego z uniesieniem odcinka ST, bezpieczeństwo i</w:t>
      </w:r>
      <w:r w:rsidR="002C7A00">
        <w:rPr>
          <w:sz w:val="22"/>
          <w:lang w:val="pl-PL"/>
        </w:rPr>
        <w:t> </w:t>
      </w:r>
      <w:r>
        <w:rPr>
          <w:sz w:val="22"/>
          <w:lang w:val="pl-PL"/>
        </w:rPr>
        <w:t xml:space="preserve">skuteczność klopidogrelu były oceniane w </w:t>
      </w:r>
      <w:r w:rsidR="00146ABB">
        <w:rPr>
          <w:sz w:val="22"/>
          <w:lang w:val="pl-PL"/>
        </w:rPr>
        <w:t>dw</w:t>
      </w:r>
      <w:r>
        <w:rPr>
          <w:sz w:val="22"/>
          <w:lang w:val="pl-PL"/>
        </w:rPr>
        <w:t xml:space="preserve">óch randomizowanych badaniach kontrolowanych placebo </w:t>
      </w:r>
      <w:r>
        <w:rPr>
          <w:sz w:val="22"/>
          <w:szCs w:val="16"/>
          <w:lang w:val="pl-PL"/>
        </w:rPr>
        <w:t xml:space="preserve">przeprowadzanych metodą podwójnej ślepej próby, </w:t>
      </w:r>
      <w:r>
        <w:rPr>
          <w:sz w:val="22"/>
          <w:lang w:val="pl-PL"/>
        </w:rPr>
        <w:t>CLARITY i COMMIT.</w:t>
      </w:r>
    </w:p>
    <w:p w:rsidR="00BC4936" w:rsidRDefault="00BC4936">
      <w:pPr>
        <w:tabs>
          <w:tab w:val="left" w:pos="567"/>
        </w:tabs>
        <w:rPr>
          <w:sz w:val="22"/>
          <w:lang w:val="pl-PL"/>
        </w:rPr>
      </w:pPr>
    </w:p>
    <w:p w:rsidR="00BC4936" w:rsidRDefault="00011328">
      <w:pPr>
        <w:tabs>
          <w:tab w:val="left" w:pos="567"/>
        </w:tabs>
        <w:rPr>
          <w:color w:val="000000"/>
          <w:sz w:val="22"/>
          <w:szCs w:val="16"/>
          <w:lang w:val="pl-PL"/>
        </w:rPr>
      </w:pPr>
      <w:r>
        <w:rPr>
          <w:sz w:val="22"/>
          <w:lang w:val="pl-PL"/>
        </w:rPr>
        <w:t>Badanie CLARITY obejmowało 3</w:t>
      </w:r>
      <w:r w:rsidR="00BC4936">
        <w:rPr>
          <w:sz w:val="22"/>
          <w:lang w:val="pl-PL"/>
        </w:rPr>
        <w:t xml:space="preserve">491 pacjentów, </w:t>
      </w:r>
      <w:r w:rsidR="00BC4936">
        <w:rPr>
          <w:color w:val="000000"/>
          <w:sz w:val="22"/>
          <w:szCs w:val="16"/>
          <w:lang w:val="pl-PL"/>
        </w:rPr>
        <w:t>u których w ciągu ostatnich 12 godzin wystąpił zawał mięśnia sercowego z uniesieniem odcinka ST, i zakwalifikowanych do leczenia trombolitycznego. Pacjenci otrzymywali klopidogrel (dawka nasycająca 300 mg, a następnie 75 mg na dobę, n=1752) lub placebo (n=1739), w skojarzeniu z ASA (150 do 325 mg jako dawka nasycająca, a</w:t>
      </w:r>
      <w:r w:rsidR="002C7A00">
        <w:rPr>
          <w:color w:val="000000"/>
          <w:sz w:val="22"/>
          <w:szCs w:val="16"/>
          <w:lang w:val="pl-PL"/>
        </w:rPr>
        <w:t> </w:t>
      </w:r>
      <w:r w:rsidR="00BC4936">
        <w:rPr>
          <w:color w:val="000000"/>
          <w:sz w:val="22"/>
          <w:szCs w:val="16"/>
          <w:lang w:val="pl-PL"/>
        </w:rPr>
        <w:t>następnie 75 do 162 mg na dobę), lekiem fibrynolitycznym i, jeżeli wskazane, heparyną. Pacjenci byli obserwowani przez 30 dni. Pierw</w:t>
      </w:r>
      <w:r w:rsidR="005E10F3">
        <w:rPr>
          <w:color w:val="000000"/>
          <w:sz w:val="22"/>
          <w:szCs w:val="16"/>
          <w:lang w:val="pl-PL"/>
        </w:rPr>
        <w:t>szorzędowy</w:t>
      </w:r>
      <w:r w:rsidR="00BC4936">
        <w:rPr>
          <w:color w:val="000000"/>
          <w:sz w:val="22"/>
          <w:szCs w:val="16"/>
          <w:lang w:val="pl-PL"/>
        </w:rPr>
        <w:t xml:space="preserve"> punkt końcowy badania stanowiło łączne wystąpienie: zamknięcie tętnicy związanej z zawałem w angiogramie przed wypisem ze szpitala lub zgon lub powtórny zawał mięśnia sercowego przed angiografią naczyń wieńcowych. U pacjentów, którzy nie mieli wykonanej angiografii, pierw</w:t>
      </w:r>
      <w:r w:rsidR="005E10F3">
        <w:rPr>
          <w:color w:val="000000"/>
          <w:sz w:val="22"/>
          <w:szCs w:val="16"/>
          <w:lang w:val="pl-PL"/>
        </w:rPr>
        <w:t>szorzędowym</w:t>
      </w:r>
      <w:r w:rsidR="00BC4936">
        <w:rPr>
          <w:color w:val="000000"/>
          <w:sz w:val="22"/>
          <w:szCs w:val="16"/>
          <w:lang w:val="pl-PL"/>
        </w:rPr>
        <w:t xml:space="preserve"> punktem końcowym był zgon lub powtórny zawał mięśnia sercowego do 8 dni lub do wypisu ze szpitala. Badana populacja obejmowała 19,7% kobiet oraz 29,2% pacjentów ≥ 65 roku życia. Ogółem 99,7% pacjentów otrzymywało leki fibrynolityczne (swoiste dla fibryny: 68,7%, nieswoiste dla fibryny: 31,1%), 89,5% heparynę, 78,7% leki </w:t>
      </w:r>
      <w:r w:rsidR="00BC4936">
        <w:rPr>
          <w:sz w:val="22"/>
          <w:lang w:val="pl-PL"/>
        </w:rPr>
        <w:t>beta-adrenolityczne</w:t>
      </w:r>
      <w:r w:rsidR="00BC4936">
        <w:rPr>
          <w:color w:val="000000"/>
          <w:sz w:val="22"/>
          <w:szCs w:val="16"/>
          <w:lang w:val="pl-PL"/>
        </w:rPr>
        <w:t>, 54,7% inhibitory ACE a 63% statyny.</w:t>
      </w:r>
    </w:p>
    <w:p w:rsidR="00BC4936" w:rsidRDefault="00BC4936">
      <w:pPr>
        <w:tabs>
          <w:tab w:val="left" w:pos="567"/>
        </w:tabs>
        <w:rPr>
          <w:color w:val="000000"/>
          <w:sz w:val="22"/>
          <w:szCs w:val="16"/>
          <w:lang w:val="pl-PL"/>
        </w:rPr>
      </w:pPr>
    </w:p>
    <w:p w:rsidR="00BC4936" w:rsidRDefault="00BC4936">
      <w:pPr>
        <w:tabs>
          <w:tab w:val="left" w:pos="567"/>
        </w:tabs>
        <w:rPr>
          <w:color w:val="000000"/>
          <w:sz w:val="22"/>
          <w:szCs w:val="16"/>
          <w:lang w:val="pl-PL"/>
        </w:rPr>
      </w:pPr>
      <w:r>
        <w:rPr>
          <w:color w:val="000000"/>
          <w:sz w:val="22"/>
          <w:szCs w:val="16"/>
          <w:lang w:val="pl-PL"/>
        </w:rPr>
        <w:t>Pierw</w:t>
      </w:r>
      <w:r w:rsidR="005E10F3">
        <w:rPr>
          <w:color w:val="000000"/>
          <w:sz w:val="22"/>
          <w:szCs w:val="16"/>
          <w:lang w:val="pl-PL"/>
        </w:rPr>
        <w:t>szorzędowy</w:t>
      </w:r>
      <w:r>
        <w:rPr>
          <w:color w:val="000000"/>
          <w:sz w:val="22"/>
          <w:szCs w:val="16"/>
          <w:lang w:val="pl-PL"/>
        </w:rPr>
        <w:t xml:space="preserve"> punkt końcowy badania osiągnęło </w:t>
      </w:r>
      <w:r w:rsidR="005E10F3">
        <w:rPr>
          <w:color w:val="000000"/>
          <w:sz w:val="22"/>
          <w:szCs w:val="16"/>
          <w:lang w:val="pl-PL"/>
        </w:rPr>
        <w:t xml:space="preserve">15% </w:t>
      </w:r>
      <w:r>
        <w:rPr>
          <w:color w:val="000000"/>
          <w:sz w:val="22"/>
          <w:szCs w:val="16"/>
          <w:lang w:val="pl-PL"/>
        </w:rPr>
        <w:t>pacjentów w grupie leczonej klopidogrelem oraz 21,7% w grupie otrzymującej placebo, co stanowi bezwzględne zmniejszenie o 6,7% oraz zmniejszenie o 36% szans osiągnięcia punktu końcowego na korzyść klopidogrelu (95% CI: 24, 47%; p&lt;0,001), związane głównie ze zmniejszeniem występowania zamkniętych tętnic związanych z</w:t>
      </w:r>
      <w:r w:rsidR="001B5F49">
        <w:rPr>
          <w:sz w:val="22"/>
          <w:lang w:val="pl-PL"/>
        </w:rPr>
        <w:t> </w:t>
      </w:r>
      <w:r>
        <w:rPr>
          <w:color w:val="000000"/>
          <w:sz w:val="22"/>
          <w:szCs w:val="16"/>
          <w:lang w:val="pl-PL"/>
        </w:rPr>
        <w:t>zawałem. Korzyści te występowały zgodnie we wszystkich uprzednio wyszczególnionych podgrupach, obejmujących wiek i płeć pacjentów, umiejscowienie zawału oraz typ stosowanego leku fibrynolitycznego lub heparyny.</w:t>
      </w:r>
    </w:p>
    <w:p w:rsidR="00BC4936" w:rsidRDefault="00BC4936">
      <w:pPr>
        <w:tabs>
          <w:tab w:val="left" w:pos="567"/>
        </w:tabs>
        <w:rPr>
          <w:color w:val="000000"/>
          <w:sz w:val="22"/>
          <w:szCs w:val="16"/>
          <w:lang w:val="pl-PL"/>
        </w:rPr>
      </w:pPr>
    </w:p>
    <w:p w:rsidR="00BC4936" w:rsidRDefault="00BC4936">
      <w:pPr>
        <w:tabs>
          <w:tab w:val="left" w:pos="567"/>
        </w:tabs>
        <w:rPr>
          <w:color w:val="000000"/>
          <w:sz w:val="22"/>
          <w:szCs w:val="16"/>
          <w:lang w:val="pl-PL"/>
        </w:rPr>
      </w:pPr>
      <w:r>
        <w:rPr>
          <w:color w:val="000000"/>
          <w:sz w:val="22"/>
          <w:szCs w:val="16"/>
          <w:lang w:val="pl-PL"/>
        </w:rPr>
        <w:t>Badanie COMMIT o modelu czynnikowym 2x2 grupy obejmowało 45</w:t>
      </w:r>
      <w:r w:rsidR="001B5F49">
        <w:rPr>
          <w:sz w:val="22"/>
          <w:lang w:val="pl-PL"/>
        </w:rPr>
        <w:t> </w:t>
      </w:r>
      <w:r>
        <w:rPr>
          <w:color w:val="000000"/>
          <w:sz w:val="22"/>
          <w:szCs w:val="16"/>
          <w:lang w:val="pl-PL"/>
        </w:rPr>
        <w:t>852 pacjentów, u których w</w:t>
      </w:r>
      <w:r w:rsidR="001B5F49">
        <w:rPr>
          <w:sz w:val="22"/>
          <w:lang w:val="pl-PL"/>
        </w:rPr>
        <w:t> </w:t>
      </w:r>
      <w:r>
        <w:rPr>
          <w:color w:val="000000"/>
          <w:sz w:val="22"/>
          <w:szCs w:val="16"/>
          <w:lang w:val="pl-PL"/>
        </w:rPr>
        <w:t>ciągu ostatnich 24 godzin wystąpiły objawy wskazujące na zawał mięśnia sercowego z</w:t>
      </w:r>
      <w:r w:rsidR="001B5F49">
        <w:rPr>
          <w:sz w:val="22"/>
          <w:lang w:val="pl-PL"/>
        </w:rPr>
        <w:t> </w:t>
      </w:r>
      <w:r>
        <w:rPr>
          <w:color w:val="000000"/>
          <w:sz w:val="22"/>
          <w:szCs w:val="16"/>
          <w:lang w:val="pl-PL"/>
        </w:rPr>
        <w:t xml:space="preserve">potwierdzającymi to nieprawidłowościami w EKG (tj. uniesieniem odcinka ST, obniżeniem odcinka ST lub blokiem lewej odnogi pęczka Hisa). Pacjenci otrzymywali klopidogrel (75 mg na dobę, n=22 961) lub placebo (n=22 981) jednocześnie z ASA (162 mg na dobę), przez 28 dni lub do wypisu ze szpitala. </w:t>
      </w:r>
      <w:r w:rsidR="005E10F3">
        <w:rPr>
          <w:color w:val="000000"/>
          <w:sz w:val="22"/>
          <w:szCs w:val="16"/>
          <w:lang w:val="pl-PL"/>
        </w:rPr>
        <w:t>Równorzędne pierwszorzędowe</w:t>
      </w:r>
      <w:r>
        <w:rPr>
          <w:color w:val="000000"/>
          <w:sz w:val="22"/>
          <w:szCs w:val="16"/>
          <w:lang w:val="pl-PL"/>
        </w:rPr>
        <w:t xml:space="preserve"> punkty końcowe stanowiły zgon z jakiejkolwiek przyczyny oraz pierwsze wystąpienie: ponownego zawału, udaru mózgu lub zgonu. Badana populacja obejmowała 27,8% kobiet, 58,4% pacjentów ≥60</w:t>
      </w:r>
      <w:r w:rsidR="005E10F3">
        <w:rPr>
          <w:color w:val="000000"/>
          <w:sz w:val="22"/>
          <w:szCs w:val="16"/>
          <w:lang w:val="pl-PL"/>
        </w:rPr>
        <w:t xml:space="preserve"> lat</w:t>
      </w:r>
      <w:r>
        <w:rPr>
          <w:color w:val="000000"/>
          <w:sz w:val="22"/>
          <w:szCs w:val="16"/>
          <w:lang w:val="pl-PL"/>
        </w:rPr>
        <w:t xml:space="preserve"> (26% ≥70</w:t>
      </w:r>
      <w:r w:rsidR="005E10F3">
        <w:rPr>
          <w:color w:val="000000"/>
          <w:sz w:val="22"/>
          <w:szCs w:val="16"/>
          <w:lang w:val="pl-PL"/>
        </w:rPr>
        <w:t xml:space="preserve"> lat</w:t>
      </w:r>
      <w:r>
        <w:rPr>
          <w:color w:val="000000"/>
          <w:sz w:val="22"/>
          <w:szCs w:val="16"/>
          <w:lang w:val="pl-PL"/>
        </w:rPr>
        <w:t>) oraz 54,5% pacjentów otrzymujących leki fibrynolityczne.</w:t>
      </w:r>
    </w:p>
    <w:p w:rsidR="00BC4936" w:rsidRDefault="00BC4936">
      <w:pPr>
        <w:tabs>
          <w:tab w:val="left" w:pos="567"/>
        </w:tabs>
        <w:rPr>
          <w:color w:val="000000"/>
          <w:sz w:val="22"/>
          <w:szCs w:val="16"/>
          <w:lang w:val="pl-PL"/>
        </w:rPr>
      </w:pPr>
    </w:p>
    <w:p w:rsidR="00BC4936" w:rsidRDefault="00BC4936">
      <w:pPr>
        <w:tabs>
          <w:tab w:val="left" w:pos="567"/>
        </w:tabs>
        <w:rPr>
          <w:color w:val="000000"/>
          <w:sz w:val="22"/>
          <w:szCs w:val="16"/>
          <w:lang w:val="pl-PL"/>
        </w:rPr>
      </w:pPr>
      <w:r>
        <w:rPr>
          <w:color w:val="000000"/>
          <w:sz w:val="22"/>
          <w:szCs w:val="16"/>
          <w:lang w:val="pl-PL"/>
        </w:rPr>
        <w:t>Klopidogrel w znaczący sposób zmniejszał względne ryzyko zgonu z jakiejkolwiek przyczyny o 7% (p=0,029) oraz łącznie względne ryzyko ponownego zawału, udaru mózgu i zgonu o 9% (p=0,002), co stanowi bezwzględne zmniejszenie odpowiednio o 0,5% i 0,9%. Korzyści te występowały bez względu na wiek, płeć oraz stosowanie lub nie, leków fibrynolitycznych i były obserwowane już w</w:t>
      </w:r>
      <w:r w:rsidR="001B5F49">
        <w:rPr>
          <w:sz w:val="22"/>
          <w:lang w:val="pl-PL"/>
        </w:rPr>
        <w:t> </w:t>
      </w:r>
      <w:r>
        <w:rPr>
          <w:color w:val="000000"/>
          <w:sz w:val="22"/>
          <w:szCs w:val="16"/>
          <w:lang w:val="pl-PL"/>
        </w:rPr>
        <w:t>ciągu 24 godzin.</w:t>
      </w:r>
    </w:p>
    <w:p w:rsidR="00EA369F" w:rsidRDefault="00EA369F">
      <w:pPr>
        <w:tabs>
          <w:tab w:val="left" w:pos="567"/>
        </w:tabs>
        <w:rPr>
          <w:color w:val="000000"/>
          <w:sz w:val="22"/>
          <w:szCs w:val="16"/>
          <w:lang w:val="pl-PL"/>
        </w:rPr>
      </w:pPr>
    </w:p>
    <w:p w:rsidR="00EA369F" w:rsidRPr="000A2AA7" w:rsidRDefault="00EA369F" w:rsidP="00EA369F">
      <w:pPr>
        <w:tabs>
          <w:tab w:val="left" w:pos="567"/>
        </w:tabs>
        <w:rPr>
          <w:color w:val="000000"/>
          <w:sz w:val="22"/>
          <w:szCs w:val="16"/>
          <w:u w:val="single"/>
          <w:lang w:val="pl-PL"/>
        </w:rPr>
      </w:pPr>
      <w:r>
        <w:rPr>
          <w:color w:val="000000"/>
          <w:sz w:val="22"/>
          <w:szCs w:val="16"/>
          <w:u w:val="single"/>
          <w:lang w:val="pl-PL"/>
        </w:rPr>
        <w:t>Deeskalacja leczenia inhibitorami</w:t>
      </w:r>
      <w:r w:rsidRPr="000A2AA7">
        <w:rPr>
          <w:color w:val="000000"/>
          <w:sz w:val="22"/>
          <w:szCs w:val="16"/>
          <w:u w:val="single"/>
          <w:lang w:val="pl-PL"/>
        </w:rPr>
        <w:t xml:space="preserve"> </w:t>
      </w:r>
      <w:r>
        <w:rPr>
          <w:color w:val="000000"/>
          <w:sz w:val="22"/>
          <w:szCs w:val="16"/>
          <w:u w:val="single"/>
          <w:lang w:val="pl-PL"/>
        </w:rPr>
        <w:t xml:space="preserve">receptora </w:t>
      </w:r>
      <w:r w:rsidRPr="000A2AA7">
        <w:rPr>
          <w:color w:val="000000"/>
          <w:sz w:val="22"/>
          <w:szCs w:val="16"/>
          <w:u w:val="single"/>
          <w:lang w:val="pl-PL"/>
        </w:rPr>
        <w:t>P2Y</w:t>
      </w:r>
      <w:r w:rsidRPr="000A2AA7">
        <w:rPr>
          <w:color w:val="000000"/>
          <w:sz w:val="22"/>
          <w:szCs w:val="16"/>
          <w:u w:val="single"/>
          <w:vertAlign w:val="subscript"/>
          <w:lang w:val="pl-PL"/>
        </w:rPr>
        <w:t>12</w:t>
      </w:r>
      <w:r w:rsidRPr="000A2AA7">
        <w:rPr>
          <w:color w:val="000000"/>
          <w:sz w:val="22"/>
          <w:szCs w:val="16"/>
          <w:u w:val="single"/>
          <w:lang w:val="pl-PL"/>
        </w:rPr>
        <w:t xml:space="preserve"> w ostrym zespole wieńcowym</w:t>
      </w:r>
    </w:p>
    <w:p w:rsidR="00EA369F" w:rsidRDefault="00EA369F" w:rsidP="00EA369F">
      <w:pPr>
        <w:tabs>
          <w:tab w:val="left" w:pos="567"/>
        </w:tabs>
        <w:rPr>
          <w:color w:val="000000"/>
          <w:sz w:val="22"/>
          <w:szCs w:val="16"/>
          <w:lang w:val="pl-PL"/>
        </w:rPr>
      </w:pPr>
      <w:r>
        <w:rPr>
          <w:color w:val="000000"/>
          <w:sz w:val="22"/>
          <w:szCs w:val="16"/>
          <w:lang w:val="pl-PL"/>
        </w:rPr>
        <w:t>W dwóch randomizowanych badaniach sponsorowanych przez badaczy (ISS) – TOPIC i TROPICAL</w:t>
      </w:r>
      <w:r>
        <w:rPr>
          <w:color w:val="000000"/>
          <w:sz w:val="22"/>
          <w:szCs w:val="16"/>
          <w:lang w:val="pl-PL"/>
        </w:rPr>
        <w:noBreakHyphen/>
        <w:t>ACS – na podstawie danych z tych badań klinicznych, oceniano zmianę</w:t>
      </w:r>
      <w:r w:rsidRPr="00A913D3">
        <w:rPr>
          <w:color w:val="000000"/>
          <w:sz w:val="22"/>
          <w:szCs w:val="16"/>
          <w:lang w:val="pl-PL"/>
        </w:rPr>
        <w:t xml:space="preserve"> z silniejszego inhibitora receptora P2Y</w:t>
      </w:r>
      <w:r w:rsidRPr="000A2AA7">
        <w:rPr>
          <w:color w:val="000000"/>
          <w:sz w:val="22"/>
          <w:szCs w:val="16"/>
          <w:vertAlign w:val="subscript"/>
          <w:lang w:val="pl-PL"/>
        </w:rPr>
        <w:t>12</w:t>
      </w:r>
      <w:r w:rsidRPr="00A913D3">
        <w:rPr>
          <w:color w:val="000000"/>
          <w:sz w:val="22"/>
          <w:szCs w:val="16"/>
          <w:lang w:val="pl-PL"/>
        </w:rPr>
        <w:t xml:space="preserve"> na klopidogrel w skojarzeniu z aspiryną</w:t>
      </w:r>
      <w:r>
        <w:rPr>
          <w:color w:val="000000"/>
          <w:sz w:val="22"/>
          <w:szCs w:val="16"/>
          <w:lang w:val="pl-PL"/>
        </w:rPr>
        <w:t>,</w:t>
      </w:r>
      <w:r w:rsidRPr="000A2AA7">
        <w:rPr>
          <w:lang w:val="pl-PL"/>
        </w:rPr>
        <w:t xml:space="preserve"> </w:t>
      </w:r>
      <w:r w:rsidRPr="00A22DA8">
        <w:rPr>
          <w:color w:val="000000"/>
          <w:sz w:val="22"/>
          <w:szCs w:val="16"/>
          <w:lang w:val="pl-PL"/>
        </w:rPr>
        <w:t xml:space="preserve">po ostrej fazie ostrego zespołu wieńcowego (ang. </w:t>
      </w:r>
      <w:r w:rsidRPr="000A2AA7">
        <w:rPr>
          <w:i/>
          <w:color w:val="000000"/>
          <w:sz w:val="22"/>
          <w:szCs w:val="16"/>
          <w:lang w:val="pl-PL"/>
        </w:rPr>
        <w:t>Acute Coronary Syndrome</w:t>
      </w:r>
      <w:r w:rsidRPr="00A22DA8">
        <w:rPr>
          <w:color w:val="000000"/>
          <w:sz w:val="22"/>
          <w:szCs w:val="16"/>
          <w:lang w:val="pl-PL"/>
        </w:rPr>
        <w:t>, ACS)</w:t>
      </w:r>
      <w:r>
        <w:rPr>
          <w:color w:val="000000"/>
          <w:sz w:val="22"/>
          <w:szCs w:val="16"/>
          <w:lang w:val="pl-PL"/>
        </w:rPr>
        <w:t>.</w:t>
      </w:r>
      <w:r w:rsidRPr="00A913D3">
        <w:rPr>
          <w:color w:val="000000"/>
          <w:sz w:val="22"/>
          <w:szCs w:val="16"/>
          <w:lang w:val="pl-PL"/>
        </w:rPr>
        <w:t xml:space="preserve"> </w:t>
      </w:r>
    </w:p>
    <w:p w:rsidR="00EA369F" w:rsidRDefault="00EA369F" w:rsidP="00EA369F">
      <w:pPr>
        <w:tabs>
          <w:tab w:val="left" w:pos="567"/>
        </w:tabs>
        <w:rPr>
          <w:color w:val="000000"/>
          <w:sz w:val="22"/>
          <w:szCs w:val="16"/>
          <w:lang w:val="pl-PL"/>
        </w:rPr>
      </w:pPr>
    </w:p>
    <w:p w:rsidR="00EA369F" w:rsidRDefault="00EA369F" w:rsidP="00EA369F">
      <w:pPr>
        <w:tabs>
          <w:tab w:val="left" w:pos="567"/>
        </w:tabs>
        <w:rPr>
          <w:color w:val="000000"/>
          <w:sz w:val="22"/>
          <w:szCs w:val="16"/>
          <w:lang w:val="pl-PL"/>
        </w:rPr>
      </w:pPr>
      <w:r>
        <w:rPr>
          <w:color w:val="000000"/>
          <w:sz w:val="22"/>
          <w:szCs w:val="16"/>
          <w:lang w:val="pl-PL"/>
        </w:rPr>
        <w:t>W kluczowych badaniach klinicznych nad silniejszymi inhibitorami receptora P2Y</w:t>
      </w:r>
      <w:r>
        <w:rPr>
          <w:color w:val="000000"/>
          <w:sz w:val="22"/>
          <w:szCs w:val="16"/>
          <w:vertAlign w:val="subscript"/>
          <w:lang w:val="pl-PL"/>
        </w:rPr>
        <w:t>12</w:t>
      </w:r>
      <w:r>
        <w:rPr>
          <w:color w:val="000000"/>
          <w:sz w:val="22"/>
          <w:szCs w:val="16"/>
          <w:lang w:val="pl-PL"/>
        </w:rPr>
        <w:t xml:space="preserve">, kliniczne korzyści tikagreloru i prasugrelu są związane ze znacznym zmniejszeniem nawracających incydentów niedokrwiennych (w tym ostrej i podostrej zakrzepicy w stencie, zawału mięśnia sercowego, pilnej rewaskularyzacji). </w:t>
      </w:r>
      <w:r w:rsidRPr="00460B2C">
        <w:rPr>
          <w:color w:val="000000"/>
          <w:sz w:val="22"/>
          <w:szCs w:val="16"/>
          <w:lang w:val="pl-PL"/>
        </w:rPr>
        <w:t>Chociaż korzy</w:t>
      </w:r>
      <w:r>
        <w:rPr>
          <w:color w:val="000000"/>
          <w:sz w:val="22"/>
          <w:szCs w:val="16"/>
          <w:lang w:val="pl-PL"/>
        </w:rPr>
        <w:t>stne działanie</w:t>
      </w:r>
      <w:r w:rsidRPr="00460B2C">
        <w:rPr>
          <w:color w:val="000000"/>
          <w:sz w:val="22"/>
          <w:szCs w:val="16"/>
          <w:lang w:val="pl-PL"/>
        </w:rPr>
        <w:t xml:space="preserve"> z</w:t>
      </w:r>
      <w:r>
        <w:rPr>
          <w:color w:val="000000"/>
          <w:sz w:val="22"/>
          <w:szCs w:val="16"/>
          <w:lang w:val="pl-PL"/>
        </w:rPr>
        <w:t>wiązane z incydentami niedokrwiennymi było</w:t>
      </w:r>
      <w:r w:rsidRPr="00460B2C">
        <w:rPr>
          <w:color w:val="000000"/>
          <w:sz w:val="22"/>
          <w:szCs w:val="16"/>
          <w:lang w:val="pl-PL"/>
        </w:rPr>
        <w:t xml:space="preserve"> stałe przez cały pierwszy rok, większe zmniejszenie </w:t>
      </w:r>
      <w:r>
        <w:rPr>
          <w:color w:val="000000"/>
          <w:sz w:val="22"/>
          <w:szCs w:val="16"/>
          <w:lang w:val="pl-PL"/>
        </w:rPr>
        <w:t xml:space="preserve">występowania </w:t>
      </w:r>
      <w:r w:rsidRPr="00460B2C">
        <w:rPr>
          <w:color w:val="000000"/>
          <w:sz w:val="22"/>
          <w:szCs w:val="16"/>
          <w:lang w:val="pl-PL"/>
        </w:rPr>
        <w:t xml:space="preserve">nawrotu </w:t>
      </w:r>
      <w:r>
        <w:rPr>
          <w:color w:val="000000"/>
          <w:sz w:val="22"/>
          <w:szCs w:val="16"/>
          <w:lang w:val="pl-PL"/>
        </w:rPr>
        <w:t>incydentu niedokrwiennego</w:t>
      </w:r>
      <w:r w:rsidRPr="00460B2C">
        <w:rPr>
          <w:color w:val="000000"/>
          <w:sz w:val="22"/>
          <w:szCs w:val="16"/>
          <w:lang w:val="pl-PL"/>
        </w:rPr>
        <w:t xml:space="preserve"> po ACS </w:t>
      </w:r>
      <w:r w:rsidRPr="00831FC6">
        <w:rPr>
          <w:color w:val="000000"/>
          <w:sz w:val="22"/>
          <w:szCs w:val="16"/>
          <w:lang w:val="pl-PL"/>
        </w:rPr>
        <w:t xml:space="preserve">obserwowano </w:t>
      </w:r>
      <w:r w:rsidRPr="00460B2C">
        <w:rPr>
          <w:color w:val="000000"/>
          <w:sz w:val="22"/>
          <w:szCs w:val="16"/>
          <w:lang w:val="pl-PL"/>
        </w:rPr>
        <w:t xml:space="preserve">w pierwszych dniach po rozpoczęciu leczenia. </w:t>
      </w:r>
      <w:r>
        <w:rPr>
          <w:color w:val="000000"/>
          <w:sz w:val="22"/>
          <w:szCs w:val="16"/>
          <w:lang w:val="pl-PL"/>
        </w:rPr>
        <w:t>Z kolei</w:t>
      </w:r>
      <w:r w:rsidRPr="00460B2C">
        <w:rPr>
          <w:color w:val="000000"/>
          <w:sz w:val="22"/>
          <w:szCs w:val="16"/>
          <w:lang w:val="pl-PL"/>
        </w:rPr>
        <w:t xml:space="preserve"> analizy </w:t>
      </w:r>
      <w:r w:rsidRPr="000A2AA7">
        <w:rPr>
          <w:i/>
          <w:color w:val="000000"/>
          <w:sz w:val="22"/>
          <w:szCs w:val="16"/>
          <w:lang w:val="pl-PL"/>
        </w:rPr>
        <w:t>post-hoc</w:t>
      </w:r>
      <w:r w:rsidRPr="00460B2C">
        <w:rPr>
          <w:color w:val="000000"/>
          <w:sz w:val="22"/>
          <w:szCs w:val="16"/>
          <w:lang w:val="pl-PL"/>
        </w:rPr>
        <w:t xml:space="preserve"> wykazały statystycznie istotny wzrost ryzyka krwawienia z</w:t>
      </w:r>
      <w:r>
        <w:rPr>
          <w:color w:val="000000"/>
          <w:sz w:val="22"/>
          <w:szCs w:val="16"/>
          <w:lang w:val="pl-PL"/>
        </w:rPr>
        <w:t>wiązanego z przyjmowaniem silniejszych inhibitorów receptora</w:t>
      </w:r>
      <w:r w:rsidRPr="00460B2C">
        <w:rPr>
          <w:color w:val="000000"/>
          <w:sz w:val="22"/>
          <w:szCs w:val="16"/>
          <w:lang w:val="pl-PL"/>
        </w:rPr>
        <w:t xml:space="preserve"> P2Y</w:t>
      </w:r>
      <w:r w:rsidRPr="000A2AA7">
        <w:rPr>
          <w:color w:val="000000"/>
          <w:sz w:val="22"/>
          <w:szCs w:val="16"/>
          <w:vertAlign w:val="subscript"/>
          <w:lang w:val="pl-PL"/>
        </w:rPr>
        <w:t>12</w:t>
      </w:r>
      <w:r>
        <w:rPr>
          <w:color w:val="000000"/>
          <w:sz w:val="22"/>
          <w:szCs w:val="16"/>
          <w:lang w:val="pl-PL"/>
        </w:rPr>
        <w:t>, występującego</w:t>
      </w:r>
      <w:r w:rsidRPr="00460B2C">
        <w:rPr>
          <w:color w:val="000000"/>
          <w:sz w:val="22"/>
          <w:szCs w:val="16"/>
          <w:lang w:val="pl-PL"/>
        </w:rPr>
        <w:t xml:space="preserve"> głównie w fazie podtrzymującej, po pierwszym miesiącu </w:t>
      </w:r>
      <w:r>
        <w:rPr>
          <w:color w:val="000000"/>
          <w:sz w:val="22"/>
          <w:szCs w:val="16"/>
          <w:lang w:val="pl-PL"/>
        </w:rPr>
        <w:t xml:space="preserve">stosowania </w:t>
      </w:r>
      <w:r w:rsidRPr="00460B2C">
        <w:rPr>
          <w:color w:val="000000"/>
          <w:sz w:val="22"/>
          <w:szCs w:val="16"/>
          <w:lang w:val="pl-PL"/>
        </w:rPr>
        <w:t xml:space="preserve">po </w:t>
      </w:r>
      <w:r>
        <w:rPr>
          <w:color w:val="000000"/>
          <w:sz w:val="22"/>
          <w:szCs w:val="16"/>
          <w:lang w:val="pl-PL"/>
        </w:rPr>
        <w:t xml:space="preserve">wystąpieniu </w:t>
      </w:r>
      <w:r w:rsidRPr="00460B2C">
        <w:rPr>
          <w:color w:val="000000"/>
          <w:sz w:val="22"/>
          <w:szCs w:val="16"/>
          <w:lang w:val="pl-PL"/>
        </w:rPr>
        <w:t xml:space="preserve">ACS. </w:t>
      </w:r>
      <w:r>
        <w:rPr>
          <w:color w:val="000000"/>
          <w:sz w:val="22"/>
          <w:szCs w:val="16"/>
          <w:lang w:val="pl-PL"/>
        </w:rPr>
        <w:t xml:space="preserve">Badania </w:t>
      </w:r>
      <w:r w:rsidRPr="00460B2C">
        <w:rPr>
          <w:color w:val="000000"/>
          <w:sz w:val="22"/>
          <w:szCs w:val="16"/>
          <w:lang w:val="pl-PL"/>
        </w:rPr>
        <w:t>T</w:t>
      </w:r>
      <w:r>
        <w:rPr>
          <w:color w:val="000000"/>
          <w:sz w:val="22"/>
          <w:szCs w:val="16"/>
          <w:lang w:val="pl-PL"/>
        </w:rPr>
        <w:t>OPIC i TROPICAL-</w:t>
      </w:r>
      <w:r w:rsidRPr="00460B2C">
        <w:rPr>
          <w:color w:val="000000"/>
          <w:sz w:val="22"/>
          <w:szCs w:val="16"/>
          <w:lang w:val="pl-PL"/>
        </w:rPr>
        <w:t xml:space="preserve">ACS zostały zaprojektowane, aby zbadać, jak </w:t>
      </w:r>
      <w:r>
        <w:rPr>
          <w:color w:val="000000"/>
          <w:sz w:val="22"/>
          <w:szCs w:val="16"/>
          <w:lang w:val="pl-PL"/>
        </w:rPr>
        <w:t>ograniczyć przypadki krwawienia</w:t>
      </w:r>
      <w:r w:rsidRPr="00460B2C">
        <w:rPr>
          <w:color w:val="000000"/>
          <w:sz w:val="22"/>
          <w:szCs w:val="16"/>
          <w:lang w:val="pl-PL"/>
        </w:rPr>
        <w:t xml:space="preserve"> przy zachowaniu skuteczności.</w:t>
      </w:r>
    </w:p>
    <w:p w:rsidR="00EA369F" w:rsidRDefault="00EA369F" w:rsidP="00EA369F">
      <w:pPr>
        <w:tabs>
          <w:tab w:val="left" w:pos="567"/>
        </w:tabs>
        <w:rPr>
          <w:color w:val="000000"/>
          <w:sz w:val="22"/>
          <w:szCs w:val="16"/>
          <w:lang w:val="pl-PL"/>
        </w:rPr>
      </w:pPr>
    </w:p>
    <w:p w:rsidR="00EA369F" w:rsidRDefault="00EA369F" w:rsidP="00EA369F">
      <w:pPr>
        <w:tabs>
          <w:tab w:val="left" w:pos="567"/>
        </w:tabs>
        <w:rPr>
          <w:sz w:val="22"/>
          <w:szCs w:val="22"/>
        </w:rPr>
      </w:pPr>
      <w:r>
        <w:rPr>
          <w:b/>
          <w:color w:val="000000"/>
          <w:sz w:val="22"/>
          <w:szCs w:val="16"/>
        </w:rPr>
        <w:t>T</w:t>
      </w:r>
      <w:r w:rsidRPr="000A2AA7">
        <w:rPr>
          <w:b/>
          <w:color w:val="000000"/>
          <w:sz w:val="22"/>
          <w:szCs w:val="16"/>
        </w:rPr>
        <w:t>OPIC</w:t>
      </w:r>
      <w:r w:rsidRPr="000A2AA7">
        <w:rPr>
          <w:color w:val="000000"/>
          <w:sz w:val="22"/>
          <w:szCs w:val="16"/>
        </w:rPr>
        <w:t xml:space="preserve"> (ang. </w:t>
      </w:r>
      <w:r w:rsidRPr="00202DFB">
        <w:rPr>
          <w:i/>
          <w:sz w:val="22"/>
          <w:szCs w:val="22"/>
        </w:rPr>
        <w:t>Timing Of Platelet Inhibition after acute Coronary syndrome</w:t>
      </w:r>
      <w:r>
        <w:rPr>
          <w:sz w:val="22"/>
          <w:szCs w:val="22"/>
        </w:rPr>
        <w:t>)</w:t>
      </w:r>
    </w:p>
    <w:p w:rsidR="00EA369F" w:rsidRDefault="00EA369F" w:rsidP="00EA369F">
      <w:pPr>
        <w:tabs>
          <w:tab w:val="left" w:pos="567"/>
        </w:tabs>
        <w:rPr>
          <w:color w:val="000000"/>
          <w:sz w:val="22"/>
          <w:szCs w:val="16"/>
          <w:lang w:val="pl-PL"/>
        </w:rPr>
      </w:pPr>
      <w:r>
        <w:rPr>
          <w:color w:val="000000"/>
          <w:sz w:val="22"/>
          <w:szCs w:val="16"/>
          <w:lang w:val="pl-PL"/>
        </w:rPr>
        <w:t>R</w:t>
      </w:r>
      <w:r w:rsidRPr="000A2AA7">
        <w:rPr>
          <w:color w:val="000000"/>
          <w:sz w:val="22"/>
          <w:szCs w:val="16"/>
          <w:lang w:val="pl-PL"/>
        </w:rPr>
        <w:t>andomizowan</w:t>
      </w:r>
      <w:r>
        <w:rPr>
          <w:color w:val="000000"/>
          <w:sz w:val="22"/>
          <w:szCs w:val="16"/>
          <w:lang w:val="pl-PL"/>
        </w:rPr>
        <w:t>e</w:t>
      </w:r>
      <w:r w:rsidRPr="000A2AA7">
        <w:rPr>
          <w:color w:val="000000"/>
          <w:sz w:val="22"/>
          <w:szCs w:val="16"/>
          <w:lang w:val="pl-PL"/>
        </w:rPr>
        <w:t xml:space="preserve"> badani</w:t>
      </w:r>
      <w:r>
        <w:rPr>
          <w:color w:val="000000"/>
          <w:sz w:val="22"/>
          <w:szCs w:val="16"/>
          <w:lang w:val="pl-PL"/>
        </w:rPr>
        <w:t>e</w:t>
      </w:r>
      <w:r w:rsidRPr="000A2AA7">
        <w:rPr>
          <w:color w:val="000000"/>
          <w:sz w:val="22"/>
          <w:szCs w:val="16"/>
          <w:lang w:val="pl-PL"/>
        </w:rPr>
        <w:t xml:space="preserve"> </w:t>
      </w:r>
      <w:r w:rsidRPr="00400FD8">
        <w:rPr>
          <w:color w:val="000000"/>
          <w:sz w:val="22"/>
          <w:szCs w:val="16"/>
          <w:lang w:val="pl-PL"/>
        </w:rPr>
        <w:t>otwarte</w:t>
      </w:r>
      <w:r w:rsidRPr="000A2AA7">
        <w:rPr>
          <w:color w:val="000000"/>
          <w:sz w:val="22"/>
          <w:szCs w:val="16"/>
          <w:lang w:val="pl-PL"/>
        </w:rPr>
        <w:t xml:space="preserve"> </w:t>
      </w:r>
      <w:r>
        <w:rPr>
          <w:color w:val="000000"/>
          <w:sz w:val="22"/>
          <w:szCs w:val="16"/>
          <w:lang w:val="pl-PL"/>
        </w:rPr>
        <w:t>obejmowało pacjentów po ostrym zespole wieńcowym wymagających przezskórnej interwencji wieńcowej (PCI). Pacjenci przyjmujący aspirynę i silniejszy inhibitor receptora P2Y</w:t>
      </w:r>
      <w:r>
        <w:rPr>
          <w:color w:val="000000"/>
          <w:sz w:val="22"/>
          <w:szCs w:val="16"/>
          <w:vertAlign w:val="subscript"/>
          <w:lang w:val="pl-PL"/>
        </w:rPr>
        <w:t>12</w:t>
      </w:r>
      <w:r>
        <w:rPr>
          <w:color w:val="000000"/>
          <w:sz w:val="22"/>
          <w:szCs w:val="16"/>
          <w:lang w:val="pl-PL"/>
        </w:rPr>
        <w:t xml:space="preserve">, u których nie wystąpiły działania niepożądane w ciągu miesiąca zostali przydzieleni do przejścia na ustaloną dawkę aspiryny z klopidogrelem (deeskalacja podwójnego leczenia przeciwpłytkowego – DAPT, ang. </w:t>
      </w:r>
      <w:r>
        <w:rPr>
          <w:i/>
          <w:color w:val="000000"/>
          <w:sz w:val="22"/>
          <w:szCs w:val="16"/>
          <w:lang w:val="pl-PL"/>
        </w:rPr>
        <w:t>dual antiplatelet therapy</w:t>
      </w:r>
      <w:r>
        <w:rPr>
          <w:color w:val="000000"/>
          <w:sz w:val="22"/>
          <w:szCs w:val="16"/>
          <w:lang w:val="pl-PL"/>
        </w:rPr>
        <w:t xml:space="preserve">) lub kontynuowali dotychczasowy schemat dawkowania leków (niezmienione DAPT). </w:t>
      </w:r>
    </w:p>
    <w:p w:rsidR="00EA369F" w:rsidRDefault="00EA369F" w:rsidP="00EA369F">
      <w:pPr>
        <w:tabs>
          <w:tab w:val="left" w:pos="567"/>
        </w:tabs>
        <w:rPr>
          <w:color w:val="000000"/>
          <w:sz w:val="22"/>
          <w:szCs w:val="16"/>
          <w:lang w:val="pl-PL"/>
        </w:rPr>
      </w:pPr>
    </w:p>
    <w:p w:rsidR="00EA369F" w:rsidRDefault="00EA369F" w:rsidP="00EA369F">
      <w:pPr>
        <w:tabs>
          <w:tab w:val="left" w:pos="567"/>
        </w:tabs>
        <w:rPr>
          <w:color w:val="000000"/>
          <w:sz w:val="22"/>
          <w:szCs w:val="16"/>
          <w:lang w:val="pl-PL"/>
        </w:rPr>
      </w:pPr>
      <w:r>
        <w:rPr>
          <w:color w:val="000000"/>
          <w:sz w:val="22"/>
          <w:szCs w:val="16"/>
          <w:lang w:val="pl-PL"/>
        </w:rPr>
        <w:t>Łącznie 645 z 646 pacjentów z zawałem serca z uniesieniem odcinka ST (STEMI) lub bez uniesienia odcinka ST (NSTEMI) lub niestabilną dławicą piersiową zostało poddanych analizie (deeskalacja DAPT (n=322); niezmienione DAPT (n=323)). 316 pacjentów (98,1%) w grupie stosującej deeskalację DAPT i 318 pacjentów (98,5%) w grupie stosującej niezmienione DAPT zostało objętych rocznym okresem obserwacji. Mediana okresu obserwacji dla obydwu grup wynosiła 359 dni. Charakterystyki badanych kohort były podobne w obydwu grupach.</w:t>
      </w:r>
    </w:p>
    <w:p w:rsidR="00EA369F" w:rsidRDefault="00EA369F" w:rsidP="00EA369F">
      <w:pPr>
        <w:tabs>
          <w:tab w:val="left" w:pos="567"/>
        </w:tabs>
        <w:rPr>
          <w:color w:val="000000"/>
          <w:sz w:val="22"/>
          <w:szCs w:val="16"/>
          <w:lang w:val="pl-PL"/>
        </w:rPr>
      </w:pPr>
    </w:p>
    <w:p w:rsidR="00EA369F" w:rsidRDefault="00EA369F" w:rsidP="00EA369F">
      <w:pPr>
        <w:tabs>
          <w:tab w:val="left" w:pos="567"/>
        </w:tabs>
        <w:rPr>
          <w:color w:val="000000"/>
          <w:sz w:val="22"/>
          <w:szCs w:val="16"/>
          <w:lang w:val="pl-PL"/>
        </w:rPr>
      </w:pPr>
      <w:r>
        <w:rPr>
          <w:color w:val="000000"/>
          <w:sz w:val="22"/>
          <w:szCs w:val="16"/>
          <w:lang w:val="pl-PL"/>
        </w:rPr>
        <w:t xml:space="preserve">U 43 pacjentów (13,4%) znajdujących się w grupie stosującej deeskalację DAPT i u 85 pacjentów (26,3%) w grupie stosującej niezmieniony DAPT (p&lt;0,01) wystąpił pierwszorzędowy punkt końcowy, który obejmował zgon z powodu przyczyn sercowo-naczyniowych, udaru, pilnej rewaskularyzacji i wystąpienia w ciągu roku po ACS krwawienia stopnia </w:t>
      </w:r>
      <w:r w:rsidRPr="000A2AA7">
        <w:rPr>
          <w:sz w:val="22"/>
          <w:szCs w:val="22"/>
          <w:lang w:val="pl-PL"/>
        </w:rPr>
        <w:t>≥</w:t>
      </w:r>
      <w:r>
        <w:rPr>
          <w:color w:val="000000"/>
          <w:sz w:val="22"/>
          <w:szCs w:val="16"/>
          <w:lang w:val="pl-PL"/>
        </w:rPr>
        <w:t xml:space="preserve">2 według kryteriów BARC </w:t>
      </w:r>
      <w:r w:rsidRPr="008E5F8E">
        <w:rPr>
          <w:color w:val="000000"/>
          <w:sz w:val="22"/>
          <w:szCs w:val="16"/>
          <w:lang w:val="pl-PL"/>
        </w:rPr>
        <w:t>(</w:t>
      </w:r>
      <w:r>
        <w:rPr>
          <w:color w:val="000000"/>
          <w:sz w:val="22"/>
          <w:szCs w:val="16"/>
          <w:lang w:val="pl-PL"/>
        </w:rPr>
        <w:t>Akademickie Konsorcjum Badawcze ds. krwawienia; ang. </w:t>
      </w:r>
      <w:r w:rsidRPr="000A2AA7">
        <w:rPr>
          <w:i/>
          <w:color w:val="000000"/>
          <w:sz w:val="22"/>
          <w:szCs w:val="16"/>
          <w:lang w:val="pl-PL"/>
        </w:rPr>
        <w:t>Bleeding Academic Research Consortium</w:t>
      </w:r>
      <w:r w:rsidRPr="008E5F8E">
        <w:rPr>
          <w:color w:val="000000"/>
          <w:sz w:val="22"/>
          <w:szCs w:val="16"/>
          <w:lang w:val="pl-PL"/>
        </w:rPr>
        <w:t>)</w:t>
      </w:r>
      <w:r>
        <w:rPr>
          <w:color w:val="000000"/>
          <w:sz w:val="22"/>
          <w:szCs w:val="16"/>
          <w:lang w:val="pl-PL"/>
        </w:rPr>
        <w:t xml:space="preserve">. </w:t>
      </w:r>
      <w:r w:rsidRPr="00E67C05">
        <w:rPr>
          <w:color w:val="000000"/>
          <w:sz w:val="22"/>
          <w:szCs w:val="16"/>
          <w:lang w:val="pl-PL"/>
        </w:rPr>
        <w:t xml:space="preserve">Ta statystycznie istotna różnica wynikała głównie z mniejszej liczby przypadków krwawienia, przy czym nie stwierdzono różnic w punktach końcowych </w:t>
      </w:r>
      <w:r>
        <w:rPr>
          <w:color w:val="000000"/>
          <w:sz w:val="22"/>
          <w:szCs w:val="16"/>
          <w:lang w:val="pl-PL"/>
        </w:rPr>
        <w:t>dotyczących niedokrwienia</w:t>
      </w:r>
      <w:r w:rsidRPr="00E67C05">
        <w:rPr>
          <w:color w:val="000000"/>
          <w:sz w:val="22"/>
          <w:szCs w:val="16"/>
          <w:lang w:val="pl-PL"/>
        </w:rPr>
        <w:t xml:space="preserve"> (p=0,36), natomiast krwawienie stopnia ≥2 według kryteriów BARC występowało rzadziej w grupie </w:t>
      </w:r>
      <w:r>
        <w:rPr>
          <w:color w:val="000000"/>
          <w:sz w:val="22"/>
          <w:szCs w:val="16"/>
          <w:lang w:val="pl-PL"/>
        </w:rPr>
        <w:t>stosującej deeskalację</w:t>
      </w:r>
      <w:r w:rsidRPr="00E67C05">
        <w:rPr>
          <w:color w:val="000000"/>
          <w:sz w:val="22"/>
          <w:szCs w:val="16"/>
          <w:lang w:val="pl-PL"/>
        </w:rPr>
        <w:t xml:space="preserve"> DAPT (4,0%)</w:t>
      </w:r>
      <w:r>
        <w:rPr>
          <w:color w:val="000000"/>
          <w:sz w:val="22"/>
          <w:szCs w:val="16"/>
          <w:lang w:val="pl-PL"/>
        </w:rPr>
        <w:t>,</w:t>
      </w:r>
      <w:r w:rsidRPr="00E67C05">
        <w:rPr>
          <w:color w:val="000000"/>
          <w:sz w:val="22"/>
          <w:szCs w:val="16"/>
          <w:lang w:val="pl-PL"/>
        </w:rPr>
        <w:t xml:space="preserve"> w porównaniu z 14,9% w </w:t>
      </w:r>
      <w:r>
        <w:rPr>
          <w:color w:val="000000"/>
          <w:sz w:val="22"/>
          <w:szCs w:val="16"/>
          <w:lang w:val="pl-PL"/>
        </w:rPr>
        <w:t xml:space="preserve">grupie </w:t>
      </w:r>
      <w:r w:rsidRPr="00E67C05">
        <w:rPr>
          <w:color w:val="000000"/>
          <w:sz w:val="22"/>
          <w:szCs w:val="16"/>
          <w:lang w:val="pl-PL"/>
        </w:rPr>
        <w:t>niezmienion</w:t>
      </w:r>
      <w:r>
        <w:rPr>
          <w:color w:val="000000"/>
          <w:sz w:val="22"/>
          <w:szCs w:val="16"/>
          <w:lang w:val="pl-PL"/>
        </w:rPr>
        <w:t>ego</w:t>
      </w:r>
      <w:r w:rsidRPr="00E67C05">
        <w:rPr>
          <w:color w:val="000000"/>
          <w:sz w:val="22"/>
          <w:szCs w:val="16"/>
          <w:lang w:val="pl-PL"/>
        </w:rPr>
        <w:t xml:space="preserve"> DAPT (p&lt;0,01).</w:t>
      </w:r>
      <w:r>
        <w:rPr>
          <w:color w:val="000000"/>
          <w:sz w:val="22"/>
          <w:szCs w:val="16"/>
          <w:lang w:val="pl-PL"/>
        </w:rPr>
        <w:t xml:space="preserve"> Przypadki</w:t>
      </w:r>
      <w:r w:rsidRPr="00E67C05">
        <w:rPr>
          <w:color w:val="000000"/>
          <w:sz w:val="22"/>
          <w:szCs w:val="16"/>
          <w:lang w:val="pl-PL"/>
        </w:rPr>
        <w:t xml:space="preserve"> krwawienia zdefiniowane jako </w:t>
      </w:r>
      <w:r>
        <w:rPr>
          <w:color w:val="000000"/>
          <w:sz w:val="22"/>
          <w:szCs w:val="16"/>
          <w:lang w:val="pl-PL"/>
        </w:rPr>
        <w:t>krwawienia wszystkich</w:t>
      </w:r>
      <w:r w:rsidRPr="006D1709">
        <w:rPr>
          <w:color w:val="000000"/>
          <w:sz w:val="22"/>
          <w:szCs w:val="16"/>
          <w:lang w:val="pl-PL"/>
        </w:rPr>
        <w:t xml:space="preserve"> stopni </w:t>
      </w:r>
      <w:r>
        <w:rPr>
          <w:color w:val="000000"/>
          <w:sz w:val="22"/>
          <w:szCs w:val="16"/>
          <w:lang w:val="pl-PL"/>
        </w:rPr>
        <w:t xml:space="preserve">według kryteriów </w:t>
      </w:r>
      <w:r w:rsidRPr="00E67C05">
        <w:rPr>
          <w:color w:val="000000"/>
          <w:sz w:val="22"/>
          <w:szCs w:val="16"/>
          <w:lang w:val="pl-PL"/>
        </w:rPr>
        <w:t>BARC wystąpiły u 30</w:t>
      </w:r>
      <w:r>
        <w:rPr>
          <w:color w:val="000000"/>
          <w:sz w:val="22"/>
          <w:szCs w:val="16"/>
          <w:lang w:val="pl-PL"/>
        </w:rPr>
        <w:t> </w:t>
      </w:r>
      <w:r w:rsidRPr="00E67C05">
        <w:rPr>
          <w:color w:val="000000"/>
          <w:sz w:val="22"/>
          <w:szCs w:val="16"/>
          <w:lang w:val="pl-PL"/>
        </w:rPr>
        <w:t xml:space="preserve">pacjentów (9,3%) w grupie </w:t>
      </w:r>
      <w:r>
        <w:rPr>
          <w:color w:val="000000"/>
          <w:sz w:val="22"/>
          <w:szCs w:val="16"/>
          <w:lang w:val="pl-PL"/>
        </w:rPr>
        <w:t>stosującej deeskalację</w:t>
      </w:r>
      <w:r w:rsidRPr="00E67C05">
        <w:rPr>
          <w:color w:val="000000"/>
          <w:sz w:val="22"/>
          <w:szCs w:val="16"/>
          <w:lang w:val="pl-PL"/>
        </w:rPr>
        <w:t xml:space="preserve"> DAPT i</w:t>
      </w:r>
      <w:r>
        <w:rPr>
          <w:color w:val="000000"/>
          <w:sz w:val="22"/>
          <w:szCs w:val="16"/>
          <w:lang w:val="pl-PL"/>
        </w:rPr>
        <w:t xml:space="preserve"> </w:t>
      </w:r>
      <w:r w:rsidRPr="00E67C05">
        <w:rPr>
          <w:color w:val="000000"/>
          <w:sz w:val="22"/>
          <w:szCs w:val="16"/>
          <w:lang w:val="pl-PL"/>
        </w:rPr>
        <w:t>u 76 pacjentów (23,5%) w</w:t>
      </w:r>
      <w:r>
        <w:rPr>
          <w:color w:val="000000"/>
          <w:sz w:val="22"/>
          <w:szCs w:val="16"/>
          <w:lang w:val="pl-PL"/>
        </w:rPr>
        <w:t xml:space="preserve"> grupie niezmienione</w:t>
      </w:r>
      <w:r w:rsidRPr="00E67C05">
        <w:rPr>
          <w:color w:val="000000"/>
          <w:sz w:val="22"/>
          <w:szCs w:val="16"/>
          <w:lang w:val="pl-PL"/>
        </w:rPr>
        <w:t>g</w:t>
      </w:r>
      <w:r>
        <w:rPr>
          <w:color w:val="000000"/>
          <w:sz w:val="22"/>
          <w:szCs w:val="16"/>
          <w:lang w:val="pl-PL"/>
        </w:rPr>
        <w:t>o</w:t>
      </w:r>
      <w:r w:rsidRPr="00E67C05">
        <w:rPr>
          <w:color w:val="000000"/>
          <w:sz w:val="22"/>
          <w:szCs w:val="16"/>
          <w:lang w:val="pl-PL"/>
        </w:rPr>
        <w:t xml:space="preserve"> DAPT (p&lt;0,01).</w:t>
      </w:r>
    </w:p>
    <w:p w:rsidR="00EA369F" w:rsidRDefault="00EA369F" w:rsidP="00EA369F">
      <w:pPr>
        <w:tabs>
          <w:tab w:val="left" w:pos="567"/>
        </w:tabs>
        <w:rPr>
          <w:color w:val="000000"/>
          <w:sz w:val="22"/>
          <w:szCs w:val="16"/>
          <w:lang w:val="pl-PL"/>
        </w:rPr>
      </w:pPr>
    </w:p>
    <w:p w:rsidR="00EA369F" w:rsidRDefault="00EA369F" w:rsidP="00EA369F">
      <w:pPr>
        <w:tabs>
          <w:tab w:val="left" w:pos="567"/>
        </w:tabs>
        <w:rPr>
          <w:color w:val="000000"/>
          <w:sz w:val="22"/>
          <w:szCs w:val="16"/>
        </w:rPr>
      </w:pPr>
      <w:r w:rsidRPr="000A2AA7">
        <w:rPr>
          <w:b/>
          <w:color w:val="000000"/>
          <w:sz w:val="22"/>
          <w:szCs w:val="16"/>
        </w:rPr>
        <w:t>TROPICAL</w:t>
      </w:r>
      <w:r w:rsidRPr="000A2AA7">
        <w:rPr>
          <w:b/>
          <w:color w:val="000000"/>
          <w:sz w:val="22"/>
          <w:szCs w:val="16"/>
        </w:rPr>
        <w:noBreakHyphen/>
        <w:t>ACS</w:t>
      </w:r>
      <w:r w:rsidRPr="000A2AA7">
        <w:rPr>
          <w:color w:val="000000"/>
          <w:sz w:val="22"/>
          <w:szCs w:val="16"/>
        </w:rPr>
        <w:t xml:space="preserve"> (</w:t>
      </w:r>
      <w:r w:rsidRPr="000A2AA7">
        <w:rPr>
          <w:i/>
          <w:color w:val="000000"/>
          <w:sz w:val="22"/>
          <w:szCs w:val="16"/>
        </w:rPr>
        <w:t>Testing Responsiveness to Platelet Inhibition on Chronic Antiplatelet Treatment for Acute Coronary Syndromes</w:t>
      </w:r>
      <w:r w:rsidRPr="000A2AA7">
        <w:rPr>
          <w:color w:val="000000"/>
          <w:sz w:val="22"/>
          <w:szCs w:val="16"/>
        </w:rPr>
        <w:t>)</w:t>
      </w:r>
    </w:p>
    <w:p w:rsidR="00EA369F" w:rsidRDefault="00EA369F" w:rsidP="00EA369F">
      <w:pPr>
        <w:tabs>
          <w:tab w:val="left" w:pos="567"/>
        </w:tabs>
        <w:rPr>
          <w:color w:val="000000"/>
          <w:sz w:val="22"/>
          <w:szCs w:val="16"/>
          <w:lang w:val="pl-PL"/>
        </w:rPr>
      </w:pPr>
      <w:r w:rsidRPr="000A2AA7">
        <w:rPr>
          <w:color w:val="000000"/>
          <w:sz w:val="22"/>
          <w:szCs w:val="16"/>
          <w:lang w:val="pl-PL"/>
        </w:rPr>
        <w:t xml:space="preserve">Randomizowane badanie otwarte obejmowało 2 610 pacjentów </w:t>
      </w:r>
      <w:r>
        <w:rPr>
          <w:color w:val="000000"/>
          <w:sz w:val="22"/>
          <w:szCs w:val="16"/>
          <w:lang w:val="pl-PL"/>
        </w:rPr>
        <w:t>z obecnymi biomarkerami ostrych zespołów wieńcowych po przeprowadzonej skutecznej PCI. Pacjenci zostali losowo przydzieleni do grupy otrzymującej przez 14 dni prasugrel w dawce 5 lub 10 mg na dobę (n=130</w:t>
      </w:r>
      <w:r w:rsidR="00923018">
        <w:rPr>
          <w:color w:val="000000"/>
          <w:sz w:val="22"/>
          <w:szCs w:val="16"/>
          <w:lang w:val="pl-PL"/>
        </w:rPr>
        <w:t>6</w:t>
      </w:r>
      <w:r>
        <w:rPr>
          <w:color w:val="000000"/>
          <w:sz w:val="22"/>
          <w:szCs w:val="16"/>
          <w:lang w:val="pl-PL"/>
        </w:rPr>
        <w:t>) lub do grupy otrzymującej prasugrel przez 7 dni w dawce 5 lub 10 mg na dobę, a następnie zastosowano deeskalację leczenia podając od 8 do 14 dnia klopidogrel w dawce 75 mg na dobę (n=130</w:t>
      </w:r>
      <w:r w:rsidR="00923018">
        <w:rPr>
          <w:color w:val="000000"/>
          <w:sz w:val="22"/>
          <w:szCs w:val="16"/>
          <w:lang w:val="pl-PL"/>
        </w:rPr>
        <w:t>4</w:t>
      </w:r>
      <w:r>
        <w:rPr>
          <w:color w:val="000000"/>
          <w:sz w:val="22"/>
          <w:szCs w:val="16"/>
          <w:lang w:val="pl-PL"/>
        </w:rPr>
        <w:t>) w skojarzeniu z ASA (&lt;100 mg na dobę). W 14 dniu przeprowadzono badanie czynności płytek krwi (PFT). Pacjenci przyjmujący tylko prasugrel, kontynuowali jego przyjmowanie przez 11,5 miesiąca.</w:t>
      </w:r>
    </w:p>
    <w:p w:rsidR="00EA369F" w:rsidRDefault="00EA369F" w:rsidP="00EA369F">
      <w:pPr>
        <w:tabs>
          <w:tab w:val="left" w:pos="567"/>
        </w:tabs>
        <w:rPr>
          <w:color w:val="000000"/>
          <w:sz w:val="22"/>
          <w:szCs w:val="16"/>
          <w:lang w:val="pl-PL"/>
        </w:rPr>
      </w:pPr>
    </w:p>
    <w:p w:rsidR="00EA369F" w:rsidRDefault="00EA369F" w:rsidP="00EA369F">
      <w:pPr>
        <w:tabs>
          <w:tab w:val="left" w:pos="567"/>
        </w:tabs>
        <w:rPr>
          <w:color w:val="000000"/>
          <w:sz w:val="22"/>
          <w:szCs w:val="16"/>
          <w:lang w:val="pl-PL"/>
        </w:rPr>
      </w:pPr>
      <w:r>
        <w:rPr>
          <w:color w:val="000000"/>
          <w:sz w:val="22"/>
          <w:szCs w:val="16"/>
          <w:lang w:val="pl-PL"/>
        </w:rPr>
        <w:t xml:space="preserve">Pacjenci, u których zastosowano deeskalację terapii zostali poddani badaniu oceniającym wysoką reaktywność płytek (high platelet reactivity testing; </w:t>
      </w:r>
      <w:r w:rsidRPr="00B57828">
        <w:rPr>
          <w:color w:val="000000"/>
          <w:sz w:val="22"/>
          <w:szCs w:val="16"/>
          <w:lang w:val="pl-PL"/>
        </w:rPr>
        <w:t>HPR</w:t>
      </w:r>
      <w:r>
        <w:rPr>
          <w:color w:val="000000"/>
          <w:sz w:val="22"/>
          <w:szCs w:val="16"/>
          <w:lang w:val="pl-PL"/>
        </w:rPr>
        <w:t xml:space="preserve">). Jeśli HPR wynosiło </w:t>
      </w:r>
      <w:r w:rsidRPr="00B57828">
        <w:rPr>
          <w:color w:val="000000"/>
          <w:sz w:val="22"/>
          <w:szCs w:val="16"/>
          <w:lang w:val="pl-PL"/>
        </w:rPr>
        <w:t>≥46</w:t>
      </w:r>
      <w:r>
        <w:rPr>
          <w:color w:val="000000"/>
          <w:sz w:val="22"/>
          <w:szCs w:val="16"/>
          <w:lang w:val="pl-PL"/>
        </w:rPr>
        <w:t xml:space="preserve"> jednostek, pacjentom podawano ponownie prasugrel w dawce 5 lub 10 mg na dobę przez 11,5 miesiąca; jeśli </w:t>
      </w:r>
      <w:r w:rsidRPr="00F4781A">
        <w:rPr>
          <w:color w:val="000000"/>
          <w:sz w:val="22"/>
          <w:szCs w:val="16"/>
          <w:lang w:val="pl-PL"/>
        </w:rPr>
        <w:t>HPR wynosiło &lt;46</w:t>
      </w:r>
      <w:r>
        <w:rPr>
          <w:color w:val="000000"/>
          <w:sz w:val="22"/>
          <w:szCs w:val="16"/>
          <w:lang w:val="pl-PL"/>
        </w:rPr>
        <w:t> </w:t>
      </w:r>
      <w:r w:rsidRPr="00F4781A">
        <w:rPr>
          <w:color w:val="000000"/>
          <w:sz w:val="22"/>
          <w:szCs w:val="16"/>
          <w:lang w:val="pl-PL"/>
        </w:rPr>
        <w:t>jednostek</w:t>
      </w:r>
      <w:r>
        <w:rPr>
          <w:color w:val="000000"/>
          <w:sz w:val="22"/>
          <w:szCs w:val="16"/>
          <w:lang w:val="pl-PL"/>
        </w:rPr>
        <w:t xml:space="preserve"> pacjenci kontynuowali przyjmowanie klopidogrelu w dawce 75 mg na dobę przez 11,5 miesiąca. W związku z tym, w grupie z przeprowadzoną deeskalacją leczenia znajdowali się pacjenci przyjmujący albo prasugrel (40%) albo klopidogrel (60%). Wszyscy pacjenci kontynuowali przyjmowanie aspiryny i byli obserwowani przez okres jednego roku.</w:t>
      </w:r>
    </w:p>
    <w:p w:rsidR="00EA369F" w:rsidRDefault="00EA369F" w:rsidP="00EA369F">
      <w:pPr>
        <w:tabs>
          <w:tab w:val="left" w:pos="567"/>
        </w:tabs>
        <w:rPr>
          <w:color w:val="000000"/>
          <w:sz w:val="22"/>
          <w:szCs w:val="16"/>
          <w:lang w:val="pl-PL"/>
        </w:rPr>
      </w:pPr>
    </w:p>
    <w:p w:rsidR="00EA369F" w:rsidRPr="003A3F82" w:rsidRDefault="00EA369F" w:rsidP="00EA369F">
      <w:pPr>
        <w:tabs>
          <w:tab w:val="left" w:pos="567"/>
        </w:tabs>
        <w:rPr>
          <w:color w:val="000000"/>
          <w:sz w:val="22"/>
          <w:szCs w:val="16"/>
          <w:lang w:val="pl-PL"/>
        </w:rPr>
      </w:pPr>
      <w:r>
        <w:rPr>
          <w:color w:val="000000"/>
          <w:sz w:val="22"/>
          <w:szCs w:val="16"/>
          <w:lang w:val="pl-PL"/>
        </w:rPr>
        <w:t xml:space="preserve">Pierwszorzędowy punkt końcowy (łączna częstość występowania </w:t>
      </w:r>
      <w:r w:rsidRPr="00F4781A">
        <w:rPr>
          <w:color w:val="000000"/>
          <w:sz w:val="22"/>
          <w:szCs w:val="16"/>
          <w:lang w:val="pl-PL"/>
        </w:rPr>
        <w:t>zgon</w:t>
      </w:r>
      <w:r>
        <w:rPr>
          <w:color w:val="000000"/>
          <w:sz w:val="22"/>
          <w:szCs w:val="16"/>
          <w:lang w:val="pl-PL"/>
        </w:rPr>
        <w:t>u</w:t>
      </w:r>
      <w:r w:rsidRPr="00F4781A">
        <w:rPr>
          <w:color w:val="000000"/>
          <w:sz w:val="22"/>
          <w:szCs w:val="16"/>
          <w:lang w:val="pl-PL"/>
        </w:rPr>
        <w:t xml:space="preserve"> z powodu przyczyn sercowo-naczyniowych,</w:t>
      </w:r>
      <w:r>
        <w:rPr>
          <w:color w:val="000000"/>
          <w:sz w:val="22"/>
          <w:szCs w:val="16"/>
          <w:lang w:val="pl-PL"/>
        </w:rPr>
        <w:t xml:space="preserve"> zawału mięśnia sercowego,</w:t>
      </w:r>
      <w:r w:rsidRPr="00F4781A">
        <w:rPr>
          <w:color w:val="000000"/>
          <w:sz w:val="22"/>
          <w:szCs w:val="16"/>
          <w:lang w:val="pl-PL"/>
        </w:rPr>
        <w:t xml:space="preserve"> udaru i wystąpienia krwawienia stopnia ≥2 według kryteriów BARC</w:t>
      </w:r>
      <w:r>
        <w:rPr>
          <w:color w:val="000000"/>
          <w:sz w:val="22"/>
          <w:szCs w:val="16"/>
          <w:lang w:val="pl-PL"/>
        </w:rPr>
        <w:t xml:space="preserve"> w ciągu 12 miesięcy) został osiągnięty potwierdzając równoważność leczenia. U 95 pacjentów (7%)</w:t>
      </w:r>
      <w:r w:rsidRPr="00A02032">
        <w:rPr>
          <w:color w:val="000000"/>
          <w:sz w:val="22"/>
          <w:szCs w:val="16"/>
          <w:lang w:val="pl-PL"/>
        </w:rPr>
        <w:t xml:space="preserve"> </w:t>
      </w:r>
      <w:r>
        <w:rPr>
          <w:color w:val="000000"/>
          <w:sz w:val="22"/>
          <w:szCs w:val="16"/>
          <w:lang w:val="pl-PL"/>
        </w:rPr>
        <w:t>w grupie, w której</w:t>
      </w:r>
      <w:r w:rsidRPr="00A02032">
        <w:rPr>
          <w:color w:val="000000"/>
          <w:sz w:val="22"/>
          <w:szCs w:val="16"/>
          <w:lang w:val="pl-PL"/>
        </w:rPr>
        <w:t xml:space="preserve"> </w:t>
      </w:r>
      <w:r>
        <w:rPr>
          <w:color w:val="000000"/>
          <w:sz w:val="22"/>
          <w:szCs w:val="16"/>
          <w:lang w:val="pl-PL"/>
        </w:rPr>
        <w:t>przeprowadzono</w:t>
      </w:r>
      <w:r w:rsidRPr="00A02032">
        <w:rPr>
          <w:color w:val="000000"/>
          <w:sz w:val="22"/>
          <w:szCs w:val="16"/>
          <w:lang w:val="pl-PL"/>
        </w:rPr>
        <w:t xml:space="preserve"> deeskalację terapii</w:t>
      </w:r>
      <w:r>
        <w:rPr>
          <w:color w:val="000000"/>
          <w:sz w:val="22"/>
          <w:szCs w:val="16"/>
          <w:lang w:val="pl-PL"/>
        </w:rPr>
        <w:t xml:space="preserve"> i u 118 pacjentów (9%) w grupie kontrolnej (p równoważności = 0,0004) wystąpił punkt końcowy. Przeprowadzona deeskalacja leczenia nie skutkowała zwiększonym całkowitym ryzykiem wystąpienia incydentów niedokrwiennych (2,5% w grupie z deeskalacją leczenia, w porównaniu z 3,2% w grupie kontrolnej; p równoważności = 0,0115), ani kluczowym drugorzędowym punktem końcowym obejmującym krwawienie stopnia </w:t>
      </w:r>
      <w:r w:rsidRPr="00F1432C">
        <w:rPr>
          <w:color w:val="000000"/>
          <w:sz w:val="22"/>
          <w:szCs w:val="16"/>
          <w:lang w:val="pl-PL"/>
        </w:rPr>
        <w:t>≥2</w:t>
      </w:r>
      <w:r>
        <w:rPr>
          <w:color w:val="000000"/>
          <w:sz w:val="22"/>
          <w:szCs w:val="16"/>
          <w:lang w:val="pl-PL"/>
        </w:rPr>
        <w:t xml:space="preserve"> według kryteriów BARC (5% w grupie</w:t>
      </w:r>
      <w:r w:rsidRPr="000A2AA7">
        <w:rPr>
          <w:lang w:val="pl-PL"/>
        </w:rPr>
        <w:t xml:space="preserve"> </w:t>
      </w:r>
      <w:r w:rsidRPr="00F1432C">
        <w:rPr>
          <w:color w:val="000000"/>
          <w:sz w:val="22"/>
          <w:szCs w:val="16"/>
          <w:lang w:val="pl-PL"/>
        </w:rPr>
        <w:t>z deeskalacj</w:t>
      </w:r>
      <w:r>
        <w:rPr>
          <w:color w:val="000000"/>
          <w:sz w:val="22"/>
          <w:szCs w:val="16"/>
          <w:lang w:val="pl-PL"/>
        </w:rPr>
        <w:t>ą</w:t>
      </w:r>
      <w:r w:rsidRPr="00F1432C">
        <w:rPr>
          <w:color w:val="000000"/>
          <w:sz w:val="22"/>
          <w:szCs w:val="16"/>
          <w:lang w:val="pl-PL"/>
        </w:rPr>
        <w:t xml:space="preserve"> leczenia, w porównaniu z </w:t>
      </w:r>
      <w:r>
        <w:rPr>
          <w:color w:val="000000"/>
          <w:sz w:val="22"/>
          <w:szCs w:val="16"/>
          <w:lang w:val="pl-PL"/>
        </w:rPr>
        <w:t>6</w:t>
      </w:r>
      <w:r w:rsidRPr="00F1432C">
        <w:rPr>
          <w:color w:val="000000"/>
          <w:sz w:val="22"/>
          <w:szCs w:val="16"/>
          <w:lang w:val="pl-PL"/>
        </w:rPr>
        <w:t>% w grupie kontrolnej; p</w:t>
      </w:r>
      <w:r>
        <w:rPr>
          <w:color w:val="000000"/>
          <w:sz w:val="22"/>
          <w:szCs w:val="16"/>
          <w:lang w:val="pl-PL"/>
        </w:rPr>
        <w:t>=0,23). Skumulowana częstość występowania wszystkich przypadków krwawienia (stopnia od 1 do 5 według kryteriów BARC) wynosiła 9% (114 przypadków) w grupie z deeskalacją leczenia, w porównaniu z 11% (137 przypadków) w grupie kontrolnej (p=0,14).</w:t>
      </w:r>
    </w:p>
    <w:p w:rsidR="00214AE0" w:rsidRDefault="00214AE0">
      <w:pPr>
        <w:tabs>
          <w:tab w:val="left" w:pos="567"/>
        </w:tabs>
        <w:rPr>
          <w:color w:val="000000"/>
          <w:sz w:val="22"/>
          <w:szCs w:val="16"/>
          <w:lang w:val="pl-PL"/>
        </w:rPr>
      </w:pPr>
    </w:p>
    <w:p w:rsidR="00E742AD" w:rsidRDefault="006E189D">
      <w:pPr>
        <w:tabs>
          <w:tab w:val="left" w:pos="567"/>
        </w:tabs>
        <w:rPr>
          <w:color w:val="000000"/>
          <w:sz w:val="22"/>
          <w:szCs w:val="16"/>
          <w:lang w:val="pl-PL"/>
        </w:rPr>
      </w:pPr>
      <w:r>
        <w:rPr>
          <w:color w:val="000000"/>
          <w:sz w:val="22"/>
          <w:szCs w:val="16"/>
          <w:lang w:val="pl-PL"/>
        </w:rPr>
        <w:t>Podwójne leczenie przeciwpłytkowe (ang.</w:t>
      </w:r>
      <w:r w:rsidR="00AF6849">
        <w:rPr>
          <w:color w:val="000000"/>
          <w:sz w:val="22"/>
          <w:szCs w:val="16"/>
          <w:lang w:val="pl-PL"/>
        </w:rPr>
        <w:t xml:space="preserve"> </w:t>
      </w:r>
      <w:r w:rsidR="00AF6849" w:rsidRPr="006E189D">
        <w:rPr>
          <w:color w:val="000000"/>
          <w:sz w:val="22"/>
          <w:szCs w:val="16"/>
          <w:lang w:val="pl-PL"/>
        </w:rPr>
        <w:t>DAPT</w:t>
      </w:r>
      <w:r w:rsidR="00AF6849">
        <w:rPr>
          <w:color w:val="000000"/>
          <w:sz w:val="22"/>
          <w:szCs w:val="16"/>
          <w:lang w:val="pl-PL"/>
        </w:rPr>
        <w:t xml:space="preserve"> </w:t>
      </w:r>
      <w:bookmarkStart w:id="13" w:name="_Hlk60148250"/>
      <w:r w:rsidR="00AF6849">
        <w:rPr>
          <w:color w:val="000000"/>
          <w:sz w:val="22"/>
          <w:szCs w:val="16"/>
          <w:lang w:val="pl-PL"/>
        </w:rPr>
        <w:t>-</w:t>
      </w:r>
      <w:r>
        <w:rPr>
          <w:color w:val="000000"/>
          <w:sz w:val="22"/>
          <w:szCs w:val="16"/>
          <w:lang w:val="pl-PL"/>
        </w:rPr>
        <w:t xml:space="preserve"> </w:t>
      </w:r>
      <w:r w:rsidRPr="006E189D">
        <w:rPr>
          <w:color w:val="000000"/>
          <w:sz w:val="22"/>
          <w:szCs w:val="16"/>
          <w:lang w:val="pl-PL"/>
        </w:rPr>
        <w:t>Dual Antiplatelet Therapy</w:t>
      </w:r>
      <w:r>
        <w:rPr>
          <w:color w:val="000000"/>
          <w:sz w:val="22"/>
          <w:szCs w:val="16"/>
          <w:lang w:val="pl-PL"/>
        </w:rPr>
        <w:t>)</w:t>
      </w:r>
      <w:bookmarkEnd w:id="13"/>
      <w:r>
        <w:rPr>
          <w:color w:val="000000"/>
          <w:sz w:val="22"/>
          <w:szCs w:val="16"/>
          <w:lang w:val="pl-PL"/>
        </w:rPr>
        <w:t xml:space="preserve"> </w:t>
      </w:r>
      <w:r w:rsidR="002F6D45">
        <w:rPr>
          <w:color w:val="000000"/>
          <w:sz w:val="22"/>
          <w:szCs w:val="16"/>
          <w:lang w:val="pl-PL"/>
        </w:rPr>
        <w:t xml:space="preserve">w </w:t>
      </w:r>
      <w:r w:rsidR="007D6745">
        <w:rPr>
          <w:color w:val="000000"/>
          <w:sz w:val="22"/>
          <w:szCs w:val="16"/>
          <w:lang w:val="pl-PL"/>
        </w:rPr>
        <w:t>ostr</w:t>
      </w:r>
      <w:r w:rsidR="002F6D45">
        <w:rPr>
          <w:color w:val="000000"/>
          <w:sz w:val="22"/>
          <w:szCs w:val="16"/>
          <w:lang w:val="pl-PL"/>
        </w:rPr>
        <w:t>ym</w:t>
      </w:r>
      <w:r w:rsidR="007D6745">
        <w:rPr>
          <w:color w:val="000000"/>
          <w:sz w:val="22"/>
          <w:szCs w:val="16"/>
          <w:lang w:val="pl-PL"/>
        </w:rPr>
        <w:t>, niewielki</w:t>
      </w:r>
      <w:r w:rsidR="002F6D45">
        <w:rPr>
          <w:color w:val="000000"/>
          <w:sz w:val="22"/>
          <w:szCs w:val="16"/>
          <w:lang w:val="pl-PL"/>
        </w:rPr>
        <w:t>m</w:t>
      </w:r>
      <w:r>
        <w:rPr>
          <w:color w:val="000000"/>
          <w:sz w:val="22"/>
          <w:szCs w:val="16"/>
          <w:lang w:val="pl-PL"/>
        </w:rPr>
        <w:t xml:space="preserve"> IS lub </w:t>
      </w:r>
      <w:r w:rsidR="00660758">
        <w:rPr>
          <w:color w:val="000000"/>
          <w:sz w:val="22"/>
          <w:szCs w:val="16"/>
          <w:lang w:val="pl-PL"/>
        </w:rPr>
        <w:t xml:space="preserve">umiarkowanym </w:t>
      </w:r>
      <w:r w:rsidR="007D6745">
        <w:rPr>
          <w:color w:val="000000"/>
          <w:sz w:val="22"/>
          <w:szCs w:val="16"/>
          <w:lang w:val="pl-PL"/>
        </w:rPr>
        <w:t>do</w:t>
      </w:r>
      <w:r w:rsidR="00660758">
        <w:rPr>
          <w:color w:val="000000"/>
          <w:sz w:val="22"/>
          <w:szCs w:val="16"/>
          <w:lang w:val="pl-PL"/>
        </w:rPr>
        <w:t xml:space="preserve"> wysoki</w:t>
      </w:r>
      <w:r w:rsidR="007D6745">
        <w:rPr>
          <w:color w:val="000000"/>
          <w:sz w:val="22"/>
          <w:szCs w:val="16"/>
          <w:lang w:val="pl-PL"/>
        </w:rPr>
        <w:t>ego</w:t>
      </w:r>
      <w:r w:rsidR="00660758">
        <w:rPr>
          <w:color w:val="000000"/>
          <w:sz w:val="22"/>
          <w:szCs w:val="16"/>
          <w:lang w:val="pl-PL"/>
        </w:rPr>
        <w:t xml:space="preserve"> ryzykiem wystąpienia </w:t>
      </w:r>
      <w:r>
        <w:rPr>
          <w:color w:val="000000"/>
          <w:sz w:val="22"/>
          <w:szCs w:val="16"/>
          <w:lang w:val="pl-PL"/>
        </w:rPr>
        <w:t>TIA</w:t>
      </w:r>
    </w:p>
    <w:p w:rsidR="006E189D" w:rsidRDefault="006E189D">
      <w:pPr>
        <w:tabs>
          <w:tab w:val="left" w:pos="567"/>
        </w:tabs>
        <w:rPr>
          <w:color w:val="000000"/>
          <w:sz w:val="22"/>
          <w:szCs w:val="16"/>
          <w:lang w:val="pl-PL"/>
        </w:rPr>
      </w:pPr>
    </w:p>
    <w:p w:rsidR="006E189D" w:rsidRDefault="00AB079B">
      <w:pPr>
        <w:tabs>
          <w:tab w:val="left" w:pos="567"/>
        </w:tabs>
        <w:rPr>
          <w:color w:val="000000"/>
          <w:sz w:val="22"/>
          <w:szCs w:val="16"/>
          <w:lang w:val="pl-PL"/>
        </w:rPr>
      </w:pPr>
      <w:bookmarkStart w:id="14" w:name="_Hlk60148342"/>
      <w:r w:rsidRPr="00AB079B">
        <w:rPr>
          <w:color w:val="000000"/>
          <w:sz w:val="22"/>
          <w:szCs w:val="16"/>
          <w:lang w:val="pl-PL"/>
        </w:rPr>
        <w:t xml:space="preserve">DAPT ze skojarzonym klopidogrelem </w:t>
      </w:r>
      <w:r w:rsidR="00AF6849">
        <w:rPr>
          <w:color w:val="000000"/>
          <w:sz w:val="22"/>
          <w:szCs w:val="16"/>
          <w:lang w:val="pl-PL"/>
        </w:rPr>
        <w:t>z</w:t>
      </w:r>
      <w:r w:rsidRPr="00AB079B">
        <w:rPr>
          <w:color w:val="000000"/>
          <w:sz w:val="22"/>
          <w:szCs w:val="16"/>
          <w:lang w:val="pl-PL"/>
        </w:rPr>
        <w:t xml:space="preserve"> ASA jako leczenie zapobiegające </w:t>
      </w:r>
      <w:r w:rsidRPr="0032595E">
        <w:rPr>
          <w:color w:val="000000"/>
          <w:sz w:val="22"/>
          <w:szCs w:val="16"/>
          <w:lang w:val="pl-PL"/>
        </w:rPr>
        <w:t>udarowi mózgu</w:t>
      </w:r>
      <w:r w:rsidR="00660758" w:rsidRPr="0032595E">
        <w:rPr>
          <w:color w:val="000000"/>
          <w:sz w:val="22"/>
          <w:szCs w:val="16"/>
          <w:lang w:val="pl-PL"/>
        </w:rPr>
        <w:t xml:space="preserve"> u pacjentów</w:t>
      </w:r>
      <w:r w:rsidRPr="00AB079B">
        <w:rPr>
          <w:color w:val="000000"/>
          <w:sz w:val="22"/>
          <w:szCs w:val="16"/>
          <w:lang w:val="pl-PL"/>
        </w:rPr>
        <w:t xml:space="preserve"> po ostrym</w:t>
      </w:r>
      <w:r w:rsidR="00660758">
        <w:rPr>
          <w:color w:val="000000"/>
          <w:sz w:val="22"/>
          <w:szCs w:val="16"/>
          <w:lang w:val="pl-PL"/>
        </w:rPr>
        <w:t>,</w:t>
      </w:r>
      <w:r w:rsidRPr="00AB079B">
        <w:rPr>
          <w:color w:val="000000"/>
          <w:sz w:val="22"/>
          <w:szCs w:val="16"/>
          <w:lang w:val="pl-PL"/>
        </w:rPr>
        <w:t xml:space="preserve"> </w:t>
      </w:r>
      <w:r w:rsidR="007D6745">
        <w:rPr>
          <w:color w:val="000000"/>
          <w:sz w:val="22"/>
          <w:szCs w:val="16"/>
          <w:lang w:val="pl-PL"/>
        </w:rPr>
        <w:t>niewielkim</w:t>
      </w:r>
      <w:r>
        <w:rPr>
          <w:color w:val="000000"/>
          <w:sz w:val="22"/>
          <w:szCs w:val="16"/>
          <w:lang w:val="pl-PL"/>
        </w:rPr>
        <w:t xml:space="preserve"> IS</w:t>
      </w:r>
      <w:r w:rsidRPr="00AB079B">
        <w:rPr>
          <w:color w:val="000000"/>
          <w:sz w:val="22"/>
          <w:szCs w:val="16"/>
          <w:lang w:val="pl-PL"/>
        </w:rPr>
        <w:t xml:space="preserve"> lub </w:t>
      </w:r>
      <w:r w:rsidR="00660758" w:rsidRPr="00AB079B">
        <w:rPr>
          <w:color w:val="000000"/>
          <w:sz w:val="22"/>
          <w:szCs w:val="16"/>
          <w:lang w:val="pl-PL"/>
        </w:rPr>
        <w:t xml:space="preserve">umiarkowanym </w:t>
      </w:r>
      <w:r w:rsidR="007D6745">
        <w:rPr>
          <w:color w:val="000000"/>
          <w:sz w:val="22"/>
          <w:szCs w:val="16"/>
          <w:lang w:val="pl-PL"/>
        </w:rPr>
        <w:t>do</w:t>
      </w:r>
      <w:r w:rsidR="00660758" w:rsidRPr="00AB079B">
        <w:rPr>
          <w:color w:val="000000"/>
          <w:sz w:val="22"/>
          <w:szCs w:val="16"/>
          <w:lang w:val="pl-PL"/>
        </w:rPr>
        <w:t xml:space="preserve"> wysoki</w:t>
      </w:r>
      <w:r w:rsidR="007D6745">
        <w:rPr>
          <w:color w:val="000000"/>
          <w:sz w:val="22"/>
          <w:szCs w:val="16"/>
          <w:lang w:val="pl-PL"/>
        </w:rPr>
        <w:t>ego</w:t>
      </w:r>
      <w:r w:rsidR="00660758" w:rsidRPr="00AB079B">
        <w:rPr>
          <w:color w:val="000000"/>
          <w:sz w:val="22"/>
          <w:szCs w:val="16"/>
          <w:lang w:val="pl-PL"/>
        </w:rPr>
        <w:t xml:space="preserve"> ryzyk</w:t>
      </w:r>
      <w:r w:rsidR="00660758">
        <w:rPr>
          <w:color w:val="000000"/>
          <w:sz w:val="22"/>
          <w:szCs w:val="16"/>
          <w:lang w:val="pl-PL"/>
        </w:rPr>
        <w:t>iem wystąpienia</w:t>
      </w:r>
      <w:r w:rsidR="00660758" w:rsidRPr="00AB079B">
        <w:rPr>
          <w:color w:val="000000"/>
          <w:sz w:val="22"/>
          <w:szCs w:val="16"/>
          <w:lang w:val="pl-PL"/>
        </w:rPr>
        <w:t xml:space="preserve"> </w:t>
      </w:r>
      <w:r w:rsidRPr="00AB079B">
        <w:rPr>
          <w:color w:val="000000"/>
          <w:sz w:val="22"/>
          <w:szCs w:val="16"/>
          <w:lang w:val="pl-PL"/>
        </w:rPr>
        <w:t>TIA zostało ocenione w dwóch randomizowanych badaniach sponsorowanych przez badaczy (</w:t>
      </w:r>
      <w:r>
        <w:rPr>
          <w:color w:val="000000"/>
          <w:sz w:val="22"/>
          <w:szCs w:val="16"/>
          <w:lang w:val="pl-PL"/>
        </w:rPr>
        <w:t xml:space="preserve">ang. </w:t>
      </w:r>
      <w:r w:rsidR="00AF6849">
        <w:rPr>
          <w:color w:val="000000"/>
          <w:sz w:val="22"/>
          <w:szCs w:val="16"/>
          <w:lang w:val="pl-PL"/>
        </w:rPr>
        <w:t xml:space="preserve">ISS - </w:t>
      </w:r>
      <w:r w:rsidRPr="00AB079B">
        <w:rPr>
          <w:color w:val="000000"/>
          <w:sz w:val="22"/>
          <w:szCs w:val="16"/>
          <w:lang w:val="pl-PL"/>
        </w:rPr>
        <w:t xml:space="preserve">investigator-sponsored studies) - CHANCE i POINT - z </w:t>
      </w:r>
      <w:r w:rsidR="002F6D45">
        <w:rPr>
          <w:color w:val="000000"/>
          <w:sz w:val="22"/>
          <w:szCs w:val="16"/>
          <w:lang w:val="pl-PL"/>
        </w:rPr>
        <w:t>wynikam</w:t>
      </w:r>
      <w:r w:rsidRPr="00AB079B">
        <w:rPr>
          <w:color w:val="000000"/>
          <w:sz w:val="22"/>
          <w:szCs w:val="16"/>
          <w:lang w:val="pl-PL"/>
        </w:rPr>
        <w:t>i dotyczącymi bezpieczeństwa klinicznego i skuteczności</w:t>
      </w:r>
      <w:bookmarkEnd w:id="14"/>
      <w:r w:rsidRPr="00AB079B">
        <w:rPr>
          <w:color w:val="000000"/>
          <w:sz w:val="22"/>
          <w:szCs w:val="16"/>
          <w:lang w:val="pl-PL"/>
        </w:rPr>
        <w:t>.</w:t>
      </w:r>
    </w:p>
    <w:p w:rsidR="00D63462" w:rsidRDefault="00D63462">
      <w:pPr>
        <w:tabs>
          <w:tab w:val="left" w:pos="567"/>
        </w:tabs>
        <w:rPr>
          <w:color w:val="000000"/>
          <w:sz w:val="22"/>
          <w:szCs w:val="16"/>
          <w:lang w:val="pl-PL"/>
        </w:rPr>
      </w:pPr>
    </w:p>
    <w:p w:rsidR="00AF6849" w:rsidRDefault="00D63462">
      <w:pPr>
        <w:tabs>
          <w:tab w:val="left" w:pos="567"/>
        </w:tabs>
        <w:rPr>
          <w:color w:val="000000"/>
          <w:sz w:val="22"/>
          <w:szCs w:val="16"/>
        </w:rPr>
      </w:pPr>
      <w:r w:rsidRPr="00711757">
        <w:rPr>
          <w:b/>
          <w:bCs/>
          <w:color w:val="000000"/>
          <w:sz w:val="22"/>
          <w:szCs w:val="16"/>
        </w:rPr>
        <w:t>CHANCE</w:t>
      </w:r>
      <w:r w:rsidRPr="00711757">
        <w:rPr>
          <w:color w:val="000000"/>
          <w:sz w:val="22"/>
          <w:szCs w:val="16"/>
        </w:rPr>
        <w:t xml:space="preserve"> (</w:t>
      </w:r>
      <w:r w:rsidRPr="00711757">
        <w:rPr>
          <w:i/>
          <w:iCs/>
          <w:color w:val="000000"/>
          <w:sz w:val="22"/>
          <w:szCs w:val="16"/>
        </w:rPr>
        <w:t>Clopidogrel in High-risk patients with Acute Non-disabling Cerebrovascular Events</w:t>
      </w:r>
      <w:r>
        <w:rPr>
          <w:color w:val="000000"/>
          <w:sz w:val="22"/>
          <w:szCs w:val="16"/>
        </w:rPr>
        <w:t>)</w:t>
      </w:r>
    </w:p>
    <w:p w:rsidR="00E742AD" w:rsidRPr="00AF6849" w:rsidRDefault="002F6D45">
      <w:pPr>
        <w:tabs>
          <w:tab w:val="left" w:pos="567"/>
        </w:tabs>
        <w:rPr>
          <w:color w:val="000000"/>
          <w:sz w:val="22"/>
          <w:szCs w:val="16"/>
          <w:lang w:val="pl-PL"/>
        </w:rPr>
      </w:pPr>
      <w:r>
        <w:rPr>
          <w:color w:val="000000"/>
          <w:sz w:val="22"/>
          <w:szCs w:val="16"/>
          <w:lang w:val="pl-PL"/>
        </w:rPr>
        <w:t>To r</w:t>
      </w:r>
      <w:r w:rsidR="00D63462" w:rsidRPr="00D63462">
        <w:rPr>
          <w:color w:val="000000"/>
          <w:sz w:val="22"/>
          <w:szCs w:val="16"/>
          <w:lang w:val="pl-PL"/>
        </w:rPr>
        <w:t>andomizowane, podwójnie zaślepione, wieloośrodkowe, kontrolowane placebo badanie kliniczne objęło 5</w:t>
      </w:r>
      <w:r w:rsidR="00AF6849">
        <w:rPr>
          <w:color w:val="000000"/>
          <w:sz w:val="22"/>
          <w:szCs w:val="16"/>
          <w:lang w:val="pl-PL"/>
        </w:rPr>
        <w:t xml:space="preserve"> </w:t>
      </w:r>
      <w:r w:rsidR="00D63462" w:rsidRPr="00D63462">
        <w:rPr>
          <w:color w:val="000000"/>
          <w:sz w:val="22"/>
          <w:szCs w:val="16"/>
          <w:lang w:val="pl-PL"/>
        </w:rPr>
        <w:t xml:space="preserve">170 chińskich pacjentów z ostrym </w:t>
      </w:r>
      <w:r w:rsidR="007D6745">
        <w:rPr>
          <w:color w:val="000000"/>
          <w:sz w:val="22"/>
          <w:szCs w:val="16"/>
          <w:lang w:val="pl-PL"/>
        </w:rPr>
        <w:t>TI</w:t>
      </w:r>
      <w:r w:rsidR="00D63462" w:rsidRPr="00D63462">
        <w:rPr>
          <w:color w:val="000000"/>
          <w:sz w:val="22"/>
          <w:szCs w:val="16"/>
          <w:lang w:val="pl-PL"/>
        </w:rPr>
        <w:t>A (</w:t>
      </w:r>
      <w:r w:rsidR="00D63462" w:rsidRPr="0032595E">
        <w:rPr>
          <w:color w:val="000000"/>
          <w:sz w:val="22"/>
          <w:szCs w:val="16"/>
          <w:lang w:val="pl-PL"/>
        </w:rPr>
        <w:t>wynik</w:t>
      </w:r>
      <w:r w:rsidR="00D63462" w:rsidRPr="00D63462">
        <w:rPr>
          <w:color w:val="000000"/>
          <w:sz w:val="22"/>
          <w:szCs w:val="16"/>
          <w:lang w:val="pl-PL"/>
        </w:rPr>
        <w:t xml:space="preserve"> ABCD2 ≥4) lub ostrym, </w:t>
      </w:r>
      <w:r w:rsidR="007D6745">
        <w:rPr>
          <w:color w:val="000000"/>
          <w:sz w:val="22"/>
          <w:szCs w:val="16"/>
          <w:lang w:val="pl-PL"/>
        </w:rPr>
        <w:t>niewielkim</w:t>
      </w:r>
      <w:r w:rsidR="00D63462" w:rsidRPr="00D63462">
        <w:rPr>
          <w:color w:val="000000"/>
          <w:sz w:val="22"/>
          <w:szCs w:val="16"/>
          <w:lang w:val="pl-PL"/>
        </w:rPr>
        <w:t xml:space="preserve"> udarem </w:t>
      </w:r>
      <w:r>
        <w:rPr>
          <w:color w:val="000000"/>
          <w:sz w:val="22"/>
          <w:szCs w:val="16"/>
          <w:lang w:val="pl-PL"/>
        </w:rPr>
        <w:t xml:space="preserve">mózgu </w:t>
      </w:r>
      <w:r w:rsidR="00D63462" w:rsidRPr="00D63462">
        <w:rPr>
          <w:color w:val="000000"/>
          <w:sz w:val="22"/>
          <w:szCs w:val="16"/>
          <w:lang w:val="pl-PL"/>
        </w:rPr>
        <w:t>(NIHSS ≤3). Pacjenci w obu grupach</w:t>
      </w:r>
      <w:r w:rsidR="00D63462">
        <w:rPr>
          <w:color w:val="000000"/>
          <w:sz w:val="22"/>
          <w:szCs w:val="16"/>
          <w:lang w:val="pl-PL"/>
        </w:rPr>
        <w:t xml:space="preserve"> </w:t>
      </w:r>
      <w:r w:rsidR="00D63462" w:rsidRPr="00D63462">
        <w:rPr>
          <w:color w:val="000000"/>
          <w:sz w:val="22"/>
          <w:szCs w:val="16"/>
          <w:lang w:val="pl-PL"/>
        </w:rPr>
        <w:t>otrzymali ASA</w:t>
      </w:r>
      <w:r>
        <w:rPr>
          <w:color w:val="000000"/>
          <w:sz w:val="22"/>
          <w:szCs w:val="16"/>
          <w:lang w:val="pl-PL"/>
        </w:rPr>
        <w:t xml:space="preserve"> w fazie otwartej badania</w:t>
      </w:r>
      <w:r w:rsidR="00D63462" w:rsidRPr="00D63462">
        <w:rPr>
          <w:color w:val="000000"/>
          <w:sz w:val="22"/>
          <w:szCs w:val="16"/>
          <w:lang w:val="pl-PL"/>
        </w:rPr>
        <w:t xml:space="preserve"> w 1. dniu (w dawce od 75 do 300 mg, według </w:t>
      </w:r>
      <w:r w:rsidR="00B070E6">
        <w:rPr>
          <w:color w:val="000000"/>
          <w:sz w:val="22"/>
          <w:szCs w:val="16"/>
          <w:lang w:val="pl-PL"/>
        </w:rPr>
        <w:t>zaleceń</w:t>
      </w:r>
      <w:r w:rsidR="00D63462" w:rsidRPr="00D63462">
        <w:rPr>
          <w:color w:val="000000"/>
          <w:sz w:val="22"/>
          <w:szCs w:val="16"/>
          <w:lang w:val="pl-PL"/>
        </w:rPr>
        <w:t xml:space="preserve"> lekarza prowadzącego).</w:t>
      </w:r>
      <w:r w:rsidR="00B070E6">
        <w:rPr>
          <w:color w:val="000000"/>
          <w:sz w:val="22"/>
          <w:szCs w:val="16"/>
          <w:lang w:val="pl-PL"/>
        </w:rPr>
        <w:t xml:space="preserve"> </w:t>
      </w:r>
      <w:r w:rsidR="00D63462" w:rsidRPr="00D63462">
        <w:rPr>
          <w:color w:val="000000"/>
          <w:sz w:val="22"/>
          <w:szCs w:val="16"/>
          <w:lang w:val="pl-PL"/>
        </w:rPr>
        <w:t xml:space="preserve">Pacjenci </w:t>
      </w:r>
      <w:r w:rsidR="00B070E6">
        <w:rPr>
          <w:color w:val="000000"/>
          <w:sz w:val="22"/>
          <w:szCs w:val="16"/>
          <w:lang w:val="pl-PL"/>
        </w:rPr>
        <w:t>losowo</w:t>
      </w:r>
      <w:r w:rsidR="00D63462" w:rsidRPr="00D63462">
        <w:rPr>
          <w:color w:val="000000"/>
          <w:sz w:val="22"/>
          <w:szCs w:val="16"/>
          <w:lang w:val="pl-PL"/>
        </w:rPr>
        <w:t xml:space="preserve"> </w:t>
      </w:r>
      <w:r w:rsidR="0032595E">
        <w:rPr>
          <w:color w:val="000000"/>
          <w:sz w:val="22"/>
          <w:szCs w:val="16"/>
          <w:lang w:val="pl-PL"/>
        </w:rPr>
        <w:t>przydzieleni</w:t>
      </w:r>
      <w:r w:rsidR="00D63462" w:rsidRPr="00D63462">
        <w:rPr>
          <w:color w:val="000000"/>
          <w:sz w:val="22"/>
          <w:szCs w:val="16"/>
          <w:lang w:val="pl-PL"/>
        </w:rPr>
        <w:t xml:space="preserve"> do grupy klopidogrel-ASA otrzymali dawkę </w:t>
      </w:r>
      <w:r w:rsidR="00961614">
        <w:rPr>
          <w:color w:val="000000"/>
          <w:sz w:val="22"/>
          <w:szCs w:val="16"/>
          <w:lang w:val="pl-PL"/>
        </w:rPr>
        <w:t>nasycającą</w:t>
      </w:r>
      <w:r w:rsidR="00D63462" w:rsidRPr="00D63462">
        <w:rPr>
          <w:color w:val="000000"/>
          <w:sz w:val="22"/>
          <w:szCs w:val="16"/>
          <w:lang w:val="pl-PL"/>
        </w:rPr>
        <w:t xml:space="preserve"> 300 mg klopidogrelu w 1. dniu, a następnie dawkę 75 mg klopidogrelu na dobę w dniach</w:t>
      </w:r>
      <w:r w:rsidR="00961614">
        <w:rPr>
          <w:color w:val="000000"/>
          <w:sz w:val="22"/>
          <w:szCs w:val="16"/>
          <w:lang w:val="pl-PL"/>
        </w:rPr>
        <w:t xml:space="preserve"> od</w:t>
      </w:r>
      <w:r w:rsidR="00D63462" w:rsidRPr="00D63462">
        <w:rPr>
          <w:color w:val="000000"/>
          <w:sz w:val="22"/>
          <w:szCs w:val="16"/>
          <w:lang w:val="pl-PL"/>
        </w:rPr>
        <w:t xml:space="preserve"> 2</w:t>
      </w:r>
      <w:r w:rsidR="00B070E6">
        <w:rPr>
          <w:color w:val="000000"/>
          <w:sz w:val="22"/>
          <w:szCs w:val="16"/>
          <w:lang w:val="pl-PL"/>
        </w:rPr>
        <w:t>.</w:t>
      </w:r>
      <w:r w:rsidR="00D63462" w:rsidRPr="00D63462">
        <w:rPr>
          <w:color w:val="000000"/>
          <w:sz w:val="22"/>
          <w:szCs w:val="16"/>
          <w:lang w:val="pl-PL"/>
        </w:rPr>
        <w:t xml:space="preserve"> do 90</w:t>
      </w:r>
      <w:r w:rsidR="00B070E6">
        <w:rPr>
          <w:color w:val="000000"/>
          <w:sz w:val="22"/>
          <w:szCs w:val="16"/>
          <w:lang w:val="pl-PL"/>
        </w:rPr>
        <w:t>.</w:t>
      </w:r>
      <w:r w:rsidR="00D63462" w:rsidRPr="00D63462">
        <w:rPr>
          <w:color w:val="000000"/>
          <w:sz w:val="22"/>
          <w:szCs w:val="16"/>
          <w:lang w:val="pl-PL"/>
        </w:rPr>
        <w:t xml:space="preserve"> oraz ASA w dawce 75 mg na dobę w dniach</w:t>
      </w:r>
      <w:r w:rsidR="00961614">
        <w:rPr>
          <w:color w:val="000000"/>
          <w:sz w:val="22"/>
          <w:szCs w:val="16"/>
          <w:lang w:val="pl-PL"/>
        </w:rPr>
        <w:t xml:space="preserve"> od</w:t>
      </w:r>
      <w:r w:rsidR="00D63462" w:rsidRPr="00D63462">
        <w:rPr>
          <w:color w:val="000000"/>
          <w:sz w:val="22"/>
          <w:szCs w:val="16"/>
          <w:lang w:val="pl-PL"/>
        </w:rPr>
        <w:t xml:space="preserve"> 2</w:t>
      </w:r>
      <w:r w:rsidR="00AF6849">
        <w:rPr>
          <w:color w:val="000000"/>
          <w:sz w:val="22"/>
          <w:szCs w:val="16"/>
          <w:lang w:val="pl-PL"/>
        </w:rPr>
        <w:t>.</w:t>
      </w:r>
      <w:r w:rsidR="00D63462" w:rsidRPr="00D63462">
        <w:rPr>
          <w:color w:val="000000"/>
          <w:sz w:val="22"/>
          <w:szCs w:val="16"/>
          <w:lang w:val="pl-PL"/>
        </w:rPr>
        <w:t xml:space="preserve"> do 21. Pacjenci </w:t>
      </w:r>
      <w:r w:rsidR="0094595E">
        <w:rPr>
          <w:color w:val="000000"/>
          <w:sz w:val="22"/>
          <w:szCs w:val="16"/>
          <w:lang w:val="pl-PL"/>
        </w:rPr>
        <w:t>losowo</w:t>
      </w:r>
      <w:r w:rsidR="00D63462" w:rsidRPr="00D63462">
        <w:rPr>
          <w:color w:val="000000"/>
          <w:sz w:val="22"/>
          <w:szCs w:val="16"/>
          <w:lang w:val="pl-PL"/>
        </w:rPr>
        <w:t xml:space="preserve"> przypisani do grupy ASA otrzymywali </w:t>
      </w:r>
      <w:r w:rsidR="0032595E">
        <w:rPr>
          <w:sz w:val="22"/>
          <w:szCs w:val="16"/>
          <w:lang w:val="pl-PL"/>
        </w:rPr>
        <w:t xml:space="preserve">klopidogrel w wersji placebo </w:t>
      </w:r>
      <w:r w:rsidR="00D63462" w:rsidRPr="00D63462">
        <w:rPr>
          <w:color w:val="000000"/>
          <w:sz w:val="22"/>
          <w:szCs w:val="16"/>
          <w:lang w:val="pl-PL"/>
        </w:rPr>
        <w:t>w dniach 1</w:t>
      </w:r>
      <w:r w:rsidR="00AF6849">
        <w:rPr>
          <w:color w:val="000000"/>
          <w:sz w:val="22"/>
          <w:szCs w:val="16"/>
          <w:lang w:val="pl-PL"/>
        </w:rPr>
        <w:t xml:space="preserve"> do </w:t>
      </w:r>
      <w:r w:rsidR="00D63462" w:rsidRPr="00D63462">
        <w:rPr>
          <w:color w:val="000000"/>
          <w:sz w:val="22"/>
          <w:szCs w:val="16"/>
          <w:lang w:val="pl-PL"/>
        </w:rPr>
        <w:t>9</w:t>
      </w:r>
      <w:r w:rsidR="00AF6849">
        <w:rPr>
          <w:color w:val="000000"/>
          <w:sz w:val="22"/>
          <w:szCs w:val="16"/>
          <w:lang w:val="pl-PL"/>
        </w:rPr>
        <w:t>0</w:t>
      </w:r>
      <w:r w:rsidR="00D63462" w:rsidRPr="00D63462">
        <w:rPr>
          <w:color w:val="000000"/>
          <w:sz w:val="22"/>
          <w:szCs w:val="16"/>
          <w:lang w:val="pl-PL"/>
        </w:rPr>
        <w:t xml:space="preserve"> i ASA w dawce 75 mg na dobę w dniach </w:t>
      </w:r>
      <w:r w:rsidR="00AF6849">
        <w:rPr>
          <w:color w:val="000000"/>
          <w:sz w:val="22"/>
          <w:szCs w:val="16"/>
          <w:lang w:val="pl-PL"/>
        </w:rPr>
        <w:t>2 do 90</w:t>
      </w:r>
      <w:r w:rsidR="00D63462" w:rsidRPr="00D63462">
        <w:rPr>
          <w:color w:val="000000"/>
          <w:sz w:val="22"/>
          <w:szCs w:val="16"/>
          <w:lang w:val="pl-PL"/>
        </w:rPr>
        <w:t>.</w:t>
      </w:r>
    </w:p>
    <w:p w:rsidR="00961614" w:rsidRDefault="00961614">
      <w:pPr>
        <w:tabs>
          <w:tab w:val="left" w:pos="567"/>
        </w:tabs>
        <w:rPr>
          <w:color w:val="000000"/>
          <w:sz w:val="22"/>
          <w:szCs w:val="16"/>
          <w:lang w:val="pl-PL"/>
        </w:rPr>
      </w:pPr>
    </w:p>
    <w:p w:rsidR="00961614" w:rsidRDefault="004721A6">
      <w:pPr>
        <w:tabs>
          <w:tab w:val="left" w:pos="567"/>
        </w:tabs>
        <w:rPr>
          <w:color w:val="000000"/>
          <w:sz w:val="22"/>
          <w:szCs w:val="16"/>
          <w:lang w:val="pl-PL"/>
        </w:rPr>
      </w:pPr>
      <w:bookmarkStart w:id="15" w:name="_Hlk60148988"/>
      <w:r>
        <w:rPr>
          <w:color w:val="000000"/>
          <w:sz w:val="22"/>
          <w:szCs w:val="16"/>
          <w:lang w:val="pl-PL"/>
        </w:rPr>
        <w:t xml:space="preserve">Pierwszorzędowym </w:t>
      </w:r>
      <w:r w:rsidR="0032595E">
        <w:rPr>
          <w:sz w:val="22"/>
          <w:szCs w:val="16"/>
          <w:lang w:val="pl-PL"/>
        </w:rPr>
        <w:t xml:space="preserve">punktem końcowym skuteczności </w:t>
      </w:r>
      <w:r w:rsidR="00961614" w:rsidRPr="00961614">
        <w:rPr>
          <w:color w:val="000000"/>
          <w:sz w:val="22"/>
          <w:szCs w:val="16"/>
          <w:lang w:val="pl-PL"/>
        </w:rPr>
        <w:t>był</w:t>
      </w:r>
      <w:r>
        <w:rPr>
          <w:color w:val="000000"/>
          <w:sz w:val="22"/>
          <w:szCs w:val="16"/>
          <w:lang w:val="pl-PL"/>
        </w:rPr>
        <w:t xml:space="preserve"> każdy</w:t>
      </w:r>
      <w:r w:rsidR="00961614" w:rsidRPr="00961614">
        <w:rPr>
          <w:color w:val="000000"/>
          <w:sz w:val="22"/>
          <w:szCs w:val="16"/>
          <w:lang w:val="pl-PL"/>
        </w:rPr>
        <w:t xml:space="preserve"> now</w:t>
      </w:r>
      <w:r>
        <w:rPr>
          <w:color w:val="000000"/>
          <w:sz w:val="22"/>
          <w:szCs w:val="16"/>
          <w:lang w:val="pl-PL"/>
        </w:rPr>
        <w:t xml:space="preserve">y </w:t>
      </w:r>
      <w:r w:rsidR="00AF6849">
        <w:rPr>
          <w:color w:val="000000"/>
          <w:sz w:val="22"/>
          <w:szCs w:val="16"/>
          <w:lang w:val="pl-PL"/>
        </w:rPr>
        <w:t>incydent</w:t>
      </w:r>
      <w:r w:rsidR="00961614" w:rsidRPr="00961614">
        <w:rPr>
          <w:color w:val="000000"/>
          <w:sz w:val="22"/>
          <w:szCs w:val="16"/>
          <w:lang w:val="pl-PL"/>
        </w:rPr>
        <w:t xml:space="preserve"> udaru (niedokrwienn</w:t>
      </w:r>
      <w:r w:rsidR="00AF6849">
        <w:rPr>
          <w:color w:val="000000"/>
          <w:sz w:val="22"/>
          <w:szCs w:val="16"/>
          <w:lang w:val="pl-PL"/>
        </w:rPr>
        <w:t>y</w:t>
      </w:r>
      <w:r w:rsidR="00961614" w:rsidRPr="00961614">
        <w:rPr>
          <w:color w:val="000000"/>
          <w:sz w:val="22"/>
          <w:szCs w:val="16"/>
          <w:lang w:val="pl-PL"/>
        </w:rPr>
        <w:t xml:space="preserve"> i krwotoczn</w:t>
      </w:r>
      <w:r w:rsidR="00AF6849">
        <w:rPr>
          <w:color w:val="000000"/>
          <w:sz w:val="22"/>
          <w:szCs w:val="16"/>
          <w:lang w:val="pl-PL"/>
        </w:rPr>
        <w:t>y</w:t>
      </w:r>
      <w:r w:rsidR="00961614" w:rsidRPr="00961614">
        <w:rPr>
          <w:color w:val="000000"/>
          <w:sz w:val="22"/>
          <w:szCs w:val="16"/>
          <w:lang w:val="pl-PL"/>
        </w:rPr>
        <w:t xml:space="preserve">) w ciągu pierwszych 90 dni po ostrym, </w:t>
      </w:r>
      <w:r w:rsidR="003D2F40">
        <w:rPr>
          <w:color w:val="000000"/>
          <w:sz w:val="22"/>
          <w:szCs w:val="16"/>
          <w:lang w:val="pl-PL"/>
        </w:rPr>
        <w:t>niewielkim</w:t>
      </w:r>
      <w:r w:rsidR="00961614" w:rsidRPr="00961614">
        <w:rPr>
          <w:color w:val="000000"/>
          <w:sz w:val="22"/>
          <w:szCs w:val="16"/>
          <w:lang w:val="pl-PL"/>
        </w:rPr>
        <w:t xml:space="preserve"> IS lub </w:t>
      </w:r>
      <w:r>
        <w:rPr>
          <w:color w:val="000000"/>
          <w:sz w:val="22"/>
          <w:szCs w:val="16"/>
          <w:lang w:val="pl-PL"/>
        </w:rPr>
        <w:t xml:space="preserve">TIA </w:t>
      </w:r>
      <w:r w:rsidR="00216009">
        <w:rPr>
          <w:color w:val="000000"/>
          <w:sz w:val="22"/>
          <w:szCs w:val="16"/>
          <w:lang w:val="pl-PL"/>
        </w:rPr>
        <w:t>wysoki</w:t>
      </w:r>
      <w:r>
        <w:rPr>
          <w:color w:val="000000"/>
          <w:sz w:val="22"/>
          <w:szCs w:val="16"/>
          <w:lang w:val="pl-PL"/>
        </w:rPr>
        <w:t>ego</w:t>
      </w:r>
      <w:r w:rsidR="00216009">
        <w:rPr>
          <w:color w:val="000000"/>
          <w:sz w:val="22"/>
          <w:szCs w:val="16"/>
          <w:lang w:val="pl-PL"/>
        </w:rPr>
        <w:t xml:space="preserve"> </w:t>
      </w:r>
      <w:r>
        <w:rPr>
          <w:color w:val="000000"/>
          <w:sz w:val="22"/>
          <w:szCs w:val="16"/>
          <w:lang w:val="pl-PL"/>
        </w:rPr>
        <w:t>ryzyka</w:t>
      </w:r>
      <w:r w:rsidR="00961614" w:rsidRPr="00961614">
        <w:rPr>
          <w:color w:val="000000"/>
          <w:sz w:val="22"/>
          <w:szCs w:val="16"/>
          <w:lang w:val="pl-PL"/>
        </w:rPr>
        <w:t xml:space="preserve">. Wystąpiło to u 212 chorych (8,2%) w grupie klopidogrelu-ASA w porównaniu z 303 </w:t>
      </w:r>
      <w:r w:rsidR="002F6D45">
        <w:rPr>
          <w:color w:val="000000"/>
          <w:sz w:val="22"/>
          <w:szCs w:val="16"/>
          <w:lang w:val="pl-PL"/>
        </w:rPr>
        <w:t>pacjentami</w:t>
      </w:r>
      <w:r w:rsidR="00961614" w:rsidRPr="00961614">
        <w:rPr>
          <w:color w:val="000000"/>
          <w:sz w:val="22"/>
          <w:szCs w:val="16"/>
          <w:lang w:val="pl-PL"/>
        </w:rPr>
        <w:t xml:space="preserve"> (11,7%) w grupie ASA (</w:t>
      </w:r>
      <w:bookmarkStart w:id="16" w:name="_Hlk60148911"/>
      <w:r w:rsidR="00961614" w:rsidRPr="00961614">
        <w:rPr>
          <w:color w:val="000000"/>
          <w:sz w:val="22"/>
          <w:szCs w:val="16"/>
          <w:lang w:val="pl-PL"/>
        </w:rPr>
        <w:t>wskaźnik zagrożenia [</w:t>
      </w:r>
      <w:r w:rsidR="00216009">
        <w:rPr>
          <w:color w:val="000000"/>
          <w:sz w:val="22"/>
          <w:szCs w:val="16"/>
          <w:lang w:val="pl-PL"/>
        </w:rPr>
        <w:t>ang.</w:t>
      </w:r>
      <w:r w:rsidR="003D2F40" w:rsidRPr="003D2F40">
        <w:rPr>
          <w:color w:val="000000"/>
          <w:sz w:val="22"/>
          <w:szCs w:val="16"/>
          <w:lang w:val="pl-PL"/>
        </w:rPr>
        <w:t xml:space="preserve"> </w:t>
      </w:r>
      <w:r w:rsidR="003D2F40" w:rsidRPr="00961614">
        <w:rPr>
          <w:color w:val="000000"/>
          <w:sz w:val="22"/>
          <w:szCs w:val="16"/>
          <w:lang w:val="pl-PL"/>
        </w:rPr>
        <w:t>HR</w:t>
      </w:r>
      <w:r w:rsidR="003D2F40">
        <w:rPr>
          <w:color w:val="000000"/>
          <w:sz w:val="22"/>
          <w:szCs w:val="16"/>
          <w:lang w:val="pl-PL"/>
        </w:rPr>
        <w:t xml:space="preserve"> -</w:t>
      </w:r>
      <w:r w:rsidR="003D2F40" w:rsidRPr="00216009">
        <w:rPr>
          <w:color w:val="000000"/>
          <w:sz w:val="22"/>
          <w:szCs w:val="16"/>
          <w:lang w:val="pl-PL"/>
        </w:rPr>
        <w:t xml:space="preserve"> </w:t>
      </w:r>
      <w:r w:rsidR="00216009" w:rsidRPr="00216009">
        <w:rPr>
          <w:color w:val="000000"/>
          <w:sz w:val="22"/>
          <w:szCs w:val="16"/>
          <w:lang w:val="pl-PL"/>
        </w:rPr>
        <w:t>hazard ratio</w:t>
      </w:r>
      <w:bookmarkEnd w:id="16"/>
      <w:r w:rsidR="00961614" w:rsidRPr="00961614">
        <w:rPr>
          <w:color w:val="000000"/>
          <w:sz w:val="22"/>
          <w:szCs w:val="16"/>
          <w:lang w:val="pl-PL"/>
        </w:rPr>
        <w:t>], 0,68; 95% przedział ufności [</w:t>
      </w:r>
      <w:r w:rsidR="00216009">
        <w:rPr>
          <w:color w:val="000000"/>
          <w:sz w:val="22"/>
          <w:szCs w:val="16"/>
          <w:lang w:val="pl-PL"/>
        </w:rPr>
        <w:t>ang.</w:t>
      </w:r>
      <w:r w:rsidR="00216009" w:rsidRPr="00711757">
        <w:rPr>
          <w:lang w:val="pl-PL"/>
        </w:rPr>
        <w:t xml:space="preserve"> </w:t>
      </w:r>
      <w:r w:rsidR="003D2F40" w:rsidRPr="00961614">
        <w:rPr>
          <w:color w:val="000000"/>
          <w:sz w:val="22"/>
          <w:szCs w:val="16"/>
          <w:lang w:val="pl-PL"/>
        </w:rPr>
        <w:t>CI</w:t>
      </w:r>
      <w:r w:rsidR="003D2F40">
        <w:rPr>
          <w:color w:val="000000"/>
          <w:sz w:val="22"/>
          <w:szCs w:val="16"/>
          <w:lang w:val="pl-PL"/>
        </w:rPr>
        <w:t xml:space="preserve"> - </w:t>
      </w:r>
      <w:r w:rsidR="00216009" w:rsidRPr="00216009">
        <w:rPr>
          <w:color w:val="000000"/>
          <w:sz w:val="22"/>
          <w:szCs w:val="16"/>
          <w:lang w:val="pl-PL"/>
        </w:rPr>
        <w:t>confidence interval</w:t>
      </w:r>
      <w:r w:rsidR="00961614" w:rsidRPr="00961614">
        <w:rPr>
          <w:color w:val="000000"/>
          <w:sz w:val="22"/>
          <w:szCs w:val="16"/>
          <w:lang w:val="pl-PL"/>
        </w:rPr>
        <w:t xml:space="preserve">], 0,57 do 0,81; P&lt;0,001). </w:t>
      </w:r>
      <w:r w:rsidR="00216009">
        <w:rPr>
          <w:color w:val="000000"/>
          <w:sz w:val="22"/>
          <w:szCs w:val="16"/>
          <w:lang w:val="pl-PL"/>
        </w:rPr>
        <w:t>IS</w:t>
      </w:r>
      <w:r w:rsidR="00961614" w:rsidRPr="00961614">
        <w:rPr>
          <w:color w:val="000000"/>
          <w:sz w:val="22"/>
          <w:szCs w:val="16"/>
          <w:lang w:val="pl-PL"/>
        </w:rPr>
        <w:t xml:space="preserve"> wystąpił u 204 pacjentów (7,9%) w grupie klopidogrelu-ASA w porównaniu z 295 (11,4%) w grupie ASA (HR, 0,67; 95% CI, 0,56 do 0,81; P&lt;0,001). Udar krwotoczny wystąpił u 8 pacjentów w każdej z dwóch badanych grup (0,3% każdej z nich). Umiarkowany lub </w:t>
      </w:r>
      <w:r w:rsidR="002F6D45">
        <w:rPr>
          <w:color w:val="000000"/>
          <w:sz w:val="22"/>
          <w:szCs w:val="16"/>
          <w:lang w:val="pl-PL"/>
        </w:rPr>
        <w:t>silny</w:t>
      </w:r>
      <w:r w:rsidR="00961614" w:rsidRPr="00961614">
        <w:rPr>
          <w:color w:val="000000"/>
          <w:sz w:val="22"/>
          <w:szCs w:val="16"/>
          <w:lang w:val="pl-PL"/>
        </w:rPr>
        <w:t xml:space="preserve"> krwotok wystąpił u siedmiu pacjentów (0,3%) w grupie klopidogrelu-ASA i u ośmiu (0,3%) w grupie ASA (P = 0,73). Częstość występowania jakiegokolwiek zdarzenia krwawiącego wynosiła 2,3% w grupie klopidogrelu-ASA w porównaniu z 1,6% w grupie ASA (HR, 1,41; 95% CI, 0,95 do 2,10; P = 0,09).</w:t>
      </w:r>
    </w:p>
    <w:bookmarkEnd w:id="15"/>
    <w:p w:rsidR="00961614" w:rsidRDefault="00961614">
      <w:pPr>
        <w:tabs>
          <w:tab w:val="left" w:pos="567"/>
        </w:tabs>
        <w:rPr>
          <w:color w:val="000000"/>
          <w:sz w:val="22"/>
          <w:szCs w:val="16"/>
          <w:lang w:val="pl-PL"/>
        </w:rPr>
      </w:pPr>
    </w:p>
    <w:p w:rsidR="00216009" w:rsidRDefault="00216009">
      <w:pPr>
        <w:tabs>
          <w:tab w:val="left" w:pos="567"/>
        </w:tabs>
        <w:rPr>
          <w:color w:val="000000"/>
          <w:sz w:val="22"/>
          <w:szCs w:val="16"/>
          <w:lang w:val="pl-PL"/>
        </w:rPr>
      </w:pPr>
      <w:r w:rsidRPr="00711757">
        <w:rPr>
          <w:b/>
          <w:bCs/>
          <w:color w:val="000000"/>
          <w:sz w:val="22"/>
          <w:szCs w:val="16"/>
          <w:lang w:val="pl-PL"/>
        </w:rPr>
        <w:t>POINT</w:t>
      </w:r>
      <w:r w:rsidRPr="00711757">
        <w:rPr>
          <w:lang w:val="pl-PL"/>
        </w:rPr>
        <w:t xml:space="preserve"> </w:t>
      </w:r>
      <w:r w:rsidRPr="00216009">
        <w:rPr>
          <w:color w:val="000000"/>
          <w:sz w:val="22"/>
          <w:szCs w:val="16"/>
          <w:lang w:val="pl-PL"/>
        </w:rPr>
        <w:t xml:space="preserve">(Platelet-Oriented Inhibition in New TIA and Minor Ischemic Stroke) </w:t>
      </w:r>
    </w:p>
    <w:p w:rsidR="00216009" w:rsidRDefault="00216009">
      <w:pPr>
        <w:tabs>
          <w:tab w:val="left" w:pos="567"/>
        </w:tabs>
        <w:rPr>
          <w:color w:val="000000"/>
          <w:sz w:val="22"/>
          <w:szCs w:val="16"/>
          <w:lang w:val="pl-PL"/>
        </w:rPr>
      </w:pPr>
      <w:r>
        <w:rPr>
          <w:color w:val="000000"/>
          <w:sz w:val="22"/>
          <w:szCs w:val="16"/>
          <w:lang w:val="pl-PL"/>
        </w:rPr>
        <w:t>To</w:t>
      </w:r>
      <w:r w:rsidRPr="00216009">
        <w:rPr>
          <w:color w:val="000000"/>
          <w:sz w:val="22"/>
          <w:szCs w:val="16"/>
          <w:lang w:val="pl-PL"/>
        </w:rPr>
        <w:t xml:space="preserve"> randomizowane, podwójnie zaślepione, wieloośrodkowe, kontrolowane placebo badanie kliniczne obejmowało 4</w:t>
      </w:r>
      <w:r w:rsidR="00AF6849">
        <w:rPr>
          <w:color w:val="000000"/>
          <w:sz w:val="22"/>
          <w:szCs w:val="16"/>
          <w:lang w:val="pl-PL"/>
        </w:rPr>
        <w:t xml:space="preserve"> </w:t>
      </w:r>
      <w:r w:rsidRPr="00216009">
        <w:rPr>
          <w:color w:val="000000"/>
          <w:sz w:val="22"/>
          <w:szCs w:val="16"/>
          <w:lang w:val="pl-PL"/>
        </w:rPr>
        <w:t xml:space="preserve">881 międzynarodowych pacjentów z ostrym TIA (wynik ABCD2 ≥4) lub z niewielkim udarem (NIHSS ≤3). Wszyscy pacjenci w obu grupach </w:t>
      </w:r>
      <w:bookmarkStart w:id="17" w:name="_Hlk60149077"/>
      <w:r>
        <w:rPr>
          <w:color w:val="000000"/>
          <w:sz w:val="22"/>
          <w:szCs w:val="16"/>
          <w:lang w:val="pl-PL"/>
        </w:rPr>
        <w:t>w otwart</w:t>
      </w:r>
      <w:r w:rsidR="002F6D45">
        <w:rPr>
          <w:color w:val="000000"/>
          <w:sz w:val="22"/>
          <w:szCs w:val="16"/>
          <w:lang w:val="pl-PL"/>
        </w:rPr>
        <w:t>ej fazie</w:t>
      </w:r>
      <w:r>
        <w:rPr>
          <w:color w:val="000000"/>
          <w:sz w:val="22"/>
          <w:szCs w:val="16"/>
          <w:lang w:val="pl-PL"/>
        </w:rPr>
        <w:t xml:space="preserve"> badani</w:t>
      </w:r>
      <w:r w:rsidR="002F6D45">
        <w:rPr>
          <w:color w:val="000000"/>
          <w:sz w:val="22"/>
          <w:szCs w:val="16"/>
          <w:lang w:val="pl-PL"/>
        </w:rPr>
        <w:t xml:space="preserve">a </w:t>
      </w:r>
      <w:r w:rsidRPr="00216009">
        <w:rPr>
          <w:color w:val="000000"/>
          <w:sz w:val="22"/>
          <w:szCs w:val="16"/>
          <w:lang w:val="pl-PL"/>
        </w:rPr>
        <w:t xml:space="preserve">otrzymali </w:t>
      </w:r>
      <w:bookmarkEnd w:id="17"/>
      <w:r w:rsidRPr="00216009">
        <w:rPr>
          <w:color w:val="000000"/>
          <w:sz w:val="22"/>
          <w:szCs w:val="16"/>
          <w:lang w:val="pl-PL"/>
        </w:rPr>
        <w:t>ASA w dni</w:t>
      </w:r>
      <w:r>
        <w:rPr>
          <w:color w:val="000000"/>
          <w:sz w:val="22"/>
          <w:szCs w:val="16"/>
          <w:lang w:val="pl-PL"/>
        </w:rPr>
        <w:t xml:space="preserve">ach od </w:t>
      </w:r>
      <w:r w:rsidRPr="00216009">
        <w:rPr>
          <w:color w:val="000000"/>
          <w:sz w:val="22"/>
          <w:szCs w:val="16"/>
          <w:lang w:val="pl-PL"/>
        </w:rPr>
        <w:t xml:space="preserve">1 do 90 (50-325 mg </w:t>
      </w:r>
      <w:bookmarkStart w:id="18" w:name="_Hlk60149126"/>
      <w:r w:rsidRPr="00137699">
        <w:rPr>
          <w:color w:val="000000"/>
          <w:sz w:val="22"/>
          <w:szCs w:val="16"/>
          <w:lang w:val="pl-PL"/>
        </w:rPr>
        <w:t>w</w:t>
      </w:r>
      <w:r w:rsidR="00B070E6" w:rsidRPr="00137699">
        <w:rPr>
          <w:color w:val="000000"/>
          <w:sz w:val="22"/>
          <w:szCs w:val="16"/>
          <w:lang w:val="pl-PL"/>
        </w:rPr>
        <w:t>edług zaleceń</w:t>
      </w:r>
      <w:r w:rsidR="00B070E6">
        <w:rPr>
          <w:color w:val="000000"/>
          <w:sz w:val="22"/>
          <w:szCs w:val="16"/>
          <w:lang w:val="pl-PL"/>
        </w:rPr>
        <w:t xml:space="preserve"> </w:t>
      </w:r>
      <w:bookmarkEnd w:id="18"/>
      <w:r w:rsidRPr="00216009">
        <w:rPr>
          <w:color w:val="000000"/>
          <w:sz w:val="22"/>
          <w:szCs w:val="16"/>
          <w:lang w:val="pl-PL"/>
        </w:rPr>
        <w:t xml:space="preserve">lekarza prowadzącego). Pacjenci </w:t>
      </w:r>
      <w:r w:rsidR="00B070E6">
        <w:rPr>
          <w:color w:val="000000"/>
          <w:sz w:val="22"/>
          <w:szCs w:val="16"/>
          <w:lang w:val="pl-PL"/>
        </w:rPr>
        <w:t>losowo</w:t>
      </w:r>
      <w:r w:rsidRPr="00216009">
        <w:rPr>
          <w:color w:val="000000"/>
          <w:sz w:val="22"/>
          <w:szCs w:val="16"/>
          <w:lang w:val="pl-PL"/>
        </w:rPr>
        <w:t xml:space="preserve"> przypisani do grupy klopidogrel</w:t>
      </w:r>
      <w:r w:rsidR="003D2F40">
        <w:rPr>
          <w:color w:val="000000"/>
          <w:sz w:val="22"/>
          <w:szCs w:val="16"/>
          <w:lang w:val="pl-PL"/>
        </w:rPr>
        <w:t>u</w:t>
      </w:r>
      <w:r w:rsidRPr="00216009">
        <w:rPr>
          <w:color w:val="000000"/>
          <w:sz w:val="22"/>
          <w:szCs w:val="16"/>
          <w:lang w:val="pl-PL"/>
        </w:rPr>
        <w:t xml:space="preserve"> otrzymali dawkę</w:t>
      </w:r>
      <w:r w:rsidR="00B070E6">
        <w:rPr>
          <w:color w:val="000000"/>
          <w:sz w:val="22"/>
          <w:szCs w:val="16"/>
          <w:lang w:val="pl-PL"/>
        </w:rPr>
        <w:t xml:space="preserve"> nasycającą</w:t>
      </w:r>
      <w:r w:rsidRPr="00216009">
        <w:rPr>
          <w:color w:val="000000"/>
          <w:sz w:val="22"/>
          <w:szCs w:val="16"/>
          <w:lang w:val="pl-PL"/>
        </w:rPr>
        <w:t xml:space="preserve"> 600 mg klopidogrelu </w:t>
      </w:r>
      <w:bookmarkStart w:id="19" w:name="_Hlk60149168"/>
      <w:r w:rsidRPr="00216009">
        <w:rPr>
          <w:color w:val="000000"/>
          <w:sz w:val="22"/>
          <w:szCs w:val="16"/>
          <w:lang w:val="pl-PL"/>
        </w:rPr>
        <w:t>w 1. dniu</w:t>
      </w:r>
      <w:bookmarkEnd w:id="19"/>
      <w:r w:rsidRPr="00216009">
        <w:rPr>
          <w:color w:val="000000"/>
          <w:sz w:val="22"/>
          <w:szCs w:val="16"/>
          <w:lang w:val="pl-PL"/>
        </w:rPr>
        <w:t xml:space="preserve">, a następnie 75 mg klopidogrelu dziennie w dniach </w:t>
      </w:r>
      <w:r w:rsidR="00B070E6">
        <w:rPr>
          <w:color w:val="000000"/>
          <w:sz w:val="22"/>
          <w:szCs w:val="16"/>
          <w:lang w:val="pl-PL"/>
        </w:rPr>
        <w:t xml:space="preserve">od </w:t>
      </w:r>
      <w:r w:rsidRPr="00216009">
        <w:rPr>
          <w:color w:val="000000"/>
          <w:sz w:val="22"/>
          <w:szCs w:val="16"/>
          <w:lang w:val="pl-PL"/>
        </w:rPr>
        <w:t>2. do 90</w:t>
      </w:r>
      <w:r w:rsidR="00B070E6">
        <w:rPr>
          <w:color w:val="000000"/>
          <w:sz w:val="22"/>
          <w:szCs w:val="16"/>
          <w:lang w:val="pl-PL"/>
        </w:rPr>
        <w:t xml:space="preserve">. </w:t>
      </w:r>
      <w:r w:rsidRPr="00216009">
        <w:rPr>
          <w:color w:val="000000"/>
          <w:sz w:val="22"/>
          <w:szCs w:val="16"/>
          <w:lang w:val="pl-PL"/>
        </w:rPr>
        <w:t xml:space="preserve">Pacjenci </w:t>
      </w:r>
      <w:r w:rsidR="0094595E">
        <w:rPr>
          <w:color w:val="000000"/>
          <w:sz w:val="22"/>
          <w:szCs w:val="16"/>
          <w:lang w:val="pl-PL"/>
        </w:rPr>
        <w:t xml:space="preserve">losowo </w:t>
      </w:r>
      <w:r w:rsidRPr="00216009">
        <w:rPr>
          <w:color w:val="000000"/>
          <w:sz w:val="22"/>
          <w:szCs w:val="16"/>
          <w:lang w:val="pl-PL"/>
        </w:rPr>
        <w:t>przypisani do grupy placebo otrzymywali klopidogrel placebo w dniach od 1</w:t>
      </w:r>
      <w:r w:rsidR="00B070E6">
        <w:rPr>
          <w:color w:val="000000"/>
          <w:sz w:val="22"/>
          <w:szCs w:val="16"/>
          <w:lang w:val="pl-PL"/>
        </w:rPr>
        <w:t>.</w:t>
      </w:r>
      <w:r w:rsidRPr="00216009">
        <w:rPr>
          <w:color w:val="000000"/>
          <w:sz w:val="22"/>
          <w:szCs w:val="16"/>
          <w:lang w:val="pl-PL"/>
        </w:rPr>
        <w:t xml:space="preserve"> do 90</w:t>
      </w:r>
      <w:r w:rsidR="00B070E6">
        <w:rPr>
          <w:color w:val="000000"/>
          <w:sz w:val="22"/>
          <w:szCs w:val="16"/>
          <w:lang w:val="pl-PL"/>
        </w:rPr>
        <w:t>.</w:t>
      </w:r>
    </w:p>
    <w:p w:rsidR="00B070E6" w:rsidRDefault="00B070E6">
      <w:pPr>
        <w:tabs>
          <w:tab w:val="left" w:pos="567"/>
        </w:tabs>
        <w:rPr>
          <w:color w:val="000000"/>
          <w:sz w:val="22"/>
          <w:szCs w:val="16"/>
          <w:lang w:val="pl-PL"/>
        </w:rPr>
      </w:pPr>
    </w:p>
    <w:p w:rsidR="00B070E6" w:rsidRDefault="003D2F40">
      <w:pPr>
        <w:tabs>
          <w:tab w:val="left" w:pos="567"/>
        </w:tabs>
        <w:rPr>
          <w:color w:val="000000"/>
          <w:sz w:val="22"/>
          <w:szCs w:val="16"/>
          <w:lang w:val="pl-PL"/>
        </w:rPr>
      </w:pPr>
      <w:bookmarkStart w:id="20" w:name="_Hlk60149355"/>
      <w:r w:rsidRPr="003D2F40">
        <w:rPr>
          <w:color w:val="000000"/>
          <w:sz w:val="22"/>
          <w:szCs w:val="16"/>
          <w:lang w:val="pl-PL"/>
        </w:rPr>
        <w:t>Pierwszorzędowy wynik oceny skuteczności stanowił połączenie poważnych incydentów niedokrwiennych</w:t>
      </w:r>
      <w:r w:rsidR="00B070E6" w:rsidRPr="00B070E6">
        <w:rPr>
          <w:color w:val="000000"/>
          <w:sz w:val="22"/>
          <w:szCs w:val="16"/>
          <w:lang w:val="pl-PL"/>
        </w:rPr>
        <w:t xml:space="preserve"> </w:t>
      </w:r>
      <w:bookmarkEnd w:id="20"/>
      <w:r w:rsidR="00B070E6" w:rsidRPr="00B070E6">
        <w:rPr>
          <w:color w:val="000000"/>
          <w:sz w:val="22"/>
          <w:szCs w:val="16"/>
          <w:lang w:val="pl-PL"/>
        </w:rPr>
        <w:t xml:space="preserve">(IS, MI lub zgon z powodu niedokrwiennego zdarzenia naczyniowego) w 90. dniu. Wystąpiło to u 121 pacjentów (5,0%) otrzymujących klopidogrel </w:t>
      </w:r>
      <w:r w:rsidR="00B070E6">
        <w:rPr>
          <w:color w:val="000000"/>
          <w:sz w:val="22"/>
          <w:szCs w:val="16"/>
          <w:lang w:val="pl-PL"/>
        </w:rPr>
        <w:t>i</w:t>
      </w:r>
      <w:r w:rsidR="00B070E6" w:rsidRPr="00B070E6">
        <w:rPr>
          <w:color w:val="000000"/>
          <w:sz w:val="22"/>
          <w:szCs w:val="16"/>
          <w:lang w:val="pl-PL"/>
        </w:rPr>
        <w:t xml:space="preserve"> ASA w porównaniu do 160 pacjentów (6,5%) otrzymujących tylko ASA (HR, 0,75; 95% CI, 0,59 do 0,95; P = 0,02). </w:t>
      </w:r>
      <w:bookmarkStart w:id="21" w:name="_Hlk60149580"/>
      <w:r w:rsidR="00B070E6" w:rsidRPr="00B070E6">
        <w:rPr>
          <w:color w:val="000000"/>
          <w:sz w:val="22"/>
          <w:szCs w:val="16"/>
          <w:lang w:val="pl-PL"/>
        </w:rPr>
        <w:t xml:space="preserve">Wtórny wynik IS wystąpił u 112 pacjentów (4,6%) otrzymujących klopidogrel </w:t>
      </w:r>
      <w:r>
        <w:rPr>
          <w:color w:val="000000"/>
          <w:sz w:val="22"/>
          <w:szCs w:val="16"/>
          <w:lang w:val="pl-PL"/>
        </w:rPr>
        <w:t>i</w:t>
      </w:r>
      <w:r w:rsidR="00B070E6" w:rsidRPr="00B070E6">
        <w:rPr>
          <w:color w:val="000000"/>
          <w:sz w:val="22"/>
          <w:szCs w:val="16"/>
          <w:lang w:val="pl-PL"/>
        </w:rPr>
        <w:t xml:space="preserve"> ASA w porównaniu do 155 pacjentów (6,3%) otrzymujących tylko ASA (HR, 0,72; 95% CI, 0,56 do 0,92; P = 0,01). P</w:t>
      </w:r>
      <w:r>
        <w:rPr>
          <w:color w:val="000000"/>
          <w:sz w:val="22"/>
          <w:szCs w:val="16"/>
          <w:lang w:val="pl-PL"/>
        </w:rPr>
        <w:t>ierwszorzędowy</w:t>
      </w:r>
      <w:r w:rsidR="00B070E6" w:rsidRPr="00B070E6">
        <w:rPr>
          <w:color w:val="000000"/>
          <w:sz w:val="22"/>
          <w:szCs w:val="16"/>
          <w:lang w:val="pl-PL"/>
        </w:rPr>
        <w:t xml:space="preserve"> wynik bezpieczeństwa w przypadku poważnego krwotoku wystąpił u 23 z 2432 pacjentów (0,9%) otrzymujących klopidogrel </w:t>
      </w:r>
      <w:r w:rsidR="00B070E6">
        <w:rPr>
          <w:color w:val="000000"/>
          <w:sz w:val="22"/>
          <w:szCs w:val="16"/>
          <w:lang w:val="pl-PL"/>
        </w:rPr>
        <w:t>i</w:t>
      </w:r>
      <w:r w:rsidR="00B070E6" w:rsidRPr="00B070E6">
        <w:rPr>
          <w:color w:val="000000"/>
          <w:sz w:val="22"/>
          <w:szCs w:val="16"/>
          <w:lang w:val="pl-PL"/>
        </w:rPr>
        <w:t xml:space="preserve"> ASA oraz u 10 z 2449 pacjentów (0,4%) otrzymujących tylko ASA (HR, 2,32; 95% CI, 1,10 do 4,87; P = 0,02). Niewielki krwotok wystąpił u 40 pacjentów (1,6%) otrzymujących klopidogrel </w:t>
      </w:r>
      <w:r w:rsidR="00B070E6">
        <w:rPr>
          <w:color w:val="000000"/>
          <w:sz w:val="22"/>
          <w:szCs w:val="16"/>
          <w:lang w:val="pl-PL"/>
        </w:rPr>
        <w:t>i</w:t>
      </w:r>
      <w:r w:rsidR="00B070E6" w:rsidRPr="00B070E6">
        <w:rPr>
          <w:color w:val="000000"/>
          <w:sz w:val="22"/>
          <w:szCs w:val="16"/>
          <w:lang w:val="pl-PL"/>
        </w:rPr>
        <w:t xml:space="preserve"> ASA oraz u 13 (0,5%) otrzymujących tylko ASA (HR, 3,12; 95% CI, 1,67 do 5,83; P = 0,001)</w:t>
      </w:r>
      <w:bookmarkEnd w:id="21"/>
      <w:r w:rsidR="00B070E6" w:rsidRPr="00B070E6">
        <w:rPr>
          <w:color w:val="000000"/>
          <w:sz w:val="22"/>
          <w:szCs w:val="16"/>
          <w:lang w:val="pl-PL"/>
        </w:rPr>
        <w:t>.</w:t>
      </w:r>
    </w:p>
    <w:p w:rsidR="00B070E6" w:rsidRDefault="00B070E6">
      <w:pPr>
        <w:tabs>
          <w:tab w:val="left" w:pos="567"/>
        </w:tabs>
        <w:rPr>
          <w:color w:val="000000"/>
          <w:sz w:val="22"/>
          <w:szCs w:val="16"/>
          <w:lang w:val="pl-PL"/>
        </w:rPr>
      </w:pPr>
    </w:p>
    <w:p w:rsidR="00B070E6" w:rsidRDefault="00B070E6">
      <w:pPr>
        <w:tabs>
          <w:tab w:val="left" w:pos="567"/>
        </w:tabs>
        <w:rPr>
          <w:color w:val="000000"/>
          <w:sz w:val="22"/>
          <w:szCs w:val="16"/>
          <w:lang w:val="pl-PL"/>
        </w:rPr>
      </w:pPr>
      <w:bookmarkStart w:id="22" w:name="_Hlk60149671"/>
      <w:r>
        <w:rPr>
          <w:color w:val="000000"/>
          <w:sz w:val="22"/>
          <w:szCs w:val="16"/>
          <w:lang w:val="pl-PL"/>
        </w:rPr>
        <w:t xml:space="preserve">CHANCE i POINT </w:t>
      </w:r>
      <w:r w:rsidRPr="00B070E6">
        <w:rPr>
          <w:color w:val="000000"/>
          <w:sz w:val="22"/>
          <w:szCs w:val="16"/>
          <w:lang w:val="pl-PL"/>
        </w:rPr>
        <w:t xml:space="preserve">Analiza </w:t>
      </w:r>
      <w:r w:rsidR="00F208A9">
        <w:rPr>
          <w:color w:val="000000"/>
          <w:sz w:val="22"/>
          <w:szCs w:val="16"/>
          <w:lang w:val="pl-PL"/>
        </w:rPr>
        <w:t>przebiegu w czasie</w:t>
      </w:r>
    </w:p>
    <w:bookmarkEnd w:id="22"/>
    <w:p w:rsidR="0032595E" w:rsidRDefault="0032595E" w:rsidP="0032595E">
      <w:pPr>
        <w:tabs>
          <w:tab w:val="left" w:pos="567"/>
        </w:tabs>
        <w:rPr>
          <w:sz w:val="22"/>
          <w:szCs w:val="16"/>
          <w:lang w:val="pl-PL"/>
        </w:rPr>
      </w:pPr>
      <w:r>
        <w:rPr>
          <w:sz w:val="22"/>
          <w:szCs w:val="16"/>
          <w:lang w:val="pl-PL"/>
        </w:rPr>
        <w:t>Nie odnotowano korzyści w zakresie skuteczności kontynuowania DAPT przez ponad 21 dni. W celu przeanalizowania wpływu krótkotrwałego przebiegu DAPT dokonano rozkładu w czasie poważnych incydentów niedokrwienia i poważnych krwotoków według przydzielonego leczenia.</w:t>
      </w:r>
    </w:p>
    <w:p w:rsidR="00B070E6" w:rsidRDefault="00B070E6">
      <w:pPr>
        <w:tabs>
          <w:tab w:val="left" w:pos="567"/>
        </w:tabs>
        <w:rPr>
          <w:color w:val="000000"/>
          <w:sz w:val="22"/>
          <w:szCs w:val="16"/>
          <w:lang w:val="pl-PL"/>
        </w:rPr>
      </w:pPr>
    </w:p>
    <w:p w:rsidR="00B070E6" w:rsidRPr="00711757" w:rsidRDefault="00B070E6">
      <w:pPr>
        <w:tabs>
          <w:tab w:val="left" w:pos="567"/>
        </w:tabs>
        <w:rPr>
          <w:b/>
          <w:bCs/>
          <w:color w:val="000000"/>
          <w:sz w:val="22"/>
          <w:szCs w:val="16"/>
          <w:lang w:val="pl-PL"/>
        </w:rPr>
      </w:pPr>
      <w:r w:rsidRPr="00711757">
        <w:rPr>
          <w:b/>
          <w:bCs/>
          <w:color w:val="000000"/>
          <w:sz w:val="22"/>
          <w:szCs w:val="16"/>
          <w:lang w:val="pl-PL"/>
        </w:rPr>
        <w:t xml:space="preserve">Tabela 1 - Rozkład </w:t>
      </w:r>
      <w:r w:rsidR="003F5B7C">
        <w:rPr>
          <w:b/>
          <w:bCs/>
          <w:color w:val="000000"/>
          <w:sz w:val="22"/>
          <w:szCs w:val="16"/>
          <w:lang w:val="pl-PL"/>
        </w:rPr>
        <w:t xml:space="preserve">w </w:t>
      </w:r>
      <w:r w:rsidRPr="00711757">
        <w:rPr>
          <w:b/>
          <w:bCs/>
          <w:color w:val="000000"/>
          <w:sz w:val="22"/>
          <w:szCs w:val="16"/>
          <w:lang w:val="pl-PL"/>
        </w:rPr>
        <w:t>czas</w:t>
      </w:r>
      <w:r w:rsidR="003F5B7C">
        <w:rPr>
          <w:b/>
          <w:bCs/>
          <w:color w:val="000000"/>
          <w:sz w:val="22"/>
          <w:szCs w:val="16"/>
          <w:lang w:val="pl-PL"/>
        </w:rPr>
        <w:t>ie</w:t>
      </w:r>
      <w:r w:rsidRPr="00711757">
        <w:rPr>
          <w:b/>
          <w:bCs/>
          <w:color w:val="000000"/>
          <w:sz w:val="22"/>
          <w:szCs w:val="16"/>
          <w:lang w:val="pl-PL"/>
        </w:rPr>
        <w:t xml:space="preserve"> poważn</w:t>
      </w:r>
      <w:r w:rsidR="00F208A9" w:rsidRPr="00711757">
        <w:rPr>
          <w:b/>
          <w:bCs/>
          <w:color w:val="000000"/>
          <w:sz w:val="22"/>
          <w:szCs w:val="16"/>
          <w:lang w:val="pl-PL"/>
        </w:rPr>
        <w:t xml:space="preserve">ych </w:t>
      </w:r>
      <w:r w:rsidR="003F5B7C">
        <w:rPr>
          <w:b/>
          <w:bCs/>
          <w:color w:val="000000"/>
          <w:sz w:val="22"/>
          <w:szCs w:val="16"/>
          <w:lang w:val="pl-PL"/>
        </w:rPr>
        <w:t>incydentów</w:t>
      </w:r>
      <w:r w:rsidRPr="00711757">
        <w:rPr>
          <w:b/>
          <w:bCs/>
          <w:color w:val="000000"/>
          <w:sz w:val="22"/>
          <w:szCs w:val="16"/>
          <w:lang w:val="pl-PL"/>
        </w:rPr>
        <w:t xml:space="preserve"> niedokrwiennych i poważnych krwotoków według prz</w:t>
      </w:r>
      <w:r w:rsidR="003F5B7C">
        <w:rPr>
          <w:b/>
          <w:bCs/>
          <w:color w:val="000000"/>
          <w:sz w:val="22"/>
          <w:szCs w:val="16"/>
          <w:lang w:val="pl-PL"/>
        </w:rPr>
        <w:t>episanego</w:t>
      </w:r>
      <w:r w:rsidRPr="00711757">
        <w:rPr>
          <w:b/>
          <w:bCs/>
          <w:color w:val="000000"/>
          <w:sz w:val="22"/>
          <w:szCs w:val="16"/>
          <w:lang w:val="pl-PL"/>
        </w:rPr>
        <w:t xml:space="preserve"> leczenia w </w:t>
      </w:r>
      <w:r w:rsidR="003F5B7C">
        <w:rPr>
          <w:b/>
          <w:bCs/>
          <w:color w:val="000000"/>
          <w:sz w:val="22"/>
          <w:szCs w:val="16"/>
          <w:lang w:val="pl-PL"/>
        </w:rPr>
        <w:t xml:space="preserve">badaniach </w:t>
      </w:r>
      <w:r w:rsidRPr="00711757">
        <w:rPr>
          <w:b/>
          <w:bCs/>
          <w:color w:val="000000"/>
          <w:sz w:val="22"/>
          <w:szCs w:val="16"/>
          <w:lang w:val="pl-PL"/>
        </w:rPr>
        <w:t>CHANCE i POINT</w:t>
      </w:r>
    </w:p>
    <w:p w:rsidR="00B070E6" w:rsidRDefault="00B070E6">
      <w:pPr>
        <w:tabs>
          <w:tab w:val="left" w:pos="567"/>
        </w:tabs>
        <w:rPr>
          <w:color w:val="000000"/>
          <w:sz w:val="22"/>
          <w:szCs w:val="16"/>
          <w:lang w:val="pl-PL"/>
        </w:rPr>
      </w:pPr>
    </w:p>
    <w:tbl>
      <w:tblPr>
        <w:tblW w:w="8594" w:type="dxa"/>
        <w:jc w:val="center"/>
        <w:tblCellMar>
          <w:left w:w="115" w:type="dxa"/>
          <w:right w:w="115" w:type="dxa"/>
        </w:tblCellMar>
        <w:tblLook w:val="04A0" w:firstRow="1" w:lastRow="0" w:firstColumn="1" w:lastColumn="0" w:noHBand="0" w:noVBand="1"/>
      </w:tblPr>
      <w:tblGrid>
        <w:gridCol w:w="1780"/>
        <w:gridCol w:w="1828"/>
        <w:gridCol w:w="1146"/>
        <w:gridCol w:w="1064"/>
        <w:gridCol w:w="1064"/>
        <w:gridCol w:w="863"/>
        <w:gridCol w:w="283"/>
        <w:gridCol w:w="283"/>
        <w:gridCol w:w="283"/>
      </w:tblGrid>
      <w:tr w:rsidR="00416BF6" w:rsidRPr="004B4AA1" w:rsidTr="00711757">
        <w:trPr>
          <w:trHeight w:val="463"/>
          <w:jc w:val="center"/>
        </w:trPr>
        <w:tc>
          <w:tcPr>
            <w:tcW w:w="1780" w:type="dxa"/>
            <w:tcBorders>
              <w:top w:val="single" w:sz="4" w:space="0" w:color="auto"/>
              <w:bottom w:val="single" w:sz="4" w:space="0" w:color="auto"/>
            </w:tcBorders>
          </w:tcPr>
          <w:p w:rsidR="00B070E6" w:rsidRPr="00711757" w:rsidRDefault="00B070E6" w:rsidP="00AA7B3E">
            <w:pPr>
              <w:ind w:right="-29"/>
              <w:rPr>
                <w:rFonts w:ascii="Arial Narrow" w:hAnsi="Arial Narrow"/>
                <w:bCs/>
                <w:sz w:val="18"/>
                <w:szCs w:val="18"/>
                <w:lang w:val="pl-PL"/>
              </w:rPr>
            </w:pPr>
            <w:bookmarkStart w:id="23" w:name="_Hlk25225287"/>
          </w:p>
        </w:tc>
        <w:tc>
          <w:tcPr>
            <w:tcW w:w="1828" w:type="dxa"/>
            <w:tcBorders>
              <w:top w:val="single" w:sz="4" w:space="0" w:color="auto"/>
              <w:bottom w:val="single" w:sz="4" w:space="0" w:color="auto"/>
            </w:tcBorders>
            <w:shd w:val="clear" w:color="auto" w:fill="auto"/>
            <w:noWrap/>
            <w:vAlign w:val="center"/>
            <w:hideMark/>
          </w:tcPr>
          <w:p w:rsidR="00B070E6" w:rsidRPr="00711757" w:rsidRDefault="00B070E6" w:rsidP="00AA7B3E">
            <w:pPr>
              <w:ind w:right="-29"/>
              <w:rPr>
                <w:rFonts w:ascii="Arial Narrow" w:hAnsi="Arial Narrow"/>
                <w:bCs/>
                <w:sz w:val="18"/>
                <w:szCs w:val="18"/>
                <w:lang w:val="pl-PL"/>
              </w:rPr>
            </w:pPr>
          </w:p>
        </w:tc>
        <w:tc>
          <w:tcPr>
            <w:tcW w:w="1146" w:type="dxa"/>
            <w:tcBorders>
              <w:top w:val="single" w:sz="4" w:space="0" w:color="auto"/>
              <w:bottom w:val="single" w:sz="4" w:space="0" w:color="auto"/>
            </w:tcBorders>
            <w:shd w:val="clear" w:color="auto" w:fill="auto"/>
            <w:noWrap/>
            <w:vAlign w:val="center"/>
            <w:hideMark/>
          </w:tcPr>
          <w:p w:rsidR="00B070E6" w:rsidRPr="00F92C86" w:rsidRDefault="00416BF6" w:rsidP="00AA7B3E">
            <w:pPr>
              <w:ind w:right="-143"/>
              <w:rPr>
                <w:rFonts w:ascii="Arial Narrow" w:hAnsi="Arial Narrow"/>
                <w:bCs/>
                <w:sz w:val="18"/>
                <w:szCs w:val="18"/>
              </w:rPr>
            </w:pPr>
            <w:r>
              <w:rPr>
                <w:rFonts w:ascii="Arial Narrow" w:hAnsi="Arial Narrow"/>
                <w:bCs/>
                <w:sz w:val="18"/>
                <w:szCs w:val="18"/>
              </w:rPr>
              <w:t xml:space="preserve">Liczba </w:t>
            </w:r>
            <w:r w:rsidRPr="0032595E">
              <w:rPr>
                <w:rFonts w:ascii="Arial Narrow" w:hAnsi="Arial Narrow"/>
                <w:bCs/>
                <w:sz w:val="18"/>
                <w:szCs w:val="18"/>
              </w:rPr>
              <w:t>przypadków</w:t>
            </w:r>
          </w:p>
        </w:tc>
        <w:tc>
          <w:tcPr>
            <w:tcW w:w="1064" w:type="dxa"/>
            <w:tcBorders>
              <w:top w:val="single" w:sz="4" w:space="0" w:color="auto"/>
              <w:bottom w:val="single" w:sz="4" w:space="0" w:color="auto"/>
            </w:tcBorders>
            <w:shd w:val="clear" w:color="auto" w:fill="auto"/>
            <w:noWrap/>
            <w:vAlign w:val="center"/>
            <w:hideMark/>
          </w:tcPr>
          <w:p w:rsidR="00B070E6" w:rsidRPr="00F92C86" w:rsidRDefault="00B070E6" w:rsidP="00AA7B3E">
            <w:pPr>
              <w:ind w:right="-29"/>
              <w:rPr>
                <w:rFonts w:ascii="Arial Narrow" w:hAnsi="Arial Narrow"/>
                <w:bCs/>
                <w:sz w:val="18"/>
                <w:szCs w:val="18"/>
              </w:rPr>
            </w:pPr>
          </w:p>
        </w:tc>
        <w:tc>
          <w:tcPr>
            <w:tcW w:w="1064" w:type="dxa"/>
            <w:tcBorders>
              <w:top w:val="single" w:sz="4" w:space="0" w:color="auto"/>
              <w:bottom w:val="single" w:sz="4" w:space="0" w:color="auto"/>
            </w:tcBorders>
            <w:shd w:val="clear" w:color="auto" w:fill="auto"/>
            <w:noWrap/>
            <w:vAlign w:val="center"/>
            <w:hideMark/>
          </w:tcPr>
          <w:p w:rsidR="00B070E6" w:rsidRPr="00F92C86" w:rsidRDefault="00B070E6" w:rsidP="00AA7B3E">
            <w:pPr>
              <w:ind w:right="-29"/>
              <w:rPr>
                <w:rFonts w:ascii="Arial Narrow" w:hAnsi="Arial Narrow"/>
                <w:bCs/>
                <w:sz w:val="18"/>
                <w:szCs w:val="18"/>
              </w:rPr>
            </w:pPr>
          </w:p>
        </w:tc>
        <w:tc>
          <w:tcPr>
            <w:tcW w:w="863" w:type="dxa"/>
            <w:tcBorders>
              <w:top w:val="single" w:sz="4" w:space="0" w:color="auto"/>
              <w:bottom w:val="single" w:sz="4" w:space="0" w:color="auto"/>
            </w:tcBorders>
            <w:shd w:val="clear" w:color="auto" w:fill="auto"/>
            <w:noWrap/>
            <w:vAlign w:val="center"/>
            <w:hideMark/>
          </w:tcPr>
          <w:p w:rsidR="00B070E6" w:rsidRPr="00F92C86" w:rsidRDefault="00B070E6" w:rsidP="00AA7B3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hideMark/>
          </w:tcPr>
          <w:p w:rsidR="00B070E6" w:rsidRPr="00F92C86" w:rsidRDefault="00B070E6" w:rsidP="00AA7B3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hideMark/>
          </w:tcPr>
          <w:p w:rsidR="00B070E6" w:rsidRPr="00F92C86" w:rsidRDefault="00B070E6" w:rsidP="00AA7B3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hideMark/>
          </w:tcPr>
          <w:p w:rsidR="00B070E6" w:rsidRPr="00F92C86" w:rsidRDefault="00B070E6" w:rsidP="00AA7B3E">
            <w:pPr>
              <w:ind w:right="-29"/>
              <w:rPr>
                <w:rFonts w:ascii="Arial Narrow" w:hAnsi="Arial Narrow"/>
                <w:bCs/>
                <w:sz w:val="18"/>
                <w:szCs w:val="18"/>
              </w:rPr>
            </w:pPr>
          </w:p>
        </w:tc>
      </w:tr>
      <w:tr w:rsidR="00B070E6" w:rsidRPr="004B4AA1" w:rsidTr="00711757">
        <w:trPr>
          <w:trHeight w:val="259"/>
          <w:jc w:val="center"/>
        </w:trPr>
        <w:tc>
          <w:tcPr>
            <w:tcW w:w="1780" w:type="dxa"/>
            <w:tcBorders>
              <w:top w:val="single" w:sz="4" w:space="0" w:color="auto"/>
              <w:bottom w:val="single" w:sz="4" w:space="0" w:color="auto"/>
            </w:tcBorders>
          </w:tcPr>
          <w:p w:rsidR="00B070E6" w:rsidRPr="00711757" w:rsidRDefault="00B070E6" w:rsidP="00AA7B3E">
            <w:pPr>
              <w:ind w:right="-29"/>
              <w:rPr>
                <w:rFonts w:ascii="Arial Narrow" w:hAnsi="Arial Narrow"/>
                <w:bCs/>
                <w:sz w:val="18"/>
                <w:szCs w:val="18"/>
                <w:lang w:val="pl-PL"/>
              </w:rPr>
            </w:pPr>
            <w:r w:rsidRPr="00711757">
              <w:rPr>
                <w:rFonts w:ascii="Arial Narrow" w:hAnsi="Arial Narrow"/>
                <w:bCs/>
                <w:sz w:val="18"/>
                <w:szCs w:val="18"/>
                <w:lang w:val="pl-PL"/>
              </w:rPr>
              <w:t xml:space="preserve">Wyniki w </w:t>
            </w:r>
            <w:r w:rsidR="003F5B7C">
              <w:rPr>
                <w:rFonts w:ascii="Arial Narrow" w:hAnsi="Arial Narrow"/>
                <w:bCs/>
                <w:sz w:val="18"/>
                <w:szCs w:val="18"/>
                <w:lang w:val="pl-PL"/>
              </w:rPr>
              <w:t>badaniach</w:t>
            </w:r>
            <w:r w:rsidRPr="00711757">
              <w:rPr>
                <w:rFonts w:ascii="Arial Narrow" w:hAnsi="Arial Narrow"/>
                <w:bCs/>
                <w:sz w:val="18"/>
                <w:szCs w:val="18"/>
                <w:lang w:val="pl-PL"/>
              </w:rPr>
              <w:br/>
              <w:t>CHANCE I POINT</w:t>
            </w:r>
          </w:p>
        </w:tc>
        <w:tc>
          <w:tcPr>
            <w:tcW w:w="1828" w:type="dxa"/>
            <w:tcBorders>
              <w:top w:val="single" w:sz="4" w:space="0" w:color="auto"/>
              <w:bottom w:val="single" w:sz="4" w:space="0" w:color="auto"/>
            </w:tcBorders>
            <w:shd w:val="clear" w:color="auto" w:fill="auto"/>
            <w:noWrap/>
            <w:vAlign w:val="center"/>
            <w:hideMark/>
          </w:tcPr>
          <w:p w:rsidR="00B070E6" w:rsidRPr="009D1E46" w:rsidRDefault="00416BF6" w:rsidP="00AA7B3E">
            <w:pPr>
              <w:ind w:right="-29"/>
              <w:rPr>
                <w:rFonts w:ascii="Arial Narrow" w:hAnsi="Arial Narrow"/>
                <w:bCs/>
                <w:sz w:val="18"/>
                <w:szCs w:val="18"/>
              </w:rPr>
            </w:pPr>
            <w:r>
              <w:rPr>
                <w:rFonts w:ascii="Arial Narrow" w:hAnsi="Arial Narrow"/>
                <w:bCs/>
                <w:sz w:val="18"/>
                <w:szCs w:val="18"/>
              </w:rPr>
              <w:t>Stosowane leczenie</w:t>
            </w:r>
          </w:p>
        </w:tc>
        <w:tc>
          <w:tcPr>
            <w:tcW w:w="1146" w:type="dxa"/>
            <w:tcBorders>
              <w:top w:val="single" w:sz="4" w:space="0" w:color="auto"/>
              <w:bottom w:val="single" w:sz="4" w:space="0" w:color="auto"/>
            </w:tcBorders>
            <w:shd w:val="clear" w:color="auto" w:fill="auto"/>
            <w:noWrap/>
            <w:vAlign w:val="center"/>
            <w:hideMark/>
          </w:tcPr>
          <w:p w:rsidR="00B070E6" w:rsidRPr="009D1E46" w:rsidRDefault="003F5B7C" w:rsidP="00AA7B3E">
            <w:pPr>
              <w:ind w:right="-29"/>
              <w:rPr>
                <w:rFonts w:ascii="Arial Narrow" w:hAnsi="Arial Narrow"/>
                <w:bCs/>
                <w:sz w:val="18"/>
                <w:szCs w:val="18"/>
              </w:rPr>
            </w:pPr>
            <w:r>
              <w:rPr>
                <w:rFonts w:ascii="Arial Narrow" w:hAnsi="Arial Narrow"/>
                <w:bCs/>
                <w:sz w:val="18"/>
                <w:szCs w:val="18"/>
              </w:rPr>
              <w:t>Łącznie</w:t>
            </w:r>
          </w:p>
        </w:tc>
        <w:tc>
          <w:tcPr>
            <w:tcW w:w="1064" w:type="dxa"/>
            <w:tcBorders>
              <w:top w:val="single" w:sz="4" w:space="0" w:color="auto"/>
              <w:bottom w:val="single" w:sz="4" w:space="0" w:color="auto"/>
            </w:tcBorders>
            <w:shd w:val="clear" w:color="auto" w:fill="auto"/>
            <w:noWrap/>
            <w:vAlign w:val="center"/>
            <w:hideMark/>
          </w:tcPr>
          <w:p w:rsidR="00B070E6" w:rsidRPr="009D1E46" w:rsidRDefault="00416BF6" w:rsidP="00416BF6">
            <w:pPr>
              <w:ind w:right="-29"/>
              <w:rPr>
                <w:rFonts w:ascii="Arial Narrow" w:hAnsi="Arial Narrow"/>
                <w:bCs/>
                <w:sz w:val="18"/>
                <w:szCs w:val="18"/>
              </w:rPr>
            </w:pPr>
            <w:r w:rsidRPr="00416BF6">
              <w:rPr>
                <w:rFonts w:ascii="Arial Narrow" w:hAnsi="Arial Narrow"/>
                <w:bCs/>
                <w:sz w:val="18"/>
                <w:szCs w:val="18"/>
              </w:rPr>
              <w:t>1.</w:t>
            </w:r>
            <w:r>
              <w:rPr>
                <w:rFonts w:ascii="Arial Narrow" w:hAnsi="Arial Narrow"/>
                <w:bCs/>
                <w:sz w:val="18"/>
                <w:szCs w:val="18"/>
              </w:rPr>
              <w:t>tydziń</w:t>
            </w:r>
          </w:p>
        </w:tc>
        <w:tc>
          <w:tcPr>
            <w:tcW w:w="1064" w:type="dxa"/>
            <w:tcBorders>
              <w:top w:val="single" w:sz="4" w:space="0" w:color="auto"/>
              <w:bottom w:val="single" w:sz="4" w:space="0" w:color="auto"/>
            </w:tcBorders>
            <w:shd w:val="clear" w:color="auto" w:fill="auto"/>
            <w:noWrap/>
            <w:vAlign w:val="center"/>
            <w:hideMark/>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2</w:t>
            </w:r>
            <w:r w:rsidR="00416BF6">
              <w:rPr>
                <w:rFonts w:ascii="Arial Narrow" w:hAnsi="Arial Narrow"/>
                <w:bCs/>
                <w:sz w:val="18"/>
                <w:szCs w:val="18"/>
              </w:rPr>
              <w:t>. tydzień</w:t>
            </w:r>
          </w:p>
        </w:tc>
        <w:tc>
          <w:tcPr>
            <w:tcW w:w="863" w:type="dxa"/>
            <w:tcBorders>
              <w:top w:val="single" w:sz="4" w:space="0" w:color="auto"/>
              <w:bottom w:val="single" w:sz="4" w:space="0" w:color="auto"/>
            </w:tcBorders>
            <w:shd w:val="clear" w:color="auto" w:fill="auto"/>
            <w:noWrap/>
            <w:vAlign w:val="center"/>
            <w:hideMark/>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3</w:t>
            </w:r>
            <w:r w:rsidR="00416BF6">
              <w:rPr>
                <w:rFonts w:ascii="Arial Narrow" w:hAnsi="Arial Narrow"/>
                <w:bCs/>
                <w:sz w:val="18"/>
                <w:szCs w:val="18"/>
              </w:rPr>
              <w:t>. tydzień</w:t>
            </w:r>
          </w:p>
        </w:tc>
        <w:tc>
          <w:tcPr>
            <w:tcW w:w="283" w:type="dxa"/>
            <w:tcBorders>
              <w:top w:val="single" w:sz="4" w:space="0" w:color="auto"/>
              <w:bottom w:val="single" w:sz="4" w:space="0" w:color="auto"/>
            </w:tcBorders>
            <w:shd w:val="clear" w:color="auto" w:fill="auto"/>
            <w:noWrap/>
            <w:vAlign w:val="center"/>
          </w:tcPr>
          <w:p w:rsidR="00B070E6" w:rsidRPr="009D1E46" w:rsidRDefault="00B070E6" w:rsidP="00AA7B3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tcPr>
          <w:p w:rsidR="00B070E6" w:rsidRPr="009D1E46" w:rsidRDefault="00B070E6" w:rsidP="00AA7B3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tcPr>
          <w:p w:rsidR="00B070E6" w:rsidRPr="009D1E46" w:rsidRDefault="00B070E6" w:rsidP="00AA7B3E">
            <w:pPr>
              <w:ind w:right="-29"/>
              <w:rPr>
                <w:rFonts w:ascii="Arial Narrow" w:hAnsi="Arial Narrow"/>
                <w:bCs/>
                <w:sz w:val="18"/>
                <w:szCs w:val="18"/>
              </w:rPr>
            </w:pPr>
          </w:p>
        </w:tc>
      </w:tr>
      <w:tr w:rsidR="00416BF6" w:rsidRPr="004B4AA1" w:rsidTr="00711757">
        <w:trPr>
          <w:trHeight w:val="259"/>
          <w:jc w:val="center"/>
        </w:trPr>
        <w:tc>
          <w:tcPr>
            <w:tcW w:w="1780" w:type="dxa"/>
            <w:tcBorders>
              <w:top w:val="single" w:sz="4" w:space="0" w:color="auto"/>
            </w:tcBorders>
          </w:tcPr>
          <w:p w:rsidR="00B070E6" w:rsidRPr="00F80435" w:rsidRDefault="00B070E6" w:rsidP="00AA7B3E">
            <w:pPr>
              <w:ind w:right="-29"/>
              <w:rPr>
                <w:rFonts w:ascii="Arial Narrow" w:hAnsi="Arial Narrow"/>
                <w:bCs/>
                <w:sz w:val="18"/>
                <w:szCs w:val="18"/>
              </w:rPr>
            </w:pPr>
            <w:r>
              <w:rPr>
                <w:rFonts w:ascii="Arial Narrow" w:hAnsi="Arial Narrow"/>
                <w:bCs/>
                <w:sz w:val="18"/>
                <w:szCs w:val="18"/>
              </w:rPr>
              <w:t xml:space="preserve">Poważne </w:t>
            </w:r>
            <w:r w:rsidR="003F5B7C">
              <w:rPr>
                <w:rFonts w:ascii="Arial Narrow" w:hAnsi="Arial Narrow"/>
                <w:bCs/>
                <w:sz w:val="18"/>
                <w:szCs w:val="18"/>
              </w:rPr>
              <w:t>incydenty</w:t>
            </w:r>
            <w:r>
              <w:rPr>
                <w:rFonts w:ascii="Arial Narrow" w:hAnsi="Arial Narrow"/>
                <w:bCs/>
                <w:sz w:val="18"/>
                <w:szCs w:val="18"/>
              </w:rPr>
              <w:t xml:space="preserve"> niedokrwienne</w:t>
            </w:r>
          </w:p>
        </w:tc>
        <w:tc>
          <w:tcPr>
            <w:tcW w:w="1828" w:type="dxa"/>
            <w:tcBorders>
              <w:top w:val="single" w:sz="4" w:space="0" w:color="auto"/>
            </w:tcBorders>
            <w:shd w:val="clear" w:color="auto" w:fill="auto"/>
            <w:noWrap/>
            <w:hideMark/>
          </w:tcPr>
          <w:p w:rsidR="00B070E6" w:rsidRPr="00F80435" w:rsidRDefault="00B070E6" w:rsidP="00AA7B3E">
            <w:pPr>
              <w:ind w:right="-29"/>
              <w:rPr>
                <w:rFonts w:ascii="Arial Narrow" w:hAnsi="Arial Narrow"/>
                <w:bCs/>
                <w:sz w:val="18"/>
                <w:szCs w:val="18"/>
              </w:rPr>
            </w:pPr>
            <w:r w:rsidRPr="00F80435">
              <w:rPr>
                <w:rFonts w:ascii="Arial Narrow" w:hAnsi="Arial Narrow"/>
                <w:bCs/>
                <w:sz w:val="18"/>
                <w:szCs w:val="18"/>
              </w:rPr>
              <w:t>ASA (n=5</w:t>
            </w:r>
            <w:r>
              <w:rPr>
                <w:rFonts w:ascii="Arial Narrow" w:hAnsi="Arial Narrow"/>
                <w:bCs/>
                <w:sz w:val="18"/>
                <w:szCs w:val="18"/>
              </w:rPr>
              <w:t>,</w:t>
            </w:r>
            <w:r w:rsidRPr="00F80435">
              <w:rPr>
                <w:rFonts w:ascii="Arial Narrow" w:hAnsi="Arial Narrow"/>
                <w:bCs/>
                <w:sz w:val="18"/>
                <w:szCs w:val="18"/>
              </w:rPr>
              <w:t>035)</w:t>
            </w:r>
          </w:p>
        </w:tc>
        <w:tc>
          <w:tcPr>
            <w:tcW w:w="1146" w:type="dxa"/>
            <w:tcBorders>
              <w:top w:val="single" w:sz="4" w:space="0" w:color="auto"/>
            </w:tcBorders>
            <w:shd w:val="clear" w:color="auto" w:fill="auto"/>
            <w:noWrap/>
          </w:tcPr>
          <w:p w:rsidR="00B070E6" w:rsidRPr="00F80435" w:rsidRDefault="00B070E6" w:rsidP="00AA7B3E">
            <w:pPr>
              <w:ind w:right="-29"/>
              <w:rPr>
                <w:rFonts w:ascii="Arial Narrow" w:hAnsi="Arial Narrow"/>
                <w:bCs/>
                <w:sz w:val="18"/>
                <w:szCs w:val="18"/>
              </w:rPr>
            </w:pPr>
            <w:r w:rsidRPr="00F80435">
              <w:rPr>
                <w:rFonts w:ascii="Arial Narrow" w:hAnsi="Arial Narrow"/>
                <w:bCs/>
                <w:sz w:val="18"/>
                <w:szCs w:val="18"/>
              </w:rPr>
              <w:t>458</w:t>
            </w:r>
          </w:p>
        </w:tc>
        <w:tc>
          <w:tcPr>
            <w:tcW w:w="1064" w:type="dxa"/>
            <w:tcBorders>
              <w:top w:val="single" w:sz="4" w:space="0" w:color="auto"/>
            </w:tcBorders>
            <w:shd w:val="clear" w:color="auto" w:fill="auto"/>
            <w:noWrap/>
          </w:tcPr>
          <w:p w:rsidR="00B070E6" w:rsidRPr="00F80435" w:rsidRDefault="00B070E6" w:rsidP="00AA7B3E">
            <w:pPr>
              <w:ind w:right="-29"/>
              <w:rPr>
                <w:rFonts w:ascii="Arial Narrow" w:hAnsi="Arial Narrow"/>
                <w:bCs/>
                <w:sz w:val="18"/>
                <w:szCs w:val="18"/>
              </w:rPr>
            </w:pPr>
            <w:r w:rsidRPr="00F80435">
              <w:rPr>
                <w:rFonts w:ascii="Arial Narrow" w:hAnsi="Arial Narrow"/>
                <w:bCs/>
                <w:sz w:val="18"/>
                <w:szCs w:val="18"/>
              </w:rPr>
              <w:t>330</w:t>
            </w:r>
          </w:p>
        </w:tc>
        <w:tc>
          <w:tcPr>
            <w:tcW w:w="1064" w:type="dxa"/>
            <w:tcBorders>
              <w:top w:val="single" w:sz="4" w:space="0" w:color="auto"/>
            </w:tcBorders>
            <w:shd w:val="clear" w:color="auto" w:fill="auto"/>
            <w:noWrap/>
          </w:tcPr>
          <w:p w:rsidR="00B070E6" w:rsidRPr="00F80435" w:rsidRDefault="00B070E6" w:rsidP="00AA7B3E">
            <w:pPr>
              <w:ind w:right="-29"/>
              <w:rPr>
                <w:rFonts w:ascii="Arial Narrow" w:hAnsi="Arial Narrow"/>
                <w:bCs/>
                <w:sz w:val="18"/>
                <w:szCs w:val="18"/>
              </w:rPr>
            </w:pPr>
            <w:r w:rsidRPr="00F80435">
              <w:rPr>
                <w:rFonts w:ascii="Arial Narrow" w:hAnsi="Arial Narrow"/>
                <w:bCs/>
                <w:sz w:val="18"/>
                <w:szCs w:val="18"/>
              </w:rPr>
              <w:t>36</w:t>
            </w:r>
          </w:p>
        </w:tc>
        <w:tc>
          <w:tcPr>
            <w:tcW w:w="863" w:type="dxa"/>
            <w:tcBorders>
              <w:top w:val="single" w:sz="4" w:space="0" w:color="auto"/>
            </w:tcBorders>
            <w:shd w:val="clear" w:color="auto" w:fill="auto"/>
            <w:noWrap/>
          </w:tcPr>
          <w:p w:rsidR="00B070E6" w:rsidRPr="00F80435" w:rsidRDefault="00B070E6" w:rsidP="00AA7B3E">
            <w:pPr>
              <w:ind w:right="-29"/>
              <w:rPr>
                <w:rFonts w:ascii="Arial Narrow" w:hAnsi="Arial Narrow"/>
                <w:bCs/>
                <w:sz w:val="18"/>
                <w:szCs w:val="18"/>
              </w:rPr>
            </w:pPr>
            <w:r w:rsidRPr="00F80435">
              <w:rPr>
                <w:rFonts w:ascii="Arial Narrow" w:hAnsi="Arial Narrow"/>
                <w:bCs/>
                <w:sz w:val="18"/>
                <w:szCs w:val="18"/>
              </w:rPr>
              <w:t>21</w:t>
            </w:r>
          </w:p>
        </w:tc>
        <w:tc>
          <w:tcPr>
            <w:tcW w:w="283" w:type="dxa"/>
            <w:tcBorders>
              <w:top w:val="single" w:sz="4" w:space="0" w:color="auto"/>
            </w:tcBorders>
            <w:shd w:val="clear" w:color="auto" w:fill="auto"/>
            <w:noWrap/>
          </w:tcPr>
          <w:p w:rsidR="00B070E6" w:rsidRPr="00F80435" w:rsidRDefault="00B070E6" w:rsidP="00AA7B3E">
            <w:pPr>
              <w:ind w:right="-29"/>
              <w:rPr>
                <w:rFonts w:ascii="Arial Narrow" w:hAnsi="Arial Narrow"/>
                <w:bCs/>
                <w:sz w:val="18"/>
                <w:szCs w:val="18"/>
              </w:rPr>
            </w:pPr>
          </w:p>
        </w:tc>
        <w:tc>
          <w:tcPr>
            <w:tcW w:w="283" w:type="dxa"/>
            <w:tcBorders>
              <w:top w:val="single" w:sz="4" w:space="0" w:color="auto"/>
            </w:tcBorders>
            <w:shd w:val="clear" w:color="auto" w:fill="auto"/>
            <w:noWrap/>
          </w:tcPr>
          <w:p w:rsidR="00B070E6" w:rsidRPr="009D1E46" w:rsidRDefault="00B070E6" w:rsidP="00AA7B3E">
            <w:pPr>
              <w:ind w:right="-29"/>
              <w:rPr>
                <w:rFonts w:ascii="Arial Narrow" w:hAnsi="Arial Narrow"/>
                <w:bCs/>
                <w:sz w:val="18"/>
                <w:szCs w:val="18"/>
              </w:rPr>
            </w:pPr>
          </w:p>
        </w:tc>
        <w:tc>
          <w:tcPr>
            <w:tcW w:w="283" w:type="dxa"/>
            <w:tcBorders>
              <w:top w:val="single" w:sz="4" w:space="0" w:color="auto"/>
            </w:tcBorders>
            <w:shd w:val="clear" w:color="auto" w:fill="auto"/>
            <w:noWrap/>
          </w:tcPr>
          <w:p w:rsidR="00B070E6" w:rsidRPr="009D1E46" w:rsidRDefault="00B070E6" w:rsidP="00AA7B3E">
            <w:pPr>
              <w:ind w:right="-29"/>
              <w:rPr>
                <w:rFonts w:ascii="Arial Narrow" w:hAnsi="Arial Narrow"/>
                <w:bCs/>
                <w:sz w:val="18"/>
                <w:szCs w:val="18"/>
              </w:rPr>
            </w:pPr>
          </w:p>
        </w:tc>
      </w:tr>
      <w:tr w:rsidR="00416BF6" w:rsidRPr="004B4AA1" w:rsidTr="00711757">
        <w:trPr>
          <w:trHeight w:val="259"/>
          <w:jc w:val="center"/>
        </w:trPr>
        <w:tc>
          <w:tcPr>
            <w:tcW w:w="1780" w:type="dxa"/>
          </w:tcPr>
          <w:p w:rsidR="00B070E6" w:rsidRPr="009D1E46" w:rsidRDefault="00B070E6" w:rsidP="00AA7B3E">
            <w:pPr>
              <w:ind w:right="-29"/>
              <w:rPr>
                <w:rFonts w:ascii="Arial Narrow" w:hAnsi="Arial Narrow"/>
                <w:bCs/>
                <w:sz w:val="18"/>
                <w:szCs w:val="18"/>
              </w:rPr>
            </w:pPr>
          </w:p>
        </w:tc>
        <w:tc>
          <w:tcPr>
            <w:tcW w:w="1828" w:type="dxa"/>
            <w:shd w:val="clear" w:color="auto" w:fill="auto"/>
            <w:noWrap/>
            <w:hideMark/>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CLP+ASA</w:t>
            </w:r>
            <w:r w:rsidR="00EA6134">
              <w:rPr>
                <w:rFonts w:ascii="Arial Narrow" w:hAnsi="Arial Narrow"/>
                <w:bCs/>
                <w:sz w:val="18"/>
                <w:szCs w:val="18"/>
              </w:rPr>
              <w:t xml:space="preserve"> </w:t>
            </w:r>
            <w:r w:rsidRPr="009D1E46">
              <w:rPr>
                <w:rFonts w:ascii="Arial Narrow" w:hAnsi="Arial Narrow"/>
                <w:bCs/>
                <w:sz w:val="18"/>
                <w:szCs w:val="18"/>
              </w:rPr>
              <w:t>(n=5</w:t>
            </w:r>
            <w:r>
              <w:rPr>
                <w:rFonts w:ascii="Arial Narrow" w:hAnsi="Arial Narrow"/>
                <w:bCs/>
                <w:sz w:val="18"/>
                <w:szCs w:val="18"/>
              </w:rPr>
              <w:t>,</w:t>
            </w:r>
            <w:r w:rsidRPr="009D1E46">
              <w:rPr>
                <w:rFonts w:ascii="Arial Narrow" w:hAnsi="Arial Narrow"/>
                <w:bCs/>
                <w:sz w:val="18"/>
                <w:szCs w:val="18"/>
              </w:rPr>
              <w:t>016)</w:t>
            </w:r>
          </w:p>
        </w:tc>
        <w:tc>
          <w:tcPr>
            <w:tcW w:w="1146" w:type="dxa"/>
            <w:shd w:val="clear" w:color="auto" w:fill="auto"/>
            <w:noWrap/>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328</w:t>
            </w:r>
          </w:p>
        </w:tc>
        <w:tc>
          <w:tcPr>
            <w:tcW w:w="1064" w:type="dxa"/>
            <w:shd w:val="clear" w:color="auto" w:fill="auto"/>
            <w:noWrap/>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217</w:t>
            </w:r>
          </w:p>
        </w:tc>
        <w:tc>
          <w:tcPr>
            <w:tcW w:w="1064" w:type="dxa"/>
            <w:shd w:val="clear" w:color="auto" w:fill="auto"/>
            <w:noWrap/>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30</w:t>
            </w:r>
          </w:p>
        </w:tc>
        <w:tc>
          <w:tcPr>
            <w:tcW w:w="863" w:type="dxa"/>
            <w:shd w:val="clear" w:color="auto" w:fill="auto"/>
            <w:noWrap/>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14</w:t>
            </w:r>
          </w:p>
        </w:tc>
        <w:tc>
          <w:tcPr>
            <w:tcW w:w="283" w:type="dxa"/>
            <w:shd w:val="clear" w:color="auto" w:fill="auto"/>
            <w:noWrap/>
          </w:tcPr>
          <w:p w:rsidR="00B070E6" w:rsidRPr="009D1E46" w:rsidRDefault="00B070E6" w:rsidP="00AA7B3E">
            <w:pPr>
              <w:ind w:right="-29"/>
              <w:rPr>
                <w:rFonts w:ascii="Arial Narrow" w:hAnsi="Arial Narrow"/>
                <w:bCs/>
                <w:sz w:val="18"/>
                <w:szCs w:val="18"/>
              </w:rPr>
            </w:pPr>
          </w:p>
        </w:tc>
        <w:tc>
          <w:tcPr>
            <w:tcW w:w="283" w:type="dxa"/>
            <w:shd w:val="clear" w:color="auto" w:fill="auto"/>
            <w:noWrap/>
          </w:tcPr>
          <w:p w:rsidR="00B070E6" w:rsidRPr="009D1E46" w:rsidRDefault="00B070E6" w:rsidP="00AA7B3E">
            <w:pPr>
              <w:ind w:right="-29"/>
              <w:rPr>
                <w:rFonts w:ascii="Arial Narrow" w:hAnsi="Arial Narrow"/>
                <w:bCs/>
                <w:sz w:val="18"/>
                <w:szCs w:val="18"/>
              </w:rPr>
            </w:pPr>
          </w:p>
        </w:tc>
        <w:tc>
          <w:tcPr>
            <w:tcW w:w="283" w:type="dxa"/>
            <w:shd w:val="clear" w:color="auto" w:fill="auto"/>
            <w:noWrap/>
          </w:tcPr>
          <w:p w:rsidR="00B070E6" w:rsidRPr="009D1E46" w:rsidRDefault="00B070E6" w:rsidP="00AA7B3E">
            <w:pPr>
              <w:ind w:right="-29"/>
              <w:rPr>
                <w:rFonts w:ascii="Arial Narrow" w:hAnsi="Arial Narrow"/>
                <w:bCs/>
                <w:sz w:val="18"/>
                <w:szCs w:val="18"/>
              </w:rPr>
            </w:pPr>
          </w:p>
        </w:tc>
      </w:tr>
      <w:tr w:rsidR="00416BF6" w:rsidRPr="004B4AA1" w:rsidTr="00711757">
        <w:trPr>
          <w:trHeight w:val="259"/>
          <w:jc w:val="center"/>
        </w:trPr>
        <w:tc>
          <w:tcPr>
            <w:tcW w:w="1780" w:type="dxa"/>
          </w:tcPr>
          <w:p w:rsidR="00B070E6" w:rsidRPr="009D1E46" w:rsidRDefault="00B070E6" w:rsidP="00AA7B3E">
            <w:pPr>
              <w:ind w:right="-29"/>
              <w:rPr>
                <w:rFonts w:ascii="Arial Narrow" w:hAnsi="Arial Narrow"/>
                <w:bCs/>
                <w:sz w:val="18"/>
                <w:szCs w:val="18"/>
              </w:rPr>
            </w:pPr>
          </w:p>
        </w:tc>
        <w:tc>
          <w:tcPr>
            <w:tcW w:w="1828" w:type="dxa"/>
            <w:shd w:val="clear" w:color="auto" w:fill="auto"/>
            <w:noWrap/>
          </w:tcPr>
          <w:p w:rsidR="00B070E6" w:rsidRPr="009D1E46" w:rsidRDefault="00416BF6" w:rsidP="00AA7B3E">
            <w:pPr>
              <w:ind w:right="-29"/>
              <w:rPr>
                <w:rFonts w:ascii="Arial Narrow" w:hAnsi="Arial Narrow"/>
                <w:bCs/>
                <w:sz w:val="18"/>
                <w:szCs w:val="18"/>
              </w:rPr>
            </w:pPr>
            <w:r>
              <w:rPr>
                <w:rFonts w:ascii="Arial Narrow" w:hAnsi="Arial Narrow"/>
                <w:bCs/>
                <w:sz w:val="18"/>
                <w:szCs w:val="18"/>
              </w:rPr>
              <w:t>Różni</w:t>
            </w:r>
            <w:r w:rsidR="00137699">
              <w:rPr>
                <w:rFonts w:ascii="Arial Narrow" w:hAnsi="Arial Narrow"/>
                <w:bCs/>
                <w:sz w:val="18"/>
                <w:szCs w:val="18"/>
              </w:rPr>
              <w:t>c</w:t>
            </w:r>
            <w:r>
              <w:rPr>
                <w:rFonts w:ascii="Arial Narrow" w:hAnsi="Arial Narrow"/>
                <w:bCs/>
                <w:sz w:val="18"/>
                <w:szCs w:val="18"/>
              </w:rPr>
              <w:t>a</w:t>
            </w:r>
          </w:p>
        </w:tc>
        <w:tc>
          <w:tcPr>
            <w:tcW w:w="1146" w:type="dxa"/>
            <w:shd w:val="clear" w:color="auto" w:fill="auto"/>
            <w:noWrap/>
            <w:vAlign w:val="center"/>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130</w:t>
            </w:r>
          </w:p>
        </w:tc>
        <w:tc>
          <w:tcPr>
            <w:tcW w:w="1064" w:type="dxa"/>
            <w:shd w:val="clear" w:color="auto" w:fill="auto"/>
            <w:noWrap/>
            <w:vAlign w:val="center"/>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113</w:t>
            </w:r>
          </w:p>
        </w:tc>
        <w:tc>
          <w:tcPr>
            <w:tcW w:w="1064" w:type="dxa"/>
            <w:shd w:val="clear" w:color="auto" w:fill="auto"/>
            <w:noWrap/>
            <w:vAlign w:val="center"/>
          </w:tcPr>
          <w:p w:rsidR="00B070E6" w:rsidRPr="009D1E46" w:rsidRDefault="00B070E6" w:rsidP="00AA7B3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863" w:type="dxa"/>
            <w:shd w:val="clear" w:color="auto" w:fill="auto"/>
            <w:noWrap/>
            <w:vAlign w:val="center"/>
          </w:tcPr>
          <w:p w:rsidR="00B070E6" w:rsidRPr="009D1E46" w:rsidRDefault="00B070E6" w:rsidP="00AA7B3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83" w:type="dxa"/>
            <w:shd w:val="clear" w:color="auto" w:fill="auto"/>
            <w:noWrap/>
            <w:vAlign w:val="center"/>
          </w:tcPr>
          <w:p w:rsidR="00B070E6" w:rsidRPr="009D1E46" w:rsidRDefault="00B070E6" w:rsidP="00AA7B3E">
            <w:pPr>
              <w:ind w:right="-29"/>
              <w:rPr>
                <w:rFonts w:ascii="Arial Narrow" w:hAnsi="Arial Narrow"/>
                <w:bCs/>
                <w:sz w:val="18"/>
                <w:szCs w:val="18"/>
              </w:rPr>
            </w:pPr>
          </w:p>
        </w:tc>
        <w:tc>
          <w:tcPr>
            <w:tcW w:w="283" w:type="dxa"/>
            <w:shd w:val="clear" w:color="auto" w:fill="auto"/>
            <w:noWrap/>
            <w:vAlign w:val="center"/>
          </w:tcPr>
          <w:p w:rsidR="00B070E6" w:rsidRPr="009D1E46" w:rsidRDefault="00B070E6" w:rsidP="00AA7B3E">
            <w:pPr>
              <w:ind w:right="-29"/>
              <w:rPr>
                <w:rFonts w:ascii="Arial Narrow" w:hAnsi="Arial Narrow"/>
                <w:bCs/>
                <w:sz w:val="18"/>
                <w:szCs w:val="18"/>
              </w:rPr>
            </w:pPr>
          </w:p>
        </w:tc>
        <w:tc>
          <w:tcPr>
            <w:tcW w:w="283" w:type="dxa"/>
            <w:shd w:val="clear" w:color="auto" w:fill="auto"/>
            <w:noWrap/>
            <w:vAlign w:val="center"/>
          </w:tcPr>
          <w:p w:rsidR="00B070E6" w:rsidRPr="009D1E46" w:rsidRDefault="00B070E6" w:rsidP="00AA7B3E">
            <w:pPr>
              <w:ind w:right="-29"/>
              <w:rPr>
                <w:rFonts w:ascii="Arial Narrow" w:hAnsi="Arial Narrow"/>
                <w:bCs/>
                <w:sz w:val="18"/>
                <w:szCs w:val="18"/>
              </w:rPr>
            </w:pPr>
          </w:p>
        </w:tc>
      </w:tr>
      <w:tr w:rsidR="00416BF6" w:rsidRPr="004B4AA1" w:rsidTr="00711757">
        <w:trPr>
          <w:trHeight w:val="259"/>
          <w:jc w:val="center"/>
        </w:trPr>
        <w:tc>
          <w:tcPr>
            <w:tcW w:w="1780" w:type="dxa"/>
          </w:tcPr>
          <w:p w:rsidR="00B070E6" w:rsidRPr="009D1E46" w:rsidRDefault="00B070E6" w:rsidP="00AA7B3E">
            <w:pPr>
              <w:ind w:right="-29"/>
              <w:rPr>
                <w:rFonts w:ascii="Arial Narrow" w:hAnsi="Arial Narrow"/>
                <w:bCs/>
                <w:sz w:val="18"/>
                <w:szCs w:val="18"/>
              </w:rPr>
            </w:pPr>
            <w:r>
              <w:rPr>
                <w:rFonts w:ascii="Arial Narrow" w:hAnsi="Arial Narrow"/>
                <w:bCs/>
                <w:sz w:val="18"/>
                <w:szCs w:val="18"/>
              </w:rPr>
              <w:t>Poważne krwotoki</w:t>
            </w:r>
          </w:p>
        </w:tc>
        <w:tc>
          <w:tcPr>
            <w:tcW w:w="1828" w:type="dxa"/>
            <w:shd w:val="clear" w:color="auto" w:fill="auto"/>
            <w:noWrap/>
            <w:hideMark/>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ASA (n=5</w:t>
            </w:r>
            <w:r>
              <w:rPr>
                <w:rFonts w:ascii="Arial Narrow" w:hAnsi="Arial Narrow"/>
                <w:bCs/>
                <w:sz w:val="18"/>
                <w:szCs w:val="18"/>
              </w:rPr>
              <w:t>,</w:t>
            </w:r>
            <w:r w:rsidRPr="009D1E46">
              <w:rPr>
                <w:rFonts w:ascii="Arial Narrow" w:hAnsi="Arial Narrow"/>
                <w:bCs/>
                <w:sz w:val="18"/>
                <w:szCs w:val="18"/>
              </w:rPr>
              <w:t>035)</w:t>
            </w:r>
          </w:p>
        </w:tc>
        <w:tc>
          <w:tcPr>
            <w:tcW w:w="1146" w:type="dxa"/>
            <w:shd w:val="clear" w:color="auto" w:fill="auto"/>
            <w:noWrap/>
          </w:tcPr>
          <w:p w:rsidR="00B070E6" w:rsidRPr="009D1E46" w:rsidRDefault="00B070E6" w:rsidP="00AA7B3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1064" w:type="dxa"/>
            <w:shd w:val="clear" w:color="auto" w:fill="auto"/>
            <w:noWrap/>
          </w:tcPr>
          <w:p w:rsidR="00B070E6" w:rsidRPr="009D1E46" w:rsidRDefault="00B070E6" w:rsidP="00AA7B3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1064" w:type="dxa"/>
            <w:shd w:val="clear" w:color="auto" w:fill="auto"/>
            <w:noWrap/>
          </w:tcPr>
          <w:p w:rsidR="00B070E6" w:rsidRPr="009D1E46" w:rsidRDefault="00B070E6" w:rsidP="00AA7B3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863" w:type="dxa"/>
            <w:shd w:val="clear" w:color="auto" w:fill="auto"/>
            <w:noWrap/>
          </w:tcPr>
          <w:p w:rsidR="00B070E6" w:rsidRPr="009D1E46" w:rsidRDefault="00B070E6" w:rsidP="00AA7B3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83" w:type="dxa"/>
            <w:shd w:val="clear" w:color="auto" w:fill="auto"/>
            <w:noWrap/>
          </w:tcPr>
          <w:p w:rsidR="00B070E6" w:rsidRPr="009D1E46" w:rsidRDefault="00B070E6" w:rsidP="00AA7B3E">
            <w:pPr>
              <w:ind w:right="-29"/>
              <w:rPr>
                <w:rFonts w:ascii="Arial Narrow" w:hAnsi="Arial Narrow"/>
                <w:bCs/>
                <w:sz w:val="18"/>
                <w:szCs w:val="18"/>
              </w:rPr>
            </w:pPr>
          </w:p>
        </w:tc>
        <w:tc>
          <w:tcPr>
            <w:tcW w:w="283" w:type="dxa"/>
            <w:shd w:val="clear" w:color="auto" w:fill="auto"/>
            <w:noWrap/>
          </w:tcPr>
          <w:p w:rsidR="00B070E6" w:rsidRPr="00F92C86" w:rsidRDefault="00B070E6" w:rsidP="00AA7B3E">
            <w:pPr>
              <w:ind w:right="-29"/>
              <w:rPr>
                <w:rFonts w:ascii="Arial Narrow" w:hAnsi="Arial Narrow"/>
                <w:bCs/>
                <w:sz w:val="18"/>
                <w:szCs w:val="18"/>
              </w:rPr>
            </w:pPr>
          </w:p>
        </w:tc>
        <w:tc>
          <w:tcPr>
            <w:tcW w:w="283" w:type="dxa"/>
            <w:shd w:val="clear" w:color="auto" w:fill="auto"/>
            <w:noWrap/>
          </w:tcPr>
          <w:p w:rsidR="00B070E6" w:rsidRPr="00F92C86" w:rsidRDefault="00B070E6" w:rsidP="00AA7B3E">
            <w:pPr>
              <w:ind w:right="-29"/>
              <w:rPr>
                <w:rFonts w:ascii="Arial Narrow" w:hAnsi="Arial Narrow"/>
                <w:bCs/>
                <w:sz w:val="18"/>
                <w:szCs w:val="18"/>
              </w:rPr>
            </w:pPr>
          </w:p>
        </w:tc>
      </w:tr>
      <w:tr w:rsidR="00416BF6" w:rsidRPr="004B4AA1" w:rsidTr="00711757">
        <w:trPr>
          <w:trHeight w:val="259"/>
          <w:jc w:val="center"/>
        </w:trPr>
        <w:tc>
          <w:tcPr>
            <w:tcW w:w="1780" w:type="dxa"/>
          </w:tcPr>
          <w:p w:rsidR="00B070E6" w:rsidRPr="009D1E46" w:rsidRDefault="00B070E6" w:rsidP="00AA7B3E">
            <w:pPr>
              <w:ind w:right="-29"/>
              <w:rPr>
                <w:rFonts w:ascii="Arial Narrow" w:hAnsi="Arial Narrow"/>
                <w:bCs/>
                <w:sz w:val="18"/>
                <w:szCs w:val="18"/>
              </w:rPr>
            </w:pPr>
          </w:p>
        </w:tc>
        <w:tc>
          <w:tcPr>
            <w:tcW w:w="1828" w:type="dxa"/>
            <w:shd w:val="clear" w:color="auto" w:fill="auto"/>
            <w:noWrap/>
          </w:tcPr>
          <w:p w:rsidR="00B070E6" w:rsidRPr="009D1E46" w:rsidRDefault="00B070E6" w:rsidP="00AA7B3E">
            <w:pPr>
              <w:ind w:right="-29"/>
              <w:rPr>
                <w:rFonts w:ascii="Arial Narrow" w:hAnsi="Arial Narrow"/>
                <w:bCs/>
                <w:sz w:val="18"/>
                <w:szCs w:val="18"/>
              </w:rPr>
            </w:pPr>
            <w:r w:rsidRPr="009D1E46">
              <w:rPr>
                <w:rFonts w:ascii="Arial Narrow" w:hAnsi="Arial Narrow"/>
                <w:bCs/>
                <w:sz w:val="18"/>
                <w:szCs w:val="18"/>
              </w:rPr>
              <w:t>CLP+ASA</w:t>
            </w:r>
            <w:r w:rsidR="00EA6134">
              <w:rPr>
                <w:rFonts w:ascii="Arial Narrow" w:hAnsi="Arial Narrow"/>
                <w:bCs/>
                <w:sz w:val="18"/>
                <w:szCs w:val="18"/>
              </w:rPr>
              <w:t xml:space="preserve"> </w:t>
            </w:r>
            <w:r w:rsidRPr="009D1E46">
              <w:rPr>
                <w:rFonts w:ascii="Arial Narrow" w:hAnsi="Arial Narrow"/>
                <w:bCs/>
                <w:sz w:val="18"/>
                <w:szCs w:val="18"/>
              </w:rPr>
              <w:t>(n=5</w:t>
            </w:r>
            <w:r>
              <w:rPr>
                <w:rFonts w:ascii="Arial Narrow" w:hAnsi="Arial Narrow"/>
                <w:bCs/>
                <w:sz w:val="18"/>
                <w:szCs w:val="18"/>
              </w:rPr>
              <w:t>,</w:t>
            </w:r>
            <w:r w:rsidRPr="009D1E46">
              <w:rPr>
                <w:rFonts w:ascii="Arial Narrow" w:hAnsi="Arial Narrow"/>
                <w:bCs/>
                <w:sz w:val="18"/>
                <w:szCs w:val="18"/>
              </w:rPr>
              <w:t>016)</w:t>
            </w:r>
          </w:p>
        </w:tc>
        <w:tc>
          <w:tcPr>
            <w:tcW w:w="1146" w:type="dxa"/>
            <w:shd w:val="clear" w:color="auto" w:fill="auto"/>
            <w:noWrap/>
          </w:tcPr>
          <w:p w:rsidR="00B070E6" w:rsidRPr="00F92C86" w:rsidRDefault="00B070E6" w:rsidP="00AA7B3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1064" w:type="dxa"/>
            <w:shd w:val="clear" w:color="auto" w:fill="auto"/>
            <w:noWrap/>
          </w:tcPr>
          <w:p w:rsidR="00B070E6" w:rsidRPr="00F92C86" w:rsidRDefault="00B070E6" w:rsidP="00AA7B3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1064" w:type="dxa"/>
            <w:shd w:val="clear" w:color="auto" w:fill="auto"/>
            <w:noWrap/>
          </w:tcPr>
          <w:p w:rsidR="00B070E6" w:rsidRPr="00F92C86" w:rsidRDefault="00B070E6" w:rsidP="00AA7B3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863" w:type="dxa"/>
            <w:shd w:val="clear" w:color="auto" w:fill="auto"/>
            <w:noWrap/>
          </w:tcPr>
          <w:p w:rsidR="00B070E6" w:rsidRPr="00F92C86" w:rsidRDefault="00B070E6" w:rsidP="00AA7B3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83" w:type="dxa"/>
            <w:shd w:val="clear" w:color="auto" w:fill="auto"/>
            <w:noWrap/>
          </w:tcPr>
          <w:p w:rsidR="00B070E6" w:rsidRPr="00F92C86" w:rsidRDefault="00B070E6" w:rsidP="00AA7B3E">
            <w:pPr>
              <w:ind w:right="-29"/>
              <w:rPr>
                <w:rFonts w:ascii="Arial Narrow" w:hAnsi="Arial Narrow"/>
                <w:bCs/>
                <w:sz w:val="18"/>
                <w:szCs w:val="18"/>
              </w:rPr>
            </w:pPr>
          </w:p>
        </w:tc>
        <w:tc>
          <w:tcPr>
            <w:tcW w:w="283" w:type="dxa"/>
            <w:shd w:val="clear" w:color="auto" w:fill="auto"/>
            <w:noWrap/>
          </w:tcPr>
          <w:p w:rsidR="00B070E6" w:rsidRPr="00F92C86" w:rsidRDefault="00B070E6" w:rsidP="00AA7B3E">
            <w:pPr>
              <w:ind w:right="-29"/>
              <w:rPr>
                <w:rFonts w:ascii="Arial Narrow" w:hAnsi="Arial Narrow"/>
                <w:bCs/>
                <w:sz w:val="18"/>
                <w:szCs w:val="18"/>
              </w:rPr>
            </w:pPr>
          </w:p>
        </w:tc>
        <w:tc>
          <w:tcPr>
            <w:tcW w:w="283" w:type="dxa"/>
            <w:shd w:val="clear" w:color="auto" w:fill="auto"/>
            <w:noWrap/>
          </w:tcPr>
          <w:p w:rsidR="00B070E6" w:rsidRPr="00F92C86" w:rsidRDefault="00B070E6" w:rsidP="00AA7B3E">
            <w:pPr>
              <w:ind w:right="-29"/>
              <w:rPr>
                <w:rFonts w:ascii="Arial Narrow" w:hAnsi="Arial Narrow"/>
                <w:bCs/>
                <w:sz w:val="18"/>
                <w:szCs w:val="18"/>
              </w:rPr>
            </w:pPr>
          </w:p>
        </w:tc>
      </w:tr>
      <w:tr w:rsidR="00416BF6" w:rsidRPr="004B4AA1" w:rsidTr="00711757">
        <w:trPr>
          <w:trHeight w:val="259"/>
          <w:jc w:val="center"/>
        </w:trPr>
        <w:tc>
          <w:tcPr>
            <w:tcW w:w="1780" w:type="dxa"/>
            <w:tcBorders>
              <w:bottom w:val="single" w:sz="4" w:space="0" w:color="auto"/>
            </w:tcBorders>
          </w:tcPr>
          <w:p w:rsidR="00B070E6" w:rsidRPr="00F92C86" w:rsidRDefault="00B070E6" w:rsidP="00AA7B3E">
            <w:pPr>
              <w:ind w:right="-29"/>
              <w:rPr>
                <w:rFonts w:ascii="Arial Narrow" w:hAnsi="Arial Narrow"/>
                <w:bCs/>
                <w:sz w:val="18"/>
                <w:szCs w:val="18"/>
              </w:rPr>
            </w:pPr>
          </w:p>
        </w:tc>
        <w:tc>
          <w:tcPr>
            <w:tcW w:w="1828" w:type="dxa"/>
            <w:tcBorders>
              <w:bottom w:val="single" w:sz="4" w:space="0" w:color="auto"/>
            </w:tcBorders>
            <w:shd w:val="clear" w:color="auto" w:fill="auto"/>
            <w:noWrap/>
          </w:tcPr>
          <w:p w:rsidR="00B070E6" w:rsidRPr="00F92C86" w:rsidRDefault="00416BF6" w:rsidP="00AA7B3E">
            <w:pPr>
              <w:ind w:right="-29"/>
              <w:rPr>
                <w:rFonts w:ascii="Arial Narrow" w:hAnsi="Arial Narrow"/>
                <w:bCs/>
                <w:sz w:val="18"/>
                <w:szCs w:val="18"/>
              </w:rPr>
            </w:pPr>
            <w:r>
              <w:rPr>
                <w:rFonts w:ascii="Arial Narrow" w:hAnsi="Arial Narrow"/>
                <w:bCs/>
                <w:sz w:val="18"/>
                <w:szCs w:val="18"/>
              </w:rPr>
              <w:t>Różnica</w:t>
            </w:r>
          </w:p>
        </w:tc>
        <w:tc>
          <w:tcPr>
            <w:tcW w:w="1146" w:type="dxa"/>
            <w:tcBorders>
              <w:bottom w:val="single" w:sz="4" w:space="0" w:color="auto"/>
            </w:tcBorders>
            <w:shd w:val="clear" w:color="auto" w:fill="auto"/>
            <w:noWrap/>
            <w:vAlign w:val="center"/>
          </w:tcPr>
          <w:p w:rsidR="00B070E6" w:rsidRPr="00F92C86" w:rsidRDefault="00B070E6" w:rsidP="00AA7B3E">
            <w:pPr>
              <w:ind w:right="-29"/>
              <w:rPr>
                <w:rFonts w:ascii="Arial Narrow" w:hAnsi="Arial Narrow"/>
                <w:bCs/>
                <w:sz w:val="18"/>
                <w:szCs w:val="18"/>
              </w:rPr>
            </w:pPr>
            <w:r w:rsidRPr="00F92C86">
              <w:rPr>
                <w:rFonts w:ascii="Arial Narrow" w:hAnsi="Arial Narrow"/>
                <w:bCs/>
                <w:sz w:val="18"/>
                <w:szCs w:val="18"/>
              </w:rPr>
              <w:t>-12</w:t>
            </w:r>
          </w:p>
        </w:tc>
        <w:tc>
          <w:tcPr>
            <w:tcW w:w="1064" w:type="dxa"/>
            <w:tcBorders>
              <w:bottom w:val="single" w:sz="4" w:space="0" w:color="auto"/>
            </w:tcBorders>
            <w:shd w:val="clear" w:color="auto" w:fill="auto"/>
            <w:noWrap/>
            <w:vAlign w:val="center"/>
          </w:tcPr>
          <w:p w:rsidR="00B070E6" w:rsidRPr="00F92C86" w:rsidRDefault="00B070E6" w:rsidP="00AA7B3E">
            <w:pPr>
              <w:ind w:right="-29"/>
              <w:rPr>
                <w:rFonts w:ascii="Arial Narrow" w:hAnsi="Arial Narrow"/>
                <w:bCs/>
                <w:sz w:val="18"/>
                <w:szCs w:val="18"/>
              </w:rPr>
            </w:pPr>
            <w:r w:rsidRPr="00F92C86">
              <w:rPr>
                <w:rFonts w:ascii="Arial Narrow" w:hAnsi="Arial Narrow"/>
                <w:bCs/>
                <w:sz w:val="18"/>
                <w:szCs w:val="18"/>
              </w:rPr>
              <w:t>-6</w:t>
            </w:r>
          </w:p>
        </w:tc>
        <w:tc>
          <w:tcPr>
            <w:tcW w:w="1064" w:type="dxa"/>
            <w:tcBorders>
              <w:bottom w:val="single" w:sz="4" w:space="0" w:color="auto"/>
            </w:tcBorders>
            <w:shd w:val="clear" w:color="auto" w:fill="auto"/>
            <w:noWrap/>
            <w:vAlign w:val="center"/>
          </w:tcPr>
          <w:p w:rsidR="00B070E6" w:rsidRPr="00F92C86" w:rsidRDefault="00B070E6" w:rsidP="00AA7B3E">
            <w:pPr>
              <w:ind w:right="-29"/>
              <w:rPr>
                <w:rFonts w:ascii="Arial Narrow" w:hAnsi="Arial Narrow"/>
                <w:bCs/>
                <w:sz w:val="18"/>
                <w:szCs w:val="18"/>
              </w:rPr>
            </w:pPr>
            <w:r w:rsidRPr="00F92C86">
              <w:rPr>
                <w:rFonts w:ascii="Arial Narrow" w:hAnsi="Arial Narrow"/>
                <w:bCs/>
                <w:sz w:val="18"/>
                <w:szCs w:val="18"/>
              </w:rPr>
              <w:t>-2</w:t>
            </w:r>
          </w:p>
        </w:tc>
        <w:tc>
          <w:tcPr>
            <w:tcW w:w="863" w:type="dxa"/>
            <w:tcBorders>
              <w:bottom w:val="single" w:sz="4" w:space="0" w:color="auto"/>
            </w:tcBorders>
            <w:shd w:val="clear" w:color="auto" w:fill="auto"/>
            <w:noWrap/>
            <w:vAlign w:val="center"/>
          </w:tcPr>
          <w:p w:rsidR="00B070E6" w:rsidRPr="00F92C86" w:rsidRDefault="00B070E6" w:rsidP="00AA7B3E">
            <w:pPr>
              <w:ind w:right="-29"/>
              <w:rPr>
                <w:rFonts w:ascii="Arial Narrow" w:hAnsi="Arial Narrow"/>
                <w:bCs/>
                <w:sz w:val="18"/>
                <w:szCs w:val="18"/>
              </w:rPr>
            </w:pPr>
            <w:r w:rsidRPr="00F92C86">
              <w:rPr>
                <w:rFonts w:ascii="Arial Narrow" w:hAnsi="Arial Narrow"/>
                <w:bCs/>
                <w:sz w:val="18"/>
                <w:szCs w:val="18"/>
              </w:rPr>
              <w:t>-1</w:t>
            </w:r>
          </w:p>
        </w:tc>
        <w:tc>
          <w:tcPr>
            <w:tcW w:w="283" w:type="dxa"/>
            <w:tcBorders>
              <w:bottom w:val="single" w:sz="4" w:space="0" w:color="auto"/>
            </w:tcBorders>
            <w:shd w:val="clear" w:color="auto" w:fill="auto"/>
            <w:noWrap/>
            <w:vAlign w:val="center"/>
          </w:tcPr>
          <w:p w:rsidR="00B070E6" w:rsidRPr="00F92C86" w:rsidRDefault="00B070E6" w:rsidP="00AA7B3E">
            <w:pPr>
              <w:ind w:right="-29"/>
              <w:rPr>
                <w:rFonts w:ascii="Arial Narrow" w:hAnsi="Arial Narrow"/>
                <w:bCs/>
                <w:sz w:val="18"/>
                <w:szCs w:val="18"/>
              </w:rPr>
            </w:pPr>
          </w:p>
        </w:tc>
        <w:tc>
          <w:tcPr>
            <w:tcW w:w="283" w:type="dxa"/>
            <w:tcBorders>
              <w:bottom w:val="single" w:sz="4" w:space="0" w:color="auto"/>
            </w:tcBorders>
            <w:shd w:val="clear" w:color="auto" w:fill="auto"/>
            <w:noWrap/>
            <w:vAlign w:val="center"/>
          </w:tcPr>
          <w:p w:rsidR="00B070E6" w:rsidRPr="00F92C86" w:rsidRDefault="00B070E6" w:rsidP="00AA7B3E">
            <w:pPr>
              <w:ind w:right="-29"/>
              <w:rPr>
                <w:rFonts w:ascii="Arial Narrow" w:hAnsi="Arial Narrow"/>
                <w:bCs/>
                <w:sz w:val="18"/>
                <w:szCs w:val="18"/>
              </w:rPr>
            </w:pPr>
          </w:p>
        </w:tc>
        <w:tc>
          <w:tcPr>
            <w:tcW w:w="283" w:type="dxa"/>
            <w:tcBorders>
              <w:bottom w:val="single" w:sz="4" w:space="0" w:color="auto"/>
            </w:tcBorders>
            <w:shd w:val="clear" w:color="auto" w:fill="auto"/>
            <w:noWrap/>
            <w:vAlign w:val="center"/>
          </w:tcPr>
          <w:p w:rsidR="00B070E6" w:rsidRPr="00F92C86" w:rsidRDefault="00B070E6" w:rsidP="00AA7B3E">
            <w:pPr>
              <w:ind w:right="-29"/>
              <w:rPr>
                <w:rFonts w:ascii="Arial Narrow" w:hAnsi="Arial Narrow"/>
                <w:bCs/>
                <w:sz w:val="18"/>
                <w:szCs w:val="18"/>
              </w:rPr>
            </w:pPr>
          </w:p>
        </w:tc>
      </w:tr>
      <w:bookmarkEnd w:id="23"/>
    </w:tbl>
    <w:p w:rsidR="00B070E6" w:rsidRDefault="00B070E6">
      <w:pPr>
        <w:tabs>
          <w:tab w:val="left" w:pos="567"/>
        </w:tabs>
        <w:rPr>
          <w:color w:val="000000"/>
          <w:sz w:val="22"/>
          <w:szCs w:val="16"/>
          <w:lang w:val="pl-PL"/>
        </w:rPr>
      </w:pPr>
    </w:p>
    <w:p w:rsidR="00B070E6" w:rsidRPr="00961614" w:rsidRDefault="00B070E6">
      <w:pPr>
        <w:tabs>
          <w:tab w:val="left" w:pos="567"/>
        </w:tabs>
        <w:rPr>
          <w:color w:val="000000"/>
          <w:sz w:val="22"/>
          <w:szCs w:val="16"/>
          <w:lang w:val="pl-PL"/>
        </w:rPr>
      </w:pPr>
    </w:p>
    <w:p w:rsidR="00214AE0" w:rsidRDefault="00214AE0" w:rsidP="004D1428">
      <w:pPr>
        <w:tabs>
          <w:tab w:val="left" w:pos="567"/>
        </w:tabs>
        <w:rPr>
          <w:i/>
          <w:color w:val="000000"/>
          <w:sz w:val="22"/>
          <w:szCs w:val="16"/>
          <w:lang w:val="pl-PL"/>
        </w:rPr>
      </w:pPr>
      <w:r w:rsidRPr="00214AE0">
        <w:rPr>
          <w:i/>
          <w:color w:val="000000"/>
          <w:sz w:val="22"/>
          <w:szCs w:val="16"/>
          <w:lang w:val="pl-PL"/>
        </w:rPr>
        <w:t>Migotanie przedsionków</w:t>
      </w:r>
    </w:p>
    <w:p w:rsidR="00214AE0" w:rsidRPr="00214AE0" w:rsidRDefault="00214AE0">
      <w:pPr>
        <w:tabs>
          <w:tab w:val="left" w:pos="567"/>
        </w:tabs>
        <w:rPr>
          <w:i/>
          <w:color w:val="000000"/>
          <w:sz w:val="22"/>
          <w:szCs w:val="16"/>
          <w:lang w:val="pl-PL"/>
        </w:rPr>
      </w:pPr>
    </w:p>
    <w:p w:rsidR="00214AE0" w:rsidRPr="00421448" w:rsidRDefault="00214AE0" w:rsidP="00214AE0">
      <w:pPr>
        <w:rPr>
          <w:sz w:val="22"/>
          <w:szCs w:val="22"/>
          <w:lang w:val="pl-PL"/>
        </w:rPr>
      </w:pPr>
      <w:r w:rsidRPr="00421448">
        <w:rPr>
          <w:sz w:val="22"/>
          <w:szCs w:val="22"/>
          <w:lang w:val="pl-PL"/>
        </w:rPr>
        <w:t>ACTIVE</w:t>
      </w:r>
      <w:r w:rsidRPr="00421448">
        <w:rPr>
          <w:sz w:val="22"/>
          <w:szCs w:val="22"/>
          <w:lang w:val="pl-PL"/>
        </w:rPr>
        <w:noBreakHyphen/>
        <w:t>W i ACTIVE</w:t>
      </w:r>
      <w:r w:rsidRPr="00421448">
        <w:rPr>
          <w:sz w:val="22"/>
          <w:szCs w:val="22"/>
          <w:lang w:val="pl-PL"/>
        </w:rPr>
        <w:noBreakHyphen/>
        <w:t>A, będące odrębnymi badaniami w ramach programu klinicznego ACTIVE, obejmowały pacjentów z migotaniem przedsionków z przynajmniej jednym czynnikiem ryzyka powikłań naczyniowych. W oparciu o kryteria włączające, do badania ACTIVE</w:t>
      </w:r>
      <w:r w:rsidRPr="00421448">
        <w:rPr>
          <w:sz w:val="22"/>
          <w:szCs w:val="22"/>
          <w:lang w:val="pl-PL"/>
        </w:rPr>
        <w:noBreakHyphen/>
        <w:t>W lekarze rekrutowali pacjentów będących kandydatami do stosowania antagonistów witaminy (np. warfaryna). W badaniu ACTIVE</w:t>
      </w:r>
      <w:r w:rsidRPr="00421448">
        <w:rPr>
          <w:sz w:val="22"/>
          <w:szCs w:val="22"/>
          <w:lang w:val="pl-PL"/>
        </w:rPr>
        <w:noBreakHyphen/>
        <w:t>A uczestniczyli pacjenci, u których stosowanie antagonistów witaminy K nie było możliwe, albo którzy nie wyrazili zgody na ich podawanie.</w:t>
      </w:r>
    </w:p>
    <w:p w:rsidR="00214AE0" w:rsidRPr="00421448" w:rsidRDefault="00214AE0" w:rsidP="00214AE0">
      <w:pPr>
        <w:rPr>
          <w:sz w:val="22"/>
          <w:szCs w:val="22"/>
          <w:lang w:val="pl-PL"/>
        </w:rPr>
      </w:pPr>
    </w:p>
    <w:p w:rsidR="00214AE0" w:rsidRPr="00421448" w:rsidRDefault="00214AE0" w:rsidP="00214AE0">
      <w:pPr>
        <w:rPr>
          <w:sz w:val="22"/>
          <w:szCs w:val="22"/>
          <w:lang w:val="pl-PL"/>
        </w:rPr>
      </w:pPr>
      <w:r w:rsidRPr="00421448">
        <w:rPr>
          <w:sz w:val="22"/>
          <w:szCs w:val="22"/>
          <w:lang w:val="pl-PL"/>
        </w:rPr>
        <w:t>W badaniu ACTIVE</w:t>
      </w:r>
      <w:r w:rsidRPr="00421448">
        <w:rPr>
          <w:sz w:val="22"/>
          <w:szCs w:val="22"/>
          <w:lang w:val="pl-PL"/>
        </w:rPr>
        <w:noBreakHyphen/>
        <w:t xml:space="preserve">W stwierdzono, że stosowanie leków </w:t>
      </w:r>
      <w:r w:rsidR="001B5F49" w:rsidRPr="00421448">
        <w:rPr>
          <w:sz w:val="22"/>
          <w:szCs w:val="22"/>
          <w:lang w:val="pl-PL"/>
        </w:rPr>
        <w:t>przeciw</w:t>
      </w:r>
      <w:r w:rsidR="001B5F49">
        <w:rPr>
          <w:sz w:val="22"/>
          <w:szCs w:val="22"/>
          <w:lang w:val="pl-PL"/>
        </w:rPr>
        <w:t>za</w:t>
      </w:r>
      <w:r w:rsidR="001B5F49" w:rsidRPr="00421448">
        <w:rPr>
          <w:sz w:val="22"/>
          <w:szCs w:val="22"/>
          <w:lang w:val="pl-PL"/>
        </w:rPr>
        <w:t>krzep</w:t>
      </w:r>
      <w:r w:rsidR="001B5F49">
        <w:rPr>
          <w:sz w:val="22"/>
          <w:szCs w:val="22"/>
          <w:lang w:val="pl-PL"/>
        </w:rPr>
        <w:t>o</w:t>
      </w:r>
      <w:r w:rsidR="001B5F49" w:rsidRPr="00421448">
        <w:rPr>
          <w:sz w:val="22"/>
          <w:szCs w:val="22"/>
          <w:lang w:val="pl-PL"/>
        </w:rPr>
        <w:t xml:space="preserve">wych </w:t>
      </w:r>
      <w:r w:rsidRPr="00421448">
        <w:rPr>
          <w:sz w:val="22"/>
          <w:szCs w:val="22"/>
          <w:lang w:val="pl-PL"/>
        </w:rPr>
        <w:t>w postaci antagonistów witaminy K było bardziej skuteczne niż skojarzenie klopidogrelu z kwasem acetylosalicylowym.</w:t>
      </w:r>
    </w:p>
    <w:p w:rsidR="00214AE0" w:rsidRPr="00421448" w:rsidRDefault="00214AE0" w:rsidP="00214AE0">
      <w:pPr>
        <w:rPr>
          <w:sz w:val="22"/>
          <w:szCs w:val="22"/>
          <w:lang w:val="pl-PL"/>
        </w:rPr>
      </w:pPr>
    </w:p>
    <w:p w:rsidR="00214AE0" w:rsidRPr="00421448" w:rsidRDefault="00214AE0" w:rsidP="00214AE0">
      <w:pPr>
        <w:rPr>
          <w:sz w:val="22"/>
          <w:szCs w:val="22"/>
          <w:lang w:val="pl-PL"/>
        </w:rPr>
      </w:pPr>
      <w:r w:rsidRPr="00421448">
        <w:rPr>
          <w:sz w:val="22"/>
          <w:szCs w:val="22"/>
          <w:lang w:val="pl-PL"/>
        </w:rPr>
        <w:t>W ramach wieloośrodkowego badania ACTIVE</w:t>
      </w:r>
      <w:r w:rsidRPr="00421448">
        <w:rPr>
          <w:sz w:val="22"/>
          <w:szCs w:val="22"/>
          <w:lang w:val="pl-PL"/>
        </w:rPr>
        <w:noBreakHyphen/>
        <w:t xml:space="preserve">A (N=7554) prowadzonego metodą podwójnie ślepej próby z randomizacją i grupą kontrolną placebo porównywano </w:t>
      </w:r>
      <w:r w:rsidR="001B5F49">
        <w:rPr>
          <w:sz w:val="22"/>
          <w:szCs w:val="22"/>
          <w:lang w:val="pl-PL"/>
        </w:rPr>
        <w:t>skojarzone podanie</w:t>
      </w:r>
      <w:r w:rsidR="001B5F49" w:rsidRPr="00421448">
        <w:rPr>
          <w:sz w:val="22"/>
          <w:szCs w:val="22"/>
          <w:lang w:val="pl-PL"/>
        </w:rPr>
        <w:t xml:space="preserve"> </w:t>
      </w:r>
      <w:r w:rsidRPr="00421448">
        <w:rPr>
          <w:sz w:val="22"/>
          <w:szCs w:val="22"/>
          <w:lang w:val="pl-PL"/>
        </w:rPr>
        <w:t>kwasu acetylosalicylowego z klopidogrelem 75 mg/dobę (N=3772) i placebo (N=3782). Zalecana dawka kwasu acetylosalicylowego wynosiła 75 do 100 mg/dobę. Leczenie kontynuowano przez okres do 5 lat.</w:t>
      </w:r>
    </w:p>
    <w:p w:rsidR="00214AE0" w:rsidRPr="00421448" w:rsidRDefault="00214AE0" w:rsidP="00214AE0">
      <w:pPr>
        <w:rPr>
          <w:sz w:val="22"/>
          <w:szCs w:val="22"/>
          <w:lang w:val="pl-PL"/>
        </w:rPr>
      </w:pPr>
    </w:p>
    <w:p w:rsidR="00214AE0" w:rsidRPr="00421448" w:rsidRDefault="00214AE0" w:rsidP="00214AE0">
      <w:pPr>
        <w:rPr>
          <w:sz w:val="22"/>
          <w:szCs w:val="22"/>
          <w:lang w:val="pl-PL"/>
        </w:rPr>
      </w:pPr>
      <w:r w:rsidRPr="00421448">
        <w:rPr>
          <w:sz w:val="22"/>
          <w:szCs w:val="22"/>
          <w:lang w:val="pl-PL"/>
        </w:rPr>
        <w:t>W ramach programu ACTIVE do grup badawczych losowo przydzielano pacjentów, u których stwierdzono udokumentowane migotanie przedsionków w postaci ciągłego migotania, albo przynajmniej 2 epizodów napadowego migotania na przestrzeni ostatnich 6 miesięcy, ora</w:t>
      </w:r>
      <w:r>
        <w:rPr>
          <w:sz w:val="22"/>
          <w:szCs w:val="22"/>
          <w:lang w:val="pl-PL"/>
        </w:rPr>
        <w:t>z</w:t>
      </w:r>
      <w:r w:rsidRPr="00421448">
        <w:rPr>
          <w:sz w:val="22"/>
          <w:szCs w:val="22"/>
          <w:lang w:val="pl-PL"/>
        </w:rPr>
        <w:t xml:space="preserve"> co najmniej jeden z następujących czynników ryzyka: wiek </w:t>
      </w:r>
      <w:r w:rsidRPr="00421448">
        <w:rPr>
          <w:sz w:val="22"/>
          <w:szCs w:val="22"/>
          <w:lang w:val="pl-PL"/>
        </w:rPr>
        <w:sym w:font="Symbol" w:char="F0B3"/>
      </w:r>
      <w:r w:rsidRPr="00421448">
        <w:rPr>
          <w:sz w:val="22"/>
          <w:szCs w:val="22"/>
          <w:lang w:val="pl-PL"/>
        </w:rPr>
        <w:t xml:space="preserve">75 lat lub wiek 55-74 lat u osoby z cukrzycą leczoną farmakologicznie, udokumentowanym przebytym zawałem mięśnia sercowego, bądź chorobą wieńcową; farmakoterapia nadciśnienia tętniczego; przebyty udar, napad przemijającego niedokrwienia mózgu (TIA), lub zator naczyń innych niż w obrębie ośrodkowego układu nerwowego; niedoczynność lewej komory serca z frakcją wyrzutową lewej komory &lt;45%; oraz </w:t>
      </w:r>
      <w:r>
        <w:rPr>
          <w:sz w:val="22"/>
          <w:szCs w:val="22"/>
          <w:lang w:val="pl-PL"/>
        </w:rPr>
        <w:t>u</w:t>
      </w:r>
      <w:r w:rsidRPr="00421448">
        <w:rPr>
          <w:sz w:val="22"/>
          <w:szCs w:val="22"/>
          <w:lang w:val="pl-PL"/>
        </w:rPr>
        <w:t>dokumentowana miażdżyca naczyń obwodowych. Średnia wartość wskaźnika CHADS</w:t>
      </w:r>
      <w:r w:rsidRPr="00421448">
        <w:rPr>
          <w:sz w:val="22"/>
          <w:szCs w:val="22"/>
          <w:vertAlign w:val="subscript"/>
          <w:lang w:val="pl-PL"/>
        </w:rPr>
        <w:t>2</w:t>
      </w:r>
      <w:r w:rsidRPr="00421448">
        <w:rPr>
          <w:sz w:val="22"/>
          <w:szCs w:val="22"/>
          <w:lang w:val="pl-PL"/>
        </w:rPr>
        <w:t xml:space="preserve"> wynosiła 2,0 (zakres 0</w:t>
      </w:r>
      <w:r w:rsidRPr="00421448">
        <w:rPr>
          <w:sz w:val="22"/>
          <w:szCs w:val="22"/>
          <w:lang w:val="pl-PL"/>
        </w:rPr>
        <w:noBreakHyphen/>
        <w:t>6).</w:t>
      </w:r>
    </w:p>
    <w:p w:rsidR="00214AE0" w:rsidRPr="00421448" w:rsidRDefault="00214AE0" w:rsidP="00214AE0">
      <w:pPr>
        <w:rPr>
          <w:sz w:val="22"/>
          <w:szCs w:val="22"/>
          <w:lang w:val="pl-PL"/>
        </w:rPr>
      </w:pPr>
    </w:p>
    <w:p w:rsidR="00214AE0" w:rsidRPr="00421448" w:rsidRDefault="00214AE0" w:rsidP="00214AE0">
      <w:pPr>
        <w:rPr>
          <w:sz w:val="22"/>
          <w:szCs w:val="22"/>
          <w:lang w:val="pl-PL"/>
        </w:rPr>
      </w:pPr>
      <w:r w:rsidRPr="00421448">
        <w:rPr>
          <w:sz w:val="22"/>
          <w:szCs w:val="22"/>
          <w:lang w:val="pl-PL"/>
        </w:rPr>
        <w:t xml:space="preserve">Do podstawowych kryteriów wykluczających </w:t>
      </w:r>
      <w:r w:rsidR="001B5F49">
        <w:rPr>
          <w:sz w:val="22"/>
          <w:szCs w:val="22"/>
          <w:lang w:val="pl-PL"/>
        </w:rPr>
        <w:t xml:space="preserve">pacjentów </w:t>
      </w:r>
      <w:r w:rsidRPr="00421448">
        <w:rPr>
          <w:sz w:val="22"/>
          <w:szCs w:val="22"/>
          <w:lang w:val="pl-PL"/>
        </w:rPr>
        <w:t xml:space="preserve">należała udokumentowana choroba wrzodowa </w:t>
      </w:r>
      <w:r w:rsidR="001B5F49">
        <w:rPr>
          <w:sz w:val="22"/>
          <w:szCs w:val="22"/>
          <w:lang w:val="pl-PL"/>
        </w:rPr>
        <w:t>w ciągu</w:t>
      </w:r>
      <w:r w:rsidRPr="00421448">
        <w:rPr>
          <w:sz w:val="22"/>
          <w:szCs w:val="22"/>
          <w:lang w:val="pl-PL"/>
        </w:rPr>
        <w:t xml:space="preserve"> ostatnich 6 miesięcy; przebyty epizod krwotoku wewnątrzmózgowego; znacząca małopłytkowość (liczba płytek krwi &lt;50 x 10</w:t>
      </w:r>
      <w:r w:rsidRPr="00421448">
        <w:rPr>
          <w:sz w:val="22"/>
          <w:szCs w:val="22"/>
          <w:vertAlign w:val="superscript"/>
          <w:lang w:val="pl-PL"/>
        </w:rPr>
        <w:t>9</w:t>
      </w:r>
      <w:r w:rsidRPr="00421448">
        <w:rPr>
          <w:sz w:val="22"/>
          <w:szCs w:val="22"/>
          <w:lang w:val="pl-PL"/>
        </w:rPr>
        <w:t xml:space="preserve">/l); konieczność stosowania klopidogrelu albo doustnych leków </w:t>
      </w:r>
      <w:r w:rsidR="001B5F49">
        <w:rPr>
          <w:sz w:val="22"/>
          <w:szCs w:val="22"/>
          <w:lang w:val="pl-PL"/>
        </w:rPr>
        <w:t xml:space="preserve">przeciwzakrzepowych (ang. OAC – </w:t>
      </w:r>
      <w:r w:rsidR="001B5F49" w:rsidRPr="001E79CA">
        <w:rPr>
          <w:sz w:val="22"/>
          <w:szCs w:val="22"/>
          <w:lang w:val="pl-PL"/>
        </w:rPr>
        <w:t>Oral Anticoagulants</w:t>
      </w:r>
      <w:r w:rsidR="001B5F49">
        <w:rPr>
          <w:sz w:val="22"/>
          <w:szCs w:val="22"/>
          <w:lang w:val="pl-PL"/>
        </w:rPr>
        <w:t>)</w:t>
      </w:r>
      <w:r w:rsidRPr="00421448">
        <w:rPr>
          <w:sz w:val="22"/>
          <w:szCs w:val="22"/>
          <w:lang w:val="pl-PL"/>
        </w:rPr>
        <w:t xml:space="preserve">; lub nietolerancja </w:t>
      </w:r>
      <w:r w:rsidR="001B5F49" w:rsidRPr="00421448">
        <w:rPr>
          <w:sz w:val="22"/>
          <w:szCs w:val="22"/>
          <w:lang w:val="pl-PL"/>
        </w:rPr>
        <w:t>której</w:t>
      </w:r>
      <w:r w:rsidR="001B5F49">
        <w:rPr>
          <w:sz w:val="22"/>
          <w:szCs w:val="22"/>
          <w:lang w:val="pl-PL"/>
        </w:rPr>
        <w:t xml:space="preserve">kolwiek </w:t>
      </w:r>
      <w:r w:rsidRPr="00421448">
        <w:rPr>
          <w:sz w:val="22"/>
          <w:szCs w:val="22"/>
          <w:lang w:val="pl-PL"/>
        </w:rPr>
        <w:t>substancji czynnej.</w:t>
      </w:r>
    </w:p>
    <w:p w:rsidR="00214AE0" w:rsidRPr="00421448" w:rsidRDefault="00214AE0" w:rsidP="00214AE0">
      <w:pPr>
        <w:rPr>
          <w:sz w:val="22"/>
          <w:szCs w:val="22"/>
          <w:lang w:val="pl-PL"/>
        </w:rPr>
      </w:pPr>
    </w:p>
    <w:p w:rsidR="00214AE0" w:rsidRPr="00421448" w:rsidRDefault="00214AE0" w:rsidP="00214AE0">
      <w:pPr>
        <w:rPr>
          <w:sz w:val="22"/>
          <w:szCs w:val="22"/>
          <w:lang w:val="pl-PL"/>
        </w:rPr>
      </w:pPr>
      <w:r w:rsidRPr="00421448">
        <w:rPr>
          <w:sz w:val="22"/>
          <w:szCs w:val="22"/>
          <w:lang w:val="pl-PL"/>
        </w:rPr>
        <w:t>Spośród pacjentów zakwalifikowanych do badania ACTIVE</w:t>
      </w:r>
      <w:r w:rsidRPr="00421448">
        <w:rPr>
          <w:sz w:val="22"/>
          <w:szCs w:val="22"/>
          <w:lang w:val="pl-PL"/>
        </w:rPr>
        <w:noBreakHyphen/>
        <w:t>A, 73% uczestników nie mogło przyjmować antagonistów witaminy K z powodu przeciwwskazań lekarskich, braku możliwości monitorowania INR, tendencji do upadków i urazów głowy, albo istotnego ryzyka krwawienia</w:t>
      </w:r>
      <w:r w:rsidR="001B5F49">
        <w:rPr>
          <w:sz w:val="22"/>
          <w:szCs w:val="22"/>
          <w:lang w:val="pl-PL"/>
        </w:rPr>
        <w:t>:</w:t>
      </w:r>
      <w:r w:rsidRPr="00421448">
        <w:rPr>
          <w:sz w:val="22"/>
          <w:szCs w:val="22"/>
          <w:lang w:val="pl-PL"/>
        </w:rPr>
        <w:t xml:space="preserve"> </w:t>
      </w:r>
      <w:r w:rsidR="001B5F49">
        <w:rPr>
          <w:sz w:val="22"/>
          <w:szCs w:val="22"/>
          <w:lang w:val="pl-PL"/>
        </w:rPr>
        <w:t>u</w:t>
      </w:r>
      <w:r w:rsidRPr="00421448">
        <w:rPr>
          <w:sz w:val="22"/>
          <w:szCs w:val="22"/>
          <w:lang w:val="pl-PL"/>
        </w:rPr>
        <w:t xml:space="preserve"> 26% uczestników przyczyną decyzji o niestosowaniu antagonistów witaminy</w:t>
      </w:r>
      <w:r w:rsidR="001B5F49">
        <w:rPr>
          <w:sz w:val="22"/>
          <w:szCs w:val="22"/>
          <w:lang w:val="pl-PL"/>
        </w:rPr>
        <w:t xml:space="preserve"> K</w:t>
      </w:r>
      <w:r w:rsidRPr="00421448">
        <w:rPr>
          <w:sz w:val="22"/>
          <w:szCs w:val="22"/>
          <w:lang w:val="pl-PL"/>
        </w:rPr>
        <w:t xml:space="preserve"> był brak zgody pacjentów na takie leczeni</w:t>
      </w:r>
      <w:r>
        <w:rPr>
          <w:sz w:val="22"/>
          <w:szCs w:val="22"/>
          <w:lang w:val="pl-PL"/>
        </w:rPr>
        <w:t>e</w:t>
      </w:r>
      <w:r w:rsidRPr="00421448">
        <w:rPr>
          <w:sz w:val="22"/>
          <w:szCs w:val="22"/>
          <w:lang w:val="pl-PL"/>
        </w:rPr>
        <w:t xml:space="preserve">. </w:t>
      </w:r>
    </w:p>
    <w:p w:rsidR="00214AE0" w:rsidRPr="00421448" w:rsidDel="009670DC" w:rsidRDefault="00214AE0" w:rsidP="00214AE0">
      <w:pPr>
        <w:ind w:right="-29"/>
        <w:outlineLvl w:val="0"/>
        <w:rPr>
          <w:sz w:val="22"/>
          <w:szCs w:val="22"/>
          <w:lang w:val="pl-PL"/>
        </w:rPr>
      </w:pPr>
    </w:p>
    <w:p w:rsidR="00214AE0" w:rsidRPr="00421448" w:rsidRDefault="00214AE0" w:rsidP="00214AE0">
      <w:pPr>
        <w:rPr>
          <w:sz w:val="22"/>
          <w:szCs w:val="22"/>
          <w:lang w:val="pl-PL"/>
        </w:rPr>
      </w:pPr>
      <w:r w:rsidRPr="00421448">
        <w:rPr>
          <w:sz w:val="22"/>
          <w:szCs w:val="22"/>
          <w:lang w:val="pl-PL"/>
        </w:rPr>
        <w:t>Odsetek kobiet w grupie objętej badaniem wynosił 41,8 %. Średnia wieku wynosiła 71 lat,</w:t>
      </w:r>
      <w:r w:rsidRPr="00421448" w:rsidDel="00DE0746">
        <w:rPr>
          <w:sz w:val="22"/>
          <w:szCs w:val="22"/>
          <w:lang w:val="pl-PL"/>
        </w:rPr>
        <w:t xml:space="preserve"> </w:t>
      </w:r>
      <w:r w:rsidRPr="00421448">
        <w:rPr>
          <w:sz w:val="22"/>
          <w:szCs w:val="22"/>
          <w:lang w:val="pl-PL"/>
        </w:rPr>
        <w:t xml:space="preserve">a </w:t>
      </w:r>
      <w:r>
        <w:rPr>
          <w:sz w:val="22"/>
          <w:szCs w:val="22"/>
          <w:lang w:val="pl-PL"/>
        </w:rPr>
        <w:t xml:space="preserve">u </w:t>
      </w:r>
      <w:r w:rsidRPr="00421448">
        <w:rPr>
          <w:sz w:val="22"/>
          <w:szCs w:val="22"/>
          <w:lang w:val="pl-PL"/>
        </w:rPr>
        <w:t xml:space="preserve">41,6% pacjentów wiek </w:t>
      </w:r>
      <w:r>
        <w:rPr>
          <w:sz w:val="22"/>
          <w:szCs w:val="22"/>
          <w:lang w:val="pl-PL"/>
        </w:rPr>
        <w:t xml:space="preserve">wynosił </w:t>
      </w:r>
      <w:r w:rsidRPr="00421448">
        <w:rPr>
          <w:sz w:val="22"/>
          <w:szCs w:val="22"/>
          <w:lang w:val="pl-PL"/>
        </w:rPr>
        <w:t xml:space="preserve">≥75 lat. Łączny odsetek pacjentów, u których stosowano leki przeciwarytmiczne, </w:t>
      </w:r>
      <w:r w:rsidR="001B5F49">
        <w:rPr>
          <w:sz w:val="22"/>
          <w:szCs w:val="22"/>
          <w:lang w:val="pl-PL"/>
        </w:rPr>
        <w:t>leki beta-adrenolityczne</w:t>
      </w:r>
      <w:r w:rsidRPr="00421448">
        <w:rPr>
          <w:sz w:val="22"/>
          <w:szCs w:val="22"/>
          <w:lang w:val="pl-PL"/>
        </w:rPr>
        <w:t>, inhibitory ACE i statyny wynosił odpowiednio 23,0%, 52,1%, 54,6% i 25,4%.</w:t>
      </w:r>
    </w:p>
    <w:p w:rsidR="00214AE0" w:rsidRPr="00421448" w:rsidDel="009670DC" w:rsidRDefault="00214AE0" w:rsidP="00214AE0">
      <w:pPr>
        <w:rPr>
          <w:sz w:val="22"/>
          <w:szCs w:val="22"/>
          <w:lang w:val="pl-PL"/>
        </w:rPr>
      </w:pPr>
    </w:p>
    <w:p w:rsidR="00214AE0" w:rsidRPr="00421448" w:rsidRDefault="00214AE0" w:rsidP="00214AE0">
      <w:pPr>
        <w:rPr>
          <w:sz w:val="22"/>
          <w:szCs w:val="22"/>
          <w:lang w:val="pl-PL"/>
        </w:rPr>
      </w:pPr>
      <w:r w:rsidRPr="00421448">
        <w:rPr>
          <w:sz w:val="22"/>
          <w:szCs w:val="22"/>
          <w:lang w:val="pl-PL"/>
        </w:rPr>
        <w:t>Liczba pacjentów, u których stwierdzono pierwszorzędowy punkt końcowy badania (czas do pierwszego epizodu udaru, zawału mięśnia sercowego, zatorowości poza OUN, lub zgon</w:t>
      </w:r>
      <w:r>
        <w:rPr>
          <w:sz w:val="22"/>
          <w:szCs w:val="22"/>
          <w:lang w:val="pl-PL"/>
        </w:rPr>
        <w:t>u</w:t>
      </w:r>
      <w:r w:rsidRPr="00421448">
        <w:rPr>
          <w:sz w:val="22"/>
          <w:szCs w:val="22"/>
          <w:lang w:val="pl-PL"/>
        </w:rPr>
        <w:t xml:space="preserve"> z przyczyn naczyniowych) wynosiła 832 (22,1%) w grupie otrzymującej klopidogrel z kwasem acetylosalicylowym i 924 (24,4%) w grupie placebo z kwasem acetylosalicylowym (względne zmniejszenie ryzyka 11,1%; 95% CI 2,4% do 19,1%; p=0,013), głównie w wyniku znacznego zmniejszenia występowania udarów mózgu. Udar wystąpił u 296 (7,8%) pacjentów, którym podawano klopidogrel z kwasem acetylosalicylowym i u 408 (10,8%) po zastosowaniu placebo z kwasem acetylosalicylowym (względne zmniejszenie ryzyka 28,4%; 95% CI 16,8% do 38,3%; p=0,00001).</w:t>
      </w:r>
      <w:r w:rsidRPr="00421448" w:rsidDel="00144A53">
        <w:rPr>
          <w:sz w:val="22"/>
          <w:szCs w:val="22"/>
          <w:lang w:val="pl-PL"/>
        </w:rPr>
        <w:t xml:space="preserve"> </w:t>
      </w:r>
    </w:p>
    <w:p w:rsidR="00214AE0" w:rsidRPr="00421448" w:rsidRDefault="00214AE0" w:rsidP="00214AE0">
      <w:pPr>
        <w:ind w:right="-29"/>
        <w:outlineLvl w:val="0"/>
        <w:rPr>
          <w:sz w:val="22"/>
          <w:szCs w:val="22"/>
          <w:lang w:val="pl-PL"/>
        </w:rPr>
      </w:pPr>
    </w:p>
    <w:p w:rsidR="00B92A21" w:rsidRPr="00B92A21" w:rsidRDefault="00B92A21" w:rsidP="004D1428">
      <w:pPr>
        <w:tabs>
          <w:tab w:val="left" w:pos="567"/>
        </w:tabs>
        <w:rPr>
          <w:color w:val="1F497D"/>
          <w:sz w:val="22"/>
          <w:szCs w:val="22"/>
          <w:lang w:val="pl-PL"/>
        </w:rPr>
      </w:pPr>
      <w:r w:rsidRPr="00377B32">
        <w:rPr>
          <w:i/>
          <w:sz w:val="22"/>
          <w:lang w:val="pl-PL"/>
        </w:rPr>
        <w:t>Dzieci i młodzież</w:t>
      </w:r>
    </w:p>
    <w:p w:rsidR="0042431E" w:rsidRPr="004100C3" w:rsidRDefault="0042431E" w:rsidP="001D77E5">
      <w:pPr>
        <w:ind w:right="-29"/>
        <w:rPr>
          <w:sz w:val="22"/>
          <w:szCs w:val="22"/>
          <w:lang w:val="pl-PL"/>
        </w:rPr>
      </w:pPr>
      <w:r>
        <w:rPr>
          <w:sz w:val="22"/>
          <w:szCs w:val="22"/>
          <w:lang w:val="pl-PL"/>
        </w:rPr>
        <w:t xml:space="preserve">W badaniu ze zwiększaniem dawki, obejmującym </w:t>
      </w:r>
      <w:r w:rsidRPr="004100C3">
        <w:rPr>
          <w:sz w:val="22"/>
          <w:szCs w:val="22"/>
          <w:lang w:val="pl-PL"/>
        </w:rPr>
        <w:t>86 n</w:t>
      </w:r>
      <w:r>
        <w:rPr>
          <w:sz w:val="22"/>
          <w:szCs w:val="22"/>
          <w:lang w:val="pl-PL"/>
        </w:rPr>
        <w:t>oworodków</w:t>
      </w:r>
      <w:r w:rsidRPr="004100C3">
        <w:rPr>
          <w:sz w:val="22"/>
          <w:szCs w:val="22"/>
          <w:lang w:val="pl-PL"/>
        </w:rPr>
        <w:t xml:space="preserve"> </w:t>
      </w:r>
      <w:r>
        <w:rPr>
          <w:sz w:val="22"/>
          <w:szCs w:val="22"/>
          <w:lang w:val="pl-PL"/>
        </w:rPr>
        <w:t>lub</w:t>
      </w:r>
      <w:r w:rsidRPr="004100C3">
        <w:rPr>
          <w:sz w:val="22"/>
          <w:szCs w:val="22"/>
          <w:lang w:val="pl-PL"/>
        </w:rPr>
        <w:t xml:space="preserve"> </w:t>
      </w:r>
      <w:r>
        <w:rPr>
          <w:sz w:val="22"/>
          <w:szCs w:val="22"/>
          <w:lang w:val="pl-PL"/>
        </w:rPr>
        <w:t xml:space="preserve">niemowląt w wieku do </w:t>
      </w:r>
      <w:r w:rsidRPr="004100C3">
        <w:rPr>
          <w:sz w:val="22"/>
          <w:szCs w:val="22"/>
          <w:lang w:val="pl-PL"/>
        </w:rPr>
        <w:t>24</w:t>
      </w:r>
      <w:r>
        <w:rPr>
          <w:sz w:val="22"/>
          <w:szCs w:val="22"/>
          <w:lang w:val="pl-PL"/>
        </w:rPr>
        <w:t> </w:t>
      </w:r>
      <w:r w:rsidRPr="004100C3">
        <w:rPr>
          <w:sz w:val="22"/>
          <w:szCs w:val="22"/>
          <w:lang w:val="pl-PL"/>
        </w:rPr>
        <w:t>m</w:t>
      </w:r>
      <w:r>
        <w:rPr>
          <w:sz w:val="22"/>
          <w:szCs w:val="22"/>
          <w:lang w:val="pl-PL"/>
        </w:rPr>
        <w:t xml:space="preserve">iesięcy z grupy wysokiego ryzyka zakrzepicy </w:t>
      </w:r>
      <w:r w:rsidRPr="004100C3">
        <w:rPr>
          <w:sz w:val="22"/>
          <w:szCs w:val="22"/>
          <w:lang w:val="pl-PL"/>
        </w:rPr>
        <w:t xml:space="preserve">(PICOLO) </w:t>
      </w:r>
      <w:r>
        <w:rPr>
          <w:sz w:val="22"/>
          <w:szCs w:val="22"/>
          <w:lang w:val="pl-PL"/>
        </w:rPr>
        <w:t>klopidogrel</w:t>
      </w:r>
      <w:r w:rsidRPr="004100C3">
        <w:rPr>
          <w:sz w:val="22"/>
          <w:szCs w:val="22"/>
          <w:lang w:val="pl-PL"/>
        </w:rPr>
        <w:t xml:space="preserve"> </w:t>
      </w:r>
      <w:r>
        <w:rPr>
          <w:sz w:val="22"/>
          <w:szCs w:val="22"/>
          <w:lang w:val="pl-PL"/>
        </w:rPr>
        <w:t xml:space="preserve">oceniano w kolejnych dawkach </w:t>
      </w:r>
      <w:r w:rsidRPr="004100C3">
        <w:rPr>
          <w:sz w:val="22"/>
          <w:szCs w:val="22"/>
          <w:lang w:val="pl-PL"/>
        </w:rPr>
        <w:t>0</w:t>
      </w:r>
      <w:r>
        <w:rPr>
          <w:sz w:val="22"/>
          <w:szCs w:val="22"/>
          <w:lang w:val="pl-PL"/>
        </w:rPr>
        <w:t>,</w:t>
      </w:r>
      <w:r w:rsidRPr="004100C3">
        <w:rPr>
          <w:sz w:val="22"/>
          <w:szCs w:val="22"/>
          <w:lang w:val="pl-PL"/>
        </w:rPr>
        <w:t>01, 0</w:t>
      </w:r>
      <w:r>
        <w:rPr>
          <w:sz w:val="22"/>
          <w:szCs w:val="22"/>
          <w:lang w:val="pl-PL"/>
        </w:rPr>
        <w:t>,</w:t>
      </w:r>
      <w:r w:rsidRPr="004100C3">
        <w:rPr>
          <w:sz w:val="22"/>
          <w:szCs w:val="22"/>
          <w:lang w:val="pl-PL"/>
        </w:rPr>
        <w:t xml:space="preserve">1 </w:t>
      </w:r>
      <w:r>
        <w:rPr>
          <w:sz w:val="22"/>
          <w:szCs w:val="22"/>
          <w:lang w:val="pl-PL"/>
        </w:rPr>
        <w:t>i</w:t>
      </w:r>
      <w:r w:rsidRPr="004100C3">
        <w:rPr>
          <w:sz w:val="22"/>
          <w:szCs w:val="22"/>
          <w:lang w:val="pl-PL"/>
        </w:rPr>
        <w:t xml:space="preserve"> 0</w:t>
      </w:r>
      <w:r>
        <w:rPr>
          <w:sz w:val="22"/>
          <w:szCs w:val="22"/>
          <w:lang w:val="pl-PL"/>
        </w:rPr>
        <w:t>,</w:t>
      </w:r>
      <w:r w:rsidRPr="004100C3">
        <w:rPr>
          <w:sz w:val="22"/>
          <w:szCs w:val="22"/>
          <w:lang w:val="pl-PL"/>
        </w:rPr>
        <w:t>2 mg/kg</w:t>
      </w:r>
      <w:r w:rsidR="0021047C">
        <w:rPr>
          <w:sz w:val="22"/>
          <w:szCs w:val="22"/>
          <w:lang w:val="pl-PL"/>
        </w:rPr>
        <w:t xml:space="preserve"> mc.</w:t>
      </w:r>
      <w:r w:rsidRPr="004100C3">
        <w:rPr>
          <w:sz w:val="22"/>
          <w:szCs w:val="22"/>
          <w:lang w:val="pl-PL"/>
        </w:rPr>
        <w:t xml:space="preserve"> </w:t>
      </w:r>
      <w:r>
        <w:rPr>
          <w:sz w:val="22"/>
          <w:szCs w:val="22"/>
          <w:lang w:val="pl-PL"/>
        </w:rPr>
        <w:t xml:space="preserve">u </w:t>
      </w:r>
      <w:r w:rsidRPr="004100C3">
        <w:rPr>
          <w:sz w:val="22"/>
          <w:szCs w:val="22"/>
          <w:lang w:val="pl-PL"/>
        </w:rPr>
        <w:t xml:space="preserve">noworodków </w:t>
      </w:r>
      <w:r>
        <w:rPr>
          <w:sz w:val="22"/>
          <w:szCs w:val="22"/>
          <w:lang w:val="pl-PL"/>
        </w:rPr>
        <w:t>i</w:t>
      </w:r>
      <w:r w:rsidRPr="004100C3">
        <w:rPr>
          <w:sz w:val="22"/>
          <w:szCs w:val="22"/>
          <w:lang w:val="pl-PL"/>
        </w:rPr>
        <w:t xml:space="preserve"> niemowląt </w:t>
      </w:r>
      <w:r>
        <w:rPr>
          <w:sz w:val="22"/>
          <w:szCs w:val="22"/>
          <w:lang w:val="pl-PL"/>
        </w:rPr>
        <w:t>oraz w dawce</w:t>
      </w:r>
      <w:r w:rsidRPr="004100C3">
        <w:rPr>
          <w:sz w:val="22"/>
          <w:szCs w:val="22"/>
          <w:lang w:val="pl-PL"/>
        </w:rPr>
        <w:t xml:space="preserve"> 0</w:t>
      </w:r>
      <w:r>
        <w:rPr>
          <w:sz w:val="22"/>
          <w:szCs w:val="22"/>
          <w:lang w:val="pl-PL"/>
        </w:rPr>
        <w:t>,</w:t>
      </w:r>
      <w:r w:rsidRPr="004100C3">
        <w:rPr>
          <w:sz w:val="22"/>
          <w:szCs w:val="22"/>
          <w:lang w:val="pl-PL"/>
        </w:rPr>
        <w:t xml:space="preserve">15 mg/kg </w:t>
      </w:r>
      <w:r w:rsidR="0021047C">
        <w:rPr>
          <w:sz w:val="22"/>
          <w:szCs w:val="22"/>
          <w:lang w:val="pl-PL"/>
        </w:rPr>
        <w:t>mc.</w:t>
      </w:r>
      <w:r w:rsidR="00D721DB">
        <w:rPr>
          <w:sz w:val="22"/>
          <w:szCs w:val="22"/>
          <w:lang w:val="pl-PL"/>
        </w:rPr>
        <w:t xml:space="preserve"> </w:t>
      </w:r>
      <w:r w:rsidRPr="004100C3">
        <w:rPr>
          <w:sz w:val="22"/>
          <w:szCs w:val="22"/>
          <w:lang w:val="pl-PL"/>
        </w:rPr>
        <w:t xml:space="preserve">wyłącznie </w:t>
      </w:r>
      <w:r>
        <w:rPr>
          <w:sz w:val="22"/>
          <w:szCs w:val="22"/>
          <w:lang w:val="pl-PL"/>
        </w:rPr>
        <w:t>u niemowląt</w:t>
      </w:r>
      <w:r w:rsidRPr="004100C3">
        <w:rPr>
          <w:sz w:val="22"/>
          <w:szCs w:val="22"/>
          <w:lang w:val="pl-PL"/>
        </w:rPr>
        <w:t xml:space="preserve">. </w:t>
      </w:r>
      <w:r>
        <w:rPr>
          <w:sz w:val="22"/>
          <w:szCs w:val="22"/>
          <w:lang w:val="pl-PL"/>
        </w:rPr>
        <w:t xml:space="preserve">Dawka </w:t>
      </w:r>
      <w:r w:rsidRPr="004100C3">
        <w:rPr>
          <w:sz w:val="22"/>
          <w:szCs w:val="22"/>
          <w:lang w:val="pl-PL"/>
        </w:rPr>
        <w:t>0</w:t>
      </w:r>
      <w:r>
        <w:rPr>
          <w:sz w:val="22"/>
          <w:szCs w:val="22"/>
          <w:lang w:val="pl-PL"/>
        </w:rPr>
        <w:t>,</w:t>
      </w:r>
      <w:r w:rsidRPr="004100C3">
        <w:rPr>
          <w:sz w:val="22"/>
          <w:szCs w:val="22"/>
          <w:lang w:val="pl-PL"/>
        </w:rPr>
        <w:t xml:space="preserve">2 mg/kg </w:t>
      </w:r>
      <w:r w:rsidR="0021047C">
        <w:rPr>
          <w:sz w:val="22"/>
          <w:szCs w:val="22"/>
          <w:lang w:val="pl-PL"/>
        </w:rPr>
        <w:t xml:space="preserve">mc. </w:t>
      </w:r>
      <w:r>
        <w:rPr>
          <w:sz w:val="22"/>
          <w:szCs w:val="22"/>
          <w:lang w:val="pl-PL"/>
        </w:rPr>
        <w:t xml:space="preserve">powodowała największe procentowe zahamowanie na poziomie </w:t>
      </w:r>
      <w:r w:rsidRPr="004100C3">
        <w:rPr>
          <w:sz w:val="22"/>
          <w:szCs w:val="22"/>
          <w:lang w:val="pl-PL"/>
        </w:rPr>
        <w:t>49</w:t>
      </w:r>
      <w:r>
        <w:rPr>
          <w:sz w:val="22"/>
          <w:szCs w:val="22"/>
          <w:lang w:val="pl-PL"/>
        </w:rPr>
        <w:t>,</w:t>
      </w:r>
      <w:r w:rsidRPr="004100C3">
        <w:rPr>
          <w:sz w:val="22"/>
          <w:szCs w:val="22"/>
          <w:lang w:val="pl-PL"/>
        </w:rPr>
        <w:t>3% (</w:t>
      </w:r>
      <w:r>
        <w:rPr>
          <w:sz w:val="22"/>
          <w:szCs w:val="22"/>
          <w:lang w:val="pl-PL"/>
        </w:rPr>
        <w:t xml:space="preserve">agregacji płytek indukowanej </w:t>
      </w:r>
      <w:r w:rsidRPr="004100C3">
        <w:rPr>
          <w:sz w:val="22"/>
          <w:szCs w:val="22"/>
          <w:lang w:val="pl-PL"/>
        </w:rPr>
        <w:t>5 µM ADP)</w:t>
      </w:r>
      <w:r>
        <w:rPr>
          <w:sz w:val="22"/>
          <w:szCs w:val="22"/>
          <w:lang w:val="pl-PL"/>
        </w:rPr>
        <w:t>, co było porównywalne z danymi uzyskanymi u dorosłych przyjmujących pr</w:t>
      </w:r>
      <w:r w:rsidR="0021047C">
        <w:rPr>
          <w:sz w:val="22"/>
          <w:szCs w:val="22"/>
          <w:lang w:val="pl-PL"/>
        </w:rPr>
        <w:t>odukt</w:t>
      </w:r>
      <w:r>
        <w:rPr>
          <w:sz w:val="22"/>
          <w:szCs w:val="22"/>
          <w:lang w:val="pl-PL"/>
        </w:rPr>
        <w:t xml:space="preserve"> </w:t>
      </w:r>
      <w:r w:rsidRPr="004100C3">
        <w:rPr>
          <w:sz w:val="22"/>
          <w:szCs w:val="22"/>
          <w:lang w:val="pl-PL"/>
        </w:rPr>
        <w:t xml:space="preserve">Plavix </w:t>
      </w:r>
      <w:r>
        <w:rPr>
          <w:sz w:val="22"/>
          <w:szCs w:val="22"/>
          <w:lang w:val="pl-PL"/>
        </w:rPr>
        <w:t xml:space="preserve">w dawce </w:t>
      </w:r>
      <w:r w:rsidRPr="004100C3">
        <w:rPr>
          <w:sz w:val="22"/>
          <w:szCs w:val="22"/>
          <w:lang w:val="pl-PL"/>
        </w:rPr>
        <w:t>75 mg</w:t>
      </w:r>
      <w:r>
        <w:rPr>
          <w:sz w:val="22"/>
          <w:szCs w:val="22"/>
          <w:lang w:val="pl-PL"/>
        </w:rPr>
        <w:t>/dobę</w:t>
      </w:r>
      <w:r w:rsidRPr="004100C3">
        <w:rPr>
          <w:sz w:val="22"/>
          <w:szCs w:val="22"/>
          <w:lang w:val="pl-PL"/>
        </w:rPr>
        <w:t>.</w:t>
      </w:r>
    </w:p>
    <w:p w:rsidR="0042431E" w:rsidRPr="004100C3" w:rsidRDefault="0042431E" w:rsidP="001D77E5">
      <w:pPr>
        <w:ind w:right="-29"/>
        <w:outlineLvl w:val="0"/>
        <w:rPr>
          <w:sz w:val="22"/>
          <w:szCs w:val="22"/>
          <w:lang w:val="pl-PL"/>
        </w:rPr>
      </w:pPr>
      <w:r>
        <w:rPr>
          <w:sz w:val="22"/>
          <w:szCs w:val="22"/>
          <w:lang w:val="pl-PL"/>
        </w:rPr>
        <w:t>W</w:t>
      </w:r>
      <w:r w:rsidRPr="004100C3">
        <w:rPr>
          <w:sz w:val="22"/>
          <w:szCs w:val="22"/>
          <w:lang w:val="pl-PL"/>
        </w:rPr>
        <w:t xml:space="preserve"> randomi</w:t>
      </w:r>
      <w:r>
        <w:rPr>
          <w:sz w:val="22"/>
          <w:szCs w:val="22"/>
          <w:lang w:val="pl-PL"/>
        </w:rPr>
        <w:t>zowanym</w:t>
      </w:r>
      <w:r w:rsidRPr="004100C3">
        <w:rPr>
          <w:sz w:val="22"/>
          <w:szCs w:val="22"/>
          <w:lang w:val="pl-PL"/>
        </w:rPr>
        <w:t xml:space="preserve">, </w:t>
      </w:r>
      <w:r>
        <w:rPr>
          <w:sz w:val="22"/>
          <w:szCs w:val="22"/>
          <w:lang w:val="pl-PL"/>
        </w:rPr>
        <w:t xml:space="preserve">prowadzonym metodą podwójnie ślepej próby w grupach równoległych badaniu </w:t>
      </w:r>
      <w:r w:rsidRPr="004100C3">
        <w:rPr>
          <w:sz w:val="22"/>
          <w:szCs w:val="22"/>
          <w:lang w:val="pl-PL"/>
        </w:rPr>
        <w:t xml:space="preserve">(CLARINET) 906 </w:t>
      </w:r>
      <w:r>
        <w:rPr>
          <w:sz w:val="22"/>
          <w:szCs w:val="22"/>
          <w:lang w:val="pl-PL"/>
        </w:rPr>
        <w:t xml:space="preserve">dzieci </w:t>
      </w:r>
      <w:r w:rsidRPr="004100C3">
        <w:rPr>
          <w:sz w:val="22"/>
          <w:szCs w:val="22"/>
          <w:lang w:val="pl-PL"/>
        </w:rPr>
        <w:t xml:space="preserve">(noworodków i niemowląt) </w:t>
      </w:r>
      <w:r>
        <w:rPr>
          <w:sz w:val="22"/>
          <w:szCs w:val="22"/>
          <w:lang w:val="pl-PL"/>
        </w:rPr>
        <w:t xml:space="preserve">z wrodzoną </w:t>
      </w:r>
      <w:r w:rsidRPr="004100C3">
        <w:rPr>
          <w:sz w:val="22"/>
          <w:szCs w:val="22"/>
          <w:lang w:val="pl-PL"/>
        </w:rPr>
        <w:t xml:space="preserve">siniczą </w:t>
      </w:r>
      <w:r>
        <w:rPr>
          <w:sz w:val="22"/>
          <w:szCs w:val="22"/>
          <w:lang w:val="pl-PL"/>
        </w:rPr>
        <w:t xml:space="preserve">wadą serca, u których w ramach leczenia </w:t>
      </w:r>
      <w:r w:rsidRPr="004100C3">
        <w:rPr>
          <w:sz w:val="22"/>
          <w:szCs w:val="22"/>
          <w:lang w:val="pl-PL"/>
        </w:rPr>
        <w:t>paliat</w:t>
      </w:r>
      <w:r>
        <w:rPr>
          <w:sz w:val="22"/>
          <w:szCs w:val="22"/>
          <w:lang w:val="pl-PL"/>
        </w:rPr>
        <w:t xml:space="preserve">ywnego zastosowano </w:t>
      </w:r>
      <w:r w:rsidRPr="000E5619">
        <w:rPr>
          <w:sz w:val="22"/>
          <w:szCs w:val="22"/>
          <w:lang w:val="pl-PL"/>
        </w:rPr>
        <w:t>zespolenie tętnicz</w:t>
      </w:r>
      <w:r>
        <w:rPr>
          <w:sz w:val="22"/>
          <w:szCs w:val="22"/>
          <w:lang w:val="pl-PL"/>
        </w:rPr>
        <w:t>e</w:t>
      </w:r>
      <w:r w:rsidRPr="000E5619">
        <w:rPr>
          <w:sz w:val="22"/>
          <w:szCs w:val="22"/>
          <w:lang w:val="pl-PL"/>
        </w:rPr>
        <w:t xml:space="preserve"> systemowo-płucne</w:t>
      </w:r>
      <w:r>
        <w:rPr>
          <w:sz w:val="22"/>
          <w:szCs w:val="22"/>
          <w:lang w:val="pl-PL"/>
        </w:rPr>
        <w:t xml:space="preserve">, przydzielono w sposób </w:t>
      </w:r>
      <w:r w:rsidRPr="004100C3">
        <w:rPr>
          <w:sz w:val="22"/>
          <w:szCs w:val="22"/>
          <w:lang w:val="pl-PL"/>
        </w:rPr>
        <w:t>randomi</w:t>
      </w:r>
      <w:r>
        <w:rPr>
          <w:sz w:val="22"/>
          <w:szCs w:val="22"/>
          <w:lang w:val="pl-PL"/>
        </w:rPr>
        <w:t>zowany do grupy otrzymującej klopidogrel</w:t>
      </w:r>
      <w:r w:rsidRPr="004100C3">
        <w:rPr>
          <w:sz w:val="22"/>
          <w:szCs w:val="22"/>
          <w:lang w:val="pl-PL"/>
        </w:rPr>
        <w:t xml:space="preserve"> </w:t>
      </w:r>
      <w:r>
        <w:rPr>
          <w:sz w:val="22"/>
          <w:szCs w:val="22"/>
          <w:lang w:val="pl-PL"/>
        </w:rPr>
        <w:t xml:space="preserve">w dawce </w:t>
      </w:r>
      <w:r w:rsidRPr="004100C3">
        <w:rPr>
          <w:sz w:val="22"/>
          <w:szCs w:val="22"/>
          <w:lang w:val="pl-PL"/>
        </w:rPr>
        <w:t>0</w:t>
      </w:r>
      <w:r>
        <w:rPr>
          <w:sz w:val="22"/>
          <w:szCs w:val="22"/>
          <w:lang w:val="pl-PL"/>
        </w:rPr>
        <w:t>,</w:t>
      </w:r>
      <w:r w:rsidRPr="004100C3">
        <w:rPr>
          <w:sz w:val="22"/>
          <w:szCs w:val="22"/>
          <w:lang w:val="pl-PL"/>
        </w:rPr>
        <w:t xml:space="preserve">2 mg/kg </w:t>
      </w:r>
      <w:r w:rsidR="00543213">
        <w:rPr>
          <w:sz w:val="22"/>
          <w:szCs w:val="22"/>
          <w:lang w:val="pl-PL"/>
        </w:rPr>
        <w:t xml:space="preserve">mc. </w:t>
      </w:r>
      <w:r w:rsidRPr="004100C3">
        <w:rPr>
          <w:sz w:val="22"/>
          <w:szCs w:val="22"/>
          <w:lang w:val="pl-PL"/>
        </w:rPr>
        <w:t xml:space="preserve">(n=467) </w:t>
      </w:r>
      <w:r>
        <w:rPr>
          <w:sz w:val="22"/>
          <w:szCs w:val="22"/>
          <w:lang w:val="pl-PL"/>
        </w:rPr>
        <w:t>lub</w:t>
      </w:r>
      <w:r w:rsidRPr="004100C3">
        <w:rPr>
          <w:sz w:val="22"/>
          <w:szCs w:val="22"/>
          <w:lang w:val="pl-PL"/>
        </w:rPr>
        <w:t xml:space="preserve"> do grupy otrzymującej placebo (n=439)</w:t>
      </w:r>
      <w:r>
        <w:rPr>
          <w:sz w:val="22"/>
          <w:szCs w:val="22"/>
          <w:lang w:val="pl-PL"/>
        </w:rPr>
        <w:t>,</w:t>
      </w:r>
      <w:r w:rsidRPr="004100C3">
        <w:rPr>
          <w:sz w:val="22"/>
          <w:szCs w:val="22"/>
          <w:lang w:val="pl-PL"/>
        </w:rPr>
        <w:t xml:space="preserve"> </w:t>
      </w:r>
      <w:r w:rsidR="0021047C">
        <w:rPr>
          <w:sz w:val="22"/>
          <w:szCs w:val="22"/>
          <w:lang w:val="pl-PL"/>
        </w:rPr>
        <w:t>jednocześnie z</w:t>
      </w:r>
      <w:r>
        <w:rPr>
          <w:sz w:val="22"/>
          <w:szCs w:val="22"/>
          <w:lang w:val="pl-PL"/>
        </w:rPr>
        <w:t xml:space="preserve"> leczeniem podstawowym do chwili przeprowadzenia operacji drugiego stopnia</w:t>
      </w:r>
      <w:r w:rsidRPr="004100C3">
        <w:rPr>
          <w:sz w:val="22"/>
          <w:szCs w:val="22"/>
          <w:lang w:val="pl-PL"/>
        </w:rPr>
        <w:t xml:space="preserve">. </w:t>
      </w:r>
      <w:r>
        <w:rPr>
          <w:sz w:val="22"/>
          <w:szCs w:val="22"/>
          <w:lang w:val="pl-PL"/>
        </w:rPr>
        <w:t xml:space="preserve">Średni czas od paliatywnej operacji wykonania zespolenia do pierwszego podania badanego produktu leczniczego wynosił </w:t>
      </w:r>
      <w:r w:rsidRPr="004100C3">
        <w:rPr>
          <w:sz w:val="22"/>
          <w:szCs w:val="22"/>
          <w:lang w:val="pl-PL"/>
        </w:rPr>
        <w:t>20 d</w:t>
      </w:r>
      <w:r>
        <w:rPr>
          <w:sz w:val="22"/>
          <w:szCs w:val="22"/>
          <w:lang w:val="pl-PL"/>
        </w:rPr>
        <w:t>ni</w:t>
      </w:r>
      <w:r w:rsidRPr="004100C3">
        <w:rPr>
          <w:sz w:val="22"/>
          <w:szCs w:val="22"/>
          <w:lang w:val="pl-PL"/>
        </w:rPr>
        <w:t xml:space="preserve">. </w:t>
      </w:r>
      <w:r>
        <w:rPr>
          <w:sz w:val="22"/>
          <w:szCs w:val="22"/>
          <w:lang w:val="pl-PL"/>
        </w:rPr>
        <w:t xml:space="preserve">Około </w:t>
      </w:r>
      <w:r w:rsidRPr="004100C3">
        <w:rPr>
          <w:sz w:val="22"/>
          <w:szCs w:val="22"/>
          <w:lang w:val="pl-PL"/>
        </w:rPr>
        <w:t xml:space="preserve">88% </w:t>
      </w:r>
      <w:r>
        <w:rPr>
          <w:sz w:val="22"/>
          <w:szCs w:val="22"/>
          <w:lang w:val="pl-PL"/>
        </w:rPr>
        <w:t xml:space="preserve">pacjentów otrzymywało równocześnie kwas acetylosalicylowy </w:t>
      </w:r>
      <w:r w:rsidRPr="004100C3">
        <w:rPr>
          <w:sz w:val="22"/>
          <w:szCs w:val="22"/>
          <w:lang w:val="pl-PL"/>
        </w:rPr>
        <w:t>(</w:t>
      </w:r>
      <w:r>
        <w:rPr>
          <w:sz w:val="22"/>
          <w:szCs w:val="22"/>
          <w:lang w:val="pl-PL"/>
        </w:rPr>
        <w:t xml:space="preserve">w dawce od </w:t>
      </w:r>
      <w:r w:rsidRPr="004100C3">
        <w:rPr>
          <w:sz w:val="22"/>
          <w:szCs w:val="22"/>
          <w:lang w:val="pl-PL"/>
        </w:rPr>
        <w:t xml:space="preserve">1 </w:t>
      </w:r>
      <w:r>
        <w:rPr>
          <w:sz w:val="22"/>
          <w:szCs w:val="22"/>
          <w:lang w:val="pl-PL"/>
        </w:rPr>
        <w:t>d</w:t>
      </w:r>
      <w:r w:rsidRPr="004100C3">
        <w:rPr>
          <w:sz w:val="22"/>
          <w:szCs w:val="22"/>
          <w:lang w:val="pl-PL"/>
        </w:rPr>
        <w:t>o 23 mg/kg</w:t>
      </w:r>
      <w:r w:rsidR="00543213">
        <w:rPr>
          <w:sz w:val="22"/>
          <w:szCs w:val="22"/>
          <w:lang w:val="pl-PL"/>
        </w:rPr>
        <w:t xml:space="preserve"> mc. </w:t>
      </w:r>
      <w:r>
        <w:rPr>
          <w:sz w:val="22"/>
          <w:szCs w:val="22"/>
          <w:lang w:val="pl-PL"/>
        </w:rPr>
        <w:t>/dobę</w:t>
      </w:r>
      <w:r w:rsidRPr="004100C3">
        <w:rPr>
          <w:sz w:val="22"/>
          <w:szCs w:val="22"/>
          <w:lang w:val="pl-PL"/>
        </w:rPr>
        <w:t xml:space="preserve">). </w:t>
      </w:r>
      <w:r>
        <w:rPr>
          <w:sz w:val="22"/>
          <w:szCs w:val="22"/>
          <w:lang w:val="pl-PL"/>
        </w:rPr>
        <w:t>Nie stwierdzono istotnej różnicy pomiędzy grupami pod względem p</w:t>
      </w:r>
      <w:r w:rsidR="0052724E">
        <w:rPr>
          <w:sz w:val="22"/>
          <w:szCs w:val="22"/>
          <w:lang w:val="pl-PL"/>
        </w:rPr>
        <w:t xml:space="preserve">ierwszorzędowego </w:t>
      </w:r>
      <w:r w:rsidR="00013397">
        <w:rPr>
          <w:sz w:val="22"/>
          <w:szCs w:val="22"/>
          <w:lang w:val="pl-PL"/>
        </w:rPr>
        <w:t>równorzędnego punktu</w:t>
      </w:r>
      <w:r>
        <w:rPr>
          <w:sz w:val="22"/>
          <w:szCs w:val="22"/>
          <w:lang w:val="pl-PL"/>
        </w:rPr>
        <w:t xml:space="preserve"> końcowego </w:t>
      </w:r>
      <w:r w:rsidR="0052724E">
        <w:rPr>
          <w:sz w:val="22"/>
          <w:szCs w:val="22"/>
          <w:lang w:val="pl-PL"/>
        </w:rPr>
        <w:t>(</w:t>
      </w:r>
      <w:r>
        <w:rPr>
          <w:sz w:val="22"/>
          <w:szCs w:val="22"/>
          <w:lang w:val="pl-PL"/>
        </w:rPr>
        <w:t>zgonu, zakrzepicy</w:t>
      </w:r>
      <w:r w:rsidR="0052724E">
        <w:rPr>
          <w:sz w:val="22"/>
          <w:szCs w:val="22"/>
          <w:lang w:val="pl-PL"/>
        </w:rPr>
        <w:t>,</w:t>
      </w:r>
      <w:r>
        <w:rPr>
          <w:sz w:val="22"/>
          <w:szCs w:val="22"/>
          <w:lang w:val="pl-PL"/>
        </w:rPr>
        <w:t xml:space="preserve"> zespolenia lub</w:t>
      </w:r>
      <w:r w:rsidRPr="004100C3">
        <w:rPr>
          <w:sz w:val="22"/>
          <w:szCs w:val="22"/>
          <w:lang w:val="pl-PL"/>
        </w:rPr>
        <w:t xml:space="preserve"> </w:t>
      </w:r>
      <w:r>
        <w:rPr>
          <w:sz w:val="22"/>
          <w:szCs w:val="22"/>
          <w:lang w:val="pl-PL"/>
        </w:rPr>
        <w:t>interwencji kardiologicznej</w:t>
      </w:r>
      <w:r w:rsidR="0052724E">
        <w:rPr>
          <w:sz w:val="22"/>
          <w:szCs w:val="22"/>
          <w:lang w:val="pl-PL"/>
        </w:rPr>
        <w:t>)</w:t>
      </w:r>
      <w:r>
        <w:rPr>
          <w:sz w:val="22"/>
          <w:szCs w:val="22"/>
          <w:lang w:val="pl-PL"/>
        </w:rPr>
        <w:t xml:space="preserve"> przed ukończeniem </w:t>
      </w:r>
      <w:r w:rsidRPr="004100C3">
        <w:rPr>
          <w:sz w:val="22"/>
          <w:szCs w:val="22"/>
          <w:lang w:val="pl-PL"/>
        </w:rPr>
        <w:t>120 d</w:t>
      </w:r>
      <w:r>
        <w:rPr>
          <w:sz w:val="22"/>
          <w:szCs w:val="22"/>
          <w:lang w:val="pl-PL"/>
        </w:rPr>
        <w:t xml:space="preserve">ni życia po zdarzeniu uznanym za mające charakter zakrzepowy </w:t>
      </w:r>
      <w:r w:rsidR="0068326B">
        <w:rPr>
          <w:sz w:val="22"/>
          <w:szCs w:val="22"/>
          <w:lang w:val="pl-PL"/>
        </w:rPr>
        <w:t>[</w:t>
      </w:r>
      <w:r w:rsidRPr="004100C3">
        <w:rPr>
          <w:sz w:val="22"/>
          <w:szCs w:val="22"/>
          <w:lang w:val="pl-PL"/>
        </w:rPr>
        <w:t xml:space="preserve">89 </w:t>
      </w:r>
      <w:r w:rsidR="0068326B">
        <w:rPr>
          <w:sz w:val="22"/>
          <w:szCs w:val="22"/>
          <w:lang w:val="pl-PL"/>
        </w:rPr>
        <w:t>(</w:t>
      </w:r>
      <w:r w:rsidRPr="004100C3">
        <w:rPr>
          <w:sz w:val="22"/>
          <w:szCs w:val="22"/>
          <w:lang w:val="pl-PL"/>
        </w:rPr>
        <w:t>19</w:t>
      </w:r>
      <w:r>
        <w:rPr>
          <w:sz w:val="22"/>
          <w:szCs w:val="22"/>
          <w:lang w:val="pl-PL"/>
        </w:rPr>
        <w:t>,</w:t>
      </w:r>
      <w:r w:rsidRPr="004100C3">
        <w:rPr>
          <w:sz w:val="22"/>
          <w:szCs w:val="22"/>
          <w:lang w:val="pl-PL"/>
        </w:rPr>
        <w:t>1%</w:t>
      </w:r>
      <w:r w:rsidR="0068326B">
        <w:rPr>
          <w:sz w:val="22"/>
          <w:szCs w:val="22"/>
          <w:lang w:val="pl-PL"/>
        </w:rPr>
        <w:t>)</w:t>
      </w:r>
      <w:r w:rsidRPr="004100C3">
        <w:rPr>
          <w:sz w:val="22"/>
          <w:szCs w:val="22"/>
          <w:lang w:val="pl-PL"/>
        </w:rPr>
        <w:t xml:space="preserve"> </w:t>
      </w:r>
      <w:r>
        <w:rPr>
          <w:sz w:val="22"/>
          <w:szCs w:val="22"/>
          <w:lang w:val="pl-PL"/>
        </w:rPr>
        <w:t>w grupie klopidogrelu</w:t>
      </w:r>
      <w:r w:rsidRPr="004100C3">
        <w:rPr>
          <w:sz w:val="22"/>
          <w:szCs w:val="22"/>
          <w:lang w:val="pl-PL"/>
        </w:rPr>
        <w:t xml:space="preserve"> </w:t>
      </w:r>
      <w:r>
        <w:rPr>
          <w:sz w:val="22"/>
          <w:szCs w:val="22"/>
          <w:lang w:val="pl-PL"/>
        </w:rPr>
        <w:t>i</w:t>
      </w:r>
      <w:r w:rsidRPr="004100C3">
        <w:rPr>
          <w:sz w:val="22"/>
          <w:szCs w:val="22"/>
          <w:lang w:val="pl-PL"/>
        </w:rPr>
        <w:t xml:space="preserve"> 90 </w:t>
      </w:r>
      <w:r w:rsidR="0068326B">
        <w:rPr>
          <w:sz w:val="22"/>
          <w:szCs w:val="22"/>
          <w:lang w:val="pl-PL"/>
        </w:rPr>
        <w:t>(</w:t>
      </w:r>
      <w:r w:rsidRPr="004100C3">
        <w:rPr>
          <w:sz w:val="22"/>
          <w:szCs w:val="22"/>
          <w:lang w:val="pl-PL"/>
        </w:rPr>
        <w:t>20</w:t>
      </w:r>
      <w:r>
        <w:rPr>
          <w:sz w:val="22"/>
          <w:szCs w:val="22"/>
          <w:lang w:val="pl-PL"/>
        </w:rPr>
        <w:t>,</w:t>
      </w:r>
      <w:r w:rsidRPr="004100C3">
        <w:rPr>
          <w:sz w:val="22"/>
          <w:szCs w:val="22"/>
          <w:lang w:val="pl-PL"/>
        </w:rPr>
        <w:t>5%</w:t>
      </w:r>
      <w:r w:rsidR="0068326B">
        <w:rPr>
          <w:sz w:val="22"/>
          <w:szCs w:val="22"/>
          <w:lang w:val="pl-PL"/>
        </w:rPr>
        <w:t>)</w:t>
      </w:r>
      <w:r w:rsidRPr="004100C3">
        <w:rPr>
          <w:sz w:val="22"/>
          <w:szCs w:val="22"/>
          <w:lang w:val="pl-PL"/>
        </w:rPr>
        <w:t xml:space="preserve"> </w:t>
      </w:r>
      <w:r>
        <w:rPr>
          <w:sz w:val="22"/>
          <w:szCs w:val="22"/>
          <w:lang w:val="pl-PL"/>
        </w:rPr>
        <w:t xml:space="preserve">w grupie </w:t>
      </w:r>
      <w:r w:rsidRPr="004100C3">
        <w:rPr>
          <w:sz w:val="22"/>
          <w:szCs w:val="22"/>
          <w:lang w:val="pl-PL"/>
        </w:rPr>
        <w:t>placebo</w:t>
      </w:r>
      <w:r w:rsidR="0068326B">
        <w:rPr>
          <w:sz w:val="22"/>
          <w:szCs w:val="22"/>
          <w:lang w:val="pl-PL"/>
        </w:rPr>
        <w:t>]</w:t>
      </w:r>
      <w:r w:rsidRPr="004100C3">
        <w:rPr>
          <w:sz w:val="22"/>
          <w:szCs w:val="22"/>
          <w:lang w:val="pl-PL"/>
        </w:rPr>
        <w:t xml:space="preserve"> (</w:t>
      </w:r>
      <w:r>
        <w:rPr>
          <w:sz w:val="22"/>
          <w:szCs w:val="22"/>
          <w:lang w:val="pl-PL"/>
        </w:rPr>
        <w:t>patrz punkt</w:t>
      </w:r>
      <w:r w:rsidRPr="004100C3">
        <w:rPr>
          <w:sz w:val="22"/>
          <w:szCs w:val="22"/>
          <w:lang w:val="pl-PL"/>
        </w:rPr>
        <w:t xml:space="preserve"> 4.2). </w:t>
      </w:r>
      <w:r>
        <w:rPr>
          <w:sz w:val="22"/>
          <w:szCs w:val="22"/>
          <w:lang w:val="pl-PL"/>
        </w:rPr>
        <w:t>Najczęściej odnotowywanym działaniem niepożądanym w grupach zarówno klopidogrelu, jak</w:t>
      </w:r>
      <w:r w:rsidRPr="004100C3">
        <w:rPr>
          <w:sz w:val="22"/>
          <w:szCs w:val="22"/>
          <w:lang w:val="pl-PL"/>
        </w:rPr>
        <w:t xml:space="preserve"> </w:t>
      </w:r>
      <w:r>
        <w:rPr>
          <w:sz w:val="22"/>
          <w:szCs w:val="22"/>
          <w:lang w:val="pl-PL"/>
        </w:rPr>
        <w:t>i</w:t>
      </w:r>
      <w:r w:rsidRPr="004100C3">
        <w:rPr>
          <w:sz w:val="22"/>
          <w:szCs w:val="22"/>
          <w:lang w:val="pl-PL"/>
        </w:rPr>
        <w:t xml:space="preserve"> placebo</w:t>
      </w:r>
      <w:r>
        <w:rPr>
          <w:sz w:val="22"/>
          <w:szCs w:val="22"/>
          <w:lang w:val="pl-PL"/>
        </w:rPr>
        <w:t>,</w:t>
      </w:r>
      <w:r w:rsidRPr="000B3D0A">
        <w:rPr>
          <w:lang w:val="pl-PL"/>
        </w:rPr>
        <w:t xml:space="preserve"> </w:t>
      </w:r>
      <w:r w:rsidRPr="000E5619">
        <w:rPr>
          <w:sz w:val="22"/>
          <w:szCs w:val="22"/>
          <w:lang w:val="pl-PL"/>
        </w:rPr>
        <w:t>było krwawienie</w:t>
      </w:r>
      <w:r w:rsidRPr="004100C3">
        <w:rPr>
          <w:sz w:val="22"/>
          <w:szCs w:val="22"/>
          <w:lang w:val="pl-PL"/>
        </w:rPr>
        <w:t xml:space="preserve">; </w:t>
      </w:r>
      <w:r>
        <w:rPr>
          <w:sz w:val="22"/>
          <w:szCs w:val="22"/>
          <w:lang w:val="pl-PL"/>
        </w:rPr>
        <w:t xml:space="preserve">nie stwierdzono jednak </w:t>
      </w:r>
      <w:r w:rsidRPr="000E5619">
        <w:rPr>
          <w:sz w:val="22"/>
          <w:szCs w:val="22"/>
          <w:lang w:val="pl-PL"/>
        </w:rPr>
        <w:t>istotnej różnicy pomiędzy grupami</w:t>
      </w:r>
      <w:r>
        <w:rPr>
          <w:sz w:val="22"/>
          <w:szCs w:val="22"/>
          <w:lang w:val="pl-PL"/>
        </w:rPr>
        <w:t xml:space="preserve"> pod względem częstości krwawień</w:t>
      </w:r>
      <w:r w:rsidRPr="004100C3">
        <w:rPr>
          <w:sz w:val="22"/>
          <w:szCs w:val="22"/>
          <w:lang w:val="pl-PL"/>
        </w:rPr>
        <w:t xml:space="preserve">. </w:t>
      </w:r>
      <w:r>
        <w:rPr>
          <w:sz w:val="22"/>
          <w:szCs w:val="22"/>
          <w:lang w:val="pl-PL"/>
        </w:rPr>
        <w:t>W</w:t>
      </w:r>
      <w:r w:rsidR="0068326B">
        <w:rPr>
          <w:sz w:val="22"/>
          <w:szCs w:val="22"/>
          <w:lang w:val="pl-PL"/>
        </w:rPr>
        <w:t> </w:t>
      </w:r>
      <w:r>
        <w:rPr>
          <w:sz w:val="22"/>
          <w:szCs w:val="22"/>
          <w:lang w:val="pl-PL"/>
        </w:rPr>
        <w:t xml:space="preserve">długotrwałej obserwacji </w:t>
      </w:r>
      <w:r w:rsidRPr="000E5619">
        <w:rPr>
          <w:sz w:val="22"/>
          <w:szCs w:val="22"/>
          <w:lang w:val="pl-PL"/>
        </w:rPr>
        <w:t>bezpieczeństw</w:t>
      </w:r>
      <w:r>
        <w:rPr>
          <w:sz w:val="22"/>
          <w:szCs w:val="22"/>
          <w:lang w:val="pl-PL"/>
        </w:rPr>
        <w:t xml:space="preserve">a w fazie przedłużenia tego badania </w:t>
      </w:r>
      <w:r w:rsidRPr="004100C3">
        <w:rPr>
          <w:sz w:val="22"/>
          <w:szCs w:val="22"/>
          <w:lang w:val="pl-PL"/>
        </w:rPr>
        <w:t>26 </w:t>
      </w:r>
      <w:r>
        <w:rPr>
          <w:sz w:val="22"/>
          <w:szCs w:val="22"/>
          <w:lang w:val="pl-PL"/>
        </w:rPr>
        <w:t>pacjentów z</w:t>
      </w:r>
      <w:r w:rsidR="0068326B">
        <w:rPr>
          <w:sz w:val="22"/>
          <w:szCs w:val="22"/>
          <w:lang w:val="pl-PL"/>
        </w:rPr>
        <w:t> </w:t>
      </w:r>
      <w:r>
        <w:rPr>
          <w:sz w:val="22"/>
          <w:szCs w:val="22"/>
          <w:lang w:val="pl-PL"/>
        </w:rPr>
        <w:t>zespoleniem</w:t>
      </w:r>
      <w:r w:rsidRPr="000E5619">
        <w:rPr>
          <w:sz w:val="22"/>
          <w:szCs w:val="22"/>
          <w:lang w:val="pl-PL"/>
        </w:rPr>
        <w:t xml:space="preserve"> </w:t>
      </w:r>
      <w:r>
        <w:rPr>
          <w:sz w:val="22"/>
          <w:szCs w:val="22"/>
          <w:lang w:val="pl-PL"/>
        </w:rPr>
        <w:t xml:space="preserve">ciągle istniejącym w chwili ukończenia jednego roku życia otrzymywało klopidogrel przez </w:t>
      </w:r>
      <w:r w:rsidRPr="004100C3">
        <w:rPr>
          <w:sz w:val="22"/>
          <w:szCs w:val="22"/>
          <w:lang w:val="pl-PL"/>
        </w:rPr>
        <w:t>18 m</w:t>
      </w:r>
      <w:r>
        <w:rPr>
          <w:sz w:val="22"/>
          <w:szCs w:val="22"/>
          <w:lang w:val="pl-PL"/>
        </w:rPr>
        <w:t>iesięcy życia</w:t>
      </w:r>
      <w:r w:rsidRPr="004100C3">
        <w:rPr>
          <w:sz w:val="22"/>
          <w:szCs w:val="22"/>
          <w:lang w:val="pl-PL"/>
        </w:rPr>
        <w:t xml:space="preserve">. </w:t>
      </w:r>
      <w:r>
        <w:rPr>
          <w:sz w:val="22"/>
          <w:szCs w:val="22"/>
          <w:lang w:val="pl-PL"/>
        </w:rPr>
        <w:t xml:space="preserve">W trakcie tej </w:t>
      </w:r>
      <w:r w:rsidRPr="000E5619">
        <w:rPr>
          <w:sz w:val="22"/>
          <w:szCs w:val="22"/>
          <w:lang w:val="pl-PL"/>
        </w:rPr>
        <w:t xml:space="preserve">długotrwałej obserwacji </w:t>
      </w:r>
      <w:r>
        <w:rPr>
          <w:sz w:val="22"/>
          <w:szCs w:val="22"/>
          <w:lang w:val="pl-PL"/>
        </w:rPr>
        <w:t>nie stwierdzono jakichkolwiek nowych zagrożeń bezpieczeństwa</w:t>
      </w:r>
      <w:r w:rsidRPr="004100C3">
        <w:rPr>
          <w:sz w:val="22"/>
          <w:szCs w:val="22"/>
          <w:lang w:val="pl-PL"/>
        </w:rPr>
        <w:t>.</w:t>
      </w:r>
    </w:p>
    <w:p w:rsidR="0042431E" w:rsidRPr="004100C3" w:rsidRDefault="0042431E" w:rsidP="0042431E">
      <w:pPr>
        <w:ind w:right="-29"/>
        <w:jc w:val="both"/>
        <w:outlineLvl w:val="0"/>
        <w:rPr>
          <w:sz w:val="22"/>
          <w:szCs w:val="22"/>
          <w:lang w:val="pl-PL"/>
        </w:rPr>
      </w:pPr>
    </w:p>
    <w:p w:rsidR="0042431E" w:rsidRPr="004100C3" w:rsidRDefault="0042431E" w:rsidP="001D77E5">
      <w:pPr>
        <w:ind w:right="-29"/>
        <w:rPr>
          <w:sz w:val="22"/>
          <w:szCs w:val="22"/>
          <w:lang w:val="pl-PL"/>
        </w:rPr>
      </w:pPr>
      <w:r>
        <w:rPr>
          <w:sz w:val="22"/>
          <w:szCs w:val="22"/>
          <w:lang w:val="pl-PL"/>
        </w:rPr>
        <w:t xml:space="preserve">Przeprowadzono badania </w:t>
      </w:r>
      <w:r w:rsidRPr="004100C3">
        <w:rPr>
          <w:sz w:val="22"/>
          <w:szCs w:val="22"/>
          <w:lang w:val="pl-PL"/>
        </w:rPr>
        <w:t xml:space="preserve">CLARINET </w:t>
      </w:r>
      <w:r>
        <w:rPr>
          <w:sz w:val="22"/>
          <w:szCs w:val="22"/>
          <w:lang w:val="pl-PL"/>
        </w:rPr>
        <w:t>i</w:t>
      </w:r>
      <w:r w:rsidRPr="004100C3">
        <w:rPr>
          <w:sz w:val="22"/>
          <w:szCs w:val="22"/>
          <w:lang w:val="pl-PL"/>
        </w:rPr>
        <w:t xml:space="preserve"> PICOLO </w:t>
      </w:r>
      <w:r>
        <w:rPr>
          <w:sz w:val="22"/>
          <w:szCs w:val="22"/>
          <w:lang w:val="pl-PL"/>
        </w:rPr>
        <w:t>z użyciem sporządzanego przed podaniem roztworu klopidogrelu</w:t>
      </w:r>
      <w:r w:rsidRPr="004100C3">
        <w:rPr>
          <w:sz w:val="22"/>
          <w:szCs w:val="22"/>
          <w:lang w:val="pl-PL"/>
        </w:rPr>
        <w:t xml:space="preserve">. </w:t>
      </w:r>
      <w:r>
        <w:rPr>
          <w:sz w:val="22"/>
          <w:szCs w:val="22"/>
          <w:lang w:val="pl-PL"/>
        </w:rPr>
        <w:t>W badaniu względnej dostępności biologicznej u dorosłych po podaniu sporządzonego roztworu klopidogrelu stwierdzono podobny stopień i nieco większą szybkość wchłaniania głównego krążącego (nie</w:t>
      </w:r>
      <w:r w:rsidR="0052724E">
        <w:rPr>
          <w:sz w:val="22"/>
          <w:szCs w:val="22"/>
          <w:lang w:val="pl-PL"/>
        </w:rPr>
        <w:t>czynnego</w:t>
      </w:r>
      <w:r>
        <w:rPr>
          <w:sz w:val="22"/>
          <w:szCs w:val="22"/>
          <w:lang w:val="pl-PL"/>
        </w:rPr>
        <w:t xml:space="preserve">) </w:t>
      </w:r>
      <w:r w:rsidRPr="004100C3">
        <w:rPr>
          <w:sz w:val="22"/>
          <w:szCs w:val="22"/>
          <w:lang w:val="pl-PL"/>
        </w:rPr>
        <w:t>metabolit</w:t>
      </w:r>
      <w:r>
        <w:rPr>
          <w:sz w:val="22"/>
          <w:szCs w:val="22"/>
          <w:lang w:val="pl-PL"/>
        </w:rPr>
        <w:t xml:space="preserve">u w porównaniu z zarejestrowaną </w:t>
      </w:r>
      <w:r w:rsidRPr="004100C3">
        <w:rPr>
          <w:sz w:val="22"/>
          <w:szCs w:val="22"/>
          <w:lang w:val="pl-PL"/>
        </w:rPr>
        <w:t>tablet</w:t>
      </w:r>
      <w:r>
        <w:rPr>
          <w:sz w:val="22"/>
          <w:szCs w:val="22"/>
          <w:lang w:val="pl-PL"/>
        </w:rPr>
        <w:t>ką</w:t>
      </w:r>
      <w:r w:rsidRPr="004100C3">
        <w:rPr>
          <w:sz w:val="22"/>
          <w:szCs w:val="22"/>
          <w:lang w:val="pl-PL"/>
        </w:rPr>
        <w:t>.</w:t>
      </w:r>
    </w:p>
    <w:p w:rsidR="0042431E" w:rsidRPr="00022436" w:rsidRDefault="0042431E">
      <w:pPr>
        <w:pStyle w:val="Heading2"/>
        <w:tabs>
          <w:tab w:val="left" w:pos="567"/>
        </w:tabs>
        <w:spacing w:before="0" w:after="0"/>
        <w:rPr>
          <w:rFonts w:ascii="Times New Roman" w:hAnsi="Times New Roman"/>
          <w:b w:val="0"/>
          <w:i w:val="0"/>
          <w:sz w:val="22"/>
          <w:lang w:val="pl-PL"/>
        </w:rPr>
      </w:pPr>
    </w:p>
    <w:p w:rsidR="00BC4936" w:rsidRDefault="00BC4936">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5.2</w:t>
      </w:r>
      <w:r>
        <w:rPr>
          <w:rFonts w:ascii="Times New Roman" w:hAnsi="Times New Roman"/>
          <w:i w:val="0"/>
          <w:sz w:val="22"/>
          <w:lang w:val="pl-PL"/>
        </w:rPr>
        <w:tab/>
        <w:t>Właściwości farmakokinetyczne</w:t>
      </w:r>
    </w:p>
    <w:p w:rsidR="00BC4936" w:rsidRDefault="00BC4936">
      <w:pPr>
        <w:rPr>
          <w:sz w:val="22"/>
          <w:lang w:val="pl-PL"/>
        </w:rPr>
      </w:pPr>
    </w:p>
    <w:p w:rsidR="005E178B" w:rsidRPr="005E178B" w:rsidRDefault="005E178B">
      <w:pPr>
        <w:rPr>
          <w:i/>
          <w:sz w:val="22"/>
          <w:lang w:val="pl-PL"/>
        </w:rPr>
      </w:pPr>
      <w:r w:rsidRPr="005E178B">
        <w:rPr>
          <w:i/>
          <w:sz w:val="22"/>
          <w:lang w:val="pl-PL"/>
        </w:rPr>
        <w:t>Wchłanianie</w:t>
      </w:r>
    </w:p>
    <w:p w:rsidR="00BC4936" w:rsidRDefault="00BC4936" w:rsidP="00DA2603">
      <w:pPr>
        <w:tabs>
          <w:tab w:val="left" w:pos="4140"/>
        </w:tabs>
        <w:rPr>
          <w:sz w:val="22"/>
          <w:lang w:val="pl-PL"/>
        </w:rPr>
      </w:pPr>
      <w:r w:rsidRPr="005E178B">
        <w:rPr>
          <w:sz w:val="22"/>
          <w:szCs w:val="22"/>
          <w:lang w:val="pl-PL"/>
        </w:rPr>
        <w:t xml:space="preserve">Po </w:t>
      </w:r>
      <w:r w:rsidR="001C6AB9" w:rsidRPr="005E178B">
        <w:rPr>
          <w:sz w:val="22"/>
          <w:szCs w:val="22"/>
          <w:lang w:val="pl-PL"/>
        </w:rPr>
        <w:t xml:space="preserve">pojedynczych i </w:t>
      </w:r>
      <w:r w:rsidRPr="005E178B">
        <w:rPr>
          <w:sz w:val="22"/>
          <w:szCs w:val="22"/>
          <w:lang w:val="pl-PL"/>
        </w:rPr>
        <w:t>powtarzanych dawkach doustnych 75 mg na dobę, klopidogrel jest szybko wchłaniany.</w:t>
      </w:r>
      <w:r w:rsidR="001C6AB9" w:rsidRPr="005E178B">
        <w:rPr>
          <w:sz w:val="22"/>
          <w:szCs w:val="22"/>
          <w:lang w:val="pl-PL"/>
        </w:rPr>
        <w:t xml:space="preserve"> Średnie </w:t>
      </w:r>
      <w:r w:rsidR="005E10F3">
        <w:rPr>
          <w:sz w:val="22"/>
          <w:szCs w:val="22"/>
          <w:lang w:val="pl-PL"/>
        </w:rPr>
        <w:t>maksymalne</w:t>
      </w:r>
      <w:r w:rsidR="001C6AB9" w:rsidRPr="005E178B">
        <w:rPr>
          <w:sz w:val="22"/>
          <w:szCs w:val="22"/>
          <w:lang w:val="pl-PL"/>
        </w:rPr>
        <w:t xml:space="preserve"> stężenie </w:t>
      </w:r>
      <w:r w:rsidR="005E10F3">
        <w:rPr>
          <w:sz w:val="22"/>
          <w:szCs w:val="22"/>
          <w:lang w:val="pl-PL"/>
        </w:rPr>
        <w:t xml:space="preserve">w osoczu </w:t>
      </w:r>
      <w:r w:rsidR="001C6AB9" w:rsidRPr="005E178B">
        <w:rPr>
          <w:sz w:val="22"/>
          <w:szCs w:val="22"/>
          <w:lang w:val="pl-PL"/>
        </w:rPr>
        <w:t>niezmienionego klopidogrelu (około</w:t>
      </w:r>
      <w:r w:rsidR="00600AB0">
        <w:rPr>
          <w:sz w:val="22"/>
          <w:szCs w:val="22"/>
          <w:lang w:val="pl-PL"/>
        </w:rPr>
        <w:t> </w:t>
      </w:r>
      <w:r w:rsidR="001C6AB9" w:rsidRPr="005E178B">
        <w:rPr>
          <w:sz w:val="22"/>
          <w:szCs w:val="22"/>
          <w:lang w:val="pl-PL"/>
        </w:rPr>
        <w:t>2,2</w:t>
      </w:r>
      <w:r w:rsidR="00600AB0">
        <w:rPr>
          <w:sz w:val="22"/>
          <w:szCs w:val="22"/>
          <w:lang w:val="pl-PL"/>
        </w:rPr>
        <w:noBreakHyphen/>
      </w:r>
      <w:r w:rsidR="001C6AB9" w:rsidRPr="005E178B">
        <w:rPr>
          <w:sz w:val="22"/>
          <w:szCs w:val="22"/>
          <w:lang w:val="pl-PL"/>
        </w:rPr>
        <w:t>2,5</w:t>
      </w:r>
      <w:r w:rsidR="001B5F49">
        <w:rPr>
          <w:sz w:val="22"/>
          <w:lang w:val="pl-PL"/>
        </w:rPr>
        <w:t> </w:t>
      </w:r>
      <w:r w:rsidR="001C6AB9" w:rsidRPr="005E178B">
        <w:rPr>
          <w:sz w:val="22"/>
          <w:szCs w:val="22"/>
          <w:lang w:val="pl-PL"/>
        </w:rPr>
        <w:t xml:space="preserve">ng/ml po jednej dawce 75 mg leku) występuje około 45 minut po podaniu </w:t>
      </w:r>
      <w:r w:rsidR="0052724E">
        <w:rPr>
          <w:sz w:val="22"/>
          <w:szCs w:val="22"/>
          <w:lang w:val="pl-PL"/>
        </w:rPr>
        <w:t>produktu</w:t>
      </w:r>
      <w:r w:rsidR="001C6AB9" w:rsidRPr="005E178B">
        <w:rPr>
          <w:sz w:val="22"/>
          <w:szCs w:val="22"/>
          <w:lang w:val="pl-PL"/>
        </w:rPr>
        <w:t>.</w:t>
      </w:r>
      <w:r w:rsidR="001C6AB9">
        <w:rPr>
          <w:lang w:val="pl-PL"/>
        </w:rPr>
        <w:t xml:space="preserve"> </w:t>
      </w:r>
      <w:r>
        <w:rPr>
          <w:sz w:val="22"/>
          <w:lang w:val="pl-PL"/>
        </w:rPr>
        <w:t>Wchłanianie wynosi co najmniej 50%, na podstawie wydalania z moczem metabolitów klopidogrelu.</w:t>
      </w:r>
    </w:p>
    <w:p w:rsidR="005E178B" w:rsidRPr="001C6AB9" w:rsidRDefault="005E178B" w:rsidP="00DA2603">
      <w:pPr>
        <w:tabs>
          <w:tab w:val="left" w:pos="4140"/>
        </w:tabs>
        <w:rPr>
          <w:lang w:val="pl-PL"/>
        </w:rPr>
      </w:pPr>
      <w:bookmarkStart w:id="24" w:name="OLE_LINK3"/>
      <w:bookmarkStart w:id="25" w:name="OLE_LINK4"/>
    </w:p>
    <w:p w:rsidR="00BC4936" w:rsidRDefault="00DA2603" w:rsidP="005E178B">
      <w:pPr>
        <w:tabs>
          <w:tab w:val="left" w:pos="567"/>
        </w:tabs>
        <w:rPr>
          <w:lang w:val="pl-PL"/>
        </w:rPr>
      </w:pPr>
      <w:r>
        <w:rPr>
          <w:i/>
          <w:sz w:val="22"/>
          <w:lang w:val="pl-PL"/>
        </w:rPr>
        <w:t>Dystrybucja</w:t>
      </w:r>
    </w:p>
    <w:p w:rsidR="00BC4936" w:rsidRDefault="00BC4936">
      <w:pPr>
        <w:tabs>
          <w:tab w:val="left" w:pos="567"/>
        </w:tabs>
        <w:rPr>
          <w:sz w:val="22"/>
          <w:lang w:val="pl-PL"/>
        </w:rPr>
      </w:pPr>
      <w:r>
        <w:rPr>
          <w:sz w:val="22"/>
          <w:lang w:val="pl-PL"/>
        </w:rPr>
        <w:t xml:space="preserve">Klopidogrel i główny krążący metabolit </w:t>
      </w:r>
      <w:r w:rsidR="005E10F3">
        <w:rPr>
          <w:sz w:val="22"/>
          <w:lang w:val="pl-PL"/>
        </w:rPr>
        <w:t>(nie</w:t>
      </w:r>
      <w:r w:rsidR="00253BDF">
        <w:rPr>
          <w:sz w:val="22"/>
          <w:lang w:val="pl-PL"/>
        </w:rPr>
        <w:t>czynny</w:t>
      </w:r>
      <w:r w:rsidR="005E10F3">
        <w:rPr>
          <w:sz w:val="22"/>
          <w:lang w:val="pl-PL"/>
        </w:rPr>
        <w:t xml:space="preserve">) </w:t>
      </w:r>
      <w:r>
        <w:rPr>
          <w:sz w:val="22"/>
          <w:lang w:val="pl-PL"/>
        </w:rPr>
        <w:t xml:space="preserve">wiążą się odwracalnie </w:t>
      </w:r>
      <w:r>
        <w:rPr>
          <w:i/>
          <w:sz w:val="22"/>
          <w:lang w:val="pl-PL"/>
        </w:rPr>
        <w:t>in vitro</w:t>
      </w:r>
      <w:r>
        <w:rPr>
          <w:sz w:val="22"/>
          <w:lang w:val="pl-PL"/>
        </w:rPr>
        <w:t xml:space="preserve"> z białkami osocza</w:t>
      </w:r>
      <w:r w:rsidR="00600AB0">
        <w:rPr>
          <w:sz w:val="22"/>
          <w:lang w:val="pl-PL"/>
        </w:rPr>
        <w:t xml:space="preserve"> </w:t>
      </w:r>
      <w:r>
        <w:rPr>
          <w:sz w:val="22"/>
          <w:lang w:val="pl-PL"/>
        </w:rPr>
        <w:t xml:space="preserve">ludzkiego (odpowiednio 98% i 94%). Wiązanie to </w:t>
      </w:r>
      <w:r>
        <w:rPr>
          <w:i/>
          <w:sz w:val="22"/>
          <w:lang w:val="pl-PL"/>
        </w:rPr>
        <w:t>in vitro</w:t>
      </w:r>
      <w:r>
        <w:rPr>
          <w:sz w:val="22"/>
          <w:lang w:val="pl-PL"/>
        </w:rPr>
        <w:t xml:space="preserve"> nie ulega wysyceniu w szerokim zakresie stężeń. </w:t>
      </w:r>
    </w:p>
    <w:p w:rsidR="00BC4936" w:rsidRDefault="00BC4936" w:rsidP="002A3419">
      <w:pPr>
        <w:tabs>
          <w:tab w:val="left" w:pos="567"/>
        </w:tabs>
        <w:rPr>
          <w:sz w:val="22"/>
          <w:lang w:val="pl-PL"/>
        </w:rPr>
      </w:pPr>
    </w:p>
    <w:p w:rsidR="00F75873" w:rsidRDefault="0068326B" w:rsidP="00F75873">
      <w:pPr>
        <w:numPr>
          <w:ilvl w:val="12"/>
          <w:numId w:val="0"/>
        </w:numPr>
        <w:rPr>
          <w:i/>
          <w:sz w:val="22"/>
          <w:szCs w:val="22"/>
          <w:lang w:val="pl-PL"/>
        </w:rPr>
      </w:pPr>
      <w:r>
        <w:rPr>
          <w:i/>
          <w:sz w:val="22"/>
          <w:szCs w:val="22"/>
          <w:lang w:val="pl-PL"/>
        </w:rPr>
        <w:t>Metabolizm</w:t>
      </w:r>
    </w:p>
    <w:p w:rsidR="00DA2603" w:rsidRDefault="00DA2603" w:rsidP="00DA2603">
      <w:pPr>
        <w:tabs>
          <w:tab w:val="left" w:pos="4140"/>
        </w:tabs>
        <w:rPr>
          <w:sz w:val="22"/>
          <w:szCs w:val="22"/>
          <w:lang w:val="pl-PL"/>
        </w:rPr>
      </w:pPr>
      <w:r w:rsidRPr="00DA2603">
        <w:rPr>
          <w:sz w:val="22"/>
          <w:szCs w:val="22"/>
          <w:lang w:val="pl-PL"/>
        </w:rPr>
        <w:t xml:space="preserve">Klopidogrel jest w znacznym stopniu metabolizowany w wątrobie. W warunkach </w:t>
      </w:r>
      <w:r w:rsidRPr="00DA2603">
        <w:rPr>
          <w:i/>
          <w:sz w:val="22"/>
          <w:szCs w:val="22"/>
          <w:lang w:val="pl-PL"/>
        </w:rPr>
        <w:t>in vitro</w:t>
      </w:r>
      <w:r w:rsidRPr="00DA2603">
        <w:rPr>
          <w:sz w:val="22"/>
          <w:szCs w:val="22"/>
          <w:lang w:val="pl-PL"/>
        </w:rPr>
        <w:t xml:space="preserve"> jak i </w:t>
      </w:r>
      <w:r w:rsidRPr="00DA2603">
        <w:rPr>
          <w:i/>
          <w:sz w:val="22"/>
          <w:szCs w:val="22"/>
          <w:lang w:val="pl-PL"/>
        </w:rPr>
        <w:t xml:space="preserve">in vivo </w:t>
      </w:r>
      <w:r w:rsidRPr="00DA2603">
        <w:rPr>
          <w:sz w:val="22"/>
          <w:szCs w:val="22"/>
          <w:lang w:val="pl-PL"/>
        </w:rPr>
        <w:t xml:space="preserve">metabolizm </w:t>
      </w:r>
      <w:r w:rsidR="005E10F3">
        <w:rPr>
          <w:sz w:val="22"/>
          <w:szCs w:val="22"/>
          <w:lang w:val="pl-PL"/>
        </w:rPr>
        <w:t xml:space="preserve">klopidogrelu </w:t>
      </w:r>
      <w:r w:rsidRPr="00DA2603">
        <w:rPr>
          <w:sz w:val="22"/>
          <w:szCs w:val="22"/>
          <w:lang w:val="pl-PL"/>
        </w:rPr>
        <w:t xml:space="preserve">odbywa się poprzez dwa główne szlaki metaboliczne: w pierwszym udział biorą esterazy hydrolizując klopidogrel do nieaktywnej pochodnej - kwasu karboksylowego (stanowi 85% krążących w osoczu metabolitów), natomiast w drugim pośredniczą liczne izoenzymy cytochromu P450. Początkowo klopidogrel jest metabolizowany do metabolitu pośredniego </w:t>
      </w:r>
      <w:r w:rsidR="00600AB0">
        <w:rPr>
          <w:sz w:val="22"/>
          <w:szCs w:val="22"/>
          <w:lang w:val="pl-PL"/>
        </w:rPr>
        <w:t>–</w:t>
      </w:r>
      <w:r w:rsidRPr="00DA2603">
        <w:rPr>
          <w:sz w:val="22"/>
          <w:szCs w:val="22"/>
          <w:lang w:val="pl-PL"/>
        </w:rPr>
        <w:t xml:space="preserve"> 2</w:t>
      </w:r>
      <w:r w:rsidR="00600AB0">
        <w:rPr>
          <w:sz w:val="22"/>
          <w:szCs w:val="22"/>
          <w:lang w:val="pl-PL"/>
        </w:rPr>
        <w:noBreakHyphen/>
      </w:r>
      <w:r w:rsidRPr="00DA2603">
        <w:rPr>
          <w:sz w:val="22"/>
          <w:szCs w:val="22"/>
          <w:lang w:val="pl-PL"/>
        </w:rPr>
        <w:t>oksoklopidogrelu, który następnie ulega przekształceniu w czynny metabolit, pochodną tiolową klopidogrelu.</w:t>
      </w:r>
      <w:r w:rsidR="00093ADA">
        <w:rPr>
          <w:sz w:val="22"/>
          <w:szCs w:val="22"/>
          <w:lang w:val="pl-PL"/>
        </w:rPr>
        <w:t xml:space="preserve"> </w:t>
      </w:r>
      <w:r w:rsidR="00373E2F">
        <w:rPr>
          <w:sz w:val="22"/>
          <w:szCs w:val="22"/>
          <w:lang w:val="pl-PL"/>
        </w:rPr>
        <w:t>Czynny</w:t>
      </w:r>
      <w:r w:rsidR="00093ADA">
        <w:rPr>
          <w:sz w:val="22"/>
          <w:szCs w:val="22"/>
          <w:lang w:val="pl-PL"/>
        </w:rPr>
        <w:t xml:space="preserve"> metabolit jest tworzony głównie przez CYP2C19, przy udziale kilku </w:t>
      </w:r>
      <w:r w:rsidR="00BD7F84">
        <w:rPr>
          <w:sz w:val="22"/>
          <w:szCs w:val="22"/>
          <w:lang w:val="pl-PL"/>
        </w:rPr>
        <w:t>innych izoenzymów</w:t>
      </w:r>
      <w:r w:rsidR="00093ADA">
        <w:rPr>
          <w:sz w:val="22"/>
          <w:szCs w:val="22"/>
          <w:lang w:val="pl-PL"/>
        </w:rPr>
        <w:t xml:space="preserve">, takich jak: </w:t>
      </w:r>
      <w:r w:rsidRPr="00DA2603">
        <w:rPr>
          <w:sz w:val="22"/>
          <w:szCs w:val="22"/>
          <w:lang w:val="pl-PL"/>
        </w:rPr>
        <w:t>CYP1A2, CYP2B6</w:t>
      </w:r>
      <w:r w:rsidR="00093ADA" w:rsidRPr="00093ADA">
        <w:rPr>
          <w:sz w:val="22"/>
          <w:szCs w:val="22"/>
          <w:lang w:val="pl-PL"/>
        </w:rPr>
        <w:t xml:space="preserve"> </w:t>
      </w:r>
      <w:r w:rsidR="00093ADA">
        <w:rPr>
          <w:sz w:val="22"/>
          <w:szCs w:val="22"/>
          <w:lang w:val="pl-PL"/>
        </w:rPr>
        <w:t xml:space="preserve">i </w:t>
      </w:r>
      <w:r w:rsidR="00093ADA" w:rsidRPr="00DA2603">
        <w:rPr>
          <w:sz w:val="22"/>
          <w:szCs w:val="22"/>
          <w:lang w:val="pl-PL"/>
        </w:rPr>
        <w:t>CYP3A4</w:t>
      </w:r>
      <w:r w:rsidRPr="00DA2603">
        <w:rPr>
          <w:sz w:val="22"/>
          <w:szCs w:val="22"/>
          <w:lang w:val="pl-PL"/>
        </w:rPr>
        <w:t xml:space="preserve">. </w:t>
      </w:r>
      <w:r w:rsidR="00253BDF">
        <w:rPr>
          <w:sz w:val="22"/>
          <w:szCs w:val="22"/>
          <w:lang w:val="pl-PL"/>
        </w:rPr>
        <w:t xml:space="preserve">Czynny </w:t>
      </w:r>
      <w:r w:rsidRPr="00DA2603">
        <w:rPr>
          <w:sz w:val="22"/>
          <w:szCs w:val="22"/>
          <w:lang w:val="pl-PL"/>
        </w:rPr>
        <w:t xml:space="preserve">metabolit tiolowy, który wyizolowano </w:t>
      </w:r>
      <w:r w:rsidRPr="00DA2603">
        <w:rPr>
          <w:i/>
          <w:sz w:val="22"/>
          <w:szCs w:val="22"/>
          <w:lang w:val="pl-PL"/>
        </w:rPr>
        <w:t xml:space="preserve">in vitro, </w:t>
      </w:r>
      <w:r w:rsidRPr="00DA2603">
        <w:rPr>
          <w:sz w:val="22"/>
          <w:szCs w:val="22"/>
          <w:lang w:val="pl-PL"/>
        </w:rPr>
        <w:t>szybko i nieodwracalnie wiąże się z</w:t>
      </w:r>
      <w:r w:rsidR="001B5F49">
        <w:rPr>
          <w:sz w:val="22"/>
          <w:lang w:val="pl-PL"/>
        </w:rPr>
        <w:t> </w:t>
      </w:r>
      <w:r w:rsidRPr="00DA2603">
        <w:rPr>
          <w:sz w:val="22"/>
          <w:szCs w:val="22"/>
          <w:lang w:val="pl-PL"/>
        </w:rPr>
        <w:t xml:space="preserve">receptorami płytek krwi, hamując ich agregację. </w:t>
      </w:r>
    </w:p>
    <w:p w:rsidR="001B5862" w:rsidRDefault="001B5862" w:rsidP="00DA2603">
      <w:pPr>
        <w:tabs>
          <w:tab w:val="left" w:pos="4140"/>
        </w:tabs>
        <w:rPr>
          <w:sz w:val="22"/>
          <w:szCs w:val="22"/>
          <w:lang w:val="pl-PL"/>
        </w:rPr>
      </w:pPr>
    </w:p>
    <w:p w:rsidR="00CB742B" w:rsidRPr="00CB742B" w:rsidRDefault="00CB742B" w:rsidP="00CB742B">
      <w:pPr>
        <w:ind w:right="-29"/>
        <w:rPr>
          <w:sz w:val="22"/>
          <w:lang w:val="pl-PL"/>
        </w:rPr>
      </w:pPr>
      <w:r w:rsidRPr="00CB742B">
        <w:rPr>
          <w:sz w:val="22"/>
          <w:lang w:val="pl-PL"/>
        </w:rPr>
        <w:t>C</w:t>
      </w:r>
      <w:r w:rsidRPr="00CB742B">
        <w:rPr>
          <w:sz w:val="22"/>
          <w:vertAlign w:val="subscript"/>
          <w:lang w:val="pl-PL"/>
        </w:rPr>
        <w:t>ma</w:t>
      </w:r>
      <w:r>
        <w:rPr>
          <w:sz w:val="22"/>
          <w:vertAlign w:val="subscript"/>
          <w:lang w:val="pl-PL"/>
        </w:rPr>
        <w:t>x</w:t>
      </w:r>
      <w:r w:rsidRPr="00CB742B">
        <w:rPr>
          <w:sz w:val="22"/>
          <w:lang w:val="pl-PL"/>
        </w:rPr>
        <w:t xml:space="preserve"> czynnego metabolitu jest dwukrotnie większe po pojedynczej dawce nasycającej 300 mg klopidogrelu, niż po 4 dniach leczenia podtrzymującego dawką 75 mg. C</w:t>
      </w:r>
      <w:r w:rsidRPr="00CB742B">
        <w:rPr>
          <w:sz w:val="22"/>
          <w:vertAlign w:val="subscript"/>
          <w:lang w:val="pl-PL"/>
        </w:rPr>
        <w:t>ma</w:t>
      </w:r>
      <w:r w:rsidR="006903BA">
        <w:rPr>
          <w:sz w:val="22"/>
          <w:vertAlign w:val="subscript"/>
          <w:lang w:val="pl-PL"/>
        </w:rPr>
        <w:t>x</w:t>
      </w:r>
      <w:r w:rsidRPr="00CB742B">
        <w:rPr>
          <w:sz w:val="22"/>
          <w:lang w:val="pl-PL"/>
        </w:rPr>
        <w:t xml:space="preserve"> występuje po około 30 do 60 minutach </w:t>
      </w:r>
      <w:r w:rsidR="001B5F49">
        <w:rPr>
          <w:sz w:val="22"/>
          <w:lang w:val="pl-PL"/>
        </w:rPr>
        <w:t xml:space="preserve">od </w:t>
      </w:r>
      <w:r w:rsidRPr="00CB742B">
        <w:rPr>
          <w:sz w:val="22"/>
          <w:lang w:val="pl-PL"/>
        </w:rPr>
        <w:t>przyjęci</w:t>
      </w:r>
      <w:r w:rsidR="001B5F49">
        <w:rPr>
          <w:sz w:val="22"/>
          <w:lang w:val="pl-PL"/>
        </w:rPr>
        <w:t>a</w:t>
      </w:r>
      <w:r w:rsidRPr="00CB742B">
        <w:rPr>
          <w:sz w:val="22"/>
          <w:lang w:val="pl-PL"/>
        </w:rPr>
        <w:t xml:space="preserve"> dawki. </w:t>
      </w:r>
    </w:p>
    <w:p w:rsidR="00DA2603" w:rsidRPr="00DA2603" w:rsidRDefault="00DA2603" w:rsidP="00DA2603">
      <w:pPr>
        <w:tabs>
          <w:tab w:val="left" w:pos="4140"/>
        </w:tabs>
        <w:spacing w:line="360" w:lineRule="auto"/>
        <w:rPr>
          <w:sz w:val="22"/>
          <w:szCs w:val="22"/>
          <w:lang w:val="pl-PL"/>
        </w:rPr>
      </w:pPr>
    </w:p>
    <w:p w:rsidR="00DA2603" w:rsidRPr="005E178B" w:rsidRDefault="00DA2603" w:rsidP="004D1428">
      <w:pPr>
        <w:pStyle w:val="Header"/>
        <w:rPr>
          <w:i/>
          <w:sz w:val="22"/>
          <w:szCs w:val="22"/>
          <w:lang w:val="pl-PL"/>
        </w:rPr>
      </w:pPr>
      <w:r>
        <w:rPr>
          <w:i/>
          <w:sz w:val="22"/>
          <w:szCs w:val="22"/>
          <w:lang w:val="pl-PL"/>
        </w:rPr>
        <w:t xml:space="preserve">Eliminacja </w:t>
      </w:r>
    </w:p>
    <w:p w:rsidR="00BC4936" w:rsidRDefault="00BC4936">
      <w:pPr>
        <w:tabs>
          <w:tab w:val="left" w:pos="567"/>
        </w:tabs>
        <w:rPr>
          <w:sz w:val="22"/>
          <w:lang w:val="pl-PL"/>
        </w:rPr>
      </w:pPr>
      <w:r>
        <w:rPr>
          <w:sz w:val="22"/>
          <w:lang w:val="pl-PL"/>
        </w:rPr>
        <w:t xml:space="preserve">Po doustnej dawce klopidogrelu znakowanego </w:t>
      </w:r>
      <w:r>
        <w:rPr>
          <w:sz w:val="22"/>
          <w:vertAlign w:val="superscript"/>
          <w:lang w:val="pl-PL"/>
        </w:rPr>
        <w:t>14</w:t>
      </w:r>
      <w:r>
        <w:rPr>
          <w:sz w:val="22"/>
          <w:lang w:val="pl-PL"/>
        </w:rPr>
        <w:t>C u ludzi, w przybliżeniu 50% było wydalane w</w:t>
      </w:r>
      <w:r w:rsidR="001B5F49">
        <w:rPr>
          <w:sz w:val="22"/>
          <w:lang w:val="pl-PL"/>
        </w:rPr>
        <w:t> </w:t>
      </w:r>
      <w:r>
        <w:rPr>
          <w:sz w:val="22"/>
          <w:lang w:val="pl-PL"/>
        </w:rPr>
        <w:t xml:space="preserve">moczu i w przybliżeniu 46% z kałem w 120-godzinnym okresie po podaniu. </w:t>
      </w:r>
      <w:r w:rsidR="00DA2603" w:rsidRPr="00DA2603">
        <w:rPr>
          <w:sz w:val="22"/>
          <w:szCs w:val="22"/>
          <w:lang w:val="pl-PL"/>
        </w:rPr>
        <w:t xml:space="preserve">Po podaniu pojedynczej dawki 75 mg klopidogrelu okres półtrwania </w:t>
      </w:r>
      <w:r w:rsidR="005E10F3">
        <w:rPr>
          <w:sz w:val="22"/>
          <w:szCs w:val="22"/>
          <w:lang w:val="pl-PL"/>
        </w:rPr>
        <w:t xml:space="preserve">klopidogrelu </w:t>
      </w:r>
      <w:r w:rsidR="00DA2603" w:rsidRPr="00DA2603">
        <w:rPr>
          <w:sz w:val="22"/>
          <w:szCs w:val="22"/>
          <w:lang w:val="pl-PL"/>
        </w:rPr>
        <w:t xml:space="preserve">wynosi około 6 godzin. </w:t>
      </w:r>
      <w:r>
        <w:rPr>
          <w:sz w:val="22"/>
          <w:lang w:val="pl-PL"/>
        </w:rPr>
        <w:t xml:space="preserve">Okres </w:t>
      </w:r>
      <w:r w:rsidR="005E10F3">
        <w:rPr>
          <w:sz w:val="22"/>
          <w:lang w:val="pl-PL"/>
        </w:rPr>
        <w:t>półtrwania w fazie eliminacji</w:t>
      </w:r>
      <w:r>
        <w:rPr>
          <w:sz w:val="22"/>
          <w:lang w:val="pl-PL"/>
        </w:rPr>
        <w:t xml:space="preserve"> głównego krążącego metabolitu </w:t>
      </w:r>
      <w:r w:rsidR="005E10F3">
        <w:rPr>
          <w:sz w:val="22"/>
          <w:lang w:val="pl-PL"/>
        </w:rPr>
        <w:t>(nie</w:t>
      </w:r>
      <w:r w:rsidR="00253BDF">
        <w:rPr>
          <w:sz w:val="22"/>
          <w:lang w:val="pl-PL"/>
        </w:rPr>
        <w:t>czynnego</w:t>
      </w:r>
      <w:r w:rsidR="005E10F3">
        <w:rPr>
          <w:sz w:val="22"/>
          <w:lang w:val="pl-PL"/>
        </w:rPr>
        <w:t xml:space="preserve">) </w:t>
      </w:r>
      <w:r>
        <w:rPr>
          <w:sz w:val="22"/>
          <w:lang w:val="pl-PL"/>
        </w:rPr>
        <w:t xml:space="preserve">wynosił 8 godzin po pojedynczym i </w:t>
      </w:r>
      <w:r w:rsidR="005E10F3">
        <w:rPr>
          <w:sz w:val="22"/>
          <w:lang w:val="pl-PL"/>
        </w:rPr>
        <w:t>wielokrotnym</w:t>
      </w:r>
      <w:r>
        <w:rPr>
          <w:sz w:val="22"/>
          <w:lang w:val="pl-PL"/>
        </w:rPr>
        <w:t xml:space="preserve"> podawaniu.</w:t>
      </w:r>
    </w:p>
    <w:p w:rsidR="00BC4936" w:rsidRDefault="00BC4936">
      <w:pPr>
        <w:tabs>
          <w:tab w:val="left" w:pos="567"/>
        </w:tabs>
        <w:rPr>
          <w:sz w:val="22"/>
          <w:lang w:val="pl-PL"/>
        </w:rPr>
      </w:pPr>
    </w:p>
    <w:p w:rsidR="001721AF" w:rsidRDefault="001721AF" w:rsidP="00A64B0E">
      <w:pPr>
        <w:keepNext/>
        <w:tabs>
          <w:tab w:val="left" w:pos="4140"/>
        </w:tabs>
        <w:spacing w:line="360" w:lineRule="auto"/>
        <w:rPr>
          <w:i/>
          <w:sz w:val="22"/>
          <w:szCs w:val="22"/>
          <w:lang w:val="pl-PL"/>
        </w:rPr>
      </w:pPr>
      <w:r w:rsidRPr="001721AF">
        <w:rPr>
          <w:i/>
          <w:sz w:val="22"/>
          <w:szCs w:val="22"/>
          <w:lang w:val="pl-PL"/>
        </w:rPr>
        <w:t>Farmakogenetyka</w:t>
      </w:r>
    </w:p>
    <w:p w:rsidR="00A54A6C" w:rsidRDefault="00A54A6C" w:rsidP="00A64B0E">
      <w:pPr>
        <w:keepNext/>
        <w:tabs>
          <w:tab w:val="left" w:pos="4140"/>
        </w:tabs>
        <w:rPr>
          <w:sz w:val="22"/>
          <w:szCs w:val="22"/>
          <w:lang w:val="pl-PL"/>
        </w:rPr>
      </w:pPr>
      <w:r w:rsidRPr="00A54A6C">
        <w:rPr>
          <w:sz w:val="22"/>
          <w:szCs w:val="22"/>
          <w:lang w:val="pl-PL"/>
        </w:rPr>
        <w:t>CYP2C19</w:t>
      </w:r>
      <w:r>
        <w:rPr>
          <w:sz w:val="22"/>
          <w:szCs w:val="22"/>
          <w:lang w:val="pl-PL"/>
        </w:rPr>
        <w:t xml:space="preserve"> pośredniczy w powstawaniu zarówno czynnego metabolitu, jak i metabolitu pośredniego 2</w:t>
      </w:r>
      <w:r w:rsidR="00600AB0">
        <w:rPr>
          <w:sz w:val="22"/>
          <w:szCs w:val="22"/>
          <w:lang w:val="pl-PL"/>
        </w:rPr>
        <w:noBreakHyphen/>
      </w:r>
      <w:r>
        <w:rPr>
          <w:sz w:val="22"/>
          <w:szCs w:val="22"/>
          <w:lang w:val="pl-PL"/>
        </w:rPr>
        <w:t xml:space="preserve">oksoklopidogrelu. </w:t>
      </w:r>
      <w:r w:rsidR="004C3F73">
        <w:rPr>
          <w:sz w:val="22"/>
          <w:szCs w:val="22"/>
          <w:lang w:val="pl-PL"/>
        </w:rPr>
        <w:t xml:space="preserve">Farmakokinetyka i przeciwpłytkowe działanie </w:t>
      </w:r>
      <w:r w:rsidR="00253BDF">
        <w:rPr>
          <w:sz w:val="22"/>
          <w:szCs w:val="22"/>
          <w:lang w:val="pl-PL"/>
        </w:rPr>
        <w:t>czynnego</w:t>
      </w:r>
      <w:r w:rsidR="004C3F73">
        <w:rPr>
          <w:sz w:val="22"/>
          <w:szCs w:val="22"/>
          <w:lang w:val="pl-PL"/>
        </w:rPr>
        <w:t xml:space="preserve"> metabolitu klopidogrelu, oceniane </w:t>
      </w:r>
      <w:r w:rsidR="004C3F73" w:rsidRPr="004C3F73">
        <w:rPr>
          <w:i/>
          <w:sz w:val="22"/>
          <w:szCs w:val="22"/>
          <w:lang w:val="pl-PL"/>
        </w:rPr>
        <w:t>ex vivo</w:t>
      </w:r>
      <w:r w:rsidR="004C3F73">
        <w:rPr>
          <w:i/>
          <w:sz w:val="22"/>
          <w:szCs w:val="22"/>
          <w:lang w:val="pl-PL"/>
        </w:rPr>
        <w:t xml:space="preserve"> </w:t>
      </w:r>
      <w:r w:rsidR="004C3F73" w:rsidRPr="004C3F73">
        <w:rPr>
          <w:sz w:val="22"/>
          <w:szCs w:val="22"/>
          <w:lang w:val="pl-PL"/>
        </w:rPr>
        <w:t>w te</w:t>
      </w:r>
      <w:r w:rsidR="004C3F73">
        <w:rPr>
          <w:sz w:val="22"/>
          <w:szCs w:val="22"/>
          <w:lang w:val="pl-PL"/>
        </w:rPr>
        <w:t>ś</w:t>
      </w:r>
      <w:r w:rsidR="004C3F73" w:rsidRPr="004C3F73">
        <w:rPr>
          <w:sz w:val="22"/>
          <w:szCs w:val="22"/>
          <w:lang w:val="pl-PL"/>
        </w:rPr>
        <w:t>cie agregacji</w:t>
      </w:r>
      <w:r w:rsidR="004C3F73">
        <w:rPr>
          <w:sz w:val="22"/>
          <w:szCs w:val="22"/>
          <w:lang w:val="pl-PL"/>
        </w:rPr>
        <w:t xml:space="preserve"> płytek krwi różnią się w </w:t>
      </w:r>
      <w:r w:rsidR="00744802">
        <w:rPr>
          <w:sz w:val="22"/>
          <w:szCs w:val="22"/>
          <w:lang w:val="pl-PL"/>
        </w:rPr>
        <w:t>zależności</w:t>
      </w:r>
      <w:r w:rsidR="004C3F73">
        <w:rPr>
          <w:sz w:val="22"/>
          <w:szCs w:val="22"/>
          <w:lang w:val="pl-PL"/>
        </w:rPr>
        <w:t xml:space="preserve"> od genotypu CYP2C19.</w:t>
      </w:r>
    </w:p>
    <w:p w:rsidR="004C3F73" w:rsidRDefault="004C3F73" w:rsidP="004C3F73">
      <w:pPr>
        <w:tabs>
          <w:tab w:val="left" w:pos="4140"/>
        </w:tabs>
        <w:rPr>
          <w:sz w:val="22"/>
          <w:szCs w:val="22"/>
          <w:lang w:val="pl-PL"/>
        </w:rPr>
      </w:pPr>
    </w:p>
    <w:p w:rsidR="00635764" w:rsidRPr="00BB03C9" w:rsidRDefault="00635764" w:rsidP="00635764">
      <w:pPr>
        <w:ind w:right="-29"/>
        <w:rPr>
          <w:sz w:val="22"/>
          <w:lang w:val="pl-PL"/>
        </w:rPr>
      </w:pPr>
      <w:r w:rsidRPr="00635764">
        <w:rPr>
          <w:sz w:val="22"/>
          <w:lang w:val="pl-PL"/>
        </w:rPr>
        <w:t>Allel CYP2C19*1 odpowiada w pełni funkcjonującemu metabolizmowi, natomiast allele CYP2C19*2 i CYP2C19*3 są nieczynne. Allele CYP2C19*2 i CYP2C19*3 odpowiadają za w</w:t>
      </w:r>
      <w:r w:rsidR="004200AB">
        <w:rPr>
          <w:sz w:val="22"/>
          <w:lang w:val="pl-PL"/>
        </w:rPr>
        <w:t>iększość przypadków słabego</w:t>
      </w:r>
      <w:r w:rsidRPr="00635764">
        <w:rPr>
          <w:sz w:val="22"/>
          <w:lang w:val="pl-PL"/>
        </w:rPr>
        <w:t xml:space="preserve"> metabolizmu u osób rasy białej</w:t>
      </w:r>
      <w:r w:rsidR="00C44F67">
        <w:rPr>
          <w:sz w:val="22"/>
          <w:lang w:val="pl-PL"/>
        </w:rPr>
        <w:t xml:space="preserve"> 85%</w:t>
      </w:r>
      <w:r w:rsidRPr="00635764">
        <w:rPr>
          <w:sz w:val="22"/>
          <w:lang w:val="pl-PL"/>
        </w:rPr>
        <w:t xml:space="preserve"> i 99% osób rasy żółtej. Inne allele zwią</w:t>
      </w:r>
      <w:r w:rsidR="00BB03C9">
        <w:rPr>
          <w:sz w:val="22"/>
          <w:lang w:val="pl-PL"/>
        </w:rPr>
        <w:t xml:space="preserve">zane z całkowitym lub częściowo </w:t>
      </w:r>
      <w:r w:rsidR="001B5F49">
        <w:rPr>
          <w:sz w:val="22"/>
          <w:lang w:val="pl-PL"/>
        </w:rPr>
        <w:t>zmniejszonym</w:t>
      </w:r>
      <w:r w:rsidR="001B5F49" w:rsidRPr="00635764">
        <w:rPr>
          <w:sz w:val="22"/>
          <w:lang w:val="pl-PL"/>
        </w:rPr>
        <w:t xml:space="preserve"> </w:t>
      </w:r>
      <w:r w:rsidRPr="00635764">
        <w:rPr>
          <w:sz w:val="22"/>
          <w:lang w:val="pl-PL"/>
        </w:rPr>
        <w:t>metabolizm</w:t>
      </w:r>
      <w:r w:rsidR="00BB03C9">
        <w:rPr>
          <w:sz w:val="22"/>
          <w:lang w:val="pl-PL"/>
        </w:rPr>
        <w:t>em</w:t>
      </w:r>
      <w:r w:rsidRPr="00635764">
        <w:rPr>
          <w:sz w:val="22"/>
          <w:lang w:val="pl-PL"/>
        </w:rPr>
        <w:t xml:space="preserve"> występują rzadziej i obejmują CYP2C19*4, *5, *6, *7, and *8. </w:t>
      </w:r>
      <w:r w:rsidR="00C44F67">
        <w:rPr>
          <w:sz w:val="22"/>
          <w:lang w:val="pl-PL"/>
        </w:rPr>
        <w:t>Pacjenci z</w:t>
      </w:r>
      <w:r w:rsidR="004200AB">
        <w:rPr>
          <w:sz w:val="22"/>
          <w:lang w:val="pl-PL"/>
        </w:rPr>
        <w:t xml:space="preserve">e słabym </w:t>
      </w:r>
      <w:r w:rsidR="00C44F67">
        <w:rPr>
          <w:sz w:val="22"/>
          <w:lang w:val="pl-PL"/>
        </w:rPr>
        <w:t>metabolizmem</w:t>
      </w:r>
      <w:r w:rsidRPr="00635764">
        <w:rPr>
          <w:sz w:val="22"/>
          <w:lang w:val="pl-PL"/>
        </w:rPr>
        <w:t xml:space="preserve"> posiada</w:t>
      </w:r>
      <w:r w:rsidR="00C44F67">
        <w:rPr>
          <w:sz w:val="22"/>
          <w:lang w:val="pl-PL"/>
        </w:rPr>
        <w:t>ją</w:t>
      </w:r>
      <w:r w:rsidRPr="00635764">
        <w:rPr>
          <w:sz w:val="22"/>
          <w:lang w:val="pl-PL"/>
        </w:rPr>
        <w:t xml:space="preserve"> dwa z wyżej </w:t>
      </w:r>
      <w:r w:rsidR="001B5F49">
        <w:rPr>
          <w:sz w:val="22"/>
          <w:lang w:val="pl-PL"/>
        </w:rPr>
        <w:t>wymienionych nieczynnych</w:t>
      </w:r>
      <w:r w:rsidR="001B5F49" w:rsidRPr="00635764">
        <w:rPr>
          <w:sz w:val="22"/>
          <w:lang w:val="pl-PL"/>
        </w:rPr>
        <w:t xml:space="preserve"> </w:t>
      </w:r>
      <w:r w:rsidRPr="00635764">
        <w:rPr>
          <w:sz w:val="22"/>
          <w:lang w:val="pl-PL"/>
        </w:rPr>
        <w:t xml:space="preserve">alleli. Opublikowane dane </w:t>
      </w:r>
      <w:r w:rsidR="001B5F49">
        <w:rPr>
          <w:sz w:val="22"/>
          <w:lang w:val="pl-PL"/>
        </w:rPr>
        <w:t>dotyczące</w:t>
      </w:r>
      <w:r w:rsidRPr="00635764">
        <w:rPr>
          <w:sz w:val="22"/>
          <w:lang w:val="pl-PL"/>
        </w:rPr>
        <w:t xml:space="preserve"> częstości występowania osób ze słabym metabolizmem CYP2C19 wskazują na około 2% w rasie białej, 4% w rasie czarnej i 14% w rasie żółtej. </w:t>
      </w:r>
      <w:r w:rsidR="00744802" w:rsidRPr="00BB03C9">
        <w:rPr>
          <w:sz w:val="22"/>
          <w:lang w:val="pl-PL"/>
        </w:rPr>
        <w:t>Dostępne są</w:t>
      </w:r>
      <w:r w:rsidRPr="00BB03C9">
        <w:rPr>
          <w:sz w:val="22"/>
          <w:lang w:val="pl-PL"/>
        </w:rPr>
        <w:t xml:space="preserve"> testy określające genotyp CYP2C19 pacjenta. </w:t>
      </w:r>
    </w:p>
    <w:p w:rsidR="00C44F67" w:rsidRPr="00BB03C9" w:rsidRDefault="00C44F67" w:rsidP="00635764">
      <w:pPr>
        <w:ind w:right="-29"/>
        <w:rPr>
          <w:lang w:val="pl-PL"/>
        </w:rPr>
      </w:pPr>
    </w:p>
    <w:p w:rsidR="00635764" w:rsidRPr="00635764" w:rsidRDefault="00635764" w:rsidP="00635764">
      <w:pPr>
        <w:ind w:right="-29"/>
        <w:rPr>
          <w:lang w:val="pl-PL"/>
        </w:rPr>
      </w:pPr>
      <w:r w:rsidRPr="00635764">
        <w:rPr>
          <w:sz w:val="22"/>
          <w:lang w:val="pl-PL"/>
        </w:rPr>
        <w:t xml:space="preserve">W badaniu </w:t>
      </w:r>
      <w:r w:rsidR="00BB03C9">
        <w:rPr>
          <w:sz w:val="22"/>
          <w:lang w:val="pl-PL"/>
        </w:rPr>
        <w:t>przeprowadzonym metodą grup naprzemiennych,</w:t>
      </w:r>
      <w:r w:rsidRPr="00635764">
        <w:rPr>
          <w:sz w:val="22"/>
          <w:lang w:val="pl-PL"/>
        </w:rPr>
        <w:t xml:space="preserve"> obejmującym 40 zdrowych ochotników, po 10 z każdej z czterech grup typu metabolizmu CYP2C19 (bardzo szybki, intensywny, pośredni i</w:t>
      </w:r>
      <w:r w:rsidR="00600AB0">
        <w:rPr>
          <w:sz w:val="22"/>
          <w:lang w:val="pl-PL"/>
        </w:rPr>
        <w:t> </w:t>
      </w:r>
      <w:r w:rsidRPr="00635764">
        <w:rPr>
          <w:sz w:val="22"/>
          <w:lang w:val="pl-PL"/>
        </w:rPr>
        <w:t>słaby), oceniano farmakokinetykę i działanie przeciwpłytkowe przy użyciu schematu 300 mg a</w:t>
      </w:r>
      <w:r w:rsidR="00600AB0">
        <w:rPr>
          <w:sz w:val="22"/>
          <w:lang w:val="pl-PL"/>
        </w:rPr>
        <w:t> </w:t>
      </w:r>
      <w:r w:rsidRPr="00635764">
        <w:rPr>
          <w:sz w:val="22"/>
          <w:lang w:val="pl-PL"/>
        </w:rPr>
        <w:t>następnie 75 mg/dobę oraz 600 mg a następnie 150 mg/dobę, każdy podawany w sumie przez 5 dni (stan równowagi). Nie stwierdzono istotnych różnic w ekspozycji na czynny metabolit i średnie</w:t>
      </w:r>
      <w:r w:rsidR="001B5F49">
        <w:rPr>
          <w:sz w:val="22"/>
          <w:lang w:val="pl-PL"/>
        </w:rPr>
        <w:t>go</w:t>
      </w:r>
      <w:r w:rsidRPr="00635764">
        <w:rPr>
          <w:sz w:val="22"/>
          <w:lang w:val="pl-PL"/>
        </w:rPr>
        <w:t xml:space="preserve"> </w:t>
      </w:r>
      <w:r w:rsidR="001B5F49">
        <w:rPr>
          <w:sz w:val="22"/>
          <w:lang w:val="pl-PL"/>
        </w:rPr>
        <w:t xml:space="preserve">hamowania </w:t>
      </w:r>
      <w:r w:rsidRPr="00635764">
        <w:rPr>
          <w:sz w:val="22"/>
          <w:lang w:val="pl-PL"/>
        </w:rPr>
        <w:t>agregacji płytek (</w:t>
      </w:r>
      <w:r w:rsidR="001B5F49">
        <w:rPr>
          <w:sz w:val="22"/>
          <w:lang w:val="pl-PL"/>
        </w:rPr>
        <w:t xml:space="preserve">ang. </w:t>
      </w:r>
      <w:r w:rsidRPr="00744BD4">
        <w:rPr>
          <w:i/>
          <w:sz w:val="22"/>
          <w:lang w:val="pl-PL"/>
        </w:rPr>
        <w:t>IPA</w:t>
      </w:r>
      <w:r w:rsidR="001B5F49">
        <w:rPr>
          <w:sz w:val="22"/>
          <w:lang w:val="pl-PL"/>
        </w:rPr>
        <w:t xml:space="preserve"> – </w:t>
      </w:r>
      <w:r w:rsidR="001B5F49" w:rsidRPr="001B5F49">
        <w:rPr>
          <w:i/>
          <w:sz w:val="22"/>
          <w:lang w:val="pl-PL"/>
        </w:rPr>
        <w:t>Inhibition Of Platelet Aggregation</w:t>
      </w:r>
      <w:r w:rsidRPr="00635764">
        <w:rPr>
          <w:sz w:val="22"/>
          <w:lang w:val="pl-PL"/>
        </w:rPr>
        <w:t>) pomiędzy osobami z</w:t>
      </w:r>
      <w:r w:rsidR="001B5F49">
        <w:rPr>
          <w:sz w:val="22"/>
          <w:lang w:val="pl-PL"/>
        </w:rPr>
        <w:t> </w:t>
      </w:r>
      <w:r w:rsidRPr="00635764">
        <w:rPr>
          <w:sz w:val="22"/>
          <w:lang w:val="pl-PL"/>
        </w:rPr>
        <w:t>bardzo szybkim, intensywnym i średnim metabolizmem. U osób ze słabym metabolizmem ekspozycja na czynny metabolit była zmniejszona o 63-71% w porównaniu z osobami z intensywnym metabolizmem. P</w:t>
      </w:r>
      <w:r w:rsidR="0075595E">
        <w:rPr>
          <w:sz w:val="22"/>
          <w:lang w:val="pl-PL"/>
        </w:rPr>
        <w:t>odczas</w:t>
      </w:r>
      <w:r w:rsidRPr="00635764">
        <w:rPr>
          <w:sz w:val="22"/>
          <w:lang w:val="pl-PL"/>
        </w:rPr>
        <w:t xml:space="preserve"> stosowani</w:t>
      </w:r>
      <w:r w:rsidR="0075595E">
        <w:rPr>
          <w:sz w:val="22"/>
          <w:lang w:val="pl-PL"/>
        </w:rPr>
        <w:t>a</w:t>
      </w:r>
      <w:r w:rsidRPr="00635764">
        <w:rPr>
          <w:sz w:val="22"/>
          <w:lang w:val="pl-PL"/>
        </w:rPr>
        <w:t xml:space="preserve"> schematu 300 mg/75 mg działanie przeciwpłytkowe było osłabione u</w:t>
      </w:r>
      <w:r w:rsidR="001B5F49">
        <w:rPr>
          <w:sz w:val="22"/>
          <w:lang w:val="pl-PL"/>
        </w:rPr>
        <w:t> </w:t>
      </w:r>
      <w:r w:rsidRPr="00635764">
        <w:rPr>
          <w:sz w:val="22"/>
          <w:lang w:val="pl-PL"/>
        </w:rPr>
        <w:t>osób ze słabym metabolizmem ze średnią IPA (5 </w:t>
      </w:r>
      <w:r>
        <w:rPr>
          <w:sz w:val="22"/>
        </w:rPr>
        <w:t>μ</w:t>
      </w:r>
      <w:r w:rsidRPr="00635764">
        <w:rPr>
          <w:sz w:val="22"/>
          <w:lang w:val="pl-PL"/>
        </w:rPr>
        <w:t>M ADP) wynoszącą 24% (24 godziny) i</w:t>
      </w:r>
      <w:r w:rsidR="00600AB0">
        <w:rPr>
          <w:sz w:val="22"/>
          <w:lang w:val="pl-PL"/>
        </w:rPr>
        <w:t> </w:t>
      </w:r>
      <w:r w:rsidRPr="00635764">
        <w:rPr>
          <w:sz w:val="22"/>
          <w:lang w:val="pl-PL"/>
        </w:rPr>
        <w:t>37% (Dzień 5) w porównaniu do IPA 39% (24 godziny) i 58% (Dzień 5) u osób z intensywnym metabolizmem, oraz 37% (24 godziny) i 60% (</w:t>
      </w:r>
      <w:r w:rsidR="001B5F49" w:rsidRPr="00635764">
        <w:rPr>
          <w:sz w:val="22"/>
          <w:lang w:val="pl-PL"/>
        </w:rPr>
        <w:t>D</w:t>
      </w:r>
      <w:r w:rsidR="001B5F49">
        <w:rPr>
          <w:sz w:val="22"/>
          <w:lang w:val="pl-PL"/>
        </w:rPr>
        <w:t>zień</w:t>
      </w:r>
      <w:r w:rsidR="001B5F49" w:rsidRPr="00635764">
        <w:rPr>
          <w:sz w:val="22"/>
          <w:lang w:val="pl-PL"/>
        </w:rPr>
        <w:t> </w:t>
      </w:r>
      <w:r w:rsidRPr="00635764">
        <w:rPr>
          <w:sz w:val="22"/>
          <w:lang w:val="pl-PL"/>
        </w:rPr>
        <w:t>5) u osób z</w:t>
      </w:r>
      <w:r w:rsidR="001B5F49">
        <w:rPr>
          <w:sz w:val="22"/>
          <w:lang w:val="pl-PL"/>
        </w:rPr>
        <w:t>e</w:t>
      </w:r>
      <w:r w:rsidRPr="00635764">
        <w:rPr>
          <w:sz w:val="22"/>
          <w:lang w:val="pl-PL"/>
        </w:rPr>
        <w:t xml:space="preserve"> średnim metabolizmem. </w:t>
      </w:r>
      <w:r w:rsidR="001B5F49" w:rsidRPr="00635764">
        <w:rPr>
          <w:sz w:val="22"/>
          <w:lang w:val="pl-PL"/>
        </w:rPr>
        <w:t>P</w:t>
      </w:r>
      <w:r w:rsidR="001B5F49">
        <w:rPr>
          <w:sz w:val="22"/>
          <w:lang w:val="pl-PL"/>
        </w:rPr>
        <w:t>odczas</w:t>
      </w:r>
      <w:r w:rsidR="001B5F49" w:rsidRPr="00635764">
        <w:rPr>
          <w:sz w:val="22"/>
          <w:lang w:val="pl-PL"/>
        </w:rPr>
        <w:t xml:space="preserve"> </w:t>
      </w:r>
      <w:r w:rsidRPr="00635764">
        <w:rPr>
          <w:sz w:val="22"/>
          <w:lang w:val="pl-PL"/>
        </w:rPr>
        <w:t>podawani</w:t>
      </w:r>
      <w:r w:rsidR="001B5F49">
        <w:rPr>
          <w:sz w:val="22"/>
          <w:lang w:val="pl-PL"/>
        </w:rPr>
        <w:t>a</w:t>
      </w:r>
      <w:r w:rsidRPr="00635764">
        <w:rPr>
          <w:sz w:val="22"/>
          <w:lang w:val="pl-PL"/>
        </w:rPr>
        <w:t xml:space="preserve"> osobom ze słabym metabolizmem schematu 600 mg/150 mg ekspozycja na czynny metabolit była większa, niż przy schemacie 300 mg/75 mg. Dodatkowo IPA wynosiła 32% (24 godziny) i 61% (Dzień 5), czyli więcej, niż u osób ze słabym metabolizmem przyjmujących schemat 300 mg/75 mg i podobnie do innych grup metabolizmu CYP2C19 przyjmujących schemat 300 mg/75 mg. W badaniach klinicznych </w:t>
      </w:r>
      <w:r w:rsidR="00050B02">
        <w:rPr>
          <w:sz w:val="22"/>
          <w:lang w:val="pl-PL"/>
        </w:rPr>
        <w:t>działania</w:t>
      </w:r>
      <w:r w:rsidR="00050B02" w:rsidRPr="00635764">
        <w:rPr>
          <w:sz w:val="22"/>
          <w:lang w:val="pl-PL"/>
        </w:rPr>
        <w:t xml:space="preserve"> </w:t>
      </w:r>
      <w:r w:rsidRPr="00635764">
        <w:rPr>
          <w:sz w:val="22"/>
          <w:lang w:val="pl-PL"/>
        </w:rPr>
        <w:t>leczenia nie ustalono optymalnego schematu dawkowania w tej populacji pacjentów.</w:t>
      </w:r>
    </w:p>
    <w:p w:rsidR="00635764" w:rsidRPr="00635764" w:rsidRDefault="00635764" w:rsidP="00635764">
      <w:pPr>
        <w:ind w:right="-29"/>
        <w:rPr>
          <w:sz w:val="22"/>
          <w:lang w:val="pl-PL"/>
        </w:rPr>
      </w:pPr>
      <w:r w:rsidRPr="00635764">
        <w:rPr>
          <w:sz w:val="22"/>
          <w:lang w:val="pl-PL"/>
        </w:rPr>
        <w:t xml:space="preserve">Podobne do powyższych wyniki </w:t>
      </w:r>
      <w:r w:rsidR="00050B02">
        <w:rPr>
          <w:sz w:val="22"/>
          <w:lang w:val="pl-PL"/>
        </w:rPr>
        <w:t xml:space="preserve">otrzymano w wyniku </w:t>
      </w:r>
      <w:r w:rsidRPr="00635764">
        <w:rPr>
          <w:sz w:val="22"/>
          <w:lang w:val="pl-PL"/>
        </w:rPr>
        <w:t>meta</w:t>
      </w:r>
      <w:r w:rsidR="006903BA">
        <w:rPr>
          <w:sz w:val="22"/>
          <w:lang w:val="pl-PL"/>
        </w:rPr>
        <w:t>-</w:t>
      </w:r>
      <w:r w:rsidRPr="00635764">
        <w:rPr>
          <w:sz w:val="22"/>
          <w:lang w:val="pl-PL"/>
        </w:rPr>
        <w:t>analiz</w:t>
      </w:r>
      <w:r w:rsidR="00050B02">
        <w:rPr>
          <w:sz w:val="22"/>
          <w:lang w:val="pl-PL"/>
        </w:rPr>
        <w:t>y</w:t>
      </w:r>
      <w:r w:rsidRPr="00635764">
        <w:rPr>
          <w:sz w:val="22"/>
          <w:lang w:val="pl-PL"/>
        </w:rPr>
        <w:t xml:space="preserve"> obejmując</w:t>
      </w:r>
      <w:r w:rsidR="00050B02">
        <w:rPr>
          <w:sz w:val="22"/>
          <w:lang w:val="pl-PL"/>
        </w:rPr>
        <w:t>ej</w:t>
      </w:r>
      <w:r w:rsidRPr="00635764">
        <w:rPr>
          <w:sz w:val="22"/>
          <w:lang w:val="pl-PL"/>
        </w:rPr>
        <w:t xml:space="preserve"> 6 badań i</w:t>
      </w:r>
      <w:r w:rsidR="002C7A00">
        <w:rPr>
          <w:sz w:val="22"/>
          <w:lang w:val="pl-PL"/>
        </w:rPr>
        <w:t> </w:t>
      </w:r>
      <w:r w:rsidRPr="00635764">
        <w:rPr>
          <w:sz w:val="22"/>
          <w:lang w:val="pl-PL"/>
        </w:rPr>
        <w:t>335</w:t>
      </w:r>
      <w:r w:rsidR="00050B02">
        <w:rPr>
          <w:sz w:val="22"/>
          <w:lang w:val="pl-PL"/>
        </w:rPr>
        <w:t> </w:t>
      </w:r>
      <w:r w:rsidRPr="00635764">
        <w:rPr>
          <w:sz w:val="22"/>
          <w:lang w:val="pl-PL"/>
        </w:rPr>
        <w:t>pacjentów leczonych klopidogrelem w stanie równowagi, która wykazała, że ekspozycja na czynny metabolit była zmniejszona o 28% u pacjentów z</w:t>
      </w:r>
      <w:r w:rsidR="00050B02">
        <w:rPr>
          <w:sz w:val="22"/>
          <w:lang w:val="pl-PL"/>
        </w:rPr>
        <w:t>e</w:t>
      </w:r>
      <w:r w:rsidRPr="00635764">
        <w:rPr>
          <w:sz w:val="22"/>
          <w:lang w:val="pl-PL"/>
        </w:rPr>
        <w:t xml:space="preserve"> średnim metabolizmem i o 72% u pacjentów ze słabym metabolizmem, natomiast </w:t>
      </w:r>
      <w:r w:rsidR="00050B02">
        <w:rPr>
          <w:sz w:val="22"/>
          <w:lang w:val="pl-PL"/>
        </w:rPr>
        <w:t>hamowanie</w:t>
      </w:r>
      <w:r w:rsidR="00050B02" w:rsidRPr="00635764">
        <w:rPr>
          <w:sz w:val="22"/>
          <w:lang w:val="pl-PL"/>
        </w:rPr>
        <w:t xml:space="preserve"> </w:t>
      </w:r>
      <w:r w:rsidRPr="00635764">
        <w:rPr>
          <w:sz w:val="22"/>
          <w:lang w:val="pl-PL"/>
        </w:rPr>
        <w:t>agregacji płytek (5 </w:t>
      </w:r>
      <w:r>
        <w:rPr>
          <w:sz w:val="22"/>
        </w:rPr>
        <w:t>μ</w:t>
      </w:r>
      <w:r w:rsidRPr="00635764">
        <w:rPr>
          <w:sz w:val="22"/>
          <w:lang w:val="pl-PL"/>
        </w:rPr>
        <w:t>M ADP) był</w:t>
      </w:r>
      <w:r w:rsidR="00050B02">
        <w:rPr>
          <w:sz w:val="22"/>
          <w:lang w:val="pl-PL"/>
        </w:rPr>
        <w:t>o</w:t>
      </w:r>
      <w:r w:rsidRPr="00635764">
        <w:rPr>
          <w:sz w:val="22"/>
          <w:lang w:val="pl-PL"/>
        </w:rPr>
        <w:t xml:space="preserve"> zmniejszon</w:t>
      </w:r>
      <w:r w:rsidR="00050B02">
        <w:rPr>
          <w:sz w:val="22"/>
          <w:lang w:val="pl-PL"/>
        </w:rPr>
        <w:t>e</w:t>
      </w:r>
      <w:r w:rsidRPr="00635764">
        <w:rPr>
          <w:sz w:val="22"/>
          <w:lang w:val="pl-PL"/>
        </w:rPr>
        <w:t xml:space="preserve"> z</w:t>
      </w:r>
      <w:r w:rsidR="00050B02">
        <w:rPr>
          <w:sz w:val="22"/>
          <w:lang w:val="pl-PL"/>
        </w:rPr>
        <w:t> </w:t>
      </w:r>
      <w:r w:rsidRPr="00635764">
        <w:rPr>
          <w:sz w:val="22"/>
          <w:lang w:val="pl-PL"/>
        </w:rPr>
        <w:t>różnicą w IPA wynosząca, odpowiednio, 5</w:t>
      </w:r>
      <w:r w:rsidR="00050B02">
        <w:rPr>
          <w:sz w:val="22"/>
          <w:lang w:val="pl-PL"/>
        </w:rPr>
        <w:t>,</w:t>
      </w:r>
      <w:r w:rsidRPr="00635764">
        <w:rPr>
          <w:sz w:val="22"/>
          <w:lang w:val="pl-PL"/>
        </w:rPr>
        <w:t>9% i 21</w:t>
      </w:r>
      <w:r w:rsidR="00050B02">
        <w:rPr>
          <w:sz w:val="22"/>
          <w:lang w:val="pl-PL"/>
        </w:rPr>
        <w:t>,</w:t>
      </w:r>
      <w:r w:rsidRPr="00635764">
        <w:rPr>
          <w:sz w:val="22"/>
          <w:lang w:val="pl-PL"/>
        </w:rPr>
        <w:t>4%, w porównaniu do pacjentów z intensywnym metabolizmem.</w:t>
      </w:r>
    </w:p>
    <w:p w:rsidR="00635764" w:rsidRPr="00635764" w:rsidRDefault="00635764" w:rsidP="00635764">
      <w:pPr>
        <w:ind w:right="-29"/>
        <w:rPr>
          <w:sz w:val="22"/>
          <w:lang w:val="pl-PL"/>
        </w:rPr>
      </w:pPr>
    </w:p>
    <w:p w:rsidR="00635764" w:rsidRPr="00635764" w:rsidRDefault="00635764" w:rsidP="00635764">
      <w:pPr>
        <w:spacing w:line="120" w:lineRule="atLeast"/>
        <w:rPr>
          <w:lang w:val="pl-PL"/>
        </w:rPr>
      </w:pPr>
      <w:r w:rsidRPr="00635764">
        <w:rPr>
          <w:sz w:val="22"/>
          <w:lang w:val="pl-PL"/>
        </w:rPr>
        <w:t xml:space="preserve">Wpływ genotypu CYP2C19 na kliniczne </w:t>
      </w:r>
      <w:r w:rsidR="00050B02">
        <w:rPr>
          <w:sz w:val="22"/>
          <w:lang w:val="pl-PL"/>
        </w:rPr>
        <w:t>wyniki</w:t>
      </w:r>
      <w:r w:rsidR="00050B02" w:rsidRPr="00635764">
        <w:rPr>
          <w:sz w:val="22"/>
          <w:lang w:val="pl-PL"/>
        </w:rPr>
        <w:t xml:space="preserve"> </w:t>
      </w:r>
      <w:r w:rsidRPr="00635764">
        <w:rPr>
          <w:sz w:val="22"/>
          <w:lang w:val="pl-PL"/>
        </w:rPr>
        <w:t>leczenia klopidogrelem nie był oceniany w</w:t>
      </w:r>
      <w:r w:rsidR="00050B02">
        <w:rPr>
          <w:sz w:val="22"/>
          <w:lang w:val="pl-PL"/>
        </w:rPr>
        <w:t> </w:t>
      </w:r>
      <w:r w:rsidRPr="00635764">
        <w:rPr>
          <w:sz w:val="22"/>
          <w:lang w:val="pl-PL"/>
        </w:rPr>
        <w:t>prospektywnych randomizowanych i kontrolowalnych badaniach. Przeprowadzono jednak liczne analizy retrospektywne w celu oceny tego wpływu u pacjentów leczonych klopidogrelem, dla których znane były wyniki genotypowania: CURE (n=2721), CHARISMA (n=2428), CLARITY</w:t>
      </w:r>
      <w:r w:rsidRPr="00635764">
        <w:rPr>
          <w:sz w:val="22"/>
          <w:lang w:val="pl-PL"/>
        </w:rPr>
        <w:noBreakHyphen/>
        <w:t>TIMI 28 (n=227), TRITON</w:t>
      </w:r>
      <w:r w:rsidRPr="00635764">
        <w:rPr>
          <w:sz w:val="22"/>
          <w:lang w:val="pl-PL"/>
        </w:rPr>
        <w:noBreakHyphen/>
        <w:t>TIMI 38 (n=1477), oraz ACTIVE</w:t>
      </w:r>
      <w:r w:rsidRPr="00635764">
        <w:rPr>
          <w:sz w:val="22"/>
          <w:lang w:val="pl-PL"/>
        </w:rPr>
        <w:noBreakHyphen/>
        <w:t>A (n=601), jak również liczne opublikowane badania kohortowe.</w:t>
      </w:r>
    </w:p>
    <w:p w:rsidR="00635764" w:rsidRPr="00635764" w:rsidRDefault="00635764" w:rsidP="00635764">
      <w:pPr>
        <w:spacing w:line="120" w:lineRule="atLeast"/>
        <w:rPr>
          <w:sz w:val="22"/>
          <w:lang w:val="pl-PL"/>
        </w:rPr>
      </w:pPr>
    </w:p>
    <w:p w:rsidR="00635764" w:rsidRPr="00635764" w:rsidRDefault="00635764" w:rsidP="00635764">
      <w:pPr>
        <w:spacing w:line="120" w:lineRule="atLeast"/>
        <w:rPr>
          <w:sz w:val="22"/>
          <w:lang w:val="pl-PL"/>
        </w:rPr>
      </w:pPr>
      <w:r w:rsidRPr="00635764">
        <w:rPr>
          <w:sz w:val="22"/>
          <w:lang w:val="pl-PL"/>
        </w:rPr>
        <w:t>W badaniu TRITON</w:t>
      </w:r>
      <w:r w:rsidRPr="00635764">
        <w:rPr>
          <w:sz w:val="22"/>
          <w:lang w:val="pl-PL"/>
        </w:rPr>
        <w:noBreakHyphen/>
        <w:t>TIMI 38 oraz w trzech z badań kohortowych (Collet, Sibbing i Giusti) w</w:t>
      </w:r>
      <w:r w:rsidR="00050B02">
        <w:rPr>
          <w:sz w:val="22"/>
          <w:lang w:val="pl-PL"/>
        </w:rPr>
        <w:t> </w:t>
      </w:r>
      <w:r w:rsidRPr="00635764">
        <w:rPr>
          <w:sz w:val="22"/>
          <w:lang w:val="pl-PL"/>
        </w:rPr>
        <w:t>połączonej grupie pacjentów z</w:t>
      </w:r>
      <w:r w:rsidR="00050B02">
        <w:rPr>
          <w:sz w:val="22"/>
          <w:lang w:val="pl-PL"/>
        </w:rPr>
        <w:t>e</w:t>
      </w:r>
      <w:r w:rsidRPr="00635764">
        <w:rPr>
          <w:sz w:val="22"/>
          <w:lang w:val="pl-PL"/>
        </w:rPr>
        <w:t xml:space="preserve"> średnim i słabym metabolizmem stwierdzono większy wskaźnik zdarzeń sercowo-naczyniowych (zgon, zawał mięśnia sercowego i udar) lub zakrzepicy w stencie w</w:t>
      </w:r>
      <w:r w:rsidR="00050B02">
        <w:rPr>
          <w:sz w:val="22"/>
          <w:lang w:val="pl-PL"/>
        </w:rPr>
        <w:t> p</w:t>
      </w:r>
      <w:r w:rsidRPr="00635764">
        <w:rPr>
          <w:sz w:val="22"/>
          <w:lang w:val="pl-PL"/>
        </w:rPr>
        <w:t>orównaniu do pacjentów z intensywnym metabolizmem.</w:t>
      </w:r>
    </w:p>
    <w:p w:rsidR="00635764" w:rsidRPr="00635764" w:rsidRDefault="00635764" w:rsidP="00635764">
      <w:pPr>
        <w:spacing w:line="120" w:lineRule="atLeast"/>
        <w:rPr>
          <w:sz w:val="22"/>
          <w:lang w:val="pl-PL"/>
        </w:rPr>
      </w:pPr>
    </w:p>
    <w:p w:rsidR="00635764" w:rsidRPr="00635764" w:rsidRDefault="00635764" w:rsidP="00635764">
      <w:pPr>
        <w:spacing w:line="120" w:lineRule="atLeast"/>
        <w:rPr>
          <w:sz w:val="22"/>
          <w:lang w:val="pl-PL"/>
        </w:rPr>
      </w:pPr>
      <w:r w:rsidRPr="00635764">
        <w:rPr>
          <w:sz w:val="22"/>
          <w:lang w:val="pl-PL"/>
        </w:rPr>
        <w:t>W badaniu CHARISMA oraz w jednym z badań kohortowych (Simon) zwiększony wskaźnik zdarzeń zaobserwowano tylko u pacjentów ze słabym metabolizmem w porównaniu do pacjentów z</w:t>
      </w:r>
      <w:r w:rsidR="00234407">
        <w:rPr>
          <w:sz w:val="22"/>
          <w:lang w:val="pl-PL"/>
        </w:rPr>
        <w:t> </w:t>
      </w:r>
      <w:r w:rsidRPr="00635764">
        <w:rPr>
          <w:sz w:val="22"/>
          <w:lang w:val="pl-PL"/>
        </w:rPr>
        <w:t>intensywnym metabolizmem.</w:t>
      </w:r>
    </w:p>
    <w:p w:rsidR="00635764" w:rsidRPr="00635764" w:rsidRDefault="00635764" w:rsidP="00635764">
      <w:pPr>
        <w:spacing w:line="120" w:lineRule="atLeast"/>
        <w:rPr>
          <w:sz w:val="22"/>
          <w:lang w:val="pl-PL"/>
        </w:rPr>
      </w:pPr>
    </w:p>
    <w:p w:rsidR="00635764" w:rsidRPr="00635764" w:rsidRDefault="00635764" w:rsidP="00635764">
      <w:pPr>
        <w:spacing w:line="120" w:lineRule="atLeast"/>
        <w:rPr>
          <w:sz w:val="22"/>
          <w:lang w:val="pl-PL"/>
        </w:rPr>
      </w:pPr>
      <w:r w:rsidRPr="00635764">
        <w:rPr>
          <w:sz w:val="22"/>
          <w:lang w:val="pl-PL"/>
        </w:rPr>
        <w:t>W badaniach CURE, CLARITY, ACTIVE</w:t>
      </w:r>
      <w:r w:rsidRPr="00635764">
        <w:rPr>
          <w:sz w:val="22"/>
          <w:lang w:val="pl-PL"/>
        </w:rPr>
        <w:noBreakHyphen/>
        <w:t>A oraz w jednym z badań kohortowych (Trenk) nie zaobserwowano zwiększenia częstości występowania zdarzeń względem statusu metabolizmu.</w:t>
      </w:r>
    </w:p>
    <w:p w:rsidR="00635764" w:rsidRPr="00635764" w:rsidRDefault="00635764" w:rsidP="00050B02">
      <w:pPr>
        <w:rPr>
          <w:sz w:val="22"/>
          <w:lang w:val="pl-PL"/>
        </w:rPr>
      </w:pPr>
    </w:p>
    <w:p w:rsidR="00635764" w:rsidRPr="00635764" w:rsidRDefault="00635764" w:rsidP="00050B02">
      <w:pPr>
        <w:rPr>
          <w:sz w:val="22"/>
          <w:lang w:val="pl-PL"/>
        </w:rPr>
      </w:pPr>
      <w:r w:rsidRPr="00635764">
        <w:rPr>
          <w:sz w:val="22"/>
          <w:lang w:val="pl-PL"/>
        </w:rPr>
        <w:t xml:space="preserve">Żadna z tych analiz nie </w:t>
      </w:r>
      <w:r w:rsidR="00050B02">
        <w:rPr>
          <w:sz w:val="22"/>
          <w:lang w:val="pl-PL"/>
        </w:rPr>
        <w:t>była odpowiednia, aby wykazać</w:t>
      </w:r>
      <w:r w:rsidRPr="00635764">
        <w:rPr>
          <w:sz w:val="22"/>
          <w:lang w:val="pl-PL"/>
        </w:rPr>
        <w:t xml:space="preserve"> różnic</w:t>
      </w:r>
      <w:r w:rsidR="00050B02">
        <w:rPr>
          <w:sz w:val="22"/>
          <w:lang w:val="pl-PL"/>
        </w:rPr>
        <w:t>e</w:t>
      </w:r>
      <w:r w:rsidRPr="00635764">
        <w:rPr>
          <w:sz w:val="22"/>
          <w:lang w:val="pl-PL"/>
        </w:rPr>
        <w:t xml:space="preserve"> w </w:t>
      </w:r>
      <w:r w:rsidR="00050B02">
        <w:rPr>
          <w:sz w:val="22"/>
          <w:lang w:val="pl-PL"/>
        </w:rPr>
        <w:t xml:space="preserve">wynikach </w:t>
      </w:r>
      <w:r w:rsidRPr="00635764">
        <w:rPr>
          <w:sz w:val="22"/>
          <w:lang w:val="pl-PL"/>
        </w:rPr>
        <w:t>leczenia u pacjentów ze słabym metabolizmem.</w:t>
      </w:r>
    </w:p>
    <w:p w:rsidR="001721AF" w:rsidRPr="001721AF" w:rsidRDefault="001721AF" w:rsidP="00050B02">
      <w:pPr>
        <w:tabs>
          <w:tab w:val="left" w:pos="4140"/>
        </w:tabs>
        <w:rPr>
          <w:sz w:val="22"/>
          <w:szCs w:val="22"/>
          <w:lang w:val="pl-PL"/>
        </w:rPr>
      </w:pPr>
    </w:p>
    <w:p w:rsidR="001721AF" w:rsidRPr="001721AF" w:rsidRDefault="00A52108" w:rsidP="00050B02">
      <w:pPr>
        <w:tabs>
          <w:tab w:val="left" w:pos="4140"/>
        </w:tabs>
        <w:rPr>
          <w:sz w:val="22"/>
          <w:szCs w:val="22"/>
          <w:u w:val="single"/>
          <w:lang w:val="pl-PL"/>
        </w:rPr>
      </w:pPr>
      <w:r>
        <w:rPr>
          <w:sz w:val="22"/>
          <w:szCs w:val="22"/>
          <w:u w:val="single"/>
          <w:lang w:val="pl-PL"/>
        </w:rPr>
        <w:t>Szczególne</w:t>
      </w:r>
      <w:r w:rsidR="0068326B">
        <w:rPr>
          <w:sz w:val="22"/>
          <w:szCs w:val="22"/>
          <w:u w:val="single"/>
          <w:lang w:val="pl-PL"/>
        </w:rPr>
        <w:t xml:space="preserve"> grupy pacjentów</w:t>
      </w:r>
    </w:p>
    <w:p w:rsidR="001721AF" w:rsidRPr="001721AF" w:rsidRDefault="001721AF" w:rsidP="001721AF">
      <w:pPr>
        <w:tabs>
          <w:tab w:val="left" w:pos="4140"/>
        </w:tabs>
        <w:rPr>
          <w:sz w:val="22"/>
          <w:szCs w:val="22"/>
          <w:lang w:val="pl-PL"/>
        </w:rPr>
      </w:pPr>
      <w:r w:rsidRPr="001721AF">
        <w:rPr>
          <w:sz w:val="22"/>
          <w:szCs w:val="22"/>
          <w:lang w:val="pl-PL"/>
        </w:rPr>
        <w:t xml:space="preserve">Farmakokinetyka </w:t>
      </w:r>
      <w:r w:rsidR="00E935B1">
        <w:rPr>
          <w:sz w:val="22"/>
          <w:szCs w:val="22"/>
          <w:lang w:val="pl-PL"/>
        </w:rPr>
        <w:t>czynnego</w:t>
      </w:r>
      <w:r w:rsidRPr="001721AF">
        <w:rPr>
          <w:sz w:val="22"/>
          <w:szCs w:val="22"/>
          <w:lang w:val="pl-PL"/>
        </w:rPr>
        <w:t xml:space="preserve"> metabolitu klopidogrelu nie jest znana w tych</w:t>
      </w:r>
      <w:r w:rsidR="005C3B58">
        <w:rPr>
          <w:sz w:val="22"/>
          <w:szCs w:val="22"/>
          <w:lang w:val="pl-PL"/>
        </w:rPr>
        <w:t xml:space="preserve"> </w:t>
      </w:r>
      <w:r w:rsidR="00A52108">
        <w:rPr>
          <w:sz w:val="22"/>
          <w:szCs w:val="22"/>
          <w:lang w:val="pl-PL"/>
        </w:rPr>
        <w:t>szczególnych</w:t>
      </w:r>
      <w:r w:rsidR="005C3B58">
        <w:rPr>
          <w:sz w:val="22"/>
          <w:szCs w:val="22"/>
          <w:lang w:val="pl-PL"/>
        </w:rPr>
        <w:t xml:space="preserve"> grupach pacjentów</w:t>
      </w:r>
      <w:r w:rsidRPr="001721AF">
        <w:rPr>
          <w:sz w:val="22"/>
          <w:szCs w:val="22"/>
          <w:lang w:val="pl-PL"/>
        </w:rPr>
        <w:t>.</w:t>
      </w:r>
    </w:p>
    <w:p w:rsidR="001721AF" w:rsidRDefault="001721AF">
      <w:pPr>
        <w:tabs>
          <w:tab w:val="left" w:pos="567"/>
        </w:tabs>
        <w:rPr>
          <w:sz w:val="22"/>
          <w:szCs w:val="22"/>
          <w:lang w:val="pl-PL"/>
        </w:rPr>
      </w:pPr>
    </w:p>
    <w:p w:rsidR="001721AF" w:rsidRPr="001721AF" w:rsidRDefault="00E935B1">
      <w:pPr>
        <w:tabs>
          <w:tab w:val="left" w:pos="567"/>
        </w:tabs>
        <w:rPr>
          <w:i/>
          <w:sz w:val="22"/>
          <w:lang w:val="pl-PL"/>
        </w:rPr>
      </w:pPr>
      <w:r>
        <w:rPr>
          <w:i/>
          <w:sz w:val="22"/>
          <w:szCs w:val="22"/>
          <w:lang w:val="pl-PL"/>
        </w:rPr>
        <w:t>Zaburzenia</w:t>
      </w:r>
      <w:r w:rsidR="001721AF" w:rsidRPr="001721AF">
        <w:rPr>
          <w:i/>
          <w:sz w:val="22"/>
          <w:szCs w:val="22"/>
          <w:lang w:val="pl-PL"/>
        </w:rPr>
        <w:t xml:space="preserve"> czynnoś</w:t>
      </w:r>
      <w:r>
        <w:rPr>
          <w:i/>
          <w:sz w:val="22"/>
          <w:szCs w:val="22"/>
          <w:lang w:val="pl-PL"/>
        </w:rPr>
        <w:t>ci</w:t>
      </w:r>
      <w:r w:rsidR="001721AF" w:rsidRPr="001721AF">
        <w:rPr>
          <w:i/>
          <w:sz w:val="22"/>
          <w:szCs w:val="22"/>
          <w:lang w:val="pl-PL"/>
        </w:rPr>
        <w:t xml:space="preserve"> nerek</w:t>
      </w:r>
    </w:p>
    <w:p w:rsidR="00BC4936" w:rsidRDefault="00BC4936">
      <w:pPr>
        <w:tabs>
          <w:tab w:val="left" w:pos="567"/>
        </w:tabs>
        <w:rPr>
          <w:sz w:val="22"/>
          <w:lang w:val="pl-PL"/>
        </w:rPr>
      </w:pPr>
      <w:r>
        <w:rPr>
          <w:sz w:val="22"/>
          <w:lang w:val="pl-PL"/>
        </w:rPr>
        <w:t>Po powtarzanych dawkach 75 mg klopidogrelu na dobę u osób z ciężką chorobą nerek (klirens kreatyniny od 5 do 15 ml/min)</w:t>
      </w:r>
      <w:r w:rsidR="001721AF">
        <w:rPr>
          <w:sz w:val="22"/>
          <w:lang w:val="pl-PL"/>
        </w:rPr>
        <w:t>,</w:t>
      </w:r>
      <w:r>
        <w:rPr>
          <w:sz w:val="22"/>
          <w:lang w:val="pl-PL"/>
        </w:rPr>
        <w:t xml:space="preserve"> hamowanie indukowanej przez ADP agregacji płytek było mniejsze (25%) niż obserwowane u zdrowych osób, </w:t>
      </w:r>
      <w:r w:rsidR="003D7031">
        <w:rPr>
          <w:sz w:val="22"/>
          <w:lang w:val="pl-PL"/>
        </w:rPr>
        <w:t xml:space="preserve">jakkolwiek </w:t>
      </w:r>
      <w:r>
        <w:rPr>
          <w:sz w:val="22"/>
          <w:lang w:val="pl-PL"/>
        </w:rPr>
        <w:t>przedłużenie krwawienia było podobne do tego, które obserwowano u zdrowych osób otrzymujących 75 mg klopidogrelu na dobę. Ponadto, kliniczna tolerancja była dobra u wszystkich pacjentów.</w:t>
      </w:r>
    </w:p>
    <w:p w:rsidR="00847D3F" w:rsidRDefault="00847D3F">
      <w:pPr>
        <w:tabs>
          <w:tab w:val="left" w:pos="567"/>
        </w:tabs>
        <w:rPr>
          <w:sz w:val="22"/>
          <w:lang w:val="pl-PL"/>
        </w:rPr>
      </w:pPr>
    </w:p>
    <w:p w:rsidR="00847D3F" w:rsidRPr="00847D3F" w:rsidRDefault="00E935B1" w:rsidP="00F7287B">
      <w:pPr>
        <w:keepNext/>
        <w:rPr>
          <w:i/>
          <w:sz w:val="22"/>
          <w:szCs w:val="22"/>
          <w:lang w:val="pl-PL"/>
        </w:rPr>
      </w:pPr>
      <w:r>
        <w:rPr>
          <w:i/>
          <w:sz w:val="22"/>
          <w:szCs w:val="22"/>
          <w:lang w:val="pl-PL"/>
        </w:rPr>
        <w:t>Zaburzenia czynności</w:t>
      </w:r>
      <w:r w:rsidR="00847D3F" w:rsidRPr="00847D3F">
        <w:rPr>
          <w:i/>
          <w:sz w:val="22"/>
          <w:szCs w:val="22"/>
          <w:lang w:val="pl-PL"/>
        </w:rPr>
        <w:t xml:space="preserve"> wątroby</w:t>
      </w:r>
    </w:p>
    <w:p w:rsidR="00847D3F" w:rsidRDefault="00847D3F" w:rsidP="00F7287B">
      <w:pPr>
        <w:keepNext/>
        <w:tabs>
          <w:tab w:val="left" w:pos="4140"/>
        </w:tabs>
        <w:rPr>
          <w:sz w:val="22"/>
          <w:szCs w:val="22"/>
          <w:lang w:val="pl-PL"/>
        </w:rPr>
      </w:pPr>
      <w:r w:rsidRPr="00847D3F">
        <w:rPr>
          <w:sz w:val="22"/>
          <w:szCs w:val="22"/>
          <w:lang w:val="pl-PL"/>
        </w:rPr>
        <w:t xml:space="preserve">Po </w:t>
      </w:r>
      <w:r w:rsidR="00E935B1">
        <w:rPr>
          <w:sz w:val="22"/>
          <w:szCs w:val="22"/>
          <w:lang w:val="pl-PL"/>
        </w:rPr>
        <w:t>wielokrotnych</w:t>
      </w:r>
      <w:r w:rsidRPr="00847D3F">
        <w:rPr>
          <w:sz w:val="22"/>
          <w:szCs w:val="22"/>
          <w:lang w:val="pl-PL"/>
        </w:rPr>
        <w:t xml:space="preserve"> doustnych dawkach 75 mg na dobę przez 10 dni u pacjentów z ciężk</w:t>
      </w:r>
      <w:r w:rsidR="00E935B1">
        <w:rPr>
          <w:sz w:val="22"/>
          <w:szCs w:val="22"/>
          <w:lang w:val="pl-PL"/>
        </w:rPr>
        <w:t>im</w:t>
      </w:r>
      <w:r w:rsidR="0068326B">
        <w:rPr>
          <w:sz w:val="22"/>
          <w:szCs w:val="22"/>
          <w:lang w:val="pl-PL"/>
        </w:rPr>
        <w:t>i</w:t>
      </w:r>
      <w:r w:rsidR="00E935B1">
        <w:rPr>
          <w:sz w:val="22"/>
          <w:szCs w:val="22"/>
          <w:lang w:val="pl-PL"/>
        </w:rPr>
        <w:t xml:space="preserve"> zaburzeni</w:t>
      </w:r>
      <w:r w:rsidR="0068326B">
        <w:rPr>
          <w:sz w:val="22"/>
          <w:szCs w:val="22"/>
          <w:lang w:val="pl-PL"/>
        </w:rPr>
        <w:t>ami</w:t>
      </w:r>
      <w:r w:rsidR="00E935B1">
        <w:rPr>
          <w:sz w:val="22"/>
          <w:szCs w:val="22"/>
          <w:lang w:val="pl-PL"/>
        </w:rPr>
        <w:t xml:space="preserve"> czynności</w:t>
      </w:r>
      <w:r w:rsidRPr="00847D3F">
        <w:rPr>
          <w:sz w:val="22"/>
          <w:szCs w:val="22"/>
          <w:lang w:val="pl-PL"/>
        </w:rPr>
        <w:t xml:space="preserve"> wątroby zahamowanie </w:t>
      </w:r>
      <w:r w:rsidRPr="00847D3F">
        <w:rPr>
          <w:bCs/>
          <w:sz w:val="22"/>
          <w:szCs w:val="22"/>
          <w:lang w:val="pl-PL"/>
        </w:rPr>
        <w:t>indukowanej przez ADP agregacji płytek</w:t>
      </w:r>
      <w:r w:rsidRPr="00847D3F">
        <w:rPr>
          <w:sz w:val="22"/>
          <w:szCs w:val="22"/>
          <w:lang w:val="pl-PL"/>
        </w:rPr>
        <w:t xml:space="preserve"> było porównywalne do reakcji u zdrowych osób. Średni czas </w:t>
      </w:r>
      <w:r w:rsidR="00E935B1">
        <w:rPr>
          <w:sz w:val="22"/>
          <w:szCs w:val="22"/>
          <w:lang w:val="pl-PL"/>
        </w:rPr>
        <w:t xml:space="preserve">przedłużenia </w:t>
      </w:r>
      <w:r w:rsidRPr="00847D3F">
        <w:rPr>
          <w:sz w:val="22"/>
          <w:szCs w:val="22"/>
          <w:lang w:val="pl-PL"/>
        </w:rPr>
        <w:t xml:space="preserve">krwawienia był również podobny w obu grupach. </w:t>
      </w:r>
    </w:p>
    <w:p w:rsidR="00847D3F" w:rsidRPr="00847D3F" w:rsidRDefault="00847D3F" w:rsidP="00847D3F">
      <w:pPr>
        <w:tabs>
          <w:tab w:val="left" w:pos="4140"/>
        </w:tabs>
        <w:rPr>
          <w:sz w:val="22"/>
          <w:szCs w:val="22"/>
          <w:lang w:val="pl-PL"/>
        </w:rPr>
      </w:pPr>
    </w:p>
    <w:p w:rsidR="00847D3F" w:rsidRPr="00847D3F" w:rsidRDefault="00847D3F" w:rsidP="00847D3F">
      <w:pPr>
        <w:tabs>
          <w:tab w:val="left" w:pos="4140"/>
        </w:tabs>
        <w:rPr>
          <w:i/>
          <w:sz w:val="22"/>
          <w:szCs w:val="22"/>
          <w:lang w:val="pl-PL"/>
        </w:rPr>
      </w:pPr>
      <w:r w:rsidRPr="00847D3F">
        <w:rPr>
          <w:i/>
          <w:sz w:val="22"/>
          <w:szCs w:val="22"/>
          <w:lang w:val="pl-PL"/>
        </w:rPr>
        <w:t>Rasa</w:t>
      </w:r>
    </w:p>
    <w:p w:rsidR="00847D3F" w:rsidRPr="00847D3F" w:rsidRDefault="00847D3F" w:rsidP="00847D3F">
      <w:pPr>
        <w:tabs>
          <w:tab w:val="left" w:pos="4140"/>
        </w:tabs>
        <w:rPr>
          <w:sz w:val="22"/>
          <w:szCs w:val="22"/>
          <w:lang w:val="pl-PL"/>
        </w:rPr>
      </w:pPr>
      <w:r w:rsidRPr="00847D3F">
        <w:rPr>
          <w:sz w:val="22"/>
          <w:szCs w:val="22"/>
          <w:lang w:val="pl-PL"/>
        </w:rPr>
        <w:t xml:space="preserve">Rozpowszechnienie alleli CYP2C19 wpływających na średni lub słaby metabolizm CYP2C19 różni się w poszczególnych rasach/grupach etnicznych (patrz Farmakogenetyka). Z uwagi na ograniczoną ilość danych dostępnych w piśmiennictwie niemożliwe jest określenie wpływu genotypów CYP na </w:t>
      </w:r>
      <w:r w:rsidR="00E935B1">
        <w:rPr>
          <w:sz w:val="22"/>
          <w:szCs w:val="22"/>
          <w:lang w:val="pl-PL"/>
        </w:rPr>
        <w:t>wyniki</w:t>
      </w:r>
      <w:r w:rsidRPr="00847D3F">
        <w:rPr>
          <w:sz w:val="22"/>
          <w:szCs w:val="22"/>
          <w:lang w:val="pl-PL"/>
        </w:rPr>
        <w:t xml:space="preserve"> kliniczne </w:t>
      </w:r>
      <w:r w:rsidR="00E935B1">
        <w:rPr>
          <w:sz w:val="22"/>
          <w:szCs w:val="22"/>
          <w:lang w:val="pl-PL"/>
        </w:rPr>
        <w:t xml:space="preserve">po </w:t>
      </w:r>
      <w:r w:rsidRPr="00847D3F">
        <w:rPr>
          <w:sz w:val="22"/>
          <w:szCs w:val="22"/>
          <w:lang w:val="pl-PL"/>
        </w:rPr>
        <w:t>leczeni</w:t>
      </w:r>
      <w:r w:rsidR="00366CDE">
        <w:rPr>
          <w:sz w:val="22"/>
          <w:szCs w:val="22"/>
          <w:lang w:val="pl-PL"/>
        </w:rPr>
        <w:t>u</w:t>
      </w:r>
      <w:r w:rsidRPr="00847D3F">
        <w:rPr>
          <w:sz w:val="22"/>
          <w:szCs w:val="22"/>
          <w:lang w:val="pl-PL"/>
        </w:rPr>
        <w:t xml:space="preserve"> klopidogrelem u </w:t>
      </w:r>
      <w:r w:rsidR="00E935B1">
        <w:rPr>
          <w:sz w:val="22"/>
          <w:szCs w:val="22"/>
          <w:lang w:val="pl-PL"/>
        </w:rPr>
        <w:t>populacji żółtej</w:t>
      </w:r>
      <w:r w:rsidRPr="00847D3F">
        <w:rPr>
          <w:sz w:val="22"/>
          <w:szCs w:val="22"/>
          <w:lang w:val="pl-PL"/>
        </w:rPr>
        <w:t xml:space="preserve">. </w:t>
      </w:r>
    </w:p>
    <w:bookmarkEnd w:id="24"/>
    <w:bookmarkEnd w:id="25"/>
    <w:p w:rsidR="00BC4936" w:rsidRDefault="00BC4936">
      <w:pPr>
        <w:tabs>
          <w:tab w:val="left" w:pos="567"/>
        </w:tabs>
        <w:rPr>
          <w:sz w:val="22"/>
          <w:lang w:val="pl-PL"/>
        </w:rPr>
      </w:pPr>
    </w:p>
    <w:p w:rsidR="00BC4936" w:rsidRDefault="00BC4936">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5.3</w:t>
      </w:r>
      <w:r>
        <w:rPr>
          <w:rFonts w:ascii="Times New Roman" w:hAnsi="Times New Roman"/>
          <w:i w:val="0"/>
          <w:sz w:val="22"/>
          <w:lang w:val="pl-PL"/>
        </w:rPr>
        <w:tab/>
        <w:t>Przedkliniczne dane o bezpieczeństwie</w:t>
      </w:r>
    </w:p>
    <w:p w:rsidR="00BC4936" w:rsidRDefault="00BC4936">
      <w:pPr>
        <w:rPr>
          <w:sz w:val="22"/>
          <w:lang w:val="pl-PL"/>
        </w:rPr>
      </w:pPr>
    </w:p>
    <w:p w:rsidR="00BC4936" w:rsidRDefault="00BC4936">
      <w:pPr>
        <w:tabs>
          <w:tab w:val="left" w:pos="567"/>
        </w:tabs>
        <w:rPr>
          <w:sz w:val="22"/>
          <w:lang w:val="pl-PL"/>
        </w:rPr>
      </w:pPr>
      <w:r>
        <w:rPr>
          <w:sz w:val="22"/>
          <w:lang w:val="pl-PL"/>
        </w:rPr>
        <w:t>Podczas badań nieklinicznych u szczura i pawiana, najczęściej obserwowanymi objawami były zmiany w wątrobie. Występowały one p</w:t>
      </w:r>
      <w:r w:rsidR="00E935B1">
        <w:rPr>
          <w:sz w:val="22"/>
          <w:lang w:val="pl-PL"/>
        </w:rPr>
        <w:t>o</w:t>
      </w:r>
      <w:r>
        <w:rPr>
          <w:sz w:val="22"/>
          <w:lang w:val="pl-PL"/>
        </w:rPr>
        <w:t xml:space="preserve"> dawkach odpowiadających co najmniej 25-krotnej ekspozycji spotykanej u ludzi otrzymujących dawkę kliniczną 75 mg/dobę i były konsekwencją oddziaływania na wątrobowe enzymy metabolizujące. Nie obserwowano wpływu na wątrobowe enzymy metabolizujące u ludzi otrzymujących klopidogrel w dawce terapeutycznej.</w:t>
      </w:r>
    </w:p>
    <w:p w:rsidR="00E935B1" w:rsidRDefault="00E935B1">
      <w:pPr>
        <w:pStyle w:val="BodyText3"/>
        <w:rPr>
          <w:lang w:val="pl-PL"/>
        </w:rPr>
      </w:pPr>
    </w:p>
    <w:p w:rsidR="00BC4936" w:rsidRDefault="00BC4936">
      <w:pPr>
        <w:pStyle w:val="BodyText3"/>
        <w:rPr>
          <w:lang w:val="pl-PL"/>
        </w:rPr>
      </w:pPr>
      <w:r>
        <w:rPr>
          <w:lang w:val="pl-PL"/>
        </w:rPr>
        <w:t xml:space="preserve">Po bardzo dużych dawkach </w:t>
      </w:r>
      <w:r w:rsidR="00611D28">
        <w:rPr>
          <w:lang w:val="pl-PL"/>
        </w:rPr>
        <w:t>odnotowano</w:t>
      </w:r>
      <w:r>
        <w:rPr>
          <w:lang w:val="pl-PL"/>
        </w:rPr>
        <w:t xml:space="preserve"> również u szczura i pawiana złą żołądkową tolerancję klopidogrelu (zapalenie </w:t>
      </w:r>
      <w:r w:rsidR="00E935B1">
        <w:rPr>
          <w:lang w:val="pl-PL"/>
        </w:rPr>
        <w:t xml:space="preserve">błony śluzowej </w:t>
      </w:r>
      <w:r>
        <w:rPr>
          <w:lang w:val="pl-PL"/>
        </w:rPr>
        <w:t xml:space="preserve">żołądka, nadżerki </w:t>
      </w:r>
      <w:r w:rsidR="00E935B1">
        <w:rPr>
          <w:lang w:val="pl-PL"/>
        </w:rPr>
        <w:t>błony śluzowej</w:t>
      </w:r>
      <w:r>
        <w:rPr>
          <w:lang w:val="pl-PL"/>
        </w:rPr>
        <w:t xml:space="preserve"> żołądka i (lub) wymioty). </w:t>
      </w:r>
    </w:p>
    <w:p w:rsidR="00BC4936" w:rsidRDefault="00BC4936">
      <w:pPr>
        <w:pStyle w:val="BodyText2"/>
        <w:tabs>
          <w:tab w:val="clear" w:pos="360"/>
          <w:tab w:val="left" w:pos="567"/>
        </w:tabs>
        <w:spacing w:line="240" w:lineRule="auto"/>
        <w:rPr>
          <w:rFonts w:ascii="Times New Roman" w:hAnsi="Times New Roman"/>
          <w:sz w:val="22"/>
          <w:lang w:val="pl-PL"/>
        </w:rPr>
      </w:pPr>
    </w:p>
    <w:p w:rsidR="00BC4936" w:rsidRDefault="00BC4936">
      <w:pPr>
        <w:pStyle w:val="BodyText2"/>
        <w:tabs>
          <w:tab w:val="clear" w:pos="360"/>
          <w:tab w:val="left" w:pos="567"/>
        </w:tabs>
        <w:spacing w:line="240" w:lineRule="auto"/>
        <w:rPr>
          <w:rFonts w:ascii="Times New Roman" w:hAnsi="Times New Roman"/>
          <w:sz w:val="22"/>
          <w:lang w:val="pl-PL"/>
        </w:rPr>
      </w:pPr>
      <w:r>
        <w:rPr>
          <w:rFonts w:ascii="Times New Roman" w:hAnsi="Times New Roman"/>
          <w:sz w:val="22"/>
          <w:lang w:val="pl-PL"/>
        </w:rPr>
        <w:t>Nie było dowodów na działanie rakotwórcze, gdy podawano klopidogrel przez 78 tygodni myszom i</w:t>
      </w:r>
      <w:r w:rsidR="00600AB0">
        <w:rPr>
          <w:rFonts w:ascii="Times New Roman" w:hAnsi="Times New Roman"/>
          <w:sz w:val="22"/>
          <w:lang w:val="pl-PL"/>
        </w:rPr>
        <w:t> </w:t>
      </w:r>
      <w:r>
        <w:rPr>
          <w:rFonts w:ascii="Times New Roman" w:hAnsi="Times New Roman"/>
          <w:sz w:val="22"/>
          <w:lang w:val="pl-PL"/>
        </w:rPr>
        <w:t>104 tygodnie szczurom w dawkach do 77 mg/kg mc. na dobę (odpowiadających co najmniej 25</w:t>
      </w:r>
      <w:r w:rsidR="00600AB0">
        <w:rPr>
          <w:rFonts w:ascii="Times New Roman" w:hAnsi="Times New Roman"/>
          <w:sz w:val="22"/>
          <w:lang w:val="pl-PL"/>
        </w:rPr>
        <w:noBreakHyphen/>
      </w:r>
      <w:r>
        <w:rPr>
          <w:rFonts w:ascii="Times New Roman" w:hAnsi="Times New Roman"/>
          <w:sz w:val="22"/>
          <w:lang w:val="pl-PL"/>
        </w:rPr>
        <w:t>krotnej ekspozycji u ludzi otrzymujących dawkę kliniczną 75 mg/dobę).</w:t>
      </w:r>
    </w:p>
    <w:p w:rsidR="00BC4936" w:rsidRDefault="00BC4936" w:rsidP="002A3419">
      <w:pPr>
        <w:tabs>
          <w:tab w:val="left" w:pos="567"/>
        </w:tabs>
        <w:rPr>
          <w:sz w:val="22"/>
          <w:lang w:val="pl-PL"/>
        </w:rPr>
      </w:pPr>
    </w:p>
    <w:p w:rsidR="00BC4936" w:rsidRDefault="00BC4936">
      <w:pPr>
        <w:tabs>
          <w:tab w:val="left" w:pos="567"/>
        </w:tabs>
        <w:rPr>
          <w:sz w:val="22"/>
          <w:lang w:val="pl-PL"/>
        </w:rPr>
      </w:pPr>
      <w:r>
        <w:rPr>
          <w:sz w:val="22"/>
          <w:lang w:val="pl-PL"/>
        </w:rPr>
        <w:t xml:space="preserve">Klopidogrel był testowany w szeregu badań genotoksyczności </w:t>
      </w:r>
      <w:r>
        <w:rPr>
          <w:i/>
          <w:sz w:val="22"/>
          <w:lang w:val="pl-PL"/>
        </w:rPr>
        <w:t>in vivo</w:t>
      </w:r>
      <w:r>
        <w:rPr>
          <w:sz w:val="22"/>
          <w:lang w:val="pl-PL"/>
        </w:rPr>
        <w:t xml:space="preserve"> i </w:t>
      </w:r>
      <w:r>
        <w:rPr>
          <w:i/>
          <w:sz w:val="22"/>
          <w:lang w:val="pl-PL"/>
        </w:rPr>
        <w:t>in vitro</w:t>
      </w:r>
      <w:r>
        <w:rPr>
          <w:sz w:val="22"/>
          <w:lang w:val="pl-PL"/>
        </w:rPr>
        <w:t xml:space="preserve"> i nie wykazywał działania genotoksycznego.</w:t>
      </w:r>
    </w:p>
    <w:p w:rsidR="00BC4936" w:rsidRDefault="00BC4936">
      <w:pPr>
        <w:tabs>
          <w:tab w:val="left" w:pos="567"/>
        </w:tabs>
        <w:rPr>
          <w:sz w:val="22"/>
          <w:lang w:val="pl-PL"/>
        </w:rPr>
      </w:pPr>
    </w:p>
    <w:p w:rsidR="00BC4936" w:rsidRDefault="00BC4936">
      <w:pPr>
        <w:tabs>
          <w:tab w:val="left" w:pos="567"/>
        </w:tabs>
        <w:rPr>
          <w:sz w:val="22"/>
          <w:lang w:val="pl-PL"/>
        </w:rPr>
      </w:pPr>
      <w:r>
        <w:rPr>
          <w:sz w:val="22"/>
          <w:lang w:val="pl-PL"/>
        </w:rPr>
        <w:t>Klopidogrel nie wpływ</w:t>
      </w:r>
      <w:r w:rsidR="005C3B58">
        <w:rPr>
          <w:sz w:val="22"/>
          <w:lang w:val="pl-PL"/>
        </w:rPr>
        <w:t>ał</w:t>
      </w:r>
      <w:r>
        <w:rPr>
          <w:sz w:val="22"/>
          <w:lang w:val="pl-PL"/>
        </w:rPr>
        <w:t xml:space="preserve"> na płodność u samców i samic szczurów i nie był teratogenny ani u</w:t>
      </w:r>
      <w:r w:rsidR="00050B02">
        <w:rPr>
          <w:sz w:val="22"/>
          <w:lang w:val="pl-PL"/>
        </w:rPr>
        <w:t> </w:t>
      </w:r>
      <w:r>
        <w:rPr>
          <w:sz w:val="22"/>
          <w:lang w:val="pl-PL"/>
        </w:rPr>
        <w:t>szczurów</w:t>
      </w:r>
      <w:r w:rsidR="004611A0">
        <w:rPr>
          <w:sz w:val="22"/>
          <w:lang w:val="pl-PL"/>
        </w:rPr>
        <w:t>,</w:t>
      </w:r>
      <w:r>
        <w:rPr>
          <w:sz w:val="22"/>
          <w:lang w:val="pl-PL"/>
        </w:rPr>
        <w:t xml:space="preserve"> ani u królików. Klopidogrel podawany szczurom w okresie laktacji powodował niewielkie opóźnienie w rozwoju potomstwa. Specjalne badania farmakokinetyczne przeprowadzone przy użyciu znakowanego radioaktywnie klopidogrelu wykazały, że związek macierzysty lub jego metabolity są wydzielane do mleka. Nie można zatem wykluczyć skutku bezpośredniego (niewielkiej toksyczności) oraz pośredniego (pogorszenie smaku).</w:t>
      </w:r>
    </w:p>
    <w:p w:rsidR="00153967" w:rsidRDefault="00153967" w:rsidP="00153967">
      <w:pPr>
        <w:rPr>
          <w:lang w:val="pl-PL"/>
        </w:rPr>
      </w:pPr>
    </w:p>
    <w:p w:rsidR="00153967" w:rsidRPr="00153967" w:rsidRDefault="00153967" w:rsidP="00153967">
      <w:pPr>
        <w:rPr>
          <w:lang w:val="pl-PL"/>
        </w:rPr>
      </w:pPr>
    </w:p>
    <w:p w:rsidR="00BC4936" w:rsidRDefault="00293170" w:rsidP="005C3B58">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6.</w:t>
      </w:r>
      <w:r>
        <w:rPr>
          <w:rFonts w:ascii="Times New Roman" w:hAnsi="Times New Roman"/>
          <w:i w:val="0"/>
          <w:sz w:val="22"/>
          <w:lang w:val="pl-PL"/>
        </w:rPr>
        <w:tab/>
      </w:r>
      <w:r w:rsidR="00BC4936">
        <w:rPr>
          <w:rFonts w:ascii="Times New Roman" w:hAnsi="Times New Roman"/>
          <w:i w:val="0"/>
          <w:sz w:val="22"/>
          <w:lang w:val="pl-PL"/>
        </w:rPr>
        <w:t>DANE FARMACEUTYCZNE</w:t>
      </w:r>
    </w:p>
    <w:p w:rsidR="00BC4936" w:rsidRDefault="00BC4936" w:rsidP="00A64B0E">
      <w:pPr>
        <w:keepNext/>
        <w:rPr>
          <w:sz w:val="22"/>
          <w:lang w:val="pl-PL"/>
        </w:rPr>
      </w:pPr>
    </w:p>
    <w:p w:rsidR="00BC4936" w:rsidRDefault="00BC4936" w:rsidP="005C3B58">
      <w:pPr>
        <w:pStyle w:val="Heading2"/>
        <w:numPr>
          <w:ilvl w:val="1"/>
          <w:numId w:val="6"/>
        </w:numPr>
        <w:spacing w:before="0" w:after="0"/>
        <w:rPr>
          <w:rFonts w:ascii="Times New Roman" w:hAnsi="Times New Roman"/>
          <w:i w:val="0"/>
          <w:sz w:val="22"/>
          <w:lang w:val="pl-PL"/>
        </w:rPr>
      </w:pPr>
      <w:r>
        <w:rPr>
          <w:rFonts w:ascii="Times New Roman" w:hAnsi="Times New Roman"/>
          <w:i w:val="0"/>
          <w:sz w:val="22"/>
          <w:lang w:val="pl-PL"/>
        </w:rPr>
        <w:t>Wykaz substancji pomocniczych</w:t>
      </w:r>
    </w:p>
    <w:p w:rsidR="00BC4936" w:rsidRDefault="00BC4936" w:rsidP="00A64B0E">
      <w:pPr>
        <w:keepNext/>
        <w:rPr>
          <w:sz w:val="22"/>
          <w:lang w:val="pl-PL"/>
        </w:rPr>
      </w:pPr>
    </w:p>
    <w:p w:rsidR="00BC4936" w:rsidRDefault="00BC4936" w:rsidP="00A64B0E">
      <w:pPr>
        <w:pStyle w:val="BodyText3"/>
        <w:keepNext/>
        <w:rPr>
          <w:lang w:val="pl-PL"/>
        </w:rPr>
      </w:pPr>
      <w:r>
        <w:rPr>
          <w:lang w:val="pl-PL"/>
        </w:rPr>
        <w:t>Rdzeń:</w:t>
      </w:r>
    </w:p>
    <w:p w:rsidR="00BC4936" w:rsidRDefault="0068326B">
      <w:pPr>
        <w:tabs>
          <w:tab w:val="left" w:pos="567"/>
        </w:tabs>
        <w:rPr>
          <w:sz w:val="22"/>
          <w:lang w:val="pl-PL"/>
        </w:rPr>
      </w:pPr>
      <w:r>
        <w:rPr>
          <w:sz w:val="22"/>
          <w:lang w:val="pl-PL"/>
        </w:rPr>
        <w:tab/>
        <w:t>M</w:t>
      </w:r>
      <w:r w:rsidR="00BC4936">
        <w:rPr>
          <w:sz w:val="22"/>
          <w:lang w:val="pl-PL"/>
        </w:rPr>
        <w:t>annitol (E</w:t>
      </w:r>
      <w:r w:rsidR="000C02B5">
        <w:rPr>
          <w:sz w:val="22"/>
          <w:lang w:val="pl-PL"/>
        </w:rPr>
        <w:t xml:space="preserve"> </w:t>
      </w:r>
      <w:r w:rsidR="00BC4936">
        <w:rPr>
          <w:sz w:val="22"/>
          <w:lang w:val="pl-PL"/>
        </w:rPr>
        <w:t>421)</w:t>
      </w:r>
    </w:p>
    <w:p w:rsidR="00BC4936" w:rsidRDefault="0068326B">
      <w:pPr>
        <w:tabs>
          <w:tab w:val="left" w:pos="567"/>
        </w:tabs>
        <w:rPr>
          <w:sz w:val="22"/>
          <w:lang w:val="pl-PL"/>
        </w:rPr>
      </w:pPr>
      <w:r>
        <w:rPr>
          <w:sz w:val="22"/>
          <w:lang w:val="pl-PL"/>
        </w:rPr>
        <w:tab/>
        <w:t>M</w:t>
      </w:r>
      <w:r w:rsidR="00BC4936">
        <w:rPr>
          <w:sz w:val="22"/>
          <w:lang w:val="pl-PL"/>
        </w:rPr>
        <w:t>akrogol 6000</w:t>
      </w:r>
    </w:p>
    <w:p w:rsidR="00BC4936" w:rsidRDefault="0068326B">
      <w:pPr>
        <w:tabs>
          <w:tab w:val="left" w:pos="567"/>
        </w:tabs>
        <w:rPr>
          <w:sz w:val="22"/>
          <w:lang w:val="pl-PL"/>
        </w:rPr>
      </w:pPr>
      <w:r>
        <w:rPr>
          <w:sz w:val="22"/>
          <w:lang w:val="pl-PL"/>
        </w:rPr>
        <w:tab/>
        <w:t>C</w:t>
      </w:r>
      <w:r w:rsidR="00BC4936">
        <w:rPr>
          <w:sz w:val="22"/>
          <w:lang w:val="pl-PL"/>
        </w:rPr>
        <w:t xml:space="preserve">eluloza mikrokrystaliczna </w:t>
      </w:r>
    </w:p>
    <w:p w:rsidR="00BC4936" w:rsidRDefault="0068326B">
      <w:pPr>
        <w:tabs>
          <w:tab w:val="left" w:pos="567"/>
        </w:tabs>
        <w:rPr>
          <w:sz w:val="22"/>
          <w:lang w:val="pl-PL"/>
        </w:rPr>
      </w:pPr>
      <w:r>
        <w:rPr>
          <w:sz w:val="22"/>
          <w:lang w:val="pl-PL"/>
        </w:rPr>
        <w:tab/>
        <w:t>O</w:t>
      </w:r>
      <w:r w:rsidR="00BC4936">
        <w:rPr>
          <w:sz w:val="22"/>
          <w:lang w:val="pl-PL"/>
        </w:rPr>
        <w:t xml:space="preserve">lej rycynowy </w:t>
      </w:r>
      <w:r w:rsidR="00600A39">
        <w:rPr>
          <w:sz w:val="22"/>
          <w:lang w:val="pl-PL"/>
        </w:rPr>
        <w:t>uwodorniony</w:t>
      </w:r>
    </w:p>
    <w:p w:rsidR="00BC4936" w:rsidRDefault="0068326B">
      <w:pPr>
        <w:tabs>
          <w:tab w:val="left" w:pos="567"/>
        </w:tabs>
        <w:rPr>
          <w:sz w:val="22"/>
          <w:lang w:val="pl-PL"/>
        </w:rPr>
      </w:pPr>
      <w:r>
        <w:rPr>
          <w:sz w:val="22"/>
          <w:lang w:val="pl-PL"/>
        </w:rPr>
        <w:tab/>
        <w:t>H</w:t>
      </w:r>
      <w:r w:rsidR="00BC4936">
        <w:rPr>
          <w:sz w:val="22"/>
          <w:lang w:val="pl-PL"/>
        </w:rPr>
        <w:t xml:space="preserve">ydroksypropyloceluloza niskopodstawiona </w:t>
      </w:r>
    </w:p>
    <w:p w:rsidR="00815855" w:rsidRDefault="00815855" w:rsidP="00815855">
      <w:pPr>
        <w:tabs>
          <w:tab w:val="left" w:pos="567"/>
        </w:tabs>
        <w:rPr>
          <w:sz w:val="22"/>
          <w:lang w:val="pl-PL"/>
        </w:rPr>
      </w:pPr>
    </w:p>
    <w:p w:rsidR="00BC4936" w:rsidRPr="00815855" w:rsidRDefault="00BC4936" w:rsidP="00815855">
      <w:pPr>
        <w:tabs>
          <w:tab w:val="left" w:pos="567"/>
        </w:tabs>
        <w:rPr>
          <w:sz w:val="22"/>
          <w:lang w:val="pl-PL"/>
        </w:rPr>
      </w:pPr>
      <w:r w:rsidRPr="00815855">
        <w:rPr>
          <w:sz w:val="22"/>
          <w:lang w:val="pl-PL"/>
        </w:rPr>
        <w:t>Otoczka:</w:t>
      </w:r>
    </w:p>
    <w:p w:rsidR="00BC4936" w:rsidRDefault="0068326B">
      <w:pPr>
        <w:tabs>
          <w:tab w:val="left" w:pos="567"/>
        </w:tabs>
        <w:rPr>
          <w:sz w:val="22"/>
          <w:lang w:val="pl-PL"/>
        </w:rPr>
      </w:pPr>
      <w:r>
        <w:rPr>
          <w:sz w:val="22"/>
          <w:lang w:val="pl-PL"/>
        </w:rPr>
        <w:tab/>
        <w:t>H</w:t>
      </w:r>
      <w:r w:rsidR="00BC4936">
        <w:rPr>
          <w:sz w:val="22"/>
          <w:lang w:val="pl-PL"/>
        </w:rPr>
        <w:t>ypromeloza (E</w:t>
      </w:r>
      <w:r w:rsidR="000C02B5">
        <w:rPr>
          <w:sz w:val="22"/>
          <w:lang w:val="pl-PL"/>
        </w:rPr>
        <w:t xml:space="preserve"> </w:t>
      </w:r>
      <w:r w:rsidR="00BC4936">
        <w:rPr>
          <w:sz w:val="22"/>
          <w:lang w:val="pl-PL"/>
        </w:rPr>
        <w:t>464)</w:t>
      </w:r>
    </w:p>
    <w:p w:rsidR="00BC4936" w:rsidRDefault="0068326B">
      <w:pPr>
        <w:tabs>
          <w:tab w:val="left" w:pos="567"/>
        </w:tabs>
        <w:rPr>
          <w:sz w:val="22"/>
          <w:lang w:val="pl-PL"/>
        </w:rPr>
      </w:pPr>
      <w:r>
        <w:rPr>
          <w:sz w:val="22"/>
          <w:lang w:val="pl-PL"/>
        </w:rPr>
        <w:tab/>
        <w:t>L</w:t>
      </w:r>
      <w:r w:rsidR="00BC4936">
        <w:rPr>
          <w:sz w:val="22"/>
          <w:lang w:val="pl-PL"/>
        </w:rPr>
        <w:t>aktoza</w:t>
      </w:r>
      <w:r w:rsidR="002C6101">
        <w:rPr>
          <w:sz w:val="22"/>
          <w:lang w:val="pl-PL"/>
        </w:rPr>
        <w:t xml:space="preserve"> jednowodna</w:t>
      </w:r>
    </w:p>
    <w:p w:rsidR="00BC4936" w:rsidRDefault="0068326B">
      <w:pPr>
        <w:tabs>
          <w:tab w:val="left" w:pos="567"/>
        </w:tabs>
        <w:rPr>
          <w:sz w:val="22"/>
          <w:lang w:val="pl-PL"/>
        </w:rPr>
      </w:pPr>
      <w:r>
        <w:rPr>
          <w:sz w:val="22"/>
          <w:lang w:val="pl-PL"/>
        </w:rPr>
        <w:tab/>
        <w:t>T</w:t>
      </w:r>
      <w:r w:rsidR="00BC4936">
        <w:rPr>
          <w:sz w:val="22"/>
          <w:lang w:val="pl-PL"/>
        </w:rPr>
        <w:t>riacetyna (E</w:t>
      </w:r>
      <w:r w:rsidR="000C02B5">
        <w:rPr>
          <w:sz w:val="22"/>
          <w:lang w:val="pl-PL"/>
        </w:rPr>
        <w:t xml:space="preserve"> </w:t>
      </w:r>
      <w:r w:rsidR="00BC4936">
        <w:rPr>
          <w:sz w:val="22"/>
          <w:lang w:val="pl-PL"/>
        </w:rPr>
        <w:t>1518)</w:t>
      </w:r>
    </w:p>
    <w:p w:rsidR="00BC4936" w:rsidRDefault="0068326B">
      <w:pPr>
        <w:tabs>
          <w:tab w:val="left" w:pos="567"/>
        </w:tabs>
        <w:rPr>
          <w:sz w:val="22"/>
          <w:lang w:val="pl-PL"/>
        </w:rPr>
      </w:pPr>
      <w:r>
        <w:rPr>
          <w:sz w:val="22"/>
          <w:lang w:val="pl-PL"/>
        </w:rPr>
        <w:tab/>
        <w:t>T</w:t>
      </w:r>
      <w:r w:rsidR="00BC4936">
        <w:rPr>
          <w:sz w:val="22"/>
          <w:lang w:val="pl-PL"/>
        </w:rPr>
        <w:t>ytanu dwutlenek (E</w:t>
      </w:r>
      <w:r w:rsidR="000C02B5">
        <w:rPr>
          <w:sz w:val="22"/>
          <w:lang w:val="pl-PL"/>
        </w:rPr>
        <w:t xml:space="preserve"> </w:t>
      </w:r>
      <w:r w:rsidR="00BC4936">
        <w:rPr>
          <w:sz w:val="22"/>
          <w:lang w:val="pl-PL"/>
        </w:rPr>
        <w:t>171)</w:t>
      </w:r>
    </w:p>
    <w:p w:rsidR="00BC4936" w:rsidRDefault="0068326B">
      <w:pPr>
        <w:tabs>
          <w:tab w:val="left" w:pos="567"/>
        </w:tabs>
        <w:rPr>
          <w:sz w:val="22"/>
          <w:lang w:val="pl-PL"/>
        </w:rPr>
      </w:pPr>
      <w:r>
        <w:rPr>
          <w:sz w:val="22"/>
          <w:lang w:val="pl-PL"/>
        </w:rPr>
        <w:tab/>
        <w:t>Ż</w:t>
      </w:r>
      <w:r w:rsidR="00BC4936">
        <w:rPr>
          <w:sz w:val="22"/>
          <w:lang w:val="pl-PL"/>
        </w:rPr>
        <w:t>elaza tlenek czerwony (E</w:t>
      </w:r>
      <w:r w:rsidR="000C02B5">
        <w:rPr>
          <w:sz w:val="22"/>
          <w:lang w:val="pl-PL"/>
        </w:rPr>
        <w:t xml:space="preserve"> </w:t>
      </w:r>
      <w:r w:rsidR="00BC4936">
        <w:rPr>
          <w:sz w:val="22"/>
          <w:lang w:val="pl-PL"/>
        </w:rPr>
        <w:t>172)</w:t>
      </w:r>
    </w:p>
    <w:p w:rsidR="00754C4D" w:rsidRDefault="00754C4D">
      <w:pPr>
        <w:tabs>
          <w:tab w:val="left" w:pos="567"/>
        </w:tabs>
        <w:rPr>
          <w:sz w:val="22"/>
          <w:lang w:val="pl-PL"/>
        </w:rPr>
      </w:pPr>
    </w:p>
    <w:p w:rsidR="00754C4D" w:rsidRDefault="00754C4D" w:rsidP="00F7287B">
      <w:pPr>
        <w:keepNext/>
        <w:tabs>
          <w:tab w:val="left" w:pos="567"/>
        </w:tabs>
        <w:rPr>
          <w:sz w:val="22"/>
          <w:lang w:val="pl-PL"/>
        </w:rPr>
      </w:pPr>
      <w:r>
        <w:rPr>
          <w:sz w:val="22"/>
          <w:lang w:val="pl-PL"/>
        </w:rPr>
        <w:t>Środek nabłyszczający:</w:t>
      </w:r>
    </w:p>
    <w:p w:rsidR="00BC4936" w:rsidRDefault="0068326B" w:rsidP="00F7287B">
      <w:pPr>
        <w:keepNext/>
        <w:tabs>
          <w:tab w:val="left" w:pos="567"/>
        </w:tabs>
        <w:rPr>
          <w:sz w:val="22"/>
          <w:lang w:val="pl-PL"/>
        </w:rPr>
      </w:pPr>
      <w:r>
        <w:rPr>
          <w:sz w:val="22"/>
          <w:lang w:val="pl-PL"/>
        </w:rPr>
        <w:tab/>
        <w:t>W</w:t>
      </w:r>
      <w:r w:rsidR="00BC4936">
        <w:rPr>
          <w:sz w:val="22"/>
          <w:lang w:val="pl-PL"/>
        </w:rPr>
        <w:t xml:space="preserve">osk </w:t>
      </w:r>
      <w:r w:rsidR="002C7A00">
        <w:rPr>
          <w:sz w:val="22"/>
          <w:lang w:val="pl-PL"/>
        </w:rPr>
        <w:t>C</w:t>
      </w:r>
      <w:r w:rsidR="00BC4936">
        <w:rPr>
          <w:sz w:val="22"/>
          <w:lang w:val="pl-PL"/>
        </w:rPr>
        <w:t>arnauba</w:t>
      </w:r>
    </w:p>
    <w:p w:rsidR="00BC4936" w:rsidRDefault="00BC4936">
      <w:pPr>
        <w:tabs>
          <w:tab w:val="left" w:pos="567"/>
        </w:tabs>
        <w:rPr>
          <w:sz w:val="22"/>
          <w:lang w:val="pl-PL"/>
        </w:rPr>
      </w:pPr>
    </w:p>
    <w:p w:rsidR="00BC4936" w:rsidRDefault="00BC4936">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6.2</w:t>
      </w:r>
      <w:r>
        <w:rPr>
          <w:rFonts w:ascii="Times New Roman" w:hAnsi="Times New Roman"/>
          <w:i w:val="0"/>
          <w:sz w:val="22"/>
          <w:lang w:val="pl-PL"/>
        </w:rPr>
        <w:tab/>
        <w:t>Niezgodności farmaceutyczne</w:t>
      </w:r>
    </w:p>
    <w:p w:rsidR="00BC4936" w:rsidRDefault="00BC4936">
      <w:pPr>
        <w:rPr>
          <w:sz w:val="22"/>
          <w:lang w:val="pl-PL"/>
        </w:rPr>
      </w:pPr>
    </w:p>
    <w:p w:rsidR="00BC4936" w:rsidRDefault="00BC4936">
      <w:pPr>
        <w:tabs>
          <w:tab w:val="left" w:pos="567"/>
        </w:tabs>
        <w:rPr>
          <w:sz w:val="22"/>
          <w:lang w:val="pl-PL"/>
        </w:rPr>
      </w:pPr>
      <w:r>
        <w:rPr>
          <w:sz w:val="22"/>
          <w:lang w:val="pl-PL"/>
        </w:rPr>
        <w:t>Nie dotyczy</w:t>
      </w:r>
    </w:p>
    <w:p w:rsidR="00BC4936" w:rsidRDefault="00BC4936">
      <w:pPr>
        <w:tabs>
          <w:tab w:val="left" w:pos="567"/>
        </w:tabs>
        <w:rPr>
          <w:sz w:val="22"/>
          <w:lang w:val="pl-PL"/>
        </w:rPr>
      </w:pPr>
    </w:p>
    <w:p w:rsidR="00BC4936" w:rsidRDefault="00BC4936">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6.3</w:t>
      </w:r>
      <w:r>
        <w:rPr>
          <w:rFonts w:ascii="Times New Roman" w:hAnsi="Times New Roman"/>
          <w:i w:val="0"/>
          <w:sz w:val="22"/>
          <w:lang w:val="pl-PL"/>
        </w:rPr>
        <w:tab/>
        <w:t xml:space="preserve">Okres </w:t>
      </w:r>
      <w:r w:rsidR="00244C5D">
        <w:rPr>
          <w:rFonts w:ascii="Times New Roman" w:hAnsi="Times New Roman"/>
          <w:i w:val="0"/>
          <w:sz w:val="22"/>
          <w:lang w:val="pl-PL"/>
        </w:rPr>
        <w:t>ważności</w:t>
      </w:r>
    </w:p>
    <w:p w:rsidR="00BC4936" w:rsidRDefault="00BC4936">
      <w:pPr>
        <w:rPr>
          <w:sz w:val="22"/>
          <w:lang w:val="pl-PL"/>
        </w:rPr>
      </w:pPr>
    </w:p>
    <w:p w:rsidR="00BC4936" w:rsidRDefault="00BC4936">
      <w:pPr>
        <w:tabs>
          <w:tab w:val="left" w:pos="567"/>
        </w:tabs>
        <w:rPr>
          <w:sz w:val="22"/>
          <w:lang w:val="pl-PL"/>
        </w:rPr>
      </w:pPr>
      <w:r>
        <w:rPr>
          <w:sz w:val="22"/>
          <w:lang w:val="pl-PL"/>
        </w:rPr>
        <w:t>3 lata</w:t>
      </w:r>
    </w:p>
    <w:p w:rsidR="00BC4936" w:rsidRDefault="00BC4936">
      <w:pPr>
        <w:tabs>
          <w:tab w:val="left" w:pos="567"/>
        </w:tabs>
        <w:rPr>
          <w:sz w:val="22"/>
          <w:lang w:val="pl-PL"/>
        </w:rPr>
      </w:pPr>
    </w:p>
    <w:p w:rsidR="00BC4936" w:rsidRDefault="00BC4936">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6.4</w:t>
      </w:r>
      <w:r>
        <w:rPr>
          <w:rFonts w:ascii="Times New Roman" w:hAnsi="Times New Roman"/>
          <w:i w:val="0"/>
          <w:sz w:val="22"/>
          <w:lang w:val="pl-PL"/>
        </w:rPr>
        <w:tab/>
        <w:t xml:space="preserve">Specjalne środki ostrożności </w:t>
      </w:r>
      <w:r w:rsidR="00050B02">
        <w:rPr>
          <w:rFonts w:ascii="Times New Roman" w:hAnsi="Times New Roman"/>
          <w:i w:val="0"/>
          <w:sz w:val="22"/>
          <w:lang w:val="pl-PL"/>
        </w:rPr>
        <w:t xml:space="preserve">podczas </w:t>
      </w:r>
      <w:r>
        <w:rPr>
          <w:rFonts w:ascii="Times New Roman" w:hAnsi="Times New Roman"/>
          <w:i w:val="0"/>
          <w:sz w:val="22"/>
          <w:lang w:val="pl-PL"/>
        </w:rPr>
        <w:t>przechowywania</w:t>
      </w:r>
    </w:p>
    <w:p w:rsidR="00BC4936" w:rsidRDefault="00BC4936">
      <w:pPr>
        <w:rPr>
          <w:sz w:val="22"/>
          <w:lang w:val="pl-PL"/>
        </w:rPr>
      </w:pPr>
    </w:p>
    <w:p w:rsidR="00974BFD" w:rsidRPr="00186F08" w:rsidRDefault="0068326B" w:rsidP="00974BFD">
      <w:pPr>
        <w:rPr>
          <w:sz w:val="22"/>
          <w:lang w:val="pl-PL"/>
        </w:rPr>
      </w:pPr>
      <w:r>
        <w:rPr>
          <w:sz w:val="22"/>
          <w:lang w:val="pl-PL"/>
        </w:rPr>
        <w:t>B</w:t>
      </w:r>
      <w:r w:rsidR="00974BFD">
        <w:rPr>
          <w:sz w:val="22"/>
          <w:lang w:val="pl-PL"/>
        </w:rPr>
        <w:t>listr</w:t>
      </w:r>
      <w:r>
        <w:rPr>
          <w:sz w:val="22"/>
          <w:lang w:val="pl-PL"/>
        </w:rPr>
        <w:t>y</w:t>
      </w:r>
      <w:r w:rsidR="00974BFD">
        <w:rPr>
          <w:sz w:val="22"/>
          <w:lang w:val="pl-PL"/>
        </w:rPr>
        <w:t xml:space="preserve"> PVC/PVDC/</w:t>
      </w:r>
      <w:r w:rsidR="00050B02">
        <w:rPr>
          <w:sz w:val="22"/>
          <w:lang w:val="pl-PL"/>
        </w:rPr>
        <w:t>A</w:t>
      </w:r>
      <w:r w:rsidR="00974BFD">
        <w:rPr>
          <w:sz w:val="22"/>
          <w:lang w:val="pl-PL"/>
        </w:rPr>
        <w:t>luminium</w:t>
      </w:r>
      <w:r>
        <w:rPr>
          <w:sz w:val="22"/>
          <w:lang w:val="pl-PL"/>
        </w:rPr>
        <w:t xml:space="preserve">: </w:t>
      </w:r>
      <w:r w:rsidR="00974BFD">
        <w:rPr>
          <w:sz w:val="22"/>
          <w:lang w:val="pl-PL"/>
        </w:rPr>
        <w:t xml:space="preserve">przechowywać w temperaturze poniżej </w:t>
      </w:r>
      <w:r w:rsidR="00974BFD" w:rsidRPr="00186F08">
        <w:rPr>
          <w:sz w:val="22"/>
          <w:szCs w:val="22"/>
          <w:lang w:val="pl-PL"/>
        </w:rPr>
        <w:t>30°C</w:t>
      </w:r>
      <w:r w:rsidR="00974BFD">
        <w:rPr>
          <w:sz w:val="22"/>
          <w:szCs w:val="22"/>
          <w:lang w:val="pl-PL"/>
        </w:rPr>
        <w:t>.</w:t>
      </w:r>
    </w:p>
    <w:p w:rsidR="00974BFD" w:rsidRDefault="0068326B" w:rsidP="00974BFD">
      <w:pPr>
        <w:tabs>
          <w:tab w:val="left" w:pos="567"/>
        </w:tabs>
        <w:rPr>
          <w:sz w:val="22"/>
          <w:lang w:val="pl-PL"/>
        </w:rPr>
      </w:pPr>
      <w:r>
        <w:rPr>
          <w:sz w:val="22"/>
          <w:lang w:val="pl-PL"/>
        </w:rPr>
        <w:t>B</w:t>
      </w:r>
      <w:r w:rsidR="00974BFD">
        <w:rPr>
          <w:sz w:val="22"/>
          <w:lang w:val="pl-PL"/>
        </w:rPr>
        <w:t>listr</w:t>
      </w:r>
      <w:r>
        <w:rPr>
          <w:sz w:val="22"/>
          <w:lang w:val="pl-PL"/>
        </w:rPr>
        <w:t>y</w:t>
      </w:r>
      <w:r w:rsidR="00974BFD">
        <w:rPr>
          <w:sz w:val="22"/>
          <w:lang w:val="pl-PL"/>
        </w:rPr>
        <w:t xml:space="preserve"> z aluminium</w:t>
      </w:r>
      <w:r>
        <w:rPr>
          <w:sz w:val="22"/>
          <w:lang w:val="pl-PL"/>
        </w:rPr>
        <w:t>:</w:t>
      </w:r>
      <w:r w:rsidR="00974BFD">
        <w:rPr>
          <w:sz w:val="22"/>
          <w:lang w:val="pl-PL"/>
        </w:rPr>
        <w:t xml:space="preserve"> brak s</w:t>
      </w:r>
      <w:r>
        <w:rPr>
          <w:sz w:val="22"/>
          <w:lang w:val="pl-PL"/>
        </w:rPr>
        <w:t>pecjalnych zaleceń</w:t>
      </w:r>
      <w:r w:rsidR="00974BFD">
        <w:rPr>
          <w:sz w:val="22"/>
          <w:lang w:val="pl-PL"/>
        </w:rPr>
        <w:t xml:space="preserve"> dotyczących przechowywania produktu leczniczego.</w:t>
      </w:r>
    </w:p>
    <w:p w:rsidR="00BC4936" w:rsidRDefault="00BC4936">
      <w:pPr>
        <w:tabs>
          <w:tab w:val="left" w:pos="567"/>
        </w:tabs>
        <w:rPr>
          <w:sz w:val="22"/>
          <w:lang w:val="pl-PL"/>
        </w:rPr>
      </w:pPr>
    </w:p>
    <w:p w:rsidR="00BC4936" w:rsidRDefault="00BC4936">
      <w:pPr>
        <w:pStyle w:val="Heading2"/>
        <w:tabs>
          <w:tab w:val="left" w:pos="567"/>
        </w:tabs>
        <w:spacing w:before="0" w:after="0"/>
        <w:rPr>
          <w:rFonts w:ascii="Times New Roman" w:hAnsi="Times New Roman"/>
          <w:i w:val="0"/>
          <w:sz w:val="22"/>
          <w:lang w:val="pl-PL"/>
        </w:rPr>
      </w:pPr>
      <w:r>
        <w:rPr>
          <w:rFonts w:ascii="Times New Roman" w:hAnsi="Times New Roman"/>
          <w:i w:val="0"/>
          <w:sz w:val="22"/>
          <w:lang w:val="pl-PL"/>
        </w:rPr>
        <w:t>6.5</w:t>
      </w:r>
      <w:r>
        <w:rPr>
          <w:rFonts w:ascii="Times New Roman" w:hAnsi="Times New Roman"/>
          <w:i w:val="0"/>
          <w:sz w:val="22"/>
          <w:lang w:val="pl-PL"/>
        </w:rPr>
        <w:tab/>
        <w:t>Rodzaj i zawartość opakowania</w:t>
      </w:r>
    </w:p>
    <w:p w:rsidR="00BC4936" w:rsidRDefault="00BC4936">
      <w:pPr>
        <w:rPr>
          <w:sz w:val="22"/>
          <w:lang w:val="pl-PL"/>
        </w:rPr>
      </w:pPr>
    </w:p>
    <w:p w:rsidR="003E464A" w:rsidRPr="00BD6C12" w:rsidRDefault="003E464A">
      <w:pPr>
        <w:tabs>
          <w:tab w:val="left" w:pos="567"/>
        </w:tabs>
        <w:rPr>
          <w:sz w:val="22"/>
          <w:u w:val="single"/>
          <w:lang w:val="pl-PL"/>
        </w:rPr>
      </w:pPr>
      <w:r w:rsidRPr="00BD6C12">
        <w:rPr>
          <w:sz w:val="22"/>
          <w:u w:val="single"/>
          <w:lang w:val="pl-PL"/>
        </w:rPr>
        <w:t>Plavix 75 mg tabletki powlekane</w:t>
      </w:r>
    </w:p>
    <w:p w:rsidR="00BC4936" w:rsidRDefault="008A4D3E">
      <w:pPr>
        <w:tabs>
          <w:tab w:val="left" w:pos="567"/>
        </w:tabs>
        <w:rPr>
          <w:sz w:val="22"/>
          <w:lang w:val="pl-PL"/>
        </w:rPr>
      </w:pPr>
      <w:r>
        <w:rPr>
          <w:sz w:val="22"/>
          <w:lang w:val="pl-PL"/>
        </w:rPr>
        <w:t>B</w:t>
      </w:r>
      <w:r w:rsidR="00BC4936">
        <w:rPr>
          <w:sz w:val="22"/>
          <w:lang w:val="pl-PL"/>
        </w:rPr>
        <w:t>listry PVC/PVDC/</w:t>
      </w:r>
      <w:r w:rsidR="00E935B1">
        <w:rPr>
          <w:sz w:val="22"/>
          <w:lang w:val="pl-PL"/>
        </w:rPr>
        <w:t>A</w:t>
      </w:r>
      <w:r w:rsidR="00BC4936">
        <w:rPr>
          <w:sz w:val="22"/>
          <w:lang w:val="pl-PL"/>
        </w:rPr>
        <w:t>luminium lub blistry z aluminium w pudełku tekturowym</w:t>
      </w:r>
      <w:r>
        <w:rPr>
          <w:sz w:val="22"/>
          <w:lang w:val="pl-PL"/>
        </w:rPr>
        <w:t xml:space="preserve"> zawierające </w:t>
      </w:r>
      <w:r w:rsidR="004A2F09">
        <w:rPr>
          <w:sz w:val="22"/>
          <w:lang w:val="pl-PL"/>
        </w:rPr>
        <w:t xml:space="preserve">7, </w:t>
      </w:r>
      <w:r>
        <w:rPr>
          <w:sz w:val="22"/>
          <w:lang w:val="pl-PL"/>
        </w:rPr>
        <w:t>14, 28, 30, 84, 90 i 100 tabletek powlekanych</w:t>
      </w:r>
      <w:r w:rsidR="00BC4936">
        <w:rPr>
          <w:sz w:val="22"/>
          <w:lang w:val="pl-PL"/>
        </w:rPr>
        <w:t>.</w:t>
      </w:r>
    </w:p>
    <w:p w:rsidR="008A4D3E" w:rsidRDefault="008A4D3E">
      <w:pPr>
        <w:tabs>
          <w:tab w:val="left" w:pos="567"/>
        </w:tabs>
        <w:rPr>
          <w:sz w:val="22"/>
          <w:lang w:val="pl-PL"/>
        </w:rPr>
      </w:pPr>
    </w:p>
    <w:p w:rsidR="008A4D3E" w:rsidRDefault="00000DA7">
      <w:pPr>
        <w:tabs>
          <w:tab w:val="left" w:pos="567"/>
        </w:tabs>
        <w:rPr>
          <w:sz w:val="22"/>
          <w:lang w:val="pl-PL"/>
        </w:rPr>
      </w:pPr>
      <w:r>
        <w:rPr>
          <w:sz w:val="22"/>
          <w:lang w:val="pl-PL"/>
        </w:rPr>
        <w:t>J</w:t>
      </w:r>
      <w:r w:rsidR="004F27D1">
        <w:rPr>
          <w:sz w:val="22"/>
          <w:lang w:val="pl-PL"/>
        </w:rPr>
        <w:t>ednostkowe b</w:t>
      </w:r>
      <w:r w:rsidR="008A4D3E">
        <w:rPr>
          <w:sz w:val="22"/>
          <w:lang w:val="pl-PL"/>
        </w:rPr>
        <w:t>listry PVC/PVDC/</w:t>
      </w:r>
      <w:r w:rsidR="00E935B1">
        <w:rPr>
          <w:sz w:val="22"/>
          <w:lang w:val="pl-PL"/>
        </w:rPr>
        <w:t>A</w:t>
      </w:r>
      <w:r w:rsidR="008A4D3E">
        <w:rPr>
          <w:sz w:val="22"/>
          <w:lang w:val="pl-PL"/>
        </w:rPr>
        <w:t>luminium l</w:t>
      </w:r>
      <w:r w:rsidR="008707CB">
        <w:rPr>
          <w:sz w:val="22"/>
          <w:lang w:val="pl-PL"/>
        </w:rPr>
        <w:t xml:space="preserve">ub </w:t>
      </w:r>
      <w:r w:rsidR="006E74D9">
        <w:rPr>
          <w:sz w:val="22"/>
          <w:lang w:val="pl-PL"/>
        </w:rPr>
        <w:t>z aluminium w pudełku tekturowym</w:t>
      </w:r>
      <w:r w:rsidR="0028326F">
        <w:rPr>
          <w:sz w:val="22"/>
          <w:lang w:val="pl-PL"/>
        </w:rPr>
        <w:t xml:space="preserve"> zawierające 50 tabletek powlekanych.</w:t>
      </w:r>
    </w:p>
    <w:p w:rsidR="003E464A" w:rsidRDefault="003E464A">
      <w:pPr>
        <w:tabs>
          <w:tab w:val="left" w:pos="567"/>
        </w:tabs>
        <w:rPr>
          <w:sz w:val="22"/>
          <w:lang w:val="pl-PL"/>
        </w:rPr>
      </w:pPr>
    </w:p>
    <w:p w:rsidR="003E464A" w:rsidRPr="00BD6C12" w:rsidRDefault="003E464A">
      <w:pPr>
        <w:tabs>
          <w:tab w:val="left" w:pos="567"/>
        </w:tabs>
        <w:rPr>
          <w:sz w:val="22"/>
          <w:u w:val="single"/>
          <w:lang w:val="pl-PL"/>
        </w:rPr>
      </w:pPr>
      <w:r w:rsidRPr="00BD6C12">
        <w:rPr>
          <w:sz w:val="22"/>
          <w:u w:val="single"/>
          <w:lang w:val="pl-PL"/>
        </w:rPr>
        <w:t>Plavix 300 mg tabletki powlekane</w:t>
      </w:r>
    </w:p>
    <w:p w:rsidR="008A4D3E" w:rsidRDefault="00000DA7">
      <w:pPr>
        <w:tabs>
          <w:tab w:val="left" w:pos="567"/>
        </w:tabs>
        <w:rPr>
          <w:sz w:val="22"/>
          <w:lang w:val="pl-PL"/>
        </w:rPr>
      </w:pPr>
      <w:r>
        <w:rPr>
          <w:sz w:val="22"/>
          <w:lang w:val="pl-PL"/>
        </w:rPr>
        <w:t>J</w:t>
      </w:r>
      <w:r w:rsidR="003E464A" w:rsidRPr="003E464A">
        <w:rPr>
          <w:sz w:val="22"/>
          <w:lang w:val="pl-PL"/>
        </w:rPr>
        <w:t>ednostkowe blistry z aluminium w pudełkach tekturowych zawierające 4, 10, 30 i 100 tabletek powlekanych.</w:t>
      </w:r>
    </w:p>
    <w:p w:rsidR="003E464A" w:rsidRDefault="003E464A">
      <w:pPr>
        <w:tabs>
          <w:tab w:val="left" w:pos="567"/>
        </w:tabs>
        <w:rPr>
          <w:sz w:val="22"/>
          <w:lang w:val="pl-PL"/>
        </w:rPr>
      </w:pPr>
    </w:p>
    <w:p w:rsidR="00BC4936" w:rsidRDefault="00BC4936">
      <w:pPr>
        <w:tabs>
          <w:tab w:val="left" w:pos="567"/>
        </w:tabs>
        <w:rPr>
          <w:sz w:val="22"/>
          <w:lang w:val="pl-PL"/>
        </w:rPr>
      </w:pPr>
      <w:r>
        <w:rPr>
          <w:sz w:val="22"/>
          <w:lang w:val="pl-PL"/>
        </w:rPr>
        <w:t xml:space="preserve">Nie wszystkie </w:t>
      </w:r>
      <w:r w:rsidR="000A7440">
        <w:rPr>
          <w:sz w:val="22"/>
          <w:lang w:val="pl-PL"/>
        </w:rPr>
        <w:t>wielkości</w:t>
      </w:r>
      <w:r>
        <w:rPr>
          <w:sz w:val="22"/>
          <w:lang w:val="pl-PL"/>
        </w:rPr>
        <w:t xml:space="preserve"> opakowań muszą znajdować się w obrocie.</w:t>
      </w:r>
    </w:p>
    <w:p w:rsidR="00BC4936" w:rsidRDefault="00BC4936">
      <w:pPr>
        <w:tabs>
          <w:tab w:val="left" w:pos="567"/>
        </w:tabs>
        <w:rPr>
          <w:sz w:val="22"/>
          <w:lang w:val="pl-PL"/>
        </w:rP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pPr>
      <w:r>
        <w:t>6.6</w:t>
      </w:r>
      <w:r>
        <w:tab/>
        <w:t>Szczególne środki ostrożności dotyczące usuwania</w:t>
      </w:r>
    </w:p>
    <w:p w:rsidR="00BC4936" w:rsidRPr="00022436" w:rsidRDefault="00BC4936">
      <w:pPr>
        <w:tabs>
          <w:tab w:val="left" w:pos="567"/>
        </w:tabs>
        <w:rPr>
          <w:sz w:val="22"/>
          <w:lang w:val="pl-PL"/>
        </w:rPr>
      </w:pPr>
    </w:p>
    <w:p w:rsidR="00BC4936" w:rsidRDefault="004505C6">
      <w:pPr>
        <w:pStyle w:val="BodyText2"/>
        <w:tabs>
          <w:tab w:val="clear" w:pos="360"/>
          <w:tab w:val="left" w:pos="567"/>
        </w:tabs>
        <w:spacing w:line="240" w:lineRule="auto"/>
        <w:rPr>
          <w:rFonts w:ascii="Times New Roman" w:hAnsi="Times New Roman"/>
          <w:sz w:val="22"/>
          <w:lang w:val="pl-PL"/>
        </w:rPr>
      </w:pPr>
      <w:r>
        <w:rPr>
          <w:rFonts w:ascii="Times New Roman" w:hAnsi="Times New Roman"/>
          <w:sz w:val="22"/>
          <w:lang w:val="pl-PL"/>
        </w:rPr>
        <w:t xml:space="preserve">Wszelkie </w:t>
      </w:r>
      <w:r w:rsidR="00265521">
        <w:rPr>
          <w:rFonts w:ascii="Times New Roman" w:hAnsi="Times New Roman"/>
          <w:sz w:val="22"/>
          <w:lang w:val="pl-PL"/>
        </w:rPr>
        <w:t xml:space="preserve">niewykorzystane </w:t>
      </w:r>
      <w:r>
        <w:rPr>
          <w:rFonts w:ascii="Times New Roman" w:hAnsi="Times New Roman"/>
          <w:sz w:val="22"/>
          <w:lang w:val="pl-PL"/>
        </w:rPr>
        <w:t xml:space="preserve">resztki produktu </w:t>
      </w:r>
      <w:r w:rsidR="00F75873">
        <w:rPr>
          <w:rFonts w:ascii="Times New Roman" w:hAnsi="Times New Roman"/>
          <w:sz w:val="22"/>
          <w:lang w:val="pl-PL"/>
        </w:rPr>
        <w:t xml:space="preserve">leczniczego </w:t>
      </w:r>
      <w:r>
        <w:rPr>
          <w:rFonts w:ascii="Times New Roman" w:hAnsi="Times New Roman"/>
          <w:sz w:val="22"/>
          <w:lang w:val="pl-PL"/>
        </w:rPr>
        <w:t>lub jego odpady należy usunąć zgodn</w:t>
      </w:r>
      <w:r w:rsidR="0068326B">
        <w:rPr>
          <w:rFonts w:ascii="Times New Roman" w:hAnsi="Times New Roman"/>
          <w:sz w:val="22"/>
          <w:lang w:val="pl-PL"/>
        </w:rPr>
        <w:t>ie</w:t>
      </w:r>
      <w:r>
        <w:rPr>
          <w:rFonts w:ascii="Times New Roman" w:hAnsi="Times New Roman"/>
          <w:sz w:val="22"/>
          <w:lang w:val="pl-PL"/>
        </w:rPr>
        <w:t xml:space="preserve"> </w:t>
      </w:r>
      <w:r w:rsidR="0068326B">
        <w:rPr>
          <w:rFonts w:ascii="Times New Roman" w:hAnsi="Times New Roman"/>
          <w:sz w:val="22"/>
          <w:lang w:val="pl-PL"/>
        </w:rPr>
        <w:t>z </w:t>
      </w:r>
      <w:r>
        <w:rPr>
          <w:rFonts w:ascii="Times New Roman" w:hAnsi="Times New Roman"/>
          <w:sz w:val="22"/>
          <w:lang w:val="pl-PL"/>
        </w:rPr>
        <w:t>lokalnymi przepisami.</w:t>
      </w:r>
    </w:p>
    <w:p w:rsidR="00BC4936" w:rsidRDefault="00BC4936">
      <w:pPr>
        <w:pStyle w:val="BodyText2"/>
        <w:tabs>
          <w:tab w:val="clear" w:pos="360"/>
          <w:tab w:val="left" w:pos="567"/>
        </w:tabs>
        <w:spacing w:line="240" w:lineRule="auto"/>
        <w:rPr>
          <w:rFonts w:ascii="Times New Roman" w:hAnsi="Times New Roman"/>
          <w:sz w:val="22"/>
          <w:lang w:val="pl-PL"/>
        </w:rPr>
      </w:pPr>
    </w:p>
    <w:p w:rsidR="00BC4936" w:rsidRDefault="00BC4936">
      <w:pPr>
        <w:pStyle w:val="BodyText2"/>
        <w:tabs>
          <w:tab w:val="clear" w:pos="360"/>
          <w:tab w:val="left" w:pos="567"/>
        </w:tabs>
        <w:spacing w:line="240" w:lineRule="auto"/>
        <w:rPr>
          <w:rFonts w:ascii="Times New Roman" w:hAnsi="Times New Roman"/>
          <w:sz w:val="22"/>
          <w:lang w:val="pl-PL"/>
        </w:rPr>
      </w:pPr>
    </w:p>
    <w:p w:rsidR="00BC4936" w:rsidRDefault="006D19CD" w:rsidP="006D19CD">
      <w:pPr>
        <w:pStyle w:val="Heading2"/>
        <w:tabs>
          <w:tab w:val="left" w:pos="567"/>
        </w:tabs>
        <w:spacing w:before="0" w:after="0"/>
        <w:ind w:left="540" w:hanging="540"/>
        <w:rPr>
          <w:rFonts w:ascii="Times New Roman" w:hAnsi="Times New Roman"/>
          <w:i w:val="0"/>
          <w:sz w:val="22"/>
          <w:lang w:val="pl-PL"/>
        </w:rPr>
      </w:pPr>
      <w:r>
        <w:rPr>
          <w:rFonts w:ascii="Times New Roman" w:hAnsi="Times New Roman"/>
          <w:i w:val="0"/>
          <w:sz w:val="22"/>
          <w:lang w:val="pl-PL"/>
        </w:rPr>
        <w:t>7.</w:t>
      </w:r>
      <w:r>
        <w:rPr>
          <w:rFonts w:ascii="Times New Roman" w:hAnsi="Times New Roman"/>
          <w:i w:val="0"/>
          <w:sz w:val="22"/>
          <w:lang w:val="pl-PL"/>
        </w:rPr>
        <w:tab/>
      </w:r>
      <w:r w:rsidR="00BC4936">
        <w:rPr>
          <w:rFonts w:ascii="Times New Roman" w:hAnsi="Times New Roman"/>
          <w:i w:val="0"/>
          <w:sz w:val="22"/>
          <w:lang w:val="pl-PL"/>
        </w:rPr>
        <w:t>PODMIOT ODPOWIEDZIALNY POSIADAJĄCY POZWOLENIE NA DOPUSZCZENIE DO OBROTU</w:t>
      </w:r>
    </w:p>
    <w:p w:rsidR="00BC4936" w:rsidRDefault="00BC4936">
      <w:pPr>
        <w:rPr>
          <w:sz w:val="22"/>
          <w:lang w:val="pl-PL"/>
        </w:rPr>
      </w:pPr>
    </w:p>
    <w:p w:rsidR="00BC4936" w:rsidRPr="00A5177C" w:rsidRDefault="002E46E0">
      <w:pPr>
        <w:tabs>
          <w:tab w:val="left" w:pos="567"/>
        </w:tabs>
        <w:rPr>
          <w:sz w:val="22"/>
        </w:rPr>
      </w:pPr>
      <w:r w:rsidRPr="00925BA3">
        <w:rPr>
          <w:sz w:val="22"/>
          <w:szCs w:val="22"/>
          <w:lang w:val="fr-FR"/>
        </w:rPr>
        <w:t>sanofi-aventis groupe</w:t>
      </w:r>
    </w:p>
    <w:p w:rsidR="00AF0AFC" w:rsidRDefault="00AF0AFC" w:rsidP="00AF0AFC">
      <w:pPr>
        <w:rPr>
          <w:sz w:val="22"/>
          <w:szCs w:val="22"/>
          <w:lang w:val="fr-FR"/>
        </w:rPr>
      </w:pPr>
      <w:r>
        <w:rPr>
          <w:sz w:val="22"/>
          <w:szCs w:val="22"/>
          <w:lang w:val="fr-FR"/>
        </w:rPr>
        <w:t>54, rue La Bo</w:t>
      </w:r>
      <w:r w:rsidRPr="00327821">
        <w:rPr>
          <w:sz w:val="22"/>
          <w:szCs w:val="22"/>
          <w:lang w:val="fr-FR"/>
        </w:rPr>
        <w:t>é</w:t>
      </w:r>
      <w:r>
        <w:rPr>
          <w:sz w:val="22"/>
          <w:szCs w:val="22"/>
          <w:lang w:val="fr-FR"/>
        </w:rPr>
        <w:t>tie</w:t>
      </w:r>
    </w:p>
    <w:p w:rsidR="00AF0AFC" w:rsidRDefault="00AF0AFC">
      <w:pPr>
        <w:tabs>
          <w:tab w:val="left" w:pos="567"/>
        </w:tabs>
        <w:rPr>
          <w:sz w:val="22"/>
          <w:lang w:val="fr-FR"/>
        </w:rPr>
      </w:pPr>
      <w:r>
        <w:rPr>
          <w:sz w:val="22"/>
          <w:szCs w:val="22"/>
          <w:lang w:val="fr-FR"/>
        </w:rPr>
        <w:t xml:space="preserve">F-75008 </w:t>
      </w:r>
      <w:r w:rsidR="00BC4936">
        <w:rPr>
          <w:sz w:val="22"/>
          <w:lang w:val="fr-FR"/>
        </w:rPr>
        <w:t>Paris</w:t>
      </w:r>
    </w:p>
    <w:p w:rsidR="00BC4936" w:rsidRDefault="00BC4936">
      <w:pPr>
        <w:tabs>
          <w:tab w:val="left" w:pos="567"/>
        </w:tabs>
        <w:rPr>
          <w:sz w:val="22"/>
          <w:lang w:val="fr-FR"/>
        </w:rPr>
      </w:pPr>
      <w:r>
        <w:rPr>
          <w:sz w:val="22"/>
          <w:lang w:val="fr-FR"/>
        </w:rPr>
        <w:t>Francja</w:t>
      </w:r>
    </w:p>
    <w:p w:rsidR="00BC4936" w:rsidRPr="00022436" w:rsidRDefault="00BC4936">
      <w:pPr>
        <w:tabs>
          <w:tab w:val="left" w:pos="567"/>
        </w:tabs>
        <w:rPr>
          <w:sz w:val="22"/>
          <w:lang w:val="fr-FR"/>
        </w:rPr>
      </w:pPr>
    </w:p>
    <w:p w:rsidR="00BC4936" w:rsidRPr="00022436" w:rsidRDefault="00BC4936">
      <w:pPr>
        <w:tabs>
          <w:tab w:val="left" w:pos="567"/>
        </w:tabs>
        <w:rPr>
          <w:sz w:val="22"/>
          <w:lang w:val="fr-FR"/>
        </w:rPr>
      </w:pPr>
    </w:p>
    <w:p w:rsidR="00BC4936" w:rsidRDefault="0086257D" w:rsidP="006201B0">
      <w:pPr>
        <w:keepLines/>
        <w:tabs>
          <w:tab w:val="left" w:pos="0"/>
        </w:tabs>
        <w:rPr>
          <w:b/>
          <w:sz w:val="22"/>
          <w:lang w:val="pl-PL"/>
        </w:rPr>
      </w:pPr>
      <w:r>
        <w:rPr>
          <w:b/>
          <w:sz w:val="22"/>
          <w:lang w:val="pl-PL"/>
        </w:rPr>
        <w:t>8.</w:t>
      </w:r>
      <w:r>
        <w:rPr>
          <w:b/>
          <w:sz w:val="22"/>
          <w:lang w:val="pl-PL"/>
        </w:rPr>
        <w:tab/>
      </w:r>
      <w:r w:rsidR="00BC4936">
        <w:rPr>
          <w:b/>
          <w:sz w:val="22"/>
          <w:lang w:val="pl-PL"/>
        </w:rPr>
        <w:t>NUMERY POZWOLE</w:t>
      </w:r>
      <w:r w:rsidR="0068326B">
        <w:rPr>
          <w:b/>
          <w:sz w:val="22"/>
          <w:lang w:val="pl-PL"/>
        </w:rPr>
        <w:t>Ń</w:t>
      </w:r>
      <w:r w:rsidR="00BC4936">
        <w:rPr>
          <w:b/>
          <w:sz w:val="22"/>
          <w:lang w:val="pl-PL"/>
        </w:rPr>
        <w:t xml:space="preserve"> NA DOPUSZCZENIE DO OBROTU </w:t>
      </w:r>
    </w:p>
    <w:p w:rsidR="00BC4936" w:rsidRPr="00022436" w:rsidRDefault="00BC4936" w:rsidP="006201B0">
      <w:pPr>
        <w:keepLines/>
        <w:tabs>
          <w:tab w:val="left" w:pos="567"/>
        </w:tabs>
        <w:rPr>
          <w:sz w:val="22"/>
          <w:lang w:val="pl-PL"/>
        </w:rPr>
      </w:pPr>
    </w:p>
    <w:p w:rsidR="003E464A" w:rsidRPr="00BD6C12" w:rsidRDefault="003E464A" w:rsidP="006201B0">
      <w:pPr>
        <w:pStyle w:val="Heading1"/>
        <w:keepNext w:val="0"/>
        <w:keepLines/>
        <w:tabs>
          <w:tab w:val="left" w:pos="567"/>
        </w:tabs>
        <w:spacing w:line="240" w:lineRule="auto"/>
        <w:rPr>
          <w:rFonts w:ascii="Times New Roman" w:hAnsi="Times New Roman"/>
          <w:sz w:val="22"/>
          <w:u w:val="single"/>
          <w:lang w:val="pl-PL"/>
        </w:rPr>
      </w:pPr>
      <w:r w:rsidRPr="00BD6C12">
        <w:rPr>
          <w:rFonts w:ascii="Times New Roman" w:hAnsi="Times New Roman"/>
          <w:sz w:val="22"/>
          <w:u w:val="single"/>
          <w:lang w:val="pl-PL"/>
        </w:rPr>
        <w:t>Plavix 75 mg tabletki powlekane</w:t>
      </w:r>
    </w:p>
    <w:p w:rsidR="00BC4936" w:rsidRDefault="00BC4936" w:rsidP="006201B0">
      <w:pPr>
        <w:pStyle w:val="Heading1"/>
        <w:keepNext w:val="0"/>
        <w:keepLines/>
        <w:tabs>
          <w:tab w:val="left" w:pos="567"/>
        </w:tabs>
        <w:spacing w:line="240" w:lineRule="auto"/>
        <w:rPr>
          <w:rFonts w:ascii="Times New Roman" w:hAnsi="Times New Roman"/>
          <w:sz w:val="22"/>
          <w:lang w:val="pl-PL"/>
        </w:rPr>
      </w:pPr>
      <w:r>
        <w:rPr>
          <w:rFonts w:ascii="Times New Roman" w:hAnsi="Times New Roman"/>
          <w:sz w:val="22"/>
          <w:lang w:val="pl-PL"/>
        </w:rPr>
        <w:t>EU/1/98/069/001 – Pudełka po 28 tabletek powlekanych w blistrach PVC/PVDC/Al</w:t>
      </w:r>
      <w:r w:rsidR="006B4F30">
        <w:rPr>
          <w:rFonts w:ascii="Times New Roman" w:hAnsi="Times New Roman"/>
          <w:sz w:val="22"/>
          <w:lang w:val="pl-PL"/>
        </w:rPr>
        <w:t>uminium</w:t>
      </w:r>
    </w:p>
    <w:p w:rsidR="00BC4936" w:rsidRDefault="00BC4936" w:rsidP="006201B0">
      <w:pPr>
        <w:pStyle w:val="Heading1"/>
        <w:keepNext w:val="0"/>
        <w:tabs>
          <w:tab w:val="left" w:pos="567"/>
        </w:tabs>
        <w:spacing w:line="240" w:lineRule="auto"/>
        <w:rPr>
          <w:rFonts w:ascii="Times New Roman" w:hAnsi="Times New Roman"/>
          <w:sz w:val="22"/>
          <w:lang w:val="pl-PL"/>
        </w:rPr>
      </w:pPr>
      <w:r>
        <w:rPr>
          <w:rFonts w:ascii="Times New Roman" w:hAnsi="Times New Roman"/>
          <w:sz w:val="22"/>
          <w:lang w:val="pl-PL"/>
        </w:rPr>
        <w:t>EU/1/98/069/002 – Pudełka po 50</w:t>
      </w:r>
      <w:r w:rsidR="00EA339A">
        <w:rPr>
          <w:rFonts w:ascii="Times New Roman" w:hAnsi="Times New Roman"/>
          <w:sz w:val="22"/>
          <w:lang w:val="pl-PL"/>
        </w:rPr>
        <w:t>x1</w:t>
      </w:r>
      <w:r>
        <w:rPr>
          <w:rFonts w:ascii="Times New Roman" w:hAnsi="Times New Roman"/>
          <w:sz w:val="22"/>
          <w:lang w:val="pl-PL"/>
        </w:rPr>
        <w:t xml:space="preserve"> tabletk</w:t>
      </w:r>
      <w:r w:rsidR="00EA339A">
        <w:rPr>
          <w:rFonts w:ascii="Times New Roman" w:hAnsi="Times New Roman"/>
          <w:sz w:val="22"/>
          <w:lang w:val="pl-PL"/>
        </w:rPr>
        <w:t>a</w:t>
      </w:r>
      <w:r>
        <w:rPr>
          <w:rFonts w:ascii="Times New Roman" w:hAnsi="Times New Roman"/>
          <w:sz w:val="22"/>
          <w:lang w:val="pl-PL"/>
        </w:rPr>
        <w:t xml:space="preserve"> powlekan</w:t>
      </w:r>
      <w:r w:rsidR="00EA339A">
        <w:rPr>
          <w:rFonts w:ascii="Times New Roman" w:hAnsi="Times New Roman"/>
          <w:sz w:val="22"/>
          <w:lang w:val="pl-PL"/>
        </w:rPr>
        <w:t>a</w:t>
      </w:r>
      <w:r>
        <w:rPr>
          <w:rFonts w:ascii="Times New Roman" w:hAnsi="Times New Roman"/>
          <w:sz w:val="22"/>
          <w:lang w:val="pl-PL"/>
        </w:rPr>
        <w:t xml:space="preserve"> w blistrach PVC/PVDC/</w:t>
      </w:r>
      <w:r w:rsidR="006B4F30" w:rsidRPr="006B4F30">
        <w:rPr>
          <w:rFonts w:ascii="Times New Roman" w:hAnsi="Times New Roman"/>
          <w:sz w:val="22"/>
          <w:lang w:val="pl-PL"/>
        </w:rPr>
        <w:t xml:space="preserve"> </w:t>
      </w:r>
      <w:r w:rsidR="006B4F30">
        <w:rPr>
          <w:rFonts w:ascii="Times New Roman" w:hAnsi="Times New Roman"/>
          <w:sz w:val="22"/>
          <w:lang w:val="pl-PL"/>
        </w:rPr>
        <w:t>Aluminium</w:t>
      </w:r>
    </w:p>
    <w:p w:rsidR="00BC4936" w:rsidRDefault="00BC4936" w:rsidP="006201B0">
      <w:pPr>
        <w:pStyle w:val="Heading1"/>
        <w:keepNext w:val="0"/>
        <w:tabs>
          <w:tab w:val="left" w:pos="567"/>
        </w:tabs>
        <w:spacing w:line="240" w:lineRule="auto"/>
        <w:rPr>
          <w:rFonts w:ascii="Times New Roman" w:hAnsi="Times New Roman"/>
          <w:sz w:val="22"/>
          <w:lang w:val="pl-PL"/>
        </w:rPr>
      </w:pPr>
      <w:r>
        <w:rPr>
          <w:rFonts w:ascii="Times New Roman" w:hAnsi="Times New Roman"/>
          <w:sz w:val="22"/>
          <w:lang w:val="pl-PL"/>
        </w:rPr>
        <w:t>EU/1/98/069/003 – Pudełka po 84 tabletki powlekane w blistrach PVC/PVDC/</w:t>
      </w:r>
      <w:r w:rsidR="006B4F30" w:rsidRPr="006B4F30">
        <w:rPr>
          <w:rFonts w:ascii="Times New Roman" w:hAnsi="Times New Roman"/>
          <w:sz w:val="22"/>
          <w:lang w:val="pl-PL"/>
        </w:rPr>
        <w:t xml:space="preserve"> </w:t>
      </w:r>
      <w:r w:rsidR="006B4F30">
        <w:rPr>
          <w:rFonts w:ascii="Times New Roman" w:hAnsi="Times New Roman"/>
          <w:sz w:val="22"/>
          <w:lang w:val="pl-PL"/>
        </w:rPr>
        <w:t>Aluminium</w:t>
      </w:r>
    </w:p>
    <w:p w:rsidR="00BC4936" w:rsidRDefault="00BC4936" w:rsidP="006201B0">
      <w:pPr>
        <w:pStyle w:val="Heading1"/>
        <w:keepNext w:val="0"/>
        <w:tabs>
          <w:tab w:val="left" w:pos="567"/>
        </w:tabs>
        <w:spacing w:line="240" w:lineRule="auto"/>
        <w:rPr>
          <w:rFonts w:ascii="Times New Roman" w:hAnsi="Times New Roman"/>
          <w:sz w:val="22"/>
          <w:lang w:val="pl-PL"/>
        </w:rPr>
      </w:pPr>
      <w:r>
        <w:rPr>
          <w:rFonts w:ascii="Times New Roman" w:hAnsi="Times New Roman"/>
          <w:sz w:val="22"/>
          <w:lang w:val="pl-PL"/>
        </w:rPr>
        <w:t>EU/1/98/069/004 – Pudełka po 100 tabletek powlekanych w blistrach PVC/PVDC/</w:t>
      </w:r>
      <w:r w:rsidR="006B4F30" w:rsidRPr="006B4F30">
        <w:rPr>
          <w:rFonts w:ascii="Times New Roman" w:hAnsi="Times New Roman"/>
          <w:sz w:val="22"/>
          <w:lang w:val="pl-PL"/>
        </w:rPr>
        <w:t xml:space="preserve"> </w:t>
      </w:r>
      <w:r w:rsidR="006B4F30">
        <w:rPr>
          <w:rFonts w:ascii="Times New Roman" w:hAnsi="Times New Roman"/>
          <w:sz w:val="22"/>
          <w:lang w:val="pl-PL"/>
        </w:rPr>
        <w:t>Aluminium</w:t>
      </w:r>
    </w:p>
    <w:p w:rsidR="00BC4936" w:rsidRDefault="00BC4936" w:rsidP="006201B0">
      <w:pPr>
        <w:pStyle w:val="Heading1"/>
        <w:keepNext w:val="0"/>
        <w:keepLines/>
        <w:tabs>
          <w:tab w:val="left" w:pos="567"/>
        </w:tabs>
        <w:spacing w:line="240" w:lineRule="auto"/>
        <w:rPr>
          <w:rFonts w:ascii="Times New Roman" w:hAnsi="Times New Roman"/>
          <w:sz w:val="22"/>
          <w:lang w:val="pl-PL"/>
        </w:rPr>
      </w:pPr>
      <w:r>
        <w:rPr>
          <w:rFonts w:ascii="Times New Roman" w:hAnsi="Times New Roman"/>
          <w:sz w:val="22"/>
          <w:lang w:val="pl-PL"/>
        </w:rPr>
        <w:t>EU/1/98/069/005 – Pudełka po 30 tabletek powlekanych w blistrach PVC/PVDC/</w:t>
      </w:r>
      <w:r w:rsidR="006B4F30" w:rsidRPr="006B4F30">
        <w:rPr>
          <w:rFonts w:ascii="Times New Roman" w:hAnsi="Times New Roman"/>
          <w:sz w:val="22"/>
          <w:lang w:val="pl-PL"/>
        </w:rPr>
        <w:t xml:space="preserve"> </w:t>
      </w:r>
      <w:r w:rsidR="006B4F30">
        <w:rPr>
          <w:rFonts w:ascii="Times New Roman" w:hAnsi="Times New Roman"/>
          <w:sz w:val="22"/>
          <w:lang w:val="pl-PL"/>
        </w:rPr>
        <w:t>Aluminium</w:t>
      </w:r>
    </w:p>
    <w:p w:rsidR="00BC4936" w:rsidRDefault="00BC4936" w:rsidP="006201B0">
      <w:pPr>
        <w:pStyle w:val="Heading1"/>
        <w:keepNext w:val="0"/>
        <w:keepLines/>
        <w:tabs>
          <w:tab w:val="left" w:pos="567"/>
        </w:tabs>
        <w:spacing w:line="240" w:lineRule="auto"/>
        <w:rPr>
          <w:rFonts w:ascii="Times New Roman" w:hAnsi="Times New Roman"/>
          <w:sz w:val="22"/>
          <w:lang w:val="pl-PL"/>
        </w:rPr>
      </w:pPr>
      <w:r>
        <w:rPr>
          <w:rFonts w:ascii="Times New Roman" w:hAnsi="Times New Roman"/>
          <w:sz w:val="22"/>
          <w:lang w:val="pl-PL"/>
        </w:rPr>
        <w:t>EU/1/98/069/006 – Pudełka po 90 tabletek powlekanych w blistrach PVC/PVDC/</w:t>
      </w:r>
      <w:r w:rsidR="006B4F30" w:rsidRPr="006B4F30">
        <w:rPr>
          <w:rFonts w:ascii="Times New Roman" w:hAnsi="Times New Roman"/>
          <w:sz w:val="22"/>
          <w:lang w:val="pl-PL"/>
        </w:rPr>
        <w:t xml:space="preserve"> </w:t>
      </w:r>
      <w:r w:rsidR="006B4F30">
        <w:rPr>
          <w:rFonts w:ascii="Times New Roman" w:hAnsi="Times New Roman"/>
          <w:sz w:val="22"/>
          <w:lang w:val="pl-PL"/>
        </w:rPr>
        <w:t>Aluminium</w:t>
      </w:r>
    </w:p>
    <w:p w:rsidR="00BC4936" w:rsidRDefault="00BC4936" w:rsidP="006201B0">
      <w:pPr>
        <w:pStyle w:val="Heading1"/>
        <w:keepNext w:val="0"/>
        <w:tabs>
          <w:tab w:val="left" w:pos="567"/>
        </w:tabs>
        <w:spacing w:line="240" w:lineRule="auto"/>
        <w:rPr>
          <w:rFonts w:ascii="Times New Roman" w:hAnsi="Times New Roman"/>
          <w:sz w:val="22"/>
          <w:lang w:val="pl-PL"/>
        </w:rPr>
      </w:pPr>
      <w:r>
        <w:rPr>
          <w:rFonts w:ascii="Times New Roman" w:hAnsi="Times New Roman"/>
          <w:sz w:val="22"/>
          <w:lang w:val="pl-PL"/>
        </w:rPr>
        <w:t>EU/1/98/069/007 – Pudełka po 14 tabletek powlekanych w blistrach PVC/PVDC/</w:t>
      </w:r>
      <w:r w:rsidR="006B4F30" w:rsidRPr="006B4F30">
        <w:rPr>
          <w:rFonts w:ascii="Times New Roman" w:hAnsi="Times New Roman"/>
          <w:sz w:val="22"/>
          <w:lang w:val="pl-PL"/>
        </w:rPr>
        <w:t xml:space="preserve"> </w:t>
      </w:r>
      <w:r w:rsidR="006B4F30">
        <w:rPr>
          <w:rFonts w:ascii="Times New Roman" w:hAnsi="Times New Roman"/>
          <w:sz w:val="22"/>
          <w:lang w:val="pl-PL"/>
        </w:rPr>
        <w:t>Aluminium</w:t>
      </w:r>
    </w:p>
    <w:p w:rsidR="004A2F09" w:rsidRDefault="004A2F09" w:rsidP="008669CB">
      <w:pPr>
        <w:tabs>
          <w:tab w:val="left" w:pos="567"/>
        </w:tabs>
        <w:rPr>
          <w:sz w:val="22"/>
          <w:lang w:val="pl-PL"/>
        </w:rPr>
      </w:pPr>
      <w:r>
        <w:rPr>
          <w:sz w:val="22"/>
          <w:lang w:val="pl-PL"/>
        </w:rPr>
        <w:t>EU/1/98/069/011 – Pudełka po 7 tabletek powlekanych w blistrach PVC/PVDC/</w:t>
      </w:r>
      <w:r w:rsidR="006B4F30" w:rsidRPr="006B4F30">
        <w:rPr>
          <w:sz w:val="22"/>
          <w:lang w:val="pl-PL"/>
        </w:rPr>
        <w:t xml:space="preserve"> </w:t>
      </w:r>
      <w:r w:rsidR="006B4F30">
        <w:rPr>
          <w:sz w:val="22"/>
          <w:lang w:val="pl-PL"/>
        </w:rPr>
        <w:t>Aluminium</w:t>
      </w:r>
    </w:p>
    <w:p w:rsidR="004A2F09" w:rsidRDefault="004A2F09" w:rsidP="006201B0">
      <w:pPr>
        <w:tabs>
          <w:tab w:val="left" w:pos="567"/>
        </w:tabs>
        <w:rPr>
          <w:b/>
          <w:sz w:val="22"/>
          <w:lang w:val="pl-PL"/>
        </w:rPr>
      </w:pPr>
    </w:p>
    <w:p w:rsidR="00630589" w:rsidRDefault="00630589" w:rsidP="006201B0">
      <w:pPr>
        <w:tabs>
          <w:tab w:val="left" w:pos="567"/>
        </w:tabs>
        <w:rPr>
          <w:sz w:val="22"/>
          <w:lang w:val="pl-PL"/>
        </w:rPr>
      </w:pPr>
      <w:r>
        <w:rPr>
          <w:sz w:val="22"/>
          <w:lang w:val="pl-PL"/>
        </w:rPr>
        <w:t>EU/1/98/069/013 – Pudełka po 28 tabletek powlekanych w blistrach z aluminium</w:t>
      </w:r>
    </w:p>
    <w:p w:rsidR="00630589" w:rsidRDefault="00630589" w:rsidP="00630589">
      <w:pPr>
        <w:pStyle w:val="Heading1"/>
        <w:keepNext w:val="0"/>
        <w:tabs>
          <w:tab w:val="left" w:pos="567"/>
        </w:tabs>
        <w:spacing w:line="240" w:lineRule="auto"/>
        <w:rPr>
          <w:rFonts w:ascii="Times New Roman" w:hAnsi="Times New Roman"/>
          <w:sz w:val="22"/>
          <w:lang w:val="pl-PL"/>
        </w:rPr>
      </w:pPr>
      <w:r>
        <w:rPr>
          <w:rFonts w:ascii="Times New Roman" w:hAnsi="Times New Roman"/>
          <w:sz w:val="22"/>
          <w:lang w:val="pl-PL"/>
        </w:rPr>
        <w:t>EU/1/98/069/014 – Pudełka po 50</w:t>
      </w:r>
      <w:r w:rsidR="00EA339A">
        <w:rPr>
          <w:rFonts w:ascii="Times New Roman" w:hAnsi="Times New Roman"/>
          <w:sz w:val="22"/>
          <w:lang w:val="pl-PL"/>
        </w:rPr>
        <w:t>x1</w:t>
      </w:r>
      <w:r>
        <w:rPr>
          <w:rFonts w:ascii="Times New Roman" w:hAnsi="Times New Roman"/>
          <w:sz w:val="22"/>
          <w:lang w:val="pl-PL"/>
        </w:rPr>
        <w:t xml:space="preserve"> tabletk</w:t>
      </w:r>
      <w:r w:rsidR="00EA339A">
        <w:rPr>
          <w:rFonts w:ascii="Times New Roman" w:hAnsi="Times New Roman"/>
          <w:sz w:val="22"/>
          <w:lang w:val="pl-PL"/>
        </w:rPr>
        <w:t>a</w:t>
      </w:r>
      <w:r>
        <w:rPr>
          <w:rFonts w:ascii="Times New Roman" w:hAnsi="Times New Roman"/>
          <w:sz w:val="22"/>
          <w:lang w:val="pl-PL"/>
        </w:rPr>
        <w:t xml:space="preserve"> powlekan</w:t>
      </w:r>
      <w:r w:rsidR="00EA339A">
        <w:rPr>
          <w:rFonts w:ascii="Times New Roman" w:hAnsi="Times New Roman"/>
          <w:sz w:val="22"/>
          <w:lang w:val="pl-PL"/>
        </w:rPr>
        <w:t>a</w:t>
      </w:r>
      <w:r>
        <w:rPr>
          <w:rFonts w:ascii="Times New Roman" w:hAnsi="Times New Roman"/>
          <w:sz w:val="22"/>
          <w:lang w:val="pl-PL"/>
        </w:rPr>
        <w:t xml:space="preserve"> w blistrach z aluminium</w:t>
      </w:r>
    </w:p>
    <w:p w:rsidR="00630589" w:rsidRDefault="00630589" w:rsidP="00630589">
      <w:pPr>
        <w:pStyle w:val="Heading1"/>
        <w:keepNext w:val="0"/>
        <w:tabs>
          <w:tab w:val="left" w:pos="567"/>
        </w:tabs>
        <w:spacing w:line="240" w:lineRule="auto"/>
        <w:rPr>
          <w:rFonts w:ascii="Times New Roman" w:hAnsi="Times New Roman"/>
          <w:sz w:val="22"/>
          <w:lang w:val="pl-PL"/>
        </w:rPr>
      </w:pPr>
      <w:r>
        <w:rPr>
          <w:rFonts w:ascii="Times New Roman" w:hAnsi="Times New Roman"/>
          <w:sz w:val="22"/>
          <w:lang w:val="pl-PL"/>
        </w:rPr>
        <w:t>EU/1/98/069/015 – Pudełka po 84 tabletki powlekane w blistrach z aluminium</w:t>
      </w:r>
    </w:p>
    <w:p w:rsidR="00630589" w:rsidRDefault="00630589" w:rsidP="00630589">
      <w:pPr>
        <w:pStyle w:val="Heading1"/>
        <w:keepNext w:val="0"/>
        <w:tabs>
          <w:tab w:val="left" w:pos="567"/>
        </w:tabs>
        <w:spacing w:line="240" w:lineRule="auto"/>
        <w:rPr>
          <w:rFonts w:ascii="Times New Roman" w:hAnsi="Times New Roman"/>
          <w:sz w:val="22"/>
          <w:lang w:val="pl-PL"/>
        </w:rPr>
      </w:pPr>
      <w:r>
        <w:rPr>
          <w:rFonts w:ascii="Times New Roman" w:hAnsi="Times New Roman"/>
          <w:sz w:val="22"/>
          <w:lang w:val="pl-PL"/>
        </w:rPr>
        <w:t>EU/1/98/069/016 – Pudełka po 100 tabletek powlekanych w blistrach z aluminium</w:t>
      </w:r>
    </w:p>
    <w:p w:rsidR="00630589" w:rsidRDefault="00630589" w:rsidP="00630589">
      <w:pPr>
        <w:pStyle w:val="Heading1"/>
        <w:keepNext w:val="0"/>
        <w:tabs>
          <w:tab w:val="left" w:pos="567"/>
        </w:tabs>
        <w:spacing w:line="240" w:lineRule="auto"/>
        <w:rPr>
          <w:rFonts w:ascii="Times New Roman" w:hAnsi="Times New Roman"/>
          <w:sz w:val="22"/>
          <w:lang w:val="pl-PL"/>
        </w:rPr>
      </w:pPr>
      <w:r>
        <w:rPr>
          <w:rFonts w:ascii="Times New Roman" w:hAnsi="Times New Roman"/>
          <w:sz w:val="22"/>
          <w:lang w:val="pl-PL"/>
        </w:rPr>
        <w:t>EU/1/98/069/017 – Pudełka po 30 tabletek powlekanych w blistrach z aluminium</w:t>
      </w:r>
    </w:p>
    <w:p w:rsidR="00630589" w:rsidRDefault="00630589" w:rsidP="00630589">
      <w:pPr>
        <w:pStyle w:val="Heading1"/>
        <w:keepNext w:val="0"/>
        <w:tabs>
          <w:tab w:val="left" w:pos="567"/>
        </w:tabs>
        <w:spacing w:line="240" w:lineRule="auto"/>
        <w:rPr>
          <w:rFonts w:ascii="Times New Roman" w:hAnsi="Times New Roman"/>
          <w:sz w:val="22"/>
          <w:lang w:val="pl-PL"/>
        </w:rPr>
      </w:pPr>
      <w:r>
        <w:rPr>
          <w:rFonts w:ascii="Times New Roman" w:hAnsi="Times New Roman"/>
          <w:sz w:val="22"/>
          <w:lang w:val="pl-PL"/>
        </w:rPr>
        <w:t>EU/1/98/069/018 – Pudełka po 90 tabletek powlekanych w blistrach z aluminium</w:t>
      </w:r>
    </w:p>
    <w:p w:rsidR="00630589" w:rsidRDefault="00630589" w:rsidP="006201B0">
      <w:pPr>
        <w:tabs>
          <w:tab w:val="left" w:pos="567"/>
        </w:tabs>
        <w:rPr>
          <w:sz w:val="22"/>
          <w:lang w:val="pl-PL"/>
        </w:rPr>
      </w:pPr>
      <w:r>
        <w:rPr>
          <w:sz w:val="22"/>
          <w:lang w:val="pl-PL"/>
        </w:rPr>
        <w:t>EU/1/98/069/019 – Pudełka po 14 tabletek powlekanych w blistrach z aluminium</w:t>
      </w:r>
    </w:p>
    <w:p w:rsidR="00630589" w:rsidRDefault="00630589" w:rsidP="006201B0">
      <w:pPr>
        <w:tabs>
          <w:tab w:val="left" w:pos="567"/>
        </w:tabs>
        <w:rPr>
          <w:b/>
          <w:sz w:val="22"/>
          <w:lang w:val="pl-PL"/>
        </w:rPr>
      </w:pPr>
      <w:r>
        <w:rPr>
          <w:sz w:val="22"/>
          <w:lang w:val="pl-PL"/>
        </w:rPr>
        <w:t>EU/1/98/069/020 – Pudełka po 7 tabletek powlekanych w blistrach z aluminium</w:t>
      </w:r>
    </w:p>
    <w:p w:rsidR="003E464A" w:rsidRDefault="003E464A">
      <w:pPr>
        <w:tabs>
          <w:tab w:val="left" w:pos="567"/>
        </w:tabs>
        <w:rPr>
          <w:sz w:val="22"/>
          <w:lang w:val="pl-PL"/>
        </w:rPr>
      </w:pPr>
    </w:p>
    <w:p w:rsidR="00BC4936" w:rsidRPr="00BD6C12" w:rsidRDefault="003E464A">
      <w:pPr>
        <w:tabs>
          <w:tab w:val="left" w:pos="567"/>
        </w:tabs>
        <w:rPr>
          <w:sz w:val="22"/>
          <w:u w:val="single"/>
          <w:lang w:val="pl-PL"/>
        </w:rPr>
      </w:pPr>
      <w:r w:rsidRPr="00BD6C12">
        <w:rPr>
          <w:sz w:val="22"/>
          <w:u w:val="single"/>
          <w:lang w:val="pl-PL"/>
        </w:rPr>
        <w:t>Plavix 300 mg tabletki powlekane</w:t>
      </w:r>
    </w:p>
    <w:p w:rsidR="003E464A" w:rsidRPr="003E464A" w:rsidRDefault="003E464A" w:rsidP="003E464A">
      <w:pPr>
        <w:tabs>
          <w:tab w:val="left" w:pos="567"/>
        </w:tabs>
        <w:rPr>
          <w:sz w:val="22"/>
          <w:lang w:val="pl-PL"/>
        </w:rPr>
      </w:pPr>
      <w:r w:rsidRPr="003E464A">
        <w:rPr>
          <w:sz w:val="22"/>
          <w:lang w:val="pl-PL"/>
        </w:rPr>
        <w:t>EU/1/98/069/008 – Pudełka po 4 tabletek powlekanych w jednostkowych blistrach z aluminium</w:t>
      </w:r>
    </w:p>
    <w:p w:rsidR="003E464A" w:rsidRPr="003E464A" w:rsidRDefault="003E464A" w:rsidP="003E464A">
      <w:pPr>
        <w:tabs>
          <w:tab w:val="left" w:pos="567"/>
        </w:tabs>
        <w:rPr>
          <w:sz w:val="22"/>
          <w:lang w:val="pl-PL"/>
        </w:rPr>
      </w:pPr>
      <w:r w:rsidRPr="003E464A">
        <w:rPr>
          <w:sz w:val="22"/>
          <w:lang w:val="pl-PL"/>
        </w:rPr>
        <w:t>EU/1/98/069/009 – Pudełka po 30 tabletek powlekanych w jednostkowych blistrach z aluminium</w:t>
      </w:r>
    </w:p>
    <w:p w:rsidR="003E464A" w:rsidRPr="003E464A" w:rsidRDefault="003E464A" w:rsidP="003E464A">
      <w:pPr>
        <w:tabs>
          <w:tab w:val="left" w:pos="567"/>
        </w:tabs>
        <w:rPr>
          <w:sz w:val="22"/>
          <w:lang w:val="pl-PL"/>
        </w:rPr>
      </w:pPr>
      <w:r w:rsidRPr="003E464A">
        <w:rPr>
          <w:sz w:val="22"/>
          <w:lang w:val="pl-PL"/>
        </w:rPr>
        <w:t>EU/1/98/069/010 – Pudełka po 100 tabletek powlekanych w jednostkowych blistrach z aluminium</w:t>
      </w:r>
    </w:p>
    <w:p w:rsidR="003E464A" w:rsidRDefault="003E464A" w:rsidP="003E464A">
      <w:pPr>
        <w:tabs>
          <w:tab w:val="left" w:pos="567"/>
        </w:tabs>
        <w:rPr>
          <w:sz w:val="22"/>
          <w:lang w:val="pl-PL"/>
        </w:rPr>
      </w:pPr>
      <w:r w:rsidRPr="003E464A">
        <w:rPr>
          <w:sz w:val="22"/>
          <w:lang w:val="pl-PL"/>
        </w:rPr>
        <w:t>EU/1/98/069/012 – Pudełka po 10 tabletek powlekanych w jednostkowych blistrach z aluminium</w:t>
      </w:r>
    </w:p>
    <w:p w:rsidR="003E464A" w:rsidRPr="00022436" w:rsidRDefault="003E464A" w:rsidP="003E464A">
      <w:pPr>
        <w:tabs>
          <w:tab w:val="left" w:pos="567"/>
        </w:tabs>
        <w:rPr>
          <w:sz w:val="22"/>
          <w:lang w:val="pl-PL"/>
        </w:rPr>
      </w:pPr>
    </w:p>
    <w:p w:rsidR="0068326B" w:rsidRPr="00022436" w:rsidRDefault="0068326B">
      <w:pPr>
        <w:tabs>
          <w:tab w:val="left" w:pos="567"/>
        </w:tabs>
        <w:rPr>
          <w:sz w:val="22"/>
          <w:lang w:val="pl-PL"/>
        </w:rPr>
      </w:pPr>
    </w:p>
    <w:p w:rsidR="00BC4936" w:rsidRDefault="00E84636" w:rsidP="00744BD4">
      <w:pPr>
        <w:keepNext/>
        <w:tabs>
          <w:tab w:val="left" w:pos="567"/>
        </w:tabs>
        <w:ind w:left="539" w:hanging="539"/>
        <w:rPr>
          <w:b/>
          <w:sz w:val="22"/>
          <w:lang w:val="pl-PL"/>
        </w:rPr>
      </w:pPr>
      <w:r>
        <w:rPr>
          <w:b/>
          <w:sz w:val="22"/>
          <w:lang w:val="pl-PL"/>
        </w:rPr>
        <w:t>9.</w:t>
      </w:r>
      <w:r>
        <w:rPr>
          <w:b/>
          <w:sz w:val="22"/>
          <w:lang w:val="pl-PL"/>
        </w:rPr>
        <w:tab/>
      </w:r>
      <w:r w:rsidR="00BC4936">
        <w:rPr>
          <w:b/>
          <w:sz w:val="22"/>
          <w:lang w:val="pl-PL"/>
        </w:rPr>
        <w:t>DATA WYDANIA PIERWSZEGO POZWOLENIA NA DOPUSZCZENIE DO OBROTU</w:t>
      </w:r>
      <w:r w:rsidR="00D16878">
        <w:rPr>
          <w:b/>
          <w:sz w:val="22"/>
          <w:lang w:val="pl-PL"/>
        </w:rPr>
        <w:t xml:space="preserve"> I </w:t>
      </w:r>
      <w:r w:rsidR="00BC4936">
        <w:rPr>
          <w:b/>
          <w:sz w:val="22"/>
          <w:lang w:val="pl-PL"/>
        </w:rPr>
        <w:t>DATA PRZEDŁUŻENIA POZWOLENIA</w:t>
      </w:r>
    </w:p>
    <w:p w:rsidR="00BC4936" w:rsidRPr="00022436" w:rsidRDefault="00BC4936">
      <w:pPr>
        <w:tabs>
          <w:tab w:val="left" w:pos="567"/>
        </w:tabs>
        <w:rPr>
          <w:sz w:val="22"/>
          <w:lang w:val="pl-PL"/>
        </w:rPr>
      </w:pPr>
    </w:p>
    <w:p w:rsidR="00BC4936" w:rsidRDefault="00BC4936">
      <w:pPr>
        <w:pStyle w:val="Footer"/>
        <w:tabs>
          <w:tab w:val="left" w:pos="368"/>
        </w:tabs>
        <w:rPr>
          <w:sz w:val="22"/>
          <w:lang w:val="pl-PL"/>
        </w:rPr>
      </w:pPr>
      <w:r>
        <w:rPr>
          <w:sz w:val="22"/>
          <w:lang w:val="pl-PL"/>
        </w:rPr>
        <w:t>Data wydania pierwszego pozwolenia na dopuszczenie do obrotu: 15 lipca 1998</w:t>
      </w:r>
    </w:p>
    <w:p w:rsidR="00BC4936" w:rsidRDefault="00BC4936">
      <w:pPr>
        <w:pStyle w:val="Footer"/>
        <w:tabs>
          <w:tab w:val="left" w:pos="368"/>
        </w:tabs>
        <w:rPr>
          <w:b/>
          <w:sz w:val="22"/>
          <w:lang w:val="pl-PL"/>
        </w:rPr>
      </w:pPr>
      <w:r>
        <w:rPr>
          <w:sz w:val="22"/>
          <w:lang w:val="pl-PL"/>
        </w:rPr>
        <w:t xml:space="preserve">Data </w:t>
      </w:r>
      <w:r w:rsidR="008C1541">
        <w:rPr>
          <w:sz w:val="22"/>
          <w:lang w:val="pl-PL"/>
        </w:rPr>
        <w:t xml:space="preserve">ostatniego </w:t>
      </w:r>
      <w:r>
        <w:rPr>
          <w:sz w:val="22"/>
          <w:lang w:val="pl-PL"/>
        </w:rPr>
        <w:t>przedłużenia pozwolenia: 1</w:t>
      </w:r>
      <w:r w:rsidR="002C0A55">
        <w:rPr>
          <w:sz w:val="22"/>
          <w:lang w:val="pl-PL"/>
        </w:rPr>
        <w:t>9</w:t>
      </w:r>
      <w:r>
        <w:rPr>
          <w:sz w:val="22"/>
          <w:lang w:val="pl-PL"/>
        </w:rPr>
        <w:t xml:space="preserve"> </w:t>
      </w:r>
      <w:r w:rsidR="002C0A55">
        <w:rPr>
          <w:sz w:val="22"/>
          <w:lang w:val="pl-PL"/>
        </w:rPr>
        <w:t xml:space="preserve">czerwca </w:t>
      </w:r>
      <w:r>
        <w:rPr>
          <w:sz w:val="22"/>
          <w:lang w:val="pl-PL"/>
        </w:rPr>
        <w:t>200</w:t>
      </w:r>
      <w:r w:rsidR="006012C7">
        <w:rPr>
          <w:sz w:val="22"/>
          <w:lang w:val="pl-PL"/>
        </w:rPr>
        <w:t>8</w:t>
      </w:r>
    </w:p>
    <w:p w:rsidR="00BC4936" w:rsidRPr="00022436" w:rsidRDefault="00BC4936">
      <w:pPr>
        <w:tabs>
          <w:tab w:val="left" w:pos="567"/>
        </w:tabs>
        <w:rPr>
          <w:sz w:val="22"/>
          <w:lang w:val="pl-PL"/>
        </w:rPr>
      </w:pPr>
    </w:p>
    <w:p w:rsidR="0068326B" w:rsidRPr="00022436" w:rsidRDefault="0068326B">
      <w:pPr>
        <w:tabs>
          <w:tab w:val="left" w:pos="567"/>
        </w:tabs>
        <w:rPr>
          <w:sz w:val="22"/>
          <w:lang w:val="pl-PL"/>
        </w:rPr>
      </w:pPr>
    </w:p>
    <w:p w:rsidR="00BC4936" w:rsidRDefault="009E7E10" w:rsidP="009E7E10">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ind w:left="540" w:hanging="540"/>
      </w:pPr>
      <w:r>
        <w:t>10.</w:t>
      </w:r>
      <w:r>
        <w:tab/>
      </w:r>
      <w:r w:rsidR="00BC4936">
        <w:t>DATA ZATWIERDZENIA LUB CZĘŚCIOWEJ ZMIANY TEKSTU CHARAKTERYSTYKI PRODUKTU LECZNICZEGO</w:t>
      </w:r>
    </w:p>
    <w:p w:rsidR="00F75873" w:rsidRDefault="00F75873" w:rsidP="006201B0">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ind w:left="0" w:firstLine="0"/>
        <w:rPr>
          <w:b w:val="0"/>
        </w:rPr>
      </w:pPr>
    </w:p>
    <w:p w:rsidR="00585E61" w:rsidRDefault="00BC4936">
      <w:pPr>
        <w:rPr>
          <w:noProof/>
          <w:sz w:val="22"/>
          <w:lang w:val="pl-PL"/>
        </w:rPr>
      </w:pPr>
      <w:r>
        <w:rPr>
          <w:noProof/>
          <w:sz w:val="22"/>
          <w:lang w:val="pl-PL"/>
        </w:rPr>
        <w:t>Szczegółow</w:t>
      </w:r>
      <w:r w:rsidR="00332EC4">
        <w:rPr>
          <w:noProof/>
          <w:sz w:val="22"/>
          <w:lang w:val="pl-PL"/>
        </w:rPr>
        <w:t>e</w:t>
      </w:r>
      <w:r>
        <w:rPr>
          <w:noProof/>
          <w:sz w:val="22"/>
          <w:lang w:val="pl-PL"/>
        </w:rPr>
        <w:t xml:space="preserve"> informacj</w:t>
      </w:r>
      <w:r w:rsidR="00332EC4">
        <w:rPr>
          <w:noProof/>
          <w:sz w:val="22"/>
          <w:lang w:val="pl-PL"/>
        </w:rPr>
        <w:t>e</w:t>
      </w:r>
      <w:r>
        <w:rPr>
          <w:noProof/>
          <w:sz w:val="22"/>
          <w:lang w:val="pl-PL"/>
        </w:rPr>
        <w:t xml:space="preserve"> o tym produkcie</w:t>
      </w:r>
      <w:r w:rsidR="00622551">
        <w:rPr>
          <w:noProof/>
          <w:sz w:val="22"/>
          <w:lang w:val="pl-PL"/>
        </w:rPr>
        <w:t xml:space="preserve"> </w:t>
      </w:r>
      <w:r w:rsidR="00902981">
        <w:rPr>
          <w:noProof/>
          <w:sz w:val="22"/>
          <w:lang w:val="pl-PL"/>
        </w:rPr>
        <w:t>leczniczym</w:t>
      </w:r>
      <w:r>
        <w:rPr>
          <w:noProof/>
          <w:sz w:val="22"/>
          <w:lang w:val="pl-PL"/>
        </w:rPr>
        <w:t xml:space="preserve"> </w:t>
      </w:r>
      <w:r w:rsidR="00332EC4">
        <w:rPr>
          <w:noProof/>
          <w:sz w:val="22"/>
          <w:lang w:val="pl-PL"/>
        </w:rPr>
        <w:t>są</w:t>
      </w:r>
      <w:r>
        <w:rPr>
          <w:noProof/>
          <w:sz w:val="22"/>
          <w:lang w:val="pl-PL"/>
        </w:rPr>
        <w:t xml:space="preserve"> dostępn</w:t>
      </w:r>
      <w:r w:rsidR="00332EC4">
        <w:rPr>
          <w:noProof/>
          <w:sz w:val="22"/>
          <w:lang w:val="pl-PL"/>
        </w:rPr>
        <w:t>e</w:t>
      </w:r>
      <w:r>
        <w:rPr>
          <w:noProof/>
          <w:sz w:val="22"/>
          <w:lang w:val="pl-PL"/>
        </w:rPr>
        <w:t xml:space="preserve"> na stronie internetowej Europejskiej Agencji </w:t>
      </w:r>
      <w:r w:rsidR="00050B02">
        <w:rPr>
          <w:noProof/>
          <w:sz w:val="22"/>
          <w:lang w:val="pl-PL"/>
        </w:rPr>
        <w:t>Leków</w:t>
      </w:r>
      <w:r w:rsidRPr="006046E1">
        <w:rPr>
          <w:noProof/>
          <w:sz w:val="22"/>
          <w:lang w:val="pl-PL"/>
        </w:rPr>
        <w:t xml:space="preserve"> </w:t>
      </w:r>
      <w:r w:rsidR="001A474F" w:rsidRPr="001E79CA">
        <w:rPr>
          <w:noProof/>
          <w:sz w:val="22"/>
          <w:lang w:val="pl-PL"/>
        </w:rPr>
        <w:t>http://www.ema.eu</w:t>
      </w:r>
      <w:r w:rsidR="001A474F" w:rsidRPr="001E79CA">
        <w:rPr>
          <w:noProof/>
          <w:sz w:val="22"/>
          <w:lang w:val="pl-PL"/>
        </w:rPr>
        <w:t>r</w:t>
      </w:r>
      <w:r w:rsidR="001A474F" w:rsidRPr="001E79CA">
        <w:rPr>
          <w:noProof/>
          <w:sz w:val="22"/>
          <w:lang w:val="pl-PL"/>
        </w:rPr>
        <w:t>opa.eu</w:t>
      </w:r>
    </w:p>
    <w:p w:rsidR="001A474F" w:rsidRDefault="001A474F">
      <w:pPr>
        <w:rPr>
          <w:noProof/>
          <w:sz w:val="22"/>
          <w:lang w:val="pl-PL"/>
        </w:rPr>
      </w:pPr>
    </w:p>
    <w:p w:rsidR="00BC4936" w:rsidRDefault="00BC4936" w:rsidP="00BD6C12">
      <w:pPr>
        <w:rPr>
          <w:sz w:val="22"/>
          <w:lang w:val="pl-PL"/>
        </w:rPr>
      </w:pPr>
      <w:r>
        <w:rPr>
          <w:sz w:val="22"/>
          <w:lang w:val="pl-PL"/>
        </w:rPr>
        <w:br w:type="page"/>
      </w: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BC4936" w:rsidRDefault="00BC4936">
      <w:pPr>
        <w:jc w:val="center"/>
        <w:rPr>
          <w:sz w:val="22"/>
          <w:lang w:val="pl-PL"/>
        </w:rPr>
      </w:pPr>
    </w:p>
    <w:p w:rsidR="00493E7C" w:rsidRDefault="00493E7C" w:rsidP="00493E7C">
      <w:pPr>
        <w:pStyle w:val="Heading7"/>
      </w:pPr>
    </w:p>
    <w:p w:rsidR="00493E7C" w:rsidRDefault="00493E7C" w:rsidP="00493E7C">
      <w:pPr>
        <w:pStyle w:val="Heading7"/>
      </w:pPr>
    </w:p>
    <w:p w:rsidR="00BC4936" w:rsidRDefault="00BC4936" w:rsidP="00493E7C">
      <w:pPr>
        <w:pStyle w:val="Heading7"/>
      </w:pPr>
      <w:r>
        <w:t>ANEKS II</w:t>
      </w:r>
    </w:p>
    <w:p w:rsidR="00BC4936" w:rsidRDefault="00BC4936">
      <w:pPr>
        <w:numPr>
          <w:ilvl w:val="0"/>
          <w:numId w:val="28"/>
        </w:numPr>
        <w:ind w:left="1701" w:right="1416" w:hanging="567"/>
        <w:rPr>
          <w:b/>
          <w:sz w:val="22"/>
          <w:lang w:val="pl-PL"/>
        </w:rPr>
      </w:pPr>
      <w:r>
        <w:rPr>
          <w:b/>
          <w:sz w:val="22"/>
          <w:lang w:val="pl-PL"/>
        </w:rPr>
        <w:t>WYTWÓRCY ODPOWIEDZIALNI ZA ZWOLNIENIE SERII</w:t>
      </w:r>
    </w:p>
    <w:p w:rsidR="00BC4936" w:rsidRDefault="00BC4936">
      <w:pPr>
        <w:numPr>
          <w:ilvl w:val="12"/>
          <w:numId w:val="0"/>
        </w:numPr>
        <w:ind w:left="1701" w:right="1416" w:hanging="567"/>
        <w:rPr>
          <w:sz w:val="22"/>
          <w:lang w:val="pl-PL"/>
        </w:rPr>
      </w:pPr>
    </w:p>
    <w:p w:rsidR="0045271A" w:rsidRDefault="00BC4936">
      <w:pPr>
        <w:numPr>
          <w:ilvl w:val="0"/>
          <w:numId w:val="28"/>
        </w:numPr>
        <w:ind w:left="1701" w:right="1416" w:hanging="567"/>
        <w:rPr>
          <w:b/>
          <w:sz w:val="22"/>
          <w:lang w:val="pl-PL"/>
        </w:rPr>
      </w:pPr>
      <w:r>
        <w:rPr>
          <w:b/>
          <w:sz w:val="22"/>
          <w:lang w:val="pl-PL"/>
        </w:rPr>
        <w:t xml:space="preserve">WARUNKI </w:t>
      </w:r>
      <w:r w:rsidR="0045271A">
        <w:rPr>
          <w:b/>
          <w:sz w:val="22"/>
          <w:lang w:val="pl-PL"/>
        </w:rPr>
        <w:t>LUB OGRANICZENIA DOTYCZĄCE ZAOPATRZENIA I STOSOWANIA</w:t>
      </w:r>
    </w:p>
    <w:p w:rsidR="0045271A" w:rsidRDefault="0045271A" w:rsidP="0045271A">
      <w:pPr>
        <w:pStyle w:val="ListParagraph"/>
        <w:rPr>
          <w:b/>
          <w:sz w:val="22"/>
          <w:lang w:val="pl-PL"/>
        </w:rPr>
      </w:pPr>
    </w:p>
    <w:p w:rsidR="0045271A" w:rsidRDefault="0045271A">
      <w:pPr>
        <w:numPr>
          <w:ilvl w:val="0"/>
          <w:numId w:val="28"/>
        </w:numPr>
        <w:ind w:left="1701" w:right="1416" w:hanging="567"/>
        <w:rPr>
          <w:b/>
          <w:sz w:val="22"/>
          <w:lang w:val="pl-PL"/>
        </w:rPr>
      </w:pPr>
      <w:r>
        <w:rPr>
          <w:b/>
          <w:sz w:val="22"/>
          <w:lang w:val="pl-PL"/>
        </w:rPr>
        <w:t>INNE WARUNKI I WYMAGANIA DOTYCZĄCE</w:t>
      </w:r>
      <w:r w:rsidRPr="0045271A">
        <w:rPr>
          <w:b/>
          <w:sz w:val="22"/>
          <w:lang w:val="pl-PL"/>
        </w:rPr>
        <w:t xml:space="preserve"> </w:t>
      </w:r>
      <w:r>
        <w:rPr>
          <w:b/>
          <w:sz w:val="22"/>
          <w:lang w:val="pl-PL"/>
        </w:rPr>
        <w:t>DOPUSZCZENIA DO OBROTU</w:t>
      </w:r>
    </w:p>
    <w:p w:rsidR="0045271A" w:rsidRDefault="0045271A" w:rsidP="0045271A">
      <w:pPr>
        <w:pStyle w:val="ListParagraph"/>
        <w:rPr>
          <w:b/>
          <w:sz w:val="22"/>
          <w:lang w:val="pl-PL"/>
        </w:rPr>
      </w:pPr>
    </w:p>
    <w:p w:rsidR="0045271A" w:rsidRDefault="0045271A">
      <w:pPr>
        <w:numPr>
          <w:ilvl w:val="0"/>
          <w:numId w:val="28"/>
        </w:numPr>
        <w:ind w:left="1701" w:right="1416" w:hanging="567"/>
        <w:rPr>
          <w:b/>
          <w:sz w:val="22"/>
          <w:lang w:val="pl-PL"/>
        </w:rPr>
      </w:pPr>
      <w:r>
        <w:rPr>
          <w:b/>
          <w:sz w:val="22"/>
          <w:lang w:val="pl-PL"/>
        </w:rPr>
        <w:t>WARUNKI LUB OGRANICZENIA DOTYCZĄCE BEZPIECZ</w:t>
      </w:r>
      <w:r w:rsidR="007D1764">
        <w:rPr>
          <w:b/>
          <w:sz w:val="22"/>
          <w:lang w:val="pl-PL"/>
        </w:rPr>
        <w:t xml:space="preserve">NEGO </w:t>
      </w:r>
      <w:r>
        <w:rPr>
          <w:b/>
          <w:sz w:val="22"/>
          <w:lang w:val="pl-PL"/>
        </w:rPr>
        <w:t>I SKUTECZN</w:t>
      </w:r>
      <w:r w:rsidR="007D1764">
        <w:rPr>
          <w:b/>
          <w:sz w:val="22"/>
          <w:lang w:val="pl-PL"/>
        </w:rPr>
        <w:t>EGO</w:t>
      </w:r>
      <w:r>
        <w:rPr>
          <w:b/>
          <w:sz w:val="22"/>
          <w:lang w:val="pl-PL"/>
        </w:rPr>
        <w:t xml:space="preserve"> STOSOWANIA PRODUKTU LECZNICZEGO</w:t>
      </w:r>
    </w:p>
    <w:p w:rsidR="00BC4936" w:rsidRPr="0045271A" w:rsidRDefault="00BC4936">
      <w:pPr>
        <w:ind w:left="567" w:hanging="567"/>
        <w:rPr>
          <w:b/>
          <w:sz w:val="22"/>
          <w:lang w:val="pl-PL"/>
        </w:rPr>
      </w:pPr>
      <w:r w:rsidRPr="0045271A">
        <w:rPr>
          <w:b/>
          <w:sz w:val="22"/>
          <w:lang w:val="pl-PL"/>
        </w:rPr>
        <w:br w:type="page"/>
      </w:r>
    </w:p>
    <w:p w:rsidR="00BC4936" w:rsidRDefault="00BC4936" w:rsidP="001875D1">
      <w:pPr>
        <w:pStyle w:val="EMEA2"/>
      </w:pPr>
      <w:r w:rsidRPr="0045271A">
        <w:t>A.</w:t>
      </w:r>
      <w:r w:rsidRPr="0045271A">
        <w:tab/>
        <w:t>WYTWÓRCY ODPOWIEDZIALNI ZA ZWOL</w:t>
      </w:r>
      <w:r>
        <w:t>NIENIE SERII</w:t>
      </w:r>
    </w:p>
    <w:p w:rsidR="00BC4936" w:rsidRDefault="00BC4936">
      <w:pPr>
        <w:numPr>
          <w:ilvl w:val="12"/>
          <w:numId w:val="0"/>
        </w:numPr>
        <w:ind w:right="1416"/>
        <w:rPr>
          <w:sz w:val="22"/>
          <w:lang w:val="pl-PL"/>
        </w:rPr>
      </w:pPr>
    </w:p>
    <w:p w:rsidR="0094588D" w:rsidRDefault="0094588D" w:rsidP="0094588D">
      <w:pPr>
        <w:numPr>
          <w:ilvl w:val="12"/>
          <w:numId w:val="0"/>
        </w:numPr>
        <w:outlineLvl w:val="0"/>
        <w:rPr>
          <w:sz w:val="22"/>
          <w:u w:val="single"/>
          <w:lang w:val="pl-PL"/>
        </w:rPr>
      </w:pPr>
      <w:r>
        <w:rPr>
          <w:sz w:val="22"/>
          <w:u w:val="single"/>
          <w:lang w:val="pl-PL"/>
        </w:rPr>
        <w:t>Nazwa i adres wytwórców odpowiedzialnych za zwolnienie serii</w:t>
      </w:r>
    </w:p>
    <w:p w:rsidR="0094588D" w:rsidRDefault="0094588D" w:rsidP="0094588D">
      <w:pPr>
        <w:numPr>
          <w:ilvl w:val="12"/>
          <w:numId w:val="0"/>
        </w:numPr>
        <w:rPr>
          <w:sz w:val="22"/>
          <w:lang w:val="pl-PL"/>
        </w:rPr>
      </w:pPr>
    </w:p>
    <w:p w:rsidR="0094588D" w:rsidRDefault="00B04330" w:rsidP="0094588D">
      <w:pPr>
        <w:numPr>
          <w:ilvl w:val="0"/>
          <w:numId w:val="30"/>
        </w:numPr>
        <w:ind w:hanging="720"/>
        <w:rPr>
          <w:sz w:val="22"/>
          <w:lang w:val="pl-PL"/>
        </w:rPr>
      </w:pPr>
      <w:r>
        <w:rPr>
          <w:sz w:val="22"/>
          <w:lang w:val="pl-PL"/>
        </w:rPr>
        <w:t>Plavix</w:t>
      </w:r>
      <w:r w:rsidR="0094588D">
        <w:rPr>
          <w:sz w:val="22"/>
          <w:lang w:val="pl-PL"/>
        </w:rPr>
        <w:t xml:space="preserve"> 75 mg tabletki powlekane</w:t>
      </w:r>
    </w:p>
    <w:p w:rsidR="0094588D" w:rsidRDefault="0094588D" w:rsidP="0094588D">
      <w:pPr>
        <w:numPr>
          <w:ilvl w:val="12"/>
          <w:numId w:val="0"/>
        </w:numPr>
        <w:rPr>
          <w:sz w:val="22"/>
          <w:lang w:val="pl-PL"/>
        </w:rPr>
      </w:pPr>
    </w:p>
    <w:p w:rsidR="0094588D" w:rsidRDefault="0094588D" w:rsidP="0094588D">
      <w:pPr>
        <w:tabs>
          <w:tab w:val="left" w:pos="720"/>
        </w:tabs>
        <w:jc w:val="both"/>
        <w:rPr>
          <w:sz w:val="22"/>
          <w:lang w:val="pl-PL"/>
        </w:rPr>
      </w:pPr>
      <w:r>
        <w:rPr>
          <w:sz w:val="22"/>
          <w:lang w:val="pl-PL"/>
        </w:rPr>
        <w:t>Sanofi Winthrop Industrie</w:t>
      </w:r>
    </w:p>
    <w:p w:rsidR="0094588D" w:rsidRDefault="0094588D" w:rsidP="0094588D">
      <w:pPr>
        <w:tabs>
          <w:tab w:val="left" w:pos="720"/>
        </w:tabs>
        <w:jc w:val="both"/>
        <w:rPr>
          <w:sz w:val="22"/>
          <w:lang w:val="pl-PL"/>
        </w:rPr>
      </w:pPr>
      <w:r>
        <w:rPr>
          <w:sz w:val="22"/>
          <w:lang w:val="pl-PL"/>
        </w:rPr>
        <w:t xml:space="preserve">1, rue de la Vierge </w:t>
      </w:r>
    </w:p>
    <w:p w:rsidR="0094588D" w:rsidRDefault="0094588D" w:rsidP="0094588D">
      <w:pPr>
        <w:tabs>
          <w:tab w:val="left" w:pos="720"/>
        </w:tabs>
        <w:jc w:val="both"/>
        <w:rPr>
          <w:noProof/>
          <w:sz w:val="22"/>
          <w:lang w:val="fr-FR"/>
        </w:rPr>
      </w:pPr>
      <w:r>
        <w:rPr>
          <w:noProof/>
          <w:sz w:val="22"/>
          <w:lang w:val="fr-FR"/>
        </w:rPr>
        <w:t>Ambarès &amp; Lagrave</w:t>
      </w:r>
    </w:p>
    <w:p w:rsidR="0094588D" w:rsidRDefault="0094588D" w:rsidP="0094588D">
      <w:pPr>
        <w:tabs>
          <w:tab w:val="left" w:pos="720"/>
        </w:tabs>
        <w:jc w:val="both"/>
        <w:rPr>
          <w:sz w:val="22"/>
          <w:lang w:val="en-GB"/>
        </w:rPr>
      </w:pPr>
      <w:r>
        <w:rPr>
          <w:noProof/>
          <w:sz w:val="22"/>
          <w:lang w:val="fr-FR"/>
        </w:rPr>
        <w:t>F-</w:t>
      </w:r>
      <w:r>
        <w:rPr>
          <w:color w:val="000000"/>
          <w:sz w:val="22"/>
          <w:lang w:val="fr-FR"/>
        </w:rPr>
        <w:t>33565 Carbon Blanc cedex</w:t>
      </w:r>
    </w:p>
    <w:p w:rsidR="0094588D" w:rsidRDefault="0094588D" w:rsidP="0094588D">
      <w:pPr>
        <w:numPr>
          <w:ilvl w:val="12"/>
          <w:numId w:val="0"/>
        </w:numPr>
        <w:rPr>
          <w:sz w:val="22"/>
          <w:lang w:val="pl-PL"/>
        </w:rPr>
      </w:pPr>
      <w:r>
        <w:rPr>
          <w:sz w:val="22"/>
          <w:lang w:val="pl-PL"/>
        </w:rPr>
        <w:t>Francja</w:t>
      </w:r>
    </w:p>
    <w:p w:rsidR="0094588D" w:rsidRDefault="0094588D" w:rsidP="0094588D">
      <w:pPr>
        <w:numPr>
          <w:ilvl w:val="12"/>
          <w:numId w:val="0"/>
        </w:numPr>
        <w:rPr>
          <w:sz w:val="22"/>
          <w:lang w:val="pl-PL"/>
        </w:rPr>
      </w:pPr>
    </w:p>
    <w:p w:rsidR="001D4D91" w:rsidRPr="001D4D91" w:rsidRDefault="001D4D91" w:rsidP="001D4D91">
      <w:pPr>
        <w:tabs>
          <w:tab w:val="left" w:pos="720"/>
        </w:tabs>
        <w:jc w:val="both"/>
        <w:rPr>
          <w:sz w:val="22"/>
          <w:szCs w:val="22"/>
          <w:lang w:val="fr-FR" w:eastAsia="en-US"/>
        </w:rPr>
      </w:pPr>
      <w:r w:rsidRPr="001D4D91">
        <w:rPr>
          <w:sz w:val="22"/>
          <w:szCs w:val="22"/>
          <w:lang w:val="fr-FR" w:eastAsia="en-US"/>
        </w:rPr>
        <w:t>Delpharm Dijon</w:t>
      </w:r>
    </w:p>
    <w:p w:rsidR="0094588D" w:rsidRDefault="0094588D" w:rsidP="0094588D">
      <w:pPr>
        <w:numPr>
          <w:ilvl w:val="12"/>
          <w:numId w:val="0"/>
        </w:numPr>
        <w:rPr>
          <w:sz w:val="22"/>
          <w:lang w:val="pl-PL"/>
        </w:rPr>
      </w:pPr>
      <w:r>
        <w:rPr>
          <w:sz w:val="22"/>
          <w:lang w:val="pl-PL"/>
        </w:rPr>
        <w:t>6, Boulevard de l’Europe</w:t>
      </w:r>
    </w:p>
    <w:p w:rsidR="0094588D" w:rsidRDefault="0094588D" w:rsidP="0094588D">
      <w:pPr>
        <w:numPr>
          <w:ilvl w:val="12"/>
          <w:numId w:val="0"/>
        </w:numPr>
        <w:rPr>
          <w:sz w:val="22"/>
          <w:lang w:val="pl-PL"/>
        </w:rPr>
      </w:pPr>
      <w:r>
        <w:rPr>
          <w:sz w:val="22"/>
          <w:lang w:val="pl-PL"/>
        </w:rPr>
        <w:t>F-21800 Qu</w:t>
      </w:r>
      <w:r>
        <w:rPr>
          <w:noProof/>
          <w:sz w:val="22"/>
          <w:lang w:val="pl-PL"/>
        </w:rPr>
        <w:t xml:space="preserve">étigny </w:t>
      </w:r>
    </w:p>
    <w:p w:rsidR="0094588D" w:rsidRDefault="0094588D" w:rsidP="0094588D">
      <w:pPr>
        <w:numPr>
          <w:ilvl w:val="12"/>
          <w:numId w:val="0"/>
        </w:numPr>
        <w:rPr>
          <w:sz w:val="22"/>
          <w:lang w:val="pl-PL"/>
        </w:rPr>
      </w:pPr>
      <w:r>
        <w:rPr>
          <w:sz w:val="22"/>
          <w:lang w:val="pl-PL"/>
        </w:rPr>
        <w:t>Francja</w:t>
      </w:r>
    </w:p>
    <w:p w:rsidR="0094588D" w:rsidRDefault="0094588D" w:rsidP="0094588D">
      <w:pPr>
        <w:numPr>
          <w:ilvl w:val="12"/>
          <w:numId w:val="0"/>
        </w:numPr>
        <w:rPr>
          <w:sz w:val="22"/>
          <w:lang w:val="pl-PL"/>
        </w:rPr>
      </w:pPr>
    </w:p>
    <w:p w:rsidR="00ED5674" w:rsidRPr="00ED5674" w:rsidRDefault="00ED5674" w:rsidP="00ED5674">
      <w:pPr>
        <w:numPr>
          <w:ilvl w:val="12"/>
          <w:numId w:val="0"/>
        </w:numPr>
        <w:rPr>
          <w:sz w:val="22"/>
          <w:lang w:val="pl-PL"/>
        </w:rPr>
      </w:pPr>
      <w:r w:rsidRPr="00ED5674">
        <w:rPr>
          <w:sz w:val="22"/>
          <w:lang w:val="pl-PL"/>
        </w:rPr>
        <w:t>Sanofi S.</w:t>
      </w:r>
      <w:r w:rsidR="00CE6A17">
        <w:rPr>
          <w:sz w:val="22"/>
          <w:lang w:val="pl-PL"/>
        </w:rPr>
        <w:t>r.l.</w:t>
      </w:r>
    </w:p>
    <w:p w:rsidR="00ED5674" w:rsidRPr="00ED5674" w:rsidRDefault="00ED5674" w:rsidP="00ED5674">
      <w:pPr>
        <w:numPr>
          <w:ilvl w:val="12"/>
          <w:numId w:val="0"/>
        </w:numPr>
        <w:rPr>
          <w:sz w:val="22"/>
          <w:lang w:val="pl-PL"/>
        </w:rPr>
      </w:pPr>
      <w:r w:rsidRPr="00ED5674">
        <w:rPr>
          <w:sz w:val="22"/>
          <w:lang w:val="pl-PL"/>
        </w:rPr>
        <w:t>Strada Statale 17, Km 22</w:t>
      </w:r>
    </w:p>
    <w:p w:rsidR="00A0496A" w:rsidRDefault="00A0496A" w:rsidP="00A0496A">
      <w:pPr>
        <w:numPr>
          <w:ilvl w:val="12"/>
          <w:numId w:val="0"/>
        </w:numPr>
        <w:rPr>
          <w:sz w:val="22"/>
          <w:lang w:val="pl-PL"/>
        </w:rPr>
      </w:pPr>
      <w:r>
        <w:rPr>
          <w:sz w:val="22"/>
          <w:lang w:val="pl-PL"/>
        </w:rPr>
        <w:t xml:space="preserve">67019 Scoppito (AQ) </w:t>
      </w:r>
      <w:r w:rsidRPr="008669CB">
        <w:rPr>
          <w:sz w:val="22"/>
          <w:szCs w:val="22"/>
          <w:lang w:val="pl-PL"/>
        </w:rPr>
        <w:t xml:space="preserve">– </w:t>
      </w:r>
      <w:r>
        <w:rPr>
          <w:sz w:val="22"/>
          <w:lang w:val="pl-PL"/>
        </w:rPr>
        <w:t>Włoch</w:t>
      </w:r>
      <w:r w:rsidRPr="00ED5674">
        <w:rPr>
          <w:sz w:val="22"/>
          <w:lang w:val="pl-PL"/>
        </w:rPr>
        <w:t>y</w:t>
      </w:r>
    </w:p>
    <w:p w:rsidR="003A2947" w:rsidRDefault="003A2947" w:rsidP="00A0496A">
      <w:pPr>
        <w:numPr>
          <w:ilvl w:val="12"/>
          <w:numId w:val="0"/>
        </w:numPr>
        <w:rPr>
          <w:sz w:val="22"/>
          <w:lang w:val="pl-PL"/>
        </w:rPr>
      </w:pPr>
    </w:p>
    <w:p w:rsidR="003A2947" w:rsidRPr="00FF6315" w:rsidRDefault="003A2947" w:rsidP="003A2947">
      <w:pPr>
        <w:tabs>
          <w:tab w:val="left" w:pos="720"/>
        </w:tabs>
        <w:jc w:val="both"/>
        <w:rPr>
          <w:sz w:val="22"/>
          <w:szCs w:val="22"/>
          <w:lang w:eastAsia="en-US"/>
        </w:rPr>
      </w:pPr>
      <w:r w:rsidRPr="00FF6315">
        <w:rPr>
          <w:sz w:val="22"/>
          <w:szCs w:val="22"/>
          <w:lang w:eastAsia="en-US"/>
        </w:rPr>
        <w:t>Sanofi Winthrop Industrie</w:t>
      </w:r>
    </w:p>
    <w:p w:rsidR="003A2947" w:rsidRPr="00FF6315" w:rsidRDefault="003A2947" w:rsidP="003A2947">
      <w:pPr>
        <w:tabs>
          <w:tab w:val="left" w:pos="720"/>
        </w:tabs>
        <w:jc w:val="both"/>
        <w:rPr>
          <w:sz w:val="22"/>
          <w:szCs w:val="22"/>
          <w:lang w:eastAsia="en-US"/>
        </w:rPr>
      </w:pPr>
      <w:r w:rsidRPr="00FF6315">
        <w:rPr>
          <w:sz w:val="22"/>
          <w:szCs w:val="22"/>
          <w:lang w:eastAsia="en-US"/>
        </w:rPr>
        <w:t>30-36 avenue Gustave Eiffel</w:t>
      </w:r>
    </w:p>
    <w:p w:rsidR="003A2947" w:rsidRPr="00FF6315" w:rsidRDefault="003A2947" w:rsidP="003A2947">
      <w:pPr>
        <w:tabs>
          <w:tab w:val="left" w:pos="720"/>
        </w:tabs>
        <w:jc w:val="both"/>
        <w:rPr>
          <w:sz w:val="22"/>
          <w:szCs w:val="22"/>
          <w:lang w:eastAsia="en-US"/>
        </w:rPr>
      </w:pPr>
      <w:r w:rsidRPr="00FF6315">
        <w:rPr>
          <w:sz w:val="22"/>
          <w:szCs w:val="22"/>
          <w:lang w:eastAsia="en-US"/>
        </w:rPr>
        <w:t>37100 Tours</w:t>
      </w:r>
    </w:p>
    <w:p w:rsidR="003A2947" w:rsidRPr="003A2947" w:rsidRDefault="003A2947" w:rsidP="003A2947">
      <w:pPr>
        <w:tabs>
          <w:tab w:val="left" w:pos="720"/>
        </w:tabs>
        <w:jc w:val="both"/>
        <w:rPr>
          <w:sz w:val="22"/>
          <w:szCs w:val="22"/>
          <w:lang w:eastAsia="en-US"/>
        </w:rPr>
      </w:pPr>
      <w:r>
        <w:rPr>
          <w:sz w:val="22"/>
          <w:szCs w:val="22"/>
          <w:lang w:eastAsia="en-US"/>
        </w:rPr>
        <w:t>Francja</w:t>
      </w:r>
    </w:p>
    <w:p w:rsidR="0094588D" w:rsidRDefault="0094588D" w:rsidP="0094588D">
      <w:pPr>
        <w:numPr>
          <w:ilvl w:val="12"/>
          <w:numId w:val="0"/>
        </w:numPr>
        <w:rPr>
          <w:sz w:val="22"/>
          <w:lang w:val="it-IT"/>
        </w:rPr>
      </w:pPr>
    </w:p>
    <w:p w:rsidR="0094588D" w:rsidRDefault="00B04330" w:rsidP="0094588D">
      <w:pPr>
        <w:numPr>
          <w:ilvl w:val="0"/>
          <w:numId w:val="30"/>
        </w:numPr>
        <w:tabs>
          <w:tab w:val="clear" w:pos="720"/>
        </w:tabs>
        <w:ind w:hanging="720"/>
        <w:rPr>
          <w:sz w:val="22"/>
          <w:lang w:val="pl-PL"/>
        </w:rPr>
      </w:pPr>
      <w:r>
        <w:rPr>
          <w:sz w:val="22"/>
          <w:lang w:val="pl-PL"/>
        </w:rPr>
        <w:t>Plavix</w:t>
      </w:r>
      <w:r w:rsidR="0094588D">
        <w:rPr>
          <w:sz w:val="22"/>
          <w:lang w:val="pl-PL"/>
        </w:rPr>
        <w:t xml:space="preserve"> 300 mg tabletki powlekane</w:t>
      </w:r>
    </w:p>
    <w:p w:rsidR="0094588D" w:rsidRDefault="0094588D" w:rsidP="0094588D">
      <w:pPr>
        <w:numPr>
          <w:ilvl w:val="12"/>
          <w:numId w:val="0"/>
        </w:numPr>
        <w:rPr>
          <w:sz w:val="22"/>
          <w:lang w:val="pl-PL"/>
        </w:rPr>
      </w:pPr>
    </w:p>
    <w:p w:rsidR="0094588D" w:rsidRPr="008953D6" w:rsidRDefault="0094588D" w:rsidP="0094588D">
      <w:pPr>
        <w:tabs>
          <w:tab w:val="left" w:pos="720"/>
        </w:tabs>
        <w:jc w:val="both"/>
        <w:rPr>
          <w:sz w:val="22"/>
          <w:lang w:val="fr-FR"/>
        </w:rPr>
      </w:pPr>
      <w:r w:rsidRPr="008953D6">
        <w:rPr>
          <w:sz w:val="22"/>
          <w:lang w:val="fr-FR"/>
        </w:rPr>
        <w:t>Sanofi Winthrop Industrie</w:t>
      </w:r>
    </w:p>
    <w:p w:rsidR="0094588D" w:rsidRPr="008953D6" w:rsidRDefault="0094588D" w:rsidP="0094588D">
      <w:pPr>
        <w:tabs>
          <w:tab w:val="left" w:pos="720"/>
        </w:tabs>
        <w:jc w:val="both"/>
        <w:rPr>
          <w:sz w:val="22"/>
          <w:lang w:val="fr-FR"/>
        </w:rPr>
      </w:pPr>
      <w:r w:rsidRPr="008953D6">
        <w:rPr>
          <w:sz w:val="22"/>
          <w:lang w:val="fr-FR"/>
        </w:rPr>
        <w:t xml:space="preserve">1, rue de la Vierge </w:t>
      </w:r>
    </w:p>
    <w:p w:rsidR="0094588D" w:rsidRDefault="0094588D" w:rsidP="0094588D">
      <w:pPr>
        <w:tabs>
          <w:tab w:val="left" w:pos="720"/>
        </w:tabs>
        <w:jc w:val="both"/>
        <w:rPr>
          <w:noProof/>
          <w:sz w:val="22"/>
          <w:lang w:val="fr-FR"/>
        </w:rPr>
      </w:pPr>
      <w:r>
        <w:rPr>
          <w:noProof/>
          <w:sz w:val="22"/>
          <w:lang w:val="fr-FR"/>
        </w:rPr>
        <w:t>Ambarès &amp; Lagrave</w:t>
      </w:r>
    </w:p>
    <w:p w:rsidR="0094588D" w:rsidRPr="008953D6" w:rsidRDefault="0094588D" w:rsidP="0094588D">
      <w:pPr>
        <w:tabs>
          <w:tab w:val="left" w:pos="720"/>
        </w:tabs>
        <w:jc w:val="both"/>
        <w:rPr>
          <w:sz w:val="22"/>
          <w:lang w:val="fr-FR"/>
        </w:rPr>
      </w:pPr>
      <w:r>
        <w:rPr>
          <w:noProof/>
          <w:sz w:val="22"/>
          <w:lang w:val="fr-FR"/>
        </w:rPr>
        <w:t>F-</w:t>
      </w:r>
      <w:r>
        <w:rPr>
          <w:color w:val="000000"/>
          <w:sz w:val="22"/>
          <w:lang w:val="fr-FR"/>
        </w:rPr>
        <w:t>33565 Carbon Blanc cedex</w:t>
      </w:r>
    </w:p>
    <w:p w:rsidR="0094588D" w:rsidRDefault="0094588D" w:rsidP="0094588D">
      <w:pPr>
        <w:numPr>
          <w:ilvl w:val="12"/>
          <w:numId w:val="0"/>
        </w:numPr>
        <w:rPr>
          <w:sz w:val="22"/>
          <w:lang w:val="pl-PL"/>
        </w:rPr>
      </w:pPr>
      <w:r>
        <w:rPr>
          <w:sz w:val="22"/>
          <w:lang w:val="pl-PL"/>
        </w:rPr>
        <w:t>Francja</w:t>
      </w:r>
    </w:p>
    <w:p w:rsidR="007D7BDA" w:rsidRDefault="007D7BDA" w:rsidP="0094588D">
      <w:pPr>
        <w:numPr>
          <w:ilvl w:val="12"/>
          <w:numId w:val="0"/>
        </w:numPr>
        <w:rPr>
          <w:sz w:val="22"/>
          <w:lang w:val="pl-PL"/>
        </w:rPr>
      </w:pPr>
    </w:p>
    <w:p w:rsidR="007D7BDA" w:rsidRDefault="007D7BDA" w:rsidP="007D7BDA">
      <w:pPr>
        <w:numPr>
          <w:ilvl w:val="12"/>
          <w:numId w:val="0"/>
        </w:numPr>
        <w:rPr>
          <w:sz w:val="22"/>
          <w:lang w:val="pl-PL"/>
        </w:rPr>
      </w:pPr>
      <w:r w:rsidRPr="007D7BDA">
        <w:rPr>
          <w:sz w:val="22"/>
          <w:lang w:val="pl-PL"/>
        </w:rPr>
        <w:t>Wydrukowana ulotka dla pacjenta musi zawierać nazwę i adres wytwórcy odpowiedzialnego za zwolnienie danej serii produktu leczniczego.</w:t>
      </w:r>
    </w:p>
    <w:p w:rsidR="0076493D" w:rsidRPr="007D7BDA" w:rsidRDefault="0076493D" w:rsidP="007D7BDA">
      <w:pPr>
        <w:numPr>
          <w:ilvl w:val="12"/>
          <w:numId w:val="0"/>
        </w:numPr>
        <w:rPr>
          <w:sz w:val="22"/>
          <w:lang w:val="pl-PL"/>
        </w:rPr>
      </w:pPr>
    </w:p>
    <w:p w:rsidR="0094588D" w:rsidRDefault="007D7BDA" w:rsidP="007D7BDA">
      <w:pPr>
        <w:numPr>
          <w:ilvl w:val="12"/>
          <w:numId w:val="0"/>
        </w:numPr>
        <w:rPr>
          <w:sz w:val="22"/>
          <w:lang w:val="pl-PL"/>
        </w:rPr>
      </w:pPr>
      <w:r w:rsidRPr="007D7BDA">
        <w:rPr>
          <w:sz w:val="22"/>
          <w:lang w:val="pl-PL"/>
        </w:rPr>
        <w:tab/>
      </w:r>
    </w:p>
    <w:p w:rsidR="00D3465D" w:rsidRDefault="0094588D" w:rsidP="008E5E30">
      <w:pPr>
        <w:ind w:left="709" w:right="1416" w:hanging="709"/>
        <w:rPr>
          <w:b/>
          <w:sz w:val="22"/>
          <w:lang w:val="pl-PL"/>
        </w:rPr>
      </w:pPr>
      <w:r w:rsidRPr="00D3465D">
        <w:rPr>
          <w:b/>
          <w:sz w:val="22"/>
          <w:lang w:val="pl-PL"/>
        </w:rPr>
        <w:t>B.</w:t>
      </w:r>
      <w:r w:rsidRPr="00D3465D">
        <w:rPr>
          <w:b/>
          <w:sz w:val="22"/>
          <w:lang w:val="pl-PL"/>
        </w:rPr>
        <w:tab/>
        <w:t>WARUNKI</w:t>
      </w:r>
      <w:r w:rsidRPr="00D3465D">
        <w:rPr>
          <w:lang w:val="pl-PL"/>
        </w:rPr>
        <w:t xml:space="preserve"> </w:t>
      </w:r>
      <w:r w:rsidR="00D3465D">
        <w:rPr>
          <w:b/>
          <w:sz w:val="22"/>
          <w:lang w:val="pl-PL"/>
        </w:rPr>
        <w:t>LUB OGRANICZENIA DOTYCZĄCE ZAOPATRZENIA I STOSOWANIA</w:t>
      </w:r>
    </w:p>
    <w:p w:rsidR="00D3465D" w:rsidRDefault="00D3465D" w:rsidP="00D3465D">
      <w:pPr>
        <w:pStyle w:val="ListParagraph"/>
        <w:rPr>
          <w:b/>
          <w:sz w:val="22"/>
          <w:lang w:val="pl-PL"/>
        </w:rPr>
      </w:pPr>
    </w:p>
    <w:p w:rsidR="0094588D" w:rsidRDefault="0094588D" w:rsidP="0094588D">
      <w:pPr>
        <w:numPr>
          <w:ilvl w:val="12"/>
          <w:numId w:val="0"/>
        </w:numPr>
        <w:rPr>
          <w:sz w:val="22"/>
          <w:lang w:val="pl-PL"/>
        </w:rPr>
      </w:pPr>
      <w:r>
        <w:rPr>
          <w:sz w:val="22"/>
          <w:lang w:val="pl-PL"/>
        </w:rPr>
        <w:t xml:space="preserve">Produkt leczniczy wydawany </w:t>
      </w:r>
      <w:r w:rsidR="005F022B">
        <w:rPr>
          <w:sz w:val="22"/>
          <w:lang w:val="pl-PL"/>
        </w:rPr>
        <w:t>z</w:t>
      </w:r>
      <w:r w:rsidR="004611A0">
        <w:rPr>
          <w:sz w:val="22"/>
          <w:lang w:val="pl-PL"/>
        </w:rPr>
        <w:t xml:space="preserve"> przepisu lekarza</w:t>
      </w:r>
      <w:r>
        <w:rPr>
          <w:sz w:val="22"/>
          <w:lang w:val="pl-PL"/>
        </w:rPr>
        <w:t>.</w:t>
      </w:r>
    </w:p>
    <w:p w:rsidR="0094588D" w:rsidRDefault="0094588D" w:rsidP="0094588D">
      <w:pPr>
        <w:rPr>
          <w:sz w:val="22"/>
          <w:lang w:val="pl-PL"/>
        </w:rPr>
      </w:pPr>
    </w:p>
    <w:p w:rsidR="0076493D" w:rsidRDefault="0076493D" w:rsidP="0094588D">
      <w:pPr>
        <w:rPr>
          <w:sz w:val="22"/>
          <w:lang w:val="pl-PL"/>
        </w:rPr>
      </w:pPr>
    </w:p>
    <w:p w:rsidR="004A48E6" w:rsidRDefault="004A48E6" w:rsidP="00A64B0E">
      <w:pPr>
        <w:ind w:right="1416"/>
        <w:rPr>
          <w:sz w:val="22"/>
          <w:lang w:val="pl-PL"/>
        </w:rPr>
      </w:pPr>
      <w:r>
        <w:rPr>
          <w:b/>
          <w:sz w:val="22"/>
          <w:lang w:val="pl-PL"/>
        </w:rPr>
        <w:t>C</w:t>
      </w:r>
      <w:r w:rsidRPr="00D3465D">
        <w:rPr>
          <w:b/>
          <w:sz w:val="22"/>
          <w:lang w:val="pl-PL"/>
        </w:rPr>
        <w:t>.</w:t>
      </w:r>
      <w:r w:rsidRPr="00D3465D">
        <w:rPr>
          <w:b/>
          <w:sz w:val="22"/>
          <w:lang w:val="pl-PL"/>
        </w:rPr>
        <w:tab/>
      </w:r>
      <w:r>
        <w:rPr>
          <w:b/>
          <w:sz w:val="22"/>
          <w:lang w:val="pl-PL"/>
        </w:rPr>
        <w:t>INNE WARUNKI I WYMAGANIA DOTYCZĄCE</w:t>
      </w:r>
      <w:r w:rsidRPr="0045271A">
        <w:rPr>
          <w:b/>
          <w:sz w:val="22"/>
          <w:lang w:val="pl-PL"/>
        </w:rPr>
        <w:t xml:space="preserve"> </w:t>
      </w:r>
      <w:r>
        <w:rPr>
          <w:b/>
          <w:sz w:val="22"/>
          <w:lang w:val="pl-PL"/>
        </w:rPr>
        <w:t xml:space="preserve">DOPUSZCZENIA </w:t>
      </w:r>
      <w:r w:rsidR="008E5E30">
        <w:rPr>
          <w:b/>
          <w:sz w:val="22"/>
          <w:lang w:val="pl-PL"/>
        </w:rPr>
        <w:tab/>
      </w:r>
      <w:r>
        <w:rPr>
          <w:b/>
          <w:sz w:val="22"/>
          <w:lang w:val="pl-PL"/>
        </w:rPr>
        <w:t>DO OBROTU</w:t>
      </w:r>
    </w:p>
    <w:p w:rsidR="00D3465D" w:rsidRPr="0052135C" w:rsidRDefault="00D3465D" w:rsidP="0094588D">
      <w:pPr>
        <w:rPr>
          <w:sz w:val="22"/>
          <w:szCs w:val="22"/>
          <w:lang w:val="pl-PL"/>
        </w:rPr>
      </w:pPr>
    </w:p>
    <w:p w:rsidR="007A7594" w:rsidRPr="00A64B0E" w:rsidRDefault="007A7594" w:rsidP="007A7594">
      <w:pPr>
        <w:numPr>
          <w:ilvl w:val="0"/>
          <w:numId w:val="44"/>
        </w:numPr>
        <w:suppressLineNumbers/>
        <w:tabs>
          <w:tab w:val="left" w:pos="567"/>
        </w:tabs>
        <w:spacing w:line="260" w:lineRule="exact"/>
        <w:ind w:right="-1" w:hanging="720"/>
        <w:rPr>
          <w:b/>
          <w:sz w:val="22"/>
          <w:szCs w:val="22"/>
          <w:lang w:val="pl-PL"/>
        </w:rPr>
      </w:pPr>
      <w:r w:rsidRPr="00A64B0E">
        <w:rPr>
          <w:b/>
          <w:sz w:val="22"/>
          <w:szCs w:val="22"/>
          <w:lang w:val="pl-PL"/>
        </w:rPr>
        <w:t>Okresowy raport o bezpieczeństwie (PSUR)</w:t>
      </w:r>
    </w:p>
    <w:p w:rsidR="007A7594" w:rsidRPr="00A64B0E" w:rsidRDefault="007A7594" w:rsidP="007A7594">
      <w:pPr>
        <w:ind w:right="-1"/>
        <w:rPr>
          <w:i/>
          <w:iCs/>
          <w:noProof/>
          <w:sz w:val="22"/>
          <w:szCs w:val="22"/>
          <w:lang w:val="pl-PL"/>
        </w:rPr>
      </w:pPr>
    </w:p>
    <w:p w:rsidR="007A7594" w:rsidRPr="00A64B0E" w:rsidRDefault="007A7594" w:rsidP="007A7594">
      <w:pPr>
        <w:ind w:right="-1"/>
        <w:rPr>
          <w:sz w:val="22"/>
          <w:szCs w:val="22"/>
          <w:lang w:val="pl-PL"/>
        </w:rPr>
      </w:pPr>
      <w:r w:rsidRPr="00A64B0E">
        <w:rPr>
          <w:sz w:val="22"/>
          <w:szCs w:val="22"/>
          <w:lang w:val="pl-PL"/>
        </w:rPr>
        <w:t xml:space="preserve">Podmiot odpowiedzialny </w:t>
      </w:r>
      <w:r w:rsidR="008E5E30" w:rsidRPr="00A64B0E">
        <w:rPr>
          <w:sz w:val="22"/>
          <w:szCs w:val="22"/>
          <w:lang w:val="pl-PL"/>
        </w:rPr>
        <w:t xml:space="preserve">przedłoży </w:t>
      </w:r>
      <w:r w:rsidRPr="00A64B0E">
        <w:rPr>
          <w:sz w:val="22"/>
          <w:szCs w:val="22"/>
          <w:lang w:val="pl-PL"/>
        </w:rPr>
        <w:t>okresow</w:t>
      </w:r>
      <w:r w:rsidR="008E5E30" w:rsidRPr="00A64B0E">
        <w:rPr>
          <w:sz w:val="22"/>
          <w:szCs w:val="22"/>
          <w:lang w:val="pl-PL"/>
        </w:rPr>
        <w:t>e</w:t>
      </w:r>
      <w:r w:rsidRPr="00A64B0E">
        <w:rPr>
          <w:sz w:val="22"/>
          <w:szCs w:val="22"/>
          <w:lang w:val="pl-PL"/>
        </w:rPr>
        <w:t xml:space="preserve"> raport</w:t>
      </w:r>
      <w:r w:rsidR="008E5E30" w:rsidRPr="00A64B0E">
        <w:rPr>
          <w:sz w:val="22"/>
          <w:szCs w:val="22"/>
          <w:lang w:val="pl-PL"/>
        </w:rPr>
        <w:t>y</w:t>
      </w:r>
      <w:r w:rsidRPr="00A64B0E">
        <w:rPr>
          <w:sz w:val="22"/>
          <w:szCs w:val="22"/>
          <w:lang w:val="pl-PL"/>
        </w:rPr>
        <w:t xml:space="preserve"> o</w:t>
      </w:r>
      <w:r w:rsidRPr="00A64B0E">
        <w:rPr>
          <w:b/>
          <w:sz w:val="22"/>
          <w:szCs w:val="22"/>
          <w:lang w:val="pl-PL"/>
        </w:rPr>
        <w:t xml:space="preserve"> </w:t>
      </w:r>
      <w:r w:rsidRPr="00A64B0E">
        <w:rPr>
          <w:sz w:val="22"/>
          <w:szCs w:val="22"/>
          <w:lang w:val="pl-PL"/>
        </w:rPr>
        <w:t xml:space="preserve">bezpieczeństwie stosowania </w:t>
      </w:r>
      <w:r w:rsidR="007D1764" w:rsidRPr="00A64B0E">
        <w:rPr>
          <w:sz w:val="22"/>
          <w:szCs w:val="22"/>
          <w:lang w:val="pl-PL"/>
        </w:rPr>
        <w:t>t</w:t>
      </w:r>
      <w:r w:rsidR="008E5E30" w:rsidRPr="00A64B0E">
        <w:rPr>
          <w:sz w:val="22"/>
          <w:szCs w:val="22"/>
          <w:lang w:val="pl-PL"/>
        </w:rPr>
        <w:t xml:space="preserve">ych </w:t>
      </w:r>
      <w:r w:rsidRPr="00A64B0E">
        <w:rPr>
          <w:sz w:val="22"/>
          <w:szCs w:val="22"/>
          <w:lang w:val="pl-PL"/>
        </w:rPr>
        <w:t>produkt</w:t>
      </w:r>
      <w:r w:rsidR="008E5E30" w:rsidRPr="00A64B0E">
        <w:rPr>
          <w:sz w:val="22"/>
          <w:szCs w:val="22"/>
          <w:lang w:val="pl-PL"/>
        </w:rPr>
        <w:t>ów</w:t>
      </w:r>
      <w:r w:rsidRPr="00A64B0E">
        <w:rPr>
          <w:sz w:val="22"/>
          <w:szCs w:val="22"/>
          <w:lang w:val="pl-PL"/>
        </w:rPr>
        <w:t xml:space="preserve"> zgodnie z wymogami określonymi w wykazie unijnych dat referencyjnych o który</w:t>
      </w:r>
      <w:r w:rsidR="00E96F75" w:rsidRPr="00A64B0E">
        <w:rPr>
          <w:sz w:val="22"/>
          <w:szCs w:val="22"/>
          <w:lang w:val="pl-PL"/>
        </w:rPr>
        <w:t>ch</w:t>
      </w:r>
      <w:r w:rsidRPr="00A64B0E">
        <w:rPr>
          <w:sz w:val="22"/>
          <w:szCs w:val="22"/>
          <w:lang w:val="pl-PL"/>
        </w:rPr>
        <w:t xml:space="preserve"> mowa w art. 107c ust. 7 dyrektywy 2001/83/WE i który jest ogłaszany na europejskiej stronie internetowej dotyczącej leków.</w:t>
      </w:r>
    </w:p>
    <w:p w:rsidR="007A7594" w:rsidRDefault="007A7594" w:rsidP="007A7594">
      <w:pPr>
        <w:ind w:right="-1"/>
        <w:rPr>
          <w:i/>
          <w:iCs/>
          <w:noProof/>
          <w:lang w:val="pl-PL"/>
        </w:rPr>
      </w:pPr>
    </w:p>
    <w:p w:rsidR="0094588D" w:rsidRPr="0007481B" w:rsidRDefault="003E4C94" w:rsidP="00CA403E">
      <w:pPr>
        <w:keepNext/>
        <w:ind w:left="705" w:hanging="705"/>
        <w:rPr>
          <w:noProof/>
          <w:sz w:val="22"/>
          <w:szCs w:val="22"/>
          <w:lang w:val="pl-PL"/>
        </w:rPr>
      </w:pPr>
      <w:r>
        <w:rPr>
          <w:b/>
          <w:sz w:val="22"/>
          <w:lang w:val="pl-PL"/>
        </w:rPr>
        <w:t>D</w:t>
      </w:r>
      <w:r w:rsidR="007D1764" w:rsidRPr="00D3465D">
        <w:rPr>
          <w:b/>
          <w:sz w:val="22"/>
          <w:lang w:val="pl-PL"/>
        </w:rPr>
        <w:t>.</w:t>
      </w:r>
      <w:r w:rsidR="007D1764" w:rsidRPr="00D3465D">
        <w:rPr>
          <w:b/>
          <w:sz w:val="22"/>
          <w:lang w:val="pl-PL"/>
        </w:rPr>
        <w:tab/>
      </w:r>
      <w:r w:rsidR="0094588D" w:rsidRPr="0007481B">
        <w:rPr>
          <w:b/>
          <w:noProof/>
          <w:sz w:val="22"/>
          <w:szCs w:val="22"/>
          <w:lang w:val="pl-PL"/>
        </w:rPr>
        <w:t xml:space="preserve">WARUNKI LUB OGRANICZENIA DOTYCZĄCE BEZPIECZNEGO </w:t>
      </w:r>
      <w:r w:rsidR="00170BA6">
        <w:rPr>
          <w:b/>
          <w:noProof/>
          <w:sz w:val="22"/>
          <w:szCs w:val="22"/>
          <w:lang w:val="pl-PL"/>
        </w:rPr>
        <w:t xml:space="preserve">I </w:t>
      </w:r>
      <w:r w:rsidR="0094588D" w:rsidRPr="0007481B">
        <w:rPr>
          <w:b/>
          <w:noProof/>
          <w:sz w:val="22"/>
          <w:szCs w:val="22"/>
          <w:lang w:val="pl-PL"/>
        </w:rPr>
        <w:t xml:space="preserve">SKUTECZNEGO  STOSOWANIA PRODUKTU LECZNICZEGO </w:t>
      </w:r>
    </w:p>
    <w:p w:rsidR="0094588D" w:rsidRPr="00022436" w:rsidRDefault="0094588D" w:rsidP="00CA403E">
      <w:pPr>
        <w:keepNext/>
        <w:rPr>
          <w:sz w:val="22"/>
          <w:lang w:val="pl-PL"/>
        </w:rPr>
      </w:pPr>
    </w:p>
    <w:p w:rsidR="003E4C94" w:rsidRPr="003E4C94" w:rsidRDefault="003E4C94" w:rsidP="00CA403E">
      <w:pPr>
        <w:keepNext/>
        <w:ind w:right="-1"/>
        <w:rPr>
          <w:b/>
          <w:bCs/>
          <w:sz w:val="24"/>
          <w:szCs w:val="24"/>
          <w:lang w:val="pl-PL"/>
        </w:rPr>
      </w:pPr>
      <w:r w:rsidRPr="003E4C94">
        <w:rPr>
          <w:b/>
          <w:bCs/>
          <w:sz w:val="24"/>
          <w:szCs w:val="24"/>
          <w:lang w:val="pl-PL"/>
        </w:rPr>
        <w:t>•</w:t>
      </w:r>
      <w:r w:rsidRPr="003E4C94">
        <w:rPr>
          <w:b/>
          <w:bCs/>
          <w:sz w:val="24"/>
          <w:szCs w:val="24"/>
          <w:lang w:val="pl-PL"/>
        </w:rPr>
        <w:tab/>
      </w:r>
      <w:r w:rsidRPr="00A64B0E">
        <w:rPr>
          <w:b/>
          <w:bCs/>
          <w:sz w:val="22"/>
          <w:szCs w:val="22"/>
          <w:lang w:val="pl-PL"/>
        </w:rPr>
        <w:t>Plan Zarządzania Ryzykiem (</w:t>
      </w:r>
      <w:r w:rsidR="002D096E">
        <w:rPr>
          <w:b/>
          <w:bCs/>
          <w:sz w:val="22"/>
          <w:szCs w:val="22"/>
          <w:lang w:val="pl-PL"/>
        </w:rPr>
        <w:t xml:space="preserve">ang. Risk Management Plan, </w:t>
      </w:r>
      <w:r w:rsidRPr="00A64B0E">
        <w:rPr>
          <w:b/>
          <w:bCs/>
          <w:sz w:val="22"/>
          <w:szCs w:val="22"/>
          <w:lang w:val="pl-PL"/>
        </w:rPr>
        <w:t>RMP)</w:t>
      </w:r>
    </w:p>
    <w:p w:rsidR="003E4C94" w:rsidRDefault="003E4C94" w:rsidP="00CA403E">
      <w:pPr>
        <w:keepNext/>
        <w:ind w:right="-1"/>
        <w:rPr>
          <w:bCs/>
          <w:sz w:val="22"/>
          <w:lang w:val="pl-PL"/>
        </w:rPr>
      </w:pPr>
    </w:p>
    <w:p w:rsidR="0094588D" w:rsidRDefault="0094588D" w:rsidP="00CA403E">
      <w:pPr>
        <w:keepNext/>
        <w:ind w:right="-1"/>
        <w:rPr>
          <w:bCs/>
          <w:sz w:val="22"/>
          <w:lang w:val="pl-PL"/>
        </w:rPr>
      </w:pPr>
      <w:r>
        <w:rPr>
          <w:bCs/>
          <w:sz w:val="22"/>
          <w:lang w:val="pl-PL"/>
        </w:rPr>
        <w:t>Nie dotyczy</w:t>
      </w:r>
    </w:p>
    <w:p w:rsidR="0094588D" w:rsidRDefault="0094588D" w:rsidP="0094588D">
      <w:pPr>
        <w:ind w:right="-1"/>
        <w:rPr>
          <w:bCs/>
          <w:sz w:val="22"/>
          <w:lang w:val="pl-PL"/>
        </w:rPr>
      </w:pPr>
    </w:p>
    <w:p w:rsidR="0094588D" w:rsidRDefault="0094588D" w:rsidP="0094588D">
      <w:pPr>
        <w:ind w:right="-1"/>
        <w:rPr>
          <w:sz w:val="22"/>
          <w:lang w:val="pl-PL"/>
        </w:rPr>
      </w:pPr>
    </w:p>
    <w:p w:rsidR="00BC4936" w:rsidRDefault="00BC4936">
      <w:pPr>
        <w:ind w:right="-1"/>
        <w:rPr>
          <w:sz w:val="22"/>
          <w:lang w:val="pl-PL"/>
        </w:rPr>
      </w:pPr>
    </w:p>
    <w:p w:rsidR="00BC4936" w:rsidRDefault="00CA403E">
      <w:pPr>
        <w:rPr>
          <w:sz w:val="22"/>
          <w:lang w:val="pl-PL"/>
        </w:rPr>
      </w:pPr>
      <w:r>
        <w:rPr>
          <w:sz w:val="22"/>
          <w:lang w:val="pl-PL"/>
        </w:rPr>
        <w:br w:type="page"/>
      </w: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rPr>
          <w:b w:val="0"/>
        </w:rPr>
      </w:pPr>
    </w:p>
    <w:p w:rsidR="00BC4936" w:rsidRPr="00FA57BA"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ind w:left="0" w:firstLine="0"/>
        <w:rPr>
          <w:b w:val="0"/>
        </w:rPr>
      </w:pPr>
    </w:p>
    <w:p w:rsidR="00493E7C" w:rsidRDefault="00493E7C">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ind w:left="0" w:firstLine="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ind w:left="0" w:firstLine="0"/>
        <w:jc w:val="center"/>
      </w:pPr>
      <w:r>
        <w:t>ANEKS III</w:t>
      </w: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ind w:left="0" w:firstLine="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r>
        <w:t>OZNAKOWANIE OPAKOWAŃ I ULOTKA DLA PACJENTA</w:t>
      </w: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r>
        <w:br w:type="page"/>
      </w: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BC4936" w:rsidRDefault="001875D1" w:rsidP="001875D1">
      <w:pPr>
        <w:pStyle w:val="EMEA1"/>
      </w:pPr>
      <w:r>
        <w:t xml:space="preserve">A. </w:t>
      </w:r>
      <w:r w:rsidR="00BC4936">
        <w:t>OZNAKOWANIE OPAKOWAŃ</w:t>
      </w:r>
    </w:p>
    <w:p w:rsidR="00BC4936"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r>
        <w:br w:type="page"/>
      </w:r>
    </w:p>
    <w:p w:rsidR="00BC4936" w:rsidRDefault="00BC4936">
      <w:pPr>
        <w:pStyle w:val="BodyTextIndent3"/>
        <w:ind w:left="0"/>
      </w:pPr>
      <w:r>
        <w:t>INFORMACJE ZAMIESZCZANE NA OPAKOWANIACH ZEWNĘTRZNYCH</w:t>
      </w:r>
    </w:p>
    <w:p w:rsidR="00BC4936" w:rsidRDefault="00BC4936">
      <w:pPr>
        <w:pBdr>
          <w:top w:val="single" w:sz="4" w:space="1" w:color="auto"/>
          <w:left w:val="single" w:sz="4" w:space="4" w:color="auto"/>
          <w:bottom w:val="single" w:sz="4" w:space="1" w:color="auto"/>
          <w:right w:val="single" w:sz="4" w:space="4" w:color="auto"/>
        </w:pBdr>
        <w:rPr>
          <w:b/>
          <w:sz w:val="22"/>
          <w:lang w:val="pl-PL"/>
        </w:rPr>
      </w:pPr>
    </w:p>
    <w:p w:rsidR="00BC4936" w:rsidRDefault="00084C8F">
      <w:pPr>
        <w:pStyle w:val="Heading6"/>
        <w:rPr>
          <w:b w:val="0"/>
        </w:rPr>
      </w:pPr>
      <w:r>
        <w:t>OPAKOWANIE ZEWNĘTRZNE</w:t>
      </w:r>
    </w:p>
    <w:p w:rsidR="00BC4936" w:rsidRPr="00022436" w:rsidRDefault="00BC4936">
      <w:pPr>
        <w:rPr>
          <w:sz w:val="22"/>
          <w:lang w:val="pl-PL"/>
        </w:rPr>
      </w:pPr>
    </w:p>
    <w:p w:rsidR="00BC4936" w:rsidRPr="00022436" w:rsidRDefault="00BC4936">
      <w:pPr>
        <w:rPr>
          <w:sz w:val="22"/>
          <w:lang w:val="pl-PL"/>
        </w:rPr>
      </w:pPr>
    </w:p>
    <w:p w:rsidR="00BC4936" w:rsidRDefault="00BC4936">
      <w:pPr>
        <w:numPr>
          <w:ilvl w:val="0"/>
          <w:numId w:val="22"/>
        </w:numPr>
        <w:pBdr>
          <w:top w:val="single" w:sz="4" w:space="1" w:color="auto"/>
          <w:left w:val="single" w:sz="4" w:space="4" w:color="auto"/>
          <w:bottom w:val="single" w:sz="4" w:space="1" w:color="auto"/>
          <w:right w:val="single" w:sz="4" w:space="4" w:color="auto"/>
        </w:pBdr>
        <w:tabs>
          <w:tab w:val="clear" w:pos="1137"/>
          <w:tab w:val="left" w:pos="540"/>
        </w:tabs>
        <w:ind w:left="0" w:firstLine="0"/>
        <w:rPr>
          <w:b/>
          <w:sz w:val="22"/>
          <w:lang w:val="pl-PL"/>
        </w:rPr>
      </w:pPr>
      <w:r>
        <w:rPr>
          <w:b/>
          <w:sz w:val="22"/>
          <w:lang w:val="pl-PL"/>
        </w:rPr>
        <w:t>NAZWA PRODUKTU LECZNICZEGO</w:t>
      </w:r>
    </w:p>
    <w:p w:rsidR="00BC4936" w:rsidRPr="00022436" w:rsidRDefault="00BC4936">
      <w:pPr>
        <w:rPr>
          <w:sz w:val="22"/>
          <w:lang w:val="pl-PL"/>
        </w:rPr>
      </w:pPr>
    </w:p>
    <w:p w:rsidR="00BC4936" w:rsidRDefault="00B04330">
      <w:pPr>
        <w:rPr>
          <w:sz w:val="22"/>
          <w:lang w:val="pl-PL"/>
        </w:rPr>
      </w:pPr>
      <w:r>
        <w:rPr>
          <w:sz w:val="22"/>
          <w:lang w:val="pl-PL"/>
        </w:rPr>
        <w:t>Plavix</w:t>
      </w:r>
      <w:r w:rsidR="00BC4936">
        <w:rPr>
          <w:sz w:val="22"/>
          <w:lang w:val="pl-PL"/>
        </w:rPr>
        <w:t xml:space="preserve"> 75 mg tabletki powlekane</w:t>
      </w:r>
    </w:p>
    <w:p w:rsidR="00BC4936" w:rsidRDefault="00586D72">
      <w:pPr>
        <w:rPr>
          <w:sz w:val="22"/>
          <w:lang w:val="pl-PL"/>
        </w:rPr>
      </w:pPr>
      <w:r>
        <w:rPr>
          <w:sz w:val="22"/>
          <w:lang w:val="pl-PL"/>
        </w:rPr>
        <w:t>k</w:t>
      </w:r>
      <w:r w:rsidR="00BC4936">
        <w:rPr>
          <w:sz w:val="22"/>
          <w:lang w:val="pl-PL"/>
        </w:rPr>
        <w:t>lopidogrel</w:t>
      </w:r>
    </w:p>
    <w:p w:rsidR="00BC4936" w:rsidRDefault="00BC4936">
      <w:pPr>
        <w:rPr>
          <w:sz w:val="22"/>
          <w:lang w:val="pl-PL"/>
        </w:rPr>
      </w:pPr>
    </w:p>
    <w:p w:rsidR="00BC4936" w:rsidRDefault="00BC4936">
      <w:pPr>
        <w:rPr>
          <w:sz w:val="22"/>
          <w:lang w:val="pl-PL"/>
        </w:rPr>
      </w:pPr>
    </w:p>
    <w:p w:rsidR="00BC4936" w:rsidRDefault="00BC4936">
      <w:pPr>
        <w:numPr>
          <w:ilvl w:val="0"/>
          <w:numId w:val="22"/>
        </w:numPr>
        <w:pBdr>
          <w:top w:val="single" w:sz="4" w:space="1" w:color="auto"/>
          <w:left w:val="single" w:sz="4" w:space="4" w:color="auto"/>
          <w:bottom w:val="single" w:sz="4" w:space="1" w:color="auto"/>
          <w:right w:val="single" w:sz="4" w:space="4" w:color="auto"/>
        </w:pBdr>
        <w:tabs>
          <w:tab w:val="clear" w:pos="1137"/>
          <w:tab w:val="num" w:pos="0"/>
          <w:tab w:val="left" w:pos="540"/>
        </w:tabs>
        <w:ind w:left="0" w:firstLine="0"/>
        <w:rPr>
          <w:b/>
          <w:sz w:val="22"/>
          <w:lang w:val="pl-PL"/>
        </w:rPr>
      </w:pPr>
      <w:r>
        <w:rPr>
          <w:b/>
          <w:sz w:val="22"/>
          <w:lang w:val="pl-PL"/>
        </w:rPr>
        <w:t>ZAWARTOŚĆ SUBSTANCJI CZYNNEJ</w:t>
      </w:r>
    </w:p>
    <w:p w:rsidR="00BC4936" w:rsidRPr="00022436" w:rsidRDefault="00BC4936">
      <w:pPr>
        <w:rPr>
          <w:sz w:val="22"/>
          <w:lang w:val="pl-PL"/>
        </w:rPr>
      </w:pPr>
    </w:p>
    <w:p w:rsidR="00BC4936" w:rsidRDefault="00B17CA0" w:rsidP="00B17CA0">
      <w:pPr>
        <w:pStyle w:val="BodyText3"/>
        <w:tabs>
          <w:tab w:val="clear" w:pos="567"/>
        </w:tabs>
        <w:rPr>
          <w:lang w:val="pl-PL"/>
        </w:rPr>
      </w:pPr>
      <w:r>
        <w:rPr>
          <w:lang w:val="pl-PL"/>
        </w:rPr>
        <w:t xml:space="preserve">Każda tabletka zawiera </w:t>
      </w:r>
      <w:r w:rsidR="00BC4936">
        <w:rPr>
          <w:lang w:val="pl-PL"/>
        </w:rPr>
        <w:t xml:space="preserve">75 mg klopidogrelu </w:t>
      </w:r>
      <w:r w:rsidR="00317A81">
        <w:rPr>
          <w:lang w:val="pl-PL"/>
        </w:rPr>
        <w:t>(</w:t>
      </w:r>
      <w:r w:rsidR="00BC4936">
        <w:rPr>
          <w:lang w:val="pl-PL"/>
        </w:rPr>
        <w:t>w post</w:t>
      </w:r>
      <w:r w:rsidR="00217A52">
        <w:rPr>
          <w:lang w:val="pl-PL"/>
        </w:rPr>
        <w:t>aci wodorosiarczanu</w:t>
      </w:r>
      <w:r w:rsidR="00317A81">
        <w:rPr>
          <w:lang w:val="pl-PL"/>
        </w:rPr>
        <w:t>)</w:t>
      </w:r>
      <w:r w:rsidR="00BC4936">
        <w:rPr>
          <w:lang w:val="pl-PL"/>
        </w:rPr>
        <w:t xml:space="preserve">. </w:t>
      </w:r>
    </w:p>
    <w:p w:rsidR="00BC4936" w:rsidRDefault="00BC4936">
      <w:pPr>
        <w:rPr>
          <w:sz w:val="22"/>
          <w:lang w:val="pl-PL"/>
        </w:rPr>
      </w:pPr>
    </w:p>
    <w:p w:rsidR="00BC4936" w:rsidRDefault="00BC4936">
      <w:pPr>
        <w:rPr>
          <w:sz w:val="22"/>
          <w:lang w:val="pl-PL"/>
        </w:rPr>
      </w:pPr>
    </w:p>
    <w:p w:rsidR="00BC4936" w:rsidRDefault="00BC4936">
      <w:pPr>
        <w:numPr>
          <w:ilvl w:val="0"/>
          <w:numId w:val="22"/>
        </w:numPr>
        <w:pBdr>
          <w:top w:val="single" w:sz="4" w:space="1" w:color="auto"/>
          <w:left w:val="single" w:sz="4" w:space="4" w:color="auto"/>
          <w:bottom w:val="single" w:sz="4" w:space="1" w:color="auto"/>
          <w:right w:val="single" w:sz="4" w:space="4" w:color="auto"/>
        </w:pBdr>
        <w:tabs>
          <w:tab w:val="clear" w:pos="1137"/>
          <w:tab w:val="num" w:pos="0"/>
          <w:tab w:val="left" w:pos="540"/>
        </w:tabs>
        <w:ind w:left="0" w:firstLine="0"/>
        <w:rPr>
          <w:b/>
          <w:sz w:val="22"/>
          <w:lang w:val="pl-PL"/>
        </w:rPr>
      </w:pPr>
      <w:r>
        <w:rPr>
          <w:b/>
          <w:sz w:val="22"/>
          <w:lang w:val="pl-PL"/>
        </w:rPr>
        <w:t>WYKAZ SUBSTANCJI POMOCNICZYCH</w:t>
      </w:r>
    </w:p>
    <w:p w:rsidR="00BC4936" w:rsidRDefault="00BC4936">
      <w:pPr>
        <w:tabs>
          <w:tab w:val="left" w:pos="540"/>
        </w:tabs>
        <w:rPr>
          <w:b/>
          <w:sz w:val="22"/>
          <w:lang w:val="pl-PL"/>
        </w:rPr>
      </w:pPr>
    </w:p>
    <w:p w:rsidR="00317A81" w:rsidRDefault="00BC4936" w:rsidP="00317A81">
      <w:pPr>
        <w:tabs>
          <w:tab w:val="left" w:pos="540"/>
        </w:tabs>
        <w:rPr>
          <w:sz w:val="22"/>
          <w:lang w:val="pl-PL"/>
        </w:rPr>
      </w:pPr>
      <w:r>
        <w:rPr>
          <w:sz w:val="22"/>
          <w:lang w:val="pl-PL"/>
        </w:rPr>
        <w:t xml:space="preserve">Zawiera także </w:t>
      </w:r>
      <w:r w:rsidR="007107D9">
        <w:rPr>
          <w:sz w:val="22"/>
          <w:lang w:val="pl-PL"/>
        </w:rPr>
        <w:t xml:space="preserve">olej rycynowy </w:t>
      </w:r>
      <w:r w:rsidR="00784255">
        <w:rPr>
          <w:sz w:val="22"/>
          <w:lang w:val="pl-PL"/>
        </w:rPr>
        <w:t xml:space="preserve">uwodorniony i </w:t>
      </w:r>
      <w:r>
        <w:rPr>
          <w:sz w:val="22"/>
          <w:lang w:val="pl-PL"/>
        </w:rPr>
        <w:t>laktoz</w:t>
      </w:r>
      <w:r w:rsidR="00784255">
        <w:rPr>
          <w:sz w:val="22"/>
          <w:lang w:val="pl-PL"/>
        </w:rPr>
        <w:t>ę</w:t>
      </w:r>
      <w:r w:rsidR="00815855">
        <w:rPr>
          <w:sz w:val="22"/>
          <w:lang w:val="pl-PL"/>
        </w:rPr>
        <w:t>.</w:t>
      </w:r>
      <w:r w:rsidR="00317A81">
        <w:rPr>
          <w:sz w:val="22"/>
          <w:lang w:val="pl-PL"/>
        </w:rPr>
        <w:t xml:space="preserve"> </w:t>
      </w:r>
      <w:r w:rsidR="0052135C">
        <w:rPr>
          <w:sz w:val="22"/>
          <w:lang w:val="pl-PL"/>
        </w:rPr>
        <w:t xml:space="preserve">Szczegółowe informacje znajdują się w </w:t>
      </w:r>
      <w:r w:rsidR="00317A81">
        <w:rPr>
          <w:sz w:val="22"/>
          <w:lang w:val="pl-PL"/>
        </w:rPr>
        <w:t>ulot</w:t>
      </w:r>
      <w:r w:rsidR="0052135C">
        <w:rPr>
          <w:sz w:val="22"/>
          <w:lang w:val="pl-PL"/>
        </w:rPr>
        <w:t>ce.</w:t>
      </w:r>
    </w:p>
    <w:p w:rsidR="00BC4936" w:rsidRDefault="00BC4936" w:rsidP="00A333E3">
      <w:pPr>
        <w:tabs>
          <w:tab w:val="left" w:pos="540"/>
        </w:tabs>
        <w:rPr>
          <w:sz w:val="22"/>
          <w:lang w:val="pl-PL"/>
        </w:rPr>
      </w:pPr>
    </w:p>
    <w:p w:rsidR="00BC4936" w:rsidRDefault="00BC4936">
      <w:pPr>
        <w:tabs>
          <w:tab w:val="left" w:pos="540"/>
        </w:tabs>
        <w:rPr>
          <w:sz w:val="22"/>
          <w:lang w:val="pl-PL"/>
        </w:rPr>
      </w:pPr>
    </w:p>
    <w:p w:rsidR="00BC4936" w:rsidRDefault="00BC4936">
      <w:pPr>
        <w:pBdr>
          <w:top w:val="single" w:sz="4" w:space="1" w:color="auto"/>
          <w:left w:val="single" w:sz="4" w:space="4" w:color="auto"/>
          <w:bottom w:val="single" w:sz="4" w:space="1" w:color="auto"/>
          <w:right w:val="single" w:sz="4" w:space="4" w:color="auto"/>
        </w:pBdr>
        <w:tabs>
          <w:tab w:val="left" w:pos="540"/>
        </w:tabs>
        <w:rPr>
          <w:b/>
          <w:sz w:val="22"/>
          <w:lang w:val="pl-PL"/>
        </w:rPr>
      </w:pPr>
      <w:r>
        <w:rPr>
          <w:b/>
          <w:sz w:val="22"/>
          <w:lang w:val="pl-PL"/>
        </w:rPr>
        <w:t>4.</w:t>
      </w:r>
      <w:r>
        <w:rPr>
          <w:b/>
          <w:sz w:val="22"/>
          <w:lang w:val="pl-PL"/>
        </w:rPr>
        <w:tab/>
        <w:t>POSTAĆ FARMACEUTYCZNA I ZAWARTOŚĆ OPAKOWANIA</w:t>
      </w:r>
    </w:p>
    <w:p w:rsidR="00BC4936" w:rsidRDefault="00BC4936">
      <w:pPr>
        <w:tabs>
          <w:tab w:val="left" w:pos="540"/>
        </w:tabs>
        <w:rPr>
          <w:sz w:val="22"/>
          <w:lang w:val="pl-PL"/>
        </w:rPr>
      </w:pPr>
    </w:p>
    <w:p w:rsidR="00BC4936" w:rsidRDefault="00BC4936">
      <w:pPr>
        <w:pStyle w:val="BodyText3"/>
        <w:tabs>
          <w:tab w:val="clear" w:pos="567"/>
          <w:tab w:val="left" w:pos="540"/>
        </w:tabs>
        <w:rPr>
          <w:lang w:val="pl-PL"/>
        </w:rPr>
      </w:pPr>
      <w:r>
        <w:rPr>
          <w:lang w:val="pl-PL"/>
        </w:rPr>
        <w:t>28 tabletek powlekanych</w:t>
      </w:r>
    </w:p>
    <w:p w:rsidR="00BC4936" w:rsidRPr="00AE05B3" w:rsidRDefault="00195344">
      <w:pPr>
        <w:pStyle w:val="BodyText3"/>
        <w:tabs>
          <w:tab w:val="clear" w:pos="567"/>
          <w:tab w:val="left" w:pos="540"/>
        </w:tabs>
        <w:rPr>
          <w:highlight w:val="lightGray"/>
          <w:lang w:val="pl-PL"/>
        </w:rPr>
      </w:pPr>
      <w:r w:rsidRPr="00AE05B3">
        <w:rPr>
          <w:highlight w:val="lightGray"/>
          <w:lang w:val="pl-PL"/>
        </w:rPr>
        <w:t>30</w:t>
      </w:r>
      <w:r w:rsidR="00BC4936" w:rsidRPr="00AE05B3">
        <w:rPr>
          <w:highlight w:val="lightGray"/>
          <w:lang w:val="pl-PL"/>
        </w:rPr>
        <w:t xml:space="preserve"> tabletek powlekanych</w:t>
      </w:r>
    </w:p>
    <w:p w:rsidR="00BC4936" w:rsidRPr="00AE05B3" w:rsidRDefault="00195344">
      <w:pPr>
        <w:pStyle w:val="BodyText3"/>
        <w:tabs>
          <w:tab w:val="clear" w:pos="567"/>
          <w:tab w:val="left" w:pos="540"/>
        </w:tabs>
        <w:rPr>
          <w:highlight w:val="lightGray"/>
          <w:lang w:val="pl-PL"/>
        </w:rPr>
      </w:pPr>
      <w:r w:rsidRPr="00AE05B3">
        <w:rPr>
          <w:highlight w:val="lightGray"/>
          <w:lang w:val="pl-PL"/>
        </w:rPr>
        <w:t>50</w:t>
      </w:r>
      <w:r w:rsidR="00BC4936" w:rsidRPr="00AE05B3">
        <w:rPr>
          <w:highlight w:val="lightGray"/>
          <w:lang w:val="pl-PL"/>
        </w:rPr>
        <w:t xml:space="preserve"> tablet</w:t>
      </w:r>
      <w:r w:rsidR="00E7006F" w:rsidRPr="00AE05B3">
        <w:rPr>
          <w:highlight w:val="lightGray"/>
          <w:lang w:val="pl-PL"/>
        </w:rPr>
        <w:t>ek</w:t>
      </w:r>
      <w:r w:rsidR="00BC4936" w:rsidRPr="00AE05B3">
        <w:rPr>
          <w:highlight w:val="lightGray"/>
          <w:lang w:val="pl-PL"/>
        </w:rPr>
        <w:t xml:space="preserve"> powlekan</w:t>
      </w:r>
      <w:r w:rsidR="00E7006F" w:rsidRPr="00AE05B3">
        <w:rPr>
          <w:highlight w:val="lightGray"/>
          <w:lang w:val="pl-PL"/>
        </w:rPr>
        <w:t>ych</w:t>
      </w:r>
    </w:p>
    <w:p w:rsidR="00BC4936" w:rsidRDefault="00195344">
      <w:pPr>
        <w:pStyle w:val="BodyText3"/>
        <w:tabs>
          <w:tab w:val="clear" w:pos="567"/>
          <w:tab w:val="left" w:pos="540"/>
        </w:tabs>
        <w:rPr>
          <w:lang w:val="pl-PL"/>
        </w:rPr>
      </w:pPr>
      <w:r w:rsidRPr="00AE05B3">
        <w:rPr>
          <w:highlight w:val="lightGray"/>
          <w:lang w:val="pl-PL"/>
        </w:rPr>
        <w:t>84</w:t>
      </w:r>
      <w:r w:rsidR="00BC4936" w:rsidRPr="00AE05B3">
        <w:rPr>
          <w:highlight w:val="lightGray"/>
          <w:lang w:val="pl-PL"/>
        </w:rPr>
        <w:t xml:space="preserve"> tablet</w:t>
      </w:r>
      <w:r w:rsidRPr="00AE05B3">
        <w:rPr>
          <w:highlight w:val="lightGray"/>
          <w:lang w:val="pl-PL"/>
        </w:rPr>
        <w:t>ki</w:t>
      </w:r>
      <w:r w:rsidR="00BC4936" w:rsidRPr="00AE05B3">
        <w:rPr>
          <w:highlight w:val="lightGray"/>
          <w:lang w:val="pl-PL"/>
        </w:rPr>
        <w:t xml:space="preserve"> powlekan</w:t>
      </w:r>
      <w:r w:rsidRPr="00AE05B3">
        <w:rPr>
          <w:highlight w:val="lightGray"/>
          <w:lang w:val="pl-PL"/>
        </w:rPr>
        <w:t>e</w:t>
      </w:r>
    </w:p>
    <w:p w:rsidR="00BC4936" w:rsidRPr="00AE05B3" w:rsidRDefault="00195344">
      <w:pPr>
        <w:pStyle w:val="BodyText3"/>
        <w:tabs>
          <w:tab w:val="clear" w:pos="567"/>
          <w:tab w:val="left" w:pos="540"/>
        </w:tabs>
        <w:rPr>
          <w:highlight w:val="lightGray"/>
          <w:lang w:val="pl-PL"/>
        </w:rPr>
      </w:pPr>
      <w:r w:rsidRPr="00AE05B3">
        <w:rPr>
          <w:highlight w:val="lightGray"/>
          <w:lang w:val="pl-PL"/>
        </w:rPr>
        <w:t>9</w:t>
      </w:r>
      <w:r w:rsidR="00BC4936" w:rsidRPr="00AE05B3">
        <w:rPr>
          <w:highlight w:val="lightGray"/>
          <w:lang w:val="pl-PL"/>
        </w:rPr>
        <w:t>0 tabletek powlekanych</w:t>
      </w:r>
    </w:p>
    <w:p w:rsidR="00BC4936" w:rsidRPr="00AE05B3" w:rsidRDefault="00195344">
      <w:pPr>
        <w:pStyle w:val="BodyText3"/>
        <w:tabs>
          <w:tab w:val="clear" w:pos="567"/>
          <w:tab w:val="left" w:pos="540"/>
        </w:tabs>
        <w:rPr>
          <w:highlight w:val="lightGray"/>
          <w:lang w:val="pl-PL"/>
        </w:rPr>
      </w:pPr>
      <w:r w:rsidRPr="00AE05B3">
        <w:rPr>
          <w:highlight w:val="lightGray"/>
          <w:lang w:val="pl-PL"/>
        </w:rPr>
        <w:t>100</w:t>
      </w:r>
      <w:r w:rsidR="00BC4936" w:rsidRPr="00AE05B3">
        <w:rPr>
          <w:highlight w:val="lightGray"/>
          <w:lang w:val="pl-PL"/>
        </w:rPr>
        <w:t xml:space="preserve"> tabletek powlekanych</w:t>
      </w:r>
    </w:p>
    <w:p w:rsidR="00BC4936" w:rsidRDefault="00BC4936">
      <w:pPr>
        <w:pStyle w:val="BodyText3"/>
        <w:tabs>
          <w:tab w:val="clear" w:pos="567"/>
          <w:tab w:val="left" w:pos="540"/>
        </w:tabs>
        <w:rPr>
          <w:lang w:val="pl-PL"/>
        </w:rPr>
      </w:pPr>
      <w:r w:rsidRPr="00AE05B3">
        <w:rPr>
          <w:highlight w:val="lightGray"/>
          <w:lang w:val="pl-PL"/>
        </w:rPr>
        <w:t>14 tabletek powlekanych</w:t>
      </w:r>
    </w:p>
    <w:p w:rsidR="00382A72" w:rsidRPr="00AE05B3" w:rsidRDefault="00382A72" w:rsidP="00382A72">
      <w:pPr>
        <w:pStyle w:val="BodyText3"/>
        <w:tabs>
          <w:tab w:val="clear" w:pos="567"/>
          <w:tab w:val="left" w:pos="540"/>
        </w:tabs>
        <w:rPr>
          <w:highlight w:val="lightGray"/>
          <w:lang w:val="pl-PL"/>
        </w:rPr>
      </w:pPr>
      <w:r w:rsidRPr="00AE05B3">
        <w:rPr>
          <w:highlight w:val="lightGray"/>
          <w:lang w:val="pl-PL"/>
        </w:rPr>
        <w:t>7 tabletek powlekanych</w:t>
      </w:r>
    </w:p>
    <w:p w:rsidR="00382A72" w:rsidRDefault="00382A72" w:rsidP="00382A72">
      <w:pPr>
        <w:pStyle w:val="BodyText3"/>
        <w:tabs>
          <w:tab w:val="clear" w:pos="567"/>
          <w:tab w:val="left" w:pos="540"/>
        </w:tabs>
        <w:rPr>
          <w:lang w:val="pl-PL"/>
        </w:rPr>
      </w:pPr>
    </w:p>
    <w:p w:rsidR="00BC4936" w:rsidRDefault="00BC4936">
      <w:pPr>
        <w:tabs>
          <w:tab w:val="left" w:pos="540"/>
        </w:tabs>
        <w:rPr>
          <w:sz w:val="22"/>
          <w:lang w:val="pl-PL"/>
        </w:rPr>
      </w:pPr>
    </w:p>
    <w:p w:rsidR="00BC4936" w:rsidRDefault="00BC4936">
      <w:pPr>
        <w:numPr>
          <w:ilvl w:val="0"/>
          <w:numId w:val="23"/>
        </w:numPr>
        <w:pBdr>
          <w:top w:val="single" w:sz="4" w:space="1" w:color="auto"/>
          <w:left w:val="single" w:sz="4" w:space="4" w:color="auto"/>
          <w:bottom w:val="single" w:sz="4" w:space="1" w:color="auto"/>
          <w:right w:val="single" w:sz="4" w:space="4" w:color="auto"/>
        </w:pBdr>
        <w:tabs>
          <w:tab w:val="clear" w:pos="1134"/>
          <w:tab w:val="num" w:pos="0"/>
          <w:tab w:val="left" w:pos="540"/>
        </w:tabs>
        <w:ind w:left="0" w:firstLine="0"/>
        <w:rPr>
          <w:b/>
          <w:sz w:val="22"/>
          <w:lang w:val="pl-PL"/>
        </w:rPr>
      </w:pPr>
      <w:r>
        <w:rPr>
          <w:b/>
          <w:sz w:val="22"/>
          <w:lang w:val="pl-PL"/>
        </w:rPr>
        <w:t xml:space="preserve">SPOSÓB I DROGA PODANIA </w:t>
      </w:r>
    </w:p>
    <w:p w:rsidR="00BC4936" w:rsidRDefault="00BC4936">
      <w:pPr>
        <w:rPr>
          <w:b/>
          <w:sz w:val="22"/>
          <w:lang w:val="pl-PL"/>
        </w:rPr>
      </w:pPr>
    </w:p>
    <w:p w:rsidR="00BC4936" w:rsidRDefault="00BC4936">
      <w:pPr>
        <w:pStyle w:val="BodyText3"/>
        <w:tabs>
          <w:tab w:val="clear" w:pos="567"/>
        </w:tabs>
        <w:rPr>
          <w:lang w:val="pl-PL"/>
        </w:rPr>
      </w:pPr>
      <w:r>
        <w:rPr>
          <w:lang w:val="pl-PL"/>
        </w:rPr>
        <w:t>Należy zapoznać się z treścią ulotki przed zastosowaniem leku.</w:t>
      </w:r>
    </w:p>
    <w:p w:rsidR="00BC4936" w:rsidRDefault="00D25C03">
      <w:pPr>
        <w:rPr>
          <w:sz w:val="22"/>
          <w:lang w:val="pl-PL"/>
        </w:rPr>
      </w:pPr>
      <w:r>
        <w:rPr>
          <w:sz w:val="22"/>
          <w:lang w:val="pl-PL"/>
        </w:rPr>
        <w:t>Podanie doustne</w:t>
      </w:r>
    </w:p>
    <w:p w:rsidR="00BC4936" w:rsidRDefault="00BC4936">
      <w:pPr>
        <w:rPr>
          <w:sz w:val="22"/>
          <w:lang w:val="pl-PL"/>
        </w:rPr>
      </w:pPr>
    </w:p>
    <w:p w:rsidR="002D096E" w:rsidRDefault="002D096E">
      <w:pPr>
        <w:rPr>
          <w:sz w:val="22"/>
          <w:lang w:val="pl-PL"/>
        </w:rPr>
      </w:pPr>
    </w:p>
    <w:p w:rsidR="00BC4936" w:rsidRDefault="00BC4936">
      <w:pPr>
        <w:numPr>
          <w:ilvl w:val="0"/>
          <w:numId w:val="23"/>
        </w:numPr>
        <w:pBdr>
          <w:top w:val="single" w:sz="4" w:space="1" w:color="auto"/>
          <w:left w:val="single" w:sz="4" w:space="4" w:color="auto"/>
          <w:bottom w:val="single" w:sz="4" w:space="1" w:color="auto"/>
          <w:right w:val="single" w:sz="4" w:space="4" w:color="auto"/>
        </w:pBdr>
        <w:tabs>
          <w:tab w:val="clear" w:pos="1134"/>
        </w:tabs>
        <w:ind w:left="567" w:hanging="567"/>
        <w:rPr>
          <w:b/>
          <w:sz w:val="22"/>
          <w:lang w:val="pl-PL"/>
        </w:rPr>
      </w:pPr>
      <w:r>
        <w:rPr>
          <w:b/>
          <w:sz w:val="22"/>
          <w:lang w:val="pl-PL"/>
        </w:rPr>
        <w:t xml:space="preserve">OSTRZEŻENIE DOTYCZĄCE PRZECHOWYWANIA PRODUKTU LECZNICZEGO W MIEJSCU NIEWIDOCZNYM </w:t>
      </w:r>
      <w:r w:rsidR="008950FD" w:rsidRPr="00022436">
        <w:rPr>
          <w:b/>
          <w:sz w:val="22"/>
          <w:lang w:val="pl-PL"/>
        </w:rPr>
        <w:t xml:space="preserve">I NIEDOSTĘPNYM </w:t>
      </w:r>
      <w:r>
        <w:rPr>
          <w:b/>
          <w:sz w:val="22"/>
          <w:lang w:val="pl-PL"/>
        </w:rPr>
        <w:t>DLA DZIECI</w:t>
      </w:r>
    </w:p>
    <w:p w:rsidR="00BC4936" w:rsidRPr="00022436" w:rsidRDefault="00BC4936">
      <w:pPr>
        <w:rPr>
          <w:sz w:val="22"/>
          <w:lang w:val="pl-PL"/>
        </w:rPr>
      </w:pPr>
    </w:p>
    <w:p w:rsidR="00BC4936" w:rsidRDefault="00BC4936">
      <w:pPr>
        <w:pStyle w:val="BodyText3"/>
        <w:tabs>
          <w:tab w:val="clear" w:pos="567"/>
        </w:tabs>
        <w:rPr>
          <w:lang w:val="pl-PL"/>
        </w:rPr>
      </w:pPr>
      <w:r>
        <w:rPr>
          <w:lang w:val="pl-PL"/>
        </w:rPr>
        <w:t xml:space="preserve">Lek przechowywać w miejscu </w:t>
      </w:r>
      <w:r w:rsidR="008950FD">
        <w:rPr>
          <w:lang w:val="pl-PL"/>
        </w:rPr>
        <w:t xml:space="preserve">niewidocznym i </w:t>
      </w:r>
      <w:r>
        <w:rPr>
          <w:lang w:val="pl-PL"/>
        </w:rPr>
        <w:t>niedostępnym dla dzieci.</w:t>
      </w:r>
    </w:p>
    <w:p w:rsidR="00BC4936" w:rsidRDefault="00BC4936">
      <w:pPr>
        <w:rPr>
          <w:sz w:val="22"/>
          <w:lang w:val="pl-PL"/>
        </w:rPr>
      </w:pPr>
    </w:p>
    <w:p w:rsidR="00BC4936" w:rsidRDefault="00BC4936">
      <w:pPr>
        <w:rPr>
          <w:sz w:val="22"/>
          <w:lang w:val="pl-PL"/>
        </w:rPr>
      </w:pPr>
    </w:p>
    <w:p w:rsidR="00BC4936" w:rsidRDefault="00BC4936">
      <w:pPr>
        <w:numPr>
          <w:ilvl w:val="0"/>
          <w:numId w:val="23"/>
        </w:numPr>
        <w:pBdr>
          <w:top w:val="single" w:sz="4" w:space="1" w:color="auto"/>
          <w:left w:val="single" w:sz="4" w:space="4" w:color="auto"/>
          <w:bottom w:val="single" w:sz="4" w:space="1" w:color="auto"/>
          <w:right w:val="single" w:sz="4" w:space="4" w:color="auto"/>
        </w:pBdr>
        <w:tabs>
          <w:tab w:val="clear" w:pos="1134"/>
          <w:tab w:val="num" w:pos="0"/>
          <w:tab w:val="left" w:pos="540"/>
        </w:tabs>
        <w:ind w:left="0" w:firstLine="0"/>
        <w:rPr>
          <w:b/>
          <w:sz w:val="22"/>
          <w:lang w:val="pl-PL"/>
        </w:rPr>
      </w:pPr>
      <w:r>
        <w:rPr>
          <w:b/>
          <w:sz w:val="22"/>
          <w:lang w:val="pl-PL"/>
        </w:rPr>
        <w:t>INNE OSTRZEŻENIA SPECJALNE, JEŚLI KONIECZNE</w:t>
      </w:r>
    </w:p>
    <w:p w:rsidR="00BC4936" w:rsidRDefault="00BC4936">
      <w:pPr>
        <w:pStyle w:val="BodyText3"/>
        <w:tabs>
          <w:tab w:val="clear" w:pos="567"/>
          <w:tab w:val="left" w:pos="540"/>
        </w:tabs>
        <w:rPr>
          <w:lang w:val="pl-PL"/>
        </w:rPr>
      </w:pPr>
    </w:p>
    <w:p w:rsidR="00BC4936" w:rsidRDefault="00BC4936">
      <w:pPr>
        <w:pStyle w:val="BodyText3"/>
        <w:tabs>
          <w:tab w:val="clear" w:pos="567"/>
          <w:tab w:val="left" w:pos="540"/>
        </w:tabs>
        <w:rPr>
          <w:lang w:val="pl-PL"/>
        </w:rPr>
      </w:pPr>
    </w:p>
    <w:p w:rsidR="00BC4936" w:rsidRDefault="00BC4936">
      <w:pPr>
        <w:numPr>
          <w:ilvl w:val="0"/>
          <w:numId w:val="23"/>
        </w:numPr>
        <w:pBdr>
          <w:top w:val="single" w:sz="4" w:space="1" w:color="auto"/>
          <w:left w:val="single" w:sz="4" w:space="4" w:color="auto"/>
          <w:bottom w:val="single" w:sz="4" w:space="1" w:color="auto"/>
          <w:right w:val="single" w:sz="4" w:space="4" w:color="auto"/>
        </w:pBdr>
        <w:tabs>
          <w:tab w:val="clear" w:pos="1134"/>
          <w:tab w:val="num" w:pos="0"/>
          <w:tab w:val="left" w:pos="540"/>
        </w:tabs>
        <w:ind w:left="0" w:firstLine="0"/>
        <w:rPr>
          <w:b/>
          <w:sz w:val="22"/>
          <w:lang w:val="pl-PL"/>
        </w:rPr>
      </w:pPr>
      <w:r>
        <w:rPr>
          <w:b/>
          <w:sz w:val="22"/>
          <w:lang w:val="pl-PL"/>
        </w:rPr>
        <w:t>TERMIN WAŻNOŚCI</w:t>
      </w:r>
    </w:p>
    <w:p w:rsidR="00BC4936" w:rsidRPr="00022436" w:rsidRDefault="00BC4936">
      <w:pPr>
        <w:rPr>
          <w:sz w:val="22"/>
          <w:lang w:val="pl-PL"/>
        </w:rPr>
      </w:pPr>
    </w:p>
    <w:p w:rsidR="00BC4936" w:rsidRDefault="00BC4936">
      <w:pPr>
        <w:pStyle w:val="BodyText3"/>
        <w:tabs>
          <w:tab w:val="clear" w:pos="567"/>
        </w:tabs>
        <w:rPr>
          <w:lang w:val="pl-PL"/>
        </w:rPr>
      </w:pPr>
      <w:r>
        <w:rPr>
          <w:lang w:val="pl-PL"/>
        </w:rPr>
        <w:t>Termin ważności (</w:t>
      </w:r>
      <w:r w:rsidR="00A211D3">
        <w:rPr>
          <w:lang w:val="pl-PL"/>
        </w:rPr>
        <w:t>EXP</w:t>
      </w:r>
      <w:r>
        <w:rPr>
          <w:lang w:val="pl-PL"/>
        </w:rPr>
        <w:t>)</w:t>
      </w:r>
      <w:r w:rsidR="0052135C">
        <w:rPr>
          <w:lang w:val="pl-PL"/>
        </w:rPr>
        <w:t>:</w:t>
      </w:r>
    </w:p>
    <w:p w:rsidR="00BC4936" w:rsidRDefault="00BC4936">
      <w:pPr>
        <w:rPr>
          <w:sz w:val="22"/>
          <w:lang w:val="pl-PL"/>
        </w:rPr>
      </w:pPr>
    </w:p>
    <w:p w:rsidR="00BC4936" w:rsidRDefault="00BC4936">
      <w:pPr>
        <w:rPr>
          <w:sz w:val="22"/>
          <w:lang w:val="pl-PL"/>
        </w:rPr>
      </w:pPr>
    </w:p>
    <w:p w:rsidR="00BC4936" w:rsidRDefault="00BC4936">
      <w:pPr>
        <w:numPr>
          <w:ilvl w:val="0"/>
          <w:numId w:val="23"/>
        </w:numPr>
        <w:pBdr>
          <w:top w:val="single" w:sz="4" w:space="1" w:color="auto"/>
          <w:left w:val="single" w:sz="4" w:space="4" w:color="auto"/>
          <w:bottom w:val="single" w:sz="4" w:space="1" w:color="auto"/>
          <w:right w:val="single" w:sz="4" w:space="4" w:color="auto"/>
        </w:pBdr>
        <w:tabs>
          <w:tab w:val="clear" w:pos="1134"/>
          <w:tab w:val="num" w:pos="0"/>
          <w:tab w:val="left" w:pos="540"/>
        </w:tabs>
        <w:ind w:left="0" w:firstLine="0"/>
        <w:rPr>
          <w:b/>
          <w:sz w:val="22"/>
          <w:lang w:val="pl-PL"/>
        </w:rPr>
      </w:pPr>
      <w:r>
        <w:rPr>
          <w:b/>
          <w:sz w:val="22"/>
          <w:lang w:val="pl-PL"/>
        </w:rPr>
        <w:br w:type="page"/>
        <w:t>WARUNKI PRZECHOWYWANIA</w:t>
      </w:r>
    </w:p>
    <w:p w:rsidR="00614213" w:rsidRDefault="00614213">
      <w:pPr>
        <w:rPr>
          <w:sz w:val="22"/>
          <w:lang w:val="pl-PL"/>
        </w:rPr>
      </w:pPr>
    </w:p>
    <w:p w:rsidR="0052135C" w:rsidRDefault="00614213" w:rsidP="000C02B5">
      <w:pPr>
        <w:rPr>
          <w:sz w:val="22"/>
          <w:szCs w:val="22"/>
          <w:lang w:val="pl-PL"/>
        </w:rPr>
      </w:pPr>
      <w:r>
        <w:rPr>
          <w:sz w:val="22"/>
          <w:lang w:val="pl-PL"/>
        </w:rPr>
        <w:t xml:space="preserve">Przechowywać w temperaturze poniżej </w:t>
      </w:r>
      <w:r w:rsidRPr="00186F08">
        <w:rPr>
          <w:sz w:val="22"/>
          <w:szCs w:val="22"/>
          <w:lang w:val="pl-PL"/>
        </w:rPr>
        <w:t>30°C</w:t>
      </w:r>
      <w:r w:rsidR="003B486E">
        <w:rPr>
          <w:sz w:val="22"/>
          <w:szCs w:val="22"/>
          <w:lang w:val="pl-PL"/>
        </w:rPr>
        <w:t>.</w:t>
      </w:r>
      <w:r>
        <w:rPr>
          <w:sz w:val="22"/>
          <w:szCs w:val="22"/>
          <w:lang w:val="pl-PL"/>
        </w:rPr>
        <w:t xml:space="preserve"> </w:t>
      </w:r>
      <w:r w:rsidRPr="00A64B0E">
        <w:rPr>
          <w:sz w:val="22"/>
          <w:szCs w:val="22"/>
          <w:highlight w:val="lightGray"/>
          <w:lang w:val="pl-PL"/>
        </w:rPr>
        <w:t>(dla blistrów PVC/PVDC/</w:t>
      </w:r>
      <w:r w:rsidR="000F6611" w:rsidRPr="00A64B0E">
        <w:rPr>
          <w:sz w:val="22"/>
          <w:szCs w:val="22"/>
          <w:highlight w:val="lightGray"/>
          <w:lang w:val="pl-PL"/>
        </w:rPr>
        <w:t>A</w:t>
      </w:r>
      <w:r w:rsidRPr="00A64B0E">
        <w:rPr>
          <w:sz w:val="22"/>
          <w:szCs w:val="22"/>
          <w:highlight w:val="lightGray"/>
          <w:lang w:val="pl-PL"/>
        </w:rPr>
        <w:t>luminium)</w:t>
      </w:r>
    </w:p>
    <w:p w:rsidR="00614213" w:rsidRDefault="00614213" w:rsidP="000C02B5">
      <w:pPr>
        <w:rPr>
          <w:sz w:val="22"/>
          <w:lang w:val="pl-PL"/>
        </w:rPr>
      </w:pPr>
      <w:r w:rsidRPr="00A64B0E">
        <w:rPr>
          <w:sz w:val="22"/>
          <w:szCs w:val="22"/>
          <w:highlight w:val="lightGray"/>
          <w:lang w:val="pl-PL"/>
        </w:rPr>
        <w:t>lub</w:t>
      </w:r>
      <w:r>
        <w:rPr>
          <w:sz w:val="22"/>
          <w:szCs w:val="22"/>
          <w:lang w:val="pl-PL"/>
        </w:rPr>
        <w:t xml:space="preserve"> </w:t>
      </w:r>
      <w:r w:rsidR="000C02B5">
        <w:rPr>
          <w:sz w:val="22"/>
          <w:lang w:val="pl-PL"/>
        </w:rPr>
        <w:t>B</w:t>
      </w:r>
      <w:r>
        <w:rPr>
          <w:sz w:val="22"/>
          <w:lang w:val="pl-PL"/>
        </w:rPr>
        <w:t>rak s</w:t>
      </w:r>
      <w:r w:rsidR="0052135C">
        <w:rPr>
          <w:sz w:val="22"/>
          <w:lang w:val="pl-PL"/>
        </w:rPr>
        <w:t xml:space="preserve">pecjalnych zaleceń dotyczących </w:t>
      </w:r>
      <w:r>
        <w:rPr>
          <w:sz w:val="22"/>
          <w:lang w:val="pl-PL"/>
        </w:rPr>
        <w:t xml:space="preserve">przechowywania </w:t>
      </w:r>
      <w:r w:rsidR="0052135C">
        <w:rPr>
          <w:sz w:val="22"/>
          <w:lang w:val="pl-PL"/>
        </w:rPr>
        <w:t>leku</w:t>
      </w:r>
      <w:r w:rsidR="003B486E">
        <w:rPr>
          <w:sz w:val="22"/>
          <w:lang w:val="pl-PL"/>
        </w:rPr>
        <w:t>.</w:t>
      </w:r>
      <w:r w:rsidR="0052135C">
        <w:rPr>
          <w:sz w:val="22"/>
          <w:lang w:val="pl-PL"/>
        </w:rPr>
        <w:t xml:space="preserve"> </w:t>
      </w:r>
      <w:r w:rsidRPr="00A64B0E">
        <w:rPr>
          <w:sz w:val="22"/>
          <w:highlight w:val="lightGray"/>
          <w:lang w:val="pl-PL"/>
        </w:rPr>
        <w:t>(dla blistrów z aluminium)</w:t>
      </w:r>
    </w:p>
    <w:p w:rsidR="00BC4936" w:rsidRDefault="00BC4936">
      <w:pPr>
        <w:rPr>
          <w:sz w:val="22"/>
          <w:lang w:val="pl-PL"/>
        </w:rPr>
      </w:pPr>
    </w:p>
    <w:p w:rsidR="00BC4936" w:rsidRDefault="00BC4936">
      <w:pPr>
        <w:rPr>
          <w:sz w:val="22"/>
          <w:lang w:val="pl-PL"/>
        </w:rPr>
      </w:pPr>
    </w:p>
    <w:p w:rsidR="00BC4936" w:rsidRDefault="00BC4936">
      <w:pPr>
        <w:pBdr>
          <w:top w:val="single" w:sz="4" w:space="1" w:color="auto"/>
          <w:left w:val="single" w:sz="4" w:space="4" w:color="auto"/>
          <w:bottom w:val="single" w:sz="4" w:space="1" w:color="auto"/>
          <w:right w:val="single" w:sz="4" w:space="4" w:color="auto"/>
        </w:pBdr>
        <w:ind w:left="567" w:hanging="567"/>
        <w:rPr>
          <w:b/>
          <w:sz w:val="22"/>
          <w:lang w:val="pl-PL"/>
        </w:rPr>
      </w:pPr>
      <w:r>
        <w:rPr>
          <w:b/>
          <w:sz w:val="22"/>
          <w:lang w:val="pl-PL"/>
        </w:rPr>
        <w:t>10.</w:t>
      </w:r>
      <w:r>
        <w:rPr>
          <w:b/>
          <w:sz w:val="22"/>
          <w:lang w:val="pl-PL"/>
        </w:rPr>
        <w:tab/>
        <w:t>SPECJALNE ŚRODKI OSTROŻNOŚCI DOTYCZĄCE USUWANIA NIEZUŻYTEGO PRODUKTU LECZNICZEGO LUB POCHODZĄCYCH Z NIEGO ODPADÓW, JEŚLI WŁAŚCIWE</w:t>
      </w:r>
    </w:p>
    <w:p w:rsidR="00BC4936" w:rsidRDefault="00BC4936">
      <w:pPr>
        <w:ind w:firstLine="16"/>
        <w:rPr>
          <w:b/>
          <w:sz w:val="22"/>
          <w:lang w:val="pl-PL"/>
        </w:rPr>
      </w:pPr>
    </w:p>
    <w:p w:rsidR="00BC4936" w:rsidRDefault="00BC4936">
      <w:pPr>
        <w:ind w:firstLine="16"/>
        <w:rPr>
          <w:b/>
          <w:sz w:val="22"/>
          <w:lang w:val="pl-PL"/>
        </w:rPr>
      </w:pPr>
    </w:p>
    <w:p w:rsidR="00BC4936" w:rsidRDefault="00BC4936">
      <w:pPr>
        <w:pBdr>
          <w:top w:val="single" w:sz="4" w:space="1" w:color="auto"/>
          <w:left w:val="single" w:sz="4" w:space="4" w:color="auto"/>
          <w:bottom w:val="single" w:sz="4" w:space="1" w:color="auto"/>
          <w:right w:val="single" w:sz="4" w:space="4" w:color="auto"/>
        </w:pBdr>
        <w:tabs>
          <w:tab w:val="left" w:pos="540"/>
        </w:tabs>
        <w:ind w:firstLine="16"/>
        <w:rPr>
          <w:b/>
          <w:sz w:val="22"/>
          <w:lang w:val="pl-PL"/>
        </w:rPr>
      </w:pPr>
      <w:r>
        <w:rPr>
          <w:b/>
          <w:sz w:val="22"/>
          <w:lang w:val="pl-PL"/>
        </w:rPr>
        <w:t>11.</w:t>
      </w:r>
      <w:r>
        <w:rPr>
          <w:b/>
          <w:sz w:val="22"/>
          <w:lang w:val="pl-PL"/>
        </w:rPr>
        <w:tab/>
        <w:t>NAZWA I ADRES PODMIOTU ODPOWIEDZIALNEGO</w:t>
      </w:r>
    </w:p>
    <w:p w:rsidR="00BC4936" w:rsidRDefault="00BC4936">
      <w:pPr>
        <w:tabs>
          <w:tab w:val="left" w:pos="540"/>
        </w:tabs>
        <w:rPr>
          <w:sz w:val="22"/>
          <w:lang w:val="pl-PL"/>
        </w:rPr>
      </w:pPr>
    </w:p>
    <w:p w:rsidR="00BC4936" w:rsidRPr="002E46E0" w:rsidRDefault="002E46E0">
      <w:pPr>
        <w:tabs>
          <w:tab w:val="left" w:pos="540"/>
        </w:tabs>
        <w:rPr>
          <w:sz w:val="22"/>
        </w:rPr>
      </w:pPr>
      <w:r w:rsidRPr="00925BA3">
        <w:rPr>
          <w:sz w:val="22"/>
          <w:szCs w:val="22"/>
          <w:lang w:val="fr-FR"/>
        </w:rPr>
        <w:t>sanofi-aventis groupe</w:t>
      </w:r>
    </w:p>
    <w:p w:rsidR="00AF0AFC" w:rsidRDefault="00AF0AFC" w:rsidP="00AF0AFC">
      <w:pPr>
        <w:rPr>
          <w:sz w:val="22"/>
          <w:lang w:val="fr-FR"/>
        </w:rPr>
      </w:pPr>
      <w:r>
        <w:rPr>
          <w:sz w:val="22"/>
          <w:szCs w:val="22"/>
          <w:lang w:val="fr-FR"/>
        </w:rPr>
        <w:t>54, rue La Bo</w:t>
      </w:r>
      <w:r w:rsidRPr="00327821">
        <w:rPr>
          <w:sz w:val="22"/>
          <w:szCs w:val="22"/>
          <w:lang w:val="fr-FR"/>
        </w:rPr>
        <w:t>é</w:t>
      </w:r>
      <w:r>
        <w:rPr>
          <w:sz w:val="22"/>
          <w:szCs w:val="22"/>
          <w:lang w:val="fr-FR"/>
        </w:rPr>
        <w:t xml:space="preserve">tie F-75008 </w:t>
      </w:r>
      <w:r w:rsidR="003B486E" w:rsidRPr="00F11569">
        <w:rPr>
          <w:sz w:val="22"/>
          <w:lang w:val="fr-FR"/>
        </w:rPr>
        <w:t>Par</w:t>
      </w:r>
      <w:r w:rsidR="003B486E">
        <w:rPr>
          <w:sz w:val="22"/>
          <w:lang w:val="fr-FR"/>
        </w:rPr>
        <w:t>is</w:t>
      </w:r>
    </w:p>
    <w:p w:rsidR="00BC4936" w:rsidRPr="006012C7" w:rsidRDefault="00BC4936" w:rsidP="00AF0AFC">
      <w:pPr>
        <w:rPr>
          <w:sz w:val="22"/>
          <w:lang w:val="fr-FR"/>
        </w:rPr>
      </w:pPr>
      <w:r w:rsidRPr="006012C7">
        <w:rPr>
          <w:sz w:val="22"/>
          <w:lang w:val="fr-FR"/>
        </w:rPr>
        <w:t>Francja</w:t>
      </w:r>
    </w:p>
    <w:p w:rsidR="00BC4936" w:rsidRPr="006012C7" w:rsidRDefault="00BC4936">
      <w:pPr>
        <w:tabs>
          <w:tab w:val="left" w:pos="540"/>
        </w:tabs>
        <w:rPr>
          <w:sz w:val="22"/>
          <w:lang w:val="fr-FR"/>
        </w:rPr>
      </w:pPr>
    </w:p>
    <w:p w:rsidR="00BC4936" w:rsidRPr="006012C7" w:rsidRDefault="00BC4936">
      <w:pPr>
        <w:pStyle w:val="EMEATableLeft"/>
        <w:keepNext w:val="0"/>
        <w:keepLines w:val="0"/>
        <w:tabs>
          <w:tab w:val="left" w:pos="540"/>
        </w:tabs>
        <w:rPr>
          <w:lang w:val="fr-FR" w:eastAsia="pl-PL"/>
        </w:rPr>
      </w:pPr>
    </w:p>
    <w:p w:rsidR="00BC4936" w:rsidRDefault="00BC4936">
      <w:pPr>
        <w:pBdr>
          <w:top w:val="single" w:sz="4" w:space="1" w:color="auto"/>
          <w:left w:val="single" w:sz="4" w:space="4" w:color="auto"/>
          <w:bottom w:val="single" w:sz="4" w:space="1" w:color="auto"/>
          <w:right w:val="single" w:sz="4" w:space="4" w:color="auto"/>
        </w:pBdr>
        <w:tabs>
          <w:tab w:val="left" w:pos="540"/>
        </w:tabs>
        <w:ind w:firstLine="16"/>
        <w:rPr>
          <w:b/>
          <w:sz w:val="22"/>
          <w:lang w:val="pl-PL"/>
        </w:rPr>
      </w:pPr>
      <w:r>
        <w:rPr>
          <w:b/>
          <w:sz w:val="22"/>
          <w:lang w:val="pl-PL"/>
        </w:rPr>
        <w:t>12.</w:t>
      </w:r>
      <w:r>
        <w:rPr>
          <w:b/>
          <w:sz w:val="22"/>
          <w:lang w:val="pl-PL"/>
        </w:rPr>
        <w:tab/>
        <w:t xml:space="preserve">NUMERY </w:t>
      </w:r>
      <w:r w:rsidR="00FA57BA">
        <w:rPr>
          <w:b/>
          <w:sz w:val="22"/>
          <w:lang w:val="pl-PL"/>
        </w:rPr>
        <w:t xml:space="preserve">POZWOLEŃ </w:t>
      </w:r>
      <w:r>
        <w:rPr>
          <w:b/>
          <w:sz w:val="22"/>
          <w:lang w:val="pl-PL"/>
        </w:rPr>
        <w:t>NA DOPUSZCZENIE DO OBROTU</w:t>
      </w:r>
    </w:p>
    <w:p w:rsidR="00BC4936" w:rsidRPr="00022436" w:rsidRDefault="00BC4936">
      <w:pPr>
        <w:tabs>
          <w:tab w:val="left" w:pos="540"/>
        </w:tabs>
        <w:rPr>
          <w:sz w:val="22"/>
          <w:lang w:val="pl-PL"/>
        </w:rPr>
      </w:pPr>
    </w:p>
    <w:p w:rsidR="00BC4936" w:rsidRPr="008669CB" w:rsidRDefault="00BC4936">
      <w:pPr>
        <w:tabs>
          <w:tab w:val="left" w:pos="540"/>
        </w:tabs>
        <w:rPr>
          <w:sz w:val="22"/>
          <w:highlight w:val="lightGray"/>
          <w:lang w:val="fr-FR"/>
        </w:rPr>
      </w:pPr>
      <w:r w:rsidRPr="00906110">
        <w:rPr>
          <w:sz w:val="22"/>
          <w:lang w:val="fr-FR"/>
        </w:rPr>
        <w:t xml:space="preserve">EU/1/98/069/001 </w:t>
      </w:r>
      <w:r w:rsidRPr="00AE05B3">
        <w:rPr>
          <w:sz w:val="22"/>
          <w:highlight w:val="lightGray"/>
          <w:lang w:val="fr-FR"/>
        </w:rPr>
        <w:t xml:space="preserve">28 </w:t>
      </w:r>
      <w:r w:rsidRPr="008669CB">
        <w:rPr>
          <w:sz w:val="22"/>
          <w:highlight w:val="lightGray"/>
          <w:lang w:val="pl-PL"/>
        </w:rPr>
        <w:t>tabletek</w:t>
      </w:r>
      <w:r w:rsidR="00EA339A" w:rsidRPr="00B94A72">
        <w:rPr>
          <w:sz w:val="22"/>
          <w:highlight w:val="lightGray"/>
          <w:lang w:val="pl-PL"/>
        </w:rPr>
        <w:t xml:space="preserve"> powlekanych</w:t>
      </w:r>
      <w:r w:rsidR="00A57077" w:rsidRPr="008669CB">
        <w:rPr>
          <w:sz w:val="22"/>
          <w:highlight w:val="lightGray"/>
          <w:lang w:val="pl-PL"/>
        </w:rPr>
        <w:t xml:space="preserve"> w blistrach PVC/PVDC/</w:t>
      </w:r>
      <w:r w:rsidR="006B4F30" w:rsidRPr="008669CB">
        <w:rPr>
          <w:sz w:val="22"/>
          <w:highlight w:val="lightGray"/>
          <w:lang w:val="pl-PL"/>
        </w:rPr>
        <w:t>Aluminium</w:t>
      </w:r>
    </w:p>
    <w:p w:rsidR="00BC4936" w:rsidRPr="00B94A72" w:rsidRDefault="00BC4936">
      <w:pPr>
        <w:tabs>
          <w:tab w:val="left" w:pos="540"/>
        </w:tabs>
        <w:rPr>
          <w:bCs/>
          <w:sz w:val="22"/>
          <w:highlight w:val="lightGray"/>
          <w:lang w:val="fr-FR"/>
        </w:rPr>
      </w:pPr>
      <w:r w:rsidRPr="00B94A72">
        <w:rPr>
          <w:bCs/>
          <w:sz w:val="22"/>
          <w:highlight w:val="lightGray"/>
          <w:lang w:val="fr-FR"/>
        </w:rPr>
        <w:t>EU/1/98/069/002</w:t>
      </w:r>
      <w:r w:rsidRPr="008B3477">
        <w:rPr>
          <w:bCs/>
          <w:sz w:val="22"/>
          <w:highlight w:val="lightGray"/>
          <w:lang w:val="fr-FR"/>
        </w:rPr>
        <w:t xml:space="preserve"> </w:t>
      </w:r>
      <w:r w:rsidRPr="008669CB">
        <w:rPr>
          <w:sz w:val="22"/>
          <w:highlight w:val="lightGray"/>
          <w:lang w:val="fr-FR"/>
        </w:rPr>
        <w:t>50</w:t>
      </w:r>
      <w:r w:rsidR="00EA339A" w:rsidRPr="008669CB">
        <w:rPr>
          <w:sz w:val="22"/>
          <w:highlight w:val="lightGray"/>
          <w:lang w:val="fr-FR"/>
        </w:rPr>
        <w:t>x1</w:t>
      </w:r>
      <w:r w:rsidRPr="008669CB">
        <w:rPr>
          <w:sz w:val="22"/>
          <w:highlight w:val="lightGray"/>
          <w:lang w:val="fr-FR"/>
        </w:rPr>
        <w:t xml:space="preserve"> tabletk</w:t>
      </w:r>
      <w:r w:rsidR="00EA339A" w:rsidRPr="008669CB">
        <w:rPr>
          <w:sz w:val="22"/>
          <w:highlight w:val="lightGray"/>
          <w:lang w:val="fr-FR"/>
        </w:rPr>
        <w:t>a</w:t>
      </w:r>
      <w:r w:rsidR="00A57077" w:rsidRPr="008669CB">
        <w:rPr>
          <w:sz w:val="22"/>
          <w:highlight w:val="lightGray"/>
          <w:lang w:val="pl-PL"/>
        </w:rPr>
        <w:t xml:space="preserve"> </w:t>
      </w:r>
      <w:r w:rsidR="00EA339A" w:rsidRPr="008669CB">
        <w:rPr>
          <w:sz w:val="22"/>
          <w:highlight w:val="lightGray"/>
          <w:lang w:val="pl-PL"/>
        </w:rPr>
        <w:t xml:space="preserve">powlekana </w:t>
      </w:r>
      <w:r w:rsidR="00A57077" w:rsidRPr="008669CB">
        <w:rPr>
          <w:sz w:val="22"/>
          <w:highlight w:val="lightGray"/>
          <w:lang w:val="pl-PL"/>
        </w:rPr>
        <w:t>w blistrach PVC/PVDC/</w:t>
      </w:r>
      <w:r w:rsidR="006B4F30" w:rsidRPr="008669CB">
        <w:rPr>
          <w:sz w:val="22"/>
          <w:highlight w:val="lightGray"/>
          <w:lang w:val="pl-PL"/>
        </w:rPr>
        <w:t>Aluminium</w:t>
      </w:r>
    </w:p>
    <w:p w:rsidR="00BC4936" w:rsidRPr="008669CB" w:rsidRDefault="00BC4936">
      <w:pPr>
        <w:tabs>
          <w:tab w:val="left" w:pos="540"/>
        </w:tabs>
        <w:rPr>
          <w:bCs/>
          <w:sz w:val="22"/>
          <w:highlight w:val="lightGray"/>
          <w:lang w:val="fr-FR"/>
        </w:rPr>
      </w:pPr>
      <w:r w:rsidRPr="008669CB">
        <w:rPr>
          <w:bCs/>
          <w:sz w:val="22"/>
          <w:highlight w:val="lightGray"/>
          <w:lang w:val="fr-FR"/>
        </w:rPr>
        <w:t xml:space="preserve">EU/1/98/069/003 </w:t>
      </w:r>
      <w:r w:rsidRPr="008669CB">
        <w:rPr>
          <w:sz w:val="22"/>
          <w:highlight w:val="lightGray"/>
          <w:lang w:val="fr-FR"/>
        </w:rPr>
        <w:t>84 tabletk</w:t>
      </w:r>
      <w:r w:rsidR="00A27E48" w:rsidRPr="008669CB">
        <w:rPr>
          <w:sz w:val="22"/>
          <w:highlight w:val="lightGray"/>
          <w:lang w:val="fr-FR"/>
        </w:rPr>
        <w:t>i</w:t>
      </w:r>
      <w:r w:rsidR="00A57077" w:rsidRPr="008669CB">
        <w:rPr>
          <w:sz w:val="22"/>
          <w:highlight w:val="lightGray"/>
          <w:lang w:val="pl-PL"/>
        </w:rPr>
        <w:t xml:space="preserve"> </w:t>
      </w:r>
      <w:r w:rsidR="00EA339A" w:rsidRPr="008669CB">
        <w:rPr>
          <w:sz w:val="22"/>
          <w:highlight w:val="lightGray"/>
          <w:lang w:val="pl-PL"/>
        </w:rPr>
        <w:t xml:space="preserve">powlekane </w:t>
      </w:r>
      <w:r w:rsidR="00A57077" w:rsidRPr="008669CB">
        <w:rPr>
          <w:sz w:val="22"/>
          <w:highlight w:val="lightGray"/>
          <w:lang w:val="pl-PL"/>
        </w:rPr>
        <w:t>w blistrach PVC/PVDC/Al</w:t>
      </w:r>
    </w:p>
    <w:p w:rsidR="00BC4936" w:rsidRPr="00B94A72" w:rsidRDefault="00BC4936">
      <w:pPr>
        <w:tabs>
          <w:tab w:val="left" w:pos="540"/>
        </w:tabs>
        <w:rPr>
          <w:bCs/>
          <w:sz w:val="22"/>
          <w:highlight w:val="lightGray"/>
          <w:lang w:val="fr-FR"/>
        </w:rPr>
      </w:pPr>
      <w:r w:rsidRPr="008669CB">
        <w:rPr>
          <w:bCs/>
          <w:sz w:val="22"/>
          <w:highlight w:val="lightGray"/>
          <w:lang w:val="fr-FR"/>
        </w:rPr>
        <w:t xml:space="preserve">EU/1/98/069/004 </w:t>
      </w:r>
      <w:r w:rsidRPr="008669CB">
        <w:rPr>
          <w:sz w:val="22"/>
          <w:highlight w:val="lightGray"/>
          <w:lang w:val="fr-FR"/>
        </w:rPr>
        <w:t>100 tabletek</w:t>
      </w:r>
      <w:r w:rsidR="00EA339A" w:rsidRPr="008669CB">
        <w:rPr>
          <w:sz w:val="22"/>
          <w:highlight w:val="lightGray"/>
          <w:lang w:val="fr-FR"/>
        </w:rPr>
        <w:t xml:space="preserve"> powlekanych</w:t>
      </w:r>
      <w:r w:rsidR="00A57077" w:rsidRPr="008669CB">
        <w:rPr>
          <w:sz w:val="22"/>
          <w:highlight w:val="lightGray"/>
          <w:lang w:val="pl-PL"/>
        </w:rPr>
        <w:t xml:space="preserve"> w blistrach PVC/PVDC/</w:t>
      </w:r>
      <w:r w:rsidR="006B4F30" w:rsidRPr="008669CB">
        <w:rPr>
          <w:sz w:val="22"/>
          <w:highlight w:val="lightGray"/>
          <w:lang w:val="pl-PL"/>
        </w:rPr>
        <w:t>Aluminium</w:t>
      </w:r>
    </w:p>
    <w:p w:rsidR="00BC4936" w:rsidRPr="00B94A72" w:rsidRDefault="00BC4936">
      <w:pPr>
        <w:tabs>
          <w:tab w:val="left" w:pos="540"/>
        </w:tabs>
        <w:rPr>
          <w:sz w:val="22"/>
          <w:highlight w:val="lightGray"/>
          <w:lang w:val="fr-FR"/>
        </w:rPr>
      </w:pPr>
      <w:r w:rsidRPr="008669CB">
        <w:rPr>
          <w:sz w:val="22"/>
          <w:highlight w:val="lightGray"/>
          <w:lang w:val="fr-FR"/>
        </w:rPr>
        <w:t>EU/1/98/069/005 30 tabletek</w:t>
      </w:r>
      <w:r w:rsidR="00EA339A" w:rsidRPr="008669CB">
        <w:rPr>
          <w:sz w:val="22"/>
          <w:highlight w:val="lightGray"/>
          <w:lang w:val="fr-FR"/>
        </w:rPr>
        <w:t xml:space="preserve"> powlekanych</w:t>
      </w:r>
      <w:r w:rsidR="00A57077" w:rsidRPr="008669CB">
        <w:rPr>
          <w:sz w:val="22"/>
          <w:highlight w:val="lightGray"/>
          <w:lang w:val="pl-PL"/>
        </w:rPr>
        <w:t xml:space="preserve"> w blistrach PVC/PVDC/</w:t>
      </w:r>
      <w:r w:rsidR="006B4F30" w:rsidRPr="008669CB">
        <w:rPr>
          <w:sz w:val="22"/>
          <w:highlight w:val="lightGray"/>
          <w:lang w:val="pl-PL"/>
        </w:rPr>
        <w:t>Aluminium</w:t>
      </w:r>
    </w:p>
    <w:p w:rsidR="00BC4936" w:rsidRPr="00B94A72" w:rsidRDefault="00BC4936">
      <w:pPr>
        <w:tabs>
          <w:tab w:val="left" w:pos="540"/>
        </w:tabs>
        <w:rPr>
          <w:sz w:val="22"/>
          <w:highlight w:val="lightGray"/>
          <w:lang w:val="fr-FR"/>
        </w:rPr>
      </w:pPr>
      <w:r w:rsidRPr="008669CB">
        <w:rPr>
          <w:sz w:val="22"/>
          <w:highlight w:val="lightGray"/>
          <w:lang w:val="fr-FR"/>
        </w:rPr>
        <w:t>EU/1/98/069/006 90 tabletek</w:t>
      </w:r>
      <w:r w:rsidR="00EA339A" w:rsidRPr="008669CB">
        <w:rPr>
          <w:sz w:val="22"/>
          <w:highlight w:val="lightGray"/>
          <w:lang w:val="fr-FR"/>
        </w:rPr>
        <w:t xml:space="preserve"> powlekanych</w:t>
      </w:r>
      <w:r w:rsidR="00A57077" w:rsidRPr="008669CB">
        <w:rPr>
          <w:sz w:val="22"/>
          <w:highlight w:val="lightGray"/>
          <w:lang w:val="pl-PL"/>
        </w:rPr>
        <w:t xml:space="preserve"> w blistrach PVC/PVDC/</w:t>
      </w:r>
      <w:r w:rsidR="006B4F30" w:rsidRPr="008669CB">
        <w:rPr>
          <w:sz w:val="22"/>
          <w:highlight w:val="lightGray"/>
          <w:lang w:val="pl-PL"/>
        </w:rPr>
        <w:t>Aluminium</w:t>
      </w:r>
      <w:r w:rsidR="006B4F30" w:rsidRPr="00B94A72" w:rsidDel="006B4F30">
        <w:rPr>
          <w:sz w:val="22"/>
          <w:highlight w:val="lightGray"/>
          <w:lang w:val="pl-PL"/>
        </w:rPr>
        <w:t xml:space="preserve"> </w:t>
      </w:r>
    </w:p>
    <w:p w:rsidR="00BC4936" w:rsidRPr="00B94A72" w:rsidRDefault="00BC4936">
      <w:pPr>
        <w:tabs>
          <w:tab w:val="left" w:pos="540"/>
        </w:tabs>
        <w:rPr>
          <w:bCs/>
          <w:sz w:val="22"/>
          <w:highlight w:val="lightGray"/>
          <w:lang w:val="fr-FR"/>
        </w:rPr>
      </w:pPr>
      <w:r w:rsidRPr="00B94A72">
        <w:rPr>
          <w:bCs/>
          <w:sz w:val="22"/>
          <w:highlight w:val="lightGray"/>
          <w:lang w:val="fr-FR"/>
        </w:rPr>
        <w:t xml:space="preserve">EU/1/98/069/007 </w:t>
      </w:r>
      <w:r w:rsidRPr="008B3477">
        <w:rPr>
          <w:sz w:val="22"/>
          <w:highlight w:val="lightGray"/>
          <w:lang w:val="fr-FR"/>
        </w:rPr>
        <w:t>14 tabletek</w:t>
      </w:r>
      <w:r w:rsidR="00EA339A" w:rsidRPr="008669CB">
        <w:rPr>
          <w:sz w:val="22"/>
          <w:highlight w:val="lightGray"/>
          <w:lang w:val="fr-FR"/>
        </w:rPr>
        <w:t xml:space="preserve"> powlekanych</w:t>
      </w:r>
      <w:r w:rsidR="00A57077" w:rsidRPr="008669CB">
        <w:rPr>
          <w:sz w:val="22"/>
          <w:highlight w:val="lightGray"/>
          <w:lang w:val="pl-PL"/>
        </w:rPr>
        <w:t xml:space="preserve"> w blistrach PVC/PVDC/</w:t>
      </w:r>
      <w:r w:rsidR="006B4F30" w:rsidRPr="008669CB">
        <w:rPr>
          <w:sz w:val="22"/>
          <w:highlight w:val="lightGray"/>
          <w:lang w:val="pl-PL"/>
        </w:rPr>
        <w:t>Aluminium</w:t>
      </w:r>
    </w:p>
    <w:p w:rsidR="00C76E4E" w:rsidRPr="00B94A72" w:rsidRDefault="00C76E4E" w:rsidP="00C76E4E">
      <w:pPr>
        <w:tabs>
          <w:tab w:val="left" w:pos="540"/>
        </w:tabs>
        <w:rPr>
          <w:bCs/>
          <w:sz w:val="22"/>
          <w:highlight w:val="lightGray"/>
          <w:lang w:val="fr-FR"/>
        </w:rPr>
      </w:pPr>
      <w:r w:rsidRPr="00B94A72">
        <w:rPr>
          <w:bCs/>
          <w:sz w:val="22"/>
          <w:highlight w:val="lightGray"/>
          <w:lang w:val="fr-FR"/>
        </w:rPr>
        <w:t xml:space="preserve">EU/1/98/069/011 </w:t>
      </w:r>
      <w:r w:rsidRPr="008B3477">
        <w:rPr>
          <w:sz w:val="22"/>
          <w:highlight w:val="lightGray"/>
          <w:lang w:val="fr-FR"/>
        </w:rPr>
        <w:t>7 tabletek</w:t>
      </w:r>
      <w:r w:rsidR="00EA339A" w:rsidRPr="008669CB">
        <w:rPr>
          <w:sz w:val="22"/>
          <w:highlight w:val="lightGray"/>
          <w:lang w:val="fr-FR"/>
        </w:rPr>
        <w:t xml:space="preserve"> powlekanych</w:t>
      </w:r>
      <w:r w:rsidR="00A57077" w:rsidRPr="008669CB">
        <w:rPr>
          <w:sz w:val="22"/>
          <w:highlight w:val="lightGray"/>
          <w:lang w:val="pl-PL"/>
        </w:rPr>
        <w:t xml:space="preserve"> w blistrach PVC/PVDC/</w:t>
      </w:r>
      <w:r w:rsidR="006B4F30" w:rsidRPr="008669CB">
        <w:rPr>
          <w:sz w:val="22"/>
          <w:highlight w:val="lightGray"/>
          <w:lang w:val="pl-PL"/>
        </w:rPr>
        <w:t>Aluminium</w:t>
      </w:r>
    </w:p>
    <w:p w:rsidR="00A57077" w:rsidRPr="00A57077" w:rsidRDefault="00A57077" w:rsidP="00A57077">
      <w:pPr>
        <w:tabs>
          <w:tab w:val="left" w:pos="540"/>
        </w:tabs>
        <w:rPr>
          <w:sz w:val="22"/>
          <w:highlight w:val="lightGray"/>
          <w:lang w:val="fr-FR"/>
        </w:rPr>
      </w:pPr>
      <w:r w:rsidRPr="008669CB">
        <w:rPr>
          <w:sz w:val="22"/>
          <w:highlight w:val="lightGray"/>
          <w:lang w:val="fr-FR"/>
        </w:rPr>
        <w:t>EU/1/98/069/013 28 tabletek</w:t>
      </w:r>
      <w:r w:rsidRPr="008669CB">
        <w:rPr>
          <w:sz w:val="22"/>
          <w:highlight w:val="lightGray"/>
          <w:lang w:val="pl-PL"/>
        </w:rPr>
        <w:t xml:space="preserve"> w blistrach z aluminium</w:t>
      </w:r>
    </w:p>
    <w:p w:rsidR="00A57077" w:rsidRPr="00AE05B3" w:rsidRDefault="00A57077" w:rsidP="00A57077">
      <w:pPr>
        <w:tabs>
          <w:tab w:val="left" w:pos="540"/>
        </w:tabs>
        <w:rPr>
          <w:bCs/>
          <w:sz w:val="22"/>
          <w:highlight w:val="lightGray"/>
          <w:lang w:val="fr-FR"/>
        </w:rPr>
      </w:pPr>
      <w:r>
        <w:rPr>
          <w:bCs/>
          <w:sz w:val="22"/>
          <w:highlight w:val="lightGray"/>
          <w:lang w:val="fr-FR"/>
        </w:rPr>
        <w:t>EU/1/98/069/014</w:t>
      </w:r>
      <w:r w:rsidRPr="00AE05B3">
        <w:rPr>
          <w:bCs/>
          <w:sz w:val="22"/>
          <w:highlight w:val="lightGray"/>
          <w:lang w:val="fr-FR"/>
        </w:rPr>
        <w:t xml:space="preserve"> </w:t>
      </w:r>
      <w:r w:rsidRPr="00AE05B3">
        <w:rPr>
          <w:sz w:val="22"/>
          <w:highlight w:val="lightGray"/>
          <w:lang w:val="fr-FR"/>
        </w:rPr>
        <w:t>50</w:t>
      </w:r>
      <w:r w:rsidR="00EA339A">
        <w:rPr>
          <w:sz w:val="22"/>
          <w:highlight w:val="lightGray"/>
          <w:lang w:val="fr-FR"/>
        </w:rPr>
        <w:t>x1</w:t>
      </w:r>
      <w:r>
        <w:rPr>
          <w:sz w:val="22"/>
          <w:highlight w:val="lightGray"/>
          <w:lang w:val="fr-FR"/>
        </w:rPr>
        <w:t xml:space="preserve"> </w:t>
      </w:r>
      <w:r w:rsidRPr="00AE05B3">
        <w:rPr>
          <w:sz w:val="22"/>
          <w:highlight w:val="lightGray"/>
          <w:lang w:val="fr-FR"/>
        </w:rPr>
        <w:t>tabletk</w:t>
      </w:r>
      <w:r w:rsidR="00EA339A">
        <w:rPr>
          <w:sz w:val="22"/>
          <w:highlight w:val="lightGray"/>
          <w:lang w:val="fr-FR"/>
        </w:rPr>
        <w:t>a powlekana</w:t>
      </w:r>
      <w:r w:rsidRPr="00A57077">
        <w:rPr>
          <w:sz w:val="22"/>
          <w:highlight w:val="lightGray"/>
          <w:lang w:val="pl-PL"/>
        </w:rPr>
        <w:t xml:space="preserve"> </w:t>
      </w:r>
      <w:r w:rsidRPr="008C7649">
        <w:rPr>
          <w:sz w:val="22"/>
          <w:highlight w:val="lightGray"/>
          <w:lang w:val="pl-PL"/>
        </w:rPr>
        <w:t>w blistrach z aluminium</w:t>
      </w:r>
    </w:p>
    <w:p w:rsidR="00A57077" w:rsidRPr="00AE05B3" w:rsidRDefault="00A57077" w:rsidP="00A57077">
      <w:pPr>
        <w:pStyle w:val="EMEATableLeft"/>
        <w:keepLines w:val="0"/>
        <w:tabs>
          <w:tab w:val="left" w:pos="540"/>
        </w:tabs>
        <w:rPr>
          <w:bCs/>
          <w:highlight w:val="lightGray"/>
          <w:lang w:val="fr-FR" w:eastAsia="pl-PL"/>
        </w:rPr>
      </w:pPr>
      <w:r>
        <w:rPr>
          <w:bCs/>
          <w:highlight w:val="lightGray"/>
          <w:lang w:val="fr-FR" w:eastAsia="pl-PL"/>
        </w:rPr>
        <w:t>EU/1/98/069/015</w:t>
      </w:r>
      <w:r w:rsidRPr="00AE05B3">
        <w:rPr>
          <w:bCs/>
          <w:highlight w:val="lightGray"/>
          <w:lang w:val="fr-FR" w:eastAsia="pl-PL"/>
        </w:rPr>
        <w:t xml:space="preserve"> </w:t>
      </w:r>
      <w:r w:rsidRPr="00AE05B3">
        <w:rPr>
          <w:highlight w:val="lightGray"/>
          <w:lang w:val="fr-FR"/>
        </w:rPr>
        <w:t>84 tabletki</w:t>
      </w:r>
      <w:r w:rsidR="00EA339A">
        <w:rPr>
          <w:highlight w:val="lightGray"/>
          <w:lang w:val="fr-FR"/>
        </w:rPr>
        <w:t xml:space="preserve"> powlekane</w:t>
      </w:r>
      <w:r w:rsidRPr="00A57077">
        <w:rPr>
          <w:highlight w:val="lightGray"/>
          <w:lang w:val="pl-PL"/>
        </w:rPr>
        <w:t xml:space="preserve"> </w:t>
      </w:r>
      <w:r w:rsidRPr="008C7649">
        <w:rPr>
          <w:highlight w:val="lightGray"/>
          <w:lang w:val="pl-PL"/>
        </w:rPr>
        <w:t>w blistrach z aluminium</w:t>
      </w:r>
    </w:p>
    <w:p w:rsidR="00A57077" w:rsidRPr="00AE05B3" w:rsidRDefault="00A57077" w:rsidP="00A57077">
      <w:pPr>
        <w:tabs>
          <w:tab w:val="left" w:pos="540"/>
        </w:tabs>
        <w:rPr>
          <w:bCs/>
          <w:sz w:val="22"/>
          <w:highlight w:val="lightGray"/>
          <w:lang w:val="fr-FR"/>
        </w:rPr>
      </w:pPr>
      <w:r>
        <w:rPr>
          <w:bCs/>
          <w:sz w:val="22"/>
          <w:highlight w:val="lightGray"/>
          <w:lang w:val="fr-FR"/>
        </w:rPr>
        <w:t>EU/1/98/069/016</w:t>
      </w:r>
      <w:r w:rsidRPr="00AE05B3">
        <w:rPr>
          <w:bCs/>
          <w:sz w:val="22"/>
          <w:highlight w:val="lightGray"/>
          <w:lang w:val="fr-FR"/>
        </w:rPr>
        <w:t xml:space="preserve"> </w:t>
      </w:r>
      <w:r w:rsidRPr="00AE05B3">
        <w:rPr>
          <w:sz w:val="22"/>
          <w:highlight w:val="lightGray"/>
          <w:lang w:val="fr-FR"/>
        </w:rPr>
        <w:t>100 tabletek</w:t>
      </w:r>
      <w:r w:rsidRPr="00A57077">
        <w:rPr>
          <w:sz w:val="22"/>
          <w:highlight w:val="lightGray"/>
          <w:lang w:val="pl-PL"/>
        </w:rPr>
        <w:t xml:space="preserve"> </w:t>
      </w:r>
      <w:r w:rsidR="00EA339A">
        <w:rPr>
          <w:sz w:val="22"/>
          <w:highlight w:val="lightGray"/>
          <w:lang w:val="pl-PL"/>
        </w:rPr>
        <w:t xml:space="preserve">powlekanych </w:t>
      </w:r>
      <w:r w:rsidRPr="008C7649">
        <w:rPr>
          <w:sz w:val="22"/>
          <w:highlight w:val="lightGray"/>
          <w:lang w:val="pl-PL"/>
        </w:rPr>
        <w:t>w blistrach z aluminium</w:t>
      </w:r>
    </w:p>
    <w:p w:rsidR="00A57077" w:rsidRPr="00AE05B3" w:rsidRDefault="00A57077" w:rsidP="00A57077">
      <w:pPr>
        <w:tabs>
          <w:tab w:val="left" w:pos="540"/>
        </w:tabs>
        <w:rPr>
          <w:sz w:val="22"/>
          <w:highlight w:val="lightGray"/>
          <w:lang w:val="fr-FR"/>
        </w:rPr>
      </w:pPr>
      <w:r w:rsidRPr="00AE05B3">
        <w:rPr>
          <w:sz w:val="22"/>
          <w:highlight w:val="lightGray"/>
          <w:lang w:val="fr-FR"/>
        </w:rPr>
        <w:t>EU/1/98/069/0</w:t>
      </w:r>
      <w:r>
        <w:rPr>
          <w:sz w:val="22"/>
          <w:highlight w:val="lightGray"/>
          <w:lang w:val="fr-FR"/>
        </w:rPr>
        <w:t>17</w:t>
      </w:r>
      <w:r w:rsidRPr="00AE05B3">
        <w:rPr>
          <w:sz w:val="22"/>
          <w:highlight w:val="lightGray"/>
          <w:lang w:val="fr-FR"/>
        </w:rPr>
        <w:t xml:space="preserve"> 30 tabletek</w:t>
      </w:r>
      <w:r w:rsidRPr="00A57077">
        <w:rPr>
          <w:sz w:val="22"/>
          <w:highlight w:val="lightGray"/>
          <w:lang w:val="pl-PL"/>
        </w:rPr>
        <w:t xml:space="preserve"> </w:t>
      </w:r>
      <w:r w:rsidR="00EA339A">
        <w:rPr>
          <w:sz w:val="22"/>
          <w:highlight w:val="lightGray"/>
          <w:lang w:val="pl-PL"/>
        </w:rPr>
        <w:t>powlekanych</w:t>
      </w:r>
      <w:r w:rsidRPr="008C7649">
        <w:rPr>
          <w:sz w:val="22"/>
          <w:highlight w:val="lightGray"/>
          <w:lang w:val="pl-PL"/>
        </w:rPr>
        <w:t>w blistrach z aluminium</w:t>
      </w:r>
    </w:p>
    <w:p w:rsidR="00A57077" w:rsidRDefault="00A57077" w:rsidP="00A57077">
      <w:pPr>
        <w:tabs>
          <w:tab w:val="left" w:pos="540"/>
        </w:tabs>
        <w:rPr>
          <w:sz w:val="22"/>
          <w:lang w:val="fr-FR"/>
        </w:rPr>
      </w:pPr>
      <w:r w:rsidRPr="00AE05B3">
        <w:rPr>
          <w:sz w:val="22"/>
          <w:highlight w:val="lightGray"/>
          <w:lang w:val="fr-FR"/>
        </w:rPr>
        <w:t>EU/1/98/069/0</w:t>
      </w:r>
      <w:r>
        <w:rPr>
          <w:sz w:val="22"/>
          <w:highlight w:val="lightGray"/>
          <w:lang w:val="fr-FR"/>
        </w:rPr>
        <w:t>18</w:t>
      </w:r>
      <w:r w:rsidRPr="00AE05B3">
        <w:rPr>
          <w:sz w:val="22"/>
          <w:highlight w:val="lightGray"/>
          <w:lang w:val="fr-FR"/>
        </w:rPr>
        <w:t xml:space="preserve"> 90 tabletek</w:t>
      </w:r>
      <w:r w:rsidR="00EA339A">
        <w:rPr>
          <w:sz w:val="22"/>
          <w:highlight w:val="lightGray"/>
          <w:lang w:val="fr-FR"/>
        </w:rPr>
        <w:t xml:space="preserve"> powlekanych</w:t>
      </w:r>
      <w:r w:rsidRPr="00A57077">
        <w:rPr>
          <w:sz w:val="22"/>
          <w:highlight w:val="lightGray"/>
          <w:lang w:val="pl-PL"/>
        </w:rPr>
        <w:t xml:space="preserve"> </w:t>
      </w:r>
      <w:r w:rsidRPr="008C7649">
        <w:rPr>
          <w:sz w:val="22"/>
          <w:highlight w:val="lightGray"/>
          <w:lang w:val="pl-PL"/>
        </w:rPr>
        <w:t>w blistrach z aluminium</w:t>
      </w:r>
    </w:p>
    <w:p w:rsidR="00A57077" w:rsidRDefault="00A57077" w:rsidP="00A57077">
      <w:pPr>
        <w:tabs>
          <w:tab w:val="left" w:pos="540"/>
        </w:tabs>
        <w:rPr>
          <w:bCs/>
          <w:sz w:val="22"/>
          <w:lang w:val="fr-FR"/>
        </w:rPr>
      </w:pPr>
      <w:r w:rsidRPr="00AE05B3">
        <w:rPr>
          <w:bCs/>
          <w:sz w:val="22"/>
          <w:highlight w:val="lightGray"/>
          <w:lang w:val="fr-FR"/>
        </w:rPr>
        <w:t>EU/1/98/069/0</w:t>
      </w:r>
      <w:r>
        <w:rPr>
          <w:bCs/>
          <w:sz w:val="22"/>
          <w:highlight w:val="lightGray"/>
          <w:lang w:val="fr-FR"/>
        </w:rPr>
        <w:t>19</w:t>
      </w:r>
      <w:r w:rsidRPr="00AE05B3">
        <w:rPr>
          <w:bCs/>
          <w:sz w:val="22"/>
          <w:highlight w:val="lightGray"/>
          <w:lang w:val="fr-FR"/>
        </w:rPr>
        <w:t xml:space="preserve"> 14</w:t>
      </w:r>
      <w:r w:rsidRPr="00AE05B3">
        <w:rPr>
          <w:sz w:val="22"/>
          <w:highlight w:val="lightGray"/>
          <w:lang w:val="fr-FR"/>
        </w:rPr>
        <w:t xml:space="preserve"> tabletek</w:t>
      </w:r>
      <w:r w:rsidRPr="00A57077">
        <w:rPr>
          <w:sz w:val="22"/>
          <w:highlight w:val="lightGray"/>
          <w:lang w:val="pl-PL"/>
        </w:rPr>
        <w:t xml:space="preserve"> </w:t>
      </w:r>
      <w:r w:rsidR="00EA339A">
        <w:rPr>
          <w:sz w:val="22"/>
          <w:highlight w:val="lightGray"/>
          <w:lang w:val="pl-PL"/>
        </w:rPr>
        <w:t xml:space="preserve">powlekanych </w:t>
      </w:r>
      <w:r w:rsidRPr="008C7649">
        <w:rPr>
          <w:sz w:val="22"/>
          <w:highlight w:val="lightGray"/>
          <w:lang w:val="pl-PL"/>
        </w:rPr>
        <w:t>w blistrach z aluminium</w:t>
      </w:r>
    </w:p>
    <w:p w:rsidR="00A57077" w:rsidRDefault="00A57077" w:rsidP="00A57077">
      <w:pPr>
        <w:tabs>
          <w:tab w:val="left" w:pos="540"/>
        </w:tabs>
        <w:rPr>
          <w:sz w:val="22"/>
          <w:lang w:val="fr-FR"/>
        </w:rPr>
      </w:pPr>
      <w:r w:rsidRPr="00AE05B3">
        <w:rPr>
          <w:bCs/>
          <w:sz w:val="22"/>
          <w:highlight w:val="lightGray"/>
          <w:lang w:val="fr-FR"/>
        </w:rPr>
        <w:t>EU/1/98/069/0</w:t>
      </w:r>
      <w:r>
        <w:rPr>
          <w:bCs/>
          <w:sz w:val="22"/>
          <w:highlight w:val="lightGray"/>
          <w:lang w:val="fr-FR"/>
        </w:rPr>
        <w:t>20</w:t>
      </w:r>
      <w:r w:rsidRPr="00AE05B3">
        <w:rPr>
          <w:bCs/>
          <w:sz w:val="22"/>
          <w:highlight w:val="lightGray"/>
          <w:lang w:val="fr-FR"/>
        </w:rPr>
        <w:t xml:space="preserve"> 7</w:t>
      </w:r>
      <w:r w:rsidRPr="00AE05B3">
        <w:rPr>
          <w:sz w:val="22"/>
          <w:highlight w:val="lightGray"/>
          <w:lang w:val="fr-FR"/>
        </w:rPr>
        <w:t xml:space="preserve"> tabletek</w:t>
      </w:r>
      <w:r w:rsidRPr="00A57077">
        <w:rPr>
          <w:sz w:val="22"/>
          <w:highlight w:val="lightGray"/>
          <w:lang w:val="pl-PL"/>
        </w:rPr>
        <w:t xml:space="preserve"> </w:t>
      </w:r>
      <w:r w:rsidR="00EA339A">
        <w:rPr>
          <w:sz w:val="22"/>
          <w:highlight w:val="lightGray"/>
          <w:lang w:val="pl-PL"/>
        </w:rPr>
        <w:t xml:space="preserve">powlekanych </w:t>
      </w:r>
      <w:r w:rsidRPr="008C7649">
        <w:rPr>
          <w:sz w:val="22"/>
          <w:highlight w:val="lightGray"/>
          <w:lang w:val="pl-PL"/>
        </w:rPr>
        <w:t>w blistrach z aluminium</w:t>
      </w:r>
    </w:p>
    <w:p w:rsidR="00C76E4E" w:rsidRPr="00022436" w:rsidRDefault="00C76E4E">
      <w:pPr>
        <w:tabs>
          <w:tab w:val="left" w:pos="540"/>
        </w:tabs>
        <w:rPr>
          <w:sz w:val="22"/>
          <w:lang w:val="fr-FR"/>
        </w:rPr>
      </w:pPr>
    </w:p>
    <w:p w:rsidR="00BC4936" w:rsidRPr="00022436" w:rsidRDefault="00BC4936">
      <w:pPr>
        <w:tabs>
          <w:tab w:val="left" w:pos="540"/>
        </w:tabs>
        <w:rPr>
          <w:sz w:val="22"/>
          <w:lang w:val="fr-FR"/>
        </w:rPr>
      </w:pPr>
    </w:p>
    <w:p w:rsidR="00BC4936" w:rsidRDefault="00BC4936">
      <w:pPr>
        <w:numPr>
          <w:ilvl w:val="0"/>
          <w:numId w:val="24"/>
        </w:numPr>
        <w:pBdr>
          <w:top w:val="single" w:sz="4" w:space="1" w:color="auto"/>
          <w:left w:val="single" w:sz="4" w:space="4" w:color="auto"/>
          <w:bottom w:val="single" w:sz="4" w:space="1" w:color="auto"/>
          <w:right w:val="single" w:sz="4" w:space="4" w:color="auto"/>
        </w:pBdr>
        <w:tabs>
          <w:tab w:val="clear" w:pos="1260"/>
          <w:tab w:val="num" w:pos="0"/>
          <w:tab w:val="left" w:pos="540"/>
        </w:tabs>
        <w:ind w:left="0" w:firstLine="0"/>
        <w:rPr>
          <w:b/>
          <w:sz w:val="22"/>
          <w:lang w:val="pl-PL"/>
        </w:rPr>
      </w:pPr>
      <w:r>
        <w:rPr>
          <w:b/>
          <w:sz w:val="22"/>
          <w:lang w:val="pl-PL"/>
        </w:rPr>
        <w:t xml:space="preserve">NUMER SERII </w:t>
      </w:r>
    </w:p>
    <w:p w:rsidR="00BC4936" w:rsidRDefault="00BC4936">
      <w:pPr>
        <w:tabs>
          <w:tab w:val="left" w:pos="540"/>
        </w:tabs>
        <w:rPr>
          <w:sz w:val="22"/>
          <w:lang w:val="pl-PL"/>
        </w:rPr>
      </w:pPr>
    </w:p>
    <w:p w:rsidR="00BC4936" w:rsidRDefault="00A211D3">
      <w:pPr>
        <w:tabs>
          <w:tab w:val="left" w:pos="540"/>
        </w:tabs>
        <w:rPr>
          <w:sz w:val="22"/>
          <w:lang w:val="pl-PL"/>
        </w:rPr>
      </w:pPr>
      <w:r>
        <w:rPr>
          <w:sz w:val="22"/>
          <w:lang w:val="pl-PL"/>
        </w:rPr>
        <w:t>Nr serii (Lot)</w:t>
      </w:r>
      <w:r w:rsidR="0052135C">
        <w:rPr>
          <w:sz w:val="22"/>
          <w:lang w:val="pl-PL"/>
        </w:rPr>
        <w:t>:</w:t>
      </w:r>
    </w:p>
    <w:p w:rsidR="00BC4936" w:rsidRPr="00022436" w:rsidRDefault="00BC4936">
      <w:pPr>
        <w:tabs>
          <w:tab w:val="left" w:pos="540"/>
        </w:tabs>
        <w:rPr>
          <w:sz w:val="22"/>
          <w:lang w:val="pl-PL"/>
        </w:rPr>
      </w:pPr>
    </w:p>
    <w:p w:rsidR="00BC4936" w:rsidRPr="00022436" w:rsidRDefault="00BC4936">
      <w:pPr>
        <w:tabs>
          <w:tab w:val="left" w:pos="540"/>
        </w:tabs>
        <w:rPr>
          <w:sz w:val="22"/>
          <w:lang w:val="pl-PL"/>
        </w:rPr>
      </w:pPr>
    </w:p>
    <w:p w:rsidR="00BC4936" w:rsidRDefault="00170BA6">
      <w:pPr>
        <w:numPr>
          <w:ilvl w:val="0"/>
          <w:numId w:val="24"/>
        </w:numPr>
        <w:pBdr>
          <w:top w:val="single" w:sz="4" w:space="1" w:color="auto"/>
          <w:left w:val="single" w:sz="4" w:space="4" w:color="auto"/>
          <w:bottom w:val="single" w:sz="4" w:space="1" w:color="auto"/>
          <w:right w:val="single" w:sz="4" w:space="4" w:color="auto"/>
        </w:pBdr>
        <w:tabs>
          <w:tab w:val="clear" w:pos="1260"/>
          <w:tab w:val="num" w:pos="0"/>
          <w:tab w:val="left" w:pos="540"/>
        </w:tabs>
        <w:ind w:left="0" w:firstLine="16"/>
        <w:rPr>
          <w:b/>
          <w:sz w:val="22"/>
          <w:lang w:val="pl-PL"/>
        </w:rPr>
      </w:pPr>
      <w:r>
        <w:rPr>
          <w:b/>
          <w:sz w:val="22"/>
          <w:lang w:val="pl-PL"/>
        </w:rPr>
        <w:t xml:space="preserve">OGÓLNA </w:t>
      </w:r>
      <w:r w:rsidR="00BC4936">
        <w:rPr>
          <w:b/>
          <w:sz w:val="22"/>
          <w:lang w:val="pl-PL"/>
        </w:rPr>
        <w:t>KATEGORIA DOSTĘPNOŚCI</w:t>
      </w:r>
    </w:p>
    <w:p w:rsidR="00BC4936" w:rsidRPr="00022436" w:rsidRDefault="00BC4936">
      <w:pPr>
        <w:tabs>
          <w:tab w:val="left" w:pos="540"/>
        </w:tabs>
        <w:rPr>
          <w:sz w:val="22"/>
          <w:lang w:val="pl-PL"/>
        </w:rPr>
      </w:pPr>
    </w:p>
    <w:p w:rsidR="00BC4936" w:rsidRDefault="0052135C">
      <w:pPr>
        <w:pStyle w:val="BodyText3"/>
        <w:tabs>
          <w:tab w:val="clear" w:pos="567"/>
          <w:tab w:val="left" w:pos="540"/>
        </w:tabs>
        <w:rPr>
          <w:lang w:val="pl-PL"/>
        </w:rPr>
      </w:pPr>
      <w:r>
        <w:rPr>
          <w:lang w:val="pl-PL"/>
        </w:rPr>
        <w:t xml:space="preserve">Produkt leczniczy </w:t>
      </w:r>
      <w:r w:rsidR="00BC4936">
        <w:rPr>
          <w:lang w:val="pl-PL"/>
        </w:rPr>
        <w:t>wydawany na receptę.</w:t>
      </w:r>
    </w:p>
    <w:p w:rsidR="00BC4936" w:rsidRDefault="00BC4936">
      <w:pPr>
        <w:tabs>
          <w:tab w:val="left" w:pos="540"/>
        </w:tabs>
        <w:rPr>
          <w:sz w:val="22"/>
          <w:lang w:val="pl-PL"/>
        </w:rPr>
      </w:pPr>
    </w:p>
    <w:p w:rsidR="00BC4936" w:rsidRDefault="00BC4936">
      <w:pPr>
        <w:tabs>
          <w:tab w:val="left" w:pos="540"/>
        </w:tabs>
        <w:rPr>
          <w:sz w:val="22"/>
          <w:lang w:val="pl-PL"/>
        </w:rPr>
      </w:pPr>
    </w:p>
    <w:p w:rsidR="00BC4936" w:rsidRDefault="00BC4936">
      <w:pPr>
        <w:numPr>
          <w:ilvl w:val="0"/>
          <w:numId w:val="26"/>
        </w:numPr>
        <w:pBdr>
          <w:top w:val="single" w:sz="4" w:space="1" w:color="auto"/>
          <w:left w:val="single" w:sz="4" w:space="4" w:color="auto"/>
          <w:bottom w:val="single" w:sz="4" w:space="1" w:color="auto"/>
          <w:right w:val="single" w:sz="4" w:space="4" w:color="auto"/>
        </w:pBdr>
        <w:tabs>
          <w:tab w:val="clear" w:pos="360"/>
          <w:tab w:val="left" w:pos="540"/>
          <w:tab w:val="num" w:pos="567"/>
        </w:tabs>
        <w:ind w:left="567" w:hanging="567"/>
        <w:rPr>
          <w:b/>
          <w:sz w:val="22"/>
          <w:lang w:val="pl-PL"/>
        </w:rPr>
      </w:pPr>
      <w:r>
        <w:rPr>
          <w:b/>
          <w:sz w:val="22"/>
          <w:lang w:val="pl-PL"/>
        </w:rPr>
        <w:t>INSTRUKCJA UŻYCIA</w:t>
      </w:r>
    </w:p>
    <w:p w:rsidR="00BC4936" w:rsidRPr="00022436" w:rsidRDefault="00BC4936">
      <w:pPr>
        <w:rPr>
          <w:sz w:val="22"/>
          <w:lang w:val="pl-PL"/>
        </w:rPr>
      </w:pPr>
    </w:p>
    <w:p w:rsidR="00F3533D" w:rsidRPr="00022436" w:rsidRDefault="00F3533D">
      <w:pPr>
        <w:rPr>
          <w:sz w:val="22"/>
          <w:lang w:val="pl-P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3533D" w:rsidTr="00AE05B3">
        <w:tc>
          <w:tcPr>
            <w:tcW w:w="5000" w:type="pct"/>
            <w:shd w:val="clear" w:color="auto" w:fill="auto"/>
          </w:tcPr>
          <w:p w:rsidR="00F3533D" w:rsidRPr="00AE05B3" w:rsidRDefault="00F3533D" w:rsidP="00AE05B3">
            <w:pPr>
              <w:numPr>
                <w:ilvl w:val="0"/>
                <w:numId w:val="26"/>
              </w:numPr>
              <w:tabs>
                <w:tab w:val="clear" w:pos="360"/>
                <w:tab w:val="num" w:pos="567"/>
              </w:tabs>
              <w:rPr>
                <w:b/>
                <w:sz w:val="22"/>
                <w:lang w:val="pl-PL"/>
              </w:rPr>
            </w:pPr>
            <w:r w:rsidRPr="00AE05B3">
              <w:rPr>
                <w:b/>
                <w:sz w:val="22"/>
                <w:lang w:val="pl-PL"/>
              </w:rPr>
              <w:t>INFORMACJA PODANA SYSTEMEM BRAILLE’A</w:t>
            </w:r>
          </w:p>
        </w:tc>
      </w:tr>
    </w:tbl>
    <w:p w:rsidR="00BC4936" w:rsidRDefault="00BC4936">
      <w:pPr>
        <w:rPr>
          <w:sz w:val="22"/>
          <w:lang w:val="pl-PL"/>
        </w:rPr>
      </w:pPr>
    </w:p>
    <w:p w:rsidR="00C7762F" w:rsidRDefault="00B04330">
      <w:pPr>
        <w:rPr>
          <w:sz w:val="22"/>
          <w:lang w:val="pl-PL"/>
        </w:rPr>
      </w:pPr>
      <w:r>
        <w:rPr>
          <w:sz w:val="22"/>
          <w:lang w:val="pl-PL"/>
        </w:rPr>
        <w:t>Plavix</w:t>
      </w:r>
      <w:r w:rsidR="00C7762F">
        <w:rPr>
          <w:sz w:val="22"/>
          <w:lang w:val="pl-PL"/>
        </w:rPr>
        <w:t xml:space="preserve"> 75 mg</w:t>
      </w:r>
    </w:p>
    <w:p w:rsidR="007D7BDA" w:rsidRDefault="007D7BDA">
      <w:pPr>
        <w:rPr>
          <w:sz w:val="22"/>
          <w:lang w:val="pl-PL"/>
        </w:rPr>
      </w:pPr>
    </w:p>
    <w:p w:rsidR="007D7BDA" w:rsidRDefault="007D7BDA" w:rsidP="007D7BDA">
      <w:pPr>
        <w:rPr>
          <w:color w:val="000000"/>
          <w:sz w:val="22"/>
          <w:szCs w:val="22"/>
        </w:rPr>
      </w:pPr>
    </w:p>
    <w:p w:rsidR="007D7BDA" w:rsidRDefault="007D7BDA" w:rsidP="007D7BDA">
      <w:pPr>
        <w:rPr>
          <w:color w:val="000000"/>
          <w:sz w:val="22"/>
          <w:szCs w:val="22"/>
        </w:rPr>
      </w:pPr>
    </w:p>
    <w:p w:rsidR="007D7BDA" w:rsidRPr="00BD6C12" w:rsidRDefault="007D7BDA" w:rsidP="007D7BDA">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sz w:val="22"/>
          <w:lang w:val="pl-PL"/>
        </w:rPr>
      </w:pPr>
      <w:r w:rsidRPr="00BD6C12">
        <w:rPr>
          <w:b/>
          <w:noProof/>
          <w:sz w:val="22"/>
          <w:szCs w:val="28"/>
          <w:lang w:val="pl-PL"/>
        </w:rPr>
        <w:t>17.</w:t>
      </w:r>
      <w:r w:rsidRPr="00BD6C12">
        <w:rPr>
          <w:b/>
          <w:noProof/>
          <w:sz w:val="22"/>
          <w:szCs w:val="28"/>
          <w:lang w:val="pl-PL"/>
        </w:rPr>
        <w:tab/>
        <w:t>NIEPOWTARZALNY IDENTYFIKATOR – KOD 2D</w:t>
      </w:r>
    </w:p>
    <w:p w:rsidR="007D7BDA" w:rsidRDefault="007D7BDA" w:rsidP="007D7BDA">
      <w:pPr>
        <w:tabs>
          <w:tab w:val="left" w:pos="720"/>
        </w:tabs>
        <w:ind w:left="567" w:hanging="567"/>
        <w:rPr>
          <w:noProof/>
          <w:sz w:val="22"/>
          <w:szCs w:val="28"/>
          <w:lang w:val="pl-PL"/>
        </w:rPr>
      </w:pPr>
    </w:p>
    <w:p w:rsidR="00ED5674" w:rsidRPr="00FF6315" w:rsidRDefault="00ED5674" w:rsidP="00ED5674">
      <w:pPr>
        <w:ind w:left="567" w:hanging="567"/>
        <w:rPr>
          <w:noProof/>
          <w:sz w:val="22"/>
          <w:szCs w:val="22"/>
          <w:shd w:val="clear" w:color="auto" w:fill="CCCCCC"/>
          <w:lang w:val="pl-PL"/>
        </w:rPr>
      </w:pPr>
      <w:r w:rsidRPr="00FF6315">
        <w:rPr>
          <w:noProof/>
          <w:sz w:val="22"/>
          <w:szCs w:val="28"/>
          <w:highlight w:val="lightGray"/>
          <w:lang w:val="pl-PL"/>
        </w:rPr>
        <w:t>Obejmuje kod 2D będący nośnikiem niepowtarzalnego identyfikatora.</w:t>
      </w:r>
    </w:p>
    <w:p w:rsidR="00ED5674" w:rsidRPr="00BD6C12" w:rsidRDefault="00ED5674" w:rsidP="007D7BDA">
      <w:pPr>
        <w:tabs>
          <w:tab w:val="left" w:pos="720"/>
        </w:tabs>
        <w:ind w:left="567" w:hanging="567"/>
        <w:rPr>
          <w:noProof/>
          <w:sz w:val="22"/>
          <w:szCs w:val="28"/>
          <w:lang w:val="pl-PL"/>
        </w:rPr>
      </w:pPr>
    </w:p>
    <w:p w:rsidR="007D7BDA" w:rsidRPr="00BD6C12" w:rsidRDefault="007D7BDA" w:rsidP="007D7BDA">
      <w:pPr>
        <w:ind w:left="567" w:hanging="567"/>
        <w:rPr>
          <w:noProof/>
          <w:sz w:val="22"/>
          <w:szCs w:val="28"/>
          <w:lang w:val="pl-PL"/>
        </w:rPr>
      </w:pPr>
    </w:p>
    <w:p w:rsidR="007D7BDA" w:rsidRPr="00BD6C12" w:rsidRDefault="007D7BDA" w:rsidP="007D7BDA">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sz w:val="22"/>
          <w:szCs w:val="28"/>
          <w:lang w:val="pl-PL"/>
        </w:rPr>
      </w:pPr>
      <w:r w:rsidRPr="00BD6C12">
        <w:rPr>
          <w:b/>
          <w:noProof/>
          <w:sz w:val="22"/>
          <w:szCs w:val="28"/>
          <w:lang w:val="pl-PL"/>
        </w:rPr>
        <w:t>18.</w:t>
      </w:r>
      <w:r w:rsidRPr="00BD6C12">
        <w:rPr>
          <w:b/>
          <w:noProof/>
          <w:sz w:val="22"/>
          <w:szCs w:val="28"/>
          <w:lang w:val="pl-PL"/>
        </w:rPr>
        <w:tab/>
        <w:t>NIEPOWTARZALNY IDENTYFIKATOR – DANE CZYTELNE DLA CZŁOWIEKA</w:t>
      </w:r>
    </w:p>
    <w:p w:rsidR="007D7BDA" w:rsidRDefault="007D7BDA">
      <w:pPr>
        <w:rPr>
          <w:sz w:val="22"/>
          <w:lang w:val="pl-PL"/>
        </w:rPr>
      </w:pPr>
    </w:p>
    <w:p w:rsidR="00ED5674" w:rsidRPr="00ED5674" w:rsidRDefault="00ED5674" w:rsidP="00ED5674">
      <w:pPr>
        <w:rPr>
          <w:color w:val="008000"/>
          <w:sz w:val="24"/>
          <w:szCs w:val="22"/>
          <w:lang w:eastAsia="en-US"/>
        </w:rPr>
      </w:pPr>
      <w:r w:rsidRPr="00ED5674">
        <w:rPr>
          <w:sz w:val="24"/>
          <w:szCs w:val="22"/>
          <w:lang w:eastAsia="en-US"/>
        </w:rPr>
        <w:t xml:space="preserve">PC: </w:t>
      </w:r>
    </w:p>
    <w:p w:rsidR="00ED5674" w:rsidRPr="00ED5674" w:rsidRDefault="00ED5674" w:rsidP="00ED5674">
      <w:pPr>
        <w:rPr>
          <w:sz w:val="24"/>
          <w:szCs w:val="22"/>
          <w:lang w:eastAsia="en-US"/>
        </w:rPr>
      </w:pPr>
      <w:r w:rsidRPr="00ED5674">
        <w:rPr>
          <w:sz w:val="24"/>
          <w:szCs w:val="22"/>
          <w:lang w:eastAsia="en-US"/>
        </w:rPr>
        <w:t xml:space="preserve">SN: </w:t>
      </w:r>
    </w:p>
    <w:p w:rsidR="00ED5674" w:rsidRPr="00ED5674" w:rsidRDefault="00ED5674" w:rsidP="00ED5674">
      <w:pPr>
        <w:rPr>
          <w:sz w:val="24"/>
          <w:szCs w:val="22"/>
          <w:lang w:eastAsia="en-US"/>
        </w:rPr>
      </w:pPr>
      <w:r w:rsidRPr="00ED5674">
        <w:rPr>
          <w:sz w:val="24"/>
          <w:szCs w:val="22"/>
          <w:lang w:eastAsia="en-US"/>
        </w:rPr>
        <w:t xml:space="preserve">NN: </w:t>
      </w:r>
    </w:p>
    <w:p w:rsidR="00ED5674" w:rsidRDefault="00ED5674">
      <w:pPr>
        <w:rPr>
          <w:sz w:val="22"/>
          <w:lang w:val="pl-PL"/>
        </w:rPr>
      </w:pPr>
    </w:p>
    <w:p w:rsidR="00BC4936" w:rsidRDefault="00BC4936">
      <w:pPr>
        <w:pBdr>
          <w:top w:val="single" w:sz="4" w:space="1" w:color="auto"/>
          <w:left w:val="single" w:sz="4" w:space="4" w:color="auto"/>
          <w:bottom w:val="single" w:sz="4" w:space="1" w:color="auto"/>
          <w:right w:val="single" w:sz="4" w:space="4" w:color="auto"/>
        </w:pBdr>
        <w:rPr>
          <w:b/>
          <w:sz w:val="22"/>
          <w:lang w:val="pl-PL"/>
        </w:rPr>
      </w:pPr>
      <w:r>
        <w:rPr>
          <w:sz w:val="22"/>
          <w:lang w:val="pl-PL"/>
        </w:rPr>
        <w:br w:type="page"/>
      </w:r>
      <w:r>
        <w:rPr>
          <w:b/>
          <w:sz w:val="22"/>
          <w:lang w:val="pl-PL"/>
        </w:rPr>
        <w:t xml:space="preserve">MINIMUM INFORMACJI ZAMIESZCZANYCH NA BLISTRACH </w:t>
      </w:r>
    </w:p>
    <w:p w:rsidR="00BC4936" w:rsidRDefault="00FA16E3">
      <w:pPr>
        <w:pBdr>
          <w:top w:val="single" w:sz="4" w:space="1" w:color="auto"/>
          <w:left w:val="single" w:sz="4" w:space="4" w:color="auto"/>
          <w:bottom w:val="single" w:sz="4" w:space="1" w:color="auto"/>
          <w:right w:val="single" w:sz="4" w:space="4" w:color="auto"/>
        </w:pBdr>
        <w:rPr>
          <w:b/>
          <w:sz w:val="22"/>
          <w:lang w:val="pl-PL"/>
        </w:rPr>
      </w:pPr>
      <w:r>
        <w:rPr>
          <w:b/>
          <w:sz w:val="22"/>
          <w:lang w:val="pl-PL"/>
        </w:rPr>
        <w:t>BLISTER/</w:t>
      </w:r>
      <w:r w:rsidR="00926836">
        <w:rPr>
          <w:b/>
          <w:sz w:val="22"/>
          <w:lang w:val="pl-PL"/>
        </w:rPr>
        <w:t xml:space="preserve">7, </w:t>
      </w:r>
      <w:r w:rsidR="00BC4936">
        <w:rPr>
          <w:b/>
          <w:sz w:val="22"/>
          <w:lang w:val="pl-PL"/>
        </w:rPr>
        <w:t>14, 28 lub 84 tabletki w pudełku</w:t>
      </w:r>
    </w:p>
    <w:p w:rsidR="00BC4936" w:rsidRPr="00022436" w:rsidRDefault="00BC4936">
      <w:pPr>
        <w:rPr>
          <w:sz w:val="22"/>
          <w:lang w:val="pl-PL"/>
        </w:rPr>
      </w:pPr>
    </w:p>
    <w:p w:rsidR="00BC4936" w:rsidRPr="00022436" w:rsidRDefault="00BC4936">
      <w:pPr>
        <w:rPr>
          <w:sz w:val="22"/>
          <w:lang w:val="pl-PL"/>
        </w:rPr>
      </w:pPr>
    </w:p>
    <w:p w:rsidR="00BC4936" w:rsidRDefault="00BC4936">
      <w:pPr>
        <w:numPr>
          <w:ilvl w:val="0"/>
          <w:numId w:val="25"/>
        </w:numPr>
        <w:pBdr>
          <w:top w:val="single" w:sz="4" w:space="1" w:color="auto"/>
          <w:left w:val="single" w:sz="4" w:space="4" w:color="auto"/>
          <w:bottom w:val="single" w:sz="4" w:space="1" w:color="auto"/>
          <w:right w:val="single" w:sz="4" w:space="4" w:color="auto"/>
        </w:pBdr>
        <w:tabs>
          <w:tab w:val="clear" w:pos="1140"/>
          <w:tab w:val="num" w:pos="567"/>
        </w:tabs>
        <w:ind w:left="0" w:hanging="6"/>
        <w:rPr>
          <w:b/>
          <w:sz w:val="22"/>
          <w:lang w:val="pl-PL"/>
        </w:rPr>
      </w:pPr>
      <w:r>
        <w:rPr>
          <w:b/>
          <w:sz w:val="22"/>
          <w:lang w:val="pl-PL"/>
        </w:rPr>
        <w:t>NAZWA PRODUKTU LECZNICZEGO</w:t>
      </w:r>
    </w:p>
    <w:p w:rsidR="00BC4936" w:rsidRPr="00022436" w:rsidRDefault="00BC4936">
      <w:pPr>
        <w:rPr>
          <w:sz w:val="22"/>
          <w:lang w:val="pl-PL"/>
        </w:rPr>
      </w:pPr>
    </w:p>
    <w:p w:rsidR="00BC4936" w:rsidRDefault="00B04330">
      <w:pPr>
        <w:rPr>
          <w:sz w:val="22"/>
          <w:lang w:val="pl-PL"/>
        </w:rPr>
      </w:pPr>
      <w:r>
        <w:rPr>
          <w:sz w:val="22"/>
          <w:lang w:val="pl-PL"/>
        </w:rPr>
        <w:t>Plavix</w:t>
      </w:r>
      <w:r w:rsidR="00BC4936">
        <w:rPr>
          <w:sz w:val="22"/>
          <w:lang w:val="pl-PL"/>
        </w:rPr>
        <w:t xml:space="preserve"> 75 mg tabletki powlekane</w:t>
      </w:r>
    </w:p>
    <w:p w:rsidR="00BC4936" w:rsidRDefault="00B304CE">
      <w:pPr>
        <w:rPr>
          <w:sz w:val="22"/>
          <w:lang w:val="pl-PL"/>
        </w:rPr>
      </w:pPr>
      <w:r>
        <w:rPr>
          <w:sz w:val="22"/>
          <w:lang w:val="pl-PL"/>
        </w:rPr>
        <w:t>k</w:t>
      </w:r>
      <w:r w:rsidR="00BC4936">
        <w:rPr>
          <w:sz w:val="22"/>
          <w:lang w:val="pl-PL"/>
        </w:rPr>
        <w:t>lopidogrel</w:t>
      </w:r>
    </w:p>
    <w:p w:rsidR="00BC4936" w:rsidRPr="00022436" w:rsidRDefault="00BC4936">
      <w:pPr>
        <w:rPr>
          <w:sz w:val="22"/>
          <w:lang w:val="pl-PL"/>
        </w:rPr>
      </w:pPr>
    </w:p>
    <w:p w:rsidR="00BC4936" w:rsidRPr="00022436" w:rsidRDefault="00BC4936">
      <w:pPr>
        <w:rPr>
          <w:sz w:val="22"/>
          <w:lang w:val="pl-PL"/>
        </w:rPr>
      </w:pPr>
    </w:p>
    <w:p w:rsidR="00BC4936" w:rsidRDefault="00BC4936">
      <w:pPr>
        <w:numPr>
          <w:ilvl w:val="0"/>
          <w:numId w:val="25"/>
        </w:numPr>
        <w:pBdr>
          <w:top w:val="single" w:sz="4" w:space="1" w:color="auto"/>
          <w:left w:val="single" w:sz="4" w:space="4" w:color="auto"/>
          <w:bottom w:val="single" w:sz="4" w:space="1" w:color="auto"/>
          <w:right w:val="single" w:sz="4" w:space="4" w:color="auto"/>
        </w:pBdr>
        <w:tabs>
          <w:tab w:val="clear" w:pos="1140"/>
          <w:tab w:val="num" w:pos="567"/>
        </w:tabs>
        <w:ind w:left="0" w:hanging="6"/>
        <w:rPr>
          <w:b/>
          <w:sz w:val="22"/>
          <w:lang w:val="pl-PL"/>
        </w:rPr>
      </w:pPr>
      <w:r>
        <w:rPr>
          <w:b/>
          <w:sz w:val="22"/>
          <w:lang w:val="pl-PL"/>
        </w:rPr>
        <w:t>NAZWA PODMIOTU ODPOWIEDZIALNEGO</w:t>
      </w:r>
    </w:p>
    <w:p w:rsidR="00BC4936" w:rsidRPr="00022436" w:rsidRDefault="00BC4936">
      <w:pPr>
        <w:rPr>
          <w:sz w:val="22"/>
          <w:lang w:val="pl-PL"/>
        </w:rPr>
      </w:pPr>
    </w:p>
    <w:p w:rsidR="00BC4936" w:rsidRPr="006012C7" w:rsidRDefault="002E46E0">
      <w:pPr>
        <w:rPr>
          <w:sz w:val="22"/>
        </w:rPr>
      </w:pPr>
      <w:r w:rsidRPr="00925BA3">
        <w:rPr>
          <w:sz w:val="22"/>
          <w:szCs w:val="22"/>
          <w:lang w:val="fr-FR"/>
        </w:rPr>
        <w:t>sanofi-aventis groupe</w:t>
      </w:r>
    </w:p>
    <w:p w:rsidR="00BC4936" w:rsidRPr="006012C7" w:rsidRDefault="00BC4936">
      <w:pPr>
        <w:rPr>
          <w:sz w:val="22"/>
        </w:rPr>
      </w:pPr>
    </w:p>
    <w:p w:rsidR="00BC4936" w:rsidRDefault="00BC4936">
      <w:pPr>
        <w:numPr>
          <w:ilvl w:val="0"/>
          <w:numId w:val="25"/>
        </w:numPr>
        <w:pBdr>
          <w:top w:val="single" w:sz="4" w:space="1" w:color="auto"/>
          <w:left w:val="single" w:sz="4" w:space="4" w:color="auto"/>
          <w:bottom w:val="single" w:sz="4" w:space="1" w:color="auto"/>
          <w:right w:val="single" w:sz="4" w:space="4" w:color="auto"/>
        </w:pBdr>
        <w:tabs>
          <w:tab w:val="clear" w:pos="1140"/>
          <w:tab w:val="num" w:pos="567"/>
        </w:tabs>
        <w:ind w:left="0" w:hanging="6"/>
        <w:rPr>
          <w:b/>
          <w:sz w:val="22"/>
          <w:lang w:val="pl-PL"/>
        </w:rPr>
      </w:pPr>
      <w:r>
        <w:rPr>
          <w:b/>
          <w:sz w:val="22"/>
          <w:lang w:val="pl-PL"/>
        </w:rPr>
        <w:t>TERMIN WAŻNOŚCI</w:t>
      </w:r>
    </w:p>
    <w:p w:rsidR="00BC4936" w:rsidRPr="00022436" w:rsidRDefault="00BC4936">
      <w:pPr>
        <w:rPr>
          <w:sz w:val="22"/>
          <w:lang w:val="pl-PL"/>
        </w:rPr>
      </w:pPr>
    </w:p>
    <w:p w:rsidR="00BC4936" w:rsidRDefault="00A211D3">
      <w:pPr>
        <w:rPr>
          <w:sz w:val="22"/>
          <w:lang w:val="pl-PL"/>
        </w:rPr>
      </w:pPr>
      <w:r>
        <w:rPr>
          <w:sz w:val="22"/>
          <w:lang w:val="pl-PL"/>
        </w:rPr>
        <w:t>EXP</w:t>
      </w:r>
      <w:r w:rsidR="00F3533D">
        <w:rPr>
          <w:sz w:val="22"/>
          <w:lang w:val="pl-PL"/>
        </w:rPr>
        <w:t>:</w:t>
      </w:r>
    </w:p>
    <w:p w:rsidR="00BC4936" w:rsidRDefault="00BC4936">
      <w:pPr>
        <w:rPr>
          <w:sz w:val="22"/>
          <w:lang w:val="pl-PL"/>
        </w:rPr>
      </w:pPr>
    </w:p>
    <w:p w:rsidR="00BC4936" w:rsidRDefault="00BC4936">
      <w:pPr>
        <w:rPr>
          <w:sz w:val="22"/>
          <w:lang w:val="pl-PL"/>
        </w:rPr>
      </w:pPr>
    </w:p>
    <w:p w:rsidR="00BC4936" w:rsidRDefault="00BC4936">
      <w:pPr>
        <w:numPr>
          <w:ilvl w:val="0"/>
          <w:numId w:val="25"/>
        </w:numPr>
        <w:pBdr>
          <w:top w:val="single" w:sz="4" w:space="1" w:color="auto"/>
          <w:left w:val="single" w:sz="4" w:space="4" w:color="auto"/>
          <w:bottom w:val="single" w:sz="4" w:space="1" w:color="auto"/>
          <w:right w:val="single" w:sz="4" w:space="4" w:color="auto"/>
        </w:pBdr>
        <w:tabs>
          <w:tab w:val="clear" w:pos="1140"/>
          <w:tab w:val="num" w:pos="567"/>
        </w:tabs>
        <w:ind w:left="0" w:hanging="6"/>
        <w:rPr>
          <w:b/>
          <w:sz w:val="22"/>
          <w:lang w:val="pl-PL"/>
        </w:rPr>
      </w:pPr>
      <w:r>
        <w:rPr>
          <w:b/>
          <w:sz w:val="22"/>
          <w:lang w:val="pl-PL"/>
        </w:rPr>
        <w:t>NUMER SERII</w:t>
      </w:r>
    </w:p>
    <w:p w:rsidR="00BC4936" w:rsidRPr="00022436" w:rsidRDefault="00BC4936">
      <w:pPr>
        <w:rPr>
          <w:sz w:val="22"/>
          <w:lang w:val="pl-PL"/>
        </w:rPr>
      </w:pPr>
    </w:p>
    <w:p w:rsidR="00BC4936" w:rsidRDefault="00A211D3">
      <w:pPr>
        <w:rPr>
          <w:sz w:val="22"/>
          <w:lang w:val="pl-PL"/>
        </w:rPr>
      </w:pPr>
      <w:r>
        <w:rPr>
          <w:sz w:val="22"/>
          <w:lang w:val="pl-PL"/>
        </w:rPr>
        <w:t>Lot</w:t>
      </w:r>
      <w:r w:rsidR="00F3533D">
        <w:rPr>
          <w:sz w:val="22"/>
          <w:lang w:val="pl-PL"/>
        </w:rPr>
        <w:t>:</w:t>
      </w:r>
    </w:p>
    <w:p w:rsidR="00BC4936" w:rsidRDefault="00BC4936">
      <w:pPr>
        <w:rPr>
          <w:sz w:val="22"/>
          <w:lang w:val="pl-PL"/>
        </w:rPr>
      </w:pPr>
    </w:p>
    <w:p w:rsidR="00BC4936" w:rsidRDefault="00BC4936">
      <w:pPr>
        <w:rPr>
          <w:sz w:val="22"/>
          <w:lang w:val="pl-PL"/>
        </w:rPr>
      </w:pPr>
    </w:p>
    <w:p w:rsidR="00BC4936" w:rsidRDefault="00BC4936" w:rsidP="00A64B0E">
      <w:pPr>
        <w:pBdr>
          <w:top w:val="single" w:sz="4" w:space="1" w:color="auto"/>
          <w:left w:val="single" w:sz="4" w:space="4" w:color="auto"/>
          <w:bottom w:val="single" w:sz="4" w:space="1" w:color="auto"/>
          <w:right w:val="single" w:sz="4" w:space="4" w:color="auto"/>
        </w:pBdr>
        <w:ind w:left="567" w:hanging="567"/>
        <w:rPr>
          <w:b/>
          <w:bCs/>
          <w:sz w:val="22"/>
          <w:lang w:val="pl-PL"/>
        </w:rPr>
      </w:pPr>
      <w:r>
        <w:rPr>
          <w:b/>
          <w:bCs/>
          <w:sz w:val="22"/>
          <w:lang w:val="pl-PL"/>
        </w:rPr>
        <w:t>5.</w:t>
      </w:r>
      <w:r w:rsidR="00F3533D">
        <w:rPr>
          <w:b/>
          <w:bCs/>
          <w:sz w:val="22"/>
          <w:lang w:val="pl-PL"/>
        </w:rPr>
        <w:tab/>
      </w:r>
      <w:r>
        <w:rPr>
          <w:b/>
          <w:bCs/>
          <w:sz w:val="22"/>
          <w:lang w:val="pl-PL"/>
        </w:rPr>
        <w:t>INNE</w:t>
      </w:r>
    </w:p>
    <w:p w:rsidR="00BC4936" w:rsidRDefault="00BC4936">
      <w:pPr>
        <w:rPr>
          <w:sz w:val="22"/>
          <w:lang w:val="pl-PL"/>
        </w:rPr>
      </w:pPr>
    </w:p>
    <w:p w:rsidR="00BC4936" w:rsidRDefault="00BC4936">
      <w:pPr>
        <w:rPr>
          <w:sz w:val="22"/>
          <w:lang w:val="pl-PL"/>
        </w:rPr>
      </w:pPr>
      <w:r w:rsidRPr="00A64B0E">
        <w:rPr>
          <w:sz w:val="22"/>
          <w:highlight w:val="lightGray"/>
          <w:lang w:val="pl-PL"/>
        </w:rPr>
        <w:t>Dni kalendarzowe</w:t>
      </w:r>
    </w:p>
    <w:p w:rsidR="00BC4936" w:rsidRDefault="003B486E">
      <w:pPr>
        <w:rPr>
          <w:sz w:val="22"/>
          <w:lang w:val="pl-PL"/>
        </w:rPr>
      </w:pPr>
      <w:r>
        <w:rPr>
          <w:sz w:val="22"/>
          <w:lang w:val="pl-PL"/>
        </w:rPr>
        <w:t>p</w:t>
      </w:r>
      <w:r w:rsidR="00BC4936">
        <w:rPr>
          <w:sz w:val="22"/>
          <w:lang w:val="pl-PL"/>
        </w:rPr>
        <w:t>n</w:t>
      </w:r>
      <w:r>
        <w:rPr>
          <w:sz w:val="22"/>
          <w:lang w:val="pl-PL"/>
        </w:rPr>
        <w:t>.</w:t>
      </w:r>
    </w:p>
    <w:p w:rsidR="00BC4936" w:rsidRDefault="003B486E">
      <w:pPr>
        <w:rPr>
          <w:sz w:val="22"/>
          <w:lang w:val="pl-PL"/>
        </w:rPr>
      </w:pPr>
      <w:r>
        <w:rPr>
          <w:sz w:val="22"/>
          <w:lang w:val="pl-PL"/>
        </w:rPr>
        <w:t>w</w:t>
      </w:r>
      <w:r w:rsidR="00BC4936">
        <w:rPr>
          <w:sz w:val="22"/>
          <w:lang w:val="pl-PL"/>
        </w:rPr>
        <w:t>t</w:t>
      </w:r>
      <w:r>
        <w:rPr>
          <w:sz w:val="22"/>
          <w:lang w:val="pl-PL"/>
        </w:rPr>
        <w:t>.</w:t>
      </w:r>
    </w:p>
    <w:p w:rsidR="00BC4936" w:rsidRDefault="003B486E">
      <w:pPr>
        <w:rPr>
          <w:sz w:val="22"/>
          <w:lang w:val="pl-PL"/>
        </w:rPr>
      </w:pPr>
      <w:r>
        <w:rPr>
          <w:sz w:val="22"/>
          <w:lang w:val="pl-PL"/>
        </w:rPr>
        <w:t>ś</w:t>
      </w:r>
      <w:r w:rsidR="00BC4936">
        <w:rPr>
          <w:sz w:val="22"/>
          <w:lang w:val="pl-PL"/>
        </w:rPr>
        <w:t>r</w:t>
      </w:r>
      <w:r>
        <w:rPr>
          <w:sz w:val="22"/>
          <w:lang w:val="pl-PL"/>
        </w:rPr>
        <w:t>.</w:t>
      </w:r>
    </w:p>
    <w:p w:rsidR="00BC4936" w:rsidRDefault="00C43409">
      <w:pPr>
        <w:rPr>
          <w:sz w:val="22"/>
          <w:lang w:val="pl-PL"/>
        </w:rPr>
      </w:pPr>
      <w:r>
        <w:rPr>
          <w:sz w:val="22"/>
          <w:lang w:val="pl-PL"/>
        </w:rPr>
        <w:t>c</w:t>
      </w:r>
      <w:r w:rsidR="00BC4936">
        <w:rPr>
          <w:sz w:val="22"/>
          <w:lang w:val="pl-PL"/>
        </w:rPr>
        <w:t>zw</w:t>
      </w:r>
      <w:r>
        <w:rPr>
          <w:sz w:val="22"/>
          <w:lang w:val="pl-PL"/>
        </w:rPr>
        <w:t>.</w:t>
      </w:r>
    </w:p>
    <w:p w:rsidR="00BC4936" w:rsidRDefault="00C43409">
      <w:pPr>
        <w:rPr>
          <w:sz w:val="22"/>
          <w:lang w:val="pl-PL"/>
        </w:rPr>
      </w:pPr>
      <w:r>
        <w:rPr>
          <w:sz w:val="22"/>
          <w:lang w:val="pl-PL"/>
        </w:rPr>
        <w:t>p</w:t>
      </w:r>
      <w:r w:rsidR="00BC4936">
        <w:rPr>
          <w:sz w:val="22"/>
          <w:lang w:val="pl-PL"/>
        </w:rPr>
        <w:t>t</w:t>
      </w:r>
      <w:r>
        <w:rPr>
          <w:sz w:val="22"/>
          <w:lang w:val="pl-PL"/>
        </w:rPr>
        <w:t>.</w:t>
      </w:r>
    </w:p>
    <w:p w:rsidR="00BC4936" w:rsidRDefault="00C43409">
      <w:pPr>
        <w:rPr>
          <w:sz w:val="22"/>
          <w:lang w:val="pl-PL"/>
        </w:rPr>
      </w:pPr>
      <w:r>
        <w:rPr>
          <w:sz w:val="22"/>
          <w:lang w:val="pl-PL"/>
        </w:rPr>
        <w:t>sob.</w:t>
      </w:r>
    </w:p>
    <w:p w:rsidR="00BC4936" w:rsidRDefault="00C43409">
      <w:pPr>
        <w:rPr>
          <w:sz w:val="22"/>
          <w:lang w:val="pl-PL"/>
        </w:rPr>
      </w:pPr>
      <w:r>
        <w:rPr>
          <w:sz w:val="22"/>
          <w:lang w:val="pl-PL"/>
        </w:rPr>
        <w:t>n</w:t>
      </w:r>
      <w:r w:rsidR="00BC4936">
        <w:rPr>
          <w:sz w:val="22"/>
          <w:lang w:val="pl-PL"/>
        </w:rPr>
        <w:t>dz</w:t>
      </w:r>
      <w:r>
        <w:rPr>
          <w:sz w:val="22"/>
          <w:lang w:val="pl-PL"/>
        </w:rPr>
        <w:t>.</w:t>
      </w:r>
    </w:p>
    <w:p w:rsidR="00BC4936" w:rsidRDefault="00BC4936">
      <w:pPr>
        <w:ind w:left="360"/>
        <w:rPr>
          <w:sz w:val="22"/>
          <w:lang w:val="pl-PL"/>
        </w:rPr>
      </w:pPr>
    </w:p>
    <w:p w:rsidR="00BC4936" w:rsidRDefault="00BC4936">
      <w:pPr>
        <w:rPr>
          <w:sz w:val="22"/>
          <w:lang w:val="pl-PL"/>
        </w:rPr>
      </w:pPr>
      <w:r w:rsidRPr="00A64B0E">
        <w:rPr>
          <w:sz w:val="22"/>
          <w:highlight w:val="lightGray"/>
          <w:lang w:val="pl-PL"/>
        </w:rPr>
        <w:t>Tydzień 1</w:t>
      </w:r>
    </w:p>
    <w:p w:rsidR="00BC4936" w:rsidRDefault="00926836">
      <w:pPr>
        <w:rPr>
          <w:sz w:val="22"/>
          <w:lang w:val="pl-PL"/>
        </w:rPr>
      </w:pPr>
      <w:r w:rsidRPr="00AE05B3">
        <w:rPr>
          <w:sz w:val="22"/>
          <w:highlight w:val="lightGray"/>
          <w:lang w:val="pl-PL"/>
        </w:rPr>
        <w:t>Tydzień 2 (tylko dla opakowań po 14, 28 i 84 tabletek</w:t>
      </w:r>
    </w:p>
    <w:p w:rsidR="00BC4936" w:rsidRPr="00AE05B3" w:rsidRDefault="00BC4936">
      <w:pPr>
        <w:rPr>
          <w:sz w:val="22"/>
          <w:highlight w:val="lightGray"/>
          <w:lang w:val="pl-PL"/>
        </w:rPr>
      </w:pPr>
      <w:r w:rsidRPr="00AE05B3">
        <w:rPr>
          <w:sz w:val="22"/>
          <w:highlight w:val="lightGray"/>
          <w:lang w:val="pl-PL"/>
        </w:rPr>
        <w:t xml:space="preserve">Tydzień 3 </w:t>
      </w:r>
      <w:r w:rsidR="00B36B78" w:rsidRPr="00AE05B3">
        <w:rPr>
          <w:sz w:val="22"/>
          <w:highlight w:val="lightGray"/>
          <w:lang w:val="pl-PL"/>
        </w:rPr>
        <w:t>(t</w:t>
      </w:r>
      <w:r w:rsidRPr="00AE05B3">
        <w:rPr>
          <w:sz w:val="22"/>
          <w:highlight w:val="lightGray"/>
          <w:lang w:val="pl-PL"/>
        </w:rPr>
        <w:t>ylko dla opakowań po 28 i 84 table</w:t>
      </w:r>
      <w:r w:rsidR="00B36B78" w:rsidRPr="00AE05B3">
        <w:rPr>
          <w:sz w:val="22"/>
          <w:highlight w:val="lightGray"/>
          <w:lang w:val="pl-PL"/>
        </w:rPr>
        <w:t>tek)</w:t>
      </w:r>
    </w:p>
    <w:p w:rsidR="00BC4936" w:rsidRDefault="00BC4936">
      <w:pPr>
        <w:rPr>
          <w:sz w:val="22"/>
          <w:lang w:val="pl-PL"/>
        </w:rPr>
      </w:pPr>
      <w:r w:rsidRPr="00AE05B3">
        <w:rPr>
          <w:sz w:val="22"/>
          <w:highlight w:val="lightGray"/>
          <w:lang w:val="pl-PL"/>
        </w:rPr>
        <w:t xml:space="preserve">Tydzień 4 </w:t>
      </w:r>
      <w:r w:rsidR="00B36B78" w:rsidRPr="00AE05B3">
        <w:rPr>
          <w:sz w:val="22"/>
          <w:highlight w:val="lightGray"/>
          <w:lang w:val="pl-PL"/>
        </w:rPr>
        <w:t>(t</w:t>
      </w:r>
      <w:r w:rsidRPr="00AE05B3">
        <w:rPr>
          <w:sz w:val="22"/>
          <w:highlight w:val="lightGray"/>
          <w:lang w:val="pl-PL"/>
        </w:rPr>
        <w:t>ylko dla opakowań po 28 i 84 table</w:t>
      </w:r>
      <w:r w:rsidR="00B36B78" w:rsidRPr="00AE05B3">
        <w:rPr>
          <w:sz w:val="22"/>
          <w:highlight w:val="lightGray"/>
          <w:lang w:val="pl-PL"/>
        </w:rPr>
        <w:t>tek</w:t>
      </w:r>
      <w:r w:rsidR="00B36B78" w:rsidRPr="00A64B0E">
        <w:rPr>
          <w:sz w:val="22"/>
          <w:highlight w:val="lightGray"/>
          <w:lang w:val="pl-PL"/>
        </w:rPr>
        <w:t>)</w:t>
      </w:r>
    </w:p>
    <w:p w:rsidR="00CA5324" w:rsidRDefault="00BC4936">
      <w:pPr>
        <w:pBdr>
          <w:top w:val="single" w:sz="4" w:space="1" w:color="auto"/>
          <w:left w:val="single" w:sz="4" w:space="4" w:color="auto"/>
          <w:bottom w:val="single" w:sz="4" w:space="1" w:color="auto"/>
          <w:right w:val="single" w:sz="4" w:space="4" w:color="auto"/>
        </w:pBdr>
        <w:rPr>
          <w:b/>
          <w:sz w:val="22"/>
          <w:lang w:val="pl-PL"/>
        </w:rPr>
      </w:pPr>
      <w:r>
        <w:rPr>
          <w:sz w:val="22"/>
          <w:lang w:val="pl-PL"/>
        </w:rPr>
        <w:br w:type="page"/>
      </w:r>
      <w:r>
        <w:rPr>
          <w:b/>
          <w:bCs/>
          <w:sz w:val="22"/>
          <w:lang w:val="pl-PL"/>
        </w:rPr>
        <w:t>MINIMUM INFORMACJI ZAMIESZCZANYCH</w:t>
      </w:r>
      <w:r>
        <w:rPr>
          <w:b/>
          <w:sz w:val="22"/>
          <w:lang w:val="pl-PL"/>
        </w:rPr>
        <w:t xml:space="preserve"> NA BLISTRACH </w:t>
      </w:r>
      <w:r w:rsidR="00CA5324">
        <w:rPr>
          <w:b/>
          <w:sz w:val="22"/>
          <w:lang w:val="pl-PL"/>
        </w:rPr>
        <w:t>LUB STRIPSACH</w:t>
      </w:r>
    </w:p>
    <w:p w:rsidR="00F3533D" w:rsidRPr="00022436" w:rsidRDefault="00F3533D">
      <w:pPr>
        <w:pBdr>
          <w:top w:val="single" w:sz="4" w:space="1" w:color="auto"/>
          <w:left w:val="single" w:sz="4" w:space="4" w:color="auto"/>
          <w:bottom w:val="single" w:sz="4" w:space="1" w:color="auto"/>
          <w:right w:val="single" w:sz="4" w:space="4" w:color="auto"/>
        </w:pBdr>
        <w:rPr>
          <w:sz w:val="22"/>
          <w:lang w:val="pl-PL"/>
        </w:rPr>
      </w:pPr>
    </w:p>
    <w:p w:rsidR="00BC4936" w:rsidRDefault="00CA5324">
      <w:pPr>
        <w:pBdr>
          <w:top w:val="single" w:sz="4" w:space="1" w:color="auto"/>
          <w:left w:val="single" w:sz="4" w:space="4" w:color="auto"/>
          <w:bottom w:val="single" w:sz="4" w:space="1" w:color="auto"/>
          <w:right w:val="single" w:sz="4" w:space="4" w:color="auto"/>
        </w:pBdr>
        <w:rPr>
          <w:b/>
          <w:sz w:val="22"/>
          <w:lang w:val="pl-PL"/>
        </w:rPr>
      </w:pPr>
      <w:r>
        <w:rPr>
          <w:b/>
          <w:sz w:val="22"/>
          <w:lang w:val="pl-PL"/>
        </w:rPr>
        <w:t xml:space="preserve">BLISTER/ </w:t>
      </w:r>
      <w:r w:rsidR="00BC4936">
        <w:rPr>
          <w:b/>
          <w:sz w:val="22"/>
          <w:lang w:val="pl-PL"/>
        </w:rPr>
        <w:t xml:space="preserve">30, 50, 90 lub 100 tabletek </w:t>
      </w:r>
    </w:p>
    <w:p w:rsidR="00BC4936" w:rsidRPr="00022436" w:rsidRDefault="00BC4936">
      <w:pPr>
        <w:rPr>
          <w:sz w:val="22"/>
          <w:lang w:val="pl-PL"/>
        </w:rPr>
      </w:pPr>
    </w:p>
    <w:p w:rsidR="00BC4936" w:rsidRPr="00022436" w:rsidRDefault="00BC4936">
      <w:pPr>
        <w:rPr>
          <w:sz w:val="22"/>
          <w:lang w:val="pl-PL"/>
        </w:rPr>
      </w:pPr>
    </w:p>
    <w:p w:rsidR="00BC4936" w:rsidRDefault="00BC4936">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left="0" w:firstLine="0"/>
        <w:rPr>
          <w:b/>
          <w:sz w:val="22"/>
          <w:lang w:val="pl-PL"/>
        </w:rPr>
      </w:pPr>
      <w:r>
        <w:rPr>
          <w:b/>
          <w:sz w:val="22"/>
          <w:lang w:val="pl-PL"/>
        </w:rPr>
        <w:t>NAZWA PRODUKTU LECZNICZEGO</w:t>
      </w:r>
    </w:p>
    <w:p w:rsidR="00BC4936" w:rsidRPr="00022436" w:rsidRDefault="00BC4936">
      <w:pPr>
        <w:rPr>
          <w:sz w:val="22"/>
          <w:lang w:val="pl-PL"/>
        </w:rPr>
      </w:pPr>
    </w:p>
    <w:p w:rsidR="00BC4936" w:rsidRPr="00FA57BA" w:rsidRDefault="00B04330">
      <w:pPr>
        <w:rPr>
          <w:sz w:val="22"/>
          <w:lang w:val="pl-PL"/>
        </w:rPr>
      </w:pPr>
      <w:r w:rsidRPr="00FA57BA">
        <w:rPr>
          <w:sz w:val="22"/>
          <w:lang w:val="pl-PL"/>
        </w:rPr>
        <w:t>Plavix</w:t>
      </w:r>
      <w:r w:rsidR="00BC4936" w:rsidRPr="00FA57BA">
        <w:rPr>
          <w:sz w:val="22"/>
          <w:lang w:val="pl-PL"/>
        </w:rPr>
        <w:t xml:space="preserve"> 75 mg tabletki powlekane</w:t>
      </w:r>
    </w:p>
    <w:p w:rsidR="00BC4936" w:rsidRPr="00BE67C1" w:rsidRDefault="004954C3">
      <w:pPr>
        <w:rPr>
          <w:sz w:val="22"/>
          <w:lang w:val="pl-PL"/>
        </w:rPr>
      </w:pPr>
      <w:r w:rsidRPr="00DF0E24">
        <w:rPr>
          <w:sz w:val="22"/>
          <w:lang w:val="pl-PL"/>
        </w:rPr>
        <w:t>k</w:t>
      </w:r>
      <w:r w:rsidR="00BC4936" w:rsidRPr="00BE67C1">
        <w:rPr>
          <w:sz w:val="22"/>
          <w:lang w:val="pl-PL"/>
        </w:rPr>
        <w:t>lopidogrel</w:t>
      </w:r>
    </w:p>
    <w:p w:rsidR="00BC4936" w:rsidRPr="00022436" w:rsidRDefault="00BC4936">
      <w:pPr>
        <w:rPr>
          <w:sz w:val="22"/>
          <w:lang w:val="pl-PL"/>
        </w:rPr>
      </w:pPr>
    </w:p>
    <w:p w:rsidR="00BC4936" w:rsidRPr="00022436" w:rsidRDefault="00BC4936">
      <w:pPr>
        <w:rPr>
          <w:sz w:val="22"/>
          <w:lang w:val="pl-PL"/>
        </w:rPr>
      </w:pPr>
    </w:p>
    <w:p w:rsidR="00BC4936" w:rsidRDefault="00BC4936">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left="0" w:firstLine="0"/>
        <w:rPr>
          <w:b/>
          <w:sz w:val="22"/>
          <w:lang w:val="pl-PL"/>
        </w:rPr>
      </w:pPr>
      <w:r>
        <w:rPr>
          <w:b/>
          <w:sz w:val="22"/>
          <w:lang w:val="pl-PL"/>
        </w:rPr>
        <w:t>NAZWA PODMIOTU ODPOWIEDZIALNEGO</w:t>
      </w:r>
    </w:p>
    <w:p w:rsidR="00BC4936" w:rsidRPr="00022436" w:rsidRDefault="00BC4936">
      <w:pPr>
        <w:rPr>
          <w:sz w:val="22"/>
          <w:lang w:val="pl-PL"/>
        </w:rPr>
      </w:pPr>
    </w:p>
    <w:p w:rsidR="00BC4936" w:rsidRPr="006012C7" w:rsidRDefault="002E46E0">
      <w:pPr>
        <w:rPr>
          <w:sz w:val="22"/>
        </w:rPr>
      </w:pPr>
      <w:r w:rsidRPr="00925BA3">
        <w:rPr>
          <w:sz w:val="22"/>
          <w:szCs w:val="22"/>
          <w:lang w:val="fr-FR"/>
        </w:rPr>
        <w:t>sanofi-aventis groupe</w:t>
      </w:r>
    </w:p>
    <w:p w:rsidR="00BC4936" w:rsidRPr="006012C7" w:rsidRDefault="00BC4936">
      <w:pPr>
        <w:rPr>
          <w:sz w:val="22"/>
        </w:rPr>
      </w:pPr>
    </w:p>
    <w:p w:rsidR="00BC4936" w:rsidRPr="006012C7" w:rsidRDefault="00BC4936">
      <w:pPr>
        <w:rPr>
          <w:sz w:val="22"/>
        </w:rPr>
      </w:pPr>
    </w:p>
    <w:p w:rsidR="00BC4936" w:rsidRDefault="00BC4936">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left="0" w:firstLine="0"/>
        <w:rPr>
          <w:b/>
          <w:sz w:val="22"/>
          <w:lang w:val="pl-PL"/>
        </w:rPr>
      </w:pPr>
      <w:r>
        <w:rPr>
          <w:b/>
          <w:sz w:val="22"/>
          <w:lang w:val="pl-PL"/>
        </w:rPr>
        <w:t>TERMIN WAŻNOŚCI</w:t>
      </w:r>
    </w:p>
    <w:p w:rsidR="00BC4936" w:rsidRPr="00022436" w:rsidRDefault="00BC4936">
      <w:pPr>
        <w:rPr>
          <w:sz w:val="22"/>
          <w:lang w:val="pl-PL"/>
        </w:rPr>
      </w:pPr>
    </w:p>
    <w:p w:rsidR="00BC4936" w:rsidRDefault="00170BA6">
      <w:pPr>
        <w:rPr>
          <w:sz w:val="22"/>
          <w:lang w:val="pl-PL"/>
        </w:rPr>
      </w:pPr>
      <w:r>
        <w:rPr>
          <w:sz w:val="22"/>
          <w:lang w:val="pl-PL"/>
        </w:rPr>
        <w:t>EXP</w:t>
      </w:r>
      <w:r w:rsidR="00F3533D">
        <w:rPr>
          <w:sz w:val="22"/>
          <w:lang w:val="pl-PL"/>
        </w:rPr>
        <w:t>:</w:t>
      </w:r>
    </w:p>
    <w:p w:rsidR="00BC4936" w:rsidRDefault="00BC4936">
      <w:pPr>
        <w:rPr>
          <w:sz w:val="22"/>
          <w:lang w:val="pl-PL"/>
        </w:rPr>
      </w:pPr>
    </w:p>
    <w:p w:rsidR="00BC4936" w:rsidRDefault="00BC4936">
      <w:pPr>
        <w:rPr>
          <w:sz w:val="22"/>
          <w:lang w:val="pl-PL"/>
        </w:rPr>
      </w:pPr>
    </w:p>
    <w:p w:rsidR="00BC4936" w:rsidRDefault="00BC4936">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left="0" w:firstLine="0"/>
        <w:rPr>
          <w:b/>
          <w:sz w:val="22"/>
          <w:lang w:val="pl-PL"/>
        </w:rPr>
      </w:pPr>
      <w:r>
        <w:rPr>
          <w:b/>
          <w:sz w:val="22"/>
          <w:lang w:val="pl-PL"/>
        </w:rPr>
        <w:t>NUMER SERII</w:t>
      </w:r>
    </w:p>
    <w:p w:rsidR="00BC4936" w:rsidRPr="00022436" w:rsidRDefault="00BC4936">
      <w:pPr>
        <w:rPr>
          <w:sz w:val="22"/>
          <w:lang w:val="pl-PL"/>
        </w:rPr>
      </w:pPr>
    </w:p>
    <w:p w:rsidR="00BC4936" w:rsidRDefault="00A211D3">
      <w:pPr>
        <w:rPr>
          <w:sz w:val="22"/>
          <w:lang w:val="pl-PL"/>
        </w:rPr>
      </w:pPr>
      <w:r>
        <w:rPr>
          <w:sz w:val="22"/>
          <w:lang w:val="pl-PL"/>
        </w:rPr>
        <w:t>Lot</w:t>
      </w:r>
      <w:r w:rsidR="00F3533D">
        <w:rPr>
          <w:sz w:val="22"/>
          <w:lang w:val="pl-PL"/>
        </w:rPr>
        <w:t>:</w:t>
      </w:r>
    </w:p>
    <w:p w:rsidR="00BC4936" w:rsidRDefault="00BC4936">
      <w:pPr>
        <w:rPr>
          <w:sz w:val="22"/>
          <w:lang w:val="pl-PL"/>
        </w:rPr>
      </w:pPr>
    </w:p>
    <w:p w:rsidR="00BC4936" w:rsidRDefault="00BC4936">
      <w:pPr>
        <w:rPr>
          <w:sz w:val="22"/>
          <w:lang w:val="pl-PL"/>
        </w:rPr>
      </w:pPr>
    </w:p>
    <w:p w:rsidR="00BC4936" w:rsidRDefault="00BC4936" w:rsidP="00A64B0E">
      <w:pPr>
        <w:pBdr>
          <w:top w:val="single" w:sz="4" w:space="1" w:color="auto"/>
          <w:left w:val="single" w:sz="4" w:space="4" w:color="auto"/>
          <w:bottom w:val="single" w:sz="4" w:space="1" w:color="auto"/>
          <w:right w:val="single" w:sz="4" w:space="4" w:color="auto"/>
        </w:pBdr>
        <w:ind w:left="567" w:hanging="567"/>
        <w:rPr>
          <w:b/>
          <w:bCs/>
          <w:sz w:val="22"/>
          <w:lang w:val="pl-PL"/>
        </w:rPr>
      </w:pPr>
      <w:r>
        <w:rPr>
          <w:b/>
          <w:bCs/>
          <w:sz w:val="22"/>
          <w:lang w:val="pl-PL"/>
        </w:rPr>
        <w:t>5.</w:t>
      </w:r>
      <w:r w:rsidR="00F3533D">
        <w:rPr>
          <w:b/>
          <w:bCs/>
          <w:sz w:val="22"/>
          <w:lang w:val="pl-PL"/>
        </w:rPr>
        <w:tab/>
      </w:r>
      <w:r>
        <w:rPr>
          <w:b/>
          <w:bCs/>
          <w:sz w:val="22"/>
          <w:lang w:val="pl-PL"/>
        </w:rPr>
        <w:t>INNE</w:t>
      </w:r>
    </w:p>
    <w:p w:rsidR="005F3F18" w:rsidRDefault="00BC4936" w:rsidP="005F3F18">
      <w:pPr>
        <w:rPr>
          <w:sz w:val="22"/>
          <w:lang w:val="pl-PL"/>
        </w:rPr>
      </w:pPr>
      <w:r>
        <w:rPr>
          <w:sz w:val="22"/>
          <w:lang w:val="pl-PL"/>
        </w:rPr>
        <w:br w:type="page"/>
      </w:r>
    </w:p>
    <w:p w:rsidR="005F3F18" w:rsidRDefault="005F3F18" w:rsidP="005F3F18">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jc w:val="center"/>
      </w:pPr>
    </w:p>
    <w:p w:rsidR="005F3F18" w:rsidRDefault="005F3F18" w:rsidP="005F3F18">
      <w:pPr>
        <w:pStyle w:val="BodyTextIndent3"/>
        <w:ind w:left="0"/>
      </w:pPr>
      <w:r>
        <w:t>INFORMACJE ZAMIESZCZANE NA OPAKOWANIACH ZEWNĘTRZNYCH</w:t>
      </w:r>
    </w:p>
    <w:p w:rsidR="005F3F18" w:rsidRDefault="005F3F18" w:rsidP="005F3F18">
      <w:pPr>
        <w:pBdr>
          <w:top w:val="single" w:sz="4" w:space="1" w:color="auto"/>
          <w:left w:val="single" w:sz="4" w:space="4" w:color="auto"/>
          <w:bottom w:val="single" w:sz="4" w:space="1" w:color="auto"/>
          <w:right w:val="single" w:sz="4" w:space="4" w:color="auto"/>
        </w:pBdr>
        <w:rPr>
          <w:b/>
          <w:sz w:val="22"/>
          <w:lang w:val="pl-PL"/>
        </w:rPr>
      </w:pPr>
    </w:p>
    <w:p w:rsidR="005F3F18" w:rsidRDefault="00C4572E" w:rsidP="005F3F18">
      <w:pPr>
        <w:pStyle w:val="Heading6"/>
        <w:rPr>
          <w:b w:val="0"/>
        </w:rPr>
      </w:pPr>
      <w:r>
        <w:t>OPAKOWANIE ZEWNĘTRZNE</w:t>
      </w:r>
    </w:p>
    <w:p w:rsidR="005F3F18" w:rsidRPr="00022436" w:rsidRDefault="005F3F18" w:rsidP="005F3F18">
      <w:pPr>
        <w:rPr>
          <w:sz w:val="22"/>
          <w:lang w:val="pl-PL"/>
        </w:rPr>
      </w:pPr>
    </w:p>
    <w:p w:rsidR="005F3F18" w:rsidRPr="00022436" w:rsidRDefault="005F3F18" w:rsidP="005F3F18">
      <w:pPr>
        <w:rPr>
          <w:sz w:val="22"/>
          <w:lang w:val="pl-PL"/>
        </w:rPr>
      </w:pPr>
    </w:p>
    <w:p w:rsidR="005F3F18" w:rsidRDefault="005F3F18" w:rsidP="005F3F18">
      <w:pPr>
        <w:numPr>
          <w:ilvl w:val="3"/>
          <w:numId w:val="26"/>
        </w:numPr>
        <w:pBdr>
          <w:top w:val="single" w:sz="4" w:space="1" w:color="auto"/>
          <w:left w:val="single" w:sz="4" w:space="4" w:color="auto"/>
          <w:bottom w:val="single" w:sz="4" w:space="1" w:color="auto"/>
          <w:right w:val="single" w:sz="4" w:space="4" w:color="auto"/>
        </w:pBdr>
        <w:tabs>
          <w:tab w:val="left" w:pos="540"/>
        </w:tabs>
        <w:ind w:hanging="2880"/>
        <w:rPr>
          <w:b/>
          <w:sz w:val="22"/>
          <w:lang w:val="pl-PL"/>
        </w:rPr>
      </w:pPr>
      <w:r>
        <w:rPr>
          <w:b/>
          <w:sz w:val="22"/>
          <w:lang w:val="pl-PL"/>
        </w:rPr>
        <w:t>NAZWA PRODUKTU LECZNICZEGO</w:t>
      </w:r>
    </w:p>
    <w:p w:rsidR="005F3F18" w:rsidRPr="00022436" w:rsidRDefault="005F3F18" w:rsidP="005F3F18">
      <w:pPr>
        <w:rPr>
          <w:sz w:val="22"/>
          <w:lang w:val="pl-PL"/>
        </w:rPr>
      </w:pPr>
    </w:p>
    <w:p w:rsidR="005F3F18" w:rsidRDefault="00FA57BA" w:rsidP="005F3F18">
      <w:pPr>
        <w:rPr>
          <w:sz w:val="22"/>
          <w:lang w:val="pl-PL"/>
        </w:rPr>
      </w:pPr>
      <w:r>
        <w:rPr>
          <w:sz w:val="22"/>
          <w:lang w:val="pl-PL"/>
        </w:rPr>
        <w:t xml:space="preserve">Plavix </w:t>
      </w:r>
      <w:r w:rsidR="005F3F18">
        <w:rPr>
          <w:sz w:val="22"/>
          <w:lang w:val="pl-PL"/>
        </w:rPr>
        <w:t>300 mg tabletki powlekane</w:t>
      </w:r>
    </w:p>
    <w:p w:rsidR="005F3F18" w:rsidRDefault="00B6283D" w:rsidP="005F3F18">
      <w:pPr>
        <w:rPr>
          <w:sz w:val="22"/>
          <w:lang w:val="pl-PL"/>
        </w:rPr>
      </w:pPr>
      <w:r>
        <w:rPr>
          <w:sz w:val="22"/>
          <w:lang w:val="pl-PL"/>
        </w:rPr>
        <w:t>k</w:t>
      </w:r>
      <w:r w:rsidR="005F3F18">
        <w:rPr>
          <w:sz w:val="22"/>
          <w:lang w:val="pl-PL"/>
        </w:rPr>
        <w:t>lopidogrel</w:t>
      </w:r>
    </w:p>
    <w:p w:rsidR="005F3F18" w:rsidRDefault="005F3F18" w:rsidP="005F3F18">
      <w:pPr>
        <w:rPr>
          <w:sz w:val="22"/>
          <w:lang w:val="pl-PL"/>
        </w:rPr>
      </w:pPr>
    </w:p>
    <w:p w:rsidR="005F3F18" w:rsidRDefault="005F3F18" w:rsidP="005F3F18">
      <w:pPr>
        <w:rPr>
          <w:sz w:val="22"/>
          <w:lang w:val="pl-PL"/>
        </w:rPr>
      </w:pPr>
    </w:p>
    <w:p w:rsidR="005F3F18" w:rsidRDefault="005F3F18" w:rsidP="005F3F18">
      <w:pPr>
        <w:numPr>
          <w:ilvl w:val="3"/>
          <w:numId w:val="26"/>
        </w:numPr>
        <w:pBdr>
          <w:top w:val="single" w:sz="4" w:space="1" w:color="auto"/>
          <w:left w:val="single" w:sz="4" w:space="4" w:color="auto"/>
          <w:bottom w:val="single" w:sz="4" w:space="1" w:color="auto"/>
          <w:right w:val="single" w:sz="4" w:space="4" w:color="auto"/>
        </w:pBdr>
        <w:tabs>
          <w:tab w:val="left" w:pos="540"/>
          <w:tab w:val="num" w:pos="720"/>
        </w:tabs>
        <w:ind w:hanging="2880"/>
        <w:rPr>
          <w:b/>
          <w:sz w:val="22"/>
          <w:lang w:val="pl-PL"/>
        </w:rPr>
      </w:pPr>
      <w:r>
        <w:rPr>
          <w:b/>
          <w:sz w:val="22"/>
          <w:lang w:val="pl-PL"/>
        </w:rPr>
        <w:t xml:space="preserve">ZAWARTOŚĆ SUBSTANCJI CZYNNEJ </w:t>
      </w:r>
    </w:p>
    <w:p w:rsidR="005F3F18" w:rsidRPr="00022436" w:rsidRDefault="005F3F18" w:rsidP="005F3F18">
      <w:pPr>
        <w:rPr>
          <w:sz w:val="22"/>
          <w:lang w:val="pl-PL"/>
        </w:rPr>
      </w:pPr>
    </w:p>
    <w:p w:rsidR="005F3F18" w:rsidRDefault="005F3F18" w:rsidP="005F3F18">
      <w:pPr>
        <w:pStyle w:val="BodyText3"/>
        <w:tabs>
          <w:tab w:val="clear" w:pos="567"/>
        </w:tabs>
        <w:rPr>
          <w:lang w:val="pl-PL"/>
        </w:rPr>
      </w:pPr>
      <w:r>
        <w:rPr>
          <w:lang w:val="pl-PL"/>
        </w:rPr>
        <w:t xml:space="preserve">Każda tabletka zawiera 300 mg klopidogrelu (w postaci wodorosiarczanu). </w:t>
      </w:r>
    </w:p>
    <w:p w:rsidR="005F3F18" w:rsidRDefault="005F3F18" w:rsidP="005F3F18">
      <w:pPr>
        <w:rPr>
          <w:sz w:val="22"/>
          <w:lang w:val="pl-PL"/>
        </w:rPr>
      </w:pPr>
    </w:p>
    <w:p w:rsidR="005F3F18" w:rsidRDefault="005F3F18" w:rsidP="005F3F18">
      <w:pPr>
        <w:rPr>
          <w:sz w:val="22"/>
          <w:lang w:val="pl-PL"/>
        </w:rPr>
      </w:pPr>
    </w:p>
    <w:p w:rsidR="005F3F18" w:rsidRDefault="005F3F18" w:rsidP="005F3F18">
      <w:pPr>
        <w:pBdr>
          <w:top w:val="single" w:sz="4" w:space="1" w:color="auto"/>
          <w:left w:val="single" w:sz="4" w:space="4" w:color="auto"/>
          <w:bottom w:val="single" w:sz="4" w:space="1" w:color="auto"/>
          <w:right w:val="single" w:sz="4" w:space="4" w:color="auto"/>
        </w:pBdr>
        <w:tabs>
          <w:tab w:val="left" w:pos="540"/>
        </w:tabs>
        <w:rPr>
          <w:b/>
          <w:sz w:val="22"/>
          <w:lang w:val="pl-PL"/>
        </w:rPr>
      </w:pPr>
      <w:r>
        <w:rPr>
          <w:b/>
          <w:sz w:val="22"/>
          <w:lang w:val="pl-PL"/>
        </w:rPr>
        <w:t xml:space="preserve">3. </w:t>
      </w:r>
      <w:r>
        <w:rPr>
          <w:b/>
          <w:sz w:val="22"/>
          <w:lang w:val="pl-PL"/>
        </w:rPr>
        <w:tab/>
        <w:t>WYKAZ SUBSTANCJI POMOCNICZYCH</w:t>
      </w:r>
    </w:p>
    <w:p w:rsidR="005F3F18" w:rsidRPr="00022436" w:rsidRDefault="005F3F18" w:rsidP="005F3F18">
      <w:pPr>
        <w:tabs>
          <w:tab w:val="left" w:pos="540"/>
        </w:tabs>
        <w:rPr>
          <w:sz w:val="22"/>
          <w:lang w:val="pl-PL"/>
        </w:rPr>
      </w:pPr>
    </w:p>
    <w:p w:rsidR="005F3F18" w:rsidRDefault="005F3F18" w:rsidP="005F3F18">
      <w:pPr>
        <w:tabs>
          <w:tab w:val="left" w:pos="540"/>
        </w:tabs>
        <w:rPr>
          <w:sz w:val="22"/>
          <w:lang w:val="pl-PL"/>
        </w:rPr>
      </w:pPr>
      <w:r>
        <w:rPr>
          <w:sz w:val="22"/>
          <w:lang w:val="pl-PL"/>
        </w:rPr>
        <w:t>Zawiera także olej rycynowy uwodorniony i laktozę.</w:t>
      </w:r>
      <w:r w:rsidR="00AB59A3">
        <w:rPr>
          <w:sz w:val="22"/>
          <w:lang w:val="pl-PL"/>
        </w:rPr>
        <w:t xml:space="preserve"> Szczegółowe informacje znajdują się w </w:t>
      </w:r>
      <w:r>
        <w:rPr>
          <w:sz w:val="22"/>
          <w:lang w:val="pl-PL"/>
        </w:rPr>
        <w:t>ulot</w:t>
      </w:r>
      <w:r w:rsidR="00AB59A3">
        <w:rPr>
          <w:sz w:val="22"/>
          <w:lang w:val="pl-PL"/>
        </w:rPr>
        <w:t>ce.</w:t>
      </w:r>
    </w:p>
    <w:p w:rsidR="005F3F18" w:rsidRDefault="005F3F18" w:rsidP="005F3F18">
      <w:pPr>
        <w:tabs>
          <w:tab w:val="left" w:pos="540"/>
        </w:tabs>
        <w:rPr>
          <w:sz w:val="22"/>
          <w:lang w:val="pl-PL"/>
        </w:rPr>
      </w:pPr>
    </w:p>
    <w:p w:rsidR="005F3F18" w:rsidRDefault="005F3F18" w:rsidP="005F3F18">
      <w:pPr>
        <w:tabs>
          <w:tab w:val="left" w:pos="540"/>
        </w:tabs>
        <w:rPr>
          <w:sz w:val="22"/>
          <w:lang w:val="pl-PL"/>
        </w:rPr>
      </w:pPr>
    </w:p>
    <w:p w:rsidR="005F3F18" w:rsidRDefault="005F3F18" w:rsidP="005F3F18">
      <w:pPr>
        <w:pBdr>
          <w:top w:val="single" w:sz="4" w:space="1" w:color="auto"/>
          <w:left w:val="single" w:sz="4" w:space="4" w:color="auto"/>
          <w:bottom w:val="single" w:sz="4" w:space="1" w:color="auto"/>
          <w:right w:val="single" w:sz="4" w:space="4" w:color="auto"/>
        </w:pBdr>
        <w:tabs>
          <w:tab w:val="left" w:pos="540"/>
        </w:tabs>
        <w:rPr>
          <w:b/>
          <w:sz w:val="22"/>
          <w:lang w:val="pl-PL"/>
        </w:rPr>
      </w:pPr>
      <w:r>
        <w:rPr>
          <w:b/>
          <w:sz w:val="22"/>
          <w:lang w:val="pl-PL"/>
        </w:rPr>
        <w:t>4.</w:t>
      </w:r>
      <w:r>
        <w:rPr>
          <w:b/>
          <w:sz w:val="22"/>
          <w:lang w:val="pl-PL"/>
        </w:rPr>
        <w:tab/>
        <w:t>POSTAĆ FARMACEUTYCZNA I ZAWARTOŚĆ OPAKOWANIA</w:t>
      </w:r>
    </w:p>
    <w:p w:rsidR="005F3F18" w:rsidRDefault="005F3F18" w:rsidP="005F3F18">
      <w:pPr>
        <w:tabs>
          <w:tab w:val="left" w:pos="540"/>
        </w:tabs>
        <w:rPr>
          <w:sz w:val="22"/>
          <w:lang w:val="pl-PL"/>
        </w:rPr>
      </w:pPr>
    </w:p>
    <w:p w:rsidR="005F3F18" w:rsidRDefault="005F3F18" w:rsidP="005F3F18">
      <w:pPr>
        <w:pStyle w:val="BodyText3"/>
        <w:tabs>
          <w:tab w:val="clear" w:pos="567"/>
          <w:tab w:val="left" w:pos="540"/>
        </w:tabs>
        <w:rPr>
          <w:lang w:val="pl-PL"/>
        </w:rPr>
      </w:pPr>
      <w:r>
        <w:rPr>
          <w:lang w:val="pl-PL"/>
        </w:rPr>
        <w:t>4 tablet</w:t>
      </w:r>
      <w:r w:rsidR="002D096E">
        <w:rPr>
          <w:lang w:val="pl-PL"/>
        </w:rPr>
        <w:t>ki</w:t>
      </w:r>
      <w:r>
        <w:rPr>
          <w:lang w:val="pl-PL"/>
        </w:rPr>
        <w:t xml:space="preserve"> powlekan</w:t>
      </w:r>
      <w:r w:rsidR="002D096E">
        <w:rPr>
          <w:lang w:val="pl-PL"/>
        </w:rPr>
        <w:t>e</w:t>
      </w:r>
    </w:p>
    <w:p w:rsidR="005F3F18" w:rsidRPr="00AE05B3" w:rsidRDefault="005F3F18" w:rsidP="005F3F18">
      <w:pPr>
        <w:pStyle w:val="BodyText3"/>
        <w:tabs>
          <w:tab w:val="clear" w:pos="567"/>
          <w:tab w:val="left" w:pos="540"/>
        </w:tabs>
        <w:rPr>
          <w:highlight w:val="lightGray"/>
          <w:lang w:val="pl-PL"/>
        </w:rPr>
      </w:pPr>
      <w:r w:rsidRPr="00AE05B3">
        <w:rPr>
          <w:highlight w:val="lightGray"/>
          <w:lang w:val="pl-PL"/>
        </w:rPr>
        <w:t>30 tabletek powlekanych</w:t>
      </w:r>
    </w:p>
    <w:p w:rsidR="005F3F18" w:rsidRDefault="005F3F18" w:rsidP="005F3F18">
      <w:pPr>
        <w:pStyle w:val="BodyText3"/>
        <w:tabs>
          <w:tab w:val="clear" w:pos="567"/>
          <w:tab w:val="left" w:pos="540"/>
        </w:tabs>
        <w:rPr>
          <w:lang w:val="pl-PL"/>
        </w:rPr>
      </w:pPr>
      <w:r w:rsidRPr="00AE05B3">
        <w:rPr>
          <w:highlight w:val="lightGray"/>
          <w:lang w:val="pl-PL"/>
        </w:rPr>
        <w:t>100 tabletek powlekanych</w:t>
      </w:r>
    </w:p>
    <w:p w:rsidR="001875D1" w:rsidRDefault="001875D1" w:rsidP="001875D1">
      <w:pPr>
        <w:pStyle w:val="BodyText3"/>
        <w:tabs>
          <w:tab w:val="clear" w:pos="567"/>
          <w:tab w:val="left" w:pos="540"/>
        </w:tabs>
        <w:rPr>
          <w:lang w:val="pl-PL"/>
        </w:rPr>
      </w:pPr>
      <w:r w:rsidRPr="00AE05B3">
        <w:rPr>
          <w:highlight w:val="lightGray"/>
          <w:lang w:val="pl-PL"/>
        </w:rPr>
        <w:t>10 tabletek powlekanych</w:t>
      </w:r>
    </w:p>
    <w:p w:rsidR="005F3F18" w:rsidRDefault="005F3F18" w:rsidP="005F3F18">
      <w:pPr>
        <w:tabs>
          <w:tab w:val="left" w:pos="540"/>
        </w:tabs>
        <w:rPr>
          <w:sz w:val="22"/>
          <w:lang w:val="pl-PL"/>
        </w:rPr>
      </w:pPr>
    </w:p>
    <w:p w:rsidR="005F3F18" w:rsidRDefault="005F3F18" w:rsidP="005F3F18">
      <w:pPr>
        <w:tabs>
          <w:tab w:val="left" w:pos="540"/>
        </w:tabs>
        <w:rPr>
          <w:sz w:val="22"/>
          <w:lang w:val="pl-PL"/>
        </w:rPr>
      </w:pPr>
    </w:p>
    <w:p w:rsidR="005F3F18" w:rsidRDefault="005F3F18" w:rsidP="005F3F18">
      <w:pPr>
        <w:numPr>
          <w:ilvl w:val="0"/>
          <w:numId w:val="25"/>
        </w:numPr>
        <w:pBdr>
          <w:top w:val="single" w:sz="4" w:space="1" w:color="auto"/>
          <w:left w:val="single" w:sz="4" w:space="4" w:color="auto"/>
          <w:bottom w:val="single" w:sz="4" w:space="1" w:color="auto"/>
          <w:right w:val="single" w:sz="4" w:space="4" w:color="auto"/>
        </w:pBdr>
        <w:tabs>
          <w:tab w:val="left" w:pos="540"/>
        </w:tabs>
        <w:ind w:hanging="1140"/>
        <w:rPr>
          <w:b/>
          <w:sz w:val="22"/>
          <w:lang w:val="pl-PL"/>
        </w:rPr>
      </w:pPr>
      <w:r>
        <w:rPr>
          <w:b/>
          <w:sz w:val="22"/>
          <w:lang w:val="pl-PL"/>
        </w:rPr>
        <w:t xml:space="preserve">SPOSÓB I DROGA PODANIA </w:t>
      </w:r>
    </w:p>
    <w:p w:rsidR="005F3F18" w:rsidRPr="00022436" w:rsidRDefault="005F3F18" w:rsidP="005F3F18">
      <w:pPr>
        <w:rPr>
          <w:sz w:val="22"/>
          <w:lang w:val="pl-PL"/>
        </w:rPr>
      </w:pPr>
    </w:p>
    <w:p w:rsidR="005F3F18" w:rsidRDefault="005F3F18" w:rsidP="005F3F18">
      <w:pPr>
        <w:pStyle w:val="BodyText3"/>
        <w:tabs>
          <w:tab w:val="clear" w:pos="567"/>
        </w:tabs>
        <w:rPr>
          <w:lang w:val="pl-PL"/>
        </w:rPr>
      </w:pPr>
      <w:r>
        <w:rPr>
          <w:lang w:val="pl-PL"/>
        </w:rPr>
        <w:t>Należy zapoznać się z treścią ulotki przed zastosowaniem leku.</w:t>
      </w:r>
    </w:p>
    <w:p w:rsidR="005F3F18" w:rsidRDefault="00D25C03" w:rsidP="005F3F18">
      <w:pPr>
        <w:rPr>
          <w:sz w:val="22"/>
          <w:lang w:val="pl-PL"/>
        </w:rPr>
      </w:pPr>
      <w:r>
        <w:rPr>
          <w:sz w:val="22"/>
          <w:lang w:val="pl-PL"/>
        </w:rPr>
        <w:t>Podanie doustne</w:t>
      </w:r>
    </w:p>
    <w:p w:rsidR="005F3F18" w:rsidRDefault="005F3F18" w:rsidP="005F3F18">
      <w:pPr>
        <w:rPr>
          <w:sz w:val="22"/>
          <w:lang w:val="pl-PL"/>
        </w:rPr>
      </w:pPr>
    </w:p>
    <w:p w:rsidR="005F3F18" w:rsidRDefault="005F3F18" w:rsidP="005F3F18">
      <w:pPr>
        <w:numPr>
          <w:ilvl w:val="0"/>
          <w:numId w:val="25"/>
        </w:numPr>
        <w:pBdr>
          <w:top w:val="single" w:sz="4" w:space="1" w:color="auto"/>
          <w:left w:val="single" w:sz="4" w:space="4" w:color="auto"/>
          <w:bottom w:val="single" w:sz="4" w:space="1" w:color="auto"/>
          <w:right w:val="single" w:sz="4" w:space="4" w:color="auto"/>
        </w:pBdr>
        <w:tabs>
          <w:tab w:val="clear" w:pos="1140"/>
          <w:tab w:val="num" w:pos="540"/>
        </w:tabs>
        <w:ind w:left="540" w:hanging="540"/>
        <w:rPr>
          <w:b/>
          <w:sz w:val="22"/>
          <w:lang w:val="pl-PL"/>
        </w:rPr>
      </w:pPr>
      <w:r>
        <w:rPr>
          <w:b/>
          <w:sz w:val="22"/>
          <w:lang w:val="pl-PL"/>
        </w:rPr>
        <w:t xml:space="preserve">OSTRZEŻENIE DOTYCZĄCE PRZECHOWYWANIA PRODUKTU LECZNICZEGO W MIEJSCU </w:t>
      </w:r>
      <w:r w:rsidR="008950FD">
        <w:rPr>
          <w:b/>
          <w:sz w:val="22"/>
          <w:lang w:val="pl-PL"/>
        </w:rPr>
        <w:t xml:space="preserve">NIEWIDOCZNYM I </w:t>
      </w:r>
      <w:r>
        <w:rPr>
          <w:b/>
          <w:sz w:val="22"/>
          <w:lang w:val="pl-PL"/>
        </w:rPr>
        <w:t>NIEDOSTĘPNYM DLA DZIECI</w:t>
      </w:r>
    </w:p>
    <w:p w:rsidR="005F3F18" w:rsidRPr="00022436" w:rsidRDefault="005F3F18" w:rsidP="005F3F18">
      <w:pPr>
        <w:rPr>
          <w:sz w:val="22"/>
          <w:lang w:val="pl-PL"/>
        </w:rPr>
      </w:pPr>
    </w:p>
    <w:p w:rsidR="005F3F18" w:rsidRDefault="005F3F18" w:rsidP="005F3F18">
      <w:pPr>
        <w:pStyle w:val="BodyText3"/>
        <w:tabs>
          <w:tab w:val="clear" w:pos="567"/>
        </w:tabs>
        <w:rPr>
          <w:lang w:val="pl-PL"/>
        </w:rPr>
      </w:pPr>
      <w:r>
        <w:rPr>
          <w:lang w:val="pl-PL"/>
        </w:rPr>
        <w:t xml:space="preserve">Lek przechowywać w miejscu niewidocznym </w:t>
      </w:r>
      <w:r w:rsidR="00205EEF">
        <w:rPr>
          <w:lang w:val="pl-PL"/>
        </w:rPr>
        <w:t xml:space="preserve">i </w:t>
      </w:r>
      <w:r w:rsidR="008950FD">
        <w:rPr>
          <w:lang w:val="pl-PL"/>
        </w:rPr>
        <w:t xml:space="preserve">niedostępnym </w:t>
      </w:r>
      <w:r>
        <w:rPr>
          <w:lang w:val="pl-PL"/>
        </w:rPr>
        <w:t>dla dzieci.</w:t>
      </w:r>
    </w:p>
    <w:p w:rsidR="005F3F18" w:rsidRDefault="005F3F18" w:rsidP="005F3F18">
      <w:pPr>
        <w:rPr>
          <w:sz w:val="22"/>
          <w:lang w:val="pl-PL"/>
        </w:rPr>
      </w:pPr>
    </w:p>
    <w:p w:rsidR="005F3F18" w:rsidRDefault="005F3F18" w:rsidP="005F3F18">
      <w:pPr>
        <w:rPr>
          <w:sz w:val="22"/>
          <w:lang w:val="pl-PL"/>
        </w:rPr>
      </w:pPr>
    </w:p>
    <w:p w:rsidR="005F3F18" w:rsidRDefault="005F3F18" w:rsidP="005F3F18">
      <w:pPr>
        <w:numPr>
          <w:ilvl w:val="0"/>
          <w:numId w:val="25"/>
        </w:numPr>
        <w:pBdr>
          <w:top w:val="single" w:sz="4" w:space="1" w:color="auto"/>
          <w:left w:val="single" w:sz="4" w:space="4" w:color="auto"/>
          <w:bottom w:val="single" w:sz="4" w:space="1" w:color="auto"/>
          <w:right w:val="single" w:sz="4" w:space="4" w:color="auto"/>
        </w:pBdr>
        <w:tabs>
          <w:tab w:val="left" w:pos="540"/>
        </w:tabs>
        <w:ind w:left="0" w:firstLine="0"/>
        <w:rPr>
          <w:b/>
          <w:sz w:val="22"/>
          <w:lang w:val="pl-PL"/>
        </w:rPr>
      </w:pPr>
      <w:r>
        <w:rPr>
          <w:b/>
          <w:sz w:val="22"/>
          <w:lang w:val="pl-PL"/>
        </w:rPr>
        <w:t>INNE OSTRZEŻENIA SPECJALNE, JEŚLI KONIECZNE</w:t>
      </w:r>
    </w:p>
    <w:p w:rsidR="005F3F18" w:rsidRDefault="005F3F18" w:rsidP="005F3F18">
      <w:pPr>
        <w:pStyle w:val="BodyText3"/>
        <w:tabs>
          <w:tab w:val="clear" w:pos="567"/>
          <w:tab w:val="left" w:pos="540"/>
        </w:tabs>
        <w:rPr>
          <w:lang w:val="pl-PL"/>
        </w:rPr>
      </w:pPr>
    </w:p>
    <w:p w:rsidR="005F3F18" w:rsidRDefault="005F3F18" w:rsidP="005F3F18">
      <w:pPr>
        <w:pStyle w:val="BodyText3"/>
        <w:tabs>
          <w:tab w:val="clear" w:pos="567"/>
          <w:tab w:val="left" w:pos="540"/>
        </w:tabs>
        <w:rPr>
          <w:lang w:val="pl-PL"/>
        </w:rPr>
      </w:pPr>
    </w:p>
    <w:p w:rsidR="005F3F18" w:rsidRDefault="005F3F18" w:rsidP="005F3F18">
      <w:pPr>
        <w:numPr>
          <w:ilvl w:val="0"/>
          <w:numId w:val="25"/>
        </w:numPr>
        <w:pBdr>
          <w:top w:val="single" w:sz="4" w:space="1" w:color="auto"/>
          <w:left w:val="single" w:sz="4" w:space="4" w:color="auto"/>
          <w:bottom w:val="single" w:sz="4" w:space="1" w:color="auto"/>
          <w:right w:val="single" w:sz="4" w:space="4" w:color="auto"/>
        </w:pBdr>
        <w:tabs>
          <w:tab w:val="left" w:pos="540"/>
        </w:tabs>
        <w:ind w:left="0" w:firstLine="0"/>
        <w:rPr>
          <w:b/>
          <w:sz w:val="22"/>
          <w:lang w:val="pl-PL"/>
        </w:rPr>
      </w:pPr>
      <w:r>
        <w:rPr>
          <w:b/>
          <w:sz w:val="22"/>
          <w:lang w:val="pl-PL"/>
        </w:rPr>
        <w:t>TERMIN WAŻNOŚCI</w:t>
      </w:r>
    </w:p>
    <w:p w:rsidR="005F3F18" w:rsidRPr="00022436" w:rsidRDefault="005F3F18" w:rsidP="005F3F18">
      <w:pPr>
        <w:rPr>
          <w:sz w:val="22"/>
          <w:lang w:val="pl-PL"/>
        </w:rPr>
      </w:pPr>
    </w:p>
    <w:p w:rsidR="005F3F18" w:rsidRDefault="005F3F18" w:rsidP="005F3F18">
      <w:pPr>
        <w:pStyle w:val="BodyText3"/>
        <w:tabs>
          <w:tab w:val="clear" w:pos="567"/>
        </w:tabs>
        <w:rPr>
          <w:lang w:val="pl-PL"/>
        </w:rPr>
      </w:pPr>
      <w:r>
        <w:rPr>
          <w:lang w:val="pl-PL"/>
        </w:rPr>
        <w:t>Termin ważności (</w:t>
      </w:r>
      <w:r w:rsidR="00A211D3">
        <w:rPr>
          <w:lang w:val="pl-PL"/>
        </w:rPr>
        <w:t>EXP</w:t>
      </w:r>
      <w:r>
        <w:rPr>
          <w:lang w:val="pl-PL"/>
        </w:rPr>
        <w:t>)</w:t>
      </w:r>
      <w:r w:rsidR="00AB59A3">
        <w:rPr>
          <w:lang w:val="pl-PL"/>
        </w:rPr>
        <w:t>:</w:t>
      </w:r>
    </w:p>
    <w:p w:rsidR="005F3F18" w:rsidRDefault="005F3F18" w:rsidP="005F3F18">
      <w:pPr>
        <w:rPr>
          <w:sz w:val="22"/>
          <w:lang w:val="pl-PL"/>
        </w:rPr>
      </w:pPr>
    </w:p>
    <w:p w:rsidR="005F3F18" w:rsidRDefault="005F3F18" w:rsidP="005F3F18">
      <w:pPr>
        <w:rPr>
          <w:sz w:val="22"/>
          <w:lang w:val="pl-PL"/>
        </w:rPr>
      </w:pPr>
    </w:p>
    <w:p w:rsidR="005F3F18" w:rsidRDefault="005F3F18" w:rsidP="005F3F18">
      <w:pPr>
        <w:numPr>
          <w:ilvl w:val="0"/>
          <w:numId w:val="25"/>
        </w:numPr>
        <w:pBdr>
          <w:top w:val="single" w:sz="4" w:space="1" w:color="auto"/>
          <w:left w:val="single" w:sz="4" w:space="4" w:color="auto"/>
          <w:bottom w:val="single" w:sz="4" w:space="1" w:color="auto"/>
          <w:right w:val="single" w:sz="4" w:space="4" w:color="auto"/>
        </w:pBdr>
        <w:tabs>
          <w:tab w:val="left" w:pos="540"/>
        </w:tabs>
        <w:ind w:left="0" w:firstLine="0"/>
        <w:rPr>
          <w:b/>
          <w:sz w:val="22"/>
          <w:lang w:val="pl-PL"/>
        </w:rPr>
      </w:pPr>
      <w:r>
        <w:rPr>
          <w:b/>
          <w:sz w:val="22"/>
          <w:lang w:val="pl-PL"/>
        </w:rPr>
        <w:br w:type="page"/>
        <w:t>WARUNKI PRZECHOWYWANIA</w:t>
      </w:r>
    </w:p>
    <w:p w:rsidR="005F3F18" w:rsidRPr="00022436" w:rsidRDefault="005F3F18" w:rsidP="005F3F18">
      <w:pPr>
        <w:rPr>
          <w:sz w:val="22"/>
          <w:lang w:val="pl-PL"/>
        </w:rPr>
      </w:pPr>
    </w:p>
    <w:p w:rsidR="005F3F18" w:rsidRDefault="005F3F18" w:rsidP="005F3F18">
      <w:pPr>
        <w:rPr>
          <w:sz w:val="22"/>
          <w:lang w:val="pl-PL"/>
        </w:rPr>
      </w:pPr>
    </w:p>
    <w:p w:rsidR="005F3F18" w:rsidRDefault="005F3F18" w:rsidP="005F3F18">
      <w:pPr>
        <w:pBdr>
          <w:top w:val="single" w:sz="4" w:space="1" w:color="auto"/>
          <w:left w:val="single" w:sz="4" w:space="4" w:color="auto"/>
          <w:bottom w:val="single" w:sz="4" w:space="1" w:color="auto"/>
          <w:right w:val="single" w:sz="4" w:space="4" w:color="auto"/>
        </w:pBdr>
        <w:ind w:left="567" w:hanging="567"/>
        <w:rPr>
          <w:b/>
          <w:sz w:val="22"/>
          <w:lang w:val="pl-PL"/>
        </w:rPr>
      </w:pPr>
      <w:r>
        <w:rPr>
          <w:b/>
          <w:sz w:val="22"/>
          <w:lang w:val="pl-PL"/>
        </w:rPr>
        <w:t>10.</w:t>
      </w:r>
      <w:r>
        <w:rPr>
          <w:b/>
          <w:sz w:val="22"/>
          <w:lang w:val="pl-PL"/>
        </w:rPr>
        <w:tab/>
        <w:t>SPECJALNE ŚRODKI OSTROŻNOŚCI DOTYCZĄCE USUWANIA NIEZUŻYTEGO PRODUKTU LECZNICZEGO LUB POCHODZĄCYCH Z NIEGO ODPADÓW, JEŚLI WŁAŚCIWE</w:t>
      </w:r>
    </w:p>
    <w:p w:rsidR="005F3F18" w:rsidRDefault="005F3F18" w:rsidP="005F3F18">
      <w:pPr>
        <w:ind w:firstLine="16"/>
        <w:rPr>
          <w:b/>
          <w:sz w:val="22"/>
          <w:lang w:val="pl-PL"/>
        </w:rPr>
      </w:pPr>
    </w:p>
    <w:p w:rsidR="005F3F18" w:rsidRDefault="005F3F18" w:rsidP="005F3F18">
      <w:pPr>
        <w:ind w:firstLine="16"/>
        <w:rPr>
          <w:b/>
          <w:sz w:val="22"/>
          <w:lang w:val="pl-PL"/>
        </w:rPr>
      </w:pPr>
    </w:p>
    <w:p w:rsidR="005F3F18" w:rsidRDefault="005F3F18" w:rsidP="005F3F18">
      <w:pPr>
        <w:pBdr>
          <w:top w:val="single" w:sz="4" w:space="1" w:color="auto"/>
          <w:left w:val="single" w:sz="4" w:space="4" w:color="auto"/>
          <w:bottom w:val="single" w:sz="4" w:space="1" w:color="auto"/>
          <w:right w:val="single" w:sz="4" w:space="4" w:color="auto"/>
        </w:pBdr>
        <w:tabs>
          <w:tab w:val="left" w:pos="540"/>
        </w:tabs>
        <w:ind w:firstLine="16"/>
        <w:rPr>
          <w:b/>
          <w:sz w:val="22"/>
          <w:lang w:val="pl-PL"/>
        </w:rPr>
      </w:pPr>
      <w:r>
        <w:rPr>
          <w:b/>
          <w:sz w:val="22"/>
          <w:lang w:val="pl-PL"/>
        </w:rPr>
        <w:t>11.</w:t>
      </w:r>
      <w:r>
        <w:rPr>
          <w:b/>
          <w:sz w:val="22"/>
          <w:lang w:val="pl-PL"/>
        </w:rPr>
        <w:tab/>
        <w:t>NAZWA I ADRES PODMIOTU ODPOWIEDZIALNEGO</w:t>
      </w:r>
    </w:p>
    <w:p w:rsidR="005F3F18" w:rsidRDefault="005F3F18" w:rsidP="005F3F18">
      <w:pPr>
        <w:tabs>
          <w:tab w:val="left" w:pos="540"/>
        </w:tabs>
        <w:rPr>
          <w:sz w:val="22"/>
          <w:lang w:val="pl-PL"/>
        </w:rPr>
      </w:pPr>
    </w:p>
    <w:p w:rsidR="005F3F18" w:rsidRPr="002E46E0" w:rsidRDefault="002E46E0" w:rsidP="005F3F18">
      <w:pPr>
        <w:tabs>
          <w:tab w:val="left" w:pos="540"/>
        </w:tabs>
        <w:rPr>
          <w:sz w:val="22"/>
        </w:rPr>
      </w:pPr>
      <w:r w:rsidRPr="00925BA3">
        <w:rPr>
          <w:sz w:val="22"/>
          <w:szCs w:val="22"/>
          <w:lang w:val="fr-FR"/>
        </w:rPr>
        <w:t>sanofi-aventis groupe</w:t>
      </w:r>
    </w:p>
    <w:p w:rsidR="005F3F18" w:rsidRPr="00983DE3" w:rsidRDefault="00AF0AFC" w:rsidP="005F3F18">
      <w:pPr>
        <w:tabs>
          <w:tab w:val="left" w:pos="540"/>
        </w:tabs>
        <w:rPr>
          <w:sz w:val="22"/>
          <w:lang w:val="fr-FR"/>
        </w:rPr>
      </w:pPr>
      <w:r>
        <w:rPr>
          <w:sz w:val="22"/>
          <w:szCs w:val="22"/>
          <w:lang w:val="fr-FR"/>
        </w:rPr>
        <w:t>54, rue La Bo</w:t>
      </w:r>
      <w:r w:rsidRPr="00327821">
        <w:rPr>
          <w:sz w:val="22"/>
          <w:szCs w:val="22"/>
          <w:lang w:val="fr-FR"/>
        </w:rPr>
        <w:t>é</w:t>
      </w:r>
      <w:r>
        <w:rPr>
          <w:sz w:val="22"/>
          <w:szCs w:val="22"/>
          <w:lang w:val="fr-FR"/>
        </w:rPr>
        <w:t xml:space="preserve">tie F-75008 </w:t>
      </w:r>
      <w:r w:rsidR="005F3F18" w:rsidRPr="00983DE3">
        <w:rPr>
          <w:sz w:val="22"/>
          <w:lang w:val="fr-FR"/>
        </w:rPr>
        <w:t>Par</w:t>
      </w:r>
      <w:r w:rsidR="00C43409">
        <w:rPr>
          <w:sz w:val="22"/>
          <w:lang w:val="fr-FR"/>
        </w:rPr>
        <w:t>is</w:t>
      </w:r>
    </w:p>
    <w:p w:rsidR="005F3F18" w:rsidRPr="00983DE3" w:rsidRDefault="005F3F18" w:rsidP="005F3F18">
      <w:pPr>
        <w:tabs>
          <w:tab w:val="left" w:pos="540"/>
        </w:tabs>
        <w:rPr>
          <w:sz w:val="22"/>
          <w:lang w:val="fr-FR"/>
        </w:rPr>
      </w:pPr>
      <w:r w:rsidRPr="00983DE3">
        <w:rPr>
          <w:sz w:val="22"/>
          <w:lang w:val="fr-FR"/>
        </w:rPr>
        <w:t>Francja</w:t>
      </w:r>
    </w:p>
    <w:p w:rsidR="005F3F18" w:rsidRPr="00983DE3" w:rsidRDefault="005F3F18" w:rsidP="005F3F18">
      <w:pPr>
        <w:tabs>
          <w:tab w:val="left" w:pos="540"/>
        </w:tabs>
        <w:rPr>
          <w:sz w:val="22"/>
          <w:lang w:val="fr-FR"/>
        </w:rPr>
      </w:pPr>
    </w:p>
    <w:p w:rsidR="005F3F18" w:rsidRPr="00983DE3" w:rsidRDefault="005F3F18" w:rsidP="005F3F18">
      <w:pPr>
        <w:pStyle w:val="EMEATableLeft"/>
        <w:keepNext w:val="0"/>
        <w:keepLines w:val="0"/>
        <w:tabs>
          <w:tab w:val="left" w:pos="540"/>
        </w:tabs>
        <w:rPr>
          <w:lang w:val="fr-FR" w:eastAsia="pl-PL"/>
        </w:rPr>
      </w:pPr>
    </w:p>
    <w:p w:rsidR="005F3F18" w:rsidRDefault="005F3F18" w:rsidP="00B424B9">
      <w:pPr>
        <w:pBdr>
          <w:top w:val="single" w:sz="4" w:space="0" w:color="auto"/>
          <w:left w:val="single" w:sz="4" w:space="4" w:color="auto"/>
          <w:bottom w:val="single" w:sz="4" w:space="1" w:color="auto"/>
          <w:right w:val="single" w:sz="4" w:space="4" w:color="auto"/>
        </w:pBdr>
        <w:tabs>
          <w:tab w:val="left" w:pos="540"/>
        </w:tabs>
        <w:ind w:firstLine="16"/>
        <w:rPr>
          <w:b/>
          <w:sz w:val="22"/>
          <w:lang w:val="pl-PL"/>
        </w:rPr>
      </w:pPr>
      <w:r>
        <w:rPr>
          <w:b/>
          <w:sz w:val="22"/>
          <w:lang w:val="pl-PL"/>
        </w:rPr>
        <w:t>12.</w:t>
      </w:r>
      <w:r>
        <w:rPr>
          <w:b/>
          <w:sz w:val="22"/>
          <w:lang w:val="pl-PL"/>
        </w:rPr>
        <w:tab/>
        <w:t>NUMER</w:t>
      </w:r>
      <w:r w:rsidR="00B424B9">
        <w:rPr>
          <w:b/>
          <w:sz w:val="22"/>
          <w:lang w:val="pl-PL"/>
        </w:rPr>
        <w:t>Y</w:t>
      </w:r>
      <w:r>
        <w:rPr>
          <w:b/>
          <w:sz w:val="22"/>
          <w:lang w:val="pl-PL"/>
        </w:rPr>
        <w:t xml:space="preserve"> POZWOLE</w:t>
      </w:r>
      <w:r w:rsidR="00D90974">
        <w:rPr>
          <w:b/>
          <w:sz w:val="22"/>
          <w:lang w:val="pl-PL"/>
        </w:rPr>
        <w:t>Ń</w:t>
      </w:r>
      <w:r>
        <w:rPr>
          <w:b/>
          <w:sz w:val="22"/>
          <w:lang w:val="pl-PL"/>
        </w:rPr>
        <w:t xml:space="preserve"> NA DOPUSZCZENIE DO OBROTU</w:t>
      </w:r>
    </w:p>
    <w:p w:rsidR="005F3F18" w:rsidRDefault="005F3F18" w:rsidP="005F3F18">
      <w:pPr>
        <w:tabs>
          <w:tab w:val="left" w:pos="540"/>
        </w:tabs>
        <w:rPr>
          <w:b/>
          <w:sz w:val="22"/>
          <w:lang w:val="pl-PL"/>
        </w:rPr>
      </w:pPr>
    </w:p>
    <w:p w:rsidR="005F3F18" w:rsidRDefault="005F3F18" w:rsidP="005F3F18">
      <w:pPr>
        <w:tabs>
          <w:tab w:val="left" w:pos="540"/>
        </w:tabs>
        <w:rPr>
          <w:sz w:val="22"/>
          <w:lang w:val="pl-PL"/>
        </w:rPr>
      </w:pPr>
      <w:r>
        <w:rPr>
          <w:sz w:val="22"/>
          <w:lang w:val="pl-PL"/>
        </w:rPr>
        <w:t>EU/1/98/069/</w:t>
      </w:r>
      <w:r w:rsidR="00AF122F">
        <w:rPr>
          <w:sz w:val="22"/>
          <w:lang w:val="pl-PL"/>
        </w:rPr>
        <w:t>008</w:t>
      </w:r>
      <w:r>
        <w:rPr>
          <w:sz w:val="22"/>
          <w:lang w:val="pl-PL"/>
        </w:rPr>
        <w:t xml:space="preserve"> </w:t>
      </w:r>
      <w:r w:rsidRPr="00AE05B3">
        <w:rPr>
          <w:sz w:val="22"/>
          <w:highlight w:val="lightGray"/>
          <w:lang w:val="pl-PL"/>
        </w:rPr>
        <w:t>4</w:t>
      </w:r>
      <w:r w:rsidR="00D00DAE">
        <w:rPr>
          <w:sz w:val="22"/>
          <w:highlight w:val="lightGray"/>
          <w:lang w:val="pl-PL"/>
        </w:rPr>
        <w:t>x1</w:t>
      </w:r>
      <w:r w:rsidRPr="00AE05B3">
        <w:rPr>
          <w:sz w:val="22"/>
          <w:highlight w:val="lightGray"/>
          <w:lang w:val="pl-PL"/>
        </w:rPr>
        <w:t xml:space="preserve"> tablet</w:t>
      </w:r>
      <w:r w:rsidR="00026D0E">
        <w:rPr>
          <w:sz w:val="22"/>
          <w:highlight w:val="lightGray"/>
          <w:lang w:val="pl-PL"/>
        </w:rPr>
        <w:t>k</w:t>
      </w:r>
      <w:r w:rsidR="00F33BCA">
        <w:rPr>
          <w:sz w:val="22"/>
          <w:highlight w:val="lightGray"/>
          <w:lang w:val="pl-PL"/>
        </w:rPr>
        <w:t>a</w:t>
      </w:r>
      <w:r w:rsidRPr="00AE05B3">
        <w:rPr>
          <w:sz w:val="22"/>
          <w:highlight w:val="lightGray"/>
          <w:lang w:val="pl-PL"/>
        </w:rPr>
        <w:t xml:space="preserve"> powlekan</w:t>
      </w:r>
      <w:r w:rsidR="00F33BCA">
        <w:rPr>
          <w:sz w:val="22"/>
          <w:highlight w:val="lightGray"/>
          <w:lang w:val="pl-PL"/>
        </w:rPr>
        <w:t>a</w:t>
      </w:r>
      <w:r w:rsidR="00EA339A" w:rsidRPr="008669CB">
        <w:rPr>
          <w:sz w:val="22"/>
          <w:highlight w:val="lightGray"/>
          <w:lang w:val="pl-PL"/>
        </w:rPr>
        <w:t xml:space="preserve"> w </w:t>
      </w:r>
      <w:r w:rsidR="00F33BCA">
        <w:rPr>
          <w:sz w:val="22"/>
          <w:highlight w:val="lightGray"/>
          <w:lang w:val="pl-PL"/>
        </w:rPr>
        <w:t xml:space="preserve">jednostkowych </w:t>
      </w:r>
      <w:r w:rsidR="00EA339A" w:rsidRPr="008669CB">
        <w:rPr>
          <w:sz w:val="22"/>
          <w:highlight w:val="lightGray"/>
          <w:lang w:val="pl-PL"/>
        </w:rPr>
        <w:t>blistrach z aluminium</w:t>
      </w:r>
    </w:p>
    <w:p w:rsidR="005F3F18" w:rsidRPr="00F33BCA" w:rsidRDefault="005F3F18" w:rsidP="005F3F18">
      <w:pPr>
        <w:tabs>
          <w:tab w:val="left" w:pos="540"/>
        </w:tabs>
        <w:rPr>
          <w:bCs/>
          <w:sz w:val="22"/>
          <w:highlight w:val="lightGray"/>
          <w:lang w:val="pl-PL"/>
        </w:rPr>
      </w:pPr>
      <w:r w:rsidRPr="00AE05B3">
        <w:rPr>
          <w:sz w:val="22"/>
          <w:highlight w:val="lightGray"/>
          <w:lang w:val="pl-PL"/>
        </w:rPr>
        <w:t>EU/1/98/069/</w:t>
      </w:r>
      <w:r w:rsidR="00AF122F" w:rsidRPr="00AE05B3">
        <w:rPr>
          <w:sz w:val="22"/>
          <w:highlight w:val="lightGray"/>
          <w:lang w:val="pl-PL"/>
        </w:rPr>
        <w:t>009</w:t>
      </w:r>
      <w:r w:rsidRPr="00AE05B3">
        <w:rPr>
          <w:sz w:val="22"/>
          <w:highlight w:val="lightGray"/>
          <w:lang w:val="pl-PL"/>
        </w:rPr>
        <w:t xml:space="preserve"> 30</w:t>
      </w:r>
      <w:r w:rsidR="00D00DAE">
        <w:rPr>
          <w:sz w:val="22"/>
          <w:highlight w:val="lightGray"/>
          <w:lang w:val="pl-PL"/>
        </w:rPr>
        <w:t>x1</w:t>
      </w:r>
      <w:r w:rsidRPr="00AE05B3">
        <w:rPr>
          <w:sz w:val="22"/>
          <w:highlight w:val="lightGray"/>
          <w:lang w:val="pl-PL"/>
        </w:rPr>
        <w:t xml:space="preserve"> tablet</w:t>
      </w:r>
      <w:r w:rsidR="00026D0E">
        <w:rPr>
          <w:sz w:val="22"/>
          <w:highlight w:val="lightGray"/>
          <w:lang w:val="pl-PL"/>
        </w:rPr>
        <w:t>k</w:t>
      </w:r>
      <w:r w:rsidR="00F33BCA">
        <w:rPr>
          <w:sz w:val="22"/>
          <w:highlight w:val="lightGray"/>
          <w:lang w:val="pl-PL"/>
        </w:rPr>
        <w:t>a</w:t>
      </w:r>
      <w:r w:rsidR="00AB59A3" w:rsidRPr="00AE05B3">
        <w:rPr>
          <w:sz w:val="22"/>
          <w:highlight w:val="lightGray"/>
          <w:lang w:val="pl-PL"/>
        </w:rPr>
        <w:t xml:space="preserve"> </w:t>
      </w:r>
      <w:r w:rsidRPr="00AE05B3">
        <w:rPr>
          <w:sz w:val="22"/>
          <w:highlight w:val="lightGray"/>
          <w:lang w:val="pl-PL"/>
        </w:rPr>
        <w:t>powlekan</w:t>
      </w:r>
      <w:r w:rsidR="00F33BCA">
        <w:rPr>
          <w:sz w:val="22"/>
          <w:highlight w:val="lightGray"/>
          <w:lang w:val="pl-PL"/>
        </w:rPr>
        <w:t>a</w:t>
      </w:r>
      <w:r w:rsidR="00F33BCA" w:rsidRPr="008669CB">
        <w:rPr>
          <w:sz w:val="22"/>
          <w:highlight w:val="lightGray"/>
          <w:lang w:val="pl-PL"/>
        </w:rPr>
        <w:t xml:space="preserve"> w</w:t>
      </w:r>
      <w:r w:rsidR="00F33BCA" w:rsidRPr="008669CB">
        <w:rPr>
          <w:bCs/>
          <w:sz w:val="22"/>
          <w:highlight w:val="lightGray"/>
          <w:lang w:val="pl-PL"/>
        </w:rPr>
        <w:t xml:space="preserve"> </w:t>
      </w:r>
      <w:r w:rsidR="00F33BCA">
        <w:rPr>
          <w:bCs/>
          <w:sz w:val="22"/>
          <w:highlight w:val="lightGray"/>
          <w:lang w:val="pl-PL"/>
        </w:rPr>
        <w:t xml:space="preserve">jednostkowych </w:t>
      </w:r>
      <w:r w:rsidR="00F33BCA" w:rsidRPr="008669CB">
        <w:rPr>
          <w:bCs/>
          <w:sz w:val="22"/>
          <w:highlight w:val="lightGray"/>
          <w:lang w:val="pl-PL"/>
        </w:rPr>
        <w:t>blistrach z aluminium</w:t>
      </w:r>
    </w:p>
    <w:p w:rsidR="005F3F18" w:rsidRPr="00AE05B3" w:rsidRDefault="005F3F18" w:rsidP="005F3F18">
      <w:pPr>
        <w:tabs>
          <w:tab w:val="left" w:pos="540"/>
        </w:tabs>
        <w:rPr>
          <w:bCs/>
          <w:sz w:val="22"/>
          <w:highlight w:val="lightGray"/>
          <w:lang w:val="pl-PL"/>
        </w:rPr>
      </w:pPr>
      <w:r w:rsidRPr="00AE05B3">
        <w:rPr>
          <w:bCs/>
          <w:sz w:val="22"/>
          <w:highlight w:val="lightGray"/>
          <w:lang w:val="pl-PL"/>
        </w:rPr>
        <w:t>EU/1/98/069/</w:t>
      </w:r>
      <w:r w:rsidR="00AF122F" w:rsidRPr="00AE05B3">
        <w:rPr>
          <w:bCs/>
          <w:sz w:val="22"/>
          <w:highlight w:val="lightGray"/>
          <w:lang w:val="pl-PL"/>
        </w:rPr>
        <w:t>010</w:t>
      </w:r>
      <w:r w:rsidRPr="00AE05B3">
        <w:rPr>
          <w:bCs/>
          <w:sz w:val="22"/>
          <w:highlight w:val="lightGray"/>
          <w:lang w:val="pl-PL"/>
        </w:rPr>
        <w:t xml:space="preserve"> </w:t>
      </w:r>
      <w:r w:rsidRPr="00F33BCA">
        <w:rPr>
          <w:bCs/>
          <w:sz w:val="22"/>
          <w:highlight w:val="lightGray"/>
          <w:lang w:val="pl-PL"/>
        </w:rPr>
        <w:t>100</w:t>
      </w:r>
      <w:r w:rsidR="00D00DAE" w:rsidRPr="00F33BCA">
        <w:rPr>
          <w:bCs/>
          <w:sz w:val="22"/>
          <w:highlight w:val="lightGray"/>
          <w:lang w:val="pl-PL"/>
        </w:rPr>
        <w:t>x1</w:t>
      </w:r>
      <w:r w:rsidR="00026D0E" w:rsidRPr="00F33BCA">
        <w:rPr>
          <w:bCs/>
          <w:sz w:val="22"/>
          <w:highlight w:val="lightGray"/>
          <w:lang w:val="pl-PL"/>
        </w:rPr>
        <w:t xml:space="preserve"> </w:t>
      </w:r>
      <w:r w:rsidRPr="00F33BCA">
        <w:rPr>
          <w:bCs/>
          <w:sz w:val="22"/>
          <w:highlight w:val="lightGray"/>
          <w:lang w:val="pl-PL"/>
        </w:rPr>
        <w:t>tabletk</w:t>
      </w:r>
      <w:r w:rsidR="00F33BCA" w:rsidRPr="00F33BCA">
        <w:rPr>
          <w:bCs/>
          <w:sz w:val="22"/>
          <w:highlight w:val="lightGray"/>
          <w:lang w:val="pl-PL"/>
        </w:rPr>
        <w:t>a</w:t>
      </w:r>
      <w:r w:rsidRPr="00F33BCA">
        <w:rPr>
          <w:bCs/>
          <w:sz w:val="22"/>
          <w:highlight w:val="lightGray"/>
          <w:lang w:val="pl-PL"/>
        </w:rPr>
        <w:t xml:space="preserve"> powlekan</w:t>
      </w:r>
      <w:r w:rsidR="00F33BCA" w:rsidRPr="00F33BCA">
        <w:rPr>
          <w:bCs/>
          <w:sz w:val="22"/>
          <w:highlight w:val="lightGray"/>
          <w:lang w:val="pl-PL"/>
        </w:rPr>
        <w:t>a</w:t>
      </w:r>
      <w:r w:rsidR="00F33BCA" w:rsidRPr="008669CB">
        <w:rPr>
          <w:bCs/>
          <w:sz w:val="22"/>
          <w:highlight w:val="lightGray"/>
          <w:lang w:val="pl-PL"/>
        </w:rPr>
        <w:t xml:space="preserve"> w </w:t>
      </w:r>
      <w:r w:rsidR="00F33BCA">
        <w:rPr>
          <w:bCs/>
          <w:sz w:val="22"/>
          <w:highlight w:val="lightGray"/>
          <w:lang w:val="pl-PL"/>
        </w:rPr>
        <w:t>jednostkowych</w:t>
      </w:r>
      <w:r w:rsidR="00F33BCA" w:rsidRPr="008669CB">
        <w:rPr>
          <w:bCs/>
          <w:sz w:val="22"/>
          <w:highlight w:val="lightGray"/>
          <w:lang w:val="pl-PL"/>
        </w:rPr>
        <w:t xml:space="preserve"> blistrach z aluminium</w:t>
      </w:r>
    </w:p>
    <w:p w:rsidR="001875D1" w:rsidRPr="00AE05B3" w:rsidRDefault="001875D1" w:rsidP="001875D1">
      <w:pPr>
        <w:tabs>
          <w:tab w:val="left" w:pos="540"/>
        </w:tabs>
        <w:rPr>
          <w:bCs/>
          <w:sz w:val="22"/>
          <w:highlight w:val="lightGray"/>
          <w:lang w:val="pl-PL"/>
        </w:rPr>
      </w:pPr>
      <w:r w:rsidRPr="00AE05B3">
        <w:rPr>
          <w:bCs/>
          <w:sz w:val="22"/>
          <w:highlight w:val="lightGray"/>
          <w:lang w:val="pl-PL"/>
        </w:rPr>
        <w:t xml:space="preserve">EU/1/98/069/012 </w:t>
      </w:r>
      <w:r w:rsidRPr="00F33BCA">
        <w:rPr>
          <w:bCs/>
          <w:sz w:val="22"/>
          <w:highlight w:val="lightGray"/>
          <w:lang w:val="pl-PL"/>
        </w:rPr>
        <w:t>10</w:t>
      </w:r>
      <w:r w:rsidR="00D00DAE" w:rsidRPr="00F33BCA">
        <w:rPr>
          <w:bCs/>
          <w:sz w:val="22"/>
          <w:highlight w:val="lightGray"/>
          <w:lang w:val="pl-PL"/>
        </w:rPr>
        <w:t>x1</w:t>
      </w:r>
      <w:r w:rsidRPr="00F33BCA">
        <w:rPr>
          <w:bCs/>
          <w:sz w:val="22"/>
          <w:highlight w:val="lightGray"/>
          <w:lang w:val="pl-PL"/>
        </w:rPr>
        <w:t xml:space="preserve"> tablet</w:t>
      </w:r>
      <w:r w:rsidR="00026D0E" w:rsidRPr="00F33BCA">
        <w:rPr>
          <w:bCs/>
          <w:sz w:val="22"/>
          <w:highlight w:val="lightGray"/>
          <w:lang w:val="pl-PL"/>
        </w:rPr>
        <w:t>k</w:t>
      </w:r>
      <w:r w:rsidR="00F33BCA" w:rsidRPr="00F33BCA">
        <w:rPr>
          <w:bCs/>
          <w:sz w:val="22"/>
          <w:highlight w:val="lightGray"/>
          <w:lang w:val="pl-PL"/>
        </w:rPr>
        <w:t>a</w:t>
      </w:r>
      <w:r w:rsidRPr="00F33BCA">
        <w:rPr>
          <w:bCs/>
          <w:sz w:val="22"/>
          <w:highlight w:val="lightGray"/>
          <w:lang w:val="pl-PL"/>
        </w:rPr>
        <w:t xml:space="preserve"> powlekan</w:t>
      </w:r>
      <w:r w:rsidR="00F33BCA" w:rsidRPr="00F33BCA">
        <w:rPr>
          <w:bCs/>
          <w:sz w:val="22"/>
          <w:highlight w:val="lightGray"/>
          <w:lang w:val="pl-PL"/>
        </w:rPr>
        <w:t>a</w:t>
      </w:r>
      <w:r w:rsidR="00F33BCA" w:rsidRPr="008669CB">
        <w:rPr>
          <w:bCs/>
          <w:sz w:val="22"/>
          <w:highlight w:val="lightGray"/>
          <w:lang w:val="pl-PL"/>
        </w:rPr>
        <w:t xml:space="preserve"> w</w:t>
      </w:r>
      <w:r w:rsidR="00511FAC">
        <w:rPr>
          <w:bCs/>
          <w:sz w:val="22"/>
          <w:highlight w:val="lightGray"/>
          <w:lang w:val="pl-PL"/>
        </w:rPr>
        <w:t xml:space="preserve"> </w:t>
      </w:r>
      <w:r w:rsidR="00F33BCA">
        <w:rPr>
          <w:bCs/>
          <w:sz w:val="22"/>
          <w:highlight w:val="lightGray"/>
          <w:lang w:val="pl-PL"/>
        </w:rPr>
        <w:t>jednostkowych</w:t>
      </w:r>
      <w:r w:rsidR="00F33BCA" w:rsidRPr="008669CB">
        <w:rPr>
          <w:bCs/>
          <w:sz w:val="22"/>
          <w:highlight w:val="lightGray"/>
          <w:lang w:val="pl-PL"/>
        </w:rPr>
        <w:t xml:space="preserve"> blistrach z aluminium</w:t>
      </w:r>
    </w:p>
    <w:p w:rsidR="005F3F18" w:rsidRPr="00022436" w:rsidRDefault="005F3F18" w:rsidP="005F3F18">
      <w:pPr>
        <w:tabs>
          <w:tab w:val="left" w:pos="540"/>
        </w:tabs>
        <w:rPr>
          <w:sz w:val="22"/>
          <w:lang w:val="pl-PL"/>
        </w:rPr>
      </w:pPr>
    </w:p>
    <w:p w:rsidR="005F3F18" w:rsidRPr="00022436" w:rsidRDefault="005F3F18" w:rsidP="005F3F18">
      <w:pPr>
        <w:tabs>
          <w:tab w:val="left" w:pos="540"/>
        </w:tabs>
        <w:rPr>
          <w:sz w:val="22"/>
          <w:lang w:val="pl-PL"/>
        </w:rPr>
      </w:pPr>
    </w:p>
    <w:p w:rsidR="005F3F18" w:rsidRDefault="005F3F18" w:rsidP="005F3F18">
      <w:pPr>
        <w:numPr>
          <w:ilvl w:val="0"/>
          <w:numId w:val="34"/>
        </w:numPr>
        <w:pBdr>
          <w:top w:val="single" w:sz="4" w:space="1" w:color="auto"/>
          <w:left w:val="single" w:sz="4" w:space="4" w:color="auto"/>
          <w:bottom w:val="single" w:sz="4" w:space="1" w:color="auto"/>
          <w:right w:val="single" w:sz="4" w:space="4" w:color="auto"/>
        </w:pBdr>
        <w:tabs>
          <w:tab w:val="left" w:pos="540"/>
        </w:tabs>
        <w:ind w:hanging="720"/>
        <w:rPr>
          <w:b/>
          <w:sz w:val="22"/>
          <w:lang w:val="pl-PL"/>
        </w:rPr>
      </w:pPr>
      <w:r>
        <w:rPr>
          <w:b/>
          <w:sz w:val="22"/>
          <w:lang w:val="pl-PL"/>
        </w:rPr>
        <w:t xml:space="preserve">NUMER SERII </w:t>
      </w:r>
    </w:p>
    <w:p w:rsidR="005F3F18" w:rsidRDefault="005F3F18" w:rsidP="005F3F18">
      <w:pPr>
        <w:tabs>
          <w:tab w:val="left" w:pos="540"/>
        </w:tabs>
        <w:rPr>
          <w:sz w:val="22"/>
          <w:lang w:val="pl-PL"/>
        </w:rPr>
      </w:pPr>
    </w:p>
    <w:p w:rsidR="005F3F18" w:rsidRDefault="00A211D3" w:rsidP="005F3F18">
      <w:pPr>
        <w:tabs>
          <w:tab w:val="left" w:pos="540"/>
        </w:tabs>
        <w:rPr>
          <w:sz w:val="22"/>
          <w:lang w:val="pl-PL"/>
        </w:rPr>
      </w:pPr>
      <w:r>
        <w:rPr>
          <w:sz w:val="22"/>
          <w:lang w:val="pl-PL"/>
        </w:rPr>
        <w:t>Nr serii (Lot)</w:t>
      </w:r>
      <w:r w:rsidR="00AB59A3">
        <w:rPr>
          <w:sz w:val="22"/>
          <w:lang w:val="pl-PL"/>
        </w:rPr>
        <w:t>:</w:t>
      </w:r>
    </w:p>
    <w:p w:rsidR="005F3F18" w:rsidRPr="00022436" w:rsidRDefault="005F3F18" w:rsidP="005F3F18">
      <w:pPr>
        <w:tabs>
          <w:tab w:val="left" w:pos="540"/>
        </w:tabs>
        <w:rPr>
          <w:sz w:val="22"/>
          <w:lang w:val="pl-PL"/>
        </w:rPr>
      </w:pPr>
    </w:p>
    <w:p w:rsidR="005F3F18" w:rsidRPr="00022436" w:rsidRDefault="005F3F18" w:rsidP="005F3F18">
      <w:pPr>
        <w:tabs>
          <w:tab w:val="left" w:pos="540"/>
        </w:tabs>
        <w:rPr>
          <w:sz w:val="22"/>
          <w:lang w:val="pl-PL"/>
        </w:rPr>
      </w:pPr>
    </w:p>
    <w:p w:rsidR="005F3F18" w:rsidRDefault="00170BA6" w:rsidP="005F3F18">
      <w:pPr>
        <w:numPr>
          <w:ilvl w:val="0"/>
          <w:numId w:val="34"/>
        </w:numPr>
        <w:pBdr>
          <w:top w:val="single" w:sz="4" w:space="1" w:color="auto"/>
          <w:left w:val="single" w:sz="4" w:space="4" w:color="auto"/>
          <w:bottom w:val="single" w:sz="4" w:space="1" w:color="auto"/>
          <w:right w:val="single" w:sz="4" w:space="4" w:color="auto"/>
        </w:pBdr>
        <w:tabs>
          <w:tab w:val="left" w:pos="540"/>
        </w:tabs>
        <w:ind w:hanging="720"/>
        <w:rPr>
          <w:b/>
          <w:sz w:val="22"/>
          <w:lang w:val="pl-PL"/>
        </w:rPr>
      </w:pPr>
      <w:r>
        <w:rPr>
          <w:b/>
          <w:sz w:val="22"/>
          <w:lang w:val="pl-PL"/>
        </w:rPr>
        <w:t xml:space="preserve">OGÓLNA </w:t>
      </w:r>
      <w:r w:rsidR="005F3F18">
        <w:rPr>
          <w:b/>
          <w:sz w:val="22"/>
          <w:lang w:val="pl-PL"/>
        </w:rPr>
        <w:t>KATEGORIA DOSTĘPNOŚCI</w:t>
      </w:r>
    </w:p>
    <w:p w:rsidR="005F3F18" w:rsidRPr="00022436" w:rsidRDefault="005F3F18" w:rsidP="005F3F18">
      <w:pPr>
        <w:tabs>
          <w:tab w:val="left" w:pos="540"/>
        </w:tabs>
        <w:rPr>
          <w:sz w:val="22"/>
          <w:lang w:val="pl-PL"/>
        </w:rPr>
      </w:pPr>
    </w:p>
    <w:p w:rsidR="005F3F18" w:rsidRDefault="00AB59A3" w:rsidP="005F3F18">
      <w:pPr>
        <w:pStyle w:val="BodyText3"/>
        <w:tabs>
          <w:tab w:val="clear" w:pos="567"/>
          <w:tab w:val="left" w:pos="540"/>
        </w:tabs>
        <w:rPr>
          <w:lang w:val="pl-PL"/>
        </w:rPr>
      </w:pPr>
      <w:r>
        <w:rPr>
          <w:lang w:val="pl-PL"/>
        </w:rPr>
        <w:t xml:space="preserve">Produkt leczniczy </w:t>
      </w:r>
      <w:r w:rsidR="005F3F18">
        <w:rPr>
          <w:lang w:val="pl-PL"/>
        </w:rPr>
        <w:t>wydawany na receptę.</w:t>
      </w:r>
    </w:p>
    <w:p w:rsidR="005F3F18" w:rsidRDefault="005F3F18" w:rsidP="005F3F18">
      <w:pPr>
        <w:tabs>
          <w:tab w:val="left" w:pos="540"/>
        </w:tabs>
        <w:rPr>
          <w:sz w:val="22"/>
          <w:lang w:val="pl-PL"/>
        </w:rPr>
      </w:pPr>
    </w:p>
    <w:p w:rsidR="005F3F18" w:rsidRDefault="005F3F18" w:rsidP="005F3F18">
      <w:pPr>
        <w:tabs>
          <w:tab w:val="left" w:pos="540"/>
        </w:tabs>
        <w:rPr>
          <w:sz w:val="22"/>
          <w:lang w:val="pl-PL"/>
        </w:rPr>
      </w:pPr>
    </w:p>
    <w:p w:rsidR="005F3F18" w:rsidRDefault="005F3F18" w:rsidP="005F3F18">
      <w:pPr>
        <w:numPr>
          <w:ilvl w:val="0"/>
          <w:numId w:val="34"/>
        </w:numPr>
        <w:pBdr>
          <w:top w:val="single" w:sz="4" w:space="1" w:color="auto"/>
          <w:left w:val="single" w:sz="4" w:space="4" w:color="auto"/>
          <w:bottom w:val="single" w:sz="4" w:space="1" w:color="auto"/>
          <w:right w:val="single" w:sz="4" w:space="4" w:color="auto"/>
        </w:pBdr>
        <w:tabs>
          <w:tab w:val="left" w:pos="540"/>
        </w:tabs>
        <w:ind w:hanging="720"/>
        <w:rPr>
          <w:b/>
          <w:sz w:val="22"/>
          <w:lang w:val="pl-PL"/>
        </w:rPr>
      </w:pPr>
      <w:r>
        <w:rPr>
          <w:b/>
          <w:sz w:val="22"/>
          <w:lang w:val="pl-PL"/>
        </w:rPr>
        <w:t>INSTRUKCJA UŻYCIA</w:t>
      </w:r>
    </w:p>
    <w:p w:rsidR="005F3F18" w:rsidRDefault="005F3F18" w:rsidP="005F3F18">
      <w:pPr>
        <w:rPr>
          <w:b/>
          <w:sz w:val="22"/>
          <w:lang w:val="pl-PL"/>
        </w:rPr>
      </w:pPr>
    </w:p>
    <w:p w:rsidR="005F3F18" w:rsidRDefault="005F3F18" w:rsidP="005F3F18">
      <w:pPr>
        <w:rPr>
          <w:b/>
          <w:sz w:val="22"/>
          <w:lang w:val="pl-P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AB59A3" w:rsidTr="00AE05B3">
        <w:tc>
          <w:tcPr>
            <w:tcW w:w="5000" w:type="pct"/>
            <w:shd w:val="clear" w:color="auto" w:fill="auto"/>
          </w:tcPr>
          <w:p w:rsidR="00AB59A3" w:rsidRPr="00AE05B3" w:rsidRDefault="00AB59A3" w:rsidP="00AE05B3">
            <w:pPr>
              <w:numPr>
                <w:ilvl w:val="0"/>
                <w:numId w:val="34"/>
              </w:numPr>
              <w:tabs>
                <w:tab w:val="clear" w:pos="720"/>
                <w:tab w:val="num" w:pos="567"/>
              </w:tabs>
              <w:ind w:hanging="720"/>
              <w:rPr>
                <w:b/>
                <w:sz w:val="22"/>
                <w:lang w:val="pl-PL"/>
              </w:rPr>
            </w:pPr>
            <w:r w:rsidRPr="00AE05B3">
              <w:rPr>
                <w:b/>
                <w:sz w:val="22"/>
                <w:lang w:val="pl-PL"/>
              </w:rPr>
              <w:t>INFORMACJA PODANA SYSTEME BRAILLE’A</w:t>
            </w:r>
          </w:p>
        </w:tc>
      </w:tr>
    </w:tbl>
    <w:p w:rsidR="00AB59A3" w:rsidRDefault="00AB59A3" w:rsidP="005F3F18">
      <w:pPr>
        <w:rPr>
          <w:b/>
          <w:sz w:val="22"/>
          <w:lang w:val="pl-PL"/>
        </w:rPr>
      </w:pPr>
    </w:p>
    <w:p w:rsidR="005F3F18" w:rsidRDefault="005F3F18" w:rsidP="005F3F18">
      <w:pPr>
        <w:rPr>
          <w:sz w:val="22"/>
          <w:lang w:val="pl-PL"/>
        </w:rPr>
      </w:pPr>
      <w:r>
        <w:rPr>
          <w:sz w:val="22"/>
          <w:lang w:val="pl-PL"/>
        </w:rPr>
        <w:t>Plavix 300 mg</w:t>
      </w:r>
    </w:p>
    <w:p w:rsidR="007D7BDA" w:rsidRDefault="007D7BDA" w:rsidP="005F3F18">
      <w:pPr>
        <w:rPr>
          <w:sz w:val="22"/>
          <w:lang w:val="pl-PL"/>
        </w:rPr>
      </w:pPr>
    </w:p>
    <w:p w:rsidR="007D7BDA" w:rsidRDefault="007D7BDA" w:rsidP="007D7BDA">
      <w:pPr>
        <w:rPr>
          <w:color w:val="000000"/>
          <w:sz w:val="22"/>
          <w:szCs w:val="22"/>
        </w:rPr>
      </w:pPr>
    </w:p>
    <w:p w:rsidR="007D7BDA" w:rsidRPr="00BD6C12" w:rsidRDefault="007D7BDA" w:rsidP="007D7BDA">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sz w:val="22"/>
          <w:lang w:val="pl-PL"/>
        </w:rPr>
      </w:pPr>
      <w:r w:rsidRPr="00BD6C12">
        <w:rPr>
          <w:b/>
          <w:noProof/>
          <w:sz w:val="22"/>
          <w:szCs w:val="28"/>
          <w:lang w:val="pl-PL"/>
        </w:rPr>
        <w:t>17.</w:t>
      </w:r>
      <w:r w:rsidRPr="00BD6C12">
        <w:rPr>
          <w:b/>
          <w:noProof/>
          <w:sz w:val="22"/>
          <w:szCs w:val="28"/>
          <w:lang w:val="pl-PL"/>
        </w:rPr>
        <w:tab/>
        <w:t>NIEPOWTARZALNY IDENTYFIKATOR – KOD 2D</w:t>
      </w:r>
    </w:p>
    <w:p w:rsidR="007D7BDA" w:rsidRPr="00BD6C12" w:rsidRDefault="007D7BDA" w:rsidP="007D7BDA">
      <w:pPr>
        <w:tabs>
          <w:tab w:val="left" w:pos="720"/>
        </w:tabs>
        <w:ind w:left="567" w:hanging="567"/>
        <w:rPr>
          <w:noProof/>
          <w:sz w:val="22"/>
          <w:szCs w:val="28"/>
          <w:lang w:val="pl-PL"/>
        </w:rPr>
      </w:pPr>
    </w:p>
    <w:p w:rsidR="00ED5674" w:rsidRPr="00FF6315" w:rsidRDefault="00ED5674" w:rsidP="00ED5674">
      <w:pPr>
        <w:ind w:left="567" w:hanging="567"/>
        <w:rPr>
          <w:noProof/>
          <w:sz w:val="22"/>
          <w:szCs w:val="22"/>
          <w:shd w:val="clear" w:color="auto" w:fill="CCCCCC"/>
          <w:lang w:val="pl-PL"/>
        </w:rPr>
      </w:pPr>
      <w:r w:rsidRPr="00FF6315">
        <w:rPr>
          <w:noProof/>
          <w:sz w:val="22"/>
          <w:szCs w:val="28"/>
          <w:highlight w:val="lightGray"/>
          <w:lang w:val="pl-PL"/>
        </w:rPr>
        <w:t>Obejmuje kod 2D będący nośnikiem niepowtarzalnego identyfikatora.</w:t>
      </w:r>
    </w:p>
    <w:p w:rsidR="007D7BDA" w:rsidRDefault="007D7BDA" w:rsidP="007D7BDA">
      <w:pPr>
        <w:ind w:left="567" w:hanging="567"/>
        <w:rPr>
          <w:noProof/>
          <w:sz w:val="22"/>
          <w:szCs w:val="28"/>
          <w:lang w:val="pl-PL"/>
        </w:rPr>
      </w:pPr>
    </w:p>
    <w:p w:rsidR="00ED5674" w:rsidRPr="00BD6C12" w:rsidRDefault="00ED5674" w:rsidP="007D7BDA">
      <w:pPr>
        <w:ind w:left="567" w:hanging="567"/>
        <w:rPr>
          <w:noProof/>
          <w:sz w:val="22"/>
          <w:szCs w:val="28"/>
          <w:lang w:val="pl-PL"/>
        </w:rPr>
      </w:pPr>
    </w:p>
    <w:p w:rsidR="007D7BDA" w:rsidRPr="00BD6C12" w:rsidRDefault="007D7BDA" w:rsidP="007D7BDA">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sz w:val="22"/>
          <w:szCs w:val="28"/>
          <w:lang w:val="pl-PL"/>
        </w:rPr>
      </w:pPr>
      <w:r w:rsidRPr="00BD6C12">
        <w:rPr>
          <w:b/>
          <w:noProof/>
          <w:sz w:val="22"/>
          <w:szCs w:val="28"/>
          <w:lang w:val="pl-PL"/>
        </w:rPr>
        <w:t>18.</w:t>
      </w:r>
      <w:r w:rsidRPr="00BD6C12">
        <w:rPr>
          <w:b/>
          <w:noProof/>
          <w:sz w:val="22"/>
          <w:szCs w:val="28"/>
          <w:lang w:val="pl-PL"/>
        </w:rPr>
        <w:tab/>
        <w:t>NIEPOWTARZALNY IDENTYFIKATOR – DANE CZYTELNE DLA CZŁOWIEKA</w:t>
      </w:r>
    </w:p>
    <w:p w:rsidR="007D7BDA" w:rsidRPr="00BD6C12" w:rsidRDefault="007D7BDA" w:rsidP="007D7BDA">
      <w:pPr>
        <w:tabs>
          <w:tab w:val="left" w:pos="720"/>
        </w:tabs>
        <w:ind w:left="567" w:hanging="567"/>
        <w:rPr>
          <w:noProof/>
          <w:sz w:val="22"/>
          <w:szCs w:val="28"/>
          <w:lang w:val="pl-PL"/>
        </w:rPr>
      </w:pPr>
    </w:p>
    <w:p w:rsidR="00ED5674" w:rsidRPr="00ED5674" w:rsidRDefault="00ED5674" w:rsidP="00ED5674">
      <w:pPr>
        <w:rPr>
          <w:color w:val="008000"/>
          <w:sz w:val="24"/>
          <w:szCs w:val="22"/>
          <w:lang w:eastAsia="en-US"/>
        </w:rPr>
      </w:pPr>
      <w:r w:rsidRPr="00ED5674">
        <w:rPr>
          <w:sz w:val="24"/>
          <w:szCs w:val="22"/>
          <w:lang w:eastAsia="en-US"/>
        </w:rPr>
        <w:t xml:space="preserve">PC: </w:t>
      </w:r>
    </w:p>
    <w:p w:rsidR="00ED5674" w:rsidRPr="00ED5674" w:rsidRDefault="00ED5674" w:rsidP="00ED5674">
      <w:pPr>
        <w:rPr>
          <w:sz w:val="24"/>
          <w:szCs w:val="22"/>
          <w:lang w:eastAsia="en-US"/>
        </w:rPr>
      </w:pPr>
      <w:r w:rsidRPr="00ED5674">
        <w:rPr>
          <w:sz w:val="24"/>
          <w:szCs w:val="22"/>
          <w:lang w:eastAsia="en-US"/>
        </w:rPr>
        <w:t xml:space="preserve">SN: </w:t>
      </w:r>
    </w:p>
    <w:p w:rsidR="00ED5674" w:rsidRPr="00ED5674" w:rsidRDefault="00ED5674" w:rsidP="00ED5674">
      <w:pPr>
        <w:rPr>
          <w:sz w:val="24"/>
          <w:szCs w:val="22"/>
          <w:lang w:eastAsia="en-US"/>
        </w:rPr>
      </w:pPr>
      <w:r w:rsidRPr="00ED5674">
        <w:rPr>
          <w:sz w:val="24"/>
          <w:szCs w:val="22"/>
          <w:lang w:eastAsia="en-US"/>
        </w:rPr>
        <w:t xml:space="preserve">NN: </w:t>
      </w:r>
    </w:p>
    <w:p w:rsidR="007D7BDA" w:rsidRPr="00BD6C12" w:rsidRDefault="007D7BDA" w:rsidP="007D7BDA">
      <w:pPr>
        <w:rPr>
          <w:color w:val="000000"/>
          <w:sz w:val="22"/>
          <w:szCs w:val="22"/>
          <w:lang w:val="pl-PL"/>
        </w:rPr>
      </w:pPr>
    </w:p>
    <w:p w:rsidR="007D7BDA" w:rsidRDefault="007D7BDA" w:rsidP="005F3F18">
      <w:pPr>
        <w:rPr>
          <w:sz w:val="22"/>
          <w:lang w:val="pl-PL"/>
        </w:rPr>
      </w:pPr>
    </w:p>
    <w:p w:rsidR="005F3F18" w:rsidRDefault="005F3F18" w:rsidP="005F3F18">
      <w:pPr>
        <w:pBdr>
          <w:top w:val="single" w:sz="4" w:space="1" w:color="auto"/>
          <w:left w:val="single" w:sz="4" w:space="4" w:color="auto"/>
          <w:bottom w:val="single" w:sz="4" w:space="1" w:color="auto"/>
          <w:right w:val="single" w:sz="4" w:space="4" w:color="auto"/>
        </w:pBdr>
        <w:rPr>
          <w:b/>
          <w:sz w:val="22"/>
          <w:lang w:val="pl-PL"/>
        </w:rPr>
      </w:pPr>
      <w:r>
        <w:rPr>
          <w:sz w:val="22"/>
          <w:lang w:val="pl-PL"/>
        </w:rPr>
        <w:br w:type="page"/>
      </w:r>
      <w:r>
        <w:rPr>
          <w:b/>
          <w:sz w:val="22"/>
          <w:lang w:val="pl-PL"/>
        </w:rPr>
        <w:t xml:space="preserve">MINIMUM INFORMACJI ZAMIESZCZANYCH NA BLISTRACH </w:t>
      </w:r>
      <w:r w:rsidR="00C4572E">
        <w:rPr>
          <w:b/>
          <w:sz w:val="22"/>
          <w:lang w:val="pl-PL"/>
        </w:rPr>
        <w:t>LUB STRIPSACH</w:t>
      </w:r>
    </w:p>
    <w:p w:rsidR="00200D9C" w:rsidRDefault="00200D9C" w:rsidP="005F3F18">
      <w:pPr>
        <w:pBdr>
          <w:top w:val="single" w:sz="4" w:space="1" w:color="auto"/>
          <w:left w:val="single" w:sz="4" w:space="4" w:color="auto"/>
          <w:bottom w:val="single" w:sz="4" w:space="1" w:color="auto"/>
          <w:right w:val="single" w:sz="4" w:space="4" w:color="auto"/>
        </w:pBdr>
        <w:rPr>
          <w:b/>
          <w:sz w:val="22"/>
          <w:lang w:val="pl-PL"/>
        </w:rPr>
      </w:pPr>
    </w:p>
    <w:p w:rsidR="005F3F18" w:rsidRDefault="00C4572E" w:rsidP="005F3F18">
      <w:pPr>
        <w:pBdr>
          <w:top w:val="single" w:sz="4" w:space="1" w:color="auto"/>
          <w:left w:val="single" w:sz="4" w:space="4" w:color="auto"/>
          <w:bottom w:val="single" w:sz="4" w:space="1" w:color="auto"/>
          <w:right w:val="single" w:sz="4" w:space="4" w:color="auto"/>
        </w:pBdr>
        <w:rPr>
          <w:b/>
          <w:sz w:val="22"/>
          <w:lang w:val="pl-PL"/>
        </w:rPr>
      </w:pPr>
      <w:r>
        <w:rPr>
          <w:b/>
          <w:sz w:val="22"/>
          <w:lang w:val="pl-PL"/>
        </w:rPr>
        <w:t xml:space="preserve">BLISTER/ </w:t>
      </w:r>
      <w:r w:rsidR="005F3F18">
        <w:rPr>
          <w:b/>
          <w:sz w:val="22"/>
          <w:lang w:val="pl-PL"/>
        </w:rPr>
        <w:t xml:space="preserve">4, </w:t>
      </w:r>
      <w:r w:rsidR="001875D1">
        <w:rPr>
          <w:b/>
          <w:sz w:val="22"/>
          <w:lang w:val="pl-PL"/>
        </w:rPr>
        <w:t xml:space="preserve">10, </w:t>
      </w:r>
      <w:r w:rsidR="005F3F18">
        <w:rPr>
          <w:b/>
          <w:sz w:val="22"/>
          <w:lang w:val="pl-PL"/>
        </w:rPr>
        <w:t xml:space="preserve">30 lub 100 tabletek </w:t>
      </w:r>
    </w:p>
    <w:p w:rsidR="005F3F18" w:rsidRPr="00022436" w:rsidRDefault="005F3F18" w:rsidP="005F3F18">
      <w:pPr>
        <w:rPr>
          <w:sz w:val="22"/>
          <w:lang w:val="pl-PL"/>
        </w:rPr>
      </w:pPr>
    </w:p>
    <w:p w:rsidR="005F3F18" w:rsidRPr="00022436" w:rsidRDefault="005F3F18" w:rsidP="005F3F18">
      <w:pPr>
        <w:rPr>
          <w:sz w:val="22"/>
          <w:lang w:val="pl-PL"/>
        </w:rPr>
      </w:pPr>
    </w:p>
    <w:p w:rsidR="005F3F18" w:rsidRDefault="005F3F18" w:rsidP="005F3F18">
      <w:pPr>
        <w:numPr>
          <w:ilvl w:val="3"/>
          <w:numId w:val="25"/>
        </w:numPr>
        <w:pBdr>
          <w:top w:val="single" w:sz="4" w:space="1" w:color="auto"/>
          <w:left w:val="single" w:sz="4" w:space="4" w:color="auto"/>
          <w:bottom w:val="single" w:sz="4" w:space="1" w:color="auto"/>
          <w:right w:val="single" w:sz="4" w:space="4" w:color="auto"/>
        </w:pBdr>
        <w:tabs>
          <w:tab w:val="clear" w:pos="2880"/>
          <w:tab w:val="num" w:pos="540"/>
        </w:tabs>
        <w:ind w:hanging="2880"/>
        <w:rPr>
          <w:b/>
          <w:sz w:val="22"/>
          <w:lang w:val="pl-PL"/>
        </w:rPr>
      </w:pPr>
      <w:r>
        <w:rPr>
          <w:b/>
          <w:sz w:val="22"/>
          <w:lang w:val="pl-PL"/>
        </w:rPr>
        <w:t>NAZWA PRODUKTU LECZNICZEGO</w:t>
      </w:r>
    </w:p>
    <w:p w:rsidR="005F3F18" w:rsidRPr="00022436" w:rsidRDefault="005F3F18" w:rsidP="005F3F18">
      <w:pPr>
        <w:rPr>
          <w:sz w:val="22"/>
          <w:lang w:val="pl-PL"/>
        </w:rPr>
      </w:pPr>
    </w:p>
    <w:p w:rsidR="005F3F18" w:rsidRDefault="005F3F18" w:rsidP="005F3F18">
      <w:pPr>
        <w:rPr>
          <w:sz w:val="22"/>
          <w:lang w:val="pl-PL"/>
        </w:rPr>
      </w:pPr>
      <w:r>
        <w:rPr>
          <w:sz w:val="22"/>
          <w:lang w:val="pl-PL"/>
        </w:rPr>
        <w:t>Plavix 300 mg tabletki powlekane</w:t>
      </w:r>
    </w:p>
    <w:p w:rsidR="005F3F18" w:rsidRDefault="00221A65" w:rsidP="005F3F18">
      <w:pPr>
        <w:rPr>
          <w:sz w:val="22"/>
          <w:lang w:val="pl-PL"/>
        </w:rPr>
      </w:pPr>
      <w:r>
        <w:rPr>
          <w:sz w:val="22"/>
          <w:lang w:val="pl-PL"/>
        </w:rPr>
        <w:t>k</w:t>
      </w:r>
      <w:r w:rsidR="005F3F18">
        <w:rPr>
          <w:sz w:val="22"/>
          <w:lang w:val="pl-PL"/>
        </w:rPr>
        <w:t>lopidogrel</w:t>
      </w:r>
    </w:p>
    <w:p w:rsidR="005F3F18" w:rsidRPr="00022436" w:rsidRDefault="005F3F18" w:rsidP="005F3F18">
      <w:pPr>
        <w:rPr>
          <w:sz w:val="22"/>
          <w:lang w:val="pl-PL"/>
        </w:rPr>
      </w:pPr>
    </w:p>
    <w:p w:rsidR="005F3F18" w:rsidRPr="00022436" w:rsidRDefault="005F3F18" w:rsidP="005F3F18">
      <w:pPr>
        <w:rPr>
          <w:sz w:val="22"/>
          <w:lang w:val="pl-PL"/>
        </w:rPr>
      </w:pPr>
    </w:p>
    <w:p w:rsidR="005F3F18" w:rsidRDefault="005F3F18" w:rsidP="005F3F18">
      <w:pPr>
        <w:numPr>
          <w:ilvl w:val="3"/>
          <w:numId w:val="25"/>
        </w:numPr>
        <w:pBdr>
          <w:top w:val="single" w:sz="4" w:space="1" w:color="auto"/>
          <w:left w:val="single" w:sz="4" w:space="4" w:color="auto"/>
          <w:bottom w:val="single" w:sz="4" w:space="1" w:color="auto"/>
          <w:right w:val="single" w:sz="4" w:space="4" w:color="auto"/>
        </w:pBdr>
        <w:tabs>
          <w:tab w:val="clear" w:pos="2880"/>
          <w:tab w:val="num" w:pos="540"/>
        </w:tabs>
        <w:ind w:hanging="2880"/>
        <w:rPr>
          <w:b/>
          <w:sz w:val="22"/>
          <w:lang w:val="pl-PL"/>
        </w:rPr>
      </w:pPr>
      <w:r>
        <w:rPr>
          <w:b/>
          <w:sz w:val="22"/>
          <w:lang w:val="pl-PL"/>
        </w:rPr>
        <w:t>NAZWA PODMIOTU ODPOWIEDZIALNEGO</w:t>
      </w:r>
    </w:p>
    <w:p w:rsidR="005F3F18" w:rsidRPr="00022436" w:rsidRDefault="005F3F18" w:rsidP="005F3F18">
      <w:pPr>
        <w:rPr>
          <w:sz w:val="22"/>
          <w:lang w:val="pl-PL"/>
        </w:rPr>
      </w:pPr>
    </w:p>
    <w:p w:rsidR="005F3F18" w:rsidRPr="00983DE3" w:rsidRDefault="002E46E0" w:rsidP="005F3F18">
      <w:pPr>
        <w:rPr>
          <w:sz w:val="22"/>
        </w:rPr>
      </w:pPr>
      <w:r w:rsidRPr="00925BA3">
        <w:rPr>
          <w:sz w:val="22"/>
          <w:szCs w:val="22"/>
          <w:lang w:val="fr-FR"/>
        </w:rPr>
        <w:t>sanofi-aventis groupe</w:t>
      </w:r>
    </w:p>
    <w:p w:rsidR="005F3F18" w:rsidRPr="00983DE3" w:rsidRDefault="005F3F18" w:rsidP="005F3F18">
      <w:pPr>
        <w:rPr>
          <w:sz w:val="22"/>
        </w:rPr>
      </w:pPr>
    </w:p>
    <w:p w:rsidR="005F3F18" w:rsidRPr="00983DE3" w:rsidRDefault="005F3F18" w:rsidP="005F3F18">
      <w:pPr>
        <w:rPr>
          <w:sz w:val="22"/>
        </w:rPr>
      </w:pPr>
    </w:p>
    <w:p w:rsidR="005F3F18" w:rsidRDefault="005F3F18" w:rsidP="005F3F18">
      <w:pPr>
        <w:numPr>
          <w:ilvl w:val="3"/>
          <w:numId w:val="25"/>
        </w:numPr>
        <w:pBdr>
          <w:top w:val="single" w:sz="4" w:space="1" w:color="auto"/>
          <w:left w:val="single" w:sz="4" w:space="4" w:color="auto"/>
          <w:bottom w:val="single" w:sz="4" w:space="1" w:color="auto"/>
          <w:right w:val="single" w:sz="4" w:space="4" w:color="auto"/>
        </w:pBdr>
        <w:tabs>
          <w:tab w:val="clear" w:pos="2880"/>
          <w:tab w:val="num" w:pos="540"/>
        </w:tabs>
        <w:ind w:hanging="2880"/>
        <w:rPr>
          <w:b/>
          <w:sz w:val="22"/>
          <w:lang w:val="pl-PL"/>
        </w:rPr>
      </w:pPr>
      <w:r>
        <w:rPr>
          <w:b/>
          <w:sz w:val="22"/>
          <w:lang w:val="pl-PL"/>
        </w:rPr>
        <w:t>TERMIN WAŻNOŚCI</w:t>
      </w:r>
    </w:p>
    <w:p w:rsidR="005F3F18" w:rsidRPr="00022436" w:rsidRDefault="005F3F18" w:rsidP="005F3F18">
      <w:pPr>
        <w:rPr>
          <w:sz w:val="22"/>
          <w:lang w:val="pl-PL"/>
        </w:rPr>
      </w:pPr>
    </w:p>
    <w:p w:rsidR="005F3F18" w:rsidRDefault="00A211D3" w:rsidP="005F3F18">
      <w:pPr>
        <w:rPr>
          <w:sz w:val="22"/>
          <w:lang w:val="pl-PL"/>
        </w:rPr>
      </w:pPr>
      <w:r>
        <w:rPr>
          <w:sz w:val="22"/>
          <w:lang w:val="pl-PL"/>
        </w:rPr>
        <w:t>EXP</w:t>
      </w:r>
      <w:r w:rsidR="00200D9C">
        <w:rPr>
          <w:sz w:val="22"/>
          <w:lang w:val="pl-PL"/>
        </w:rPr>
        <w:t>:</w:t>
      </w:r>
    </w:p>
    <w:p w:rsidR="005F3F18" w:rsidRDefault="005F3F18" w:rsidP="005F3F18">
      <w:pPr>
        <w:rPr>
          <w:sz w:val="22"/>
          <w:lang w:val="pl-PL"/>
        </w:rPr>
      </w:pPr>
    </w:p>
    <w:p w:rsidR="005F3F18" w:rsidRDefault="005F3F18" w:rsidP="005F3F18">
      <w:pPr>
        <w:rPr>
          <w:sz w:val="22"/>
          <w:lang w:val="pl-PL"/>
        </w:rPr>
      </w:pPr>
    </w:p>
    <w:p w:rsidR="005F3F18" w:rsidRDefault="005F3F18" w:rsidP="005F3F18">
      <w:pPr>
        <w:numPr>
          <w:ilvl w:val="3"/>
          <w:numId w:val="25"/>
        </w:numPr>
        <w:pBdr>
          <w:top w:val="single" w:sz="4" w:space="1" w:color="auto"/>
          <w:left w:val="single" w:sz="4" w:space="4" w:color="auto"/>
          <w:bottom w:val="single" w:sz="4" w:space="1" w:color="auto"/>
          <w:right w:val="single" w:sz="4" w:space="4" w:color="auto"/>
        </w:pBdr>
        <w:tabs>
          <w:tab w:val="clear" w:pos="2880"/>
          <w:tab w:val="num" w:pos="540"/>
        </w:tabs>
        <w:ind w:hanging="2880"/>
        <w:rPr>
          <w:b/>
          <w:sz w:val="22"/>
          <w:lang w:val="pl-PL"/>
        </w:rPr>
      </w:pPr>
      <w:r>
        <w:rPr>
          <w:b/>
          <w:sz w:val="22"/>
          <w:lang w:val="pl-PL"/>
        </w:rPr>
        <w:t>NUMER SERII</w:t>
      </w:r>
    </w:p>
    <w:p w:rsidR="005F3F18" w:rsidRPr="00022436" w:rsidRDefault="005F3F18" w:rsidP="005F3F18">
      <w:pPr>
        <w:rPr>
          <w:sz w:val="22"/>
          <w:lang w:val="pl-PL"/>
        </w:rPr>
      </w:pPr>
    </w:p>
    <w:p w:rsidR="005F3F18" w:rsidRDefault="00A211D3" w:rsidP="005F3F18">
      <w:pPr>
        <w:rPr>
          <w:sz w:val="22"/>
          <w:lang w:val="pl-PL"/>
        </w:rPr>
      </w:pPr>
      <w:r>
        <w:rPr>
          <w:sz w:val="22"/>
          <w:lang w:val="pl-PL"/>
        </w:rPr>
        <w:t>Lot</w:t>
      </w:r>
      <w:r w:rsidR="00200D9C">
        <w:rPr>
          <w:sz w:val="22"/>
          <w:lang w:val="pl-PL"/>
        </w:rPr>
        <w:t>:</w:t>
      </w:r>
    </w:p>
    <w:p w:rsidR="005F3F18" w:rsidRDefault="005F3F18" w:rsidP="005F3F18">
      <w:pPr>
        <w:rPr>
          <w:sz w:val="22"/>
          <w:lang w:val="pl-PL"/>
        </w:rPr>
      </w:pPr>
    </w:p>
    <w:p w:rsidR="005F3F18" w:rsidRDefault="005F3F18" w:rsidP="005F3F18">
      <w:pPr>
        <w:rPr>
          <w:sz w:val="22"/>
          <w:lang w:val="pl-PL"/>
        </w:rPr>
      </w:pPr>
    </w:p>
    <w:p w:rsidR="005F3F18" w:rsidRDefault="005F3F18" w:rsidP="00200D9C">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hanging="2880"/>
        <w:rPr>
          <w:b/>
          <w:bCs/>
          <w:sz w:val="22"/>
          <w:lang w:val="pl-PL"/>
        </w:rPr>
      </w:pPr>
      <w:r>
        <w:rPr>
          <w:b/>
          <w:bCs/>
          <w:sz w:val="22"/>
          <w:lang w:val="pl-PL"/>
        </w:rPr>
        <w:t>INNE</w:t>
      </w:r>
    </w:p>
    <w:p w:rsidR="005F3F18" w:rsidRDefault="005F3F18" w:rsidP="005F3F18">
      <w:pPr>
        <w:rPr>
          <w:sz w:val="22"/>
          <w:lang w:val="pl-PL"/>
        </w:rPr>
      </w:pPr>
    </w:p>
    <w:p w:rsidR="005F3F18" w:rsidRDefault="005F3F18" w:rsidP="005F3F18">
      <w:pPr>
        <w:rPr>
          <w:sz w:val="22"/>
          <w:lang w:val="pl-PL"/>
        </w:rPr>
      </w:pPr>
    </w:p>
    <w:p w:rsidR="005F3F18" w:rsidRDefault="005F3F18" w:rsidP="005F3F18">
      <w:pPr>
        <w:rPr>
          <w:sz w:val="22"/>
          <w:lang w:val="pl-PL"/>
        </w:rPr>
      </w:pPr>
    </w:p>
    <w:p w:rsidR="00BC4936" w:rsidRDefault="005F3F18" w:rsidP="005F3F18">
      <w:pPr>
        <w:rPr>
          <w:sz w:val="22"/>
          <w:lang w:val="pl-PL"/>
        </w:rPr>
      </w:pPr>
      <w:r>
        <w:br w:type="page"/>
      </w: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Default="00BC4936" w:rsidP="001875D1">
      <w:pPr>
        <w:pStyle w:val="EMEA1"/>
      </w:pPr>
      <w:r>
        <w:t>B. ULOTKA DLA PACJENTA</w:t>
      </w:r>
    </w:p>
    <w:p w:rsidR="00592B24" w:rsidRPr="00A64B0E" w:rsidRDefault="00BC4936" w:rsidP="00592B24">
      <w:pPr>
        <w:jc w:val="center"/>
        <w:rPr>
          <w:b/>
          <w:sz w:val="22"/>
          <w:szCs w:val="22"/>
          <w:lang w:val="pl-PL"/>
        </w:rPr>
      </w:pPr>
      <w:r>
        <w:rPr>
          <w:b/>
          <w:bCs/>
          <w:sz w:val="22"/>
          <w:lang w:val="pl-PL"/>
        </w:rPr>
        <w:br w:type="page"/>
      </w:r>
      <w:r w:rsidR="00592B24" w:rsidRPr="00A64B0E">
        <w:rPr>
          <w:b/>
          <w:sz w:val="22"/>
          <w:szCs w:val="22"/>
          <w:lang w:val="pl-PL"/>
        </w:rPr>
        <w:t>Ulotka dołączona do opakowania: informacja dla pacjenta</w:t>
      </w:r>
    </w:p>
    <w:p w:rsidR="00592B24" w:rsidRPr="00592B24" w:rsidRDefault="00592B24" w:rsidP="00592B24">
      <w:pPr>
        <w:jc w:val="center"/>
        <w:rPr>
          <w:sz w:val="24"/>
          <w:szCs w:val="24"/>
          <w:lang w:val="pl-PL"/>
        </w:rPr>
      </w:pPr>
    </w:p>
    <w:p w:rsidR="00BC4936" w:rsidRDefault="00B04330" w:rsidP="00A64B0E">
      <w:pPr>
        <w:pStyle w:val="Heading3"/>
        <w:spacing w:before="0" w:after="0"/>
        <w:jc w:val="center"/>
        <w:rPr>
          <w:rFonts w:ascii="Times New Roman" w:hAnsi="Times New Roman"/>
          <w:sz w:val="22"/>
          <w:lang w:val="pl-PL"/>
        </w:rPr>
      </w:pPr>
      <w:r>
        <w:rPr>
          <w:rFonts w:ascii="Times New Roman" w:hAnsi="Times New Roman"/>
          <w:sz w:val="22"/>
          <w:lang w:val="pl-PL"/>
        </w:rPr>
        <w:t>Plavix</w:t>
      </w:r>
      <w:r w:rsidR="00BC4936">
        <w:rPr>
          <w:rFonts w:ascii="Times New Roman" w:hAnsi="Times New Roman"/>
          <w:sz w:val="22"/>
          <w:lang w:val="pl-PL"/>
        </w:rPr>
        <w:t xml:space="preserve"> 75 mg tabletki powlekane</w:t>
      </w:r>
    </w:p>
    <w:p w:rsidR="00BC4936" w:rsidRPr="00A64B0E" w:rsidRDefault="00592B24" w:rsidP="00A64B0E">
      <w:pPr>
        <w:jc w:val="center"/>
        <w:rPr>
          <w:sz w:val="22"/>
          <w:lang w:val="pl-PL"/>
        </w:rPr>
      </w:pPr>
      <w:r w:rsidRPr="00A64B0E">
        <w:rPr>
          <w:sz w:val="22"/>
          <w:lang w:val="pl-PL"/>
        </w:rPr>
        <w:t>k</w:t>
      </w:r>
      <w:r w:rsidR="003F2CFB" w:rsidRPr="00A64B0E">
        <w:rPr>
          <w:sz w:val="22"/>
          <w:lang w:val="pl-PL"/>
        </w:rPr>
        <w:t>lopidogrel</w:t>
      </w:r>
    </w:p>
    <w:p w:rsidR="00BC4936" w:rsidRPr="00022436" w:rsidRDefault="00BC4936">
      <w:pPr>
        <w:rPr>
          <w:sz w:val="22"/>
          <w:lang w:val="pl-PL"/>
        </w:rPr>
      </w:pPr>
    </w:p>
    <w:p w:rsidR="00BC4936" w:rsidRPr="00A64B0E" w:rsidRDefault="00BC4936" w:rsidP="00A64B0E">
      <w:pPr>
        <w:ind w:right="-2"/>
        <w:rPr>
          <w:lang w:val="pl-PL"/>
        </w:rPr>
      </w:pPr>
      <w:r w:rsidRPr="002449D7">
        <w:rPr>
          <w:b/>
          <w:sz w:val="22"/>
          <w:lang w:val="pl-PL"/>
        </w:rPr>
        <w:t xml:space="preserve">Należy </w:t>
      </w:r>
      <w:r w:rsidR="000A7440">
        <w:rPr>
          <w:b/>
          <w:sz w:val="22"/>
          <w:lang w:val="pl-PL"/>
        </w:rPr>
        <w:t xml:space="preserve">uważnie </w:t>
      </w:r>
      <w:r w:rsidRPr="002449D7">
        <w:rPr>
          <w:b/>
          <w:sz w:val="22"/>
          <w:lang w:val="pl-PL"/>
        </w:rPr>
        <w:t xml:space="preserve">zapoznać się z treścią ulotki przed </w:t>
      </w:r>
      <w:r w:rsidR="00055697">
        <w:rPr>
          <w:b/>
          <w:sz w:val="22"/>
          <w:lang w:val="pl-PL"/>
        </w:rPr>
        <w:t xml:space="preserve">zastosowaniem </w:t>
      </w:r>
      <w:r w:rsidRPr="002449D7">
        <w:rPr>
          <w:b/>
          <w:sz w:val="22"/>
          <w:lang w:val="pl-PL"/>
        </w:rPr>
        <w:t>leku</w:t>
      </w:r>
      <w:r w:rsidR="002449D7" w:rsidRPr="00404DCA">
        <w:rPr>
          <w:b/>
          <w:sz w:val="22"/>
          <w:szCs w:val="22"/>
          <w:lang w:val="pl-PL"/>
        </w:rPr>
        <w:t>,</w:t>
      </w:r>
      <w:r w:rsidR="002449D7" w:rsidRPr="00A64B0E">
        <w:rPr>
          <w:b/>
          <w:noProof/>
          <w:sz w:val="22"/>
          <w:szCs w:val="22"/>
          <w:lang w:val="pl-PL"/>
        </w:rPr>
        <w:t xml:space="preserve"> ponieważ zawiera ona informacje ważne dla pacjenta.</w:t>
      </w:r>
    </w:p>
    <w:p w:rsidR="00BC4936" w:rsidRDefault="00BC4936">
      <w:pPr>
        <w:pStyle w:val="BodyText"/>
        <w:ind w:left="567" w:hanging="567"/>
        <w:jc w:val="left"/>
        <w:rPr>
          <w:rFonts w:ascii="Times New Roman" w:hAnsi="Times New Roman"/>
          <w:sz w:val="22"/>
        </w:rPr>
      </w:pPr>
      <w:r>
        <w:rPr>
          <w:rFonts w:ascii="Times New Roman" w:hAnsi="Times New Roman"/>
          <w:sz w:val="22"/>
        </w:rPr>
        <w:t>-</w:t>
      </w:r>
      <w:r>
        <w:rPr>
          <w:rFonts w:ascii="Times New Roman" w:hAnsi="Times New Roman"/>
          <w:sz w:val="22"/>
        </w:rPr>
        <w:tab/>
        <w:t>Należy zachować tę ulotkę, aby w razie potrzeby móc ją ponownie przeczytać.</w:t>
      </w:r>
    </w:p>
    <w:p w:rsidR="00BC4936" w:rsidRDefault="00BC4936">
      <w:pPr>
        <w:pStyle w:val="BodyText"/>
        <w:ind w:left="567" w:hanging="567"/>
        <w:jc w:val="left"/>
        <w:rPr>
          <w:rFonts w:ascii="Times New Roman" w:hAnsi="Times New Roman"/>
          <w:sz w:val="22"/>
        </w:rPr>
      </w:pPr>
      <w:r>
        <w:rPr>
          <w:rFonts w:ascii="Times New Roman" w:hAnsi="Times New Roman"/>
          <w:sz w:val="22"/>
        </w:rPr>
        <w:t>-</w:t>
      </w:r>
      <w:r>
        <w:rPr>
          <w:rFonts w:ascii="Times New Roman" w:hAnsi="Times New Roman"/>
          <w:sz w:val="22"/>
        </w:rPr>
        <w:tab/>
      </w:r>
      <w:r w:rsidR="00055697">
        <w:rPr>
          <w:rFonts w:ascii="Times New Roman" w:hAnsi="Times New Roman"/>
          <w:sz w:val="22"/>
        </w:rPr>
        <w:t>W</w:t>
      </w:r>
      <w:r w:rsidR="00170BA6">
        <w:rPr>
          <w:rFonts w:ascii="Times New Roman" w:hAnsi="Times New Roman"/>
          <w:sz w:val="22"/>
        </w:rPr>
        <w:t xml:space="preserve"> razie jakichkolwiek wątpliwości</w:t>
      </w:r>
      <w:r w:rsidR="00055697" w:rsidRPr="00055697">
        <w:rPr>
          <w:rFonts w:ascii="Times New Roman" w:hAnsi="Times New Roman"/>
          <w:sz w:val="22"/>
        </w:rPr>
        <w:t xml:space="preserve"> </w:t>
      </w:r>
      <w:r w:rsidR="00055697">
        <w:rPr>
          <w:rFonts w:ascii="Times New Roman" w:hAnsi="Times New Roman"/>
          <w:sz w:val="22"/>
        </w:rPr>
        <w:t>należy zwrócić się do lekarza lub farmaceuty</w:t>
      </w:r>
      <w:r>
        <w:rPr>
          <w:rFonts w:ascii="Times New Roman" w:hAnsi="Times New Roman"/>
          <w:sz w:val="22"/>
        </w:rPr>
        <w:t>.</w:t>
      </w:r>
    </w:p>
    <w:p w:rsidR="00BC4936" w:rsidRDefault="00BC4936">
      <w:pPr>
        <w:ind w:left="567" w:hanging="567"/>
        <w:rPr>
          <w:sz w:val="22"/>
          <w:lang w:val="pl-PL"/>
        </w:rPr>
      </w:pPr>
      <w:r>
        <w:rPr>
          <w:sz w:val="22"/>
          <w:lang w:val="pl-PL"/>
        </w:rPr>
        <w:t>-</w:t>
      </w:r>
      <w:r>
        <w:rPr>
          <w:sz w:val="22"/>
          <w:lang w:val="pl-PL"/>
        </w:rPr>
        <w:tab/>
        <w:t>Lek ten przepisan</w:t>
      </w:r>
      <w:r w:rsidR="00E8678B">
        <w:rPr>
          <w:sz w:val="22"/>
          <w:lang w:val="pl-PL"/>
        </w:rPr>
        <w:t>o</w:t>
      </w:r>
      <w:r>
        <w:rPr>
          <w:sz w:val="22"/>
          <w:lang w:val="pl-PL"/>
        </w:rPr>
        <w:t xml:space="preserve"> ściśle określonej osobie</w:t>
      </w:r>
      <w:r w:rsidR="002449D7">
        <w:rPr>
          <w:sz w:val="22"/>
          <w:lang w:val="pl-PL"/>
        </w:rPr>
        <w:t>. N</w:t>
      </w:r>
      <w:r>
        <w:rPr>
          <w:sz w:val="22"/>
          <w:lang w:val="pl-PL"/>
        </w:rPr>
        <w:t>ie należy go przekazywać innym</w:t>
      </w:r>
      <w:r w:rsidR="002449D7">
        <w:rPr>
          <w:sz w:val="22"/>
          <w:lang w:val="pl-PL"/>
        </w:rPr>
        <w:t>.</w:t>
      </w:r>
      <w:r w:rsidR="00D742F1">
        <w:rPr>
          <w:sz w:val="22"/>
          <w:lang w:val="pl-PL"/>
        </w:rPr>
        <w:t xml:space="preserve"> </w:t>
      </w:r>
      <w:r w:rsidR="002449D7">
        <w:rPr>
          <w:sz w:val="22"/>
          <w:lang w:val="pl-PL"/>
        </w:rPr>
        <w:t>Lek</w:t>
      </w:r>
      <w:r>
        <w:rPr>
          <w:sz w:val="22"/>
          <w:lang w:val="pl-PL"/>
        </w:rPr>
        <w:t xml:space="preserve"> może zaszkodzić</w:t>
      </w:r>
      <w:r w:rsidR="004611A0">
        <w:rPr>
          <w:sz w:val="22"/>
          <w:lang w:val="pl-PL"/>
        </w:rPr>
        <w:t xml:space="preserve"> innej osobie</w:t>
      </w:r>
      <w:r>
        <w:rPr>
          <w:sz w:val="22"/>
          <w:lang w:val="pl-PL"/>
        </w:rPr>
        <w:t xml:space="preserve">, nawet jeśli objawy </w:t>
      </w:r>
      <w:r w:rsidR="004611A0">
        <w:rPr>
          <w:sz w:val="22"/>
          <w:lang w:val="pl-PL"/>
        </w:rPr>
        <w:t>jej</w:t>
      </w:r>
      <w:r>
        <w:rPr>
          <w:sz w:val="22"/>
          <w:lang w:val="pl-PL"/>
        </w:rPr>
        <w:t xml:space="preserve"> choroby są takie same.</w:t>
      </w:r>
    </w:p>
    <w:p w:rsidR="00BC4936" w:rsidRDefault="00BC4936">
      <w:pPr>
        <w:ind w:left="567" w:hanging="567"/>
        <w:rPr>
          <w:sz w:val="22"/>
          <w:lang w:val="pl-PL"/>
        </w:rPr>
      </w:pPr>
      <w:r>
        <w:rPr>
          <w:sz w:val="22"/>
          <w:lang w:val="pl-PL"/>
        </w:rPr>
        <w:t>-</w:t>
      </w:r>
      <w:r>
        <w:rPr>
          <w:sz w:val="22"/>
          <w:lang w:val="pl-PL"/>
        </w:rPr>
        <w:tab/>
        <w:t xml:space="preserve">Jeśli </w:t>
      </w:r>
      <w:r w:rsidR="00E8678B">
        <w:rPr>
          <w:sz w:val="22"/>
          <w:lang w:val="pl-PL"/>
        </w:rPr>
        <w:t xml:space="preserve">u pacjenta </w:t>
      </w:r>
      <w:r w:rsidR="002449D7">
        <w:rPr>
          <w:sz w:val="22"/>
          <w:lang w:val="pl-PL"/>
        </w:rPr>
        <w:t>wystąpią</w:t>
      </w:r>
      <w:r>
        <w:rPr>
          <w:sz w:val="22"/>
          <w:lang w:val="pl-PL"/>
        </w:rPr>
        <w:t xml:space="preserve"> jakiekolwiek objawy niepożądane</w:t>
      </w:r>
      <w:r w:rsidR="002449D7">
        <w:rPr>
          <w:sz w:val="22"/>
          <w:lang w:val="pl-PL"/>
        </w:rPr>
        <w:t>, w tym wszelkie objawy niepożądane niewymienione</w:t>
      </w:r>
      <w:r>
        <w:rPr>
          <w:sz w:val="22"/>
          <w:lang w:val="pl-PL"/>
        </w:rPr>
        <w:t xml:space="preserve"> w </w:t>
      </w:r>
      <w:r w:rsidR="002F2DB9">
        <w:rPr>
          <w:sz w:val="22"/>
          <w:lang w:val="pl-PL"/>
        </w:rPr>
        <w:t xml:space="preserve">tej </w:t>
      </w:r>
      <w:r>
        <w:rPr>
          <w:sz w:val="22"/>
          <w:lang w:val="pl-PL"/>
        </w:rPr>
        <w:t xml:space="preserve">ulotce, należy </w:t>
      </w:r>
      <w:r w:rsidR="00E8678B">
        <w:rPr>
          <w:sz w:val="22"/>
          <w:lang w:val="pl-PL"/>
        </w:rPr>
        <w:t xml:space="preserve">powiedzieć o tym </w:t>
      </w:r>
      <w:r>
        <w:rPr>
          <w:sz w:val="22"/>
          <w:lang w:val="pl-PL"/>
        </w:rPr>
        <w:t>lekarz</w:t>
      </w:r>
      <w:r w:rsidR="00E8678B">
        <w:rPr>
          <w:sz w:val="22"/>
          <w:lang w:val="pl-PL"/>
        </w:rPr>
        <w:t>owi</w:t>
      </w:r>
      <w:r>
        <w:rPr>
          <w:sz w:val="22"/>
          <w:lang w:val="pl-PL"/>
        </w:rPr>
        <w:t xml:space="preserve"> lub farmaceu</w:t>
      </w:r>
      <w:r w:rsidR="00E8678B">
        <w:rPr>
          <w:sz w:val="22"/>
          <w:lang w:val="pl-PL"/>
        </w:rPr>
        <w:t>cie</w:t>
      </w:r>
      <w:r>
        <w:rPr>
          <w:sz w:val="22"/>
          <w:lang w:val="pl-PL"/>
        </w:rPr>
        <w:t>.</w:t>
      </w:r>
      <w:r w:rsidR="002449D7">
        <w:rPr>
          <w:sz w:val="22"/>
          <w:lang w:val="pl-PL"/>
        </w:rPr>
        <w:t xml:space="preserve"> Patrz punkt 4.</w:t>
      </w:r>
    </w:p>
    <w:p w:rsidR="00BC4936" w:rsidRDefault="00BC4936">
      <w:pPr>
        <w:pStyle w:val="Footer"/>
        <w:rPr>
          <w:sz w:val="22"/>
          <w:lang w:val="pl-PL"/>
        </w:rPr>
      </w:pPr>
    </w:p>
    <w:p w:rsidR="00BC4936" w:rsidRDefault="00BC4936">
      <w:pPr>
        <w:rPr>
          <w:b/>
          <w:bCs/>
          <w:sz w:val="22"/>
          <w:lang w:val="pl-PL"/>
        </w:rPr>
      </w:pPr>
      <w:r w:rsidRPr="00A64B0E">
        <w:rPr>
          <w:b/>
          <w:bCs/>
          <w:sz w:val="22"/>
          <w:lang w:val="pl-PL"/>
        </w:rPr>
        <w:t>Spis treści ulotki</w:t>
      </w:r>
    </w:p>
    <w:p w:rsidR="00E8678B" w:rsidRPr="00A64B0E" w:rsidRDefault="00E8678B">
      <w:pPr>
        <w:rPr>
          <w:b/>
          <w:bCs/>
          <w:sz w:val="22"/>
          <w:lang w:val="pl-PL"/>
        </w:rPr>
      </w:pPr>
    </w:p>
    <w:p w:rsidR="00BC4936" w:rsidRDefault="00BC4936">
      <w:pPr>
        <w:pStyle w:val="Footer"/>
        <w:ind w:left="567" w:hanging="567"/>
        <w:rPr>
          <w:sz w:val="22"/>
          <w:lang w:val="pl-PL"/>
        </w:rPr>
      </w:pPr>
      <w:r>
        <w:rPr>
          <w:sz w:val="22"/>
          <w:lang w:val="pl-PL"/>
        </w:rPr>
        <w:t>1.</w:t>
      </w:r>
      <w:r>
        <w:rPr>
          <w:sz w:val="22"/>
          <w:lang w:val="pl-PL"/>
        </w:rPr>
        <w:tab/>
        <w:t xml:space="preserve">Co to jest </w:t>
      </w:r>
      <w:r w:rsidR="000A7440">
        <w:rPr>
          <w:sz w:val="22"/>
          <w:lang w:val="pl-PL"/>
        </w:rPr>
        <w:t xml:space="preserve">lek </w:t>
      </w:r>
      <w:r w:rsidR="00B04330">
        <w:rPr>
          <w:sz w:val="22"/>
          <w:lang w:val="pl-PL"/>
        </w:rPr>
        <w:t>Plavix</w:t>
      </w:r>
      <w:r>
        <w:rPr>
          <w:sz w:val="22"/>
          <w:lang w:val="pl-PL"/>
        </w:rPr>
        <w:t xml:space="preserve"> i w jakim celu się go stosuje</w:t>
      </w:r>
    </w:p>
    <w:p w:rsidR="00BC4936" w:rsidRDefault="0084417B">
      <w:pPr>
        <w:pStyle w:val="Footer"/>
        <w:numPr>
          <w:ilvl w:val="0"/>
          <w:numId w:val="17"/>
        </w:numPr>
        <w:rPr>
          <w:sz w:val="22"/>
          <w:lang w:val="pl-PL"/>
        </w:rPr>
      </w:pPr>
      <w:r>
        <w:rPr>
          <w:sz w:val="22"/>
          <w:lang w:val="pl-PL"/>
        </w:rPr>
        <w:t xml:space="preserve">Informacje ważne przed </w:t>
      </w:r>
      <w:r w:rsidR="00C56829">
        <w:rPr>
          <w:sz w:val="22"/>
          <w:lang w:val="pl-PL"/>
        </w:rPr>
        <w:t xml:space="preserve">przyjęciem </w:t>
      </w:r>
      <w:r>
        <w:rPr>
          <w:sz w:val="22"/>
          <w:lang w:val="pl-PL"/>
        </w:rPr>
        <w:t xml:space="preserve">leku </w:t>
      </w:r>
      <w:r w:rsidR="00B04330">
        <w:rPr>
          <w:sz w:val="22"/>
          <w:lang w:val="pl-PL"/>
        </w:rPr>
        <w:t>Plavix</w:t>
      </w:r>
    </w:p>
    <w:p w:rsidR="00BC4936" w:rsidRDefault="00BC4936">
      <w:pPr>
        <w:pStyle w:val="Footer"/>
        <w:numPr>
          <w:ilvl w:val="0"/>
          <w:numId w:val="17"/>
        </w:numPr>
        <w:rPr>
          <w:sz w:val="22"/>
          <w:lang w:val="pl-PL"/>
        </w:rPr>
      </w:pPr>
      <w:r>
        <w:rPr>
          <w:sz w:val="22"/>
          <w:lang w:val="pl-PL"/>
        </w:rPr>
        <w:t xml:space="preserve">Jak </w:t>
      </w:r>
      <w:r w:rsidR="00A36DFA">
        <w:rPr>
          <w:sz w:val="22"/>
          <w:lang w:val="pl-PL"/>
        </w:rPr>
        <w:t>stosować</w:t>
      </w:r>
      <w:r w:rsidR="00C56829">
        <w:rPr>
          <w:sz w:val="22"/>
          <w:lang w:val="pl-PL"/>
        </w:rPr>
        <w:t xml:space="preserve"> </w:t>
      </w:r>
      <w:r w:rsidR="000A7440">
        <w:rPr>
          <w:sz w:val="22"/>
          <w:lang w:val="pl-PL"/>
        </w:rPr>
        <w:t xml:space="preserve">lek </w:t>
      </w:r>
      <w:r w:rsidR="00B04330">
        <w:rPr>
          <w:sz w:val="22"/>
          <w:lang w:val="pl-PL"/>
        </w:rPr>
        <w:t>Plavix</w:t>
      </w:r>
    </w:p>
    <w:p w:rsidR="00BC4936" w:rsidRDefault="00BC4936">
      <w:pPr>
        <w:pStyle w:val="Footer"/>
        <w:numPr>
          <w:ilvl w:val="0"/>
          <w:numId w:val="17"/>
        </w:numPr>
        <w:rPr>
          <w:sz w:val="22"/>
          <w:lang w:val="pl-PL"/>
        </w:rPr>
      </w:pPr>
      <w:r>
        <w:rPr>
          <w:sz w:val="22"/>
          <w:lang w:val="pl-PL"/>
        </w:rPr>
        <w:t>Możliwe działania niepożądane</w:t>
      </w:r>
    </w:p>
    <w:p w:rsidR="00BC4936" w:rsidRDefault="00BC4936">
      <w:pPr>
        <w:pStyle w:val="Footer"/>
        <w:numPr>
          <w:ilvl w:val="0"/>
          <w:numId w:val="17"/>
        </w:numPr>
        <w:rPr>
          <w:sz w:val="22"/>
          <w:lang w:val="pl-PL"/>
        </w:rPr>
      </w:pPr>
      <w:r>
        <w:rPr>
          <w:sz w:val="22"/>
          <w:lang w:val="pl-PL"/>
        </w:rPr>
        <w:t xml:space="preserve">Jak przechowywać lek </w:t>
      </w:r>
      <w:r w:rsidR="00B04330">
        <w:rPr>
          <w:sz w:val="22"/>
          <w:lang w:val="pl-PL"/>
        </w:rPr>
        <w:t>Plavix</w:t>
      </w:r>
    </w:p>
    <w:p w:rsidR="00BC4936" w:rsidRDefault="002449D7">
      <w:pPr>
        <w:pStyle w:val="Footer"/>
        <w:numPr>
          <w:ilvl w:val="0"/>
          <w:numId w:val="17"/>
        </w:numPr>
        <w:rPr>
          <w:sz w:val="22"/>
          <w:lang w:val="pl-PL"/>
        </w:rPr>
      </w:pPr>
      <w:r>
        <w:rPr>
          <w:sz w:val="22"/>
          <w:lang w:val="pl-PL"/>
        </w:rPr>
        <w:t>Zawartość opakowania i i</w:t>
      </w:r>
      <w:r w:rsidR="00BC4936">
        <w:rPr>
          <w:sz w:val="22"/>
          <w:lang w:val="pl-PL"/>
        </w:rPr>
        <w:t>nne informacje</w:t>
      </w:r>
    </w:p>
    <w:p w:rsidR="00BC4936" w:rsidRDefault="00BC4936">
      <w:pPr>
        <w:pStyle w:val="Footer"/>
        <w:rPr>
          <w:sz w:val="22"/>
          <w:lang w:val="pl-PL"/>
        </w:rPr>
      </w:pPr>
    </w:p>
    <w:p w:rsidR="00BC4936" w:rsidRDefault="00BC4936">
      <w:pPr>
        <w:rPr>
          <w:sz w:val="22"/>
          <w:lang w:val="it-IT"/>
        </w:rPr>
      </w:pPr>
    </w:p>
    <w:p w:rsidR="00BC4936" w:rsidRPr="002449D7" w:rsidRDefault="00BC4936" w:rsidP="00316B15">
      <w:pPr>
        <w:tabs>
          <w:tab w:val="left" w:pos="540"/>
        </w:tabs>
        <w:rPr>
          <w:b/>
          <w:sz w:val="22"/>
          <w:lang w:val="pl-PL"/>
        </w:rPr>
      </w:pPr>
      <w:r>
        <w:rPr>
          <w:b/>
          <w:sz w:val="22"/>
          <w:lang w:val="pl-PL"/>
        </w:rPr>
        <w:t>1.</w:t>
      </w:r>
      <w:r>
        <w:rPr>
          <w:b/>
          <w:sz w:val="22"/>
          <w:lang w:val="pl-PL"/>
        </w:rPr>
        <w:tab/>
      </w:r>
      <w:r w:rsidR="002449D7" w:rsidRPr="002449D7">
        <w:rPr>
          <w:b/>
          <w:sz w:val="22"/>
          <w:lang w:val="pl-PL"/>
        </w:rPr>
        <w:t xml:space="preserve">Co to jest </w:t>
      </w:r>
      <w:r w:rsidR="000A7440">
        <w:rPr>
          <w:b/>
          <w:sz w:val="22"/>
          <w:lang w:val="pl-PL"/>
        </w:rPr>
        <w:t xml:space="preserve">lek </w:t>
      </w:r>
      <w:r w:rsidR="002449D7" w:rsidRPr="002449D7">
        <w:rPr>
          <w:b/>
          <w:sz w:val="22"/>
          <w:lang w:val="pl-PL"/>
        </w:rPr>
        <w:t>Plavix i w jakim celu się go stosuje</w:t>
      </w:r>
    </w:p>
    <w:p w:rsidR="00BC4936" w:rsidRDefault="00BC4936">
      <w:pPr>
        <w:rPr>
          <w:sz w:val="22"/>
          <w:lang w:val="pl-PL"/>
        </w:rPr>
      </w:pPr>
    </w:p>
    <w:p w:rsidR="00BC4936" w:rsidRDefault="00B04330">
      <w:pPr>
        <w:rPr>
          <w:sz w:val="22"/>
          <w:lang w:val="pl-PL"/>
        </w:rPr>
      </w:pPr>
      <w:r>
        <w:rPr>
          <w:sz w:val="22"/>
          <w:lang w:val="pl-PL"/>
        </w:rPr>
        <w:t>Plavix</w:t>
      </w:r>
      <w:r w:rsidR="002449D7">
        <w:rPr>
          <w:sz w:val="22"/>
          <w:lang w:val="pl-PL"/>
        </w:rPr>
        <w:t xml:space="preserve"> zawiera klopidogrel i</w:t>
      </w:r>
      <w:r w:rsidR="00BC4936">
        <w:rPr>
          <w:sz w:val="22"/>
          <w:lang w:val="pl-PL"/>
        </w:rPr>
        <w:t xml:space="preserve"> należy do grupy leków zwanych lekami przeciwpłytkowymi. Płytki krwi są bardzo małymi ciałkami</w:t>
      </w:r>
      <w:r w:rsidR="008D367A">
        <w:rPr>
          <w:sz w:val="22"/>
          <w:lang w:val="pl-PL"/>
        </w:rPr>
        <w:t xml:space="preserve"> we krwi</w:t>
      </w:r>
      <w:r w:rsidR="00BC4936">
        <w:rPr>
          <w:sz w:val="22"/>
          <w:lang w:val="pl-PL"/>
        </w:rPr>
        <w:t>, które zlepiają się ze sobą podczas krzepnięcia krwi. Zapobiegając temu zlepianiu, leki przeciwpłytkowe zmniejszają możliwość tworzenia się zakrzepów krwi (procesu, który nazywa się zakrzepicą).</w:t>
      </w:r>
    </w:p>
    <w:p w:rsidR="00BC4936" w:rsidRDefault="00BC4936">
      <w:pPr>
        <w:pStyle w:val="Footer"/>
        <w:rPr>
          <w:sz w:val="22"/>
          <w:lang w:val="pl-PL"/>
        </w:rPr>
      </w:pPr>
    </w:p>
    <w:p w:rsidR="00BC4936" w:rsidRDefault="00B04330">
      <w:pPr>
        <w:pStyle w:val="BodyText2"/>
        <w:spacing w:line="240" w:lineRule="auto"/>
        <w:rPr>
          <w:rFonts w:ascii="Times New Roman" w:hAnsi="Times New Roman"/>
          <w:sz w:val="22"/>
          <w:lang w:val="pl-PL"/>
        </w:rPr>
      </w:pPr>
      <w:r>
        <w:rPr>
          <w:rFonts w:ascii="Times New Roman" w:hAnsi="Times New Roman"/>
          <w:sz w:val="22"/>
          <w:lang w:val="pl-PL"/>
        </w:rPr>
        <w:t>Plavix</w:t>
      </w:r>
      <w:r w:rsidR="00BC4936">
        <w:rPr>
          <w:rFonts w:ascii="Times New Roman" w:hAnsi="Times New Roman"/>
          <w:sz w:val="22"/>
          <w:lang w:val="pl-PL"/>
        </w:rPr>
        <w:t xml:space="preserve"> </w:t>
      </w:r>
      <w:r w:rsidR="00170BA6">
        <w:rPr>
          <w:rFonts w:ascii="Times New Roman" w:hAnsi="Times New Roman"/>
          <w:sz w:val="22"/>
          <w:lang w:val="pl-PL"/>
        </w:rPr>
        <w:t>stosuje się u</w:t>
      </w:r>
      <w:r w:rsidR="002449D7">
        <w:rPr>
          <w:rFonts w:ascii="Times New Roman" w:hAnsi="Times New Roman"/>
          <w:sz w:val="22"/>
          <w:lang w:val="pl-PL"/>
        </w:rPr>
        <w:t xml:space="preserve"> dorosłych</w:t>
      </w:r>
      <w:r w:rsidR="00170BA6">
        <w:rPr>
          <w:rFonts w:ascii="Times New Roman" w:hAnsi="Times New Roman"/>
          <w:sz w:val="22"/>
          <w:lang w:val="pl-PL"/>
        </w:rPr>
        <w:t xml:space="preserve"> pacjentów,</w:t>
      </w:r>
      <w:r w:rsidR="00BC4936">
        <w:rPr>
          <w:rFonts w:ascii="Times New Roman" w:hAnsi="Times New Roman"/>
          <w:sz w:val="22"/>
          <w:lang w:val="pl-PL"/>
        </w:rPr>
        <w:t xml:space="preserve"> aby zapobiec tworzeniu się w stwardniałych miażdżycowo naczyniach krwionośnych (tętnicach) zakrzepów</w:t>
      </w:r>
      <w:r w:rsidR="0087437F">
        <w:rPr>
          <w:rFonts w:ascii="Times New Roman" w:hAnsi="Times New Roman"/>
          <w:sz w:val="22"/>
          <w:lang w:val="pl-PL"/>
        </w:rPr>
        <w:t xml:space="preserve"> (skrzeplin)</w:t>
      </w:r>
      <w:r w:rsidR="00BC4936">
        <w:rPr>
          <w:rFonts w:ascii="Times New Roman" w:hAnsi="Times New Roman"/>
          <w:sz w:val="22"/>
          <w:lang w:val="pl-PL"/>
        </w:rPr>
        <w:t xml:space="preserve">, które mogą prowadzić do wystąpienia </w:t>
      </w:r>
      <w:r w:rsidR="0087437F">
        <w:rPr>
          <w:rFonts w:ascii="Times New Roman" w:hAnsi="Times New Roman"/>
          <w:sz w:val="22"/>
          <w:lang w:val="pl-PL"/>
        </w:rPr>
        <w:t>zdarzeń związanych z miażd</w:t>
      </w:r>
      <w:r w:rsidR="000D1FB2">
        <w:rPr>
          <w:rFonts w:ascii="Times New Roman" w:hAnsi="Times New Roman"/>
          <w:sz w:val="22"/>
          <w:lang w:val="pl-PL"/>
        </w:rPr>
        <w:t>ż</w:t>
      </w:r>
      <w:r w:rsidR="0087437F">
        <w:rPr>
          <w:rFonts w:ascii="Times New Roman" w:hAnsi="Times New Roman"/>
          <w:sz w:val="22"/>
          <w:lang w:val="pl-PL"/>
        </w:rPr>
        <w:t>ycą t</w:t>
      </w:r>
      <w:r w:rsidR="000D1FB2">
        <w:rPr>
          <w:rFonts w:ascii="Times New Roman" w:hAnsi="Times New Roman"/>
          <w:sz w:val="22"/>
          <w:lang w:val="pl-PL"/>
        </w:rPr>
        <w:t>ę</w:t>
      </w:r>
      <w:r w:rsidR="0087437F">
        <w:rPr>
          <w:rFonts w:ascii="Times New Roman" w:hAnsi="Times New Roman"/>
          <w:sz w:val="22"/>
          <w:lang w:val="pl-PL"/>
        </w:rPr>
        <w:t>tnic (</w:t>
      </w:r>
      <w:r w:rsidR="00BC4936">
        <w:rPr>
          <w:rFonts w:ascii="Times New Roman" w:hAnsi="Times New Roman"/>
          <w:sz w:val="22"/>
          <w:lang w:val="pl-PL"/>
        </w:rPr>
        <w:t xml:space="preserve">takich jak: udar mózgu, </w:t>
      </w:r>
      <w:r w:rsidR="002851C2">
        <w:rPr>
          <w:rFonts w:ascii="Times New Roman" w:hAnsi="Times New Roman"/>
          <w:sz w:val="22"/>
          <w:lang w:val="pl-PL"/>
        </w:rPr>
        <w:t>zawał</w:t>
      </w:r>
      <w:r w:rsidR="00BC4936">
        <w:rPr>
          <w:rFonts w:ascii="Times New Roman" w:hAnsi="Times New Roman"/>
          <w:sz w:val="22"/>
          <w:lang w:val="pl-PL"/>
        </w:rPr>
        <w:t xml:space="preserve"> serca lub </w:t>
      </w:r>
      <w:r w:rsidR="0087437F">
        <w:rPr>
          <w:rFonts w:ascii="Times New Roman" w:hAnsi="Times New Roman"/>
          <w:sz w:val="22"/>
          <w:lang w:val="pl-PL"/>
        </w:rPr>
        <w:t>zgon)</w:t>
      </w:r>
      <w:r w:rsidR="00BC4936">
        <w:rPr>
          <w:rFonts w:ascii="Times New Roman" w:hAnsi="Times New Roman"/>
          <w:sz w:val="22"/>
          <w:lang w:val="pl-PL"/>
        </w:rPr>
        <w:t>.</w:t>
      </w:r>
    </w:p>
    <w:p w:rsidR="00BC4936" w:rsidRDefault="00BC4936">
      <w:pPr>
        <w:rPr>
          <w:sz w:val="22"/>
          <w:lang w:val="pl-PL"/>
        </w:rPr>
      </w:pPr>
    </w:p>
    <w:p w:rsidR="00BC4936" w:rsidRDefault="00B04330">
      <w:pPr>
        <w:pStyle w:val="BodyText2"/>
        <w:spacing w:line="240" w:lineRule="auto"/>
        <w:rPr>
          <w:rFonts w:ascii="Times New Roman" w:hAnsi="Times New Roman"/>
          <w:sz w:val="22"/>
          <w:lang w:val="pl-PL"/>
        </w:rPr>
      </w:pPr>
      <w:r>
        <w:rPr>
          <w:rFonts w:ascii="Times New Roman" w:hAnsi="Times New Roman"/>
          <w:sz w:val="22"/>
          <w:lang w:val="pl-PL"/>
        </w:rPr>
        <w:t>Plavix</w:t>
      </w:r>
      <w:r w:rsidR="00BC4936">
        <w:rPr>
          <w:rFonts w:ascii="Times New Roman" w:hAnsi="Times New Roman"/>
          <w:sz w:val="22"/>
          <w:lang w:val="pl-PL"/>
        </w:rPr>
        <w:t xml:space="preserve"> przepisuje się, żeby zapobiec zakrzepom krwi i zmniejszyć ryzyko wystąpienia tych ciężkich przypadków, ponieważ</w:t>
      </w:r>
      <w:r w:rsidR="00CA3CA9">
        <w:rPr>
          <w:rFonts w:ascii="Times New Roman" w:hAnsi="Times New Roman"/>
          <w:sz w:val="22"/>
          <w:lang w:val="pl-PL"/>
        </w:rPr>
        <w:t>:</w:t>
      </w:r>
    </w:p>
    <w:p w:rsidR="00BC4936" w:rsidRDefault="00BC4936">
      <w:pPr>
        <w:ind w:left="426" w:hanging="426"/>
        <w:rPr>
          <w:sz w:val="22"/>
          <w:lang w:val="pl-PL"/>
        </w:rPr>
      </w:pPr>
      <w:r>
        <w:rPr>
          <w:sz w:val="22"/>
          <w:lang w:val="pl-PL"/>
        </w:rPr>
        <w:t>-</w:t>
      </w:r>
      <w:r>
        <w:rPr>
          <w:sz w:val="22"/>
          <w:lang w:val="pl-PL"/>
        </w:rPr>
        <w:tab/>
        <w:t>u pacjenta występuje miażdżycowe stwardnienie tętnic</w:t>
      </w:r>
      <w:r w:rsidR="005A3E8E">
        <w:rPr>
          <w:sz w:val="22"/>
          <w:lang w:val="pl-PL"/>
        </w:rPr>
        <w:t xml:space="preserve"> (zwane </w:t>
      </w:r>
      <w:r w:rsidR="002851C2" w:rsidRPr="002851C2">
        <w:rPr>
          <w:sz w:val="22"/>
          <w:lang w:val="pl-PL"/>
        </w:rPr>
        <w:t xml:space="preserve">także </w:t>
      </w:r>
      <w:r w:rsidR="005A3E8E">
        <w:rPr>
          <w:sz w:val="22"/>
          <w:lang w:val="pl-PL"/>
        </w:rPr>
        <w:t>mia</w:t>
      </w:r>
      <w:r w:rsidR="0087437F">
        <w:rPr>
          <w:sz w:val="22"/>
          <w:lang w:val="pl-PL"/>
        </w:rPr>
        <w:t>żd</w:t>
      </w:r>
      <w:r w:rsidR="00CD473A">
        <w:rPr>
          <w:sz w:val="22"/>
          <w:lang w:val="pl-PL"/>
        </w:rPr>
        <w:t>ż</w:t>
      </w:r>
      <w:r w:rsidR="0087437F">
        <w:rPr>
          <w:sz w:val="22"/>
          <w:lang w:val="pl-PL"/>
        </w:rPr>
        <w:t>ycą t</w:t>
      </w:r>
      <w:r w:rsidR="00CD473A">
        <w:rPr>
          <w:sz w:val="22"/>
          <w:lang w:val="pl-PL"/>
        </w:rPr>
        <w:t>ę</w:t>
      </w:r>
      <w:r w:rsidR="0087437F">
        <w:rPr>
          <w:sz w:val="22"/>
          <w:lang w:val="pl-PL"/>
        </w:rPr>
        <w:t>tnic)</w:t>
      </w:r>
      <w:r>
        <w:rPr>
          <w:sz w:val="22"/>
          <w:lang w:val="pl-PL"/>
        </w:rPr>
        <w:t xml:space="preserve"> i </w:t>
      </w:r>
    </w:p>
    <w:p w:rsidR="00BC4936" w:rsidRDefault="00BC4936">
      <w:pPr>
        <w:ind w:left="426" w:hanging="426"/>
        <w:rPr>
          <w:sz w:val="22"/>
          <w:lang w:val="pl-PL"/>
        </w:rPr>
      </w:pPr>
      <w:r>
        <w:rPr>
          <w:sz w:val="22"/>
          <w:lang w:val="pl-PL"/>
        </w:rPr>
        <w:t>-</w:t>
      </w:r>
      <w:r>
        <w:rPr>
          <w:sz w:val="22"/>
          <w:lang w:val="pl-PL"/>
        </w:rPr>
        <w:tab/>
        <w:t xml:space="preserve">u pacjenta poprzednio wystąpił </w:t>
      </w:r>
      <w:r w:rsidR="002851C2">
        <w:rPr>
          <w:sz w:val="22"/>
          <w:lang w:val="pl-PL"/>
        </w:rPr>
        <w:t>zawał</w:t>
      </w:r>
      <w:r>
        <w:rPr>
          <w:sz w:val="22"/>
          <w:lang w:val="pl-PL"/>
        </w:rPr>
        <w:t xml:space="preserve"> serca, udar mózgu lub występuje stan znany jako choroba tętnic obwodowych lub</w:t>
      </w:r>
    </w:p>
    <w:p w:rsidR="00BC4936" w:rsidRDefault="00BC4936">
      <w:pPr>
        <w:numPr>
          <w:ilvl w:val="0"/>
          <w:numId w:val="16"/>
        </w:numPr>
        <w:tabs>
          <w:tab w:val="clear" w:pos="360"/>
          <w:tab w:val="num" w:pos="426"/>
        </w:tabs>
        <w:ind w:left="426"/>
        <w:rPr>
          <w:sz w:val="22"/>
          <w:lang w:val="pl-PL"/>
        </w:rPr>
      </w:pPr>
      <w:r>
        <w:rPr>
          <w:sz w:val="22"/>
          <w:lang w:val="pl-PL"/>
        </w:rPr>
        <w:t>u pacjenta wystąpił siln</w:t>
      </w:r>
      <w:r w:rsidR="002851C2">
        <w:rPr>
          <w:sz w:val="22"/>
          <w:lang w:val="pl-PL"/>
        </w:rPr>
        <w:t>y ból</w:t>
      </w:r>
      <w:r>
        <w:rPr>
          <w:sz w:val="22"/>
          <w:lang w:val="pl-PL"/>
        </w:rPr>
        <w:t xml:space="preserve"> w klatce piersiowej znany jako </w:t>
      </w:r>
      <w:r w:rsidR="004A2151">
        <w:rPr>
          <w:sz w:val="22"/>
          <w:lang w:val="pl-PL"/>
        </w:rPr>
        <w:t>„</w:t>
      </w:r>
      <w:r>
        <w:rPr>
          <w:sz w:val="22"/>
          <w:lang w:val="pl-PL"/>
        </w:rPr>
        <w:t>niestabilna dławica piersiowa” lub „zawał mięśnia sercowego” (</w:t>
      </w:r>
      <w:r w:rsidR="002851C2">
        <w:rPr>
          <w:sz w:val="22"/>
          <w:lang w:val="pl-PL"/>
        </w:rPr>
        <w:t>zawał</w:t>
      </w:r>
      <w:r>
        <w:rPr>
          <w:sz w:val="22"/>
          <w:lang w:val="pl-PL"/>
        </w:rPr>
        <w:t xml:space="preserve"> serca). </w:t>
      </w:r>
      <w:r w:rsidR="00815855">
        <w:rPr>
          <w:sz w:val="22"/>
          <w:lang w:val="pl-PL"/>
        </w:rPr>
        <w:t>W celu leczenia tego schorzenia lekarz może umieścić stent w zablokowanej lub zwężonej tętnicy, celem przywrócenia skutecznego przepływu krwi. L</w:t>
      </w:r>
      <w:r>
        <w:rPr>
          <w:sz w:val="22"/>
          <w:lang w:val="pl-PL"/>
        </w:rPr>
        <w:t xml:space="preserve">ekarz prowadzący </w:t>
      </w:r>
      <w:r w:rsidR="0002567D">
        <w:rPr>
          <w:sz w:val="22"/>
          <w:lang w:val="pl-PL"/>
        </w:rPr>
        <w:t>może</w:t>
      </w:r>
      <w:r>
        <w:rPr>
          <w:sz w:val="22"/>
          <w:lang w:val="pl-PL"/>
        </w:rPr>
        <w:t xml:space="preserve"> także przepisać kwas acetylosalicylowy (substancja obecna w wielu lekach, stosowana zarówno w celu łagodzenia bólu i obniżenia gorączki, jak i w zapobieganiu krzepnięciu krwi).</w:t>
      </w:r>
    </w:p>
    <w:p w:rsidR="0002567D" w:rsidRDefault="0002567D">
      <w:pPr>
        <w:numPr>
          <w:ilvl w:val="0"/>
          <w:numId w:val="16"/>
        </w:numPr>
        <w:tabs>
          <w:tab w:val="clear" w:pos="360"/>
          <w:tab w:val="num" w:pos="426"/>
        </w:tabs>
        <w:ind w:left="426"/>
        <w:rPr>
          <w:sz w:val="22"/>
          <w:lang w:val="pl-PL"/>
        </w:rPr>
      </w:pPr>
      <w:r>
        <w:rPr>
          <w:sz w:val="22"/>
          <w:lang w:val="pl-PL"/>
        </w:rPr>
        <w:t>u pacjenta wystąpiły objawy udaru</w:t>
      </w:r>
      <w:r w:rsidRPr="00711757">
        <w:rPr>
          <w:lang w:val="pl-PL"/>
        </w:rPr>
        <w:t xml:space="preserve"> </w:t>
      </w:r>
      <w:r w:rsidR="00D551FD">
        <w:rPr>
          <w:sz w:val="22"/>
          <w:lang w:val="pl-PL"/>
        </w:rPr>
        <w:t xml:space="preserve">ustępujące w krótkim czasie </w:t>
      </w:r>
      <w:r w:rsidRPr="0002567D">
        <w:rPr>
          <w:sz w:val="22"/>
          <w:lang w:val="pl-PL"/>
        </w:rPr>
        <w:t>(</w:t>
      </w:r>
      <w:bookmarkStart w:id="26" w:name="_Hlk60150451"/>
      <w:r w:rsidRPr="00D551FD">
        <w:rPr>
          <w:sz w:val="22"/>
          <w:lang w:val="pl-PL"/>
        </w:rPr>
        <w:t>tzw</w:t>
      </w:r>
      <w:r w:rsidRPr="0002567D">
        <w:rPr>
          <w:sz w:val="22"/>
          <w:lang w:val="pl-PL"/>
        </w:rPr>
        <w:t xml:space="preserve">. przemijający </w:t>
      </w:r>
      <w:r w:rsidR="003F3890">
        <w:rPr>
          <w:sz w:val="22"/>
          <w:lang w:val="pl-PL"/>
        </w:rPr>
        <w:t>napad</w:t>
      </w:r>
      <w:r w:rsidRPr="0002567D">
        <w:rPr>
          <w:sz w:val="22"/>
          <w:lang w:val="pl-PL"/>
        </w:rPr>
        <w:t xml:space="preserve"> niedokrwienny</w:t>
      </w:r>
      <w:bookmarkEnd w:id="26"/>
      <w:r w:rsidRPr="0002567D">
        <w:rPr>
          <w:sz w:val="22"/>
          <w:lang w:val="pl-PL"/>
        </w:rPr>
        <w:t>) lub udar o łagodnym nasileniu. Lekarz</w:t>
      </w:r>
      <w:r>
        <w:rPr>
          <w:sz w:val="22"/>
          <w:lang w:val="pl-PL"/>
        </w:rPr>
        <w:t xml:space="preserve"> prowadzący</w:t>
      </w:r>
      <w:r w:rsidRPr="0002567D">
        <w:rPr>
          <w:sz w:val="22"/>
          <w:lang w:val="pl-PL"/>
        </w:rPr>
        <w:t xml:space="preserve"> może </w:t>
      </w:r>
      <w:r>
        <w:rPr>
          <w:sz w:val="22"/>
          <w:lang w:val="pl-PL"/>
        </w:rPr>
        <w:t>także</w:t>
      </w:r>
      <w:r w:rsidRPr="0002567D">
        <w:rPr>
          <w:sz w:val="22"/>
          <w:lang w:val="pl-PL"/>
        </w:rPr>
        <w:t xml:space="preserve"> p</w:t>
      </w:r>
      <w:r>
        <w:rPr>
          <w:sz w:val="22"/>
          <w:lang w:val="pl-PL"/>
        </w:rPr>
        <w:t>rzepisać</w:t>
      </w:r>
      <w:r w:rsidRPr="0002567D">
        <w:rPr>
          <w:sz w:val="22"/>
          <w:lang w:val="pl-PL"/>
        </w:rPr>
        <w:t xml:space="preserve"> kwas acetylosalicylowy w ciągu pierwszych 24 godzin.</w:t>
      </w:r>
    </w:p>
    <w:p w:rsidR="00EE3B41" w:rsidRPr="000D1FB2" w:rsidRDefault="00EE3B41" w:rsidP="00EE3B41">
      <w:pPr>
        <w:pStyle w:val="PlainText"/>
        <w:numPr>
          <w:ilvl w:val="0"/>
          <w:numId w:val="16"/>
        </w:numPr>
        <w:rPr>
          <w:rFonts w:ascii="Times New Roman" w:hAnsi="Times New Roman"/>
          <w:sz w:val="22"/>
          <w:szCs w:val="22"/>
        </w:rPr>
      </w:pPr>
      <w:r w:rsidRPr="000D1FB2">
        <w:rPr>
          <w:rFonts w:ascii="Times New Roman" w:hAnsi="Times New Roman"/>
          <w:sz w:val="22"/>
          <w:szCs w:val="22"/>
        </w:rPr>
        <w:t xml:space="preserve">u pacjenta występuje nieregularne </w:t>
      </w:r>
      <w:r w:rsidR="00BB03C9" w:rsidRPr="000D1FB2">
        <w:rPr>
          <w:rFonts w:ascii="Times New Roman" w:hAnsi="Times New Roman"/>
          <w:sz w:val="22"/>
          <w:szCs w:val="22"/>
        </w:rPr>
        <w:t>bici</w:t>
      </w:r>
      <w:r w:rsidR="000D1FB2">
        <w:rPr>
          <w:rFonts w:ascii="Times New Roman" w:hAnsi="Times New Roman"/>
          <w:sz w:val="22"/>
          <w:szCs w:val="22"/>
        </w:rPr>
        <w:t>e</w:t>
      </w:r>
      <w:r w:rsidR="00BB03C9" w:rsidRPr="000D1FB2">
        <w:rPr>
          <w:rFonts w:ascii="Times New Roman" w:hAnsi="Times New Roman"/>
          <w:sz w:val="22"/>
          <w:szCs w:val="22"/>
        </w:rPr>
        <w:t xml:space="preserve"> serca, czyli tzw.</w:t>
      </w:r>
      <w:r w:rsidR="000D1FB2">
        <w:rPr>
          <w:rFonts w:ascii="Times New Roman" w:hAnsi="Times New Roman"/>
          <w:sz w:val="22"/>
          <w:szCs w:val="22"/>
        </w:rPr>
        <w:t xml:space="preserve"> „</w:t>
      </w:r>
      <w:r w:rsidR="00BB03C9" w:rsidRPr="000D1FB2">
        <w:rPr>
          <w:rFonts w:ascii="Times New Roman" w:hAnsi="Times New Roman"/>
          <w:sz w:val="22"/>
          <w:szCs w:val="22"/>
        </w:rPr>
        <w:t>migotanie</w:t>
      </w:r>
      <w:r w:rsidRPr="000D1FB2">
        <w:rPr>
          <w:rFonts w:ascii="Times New Roman" w:hAnsi="Times New Roman"/>
          <w:sz w:val="22"/>
          <w:szCs w:val="22"/>
        </w:rPr>
        <w:t xml:space="preserve"> przedsionków</w:t>
      </w:r>
      <w:r w:rsidR="000D1FB2">
        <w:rPr>
          <w:rFonts w:ascii="Times New Roman" w:hAnsi="Times New Roman"/>
          <w:sz w:val="22"/>
          <w:szCs w:val="22"/>
        </w:rPr>
        <w:t>”</w:t>
      </w:r>
      <w:r w:rsidRPr="000D1FB2">
        <w:rPr>
          <w:rFonts w:ascii="Times New Roman" w:hAnsi="Times New Roman"/>
          <w:sz w:val="22"/>
          <w:szCs w:val="22"/>
        </w:rPr>
        <w:t xml:space="preserve"> i pacjent nie może przyjmować leków nazywanych „doustnymi lekami przeciw</w:t>
      </w:r>
      <w:r w:rsidR="000D1FB2">
        <w:rPr>
          <w:rFonts w:ascii="Times New Roman" w:hAnsi="Times New Roman"/>
          <w:sz w:val="22"/>
          <w:szCs w:val="22"/>
        </w:rPr>
        <w:t>za</w:t>
      </w:r>
      <w:r w:rsidRPr="000D1FB2">
        <w:rPr>
          <w:rFonts w:ascii="Times New Roman" w:hAnsi="Times New Roman"/>
          <w:sz w:val="22"/>
          <w:szCs w:val="22"/>
        </w:rPr>
        <w:t>krzep</w:t>
      </w:r>
      <w:r w:rsidR="000D1FB2">
        <w:rPr>
          <w:rFonts w:ascii="Times New Roman" w:hAnsi="Times New Roman"/>
          <w:sz w:val="22"/>
          <w:szCs w:val="22"/>
        </w:rPr>
        <w:t>o</w:t>
      </w:r>
      <w:r w:rsidRPr="000D1FB2">
        <w:rPr>
          <w:rFonts w:ascii="Times New Roman" w:hAnsi="Times New Roman"/>
          <w:sz w:val="22"/>
          <w:szCs w:val="22"/>
        </w:rPr>
        <w:t xml:space="preserve">wymi” (antagoniści witaminy K), które zapobiegają powstawaniu nowych i powiększaniu się istniejących </w:t>
      </w:r>
      <w:r w:rsidR="000D1FB2">
        <w:rPr>
          <w:rFonts w:ascii="Times New Roman" w:hAnsi="Times New Roman"/>
          <w:sz w:val="22"/>
          <w:szCs w:val="22"/>
        </w:rPr>
        <w:t>za</w:t>
      </w:r>
      <w:r w:rsidR="000D1FB2" w:rsidRPr="000D1FB2">
        <w:rPr>
          <w:rFonts w:ascii="Times New Roman" w:hAnsi="Times New Roman"/>
          <w:sz w:val="22"/>
          <w:szCs w:val="22"/>
        </w:rPr>
        <w:t xml:space="preserve">krzepów </w:t>
      </w:r>
      <w:r w:rsidRPr="000D1FB2">
        <w:rPr>
          <w:rFonts w:ascii="Times New Roman" w:hAnsi="Times New Roman"/>
          <w:sz w:val="22"/>
          <w:szCs w:val="22"/>
        </w:rPr>
        <w:t>krwi. Lekarz prowadzący powinien poinformować pacjenta, że doustne leki przeciw</w:t>
      </w:r>
      <w:r w:rsidR="000D1FB2">
        <w:rPr>
          <w:rFonts w:ascii="Times New Roman" w:hAnsi="Times New Roman"/>
          <w:sz w:val="22"/>
          <w:szCs w:val="22"/>
        </w:rPr>
        <w:t>za</w:t>
      </w:r>
      <w:r w:rsidRPr="000D1FB2">
        <w:rPr>
          <w:rFonts w:ascii="Times New Roman" w:hAnsi="Times New Roman"/>
          <w:sz w:val="22"/>
          <w:szCs w:val="22"/>
        </w:rPr>
        <w:t>krzep</w:t>
      </w:r>
      <w:r w:rsidR="000D1FB2">
        <w:rPr>
          <w:rFonts w:ascii="Times New Roman" w:hAnsi="Times New Roman"/>
          <w:sz w:val="22"/>
          <w:szCs w:val="22"/>
        </w:rPr>
        <w:t>o</w:t>
      </w:r>
      <w:r w:rsidRPr="000D1FB2">
        <w:rPr>
          <w:rFonts w:ascii="Times New Roman" w:hAnsi="Times New Roman"/>
          <w:sz w:val="22"/>
          <w:szCs w:val="22"/>
        </w:rPr>
        <w:t xml:space="preserve">we są w takich przypadkach bardziej skuteczne niż kwas acetylosalicylowy albo </w:t>
      </w:r>
      <w:r w:rsidR="000D1FB2">
        <w:rPr>
          <w:rFonts w:ascii="Times New Roman" w:hAnsi="Times New Roman"/>
          <w:sz w:val="22"/>
          <w:szCs w:val="22"/>
        </w:rPr>
        <w:t>jednoczesne</w:t>
      </w:r>
      <w:r w:rsidR="000D1FB2" w:rsidRPr="000D1FB2">
        <w:rPr>
          <w:rFonts w:ascii="Times New Roman" w:hAnsi="Times New Roman"/>
          <w:sz w:val="22"/>
          <w:szCs w:val="22"/>
        </w:rPr>
        <w:t xml:space="preserve"> </w:t>
      </w:r>
      <w:r w:rsidRPr="000D1FB2">
        <w:rPr>
          <w:rFonts w:ascii="Times New Roman" w:hAnsi="Times New Roman"/>
          <w:sz w:val="22"/>
          <w:szCs w:val="22"/>
        </w:rPr>
        <w:t xml:space="preserve">stosowanie kwasu acetylosalicylowego z </w:t>
      </w:r>
      <w:r w:rsidR="000D1FB2">
        <w:rPr>
          <w:rFonts w:ascii="Times New Roman" w:hAnsi="Times New Roman"/>
          <w:sz w:val="22"/>
          <w:szCs w:val="22"/>
        </w:rPr>
        <w:t>lekiem</w:t>
      </w:r>
      <w:r w:rsidR="000D1FB2" w:rsidRPr="000D1FB2">
        <w:rPr>
          <w:rFonts w:ascii="Times New Roman" w:hAnsi="Times New Roman"/>
          <w:sz w:val="22"/>
          <w:szCs w:val="22"/>
        </w:rPr>
        <w:t xml:space="preserve"> </w:t>
      </w:r>
      <w:r w:rsidRPr="000D1FB2">
        <w:rPr>
          <w:rFonts w:ascii="Times New Roman" w:hAnsi="Times New Roman"/>
          <w:sz w:val="22"/>
          <w:szCs w:val="22"/>
        </w:rPr>
        <w:t>Plavix. W przypadku braku możliwości stosowania doustnych leków przeciw</w:t>
      </w:r>
      <w:r w:rsidR="000D1FB2">
        <w:rPr>
          <w:rFonts w:ascii="Times New Roman" w:hAnsi="Times New Roman"/>
          <w:sz w:val="22"/>
          <w:szCs w:val="22"/>
        </w:rPr>
        <w:t>za</w:t>
      </w:r>
      <w:r w:rsidRPr="000D1FB2">
        <w:rPr>
          <w:rFonts w:ascii="Times New Roman" w:hAnsi="Times New Roman"/>
          <w:sz w:val="22"/>
          <w:szCs w:val="22"/>
        </w:rPr>
        <w:t>krzep</w:t>
      </w:r>
      <w:r w:rsidR="000D1FB2">
        <w:rPr>
          <w:rFonts w:ascii="Times New Roman" w:hAnsi="Times New Roman"/>
          <w:sz w:val="22"/>
          <w:szCs w:val="22"/>
        </w:rPr>
        <w:t>o</w:t>
      </w:r>
      <w:r w:rsidRPr="000D1FB2">
        <w:rPr>
          <w:rFonts w:ascii="Times New Roman" w:hAnsi="Times New Roman"/>
          <w:sz w:val="22"/>
          <w:szCs w:val="22"/>
        </w:rPr>
        <w:t xml:space="preserve">wych i braku zagrożenia </w:t>
      </w:r>
      <w:r w:rsidR="000D1FB2">
        <w:rPr>
          <w:rFonts w:ascii="Times New Roman" w:hAnsi="Times New Roman"/>
          <w:sz w:val="22"/>
          <w:szCs w:val="22"/>
        </w:rPr>
        <w:t>silnym</w:t>
      </w:r>
      <w:r w:rsidR="000D1FB2" w:rsidRPr="000D1FB2">
        <w:rPr>
          <w:rFonts w:ascii="Times New Roman" w:hAnsi="Times New Roman"/>
          <w:sz w:val="22"/>
          <w:szCs w:val="22"/>
        </w:rPr>
        <w:t xml:space="preserve"> </w:t>
      </w:r>
      <w:r w:rsidRPr="000D1FB2">
        <w:rPr>
          <w:rFonts w:ascii="Times New Roman" w:hAnsi="Times New Roman"/>
          <w:sz w:val="22"/>
          <w:szCs w:val="22"/>
        </w:rPr>
        <w:t xml:space="preserve">krwawieniem lekarz powinien przepisać </w:t>
      </w:r>
      <w:r w:rsidR="000D1FB2">
        <w:rPr>
          <w:rFonts w:ascii="Times New Roman" w:hAnsi="Times New Roman"/>
          <w:sz w:val="22"/>
          <w:szCs w:val="22"/>
        </w:rPr>
        <w:t>lek</w:t>
      </w:r>
      <w:r w:rsidR="000D1FB2" w:rsidRPr="000D1FB2">
        <w:rPr>
          <w:rFonts w:ascii="Times New Roman" w:hAnsi="Times New Roman"/>
          <w:sz w:val="22"/>
          <w:szCs w:val="22"/>
        </w:rPr>
        <w:t xml:space="preserve"> </w:t>
      </w:r>
      <w:r w:rsidRPr="000D1FB2">
        <w:rPr>
          <w:rFonts w:ascii="Times New Roman" w:hAnsi="Times New Roman"/>
          <w:sz w:val="22"/>
          <w:szCs w:val="22"/>
        </w:rPr>
        <w:t>Plavix z kwasem acetylosalicylowym.</w:t>
      </w:r>
    </w:p>
    <w:p w:rsidR="00BC4936" w:rsidRDefault="00BC4936">
      <w:pPr>
        <w:rPr>
          <w:sz w:val="22"/>
          <w:lang w:val="pl-PL"/>
        </w:rPr>
      </w:pPr>
    </w:p>
    <w:p w:rsidR="00BC4936" w:rsidRDefault="00BC4936">
      <w:pPr>
        <w:pStyle w:val="BodyText"/>
        <w:jc w:val="left"/>
        <w:rPr>
          <w:rFonts w:ascii="Times New Roman" w:hAnsi="Times New Roman"/>
          <w:sz w:val="22"/>
        </w:rPr>
      </w:pPr>
    </w:p>
    <w:p w:rsidR="002449D7" w:rsidRPr="00A64B0E" w:rsidRDefault="00BC4936" w:rsidP="00A64B0E">
      <w:pPr>
        <w:pStyle w:val="Footer"/>
        <w:keepNext/>
        <w:tabs>
          <w:tab w:val="clear" w:pos="4320"/>
          <w:tab w:val="clear" w:pos="8640"/>
        </w:tabs>
        <w:rPr>
          <w:b/>
          <w:sz w:val="22"/>
          <w:szCs w:val="22"/>
          <w:lang w:val="pl-PL"/>
        </w:rPr>
      </w:pPr>
      <w:r w:rsidRPr="00A64B0E">
        <w:rPr>
          <w:b/>
          <w:sz w:val="22"/>
          <w:szCs w:val="22"/>
          <w:lang w:val="pl-PL"/>
        </w:rPr>
        <w:t>2.</w:t>
      </w:r>
      <w:r w:rsidRPr="00A64B0E">
        <w:rPr>
          <w:b/>
          <w:sz w:val="22"/>
          <w:szCs w:val="22"/>
          <w:lang w:val="pl-PL"/>
        </w:rPr>
        <w:tab/>
      </w:r>
      <w:r w:rsidR="002449D7" w:rsidRPr="00A64B0E">
        <w:rPr>
          <w:b/>
          <w:sz w:val="22"/>
          <w:szCs w:val="22"/>
          <w:lang w:val="pl-PL"/>
        </w:rPr>
        <w:t xml:space="preserve">Informacje ważne przed </w:t>
      </w:r>
      <w:r w:rsidR="00C56829">
        <w:rPr>
          <w:b/>
          <w:sz w:val="22"/>
          <w:szCs w:val="22"/>
          <w:lang w:val="pl-PL"/>
        </w:rPr>
        <w:t>przyjęciem</w:t>
      </w:r>
      <w:r w:rsidR="002449D7" w:rsidRPr="00A64B0E">
        <w:rPr>
          <w:b/>
          <w:sz w:val="22"/>
          <w:szCs w:val="22"/>
          <w:lang w:val="pl-PL"/>
        </w:rPr>
        <w:t xml:space="preserve"> leku Plavix</w:t>
      </w:r>
    </w:p>
    <w:p w:rsidR="00BC4936" w:rsidRPr="00022436" w:rsidRDefault="00BC4936" w:rsidP="00A64B0E">
      <w:pPr>
        <w:pStyle w:val="BodyText"/>
        <w:keepNext/>
        <w:tabs>
          <w:tab w:val="left" w:pos="540"/>
        </w:tabs>
        <w:jc w:val="left"/>
        <w:rPr>
          <w:rFonts w:ascii="Times New Roman" w:hAnsi="Times New Roman"/>
          <w:sz w:val="22"/>
          <w:szCs w:val="22"/>
        </w:rPr>
      </w:pPr>
    </w:p>
    <w:p w:rsidR="00BC4936" w:rsidRDefault="00BC4936" w:rsidP="00A64B0E">
      <w:pPr>
        <w:pStyle w:val="Footer"/>
        <w:keepNext/>
        <w:rPr>
          <w:lang w:val="pl-PL"/>
        </w:rPr>
      </w:pPr>
      <w:r w:rsidRPr="000057AC">
        <w:rPr>
          <w:b/>
          <w:sz w:val="22"/>
          <w:szCs w:val="22"/>
          <w:lang w:val="pl-PL"/>
        </w:rPr>
        <w:t>Kiedy</w:t>
      </w:r>
      <w:r>
        <w:rPr>
          <w:b/>
          <w:sz w:val="22"/>
          <w:lang w:val="pl-PL"/>
        </w:rPr>
        <w:t xml:space="preserve"> nie </w:t>
      </w:r>
      <w:r w:rsidR="00C56829">
        <w:rPr>
          <w:b/>
          <w:sz w:val="22"/>
          <w:lang w:val="pl-PL"/>
        </w:rPr>
        <w:t xml:space="preserve">przyjmować </w:t>
      </w:r>
      <w:r>
        <w:rPr>
          <w:b/>
          <w:sz w:val="22"/>
          <w:lang w:val="pl-PL"/>
        </w:rPr>
        <w:t xml:space="preserve">leku </w:t>
      </w:r>
      <w:r w:rsidR="00B04330">
        <w:rPr>
          <w:b/>
          <w:sz w:val="22"/>
          <w:lang w:val="pl-PL"/>
        </w:rPr>
        <w:t>Plavix</w:t>
      </w:r>
    </w:p>
    <w:p w:rsidR="00BC4936" w:rsidRDefault="00BC4936">
      <w:pPr>
        <w:numPr>
          <w:ilvl w:val="0"/>
          <w:numId w:val="18"/>
        </w:numPr>
        <w:rPr>
          <w:sz w:val="22"/>
          <w:lang w:val="pl-PL"/>
        </w:rPr>
      </w:pPr>
      <w:r>
        <w:rPr>
          <w:sz w:val="22"/>
          <w:lang w:val="pl-PL"/>
        </w:rPr>
        <w:t>jeśli u pacjenta stwierdzono uczulenie (nadwrażliwość) na klopidogrel lub którykolwiek z</w:t>
      </w:r>
      <w:r w:rsidR="000D1FB2" w:rsidRPr="00CD2AE9">
        <w:rPr>
          <w:sz w:val="22"/>
          <w:szCs w:val="22"/>
          <w:lang w:val="pl-PL"/>
        </w:rPr>
        <w:t> </w:t>
      </w:r>
      <w:r>
        <w:rPr>
          <w:sz w:val="22"/>
          <w:lang w:val="pl-PL"/>
        </w:rPr>
        <w:t xml:space="preserve">pozostałych składników </w:t>
      </w:r>
      <w:r w:rsidR="004B6641">
        <w:rPr>
          <w:sz w:val="22"/>
          <w:lang w:val="pl-PL"/>
        </w:rPr>
        <w:t xml:space="preserve">tego </w:t>
      </w:r>
      <w:r>
        <w:rPr>
          <w:sz w:val="22"/>
          <w:lang w:val="pl-PL"/>
        </w:rPr>
        <w:t xml:space="preserve">leku </w:t>
      </w:r>
      <w:r w:rsidR="00074398">
        <w:rPr>
          <w:sz w:val="22"/>
          <w:lang w:val="pl-PL"/>
        </w:rPr>
        <w:t>(wymienionych w punkcie 6)</w:t>
      </w:r>
      <w:r w:rsidR="00803252">
        <w:rPr>
          <w:sz w:val="22"/>
          <w:lang w:val="pl-PL"/>
        </w:rPr>
        <w:t>,</w:t>
      </w:r>
    </w:p>
    <w:p w:rsidR="00BC4936" w:rsidRDefault="00BC4936">
      <w:pPr>
        <w:numPr>
          <w:ilvl w:val="0"/>
          <w:numId w:val="18"/>
        </w:numPr>
        <w:rPr>
          <w:b/>
          <w:sz w:val="22"/>
          <w:lang w:val="pl-PL"/>
        </w:rPr>
      </w:pPr>
      <w:r>
        <w:rPr>
          <w:sz w:val="22"/>
          <w:lang w:val="pl-PL"/>
        </w:rPr>
        <w:t xml:space="preserve">jeśli u pacjenta występuje stan chorobowy, który </w:t>
      </w:r>
      <w:r w:rsidR="00C56829">
        <w:rPr>
          <w:sz w:val="22"/>
          <w:lang w:val="pl-PL"/>
        </w:rPr>
        <w:t xml:space="preserve">obecnie </w:t>
      </w:r>
      <w:r>
        <w:rPr>
          <w:sz w:val="22"/>
          <w:lang w:val="pl-PL"/>
        </w:rPr>
        <w:t>powoduje krwawienie, taki jak</w:t>
      </w:r>
      <w:r w:rsidR="00C56829">
        <w:rPr>
          <w:sz w:val="22"/>
          <w:lang w:val="pl-PL"/>
        </w:rPr>
        <w:t>:</w:t>
      </w:r>
      <w:r>
        <w:rPr>
          <w:sz w:val="22"/>
          <w:lang w:val="pl-PL"/>
        </w:rPr>
        <w:t xml:space="preserve"> wrzód żołądka</w:t>
      </w:r>
      <w:r w:rsidR="001479F3">
        <w:rPr>
          <w:sz w:val="22"/>
          <w:lang w:val="pl-PL"/>
        </w:rPr>
        <w:t xml:space="preserve"> lub krwawienie</w:t>
      </w:r>
      <w:r w:rsidR="00F56A20">
        <w:rPr>
          <w:sz w:val="22"/>
          <w:lang w:val="pl-PL"/>
        </w:rPr>
        <w:t xml:space="preserve"> </w:t>
      </w:r>
      <w:r w:rsidR="001479F3">
        <w:rPr>
          <w:sz w:val="22"/>
          <w:lang w:val="pl-PL"/>
        </w:rPr>
        <w:t>wewnątrz mózgu</w:t>
      </w:r>
      <w:r w:rsidR="00803252">
        <w:rPr>
          <w:sz w:val="22"/>
          <w:lang w:val="pl-PL"/>
        </w:rPr>
        <w:t>,</w:t>
      </w:r>
    </w:p>
    <w:p w:rsidR="00BC4936" w:rsidRDefault="00BC4936" w:rsidP="00BF60EC">
      <w:pPr>
        <w:numPr>
          <w:ilvl w:val="0"/>
          <w:numId w:val="18"/>
        </w:numPr>
        <w:rPr>
          <w:b/>
          <w:sz w:val="22"/>
          <w:lang w:val="pl-PL"/>
        </w:rPr>
      </w:pPr>
      <w:r>
        <w:rPr>
          <w:sz w:val="22"/>
          <w:lang w:val="pl-PL"/>
        </w:rPr>
        <w:t>jeśli u pacjenta występuje ciężka choroba wątrob</w:t>
      </w:r>
      <w:r w:rsidR="00BF60EC">
        <w:rPr>
          <w:sz w:val="22"/>
          <w:lang w:val="pl-PL"/>
        </w:rPr>
        <w:t>y.</w:t>
      </w:r>
    </w:p>
    <w:p w:rsidR="00BC4936" w:rsidRDefault="00BC4936">
      <w:pPr>
        <w:rPr>
          <w:sz w:val="22"/>
          <w:lang w:val="pl-PL"/>
        </w:rPr>
      </w:pPr>
    </w:p>
    <w:p w:rsidR="00BC4936" w:rsidRDefault="00BC4936">
      <w:pPr>
        <w:rPr>
          <w:sz w:val="22"/>
          <w:lang w:val="pl-PL"/>
        </w:rPr>
      </w:pPr>
      <w:r>
        <w:rPr>
          <w:sz w:val="22"/>
          <w:lang w:val="pl-PL"/>
        </w:rPr>
        <w:t xml:space="preserve">Jeśli pacjent uważa, że </w:t>
      </w:r>
      <w:r w:rsidR="00815855">
        <w:rPr>
          <w:sz w:val="22"/>
          <w:lang w:val="pl-PL"/>
        </w:rPr>
        <w:t>dotyczy go</w:t>
      </w:r>
      <w:r>
        <w:rPr>
          <w:sz w:val="22"/>
          <w:lang w:val="pl-PL"/>
        </w:rPr>
        <w:t xml:space="preserve"> któr</w:t>
      </w:r>
      <w:r w:rsidR="002851C2">
        <w:rPr>
          <w:sz w:val="22"/>
          <w:lang w:val="pl-PL"/>
        </w:rPr>
        <w:t>e</w:t>
      </w:r>
      <w:r>
        <w:rPr>
          <w:sz w:val="22"/>
          <w:lang w:val="pl-PL"/>
        </w:rPr>
        <w:t xml:space="preserve">kolwiek z tych </w:t>
      </w:r>
      <w:r w:rsidR="002851C2">
        <w:rPr>
          <w:sz w:val="22"/>
          <w:lang w:val="pl-PL"/>
        </w:rPr>
        <w:t xml:space="preserve">zaburzeń </w:t>
      </w:r>
      <w:r>
        <w:rPr>
          <w:sz w:val="22"/>
          <w:lang w:val="pl-PL"/>
        </w:rPr>
        <w:t>lub ma jakiekolwiek inne wątpliwości, powinien skonsultować się z lekarzem prowadzącym</w:t>
      </w:r>
      <w:r w:rsidR="002851C2">
        <w:rPr>
          <w:sz w:val="22"/>
          <w:lang w:val="pl-PL"/>
        </w:rPr>
        <w:t>,</w:t>
      </w:r>
      <w:r>
        <w:rPr>
          <w:sz w:val="22"/>
          <w:lang w:val="pl-PL"/>
        </w:rPr>
        <w:t xml:space="preserve"> zanim </w:t>
      </w:r>
      <w:r w:rsidR="00C56829">
        <w:rPr>
          <w:sz w:val="22"/>
          <w:lang w:val="pl-PL"/>
        </w:rPr>
        <w:t xml:space="preserve">przyjmie </w:t>
      </w:r>
      <w:r w:rsidR="000D1FB2">
        <w:rPr>
          <w:sz w:val="22"/>
          <w:lang w:val="pl-PL"/>
        </w:rPr>
        <w:t xml:space="preserve">lek </w:t>
      </w:r>
      <w:r w:rsidR="00B04330">
        <w:rPr>
          <w:sz w:val="22"/>
          <w:lang w:val="pl-PL"/>
        </w:rPr>
        <w:t>Plavix</w:t>
      </w:r>
      <w:r>
        <w:rPr>
          <w:sz w:val="22"/>
          <w:lang w:val="pl-PL"/>
        </w:rPr>
        <w:t>.</w:t>
      </w:r>
    </w:p>
    <w:p w:rsidR="00BC4936" w:rsidRDefault="00BC4936">
      <w:pPr>
        <w:rPr>
          <w:sz w:val="22"/>
          <w:lang w:val="pl-PL"/>
        </w:rPr>
      </w:pPr>
    </w:p>
    <w:p w:rsidR="00166BD0" w:rsidRPr="00166BD0" w:rsidRDefault="00166BD0">
      <w:pPr>
        <w:rPr>
          <w:b/>
          <w:sz w:val="22"/>
          <w:lang w:val="pl-PL"/>
        </w:rPr>
      </w:pPr>
      <w:r w:rsidRPr="00166BD0">
        <w:rPr>
          <w:b/>
          <w:sz w:val="22"/>
          <w:lang w:val="pl-PL"/>
        </w:rPr>
        <w:t>Ostrzeżenia i środki ostrożności</w:t>
      </w:r>
    </w:p>
    <w:p w:rsidR="00BC4936" w:rsidRDefault="00BC4936">
      <w:pPr>
        <w:rPr>
          <w:sz w:val="22"/>
          <w:lang w:val="pl-PL"/>
        </w:rPr>
      </w:pPr>
      <w:r>
        <w:rPr>
          <w:sz w:val="22"/>
          <w:lang w:val="pl-PL"/>
        </w:rPr>
        <w:t xml:space="preserve">Jeśli którakolwiek z sytuacji wymienionych poniżej dotyczy pacjenta, to przed </w:t>
      </w:r>
      <w:r w:rsidR="00C56829">
        <w:rPr>
          <w:sz w:val="22"/>
          <w:lang w:val="pl-PL"/>
        </w:rPr>
        <w:t xml:space="preserve">przyjęciem </w:t>
      </w:r>
      <w:r>
        <w:rPr>
          <w:sz w:val="22"/>
          <w:lang w:val="pl-PL"/>
        </w:rPr>
        <w:t xml:space="preserve">leku </w:t>
      </w:r>
      <w:r w:rsidR="00B04330">
        <w:rPr>
          <w:sz w:val="22"/>
          <w:lang w:val="pl-PL"/>
        </w:rPr>
        <w:t>Plavix</w:t>
      </w:r>
      <w:r>
        <w:rPr>
          <w:sz w:val="22"/>
          <w:lang w:val="pl-PL"/>
        </w:rPr>
        <w:t xml:space="preserve"> powinien on poinformować o tym lekarza prowadzącego:</w:t>
      </w:r>
    </w:p>
    <w:p w:rsidR="00E75825" w:rsidRDefault="00BC4936">
      <w:pPr>
        <w:pStyle w:val="Footer"/>
        <w:numPr>
          <w:ilvl w:val="0"/>
          <w:numId w:val="19"/>
        </w:numPr>
        <w:rPr>
          <w:sz w:val="22"/>
          <w:lang w:val="pl-PL"/>
        </w:rPr>
      </w:pPr>
      <w:r>
        <w:rPr>
          <w:sz w:val="22"/>
          <w:lang w:val="pl-PL"/>
        </w:rPr>
        <w:t xml:space="preserve">jeśli występuje ryzyko </w:t>
      </w:r>
      <w:r w:rsidR="003041E1">
        <w:rPr>
          <w:sz w:val="22"/>
          <w:lang w:val="pl-PL"/>
        </w:rPr>
        <w:t>krwawienia</w:t>
      </w:r>
      <w:r>
        <w:rPr>
          <w:sz w:val="22"/>
          <w:lang w:val="pl-PL"/>
        </w:rPr>
        <w:t>, takie jak</w:t>
      </w:r>
      <w:r w:rsidR="00992F14">
        <w:rPr>
          <w:sz w:val="22"/>
          <w:lang w:val="pl-PL"/>
        </w:rPr>
        <w:t>:</w:t>
      </w:r>
    </w:p>
    <w:p w:rsidR="001247FD" w:rsidRDefault="00BC4936" w:rsidP="00A64B0E">
      <w:pPr>
        <w:pStyle w:val="Footer"/>
        <w:numPr>
          <w:ilvl w:val="0"/>
          <w:numId w:val="52"/>
        </w:numPr>
        <w:tabs>
          <w:tab w:val="clear" w:pos="4320"/>
          <w:tab w:val="clear" w:pos="8640"/>
          <w:tab w:val="right" w:pos="1134"/>
        </w:tabs>
        <w:rPr>
          <w:sz w:val="22"/>
          <w:lang w:val="pl-PL"/>
        </w:rPr>
      </w:pPr>
      <w:r>
        <w:rPr>
          <w:sz w:val="22"/>
          <w:lang w:val="pl-PL"/>
        </w:rPr>
        <w:t>stan chorobowy, który powoduje ryzyko wewnętrznego krwawienia (np. wrzód żołądka)</w:t>
      </w:r>
    </w:p>
    <w:p w:rsidR="00C56829" w:rsidRPr="001247FD" w:rsidRDefault="00BC4936" w:rsidP="001E79CA">
      <w:pPr>
        <w:pStyle w:val="Footer"/>
        <w:tabs>
          <w:tab w:val="clear" w:pos="4320"/>
          <w:tab w:val="clear" w:pos="8640"/>
          <w:tab w:val="right" w:pos="1134"/>
        </w:tabs>
        <w:ind w:left="1146"/>
        <w:rPr>
          <w:sz w:val="22"/>
          <w:lang w:val="pl-PL"/>
        </w:rPr>
      </w:pPr>
      <w:r w:rsidRPr="001247FD">
        <w:rPr>
          <w:sz w:val="22"/>
          <w:lang w:val="pl-PL"/>
        </w:rPr>
        <w:t>zaburzenie krwi usposabiające do wewnętrznego krwawienia (krwawienie wewnątrz tkanek, narządów lub stawów ciała)</w:t>
      </w:r>
    </w:p>
    <w:p w:rsidR="00C56829" w:rsidRDefault="00BC4936" w:rsidP="00A64B0E">
      <w:pPr>
        <w:pStyle w:val="Footer"/>
        <w:numPr>
          <w:ilvl w:val="0"/>
          <w:numId w:val="52"/>
        </w:numPr>
        <w:tabs>
          <w:tab w:val="clear" w:pos="4320"/>
          <w:tab w:val="clear" w:pos="8640"/>
          <w:tab w:val="right" w:pos="1134"/>
        </w:tabs>
        <w:rPr>
          <w:sz w:val="22"/>
          <w:lang w:val="pl-PL"/>
        </w:rPr>
      </w:pPr>
      <w:r w:rsidRPr="00A64B0E">
        <w:rPr>
          <w:sz w:val="22"/>
          <w:lang w:val="pl-PL"/>
        </w:rPr>
        <w:t>ostatnio doznany ciężki uraz</w:t>
      </w:r>
    </w:p>
    <w:p w:rsidR="00C56829" w:rsidRPr="00A64B0E" w:rsidRDefault="00BC4936" w:rsidP="00A64B0E">
      <w:pPr>
        <w:pStyle w:val="Footer"/>
        <w:numPr>
          <w:ilvl w:val="0"/>
          <w:numId w:val="52"/>
        </w:numPr>
        <w:tabs>
          <w:tab w:val="clear" w:pos="4320"/>
          <w:tab w:val="clear" w:pos="8640"/>
          <w:tab w:val="right" w:pos="1134"/>
        </w:tabs>
        <w:rPr>
          <w:sz w:val="22"/>
          <w:lang w:val="pl-PL"/>
        </w:rPr>
      </w:pPr>
      <w:r w:rsidRPr="00A64B0E">
        <w:rPr>
          <w:sz w:val="22"/>
          <w:lang w:val="pl-PL"/>
        </w:rPr>
        <w:t>ostatnio przebyty zabieg chirurgiczny (włącznie z</w:t>
      </w:r>
      <w:r w:rsidR="00C56829">
        <w:rPr>
          <w:sz w:val="22"/>
          <w:lang w:val="pl-PL"/>
        </w:rPr>
        <w:t xml:space="preserve"> zabiegiem</w:t>
      </w:r>
      <w:r w:rsidRPr="00A64B0E">
        <w:rPr>
          <w:sz w:val="22"/>
          <w:lang w:val="pl-PL"/>
        </w:rPr>
        <w:t xml:space="preserve"> stomatologicznym)</w:t>
      </w:r>
    </w:p>
    <w:p w:rsidR="00BC4936" w:rsidRPr="00A64B0E" w:rsidRDefault="00BC4936" w:rsidP="00A64B0E">
      <w:pPr>
        <w:pStyle w:val="Footer"/>
        <w:numPr>
          <w:ilvl w:val="0"/>
          <w:numId w:val="52"/>
        </w:numPr>
        <w:tabs>
          <w:tab w:val="clear" w:pos="4320"/>
          <w:tab w:val="clear" w:pos="8640"/>
          <w:tab w:val="right" w:pos="1134"/>
        </w:tabs>
        <w:rPr>
          <w:sz w:val="22"/>
          <w:lang w:val="pl-PL"/>
        </w:rPr>
      </w:pPr>
      <w:r w:rsidRPr="00A64B0E">
        <w:rPr>
          <w:sz w:val="22"/>
          <w:lang w:val="pl-PL"/>
        </w:rPr>
        <w:t>planowany w następnych siedmiu dniach zabieg chirurgiczny (włącznie z</w:t>
      </w:r>
      <w:r w:rsidR="00C56829">
        <w:rPr>
          <w:sz w:val="22"/>
          <w:lang w:val="pl-PL"/>
        </w:rPr>
        <w:t xml:space="preserve"> zabiegiem</w:t>
      </w:r>
      <w:r w:rsidRPr="00A64B0E">
        <w:rPr>
          <w:sz w:val="22"/>
          <w:lang w:val="pl-PL"/>
        </w:rPr>
        <w:t xml:space="preserve"> stomatologicznym)</w:t>
      </w:r>
    </w:p>
    <w:p w:rsidR="00BC4936" w:rsidRDefault="00BC2C01" w:rsidP="00BC2C01">
      <w:pPr>
        <w:numPr>
          <w:ilvl w:val="0"/>
          <w:numId w:val="20"/>
        </w:numPr>
        <w:rPr>
          <w:sz w:val="22"/>
          <w:lang w:val="pl-PL"/>
        </w:rPr>
      </w:pPr>
      <w:r>
        <w:rPr>
          <w:sz w:val="22"/>
          <w:lang w:val="pl-PL"/>
        </w:rPr>
        <w:t>jeśli u pacjenta stwierdzono zakrzep w tętnicy mózgu (udar niedokrwienny), który wystąpił w</w:t>
      </w:r>
      <w:r w:rsidR="00C56829">
        <w:rPr>
          <w:sz w:val="22"/>
          <w:lang w:val="pl-PL"/>
        </w:rPr>
        <w:t> </w:t>
      </w:r>
      <w:r>
        <w:rPr>
          <w:sz w:val="22"/>
          <w:lang w:val="pl-PL"/>
        </w:rPr>
        <w:t xml:space="preserve">ciągu ostatnich siedmiu dni </w:t>
      </w:r>
    </w:p>
    <w:p w:rsidR="00CD5D17" w:rsidRDefault="00CD5D17">
      <w:pPr>
        <w:numPr>
          <w:ilvl w:val="0"/>
          <w:numId w:val="20"/>
        </w:numPr>
        <w:rPr>
          <w:sz w:val="22"/>
          <w:lang w:val="pl-PL"/>
        </w:rPr>
      </w:pPr>
      <w:r>
        <w:rPr>
          <w:sz w:val="22"/>
          <w:lang w:val="pl-PL"/>
        </w:rPr>
        <w:t>jeśli u pacjenta występuje choroba nerek lub wątroby</w:t>
      </w:r>
    </w:p>
    <w:p w:rsidR="00B867CD" w:rsidRDefault="00B867CD" w:rsidP="00B867CD">
      <w:pPr>
        <w:numPr>
          <w:ilvl w:val="0"/>
          <w:numId w:val="20"/>
        </w:numPr>
        <w:rPr>
          <w:sz w:val="22"/>
          <w:lang w:val="pl-PL"/>
        </w:rPr>
      </w:pPr>
      <w:r>
        <w:rPr>
          <w:sz w:val="22"/>
          <w:lang w:val="pl-PL"/>
        </w:rPr>
        <w:t>jeśli pacjent miał w przeszłości alergię lub uczulenie na którykolwiek z leków stosowanych w leczeniu tej choroby</w:t>
      </w:r>
    </w:p>
    <w:p w:rsidR="001D5ED1" w:rsidRPr="00B867CD" w:rsidRDefault="001D5ED1" w:rsidP="00B867CD">
      <w:pPr>
        <w:numPr>
          <w:ilvl w:val="0"/>
          <w:numId w:val="20"/>
        </w:numPr>
        <w:rPr>
          <w:sz w:val="22"/>
          <w:lang w:val="pl-PL"/>
        </w:rPr>
      </w:pPr>
      <w:r>
        <w:rPr>
          <w:sz w:val="22"/>
          <w:lang w:val="pl-PL"/>
        </w:rPr>
        <w:t>jeśli</w:t>
      </w:r>
      <w:r w:rsidR="00493E7B">
        <w:rPr>
          <w:sz w:val="22"/>
          <w:lang w:val="pl-PL"/>
        </w:rPr>
        <w:t xml:space="preserve"> u</w:t>
      </w:r>
      <w:r>
        <w:rPr>
          <w:sz w:val="22"/>
          <w:lang w:val="pl-PL"/>
        </w:rPr>
        <w:t xml:space="preserve"> pacjent</w:t>
      </w:r>
      <w:r w:rsidR="00C055D0">
        <w:rPr>
          <w:sz w:val="22"/>
          <w:lang w:val="pl-PL"/>
        </w:rPr>
        <w:t>a</w:t>
      </w:r>
      <w:r w:rsidR="00493E7B">
        <w:rPr>
          <w:sz w:val="22"/>
          <w:lang w:val="pl-PL"/>
        </w:rPr>
        <w:t xml:space="preserve"> w przeszłości wystąpił</w:t>
      </w:r>
      <w:r w:rsidR="00793EC3">
        <w:rPr>
          <w:sz w:val="22"/>
          <w:lang w:val="pl-PL"/>
        </w:rPr>
        <w:t xml:space="preserve"> nieurazowy krwotok mózgowy</w:t>
      </w:r>
      <w:r w:rsidR="003C5EAF">
        <w:rPr>
          <w:sz w:val="22"/>
          <w:lang w:val="pl-PL"/>
        </w:rPr>
        <w:t>.</w:t>
      </w:r>
    </w:p>
    <w:p w:rsidR="00400B5F" w:rsidRDefault="00400B5F" w:rsidP="00400B5F">
      <w:pPr>
        <w:rPr>
          <w:sz w:val="22"/>
          <w:lang w:val="pl-PL"/>
        </w:rPr>
      </w:pPr>
    </w:p>
    <w:p w:rsidR="00400B5F" w:rsidRDefault="00400B5F" w:rsidP="00400B5F">
      <w:pPr>
        <w:rPr>
          <w:sz w:val="22"/>
          <w:lang w:val="pl-PL"/>
        </w:rPr>
      </w:pPr>
      <w:r>
        <w:rPr>
          <w:sz w:val="22"/>
          <w:lang w:val="pl-PL"/>
        </w:rPr>
        <w:t xml:space="preserve">Podczas stosowania leku </w:t>
      </w:r>
      <w:r w:rsidR="00B04330">
        <w:rPr>
          <w:sz w:val="22"/>
          <w:lang w:val="pl-PL"/>
        </w:rPr>
        <w:t>Plavix</w:t>
      </w:r>
      <w:r>
        <w:rPr>
          <w:sz w:val="22"/>
          <w:lang w:val="pl-PL"/>
        </w:rPr>
        <w:t>:</w:t>
      </w:r>
    </w:p>
    <w:p w:rsidR="00400B5F" w:rsidRDefault="00400B5F" w:rsidP="00400B5F">
      <w:pPr>
        <w:numPr>
          <w:ilvl w:val="0"/>
          <w:numId w:val="20"/>
        </w:numPr>
        <w:rPr>
          <w:sz w:val="22"/>
          <w:lang w:val="pl-PL"/>
        </w:rPr>
      </w:pPr>
      <w:r>
        <w:rPr>
          <w:sz w:val="22"/>
          <w:lang w:val="pl-PL"/>
        </w:rPr>
        <w:t xml:space="preserve">Należy poinformować lekarza, jeśli u pacjenta planowany jest zabieg </w:t>
      </w:r>
      <w:r w:rsidR="0087437F">
        <w:rPr>
          <w:sz w:val="22"/>
          <w:lang w:val="pl-PL"/>
        </w:rPr>
        <w:t>chirurgiczny</w:t>
      </w:r>
      <w:r>
        <w:rPr>
          <w:sz w:val="22"/>
          <w:lang w:val="pl-PL"/>
        </w:rPr>
        <w:t xml:space="preserve"> (w</w:t>
      </w:r>
      <w:r w:rsidR="002851C2">
        <w:rPr>
          <w:sz w:val="22"/>
          <w:lang w:val="pl-PL"/>
        </w:rPr>
        <w:t> </w:t>
      </w:r>
      <w:r>
        <w:rPr>
          <w:sz w:val="22"/>
          <w:lang w:val="pl-PL"/>
        </w:rPr>
        <w:t>tym</w:t>
      </w:r>
      <w:r w:rsidR="002851C2">
        <w:rPr>
          <w:sz w:val="22"/>
          <w:lang w:val="pl-PL"/>
        </w:rPr>
        <w:t> </w:t>
      </w:r>
      <w:r>
        <w:rPr>
          <w:sz w:val="22"/>
          <w:lang w:val="pl-PL"/>
        </w:rPr>
        <w:t>stomatologiczny).</w:t>
      </w:r>
    </w:p>
    <w:p w:rsidR="00400B5F" w:rsidRDefault="00400B5F" w:rsidP="00400B5F">
      <w:pPr>
        <w:numPr>
          <w:ilvl w:val="0"/>
          <w:numId w:val="20"/>
        </w:numPr>
        <w:rPr>
          <w:sz w:val="22"/>
          <w:lang w:val="pl-PL"/>
        </w:rPr>
      </w:pPr>
      <w:r>
        <w:rPr>
          <w:sz w:val="22"/>
          <w:lang w:val="pl-PL"/>
        </w:rPr>
        <w:t>Należy również niezwłocznie poinformować lekarza</w:t>
      </w:r>
      <w:r w:rsidR="00186446">
        <w:rPr>
          <w:sz w:val="22"/>
          <w:lang w:val="pl-PL"/>
        </w:rPr>
        <w:t xml:space="preserve"> o występowaniu</w:t>
      </w:r>
      <w:r>
        <w:rPr>
          <w:sz w:val="22"/>
          <w:lang w:val="pl-PL"/>
        </w:rPr>
        <w:t xml:space="preserve"> </w:t>
      </w:r>
      <w:r w:rsidR="00186446">
        <w:rPr>
          <w:sz w:val="22"/>
          <w:lang w:val="pl-PL"/>
        </w:rPr>
        <w:t xml:space="preserve">schorzenia (zwanego </w:t>
      </w:r>
      <w:r w:rsidR="0087437F">
        <w:rPr>
          <w:sz w:val="22"/>
          <w:lang w:val="pl-PL"/>
        </w:rPr>
        <w:t>z</w:t>
      </w:r>
      <w:r w:rsidR="00186446">
        <w:rPr>
          <w:sz w:val="22"/>
          <w:lang w:val="pl-PL"/>
        </w:rPr>
        <w:t xml:space="preserve">akrzepową </w:t>
      </w:r>
      <w:r w:rsidR="0087437F">
        <w:rPr>
          <w:sz w:val="22"/>
          <w:lang w:val="pl-PL"/>
        </w:rPr>
        <w:t>p</w:t>
      </w:r>
      <w:r w:rsidR="00186446">
        <w:rPr>
          <w:sz w:val="22"/>
          <w:lang w:val="pl-PL"/>
        </w:rPr>
        <w:t xml:space="preserve">lamicą </w:t>
      </w:r>
      <w:r w:rsidR="0087437F">
        <w:rPr>
          <w:sz w:val="22"/>
          <w:lang w:val="pl-PL"/>
        </w:rPr>
        <w:t>m</w:t>
      </w:r>
      <w:r w:rsidR="00186446">
        <w:rPr>
          <w:sz w:val="22"/>
          <w:lang w:val="pl-PL"/>
        </w:rPr>
        <w:t>ałopłytkową</w:t>
      </w:r>
      <w:r w:rsidR="000D1FB2">
        <w:rPr>
          <w:sz w:val="22"/>
          <w:lang w:val="pl-PL"/>
        </w:rPr>
        <w:t xml:space="preserve"> – </w:t>
      </w:r>
      <w:r w:rsidR="0087437F">
        <w:rPr>
          <w:sz w:val="22"/>
          <w:lang w:val="pl-PL"/>
        </w:rPr>
        <w:t>ang.</w:t>
      </w:r>
      <w:r w:rsidR="00184389" w:rsidRPr="00744BD4">
        <w:rPr>
          <w:i/>
          <w:sz w:val="22"/>
          <w:lang w:val="pl-PL"/>
        </w:rPr>
        <w:t xml:space="preserve"> </w:t>
      </w:r>
      <w:r w:rsidR="00186446" w:rsidRPr="001E79CA">
        <w:rPr>
          <w:sz w:val="22"/>
          <w:lang w:val="pl-PL"/>
        </w:rPr>
        <w:t>TTP</w:t>
      </w:r>
      <w:r w:rsidR="000D1FB2" w:rsidRPr="001247FD">
        <w:rPr>
          <w:sz w:val="22"/>
          <w:lang w:val="pl-PL"/>
        </w:rPr>
        <w:t xml:space="preserve"> –</w:t>
      </w:r>
      <w:r w:rsidR="0087437F" w:rsidRPr="001247FD">
        <w:rPr>
          <w:sz w:val="22"/>
          <w:lang w:val="pl-PL"/>
        </w:rPr>
        <w:t xml:space="preserve"> </w:t>
      </w:r>
      <w:r w:rsidR="0087437F" w:rsidRPr="001E79CA">
        <w:rPr>
          <w:sz w:val="22"/>
          <w:lang w:val="pl-PL"/>
        </w:rPr>
        <w:t>Thrombotic Thrombocytopenic Purpura</w:t>
      </w:r>
      <w:r w:rsidR="00186446">
        <w:rPr>
          <w:sz w:val="22"/>
          <w:lang w:val="pl-PL"/>
        </w:rPr>
        <w:t>)</w:t>
      </w:r>
      <w:r>
        <w:rPr>
          <w:sz w:val="22"/>
          <w:lang w:val="pl-PL"/>
        </w:rPr>
        <w:t xml:space="preserve">, </w:t>
      </w:r>
      <w:r w:rsidR="00186446">
        <w:rPr>
          <w:sz w:val="22"/>
          <w:lang w:val="pl-PL"/>
        </w:rPr>
        <w:t xml:space="preserve">objawiającego się </w:t>
      </w:r>
      <w:r>
        <w:rPr>
          <w:sz w:val="22"/>
          <w:lang w:val="pl-PL"/>
        </w:rPr>
        <w:t>gorączk</w:t>
      </w:r>
      <w:r w:rsidR="00186446">
        <w:rPr>
          <w:sz w:val="22"/>
          <w:lang w:val="pl-PL"/>
        </w:rPr>
        <w:t>ą</w:t>
      </w:r>
      <w:r>
        <w:rPr>
          <w:sz w:val="22"/>
          <w:lang w:val="pl-PL"/>
        </w:rPr>
        <w:t xml:space="preserve"> i </w:t>
      </w:r>
      <w:r w:rsidR="00186446">
        <w:rPr>
          <w:sz w:val="22"/>
          <w:lang w:val="pl-PL"/>
        </w:rPr>
        <w:t>podskórnymi wybroczynami krwawymi</w:t>
      </w:r>
      <w:r>
        <w:rPr>
          <w:sz w:val="22"/>
          <w:lang w:val="pl-PL"/>
        </w:rPr>
        <w:t xml:space="preserve">, </w:t>
      </w:r>
      <w:r w:rsidR="00186446">
        <w:rPr>
          <w:sz w:val="22"/>
          <w:lang w:val="pl-PL"/>
        </w:rPr>
        <w:t xml:space="preserve">o wyglądzie czerwonych, </w:t>
      </w:r>
      <w:r>
        <w:rPr>
          <w:sz w:val="22"/>
          <w:lang w:val="pl-PL"/>
        </w:rPr>
        <w:t>punktowych plamek występujących z lub bez nie dającego się wyjaśnić uczucia skrajnego zmęczenia, stanem dezorientacji, zażółceniem skóry lub oczu (żółtaczka) (patrz</w:t>
      </w:r>
      <w:r w:rsidR="001247FD">
        <w:rPr>
          <w:sz w:val="22"/>
          <w:lang w:val="pl-PL"/>
        </w:rPr>
        <w:t> </w:t>
      </w:r>
      <w:r w:rsidR="00133505">
        <w:rPr>
          <w:sz w:val="22"/>
          <w:lang w:val="pl-PL"/>
        </w:rPr>
        <w:t>punkt</w:t>
      </w:r>
      <w:r w:rsidR="001247FD">
        <w:rPr>
          <w:sz w:val="22"/>
          <w:lang w:val="pl-PL"/>
        </w:rPr>
        <w:t> </w:t>
      </w:r>
      <w:r w:rsidR="00133505">
        <w:rPr>
          <w:sz w:val="22"/>
          <w:lang w:val="pl-PL"/>
        </w:rPr>
        <w:t>4</w:t>
      </w:r>
      <w:r w:rsidR="001247FD">
        <w:rPr>
          <w:sz w:val="22"/>
          <w:lang w:val="pl-PL"/>
        </w:rPr>
        <w:t> </w:t>
      </w:r>
      <w:r w:rsidR="000D1FB2">
        <w:rPr>
          <w:sz w:val="22"/>
          <w:lang w:val="pl-PL"/>
        </w:rPr>
        <w:t>„</w:t>
      </w:r>
      <w:r w:rsidR="00074398">
        <w:rPr>
          <w:sz w:val="22"/>
          <w:lang w:val="pl-PL"/>
        </w:rPr>
        <w:t>Możliwe działania niepożądane</w:t>
      </w:r>
      <w:r w:rsidR="000D1FB2">
        <w:rPr>
          <w:sz w:val="22"/>
          <w:lang w:val="pl-PL"/>
        </w:rPr>
        <w:t>”</w:t>
      </w:r>
      <w:r>
        <w:rPr>
          <w:sz w:val="22"/>
          <w:lang w:val="pl-PL"/>
        </w:rPr>
        <w:t>).</w:t>
      </w:r>
    </w:p>
    <w:p w:rsidR="00400B5F" w:rsidRDefault="00400B5F" w:rsidP="00400B5F">
      <w:pPr>
        <w:numPr>
          <w:ilvl w:val="0"/>
          <w:numId w:val="20"/>
        </w:numPr>
        <w:rPr>
          <w:sz w:val="22"/>
          <w:lang w:val="pl-PL"/>
        </w:rPr>
      </w:pPr>
      <w:r>
        <w:rPr>
          <w:sz w:val="22"/>
          <w:lang w:val="pl-PL"/>
        </w:rPr>
        <w:t>W przypadku skaleczenia lub zranienia, czas jaki upłynie zanim krwawienie ustanie, może być nieco dłuższy niż zwykle. Jest to związane ze sposobem działania leku</w:t>
      </w:r>
      <w:r w:rsidR="00183B0F">
        <w:rPr>
          <w:sz w:val="22"/>
          <w:lang w:val="pl-PL"/>
        </w:rPr>
        <w:t>, ponieważ zapobiega powstawaniu zakrzepów krwi</w:t>
      </w:r>
      <w:r>
        <w:rPr>
          <w:sz w:val="22"/>
          <w:lang w:val="pl-PL"/>
        </w:rPr>
        <w:t xml:space="preserve">. Nie sprawia to </w:t>
      </w:r>
      <w:r w:rsidR="007B49F0">
        <w:rPr>
          <w:sz w:val="22"/>
          <w:lang w:val="pl-PL"/>
        </w:rPr>
        <w:t xml:space="preserve">zwykle </w:t>
      </w:r>
      <w:r>
        <w:rPr>
          <w:sz w:val="22"/>
          <w:lang w:val="pl-PL"/>
        </w:rPr>
        <w:t>kłopotów przy niewielkich skaleczeniach i zranieniach np. skaleczenia w czasie golenia. Tym nie</w:t>
      </w:r>
      <w:r w:rsidR="008C44A7">
        <w:rPr>
          <w:sz w:val="22"/>
          <w:lang w:val="pl-PL"/>
        </w:rPr>
        <w:t>mniej, w przypadku wystąpienia krwawienia</w:t>
      </w:r>
      <w:r w:rsidR="001247FD">
        <w:rPr>
          <w:sz w:val="22"/>
          <w:lang w:val="pl-PL"/>
        </w:rPr>
        <w:t>,</w:t>
      </w:r>
      <w:r>
        <w:rPr>
          <w:sz w:val="22"/>
          <w:lang w:val="pl-PL"/>
        </w:rPr>
        <w:t xml:space="preserve"> należy niezwłocznie skontaktować się z lekarzem prowadzącym (patrz</w:t>
      </w:r>
      <w:r w:rsidR="001247FD">
        <w:rPr>
          <w:sz w:val="22"/>
          <w:lang w:val="pl-PL"/>
        </w:rPr>
        <w:t> </w:t>
      </w:r>
      <w:r w:rsidR="00133505">
        <w:rPr>
          <w:sz w:val="22"/>
          <w:lang w:val="pl-PL"/>
        </w:rPr>
        <w:t>punkt</w:t>
      </w:r>
      <w:r w:rsidR="001247FD">
        <w:rPr>
          <w:sz w:val="22"/>
          <w:lang w:val="pl-PL"/>
        </w:rPr>
        <w:t> </w:t>
      </w:r>
      <w:r w:rsidR="00133505">
        <w:rPr>
          <w:sz w:val="22"/>
          <w:lang w:val="pl-PL"/>
        </w:rPr>
        <w:t>4</w:t>
      </w:r>
      <w:r w:rsidR="001247FD">
        <w:rPr>
          <w:sz w:val="22"/>
          <w:lang w:val="pl-PL"/>
        </w:rPr>
        <w:t> </w:t>
      </w:r>
      <w:r w:rsidR="000D1FB2">
        <w:rPr>
          <w:sz w:val="22"/>
          <w:lang w:val="pl-PL"/>
        </w:rPr>
        <w:t>„</w:t>
      </w:r>
      <w:r w:rsidR="00074398">
        <w:rPr>
          <w:sz w:val="22"/>
          <w:lang w:val="pl-PL"/>
        </w:rPr>
        <w:t>Możliwe działania niepożądane</w:t>
      </w:r>
      <w:r w:rsidR="000D1FB2">
        <w:rPr>
          <w:sz w:val="22"/>
          <w:lang w:val="pl-PL"/>
        </w:rPr>
        <w:t>”</w:t>
      </w:r>
      <w:r>
        <w:rPr>
          <w:sz w:val="22"/>
          <w:lang w:val="pl-PL"/>
        </w:rPr>
        <w:t>).</w:t>
      </w:r>
    </w:p>
    <w:p w:rsidR="00400B5F" w:rsidRDefault="00400B5F" w:rsidP="00400B5F">
      <w:pPr>
        <w:numPr>
          <w:ilvl w:val="0"/>
          <w:numId w:val="20"/>
        </w:numPr>
        <w:rPr>
          <w:sz w:val="22"/>
          <w:lang w:val="pl-PL"/>
        </w:rPr>
      </w:pPr>
      <w:r>
        <w:rPr>
          <w:sz w:val="22"/>
          <w:lang w:val="pl-PL"/>
        </w:rPr>
        <w:t>Lekarz prowadzący może zlecić przeprowadzenie badań krwi.</w:t>
      </w:r>
    </w:p>
    <w:p w:rsidR="00BC4936" w:rsidRDefault="00BC4936" w:rsidP="000A5FF8">
      <w:pPr>
        <w:rPr>
          <w:sz w:val="22"/>
          <w:lang w:val="pl-PL"/>
        </w:rPr>
      </w:pPr>
    </w:p>
    <w:p w:rsidR="00074398" w:rsidRPr="00074398" w:rsidRDefault="00074398" w:rsidP="000A5FF8">
      <w:pPr>
        <w:rPr>
          <w:b/>
          <w:sz w:val="22"/>
          <w:lang w:val="pl-PL"/>
        </w:rPr>
      </w:pPr>
      <w:r w:rsidRPr="00074398">
        <w:rPr>
          <w:b/>
          <w:sz w:val="22"/>
          <w:lang w:val="pl-PL"/>
        </w:rPr>
        <w:t>Dzieci i młodzież</w:t>
      </w:r>
    </w:p>
    <w:p w:rsidR="00074398" w:rsidRPr="00074398" w:rsidRDefault="00074398">
      <w:pPr>
        <w:rPr>
          <w:sz w:val="22"/>
          <w:lang w:val="pl-PL"/>
        </w:rPr>
      </w:pPr>
      <w:r w:rsidRPr="00074398">
        <w:rPr>
          <w:sz w:val="22"/>
          <w:lang w:val="pl-PL"/>
        </w:rPr>
        <w:t xml:space="preserve">Nie </w:t>
      </w:r>
      <w:r w:rsidR="00170BA6">
        <w:rPr>
          <w:sz w:val="22"/>
          <w:lang w:val="pl-PL"/>
        </w:rPr>
        <w:t xml:space="preserve">należy </w:t>
      </w:r>
      <w:r w:rsidR="00D32572">
        <w:rPr>
          <w:sz w:val="22"/>
          <w:lang w:val="pl-PL"/>
        </w:rPr>
        <w:t>stosować</w:t>
      </w:r>
      <w:r w:rsidR="00170BA6">
        <w:rPr>
          <w:sz w:val="22"/>
          <w:lang w:val="pl-PL"/>
        </w:rPr>
        <w:t xml:space="preserve"> tego leku</w:t>
      </w:r>
      <w:r w:rsidRPr="00074398">
        <w:rPr>
          <w:sz w:val="22"/>
          <w:lang w:val="pl-PL"/>
        </w:rPr>
        <w:t xml:space="preserve"> </w:t>
      </w:r>
      <w:r w:rsidR="00D32572">
        <w:rPr>
          <w:sz w:val="22"/>
          <w:lang w:val="pl-PL"/>
        </w:rPr>
        <w:t>u</w:t>
      </w:r>
      <w:r w:rsidRPr="00074398">
        <w:rPr>
          <w:sz w:val="22"/>
          <w:lang w:val="pl-PL"/>
        </w:rPr>
        <w:t xml:space="preserve"> dzieci</w:t>
      </w:r>
      <w:r w:rsidR="00170BA6">
        <w:rPr>
          <w:sz w:val="22"/>
          <w:lang w:val="pl-PL"/>
        </w:rPr>
        <w:t>, ponieważ</w:t>
      </w:r>
      <w:r w:rsidR="007177F4">
        <w:rPr>
          <w:sz w:val="22"/>
          <w:lang w:val="pl-PL"/>
        </w:rPr>
        <w:t xml:space="preserve"> nie wykazuje on działania leczniczego w tej grupie pacjentów.</w:t>
      </w:r>
    </w:p>
    <w:p w:rsidR="00074398" w:rsidRPr="00074398" w:rsidRDefault="00074398">
      <w:pPr>
        <w:rPr>
          <w:sz w:val="22"/>
          <w:lang w:val="pl-PL"/>
        </w:rPr>
      </w:pPr>
    </w:p>
    <w:p w:rsidR="00BC4936" w:rsidRDefault="00C56829">
      <w:pPr>
        <w:rPr>
          <w:b/>
          <w:sz w:val="22"/>
          <w:lang w:val="pl-PL"/>
        </w:rPr>
      </w:pPr>
      <w:r>
        <w:rPr>
          <w:b/>
          <w:sz w:val="22"/>
          <w:lang w:val="pl-PL"/>
        </w:rPr>
        <w:t>Lek Plavix a i</w:t>
      </w:r>
      <w:r w:rsidR="00BC4936">
        <w:rPr>
          <w:b/>
          <w:sz w:val="22"/>
          <w:lang w:val="pl-PL"/>
        </w:rPr>
        <w:t>nn</w:t>
      </w:r>
      <w:r w:rsidR="00074398">
        <w:rPr>
          <w:b/>
          <w:sz w:val="22"/>
          <w:lang w:val="pl-PL"/>
        </w:rPr>
        <w:t xml:space="preserve">e </w:t>
      </w:r>
      <w:r w:rsidR="00BC4936">
        <w:rPr>
          <w:b/>
          <w:sz w:val="22"/>
          <w:lang w:val="pl-PL"/>
        </w:rPr>
        <w:t>lek</w:t>
      </w:r>
      <w:r w:rsidR="00074398">
        <w:rPr>
          <w:b/>
          <w:sz w:val="22"/>
          <w:lang w:val="pl-PL"/>
        </w:rPr>
        <w:t>i</w:t>
      </w:r>
    </w:p>
    <w:p w:rsidR="000A7440" w:rsidRDefault="00BC4936">
      <w:pPr>
        <w:rPr>
          <w:sz w:val="22"/>
          <w:lang w:val="pl-PL"/>
        </w:rPr>
      </w:pPr>
      <w:r>
        <w:rPr>
          <w:sz w:val="22"/>
          <w:lang w:val="pl-PL"/>
        </w:rPr>
        <w:t>Należy po</w:t>
      </w:r>
      <w:r w:rsidR="00054FCF">
        <w:rPr>
          <w:sz w:val="22"/>
          <w:lang w:val="pl-PL"/>
        </w:rPr>
        <w:t xml:space="preserve">wiedzieć </w:t>
      </w:r>
      <w:r>
        <w:rPr>
          <w:sz w:val="22"/>
          <w:lang w:val="pl-PL"/>
        </w:rPr>
        <w:t>lekarz</w:t>
      </w:r>
      <w:r w:rsidR="00054FCF">
        <w:rPr>
          <w:sz w:val="22"/>
          <w:lang w:val="pl-PL"/>
        </w:rPr>
        <w:t>owi</w:t>
      </w:r>
      <w:r>
        <w:rPr>
          <w:sz w:val="22"/>
          <w:lang w:val="pl-PL"/>
        </w:rPr>
        <w:t xml:space="preserve"> </w:t>
      </w:r>
      <w:r w:rsidR="00B867CD">
        <w:rPr>
          <w:sz w:val="22"/>
          <w:lang w:val="pl-PL"/>
        </w:rPr>
        <w:t xml:space="preserve">lub farmaceucie </w:t>
      </w:r>
      <w:r>
        <w:rPr>
          <w:sz w:val="22"/>
          <w:lang w:val="pl-PL"/>
        </w:rPr>
        <w:t>o</w:t>
      </w:r>
      <w:r w:rsidR="00054FCF">
        <w:rPr>
          <w:sz w:val="22"/>
          <w:lang w:val="pl-PL"/>
        </w:rPr>
        <w:t xml:space="preserve"> wszystkich </w:t>
      </w:r>
      <w:r w:rsidR="00C56829">
        <w:rPr>
          <w:sz w:val="22"/>
          <w:lang w:val="pl-PL"/>
        </w:rPr>
        <w:t xml:space="preserve">lekach </w:t>
      </w:r>
      <w:r w:rsidR="00054FCF">
        <w:rPr>
          <w:sz w:val="22"/>
          <w:lang w:val="pl-PL"/>
        </w:rPr>
        <w:t xml:space="preserve">przyjmowanych </w:t>
      </w:r>
      <w:r w:rsidR="00C56829">
        <w:rPr>
          <w:sz w:val="22"/>
          <w:lang w:val="pl-PL"/>
        </w:rPr>
        <w:t xml:space="preserve">przez pacjenta </w:t>
      </w:r>
      <w:r w:rsidR="00B867CD">
        <w:rPr>
          <w:sz w:val="22"/>
          <w:lang w:val="pl-PL"/>
        </w:rPr>
        <w:t>obecnie</w:t>
      </w:r>
      <w:r w:rsidR="0087437F">
        <w:rPr>
          <w:sz w:val="22"/>
          <w:lang w:val="pl-PL"/>
        </w:rPr>
        <w:t xml:space="preserve"> lub </w:t>
      </w:r>
      <w:r>
        <w:rPr>
          <w:sz w:val="22"/>
          <w:lang w:val="pl-PL"/>
        </w:rPr>
        <w:t xml:space="preserve">ostatnio, </w:t>
      </w:r>
      <w:r w:rsidR="00074398">
        <w:rPr>
          <w:sz w:val="22"/>
          <w:lang w:val="pl-PL"/>
        </w:rPr>
        <w:t>a także o lekach, które pacjent planuje</w:t>
      </w:r>
      <w:r w:rsidR="00C56829">
        <w:rPr>
          <w:sz w:val="22"/>
          <w:lang w:val="pl-PL"/>
        </w:rPr>
        <w:t xml:space="preserve"> przyjmować</w:t>
      </w:r>
      <w:r w:rsidR="00642F0A">
        <w:rPr>
          <w:sz w:val="22"/>
          <w:lang w:val="pl-PL"/>
        </w:rPr>
        <w:t xml:space="preserve">, </w:t>
      </w:r>
      <w:r w:rsidR="00C56829">
        <w:rPr>
          <w:sz w:val="22"/>
          <w:lang w:val="pl-PL"/>
        </w:rPr>
        <w:t xml:space="preserve">również tych, które </w:t>
      </w:r>
      <w:r>
        <w:rPr>
          <w:sz w:val="22"/>
          <w:lang w:val="pl-PL"/>
        </w:rPr>
        <w:t>wydawan</w:t>
      </w:r>
      <w:r w:rsidR="00C56829">
        <w:rPr>
          <w:sz w:val="22"/>
          <w:lang w:val="pl-PL"/>
        </w:rPr>
        <w:t>e są</w:t>
      </w:r>
      <w:r w:rsidR="00054FCF">
        <w:rPr>
          <w:sz w:val="22"/>
          <w:lang w:val="pl-PL"/>
        </w:rPr>
        <w:t xml:space="preserve"> bez</w:t>
      </w:r>
      <w:r>
        <w:rPr>
          <w:sz w:val="22"/>
          <w:lang w:val="pl-PL"/>
        </w:rPr>
        <w:t xml:space="preserve"> recepty.</w:t>
      </w:r>
    </w:p>
    <w:p w:rsidR="00BC4936" w:rsidRDefault="00186446">
      <w:pPr>
        <w:rPr>
          <w:sz w:val="22"/>
          <w:lang w:val="pl-PL"/>
        </w:rPr>
      </w:pPr>
      <w:r>
        <w:rPr>
          <w:sz w:val="22"/>
          <w:lang w:val="pl-PL"/>
        </w:rPr>
        <w:t xml:space="preserve">Niektóre </w:t>
      </w:r>
      <w:r w:rsidR="00253017">
        <w:rPr>
          <w:sz w:val="22"/>
          <w:lang w:val="pl-PL"/>
        </w:rPr>
        <w:t xml:space="preserve">inne </w:t>
      </w:r>
      <w:r>
        <w:rPr>
          <w:sz w:val="22"/>
          <w:lang w:val="pl-PL"/>
        </w:rPr>
        <w:t xml:space="preserve">leki mogą wpływać na działanie </w:t>
      </w:r>
      <w:r w:rsidR="00253017">
        <w:rPr>
          <w:sz w:val="22"/>
          <w:lang w:val="pl-PL"/>
        </w:rPr>
        <w:t>leku</w:t>
      </w:r>
      <w:r>
        <w:rPr>
          <w:sz w:val="22"/>
          <w:lang w:val="pl-PL"/>
        </w:rPr>
        <w:t xml:space="preserve"> Plavix i odwrotnie.</w:t>
      </w:r>
    </w:p>
    <w:p w:rsidR="00BC4936" w:rsidRDefault="00BC4936">
      <w:pPr>
        <w:rPr>
          <w:sz w:val="22"/>
          <w:lang w:val="pl-PL"/>
        </w:rPr>
      </w:pPr>
    </w:p>
    <w:p w:rsidR="00253017" w:rsidRDefault="00253017">
      <w:pPr>
        <w:rPr>
          <w:sz w:val="22"/>
          <w:lang w:val="pl-PL"/>
        </w:rPr>
      </w:pPr>
      <w:r>
        <w:rPr>
          <w:sz w:val="22"/>
          <w:lang w:val="pl-PL"/>
        </w:rPr>
        <w:t>W szczególności należy poinformować lekarza</w:t>
      </w:r>
      <w:r w:rsidR="00C56829">
        <w:rPr>
          <w:sz w:val="22"/>
          <w:lang w:val="pl-PL"/>
        </w:rPr>
        <w:t>, jeśli pacjent przyjmuje:</w:t>
      </w:r>
    </w:p>
    <w:p w:rsidR="0098661B" w:rsidRDefault="00253017" w:rsidP="00396B31">
      <w:pPr>
        <w:tabs>
          <w:tab w:val="left" w:pos="567"/>
          <w:tab w:val="left" w:pos="709"/>
        </w:tabs>
        <w:ind w:left="567" w:hanging="567"/>
        <w:rPr>
          <w:sz w:val="22"/>
          <w:lang w:val="pl-PL"/>
        </w:rPr>
      </w:pPr>
      <w:r>
        <w:rPr>
          <w:sz w:val="22"/>
          <w:lang w:val="pl-PL"/>
        </w:rPr>
        <w:t>-</w:t>
      </w:r>
      <w:r w:rsidR="00A935A5">
        <w:rPr>
          <w:sz w:val="22"/>
          <w:lang w:val="pl-PL"/>
        </w:rPr>
        <w:tab/>
      </w:r>
      <w:r w:rsidR="0098661B">
        <w:rPr>
          <w:sz w:val="22"/>
          <w:lang w:val="pl-PL"/>
        </w:rPr>
        <w:t>leki mogące zwiększać ryzyko krwawienia, takie jak:</w:t>
      </w:r>
    </w:p>
    <w:p w:rsidR="00253017" w:rsidRDefault="00A935A5" w:rsidP="001E79CA">
      <w:pPr>
        <w:numPr>
          <w:ilvl w:val="0"/>
          <w:numId w:val="61"/>
        </w:numPr>
        <w:tabs>
          <w:tab w:val="left" w:pos="567"/>
          <w:tab w:val="left" w:pos="851"/>
        </w:tabs>
        <w:ind w:left="851" w:hanging="284"/>
        <w:rPr>
          <w:sz w:val="22"/>
          <w:lang w:val="pl-PL"/>
        </w:rPr>
      </w:pPr>
      <w:r>
        <w:rPr>
          <w:sz w:val="22"/>
          <w:lang w:val="pl-PL"/>
        </w:rPr>
        <w:t>d</w:t>
      </w:r>
      <w:r w:rsidR="00253017">
        <w:rPr>
          <w:sz w:val="22"/>
          <w:lang w:val="pl-PL"/>
        </w:rPr>
        <w:t>oust</w:t>
      </w:r>
      <w:r>
        <w:rPr>
          <w:sz w:val="22"/>
          <w:lang w:val="pl-PL"/>
        </w:rPr>
        <w:t>ne leki przeciwzakrzepowe, leki</w:t>
      </w:r>
      <w:r w:rsidR="00253017">
        <w:rPr>
          <w:sz w:val="22"/>
          <w:lang w:val="pl-PL"/>
        </w:rPr>
        <w:t xml:space="preserve"> stosowane w celu hamowania procesu krzepnięcia</w:t>
      </w:r>
      <w:r w:rsidR="000D1FB2">
        <w:rPr>
          <w:sz w:val="22"/>
          <w:lang w:val="pl-PL"/>
        </w:rPr>
        <w:t xml:space="preserve"> </w:t>
      </w:r>
      <w:r w:rsidR="00253017">
        <w:rPr>
          <w:sz w:val="22"/>
          <w:lang w:val="pl-PL"/>
        </w:rPr>
        <w:t>krwi,</w:t>
      </w:r>
    </w:p>
    <w:p w:rsidR="00A935A5" w:rsidRDefault="00BC4936" w:rsidP="001E79CA">
      <w:pPr>
        <w:numPr>
          <w:ilvl w:val="0"/>
          <w:numId w:val="61"/>
        </w:numPr>
        <w:tabs>
          <w:tab w:val="left" w:pos="567"/>
          <w:tab w:val="left" w:pos="851"/>
        </w:tabs>
        <w:ind w:left="851" w:hanging="284"/>
        <w:rPr>
          <w:sz w:val="22"/>
          <w:lang w:val="pl-PL"/>
        </w:rPr>
      </w:pPr>
      <w:r>
        <w:rPr>
          <w:sz w:val="22"/>
          <w:lang w:val="pl-PL"/>
        </w:rPr>
        <w:t>niesteroidow</w:t>
      </w:r>
      <w:r w:rsidR="00253017">
        <w:rPr>
          <w:sz w:val="22"/>
          <w:lang w:val="pl-PL"/>
        </w:rPr>
        <w:t>e</w:t>
      </w:r>
      <w:r>
        <w:rPr>
          <w:sz w:val="22"/>
          <w:lang w:val="pl-PL"/>
        </w:rPr>
        <w:t xml:space="preserve"> lek</w:t>
      </w:r>
      <w:r w:rsidR="00253017">
        <w:rPr>
          <w:sz w:val="22"/>
          <w:lang w:val="pl-PL"/>
        </w:rPr>
        <w:t>i</w:t>
      </w:r>
      <w:r>
        <w:rPr>
          <w:sz w:val="22"/>
          <w:lang w:val="pl-PL"/>
        </w:rPr>
        <w:t xml:space="preserve"> przeciwzapaln</w:t>
      </w:r>
      <w:r w:rsidR="00253017">
        <w:rPr>
          <w:sz w:val="22"/>
          <w:lang w:val="pl-PL"/>
        </w:rPr>
        <w:t>e</w:t>
      </w:r>
      <w:r>
        <w:rPr>
          <w:sz w:val="22"/>
          <w:lang w:val="pl-PL"/>
        </w:rPr>
        <w:t>, zwykle stosowan</w:t>
      </w:r>
      <w:r w:rsidR="00253017">
        <w:rPr>
          <w:sz w:val="22"/>
          <w:lang w:val="pl-PL"/>
        </w:rPr>
        <w:t>e</w:t>
      </w:r>
      <w:r>
        <w:rPr>
          <w:sz w:val="22"/>
          <w:lang w:val="pl-PL"/>
        </w:rPr>
        <w:t xml:space="preserve"> do leczenia stanów bólowych i (lub) </w:t>
      </w:r>
      <w:r w:rsidR="00253017">
        <w:rPr>
          <w:sz w:val="22"/>
          <w:lang w:val="pl-PL"/>
        </w:rPr>
        <w:t xml:space="preserve">stanów </w:t>
      </w:r>
      <w:r>
        <w:rPr>
          <w:sz w:val="22"/>
          <w:lang w:val="pl-PL"/>
        </w:rPr>
        <w:t xml:space="preserve">zapalnych mięśni lub stawów, </w:t>
      </w:r>
    </w:p>
    <w:p w:rsidR="00253017" w:rsidRDefault="00BC4936" w:rsidP="001E79CA">
      <w:pPr>
        <w:numPr>
          <w:ilvl w:val="0"/>
          <w:numId w:val="61"/>
        </w:numPr>
        <w:tabs>
          <w:tab w:val="left" w:pos="567"/>
          <w:tab w:val="left" w:pos="851"/>
        </w:tabs>
        <w:ind w:left="851" w:hanging="284"/>
        <w:rPr>
          <w:sz w:val="22"/>
          <w:lang w:val="pl-PL"/>
        </w:rPr>
      </w:pPr>
      <w:r>
        <w:rPr>
          <w:sz w:val="22"/>
          <w:lang w:val="pl-PL"/>
        </w:rPr>
        <w:t>heparyn</w:t>
      </w:r>
      <w:r w:rsidR="00C56829">
        <w:rPr>
          <w:sz w:val="22"/>
          <w:lang w:val="pl-PL"/>
        </w:rPr>
        <w:t>ę</w:t>
      </w:r>
      <w:r>
        <w:rPr>
          <w:sz w:val="22"/>
          <w:lang w:val="pl-PL"/>
        </w:rPr>
        <w:t xml:space="preserve"> </w:t>
      </w:r>
      <w:r w:rsidR="00B52566">
        <w:rPr>
          <w:sz w:val="22"/>
          <w:lang w:val="pl-PL"/>
        </w:rPr>
        <w:t>lub inn</w:t>
      </w:r>
      <w:r w:rsidR="00FA16E3">
        <w:rPr>
          <w:sz w:val="22"/>
          <w:lang w:val="pl-PL"/>
        </w:rPr>
        <w:t>e</w:t>
      </w:r>
      <w:r>
        <w:rPr>
          <w:sz w:val="22"/>
          <w:lang w:val="pl-PL"/>
        </w:rPr>
        <w:t xml:space="preserve"> lek</w:t>
      </w:r>
      <w:r w:rsidR="00FA16E3">
        <w:rPr>
          <w:sz w:val="22"/>
          <w:lang w:val="pl-PL"/>
        </w:rPr>
        <w:t>i podawane we wstrzyknięciach</w:t>
      </w:r>
      <w:r>
        <w:rPr>
          <w:sz w:val="22"/>
          <w:lang w:val="pl-PL"/>
        </w:rPr>
        <w:t xml:space="preserve"> stosowan</w:t>
      </w:r>
      <w:r w:rsidR="00FA16E3">
        <w:rPr>
          <w:sz w:val="22"/>
          <w:lang w:val="pl-PL"/>
        </w:rPr>
        <w:t>e</w:t>
      </w:r>
      <w:r>
        <w:rPr>
          <w:sz w:val="22"/>
          <w:lang w:val="pl-PL"/>
        </w:rPr>
        <w:t xml:space="preserve"> w celu</w:t>
      </w:r>
      <w:r w:rsidR="000D1FB2">
        <w:rPr>
          <w:sz w:val="22"/>
          <w:lang w:val="pl-PL"/>
        </w:rPr>
        <w:t xml:space="preserve"> </w:t>
      </w:r>
      <w:r>
        <w:rPr>
          <w:sz w:val="22"/>
          <w:lang w:val="pl-PL"/>
        </w:rPr>
        <w:t>zmniejszenia krzepliwości krwi</w:t>
      </w:r>
      <w:r w:rsidR="00CD473A">
        <w:rPr>
          <w:sz w:val="22"/>
          <w:lang w:val="pl-PL"/>
        </w:rPr>
        <w:t>,</w:t>
      </w:r>
    </w:p>
    <w:p w:rsidR="0098661B" w:rsidRPr="00BD6C12" w:rsidRDefault="0098661B" w:rsidP="001E79CA">
      <w:pPr>
        <w:pStyle w:val="ListBullet2"/>
        <w:numPr>
          <w:ilvl w:val="0"/>
          <w:numId w:val="61"/>
        </w:numPr>
        <w:tabs>
          <w:tab w:val="left" w:pos="851"/>
        </w:tabs>
        <w:ind w:left="851" w:hanging="284"/>
        <w:rPr>
          <w:lang w:val="pl-PL"/>
        </w:rPr>
      </w:pPr>
      <w:r w:rsidRPr="00BD6C12">
        <w:rPr>
          <w:lang w:val="pl-PL"/>
        </w:rPr>
        <w:t>tyklopidynę i inne leki przeciwpłytkowe,</w:t>
      </w:r>
    </w:p>
    <w:p w:rsidR="0098661B" w:rsidRDefault="0098661B" w:rsidP="001E79CA">
      <w:pPr>
        <w:pStyle w:val="ListBullet2"/>
        <w:numPr>
          <w:ilvl w:val="0"/>
          <w:numId w:val="61"/>
        </w:numPr>
        <w:tabs>
          <w:tab w:val="left" w:pos="851"/>
        </w:tabs>
        <w:ind w:left="851" w:hanging="284"/>
        <w:rPr>
          <w:lang w:val="pl-PL"/>
        </w:rPr>
      </w:pPr>
      <w:r w:rsidRPr="001E79CA">
        <w:rPr>
          <w:lang w:val="pl-PL"/>
        </w:rPr>
        <w:t xml:space="preserve">selektywne inhibitory wychwytu zwrotnego serotoniny (w tym, lecz nie tylko, fluoksetyna </w:t>
      </w:r>
      <w:r w:rsidR="00722ACB" w:rsidRPr="001E79CA">
        <w:rPr>
          <w:lang w:val="pl-PL"/>
        </w:rPr>
        <w:t>lub</w:t>
      </w:r>
      <w:r w:rsidRPr="001E79CA">
        <w:rPr>
          <w:lang w:val="pl-PL"/>
        </w:rPr>
        <w:t> fluwoksamina), leki stosowane zwykle w leczeniu depresji,</w:t>
      </w:r>
    </w:p>
    <w:p w:rsidR="00511FAC" w:rsidRPr="001E79CA" w:rsidRDefault="00511FAC" w:rsidP="001E79CA">
      <w:pPr>
        <w:pStyle w:val="ListBullet2"/>
        <w:numPr>
          <w:ilvl w:val="0"/>
          <w:numId w:val="61"/>
        </w:numPr>
        <w:tabs>
          <w:tab w:val="left" w:pos="851"/>
        </w:tabs>
        <w:ind w:left="851" w:hanging="284"/>
        <w:rPr>
          <w:lang w:val="pl-PL"/>
        </w:rPr>
      </w:pPr>
      <w:r>
        <w:rPr>
          <w:lang w:val="pl-PL"/>
        </w:rPr>
        <w:t>r</w:t>
      </w:r>
      <w:r w:rsidR="0076493D">
        <w:rPr>
          <w:lang w:val="pl-PL"/>
        </w:rPr>
        <w:t>y</w:t>
      </w:r>
      <w:r>
        <w:rPr>
          <w:lang w:val="pl-PL"/>
        </w:rPr>
        <w:t>fampicyna (</w:t>
      </w:r>
      <w:r w:rsidR="007C5608">
        <w:rPr>
          <w:lang w:val="pl-PL"/>
        </w:rPr>
        <w:t>stosowana w leczeniu ciężkich zakażeń)</w:t>
      </w:r>
    </w:p>
    <w:p w:rsidR="00BC4936" w:rsidRDefault="00253017" w:rsidP="00396B31">
      <w:pPr>
        <w:tabs>
          <w:tab w:val="left" w:pos="567"/>
        </w:tabs>
        <w:ind w:left="567" w:hanging="567"/>
        <w:rPr>
          <w:sz w:val="22"/>
          <w:lang w:val="pl-PL"/>
        </w:rPr>
      </w:pPr>
      <w:r>
        <w:rPr>
          <w:sz w:val="22"/>
          <w:lang w:val="pl-PL"/>
        </w:rPr>
        <w:t>-</w:t>
      </w:r>
      <w:r w:rsidR="00A935A5">
        <w:rPr>
          <w:sz w:val="22"/>
          <w:lang w:val="pl-PL"/>
        </w:rPr>
        <w:tab/>
      </w:r>
      <w:r w:rsidR="00133505">
        <w:rPr>
          <w:sz w:val="22"/>
          <w:lang w:val="pl-PL"/>
        </w:rPr>
        <w:t>omeprazol</w:t>
      </w:r>
      <w:r w:rsidR="006E34AE">
        <w:rPr>
          <w:sz w:val="22"/>
          <w:lang w:val="pl-PL"/>
        </w:rPr>
        <w:t xml:space="preserve"> lub</w:t>
      </w:r>
      <w:r>
        <w:rPr>
          <w:sz w:val="22"/>
          <w:lang w:val="pl-PL"/>
        </w:rPr>
        <w:t xml:space="preserve"> </w:t>
      </w:r>
      <w:r w:rsidR="008C6EFC">
        <w:rPr>
          <w:sz w:val="22"/>
          <w:lang w:val="pl-PL"/>
        </w:rPr>
        <w:t>e</w:t>
      </w:r>
      <w:r w:rsidR="00233816">
        <w:rPr>
          <w:sz w:val="22"/>
          <w:lang w:val="pl-PL"/>
        </w:rPr>
        <w:t>z</w:t>
      </w:r>
      <w:r w:rsidR="008C6EFC">
        <w:rPr>
          <w:sz w:val="22"/>
          <w:lang w:val="pl-PL"/>
        </w:rPr>
        <w:t xml:space="preserve">omeprazol, leki </w:t>
      </w:r>
      <w:r>
        <w:rPr>
          <w:sz w:val="22"/>
          <w:lang w:val="pl-PL"/>
        </w:rPr>
        <w:t>stosowane</w:t>
      </w:r>
      <w:r w:rsidR="000D1FB2">
        <w:rPr>
          <w:sz w:val="22"/>
          <w:lang w:val="pl-PL"/>
        </w:rPr>
        <w:t xml:space="preserve"> </w:t>
      </w:r>
      <w:r>
        <w:rPr>
          <w:sz w:val="22"/>
          <w:lang w:val="pl-PL"/>
        </w:rPr>
        <w:t>w leczeniu dolegliwości</w:t>
      </w:r>
      <w:r w:rsidR="000D1FB2">
        <w:rPr>
          <w:sz w:val="22"/>
          <w:lang w:val="pl-PL"/>
        </w:rPr>
        <w:t xml:space="preserve"> </w:t>
      </w:r>
      <w:r w:rsidR="008C6EFC">
        <w:rPr>
          <w:sz w:val="22"/>
          <w:lang w:val="pl-PL"/>
        </w:rPr>
        <w:t>żołądkowych</w:t>
      </w:r>
      <w:r w:rsidR="000D1FB2">
        <w:rPr>
          <w:sz w:val="22"/>
          <w:lang w:val="pl-PL"/>
        </w:rPr>
        <w:t>,</w:t>
      </w:r>
    </w:p>
    <w:p w:rsidR="00A935A5" w:rsidRPr="00BD6C12" w:rsidRDefault="00A935A5" w:rsidP="001E79CA">
      <w:pPr>
        <w:pStyle w:val="ListBullet2"/>
        <w:rPr>
          <w:lang w:val="pl-PL"/>
        </w:rPr>
      </w:pPr>
      <w:r w:rsidRPr="00BD6C12">
        <w:rPr>
          <w:lang w:val="pl-PL"/>
        </w:rPr>
        <w:t>flukonazol</w:t>
      </w:r>
      <w:r w:rsidR="006E34AE" w:rsidRPr="00BD6C12">
        <w:rPr>
          <w:lang w:val="pl-PL"/>
        </w:rPr>
        <w:t xml:space="preserve"> lub</w:t>
      </w:r>
      <w:r w:rsidRPr="00BD6C12">
        <w:rPr>
          <w:lang w:val="pl-PL"/>
        </w:rPr>
        <w:t xml:space="preserve"> worykonazol, leki stosowane w leczeniu</w:t>
      </w:r>
      <w:r w:rsidR="000D1FB2" w:rsidRPr="00BD6C12">
        <w:rPr>
          <w:lang w:val="pl-PL"/>
        </w:rPr>
        <w:t xml:space="preserve"> </w:t>
      </w:r>
      <w:r w:rsidRPr="00BD6C12">
        <w:rPr>
          <w:lang w:val="pl-PL"/>
        </w:rPr>
        <w:t>zakażeń grzybiczych,</w:t>
      </w:r>
    </w:p>
    <w:p w:rsidR="00396B31" w:rsidRPr="00F7287B" w:rsidRDefault="006E34AE" w:rsidP="00013D40">
      <w:pPr>
        <w:pStyle w:val="ListBullet2"/>
        <w:rPr>
          <w:lang w:val="pl-PL"/>
        </w:rPr>
      </w:pPr>
      <w:r w:rsidRPr="00F7287B">
        <w:rPr>
          <w:lang w:val="pl-PL"/>
        </w:rPr>
        <w:t>efawirenz</w:t>
      </w:r>
      <w:r w:rsidR="00013D40">
        <w:rPr>
          <w:lang w:val="pl-PL"/>
        </w:rPr>
        <w:t xml:space="preserve"> </w:t>
      </w:r>
      <w:r w:rsidR="00013D40" w:rsidRPr="00013D40">
        <w:rPr>
          <w:lang w:val="pl-PL"/>
        </w:rPr>
        <w:t>lub inne leki przeciwretrowirusowe</w:t>
      </w:r>
      <w:r w:rsidR="00013D40">
        <w:rPr>
          <w:lang w:val="pl-PL"/>
        </w:rPr>
        <w:t xml:space="preserve"> (</w:t>
      </w:r>
      <w:r w:rsidRPr="00F7287B">
        <w:rPr>
          <w:lang w:val="pl-PL"/>
        </w:rPr>
        <w:t>stosowan</w:t>
      </w:r>
      <w:r w:rsidR="00013D40">
        <w:rPr>
          <w:lang w:val="pl-PL"/>
        </w:rPr>
        <w:t>e</w:t>
      </w:r>
      <w:r w:rsidRPr="00F7287B">
        <w:rPr>
          <w:lang w:val="pl-PL"/>
        </w:rPr>
        <w:t xml:space="preserve"> w leczeniu zakażenia HIV</w:t>
      </w:r>
      <w:r w:rsidR="00013D40">
        <w:rPr>
          <w:lang w:val="pl-PL"/>
        </w:rPr>
        <w:t>),</w:t>
      </w:r>
    </w:p>
    <w:p w:rsidR="00A935A5" w:rsidRPr="00BD6C12" w:rsidRDefault="00396B31" w:rsidP="001E79CA">
      <w:pPr>
        <w:pStyle w:val="ListBullet2"/>
        <w:rPr>
          <w:lang w:val="pl-PL"/>
        </w:rPr>
      </w:pPr>
      <w:r w:rsidRPr="00BD6C12">
        <w:rPr>
          <w:lang w:val="pl-PL"/>
        </w:rPr>
        <w:t>k</w:t>
      </w:r>
      <w:r w:rsidR="00A935A5" w:rsidRPr="00BD6C12">
        <w:rPr>
          <w:lang w:val="pl-PL"/>
        </w:rPr>
        <w:t>arbamazepin</w:t>
      </w:r>
      <w:r w:rsidR="00086F85" w:rsidRPr="00BD6C12">
        <w:rPr>
          <w:lang w:val="pl-PL"/>
        </w:rPr>
        <w:t>ę</w:t>
      </w:r>
      <w:r w:rsidRPr="00BD6C12">
        <w:rPr>
          <w:lang w:val="pl-PL"/>
        </w:rPr>
        <w:t>,</w:t>
      </w:r>
      <w:r w:rsidR="00A935A5" w:rsidRPr="00BD6C12">
        <w:rPr>
          <w:lang w:val="pl-PL"/>
        </w:rPr>
        <w:t xml:space="preserve"> lek stosowan</w:t>
      </w:r>
      <w:r w:rsidRPr="00BD6C12">
        <w:rPr>
          <w:lang w:val="pl-PL"/>
        </w:rPr>
        <w:t>y</w:t>
      </w:r>
      <w:r w:rsidR="00A935A5" w:rsidRPr="00BD6C12">
        <w:rPr>
          <w:lang w:val="pl-PL"/>
        </w:rPr>
        <w:t xml:space="preserve"> w leczeniu niektórych rodzajów</w:t>
      </w:r>
      <w:r w:rsidR="000D1FB2" w:rsidRPr="00BD6C12">
        <w:rPr>
          <w:lang w:val="pl-PL"/>
        </w:rPr>
        <w:t xml:space="preserve"> </w:t>
      </w:r>
      <w:r w:rsidR="00A935A5" w:rsidRPr="00BD6C12">
        <w:rPr>
          <w:lang w:val="pl-PL"/>
        </w:rPr>
        <w:t>padaczki,</w:t>
      </w:r>
    </w:p>
    <w:p w:rsidR="0098661B" w:rsidRPr="00BD6C12" w:rsidRDefault="00A408E2" w:rsidP="001E79CA">
      <w:pPr>
        <w:pStyle w:val="ListBullet2"/>
        <w:rPr>
          <w:lang w:val="pl-PL"/>
        </w:rPr>
      </w:pPr>
      <w:r w:rsidRPr="00BD6C12">
        <w:rPr>
          <w:lang w:val="pl-PL"/>
        </w:rPr>
        <w:t>moklobemid, lek stosowany w leczeniu depresji</w:t>
      </w:r>
      <w:r w:rsidR="0098661B" w:rsidRPr="00BD6C12">
        <w:rPr>
          <w:lang w:val="pl-PL"/>
        </w:rPr>
        <w:t>,</w:t>
      </w:r>
    </w:p>
    <w:p w:rsidR="0098661B" w:rsidRPr="00BD6C12" w:rsidRDefault="0098661B" w:rsidP="001E79CA">
      <w:pPr>
        <w:pStyle w:val="ListBullet2"/>
        <w:rPr>
          <w:lang w:val="pl-PL"/>
        </w:rPr>
      </w:pPr>
      <w:r w:rsidRPr="00BD6C12">
        <w:rPr>
          <w:lang w:val="pl-PL"/>
        </w:rPr>
        <w:t>repaglinid, lek stosowany w leczeniu cukrzycy,</w:t>
      </w:r>
    </w:p>
    <w:p w:rsidR="000437A5" w:rsidRDefault="0098661B" w:rsidP="003B030F">
      <w:pPr>
        <w:pStyle w:val="ListBullet2"/>
        <w:rPr>
          <w:lang w:val="pl-PL"/>
        </w:rPr>
      </w:pPr>
      <w:r w:rsidRPr="001E79CA">
        <w:rPr>
          <w:lang w:val="pl-PL"/>
        </w:rPr>
        <w:t>paklitaksel, lek</w:t>
      </w:r>
      <w:r w:rsidRPr="003B030F">
        <w:rPr>
          <w:lang w:val="pl-PL"/>
        </w:rPr>
        <w:t xml:space="preserve"> stosowany w leczeniu </w:t>
      </w:r>
      <w:r>
        <w:rPr>
          <w:lang w:val="pl-PL"/>
        </w:rPr>
        <w:t>raka</w:t>
      </w:r>
      <w:r w:rsidR="000437A5">
        <w:rPr>
          <w:lang w:val="pl-PL"/>
        </w:rPr>
        <w:t>,</w:t>
      </w:r>
    </w:p>
    <w:p w:rsidR="000437A5" w:rsidRPr="000437A5" w:rsidRDefault="000437A5" w:rsidP="000437A5">
      <w:pPr>
        <w:pStyle w:val="ListBullet2"/>
        <w:rPr>
          <w:lang w:val="pl-PL"/>
        </w:rPr>
      </w:pPr>
      <w:r w:rsidRPr="000437A5">
        <w:rPr>
          <w:lang w:val="pl-PL"/>
        </w:rPr>
        <w:t>opioidy: podczas leczenia klopidogrelem pacjent powinien poinformować lekarza przed przepisaniem jakiegokolwiek opioid</w:t>
      </w:r>
      <w:r w:rsidR="00C92E03">
        <w:rPr>
          <w:lang w:val="pl-PL"/>
        </w:rPr>
        <w:t>u (lek</w:t>
      </w:r>
      <w:r w:rsidR="00421C67">
        <w:rPr>
          <w:lang w:val="pl-PL"/>
        </w:rPr>
        <w:t>i stosowane</w:t>
      </w:r>
      <w:r w:rsidR="00C92E03">
        <w:rPr>
          <w:lang w:val="pl-PL"/>
        </w:rPr>
        <w:t xml:space="preserve"> w leczeniu silnego bólu)</w:t>
      </w:r>
      <w:r w:rsidRPr="000437A5">
        <w:rPr>
          <w:lang w:val="pl-PL"/>
        </w:rPr>
        <w:t>.</w:t>
      </w:r>
    </w:p>
    <w:p w:rsidR="00BC4936" w:rsidRPr="00502591" w:rsidRDefault="00BC4936" w:rsidP="00502591">
      <w:pPr>
        <w:pStyle w:val="ListBullet2"/>
        <w:numPr>
          <w:ilvl w:val="0"/>
          <w:numId w:val="0"/>
        </w:numPr>
        <w:ind w:left="567"/>
        <w:rPr>
          <w:lang w:val="pl-PL"/>
        </w:rPr>
      </w:pPr>
    </w:p>
    <w:p w:rsidR="00BC4936" w:rsidRDefault="00BC4936">
      <w:pPr>
        <w:rPr>
          <w:sz w:val="22"/>
          <w:lang w:val="pl-PL"/>
        </w:rPr>
      </w:pPr>
      <w:r>
        <w:rPr>
          <w:sz w:val="22"/>
          <w:lang w:val="pl-PL"/>
        </w:rPr>
        <w:t xml:space="preserve">Pacjenci, u których wystąpiły silne bóle w klatce piersiowej (niestabilna dławica piersiowa lub </w:t>
      </w:r>
      <w:r w:rsidR="002851C2">
        <w:rPr>
          <w:sz w:val="22"/>
          <w:lang w:val="pl-PL"/>
        </w:rPr>
        <w:t>zawał</w:t>
      </w:r>
      <w:r>
        <w:rPr>
          <w:sz w:val="22"/>
          <w:lang w:val="pl-PL"/>
        </w:rPr>
        <w:t xml:space="preserve"> serca)</w:t>
      </w:r>
      <w:r w:rsidR="00CD7DC6">
        <w:rPr>
          <w:sz w:val="22"/>
          <w:lang w:val="pl-PL"/>
        </w:rPr>
        <w:t xml:space="preserve">, </w:t>
      </w:r>
      <w:r w:rsidR="00CD7DC6" w:rsidRPr="00CD7DC6">
        <w:rPr>
          <w:sz w:val="22"/>
          <w:lang w:val="pl-PL"/>
        </w:rPr>
        <w:t xml:space="preserve">przemijający </w:t>
      </w:r>
      <w:r w:rsidR="003F3890" w:rsidRPr="005A0077">
        <w:rPr>
          <w:sz w:val="22"/>
          <w:lang w:val="pl-PL"/>
        </w:rPr>
        <w:t>napad</w:t>
      </w:r>
      <w:r w:rsidR="00CD7DC6" w:rsidRPr="00CD7DC6">
        <w:rPr>
          <w:sz w:val="22"/>
          <w:lang w:val="pl-PL"/>
        </w:rPr>
        <w:t xml:space="preserve"> niedokrwienny lub udar </w:t>
      </w:r>
      <w:r w:rsidR="00CD7DC6">
        <w:rPr>
          <w:sz w:val="22"/>
          <w:lang w:val="pl-PL"/>
        </w:rPr>
        <w:t>o</w:t>
      </w:r>
      <w:r w:rsidR="00CD7DC6" w:rsidRPr="00CD7DC6">
        <w:rPr>
          <w:sz w:val="22"/>
          <w:lang w:val="pl-PL"/>
        </w:rPr>
        <w:t xml:space="preserve"> łagodnym nasileniu</w:t>
      </w:r>
      <w:r w:rsidR="00CD7DC6">
        <w:rPr>
          <w:sz w:val="22"/>
          <w:lang w:val="pl-PL"/>
        </w:rPr>
        <w:t>,</w:t>
      </w:r>
      <w:r>
        <w:rPr>
          <w:sz w:val="22"/>
          <w:lang w:val="pl-PL"/>
        </w:rPr>
        <w:t xml:space="preserve"> mogą mieć przepisywany </w:t>
      </w:r>
      <w:r w:rsidR="00B04330">
        <w:rPr>
          <w:sz w:val="22"/>
          <w:lang w:val="pl-PL"/>
        </w:rPr>
        <w:t>Plavix</w:t>
      </w:r>
      <w:r>
        <w:rPr>
          <w:sz w:val="22"/>
          <w:lang w:val="pl-PL"/>
        </w:rPr>
        <w:t xml:space="preserve"> w skojarzeniu z kwasem acetylosalicylowym, substancją obecną w wielu lekach, stosowaną w celu łagodzenia bólu i obniżenia gorączki. Sporadyczne zastosowanie kwasu acetylosalicylowego (nie więcej niż 1000 mg w ciągu 24 godzin) nie powinno zazwyczaj powodować problemu, ale </w:t>
      </w:r>
      <w:r w:rsidR="0087437F">
        <w:rPr>
          <w:sz w:val="22"/>
          <w:lang w:val="pl-PL"/>
        </w:rPr>
        <w:t xml:space="preserve">długotrwałe </w:t>
      </w:r>
      <w:r>
        <w:rPr>
          <w:sz w:val="22"/>
          <w:lang w:val="pl-PL"/>
        </w:rPr>
        <w:t>stosowanie w innych okolicznościach powinno być omówione z lekarzem prowadzącym.</w:t>
      </w:r>
    </w:p>
    <w:p w:rsidR="00BC4936" w:rsidRDefault="00BC4936">
      <w:pPr>
        <w:rPr>
          <w:sz w:val="22"/>
          <w:lang w:val="pl-PL"/>
        </w:rPr>
      </w:pPr>
    </w:p>
    <w:p w:rsidR="00BC4936" w:rsidRDefault="000F7F86">
      <w:pPr>
        <w:rPr>
          <w:b/>
          <w:sz w:val="22"/>
          <w:lang w:val="pl-PL"/>
        </w:rPr>
      </w:pPr>
      <w:r>
        <w:rPr>
          <w:b/>
          <w:sz w:val="22"/>
          <w:lang w:val="pl-PL"/>
        </w:rPr>
        <w:t>L</w:t>
      </w:r>
      <w:r w:rsidR="00BC4936">
        <w:rPr>
          <w:b/>
          <w:sz w:val="22"/>
          <w:lang w:val="pl-PL"/>
        </w:rPr>
        <w:t xml:space="preserve">ek </w:t>
      </w:r>
      <w:r w:rsidR="00B04330">
        <w:rPr>
          <w:b/>
          <w:sz w:val="22"/>
          <w:lang w:val="pl-PL"/>
        </w:rPr>
        <w:t>Plavix</w:t>
      </w:r>
      <w:r w:rsidR="00BC4936">
        <w:rPr>
          <w:b/>
          <w:sz w:val="22"/>
          <w:lang w:val="pl-PL"/>
        </w:rPr>
        <w:t xml:space="preserve"> z jedzeniem i piciem</w:t>
      </w:r>
    </w:p>
    <w:p w:rsidR="00BC4936" w:rsidRDefault="00B04330">
      <w:pPr>
        <w:rPr>
          <w:sz w:val="22"/>
          <w:lang w:val="pl-PL"/>
        </w:rPr>
      </w:pPr>
      <w:r>
        <w:rPr>
          <w:sz w:val="22"/>
          <w:lang w:val="pl-PL"/>
        </w:rPr>
        <w:t>Plavix</w:t>
      </w:r>
      <w:r w:rsidR="00BC4936">
        <w:rPr>
          <w:sz w:val="22"/>
          <w:lang w:val="pl-PL"/>
        </w:rPr>
        <w:t xml:space="preserve"> moż</w:t>
      </w:r>
      <w:r w:rsidR="008B297F">
        <w:rPr>
          <w:sz w:val="22"/>
          <w:lang w:val="pl-PL"/>
        </w:rPr>
        <w:t>na przyjmować</w:t>
      </w:r>
      <w:r w:rsidR="00A408E2">
        <w:rPr>
          <w:sz w:val="22"/>
          <w:lang w:val="pl-PL"/>
        </w:rPr>
        <w:t xml:space="preserve"> </w:t>
      </w:r>
      <w:r w:rsidR="00BC4936">
        <w:rPr>
          <w:sz w:val="22"/>
          <w:lang w:val="pl-PL"/>
        </w:rPr>
        <w:t>z jedzeniem lub bez jedzenia.</w:t>
      </w:r>
    </w:p>
    <w:p w:rsidR="00BC4936" w:rsidRDefault="00BC4936">
      <w:pPr>
        <w:rPr>
          <w:sz w:val="22"/>
          <w:lang w:val="pl-PL"/>
        </w:rPr>
      </w:pPr>
    </w:p>
    <w:p w:rsidR="00BC4936" w:rsidRDefault="00BC4936">
      <w:pPr>
        <w:rPr>
          <w:b/>
          <w:sz w:val="22"/>
          <w:lang w:val="pl-PL"/>
        </w:rPr>
      </w:pPr>
      <w:r>
        <w:rPr>
          <w:b/>
          <w:sz w:val="22"/>
          <w:lang w:val="pl-PL"/>
        </w:rPr>
        <w:t>Ciąża i karmienie piersią</w:t>
      </w:r>
    </w:p>
    <w:p w:rsidR="0053750D" w:rsidRDefault="0058447C">
      <w:pPr>
        <w:rPr>
          <w:sz w:val="22"/>
          <w:szCs w:val="22"/>
          <w:lang w:val="pl-PL"/>
        </w:rPr>
      </w:pPr>
      <w:r>
        <w:rPr>
          <w:lang w:val="pl-PL"/>
        </w:rPr>
        <w:t xml:space="preserve">Nie </w:t>
      </w:r>
      <w:r>
        <w:rPr>
          <w:sz w:val="22"/>
          <w:szCs w:val="22"/>
          <w:lang w:val="pl-PL"/>
        </w:rPr>
        <w:t>zaleca się stosowania</w:t>
      </w:r>
      <w:r w:rsidR="0053750D">
        <w:rPr>
          <w:sz w:val="22"/>
          <w:szCs w:val="22"/>
          <w:lang w:val="pl-PL"/>
        </w:rPr>
        <w:t xml:space="preserve"> tego leku </w:t>
      </w:r>
      <w:r w:rsidR="00A408E2">
        <w:rPr>
          <w:sz w:val="22"/>
          <w:szCs w:val="22"/>
          <w:lang w:val="pl-PL"/>
        </w:rPr>
        <w:t xml:space="preserve">w okresie </w:t>
      </w:r>
      <w:r w:rsidR="0053750D">
        <w:rPr>
          <w:sz w:val="22"/>
          <w:szCs w:val="22"/>
          <w:lang w:val="pl-PL"/>
        </w:rPr>
        <w:t>ciąży.</w:t>
      </w:r>
    </w:p>
    <w:p w:rsidR="00DA2234" w:rsidRDefault="00DA2234">
      <w:pPr>
        <w:rPr>
          <w:sz w:val="22"/>
          <w:szCs w:val="22"/>
          <w:lang w:val="pl-PL"/>
        </w:rPr>
      </w:pPr>
    </w:p>
    <w:p w:rsidR="00BC4936" w:rsidRPr="00293A51" w:rsidRDefault="00BC4936" w:rsidP="00A64B0E">
      <w:pPr>
        <w:rPr>
          <w:b/>
          <w:szCs w:val="22"/>
          <w:lang w:val="pl-PL"/>
        </w:rPr>
      </w:pPr>
      <w:r w:rsidRPr="00653DD3">
        <w:rPr>
          <w:sz w:val="22"/>
          <w:szCs w:val="22"/>
          <w:lang w:val="pl-PL"/>
        </w:rPr>
        <w:t>Jeśli pacjentka jest w ciąży lub p</w:t>
      </w:r>
      <w:r w:rsidR="00A408E2" w:rsidRPr="00653DD3">
        <w:rPr>
          <w:sz w:val="22"/>
          <w:szCs w:val="22"/>
          <w:lang w:val="pl-PL"/>
        </w:rPr>
        <w:t>rzypuszcza</w:t>
      </w:r>
      <w:r w:rsidRPr="00653DD3">
        <w:rPr>
          <w:sz w:val="22"/>
          <w:szCs w:val="22"/>
          <w:lang w:val="pl-PL"/>
        </w:rPr>
        <w:t xml:space="preserve">, że </w:t>
      </w:r>
      <w:r w:rsidR="00A408E2" w:rsidRPr="00653DD3">
        <w:rPr>
          <w:sz w:val="22"/>
          <w:szCs w:val="22"/>
          <w:lang w:val="pl-PL"/>
        </w:rPr>
        <w:t>może być</w:t>
      </w:r>
      <w:r w:rsidRPr="00653DD3">
        <w:rPr>
          <w:sz w:val="22"/>
          <w:szCs w:val="22"/>
          <w:lang w:val="pl-PL"/>
        </w:rPr>
        <w:t xml:space="preserve"> w ciąży, powinna </w:t>
      </w:r>
      <w:r w:rsidR="00A408E2" w:rsidRPr="00653DD3">
        <w:rPr>
          <w:sz w:val="22"/>
          <w:szCs w:val="22"/>
          <w:lang w:val="pl-PL"/>
        </w:rPr>
        <w:t xml:space="preserve">poradzić się </w:t>
      </w:r>
      <w:r w:rsidRPr="00653DD3">
        <w:rPr>
          <w:sz w:val="22"/>
          <w:szCs w:val="22"/>
          <w:lang w:val="pl-PL"/>
        </w:rPr>
        <w:t>lekarza prowadzącego lub farmaceut</w:t>
      </w:r>
      <w:r w:rsidR="00A408E2" w:rsidRPr="00653DD3">
        <w:rPr>
          <w:sz w:val="22"/>
          <w:szCs w:val="22"/>
          <w:lang w:val="pl-PL"/>
        </w:rPr>
        <w:t>y przed zastosowaniem tego leku</w:t>
      </w:r>
      <w:r w:rsidRPr="00653DD3">
        <w:rPr>
          <w:sz w:val="22"/>
          <w:szCs w:val="22"/>
          <w:lang w:val="pl-PL"/>
        </w:rPr>
        <w:t>. Jeśli pacjentka zajdzie w ciążę podczas</w:t>
      </w:r>
      <w:r w:rsidR="00A408E2" w:rsidRPr="00653DD3">
        <w:rPr>
          <w:sz w:val="22"/>
          <w:szCs w:val="22"/>
          <w:lang w:val="pl-PL"/>
        </w:rPr>
        <w:t xml:space="preserve"> </w:t>
      </w:r>
      <w:r w:rsidRPr="00A64B0E">
        <w:rPr>
          <w:sz w:val="22"/>
          <w:szCs w:val="22"/>
          <w:lang w:val="pl-PL"/>
        </w:rPr>
        <w:t xml:space="preserve">stosowania leku </w:t>
      </w:r>
      <w:r w:rsidR="00B04330" w:rsidRPr="00A64B0E">
        <w:rPr>
          <w:sz w:val="22"/>
          <w:szCs w:val="22"/>
          <w:lang w:val="pl-PL"/>
        </w:rPr>
        <w:t>Plavix</w:t>
      </w:r>
      <w:r w:rsidRPr="00A64B0E">
        <w:rPr>
          <w:sz w:val="22"/>
          <w:szCs w:val="22"/>
          <w:lang w:val="pl-PL"/>
        </w:rPr>
        <w:t xml:space="preserve">, </w:t>
      </w:r>
      <w:r w:rsidR="00A408E2" w:rsidRPr="00A64B0E">
        <w:rPr>
          <w:sz w:val="22"/>
          <w:szCs w:val="22"/>
          <w:lang w:val="pl-PL"/>
        </w:rPr>
        <w:t xml:space="preserve">powinna </w:t>
      </w:r>
      <w:r w:rsidRPr="00A64B0E">
        <w:rPr>
          <w:sz w:val="22"/>
          <w:szCs w:val="22"/>
          <w:lang w:val="pl-PL"/>
        </w:rPr>
        <w:t>niezwłocznie skonsultować się z lekarzem prowadzącym</w:t>
      </w:r>
      <w:r w:rsidR="0053750D" w:rsidRPr="00A64B0E">
        <w:rPr>
          <w:sz w:val="22"/>
          <w:szCs w:val="22"/>
          <w:lang w:val="pl-PL"/>
        </w:rPr>
        <w:t xml:space="preserve">, ponieważ </w:t>
      </w:r>
      <w:r w:rsidR="0058447C" w:rsidRPr="00A64B0E">
        <w:rPr>
          <w:sz w:val="22"/>
          <w:szCs w:val="22"/>
          <w:lang w:val="pl-PL"/>
        </w:rPr>
        <w:t>stosowanie</w:t>
      </w:r>
      <w:r w:rsidR="00F431B2" w:rsidRPr="00A64B0E">
        <w:rPr>
          <w:sz w:val="22"/>
          <w:szCs w:val="22"/>
          <w:lang w:val="pl-PL"/>
        </w:rPr>
        <w:t xml:space="preserve"> klopidogrelu </w:t>
      </w:r>
      <w:r w:rsidR="00A408E2" w:rsidRPr="00A64B0E">
        <w:rPr>
          <w:sz w:val="22"/>
          <w:szCs w:val="22"/>
          <w:lang w:val="pl-PL"/>
        </w:rPr>
        <w:t xml:space="preserve">w okresie </w:t>
      </w:r>
      <w:r w:rsidR="00F431B2" w:rsidRPr="00A64B0E">
        <w:rPr>
          <w:sz w:val="22"/>
          <w:szCs w:val="22"/>
          <w:lang w:val="pl-PL"/>
        </w:rPr>
        <w:t>ciąży</w:t>
      </w:r>
      <w:r w:rsidR="0058447C" w:rsidRPr="00A64B0E">
        <w:rPr>
          <w:sz w:val="22"/>
          <w:szCs w:val="22"/>
          <w:lang w:val="pl-PL"/>
        </w:rPr>
        <w:t xml:space="preserve"> nie jest zalecane</w:t>
      </w:r>
      <w:r w:rsidR="00F431B2" w:rsidRPr="00A64B0E">
        <w:rPr>
          <w:sz w:val="22"/>
          <w:szCs w:val="22"/>
          <w:lang w:val="pl-PL"/>
        </w:rPr>
        <w:t>.</w:t>
      </w:r>
    </w:p>
    <w:p w:rsidR="00BC4936" w:rsidRPr="00653DD3" w:rsidRDefault="00BC4936">
      <w:pPr>
        <w:rPr>
          <w:b/>
          <w:sz w:val="22"/>
          <w:szCs w:val="22"/>
          <w:lang w:val="pl-PL"/>
        </w:rPr>
      </w:pPr>
    </w:p>
    <w:p w:rsidR="008C6EFC" w:rsidRPr="00A52108" w:rsidRDefault="008C6EFC" w:rsidP="00A46DC8">
      <w:pPr>
        <w:rPr>
          <w:sz w:val="22"/>
          <w:szCs w:val="22"/>
          <w:lang w:val="pl-PL"/>
        </w:rPr>
      </w:pPr>
      <w:r w:rsidRPr="00157707">
        <w:rPr>
          <w:sz w:val="22"/>
          <w:szCs w:val="22"/>
          <w:lang w:val="pl-PL"/>
        </w:rPr>
        <w:t xml:space="preserve">Nie </w:t>
      </w:r>
      <w:r w:rsidR="000D1FB2" w:rsidRPr="00157707">
        <w:rPr>
          <w:sz w:val="22"/>
          <w:szCs w:val="22"/>
          <w:lang w:val="pl-PL"/>
        </w:rPr>
        <w:t>należy</w:t>
      </w:r>
      <w:r w:rsidRPr="00157707">
        <w:rPr>
          <w:sz w:val="22"/>
          <w:szCs w:val="22"/>
          <w:lang w:val="pl-PL"/>
        </w:rPr>
        <w:t xml:space="preserve"> stosować </w:t>
      </w:r>
      <w:r w:rsidR="00A408E2" w:rsidRPr="00293A51">
        <w:rPr>
          <w:sz w:val="22"/>
          <w:szCs w:val="22"/>
          <w:lang w:val="pl-PL"/>
        </w:rPr>
        <w:t xml:space="preserve">tego </w:t>
      </w:r>
      <w:r w:rsidRPr="00293A51">
        <w:rPr>
          <w:sz w:val="22"/>
          <w:szCs w:val="22"/>
          <w:lang w:val="pl-PL"/>
        </w:rPr>
        <w:t xml:space="preserve">leku </w:t>
      </w:r>
      <w:r w:rsidR="000F7F86">
        <w:rPr>
          <w:sz w:val="22"/>
          <w:szCs w:val="22"/>
          <w:lang w:val="pl-PL"/>
        </w:rPr>
        <w:t>w okresie</w:t>
      </w:r>
      <w:r w:rsidR="000F7F86" w:rsidRPr="00687CFB">
        <w:rPr>
          <w:sz w:val="22"/>
          <w:szCs w:val="22"/>
          <w:lang w:val="pl-PL"/>
        </w:rPr>
        <w:t xml:space="preserve"> </w:t>
      </w:r>
      <w:r w:rsidRPr="00A52108">
        <w:rPr>
          <w:sz w:val="22"/>
          <w:szCs w:val="22"/>
          <w:lang w:val="pl-PL"/>
        </w:rPr>
        <w:t>karmienia piersią.</w:t>
      </w:r>
    </w:p>
    <w:p w:rsidR="00A46DC8" w:rsidRPr="00A64B0E" w:rsidRDefault="00A408E2" w:rsidP="00A46DC8">
      <w:pPr>
        <w:rPr>
          <w:sz w:val="22"/>
          <w:szCs w:val="22"/>
          <w:lang w:val="pl-PL"/>
        </w:rPr>
      </w:pPr>
      <w:r w:rsidRPr="00A52108">
        <w:rPr>
          <w:sz w:val="22"/>
          <w:szCs w:val="22"/>
          <w:lang w:val="pl-PL"/>
        </w:rPr>
        <w:t>Jeśli pacjent</w:t>
      </w:r>
      <w:r w:rsidR="002F17D0">
        <w:rPr>
          <w:sz w:val="22"/>
          <w:szCs w:val="22"/>
          <w:lang w:val="pl-PL"/>
        </w:rPr>
        <w:t>k</w:t>
      </w:r>
      <w:r w:rsidRPr="00A52108">
        <w:rPr>
          <w:sz w:val="22"/>
          <w:szCs w:val="22"/>
          <w:lang w:val="pl-PL"/>
        </w:rPr>
        <w:t xml:space="preserve">a karmi piersią lub gdy planuje karmić piersią, powinna poradzić się </w:t>
      </w:r>
      <w:r w:rsidR="0058447C" w:rsidRPr="004363B4">
        <w:rPr>
          <w:sz w:val="22"/>
          <w:szCs w:val="22"/>
          <w:lang w:val="pl-PL"/>
        </w:rPr>
        <w:t>lekarza</w:t>
      </w:r>
      <w:r w:rsidR="00A46DC8" w:rsidRPr="004363B4">
        <w:rPr>
          <w:sz w:val="22"/>
          <w:szCs w:val="22"/>
          <w:lang w:val="pl-PL"/>
        </w:rPr>
        <w:t xml:space="preserve"> prowadząc</w:t>
      </w:r>
      <w:r w:rsidR="0058447C" w:rsidRPr="002D096E">
        <w:rPr>
          <w:sz w:val="22"/>
          <w:szCs w:val="22"/>
          <w:lang w:val="pl-PL"/>
        </w:rPr>
        <w:t>ego</w:t>
      </w:r>
      <w:r w:rsidRPr="002D096E">
        <w:rPr>
          <w:sz w:val="22"/>
          <w:szCs w:val="22"/>
          <w:lang w:val="pl-PL"/>
        </w:rPr>
        <w:t xml:space="preserve"> przed zastosowaniem tego leku.</w:t>
      </w:r>
    </w:p>
    <w:p w:rsidR="00C16509" w:rsidRDefault="00C16509">
      <w:pPr>
        <w:rPr>
          <w:sz w:val="22"/>
          <w:lang w:val="pl-PL"/>
        </w:rPr>
      </w:pPr>
    </w:p>
    <w:p w:rsidR="00C16509" w:rsidRDefault="00C16509" w:rsidP="00C16509">
      <w:pPr>
        <w:pStyle w:val="BodyText3"/>
        <w:tabs>
          <w:tab w:val="clear" w:pos="567"/>
        </w:tabs>
        <w:rPr>
          <w:lang w:val="pl-PL"/>
        </w:rPr>
      </w:pPr>
      <w:r>
        <w:rPr>
          <w:lang w:val="pl-PL"/>
        </w:rPr>
        <w:t xml:space="preserve">Przed zastosowaniem </w:t>
      </w:r>
      <w:r w:rsidR="004723F2">
        <w:rPr>
          <w:lang w:val="pl-PL"/>
        </w:rPr>
        <w:t xml:space="preserve">jakiegokolwiek </w:t>
      </w:r>
      <w:r>
        <w:rPr>
          <w:lang w:val="pl-PL"/>
        </w:rPr>
        <w:t>leku należy poradzić się lekarza</w:t>
      </w:r>
      <w:r w:rsidR="00174543">
        <w:rPr>
          <w:lang w:val="pl-PL"/>
        </w:rPr>
        <w:t xml:space="preserve"> lub farmaceuty</w:t>
      </w:r>
      <w:r>
        <w:rPr>
          <w:lang w:val="pl-PL"/>
        </w:rPr>
        <w:t>.</w:t>
      </w:r>
    </w:p>
    <w:p w:rsidR="00BC4936" w:rsidRDefault="00BC4936">
      <w:pPr>
        <w:rPr>
          <w:sz w:val="22"/>
          <w:lang w:val="pl-PL"/>
        </w:rPr>
      </w:pPr>
    </w:p>
    <w:p w:rsidR="00BC4936" w:rsidRDefault="00BC4936">
      <w:pPr>
        <w:rPr>
          <w:b/>
          <w:sz w:val="22"/>
          <w:lang w:val="pl-PL"/>
        </w:rPr>
      </w:pPr>
      <w:r>
        <w:rPr>
          <w:b/>
          <w:sz w:val="22"/>
          <w:lang w:val="pl-PL"/>
        </w:rPr>
        <w:t>Prowadzenie pojazdów i obsług</w:t>
      </w:r>
      <w:r w:rsidR="004723F2">
        <w:rPr>
          <w:b/>
          <w:sz w:val="22"/>
          <w:lang w:val="pl-PL"/>
        </w:rPr>
        <w:t>iwanie</w:t>
      </w:r>
      <w:r>
        <w:rPr>
          <w:b/>
          <w:sz w:val="22"/>
          <w:lang w:val="pl-PL"/>
        </w:rPr>
        <w:t xml:space="preserve"> maszyn</w:t>
      </w:r>
    </w:p>
    <w:p w:rsidR="00BC4936" w:rsidRDefault="00B04330">
      <w:pPr>
        <w:rPr>
          <w:sz w:val="22"/>
          <w:lang w:val="pl-PL"/>
        </w:rPr>
      </w:pPr>
      <w:r>
        <w:rPr>
          <w:sz w:val="22"/>
          <w:lang w:val="pl-PL"/>
        </w:rPr>
        <w:t>Plavix</w:t>
      </w:r>
      <w:r w:rsidR="00BC4936">
        <w:rPr>
          <w:sz w:val="22"/>
          <w:lang w:val="pl-PL"/>
        </w:rPr>
        <w:t xml:space="preserve"> nie </w:t>
      </w:r>
      <w:r w:rsidR="008B297F">
        <w:rPr>
          <w:sz w:val="22"/>
          <w:lang w:val="pl-PL"/>
        </w:rPr>
        <w:t xml:space="preserve">powinien </w:t>
      </w:r>
      <w:r w:rsidR="00BC4936">
        <w:rPr>
          <w:sz w:val="22"/>
          <w:lang w:val="pl-PL"/>
        </w:rPr>
        <w:t>wpływa</w:t>
      </w:r>
      <w:r w:rsidR="008B297F">
        <w:rPr>
          <w:sz w:val="22"/>
          <w:lang w:val="pl-PL"/>
        </w:rPr>
        <w:t>ć</w:t>
      </w:r>
      <w:r w:rsidR="00BC4936">
        <w:rPr>
          <w:sz w:val="22"/>
          <w:lang w:val="pl-PL"/>
        </w:rPr>
        <w:t xml:space="preserve"> na zdolność prowadzenia pojazdów </w:t>
      </w:r>
      <w:r w:rsidR="00A408E2">
        <w:rPr>
          <w:sz w:val="22"/>
          <w:lang w:val="pl-PL"/>
        </w:rPr>
        <w:t xml:space="preserve">i </w:t>
      </w:r>
      <w:r w:rsidR="00BC4936">
        <w:rPr>
          <w:sz w:val="22"/>
          <w:lang w:val="pl-PL"/>
        </w:rPr>
        <w:t>obsługi</w:t>
      </w:r>
      <w:r w:rsidR="004723F2">
        <w:rPr>
          <w:sz w:val="22"/>
          <w:lang w:val="pl-PL"/>
        </w:rPr>
        <w:t>wania</w:t>
      </w:r>
      <w:r w:rsidR="00BC4936">
        <w:rPr>
          <w:sz w:val="22"/>
          <w:lang w:val="pl-PL"/>
        </w:rPr>
        <w:t xml:space="preserve"> maszyn.</w:t>
      </w:r>
    </w:p>
    <w:p w:rsidR="00BF54CD" w:rsidRDefault="00BF54CD">
      <w:pPr>
        <w:rPr>
          <w:sz w:val="22"/>
          <w:lang w:val="pl-PL"/>
        </w:rPr>
      </w:pPr>
    </w:p>
    <w:p w:rsidR="00642F0A" w:rsidRPr="00642F0A" w:rsidRDefault="00A36FCB" w:rsidP="00F93D71">
      <w:pPr>
        <w:rPr>
          <w:b/>
          <w:sz w:val="22"/>
          <w:szCs w:val="22"/>
          <w:lang w:val="pl-PL"/>
        </w:rPr>
      </w:pPr>
      <w:r w:rsidRPr="00642F0A">
        <w:rPr>
          <w:b/>
          <w:sz w:val="22"/>
          <w:szCs w:val="22"/>
          <w:lang w:val="pl-PL"/>
        </w:rPr>
        <w:t>Plavix zawiera laktozę</w:t>
      </w:r>
    </w:p>
    <w:p w:rsidR="00F93D71" w:rsidRPr="00331D02" w:rsidRDefault="00F93D71" w:rsidP="00F93D71">
      <w:pPr>
        <w:rPr>
          <w:sz w:val="22"/>
          <w:szCs w:val="22"/>
          <w:lang w:val="pl-PL"/>
        </w:rPr>
      </w:pPr>
      <w:r w:rsidRPr="00331D02">
        <w:rPr>
          <w:sz w:val="22"/>
          <w:szCs w:val="22"/>
          <w:lang w:val="pl-PL"/>
        </w:rPr>
        <w:t>Jeżeli stwierdzono wcześniej u pacjenta nietolerancję niektórych cukrów</w:t>
      </w:r>
      <w:r w:rsidR="004D578D" w:rsidRPr="00331D02">
        <w:rPr>
          <w:sz w:val="22"/>
          <w:szCs w:val="22"/>
          <w:lang w:val="pl-PL"/>
        </w:rPr>
        <w:t xml:space="preserve"> (np.</w:t>
      </w:r>
      <w:r w:rsidR="004723F2" w:rsidRPr="00CD2AE9">
        <w:rPr>
          <w:sz w:val="22"/>
          <w:szCs w:val="22"/>
          <w:lang w:val="pl-PL"/>
        </w:rPr>
        <w:t> </w:t>
      </w:r>
      <w:r w:rsidR="004D578D" w:rsidRPr="00331D02">
        <w:rPr>
          <w:sz w:val="22"/>
          <w:szCs w:val="22"/>
          <w:lang w:val="pl-PL"/>
        </w:rPr>
        <w:t>laktozy)</w:t>
      </w:r>
      <w:r w:rsidRPr="00331D02">
        <w:rPr>
          <w:sz w:val="22"/>
          <w:szCs w:val="22"/>
          <w:lang w:val="pl-PL"/>
        </w:rPr>
        <w:t>, pacjent powinien skontaktować się z lekarzem przed przyjęciem leku.</w:t>
      </w:r>
    </w:p>
    <w:p w:rsidR="00BC4936" w:rsidRDefault="00BC4936">
      <w:pPr>
        <w:rPr>
          <w:sz w:val="22"/>
          <w:lang w:val="pl-PL"/>
        </w:rPr>
      </w:pPr>
    </w:p>
    <w:p w:rsidR="00642F0A" w:rsidRDefault="004D578D">
      <w:pPr>
        <w:rPr>
          <w:sz w:val="22"/>
          <w:lang w:val="pl-PL"/>
        </w:rPr>
      </w:pPr>
      <w:r w:rsidRPr="00642F0A">
        <w:rPr>
          <w:b/>
          <w:sz w:val="22"/>
          <w:lang w:val="pl-PL"/>
        </w:rPr>
        <w:t xml:space="preserve">Plavix zawiera </w:t>
      </w:r>
      <w:r w:rsidR="00BC4936" w:rsidRPr="00642F0A">
        <w:rPr>
          <w:b/>
          <w:sz w:val="22"/>
          <w:lang w:val="pl-PL"/>
        </w:rPr>
        <w:t>olej rycynowy</w:t>
      </w:r>
      <w:r w:rsidR="00EF7990" w:rsidRPr="00EF7990">
        <w:rPr>
          <w:b/>
          <w:sz w:val="22"/>
          <w:lang w:val="pl-PL"/>
        </w:rPr>
        <w:t xml:space="preserve"> </w:t>
      </w:r>
      <w:r w:rsidR="00EF7990" w:rsidRPr="00642F0A">
        <w:rPr>
          <w:b/>
          <w:sz w:val="22"/>
          <w:lang w:val="pl-PL"/>
        </w:rPr>
        <w:t>uwodorniony</w:t>
      </w:r>
    </w:p>
    <w:p w:rsidR="00BC4936" w:rsidRDefault="00642F0A">
      <w:pPr>
        <w:rPr>
          <w:sz w:val="22"/>
          <w:lang w:val="pl-PL"/>
        </w:rPr>
      </w:pPr>
      <w:r>
        <w:rPr>
          <w:sz w:val="22"/>
          <w:lang w:val="pl-PL"/>
        </w:rPr>
        <w:t>M</w:t>
      </w:r>
      <w:r w:rsidR="00BC4936">
        <w:rPr>
          <w:sz w:val="22"/>
          <w:lang w:val="pl-PL"/>
        </w:rPr>
        <w:t xml:space="preserve">oże </w:t>
      </w:r>
      <w:r w:rsidR="00A408E2">
        <w:rPr>
          <w:sz w:val="22"/>
          <w:lang w:val="pl-PL"/>
        </w:rPr>
        <w:t>to</w:t>
      </w:r>
      <w:r>
        <w:rPr>
          <w:sz w:val="22"/>
          <w:lang w:val="pl-PL"/>
        </w:rPr>
        <w:t xml:space="preserve"> </w:t>
      </w:r>
      <w:r w:rsidR="00BC4936">
        <w:rPr>
          <w:sz w:val="22"/>
          <w:lang w:val="pl-PL"/>
        </w:rPr>
        <w:t>powodować niestrawność lub biegunkę.</w:t>
      </w:r>
    </w:p>
    <w:p w:rsidR="00AB6F2E" w:rsidRDefault="00AB6F2E">
      <w:pPr>
        <w:rPr>
          <w:sz w:val="22"/>
          <w:szCs w:val="22"/>
          <w:lang w:val="pl-PL"/>
        </w:rPr>
      </w:pPr>
    </w:p>
    <w:p w:rsidR="00A408E2" w:rsidRPr="00A408E2" w:rsidRDefault="00A408E2">
      <w:pPr>
        <w:rPr>
          <w:sz w:val="22"/>
          <w:szCs w:val="22"/>
          <w:lang w:val="pl-PL"/>
        </w:rPr>
      </w:pPr>
    </w:p>
    <w:p w:rsidR="00BC4936" w:rsidRPr="00A64B0E" w:rsidRDefault="00166BD0" w:rsidP="001E79CA">
      <w:pPr>
        <w:pStyle w:val="Footer"/>
        <w:keepNext/>
        <w:numPr>
          <w:ilvl w:val="3"/>
          <w:numId w:val="26"/>
        </w:numPr>
        <w:tabs>
          <w:tab w:val="clear" w:pos="2880"/>
          <w:tab w:val="num" w:pos="567"/>
        </w:tabs>
        <w:ind w:hanging="2880"/>
        <w:rPr>
          <w:b/>
          <w:sz w:val="22"/>
          <w:szCs w:val="22"/>
          <w:lang w:val="pl-PL"/>
        </w:rPr>
      </w:pPr>
      <w:r w:rsidRPr="00A64B0E">
        <w:rPr>
          <w:b/>
          <w:sz w:val="22"/>
          <w:szCs w:val="22"/>
          <w:lang w:val="pl-PL"/>
        </w:rPr>
        <w:t xml:space="preserve">Jak stosować </w:t>
      </w:r>
      <w:r w:rsidR="000A7440" w:rsidRPr="00A64B0E">
        <w:rPr>
          <w:b/>
          <w:sz w:val="22"/>
          <w:szCs w:val="22"/>
          <w:lang w:val="pl-PL"/>
        </w:rPr>
        <w:t xml:space="preserve">lek </w:t>
      </w:r>
      <w:r w:rsidRPr="00A64B0E">
        <w:rPr>
          <w:b/>
          <w:sz w:val="22"/>
          <w:szCs w:val="22"/>
          <w:lang w:val="pl-PL"/>
        </w:rPr>
        <w:t>Plavix</w:t>
      </w:r>
    </w:p>
    <w:p w:rsidR="00BC4936" w:rsidRDefault="00BC4936" w:rsidP="001E79CA">
      <w:pPr>
        <w:keepNext/>
        <w:rPr>
          <w:sz w:val="22"/>
          <w:lang w:val="pl-PL"/>
        </w:rPr>
      </w:pPr>
    </w:p>
    <w:p w:rsidR="00BC4936" w:rsidRDefault="00642F0A">
      <w:pPr>
        <w:rPr>
          <w:sz w:val="22"/>
          <w:lang w:val="pl-PL"/>
        </w:rPr>
      </w:pPr>
      <w:r>
        <w:rPr>
          <w:sz w:val="22"/>
          <w:lang w:val="pl-PL"/>
        </w:rPr>
        <w:t>Ten lek</w:t>
      </w:r>
      <w:r w:rsidR="00BC4936">
        <w:rPr>
          <w:sz w:val="22"/>
          <w:lang w:val="pl-PL"/>
        </w:rPr>
        <w:t xml:space="preserve"> należy </w:t>
      </w:r>
      <w:r w:rsidR="0098254E">
        <w:rPr>
          <w:sz w:val="22"/>
          <w:lang w:val="pl-PL"/>
        </w:rPr>
        <w:t xml:space="preserve">zawsze </w:t>
      </w:r>
      <w:r w:rsidR="00BC4936">
        <w:rPr>
          <w:sz w:val="22"/>
          <w:lang w:val="pl-PL"/>
        </w:rPr>
        <w:t>stosować zgodnie z zaleceniami lekarza</w:t>
      </w:r>
      <w:r w:rsidR="00B867CD">
        <w:rPr>
          <w:sz w:val="22"/>
          <w:lang w:val="pl-PL"/>
        </w:rPr>
        <w:t xml:space="preserve"> lub farmaceuty</w:t>
      </w:r>
      <w:r w:rsidR="00BC4936">
        <w:rPr>
          <w:sz w:val="22"/>
          <w:lang w:val="pl-PL"/>
        </w:rPr>
        <w:t xml:space="preserve">. W </w:t>
      </w:r>
      <w:r w:rsidR="00B867CD">
        <w:rPr>
          <w:sz w:val="22"/>
          <w:lang w:val="pl-PL"/>
        </w:rPr>
        <w:t>razie</w:t>
      </w:r>
      <w:r w:rsidR="00BC4936">
        <w:rPr>
          <w:sz w:val="22"/>
          <w:lang w:val="pl-PL"/>
        </w:rPr>
        <w:t xml:space="preserve"> wątpliwości należy</w:t>
      </w:r>
      <w:r w:rsidR="0098254E">
        <w:rPr>
          <w:sz w:val="22"/>
          <w:lang w:val="pl-PL"/>
        </w:rPr>
        <w:t xml:space="preserve"> </w:t>
      </w:r>
      <w:r w:rsidR="00B867CD">
        <w:rPr>
          <w:sz w:val="22"/>
          <w:lang w:val="pl-PL"/>
        </w:rPr>
        <w:t>zwrócić</w:t>
      </w:r>
      <w:r w:rsidR="00BC4936">
        <w:rPr>
          <w:sz w:val="22"/>
          <w:lang w:val="pl-PL"/>
        </w:rPr>
        <w:t xml:space="preserve"> się </w:t>
      </w:r>
      <w:r w:rsidR="00B867CD">
        <w:rPr>
          <w:sz w:val="22"/>
          <w:lang w:val="pl-PL"/>
        </w:rPr>
        <w:t>do</w:t>
      </w:r>
      <w:r w:rsidR="00BC4936">
        <w:rPr>
          <w:sz w:val="22"/>
          <w:lang w:val="pl-PL"/>
        </w:rPr>
        <w:t xml:space="preserve"> lekarz</w:t>
      </w:r>
      <w:r w:rsidR="00B867CD">
        <w:rPr>
          <w:sz w:val="22"/>
          <w:lang w:val="pl-PL"/>
        </w:rPr>
        <w:t>a</w:t>
      </w:r>
      <w:r w:rsidR="00BC4936">
        <w:rPr>
          <w:sz w:val="22"/>
          <w:lang w:val="pl-PL"/>
        </w:rPr>
        <w:t xml:space="preserve"> lub farmaceut</w:t>
      </w:r>
      <w:r w:rsidR="00B867CD">
        <w:rPr>
          <w:sz w:val="22"/>
          <w:lang w:val="pl-PL"/>
        </w:rPr>
        <w:t>y</w:t>
      </w:r>
      <w:r w:rsidR="00BC4936">
        <w:rPr>
          <w:sz w:val="22"/>
          <w:lang w:val="pl-PL"/>
        </w:rPr>
        <w:t>.</w:t>
      </w:r>
    </w:p>
    <w:p w:rsidR="005E100A" w:rsidRDefault="005E100A">
      <w:pPr>
        <w:rPr>
          <w:sz w:val="22"/>
          <w:lang w:val="pl-PL"/>
        </w:rPr>
      </w:pPr>
    </w:p>
    <w:p w:rsidR="005E100A" w:rsidRPr="009E2542" w:rsidRDefault="005E100A" w:rsidP="005E100A">
      <w:pPr>
        <w:rPr>
          <w:sz w:val="22"/>
          <w:lang w:val="pl-PL"/>
        </w:rPr>
      </w:pPr>
      <w:r w:rsidRPr="009E2542">
        <w:rPr>
          <w:sz w:val="22"/>
          <w:lang w:val="pl-PL"/>
        </w:rPr>
        <w:t>Zalecana dawka leku Plavix to 75 mg na dobę, przyjmowana doustnie o tej samej porze każdego dnia, z posiłkiem lub bez posiłku. Dawkowanie to dotyczy także pacjentów ze stanem zwanym „migotaniem przedsionków” (nieregularny rytm serca).</w:t>
      </w:r>
    </w:p>
    <w:p w:rsidR="00144B44" w:rsidRPr="009E2542" w:rsidRDefault="00144B44">
      <w:pPr>
        <w:rPr>
          <w:sz w:val="22"/>
          <w:lang w:val="pl-PL"/>
        </w:rPr>
      </w:pPr>
    </w:p>
    <w:p w:rsidR="005E100A" w:rsidRDefault="00EA2210" w:rsidP="005E100A">
      <w:pPr>
        <w:rPr>
          <w:sz w:val="22"/>
          <w:lang w:val="pl-PL"/>
        </w:rPr>
      </w:pPr>
      <w:r w:rsidRPr="009E2542">
        <w:rPr>
          <w:sz w:val="22"/>
          <w:lang w:val="pl-PL"/>
        </w:rPr>
        <w:t xml:space="preserve">Jeśli u pacjenta wystąpiły silne bóle w klatce piersiowej (niestabilna dławica piersiowa lub </w:t>
      </w:r>
      <w:r w:rsidR="002851C2">
        <w:rPr>
          <w:sz w:val="22"/>
          <w:lang w:val="pl-PL"/>
        </w:rPr>
        <w:t>zawał</w:t>
      </w:r>
      <w:r w:rsidRPr="009E2542">
        <w:rPr>
          <w:sz w:val="22"/>
          <w:lang w:val="pl-PL"/>
        </w:rPr>
        <w:t xml:space="preserve"> serca), lekarz prowadzący może przepisać </w:t>
      </w:r>
      <w:r w:rsidR="000B34D7" w:rsidRPr="009E2542">
        <w:rPr>
          <w:sz w:val="22"/>
          <w:lang w:val="pl-PL"/>
        </w:rPr>
        <w:t xml:space="preserve">od razu </w:t>
      </w:r>
      <w:r w:rsidRPr="009E2542">
        <w:rPr>
          <w:sz w:val="22"/>
          <w:lang w:val="pl-PL"/>
        </w:rPr>
        <w:t xml:space="preserve">na rozpoczęcie leczenia 300 mg </w:t>
      </w:r>
      <w:r w:rsidR="004F252C" w:rsidRPr="009E2542">
        <w:rPr>
          <w:sz w:val="22"/>
          <w:lang w:val="pl-PL"/>
        </w:rPr>
        <w:t xml:space="preserve">leku </w:t>
      </w:r>
      <w:r w:rsidR="00B04330" w:rsidRPr="009E2542">
        <w:rPr>
          <w:sz w:val="22"/>
          <w:lang w:val="pl-PL"/>
        </w:rPr>
        <w:t>Plavix</w:t>
      </w:r>
      <w:r w:rsidR="004F252C" w:rsidRPr="009E2542">
        <w:rPr>
          <w:sz w:val="22"/>
          <w:lang w:val="pl-PL"/>
        </w:rPr>
        <w:t xml:space="preserve"> </w:t>
      </w:r>
      <w:r w:rsidRPr="009E2542">
        <w:rPr>
          <w:sz w:val="22"/>
          <w:lang w:val="pl-PL"/>
        </w:rPr>
        <w:t>(1</w:t>
      </w:r>
      <w:r w:rsidR="00722ACB">
        <w:rPr>
          <w:sz w:val="22"/>
          <w:lang w:val="pl-PL"/>
        </w:rPr>
        <w:t> </w:t>
      </w:r>
      <w:r w:rsidRPr="009E2542">
        <w:rPr>
          <w:sz w:val="22"/>
          <w:lang w:val="pl-PL"/>
        </w:rPr>
        <w:t>tabletka po 300 mg lub 4 tabletki po 75 </w:t>
      </w:r>
      <w:r w:rsidR="004F252C" w:rsidRPr="009E2542">
        <w:rPr>
          <w:sz w:val="22"/>
          <w:lang w:val="pl-PL"/>
        </w:rPr>
        <w:t>mg</w:t>
      </w:r>
      <w:r w:rsidR="00D32572" w:rsidRPr="009E2542">
        <w:rPr>
          <w:sz w:val="22"/>
          <w:lang w:val="pl-PL"/>
        </w:rPr>
        <w:t xml:space="preserve">). </w:t>
      </w:r>
      <w:r w:rsidR="005E100A" w:rsidRPr="009E2542">
        <w:rPr>
          <w:sz w:val="22"/>
          <w:lang w:val="pl-PL"/>
        </w:rPr>
        <w:t>Potem zalecana dawka leku Plavix to jedna tabletka 75 mg na dobę (jak powyżej).</w:t>
      </w:r>
      <w:r w:rsidR="005E100A">
        <w:rPr>
          <w:sz w:val="22"/>
          <w:lang w:val="pl-PL"/>
        </w:rPr>
        <w:t xml:space="preserve"> </w:t>
      </w:r>
    </w:p>
    <w:p w:rsidR="00FC511E" w:rsidRDefault="00FC511E">
      <w:pPr>
        <w:rPr>
          <w:sz w:val="22"/>
          <w:lang w:val="pl-PL"/>
        </w:rPr>
      </w:pPr>
    </w:p>
    <w:p w:rsidR="00BC4936" w:rsidRDefault="00FC511E">
      <w:pPr>
        <w:rPr>
          <w:sz w:val="22"/>
          <w:lang w:val="pl-PL"/>
        </w:rPr>
      </w:pPr>
      <w:r w:rsidRPr="00FC511E">
        <w:rPr>
          <w:sz w:val="22"/>
          <w:lang w:val="pl-PL"/>
        </w:rPr>
        <w:t>Jeśli u pacjent</w:t>
      </w:r>
      <w:r w:rsidR="00493E7B">
        <w:rPr>
          <w:sz w:val="22"/>
          <w:lang w:val="pl-PL"/>
        </w:rPr>
        <w:t>a</w:t>
      </w:r>
      <w:r w:rsidRPr="00FC511E">
        <w:rPr>
          <w:sz w:val="22"/>
          <w:lang w:val="pl-PL"/>
        </w:rPr>
        <w:t xml:space="preserve"> wystąpiły objawy udaru, które ustępują w krótkim czasie (</w:t>
      </w:r>
      <w:bookmarkStart w:id="27" w:name="_Hlk60150647"/>
      <w:r>
        <w:rPr>
          <w:sz w:val="22"/>
          <w:lang w:val="pl-PL"/>
        </w:rPr>
        <w:t>nazywane również</w:t>
      </w:r>
      <w:r w:rsidRPr="00FC511E">
        <w:rPr>
          <w:sz w:val="22"/>
          <w:lang w:val="pl-PL"/>
        </w:rPr>
        <w:t xml:space="preserve"> </w:t>
      </w:r>
      <w:bookmarkEnd w:id="27"/>
      <w:r w:rsidRPr="00D551FD">
        <w:rPr>
          <w:sz w:val="22"/>
          <w:lang w:val="pl-PL"/>
        </w:rPr>
        <w:t>przemijający</w:t>
      </w:r>
      <w:r w:rsidR="00493E7B" w:rsidRPr="00D551FD">
        <w:rPr>
          <w:sz w:val="22"/>
          <w:lang w:val="pl-PL"/>
        </w:rPr>
        <w:t>m</w:t>
      </w:r>
      <w:r w:rsidRPr="00D551FD">
        <w:rPr>
          <w:sz w:val="22"/>
          <w:lang w:val="pl-PL"/>
        </w:rPr>
        <w:t xml:space="preserve"> </w:t>
      </w:r>
      <w:r w:rsidR="003F3890" w:rsidRPr="005A0077">
        <w:rPr>
          <w:sz w:val="22"/>
          <w:lang w:val="pl-PL"/>
        </w:rPr>
        <w:t>napadem</w:t>
      </w:r>
      <w:r w:rsidRPr="00D551FD">
        <w:rPr>
          <w:sz w:val="22"/>
          <w:lang w:val="pl-PL"/>
        </w:rPr>
        <w:t xml:space="preserve"> niedokrwienny</w:t>
      </w:r>
      <w:r w:rsidR="00493E7B" w:rsidRPr="00D551FD">
        <w:rPr>
          <w:sz w:val="22"/>
          <w:lang w:val="pl-PL"/>
        </w:rPr>
        <w:t>m</w:t>
      </w:r>
      <w:r w:rsidRPr="00FC511E">
        <w:rPr>
          <w:sz w:val="22"/>
          <w:lang w:val="pl-PL"/>
        </w:rPr>
        <w:t xml:space="preserve">) lub udar o łagodnym nasileniu, lekarz może </w:t>
      </w:r>
      <w:r w:rsidR="00CD5359">
        <w:rPr>
          <w:sz w:val="22"/>
          <w:lang w:val="pl-PL"/>
        </w:rPr>
        <w:t>przepisać</w:t>
      </w:r>
      <w:r w:rsidRPr="00FC511E">
        <w:rPr>
          <w:sz w:val="22"/>
          <w:lang w:val="pl-PL"/>
        </w:rPr>
        <w:t xml:space="preserve"> </w:t>
      </w:r>
      <w:bookmarkStart w:id="28" w:name="_Hlk60150781"/>
      <w:r w:rsidRPr="00D551FD">
        <w:rPr>
          <w:sz w:val="22"/>
          <w:lang w:val="pl-PL"/>
        </w:rPr>
        <w:t>pojedynczą dawkę</w:t>
      </w:r>
      <w:r>
        <w:rPr>
          <w:sz w:val="22"/>
          <w:lang w:val="pl-PL"/>
        </w:rPr>
        <w:t xml:space="preserve"> </w:t>
      </w:r>
      <w:bookmarkEnd w:id="28"/>
      <w:r w:rsidRPr="00FC511E">
        <w:rPr>
          <w:sz w:val="22"/>
          <w:lang w:val="pl-PL"/>
        </w:rPr>
        <w:t xml:space="preserve">300 mg </w:t>
      </w:r>
      <w:r>
        <w:rPr>
          <w:sz w:val="22"/>
          <w:lang w:val="pl-PL"/>
        </w:rPr>
        <w:t xml:space="preserve">leku </w:t>
      </w:r>
      <w:r w:rsidRPr="00FC511E">
        <w:rPr>
          <w:sz w:val="22"/>
          <w:lang w:val="pl-PL"/>
        </w:rPr>
        <w:t>Plavix (1 tabletka</w:t>
      </w:r>
      <w:r w:rsidR="00493E7B">
        <w:rPr>
          <w:sz w:val="22"/>
          <w:lang w:val="pl-PL"/>
        </w:rPr>
        <w:t xml:space="preserve"> po </w:t>
      </w:r>
      <w:r w:rsidRPr="00FC511E">
        <w:rPr>
          <w:sz w:val="22"/>
          <w:lang w:val="pl-PL"/>
        </w:rPr>
        <w:t xml:space="preserve">300 mg lub 4 tabletki </w:t>
      </w:r>
      <w:r w:rsidR="00493E7B">
        <w:rPr>
          <w:sz w:val="22"/>
          <w:lang w:val="pl-PL"/>
        </w:rPr>
        <w:t xml:space="preserve">po </w:t>
      </w:r>
      <w:r w:rsidRPr="00FC511E">
        <w:rPr>
          <w:sz w:val="22"/>
          <w:lang w:val="pl-PL"/>
        </w:rPr>
        <w:t xml:space="preserve">75 mg) </w:t>
      </w:r>
      <w:r>
        <w:rPr>
          <w:sz w:val="22"/>
          <w:lang w:val="pl-PL"/>
        </w:rPr>
        <w:t xml:space="preserve">na </w:t>
      </w:r>
      <w:r w:rsidRPr="00FC511E">
        <w:rPr>
          <w:sz w:val="22"/>
          <w:lang w:val="pl-PL"/>
        </w:rPr>
        <w:t>początku leczenia. Następnie zalecana dawka to jedna tabletka</w:t>
      </w:r>
      <w:r>
        <w:rPr>
          <w:sz w:val="22"/>
          <w:lang w:val="pl-PL"/>
        </w:rPr>
        <w:t xml:space="preserve"> leku</w:t>
      </w:r>
      <w:r w:rsidRPr="00FC511E">
        <w:rPr>
          <w:sz w:val="22"/>
          <w:lang w:val="pl-PL"/>
        </w:rPr>
        <w:t xml:space="preserve"> Plavix 75 mg na dobę, jak opisano powyżej, z kwasem acetylosalicylowym przez 3 tygodnie. </w:t>
      </w:r>
      <w:r>
        <w:rPr>
          <w:sz w:val="22"/>
          <w:lang w:val="pl-PL"/>
        </w:rPr>
        <w:t xml:space="preserve">Następnie lekarz </w:t>
      </w:r>
      <w:bookmarkStart w:id="29" w:name="_Hlk60150843"/>
      <w:r>
        <w:rPr>
          <w:sz w:val="22"/>
          <w:lang w:val="pl-PL"/>
        </w:rPr>
        <w:t xml:space="preserve">może </w:t>
      </w:r>
      <w:r w:rsidRPr="00D551FD">
        <w:rPr>
          <w:sz w:val="22"/>
          <w:lang w:val="pl-PL"/>
        </w:rPr>
        <w:t xml:space="preserve">przepisać </w:t>
      </w:r>
      <w:bookmarkEnd w:id="29"/>
      <w:r w:rsidRPr="00D551FD">
        <w:rPr>
          <w:sz w:val="22"/>
          <w:lang w:val="pl-PL"/>
        </w:rPr>
        <w:t>oddzielnie lek Plavix lub kwas acetylosalic</w:t>
      </w:r>
      <w:r w:rsidR="00C055D0">
        <w:rPr>
          <w:sz w:val="22"/>
          <w:lang w:val="pl-PL"/>
        </w:rPr>
        <w:t>yl</w:t>
      </w:r>
      <w:r w:rsidRPr="00D551FD">
        <w:rPr>
          <w:sz w:val="22"/>
          <w:lang w:val="pl-PL"/>
        </w:rPr>
        <w:t>owy.</w:t>
      </w:r>
    </w:p>
    <w:p w:rsidR="00FC511E" w:rsidRDefault="00FC511E">
      <w:pPr>
        <w:pStyle w:val="BodyText3"/>
        <w:tabs>
          <w:tab w:val="clear" w:pos="567"/>
        </w:tabs>
        <w:rPr>
          <w:lang w:val="pl-PL"/>
        </w:rPr>
      </w:pPr>
    </w:p>
    <w:p w:rsidR="00BC4936" w:rsidRDefault="00B04330">
      <w:pPr>
        <w:pStyle w:val="BodyText3"/>
        <w:tabs>
          <w:tab w:val="clear" w:pos="567"/>
        </w:tabs>
        <w:rPr>
          <w:lang w:val="pl-PL"/>
        </w:rPr>
      </w:pPr>
      <w:r>
        <w:rPr>
          <w:lang w:val="pl-PL"/>
        </w:rPr>
        <w:t>Plavix</w:t>
      </w:r>
      <w:r w:rsidR="00BC4936">
        <w:rPr>
          <w:lang w:val="pl-PL"/>
        </w:rPr>
        <w:t xml:space="preserve"> należy stosować tak długo, jak zalec</w:t>
      </w:r>
      <w:r w:rsidR="008B297F">
        <w:rPr>
          <w:lang w:val="pl-PL"/>
        </w:rPr>
        <w:t>ił</w:t>
      </w:r>
      <w:r w:rsidR="00BC4936">
        <w:rPr>
          <w:lang w:val="pl-PL"/>
        </w:rPr>
        <w:t xml:space="preserve"> lekarz prowadzący.</w:t>
      </w:r>
    </w:p>
    <w:p w:rsidR="00BC4936" w:rsidRDefault="00BC4936">
      <w:pPr>
        <w:rPr>
          <w:b/>
          <w:sz w:val="22"/>
          <w:lang w:val="pl-PL"/>
        </w:rPr>
      </w:pPr>
    </w:p>
    <w:p w:rsidR="00BC4936" w:rsidRDefault="008B297F">
      <w:pPr>
        <w:rPr>
          <w:b/>
          <w:sz w:val="22"/>
          <w:lang w:val="pl-PL"/>
        </w:rPr>
      </w:pPr>
      <w:r>
        <w:rPr>
          <w:b/>
          <w:sz w:val="22"/>
          <w:lang w:val="pl-PL"/>
        </w:rPr>
        <w:t xml:space="preserve">Przyjęcie </w:t>
      </w:r>
      <w:r w:rsidR="00BC4936">
        <w:rPr>
          <w:b/>
          <w:sz w:val="22"/>
          <w:lang w:val="pl-PL"/>
        </w:rPr>
        <w:t xml:space="preserve">większej niż zalecana dawki leku </w:t>
      </w:r>
      <w:r w:rsidR="00B04330">
        <w:rPr>
          <w:b/>
          <w:sz w:val="22"/>
          <w:lang w:val="pl-PL"/>
        </w:rPr>
        <w:t>Plavix</w:t>
      </w:r>
    </w:p>
    <w:p w:rsidR="00BC4936" w:rsidRDefault="00BC4936">
      <w:pPr>
        <w:pStyle w:val="Heading1"/>
        <w:spacing w:line="240" w:lineRule="auto"/>
        <w:rPr>
          <w:rFonts w:ascii="Times New Roman" w:hAnsi="Times New Roman"/>
          <w:sz w:val="22"/>
          <w:lang w:val="pl-PL"/>
        </w:rPr>
      </w:pPr>
      <w:r>
        <w:rPr>
          <w:rFonts w:ascii="Times New Roman" w:hAnsi="Times New Roman"/>
          <w:sz w:val="22"/>
          <w:lang w:val="pl-PL"/>
        </w:rPr>
        <w:t xml:space="preserve">Należy skontaktować się z lekarzem lub najbliższym </w:t>
      </w:r>
      <w:r w:rsidR="008B297F">
        <w:rPr>
          <w:rFonts w:ascii="Times New Roman" w:hAnsi="Times New Roman"/>
          <w:sz w:val="22"/>
          <w:lang w:val="pl-PL"/>
        </w:rPr>
        <w:t xml:space="preserve">szpitalnym </w:t>
      </w:r>
      <w:r>
        <w:rPr>
          <w:rFonts w:ascii="Times New Roman" w:hAnsi="Times New Roman"/>
          <w:sz w:val="22"/>
          <w:lang w:val="pl-PL"/>
        </w:rPr>
        <w:t xml:space="preserve">oddziałem </w:t>
      </w:r>
      <w:r w:rsidR="0087437F">
        <w:rPr>
          <w:rFonts w:ascii="Times New Roman" w:hAnsi="Times New Roman"/>
          <w:sz w:val="22"/>
          <w:lang w:val="pl-PL"/>
        </w:rPr>
        <w:t>ratunkowym</w:t>
      </w:r>
      <w:r>
        <w:rPr>
          <w:rFonts w:ascii="Times New Roman" w:hAnsi="Times New Roman"/>
          <w:sz w:val="22"/>
          <w:lang w:val="pl-PL"/>
        </w:rPr>
        <w:t xml:space="preserve"> </w:t>
      </w:r>
      <w:r w:rsidR="00C0073E">
        <w:rPr>
          <w:rFonts w:ascii="Times New Roman" w:hAnsi="Times New Roman"/>
          <w:sz w:val="22"/>
          <w:lang w:val="pl-PL"/>
        </w:rPr>
        <w:t>z</w:t>
      </w:r>
      <w:r w:rsidR="008B297F">
        <w:rPr>
          <w:rFonts w:ascii="Times New Roman" w:hAnsi="Times New Roman"/>
          <w:sz w:val="22"/>
          <w:lang w:val="pl-PL"/>
        </w:rPr>
        <w:t>e względu na</w:t>
      </w:r>
      <w:r>
        <w:rPr>
          <w:rFonts w:ascii="Times New Roman" w:hAnsi="Times New Roman"/>
          <w:sz w:val="22"/>
          <w:lang w:val="pl-PL"/>
        </w:rPr>
        <w:t xml:space="preserve"> zwiększone ryzyk</w:t>
      </w:r>
      <w:r w:rsidR="008B297F">
        <w:rPr>
          <w:rFonts w:ascii="Times New Roman" w:hAnsi="Times New Roman"/>
          <w:sz w:val="22"/>
          <w:lang w:val="pl-PL"/>
        </w:rPr>
        <w:t>o</w:t>
      </w:r>
      <w:r>
        <w:rPr>
          <w:rFonts w:ascii="Times New Roman" w:hAnsi="Times New Roman"/>
          <w:sz w:val="22"/>
          <w:lang w:val="pl-PL"/>
        </w:rPr>
        <w:t xml:space="preserve"> krwawienia.</w:t>
      </w:r>
    </w:p>
    <w:p w:rsidR="00BC4936" w:rsidRDefault="00BC4936">
      <w:pPr>
        <w:rPr>
          <w:sz w:val="22"/>
          <w:lang w:val="pl-PL"/>
        </w:rPr>
      </w:pPr>
    </w:p>
    <w:p w:rsidR="00BC4936" w:rsidRDefault="00BC4936">
      <w:pPr>
        <w:pStyle w:val="Footer"/>
        <w:rPr>
          <w:b/>
          <w:sz w:val="22"/>
          <w:lang w:val="pl-PL"/>
        </w:rPr>
      </w:pPr>
      <w:r>
        <w:rPr>
          <w:b/>
          <w:sz w:val="22"/>
          <w:lang w:val="pl-PL"/>
        </w:rPr>
        <w:t xml:space="preserve">Pominięcie </w:t>
      </w:r>
      <w:r w:rsidR="008B297F">
        <w:rPr>
          <w:b/>
          <w:sz w:val="22"/>
          <w:lang w:val="pl-PL"/>
        </w:rPr>
        <w:t xml:space="preserve">przyjęcia </w:t>
      </w:r>
      <w:r>
        <w:rPr>
          <w:b/>
          <w:sz w:val="22"/>
          <w:lang w:val="pl-PL"/>
        </w:rPr>
        <w:t xml:space="preserve">leku </w:t>
      </w:r>
      <w:r w:rsidR="00B04330">
        <w:rPr>
          <w:b/>
          <w:sz w:val="22"/>
          <w:lang w:val="pl-PL"/>
        </w:rPr>
        <w:t>Plavix</w:t>
      </w:r>
    </w:p>
    <w:p w:rsidR="00BC4936" w:rsidRDefault="00BC4936" w:rsidP="008B297F">
      <w:pPr>
        <w:rPr>
          <w:sz w:val="22"/>
          <w:lang w:val="pl-PL"/>
        </w:rPr>
      </w:pPr>
      <w:r>
        <w:rPr>
          <w:sz w:val="22"/>
          <w:lang w:val="pl-PL"/>
        </w:rPr>
        <w:t xml:space="preserve">Jeśli pacjent zapomni </w:t>
      </w:r>
      <w:r w:rsidR="008B297F">
        <w:rPr>
          <w:sz w:val="22"/>
          <w:lang w:val="pl-PL"/>
        </w:rPr>
        <w:t xml:space="preserve">przyjąć </w:t>
      </w:r>
      <w:r>
        <w:rPr>
          <w:sz w:val="22"/>
          <w:lang w:val="pl-PL"/>
        </w:rPr>
        <w:t xml:space="preserve">dawkę leku </w:t>
      </w:r>
      <w:r w:rsidR="00B04330">
        <w:rPr>
          <w:sz w:val="22"/>
          <w:lang w:val="pl-PL"/>
        </w:rPr>
        <w:t>Plavix</w:t>
      </w:r>
      <w:r w:rsidR="008B297F">
        <w:rPr>
          <w:sz w:val="22"/>
          <w:lang w:val="pl-PL"/>
        </w:rPr>
        <w:t xml:space="preserve"> i</w:t>
      </w:r>
      <w:r>
        <w:rPr>
          <w:sz w:val="22"/>
          <w:lang w:val="pl-PL"/>
        </w:rPr>
        <w:t xml:space="preserve"> przypomni sobie o tym w ciągu 12 godzin od </w:t>
      </w:r>
      <w:r w:rsidR="008B297F">
        <w:rPr>
          <w:sz w:val="22"/>
          <w:lang w:val="pl-PL"/>
        </w:rPr>
        <w:t xml:space="preserve">pory przyjmowania leku, </w:t>
      </w:r>
      <w:r>
        <w:rPr>
          <w:sz w:val="22"/>
          <w:lang w:val="pl-PL"/>
        </w:rPr>
        <w:t xml:space="preserve">powinien </w:t>
      </w:r>
      <w:r w:rsidR="008B297F">
        <w:rPr>
          <w:sz w:val="22"/>
          <w:lang w:val="pl-PL"/>
        </w:rPr>
        <w:t xml:space="preserve">natychmiast przyjąć </w:t>
      </w:r>
      <w:r>
        <w:rPr>
          <w:sz w:val="22"/>
          <w:lang w:val="pl-PL"/>
        </w:rPr>
        <w:t xml:space="preserve">tabletkę, a </w:t>
      </w:r>
      <w:r w:rsidR="008B297F">
        <w:rPr>
          <w:sz w:val="22"/>
          <w:lang w:val="pl-PL"/>
        </w:rPr>
        <w:t xml:space="preserve">kolejną </w:t>
      </w:r>
      <w:r>
        <w:rPr>
          <w:sz w:val="22"/>
          <w:lang w:val="pl-PL"/>
        </w:rPr>
        <w:t xml:space="preserve">tabletkę </w:t>
      </w:r>
      <w:r w:rsidR="008B297F">
        <w:rPr>
          <w:sz w:val="22"/>
          <w:lang w:val="pl-PL"/>
        </w:rPr>
        <w:t xml:space="preserve">powinien przyjąć </w:t>
      </w:r>
      <w:r>
        <w:rPr>
          <w:sz w:val="22"/>
          <w:lang w:val="pl-PL"/>
        </w:rPr>
        <w:t>o</w:t>
      </w:r>
      <w:r w:rsidR="00144B44">
        <w:rPr>
          <w:sz w:val="22"/>
          <w:lang w:val="pl-PL"/>
        </w:rPr>
        <w:t> </w:t>
      </w:r>
      <w:r>
        <w:rPr>
          <w:sz w:val="22"/>
          <w:lang w:val="pl-PL"/>
        </w:rPr>
        <w:t xml:space="preserve">zwykłej porze. </w:t>
      </w:r>
    </w:p>
    <w:p w:rsidR="00023D43" w:rsidRDefault="00023D43">
      <w:pPr>
        <w:rPr>
          <w:sz w:val="22"/>
          <w:lang w:val="pl-PL"/>
        </w:rPr>
      </w:pPr>
    </w:p>
    <w:p w:rsidR="00BC4936" w:rsidRDefault="00BC4936">
      <w:pPr>
        <w:rPr>
          <w:sz w:val="22"/>
          <w:lang w:val="pl-PL"/>
        </w:rPr>
      </w:pPr>
      <w:r>
        <w:rPr>
          <w:sz w:val="22"/>
          <w:lang w:val="pl-PL"/>
        </w:rPr>
        <w:t xml:space="preserve">Jeśli pacjent zapomni o tym na dłużej niż 12 godzin, powinien po prostu zażyć następną pojedynczą dawkę o zwykłej porze. Nie należy stosować </w:t>
      </w:r>
      <w:r w:rsidR="00641932">
        <w:rPr>
          <w:sz w:val="22"/>
          <w:lang w:val="pl-PL"/>
        </w:rPr>
        <w:t xml:space="preserve">dawki </w:t>
      </w:r>
      <w:r>
        <w:rPr>
          <w:sz w:val="22"/>
          <w:lang w:val="pl-PL"/>
        </w:rPr>
        <w:t xml:space="preserve">podwójnej w celu uzupełnienia </w:t>
      </w:r>
      <w:r w:rsidR="000F7F86">
        <w:rPr>
          <w:sz w:val="22"/>
          <w:lang w:val="pl-PL"/>
        </w:rPr>
        <w:t xml:space="preserve">pominiętej </w:t>
      </w:r>
      <w:r w:rsidR="00641932">
        <w:rPr>
          <w:sz w:val="22"/>
          <w:lang w:val="pl-PL"/>
        </w:rPr>
        <w:t>tabletk</w:t>
      </w:r>
      <w:r w:rsidR="000F7F86">
        <w:rPr>
          <w:sz w:val="22"/>
          <w:lang w:val="pl-PL"/>
        </w:rPr>
        <w:t>i</w:t>
      </w:r>
      <w:r w:rsidR="00641932">
        <w:rPr>
          <w:sz w:val="22"/>
          <w:lang w:val="pl-PL"/>
        </w:rPr>
        <w:t>.</w:t>
      </w:r>
    </w:p>
    <w:p w:rsidR="00023D43" w:rsidRDefault="00023D43">
      <w:pPr>
        <w:rPr>
          <w:sz w:val="22"/>
          <w:lang w:val="pl-PL"/>
        </w:rPr>
      </w:pPr>
    </w:p>
    <w:p w:rsidR="00BC4936" w:rsidRDefault="00BC4936">
      <w:pPr>
        <w:rPr>
          <w:sz w:val="22"/>
          <w:lang w:val="pl-PL"/>
        </w:rPr>
      </w:pPr>
      <w:r>
        <w:rPr>
          <w:sz w:val="22"/>
          <w:lang w:val="pl-PL"/>
        </w:rPr>
        <w:t xml:space="preserve">Stosując lek w opakowaniach po </w:t>
      </w:r>
      <w:r w:rsidR="009870B1">
        <w:rPr>
          <w:sz w:val="22"/>
          <w:lang w:val="pl-PL"/>
        </w:rPr>
        <w:t xml:space="preserve">7, </w:t>
      </w:r>
      <w:r>
        <w:rPr>
          <w:sz w:val="22"/>
          <w:lang w:val="pl-PL"/>
        </w:rPr>
        <w:t xml:space="preserve">14, 28 lub 84 tabletki pacjent może sprawdzić dzień, w którym ostatnio zażył tabletkę leku </w:t>
      </w:r>
      <w:r w:rsidR="00B04330">
        <w:rPr>
          <w:sz w:val="22"/>
          <w:lang w:val="pl-PL"/>
        </w:rPr>
        <w:t>Plavix</w:t>
      </w:r>
      <w:r>
        <w:rPr>
          <w:sz w:val="22"/>
          <w:lang w:val="pl-PL"/>
        </w:rPr>
        <w:t xml:space="preserve"> na kalendarzu wydrukowanym na blistrze.</w:t>
      </w:r>
    </w:p>
    <w:p w:rsidR="00BC4936" w:rsidRDefault="00BC4936">
      <w:pPr>
        <w:rPr>
          <w:sz w:val="22"/>
          <w:lang w:val="pl-PL"/>
        </w:rPr>
      </w:pPr>
    </w:p>
    <w:p w:rsidR="00BC4936" w:rsidRDefault="00BC4936">
      <w:pPr>
        <w:rPr>
          <w:b/>
          <w:sz w:val="22"/>
          <w:lang w:val="pl-PL"/>
        </w:rPr>
      </w:pPr>
      <w:r>
        <w:rPr>
          <w:b/>
          <w:sz w:val="22"/>
          <w:lang w:val="pl-PL"/>
        </w:rPr>
        <w:t xml:space="preserve">Przerwanie </w:t>
      </w:r>
      <w:r w:rsidR="00641932">
        <w:rPr>
          <w:b/>
          <w:sz w:val="22"/>
          <w:lang w:val="pl-PL"/>
        </w:rPr>
        <w:t xml:space="preserve">przyjmowania </w:t>
      </w:r>
      <w:r>
        <w:rPr>
          <w:b/>
          <w:sz w:val="22"/>
          <w:lang w:val="pl-PL"/>
        </w:rPr>
        <w:t xml:space="preserve">leku </w:t>
      </w:r>
      <w:r w:rsidR="00B04330">
        <w:rPr>
          <w:b/>
          <w:sz w:val="22"/>
          <w:lang w:val="pl-PL"/>
        </w:rPr>
        <w:t>Plavix</w:t>
      </w:r>
    </w:p>
    <w:p w:rsidR="00BC4936" w:rsidRDefault="00BC4936">
      <w:pPr>
        <w:rPr>
          <w:sz w:val="22"/>
          <w:lang w:val="pl-PL"/>
        </w:rPr>
      </w:pPr>
      <w:r w:rsidRPr="0062224B">
        <w:rPr>
          <w:b/>
          <w:sz w:val="22"/>
          <w:lang w:val="pl-PL"/>
        </w:rPr>
        <w:t>Nie należy przerywać leczenia</w:t>
      </w:r>
      <w:r w:rsidR="0062224B" w:rsidRPr="00744BD4">
        <w:rPr>
          <w:b/>
          <w:sz w:val="22"/>
          <w:lang w:val="pl-PL"/>
        </w:rPr>
        <w:t>,</w:t>
      </w:r>
      <w:r w:rsidR="0062224B">
        <w:rPr>
          <w:sz w:val="22"/>
          <w:lang w:val="pl-PL"/>
        </w:rPr>
        <w:t xml:space="preserve"> </w:t>
      </w:r>
      <w:r w:rsidR="0062224B" w:rsidRPr="0062224B">
        <w:rPr>
          <w:b/>
          <w:sz w:val="22"/>
          <w:lang w:val="pl-PL"/>
        </w:rPr>
        <w:t>chyba że lekarz</w:t>
      </w:r>
      <w:r w:rsidR="00641932">
        <w:rPr>
          <w:b/>
          <w:sz w:val="22"/>
          <w:lang w:val="pl-PL"/>
        </w:rPr>
        <w:t xml:space="preserve"> tak zaleci</w:t>
      </w:r>
      <w:r w:rsidR="0062224B">
        <w:rPr>
          <w:sz w:val="22"/>
          <w:lang w:val="pl-PL"/>
        </w:rPr>
        <w:t>.</w:t>
      </w:r>
      <w:r w:rsidR="00641932">
        <w:rPr>
          <w:sz w:val="22"/>
          <w:lang w:val="pl-PL"/>
        </w:rPr>
        <w:t xml:space="preserve"> </w:t>
      </w:r>
      <w:r>
        <w:rPr>
          <w:sz w:val="22"/>
          <w:lang w:val="pl-PL"/>
        </w:rPr>
        <w:t>Przed przerwaniem</w:t>
      </w:r>
      <w:r w:rsidR="00641932">
        <w:rPr>
          <w:sz w:val="22"/>
          <w:lang w:val="pl-PL"/>
        </w:rPr>
        <w:t xml:space="preserve"> przyjmowania leku</w:t>
      </w:r>
      <w:r>
        <w:rPr>
          <w:sz w:val="22"/>
          <w:lang w:val="pl-PL"/>
        </w:rPr>
        <w:t xml:space="preserve"> należy skontaktować się z lekarzem prowadzącym lub farmaceutą. </w:t>
      </w:r>
    </w:p>
    <w:p w:rsidR="00BC4936" w:rsidRDefault="00BC4936">
      <w:pPr>
        <w:rPr>
          <w:sz w:val="22"/>
          <w:lang w:val="pl-PL"/>
        </w:rPr>
      </w:pPr>
    </w:p>
    <w:p w:rsidR="00BC4936" w:rsidRDefault="00BC4936">
      <w:pPr>
        <w:rPr>
          <w:sz w:val="22"/>
          <w:lang w:val="pl-PL"/>
        </w:rPr>
      </w:pPr>
      <w:r>
        <w:rPr>
          <w:sz w:val="22"/>
          <w:lang w:val="pl-PL"/>
        </w:rPr>
        <w:t xml:space="preserve">W razie </w:t>
      </w:r>
      <w:r w:rsidR="005F022B" w:rsidRPr="0047488F">
        <w:rPr>
          <w:sz w:val="22"/>
          <w:lang w:val="pl-PL"/>
        </w:rPr>
        <w:t>jakichkolwiek</w:t>
      </w:r>
      <w:r w:rsidR="005F022B">
        <w:rPr>
          <w:sz w:val="22"/>
          <w:lang w:val="pl-PL"/>
        </w:rPr>
        <w:t xml:space="preserve"> </w:t>
      </w:r>
      <w:r w:rsidR="00D32572">
        <w:rPr>
          <w:sz w:val="22"/>
          <w:lang w:val="pl-PL"/>
        </w:rPr>
        <w:t>dalszych</w:t>
      </w:r>
      <w:r w:rsidR="005F022B">
        <w:rPr>
          <w:sz w:val="22"/>
          <w:lang w:val="pl-PL"/>
        </w:rPr>
        <w:t xml:space="preserve"> </w:t>
      </w:r>
      <w:r>
        <w:rPr>
          <w:sz w:val="22"/>
          <w:lang w:val="pl-PL"/>
        </w:rPr>
        <w:t xml:space="preserve">wątpliwości związanych ze stosowaniem </w:t>
      </w:r>
      <w:r w:rsidR="00166BD0">
        <w:rPr>
          <w:sz w:val="22"/>
          <w:lang w:val="pl-PL"/>
        </w:rPr>
        <w:t>tego leku</w:t>
      </w:r>
      <w:r w:rsidR="00641932">
        <w:rPr>
          <w:sz w:val="22"/>
          <w:lang w:val="pl-PL"/>
        </w:rPr>
        <w:t>,</w:t>
      </w:r>
      <w:r w:rsidR="00166BD0">
        <w:rPr>
          <w:sz w:val="22"/>
          <w:lang w:val="pl-PL"/>
        </w:rPr>
        <w:t xml:space="preserve"> </w:t>
      </w:r>
      <w:r>
        <w:rPr>
          <w:sz w:val="22"/>
          <w:lang w:val="pl-PL"/>
        </w:rPr>
        <w:t>należy zwrócić się do lekarza lub farmaceuty.</w:t>
      </w:r>
    </w:p>
    <w:p w:rsidR="002E06D6" w:rsidRDefault="002E06D6">
      <w:pPr>
        <w:rPr>
          <w:sz w:val="22"/>
          <w:lang w:val="pl-PL"/>
        </w:rPr>
      </w:pPr>
    </w:p>
    <w:p w:rsidR="003D4E05" w:rsidRDefault="003D4E05">
      <w:pPr>
        <w:rPr>
          <w:sz w:val="22"/>
          <w:lang w:val="pl-PL"/>
        </w:rPr>
      </w:pPr>
    </w:p>
    <w:p w:rsidR="00166BD0" w:rsidRPr="00A64B0E" w:rsidRDefault="00166BD0" w:rsidP="00A64B0E">
      <w:pPr>
        <w:pStyle w:val="Footer"/>
        <w:numPr>
          <w:ilvl w:val="3"/>
          <w:numId w:val="26"/>
        </w:numPr>
        <w:tabs>
          <w:tab w:val="clear" w:pos="2880"/>
          <w:tab w:val="num" w:pos="567"/>
        </w:tabs>
        <w:ind w:hanging="2880"/>
        <w:rPr>
          <w:b/>
          <w:sz w:val="22"/>
          <w:szCs w:val="22"/>
          <w:lang w:val="pl-PL"/>
        </w:rPr>
      </w:pPr>
      <w:r w:rsidRPr="00A64B0E">
        <w:rPr>
          <w:b/>
          <w:sz w:val="22"/>
          <w:szCs w:val="22"/>
          <w:lang w:val="pl-PL"/>
        </w:rPr>
        <w:t>Możliwe działania niepożądane</w:t>
      </w:r>
    </w:p>
    <w:p w:rsidR="00BC4936" w:rsidRDefault="00BC4936">
      <w:pPr>
        <w:rPr>
          <w:sz w:val="22"/>
          <w:lang w:val="pl-PL"/>
        </w:rPr>
      </w:pPr>
    </w:p>
    <w:p w:rsidR="00BC4936" w:rsidRDefault="00BC4936">
      <w:pPr>
        <w:pStyle w:val="BodyText3"/>
        <w:tabs>
          <w:tab w:val="clear" w:pos="567"/>
        </w:tabs>
        <w:spacing w:after="40"/>
        <w:rPr>
          <w:lang w:val="pl-PL"/>
        </w:rPr>
      </w:pPr>
      <w:r>
        <w:rPr>
          <w:lang w:val="pl-PL"/>
        </w:rPr>
        <w:t xml:space="preserve">Jak </w:t>
      </w:r>
      <w:r w:rsidR="004C1006">
        <w:rPr>
          <w:lang w:val="pl-PL"/>
        </w:rPr>
        <w:t xml:space="preserve">każdy lek, </w:t>
      </w:r>
      <w:r w:rsidR="00166BD0">
        <w:rPr>
          <w:lang w:val="pl-PL"/>
        </w:rPr>
        <w:t>lek ten</w:t>
      </w:r>
      <w:r>
        <w:rPr>
          <w:lang w:val="pl-PL"/>
        </w:rPr>
        <w:t xml:space="preserve"> może powodować działania niepożądane, chociaż nie u każdego one wystąpią.</w:t>
      </w:r>
    </w:p>
    <w:p w:rsidR="006469A9" w:rsidRDefault="006469A9">
      <w:pPr>
        <w:pStyle w:val="BodyText3"/>
        <w:tabs>
          <w:tab w:val="clear" w:pos="567"/>
        </w:tabs>
        <w:spacing w:after="60"/>
        <w:rPr>
          <w:lang w:val="pl-PL"/>
        </w:rPr>
      </w:pPr>
    </w:p>
    <w:p w:rsidR="00D872DC" w:rsidRPr="00D872DC" w:rsidRDefault="00D872DC" w:rsidP="00D872DC">
      <w:pPr>
        <w:rPr>
          <w:b/>
          <w:sz w:val="22"/>
          <w:lang w:val="pl-PL"/>
        </w:rPr>
      </w:pPr>
      <w:r w:rsidRPr="00D872DC">
        <w:rPr>
          <w:b/>
          <w:sz w:val="22"/>
          <w:lang w:val="pl-PL"/>
        </w:rPr>
        <w:t xml:space="preserve">Należy niezwłocznie skontaktować się z lekarzem prowadzącym, jeśli </w:t>
      </w:r>
      <w:r w:rsidR="003812B7">
        <w:rPr>
          <w:b/>
          <w:sz w:val="22"/>
          <w:lang w:val="pl-PL"/>
        </w:rPr>
        <w:t xml:space="preserve">u pacjenta </w:t>
      </w:r>
      <w:r w:rsidRPr="00D872DC">
        <w:rPr>
          <w:b/>
          <w:sz w:val="22"/>
          <w:lang w:val="pl-PL"/>
        </w:rPr>
        <w:t>wystąpi</w:t>
      </w:r>
      <w:r w:rsidR="003812B7">
        <w:rPr>
          <w:b/>
          <w:sz w:val="22"/>
          <w:lang w:val="pl-PL"/>
        </w:rPr>
        <w:t>ą</w:t>
      </w:r>
      <w:r w:rsidRPr="00D872DC">
        <w:rPr>
          <w:b/>
          <w:sz w:val="22"/>
          <w:lang w:val="pl-PL"/>
        </w:rPr>
        <w:t>:</w:t>
      </w:r>
    </w:p>
    <w:p w:rsidR="003812B7" w:rsidRDefault="00D872DC" w:rsidP="00D050EB">
      <w:pPr>
        <w:pStyle w:val="BodyText3"/>
        <w:numPr>
          <w:ilvl w:val="0"/>
          <w:numId w:val="53"/>
        </w:numPr>
        <w:tabs>
          <w:tab w:val="clear" w:pos="567"/>
        </w:tabs>
        <w:ind w:left="567" w:hanging="567"/>
        <w:rPr>
          <w:lang w:val="pl-PL"/>
        </w:rPr>
      </w:pPr>
      <w:r>
        <w:rPr>
          <w:lang w:val="pl-PL"/>
        </w:rPr>
        <w:t>gorączka, objawy zakażenia lub uczucie skrajnego zmęczenia. Może to być spowodowane rzadko występującym zmniejszeniem liczby niektórych krwinek.</w:t>
      </w:r>
    </w:p>
    <w:p w:rsidR="003812B7" w:rsidRPr="003812B7" w:rsidRDefault="00D872DC" w:rsidP="00D050EB">
      <w:pPr>
        <w:pStyle w:val="BodyText3"/>
        <w:numPr>
          <w:ilvl w:val="0"/>
          <w:numId w:val="53"/>
        </w:numPr>
        <w:tabs>
          <w:tab w:val="clear" w:pos="567"/>
        </w:tabs>
        <w:ind w:left="567" w:hanging="567"/>
        <w:rPr>
          <w:lang w:val="pl-PL"/>
        </w:rPr>
      </w:pPr>
      <w:r w:rsidRPr="003812B7">
        <w:rPr>
          <w:lang w:val="pl-PL"/>
        </w:rPr>
        <w:t>objawy zaburze</w:t>
      </w:r>
      <w:r w:rsidR="003812B7">
        <w:rPr>
          <w:lang w:val="pl-PL"/>
        </w:rPr>
        <w:t>ń</w:t>
      </w:r>
      <w:r w:rsidRPr="003812B7">
        <w:rPr>
          <w:lang w:val="pl-PL"/>
        </w:rPr>
        <w:t xml:space="preserve"> czynności wątroby, takie jak</w:t>
      </w:r>
      <w:r w:rsidR="003812B7">
        <w:rPr>
          <w:lang w:val="pl-PL"/>
        </w:rPr>
        <w:t>:</w:t>
      </w:r>
      <w:r w:rsidRPr="003812B7">
        <w:rPr>
          <w:lang w:val="pl-PL"/>
        </w:rPr>
        <w:t xml:space="preserve"> zażółcenie skóry i (lub) oczu (żółtaczka), związane lub nie z krwawieniem</w:t>
      </w:r>
      <w:r w:rsidR="00D30863" w:rsidRPr="001B7BDC">
        <w:rPr>
          <w:lang w:val="pl-PL"/>
        </w:rPr>
        <w:t xml:space="preserve">, </w:t>
      </w:r>
      <w:r w:rsidR="0038735B" w:rsidRPr="001B7BDC">
        <w:rPr>
          <w:lang w:val="pl-PL"/>
        </w:rPr>
        <w:t xml:space="preserve">które pojawia się pod skórą </w:t>
      </w:r>
      <w:r w:rsidR="0058781C" w:rsidRPr="001B7BDC">
        <w:rPr>
          <w:lang w:val="pl-PL"/>
        </w:rPr>
        <w:t>w</w:t>
      </w:r>
      <w:r w:rsidR="0038735B" w:rsidRPr="00157707">
        <w:rPr>
          <w:lang w:val="pl-PL"/>
        </w:rPr>
        <w:t xml:space="preserve"> postaci czerwonych punktowych plamek</w:t>
      </w:r>
      <w:r w:rsidRPr="003812B7">
        <w:rPr>
          <w:lang w:val="pl-PL"/>
        </w:rPr>
        <w:t xml:space="preserve"> i (lub) stan dezorientacji</w:t>
      </w:r>
      <w:r w:rsidR="0038735B" w:rsidRPr="003812B7">
        <w:rPr>
          <w:lang w:val="pl-PL"/>
        </w:rPr>
        <w:t xml:space="preserve"> (patrz punkt </w:t>
      </w:r>
      <w:r w:rsidR="00CB5F81" w:rsidRPr="003812B7">
        <w:rPr>
          <w:lang w:val="pl-PL"/>
        </w:rPr>
        <w:t xml:space="preserve">2 </w:t>
      </w:r>
      <w:r w:rsidR="0038735B" w:rsidRPr="003812B7">
        <w:rPr>
          <w:lang w:val="pl-PL"/>
        </w:rPr>
        <w:t>„</w:t>
      </w:r>
      <w:r w:rsidR="00166BD0" w:rsidRPr="003812B7">
        <w:rPr>
          <w:lang w:val="pl-PL"/>
        </w:rPr>
        <w:t>Ostrzeżenia i środki ostrożności</w:t>
      </w:r>
      <w:r w:rsidR="0038735B" w:rsidRPr="003812B7">
        <w:rPr>
          <w:lang w:val="pl-PL"/>
        </w:rPr>
        <w:t>”)</w:t>
      </w:r>
      <w:r w:rsidR="0062224B" w:rsidRPr="003812B7">
        <w:rPr>
          <w:lang w:val="pl-PL"/>
        </w:rPr>
        <w:t>.</w:t>
      </w:r>
    </w:p>
    <w:p w:rsidR="00D872DC" w:rsidRPr="003812B7" w:rsidRDefault="0038735B" w:rsidP="00D050EB">
      <w:pPr>
        <w:pStyle w:val="BodyText3"/>
        <w:numPr>
          <w:ilvl w:val="0"/>
          <w:numId w:val="53"/>
        </w:numPr>
        <w:tabs>
          <w:tab w:val="clear" w:pos="567"/>
        </w:tabs>
        <w:ind w:left="567" w:hanging="567"/>
        <w:rPr>
          <w:lang w:val="pl-PL"/>
        </w:rPr>
      </w:pPr>
      <w:r w:rsidRPr="003812B7">
        <w:rPr>
          <w:lang w:val="pl-PL"/>
        </w:rPr>
        <w:t xml:space="preserve">obrzęk ust lub zaburzenia </w:t>
      </w:r>
      <w:r w:rsidR="003812B7">
        <w:rPr>
          <w:lang w:val="pl-PL"/>
        </w:rPr>
        <w:t xml:space="preserve">dotyczące </w:t>
      </w:r>
      <w:r w:rsidRPr="003812B7">
        <w:rPr>
          <w:lang w:val="pl-PL"/>
        </w:rPr>
        <w:t>skóry, takie jak</w:t>
      </w:r>
      <w:r w:rsidR="003812B7">
        <w:rPr>
          <w:lang w:val="pl-PL"/>
        </w:rPr>
        <w:t>:</w:t>
      </w:r>
      <w:r w:rsidRPr="003812B7">
        <w:rPr>
          <w:lang w:val="pl-PL"/>
        </w:rPr>
        <w:t xml:space="preserve"> wysypki</w:t>
      </w:r>
      <w:r w:rsidR="00782FAF" w:rsidRPr="003812B7">
        <w:rPr>
          <w:lang w:val="pl-PL"/>
        </w:rPr>
        <w:t xml:space="preserve"> i świąd, pęcherze skórne</w:t>
      </w:r>
      <w:r w:rsidR="00ED77FD" w:rsidRPr="003812B7">
        <w:rPr>
          <w:lang w:val="pl-PL"/>
        </w:rPr>
        <w:t>. Mo</w:t>
      </w:r>
      <w:r w:rsidR="003812B7">
        <w:rPr>
          <w:lang w:val="pl-PL"/>
        </w:rPr>
        <w:t>gą</w:t>
      </w:r>
      <w:r w:rsidR="00ED77FD" w:rsidRPr="003812B7">
        <w:rPr>
          <w:lang w:val="pl-PL"/>
        </w:rPr>
        <w:t xml:space="preserve"> to być objaw</w:t>
      </w:r>
      <w:r w:rsidR="003812B7">
        <w:rPr>
          <w:lang w:val="pl-PL"/>
        </w:rPr>
        <w:t>y</w:t>
      </w:r>
      <w:r w:rsidR="001928FF" w:rsidRPr="003812B7">
        <w:rPr>
          <w:lang w:val="pl-PL"/>
        </w:rPr>
        <w:t xml:space="preserve"> reakcji alergiczn</w:t>
      </w:r>
      <w:r w:rsidR="003812B7">
        <w:rPr>
          <w:lang w:val="pl-PL"/>
        </w:rPr>
        <w:t>ej</w:t>
      </w:r>
      <w:r w:rsidR="001928FF" w:rsidRPr="003812B7">
        <w:rPr>
          <w:lang w:val="pl-PL"/>
        </w:rPr>
        <w:t>.</w:t>
      </w:r>
    </w:p>
    <w:p w:rsidR="006469A9" w:rsidRDefault="006469A9">
      <w:pPr>
        <w:pStyle w:val="BodyText3"/>
        <w:tabs>
          <w:tab w:val="clear" w:pos="567"/>
        </w:tabs>
        <w:spacing w:after="60"/>
        <w:rPr>
          <w:lang w:val="pl-PL"/>
        </w:rPr>
      </w:pPr>
    </w:p>
    <w:p w:rsidR="00BC4936" w:rsidRDefault="00BC4936">
      <w:pPr>
        <w:pStyle w:val="BodyText3"/>
        <w:tabs>
          <w:tab w:val="clear" w:pos="567"/>
        </w:tabs>
        <w:spacing w:after="60"/>
        <w:rPr>
          <w:lang w:val="pl-PL"/>
        </w:rPr>
      </w:pPr>
      <w:r w:rsidRPr="00E45702">
        <w:rPr>
          <w:b/>
          <w:lang w:val="pl-PL"/>
        </w:rPr>
        <w:t>Najczęstszym działaniem niepożądanym</w:t>
      </w:r>
      <w:r w:rsidR="00E45702">
        <w:rPr>
          <w:b/>
          <w:lang w:val="pl-PL"/>
        </w:rPr>
        <w:t xml:space="preserve"> </w:t>
      </w:r>
      <w:r w:rsidR="008B0219" w:rsidRPr="008B0219">
        <w:rPr>
          <w:b/>
          <w:lang w:val="pl-PL"/>
        </w:rPr>
        <w:t xml:space="preserve">zgłaszanym </w:t>
      </w:r>
      <w:r w:rsidRPr="008B0219">
        <w:rPr>
          <w:b/>
          <w:lang w:val="pl-PL"/>
        </w:rPr>
        <w:t xml:space="preserve">podczas stosowania leku </w:t>
      </w:r>
      <w:r w:rsidR="00B04330">
        <w:rPr>
          <w:b/>
          <w:lang w:val="pl-PL"/>
        </w:rPr>
        <w:t>Plavix</w:t>
      </w:r>
      <w:r>
        <w:rPr>
          <w:lang w:val="pl-PL"/>
        </w:rPr>
        <w:t xml:space="preserve"> </w:t>
      </w:r>
      <w:r w:rsidRPr="008B0219">
        <w:rPr>
          <w:b/>
          <w:lang w:val="pl-PL"/>
        </w:rPr>
        <w:t>jest krwawienie</w:t>
      </w:r>
      <w:r w:rsidR="008F5418">
        <w:rPr>
          <w:b/>
          <w:lang w:val="pl-PL"/>
        </w:rPr>
        <w:t>.</w:t>
      </w:r>
      <w:r>
        <w:rPr>
          <w:lang w:val="pl-PL"/>
        </w:rPr>
        <w:t xml:space="preserve"> </w:t>
      </w:r>
      <w:r w:rsidR="008F5418">
        <w:rPr>
          <w:lang w:val="pl-PL"/>
        </w:rPr>
        <w:t xml:space="preserve">Krwawienie może wystąpić jako krwawienie w żołądku lub jelitach, </w:t>
      </w:r>
      <w:r>
        <w:rPr>
          <w:lang w:val="pl-PL"/>
        </w:rPr>
        <w:t>siniak, krwiak (</w:t>
      </w:r>
      <w:r w:rsidR="00E75276">
        <w:rPr>
          <w:lang w:val="pl-PL"/>
        </w:rPr>
        <w:t>dziw</w:t>
      </w:r>
      <w:r w:rsidR="00966316">
        <w:rPr>
          <w:lang w:val="pl-PL"/>
        </w:rPr>
        <w:t>ne</w:t>
      </w:r>
      <w:r>
        <w:rPr>
          <w:lang w:val="pl-PL"/>
        </w:rPr>
        <w:t xml:space="preserve"> krwawienie lub zasinienie pod skórą), krwawienie z nosa, krew w moczu</w:t>
      </w:r>
      <w:r w:rsidR="00B105F6">
        <w:rPr>
          <w:lang w:val="pl-PL"/>
        </w:rPr>
        <w:t xml:space="preserve">. </w:t>
      </w:r>
      <w:r>
        <w:rPr>
          <w:lang w:val="pl-PL"/>
        </w:rPr>
        <w:t>Donoszono także o</w:t>
      </w:r>
      <w:r w:rsidR="001247FD">
        <w:rPr>
          <w:lang w:val="pl-PL"/>
        </w:rPr>
        <w:t> </w:t>
      </w:r>
      <w:r>
        <w:rPr>
          <w:lang w:val="pl-PL"/>
        </w:rPr>
        <w:t>małej liczbie przypadków krwawienia w oku, do wnętrza głowy, płuc lub stawów.</w:t>
      </w:r>
    </w:p>
    <w:p w:rsidR="006860ED" w:rsidRDefault="006860ED">
      <w:pPr>
        <w:pStyle w:val="BodyText3"/>
        <w:tabs>
          <w:tab w:val="clear" w:pos="567"/>
        </w:tabs>
        <w:spacing w:after="60"/>
        <w:rPr>
          <w:lang w:val="pl-PL"/>
        </w:rPr>
      </w:pPr>
    </w:p>
    <w:p w:rsidR="006860ED" w:rsidRPr="00657EF4" w:rsidRDefault="006860ED" w:rsidP="00022436">
      <w:pPr>
        <w:pStyle w:val="BodyText3"/>
        <w:keepNext/>
        <w:rPr>
          <w:b/>
          <w:szCs w:val="22"/>
          <w:lang w:val="pl-PL"/>
        </w:rPr>
      </w:pPr>
      <w:r w:rsidRPr="00657EF4">
        <w:rPr>
          <w:b/>
          <w:szCs w:val="22"/>
          <w:lang w:val="pl-PL"/>
        </w:rPr>
        <w:t xml:space="preserve">Jeśli wystąpi przedłużone krwawienie podczas stosowania leku </w:t>
      </w:r>
      <w:r w:rsidR="00B04330">
        <w:rPr>
          <w:b/>
          <w:szCs w:val="22"/>
          <w:lang w:val="pl-PL"/>
        </w:rPr>
        <w:t>Plavix</w:t>
      </w:r>
    </w:p>
    <w:p w:rsidR="006860ED" w:rsidRPr="00A64B0E" w:rsidRDefault="006860ED" w:rsidP="006860ED">
      <w:pPr>
        <w:rPr>
          <w:sz w:val="22"/>
          <w:szCs w:val="22"/>
          <w:lang w:val="pl-PL"/>
        </w:rPr>
      </w:pPr>
      <w:r w:rsidRPr="00657EF4">
        <w:rPr>
          <w:sz w:val="22"/>
          <w:szCs w:val="22"/>
          <w:lang w:val="pl-PL"/>
        </w:rPr>
        <w:t>W przypadku skaleczenia lub zranienia, czas jaki upłynie zanim krwawienie ustanie, może być nieco dłuższy niż zwykle. Jest to</w:t>
      </w:r>
      <w:r w:rsidR="00BD5A35" w:rsidRPr="00657EF4">
        <w:rPr>
          <w:sz w:val="22"/>
          <w:szCs w:val="22"/>
          <w:lang w:val="pl-PL"/>
        </w:rPr>
        <w:t xml:space="preserve"> związane ze sposobem działania</w:t>
      </w:r>
      <w:r w:rsidRPr="00657EF4">
        <w:rPr>
          <w:sz w:val="22"/>
          <w:szCs w:val="22"/>
          <w:lang w:val="pl-PL"/>
        </w:rPr>
        <w:t xml:space="preserve"> leku</w:t>
      </w:r>
      <w:r w:rsidR="00BD5A35" w:rsidRPr="00657EF4">
        <w:rPr>
          <w:sz w:val="22"/>
          <w:szCs w:val="22"/>
          <w:lang w:val="pl-PL"/>
        </w:rPr>
        <w:t>, ponieważ zapobiega powstawaniu zakrzepów krwi</w:t>
      </w:r>
      <w:r w:rsidRPr="00657EF4">
        <w:rPr>
          <w:sz w:val="22"/>
          <w:szCs w:val="22"/>
          <w:lang w:val="pl-PL"/>
        </w:rPr>
        <w:t xml:space="preserve">. Nie sprawia to </w:t>
      </w:r>
      <w:r w:rsidR="00BD5A35" w:rsidRPr="00657EF4">
        <w:rPr>
          <w:sz w:val="22"/>
          <w:szCs w:val="22"/>
          <w:lang w:val="pl-PL"/>
        </w:rPr>
        <w:t xml:space="preserve">zwykle </w:t>
      </w:r>
      <w:r w:rsidRPr="00657EF4">
        <w:rPr>
          <w:sz w:val="22"/>
          <w:szCs w:val="22"/>
          <w:lang w:val="pl-PL"/>
        </w:rPr>
        <w:t>kłopotów p</w:t>
      </w:r>
      <w:r w:rsidR="00A36DFA">
        <w:rPr>
          <w:sz w:val="22"/>
          <w:szCs w:val="22"/>
          <w:lang w:val="pl-PL"/>
        </w:rPr>
        <w:t>rzy</w:t>
      </w:r>
      <w:r w:rsidRPr="00657EF4">
        <w:rPr>
          <w:sz w:val="22"/>
          <w:szCs w:val="22"/>
          <w:lang w:val="pl-PL"/>
        </w:rPr>
        <w:t xml:space="preserve"> niewielkich skaleczeniach i zranieniach np.</w:t>
      </w:r>
      <w:r w:rsidR="004723F2" w:rsidRPr="00CD2AE9">
        <w:rPr>
          <w:sz w:val="22"/>
          <w:szCs w:val="22"/>
          <w:lang w:val="pl-PL"/>
        </w:rPr>
        <w:t> </w:t>
      </w:r>
      <w:r w:rsidRPr="00657EF4">
        <w:rPr>
          <w:sz w:val="22"/>
          <w:szCs w:val="22"/>
          <w:lang w:val="pl-PL"/>
        </w:rPr>
        <w:t>skaleczenia w czasie golenia. Tym niemniej, w prz</w:t>
      </w:r>
      <w:r w:rsidR="00657EF4" w:rsidRPr="00657EF4">
        <w:rPr>
          <w:sz w:val="22"/>
          <w:szCs w:val="22"/>
          <w:lang w:val="pl-PL"/>
        </w:rPr>
        <w:t>ypadku wystąpienia krwawienia</w:t>
      </w:r>
      <w:r w:rsidRPr="00657EF4">
        <w:rPr>
          <w:sz w:val="22"/>
          <w:szCs w:val="22"/>
          <w:lang w:val="pl-PL"/>
        </w:rPr>
        <w:t xml:space="preserve"> należy niezwłocznie skontaktować się z lekarzem prowadzącym</w:t>
      </w:r>
      <w:r w:rsidR="00657EF4" w:rsidRPr="00657EF4">
        <w:rPr>
          <w:sz w:val="22"/>
          <w:szCs w:val="22"/>
          <w:lang w:val="pl-PL"/>
        </w:rPr>
        <w:t xml:space="preserve"> (patrz punkt </w:t>
      </w:r>
      <w:r w:rsidR="00992489">
        <w:rPr>
          <w:sz w:val="22"/>
          <w:szCs w:val="22"/>
          <w:lang w:val="pl-PL"/>
        </w:rPr>
        <w:t>2</w:t>
      </w:r>
      <w:r w:rsidR="00657EF4" w:rsidRPr="00657EF4">
        <w:rPr>
          <w:sz w:val="22"/>
          <w:szCs w:val="22"/>
          <w:lang w:val="pl-PL"/>
        </w:rPr>
        <w:t xml:space="preserve"> „</w:t>
      </w:r>
      <w:r w:rsidR="00166BD0" w:rsidRPr="00A64B0E">
        <w:rPr>
          <w:sz w:val="22"/>
          <w:szCs w:val="22"/>
          <w:lang w:val="pl-PL"/>
        </w:rPr>
        <w:t>Ostrzeżenia i środki ostrożności</w:t>
      </w:r>
      <w:r w:rsidR="00657EF4" w:rsidRPr="00A64B0E">
        <w:rPr>
          <w:sz w:val="22"/>
          <w:szCs w:val="22"/>
          <w:lang w:val="pl-PL"/>
        </w:rPr>
        <w:t>”).</w:t>
      </w:r>
    </w:p>
    <w:p w:rsidR="006860ED" w:rsidRPr="003812B7" w:rsidRDefault="006860ED">
      <w:pPr>
        <w:pStyle w:val="BodyText3"/>
        <w:tabs>
          <w:tab w:val="clear" w:pos="567"/>
        </w:tabs>
        <w:spacing w:after="60"/>
        <w:rPr>
          <w:szCs w:val="22"/>
          <w:lang w:val="pl-PL"/>
        </w:rPr>
      </w:pPr>
    </w:p>
    <w:p w:rsidR="00BC4936" w:rsidRPr="00657EF4" w:rsidRDefault="00BC4936">
      <w:pPr>
        <w:rPr>
          <w:b/>
          <w:sz w:val="22"/>
          <w:lang w:val="pl-PL"/>
        </w:rPr>
      </w:pPr>
      <w:r w:rsidRPr="00657EF4">
        <w:rPr>
          <w:b/>
          <w:sz w:val="22"/>
          <w:lang w:val="pl-PL"/>
        </w:rPr>
        <w:t>Inne działania niepożądane to:</w:t>
      </w:r>
    </w:p>
    <w:p w:rsidR="001A693B" w:rsidRPr="003812B7" w:rsidRDefault="00D34DCC" w:rsidP="00D34DCC">
      <w:pPr>
        <w:rPr>
          <w:sz w:val="22"/>
          <w:szCs w:val="22"/>
          <w:lang w:val="pl-PL"/>
        </w:rPr>
      </w:pPr>
      <w:r w:rsidRPr="003812B7">
        <w:rPr>
          <w:sz w:val="22"/>
          <w:szCs w:val="22"/>
          <w:lang w:val="pl-PL"/>
        </w:rPr>
        <w:t>Częst</w:t>
      </w:r>
      <w:r w:rsidR="001D20F7" w:rsidRPr="003812B7">
        <w:rPr>
          <w:sz w:val="22"/>
          <w:szCs w:val="22"/>
          <w:lang w:val="pl-PL"/>
        </w:rPr>
        <w:t>e działania niepożądane</w:t>
      </w:r>
      <w:r w:rsidR="001A693B" w:rsidRPr="003812B7">
        <w:rPr>
          <w:sz w:val="22"/>
          <w:szCs w:val="22"/>
          <w:lang w:val="pl-PL"/>
        </w:rPr>
        <w:t xml:space="preserve"> </w:t>
      </w:r>
      <w:r w:rsidR="001A693B" w:rsidRPr="00A64B0E">
        <w:rPr>
          <w:sz w:val="22"/>
          <w:szCs w:val="22"/>
          <w:lang w:val="pl-PL"/>
        </w:rPr>
        <w:t>(</w:t>
      </w:r>
      <w:r w:rsidR="007177F4" w:rsidRPr="00A64B0E">
        <w:rPr>
          <w:sz w:val="22"/>
          <w:szCs w:val="22"/>
          <w:lang w:val="pl-PL"/>
        </w:rPr>
        <w:t>mogą dotyczyć</w:t>
      </w:r>
      <w:r w:rsidR="001A693B" w:rsidRPr="00A64B0E">
        <w:rPr>
          <w:sz w:val="22"/>
          <w:szCs w:val="22"/>
          <w:lang w:val="pl-PL"/>
        </w:rPr>
        <w:t xml:space="preserve"> 1 na 10 pacjentów)</w:t>
      </w:r>
      <w:r w:rsidRPr="00A64B0E">
        <w:rPr>
          <w:sz w:val="22"/>
          <w:szCs w:val="22"/>
          <w:lang w:val="pl-PL"/>
        </w:rPr>
        <w:t>:</w:t>
      </w:r>
      <w:r w:rsidRPr="003812B7">
        <w:rPr>
          <w:sz w:val="22"/>
          <w:szCs w:val="22"/>
          <w:lang w:val="pl-PL"/>
        </w:rPr>
        <w:t xml:space="preserve"> </w:t>
      </w:r>
    </w:p>
    <w:p w:rsidR="00D34DCC" w:rsidRPr="001B7BDC" w:rsidRDefault="001A693B" w:rsidP="00D34DCC">
      <w:pPr>
        <w:rPr>
          <w:sz w:val="22"/>
          <w:szCs w:val="22"/>
          <w:lang w:val="pl-PL"/>
        </w:rPr>
      </w:pPr>
      <w:r w:rsidRPr="001B7BDC">
        <w:rPr>
          <w:sz w:val="22"/>
          <w:szCs w:val="22"/>
          <w:lang w:val="pl-PL"/>
        </w:rPr>
        <w:t>B</w:t>
      </w:r>
      <w:r w:rsidR="00D34DCC" w:rsidRPr="001B7BDC">
        <w:rPr>
          <w:sz w:val="22"/>
          <w:szCs w:val="22"/>
          <w:lang w:val="pl-PL"/>
        </w:rPr>
        <w:t>iegunka, bóle brzucha, niestrawność lub zgaga.</w:t>
      </w:r>
    </w:p>
    <w:p w:rsidR="00D34DCC" w:rsidRPr="001B7BDC" w:rsidRDefault="00D34DCC" w:rsidP="00D34DCC">
      <w:pPr>
        <w:rPr>
          <w:sz w:val="22"/>
          <w:szCs w:val="22"/>
          <w:lang w:val="pl-PL"/>
        </w:rPr>
      </w:pPr>
    </w:p>
    <w:p w:rsidR="001A693B" w:rsidRPr="003812B7" w:rsidRDefault="00BD69B9" w:rsidP="00BD69B9">
      <w:pPr>
        <w:rPr>
          <w:sz w:val="22"/>
          <w:szCs w:val="22"/>
          <w:lang w:val="pl-PL"/>
        </w:rPr>
      </w:pPr>
      <w:r w:rsidRPr="00157707">
        <w:rPr>
          <w:sz w:val="22"/>
          <w:szCs w:val="22"/>
          <w:lang w:val="pl-PL"/>
        </w:rPr>
        <w:t>Niezbyt częst</w:t>
      </w:r>
      <w:r w:rsidR="001D20F7" w:rsidRPr="00157707">
        <w:rPr>
          <w:sz w:val="22"/>
          <w:szCs w:val="22"/>
          <w:lang w:val="pl-PL"/>
        </w:rPr>
        <w:t>e działania niepożądane</w:t>
      </w:r>
      <w:r w:rsidR="001A693B" w:rsidRPr="00157707">
        <w:rPr>
          <w:sz w:val="22"/>
          <w:szCs w:val="22"/>
          <w:lang w:val="pl-PL"/>
        </w:rPr>
        <w:t xml:space="preserve"> (</w:t>
      </w:r>
      <w:r w:rsidR="007177F4" w:rsidRPr="00A64B0E">
        <w:rPr>
          <w:sz w:val="22"/>
          <w:szCs w:val="22"/>
          <w:lang w:val="pl-PL"/>
        </w:rPr>
        <w:t xml:space="preserve">mogą dotyczyć </w:t>
      </w:r>
      <w:r w:rsidR="001A693B" w:rsidRPr="003812B7">
        <w:rPr>
          <w:sz w:val="22"/>
          <w:szCs w:val="22"/>
          <w:lang w:val="pl-PL"/>
        </w:rPr>
        <w:t>1 na 100 pacjentów)</w:t>
      </w:r>
      <w:r w:rsidRPr="003812B7">
        <w:rPr>
          <w:sz w:val="22"/>
          <w:szCs w:val="22"/>
          <w:lang w:val="pl-PL"/>
        </w:rPr>
        <w:t xml:space="preserve">: </w:t>
      </w:r>
    </w:p>
    <w:p w:rsidR="00BD69B9" w:rsidRPr="00293A51" w:rsidRDefault="001A693B" w:rsidP="00BD69B9">
      <w:pPr>
        <w:rPr>
          <w:sz w:val="22"/>
          <w:szCs w:val="22"/>
          <w:lang w:val="pl-PL"/>
        </w:rPr>
      </w:pPr>
      <w:r w:rsidRPr="001B7BDC">
        <w:rPr>
          <w:sz w:val="22"/>
          <w:szCs w:val="22"/>
          <w:lang w:val="pl-PL"/>
        </w:rPr>
        <w:t>B</w:t>
      </w:r>
      <w:r w:rsidR="00BD69B9" w:rsidRPr="001B7BDC">
        <w:rPr>
          <w:sz w:val="22"/>
          <w:szCs w:val="22"/>
          <w:lang w:val="pl-PL"/>
        </w:rPr>
        <w:t xml:space="preserve">ól głowy, </w:t>
      </w:r>
      <w:r w:rsidR="0087437F" w:rsidRPr="001B7BDC">
        <w:rPr>
          <w:sz w:val="22"/>
          <w:szCs w:val="22"/>
          <w:lang w:val="pl-PL"/>
        </w:rPr>
        <w:t>owrzodzen</w:t>
      </w:r>
      <w:r w:rsidR="0087437F" w:rsidRPr="00157707">
        <w:rPr>
          <w:sz w:val="22"/>
          <w:szCs w:val="22"/>
          <w:lang w:val="pl-PL"/>
        </w:rPr>
        <w:t>ie</w:t>
      </w:r>
      <w:r w:rsidR="00BD69B9" w:rsidRPr="00157707">
        <w:rPr>
          <w:sz w:val="22"/>
          <w:szCs w:val="22"/>
          <w:lang w:val="pl-PL"/>
        </w:rPr>
        <w:t xml:space="preserve"> żołądka, wymioty, nudności, zaparcie, nadmiar gazów w żołądku lub jelitach, wysypki, świąd, zawroty głowy, </w:t>
      </w:r>
      <w:r w:rsidR="00986BEB" w:rsidRPr="00157707">
        <w:rPr>
          <w:sz w:val="22"/>
          <w:szCs w:val="22"/>
          <w:lang w:val="pl-PL"/>
        </w:rPr>
        <w:t>uczucie ścierpnięcia lub zdrętwienia</w:t>
      </w:r>
      <w:r w:rsidR="00992489" w:rsidRPr="00293A51">
        <w:rPr>
          <w:sz w:val="22"/>
          <w:szCs w:val="22"/>
          <w:lang w:val="pl-PL"/>
        </w:rPr>
        <w:t>.</w:t>
      </w:r>
    </w:p>
    <w:p w:rsidR="00BD69B9" w:rsidRPr="00687CFB" w:rsidRDefault="00BD69B9" w:rsidP="00BD69B9">
      <w:pPr>
        <w:rPr>
          <w:sz w:val="22"/>
          <w:szCs w:val="22"/>
          <w:lang w:val="pl-PL"/>
        </w:rPr>
      </w:pPr>
    </w:p>
    <w:p w:rsidR="001A693B" w:rsidRPr="009E2542" w:rsidRDefault="00BD69B9" w:rsidP="00BD69B9">
      <w:pPr>
        <w:rPr>
          <w:sz w:val="22"/>
          <w:szCs w:val="22"/>
          <w:lang w:val="pl-PL"/>
        </w:rPr>
      </w:pPr>
      <w:r w:rsidRPr="009E2542">
        <w:rPr>
          <w:sz w:val="22"/>
          <w:szCs w:val="22"/>
          <w:lang w:val="pl-PL"/>
        </w:rPr>
        <w:t>Rzadkie działan</w:t>
      </w:r>
      <w:r w:rsidR="001D20F7" w:rsidRPr="009E2542">
        <w:rPr>
          <w:sz w:val="22"/>
          <w:szCs w:val="22"/>
          <w:lang w:val="pl-PL"/>
        </w:rPr>
        <w:t>ia niepożądane</w:t>
      </w:r>
      <w:r w:rsidR="001A693B" w:rsidRPr="009E2542">
        <w:rPr>
          <w:sz w:val="22"/>
          <w:szCs w:val="22"/>
          <w:lang w:val="pl-PL"/>
        </w:rPr>
        <w:t xml:space="preserve"> (</w:t>
      </w:r>
      <w:r w:rsidR="007177F4" w:rsidRPr="009E2542">
        <w:rPr>
          <w:sz w:val="22"/>
          <w:szCs w:val="22"/>
          <w:lang w:val="pl-PL"/>
        </w:rPr>
        <w:t xml:space="preserve">mogą dotyczyć </w:t>
      </w:r>
      <w:r w:rsidR="001A693B" w:rsidRPr="009E2542">
        <w:rPr>
          <w:sz w:val="22"/>
          <w:szCs w:val="22"/>
          <w:lang w:val="pl-PL"/>
        </w:rPr>
        <w:t>1 na 1000 pacjentów)</w:t>
      </w:r>
      <w:r w:rsidRPr="009E2542">
        <w:rPr>
          <w:sz w:val="22"/>
          <w:szCs w:val="22"/>
          <w:lang w:val="pl-PL"/>
        </w:rPr>
        <w:t>:</w:t>
      </w:r>
    </w:p>
    <w:p w:rsidR="00BD69B9" w:rsidRPr="009E2542" w:rsidRDefault="001A693B" w:rsidP="00BD69B9">
      <w:pPr>
        <w:rPr>
          <w:sz w:val="22"/>
          <w:szCs w:val="22"/>
          <w:lang w:val="pl-PL"/>
        </w:rPr>
      </w:pPr>
      <w:r w:rsidRPr="009E2542">
        <w:rPr>
          <w:sz w:val="22"/>
          <w:szCs w:val="22"/>
          <w:lang w:val="pl-PL"/>
        </w:rPr>
        <w:t>Z</w:t>
      </w:r>
      <w:r w:rsidR="00BD69B9" w:rsidRPr="009E2542">
        <w:rPr>
          <w:sz w:val="22"/>
          <w:szCs w:val="22"/>
          <w:lang w:val="pl-PL"/>
        </w:rPr>
        <w:t>awroty głowy pochodzenia błędnikowego</w:t>
      </w:r>
      <w:r w:rsidR="005E100A" w:rsidRPr="009E2542">
        <w:rPr>
          <w:sz w:val="22"/>
          <w:szCs w:val="22"/>
          <w:lang w:val="pl-PL"/>
        </w:rPr>
        <w:t>, powiększenie piersi u mężczyzn.</w:t>
      </w:r>
    </w:p>
    <w:p w:rsidR="00BD69B9" w:rsidRPr="009E2542" w:rsidRDefault="00BD69B9" w:rsidP="00BD69B9">
      <w:pPr>
        <w:rPr>
          <w:sz w:val="22"/>
          <w:szCs w:val="22"/>
          <w:lang w:val="pl-PL"/>
        </w:rPr>
      </w:pPr>
    </w:p>
    <w:p w:rsidR="001A693B" w:rsidRPr="003812B7" w:rsidRDefault="00BD69B9" w:rsidP="00BD69B9">
      <w:pPr>
        <w:rPr>
          <w:sz w:val="22"/>
          <w:szCs w:val="22"/>
          <w:lang w:val="pl-PL"/>
        </w:rPr>
      </w:pPr>
      <w:r w:rsidRPr="009E2542">
        <w:rPr>
          <w:sz w:val="22"/>
          <w:szCs w:val="22"/>
          <w:lang w:val="pl-PL"/>
        </w:rPr>
        <w:t>Bardzo rzadki</w:t>
      </w:r>
      <w:r w:rsidR="001D20F7" w:rsidRPr="009E2542">
        <w:rPr>
          <w:sz w:val="22"/>
          <w:szCs w:val="22"/>
          <w:lang w:val="pl-PL"/>
        </w:rPr>
        <w:t>e działania niepożądane</w:t>
      </w:r>
      <w:r w:rsidR="001A693B" w:rsidRPr="009E2542">
        <w:rPr>
          <w:sz w:val="22"/>
          <w:szCs w:val="22"/>
          <w:lang w:val="pl-PL"/>
        </w:rPr>
        <w:t xml:space="preserve"> (</w:t>
      </w:r>
      <w:r w:rsidR="007177F4" w:rsidRPr="009E2542">
        <w:rPr>
          <w:sz w:val="22"/>
          <w:szCs w:val="22"/>
          <w:lang w:val="pl-PL"/>
        </w:rPr>
        <w:t xml:space="preserve">mogą dotyczyć </w:t>
      </w:r>
      <w:r w:rsidR="001A693B" w:rsidRPr="009E2542">
        <w:rPr>
          <w:sz w:val="22"/>
          <w:szCs w:val="22"/>
          <w:lang w:val="pl-PL"/>
        </w:rPr>
        <w:t>1 na</w:t>
      </w:r>
      <w:r w:rsidR="001A693B" w:rsidRPr="003812B7">
        <w:rPr>
          <w:sz w:val="22"/>
          <w:szCs w:val="22"/>
          <w:lang w:val="pl-PL"/>
        </w:rPr>
        <w:t xml:space="preserve"> 10 000 pacjentów)</w:t>
      </w:r>
      <w:r w:rsidRPr="003812B7">
        <w:rPr>
          <w:sz w:val="22"/>
          <w:szCs w:val="22"/>
          <w:lang w:val="pl-PL"/>
        </w:rPr>
        <w:t xml:space="preserve">: </w:t>
      </w:r>
    </w:p>
    <w:p w:rsidR="00BD69B9" w:rsidRDefault="00992489" w:rsidP="00BD69B9">
      <w:pPr>
        <w:rPr>
          <w:sz w:val="22"/>
          <w:lang w:val="pl-PL"/>
        </w:rPr>
      </w:pPr>
      <w:r>
        <w:rPr>
          <w:sz w:val="22"/>
          <w:lang w:val="pl-PL"/>
        </w:rPr>
        <w:t>Ż</w:t>
      </w:r>
      <w:r w:rsidR="00BD69B9">
        <w:rPr>
          <w:sz w:val="22"/>
          <w:lang w:val="pl-PL"/>
        </w:rPr>
        <w:t>ółtaczka</w:t>
      </w:r>
      <w:r w:rsidR="001247FD">
        <w:rPr>
          <w:sz w:val="22"/>
          <w:lang w:val="pl-PL"/>
        </w:rPr>
        <w:t>,</w:t>
      </w:r>
      <w:r w:rsidR="00BD69B9">
        <w:rPr>
          <w:sz w:val="22"/>
          <w:lang w:val="pl-PL"/>
        </w:rPr>
        <w:t xml:space="preserve"> silne bóle brzucha z lub bez bólu pleców</w:t>
      </w:r>
      <w:r w:rsidR="001247FD">
        <w:rPr>
          <w:sz w:val="22"/>
          <w:lang w:val="pl-PL"/>
        </w:rPr>
        <w:t>,</w:t>
      </w:r>
      <w:r w:rsidR="00BD69B9" w:rsidRPr="009032F7">
        <w:rPr>
          <w:sz w:val="22"/>
          <w:lang w:val="pl-PL"/>
        </w:rPr>
        <w:t xml:space="preserve"> gorączka, trudności w oddychaniu, czasami skojarzone z kaszlem</w:t>
      </w:r>
      <w:r w:rsidR="001247FD">
        <w:rPr>
          <w:sz w:val="22"/>
          <w:lang w:val="pl-PL"/>
        </w:rPr>
        <w:t>,</w:t>
      </w:r>
      <w:r w:rsidR="00BD69B9" w:rsidRPr="009032F7">
        <w:rPr>
          <w:sz w:val="22"/>
          <w:lang w:val="pl-PL"/>
        </w:rPr>
        <w:t xml:space="preserve"> uogólnione reakcje alergiczne</w:t>
      </w:r>
      <w:r w:rsidR="00F82D61">
        <w:rPr>
          <w:sz w:val="22"/>
          <w:lang w:val="pl-PL"/>
        </w:rPr>
        <w:t xml:space="preserve"> </w:t>
      </w:r>
      <w:r w:rsidR="00F82D61" w:rsidRPr="009032F7">
        <w:rPr>
          <w:sz w:val="22"/>
          <w:lang w:val="pl-PL"/>
        </w:rPr>
        <w:t>(na przykład, ogólne uczucie gorąca z nagłym ogólnym złym samopoczuciem aż do omdlenia)</w:t>
      </w:r>
      <w:r w:rsidR="001247FD">
        <w:rPr>
          <w:sz w:val="22"/>
          <w:lang w:val="pl-PL"/>
        </w:rPr>
        <w:t>,</w:t>
      </w:r>
      <w:r w:rsidR="00BD69B9" w:rsidRPr="009032F7">
        <w:rPr>
          <w:sz w:val="22"/>
          <w:lang w:val="pl-PL"/>
        </w:rPr>
        <w:t xml:space="preserve"> obrzęk ust</w:t>
      </w:r>
      <w:r w:rsidR="001247FD">
        <w:rPr>
          <w:sz w:val="22"/>
          <w:lang w:val="pl-PL"/>
        </w:rPr>
        <w:t>,</w:t>
      </w:r>
      <w:r w:rsidR="00BD69B9" w:rsidRPr="009032F7">
        <w:rPr>
          <w:sz w:val="22"/>
          <w:lang w:val="pl-PL"/>
        </w:rPr>
        <w:t xml:space="preserve"> pęcherze skórne</w:t>
      </w:r>
      <w:r w:rsidR="001247FD">
        <w:rPr>
          <w:sz w:val="22"/>
          <w:lang w:val="pl-PL"/>
        </w:rPr>
        <w:t>,</w:t>
      </w:r>
      <w:r w:rsidR="00BD69B9" w:rsidRPr="009032F7">
        <w:rPr>
          <w:sz w:val="22"/>
          <w:lang w:val="pl-PL"/>
        </w:rPr>
        <w:t xml:space="preserve"> alergia skórna</w:t>
      </w:r>
      <w:r w:rsidR="001247FD">
        <w:rPr>
          <w:sz w:val="22"/>
          <w:lang w:val="pl-PL"/>
        </w:rPr>
        <w:t>,</w:t>
      </w:r>
      <w:r w:rsidR="00BD69B9" w:rsidRPr="009032F7">
        <w:rPr>
          <w:sz w:val="22"/>
          <w:lang w:val="pl-PL"/>
        </w:rPr>
        <w:t xml:space="preserve"> zapalenie błony śluzowej jamy ustnej (zapalenie jamy ustnej)</w:t>
      </w:r>
      <w:r w:rsidR="001247FD">
        <w:rPr>
          <w:sz w:val="22"/>
          <w:lang w:val="pl-PL"/>
        </w:rPr>
        <w:t>,</w:t>
      </w:r>
      <w:r w:rsidR="00BD69B9">
        <w:rPr>
          <w:sz w:val="22"/>
          <w:lang w:val="pl-PL"/>
        </w:rPr>
        <w:t xml:space="preserve"> obniżenie ciśnienia krwi</w:t>
      </w:r>
      <w:r w:rsidR="001247FD">
        <w:rPr>
          <w:sz w:val="22"/>
          <w:lang w:val="pl-PL"/>
        </w:rPr>
        <w:t xml:space="preserve">, </w:t>
      </w:r>
      <w:r w:rsidR="00BD69B9">
        <w:rPr>
          <w:sz w:val="22"/>
          <w:lang w:val="pl-PL"/>
        </w:rPr>
        <w:t>stan dezorientacji</w:t>
      </w:r>
      <w:r w:rsidR="001247FD">
        <w:rPr>
          <w:sz w:val="22"/>
          <w:lang w:val="pl-PL"/>
        </w:rPr>
        <w:t>,</w:t>
      </w:r>
      <w:r w:rsidR="00BD69B9">
        <w:rPr>
          <w:sz w:val="22"/>
          <w:lang w:val="pl-PL"/>
        </w:rPr>
        <w:t xml:space="preserve"> omamy</w:t>
      </w:r>
      <w:r w:rsidR="001247FD">
        <w:rPr>
          <w:sz w:val="22"/>
          <w:lang w:val="pl-PL"/>
        </w:rPr>
        <w:t>,</w:t>
      </w:r>
      <w:r w:rsidR="00BD69B9">
        <w:rPr>
          <w:sz w:val="22"/>
          <w:lang w:val="pl-PL"/>
        </w:rPr>
        <w:t xml:space="preserve"> bóle stawów</w:t>
      </w:r>
      <w:r w:rsidR="001247FD">
        <w:rPr>
          <w:sz w:val="22"/>
          <w:lang w:val="pl-PL"/>
        </w:rPr>
        <w:t>,</w:t>
      </w:r>
      <w:r w:rsidR="00BD69B9">
        <w:rPr>
          <w:sz w:val="22"/>
          <w:lang w:val="pl-PL"/>
        </w:rPr>
        <w:t xml:space="preserve"> bóle mięśniowe</w:t>
      </w:r>
      <w:r w:rsidR="001247FD">
        <w:rPr>
          <w:sz w:val="22"/>
          <w:lang w:val="pl-PL"/>
        </w:rPr>
        <w:t>,</w:t>
      </w:r>
      <w:r w:rsidR="00BD69B9">
        <w:rPr>
          <w:sz w:val="22"/>
          <w:lang w:val="pl-PL"/>
        </w:rPr>
        <w:t xml:space="preserve"> zaburzenia smaku</w:t>
      </w:r>
      <w:r w:rsidR="00001800">
        <w:rPr>
          <w:sz w:val="22"/>
          <w:lang w:val="pl-PL"/>
        </w:rPr>
        <w:t xml:space="preserve"> lub utrata smaku</w:t>
      </w:r>
      <w:r w:rsidR="00BD69B9">
        <w:rPr>
          <w:sz w:val="22"/>
          <w:lang w:val="pl-PL"/>
        </w:rPr>
        <w:t>.</w:t>
      </w:r>
    </w:p>
    <w:p w:rsidR="006B54C8" w:rsidRDefault="006B54C8" w:rsidP="00BD69B9">
      <w:pPr>
        <w:rPr>
          <w:sz w:val="22"/>
          <w:lang w:val="pl-PL"/>
        </w:rPr>
      </w:pPr>
    </w:p>
    <w:p w:rsidR="006B54C8" w:rsidRDefault="006B54C8" w:rsidP="00BD69B9">
      <w:pPr>
        <w:rPr>
          <w:sz w:val="22"/>
          <w:lang w:val="pl-PL"/>
        </w:rPr>
      </w:pPr>
      <w:r>
        <w:rPr>
          <w:sz w:val="22"/>
          <w:lang w:val="pl-PL"/>
        </w:rPr>
        <w:t>Działania niepożądane o nieznanej częstości (częstość nie może być określona na podstawie dostępnych danych):</w:t>
      </w:r>
    </w:p>
    <w:p w:rsidR="006B54C8" w:rsidRDefault="006B54C8" w:rsidP="00BD69B9">
      <w:pPr>
        <w:rPr>
          <w:sz w:val="22"/>
          <w:lang w:val="pl-PL"/>
        </w:rPr>
      </w:pPr>
      <w:r>
        <w:rPr>
          <w:sz w:val="22"/>
          <w:lang w:val="pl-PL"/>
        </w:rPr>
        <w:t>Reakcje nadwrażliwości z bólem w klatce piersiowej lub bólem brzucha</w:t>
      </w:r>
      <w:r w:rsidR="00EA7166">
        <w:rPr>
          <w:sz w:val="22"/>
          <w:lang w:val="pl-PL"/>
        </w:rPr>
        <w:t>, utrzymujące się objawy niskiego stężenia cukru we krwi</w:t>
      </w:r>
      <w:r w:rsidR="004426C6">
        <w:rPr>
          <w:sz w:val="22"/>
          <w:lang w:val="pl-PL"/>
        </w:rPr>
        <w:t>.</w:t>
      </w:r>
    </w:p>
    <w:p w:rsidR="00D34DCC" w:rsidRDefault="00D34DCC" w:rsidP="00D34DCC">
      <w:pPr>
        <w:rPr>
          <w:sz w:val="22"/>
          <w:lang w:val="pl-PL"/>
        </w:rPr>
      </w:pPr>
    </w:p>
    <w:p w:rsidR="00C70FC3" w:rsidRDefault="00C70FC3" w:rsidP="00C70FC3">
      <w:pPr>
        <w:rPr>
          <w:sz w:val="22"/>
          <w:lang w:val="pl-PL"/>
        </w:rPr>
      </w:pPr>
      <w:r>
        <w:rPr>
          <w:sz w:val="22"/>
          <w:lang w:val="pl-PL"/>
        </w:rPr>
        <w:t xml:space="preserve">Ponadto lekarz prowadzący może wykryć zmiany w </w:t>
      </w:r>
      <w:r w:rsidR="00A511C7">
        <w:rPr>
          <w:sz w:val="22"/>
          <w:lang w:val="pl-PL"/>
        </w:rPr>
        <w:t>wynikach badań</w:t>
      </w:r>
      <w:r>
        <w:rPr>
          <w:sz w:val="22"/>
          <w:lang w:val="pl-PL"/>
        </w:rPr>
        <w:t xml:space="preserve"> krwi lub moczu.</w:t>
      </w:r>
    </w:p>
    <w:p w:rsidR="000F7CD8" w:rsidRDefault="000F7CD8" w:rsidP="000F7CD8">
      <w:pPr>
        <w:rPr>
          <w:b/>
          <w:bCs/>
          <w:lang w:val="pl-PL"/>
        </w:rPr>
      </w:pPr>
    </w:p>
    <w:p w:rsidR="000F7CD8" w:rsidRPr="001D77E5" w:rsidRDefault="000F7CD8" w:rsidP="000F7CD8">
      <w:pPr>
        <w:rPr>
          <w:b/>
          <w:bCs/>
          <w:sz w:val="22"/>
          <w:szCs w:val="22"/>
          <w:lang w:val="pl-PL"/>
        </w:rPr>
      </w:pPr>
      <w:r w:rsidRPr="001D77E5">
        <w:rPr>
          <w:b/>
          <w:bCs/>
          <w:sz w:val="22"/>
          <w:szCs w:val="22"/>
          <w:lang w:val="pl-PL"/>
        </w:rPr>
        <w:t>Zgłaszanie działań niepożądanych</w:t>
      </w:r>
    </w:p>
    <w:p w:rsidR="000F7CD8" w:rsidRPr="001D77E5" w:rsidRDefault="000F7CD8" w:rsidP="000F7CD8">
      <w:pPr>
        <w:rPr>
          <w:sz w:val="22"/>
          <w:szCs w:val="22"/>
          <w:lang w:val="pl-PL"/>
        </w:rPr>
      </w:pPr>
      <w:r w:rsidRPr="001D77E5">
        <w:rPr>
          <w:sz w:val="22"/>
          <w:szCs w:val="22"/>
          <w:lang w:val="pl-PL"/>
        </w:rPr>
        <w:t xml:space="preserve">Jeśli wystąpią jakiekolwiek objawy niepożądane, w tym wszelkie objawy niepożądane niewymienione w ulotce, należy powiedzieć o </w:t>
      </w:r>
      <w:r w:rsidRPr="000F7CD8">
        <w:rPr>
          <w:sz w:val="22"/>
          <w:szCs w:val="22"/>
          <w:lang w:val="pl-PL"/>
        </w:rPr>
        <w:t>tym lekarzowi</w:t>
      </w:r>
      <w:r w:rsidRPr="001D77E5">
        <w:rPr>
          <w:sz w:val="22"/>
          <w:szCs w:val="22"/>
          <w:lang w:val="pl-PL"/>
        </w:rPr>
        <w:t xml:space="preserve"> lub farmaceucie. Działania niepożądane można zgłaszać bezpośrednio do </w:t>
      </w:r>
      <w:r w:rsidRPr="00AE05B3">
        <w:rPr>
          <w:sz w:val="22"/>
          <w:szCs w:val="22"/>
          <w:highlight w:val="lightGray"/>
          <w:lang w:val="pl-PL"/>
        </w:rPr>
        <w:t xml:space="preserve">krajowego systemu zgłaszania wymienionego w </w:t>
      </w:r>
      <w:hyperlink r:id="rId12" w:history="1">
        <w:r w:rsidR="00ED6517" w:rsidRPr="00AE05B3">
          <w:rPr>
            <w:color w:val="0000FF"/>
            <w:sz w:val="22"/>
            <w:highlight w:val="lightGray"/>
            <w:u w:val="single"/>
            <w:lang w:val="pl-PL" w:eastAsia="en-US"/>
          </w:rPr>
          <w:t>załączniku V</w:t>
        </w:r>
      </w:hyperlink>
      <w:r w:rsidRPr="001D77E5">
        <w:rPr>
          <w:sz w:val="22"/>
          <w:szCs w:val="22"/>
          <w:lang w:val="pl-PL"/>
        </w:rPr>
        <w:t>.</w:t>
      </w:r>
    </w:p>
    <w:p w:rsidR="000F7CD8" w:rsidRPr="001D77E5" w:rsidRDefault="000F7CD8" w:rsidP="000F7CD8">
      <w:pPr>
        <w:rPr>
          <w:sz w:val="22"/>
          <w:szCs w:val="22"/>
          <w:lang w:val="pl-PL"/>
        </w:rPr>
      </w:pPr>
      <w:r w:rsidRPr="001D77E5">
        <w:rPr>
          <w:sz w:val="22"/>
          <w:szCs w:val="22"/>
          <w:lang w:val="pl-PL"/>
        </w:rPr>
        <w:t>Dzięki zgłaszaniu działań niepożądanych można będzie zgromadzić więcej informacji na temat bezpieczeństwa stosowania leku.</w:t>
      </w:r>
    </w:p>
    <w:p w:rsidR="000F7CD8" w:rsidRPr="00022436" w:rsidRDefault="000F7CD8" w:rsidP="000F7CD8">
      <w:pPr>
        <w:rPr>
          <w:sz w:val="22"/>
          <w:szCs w:val="22"/>
          <w:lang w:val="pl-PL"/>
        </w:rPr>
      </w:pPr>
    </w:p>
    <w:p w:rsidR="001C4D46" w:rsidRPr="00022436" w:rsidRDefault="001C4D46">
      <w:pPr>
        <w:tabs>
          <w:tab w:val="left" w:pos="540"/>
        </w:tabs>
        <w:rPr>
          <w:sz w:val="22"/>
          <w:szCs w:val="22"/>
          <w:lang w:val="pl-PL"/>
        </w:rPr>
      </w:pPr>
    </w:p>
    <w:p w:rsidR="001C4D46" w:rsidRPr="00A64B0E" w:rsidRDefault="001C4D46" w:rsidP="00A64B0E">
      <w:pPr>
        <w:pStyle w:val="Footer"/>
        <w:numPr>
          <w:ilvl w:val="3"/>
          <w:numId w:val="26"/>
        </w:numPr>
        <w:tabs>
          <w:tab w:val="clear" w:pos="2880"/>
          <w:tab w:val="num" w:pos="567"/>
        </w:tabs>
        <w:ind w:hanging="2880"/>
        <w:rPr>
          <w:b/>
          <w:sz w:val="22"/>
          <w:szCs w:val="22"/>
          <w:lang w:val="pl-PL"/>
        </w:rPr>
      </w:pPr>
      <w:r w:rsidRPr="00A64B0E">
        <w:rPr>
          <w:b/>
          <w:sz w:val="22"/>
          <w:szCs w:val="22"/>
          <w:lang w:val="pl-PL"/>
        </w:rPr>
        <w:t>Jak przechowywać lek Plavix</w:t>
      </w:r>
    </w:p>
    <w:p w:rsidR="00BC4936" w:rsidRDefault="00BC4936">
      <w:pPr>
        <w:tabs>
          <w:tab w:val="left" w:pos="540"/>
        </w:tabs>
        <w:rPr>
          <w:b/>
          <w:sz w:val="22"/>
          <w:lang w:val="pl-PL"/>
        </w:rPr>
      </w:pPr>
    </w:p>
    <w:p w:rsidR="00BC4936" w:rsidRDefault="00D32572">
      <w:pPr>
        <w:rPr>
          <w:sz w:val="22"/>
          <w:lang w:val="pl-PL"/>
        </w:rPr>
      </w:pPr>
      <w:r>
        <w:rPr>
          <w:sz w:val="22"/>
          <w:lang w:val="pl-PL"/>
        </w:rPr>
        <w:t>Lek należy p</w:t>
      </w:r>
      <w:r w:rsidR="00BC4936">
        <w:rPr>
          <w:sz w:val="22"/>
          <w:lang w:val="pl-PL"/>
        </w:rPr>
        <w:t xml:space="preserve">rzechowywać w miejscu </w:t>
      </w:r>
      <w:r w:rsidR="001C4D46">
        <w:rPr>
          <w:sz w:val="22"/>
          <w:lang w:val="pl-PL"/>
        </w:rPr>
        <w:t xml:space="preserve">niewidocznym i </w:t>
      </w:r>
      <w:r w:rsidR="00BC4936">
        <w:rPr>
          <w:sz w:val="22"/>
          <w:lang w:val="pl-PL"/>
        </w:rPr>
        <w:t xml:space="preserve">niedostępnym dla dzieci. </w:t>
      </w:r>
    </w:p>
    <w:p w:rsidR="001C4D46" w:rsidRDefault="001C4D46">
      <w:pPr>
        <w:pStyle w:val="BodyText3"/>
        <w:tabs>
          <w:tab w:val="clear" w:pos="567"/>
        </w:tabs>
        <w:rPr>
          <w:lang w:val="pl-PL"/>
        </w:rPr>
      </w:pPr>
    </w:p>
    <w:p w:rsidR="004723F2" w:rsidRDefault="00BC4936">
      <w:pPr>
        <w:pStyle w:val="BodyText3"/>
        <w:tabs>
          <w:tab w:val="clear" w:pos="567"/>
        </w:tabs>
        <w:rPr>
          <w:lang w:val="pl-PL"/>
        </w:rPr>
      </w:pPr>
      <w:r>
        <w:rPr>
          <w:lang w:val="pl-PL"/>
        </w:rPr>
        <w:t xml:space="preserve">Nie stosować </w:t>
      </w:r>
      <w:r w:rsidR="001C4D46">
        <w:rPr>
          <w:lang w:val="pl-PL"/>
        </w:rPr>
        <w:t xml:space="preserve">tego </w:t>
      </w:r>
      <w:r>
        <w:rPr>
          <w:lang w:val="pl-PL"/>
        </w:rPr>
        <w:t xml:space="preserve">leku po upływie terminu ważności zamieszczonego na </w:t>
      </w:r>
      <w:r w:rsidR="00062AE8">
        <w:rPr>
          <w:lang w:val="pl-PL"/>
        </w:rPr>
        <w:t>pudełku</w:t>
      </w:r>
      <w:r>
        <w:rPr>
          <w:lang w:val="pl-PL"/>
        </w:rPr>
        <w:t xml:space="preserve"> </w:t>
      </w:r>
      <w:r w:rsidR="00D32572">
        <w:rPr>
          <w:lang w:val="pl-PL"/>
        </w:rPr>
        <w:t>tekturowym oraz</w:t>
      </w:r>
      <w:r>
        <w:rPr>
          <w:lang w:val="pl-PL"/>
        </w:rPr>
        <w:t xml:space="preserve"> na blistrze</w:t>
      </w:r>
      <w:r w:rsidR="007177F4">
        <w:rPr>
          <w:lang w:val="pl-PL"/>
        </w:rPr>
        <w:t xml:space="preserve"> </w:t>
      </w:r>
      <w:r w:rsidR="00D95D34" w:rsidRPr="00713C98">
        <w:rPr>
          <w:szCs w:val="22"/>
          <w:lang w:val="pl-PL"/>
        </w:rPr>
        <w:t xml:space="preserve">po </w:t>
      </w:r>
      <w:r w:rsidR="00D95D34">
        <w:rPr>
          <w:szCs w:val="22"/>
          <w:lang w:val="pl-PL"/>
        </w:rPr>
        <w:t>„Termin ważności (</w:t>
      </w:r>
      <w:r w:rsidR="007177F4">
        <w:rPr>
          <w:lang w:val="pl-PL"/>
        </w:rPr>
        <w:t>EXP</w:t>
      </w:r>
      <w:r w:rsidR="00D95D34">
        <w:rPr>
          <w:lang w:val="pl-PL"/>
        </w:rPr>
        <w:t>)</w:t>
      </w:r>
      <w:r w:rsidR="000C73DF">
        <w:rPr>
          <w:lang w:val="pl-PL"/>
        </w:rPr>
        <w:t>:</w:t>
      </w:r>
      <w:r w:rsidR="00D95D34">
        <w:rPr>
          <w:lang w:val="pl-PL"/>
        </w:rPr>
        <w:t>”</w:t>
      </w:r>
      <w:r>
        <w:rPr>
          <w:lang w:val="pl-PL"/>
        </w:rPr>
        <w:t>.</w:t>
      </w:r>
      <w:r w:rsidR="007177F4">
        <w:rPr>
          <w:lang w:val="pl-PL"/>
        </w:rPr>
        <w:t xml:space="preserve"> </w:t>
      </w:r>
      <w:r w:rsidR="001C4D46">
        <w:rPr>
          <w:lang w:val="pl-PL"/>
        </w:rPr>
        <w:t>Termin ważności oznacza ostatni dzień podanego miesiąca.</w:t>
      </w:r>
    </w:p>
    <w:p w:rsidR="001C4D46" w:rsidRDefault="001C4D46">
      <w:pPr>
        <w:pStyle w:val="BodyText3"/>
        <w:tabs>
          <w:tab w:val="clear" w:pos="567"/>
        </w:tabs>
        <w:rPr>
          <w:lang w:val="pl-PL"/>
        </w:rPr>
      </w:pPr>
    </w:p>
    <w:p w:rsidR="00C35D81" w:rsidRDefault="00C35D81" w:rsidP="00C35D81">
      <w:pPr>
        <w:pStyle w:val="BodyText3"/>
        <w:tabs>
          <w:tab w:val="clear" w:pos="567"/>
        </w:tabs>
        <w:rPr>
          <w:lang w:val="pl-PL"/>
        </w:rPr>
      </w:pPr>
      <w:r>
        <w:rPr>
          <w:lang w:val="pl-PL"/>
        </w:rPr>
        <w:t>Patrz warunki przechowywania na pudełku</w:t>
      </w:r>
      <w:r w:rsidR="004723F2">
        <w:rPr>
          <w:lang w:val="pl-PL"/>
        </w:rPr>
        <w:t xml:space="preserve"> tekturowym</w:t>
      </w:r>
      <w:r>
        <w:rPr>
          <w:lang w:val="pl-PL"/>
        </w:rPr>
        <w:t>.</w:t>
      </w:r>
    </w:p>
    <w:p w:rsidR="00C35D81" w:rsidRDefault="00697432" w:rsidP="00C35D81">
      <w:pPr>
        <w:pStyle w:val="BodyText3"/>
        <w:tabs>
          <w:tab w:val="clear" w:pos="567"/>
        </w:tabs>
        <w:rPr>
          <w:lang w:val="pl-PL"/>
        </w:rPr>
      </w:pPr>
      <w:r>
        <w:rPr>
          <w:lang w:val="pl-PL"/>
        </w:rPr>
        <w:t>Jeśli Plavix</w:t>
      </w:r>
      <w:r w:rsidR="00C35D81">
        <w:rPr>
          <w:lang w:val="pl-PL"/>
        </w:rPr>
        <w:t xml:space="preserve"> jest pakowany w blistry PVC/PVDC/</w:t>
      </w:r>
      <w:r w:rsidR="0087437F">
        <w:rPr>
          <w:lang w:val="pl-PL"/>
        </w:rPr>
        <w:t>A</w:t>
      </w:r>
      <w:r w:rsidR="00C35D81">
        <w:rPr>
          <w:lang w:val="pl-PL"/>
        </w:rPr>
        <w:t>luminium, przechowywać w temperaturze poniżej</w:t>
      </w:r>
      <w:r w:rsidR="00B107EB" w:rsidRPr="00CD2AE9">
        <w:rPr>
          <w:szCs w:val="22"/>
          <w:lang w:val="pl-PL"/>
        </w:rPr>
        <w:t> </w:t>
      </w:r>
      <w:r w:rsidR="00C35D81" w:rsidRPr="00186F08">
        <w:rPr>
          <w:szCs w:val="22"/>
          <w:lang w:val="pl-PL"/>
        </w:rPr>
        <w:t>30°C</w:t>
      </w:r>
      <w:r w:rsidR="003812B7">
        <w:rPr>
          <w:szCs w:val="22"/>
          <w:lang w:val="pl-PL"/>
        </w:rPr>
        <w:t>.</w:t>
      </w:r>
    </w:p>
    <w:p w:rsidR="00C35D81" w:rsidRDefault="00697432" w:rsidP="00C35D81">
      <w:pPr>
        <w:pStyle w:val="BodyText3"/>
        <w:tabs>
          <w:tab w:val="clear" w:pos="567"/>
        </w:tabs>
        <w:rPr>
          <w:lang w:val="pl-PL"/>
        </w:rPr>
      </w:pPr>
      <w:r>
        <w:rPr>
          <w:lang w:val="pl-PL"/>
        </w:rPr>
        <w:t>Jeśli Plavix</w:t>
      </w:r>
      <w:r w:rsidR="00C35D81">
        <w:rPr>
          <w:lang w:val="pl-PL"/>
        </w:rPr>
        <w:t xml:space="preserve"> jest pakowany w blistry z aluminium, brak s</w:t>
      </w:r>
      <w:r w:rsidR="003812B7">
        <w:rPr>
          <w:lang w:val="pl-PL"/>
        </w:rPr>
        <w:t>pecjalnych zaleceń</w:t>
      </w:r>
      <w:r w:rsidR="00C35D81">
        <w:rPr>
          <w:lang w:val="pl-PL"/>
        </w:rPr>
        <w:t xml:space="preserve"> dotyczących przechowywania </w:t>
      </w:r>
      <w:r w:rsidR="003812B7">
        <w:rPr>
          <w:lang w:val="pl-PL"/>
        </w:rPr>
        <w:t>leku.</w:t>
      </w:r>
    </w:p>
    <w:p w:rsidR="00B107EB" w:rsidRDefault="00B107EB" w:rsidP="00C35D81">
      <w:pPr>
        <w:pStyle w:val="BodyText3"/>
        <w:tabs>
          <w:tab w:val="clear" w:pos="567"/>
        </w:tabs>
        <w:rPr>
          <w:lang w:val="pl-PL"/>
        </w:rPr>
      </w:pPr>
    </w:p>
    <w:p w:rsidR="00BC4936" w:rsidRDefault="00BC4936" w:rsidP="005957FC">
      <w:pPr>
        <w:pStyle w:val="BodyText3"/>
        <w:tabs>
          <w:tab w:val="clear" w:pos="567"/>
        </w:tabs>
        <w:rPr>
          <w:lang w:val="pl-PL"/>
        </w:rPr>
      </w:pPr>
      <w:r>
        <w:rPr>
          <w:lang w:val="pl-PL"/>
        </w:rPr>
        <w:t>Nie stosować</w:t>
      </w:r>
      <w:r w:rsidR="001C4D46">
        <w:rPr>
          <w:lang w:val="pl-PL"/>
        </w:rPr>
        <w:t xml:space="preserve"> tego</w:t>
      </w:r>
      <w:r>
        <w:rPr>
          <w:lang w:val="pl-PL"/>
        </w:rPr>
        <w:t xml:space="preserve"> leku, jeśli </w:t>
      </w:r>
      <w:r w:rsidR="00D32572">
        <w:rPr>
          <w:lang w:val="pl-PL"/>
        </w:rPr>
        <w:t>zauważy się</w:t>
      </w:r>
      <w:r>
        <w:rPr>
          <w:lang w:val="pl-PL"/>
        </w:rPr>
        <w:t xml:space="preserve"> widoczne</w:t>
      </w:r>
      <w:r w:rsidR="00BA0BEC">
        <w:rPr>
          <w:lang w:val="pl-PL"/>
        </w:rPr>
        <w:t xml:space="preserve"> </w:t>
      </w:r>
      <w:r>
        <w:rPr>
          <w:lang w:val="pl-PL"/>
        </w:rPr>
        <w:t xml:space="preserve">oznaki </w:t>
      </w:r>
      <w:r w:rsidR="00BA0BEC">
        <w:rPr>
          <w:lang w:val="pl-PL"/>
        </w:rPr>
        <w:t>zepsucia.</w:t>
      </w:r>
    </w:p>
    <w:p w:rsidR="005957FC" w:rsidRDefault="005957FC">
      <w:pPr>
        <w:pStyle w:val="Footer"/>
        <w:rPr>
          <w:sz w:val="22"/>
          <w:lang w:val="pl-PL"/>
        </w:rPr>
      </w:pPr>
    </w:p>
    <w:p w:rsidR="00BC4936" w:rsidRDefault="00BC4936">
      <w:pPr>
        <w:pStyle w:val="Footer"/>
        <w:rPr>
          <w:sz w:val="22"/>
          <w:lang w:val="pl-PL"/>
        </w:rPr>
      </w:pPr>
      <w:r>
        <w:rPr>
          <w:sz w:val="22"/>
          <w:lang w:val="pl-PL"/>
        </w:rPr>
        <w:t>Leków nie należy w</w:t>
      </w:r>
      <w:r w:rsidR="00455F93">
        <w:rPr>
          <w:sz w:val="22"/>
          <w:lang w:val="pl-PL"/>
        </w:rPr>
        <w:t>y</w:t>
      </w:r>
      <w:r>
        <w:rPr>
          <w:sz w:val="22"/>
          <w:lang w:val="pl-PL"/>
        </w:rPr>
        <w:t xml:space="preserve">rzucać do kanalizacji </w:t>
      </w:r>
      <w:r w:rsidR="00D32572">
        <w:rPr>
          <w:sz w:val="22"/>
          <w:lang w:val="pl-PL"/>
        </w:rPr>
        <w:t>ani</w:t>
      </w:r>
      <w:r>
        <w:rPr>
          <w:sz w:val="22"/>
          <w:lang w:val="pl-PL"/>
        </w:rPr>
        <w:t xml:space="preserve"> domowych pojemników na odpadki. Należy zapytać farmaceutę</w:t>
      </w:r>
      <w:r w:rsidR="00A50AF1">
        <w:rPr>
          <w:sz w:val="22"/>
          <w:lang w:val="pl-PL"/>
        </w:rPr>
        <w:t>,</w:t>
      </w:r>
      <w:r>
        <w:rPr>
          <w:sz w:val="22"/>
          <w:lang w:val="pl-PL"/>
        </w:rPr>
        <w:t xml:space="preserve"> </w:t>
      </w:r>
      <w:r w:rsidR="00D32572">
        <w:rPr>
          <w:sz w:val="22"/>
          <w:lang w:val="pl-PL"/>
        </w:rPr>
        <w:t>jak usunąć leki,</w:t>
      </w:r>
      <w:r>
        <w:rPr>
          <w:sz w:val="22"/>
          <w:lang w:val="pl-PL"/>
        </w:rPr>
        <w:t xml:space="preserve"> których się już nie </w:t>
      </w:r>
      <w:r w:rsidR="00D32572">
        <w:rPr>
          <w:sz w:val="22"/>
          <w:lang w:val="pl-PL"/>
        </w:rPr>
        <w:t>używa</w:t>
      </w:r>
      <w:r>
        <w:rPr>
          <w:sz w:val="22"/>
          <w:lang w:val="pl-PL"/>
        </w:rPr>
        <w:t>. Takie postępowanie pomoże chronić środowisko.</w:t>
      </w:r>
    </w:p>
    <w:p w:rsidR="00BC4936" w:rsidRPr="00022436" w:rsidRDefault="00BC4936">
      <w:pPr>
        <w:pStyle w:val="BodyText"/>
        <w:jc w:val="left"/>
        <w:rPr>
          <w:rFonts w:ascii="Times New Roman" w:hAnsi="Times New Roman"/>
          <w:sz w:val="22"/>
        </w:rPr>
      </w:pPr>
    </w:p>
    <w:p w:rsidR="00BC4936" w:rsidRPr="00022436" w:rsidRDefault="00BC4936">
      <w:pPr>
        <w:pStyle w:val="BodyText"/>
        <w:jc w:val="left"/>
        <w:rPr>
          <w:rFonts w:ascii="Times New Roman" w:hAnsi="Times New Roman"/>
          <w:sz w:val="22"/>
        </w:rPr>
      </w:pPr>
    </w:p>
    <w:p w:rsidR="001C4D46" w:rsidRPr="00A64B0E" w:rsidRDefault="001C4D46" w:rsidP="00A7336F">
      <w:pPr>
        <w:pStyle w:val="Footer"/>
        <w:keepNext/>
        <w:numPr>
          <w:ilvl w:val="3"/>
          <w:numId w:val="26"/>
        </w:numPr>
        <w:tabs>
          <w:tab w:val="clear" w:pos="2880"/>
          <w:tab w:val="num" w:pos="567"/>
        </w:tabs>
        <w:ind w:hanging="2880"/>
        <w:rPr>
          <w:b/>
          <w:sz w:val="22"/>
          <w:szCs w:val="22"/>
          <w:lang w:val="pl-PL"/>
        </w:rPr>
      </w:pPr>
      <w:r w:rsidRPr="00A64B0E">
        <w:rPr>
          <w:b/>
          <w:sz w:val="22"/>
          <w:szCs w:val="22"/>
          <w:lang w:val="pl-PL"/>
        </w:rPr>
        <w:t>Zawartość opakowania i inne informacje</w:t>
      </w:r>
    </w:p>
    <w:p w:rsidR="00BC4936" w:rsidRPr="00022436" w:rsidRDefault="00BC4936" w:rsidP="00A7336F">
      <w:pPr>
        <w:pStyle w:val="BodyText"/>
        <w:keepNext/>
        <w:tabs>
          <w:tab w:val="left" w:pos="540"/>
        </w:tabs>
        <w:jc w:val="left"/>
        <w:rPr>
          <w:rFonts w:ascii="Times New Roman" w:hAnsi="Times New Roman"/>
          <w:sz w:val="22"/>
        </w:rPr>
      </w:pPr>
    </w:p>
    <w:p w:rsidR="00BC4936" w:rsidRDefault="00BC4936" w:rsidP="00A7336F">
      <w:pPr>
        <w:pStyle w:val="BodyText"/>
        <w:keepNext/>
        <w:jc w:val="left"/>
        <w:rPr>
          <w:rFonts w:ascii="Times New Roman" w:hAnsi="Times New Roman"/>
          <w:b/>
          <w:sz w:val="22"/>
        </w:rPr>
      </w:pPr>
      <w:r>
        <w:rPr>
          <w:rFonts w:ascii="Times New Roman" w:hAnsi="Times New Roman"/>
          <w:b/>
          <w:sz w:val="22"/>
        </w:rPr>
        <w:t xml:space="preserve">Co zawiera lek </w:t>
      </w:r>
      <w:r w:rsidR="00B04330">
        <w:rPr>
          <w:rFonts w:ascii="Times New Roman" w:hAnsi="Times New Roman"/>
          <w:b/>
          <w:sz w:val="22"/>
        </w:rPr>
        <w:t>Plavix</w:t>
      </w:r>
    </w:p>
    <w:p w:rsidR="00BC4936" w:rsidRDefault="00BC4936">
      <w:pPr>
        <w:pStyle w:val="BodyText3"/>
        <w:tabs>
          <w:tab w:val="clear" w:pos="567"/>
        </w:tabs>
        <w:rPr>
          <w:lang w:val="pl-PL"/>
        </w:rPr>
      </w:pPr>
      <w:r>
        <w:rPr>
          <w:lang w:val="pl-PL"/>
        </w:rPr>
        <w:t xml:space="preserve">Substancją czynną </w:t>
      </w:r>
      <w:r w:rsidR="0084246C">
        <w:rPr>
          <w:lang w:val="pl-PL"/>
        </w:rPr>
        <w:t xml:space="preserve">leku </w:t>
      </w:r>
      <w:r>
        <w:rPr>
          <w:lang w:val="pl-PL"/>
        </w:rPr>
        <w:t>jest klopidogrel. Każda tabletka zawiera 75 mg klopidogrelu</w:t>
      </w:r>
      <w:r w:rsidR="004231C3">
        <w:rPr>
          <w:lang w:val="pl-PL"/>
        </w:rPr>
        <w:t xml:space="preserve"> (w</w:t>
      </w:r>
      <w:r w:rsidR="00B107EB" w:rsidRPr="00CD2AE9">
        <w:rPr>
          <w:szCs w:val="22"/>
          <w:lang w:val="pl-PL"/>
        </w:rPr>
        <w:t> </w:t>
      </w:r>
      <w:r w:rsidR="004231C3">
        <w:rPr>
          <w:lang w:val="pl-PL"/>
        </w:rPr>
        <w:t>postaci</w:t>
      </w:r>
      <w:r w:rsidR="00B107EB" w:rsidRPr="00CD2AE9">
        <w:rPr>
          <w:szCs w:val="22"/>
          <w:lang w:val="pl-PL"/>
        </w:rPr>
        <w:t> </w:t>
      </w:r>
      <w:r w:rsidR="004231C3">
        <w:rPr>
          <w:lang w:val="pl-PL"/>
        </w:rPr>
        <w:t>wodorosiarczanu)</w:t>
      </w:r>
      <w:r>
        <w:rPr>
          <w:lang w:val="pl-PL"/>
        </w:rPr>
        <w:t>.</w:t>
      </w:r>
    </w:p>
    <w:p w:rsidR="00BC4936" w:rsidRDefault="00BC4936">
      <w:pPr>
        <w:rPr>
          <w:sz w:val="22"/>
          <w:lang w:val="pl-PL"/>
        </w:rPr>
      </w:pPr>
    </w:p>
    <w:p w:rsidR="000D39A9" w:rsidRDefault="00D727FF" w:rsidP="004231C3">
      <w:pPr>
        <w:tabs>
          <w:tab w:val="left" w:pos="567"/>
        </w:tabs>
        <w:rPr>
          <w:sz w:val="22"/>
          <w:szCs w:val="22"/>
          <w:lang w:val="pl-PL"/>
        </w:rPr>
      </w:pPr>
      <w:r>
        <w:rPr>
          <w:sz w:val="22"/>
          <w:szCs w:val="22"/>
          <w:lang w:val="pl-PL"/>
        </w:rPr>
        <w:t xml:space="preserve">Pozostałe </w:t>
      </w:r>
      <w:r w:rsidR="00BC4936" w:rsidRPr="004231C3">
        <w:rPr>
          <w:sz w:val="22"/>
          <w:szCs w:val="22"/>
          <w:lang w:val="pl-PL"/>
        </w:rPr>
        <w:t>składniki to</w:t>
      </w:r>
      <w:r w:rsidR="001C4D46">
        <w:rPr>
          <w:sz w:val="22"/>
          <w:szCs w:val="22"/>
          <w:lang w:val="pl-PL"/>
        </w:rPr>
        <w:t xml:space="preserve"> (patrz punkt 2 „Plavix zawiera laktozę” i „Plavix zawiera </w:t>
      </w:r>
      <w:r w:rsidR="000D39A9">
        <w:rPr>
          <w:sz w:val="22"/>
          <w:szCs w:val="22"/>
          <w:lang w:val="pl-PL"/>
        </w:rPr>
        <w:t>olej rycynowy</w:t>
      </w:r>
      <w:r w:rsidR="00EF7990" w:rsidRPr="00EF7990">
        <w:rPr>
          <w:sz w:val="22"/>
          <w:szCs w:val="22"/>
          <w:lang w:val="pl-PL"/>
        </w:rPr>
        <w:t xml:space="preserve"> </w:t>
      </w:r>
      <w:r w:rsidR="00EF7990">
        <w:rPr>
          <w:sz w:val="22"/>
          <w:szCs w:val="22"/>
          <w:lang w:val="pl-PL"/>
        </w:rPr>
        <w:t>uwodorniony</w:t>
      </w:r>
      <w:r w:rsidR="005C622E">
        <w:rPr>
          <w:sz w:val="22"/>
          <w:szCs w:val="22"/>
          <w:lang w:val="pl-PL"/>
        </w:rPr>
        <w:t>”</w:t>
      </w:r>
      <w:r w:rsidR="000D39A9">
        <w:rPr>
          <w:sz w:val="22"/>
          <w:szCs w:val="22"/>
          <w:lang w:val="pl-PL"/>
        </w:rPr>
        <w:t>)</w:t>
      </w:r>
      <w:r w:rsidR="00BC4936" w:rsidRPr="004231C3">
        <w:rPr>
          <w:sz w:val="22"/>
          <w:szCs w:val="22"/>
          <w:lang w:val="pl-PL"/>
        </w:rPr>
        <w:t>:</w:t>
      </w:r>
    </w:p>
    <w:p w:rsidR="00D727FF" w:rsidRDefault="00D727FF" w:rsidP="00D050EB">
      <w:pPr>
        <w:numPr>
          <w:ilvl w:val="0"/>
          <w:numId w:val="54"/>
        </w:numPr>
        <w:tabs>
          <w:tab w:val="left" w:pos="567"/>
        </w:tabs>
        <w:ind w:left="567" w:hanging="567"/>
        <w:rPr>
          <w:sz w:val="22"/>
          <w:szCs w:val="22"/>
          <w:lang w:val="pl-PL"/>
        </w:rPr>
      </w:pPr>
      <w:r>
        <w:rPr>
          <w:sz w:val="22"/>
          <w:szCs w:val="22"/>
          <w:lang w:val="pl-PL"/>
        </w:rPr>
        <w:t>R</w:t>
      </w:r>
      <w:r w:rsidR="008C6EFC">
        <w:rPr>
          <w:sz w:val="22"/>
          <w:szCs w:val="22"/>
          <w:lang w:val="pl-PL"/>
        </w:rPr>
        <w:t>dzeń tabletki:</w:t>
      </w:r>
      <w:r w:rsidR="00BC4936" w:rsidRPr="004231C3">
        <w:rPr>
          <w:sz w:val="22"/>
          <w:szCs w:val="22"/>
          <w:lang w:val="pl-PL"/>
        </w:rPr>
        <w:t xml:space="preserve"> mannitol (E</w:t>
      </w:r>
      <w:r w:rsidR="00A21FD8">
        <w:rPr>
          <w:sz w:val="22"/>
          <w:szCs w:val="22"/>
          <w:lang w:val="pl-PL"/>
        </w:rPr>
        <w:t xml:space="preserve"> </w:t>
      </w:r>
      <w:r w:rsidR="00BC4936" w:rsidRPr="004231C3">
        <w:rPr>
          <w:sz w:val="22"/>
          <w:szCs w:val="22"/>
          <w:lang w:val="pl-PL"/>
        </w:rPr>
        <w:t xml:space="preserve">421), olej rycynowy </w:t>
      </w:r>
      <w:r w:rsidR="00600A39" w:rsidRPr="004231C3">
        <w:rPr>
          <w:sz w:val="22"/>
          <w:szCs w:val="22"/>
          <w:lang w:val="pl-PL"/>
        </w:rPr>
        <w:t>uwodorniony</w:t>
      </w:r>
      <w:r w:rsidR="00BC4936" w:rsidRPr="004231C3">
        <w:rPr>
          <w:sz w:val="22"/>
          <w:szCs w:val="22"/>
          <w:lang w:val="pl-PL"/>
        </w:rPr>
        <w:t>, celuloza mikrokrystaliczna, makrogol 6000 i hydroksypropyloceluloza niskopodstawiona</w:t>
      </w:r>
      <w:r>
        <w:rPr>
          <w:sz w:val="22"/>
          <w:szCs w:val="22"/>
          <w:lang w:val="pl-PL"/>
        </w:rPr>
        <w:t>,</w:t>
      </w:r>
    </w:p>
    <w:p w:rsidR="00D727FF" w:rsidRPr="00D727FF" w:rsidRDefault="00D727FF" w:rsidP="00D050EB">
      <w:pPr>
        <w:numPr>
          <w:ilvl w:val="0"/>
          <w:numId w:val="54"/>
        </w:numPr>
        <w:tabs>
          <w:tab w:val="left" w:pos="567"/>
        </w:tabs>
        <w:ind w:left="567" w:hanging="567"/>
        <w:rPr>
          <w:sz w:val="22"/>
          <w:szCs w:val="22"/>
          <w:lang w:val="pl-PL"/>
        </w:rPr>
      </w:pPr>
      <w:r>
        <w:rPr>
          <w:sz w:val="22"/>
          <w:szCs w:val="22"/>
          <w:lang w:val="pl-PL"/>
        </w:rPr>
        <w:t>O</w:t>
      </w:r>
      <w:r w:rsidR="008C6EFC" w:rsidRPr="00D727FF">
        <w:rPr>
          <w:sz w:val="22"/>
          <w:szCs w:val="22"/>
          <w:lang w:val="pl-PL"/>
        </w:rPr>
        <w:t>toczka:</w:t>
      </w:r>
      <w:r w:rsidR="00BC4936" w:rsidRPr="00D727FF">
        <w:rPr>
          <w:sz w:val="22"/>
          <w:szCs w:val="22"/>
          <w:lang w:val="pl-PL"/>
        </w:rPr>
        <w:t xml:space="preserve"> laktoza </w:t>
      </w:r>
      <w:r w:rsidR="00B107EB" w:rsidRPr="00D727FF">
        <w:rPr>
          <w:sz w:val="22"/>
          <w:szCs w:val="22"/>
          <w:lang w:val="pl-PL"/>
        </w:rPr>
        <w:t xml:space="preserve">jednowodna </w:t>
      </w:r>
      <w:r w:rsidR="00BC4936" w:rsidRPr="00D727FF">
        <w:rPr>
          <w:sz w:val="22"/>
          <w:szCs w:val="22"/>
          <w:lang w:val="pl-PL"/>
        </w:rPr>
        <w:t>(cukier mleczny), hypromeloza (E</w:t>
      </w:r>
      <w:r w:rsidR="00A21FD8" w:rsidRPr="00D727FF">
        <w:rPr>
          <w:sz w:val="22"/>
          <w:szCs w:val="22"/>
          <w:lang w:val="pl-PL"/>
        </w:rPr>
        <w:t xml:space="preserve"> </w:t>
      </w:r>
      <w:r w:rsidR="00BC4936" w:rsidRPr="00D727FF">
        <w:rPr>
          <w:sz w:val="22"/>
          <w:szCs w:val="22"/>
          <w:lang w:val="pl-PL"/>
        </w:rPr>
        <w:t>464), triacetyna (E</w:t>
      </w:r>
      <w:r w:rsidR="00A21FD8" w:rsidRPr="00D727FF">
        <w:rPr>
          <w:sz w:val="22"/>
          <w:szCs w:val="22"/>
          <w:lang w:val="pl-PL"/>
        </w:rPr>
        <w:t xml:space="preserve"> </w:t>
      </w:r>
      <w:r w:rsidR="00BC4936" w:rsidRPr="00D727FF">
        <w:rPr>
          <w:sz w:val="22"/>
          <w:szCs w:val="22"/>
          <w:lang w:val="pl-PL"/>
        </w:rPr>
        <w:t xml:space="preserve">1518), </w:t>
      </w:r>
      <w:r w:rsidR="00A0257F" w:rsidRPr="00D727FF">
        <w:rPr>
          <w:sz w:val="22"/>
          <w:szCs w:val="22"/>
          <w:lang w:val="pl-PL"/>
        </w:rPr>
        <w:t xml:space="preserve">żelaza tlenek </w:t>
      </w:r>
      <w:r w:rsidR="004231C3" w:rsidRPr="00D727FF">
        <w:rPr>
          <w:sz w:val="22"/>
          <w:szCs w:val="22"/>
          <w:lang w:val="pl-PL"/>
        </w:rPr>
        <w:t xml:space="preserve">czerwony </w:t>
      </w:r>
      <w:r w:rsidR="00BC4936" w:rsidRPr="00D727FF">
        <w:rPr>
          <w:sz w:val="22"/>
          <w:szCs w:val="22"/>
          <w:lang w:val="pl-PL"/>
        </w:rPr>
        <w:t>(E</w:t>
      </w:r>
      <w:r w:rsidR="00A21FD8" w:rsidRPr="00D727FF">
        <w:rPr>
          <w:sz w:val="22"/>
          <w:szCs w:val="22"/>
          <w:lang w:val="pl-PL"/>
        </w:rPr>
        <w:t xml:space="preserve"> </w:t>
      </w:r>
      <w:r w:rsidR="00BC4936" w:rsidRPr="00D727FF">
        <w:rPr>
          <w:sz w:val="22"/>
          <w:szCs w:val="22"/>
          <w:lang w:val="pl-PL"/>
        </w:rPr>
        <w:t>172), tytanu dwutlenek (E</w:t>
      </w:r>
      <w:r w:rsidR="00A21FD8" w:rsidRPr="00D727FF">
        <w:rPr>
          <w:sz w:val="22"/>
          <w:szCs w:val="22"/>
          <w:lang w:val="pl-PL"/>
        </w:rPr>
        <w:t xml:space="preserve"> </w:t>
      </w:r>
      <w:r w:rsidR="00BC4936" w:rsidRPr="00D727FF">
        <w:rPr>
          <w:sz w:val="22"/>
          <w:szCs w:val="22"/>
          <w:lang w:val="pl-PL"/>
        </w:rPr>
        <w:t>171)</w:t>
      </w:r>
    </w:p>
    <w:p w:rsidR="00BC4936" w:rsidRPr="00D727FF" w:rsidRDefault="00D727FF" w:rsidP="00D050EB">
      <w:pPr>
        <w:numPr>
          <w:ilvl w:val="0"/>
          <w:numId w:val="54"/>
        </w:numPr>
        <w:tabs>
          <w:tab w:val="left" w:pos="567"/>
        </w:tabs>
        <w:ind w:left="567" w:hanging="567"/>
        <w:rPr>
          <w:sz w:val="22"/>
          <w:szCs w:val="22"/>
          <w:lang w:val="pl-PL"/>
        </w:rPr>
      </w:pPr>
      <w:r>
        <w:rPr>
          <w:sz w:val="22"/>
          <w:szCs w:val="22"/>
          <w:lang w:val="pl-PL"/>
        </w:rPr>
        <w:t>S</w:t>
      </w:r>
      <w:r w:rsidR="008C6EFC" w:rsidRPr="00D727FF">
        <w:rPr>
          <w:sz w:val="22"/>
          <w:szCs w:val="22"/>
          <w:lang w:val="pl-PL"/>
        </w:rPr>
        <w:t>ubstancja nabłyszcz</w:t>
      </w:r>
      <w:r w:rsidR="007225E0" w:rsidRPr="00D727FF">
        <w:rPr>
          <w:sz w:val="22"/>
          <w:szCs w:val="22"/>
          <w:lang w:val="pl-PL"/>
        </w:rPr>
        <w:t>a</w:t>
      </w:r>
      <w:r w:rsidR="008C6EFC" w:rsidRPr="00D727FF">
        <w:rPr>
          <w:sz w:val="22"/>
          <w:szCs w:val="22"/>
          <w:lang w:val="pl-PL"/>
        </w:rPr>
        <w:t>jąca:</w:t>
      </w:r>
      <w:r w:rsidR="00BC4936" w:rsidRPr="00D727FF">
        <w:rPr>
          <w:sz w:val="22"/>
          <w:szCs w:val="22"/>
          <w:lang w:val="pl-PL"/>
        </w:rPr>
        <w:t xml:space="preserve"> wosk </w:t>
      </w:r>
      <w:r w:rsidR="003B486E">
        <w:rPr>
          <w:sz w:val="22"/>
          <w:szCs w:val="22"/>
          <w:lang w:val="pl-PL"/>
        </w:rPr>
        <w:t>C</w:t>
      </w:r>
      <w:r w:rsidR="00BC4936" w:rsidRPr="00D727FF">
        <w:rPr>
          <w:sz w:val="22"/>
          <w:szCs w:val="22"/>
          <w:lang w:val="pl-PL"/>
        </w:rPr>
        <w:t>arnauba.</w:t>
      </w:r>
    </w:p>
    <w:p w:rsidR="00BC4936" w:rsidRPr="004231C3" w:rsidRDefault="00BC4936">
      <w:pPr>
        <w:pStyle w:val="BodyText"/>
        <w:jc w:val="left"/>
        <w:rPr>
          <w:rFonts w:ascii="Times New Roman" w:hAnsi="Times New Roman"/>
          <w:sz w:val="22"/>
          <w:szCs w:val="22"/>
        </w:rPr>
      </w:pPr>
    </w:p>
    <w:p w:rsidR="00BC4936" w:rsidRDefault="00BC4936">
      <w:pPr>
        <w:pStyle w:val="BodyText"/>
        <w:jc w:val="left"/>
        <w:rPr>
          <w:rFonts w:ascii="Times New Roman" w:hAnsi="Times New Roman"/>
          <w:b/>
          <w:bCs/>
          <w:sz w:val="22"/>
        </w:rPr>
      </w:pPr>
      <w:r>
        <w:rPr>
          <w:rFonts w:ascii="Times New Roman" w:hAnsi="Times New Roman"/>
          <w:b/>
          <w:bCs/>
          <w:sz w:val="22"/>
        </w:rPr>
        <w:t xml:space="preserve">Jak wygląda lek </w:t>
      </w:r>
      <w:r w:rsidR="00B04330">
        <w:rPr>
          <w:rFonts w:ascii="Times New Roman" w:hAnsi="Times New Roman"/>
          <w:b/>
          <w:sz w:val="22"/>
        </w:rPr>
        <w:t>Plavix</w:t>
      </w:r>
      <w:r>
        <w:rPr>
          <w:rFonts w:ascii="Times New Roman" w:hAnsi="Times New Roman"/>
          <w:b/>
          <w:bCs/>
          <w:sz w:val="22"/>
        </w:rPr>
        <w:t xml:space="preserve"> i co zawiera opakowanie</w:t>
      </w:r>
    </w:p>
    <w:p w:rsidR="00BC4936" w:rsidRPr="00022436" w:rsidRDefault="00BC4936">
      <w:pPr>
        <w:pStyle w:val="BodyText"/>
        <w:jc w:val="left"/>
        <w:rPr>
          <w:rFonts w:ascii="Times New Roman" w:hAnsi="Times New Roman"/>
          <w:bCs/>
          <w:sz w:val="22"/>
        </w:rPr>
      </w:pPr>
    </w:p>
    <w:p w:rsidR="00217BC2" w:rsidRDefault="00BC4936">
      <w:pPr>
        <w:rPr>
          <w:sz w:val="22"/>
          <w:lang w:val="pl-PL"/>
        </w:rPr>
      </w:pPr>
      <w:r>
        <w:rPr>
          <w:sz w:val="22"/>
          <w:lang w:val="pl-PL"/>
        </w:rPr>
        <w:t xml:space="preserve">Tabletki </w:t>
      </w:r>
      <w:r w:rsidR="00992489">
        <w:rPr>
          <w:sz w:val="22"/>
          <w:lang w:val="pl-PL"/>
        </w:rPr>
        <w:t xml:space="preserve">powlekane </w:t>
      </w:r>
      <w:r>
        <w:rPr>
          <w:sz w:val="22"/>
          <w:lang w:val="pl-PL"/>
        </w:rPr>
        <w:t xml:space="preserve">leku </w:t>
      </w:r>
      <w:r w:rsidR="00B04330">
        <w:rPr>
          <w:sz w:val="22"/>
          <w:lang w:val="pl-PL"/>
        </w:rPr>
        <w:t>Plavix</w:t>
      </w:r>
      <w:r w:rsidR="007B1E0A">
        <w:rPr>
          <w:sz w:val="22"/>
          <w:lang w:val="pl-PL"/>
        </w:rPr>
        <w:t xml:space="preserve"> 75 mg </w:t>
      </w:r>
      <w:r>
        <w:rPr>
          <w:sz w:val="22"/>
          <w:lang w:val="pl-PL"/>
        </w:rPr>
        <w:t xml:space="preserve">są okrągłe, </w:t>
      </w:r>
      <w:r w:rsidR="00B107EB">
        <w:rPr>
          <w:sz w:val="22"/>
          <w:lang w:val="pl-PL"/>
        </w:rPr>
        <w:t>obu</w:t>
      </w:r>
      <w:r>
        <w:rPr>
          <w:sz w:val="22"/>
          <w:lang w:val="pl-PL"/>
        </w:rPr>
        <w:t>stronnie wypukłe, różowe, z wytłoczoną liczbą</w:t>
      </w:r>
      <w:r w:rsidR="00B107EB" w:rsidRPr="00CD2AE9">
        <w:rPr>
          <w:sz w:val="22"/>
          <w:szCs w:val="22"/>
          <w:lang w:val="pl-PL"/>
        </w:rPr>
        <w:t> </w:t>
      </w:r>
      <w:r>
        <w:rPr>
          <w:sz w:val="22"/>
          <w:lang w:val="pl-PL"/>
        </w:rPr>
        <w:t xml:space="preserve">‘75’ na jednej stronie i liczbą ‘1171’ na drugiej stronie. </w:t>
      </w:r>
      <w:r w:rsidR="00992489">
        <w:rPr>
          <w:sz w:val="22"/>
          <w:lang w:val="pl-PL"/>
        </w:rPr>
        <w:t xml:space="preserve">Lek Plavix jest </w:t>
      </w:r>
      <w:r>
        <w:rPr>
          <w:sz w:val="22"/>
          <w:lang w:val="pl-PL"/>
        </w:rPr>
        <w:t>pakowan</w:t>
      </w:r>
      <w:r w:rsidR="00992489">
        <w:rPr>
          <w:sz w:val="22"/>
          <w:lang w:val="pl-PL"/>
        </w:rPr>
        <w:t>y</w:t>
      </w:r>
      <w:r>
        <w:rPr>
          <w:sz w:val="22"/>
          <w:lang w:val="pl-PL"/>
        </w:rPr>
        <w:t xml:space="preserve"> w pudełka tekturowe zawierające</w:t>
      </w:r>
      <w:r w:rsidR="00217BC2">
        <w:rPr>
          <w:sz w:val="22"/>
          <w:lang w:val="pl-PL"/>
        </w:rPr>
        <w:t>:</w:t>
      </w:r>
    </w:p>
    <w:p w:rsidR="00D727FF" w:rsidRDefault="00894180" w:rsidP="00D050EB">
      <w:pPr>
        <w:numPr>
          <w:ilvl w:val="0"/>
          <w:numId w:val="55"/>
        </w:numPr>
        <w:ind w:left="567" w:hanging="567"/>
        <w:rPr>
          <w:sz w:val="22"/>
          <w:lang w:val="pl-PL"/>
        </w:rPr>
      </w:pPr>
      <w:r>
        <w:rPr>
          <w:sz w:val="22"/>
          <w:lang w:val="pl-PL"/>
        </w:rPr>
        <w:t xml:space="preserve">7, </w:t>
      </w:r>
      <w:r w:rsidR="00BC4936">
        <w:rPr>
          <w:sz w:val="22"/>
          <w:lang w:val="pl-PL"/>
        </w:rPr>
        <w:t>14, 28, 30, 84, 90 i 100 tabletek w blistrach z PVC/PVDC/</w:t>
      </w:r>
      <w:r w:rsidR="006B4F30">
        <w:rPr>
          <w:sz w:val="22"/>
          <w:lang w:val="pl-PL"/>
        </w:rPr>
        <w:t xml:space="preserve">Aluminium </w:t>
      </w:r>
      <w:r w:rsidR="00BC4936">
        <w:rPr>
          <w:sz w:val="22"/>
          <w:lang w:val="pl-PL"/>
        </w:rPr>
        <w:t>lub w blistrach z aluminium</w:t>
      </w:r>
    </w:p>
    <w:p w:rsidR="00D32572" w:rsidRDefault="007B1E0A" w:rsidP="00D050EB">
      <w:pPr>
        <w:numPr>
          <w:ilvl w:val="0"/>
          <w:numId w:val="55"/>
        </w:numPr>
        <w:ind w:left="567" w:hanging="567"/>
        <w:rPr>
          <w:sz w:val="22"/>
          <w:lang w:val="pl-PL"/>
        </w:rPr>
      </w:pPr>
      <w:r>
        <w:rPr>
          <w:sz w:val="22"/>
          <w:lang w:val="pl-PL"/>
        </w:rPr>
        <w:t>50</w:t>
      </w:r>
      <w:r w:rsidR="006B4F30">
        <w:rPr>
          <w:sz w:val="22"/>
          <w:lang w:val="pl-PL"/>
        </w:rPr>
        <w:t xml:space="preserve"> </w:t>
      </w:r>
      <w:r w:rsidR="00F33BCA">
        <w:rPr>
          <w:sz w:val="22"/>
          <w:lang w:val="pl-PL"/>
        </w:rPr>
        <w:t>x</w:t>
      </w:r>
      <w:r w:rsidR="006B4F30">
        <w:rPr>
          <w:sz w:val="22"/>
          <w:lang w:val="pl-PL"/>
        </w:rPr>
        <w:t xml:space="preserve"> </w:t>
      </w:r>
      <w:r w:rsidR="00F33BCA">
        <w:rPr>
          <w:sz w:val="22"/>
          <w:lang w:val="pl-PL"/>
        </w:rPr>
        <w:t>1</w:t>
      </w:r>
      <w:r w:rsidR="00B107EB">
        <w:rPr>
          <w:sz w:val="22"/>
          <w:lang w:val="pl-PL"/>
        </w:rPr>
        <w:t xml:space="preserve"> </w:t>
      </w:r>
      <w:r>
        <w:rPr>
          <w:sz w:val="22"/>
          <w:lang w:val="pl-PL"/>
        </w:rPr>
        <w:t>tablet</w:t>
      </w:r>
      <w:r w:rsidR="002D096E">
        <w:rPr>
          <w:sz w:val="22"/>
          <w:lang w:val="pl-PL"/>
        </w:rPr>
        <w:t>k</w:t>
      </w:r>
      <w:r w:rsidR="00F33BCA">
        <w:rPr>
          <w:sz w:val="22"/>
          <w:lang w:val="pl-PL"/>
        </w:rPr>
        <w:t>a</w:t>
      </w:r>
      <w:r w:rsidR="00D727FF">
        <w:rPr>
          <w:sz w:val="22"/>
          <w:lang w:val="pl-PL"/>
        </w:rPr>
        <w:t xml:space="preserve"> </w:t>
      </w:r>
      <w:r>
        <w:rPr>
          <w:sz w:val="22"/>
          <w:lang w:val="pl-PL"/>
        </w:rPr>
        <w:t>w jednostkowych blistrach z PVC/PVDC</w:t>
      </w:r>
      <w:r w:rsidR="007B55BF">
        <w:rPr>
          <w:sz w:val="22"/>
          <w:lang w:val="pl-PL"/>
        </w:rPr>
        <w:t>/</w:t>
      </w:r>
      <w:r w:rsidR="006B4F30">
        <w:rPr>
          <w:sz w:val="22"/>
          <w:lang w:val="pl-PL"/>
        </w:rPr>
        <w:t xml:space="preserve">Aluminium </w:t>
      </w:r>
      <w:r w:rsidR="007B55BF">
        <w:rPr>
          <w:sz w:val="22"/>
          <w:lang w:val="pl-PL"/>
        </w:rPr>
        <w:t xml:space="preserve">lub </w:t>
      </w:r>
      <w:r>
        <w:rPr>
          <w:sz w:val="22"/>
          <w:lang w:val="pl-PL"/>
        </w:rPr>
        <w:t>z</w:t>
      </w:r>
      <w:r w:rsidR="00B107EB" w:rsidRPr="00CD2AE9">
        <w:rPr>
          <w:sz w:val="22"/>
          <w:szCs w:val="22"/>
          <w:lang w:val="pl-PL"/>
        </w:rPr>
        <w:t> </w:t>
      </w:r>
      <w:r>
        <w:rPr>
          <w:sz w:val="22"/>
          <w:lang w:val="pl-PL"/>
        </w:rPr>
        <w:t>aluminium</w:t>
      </w:r>
      <w:r w:rsidR="00B107EB">
        <w:rPr>
          <w:sz w:val="22"/>
          <w:lang w:val="pl-PL"/>
        </w:rPr>
        <w:t>.</w:t>
      </w:r>
      <w:r>
        <w:rPr>
          <w:sz w:val="22"/>
          <w:lang w:val="pl-PL"/>
        </w:rPr>
        <w:t xml:space="preserve"> </w:t>
      </w:r>
    </w:p>
    <w:p w:rsidR="00BC4936" w:rsidRDefault="00BC4936" w:rsidP="00217BC2">
      <w:pPr>
        <w:rPr>
          <w:sz w:val="22"/>
          <w:lang w:val="pl-PL"/>
        </w:rPr>
      </w:pPr>
      <w:r>
        <w:rPr>
          <w:sz w:val="22"/>
          <w:lang w:val="pl-PL"/>
        </w:rPr>
        <w:t xml:space="preserve">Nie wszystkie </w:t>
      </w:r>
      <w:r w:rsidR="00D32572">
        <w:rPr>
          <w:sz w:val="22"/>
          <w:lang w:val="pl-PL"/>
        </w:rPr>
        <w:t>wielkości</w:t>
      </w:r>
      <w:r>
        <w:rPr>
          <w:sz w:val="22"/>
          <w:lang w:val="pl-PL"/>
        </w:rPr>
        <w:t xml:space="preserve"> opakowań muszą znajdować się w obrocie.</w:t>
      </w:r>
    </w:p>
    <w:p w:rsidR="00BC4936" w:rsidRDefault="00BC4936">
      <w:pPr>
        <w:pStyle w:val="BodyText"/>
        <w:jc w:val="left"/>
        <w:rPr>
          <w:rFonts w:ascii="Times New Roman" w:hAnsi="Times New Roman"/>
          <w:b/>
          <w:sz w:val="22"/>
        </w:rPr>
      </w:pPr>
    </w:p>
    <w:p w:rsidR="00BC4936" w:rsidRDefault="00BC4936">
      <w:pPr>
        <w:pStyle w:val="Heading5"/>
        <w:rPr>
          <w:bCs/>
        </w:rPr>
      </w:pPr>
      <w:r>
        <w:rPr>
          <w:bCs/>
        </w:rPr>
        <w:t>Podmiot odpowiedzialny i wytwórca</w:t>
      </w:r>
    </w:p>
    <w:p w:rsidR="00BC4936" w:rsidRDefault="00BC4936">
      <w:pPr>
        <w:pStyle w:val="Heading5"/>
        <w:rPr>
          <w:bCs/>
        </w:rPr>
      </w:pPr>
    </w:p>
    <w:p w:rsidR="00D95D34" w:rsidRPr="001E79CA" w:rsidRDefault="00BC4936" w:rsidP="007B1E0A">
      <w:pPr>
        <w:pStyle w:val="Heading5"/>
        <w:rPr>
          <w:bCs/>
        </w:rPr>
      </w:pPr>
      <w:r w:rsidRPr="001E79CA">
        <w:rPr>
          <w:bCs/>
        </w:rPr>
        <w:t>Podmiot odpowiedzialny</w:t>
      </w:r>
    </w:p>
    <w:p w:rsidR="00BC4936" w:rsidRPr="002A3419" w:rsidRDefault="002E46E0" w:rsidP="007B1E0A">
      <w:pPr>
        <w:pStyle w:val="Heading5"/>
        <w:rPr>
          <w:b w:val="0"/>
          <w:lang w:val="en-US"/>
        </w:rPr>
      </w:pPr>
      <w:r w:rsidRPr="002E46E0">
        <w:rPr>
          <w:b w:val="0"/>
          <w:szCs w:val="22"/>
          <w:lang w:val="fr-FR"/>
        </w:rPr>
        <w:t>sanofi-aventis groupe</w:t>
      </w:r>
    </w:p>
    <w:p w:rsidR="00AF0AFC" w:rsidRDefault="00AF0AFC" w:rsidP="00AF0AFC">
      <w:pPr>
        <w:rPr>
          <w:sz w:val="22"/>
          <w:lang w:val="fr-FR"/>
        </w:rPr>
      </w:pPr>
      <w:r>
        <w:rPr>
          <w:sz w:val="22"/>
          <w:szCs w:val="22"/>
          <w:lang w:val="fr-FR"/>
        </w:rPr>
        <w:t>54, rue La Bo</w:t>
      </w:r>
      <w:r w:rsidRPr="00327821">
        <w:rPr>
          <w:sz w:val="22"/>
          <w:szCs w:val="22"/>
          <w:lang w:val="fr-FR"/>
        </w:rPr>
        <w:t>é</w:t>
      </w:r>
      <w:r>
        <w:rPr>
          <w:sz w:val="22"/>
          <w:szCs w:val="22"/>
          <w:lang w:val="fr-FR"/>
        </w:rPr>
        <w:t xml:space="preserve">tie F-75008 </w:t>
      </w:r>
      <w:r w:rsidR="00BC4936">
        <w:rPr>
          <w:sz w:val="22"/>
          <w:lang w:val="fr-FR"/>
        </w:rPr>
        <w:t>Par</w:t>
      </w:r>
      <w:r w:rsidR="003B486E">
        <w:rPr>
          <w:sz w:val="22"/>
          <w:lang w:val="fr-FR"/>
        </w:rPr>
        <w:t>is</w:t>
      </w:r>
      <w:r w:rsidR="00BC4936">
        <w:rPr>
          <w:sz w:val="22"/>
          <w:lang w:val="fr-FR"/>
        </w:rPr>
        <w:t xml:space="preserve"> </w:t>
      </w:r>
    </w:p>
    <w:p w:rsidR="00BC4936" w:rsidRDefault="00BC4936" w:rsidP="00AF0AFC">
      <w:pPr>
        <w:rPr>
          <w:sz w:val="22"/>
          <w:lang w:val="fr-FR"/>
        </w:rPr>
      </w:pPr>
      <w:r>
        <w:rPr>
          <w:sz w:val="22"/>
          <w:lang w:val="fr-FR"/>
        </w:rPr>
        <w:t>Francja</w:t>
      </w:r>
    </w:p>
    <w:p w:rsidR="00316B15" w:rsidRPr="006012C7" w:rsidRDefault="00316B15">
      <w:pPr>
        <w:pStyle w:val="Heading5"/>
        <w:rPr>
          <w:bCs/>
          <w:lang w:val="fr-FR"/>
        </w:rPr>
      </w:pPr>
    </w:p>
    <w:p w:rsidR="00BC4936" w:rsidRPr="001E79CA" w:rsidRDefault="00BC4936">
      <w:pPr>
        <w:pStyle w:val="Heading5"/>
        <w:rPr>
          <w:bCs/>
          <w:lang w:val="fr-FR"/>
        </w:rPr>
      </w:pPr>
      <w:r w:rsidRPr="001E79CA">
        <w:rPr>
          <w:bCs/>
          <w:lang w:val="fr-FR"/>
        </w:rPr>
        <w:t>Wytwórc</w:t>
      </w:r>
      <w:r w:rsidR="00E62A11" w:rsidRPr="001E79CA">
        <w:rPr>
          <w:bCs/>
          <w:lang w:val="fr-FR"/>
        </w:rPr>
        <w:t>a</w:t>
      </w:r>
    </w:p>
    <w:p w:rsidR="00BC4936" w:rsidRPr="006012C7" w:rsidRDefault="00BC4936">
      <w:pPr>
        <w:rPr>
          <w:sz w:val="22"/>
          <w:lang w:val="fr-FR"/>
        </w:rPr>
      </w:pPr>
      <w:r w:rsidRPr="006012C7">
        <w:rPr>
          <w:sz w:val="22"/>
          <w:lang w:val="fr-FR"/>
        </w:rPr>
        <w:t>Sanofi Winthrop Industrie</w:t>
      </w:r>
    </w:p>
    <w:p w:rsidR="00D95D34" w:rsidRDefault="00BC4936" w:rsidP="00217BC2">
      <w:pPr>
        <w:tabs>
          <w:tab w:val="left" w:pos="720"/>
        </w:tabs>
        <w:jc w:val="both"/>
        <w:rPr>
          <w:noProof/>
          <w:sz w:val="22"/>
          <w:lang w:val="fr-FR"/>
        </w:rPr>
      </w:pPr>
      <w:r>
        <w:rPr>
          <w:sz w:val="22"/>
          <w:lang w:val="fr-FR"/>
        </w:rPr>
        <w:t xml:space="preserve">1, Rue de la Vierge, </w:t>
      </w:r>
      <w:r>
        <w:rPr>
          <w:noProof/>
          <w:sz w:val="22"/>
          <w:lang w:val="fr-FR"/>
        </w:rPr>
        <w:t xml:space="preserve">Ambarès &amp; Lagrave, </w:t>
      </w:r>
    </w:p>
    <w:p w:rsidR="00D95D34" w:rsidRPr="006E245F" w:rsidRDefault="00BC4936" w:rsidP="00217BC2">
      <w:pPr>
        <w:tabs>
          <w:tab w:val="left" w:pos="720"/>
        </w:tabs>
        <w:jc w:val="both"/>
        <w:rPr>
          <w:sz w:val="22"/>
          <w:lang w:val="pl-PL"/>
        </w:rPr>
      </w:pPr>
      <w:r w:rsidRPr="006E245F">
        <w:rPr>
          <w:noProof/>
          <w:sz w:val="22"/>
          <w:lang w:val="pl-PL"/>
        </w:rPr>
        <w:t>F-</w:t>
      </w:r>
      <w:r w:rsidRPr="006E245F">
        <w:rPr>
          <w:color w:val="000000"/>
          <w:sz w:val="22"/>
          <w:lang w:val="pl-PL"/>
        </w:rPr>
        <w:t>33565 Carbon Blanc cedex</w:t>
      </w:r>
      <w:r w:rsidRPr="006E245F">
        <w:rPr>
          <w:sz w:val="22"/>
          <w:lang w:val="pl-PL"/>
        </w:rPr>
        <w:t xml:space="preserve">, </w:t>
      </w:r>
    </w:p>
    <w:p w:rsidR="00B107EB" w:rsidRPr="006E245F" w:rsidRDefault="00BC4936" w:rsidP="00217BC2">
      <w:pPr>
        <w:tabs>
          <w:tab w:val="left" w:pos="720"/>
        </w:tabs>
        <w:jc w:val="both"/>
        <w:rPr>
          <w:sz w:val="22"/>
          <w:lang w:val="pl-PL"/>
        </w:rPr>
      </w:pPr>
      <w:r w:rsidRPr="006E245F">
        <w:rPr>
          <w:sz w:val="22"/>
          <w:lang w:val="pl-PL"/>
        </w:rPr>
        <w:t xml:space="preserve">Francja </w:t>
      </w:r>
    </w:p>
    <w:p w:rsidR="00D95D34" w:rsidRPr="006E245F" w:rsidRDefault="00D95D34">
      <w:pPr>
        <w:rPr>
          <w:sz w:val="22"/>
          <w:lang w:val="pl-PL"/>
        </w:rPr>
      </w:pPr>
    </w:p>
    <w:p w:rsidR="00BC4936" w:rsidRPr="006E245F" w:rsidRDefault="00BC4936">
      <w:pPr>
        <w:rPr>
          <w:sz w:val="22"/>
          <w:lang w:val="pl-PL"/>
        </w:rPr>
      </w:pPr>
      <w:r w:rsidRPr="006E245F">
        <w:rPr>
          <w:sz w:val="22"/>
          <w:lang w:val="pl-PL"/>
        </w:rPr>
        <w:t>lub</w:t>
      </w:r>
    </w:p>
    <w:p w:rsidR="00B61CE2" w:rsidRPr="007D7BDA" w:rsidRDefault="00B61CE2">
      <w:pPr>
        <w:rPr>
          <w:sz w:val="22"/>
          <w:lang w:val="pl-PL"/>
        </w:rPr>
      </w:pPr>
      <w:r w:rsidRPr="007D7BDA">
        <w:rPr>
          <w:sz w:val="22"/>
          <w:lang w:val="pl-PL"/>
        </w:rPr>
        <w:t>Delpharm Dijon</w:t>
      </w:r>
    </w:p>
    <w:p w:rsidR="00D95D34" w:rsidRDefault="00BC4936">
      <w:pPr>
        <w:rPr>
          <w:sz w:val="22"/>
          <w:lang w:val="fr-FR"/>
        </w:rPr>
      </w:pPr>
      <w:r>
        <w:rPr>
          <w:sz w:val="22"/>
          <w:lang w:val="fr-FR"/>
        </w:rPr>
        <w:t xml:space="preserve">6, Boulevard de l’Europe, </w:t>
      </w:r>
    </w:p>
    <w:p w:rsidR="00D95D34" w:rsidRDefault="00BC4936">
      <w:pPr>
        <w:rPr>
          <w:sz w:val="22"/>
          <w:lang w:val="fr-FR"/>
        </w:rPr>
      </w:pPr>
      <w:r>
        <w:rPr>
          <w:sz w:val="22"/>
          <w:lang w:val="fr-FR"/>
        </w:rPr>
        <w:t xml:space="preserve">F-21800 Quétigny, </w:t>
      </w:r>
    </w:p>
    <w:p w:rsidR="00BC4936" w:rsidRPr="006E245F" w:rsidRDefault="00BC4936">
      <w:pPr>
        <w:rPr>
          <w:sz w:val="22"/>
          <w:lang w:val="pl-PL"/>
        </w:rPr>
      </w:pPr>
      <w:r w:rsidRPr="006E245F">
        <w:rPr>
          <w:sz w:val="22"/>
          <w:lang w:val="pl-PL"/>
        </w:rPr>
        <w:t>Francja</w:t>
      </w:r>
    </w:p>
    <w:p w:rsidR="00D727FF" w:rsidRDefault="00D727FF">
      <w:pPr>
        <w:jc w:val="both"/>
        <w:rPr>
          <w:sz w:val="22"/>
          <w:lang w:val="it-IT"/>
        </w:rPr>
      </w:pPr>
    </w:p>
    <w:p w:rsidR="00ED5674" w:rsidRPr="00D27513" w:rsidRDefault="00ED5674" w:rsidP="00CA403E">
      <w:pPr>
        <w:keepNext/>
        <w:jc w:val="both"/>
        <w:rPr>
          <w:sz w:val="22"/>
          <w:lang w:val="pl-PL"/>
        </w:rPr>
      </w:pPr>
      <w:r w:rsidRPr="00D27513">
        <w:rPr>
          <w:sz w:val="22"/>
          <w:lang w:val="pl-PL"/>
        </w:rPr>
        <w:t>lub</w:t>
      </w:r>
    </w:p>
    <w:p w:rsidR="00ED5674" w:rsidRPr="00ED5674" w:rsidRDefault="00ED5674" w:rsidP="00CA403E">
      <w:pPr>
        <w:keepNext/>
        <w:numPr>
          <w:ilvl w:val="12"/>
          <w:numId w:val="0"/>
        </w:numPr>
        <w:rPr>
          <w:sz w:val="22"/>
          <w:lang w:val="pl-PL"/>
        </w:rPr>
      </w:pPr>
      <w:r w:rsidRPr="00ED5674">
        <w:rPr>
          <w:sz w:val="22"/>
          <w:lang w:val="pl-PL"/>
        </w:rPr>
        <w:t>Sanofi S.</w:t>
      </w:r>
      <w:r w:rsidR="00CE6A17">
        <w:rPr>
          <w:sz w:val="22"/>
          <w:lang w:val="pl-PL"/>
        </w:rPr>
        <w:t>r.l.</w:t>
      </w:r>
    </w:p>
    <w:p w:rsidR="00ED5674" w:rsidRPr="00ED5674" w:rsidRDefault="00ED5674" w:rsidP="00CA403E">
      <w:pPr>
        <w:keepNext/>
        <w:numPr>
          <w:ilvl w:val="12"/>
          <w:numId w:val="0"/>
        </w:numPr>
        <w:rPr>
          <w:sz w:val="22"/>
          <w:lang w:val="pl-PL"/>
        </w:rPr>
      </w:pPr>
      <w:r w:rsidRPr="00ED5674">
        <w:rPr>
          <w:sz w:val="22"/>
          <w:lang w:val="pl-PL"/>
        </w:rPr>
        <w:t>Strada Statale 17, Km 22</w:t>
      </w:r>
    </w:p>
    <w:p w:rsidR="00A0496A" w:rsidRDefault="00A0496A" w:rsidP="00A0496A">
      <w:pPr>
        <w:numPr>
          <w:ilvl w:val="12"/>
          <w:numId w:val="0"/>
        </w:numPr>
        <w:rPr>
          <w:sz w:val="22"/>
          <w:lang w:val="pl-PL"/>
        </w:rPr>
      </w:pPr>
      <w:r>
        <w:rPr>
          <w:sz w:val="22"/>
          <w:lang w:val="pl-PL"/>
        </w:rPr>
        <w:t xml:space="preserve">67019 Scoppito (AQ) </w:t>
      </w:r>
      <w:r>
        <w:rPr>
          <w:sz w:val="22"/>
          <w:szCs w:val="22"/>
        </w:rPr>
        <w:t>–</w:t>
      </w:r>
      <w:r w:rsidRPr="00AE4A97">
        <w:rPr>
          <w:sz w:val="22"/>
          <w:szCs w:val="22"/>
        </w:rPr>
        <w:t xml:space="preserve"> </w:t>
      </w:r>
      <w:r>
        <w:rPr>
          <w:sz w:val="22"/>
          <w:lang w:val="pl-PL"/>
        </w:rPr>
        <w:t>Włoch</w:t>
      </w:r>
      <w:r w:rsidRPr="00ED5674">
        <w:rPr>
          <w:sz w:val="22"/>
          <w:lang w:val="pl-PL"/>
        </w:rPr>
        <w:t>y</w:t>
      </w:r>
    </w:p>
    <w:p w:rsidR="003A2947" w:rsidRPr="00FF6315" w:rsidRDefault="003A2947" w:rsidP="003A2947">
      <w:pPr>
        <w:rPr>
          <w:sz w:val="22"/>
          <w:lang w:val="pl-PL"/>
        </w:rPr>
      </w:pPr>
      <w:r w:rsidRPr="00FF6315">
        <w:rPr>
          <w:sz w:val="22"/>
        </w:rPr>
        <w:t>l</w:t>
      </w:r>
      <w:r w:rsidRPr="00FF6315">
        <w:rPr>
          <w:sz w:val="22"/>
          <w:lang w:val="pl-PL"/>
        </w:rPr>
        <w:t>ub</w:t>
      </w:r>
    </w:p>
    <w:p w:rsidR="003A2947" w:rsidRPr="00FF6315" w:rsidRDefault="003A2947" w:rsidP="00CE6A17">
      <w:pPr>
        <w:keepNext/>
        <w:tabs>
          <w:tab w:val="left" w:pos="720"/>
        </w:tabs>
        <w:jc w:val="both"/>
        <w:rPr>
          <w:sz w:val="22"/>
          <w:szCs w:val="22"/>
          <w:lang w:eastAsia="en-US"/>
        </w:rPr>
      </w:pPr>
      <w:r w:rsidRPr="00FF6315">
        <w:rPr>
          <w:sz w:val="22"/>
          <w:szCs w:val="22"/>
          <w:lang w:eastAsia="en-US"/>
        </w:rPr>
        <w:t>Sanofi Winthrop Industrie</w:t>
      </w:r>
    </w:p>
    <w:p w:rsidR="003A2947" w:rsidRPr="00FF6315" w:rsidRDefault="003A2947" w:rsidP="00CE6A17">
      <w:pPr>
        <w:keepNext/>
        <w:tabs>
          <w:tab w:val="left" w:pos="720"/>
        </w:tabs>
        <w:jc w:val="both"/>
        <w:rPr>
          <w:sz w:val="22"/>
          <w:szCs w:val="22"/>
          <w:lang w:eastAsia="en-US"/>
        </w:rPr>
      </w:pPr>
      <w:r w:rsidRPr="00FF6315">
        <w:rPr>
          <w:sz w:val="22"/>
          <w:szCs w:val="22"/>
          <w:lang w:eastAsia="en-US"/>
        </w:rPr>
        <w:t>30-36 avenue Gustave Eiffel</w:t>
      </w:r>
    </w:p>
    <w:p w:rsidR="003A2947" w:rsidRPr="00FF6315" w:rsidRDefault="003A2947" w:rsidP="003A2947">
      <w:pPr>
        <w:tabs>
          <w:tab w:val="left" w:pos="720"/>
        </w:tabs>
        <w:jc w:val="both"/>
        <w:rPr>
          <w:sz w:val="22"/>
          <w:szCs w:val="22"/>
          <w:lang w:eastAsia="en-US"/>
        </w:rPr>
      </w:pPr>
      <w:r w:rsidRPr="00FF6315">
        <w:rPr>
          <w:sz w:val="22"/>
          <w:szCs w:val="22"/>
          <w:lang w:eastAsia="en-US"/>
        </w:rPr>
        <w:t>37100 Tours</w:t>
      </w:r>
    </w:p>
    <w:p w:rsidR="003A2947" w:rsidRDefault="003A2947" w:rsidP="003A2947">
      <w:pPr>
        <w:rPr>
          <w:sz w:val="22"/>
          <w:lang w:val="pl-PL"/>
        </w:rPr>
      </w:pPr>
      <w:r w:rsidRPr="00FF6315">
        <w:rPr>
          <w:sz w:val="22"/>
          <w:szCs w:val="22"/>
          <w:lang w:eastAsia="en-US"/>
        </w:rPr>
        <w:t>Franc</w:t>
      </w:r>
      <w:r>
        <w:rPr>
          <w:sz w:val="22"/>
          <w:szCs w:val="22"/>
          <w:lang w:eastAsia="en-US"/>
        </w:rPr>
        <w:t>ja</w:t>
      </w:r>
    </w:p>
    <w:p w:rsidR="00ED5674" w:rsidRPr="00ED5674" w:rsidRDefault="00ED5674">
      <w:pPr>
        <w:jc w:val="both"/>
        <w:rPr>
          <w:sz w:val="22"/>
          <w:lang w:val="pl-PL"/>
        </w:rPr>
      </w:pPr>
    </w:p>
    <w:p w:rsidR="00BC4936" w:rsidRDefault="00BC4936" w:rsidP="00B00BB6">
      <w:pPr>
        <w:pStyle w:val="BodyText"/>
        <w:keepNext/>
        <w:jc w:val="left"/>
        <w:rPr>
          <w:rFonts w:ascii="Times New Roman" w:hAnsi="Times New Roman"/>
          <w:sz w:val="22"/>
        </w:rPr>
      </w:pPr>
      <w:r>
        <w:rPr>
          <w:rFonts w:ascii="Times New Roman" w:hAnsi="Times New Roman"/>
          <w:sz w:val="22"/>
        </w:rPr>
        <w:t xml:space="preserve">W celu uzyskania bardziej szczegółowych informacji należy zwrócić się do </w:t>
      </w:r>
      <w:r w:rsidR="00B107EB">
        <w:rPr>
          <w:rFonts w:ascii="Times New Roman" w:hAnsi="Times New Roman"/>
          <w:sz w:val="22"/>
        </w:rPr>
        <w:t xml:space="preserve">miejscowego </w:t>
      </w:r>
      <w:r>
        <w:rPr>
          <w:rFonts w:ascii="Times New Roman" w:hAnsi="Times New Roman"/>
          <w:sz w:val="22"/>
        </w:rPr>
        <w:t>przedstawiciela podmiotu odpowiedzialnego:</w:t>
      </w:r>
    </w:p>
    <w:p w:rsidR="00BC4936" w:rsidRDefault="00BC4936" w:rsidP="00B00BB6">
      <w:pPr>
        <w:pStyle w:val="BodyText"/>
        <w:keepNext/>
        <w:jc w:val="left"/>
        <w:rPr>
          <w:rFonts w:ascii="Times New Roman" w:hAnsi="Times New Roman"/>
          <w:sz w:val="22"/>
        </w:rPr>
      </w:pPr>
    </w:p>
    <w:tbl>
      <w:tblPr>
        <w:tblW w:w="9080" w:type="dxa"/>
        <w:tblLayout w:type="fixed"/>
        <w:tblCellMar>
          <w:left w:w="0" w:type="dxa"/>
          <w:right w:w="0" w:type="dxa"/>
        </w:tblCellMar>
        <w:tblLook w:val="0000" w:firstRow="0" w:lastRow="0" w:firstColumn="0" w:lastColumn="0" w:noHBand="0" w:noVBand="0"/>
      </w:tblPr>
      <w:tblGrid>
        <w:gridCol w:w="4544"/>
        <w:gridCol w:w="4536"/>
      </w:tblGrid>
      <w:tr w:rsidR="00BC4936" w:rsidTr="0064558D">
        <w:trPr>
          <w:trHeight w:val="904"/>
        </w:trPr>
        <w:tc>
          <w:tcPr>
            <w:tcW w:w="4544" w:type="dxa"/>
          </w:tcPr>
          <w:p w:rsidR="00BC4936" w:rsidRDefault="00966316" w:rsidP="00B00BB6">
            <w:pPr>
              <w:keepNext/>
              <w:rPr>
                <w:b/>
                <w:bCs/>
                <w:sz w:val="22"/>
                <w:lang w:val="fr-BE"/>
              </w:rPr>
            </w:pPr>
            <w:r>
              <w:rPr>
                <w:b/>
                <w:bCs/>
                <w:sz w:val="22"/>
                <w:lang w:val="mt-MT"/>
              </w:rPr>
              <w:t>België</w:t>
            </w:r>
            <w:r>
              <w:rPr>
                <w:b/>
                <w:bCs/>
                <w:sz w:val="22"/>
                <w:lang w:val="cs-CZ"/>
              </w:rPr>
              <w:t>/</w:t>
            </w:r>
            <w:r w:rsidR="00BC4936">
              <w:rPr>
                <w:b/>
                <w:bCs/>
                <w:sz w:val="22"/>
                <w:lang w:val="cs-CZ"/>
              </w:rPr>
              <w:t>Belgique</w:t>
            </w:r>
            <w:r w:rsidR="00BC4936">
              <w:rPr>
                <w:b/>
                <w:bCs/>
                <w:sz w:val="22"/>
                <w:lang w:val="mt-MT"/>
              </w:rPr>
              <w:t>/Belgien</w:t>
            </w:r>
          </w:p>
          <w:p w:rsidR="00BC4936" w:rsidRDefault="00E82CDC" w:rsidP="00B00BB6">
            <w:pPr>
              <w:keepNext/>
              <w:rPr>
                <w:sz w:val="22"/>
                <w:lang w:val="fr-BE"/>
              </w:rPr>
            </w:pPr>
            <w:r>
              <w:rPr>
                <w:snapToGrid w:val="0"/>
                <w:sz w:val="22"/>
                <w:lang w:val="fr-BE"/>
              </w:rPr>
              <w:t>S</w:t>
            </w:r>
            <w:r w:rsidR="00BC4936">
              <w:rPr>
                <w:snapToGrid w:val="0"/>
                <w:sz w:val="22"/>
                <w:lang w:val="fr-BE"/>
              </w:rPr>
              <w:t>anofi Belgium</w:t>
            </w:r>
          </w:p>
          <w:p w:rsidR="00BC4936" w:rsidRDefault="00BC4936" w:rsidP="00B00BB6">
            <w:pPr>
              <w:keepNext/>
              <w:rPr>
                <w:snapToGrid w:val="0"/>
                <w:sz w:val="22"/>
                <w:lang w:val="de-DE"/>
              </w:rPr>
            </w:pPr>
            <w:r w:rsidRPr="00D050EB">
              <w:rPr>
                <w:sz w:val="22"/>
                <w:lang w:val="de-DE"/>
              </w:rPr>
              <w:t xml:space="preserve">Tél/Tel: </w:t>
            </w:r>
            <w:r w:rsidRPr="00D050EB">
              <w:rPr>
                <w:snapToGrid w:val="0"/>
                <w:sz w:val="22"/>
                <w:lang w:val="de-DE"/>
              </w:rPr>
              <w:t>+32 (0)2 710 54 00</w:t>
            </w:r>
          </w:p>
          <w:p w:rsidR="00BC4936" w:rsidRDefault="00BC4936" w:rsidP="00B00BB6">
            <w:pPr>
              <w:keepNext/>
              <w:rPr>
                <w:sz w:val="22"/>
                <w:lang w:val="de-DE"/>
              </w:rPr>
            </w:pPr>
          </w:p>
        </w:tc>
        <w:tc>
          <w:tcPr>
            <w:tcW w:w="4536" w:type="dxa"/>
          </w:tcPr>
          <w:p w:rsidR="0064558D" w:rsidRDefault="0064558D" w:rsidP="00B00BB6">
            <w:pPr>
              <w:keepNext/>
              <w:rPr>
                <w:b/>
                <w:bCs/>
                <w:sz w:val="22"/>
                <w:lang w:val="lt-LT"/>
              </w:rPr>
            </w:pPr>
            <w:r>
              <w:rPr>
                <w:b/>
                <w:bCs/>
                <w:sz w:val="22"/>
                <w:lang w:val="lt-LT"/>
              </w:rPr>
              <w:t>Lietuva</w:t>
            </w:r>
          </w:p>
          <w:p w:rsidR="0064558D" w:rsidRDefault="0064558D" w:rsidP="00B00BB6">
            <w:pPr>
              <w:keepNext/>
              <w:rPr>
                <w:sz w:val="22"/>
                <w:lang w:val="fr-FR"/>
              </w:rPr>
            </w:pPr>
            <w:r>
              <w:rPr>
                <w:sz w:val="22"/>
                <w:lang w:val="cs-CZ"/>
              </w:rPr>
              <w:t xml:space="preserve">UAB </w:t>
            </w:r>
            <w:r w:rsidR="004426C6" w:rsidRPr="004426C6">
              <w:rPr>
                <w:sz w:val="22"/>
                <w:lang w:val="cs-CZ"/>
              </w:rPr>
              <w:t>«SANOFI-AVENTIS LIETUVA»</w:t>
            </w:r>
          </w:p>
          <w:p w:rsidR="0064558D" w:rsidRDefault="0064558D" w:rsidP="00B00BB6">
            <w:pPr>
              <w:keepNext/>
              <w:rPr>
                <w:sz w:val="22"/>
                <w:lang w:val="cs-CZ"/>
              </w:rPr>
            </w:pPr>
            <w:r>
              <w:rPr>
                <w:sz w:val="22"/>
                <w:lang w:val="cs-CZ"/>
              </w:rPr>
              <w:t>Tel: +370 5 2755224</w:t>
            </w:r>
          </w:p>
          <w:p w:rsidR="00BC4936" w:rsidRDefault="00BC4936" w:rsidP="00B00BB6">
            <w:pPr>
              <w:keepNext/>
              <w:rPr>
                <w:sz w:val="22"/>
                <w:lang w:val="fr-BE"/>
              </w:rPr>
            </w:pPr>
          </w:p>
        </w:tc>
      </w:tr>
      <w:tr w:rsidR="00BC4936" w:rsidRPr="00022436" w:rsidTr="0064558D">
        <w:trPr>
          <w:trHeight w:val="892"/>
        </w:trPr>
        <w:tc>
          <w:tcPr>
            <w:tcW w:w="4544" w:type="dxa"/>
          </w:tcPr>
          <w:p w:rsidR="00BC4936" w:rsidRDefault="00BC4936">
            <w:pPr>
              <w:rPr>
                <w:b/>
                <w:bCs/>
                <w:sz w:val="22"/>
                <w:lang w:val="it-IT"/>
              </w:rPr>
            </w:pPr>
            <w:r>
              <w:rPr>
                <w:b/>
                <w:bCs/>
                <w:sz w:val="22"/>
              </w:rPr>
              <w:t>България</w:t>
            </w:r>
          </w:p>
          <w:p w:rsidR="00BC4936" w:rsidRDefault="004426C6">
            <w:pPr>
              <w:rPr>
                <w:noProof/>
                <w:sz w:val="22"/>
                <w:lang w:val="it-IT"/>
              </w:rPr>
            </w:pPr>
            <w:r w:rsidRPr="004426C6">
              <w:rPr>
                <w:noProof/>
                <w:sz w:val="22"/>
                <w:lang w:val="it-IT"/>
              </w:rPr>
              <w:t xml:space="preserve">SANOFI BULGARIA </w:t>
            </w:r>
            <w:r w:rsidR="00BC4936">
              <w:rPr>
                <w:noProof/>
                <w:sz w:val="22"/>
                <w:lang w:val="it-IT"/>
              </w:rPr>
              <w:t>EOOD</w:t>
            </w:r>
          </w:p>
          <w:p w:rsidR="00BC4936" w:rsidRDefault="00BC4936">
            <w:pPr>
              <w:rPr>
                <w:sz w:val="22"/>
                <w:szCs w:val="22"/>
                <w:lang w:val="it-IT"/>
              </w:rPr>
            </w:pPr>
            <w:r>
              <w:rPr>
                <w:bCs/>
                <w:sz w:val="22"/>
                <w:szCs w:val="22"/>
                <w:lang w:val="bg-BG"/>
              </w:rPr>
              <w:t>Тел: +</w:t>
            </w:r>
            <w:r>
              <w:rPr>
                <w:bCs/>
                <w:sz w:val="22"/>
                <w:szCs w:val="22"/>
                <w:lang w:val="it-IT"/>
              </w:rPr>
              <w:t>359 (0)2</w:t>
            </w:r>
            <w:r>
              <w:rPr>
                <w:sz w:val="22"/>
                <w:szCs w:val="22"/>
                <w:lang w:val="it-IT"/>
              </w:rPr>
              <w:t xml:space="preserve"> 970 53 00</w:t>
            </w:r>
          </w:p>
          <w:p w:rsidR="00BC4936" w:rsidRDefault="00BC4936">
            <w:pPr>
              <w:rPr>
                <w:sz w:val="22"/>
                <w:lang w:val="it-IT"/>
              </w:rPr>
            </w:pPr>
          </w:p>
        </w:tc>
        <w:tc>
          <w:tcPr>
            <w:tcW w:w="4536" w:type="dxa"/>
          </w:tcPr>
          <w:p w:rsidR="0064558D" w:rsidRDefault="0064558D" w:rsidP="0064558D">
            <w:pPr>
              <w:rPr>
                <w:b/>
                <w:bCs/>
                <w:sz w:val="22"/>
                <w:lang w:val="de-DE"/>
              </w:rPr>
            </w:pPr>
            <w:r>
              <w:rPr>
                <w:b/>
                <w:bCs/>
                <w:sz w:val="22"/>
                <w:lang w:val="de-DE"/>
              </w:rPr>
              <w:t>Luxembourg/Luxemburg</w:t>
            </w:r>
          </w:p>
          <w:p w:rsidR="0064558D" w:rsidRDefault="00E82CDC" w:rsidP="0064558D">
            <w:pPr>
              <w:rPr>
                <w:snapToGrid w:val="0"/>
                <w:sz w:val="22"/>
                <w:lang w:val="fr-BE"/>
              </w:rPr>
            </w:pPr>
            <w:r>
              <w:rPr>
                <w:snapToGrid w:val="0"/>
                <w:sz w:val="22"/>
                <w:lang w:val="fr-BE"/>
              </w:rPr>
              <w:t>S</w:t>
            </w:r>
            <w:r w:rsidR="0064558D">
              <w:rPr>
                <w:snapToGrid w:val="0"/>
                <w:sz w:val="22"/>
                <w:lang w:val="fr-BE"/>
              </w:rPr>
              <w:t xml:space="preserve">anofi Belgium </w:t>
            </w:r>
          </w:p>
          <w:p w:rsidR="0064558D" w:rsidRDefault="0064558D" w:rsidP="0064558D">
            <w:pPr>
              <w:rPr>
                <w:sz w:val="22"/>
                <w:lang w:val="fr-BE"/>
              </w:rPr>
            </w:pPr>
            <w:r>
              <w:rPr>
                <w:sz w:val="22"/>
                <w:lang w:val="fr-LU"/>
              </w:rPr>
              <w:t xml:space="preserve">Tél/Tel: </w:t>
            </w:r>
            <w:r>
              <w:rPr>
                <w:snapToGrid w:val="0"/>
                <w:sz w:val="22"/>
                <w:lang w:val="fr-BE"/>
              </w:rPr>
              <w:t>+32 (0)2 710 54 00 (</w:t>
            </w:r>
            <w:r>
              <w:rPr>
                <w:sz w:val="22"/>
                <w:lang w:val="fr-BE"/>
              </w:rPr>
              <w:t>Belgique/Belgien)</w:t>
            </w:r>
          </w:p>
          <w:p w:rsidR="00BC4936" w:rsidRDefault="00BC4936" w:rsidP="0064558D">
            <w:pPr>
              <w:rPr>
                <w:sz w:val="22"/>
                <w:lang w:val="cs-CZ"/>
              </w:rPr>
            </w:pPr>
          </w:p>
        </w:tc>
      </w:tr>
      <w:tr w:rsidR="00BC4936" w:rsidTr="0064558D">
        <w:trPr>
          <w:trHeight w:val="904"/>
        </w:trPr>
        <w:tc>
          <w:tcPr>
            <w:tcW w:w="4544" w:type="dxa"/>
          </w:tcPr>
          <w:p w:rsidR="00BC4936" w:rsidRDefault="00BC4936">
            <w:pPr>
              <w:rPr>
                <w:b/>
                <w:bCs/>
                <w:sz w:val="22"/>
                <w:lang w:val="cs-CZ"/>
              </w:rPr>
            </w:pPr>
            <w:r>
              <w:rPr>
                <w:b/>
                <w:bCs/>
                <w:sz w:val="22"/>
                <w:lang w:val="cs-CZ"/>
              </w:rPr>
              <w:t>Česká republika</w:t>
            </w:r>
          </w:p>
          <w:p w:rsidR="00BC4936" w:rsidRDefault="00BC4936">
            <w:pPr>
              <w:rPr>
                <w:sz w:val="22"/>
                <w:lang w:val="cs-CZ"/>
              </w:rPr>
            </w:pPr>
            <w:r>
              <w:rPr>
                <w:sz w:val="22"/>
                <w:lang w:val="cs-CZ"/>
              </w:rPr>
              <w:t>sanofi-aventis, s.r.o.</w:t>
            </w:r>
          </w:p>
          <w:p w:rsidR="00BC4936" w:rsidRDefault="00BC4936">
            <w:pPr>
              <w:rPr>
                <w:sz w:val="22"/>
                <w:lang w:val="cs-CZ"/>
              </w:rPr>
            </w:pPr>
            <w:r>
              <w:rPr>
                <w:sz w:val="22"/>
                <w:lang w:val="cs-CZ"/>
              </w:rPr>
              <w:t>Tel: +420 233 086 111</w:t>
            </w:r>
          </w:p>
          <w:p w:rsidR="00BC4936" w:rsidRDefault="00BC4936">
            <w:pPr>
              <w:rPr>
                <w:sz w:val="22"/>
                <w:lang w:val="cs-CZ"/>
              </w:rPr>
            </w:pPr>
          </w:p>
        </w:tc>
        <w:tc>
          <w:tcPr>
            <w:tcW w:w="4536" w:type="dxa"/>
          </w:tcPr>
          <w:p w:rsidR="0064558D" w:rsidRDefault="0064558D" w:rsidP="0064558D">
            <w:pPr>
              <w:rPr>
                <w:b/>
                <w:bCs/>
                <w:sz w:val="22"/>
                <w:lang w:val="hu-HU"/>
              </w:rPr>
            </w:pPr>
            <w:r>
              <w:rPr>
                <w:b/>
                <w:bCs/>
                <w:sz w:val="22"/>
                <w:lang w:val="hu-HU"/>
              </w:rPr>
              <w:t>Magyarország</w:t>
            </w:r>
          </w:p>
          <w:p w:rsidR="0064558D" w:rsidRDefault="004426C6" w:rsidP="0064558D">
            <w:pPr>
              <w:rPr>
                <w:sz w:val="22"/>
                <w:lang w:val="cs-CZ"/>
              </w:rPr>
            </w:pPr>
            <w:r w:rsidRPr="004426C6">
              <w:rPr>
                <w:sz w:val="22"/>
                <w:lang w:val="cs-CZ"/>
              </w:rPr>
              <w:t>SANOFI-AVENTIS Zrt.</w:t>
            </w:r>
          </w:p>
          <w:p w:rsidR="0064558D" w:rsidRDefault="0064558D" w:rsidP="0064558D">
            <w:pPr>
              <w:rPr>
                <w:sz w:val="22"/>
                <w:lang w:val="hu-HU"/>
              </w:rPr>
            </w:pPr>
            <w:r>
              <w:rPr>
                <w:sz w:val="22"/>
                <w:lang w:val="cs-CZ"/>
              </w:rPr>
              <w:t>Tel</w:t>
            </w:r>
            <w:r w:rsidR="004C6936">
              <w:rPr>
                <w:sz w:val="22"/>
                <w:lang w:val="cs-CZ"/>
              </w:rPr>
              <w:t>.</w:t>
            </w:r>
            <w:r>
              <w:rPr>
                <w:sz w:val="22"/>
                <w:lang w:val="cs-CZ"/>
              </w:rPr>
              <w:t xml:space="preserve">: +36 1 </w:t>
            </w:r>
            <w:r>
              <w:rPr>
                <w:sz w:val="22"/>
                <w:lang w:val="hu-HU"/>
              </w:rPr>
              <w:t>505 0050</w:t>
            </w:r>
          </w:p>
          <w:p w:rsidR="00BC4936" w:rsidRDefault="00BC4936" w:rsidP="0064558D">
            <w:pPr>
              <w:rPr>
                <w:sz w:val="22"/>
                <w:lang w:val="da-DK"/>
              </w:rPr>
            </w:pPr>
          </w:p>
        </w:tc>
      </w:tr>
      <w:tr w:rsidR="00BC4936" w:rsidRPr="00CE6A17" w:rsidTr="0064558D">
        <w:trPr>
          <w:trHeight w:val="904"/>
        </w:trPr>
        <w:tc>
          <w:tcPr>
            <w:tcW w:w="4544" w:type="dxa"/>
          </w:tcPr>
          <w:p w:rsidR="00BC4936" w:rsidRDefault="00BC4936">
            <w:pPr>
              <w:rPr>
                <w:b/>
                <w:bCs/>
                <w:sz w:val="22"/>
                <w:lang w:val="cs-CZ"/>
              </w:rPr>
            </w:pPr>
            <w:r>
              <w:rPr>
                <w:b/>
                <w:bCs/>
                <w:sz w:val="22"/>
                <w:lang w:val="cs-CZ"/>
              </w:rPr>
              <w:t>Danmark</w:t>
            </w:r>
          </w:p>
          <w:p w:rsidR="00BC4936" w:rsidRDefault="00923018">
            <w:pPr>
              <w:rPr>
                <w:sz w:val="22"/>
                <w:lang w:val="cs-CZ"/>
              </w:rPr>
            </w:pPr>
            <w:r>
              <w:rPr>
                <w:sz w:val="22"/>
                <w:lang w:val="cs-CZ"/>
              </w:rPr>
              <w:t>S</w:t>
            </w:r>
            <w:r w:rsidR="00BC4936">
              <w:rPr>
                <w:sz w:val="22"/>
                <w:lang w:val="cs-CZ"/>
              </w:rPr>
              <w:t>anofi A/S</w:t>
            </w:r>
          </w:p>
          <w:p w:rsidR="00BC4936" w:rsidRDefault="00BC4936">
            <w:pPr>
              <w:rPr>
                <w:sz w:val="22"/>
                <w:lang w:val="cs-CZ"/>
              </w:rPr>
            </w:pPr>
            <w:r>
              <w:rPr>
                <w:sz w:val="22"/>
                <w:lang w:val="cs-CZ"/>
              </w:rPr>
              <w:t>Tlf: +45 45 16 70 00</w:t>
            </w:r>
          </w:p>
          <w:p w:rsidR="00BC4936" w:rsidRDefault="00BC4936">
            <w:pPr>
              <w:rPr>
                <w:sz w:val="22"/>
                <w:lang w:val="en-GB"/>
              </w:rPr>
            </w:pPr>
          </w:p>
        </w:tc>
        <w:tc>
          <w:tcPr>
            <w:tcW w:w="4536" w:type="dxa"/>
          </w:tcPr>
          <w:p w:rsidR="0064558D" w:rsidRDefault="0064558D" w:rsidP="0064558D">
            <w:pPr>
              <w:rPr>
                <w:b/>
                <w:bCs/>
                <w:sz w:val="22"/>
                <w:lang w:val="mt-MT"/>
              </w:rPr>
            </w:pPr>
            <w:r>
              <w:rPr>
                <w:b/>
                <w:bCs/>
                <w:sz w:val="22"/>
                <w:lang w:val="mt-MT"/>
              </w:rPr>
              <w:t>Malta</w:t>
            </w:r>
          </w:p>
          <w:p w:rsidR="00A965F9" w:rsidRPr="00261654" w:rsidRDefault="00A965F9" w:rsidP="00A965F9">
            <w:pPr>
              <w:rPr>
                <w:sz w:val="22"/>
                <w:szCs w:val="22"/>
                <w:lang w:val="cs-CZ"/>
              </w:rPr>
            </w:pPr>
            <w:r w:rsidRPr="00261654">
              <w:rPr>
                <w:sz w:val="22"/>
                <w:szCs w:val="22"/>
                <w:lang w:val="cs-CZ"/>
              </w:rPr>
              <w:t>Sanofi S.</w:t>
            </w:r>
            <w:r w:rsidR="007C5608">
              <w:rPr>
                <w:sz w:val="22"/>
                <w:szCs w:val="22"/>
                <w:lang w:val="cs-CZ"/>
              </w:rPr>
              <w:t>r.l.</w:t>
            </w:r>
          </w:p>
          <w:p w:rsidR="00BC4936" w:rsidRDefault="00A965F9" w:rsidP="0064558D">
            <w:pPr>
              <w:rPr>
                <w:sz w:val="22"/>
                <w:lang w:val="es-ES"/>
              </w:rPr>
            </w:pPr>
            <w:r w:rsidRPr="00261654">
              <w:rPr>
                <w:sz w:val="22"/>
                <w:szCs w:val="22"/>
                <w:lang w:val="cs-CZ"/>
              </w:rPr>
              <w:t>Tel: +39 02 39394275</w:t>
            </w:r>
          </w:p>
        </w:tc>
      </w:tr>
      <w:tr w:rsidR="00BC4936" w:rsidTr="0064558D">
        <w:trPr>
          <w:trHeight w:val="892"/>
        </w:trPr>
        <w:tc>
          <w:tcPr>
            <w:tcW w:w="4544" w:type="dxa"/>
          </w:tcPr>
          <w:p w:rsidR="00BC4936" w:rsidRDefault="00BC4936">
            <w:pPr>
              <w:rPr>
                <w:b/>
                <w:bCs/>
                <w:sz w:val="22"/>
                <w:lang w:val="cs-CZ"/>
              </w:rPr>
            </w:pPr>
            <w:r>
              <w:rPr>
                <w:b/>
                <w:bCs/>
                <w:sz w:val="22"/>
                <w:lang w:val="cs-CZ"/>
              </w:rPr>
              <w:t>Deutschland</w:t>
            </w:r>
          </w:p>
          <w:p w:rsidR="00BC4936" w:rsidRDefault="00BC4936">
            <w:pPr>
              <w:rPr>
                <w:sz w:val="22"/>
                <w:lang w:val="cs-CZ"/>
              </w:rPr>
            </w:pPr>
            <w:r>
              <w:rPr>
                <w:sz w:val="22"/>
                <w:lang w:val="cs-CZ"/>
              </w:rPr>
              <w:t>Sanofi-Aventis Deutschland GmbH</w:t>
            </w:r>
          </w:p>
          <w:p w:rsidR="00001800" w:rsidRPr="00001800" w:rsidRDefault="00001800" w:rsidP="00001800">
            <w:pPr>
              <w:rPr>
                <w:sz w:val="22"/>
                <w:szCs w:val="22"/>
                <w:lang w:val="cs-CZ" w:eastAsia="en-US"/>
              </w:rPr>
            </w:pPr>
            <w:r w:rsidRPr="00001800">
              <w:rPr>
                <w:sz w:val="22"/>
                <w:szCs w:val="22"/>
                <w:lang w:val="cs-CZ" w:eastAsia="en-US"/>
              </w:rPr>
              <w:t>Tel.: 0800 52 52 010</w:t>
            </w:r>
          </w:p>
          <w:p w:rsidR="00BC4936" w:rsidRDefault="00BC4936">
            <w:pPr>
              <w:rPr>
                <w:sz w:val="22"/>
                <w:lang w:val="cs-CZ"/>
              </w:rPr>
            </w:pPr>
            <w:r>
              <w:rPr>
                <w:sz w:val="22"/>
                <w:lang w:val="cs-CZ"/>
              </w:rPr>
              <w:t>Tel</w:t>
            </w:r>
            <w:r w:rsidR="00001800">
              <w:rPr>
                <w:sz w:val="22"/>
                <w:lang w:val="cs-CZ"/>
              </w:rPr>
              <w:t>.</w:t>
            </w:r>
            <w:r>
              <w:rPr>
                <w:sz w:val="22"/>
                <w:lang w:val="cs-CZ"/>
              </w:rPr>
              <w:t xml:space="preserve"> </w:t>
            </w:r>
            <w:r w:rsidR="00001800">
              <w:rPr>
                <w:sz w:val="22"/>
                <w:szCs w:val="22"/>
                <w:lang w:val="cs-CZ"/>
              </w:rPr>
              <w:t>aus dem Ausland:</w:t>
            </w:r>
            <w:r w:rsidR="00001800">
              <w:rPr>
                <w:sz w:val="22"/>
                <w:lang w:val="cs-CZ"/>
              </w:rPr>
              <w:t xml:space="preserve"> </w:t>
            </w:r>
            <w:r>
              <w:rPr>
                <w:sz w:val="22"/>
                <w:lang w:val="cs-CZ"/>
              </w:rPr>
              <w:t xml:space="preserve">+49 </w:t>
            </w:r>
            <w:r w:rsidR="00001800">
              <w:rPr>
                <w:sz w:val="22"/>
                <w:lang w:val="cs-CZ"/>
              </w:rPr>
              <w:t>69 305 21 131</w:t>
            </w:r>
          </w:p>
          <w:p w:rsidR="00BC4936" w:rsidRPr="00906110" w:rsidRDefault="00BC4936">
            <w:pPr>
              <w:rPr>
                <w:sz w:val="22"/>
                <w:lang w:val="de-DE"/>
              </w:rPr>
            </w:pPr>
          </w:p>
        </w:tc>
        <w:tc>
          <w:tcPr>
            <w:tcW w:w="4536" w:type="dxa"/>
          </w:tcPr>
          <w:p w:rsidR="0064558D" w:rsidRDefault="0064558D" w:rsidP="0064558D">
            <w:pPr>
              <w:rPr>
                <w:b/>
                <w:bCs/>
                <w:sz w:val="22"/>
                <w:lang w:val="cs-CZ"/>
              </w:rPr>
            </w:pPr>
            <w:r>
              <w:rPr>
                <w:b/>
                <w:bCs/>
                <w:sz w:val="22"/>
                <w:lang w:val="cs-CZ"/>
              </w:rPr>
              <w:t>Nederland</w:t>
            </w:r>
          </w:p>
          <w:p w:rsidR="0064558D" w:rsidRDefault="00926F72" w:rsidP="0064558D">
            <w:pPr>
              <w:rPr>
                <w:sz w:val="22"/>
                <w:lang w:val="cs-CZ"/>
              </w:rPr>
            </w:pPr>
            <w:r w:rsidRPr="00926F72">
              <w:rPr>
                <w:sz w:val="22"/>
                <w:lang w:val="cs-CZ"/>
              </w:rPr>
              <w:t>Genzyme Europe</w:t>
            </w:r>
            <w:r>
              <w:rPr>
                <w:sz w:val="22"/>
                <w:lang w:val="cs-CZ"/>
              </w:rPr>
              <w:t xml:space="preserve"> </w:t>
            </w:r>
            <w:r w:rsidR="0064558D">
              <w:rPr>
                <w:sz w:val="22"/>
                <w:lang w:val="cs-CZ"/>
              </w:rPr>
              <w:t>B.V.</w:t>
            </w:r>
          </w:p>
          <w:p w:rsidR="0064558D" w:rsidRDefault="0064558D" w:rsidP="0064558D">
            <w:pPr>
              <w:rPr>
                <w:sz w:val="22"/>
                <w:lang w:val="nl-NL"/>
              </w:rPr>
            </w:pPr>
            <w:r>
              <w:rPr>
                <w:sz w:val="22"/>
                <w:lang w:val="cs-CZ"/>
              </w:rPr>
              <w:t xml:space="preserve">Tel: +31 </w:t>
            </w:r>
            <w:r w:rsidR="00923018">
              <w:rPr>
                <w:sz w:val="22"/>
                <w:lang w:val="cs-CZ"/>
              </w:rPr>
              <w:t>20 245 4000</w:t>
            </w:r>
          </w:p>
          <w:p w:rsidR="00BC4936" w:rsidRDefault="00BC4936" w:rsidP="0064558D">
            <w:pPr>
              <w:rPr>
                <w:sz w:val="22"/>
                <w:lang w:val="nb-NO"/>
              </w:rPr>
            </w:pPr>
          </w:p>
        </w:tc>
      </w:tr>
      <w:tr w:rsidR="00BC4936" w:rsidTr="0064558D">
        <w:trPr>
          <w:trHeight w:val="880"/>
        </w:trPr>
        <w:tc>
          <w:tcPr>
            <w:tcW w:w="4544" w:type="dxa"/>
          </w:tcPr>
          <w:p w:rsidR="00BC4936" w:rsidRDefault="00BC4936">
            <w:pPr>
              <w:rPr>
                <w:b/>
                <w:bCs/>
                <w:sz w:val="22"/>
                <w:lang w:val="et-EE"/>
              </w:rPr>
            </w:pPr>
            <w:r>
              <w:rPr>
                <w:b/>
                <w:bCs/>
                <w:sz w:val="22"/>
                <w:lang w:val="et-EE"/>
              </w:rPr>
              <w:t>Eesti</w:t>
            </w:r>
          </w:p>
          <w:p w:rsidR="00BC4936" w:rsidRDefault="00BC4936">
            <w:pPr>
              <w:rPr>
                <w:sz w:val="22"/>
                <w:lang w:val="cs-CZ"/>
              </w:rPr>
            </w:pPr>
            <w:r>
              <w:rPr>
                <w:sz w:val="22"/>
                <w:lang w:val="cs-CZ"/>
              </w:rPr>
              <w:t>sanofi-aventis Estonia OÜ</w:t>
            </w:r>
          </w:p>
          <w:p w:rsidR="00BC4936" w:rsidRDefault="00BC4936">
            <w:pPr>
              <w:rPr>
                <w:sz w:val="22"/>
                <w:lang w:val="cs-CZ"/>
              </w:rPr>
            </w:pPr>
            <w:r>
              <w:rPr>
                <w:sz w:val="22"/>
                <w:lang w:val="cs-CZ"/>
              </w:rPr>
              <w:t>Tel: +372 627 3488</w:t>
            </w:r>
          </w:p>
          <w:p w:rsidR="00BC4936" w:rsidRDefault="00BC4936">
            <w:pPr>
              <w:rPr>
                <w:sz w:val="22"/>
                <w:lang w:val="nb-NO"/>
              </w:rPr>
            </w:pPr>
          </w:p>
        </w:tc>
        <w:tc>
          <w:tcPr>
            <w:tcW w:w="4536" w:type="dxa"/>
          </w:tcPr>
          <w:p w:rsidR="0064558D" w:rsidRDefault="0064558D" w:rsidP="0064558D">
            <w:pPr>
              <w:rPr>
                <w:b/>
                <w:bCs/>
                <w:sz w:val="22"/>
                <w:lang w:val="cs-CZ"/>
              </w:rPr>
            </w:pPr>
            <w:r>
              <w:rPr>
                <w:b/>
                <w:bCs/>
                <w:sz w:val="22"/>
                <w:lang w:val="cs-CZ"/>
              </w:rPr>
              <w:t>Norge</w:t>
            </w:r>
          </w:p>
          <w:p w:rsidR="0064558D" w:rsidRDefault="0064558D" w:rsidP="0064558D">
            <w:pPr>
              <w:rPr>
                <w:sz w:val="22"/>
                <w:lang w:val="cs-CZ"/>
              </w:rPr>
            </w:pPr>
            <w:r>
              <w:rPr>
                <w:sz w:val="22"/>
                <w:lang w:val="cs-CZ"/>
              </w:rPr>
              <w:t>sanofi-aventis Norge AS</w:t>
            </w:r>
          </w:p>
          <w:p w:rsidR="0064558D" w:rsidRDefault="0064558D" w:rsidP="0064558D">
            <w:pPr>
              <w:rPr>
                <w:sz w:val="22"/>
                <w:lang w:val="cs-CZ"/>
              </w:rPr>
            </w:pPr>
            <w:r>
              <w:rPr>
                <w:sz w:val="22"/>
                <w:lang w:val="cs-CZ"/>
              </w:rPr>
              <w:t>Tlf: +47 67 10 71 00</w:t>
            </w:r>
          </w:p>
          <w:p w:rsidR="00BC4936" w:rsidRDefault="00BC4936" w:rsidP="0064558D">
            <w:pPr>
              <w:rPr>
                <w:sz w:val="22"/>
                <w:lang w:val="cs-CZ"/>
              </w:rPr>
            </w:pPr>
          </w:p>
        </w:tc>
      </w:tr>
      <w:tr w:rsidR="00BC4936" w:rsidRPr="00022436" w:rsidTr="0064558D">
        <w:trPr>
          <w:trHeight w:val="952"/>
        </w:trPr>
        <w:tc>
          <w:tcPr>
            <w:tcW w:w="4544" w:type="dxa"/>
          </w:tcPr>
          <w:p w:rsidR="00BC4936" w:rsidRDefault="00BC4936">
            <w:pPr>
              <w:rPr>
                <w:b/>
                <w:bCs/>
                <w:sz w:val="22"/>
                <w:lang w:val="cs-CZ"/>
              </w:rPr>
            </w:pPr>
            <w:r>
              <w:rPr>
                <w:b/>
                <w:bCs/>
                <w:sz w:val="22"/>
                <w:lang w:val="el-GR"/>
              </w:rPr>
              <w:t>Ελλάδα</w:t>
            </w:r>
          </w:p>
          <w:p w:rsidR="00BC4936" w:rsidRDefault="00BC4936">
            <w:pPr>
              <w:rPr>
                <w:sz w:val="22"/>
                <w:lang w:val="et-EE"/>
              </w:rPr>
            </w:pPr>
            <w:r>
              <w:rPr>
                <w:sz w:val="22"/>
                <w:lang w:val="cs-CZ"/>
              </w:rPr>
              <w:t>sanofi-aventis AEBE</w:t>
            </w:r>
          </w:p>
          <w:p w:rsidR="00BC4936" w:rsidRDefault="00BC4936">
            <w:pPr>
              <w:rPr>
                <w:sz w:val="22"/>
                <w:lang w:val="cs-CZ"/>
              </w:rPr>
            </w:pPr>
            <w:r>
              <w:rPr>
                <w:sz w:val="22"/>
                <w:lang w:val="el-GR"/>
              </w:rPr>
              <w:t>Τηλ</w:t>
            </w:r>
            <w:r>
              <w:rPr>
                <w:sz w:val="22"/>
                <w:lang w:val="cs-CZ"/>
              </w:rPr>
              <w:t>: +30 210 900 16 00</w:t>
            </w:r>
          </w:p>
          <w:p w:rsidR="00BC4936" w:rsidRPr="00906110" w:rsidRDefault="00BC4936">
            <w:pPr>
              <w:rPr>
                <w:sz w:val="22"/>
                <w:lang w:val="fr-FR"/>
              </w:rPr>
            </w:pPr>
          </w:p>
        </w:tc>
        <w:tc>
          <w:tcPr>
            <w:tcW w:w="4536" w:type="dxa"/>
          </w:tcPr>
          <w:p w:rsidR="0064558D" w:rsidRDefault="0064558D" w:rsidP="0064558D">
            <w:pPr>
              <w:rPr>
                <w:b/>
                <w:bCs/>
                <w:sz w:val="22"/>
                <w:lang w:val="cs-CZ"/>
              </w:rPr>
            </w:pPr>
            <w:r>
              <w:rPr>
                <w:b/>
                <w:bCs/>
                <w:sz w:val="22"/>
                <w:lang w:val="cs-CZ"/>
              </w:rPr>
              <w:t>Österreich</w:t>
            </w:r>
          </w:p>
          <w:p w:rsidR="0064558D" w:rsidRDefault="0064558D" w:rsidP="0064558D">
            <w:pPr>
              <w:rPr>
                <w:sz w:val="22"/>
                <w:lang w:val="de-DE"/>
              </w:rPr>
            </w:pPr>
            <w:r>
              <w:rPr>
                <w:sz w:val="22"/>
                <w:lang w:val="de-DE"/>
              </w:rPr>
              <w:t>sanofi-aventis GmbH</w:t>
            </w:r>
          </w:p>
          <w:p w:rsidR="0064558D" w:rsidRDefault="0064558D" w:rsidP="0064558D">
            <w:pPr>
              <w:rPr>
                <w:sz w:val="22"/>
                <w:lang w:val="de-DE"/>
              </w:rPr>
            </w:pPr>
            <w:r>
              <w:rPr>
                <w:sz w:val="22"/>
                <w:lang w:val="de-DE"/>
              </w:rPr>
              <w:t>Tel: +43 1 80 185 – 0</w:t>
            </w:r>
          </w:p>
          <w:p w:rsidR="00BC4936" w:rsidRDefault="00BC4936" w:rsidP="0064558D">
            <w:pPr>
              <w:rPr>
                <w:sz w:val="22"/>
                <w:lang w:val="es-ES"/>
              </w:rPr>
            </w:pPr>
          </w:p>
        </w:tc>
      </w:tr>
      <w:tr w:rsidR="00BC4936" w:rsidTr="00971C2E">
        <w:trPr>
          <w:trHeight w:val="946"/>
        </w:trPr>
        <w:tc>
          <w:tcPr>
            <w:tcW w:w="4544" w:type="dxa"/>
          </w:tcPr>
          <w:p w:rsidR="00BC4936" w:rsidRDefault="00BC4936">
            <w:pPr>
              <w:rPr>
                <w:b/>
                <w:bCs/>
                <w:sz w:val="22"/>
                <w:lang w:val="es-ES"/>
              </w:rPr>
            </w:pPr>
            <w:r>
              <w:rPr>
                <w:b/>
                <w:bCs/>
                <w:sz w:val="22"/>
                <w:lang w:val="es-ES"/>
              </w:rPr>
              <w:t>España</w:t>
            </w:r>
          </w:p>
          <w:p w:rsidR="00BC4936" w:rsidRPr="00A5177C" w:rsidRDefault="00BC4936">
            <w:pPr>
              <w:rPr>
                <w:smallCaps/>
                <w:sz w:val="22"/>
                <w:lang w:val="fr-FR"/>
              </w:rPr>
            </w:pPr>
            <w:r w:rsidRPr="00A5177C">
              <w:rPr>
                <w:sz w:val="22"/>
                <w:lang w:val="fr-FR"/>
              </w:rPr>
              <w:t>sanofi-aventis, S.A..</w:t>
            </w:r>
          </w:p>
          <w:p w:rsidR="00BC4936" w:rsidRDefault="00BC4936">
            <w:pPr>
              <w:rPr>
                <w:sz w:val="22"/>
                <w:lang w:val="pt-PT"/>
              </w:rPr>
            </w:pPr>
            <w:r>
              <w:rPr>
                <w:sz w:val="22"/>
                <w:lang w:val="pt-PT"/>
              </w:rPr>
              <w:t>Tel: +34 93 485 94 00</w:t>
            </w:r>
          </w:p>
          <w:p w:rsidR="00BC4936" w:rsidRDefault="00BC4936">
            <w:pPr>
              <w:rPr>
                <w:sz w:val="22"/>
                <w:lang w:val="fr-FR"/>
              </w:rPr>
            </w:pPr>
          </w:p>
        </w:tc>
        <w:tc>
          <w:tcPr>
            <w:tcW w:w="4536" w:type="dxa"/>
          </w:tcPr>
          <w:p w:rsidR="0064558D" w:rsidRDefault="0064558D" w:rsidP="0064558D">
            <w:pPr>
              <w:rPr>
                <w:b/>
                <w:bCs/>
                <w:sz w:val="22"/>
                <w:lang w:val="lv-LV"/>
              </w:rPr>
            </w:pPr>
            <w:r>
              <w:rPr>
                <w:b/>
                <w:bCs/>
                <w:sz w:val="22"/>
                <w:lang w:val="lv-LV"/>
              </w:rPr>
              <w:t>Polska</w:t>
            </w:r>
          </w:p>
          <w:p w:rsidR="0064558D" w:rsidRDefault="0064558D" w:rsidP="0064558D">
            <w:pPr>
              <w:rPr>
                <w:sz w:val="22"/>
                <w:lang w:val="sv-SE"/>
              </w:rPr>
            </w:pPr>
            <w:r>
              <w:rPr>
                <w:sz w:val="22"/>
                <w:lang w:val="sv-SE"/>
              </w:rPr>
              <w:t>sanofi-aventis Sp. z o.o.</w:t>
            </w:r>
          </w:p>
          <w:p w:rsidR="00BC4936" w:rsidRDefault="0064558D" w:rsidP="0064558D">
            <w:pPr>
              <w:rPr>
                <w:sz w:val="22"/>
                <w:lang w:val="fr-FR"/>
              </w:rPr>
            </w:pPr>
            <w:r>
              <w:rPr>
                <w:sz w:val="22"/>
                <w:lang w:val="fr-FR"/>
              </w:rPr>
              <w:t>Tel: +48 22 280 00 00</w:t>
            </w:r>
          </w:p>
        </w:tc>
      </w:tr>
      <w:tr w:rsidR="00BC4936" w:rsidTr="0064558D">
        <w:trPr>
          <w:trHeight w:val="892"/>
        </w:trPr>
        <w:tc>
          <w:tcPr>
            <w:tcW w:w="4544" w:type="dxa"/>
          </w:tcPr>
          <w:p w:rsidR="00BC4936" w:rsidRDefault="00BC4936">
            <w:pPr>
              <w:rPr>
                <w:b/>
                <w:bCs/>
                <w:sz w:val="22"/>
                <w:lang w:val="fr-FR"/>
              </w:rPr>
            </w:pPr>
            <w:r>
              <w:rPr>
                <w:b/>
                <w:bCs/>
                <w:sz w:val="22"/>
                <w:lang w:val="fr-FR"/>
              </w:rPr>
              <w:t>France</w:t>
            </w:r>
          </w:p>
          <w:p w:rsidR="00BC4936" w:rsidRDefault="00BC4936">
            <w:pPr>
              <w:rPr>
                <w:sz w:val="22"/>
                <w:lang w:val="fr-FR"/>
              </w:rPr>
            </w:pPr>
            <w:r>
              <w:rPr>
                <w:sz w:val="22"/>
                <w:lang w:val="fr-BE"/>
              </w:rPr>
              <w:t xml:space="preserve">sanofi-aventis </w:t>
            </w:r>
            <w:r w:rsidR="00E3707B">
              <w:rPr>
                <w:sz w:val="22"/>
                <w:lang w:val="fr-BE"/>
              </w:rPr>
              <w:t>F</w:t>
            </w:r>
            <w:r>
              <w:rPr>
                <w:sz w:val="22"/>
                <w:lang w:val="fr-BE"/>
              </w:rPr>
              <w:t>rance</w:t>
            </w:r>
          </w:p>
          <w:p w:rsidR="00BC4936" w:rsidRPr="00A5177C" w:rsidRDefault="00BC4936">
            <w:pPr>
              <w:rPr>
                <w:sz w:val="22"/>
                <w:lang w:val="fr-FR"/>
              </w:rPr>
            </w:pPr>
            <w:r w:rsidRPr="00A5177C">
              <w:rPr>
                <w:sz w:val="22"/>
                <w:lang w:val="fr-FR"/>
              </w:rPr>
              <w:t>Tél: 0 800 222 555</w:t>
            </w:r>
          </w:p>
          <w:p w:rsidR="00BC4936" w:rsidRDefault="00BC4936">
            <w:pPr>
              <w:rPr>
                <w:sz w:val="22"/>
                <w:lang w:val="pt-PT"/>
              </w:rPr>
            </w:pPr>
            <w:r>
              <w:rPr>
                <w:sz w:val="22"/>
                <w:lang w:val="pt-PT"/>
              </w:rPr>
              <w:t>Appel depuis l’étranger : +33 1 57 63 23 23</w:t>
            </w:r>
          </w:p>
          <w:p w:rsidR="00BC4936" w:rsidRDefault="00BC4936">
            <w:pPr>
              <w:rPr>
                <w:sz w:val="22"/>
                <w:lang w:val="es-ES"/>
              </w:rPr>
            </w:pPr>
          </w:p>
        </w:tc>
        <w:tc>
          <w:tcPr>
            <w:tcW w:w="4536" w:type="dxa"/>
          </w:tcPr>
          <w:p w:rsidR="0064558D" w:rsidRPr="00A5177C" w:rsidRDefault="0064558D" w:rsidP="0064558D">
            <w:pPr>
              <w:rPr>
                <w:b/>
                <w:bCs/>
                <w:sz w:val="22"/>
                <w:lang w:val="pt-BR"/>
              </w:rPr>
            </w:pPr>
            <w:r w:rsidRPr="00A5177C">
              <w:rPr>
                <w:b/>
                <w:bCs/>
                <w:sz w:val="22"/>
                <w:lang w:val="pt-BR"/>
              </w:rPr>
              <w:t>Portugal</w:t>
            </w:r>
          </w:p>
          <w:p w:rsidR="0064558D" w:rsidRPr="00A5177C" w:rsidRDefault="0064558D" w:rsidP="0064558D">
            <w:pPr>
              <w:rPr>
                <w:sz w:val="22"/>
                <w:lang w:val="pt-BR"/>
              </w:rPr>
            </w:pPr>
            <w:r>
              <w:rPr>
                <w:sz w:val="22"/>
                <w:lang w:val="pt-BR"/>
              </w:rPr>
              <w:t>S</w:t>
            </w:r>
            <w:r w:rsidRPr="00A5177C">
              <w:rPr>
                <w:sz w:val="22"/>
                <w:lang w:val="pt-BR"/>
              </w:rPr>
              <w:t xml:space="preserve">anofi - Produtos Farmacêuticos, </w:t>
            </w:r>
            <w:r>
              <w:rPr>
                <w:sz w:val="22"/>
                <w:lang w:val="pt-BR"/>
              </w:rPr>
              <w:t>Lda</w:t>
            </w:r>
          </w:p>
          <w:p w:rsidR="0064558D" w:rsidRDefault="0064558D" w:rsidP="0064558D">
            <w:pPr>
              <w:rPr>
                <w:sz w:val="22"/>
                <w:lang w:val="fr-FR"/>
              </w:rPr>
            </w:pPr>
            <w:r>
              <w:rPr>
                <w:sz w:val="22"/>
                <w:lang w:val="fr-FR"/>
              </w:rPr>
              <w:t>Tel: +351 21 35 89 400</w:t>
            </w:r>
          </w:p>
          <w:p w:rsidR="00BC4936" w:rsidRDefault="00BC4936" w:rsidP="0064558D">
            <w:pPr>
              <w:rPr>
                <w:sz w:val="22"/>
                <w:lang w:val="fr-FR"/>
              </w:rPr>
            </w:pPr>
          </w:p>
        </w:tc>
      </w:tr>
      <w:tr w:rsidR="00BC4936" w:rsidRPr="00BD6C12" w:rsidTr="0064558D">
        <w:trPr>
          <w:trHeight w:val="1000"/>
        </w:trPr>
        <w:tc>
          <w:tcPr>
            <w:tcW w:w="4544" w:type="dxa"/>
          </w:tcPr>
          <w:p w:rsidR="0064558D" w:rsidRPr="00A23182" w:rsidRDefault="0064558D" w:rsidP="0064558D">
            <w:pPr>
              <w:keepNext/>
              <w:rPr>
                <w:rFonts w:eastAsia="SimSun"/>
                <w:b/>
                <w:bCs/>
                <w:sz w:val="22"/>
                <w:szCs w:val="22"/>
                <w:lang w:val="it-IT" w:eastAsia="zh-CN"/>
              </w:rPr>
            </w:pPr>
            <w:r w:rsidRPr="00A23182">
              <w:rPr>
                <w:rFonts w:eastAsia="SimSun"/>
                <w:b/>
                <w:bCs/>
                <w:sz w:val="22"/>
                <w:szCs w:val="22"/>
                <w:lang w:val="it-IT" w:eastAsia="zh-CN"/>
              </w:rPr>
              <w:t>Hrvatska</w:t>
            </w:r>
          </w:p>
          <w:p w:rsidR="0064558D" w:rsidRPr="00A23182" w:rsidRDefault="0064558D" w:rsidP="0064558D">
            <w:pPr>
              <w:rPr>
                <w:rFonts w:eastAsia="SimSun"/>
                <w:sz w:val="22"/>
                <w:szCs w:val="22"/>
                <w:lang w:val="it-IT" w:eastAsia="zh-CN"/>
              </w:rPr>
            </w:pPr>
            <w:r w:rsidRPr="00A23182">
              <w:rPr>
                <w:rFonts w:eastAsia="SimSun"/>
                <w:sz w:val="22"/>
                <w:szCs w:val="22"/>
                <w:lang w:val="it-IT" w:eastAsia="zh-CN"/>
              </w:rPr>
              <w:t>sanofi-aventis Croatia d.o.o.</w:t>
            </w:r>
          </w:p>
          <w:p w:rsidR="00BC4936" w:rsidRDefault="0064558D" w:rsidP="0064558D">
            <w:pPr>
              <w:rPr>
                <w:sz w:val="22"/>
                <w:lang w:val="nl-NL"/>
              </w:rPr>
            </w:pPr>
            <w:r w:rsidRPr="00A23182">
              <w:rPr>
                <w:rFonts w:eastAsia="SimSun"/>
                <w:sz w:val="22"/>
                <w:szCs w:val="22"/>
                <w:lang w:val="fr-FR" w:eastAsia="zh-CN"/>
              </w:rPr>
              <w:t>Tel: +385 1 600 34 00</w:t>
            </w:r>
          </w:p>
        </w:tc>
        <w:tc>
          <w:tcPr>
            <w:tcW w:w="4536" w:type="dxa"/>
          </w:tcPr>
          <w:p w:rsidR="0064558D" w:rsidRPr="00906110" w:rsidRDefault="0064558D" w:rsidP="0064558D">
            <w:pPr>
              <w:tabs>
                <w:tab w:val="left" w:pos="-720"/>
                <w:tab w:val="left" w:pos="4536"/>
              </w:tabs>
              <w:suppressAutoHyphens/>
              <w:rPr>
                <w:b/>
                <w:noProof/>
                <w:sz w:val="22"/>
                <w:szCs w:val="22"/>
                <w:lang w:val="fr-FR"/>
              </w:rPr>
            </w:pPr>
            <w:r w:rsidRPr="00906110">
              <w:rPr>
                <w:b/>
                <w:noProof/>
                <w:sz w:val="22"/>
                <w:szCs w:val="22"/>
                <w:lang w:val="fr-FR"/>
              </w:rPr>
              <w:t>România</w:t>
            </w:r>
          </w:p>
          <w:p w:rsidR="0064558D" w:rsidRPr="00906110" w:rsidRDefault="0098661B" w:rsidP="0064558D">
            <w:pPr>
              <w:tabs>
                <w:tab w:val="left" w:pos="-720"/>
                <w:tab w:val="left" w:pos="4536"/>
              </w:tabs>
              <w:suppressAutoHyphens/>
              <w:rPr>
                <w:noProof/>
                <w:sz w:val="22"/>
                <w:szCs w:val="22"/>
                <w:lang w:val="fr-FR"/>
              </w:rPr>
            </w:pPr>
            <w:r>
              <w:rPr>
                <w:bCs/>
                <w:sz w:val="22"/>
                <w:szCs w:val="22"/>
                <w:lang w:val="it-IT"/>
              </w:rPr>
              <w:t>S</w:t>
            </w:r>
            <w:r w:rsidR="0064558D">
              <w:rPr>
                <w:bCs/>
                <w:sz w:val="22"/>
                <w:szCs w:val="22"/>
                <w:lang w:val="it-IT"/>
              </w:rPr>
              <w:t>anofi</w:t>
            </w:r>
            <w:r>
              <w:rPr>
                <w:bCs/>
                <w:sz w:val="22"/>
                <w:szCs w:val="22"/>
                <w:lang w:val="it-IT"/>
              </w:rPr>
              <w:t xml:space="preserve"> </w:t>
            </w:r>
            <w:r w:rsidR="0064558D">
              <w:rPr>
                <w:bCs/>
                <w:sz w:val="22"/>
                <w:szCs w:val="22"/>
                <w:lang w:val="it-IT"/>
              </w:rPr>
              <w:t>Rom</w:t>
            </w:r>
            <w:r>
              <w:rPr>
                <w:bCs/>
                <w:sz w:val="22"/>
                <w:szCs w:val="22"/>
                <w:lang w:val="it-IT"/>
              </w:rPr>
              <w:t>a</w:t>
            </w:r>
            <w:r w:rsidR="0064558D">
              <w:rPr>
                <w:bCs/>
                <w:sz w:val="22"/>
                <w:szCs w:val="22"/>
                <w:lang w:val="it-IT"/>
              </w:rPr>
              <w:t>nia SRL</w:t>
            </w:r>
          </w:p>
          <w:p w:rsidR="0064558D" w:rsidRDefault="0064558D" w:rsidP="0064558D">
            <w:pPr>
              <w:rPr>
                <w:sz w:val="22"/>
                <w:szCs w:val="22"/>
                <w:lang w:val="fr-FR"/>
              </w:rPr>
            </w:pPr>
            <w:r>
              <w:rPr>
                <w:noProof/>
                <w:sz w:val="22"/>
                <w:szCs w:val="22"/>
                <w:lang w:val="pl-PL"/>
              </w:rPr>
              <w:t xml:space="preserve">Tel: +40 </w:t>
            </w:r>
            <w:r>
              <w:rPr>
                <w:sz w:val="22"/>
                <w:szCs w:val="22"/>
                <w:lang w:val="fr-FR"/>
              </w:rPr>
              <w:t>(0) 21 317 31 36</w:t>
            </w:r>
          </w:p>
          <w:p w:rsidR="00BC4936" w:rsidRDefault="00BC4936" w:rsidP="0064558D">
            <w:pPr>
              <w:rPr>
                <w:sz w:val="22"/>
                <w:lang w:val="pt-PT"/>
              </w:rPr>
            </w:pPr>
          </w:p>
        </w:tc>
      </w:tr>
      <w:tr w:rsidR="00BC4936" w:rsidTr="0064558D">
        <w:trPr>
          <w:trHeight w:val="892"/>
        </w:trPr>
        <w:tc>
          <w:tcPr>
            <w:tcW w:w="4544" w:type="dxa"/>
          </w:tcPr>
          <w:p w:rsidR="0064558D" w:rsidRDefault="0064558D" w:rsidP="0064558D">
            <w:pPr>
              <w:rPr>
                <w:b/>
                <w:bCs/>
                <w:sz w:val="22"/>
                <w:lang w:val="fr-FR"/>
              </w:rPr>
            </w:pPr>
            <w:r>
              <w:rPr>
                <w:b/>
                <w:bCs/>
                <w:sz w:val="22"/>
                <w:lang w:val="fr-FR"/>
              </w:rPr>
              <w:t>Ireland</w:t>
            </w:r>
          </w:p>
          <w:p w:rsidR="0064558D" w:rsidRDefault="0064558D" w:rsidP="0064558D">
            <w:pPr>
              <w:rPr>
                <w:sz w:val="22"/>
                <w:lang w:val="fr-FR"/>
              </w:rPr>
            </w:pPr>
            <w:r>
              <w:rPr>
                <w:sz w:val="22"/>
                <w:lang w:val="fr-FR"/>
              </w:rPr>
              <w:t>sanofi-aventis Ireland</w:t>
            </w:r>
            <w:r>
              <w:rPr>
                <w:lang w:val="fr-FR"/>
              </w:rPr>
              <w:t xml:space="preserve"> </w:t>
            </w:r>
            <w:r>
              <w:rPr>
                <w:sz w:val="22"/>
                <w:lang w:val="fr-FR"/>
              </w:rPr>
              <w:t>Ltd.T/A SANOFI</w:t>
            </w:r>
          </w:p>
          <w:p w:rsidR="0064558D" w:rsidRDefault="0064558D" w:rsidP="0064558D">
            <w:pPr>
              <w:rPr>
                <w:sz w:val="22"/>
                <w:lang w:val="it-IT"/>
              </w:rPr>
            </w:pPr>
            <w:r>
              <w:rPr>
                <w:sz w:val="22"/>
                <w:lang w:val="it-IT"/>
              </w:rPr>
              <w:t>Tel: +353 (0) 1 403 56 00</w:t>
            </w:r>
          </w:p>
          <w:p w:rsidR="00BC4936" w:rsidRDefault="00BC4936" w:rsidP="0064558D">
            <w:pPr>
              <w:rPr>
                <w:sz w:val="22"/>
                <w:lang w:val="es-ES"/>
              </w:rPr>
            </w:pPr>
          </w:p>
        </w:tc>
        <w:tc>
          <w:tcPr>
            <w:tcW w:w="4536" w:type="dxa"/>
          </w:tcPr>
          <w:p w:rsidR="0064558D" w:rsidRDefault="0064558D" w:rsidP="0064558D">
            <w:pPr>
              <w:rPr>
                <w:b/>
                <w:bCs/>
                <w:sz w:val="22"/>
                <w:lang w:val="sl-SI"/>
              </w:rPr>
            </w:pPr>
            <w:r>
              <w:rPr>
                <w:b/>
                <w:bCs/>
                <w:sz w:val="22"/>
                <w:lang w:val="sl-SI"/>
              </w:rPr>
              <w:t>Slovenija</w:t>
            </w:r>
          </w:p>
          <w:p w:rsidR="0064558D" w:rsidRDefault="0064558D" w:rsidP="0064558D">
            <w:pPr>
              <w:rPr>
                <w:sz w:val="22"/>
                <w:lang w:val="cs-CZ"/>
              </w:rPr>
            </w:pPr>
            <w:r>
              <w:rPr>
                <w:sz w:val="22"/>
                <w:lang w:val="cs-CZ"/>
              </w:rPr>
              <w:t>sanofi-aventis d.o.o.</w:t>
            </w:r>
          </w:p>
          <w:p w:rsidR="0064558D" w:rsidRDefault="0064558D" w:rsidP="0064558D">
            <w:pPr>
              <w:rPr>
                <w:sz w:val="22"/>
                <w:lang w:val="cs-CZ"/>
              </w:rPr>
            </w:pPr>
            <w:r>
              <w:rPr>
                <w:sz w:val="22"/>
                <w:lang w:val="cs-CZ"/>
              </w:rPr>
              <w:t>Tel: +386 1 560 48 00</w:t>
            </w:r>
          </w:p>
          <w:p w:rsidR="00BC4936" w:rsidRPr="00A5177C" w:rsidRDefault="00BC4936" w:rsidP="0064558D">
            <w:pPr>
              <w:rPr>
                <w:sz w:val="22"/>
                <w:lang w:val="es-ES"/>
              </w:rPr>
            </w:pPr>
          </w:p>
        </w:tc>
      </w:tr>
      <w:tr w:rsidR="00BC4936" w:rsidTr="0064558D">
        <w:trPr>
          <w:trHeight w:val="772"/>
        </w:trPr>
        <w:tc>
          <w:tcPr>
            <w:tcW w:w="4544" w:type="dxa"/>
          </w:tcPr>
          <w:p w:rsidR="0064558D" w:rsidRDefault="0064558D" w:rsidP="0064558D">
            <w:pPr>
              <w:rPr>
                <w:b/>
                <w:bCs/>
                <w:sz w:val="22"/>
                <w:lang w:val="is-IS"/>
              </w:rPr>
            </w:pPr>
            <w:r>
              <w:rPr>
                <w:b/>
                <w:bCs/>
                <w:sz w:val="22"/>
                <w:lang w:val="is-IS"/>
              </w:rPr>
              <w:t>Ísland</w:t>
            </w:r>
          </w:p>
          <w:p w:rsidR="0064558D" w:rsidRDefault="0064558D" w:rsidP="0064558D">
            <w:pPr>
              <w:rPr>
                <w:sz w:val="22"/>
                <w:lang w:val="is-IS"/>
              </w:rPr>
            </w:pPr>
            <w:r>
              <w:rPr>
                <w:sz w:val="22"/>
                <w:lang w:val="cs-CZ"/>
              </w:rPr>
              <w:t>Vistor hf.</w:t>
            </w:r>
          </w:p>
          <w:p w:rsidR="0064558D" w:rsidRDefault="0064558D" w:rsidP="0064558D">
            <w:pPr>
              <w:rPr>
                <w:sz w:val="22"/>
                <w:lang w:val="cs-CZ"/>
              </w:rPr>
            </w:pPr>
            <w:r>
              <w:rPr>
                <w:noProof/>
                <w:sz w:val="22"/>
                <w:lang w:val="it-IT"/>
              </w:rPr>
              <w:t>Sími</w:t>
            </w:r>
            <w:r>
              <w:rPr>
                <w:sz w:val="22"/>
                <w:lang w:val="cs-CZ"/>
              </w:rPr>
              <w:t>: +354 535 7000</w:t>
            </w:r>
          </w:p>
          <w:p w:rsidR="00BC4936" w:rsidRDefault="00BC4936" w:rsidP="0064558D">
            <w:pPr>
              <w:rPr>
                <w:sz w:val="22"/>
                <w:lang w:val="es-ES"/>
              </w:rPr>
            </w:pPr>
          </w:p>
        </w:tc>
        <w:tc>
          <w:tcPr>
            <w:tcW w:w="4536" w:type="dxa"/>
          </w:tcPr>
          <w:p w:rsidR="0064558D" w:rsidRDefault="0064558D" w:rsidP="0064558D">
            <w:pPr>
              <w:rPr>
                <w:b/>
                <w:bCs/>
                <w:sz w:val="22"/>
                <w:lang w:val="sk-SK"/>
              </w:rPr>
            </w:pPr>
            <w:r>
              <w:rPr>
                <w:b/>
                <w:bCs/>
                <w:sz w:val="22"/>
                <w:lang w:val="sk-SK"/>
              </w:rPr>
              <w:t>Slovenská republika</w:t>
            </w:r>
          </w:p>
          <w:p w:rsidR="0064558D" w:rsidRDefault="0064558D" w:rsidP="0064558D">
            <w:pPr>
              <w:rPr>
                <w:sz w:val="22"/>
                <w:lang w:val="cs-CZ"/>
              </w:rPr>
            </w:pPr>
            <w:r>
              <w:rPr>
                <w:sz w:val="22"/>
                <w:lang w:val="sk-SK"/>
              </w:rPr>
              <w:t>sanofi-</w:t>
            </w:r>
            <w:r>
              <w:rPr>
                <w:sz w:val="22"/>
                <w:lang w:val="cs-CZ"/>
              </w:rPr>
              <w:t xml:space="preserve">aventis Slovakia </w:t>
            </w:r>
            <w:r>
              <w:rPr>
                <w:sz w:val="22"/>
                <w:lang w:val="sk-SK"/>
              </w:rPr>
              <w:t>s.r.o.</w:t>
            </w:r>
          </w:p>
          <w:p w:rsidR="0064558D" w:rsidRDefault="0064558D" w:rsidP="0064558D">
            <w:pPr>
              <w:rPr>
                <w:sz w:val="22"/>
                <w:lang w:val="sk-SK"/>
              </w:rPr>
            </w:pPr>
            <w:r>
              <w:rPr>
                <w:sz w:val="22"/>
                <w:lang w:val="cs-CZ"/>
              </w:rPr>
              <w:t>Tel: +</w:t>
            </w:r>
            <w:r>
              <w:rPr>
                <w:sz w:val="22"/>
                <w:lang w:val="sk-SK"/>
              </w:rPr>
              <w:t>421 2 33 100 100</w:t>
            </w:r>
          </w:p>
          <w:p w:rsidR="00BC4936" w:rsidRDefault="00BC4936" w:rsidP="0064558D">
            <w:pPr>
              <w:rPr>
                <w:sz w:val="22"/>
                <w:lang w:val="es-ES"/>
              </w:rPr>
            </w:pPr>
          </w:p>
        </w:tc>
      </w:tr>
      <w:tr w:rsidR="00BC4936" w:rsidRPr="00022436" w:rsidTr="0064558D">
        <w:trPr>
          <w:trHeight w:val="1264"/>
        </w:trPr>
        <w:tc>
          <w:tcPr>
            <w:tcW w:w="4544" w:type="dxa"/>
          </w:tcPr>
          <w:p w:rsidR="0064558D" w:rsidRDefault="0064558D" w:rsidP="0064558D">
            <w:pPr>
              <w:rPr>
                <w:b/>
                <w:bCs/>
                <w:sz w:val="22"/>
                <w:lang w:val="it-IT"/>
              </w:rPr>
            </w:pPr>
            <w:r>
              <w:rPr>
                <w:b/>
                <w:bCs/>
                <w:sz w:val="22"/>
                <w:lang w:val="it-IT"/>
              </w:rPr>
              <w:t>Italia</w:t>
            </w:r>
          </w:p>
          <w:p w:rsidR="0064558D" w:rsidRDefault="00CA3C14" w:rsidP="0064558D">
            <w:pPr>
              <w:rPr>
                <w:sz w:val="22"/>
                <w:lang w:val="it-IT"/>
              </w:rPr>
            </w:pPr>
            <w:r w:rsidRPr="00D050EB">
              <w:rPr>
                <w:sz w:val="22"/>
                <w:lang w:val="it-IT"/>
              </w:rPr>
              <w:t>S</w:t>
            </w:r>
            <w:r w:rsidR="0064558D" w:rsidRPr="00D050EB">
              <w:rPr>
                <w:sz w:val="22"/>
                <w:lang w:val="it-IT"/>
              </w:rPr>
              <w:t>anofi S.</w:t>
            </w:r>
            <w:r w:rsidR="007C5608">
              <w:rPr>
                <w:sz w:val="22"/>
                <w:lang w:val="it-IT"/>
              </w:rPr>
              <w:t>r.l.</w:t>
            </w:r>
          </w:p>
          <w:p w:rsidR="0064558D" w:rsidRDefault="0064558D" w:rsidP="0064558D">
            <w:pPr>
              <w:rPr>
                <w:sz w:val="22"/>
                <w:lang w:val="it-IT"/>
              </w:rPr>
            </w:pPr>
            <w:r>
              <w:rPr>
                <w:sz w:val="22"/>
                <w:lang w:val="it-IT"/>
              </w:rPr>
              <w:t xml:space="preserve">Tel: </w:t>
            </w:r>
            <w:r w:rsidR="00975C66" w:rsidRPr="00975C66">
              <w:rPr>
                <w:sz w:val="22"/>
                <w:lang w:val="it-IT"/>
              </w:rPr>
              <w:t>800</w:t>
            </w:r>
            <w:r w:rsidR="00783CC9">
              <w:rPr>
                <w:sz w:val="22"/>
                <w:lang w:val="it-IT"/>
              </w:rPr>
              <w:t xml:space="preserve"> </w:t>
            </w:r>
            <w:r w:rsidR="00975C66" w:rsidRPr="00975C66">
              <w:rPr>
                <w:sz w:val="22"/>
                <w:lang w:val="it-IT"/>
              </w:rPr>
              <w:t>536</w:t>
            </w:r>
            <w:r w:rsidR="007F4AEC">
              <w:rPr>
                <w:sz w:val="22"/>
                <w:lang w:val="it-IT"/>
              </w:rPr>
              <w:t xml:space="preserve"> </w:t>
            </w:r>
            <w:r w:rsidR="00975C66" w:rsidRPr="00975C66">
              <w:rPr>
                <w:sz w:val="22"/>
                <w:lang w:val="it-IT"/>
              </w:rPr>
              <w:t>389</w:t>
            </w:r>
          </w:p>
          <w:p w:rsidR="00BC4936" w:rsidRDefault="00BC4936" w:rsidP="0064558D">
            <w:pPr>
              <w:rPr>
                <w:sz w:val="22"/>
                <w:lang w:val="nl-NL"/>
              </w:rPr>
            </w:pPr>
          </w:p>
        </w:tc>
        <w:tc>
          <w:tcPr>
            <w:tcW w:w="4536" w:type="dxa"/>
          </w:tcPr>
          <w:p w:rsidR="0064558D" w:rsidRDefault="0064558D" w:rsidP="0064558D">
            <w:pPr>
              <w:rPr>
                <w:b/>
                <w:bCs/>
                <w:sz w:val="22"/>
                <w:lang w:val="it-IT"/>
              </w:rPr>
            </w:pPr>
            <w:r>
              <w:rPr>
                <w:b/>
                <w:bCs/>
                <w:sz w:val="22"/>
                <w:lang w:val="it-IT"/>
              </w:rPr>
              <w:t>Suomi/Finland</w:t>
            </w:r>
          </w:p>
          <w:p w:rsidR="0064558D" w:rsidRDefault="00D727FF" w:rsidP="0064558D">
            <w:pPr>
              <w:rPr>
                <w:sz w:val="22"/>
                <w:lang w:val="it-IT"/>
              </w:rPr>
            </w:pPr>
            <w:r>
              <w:rPr>
                <w:sz w:val="22"/>
                <w:lang w:val="it-IT"/>
              </w:rPr>
              <w:t>S</w:t>
            </w:r>
            <w:r w:rsidR="0064558D">
              <w:rPr>
                <w:sz w:val="22"/>
                <w:lang w:val="it-IT"/>
              </w:rPr>
              <w:t>anofi Oy</w:t>
            </w:r>
          </w:p>
          <w:p w:rsidR="0064558D" w:rsidRDefault="0064558D" w:rsidP="0064558D">
            <w:pPr>
              <w:rPr>
                <w:sz w:val="22"/>
                <w:lang w:val="it-IT"/>
              </w:rPr>
            </w:pPr>
            <w:r>
              <w:rPr>
                <w:sz w:val="22"/>
                <w:lang w:val="it-IT"/>
              </w:rPr>
              <w:t>Puh/Tel: +358 (0) 201 200 300</w:t>
            </w:r>
          </w:p>
          <w:p w:rsidR="00BC4936" w:rsidRDefault="00BC4936" w:rsidP="0064558D">
            <w:pPr>
              <w:rPr>
                <w:sz w:val="22"/>
                <w:lang w:val="es-ES"/>
              </w:rPr>
            </w:pPr>
          </w:p>
        </w:tc>
      </w:tr>
      <w:tr w:rsidR="00BC4936" w:rsidTr="0064558D">
        <w:trPr>
          <w:trHeight w:val="1264"/>
        </w:trPr>
        <w:tc>
          <w:tcPr>
            <w:tcW w:w="4544" w:type="dxa"/>
          </w:tcPr>
          <w:p w:rsidR="0064558D" w:rsidRDefault="0064558D" w:rsidP="0064558D">
            <w:pPr>
              <w:rPr>
                <w:b/>
                <w:bCs/>
                <w:sz w:val="22"/>
                <w:lang w:val="it-IT"/>
              </w:rPr>
            </w:pPr>
            <w:r>
              <w:rPr>
                <w:b/>
                <w:bCs/>
                <w:sz w:val="22"/>
                <w:lang w:val="el-GR"/>
              </w:rPr>
              <w:t>Κύπρος</w:t>
            </w:r>
          </w:p>
          <w:p w:rsidR="0064558D" w:rsidRDefault="0064558D" w:rsidP="0064558D">
            <w:pPr>
              <w:rPr>
                <w:sz w:val="22"/>
                <w:lang w:val="it-IT"/>
              </w:rPr>
            </w:pPr>
            <w:r>
              <w:rPr>
                <w:sz w:val="22"/>
                <w:lang w:val="it-IT"/>
              </w:rPr>
              <w:t>sanofi-aventis Cyprus Ltd.</w:t>
            </w:r>
          </w:p>
          <w:p w:rsidR="0064558D" w:rsidRDefault="0064558D" w:rsidP="0064558D">
            <w:pPr>
              <w:rPr>
                <w:sz w:val="22"/>
                <w:lang w:val="it-IT"/>
              </w:rPr>
            </w:pPr>
            <w:r>
              <w:rPr>
                <w:sz w:val="22"/>
                <w:lang w:val="el-GR"/>
              </w:rPr>
              <w:t>Τηλ: +</w:t>
            </w:r>
            <w:r>
              <w:rPr>
                <w:sz w:val="22"/>
                <w:lang w:val="it-IT"/>
              </w:rPr>
              <w:t>357 22 871600</w:t>
            </w:r>
          </w:p>
          <w:p w:rsidR="00BC4936" w:rsidRDefault="00BC4936" w:rsidP="0064558D">
            <w:pPr>
              <w:rPr>
                <w:sz w:val="22"/>
                <w:lang w:val="es-ES"/>
              </w:rPr>
            </w:pPr>
          </w:p>
        </w:tc>
        <w:tc>
          <w:tcPr>
            <w:tcW w:w="4536" w:type="dxa"/>
          </w:tcPr>
          <w:p w:rsidR="0064558D" w:rsidRDefault="0064558D" w:rsidP="0064558D">
            <w:pPr>
              <w:rPr>
                <w:b/>
                <w:bCs/>
                <w:sz w:val="22"/>
                <w:lang w:val="sv-SE"/>
              </w:rPr>
            </w:pPr>
            <w:r>
              <w:rPr>
                <w:b/>
                <w:bCs/>
                <w:sz w:val="22"/>
                <w:lang w:val="sv-SE"/>
              </w:rPr>
              <w:t>Sverige</w:t>
            </w:r>
          </w:p>
          <w:p w:rsidR="0064558D" w:rsidRDefault="00D727FF" w:rsidP="0064558D">
            <w:pPr>
              <w:rPr>
                <w:sz w:val="22"/>
                <w:lang w:val="sv-SE"/>
              </w:rPr>
            </w:pPr>
            <w:r>
              <w:rPr>
                <w:sz w:val="22"/>
                <w:lang w:val="sv-SE"/>
              </w:rPr>
              <w:t>S</w:t>
            </w:r>
            <w:r w:rsidR="0064558D">
              <w:rPr>
                <w:sz w:val="22"/>
                <w:lang w:val="sv-SE"/>
              </w:rPr>
              <w:t>anofi AB</w:t>
            </w:r>
          </w:p>
          <w:p w:rsidR="0064558D" w:rsidRDefault="0064558D" w:rsidP="0064558D">
            <w:pPr>
              <w:rPr>
                <w:sz w:val="22"/>
                <w:lang w:val="sv-SE"/>
              </w:rPr>
            </w:pPr>
            <w:r>
              <w:rPr>
                <w:sz w:val="22"/>
                <w:lang w:val="sv-SE"/>
              </w:rPr>
              <w:t>Tel: +46 (0)8 634 50 00</w:t>
            </w:r>
          </w:p>
          <w:p w:rsidR="00BC4936" w:rsidRDefault="00BC4936" w:rsidP="0064558D">
            <w:pPr>
              <w:rPr>
                <w:sz w:val="22"/>
              </w:rPr>
            </w:pPr>
          </w:p>
        </w:tc>
      </w:tr>
      <w:tr w:rsidR="00BC4936" w:rsidRPr="00A5177C" w:rsidTr="0064558D">
        <w:trPr>
          <w:trHeight w:val="1264"/>
        </w:trPr>
        <w:tc>
          <w:tcPr>
            <w:tcW w:w="4544" w:type="dxa"/>
          </w:tcPr>
          <w:p w:rsidR="0064558D" w:rsidRDefault="0064558D" w:rsidP="00D727FF">
            <w:pPr>
              <w:rPr>
                <w:b/>
                <w:bCs/>
                <w:sz w:val="22"/>
                <w:lang w:val="lv-LV"/>
              </w:rPr>
            </w:pPr>
            <w:r>
              <w:rPr>
                <w:b/>
                <w:bCs/>
                <w:sz w:val="22"/>
                <w:lang w:val="lv-LV"/>
              </w:rPr>
              <w:t>Latvija</w:t>
            </w:r>
          </w:p>
          <w:p w:rsidR="0064558D" w:rsidRDefault="0064558D" w:rsidP="001B7BDC">
            <w:pPr>
              <w:rPr>
                <w:sz w:val="22"/>
                <w:lang w:val="sv-SE"/>
              </w:rPr>
            </w:pPr>
            <w:r>
              <w:rPr>
                <w:sz w:val="22"/>
                <w:lang w:val="sv-SE"/>
              </w:rPr>
              <w:t>sanofi-aventis Latvia SIA</w:t>
            </w:r>
          </w:p>
          <w:p w:rsidR="0064558D" w:rsidRDefault="0064558D" w:rsidP="001B7BDC">
            <w:pPr>
              <w:rPr>
                <w:sz w:val="22"/>
                <w:lang w:val="sv-SE"/>
              </w:rPr>
            </w:pPr>
            <w:r>
              <w:rPr>
                <w:sz w:val="22"/>
                <w:lang w:val="sv-SE"/>
              </w:rPr>
              <w:t>Tel: +371 67 33 24 51</w:t>
            </w:r>
          </w:p>
          <w:p w:rsidR="00BC4936" w:rsidRDefault="00BC4936" w:rsidP="001B7BDC">
            <w:pPr>
              <w:rPr>
                <w:bCs/>
                <w:lang w:val="lt-LT"/>
              </w:rPr>
            </w:pPr>
          </w:p>
        </w:tc>
        <w:tc>
          <w:tcPr>
            <w:tcW w:w="4536" w:type="dxa"/>
          </w:tcPr>
          <w:p w:rsidR="0064558D" w:rsidRDefault="0064558D" w:rsidP="00157707">
            <w:pPr>
              <w:rPr>
                <w:b/>
                <w:bCs/>
                <w:sz w:val="22"/>
                <w:lang w:val="sv-SE"/>
              </w:rPr>
            </w:pPr>
            <w:r>
              <w:rPr>
                <w:b/>
                <w:bCs/>
                <w:sz w:val="22"/>
                <w:lang w:val="sv-SE"/>
              </w:rPr>
              <w:t>United Kingdom</w:t>
            </w:r>
          </w:p>
          <w:p w:rsidR="0064558D" w:rsidRDefault="0064558D" w:rsidP="00157707">
            <w:pPr>
              <w:rPr>
                <w:sz w:val="22"/>
                <w:lang w:val="sv-SE"/>
              </w:rPr>
            </w:pPr>
            <w:r>
              <w:rPr>
                <w:sz w:val="22"/>
                <w:lang w:val="sv-SE"/>
              </w:rPr>
              <w:t>Sanofi</w:t>
            </w:r>
          </w:p>
          <w:p w:rsidR="0064558D" w:rsidRDefault="0064558D" w:rsidP="00157707">
            <w:pPr>
              <w:rPr>
                <w:sz w:val="22"/>
                <w:lang w:val="sv-SE"/>
              </w:rPr>
            </w:pPr>
            <w:r>
              <w:rPr>
                <w:sz w:val="22"/>
                <w:lang w:val="sv-SE"/>
              </w:rPr>
              <w:t xml:space="preserve">Tel: +44 (0) </w:t>
            </w:r>
            <w:r w:rsidR="00D727FF">
              <w:rPr>
                <w:sz w:val="22"/>
                <w:lang w:val="sv-SE"/>
              </w:rPr>
              <w:t>845 372 7101</w:t>
            </w:r>
          </w:p>
          <w:p w:rsidR="00BC4936" w:rsidRPr="00A5177C" w:rsidRDefault="00BC4936">
            <w:pPr>
              <w:rPr>
                <w:sz w:val="22"/>
                <w:lang w:val="fr-FR"/>
              </w:rPr>
            </w:pPr>
          </w:p>
        </w:tc>
      </w:tr>
    </w:tbl>
    <w:p w:rsidR="000D39A9" w:rsidRPr="006E245F" w:rsidRDefault="000D39A9" w:rsidP="00D727FF">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lang w:val="fr-FR"/>
        </w:rPr>
      </w:pP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r>
        <w:t xml:space="preserve">Data </w:t>
      </w:r>
      <w:r w:rsidR="000D39A9">
        <w:t>ostatniej aktualizacji</w:t>
      </w:r>
      <w:r>
        <w:t xml:space="preserve"> ulotki: </w:t>
      </w:r>
    </w:p>
    <w:p w:rsidR="00BC4936"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p>
    <w:p w:rsidR="000D39A9" w:rsidRPr="000D39A9" w:rsidRDefault="000D39A9" w:rsidP="00A64B0E">
      <w:pPr>
        <w:keepNext/>
        <w:rPr>
          <w:b/>
          <w:bCs/>
          <w:sz w:val="22"/>
          <w:lang w:val="pl-PL"/>
        </w:rPr>
      </w:pPr>
      <w:r w:rsidRPr="000D39A9">
        <w:rPr>
          <w:b/>
          <w:bCs/>
          <w:sz w:val="22"/>
          <w:lang w:val="pl-PL"/>
        </w:rPr>
        <w:t xml:space="preserve">Inne </w:t>
      </w:r>
      <w:r w:rsidR="00E66E16" w:rsidRPr="000D39A9">
        <w:rPr>
          <w:b/>
          <w:bCs/>
          <w:sz w:val="22"/>
          <w:lang w:val="pl-PL"/>
        </w:rPr>
        <w:t>źródła</w:t>
      </w:r>
      <w:r w:rsidRPr="000D39A9">
        <w:rPr>
          <w:b/>
          <w:bCs/>
          <w:sz w:val="22"/>
          <w:lang w:val="pl-PL"/>
        </w:rPr>
        <w:t xml:space="preserve"> informacji</w:t>
      </w:r>
    </w:p>
    <w:p w:rsidR="000D39A9" w:rsidRDefault="000D39A9" w:rsidP="00A64B0E">
      <w:pPr>
        <w:keepNext/>
        <w:rPr>
          <w:bCs/>
          <w:sz w:val="22"/>
          <w:lang w:val="pl-PL"/>
        </w:rPr>
      </w:pPr>
    </w:p>
    <w:p w:rsidR="00BC4936" w:rsidRDefault="00BC4936" w:rsidP="00A64B0E">
      <w:pPr>
        <w:keepNext/>
        <w:rPr>
          <w:bCs/>
          <w:sz w:val="22"/>
          <w:lang w:val="pl-PL"/>
        </w:rPr>
      </w:pPr>
      <w:r w:rsidRPr="00A5177C">
        <w:rPr>
          <w:bCs/>
          <w:sz w:val="22"/>
          <w:lang w:val="pl-PL"/>
        </w:rPr>
        <w:t>Szczegółow</w:t>
      </w:r>
      <w:r w:rsidR="000D39A9">
        <w:rPr>
          <w:bCs/>
          <w:sz w:val="22"/>
          <w:lang w:val="pl-PL"/>
        </w:rPr>
        <w:t>e</w:t>
      </w:r>
      <w:r w:rsidRPr="00A5177C">
        <w:rPr>
          <w:bCs/>
          <w:sz w:val="22"/>
          <w:lang w:val="pl-PL"/>
        </w:rPr>
        <w:t xml:space="preserve"> informacj</w:t>
      </w:r>
      <w:r w:rsidR="000D39A9">
        <w:rPr>
          <w:bCs/>
          <w:sz w:val="22"/>
          <w:lang w:val="pl-PL"/>
        </w:rPr>
        <w:t>e</w:t>
      </w:r>
      <w:r w:rsidRPr="00A5177C">
        <w:rPr>
          <w:bCs/>
          <w:sz w:val="22"/>
          <w:lang w:val="pl-PL"/>
        </w:rPr>
        <w:t xml:space="preserve"> o tym leku </w:t>
      </w:r>
      <w:r w:rsidR="000D39A9">
        <w:rPr>
          <w:bCs/>
          <w:sz w:val="22"/>
          <w:lang w:val="pl-PL"/>
        </w:rPr>
        <w:t>znajdują się</w:t>
      </w:r>
      <w:r w:rsidRPr="00A5177C">
        <w:rPr>
          <w:bCs/>
          <w:sz w:val="22"/>
          <w:lang w:val="pl-PL"/>
        </w:rPr>
        <w:t xml:space="preserve"> na stronie internetowej Europejskiej Agencji </w:t>
      </w:r>
      <w:r w:rsidR="0087437F">
        <w:rPr>
          <w:bCs/>
          <w:sz w:val="22"/>
          <w:lang w:val="pl-PL"/>
        </w:rPr>
        <w:t>Leków</w:t>
      </w:r>
      <w:r w:rsidR="00D727FF">
        <w:rPr>
          <w:bCs/>
          <w:sz w:val="22"/>
          <w:lang w:val="pl-PL"/>
        </w:rPr>
        <w:t xml:space="preserve"> </w:t>
      </w:r>
      <w:r w:rsidR="00585E61" w:rsidRPr="001E79CA">
        <w:rPr>
          <w:bCs/>
          <w:sz w:val="22"/>
          <w:lang w:val="pl-PL"/>
        </w:rPr>
        <w:t>http://www.ema.eu</w:t>
      </w:r>
      <w:r w:rsidR="00585E61" w:rsidRPr="001E79CA">
        <w:rPr>
          <w:bCs/>
          <w:sz w:val="22"/>
          <w:lang w:val="pl-PL"/>
        </w:rPr>
        <w:t>r</w:t>
      </w:r>
      <w:r w:rsidR="00585E61" w:rsidRPr="001E79CA">
        <w:rPr>
          <w:bCs/>
          <w:sz w:val="22"/>
          <w:lang w:val="pl-PL"/>
        </w:rPr>
        <w:t>opa.eu</w:t>
      </w:r>
    </w:p>
    <w:p w:rsidR="00585E61" w:rsidRPr="00A5177C" w:rsidRDefault="00585E61">
      <w:pPr>
        <w:rPr>
          <w:bCs/>
          <w:sz w:val="22"/>
          <w:lang w:val="pl-PL"/>
        </w:rPr>
      </w:pPr>
    </w:p>
    <w:p w:rsidR="000D39A9" w:rsidRPr="00A64B0E" w:rsidRDefault="008A79BE" w:rsidP="000D39A9">
      <w:pPr>
        <w:jc w:val="center"/>
        <w:rPr>
          <w:b/>
          <w:sz w:val="22"/>
          <w:szCs w:val="22"/>
          <w:lang w:val="pl-PL"/>
        </w:rPr>
      </w:pPr>
      <w:r w:rsidRPr="008A79BE">
        <w:rPr>
          <w:bCs/>
          <w:sz w:val="22"/>
          <w:lang w:val="pl-PL"/>
        </w:rPr>
        <w:br w:type="page"/>
      </w:r>
      <w:r w:rsidR="000D39A9" w:rsidRPr="00A64B0E">
        <w:rPr>
          <w:b/>
          <w:sz w:val="22"/>
          <w:szCs w:val="22"/>
          <w:lang w:val="pl-PL"/>
        </w:rPr>
        <w:t>Ulotka dołączona do opakowania: informacja dla pacjenta</w:t>
      </w:r>
    </w:p>
    <w:p w:rsidR="008A79BE" w:rsidRDefault="008A79BE" w:rsidP="008A79BE">
      <w:pPr>
        <w:pStyle w:val="Heading3"/>
        <w:spacing w:before="0" w:after="0"/>
        <w:jc w:val="center"/>
        <w:rPr>
          <w:rFonts w:ascii="Times New Roman" w:hAnsi="Times New Roman"/>
          <w:sz w:val="22"/>
          <w:lang w:val="pl-PL"/>
        </w:rPr>
      </w:pPr>
    </w:p>
    <w:p w:rsidR="008A79BE" w:rsidRDefault="008A79BE" w:rsidP="008A79BE">
      <w:pPr>
        <w:pStyle w:val="Heading3"/>
        <w:spacing w:before="0" w:after="0"/>
        <w:jc w:val="center"/>
        <w:rPr>
          <w:rFonts w:ascii="Times New Roman" w:hAnsi="Times New Roman"/>
          <w:sz w:val="22"/>
          <w:lang w:val="pl-PL"/>
        </w:rPr>
      </w:pPr>
      <w:r>
        <w:rPr>
          <w:rFonts w:ascii="Times New Roman" w:hAnsi="Times New Roman"/>
          <w:sz w:val="22"/>
          <w:lang w:val="pl-PL"/>
        </w:rPr>
        <w:t>Plavix 300 mg tabletki powlekane</w:t>
      </w:r>
    </w:p>
    <w:p w:rsidR="008A79BE" w:rsidRDefault="008F0849" w:rsidP="008A79BE">
      <w:pPr>
        <w:jc w:val="center"/>
        <w:rPr>
          <w:b/>
          <w:sz w:val="22"/>
          <w:lang w:val="pl-PL"/>
        </w:rPr>
      </w:pPr>
      <w:r>
        <w:rPr>
          <w:sz w:val="22"/>
          <w:lang w:val="pl-PL"/>
        </w:rPr>
        <w:t>k</w:t>
      </w:r>
      <w:r w:rsidR="008A79BE" w:rsidRPr="00034847">
        <w:rPr>
          <w:sz w:val="22"/>
          <w:lang w:val="pl-PL"/>
        </w:rPr>
        <w:t>lopidogrel</w:t>
      </w:r>
    </w:p>
    <w:p w:rsidR="008A79BE" w:rsidRDefault="008A79BE" w:rsidP="008A79BE">
      <w:pPr>
        <w:rPr>
          <w:b/>
          <w:sz w:val="22"/>
          <w:lang w:val="pl-PL"/>
        </w:rPr>
      </w:pPr>
    </w:p>
    <w:p w:rsidR="008A79BE" w:rsidRDefault="008A79BE" w:rsidP="008A79BE">
      <w:pPr>
        <w:pStyle w:val="BodyText"/>
        <w:jc w:val="left"/>
        <w:rPr>
          <w:rFonts w:ascii="Times New Roman" w:hAnsi="Times New Roman"/>
          <w:b/>
          <w:sz w:val="22"/>
        </w:rPr>
      </w:pPr>
      <w:r>
        <w:rPr>
          <w:rFonts w:ascii="Times New Roman" w:hAnsi="Times New Roman"/>
          <w:b/>
          <w:sz w:val="22"/>
        </w:rPr>
        <w:t xml:space="preserve">Należy </w:t>
      </w:r>
      <w:r w:rsidR="000A7440">
        <w:rPr>
          <w:rFonts w:ascii="Times New Roman" w:hAnsi="Times New Roman"/>
          <w:b/>
          <w:sz w:val="22"/>
        </w:rPr>
        <w:t xml:space="preserve">uważnie </w:t>
      </w:r>
      <w:r>
        <w:rPr>
          <w:rFonts w:ascii="Times New Roman" w:hAnsi="Times New Roman"/>
          <w:b/>
          <w:sz w:val="22"/>
        </w:rPr>
        <w:t xml:space="preserve">zapoznać się z treścią ulotki przed </w:t>
      </w:r>
      <w:r w:rsidR="008364BB">
        <w:rPr>
          <w:rFonts w:ascii="Times New Roman" w:hAnsi="Times New Roman"/>
          <w:b/>
          <w:sz w:val="22"/>
        </w:rPr>
        <w:t xml:space="preserve">przyjęciem </w:t>
      </w:r>
      <w:r>
        <w:rPr>
          <w:rFonts w:ascii="Times New Roman" w:hAnsi="Times New Roman"/>
          <w:b/>
          <w:sz w:val="22"/>
        </w:rPr>
        <w:t>leku</w:t>
      </w:r>
      <w:r w:rsidR="008F0849">
        <w:rPr>
          <w:rFonts w:ascii="Times New Roman" w:hAnsi="Times New Roman"/>
          <w:b/>
          <w:sz w:val="22"/>
        </w:rPr>
        <w:t>, ponieważ zawiera ona informacje ważne dla pacjenta</w:t>
      </w:r>
      <w:r>
        <w:rPr>
          <w:rFonts w:ascii="Times New Roman" w:hAnsi="Times New Roman"/>
          <w:b/>
          <w:sz w:val="22"/>
        </w:rPr>
        <w:t>.</w:t>
      </w:r>
    </w:p>
    <w:p w:rsidR="008A79BE" w:rsidRDefault="008A79BE" w:rsidP="008A79BE">
      <w:pPr>
        <w:pStyle w:val="BodyText"/>
        <w:ind w:left="567" w:hanging="567"/>
        <w:jc w:val="left"/>
        <w:rPr>
          <w:rFonts w:ascii="Times New Roman" w:hAnsi="Times New Roman"/>
          <w:sz w:val="22"/>
        </w:rPr>
      </w:pPr>
      <w:r>
        <w:rPr>
          <w:rFonts w:ascii="Times New Roman" w:hAnsi="Times New Roman"/>
          <w:sz w:val="22"/>
        </w:rPr>
        <w:t>-</w:t>
      </w:r>
      <w:r>
        <w:rPr>
          <w:rFonts w:ascii="Times New Roman" w:hAnsi="Times New Roman"/>
          <w:sz w:val="22"/>
        </w:rPr>
        <w:tab/>
        <w:t>Należy zachować tę ulotkę, aby w razie potrzeby móc ją ponownie przeczytać.</w:t>
      </w:r>
    </w:p>
    <w:p w:rsidR="008A79BE" w:rsidRDefault="008A79BE" w:rsidP="008A79BE">
      <w:pPr>
        <w:pStyle w:val="BodyText"/>
        <w:ind w:left="567" w:hanging="567"/>
        <w:jc w:val="left"/>
        <w:rPr>
          <w:rFonts w:ascii="Times New Roman" w:hAnsi="Times New Roman"/>
          <w:sz w:val="22"/>
        </w:rPr>
      </w:pPr>
      <w:r>
        <w:rPr>
          <w:rFonts w:ascii="Times New Roman" w:hAnsi="Times New Roman"/>
          <w:sz w:val="22"/>
        </w:rPr>
        <w:t>-</w:t>
      </w:r>
      <w:r>
        <w:rPr>
          <w:rFonts w:ascii="Times New Roman" w:hAnsi="Times New Roman"/>
          <w:sz w:val="22"/>
        </w:rPr>
        <w:tab/>
      </w:r>
      <w:r w:rsidR="000F7F86">
        <w:rPr>
          <w:rFonts w:ascii="Times New Roman" w:hAnsi="Times New Roman"/>
          <w:sz w:val="22"/>
        </w:rPr>
        <w:t>W</w:t>
      </w:r>
      <w:r w:rsidR="008F0849">
        <w:rPr>
          <w:rFonts w:ascii="Times New Roman" w:hAnsi="Times New Roman"/>
          <w:sz w:val="22"/>
        </w:rPr>
        <w:t xml:space="preserve"> razie jakichkolwiek w</w:t>
      </w:r>
      <w:r w:rsidR="003D4E05">
        <w:rPr>
          <w:rFonts w:ascii="Times New Roman" w:hAnsi="Times New Roman"/>
          <w:sz w:val="22"/>
        </w:rPr>
        <w:t>ą</w:t>
      </w:r>
      <w:r w:rsidR="008F0849">
        <w:rPr>
          <w:rFonts w:ascii="Times New Roman" w:hAnsi="Times New Roman"/>
          <w:sz w:val="22"/>
        </w:rPr>
        <w:t>tpliwości</w:t>
      </w:r>
      <w:r w:rsidR="000F7F86" w:rsidRPr="000F7F86">
        <w:rPr>
          <w:rFonts w:ascii="Times New Roman" w:hAnsi="Times New Roman"/>
          <w:sz w:val="22"/>
        </w:rPr>
        <w:t xml:space="preserve"> </w:t>
      </w:r>
      <w:r w:rsidR="000F7F86">
        <w:rPr>
          <w:rFonts w:ascii="Times New Roman" w:hAnsi="Times New Roman"/>
          <w:sz w:val="22"/>
        </w:rPr>
        <w:t>należy zwrócić się do lekarza lub farmaceuty</w:t>
      </w:r>
      <w:r>
        <w:rPr>
          <w:rFonts w:ascii="Times New Roman" w:hAnsi="Times New Roman"/>
          <w:sz w:val="22"/>
        </w:rPr>
        <w:t>.</w:t>
      </w:r>
    </w:p>
    <w:p w:rsidR="008A79BE" w:rsidRDefault="008A79BE" w:rsidP="008A79BE">
      <w:pPr>
        <w:ind w:left="567" w:hanging="567"/>
        <w:rPr>
          <w:sz w:val="22"/>
          <w:lang w:val="pl-PL"/>
        </w:rPr>
      </w:pPr>
      <w:r>
        <w:rPr>
          <w:sz w:val="22"/>
          <w:lang w:val="pl-PL"/>
        </w:rPr>
        <w:t>-</w:t>
      </w:r>
      <w:r>
        <w:rPr>
          <w:sz w:val="22"/>
          <w:lang w:val="pl-PL"/>
        </w:rPr>
        <w:tab/>
        <w:t>Lek ten przepisan</w:t>
      </w:r>
      <w:r w:rsidR="008F0849">
        <w:rPr>
          <w:sz w:val="22"/>
          <w:lang w:val="pl-PL"/>
        </w:rPr>
        <w:t>o</w:t>
      </w:r>
      <w:r>
        <w:rPr>
          <w:sz w:val="22"/>
          <w:lang w:val="pl-PL"/>
        </w:rPr>
        <w:t xml:space="preserve"> ściśle określonej osobie</w:t>
      </w:r>
      <w:r w:rsidR="008F0849">
        <w:rPr>
          <w:sz w:val="22"/>
          <w:lang w:val="pl-PL"/>
        </w:rPr>
        <w:t>. N</w:t>
      </w:r>
      <w:r w:rsidR="00B107EB">
        <w:rPr>
          <w:sz w:val="22"/>
          <w:lang w:val="pl-PL"/>
        </w:rPr>
        <w:t>ie</w:t>
      </w:r>
      <w:r>
        <w:rPr>
          <w:sz w:val="22"/>
          <w:lang w:val="pl-PL"/>
        </w:rPr>
        <w:t xml:space="preserve"> należy go przekazywać innym</w:t>
      </w:r>
      <w:r w:rsidR="008F0849">
        <w:rPr>
          <w:sz w:val="22"/>
          <w:lang w:val="pl-PL"/>
        </w:rPr>
        <w:t xml:space="preserve">. Lek </w:t>
      </w:r>
      <w:r>
        <w:rPr>
          <w:sz w:val="22"/>
          <w:lang w:val="pl-PL"/>
        </w:rPr>
        <w:t>może zaszkodzić</w:t>
      </w:r>
      <w:r w:rsidR="00B107EB">
        <w:rPr>
          <w:sz w:val="22"/>
          <w:lang w:val="pl-PL"/>
        </w:rPr>
        <w:t xml:space="preserve"> innej osobie</w:t>
      </w:r>
      <w:r>
        <w:rPr>
          <w:sz w:val="22"/>
          <w:lang w:val="pl-PL"/>
        </w:rPr>
        <w:t xml:space="preserve">, nawet jeśli objawy </w:t>
      </w:r>
      <w:r w:rsidR="00B107EB">
        <w:rPr>
          <w:sz w:val="22"/>
          <w:lang w:val="pl-PL"/>
        </w:rPr>
        <w:t>jej</w:t>
      </w:r>
      <w:r>
        <w:rPr>
          <w:sz w:val="22"/>
          <w:lang w:val="pl-PL"/>
        </w:rPr>
        <w:t xml:space="preserve"> choroby są takie same.</w:t>
      </w:r>
    </w:p>
    <w:p w:rsidR="008A79BE" w:rsidRDefault="008A79BE" w:rsidP="008A79BE">
      <w:pPr>
        <w:ind w:left="567" w:hanging="567"/>
        <w:rPr>
          <w:sz w:val="22"/>
          <w:lang w:val="pl-PL"/>
        </w:rPr>
      </w:pPr>
      <w:r>
        <w:rPr>
          <w:sz w:val="22"/>
          <w:lang w:val="pl-PL"/>
        </w:rPr>
        <w:t>-</w:t>
      </w:r>
      <w:r>
        <w:rPr>
          <w:sz w:val="22"/>
          <w:lang w:val="pl-PL"/>
        </w:rPr>
        <w:tab/>
        <w:t xml:space="preserve">Jeśli </w:t>
      </w:r>
      <w:r w:rsidR="00D32572">
        <w:rPr>
          <w:sz w:val="22"/>
          <w:lang w:val="pl-PL"/>
        </w:rPr>
        <w:t>u pacjenta</w:t>
      </w:r>
      <w:r>
        <w:rPr>
          <w:sz w:val="22"/>
          <w:lang w:val="pl-PL"/>
        </w:rPr>
        <w:t xml:space="preserve"> </w:t>
      </w:r>
      <w:r w:rsidR="008F0849">
        <w:rPr>
          <w:sz w:val="22"/>
          <w:lang w:val="pl-PL"/>
        </w:rPr>
        <w:t>wystąpią</w:t>
      </w:r>
      <w:r w:rsidR="008F0849" w:rsidRPr="008F0849">
        <w:rPr>
          <w:sz w:val="22"/>
          <w:lang w:val="pl-PL"/>
        </w:rPr>
        <w:t xml:space="preserve"> </w:t>
      </w:r>
      <w:r w:rsidR="008F0849">
        <w:rPr>
          <w:sz w:val="22"/>
          <w:lang w:val="pl-PL"/>
        </w:rPr>
        <w:t>jakiekolwiek objawy niepożądane, w tym wszelkie obja</w:t>
      </w:r>
      <w:r>
        <w:rPr>
          <w:sz w:val="22"/>
          <w:lang w:val="pl-PL"/>
        </w:rPr>
        <w:t xml:space="preserve">wy niepożądane niewymienione w </w:t>
      </w:r>
      <w:r w:rsidR="002F2DB9">
        <w:rPr>
          <w:sz w:val="22"/>
          <w:lang w:val="pl-PL"/>
        </w:rPr>
        <w:t xml:space="preserve">tej </w:t>
      </w:r>
      <w:r>
        <w:rPr>
          <w:sz w:val="22"/>
          <w:lang w:val="pl-PL"/>
        </w:rPr>
        <w:t>ulotce, należy powi</w:t>
      </w:r>
      <w:r w:rsidR="008F0849">
        <w:rPr>
          <w:sz w:val="22"/>
          <w:lang w:val="pl-PL"/>
        </w:rPr>
        <w:t>edzieć o tym</w:t>
      </w:r>
      <w:r>
        <w:rPr>
          <w:sz w:val="22"/>
          <w:lang w:val="pl-PL"/>
        </w:rPr>
        <w:t xml:space="preserve"> lekarz</w:t>
      </w:r>
      <w:r w:rsidR="008F0849">
        <w:rPr>
          <w:sz w:val="22"/>
          <w:lang w:val="pl-PL"/>
        </w:rPr>
        <w:t>owi</w:t>
      </w:r>
      <w:r>
        <w:rPr>
          <w:sz w:val="22"/>
          <w:lang w:val="pl-PL"/>
        </w:rPr>
        <w:t xml:space="preserve"> lub farmaceu</w:t>
      </w:r>
      <w:r w:rsidR="008F0849">
        <w:rPr>
          <w:sz w:val="22"/>
          <w:lang w:val="pl-PL"/>
        </w:rPr>
        <w:t>cie</w:t>
      </w:r>
      <w:r>
        <w:rPr>
          <w:sz w:val="22"/>
          <w:lang w:val="pl-PL"/>
        </w:rPr>
        <w:t>.</w:t>
      </w:r>
      <w:r w:rsidR="00EF7990">
        <w:rPr>
          <w:sz w:val="22"/>
          <w:lang w:val="pl-PL"/>
        </w:rPr>
        <w:t xml:space="preserve"> Patrz punkt 4.</w:t>
      </w:r>
    </w:p>
    <w:p w:rsidR="008A79BE" w:rsidRDefault="008A79BE" w:rsidP="008A79BE">
      <w:pPr>
        <w:pStyle w:val="Footer"/>
        <w:rPr>
          <w:sz w:val="22"/>
          <w:lang w:val="pl-PL"/>
        </w:rPr>
      </w:pPr>
    </w:p>
    <w:p w:rsidR="008A79BE" w:rsidRPr="00A64B0E" w:rsidRDefault="008A79BE" w:rsidP="008A79BE">
      <w:pPr>
        <w:rPr>
          <w:b/>
          <w:bCs/>
          <w:sz w:val="22"/>
          <w:lang w:val="pl-PL"/>
        </w:rPr>
      </w:pPr>
      <w:r w:rsidRPr="00A64B0E">
        <w:rPr>
          <w:b/>
          <w:bCs/>
          <w:sz w:val="22"/>
          <w:lang w:val="pl-PL"/>
        </w:rPr>
        <w:t>Spis treści ulotki</w:t>
      </w:r>
    </w:p>
    <w:p w:rsidR="008A79BE" w:rsidRDefault="008A79BE" w:rsidP="00712219">
      <w:pPr>
        <w:pStyle w:val="Footer"/>
        <w:numPr>
          <w:ilvl w:val="0"/>
          <w:numId w:val="35"/>
        </w:numPr>
        <w:tabs>
          <w:tab w:val="clear" w:pos="930"/>
          <w:tab w:val="num" w:pos="567"/>
        </w:tabs>
        <w:ind w:left="567" w:hanging="567"/>
        <w:rPr>
          <w:sz w:val="22"/>
          <w:lang w:val="pl-PL"/>
        </w:rPr>
      </w:pPr>
      <w:r>
        <w:rPr>
          <w:sz w:val="22"/>
          <w:lang w:val="pl-PL"/>
        </w:rPr>
        <w:t xml:space="preserve">Co to jest </w:t>
      </w:r>
      <w:r w:rsidR="000A7440">
        <w:rPr>
          <w:sz w:val="22"/>
          <w:lang w:val="pl-PL"/>
        </w:rPr>
        <w:t xml:space="preserve">lek </w:t>
      </w:r>
      <w:r>
        <w:rPr>
          <w:sz w:val="22"/>
          <w:lang w:val="pl-PL"/>
        </w:rPr>
        <w:t>Plavix i w jakim celu się go stosuje</w:t>
      </w:r>
    </w:p>
    <w:p w:rsidR="008A79BE" w:rsidRDefault="008A79BE" w:rsidP="00712219">
      <w:pPr>
        <w:pStyle w:val="Footer"/>
        <w:numPr>
          <w:ilvl w:val="0"/>
          <w:numId w:val="35"/>
        </w:numPr>
        <w:tabs>
          <w:tab w:val="clear" w:pos="930"/>
          <w:tab w:val="num" w:pos="567"/>
        </w:tabs>
        <w:ind w:left="567" w:hanging="567"/>
        <w:rPr>
          <w:sz w:val="22"/>
          <w:lang w:val="pl-PL"/>
        </w:rPr>
      </w:pPr>
      <w:r>
        <w:rPr>
          <w:sz w:val="22"/>
          <w:lang w:val="pl-PL"/>
        </w:rPr>
        <w:t xml:space="preserve">Informacje ważne przed </w:t>
      </w:r>
      <w:r w:rsidR="001B7BDC">
        <w:rPr>
          <w:sz w:val="22"/>
          <w:lang w:val="pl-PL"/>
        </w:rPr>
        <w:t xml:space="preserve">przyjęciem </w:t>
      </w:r>
      <w:r>
        <w:rPr>
          <w:sz w:val="22"/>
          <w:lang w:val="pl-PL"/>
        </w:rPr>
        <w:t>leku Plavix</w:t>
      </w:r>
    </w:p>
    <w:p w:rsidR="008A79BE" w:rsidRDefault="008A79BE" w:rsidP="00712219">
      <w:pPr>
        <w:pStyle w:val="Footer"/>
        <w:numPr>
          <w:ilvl w:val="0"/>
          <w:numId w:val="35"/>
        </w:numPr>
        <w:tabs>
          <w:tab w:val="clear" w:pos="930"/>
          <w:tab w:val="num" w:pos="567"/>
        </w:tabs>
        <w:ind w:left="567" w:hanging="567"/>
        <w:rPr>
          <w:sz w:val="22"/>
          <w:lang w:val="pl-PL"/>
        </w:rPr>
      </w:pPr>
      <w:r>
        <w:rPr>
          <w:sz w:val="22"/>
          <w:lang w:val="pl-PL"/>
        </w:rPr>
        <w:t xml:space="preserve">Jak </w:t>
      </w:r>
      <w:r w:rsidR="00670D9C">
        <w:rPr>
          <w:sz w:val="22"/>
          <w:lang w:val="pl-PL"/>
        </w:rPr>
        <w:t xml:space="preserve">stosować </w:t>
      </w:r>
      <w:r w:rsidR="000A7440">
        <w:rPr>
          <w:sz w:val="22"/>
          <w:lang w:val="pl-PL"/>
        </w:rPr>
        <w:t xml:space="preserve">lek </w:t>
      </w:r>
      <w:r>
        <w:rPr>
          <w:sz w:val="22"/>
          <w:lang w:val="pl-PL"/>
        </w:rPr>
        <w:t>Plavix</w:t>
      </w:r>
    </w:p>
    <w:p w:rsidR="008A79BE" w:rsidRDefault="008A79BE" w:rsidP="00712219">
      <w:pPr>
        <w:pStyle w:val="Footer"/>
        <w:numPr>
          <w:ilvl w:val="0"/>
          <w:numId w:val="35"/>
        </w:numPr>
        <w:tabs>
          <w:tab w:val="clear" w:pos="930"/>
          <w:tab w:val="num" w:pos="567"/>
        </w:tabs>
        <w:ind w:left="567" w:hanging="567"/>
        <w:rPr>
          <w:sz w:val="22"/>
          <w:lang w:val="pl-PL"/>
        </w:rPr>
      </w:pPr>
      <w:r>
        <w:rPr>
          <w:sz w:val="22"/>
          <w:lang w:val="pl-PL"/>
        </w:rPr>
        <w:t>Możliwe działania niepożądane</w:t>
      </w:r>
    </w:p>
    <w:p w:rsidR="008A79BE" w:rsidRDefault="008A79BE" w:rsidP="00712219">
      <w:pPr>
        <w:pStyle w:val="Footer"/>
        <w:numPr>
          <w:ilvl w:val="0"/>
          <w:numId w:val="35"/>
        </w:numPr>
        <w:tabs>
          <w:tab w:val="clear" w:pos="930"/>
          <w:tab w:val="num" w:pos="567"/>
        </w:tabs>
        <w:ind w:left="567" w:hanging="567"/>
        <w:rPr>
          <w:sz w:val="22"/>
          <w:lang w:val="pl-PL"/>
        </w:rPr>
      </w:pPr>
      <w:r>
        <w:rPr>
          <w:sz w:val="22"/>
          <w:lang w:val="pl-PL"/>
        </w:rPr>
        <w:t>Jak przechowywać lek Plavix</w:t>
      </w:r>
    </w:p>
    <w:p w:rsidR="008A79BE" w:rsidRDefault="008F0849" w:rsidP="00712219">
      <w:pPr>
        <w:pStyle w:val="Footer"/>
        <w:numPr>
          <w:ilvl w:val="0"/>
          <w:numId w:val="35"/>
        </w:numPr>
        <w:tabs>
          <w:tab w:val="clear" w:pos="930"/>
          <w:tab w:val="num" w:pos="567"/>
        </w:tabs>
        <w:ind w:left="567" w:hanging="567"/>
        <w:rPr>
          <w:sz w:val="22"/>
          <w:lang w:val="pl-PL"/>
        </w:rPr>
      </w:pPr>
      <w:r>
        <w:rPr>
          <w:sz w:val="22"/>
          <w:lang w:val="pl-PL"/>
        </w:rPr>
        <w:t>Zawartość opakowania i i</w:t>
      </w:r>
      <w:r w:rsidR="008A79BE">
        <w:rPr>
          <w:sz w:val="22"/>
          <w:lang w:val="pl-PL"/>
        </w:rPr>
        <w:t>nne informacje</w:t>
      </w:r>
    </w:p>
    <w:p w:rsidR="008A79BE" w:rsidRDefault="008A79BE" w:rsidP="008A79BE">
      <w:pPr>
        <w:pStyle w:val="Footer"/>
        <w:rPr>
          <w:sz w:val="22"/>
          <w:lang w:val="pl-PL"/>
        </w:rPr>
      </w:pPr>
    </w:p>
    <w:p w:rsidR="008A79BE" w:rsidRDefault="008A79BE" w:rsidP="008A79BE">
      <w:pPr>
        <w:rPr>
          <w:sz w:val="22"/>
          <w:lang w:val="it-IT"/>
        </w:rPr>
      </w:pPr>
    </w:p>
    <w:p w:rsidR="008F0849" w:rsidRPr="008F0849" w:rsidRDefault="008F0849" w:rsidP="001E79CA">
      <w:pPr>
        <w:pStyle w:val="Footer"/>
        <w:numPr>
          <w:ilvl w:val="0"/>
          <w:numId w:val="56"/>
        </w:numPr>
        <w:tabs>
          <w:tab w:val="clear" w:pos="4320"/>
          <w:tab w:val="center" w:pos="567"/>
        </w:tabs>
        <w:ind w:left="567" w:hanging="567"/>
        <w:rPr>
          <w:sz w:val="22"/>
          <w:szCs w:val="22"/>
          <w:lang w:val="pl-PL"/>
        </w:rPr>
      </w:pPr>
      <w:r w:rsidRPr="008F0849">
        <w:rPr>
          <w:b/>
          <w:sz w:val="22"/>
          <w:szCs w:val="22"/>
          <w:lang w:val="pl-PL"/>
        </w:rPr>
        <w:t xml:space="preserve">Co to jest </w:t>
      </w:r>
      <w:r w:rsidR="000A7440">
        <w:rPr>
          <w:b/>
          <w:sz w:val="22"/>
          <w:szCs w:val="22"/>
          <w:lang w:val="pl-PL"/>
        </w:rPr>
        <w:t xml:space="preserve">lek </w:t>
      </w:r>
      <w:r w:rsidRPr="008F0849">
        <w:rPr>
          <w:b/>
          <w:sz w:val="22"/>
          <w:szCs w:val="22"/>
          <w:lang w:val="pl-PL"/>
        </w:rPr>
        <w:t>Plavix i w jakim celu się go stosuje</w:t>
      </w:r>
    </w:p>
    <w:p w:rsidR="008A79BE" w:rsidRDefault="008A79BE" w:rsidP="008A79BE">
      <w:pPr>
        <w:tabs>
          <w:tab w:val="left" w:pos="540"/>
        </w:tabs>
        <w:rPr>
          <w:b/>
          <w:sz w:val="22"/>
          <w:lang w:val="pl-PL"/>
        </w:rPr>
      </w:pPr>
    </w:p>
    <w:p w:rsidR="008A79BE" w:rsidRDefault="008A79BE" w:rsidP="008A79BE">
      <w:pPr>
        <w:rPr>
          <w:sz w:val="22"/>
          <w:lang w:val="pl-PL"/>
        </w:rPr>
      </w:pPr>
      <w:r>
        <w:rPr>
          <w:sz w:val="22"/>
          <w:lang w:val="pl-PL"/>
        </w:rPr>
        <w:t xml:space="preserve">Plavix </w:t>
      </w:r>
      <w:r w:rsidR="008F0849">
        <w:rPr>
          <w:sz w:val="22"/>
          <w:lang w:val="pl-PL"/>
        </w:rPr>
        <w:t xml:space="preserve">zawiera klopidogrel i </w:t>
      </w:r>
      <w:r>
        <w:rPr>
          <w:sz w:val="22"/>
          <w:lang w:val="pl-PL"/>
        </w:rPr>
        <w:t>należy do grupy leków zwanych lekami przeciwpłytkowymi. Płytki krwi są bardzo małymi ciałkami</w:t>
      </w:r>
      <w:r w:rsidR="00E611DF">
        <w:rPr>
          <w:sz w:val="22"/>
          <w:lang w:val="pl-PL"/>
        </w:rPr>
        <w:t xml:space="preserve"> we krwi</w:t>
      </w:r>
      <w:r>
        <w:rPr>
          <w:sz w:val="22"/>
          <w:lang w:val="pl-PL"/>
        </w:rPr>
        <w:t>, które zlepiają się ze sobą podczas krzepnięcia krwi. Zapobiegając temu zlepianiu, leki przeciwpłytkowe zmniejszają możliwość tworzenia się zakrzepów krwi (procesu, który nazywa się zakrzepicą).</w:t>
      </w:r>
    </w:p>
    <w:p w:rsidR="008A79BE" w:rsidRDefault="008A79BE" w:rsidP="008A79BE">
      <w:pPr>
        <w:pStyle w:val="Footer"/>
        <w:rPr>
          <w:sz w:val="22"/>
          <w:lang w:val="pl-PL"/>
        </w:rPr>
      </w:pPr>
    </w:p>
    <w:p w:rsidR="008A79BE" w:rsidRDefault="008A79BE" w:rsidP="008A79BE">
      <w:pPr>
        <w:pStyle w:val="BodyText2"/>
        <w:spacing w:line="240" w:lineRule="auto"/>
        <w:rPr>
          <w:rFonts w:ascii="Times New Roman" w:hAnsi="Times New Roman"/>
          <w:sz w:val="22"/>
          <w:lang w:val="pl-PL"/>
        </w:rPr>
      </w:pPr>
      <w:r>
        <w:rPr>
          <w:rFonts w:ascii="Times New Roman" w:hAnsi="Times New Roman"/>
          <w:sz w:val="22"/>
          <w:lang w:val="pl-PL"/>
        </w:rPr>
        <w:t xml:space="preserve">Plavix </w:t>
      </w:r>
      <w:r w:rsidR="00322B30">
        <w:rPr>
          <w:rFonts w:ascii="Times New Roman" w:hAnsi="Times New Roman"/>
          <w:sz w:val="22"/>
          <w:lang w:val="pl-PL"/>
        </w:rPr>
        <w:t>stosuje się u dorosłych</w:t>
      </w:r>
      <w:r w:rsidR="008F0849">
        <w:rPr>
          <w:rFonts w:ascii="Times New Roman" w:hAnsi="Times New Roman"/>
          <w:sz w:val="22"/>
          <w:lang w:val="pl-PL"/>
        </w:rPr>
        <w:t xml:space="preserve"> pacjent</w:t>
      </w:r>
      <w:r w:rsidR="00322B30">
        <w:rPr>
          <w:rFonts w:ascii="Times New Roman" w:hAnsi="Times New Roman"/>
          <w:sz w:val="22"/>
          <w:lang w:val="pl-PL"/>
        </w:rPr>
        <w:t>ów</w:t>
      </w:r>
      <w:r>
        <w:rPr>
          <w:rFonts w:ascii="Times New Roman" w:hAnsi="Times New Roman"/>
          <w:sz w:val="22"/>
          <w:lang w:val="pl-PL"/>
        </w:rPr>
        <w:t>, aby zapobiec tworzeniu się w stwardniałych miażdżycowo naczyniach krwionośnych (tętnicach) zakrzepów</w:t>
      </w:r>
      <w:r w:rsidR="0087437F">
        <w:rPr>
          <w:rFonts w:ascii="Times New Roman" w:hAnsi="Times New Roman"/>
          <w:sz w:val="22"/>
          <w:lang w:val="pl-PL"/>
        </w:rPr>
        <w:t xml:space="preserve"> (skrzeplin)</w:t>
      </w:r>
      <w:r>
        <w:rPr>
          <w:rFonts w:ascii="Times New Roman" w:hAnsi="Times New Roman"/>
          <w:sz w:val="22"/>
          <w:lang w:val="pl-PL"/>
        </w:rPr>
        <w:t xml:space="preserve">, które mogą prowadzić do wystąpienia </w:t>
      </w:r>
      <w:r w:rsidR="0087437F">
        <w:rPr>
          <w:rFonts w:ascii="Times New Roman" w:hAnsi="Times New Roman"/>
          <w:sz w:val="22"/>
          <w:lang w:val="pl-PL"/>
        </w:rPr>
        <w:t xml:space="preserve">zdarzeń </w:t>
      </w:r>
      <w:r w:rsidR="005A3E8E">
        <w:rPr>
          <w:rFonts w:ascii="Times New Roman" w:hAnsi="Times New Roman"/>
          <w:sz w:val="22"/>
          <w:lang w:val="pl-PL"/>
        </w:rPr>
        <w:t>związanych</w:t>
      </w:r>
      <w:r w:rsidR="0087437F">
        <w:rPr>
          <w:rFonts w:ascii="Times New Roman" w:hAnsi="Times New Roman"/>
          <w:sz w:val="22"/>
          <w:lang w:val="pl-PL"/>
        </w:rPr>
        <w:t xml:space="preserve"> </w:t>
      </w:r>
      <w:r w:rsidR="005A3E8E">
        <w:rPr>
          <w:rFonts w:ascii="Times New Roman" w:hAnsi="Times New Roman"/>
          <w:sz w:val="22"/>
          <w:lang w:val="pl-PL"/>
        </w:rPr>
        <w:t>z mia</w:t>
      </w:r>
      <w:r w:rsidR="0087437F">
        <w:rPr>
          <w:rFonts w:ascii="Times New Roman" w:hAnsi="Times New Roman"/>
          <w:sz w:val="22"/>
          <w:lang w:val="pl-PL"/>
        </w:rPr>
        <w:t xml:space="preserve">żdżycą </w:t>
      </w:r>
      <w:r w:rsidR="00B107EB">
        <w:rPr>
          <w:rFonts w:ascii="Times New Roman" w:hAnsi="Times New Roman"/>
          <w:sz w:val="22"/>
          <w:lang w:val="pl-PL"/>
        </w:rPr>
        <w:t xml:space="preserve">tętnic </w:t>
      </w:r>
      <w:r w:rsidR="0087437F">
        <w:rPr>
          <w:rFonts w:ascii="Times New Roman" w:hAnsi="Times New Roman"/>
          <w:sz w:val="22"/>
          <w:lang w:val="pl-PL"/>
        </w:rPr>
        <w:t>(</w:t>
      </w:r>
      <w:r>
        <w:rPr>
          <w:rFonts w:ascii="Times New Roman" w:hAnsi="Times New Roman"/>
          <w:sz w:val="22"/>
          <w:lang w:val="pl-PL"/>
        </w:rPr>
        <w:t xml:space="preserve">takich jak: udar mózgu, </w:t>
      </w:r>
      <w:r w:rsidR="002851C2">
        <w:rPr>
          <w:rFonts w:ascii="Times New Roman" w:hAnsi="Times New Roman"/>
          <w:sz w:val="22"/>
          <w:lang w:val="pl-PL"/>
        </w:rPr>
        <w:t>zawał</w:t>
      </w:r>
      <w:r>
        <w:rPr>
          <w:rFonts w:ascii="Times New Roman" w:hAnsi="Times New Roman"/>
          <w:sz w:val="22"/>
          <w:lang w:val="pl-PL"/>
        </w:rPr>
        <w:t xml:space="preserve"> serca lub </w:t>
      </w:r>
      <w:r w:rsidR="005A3E8E">
        <w:rPr>
          <w:rFonts w:ascii="Times New Roman" w:hAnsi="Times New Roman"/>
          <w:sz w:val="22"/>
          <w:lang w:val="pl-PL"/>
        </w:rPr>
        <w:t>zgon).</w:t>
      </w:r>
    </w:p>
    <w:p w:rsidR="008A79BE" w:rsidRDefault="008A79BE" w:rsidP="008A79BE">
      <w:pPr>
        <w:rPr>
          <w:sz w:val="22"/>
          <w:lang w:val="pl-PL"/>
        </w:rPr>
      </w:pPr>
    </w:p>
    <w:p w:rsidR="008A79BE" w:rsidRDefault="008A79BE" w:rsidP="008A79BE">
      <w:pPr>
        <w:pStyle w:val="BodyText2"/>
        <w:spacing w:line="240" w:lineRule="auto"/>
        <w:rPr>
          <w:rFonts w:ascii="Times New Roman" w:hAnsi="Times New Roman"/>
          <w:sz w:val="22"/>
          <w:lang w:val="pl-PL"/>
        </w:rPr>
      </w:pPr>
      <w:r>
        <w:rPr>
          <w:rFonts w:ascii="Times New Roman" w:hAnsi="Times New Roman"/>
          <w:sz w:val="22"/>
          <w:lang w:val="pl-PL"/>
        </w:rPr>
        <w:t>Plavix przepisuje się, żeby zapobiec zakrzepom krwi i zmniejszyć ryzyko wystąpienia tych ciężkich przypadków, ponieważ:</w:t>
      </w:r>
    </w:p>
    <w:p w:rsidR="008A79BE" w:rsidRDefault="008A79BE" w:rsidP="008A79BE">
      <w:pPr>
        <w:ind w:left="567" w:hanging="567"/>
        <w:rPr>
          <w:sz w:val="22"/>
          <w:lang w:val="pl-PL"/>
        </w:rPr>
      </w:pPr>
      <w:r>
        <w:rPr>
          <w:sz w:val="22"/>
          <w:lang w:val="pl-PL"/>
        </w:rPr>
        <w:t>-</w:t>
      </w:r>
      <w:r>
        <w:rPr>
          <w:sz w:val="22"/>
          <w:lang w:val="pl-PL"/>
        </w:rPr>
        <w:tab/>
        <w:t xml:space="preserve">u pacjenta występuje miażdżycowe stwardnienie tętnic </w:t>
      </w:r>
      <w:r w:rsidR="005A3E8E">
        <w:rPr>
          <w:sz w:val="22"/>
          <w:lang w:val="pl-PL"/>
        </w:rPr>
        <w:t xml:space="preserve">(zwane </w:t>
      </w:r>
      <w:r w:rsidR="0055545D">
        <w:rPr>
          <w:sz w:val="22"/>
          <w:lang w:val="pl-PL"/>
        </w:rPr>
        <w:t xml:space="preserve">także </w:t>
      </w:r>
      <w:r w:rsidR="005A3E8E">
        <w:rPr>
          <w:sz w:val="22"/>
          <w:lang w:val="pl-PL"/>
        </w:rPr>
        <w:t xml:space="preserve">miażdżycą tętnic) </w:t>
      </w:r>
      <w:r>
        <w:rPr>
          <w:sz w:val="22"/>
          <w:lang w:val="pl-PL"/>
        </w:rPr>
        <w:t xml:space="preserve">i </w:t>
      </w:r>
    </w:p>
    <w:p w:rsidR="008A79BE" w:rsidRDefault="008A79BE" w:rsidP="008A79BE">
      <w:pPr>
        <w:ind w:left="567" w:hanging="567"/>
        <w:rPr>
          <w:sz w:val="22"/>
          <w:lang w:val="pl-PL"/>
        </w:rPr>
      </w:pPr>
      <w:r>
        <w:rPr>
          <w:sz w:val="22"/>
          <w:lang w:val="pl-PL"/>
        </w:rPr>
        <w:t>-</w:t>
      </w:r>
      <w:r>
        <w:rPr>
          <w:sz w:val="22"/>
          <w:lang w:val="pl-PL"/>
        </w:rPr>
        <w:tab/>
        <w:t xml:space="preserve">u pacjenta poprzednio wystąpił </w:t>
      </w:r>
      <w:r w:rsidR="002851C2">
        <w:rPr>
          <w:sz w:val="22"/>
          <w:lang w:val="pl-PL"/>
        </w:rPr>
        <w:t>zawał</w:t>
      </w:r>
      <w:r>
        <w:rPr>
          <w:sz w:val="22"/>
          <w:lang w:val="pl-PL"/>
        </w:rPr>
        <w:t xml:space="preserve"> serca, udar mózgu lub występuje stan znany jako choroba tętnic obwodowych lub</w:t>
      </w:r>
    </w:p>
    <w:p w:rsidR="008A79BE" w:rsidRDefault="008A79BE" w:rsidP="008A79BE">
      <w:pPr>
        <w:ind w:left="567" w:hanging="567"/>
        <w:rPr>
          <w:sz w:val="22"/>
          <w:lang w:val="pl-PL"/>
        </w:rPr>
      </w:pPr>
      <w:r>
        <w:rPr>
          <w:sz w:val="22"/>
          <w:lang w:val="pl-PL"/>
        </w:rPr>
        <w:t>-</w:t>
      </w:r>
      <w:r>
        <w:rPr>
          <w:sz w:val="22"/>
          <w:lang w:val="pl-PL"/>
        </w:rPr>
        <w:tab/>
        <w:t>u pacjenta wystąpił siln</w:t>
      </w:r>
      <w:r w:rsidR="0055545D">
        <w:rPr>
          <w:sz w:val="22"/>
          <w:lang w:val="pl-PL"/>
        </w:rPr>
        <w:t>y ból</w:t>
      </w:r>
      <w:r>
        <w:rPr>
          <w:sz w:val="22"/>
          <w:lang w:val="pl-PL"/>
        </w:rPr>
        <w:t xml:space="preserve"> w klatce piersiowej znany jako </w:t>
      </w:r>
      <w:r w:rsidR="00466A2E">
        <w:rPr>
          <w:sz w:val="22"/>
          <w:lang w:val="pl-PL"/>
        </w:rPr>
        <w:t>„</w:t>
      </w:r>
      <w:r>
        <w:rPr>
          <w:sz w:val="22"/>
          <w:lang w:val="pl-PL"/>
        </w:rPr>
        <w:t>niestabilna dławica piersiowa” lub „zawał mięśnia sercowego” (</w:t>
      </w:r>
      <w:r w:rsidR="002851C2">
        <w:rPr>
          <w:sz w:val="22"/>
          <w:lang w:val="pl-PL"/>
        </w:rPr>
        <w:t>zawał</w:t>
      </w:r>
      <w:r>
        <w:rPr>
          <w:sz w:val="22"/>
          <w:lang w:val="pl-PL"/>
        </w:rPr>
        <w:t xml:space="preserve"> serca). W celu leczenia tego schorzenia lekarz może umieścić stent w zablokowanej lub zwężonej tętnicy, celem przywrócenia skutecznego przepływu krwi. Lekarz prowadzący </w:t>
      </w:r>
      <w:r w:rsidR="003C5EAF">
        <w:rPr>
          <w:sz w:val="22"/>
          <w:lang w:val="pl-PL"/>
        </w:rPr>
        <w:t>może</w:t>
      </w:r>
      <w:r>
        <w:rPr>
          <w:sz w:val="22"/>
          <w:lang w:val="pl-PL"/>
        </w:rPr>
        <w:t xml:space="preserve"> także przepisać kwas acetylosalicylowy (substancja obecna w wielu lekach, stosowana zarówno w celu łagodzenia bólu i obniżenia gorączki, jak i w zapobieganiu krzepnięciu krwi).</w:t>
      </w:r>
    </w:p>
    <w:p w:rsidR="003C5EAF" w:rsidRDefault="003C5EAF" w:rsidP="003C5EAF">
      <w:pPr>
        <w:numPr>
          <w:ilvl w:val="0"/>
          <w:numId w:val="16"/>
        </w:numPr>
        <w:tabs>
          <w:tab w:val="clear" w:pos="360"/>
          <w:tab w:val="num" w:pos="426"/>
        </w:tabs>
        <w:ind w:left="426"/>
        <w:rPr>
          <w:sz w:val="22"/>
          <w:lang w:val="pl-PL"/>
        </w:rPr>
      </w:pPr>
      <w:r>
        <w:rPr>
          <w:sz w:val="22"/>
          <w:lang w:val="pl-PL"/>
        </w:rPr>
        <w:t>u pacjenta wystąpiły objawy udaru</w:t>
      </w:r>
      <w:r w:rsidRPr="00B11015">
        <w:rPr>
          <w:lang w:val="pl-PL"/>
        </w:rPr>
        <w:t xml:space="preserve"> </w:t>
      </w:r>
      <w:r w:rsidR="00D551FD">
        <w:rPr>
          <w:sz w:val="22"/>
          <w:lang w:val="pl-PL"/>
        </w:rPr>
        <w:t xml:space="preserve">ustępujące w krótkim czasie </w:t>
      </w:r>
      <w:r w:rsidRPr="0002567D">
        <w:rPr>
          <w:sz w:val="22"/>
          <w:lang w:val="pl-PL"/>
        </w:rPr>
        <w:t>(</w:t>
      </w:r>
      <w:bookmarkStart w:id="30" w:name="_Hlk60150930"/>
      <w:r w:rsidRPr="00D551FD">
        <w:rPr>
          <w:sz w:val="22"/>
          <w:lang w:val="pl-PL"/>
        </w:rPr>
        <w:t>tzw</w:t>
      </w:r>
      <w:r w:rsidRPr="0002567D">
        <w:rPr>
          <w:sz w:val="22"/>
          <w:lang w:val="pl-PL"/>
        </w:rPr>
        <w:t xml:space="preserve">. przemijający </w:t>
      </w:r>
      <w:r w:rsidR="003F3890">
        <w:rPr>
          <w:sz w:val="22"/>
          <w:lang w:val="pl-PL"/>
        </w:rPr>
        <w:t>napad</w:t>
      </w:r>
      <w:r w:rsidRPr="0002567D">
        <w:rPr>
          <w:sz w:val="22"/>
          <w:lang w:val="pl-PL"/>
        </w:rPr>
        <w:t xml:space="preserve"> niedokrwienny</w:t>
      </w:r>
      <w:bookmarkEnd w:id="30"/>
      <w:r w:rsidRPr="0002567D">
        <w:rPr>
          <w:sz w:val="22"/>
          <w:lang w:val="pl-PL"/>
        </w:rPr>
        <w:t>) lub udar o łagodnym nasileniu. Lekarz</w:t>
      </w:r>
      <w:r>
        <w:rPr>
          <w:sz w:val="22"/>
          <w:lang w:val="pl-PL"/>
        </w:rPr>
        <w:t xml:space="preserve"> prowadzący</w:t>
      </w:r>
      <w:r w:rsidRPr="0002567D">
        <w:rPr>
          <w:sz w:val="22"/>
          <w:lang w:val="pl-PL"/>
        </w:rPr>
        <w:t xml:space="preserve"> może </w:t>
      </w:r>
      <w:r>
        <w:rPr>
          <w:sz w:val="22"/>
          <w:lang w:val="pl-PL"/>
        </w:rPr>
        <w:t>także</w:t>
      </w:r>
      <w:r w:rsidRPr="0002567D">
        <w:rPr>
          <w:sz w:val="22"/>
          <w:lang w:val="pl-PL"/>
        </w:rPr>
        <w:t xml:space="preserve"> p</w:t>
      </w:r>
      <w:r>
        <w:rPr>
          <w:sz w:val="22"/>
          <w:lang w:val="pl-PL"/>
        </w:rPr>
        <w:t>rzepisać</w:t>
      </w:r>
      <w:r w:rsidRPr="0002567D">
        <w:rPr>
          <w:sz w:val="22"/>
          <w:lang w:val="pl-PL"/>
        </w:rPr>
        <w:t xml:space="preserve"> kwas acetylosalicylowy w ciągu pierwszych 24 godzin.</w:t>
      </w:r>
    </w:p>
    <w:p w:rsidR="009E41D6" w:rsidRPr="00B107EB" w:rsidRDefault="009E41D6" w:rsidP="00B107EB">
      <w:pPr>
        <w:pStyle w:val="PlainText"/>
        <w:numPr>
          <w:ilvl w:val="0"/>
          <w:numId w:val="16"/>
        </w:numPr>
        <w:tabs>
          <w:tab w:val="clear" w:pos="360"/>
        </w:tabs>
        <w:ind w:left="567" w:hanging="567"/>
        <w:rPr>
          <w:rFonts w:ascii="Times New Roman" w:hAnsi="Times New Roman"/>
          <w:sz w:val="22"/>
          <w:szCs w:val="22"/>
        </w:rPr>
      </w:pPr>
      <w:r w:rsidRPr="00B107EB">
        <w:rPr>
          <w:rFonts w:ascii="Times New Roman" w:hAnsi="Times New Roman"/>
          <w:sz w:val="22"/>
          <w:szCs w:val="22"/>
        </w:rPr>
        <w:t xml:space="preserve">u pacjenta występuje nieregularne </w:t>
      </w:r>
      <w:r w:rsidR="004200AB" w:rsidRPr="00B107EB">
        <w:rPr>
          <w:rFonts w:ascii="Times New Roman" w:hAnsi="Times New Roman"/>
          <w:sz w:val="22"/>
          <w:szCs w:val="22"/>
        </w:rPr>
        <w:t>bici</w:t>
      </w:r>
      <w:r w:rsidR="00B107EB">
        <w:rPr>
          <w:rFonts w:ascii="Times New Roman" w:hAnsi="Times New Roman"/>
          <w:sz w:val="22"/>
          <w:szCs w:val="22"/>
        </w:rPr>
        <w:t>e</w:t>
      </w:r>
      <w:r w:rsidR="004200AB" w:rsidRPr="00B107EB">
        <w:rPr>
          <w:rFonts w:ascii="Times New Roman" w:hAnsi="Times New Roman"/>
          <w:sz w:val="22"/>
          <w:szCs w:val="22"/>
        </w:rPr>
        <w:t xml:space="preserve"> serca, czyli tzw.</w:t>
      </w:r>
      <w:r w:rsidR="00B107EB">
        <w:rPr>
          <w:rFonts w:ascii="Times New Roman" w:hAnsi="Times New Roman"/>
          <w:sz w:val="22"/>
          <w:szCs w:val="22"/>
        </w:rPr>
        <w:t xml:space="preserve"> „</w:t>
      </w:r>
      <w:r w:rsidR="004200AB" w:rsidRPr="00B107EB">
        <w:rPr>
          <w:rFonts w:ascii="Times New Roman" w:hAnsi="Times New Roman"/>
          <w:sz w:val="22"/>
          <w:szCs w:val="22"/>
        </w:rPr>
        <w:t>migotanie</w:t>
      </w:r>
      <w:r w:rsidRPr="00B107EB">
        <w:rPr>
          <w:rFonts w:ascii="Times New Roman" w:hAnsi="Times New Roman"/>
          <w:sz w:val="22"/>
          <w:szCs w:val="22"/>
        </w:rPr>
        <w:t xml:space="preserve"> przedsionków</w:t>
      </w:r>
      <w:r w:rsidR="00B107EB">
        <w:rPr>
          <w:rFonts w:ascii="Times New Roman" w:hAnsi="Times New Roman"/>
          <w:sz w:val="22"/>
          <w:szCs w:val="22"/>
        </w:rPr>
        <w:t>”</w:t>
      </w:r>
      <w:r w:rsidRPr="00B107EB">
        <w:rPr>
          <w:rFonts w:ascii="Times New Roman" w:hAnsi="Times New Roman"/>
          <w:sz w:val="22"/>
          <w:szCs w:val="22"/>
        </w:rPr>
        <w:t xml:space="preserve"> i pacjent nie może przyjmować leków nazywanych „doustnymi lekami przeciw</w:t>
      </w:r>
      <w:r w:rsidR="00B107EB">
        <w:rPr>
          <w:rFonts w:ascii="Times New Roman" w:hAnsi="Times New Roman"/>
          <w:sz w:val="22"/>
          <w:szCs w:val="22"/>
        </w:rPr>
        <w:t>za</w:t>
      </w:r>
      <w:r w:rsidRPr="00B107EB">
        <w:rPr>
          <w:rFonts w:ascii="Times New Roman" w:hAnsi="Times New Roman"/>
          <w:sz w:val="22"/>
          <w:szCs w:val="22"/>
        </w:rPr>
        <w:t>krzep</w:t>
      </w:r>
      <w:r w:rsidR="00B107EB">
        <w:rPr>
          <w:rFonts w:ascii="Times New Roman" w:hAnsi="Times New Roman"/>
          <w:sz w:val="22"/>
          <w:szCs w:val="22"/>
        </w:rPr>
        <w:t>o</w:t>
      </w:r>
      <w:r w:rsidRPr="00B107EB">
        <w:rPr>
          <w:rFonts w:ascii="Times New Roman" w:hAnsi="Times New Roman"/>
          <w:sz w:val="22"/>
          <w:szCs w:val="22"/>
        </w:rPr>
        <w:t xml:space="preserve">wymi” (antagoniści witaminy K), które zapobiegają powstawaniu nowych i powiększaniu się istniejących </w:t>
      </w:r>
      <w:r w:rsidR="00B107EB">
        <w:rPr>
          <w:rFonts w:ascii="Times New Roman" w:hAnsi="Times New Roman"/>
          <w:sz w:val="22"/>
          <w:szCs w:val="22"/>
        </w:rPr>
        <w:t>za</w:t>
      </w:r>
      <w:r w:rsidRPr="00B107EB">
        <w:rPr>
          <w:rFonts w:ascii="Times New Roman" w:hAnsi="Times New Roman"/>
          <w:sz w:val="22"/>
          <w:szCs w:val="22"/>
        </w:rPr>
        <w:t>krzepów krwi. Lekarz prowadzący powinien poinformować pacjenta, że doustne leki przeciw</w:t>
      </w:r>
      <w:r w:rsidR="00B107EB">
        <w:rPr>
          <w:rFonts w:ascii="Times New Roman" w:hAnsi="Times New Roman"/>
          <w:sz w:val="22"/>
          <w:szCs w:val="22"/>
        </w:rPr>
        <w:t>za</w:t>
      </w:r>
      <w:r w:rsidRPr="00B107EB">
        <w:rPr>
          <w:rFonts w:ascii="Times New Roman" w:hAnsi="Times New Roman"/>
          <w:sz w:val="22"/>
          <w:szCs w:val="22"/>
        </w:rPr>
        <w:t>krzep</w:t>
      </w:r>
      <w:r w:rsidR="00B107EB">
        <w:rPr>
          <w:rFonts w:ascii="Times New Roman" w:hAnsi="Times New Roman"/>
          <w:sz w:val="22"/>
          <w:szCs w:val="22"/>
        </w:rPr>
        <w:t>o</w:t>
      </w:r>
      <w:r w:rsidRPr="00B107EB">
        <w:rPr>
          <w:rFonts w:ascii="Times New Roman" w:hAnsi="Times New Roman"/>
          <w:sz w:val="22"/>
          <w:szCs w:val="22"/>
        </w:rPr>
        <w:t xml:space="preserve">we są w takich przypadkach bardziej skuteczne niż kwas acetylosalicylowy albo </w:t>
      </w:r>
      <w:r w:rsidR="00B107EB">
        <w:rPr>
          <w:rFonts w:ascii="Times New Roman" w:hAnsi="Times New Roman"/>
          <w:sz w:val="22"/>
          <w:szCs w:val="22"/>
        </w:rPr>
        <w:t>jednoczesne</w:t>
      </w:r>
      <w:r w:rsidR="00B107EB" w:rsidRPr="00B107EB">
        <w:rPr>
          <w:rFonts w:ascii="Times New Roman" w:hAnsi="Times New Roman"/>
          <w:sz w:val="22"/>
          <w:szCs w:val="22"/>
        </w:rPr>
        <w:t xml:space="preserve"> </w:t>
      </w:r>
      <w:r w:rsidRPr="00B107EB">
        <w:rPr>
          <w:rFonts w:ascii="Times New Roman" w:hAnsi="Times New Roman"/>
          <w:sz w:val="22"/>
          <w:szCs w:val="22"/>
        </w:rPr>
        <w:t xml:space="preserve">stosowanie kwasu acetylosalicylowego z </w:t>
      </w:r>
      <w:r w:rsidR="00B107EB">
        <w:rPr>
          <w:rFonts w:ascii="Times New Roman" w:hAnsi="Times New Roman"/>
          <w:sz w:val="22"/>
          <w:szCs w:val="22"/>
        </w:rPr>
        <w:t>lekiem</w:t>
      </w:r>
      <w:r w:rsidR="00B107EB" w:rsidRPr="00B107EB">
        <w:rPr>
          <w:rFonts w:ascii="Times New Roman" w:hAnsi="Times New Roman"/>
          <w:sz w:val="22"/>
          <w:szCs w:val="22"/>
        </w:rPr>
        <w:t xml:space="preserve"> </w:t>
      </w:r>
      <w:r w:rsidRPr="00B107EB">
        <w:rPr>
          <w:rFonts w:ascii="Times New Roman" w:hAnsi="Times New Roman"/>
          <w:sz w:val="22"/>
          <w:szCs w:val="22"/>
        </w:rPr>
        <w:t>Plavix. W</w:t>
      </w:r>
      <w:r w:rsidR="00E3768A">
        <w:rPr>
          <w:rFonts w:ascii="Times New Roman" w:hAnsi="Times New Roman"/>
          <w:sz w:val="22"/>
          <w:szCs w:val="22"/>
        </w:rPr>
        <w:t> </w:t>
      </w:r>
      <w:r w:rsidRPr="00B107EB">
        <w:rPr>
          <w:rFonts w:ascii="Times New Roman" w:hAnsi="Times New Roman"/>
          <w:sz w:val="22"/>
          <w:szCs w:val="22"/>
        </w:rPr>
        <w:t>przypadku braku możliwości stosowania doustnych leków przeciw</w:t>
      </w:r>
      <w:r w:rsidR="00B107EB">
        <w:rPr>
          <w:rFonts w:ascii="Times New Roman" w:hAnsi="Times New Roman"/>
          <w:sz w:val="22"/>
          <w:szCs w:val="22"/>
        </w:rPr>
        <w:t>za</w:t>
      </w:r>
      <w:r w:rsidRPr="00B107EB">
        <w:rPr>
          <w:rFonts w:ascii="Times New Roman" w:hAnsi="Times New Roman"/>
          <w:sz w:val="22"/>
          <w:szCs w:val="22"/>
        </w:rPr>
        <w:t>krzep</w:t>
      </w:r>
      <w:r w:rsidR="00B107EB">
        <w:rPr>
          <w:rFonts w:ascii="Times New Roman" w:hAnsi="Times New Roman"/>
          <w:sz w:val="22"/>
          <w:szCs w:val="22"/>
        </w:rPr>
        <w:t>o</w:t>
      </w:r>
      <w:r w:rsidRPr="00B107EB">
        <w:rPr>
          <w:rFonts w:ascii="Times New Roman" w:hAnsi="Times New Roman"/>
          <w:sz w:val="22"/>
          <w:szCs w:val="22"/>
        </w:rPr>
        <w:t xml:space="preserve">wych i braku zagrożenia </w:t>
      </w:r>
      <w:r w:rsidR="00B107EB">
        <w:rPr>
          <w:rFonts w:ascii="Times New Roman" w:hAnsi="Times New Roman"/>
          <w:sz w:val="22"/>
          <w:szCs w:val="22"/>
        </w:rPr>
        <w:t>silnym</w:t>
      </w:r>
      <w:r w:rsidR="00B107EB" w:rsidRPr="00B107EB">
        <w:rPr>
          <w:rFonts w:ascii="Times New Roman" w:hAnsi="Times New Roman"/>
          <w:sz w:val="22"/>
          <w:szCs w:val="22"/>
        </w:rPr>
        <w:t xml:space="preserve"> </w:t>
      </w:r>
      <w:r w:rsidRPr="00B107EB">
        <w:rPr>
          <w:rFonts w:ascii="Times New Roman" w:hAnsi="Times New Roman"/>
          <w:sz w:val="22"/>
          <w:szCs w:val="22"/>
        </w:rPr>
        <w:t xml:space="preserve">krwawieniem lekarz powinien przepisać </w:t>
      </w:r>
      <w:r w:rsidR="00B107EB">
        <w:rPr>
          <w:rFonts w:ascii="Times New Roman" w:hAnsi="Times New Roman"/>
          <w:sz w:val="22"/>
          <w:szCs w:val="22"/>
        </w:rPr>
        <w:t>lek</w:t>
      </w:r>
      <w:r w:rsidR="00B107EB" w:rsidRPr="00B107EB">
        <w:rPr>
          <w:rFonts w:ascii="Times New Roman" w:hAnsi="Times New Roman"/>
          <w:sz w:val="22"/>
          <w:szCs w:val="22"/>
        </w:rPr>
        <w:t xml:space="preserve"> </w:t>
      </w:r>
      <w:r w:rsidRPr="00B107EB">
        <w:rPr>
          <w:rFonts w:ascii="Times New Roman" w:hAnsi="Times New Roman"/>
          <w:sz w:val="22"/>
          <w:szCs w:val="22"/>
        </w:rPr>
        <w:t>Plavix z kwasem acetylosalicylowym.</w:t>
      </w:r>
    </w:p>
    <w:p w:rsidR="008A79BE" w:rsidRPr="00B107EB" w:rsidRDefault="008A79BE" w:rsidP="008A79BE">
      <w:pPr>
        <w:rPr>
          <w:sz w:val="22"/>
          <w:szCs w:val="22"/>
          <w:lang w:val="pl-PL"/>
        </w:rPr>
      </w:pPr>
    </w:p>
    <w:p w:rsidR="008A79BE" w:rsidRDefault="008A79BE" w:rsidP="008A79BE">
      <w:pPr>
        <w:pStyle w:val="BodyText"/>
        <w:jc w:val="left"/>
        <w:rPr>
          <w:rFonts w:ascii="Times New Roman" w:hAnsi="Times New Roman"/>
          <w:sz w:val="22"/>
        </w:rPr>
      </w:pPr>
    </w:p>
    <w:p w:rsidR="00B57745" w:rsidRPr="00B57745" w:rsidRDefault="00B57745" w:rsidP="00A64B0E">
      <w:pPr>
        <w:pStyle w:val="Footer"/>
        <w:numPr>
          <w:ilvl w:val="0"/>
          <w:numId w:val="56"/>
        </w:numPr>
        <w:tabs>
          <w:tab w:val="clear" w:pos="4320"/>
          <w:tab w:val="center" w:pos="567"/>
        </w:tabs>
        <w:ind w:hanging="720"/>
        <w:rPr>
          <w:b/>
          <w:sz w:val="22"/>
          <w:lang w:val="pl-PL"/>
        </w:rPr>
      </w:pPr>
      <w:r w:rsidRPr="00B57745">
        <w:rPr>
          <w:b/>
          <w:sz w:val="22"/>
          <w:lang w:val="pl-PL"/>
        </w:rPr>
        <w:t xml:space="preserve">Informacje ważne przed </w:t>
      </w:r>
      <w:r w:rsidR="001B7BDC">
        <w:rPr>
          <w:b/>
          <w:sz w:val="22"/>
          <w:lang w:val="pl-PL"/>
        </w:rPr>
        <w:t xml:space="preserve">przyjęciem </w:t>
      </w:r>
      <w:r w:rsidRPr="00B57745">
        <w:rPr>
          <w:b/>
          <w:sz w:val="22"/>
          <w:lang w:val="pl-PL"/>
        </w:rPr>
        <w:t>leku Plavix</w:t>
      </w:r>
    </w:p>
    <w:p w:rsidR="008A79BE" w:rsidRPr="00B57745" w:rsidRDefault="008A79BE" w:rsidP="008A79BE">
      <w:pPr>
        <w:pStyle w:val="Footer"/>
        <w:rPr>
          <w:b/>
          <w:sz w:val="22"/>
          <w:lang w:val="pl-PL"/>
        </w:rPr>
      </w:pPr>
    </w:p>
    <w:p w:rsidR="008A79BE" w:rsidRDefault="008A79BE" w:rsidP="00A64B0E">
      <w:pPr>
        <w:pStyle w:val="Footer"/>
        <w:rPr>
          <w:lang w:val="pl-PL"/>
        </w:rPr>
      </w:pPr>
      <w:r>
        <w:rPr>
          <w:b/>
          <w:sz w:val="22"/>
          <w:lang w:val="pl-PL"/>
        </w:rPr>
        <w:t xml:space="preserve">Kiedy nie </w:t>
      </w:r>
      <w:r w:rsidR="001B7BDC">
        <w:rPr>
          <w:b/>
          <w:sz w:val="22"/>
          <w:lang w:val="pl-PL"/>
        </w:rPr>
        <w:t xml:space="preserve">przyjmować </w:t>
      </w:r>
      <w:r>
        <w:rPr>
          <w:b/>
          <w:sz w:val="22"/>
          <w:lang w:val="pl-PL"/>
        </w:rPr>
        <w:t>leku Plavix</w:t>
      </w:r>
    </w:p>
    <w:p w:rsidR="008A79BE" w:rsidRDefault="008A79BE" w:rsidP="008A79BE">
      <w:pPr>
        <w:numPr>
          <w:ilvl w:val="0"/>
          <w:numId w:val="18"/>
        </w:numPr>
        <w:rPr>
          <w:sz w:val="22"/>
          <w:lang w:val="pl-PL"/>
        </w:rPr>
      </w:pPr>
      <w:r>
        <w:rPr>
          <w:sz w:val="22"/>
          <w:lang w:val="pl-PL"/>
        </w:rPr>
        <w:t>jeśli u pacjenta stwierdzono uczulenie (nadwrażliwość) na klopidogrel lub którykolwiek z</w:t>
      </w:r>
      <w:r w:rsidR="00B107EB" w:rsidRPr="00CD2AE9">
        <w:rPr>
          <w:sz w:val="22"/>
          <w:szCs w:val="22"/>
          <w:lang w:val="pl-PL"/>
        </w:rPr>
        <w:t> </w:t>
      </w:r>
      <w:r>
        <w:rPr>
          <w:sz w:val="22"/>
          <w:lang w:val="pl-PL"/>
        </w:rPr>
        <w:t xml:space="preserve">pozostałych składników </w:t>
      </w:r>
      <w:r w:rsidR="004B6641">
        <w:rPr>
          <w:sz w:val="22"/>
          <w:lang w:val="pl-PL"/>
        </w:rPr>
        <w:t xml:space="preserve">tego </w:t>
      </w:r>
      <w:r>
        <w:rPr>
          <w:sz w:val="22"/>
          <w:lang w:val="pl-PL"/>
        </w:rPr>
        <w:t xml:space="preserve">leku </w:t>
      </w:r>
      <w:r w:rsidR="00B57745">
        <w:rPr>
          <w:sz w:val="22"/>
          <w:lang w:val="pl-PL"/>
        </w:rPr>
        <w:t>(wymienionych w punkcie 6)</w:t>
      </w:r>
      <w:r w:rsidR="00A00944">
        <w:rPr>
          <w:sz w:val="22"/>
          <w:lang w:val="pl-PL"/>
        </w:rPr>
        <w:t>,</w:t>
      </w:r>
    </w:p>
    <w:p w:rsidR="008A79BE" w:rsidRDefault="008A79BE" w:rsidP="008A79BE">
      <w:pPr>
        <w:numPr>
          <w:ilvl w:val="0"/>
          <w:numId w:val="18"/>
        </w:numPr>
        <w:rPr>
          <w:b/>
          <w:sz w:val="22"/>
          <w:lang w:val="pl-PL"/>
        </w:rPr>
      </w:pPr>
      <w:r>
        <w:rPr>
          <w:sz w:val="22"/>
          <w:lang w:val="pl-PL"/>
        </w:rPr>
        <w:t xml:space="preserve">jeśli u pacjenta występuje stan chorobowy, który </w:t>
      </w:r>
      <w:r w:rsidR="001B7BDC">
        <w:rPr>
          <w:sz w:val="22"/>
          <w:lang w:val="pl-PL"/>
        </w:rPr>
        <w:t xml:space="preserve">obecnie </w:t>
      </w:r>
      <w:r>
        <w:rPr>
          <w:sz w:val="22"/>
          <w:lang w:val="pl-PL"/>
        </w:rPr>
        <w:t>powoduje krwawienie, taki jak</w:t>
      </w:r>
      <w:r w:rsidR="001B7BDC">
        <w:rPr>
          <w:sz w:val="22"/>
          <w:lang w:val="pl-PL"/>
        </w:rPr>
        <w:t>:</w:t>
      </w:r>
      <w:r>
        <w:rPr>
          <w:sz w:val="22"/>
          <w:lang w:val="pl-PL"/>
        </w:rPr>
        <w:t xml:space="preserve"> wrzód żołądka lub krwawienie wewnątrz mózgu</w:t>
      </w:r>
      <w:r w:rsidR="00A00944">
        <w:rPr>
          <w:sz w:val="22"/>
          <w:lang w:val="pl-PL"/>
        </w:rPr>
        <w:t>,</w:t>
      </w:r>
    </w:p>
    <w:p w:rsidR="008A79BE" w:rsidRDefault="008A79BE" w:rsidP="008A79BE">
      <w:pPr>
        <w:numPr>
          <w:ilvl w:val="0"/>
          <w:numId w:val="18"/>
        </w:numPr>
        <w:rPr>
          <w:b/>
          <w:sz w:val="22"/>
          <w:lang w:val="pl-PL"/>
        </w:rPr>
      </w:pPr>
      <w:r>
        <w:rPr>
          <w:sz w:val="22"/>
          <w:lang w:val="pl-PL"/>
        </w:rPr>
        <w:t xml:space="preserve">jeśli u pacjenta występuje ciężka choroba wątroby. </w:t>
      </w:r>
    </w:p>
    <w:p w:rsidR="008A79BE" w:rsidRDefault="008A79BE" w:rsidP="008A79BE">
      <w:pPr>
        <w:rPr>
          <w:sz w:val="22"/>
          <w:lang w:val="pl-PL"/>
        </w:rPr>
      </w:pPr>
    </w:p>
    <w:p w:rsidR="008A79BE" w:rsidRDefault="008A79BE" w:rsidP="008A79BE">
      <w:pPr>
        <w:rPr>
          <w:sz w:val="22"/>
          <w:lang w:val="pl-PL"/>
        </w:rPr>
      </w:pPr>
      <w:r>
        <w:rPr>
          <w:sz w:val="22"/>
          <w:lang w:val="pl-PL"/>
        </w:rPr>
        <w:t xml:space="preserve">Jeśli pacjent uważa, </w:t>
      </w:r>
      <w:r w:rsidR="0010248E">
        <w:rPr>
          <w:sz w:val="22"/>
          <w:lang w:val="pl-PL"/>
        </w:rPr>
        <w:t xml:space="preserve">że </w:t>
      </w:r>
      <w:r w:rsidR="0010248E" w:rsidRPr="00815855">
        <w:rPr>
          <w:sz w:val="22"/>
          <w:lang w:val="pl-PL"/>
        </w:rPr>
        <w:t>dotyczy</w:t>
      </w:r>
      <w:r>
        <w:rPr>
          <w:sz w:val="22"/>
          <w:lang w:val="pl-PL"/>
        </w:rPr>
        <w:t xml:space="preserve"> go któr</w:t>
      </w:r>
      <w:r w:rsidR="0055545D">
        <w:rPr>
          <w:sz w:val="22"/>
          <w:lang w:val="pl-PL"/>
        </w:rPr>
        <w:t>e</w:t>
      </w:r>
      <w:r>
        <w:rPr>
          <w:sz w:val="22"/>
          <w:lang w:val="pl-PL"/>
        </w:rPr>
        <w:t xml:space="preserve">kolwiek z tych </w:t>
      </w:r>
      <w:r w:rsidR="0055545D">
        <w:rPr>
          <w:sz w:val="22"/>
          <w:lang w:val="pl-PL"/>
        </w:rPr>
        <w:t xml:space="preserve">zaburzeń </w:t>
      </w:r>
      <w:r>
        <w:rPr>
          <w:sz w:val="22"/>
          <w:lang w:val="pl-PL"/>
        </w:rPr>
        <w:t>lub ma jakiekolwiek inne wątpliwości, powinien skonsultować się z lekarzem prowadzącym</w:t>
      </w:r>
      <w:r w:rsidR="0055545D">
        <w:rPr>
          <w:sz w:val="22"/>
          <w:lang w:val="pl-PL"/>
        </w:rPr>
        <w:t>,</w:t>
      </w:r>
      <w:r>
        <w:rPr>
          <w:sz w:val="22"/>
          <w:lang w:val="pl-PL"/>
        </w:rPr>
        <w:t xml:space="preserve"> zanim </w:t>
      </w:r>
      <w:r w:rsidR="001B7BDC">
        <w:rPr>
          <w:sz w:val="22"/>
          <w:lang w:val="pl-PL"/>
        </w:rPr>
        <w:t xml:space="preserve">przyjmie </w:t>
      </w:r>
      <w:r w:rsidR="00B107EB">
        <w:rPr>
          <w:sz w:val="22"/>
          <w:lang w:val="pl-PL"/>
        </w:rPr>
        <w:t>lek</w:t>
      </w:r>
      <w:r>
        <w:rPr>
          <w:sz w:val="22"/>
          <w:lang w:val="pl-PL"/>
        </w:rPr>
        <w:t xml:space="preserve"> Plavix.</w:t>
      </w:r>
    </w:p>
    <w:p w:rsidR="008A79BE" w:rsidRDefault="008A79BE" w:rsidP="008A79BE">
      <w:pPr>
        <w:rPr>
          <w:sz w:val="22"/>
          <w:lang w:val="pl-PL"/>
        </w:rPr>
      </w:pPr>
    </w:p>
    <w:p w:rsidR="008A79BE" w:rsidRDefault="00B57745" w:rsidP="008A79BE">
      <w:pPr>
        <w:pStyle w:val="Heading1"/>
        <w:spacing w:line="240" w:lineRule="auto"/>
        <w:rPr>
          <w:rFonts w:ascii="Times New Roman" w:hAnsi="Times New Roman"/>
          <w:b/>
          <w:sz w:val="22"/>
          <w:lang w:val="pl-PL"/>
        </w:rPr>
      </w:pPr>
      <w:r>
        <w:rPr>
          <w:rFonts w:ascii="Times New Roman" w:hAnsi="Times New Roman"/>
          <w:b/>
          <w:sz w:val="22"/>
          <w:lang w:val="pl-PL"/>
        </w:rPr>
        <w:t>Ostrzeżenia i środki ostrożności</w:t>
      </w:r>
    </w:p>
    <w:p w:rsidR="008A79BE" w:rsidRDefault="008A79BE" w:rsidP="008A79BE">
      <w:pPr>
        <w:rPr>
          <w:sz w:val="22"/>
          <w:lang w:val="pl-PL"/>
        </w:rPr>
      </w:pPr>
      <w:r>
        <w:rPr>
          <w:sz w:val="22"/>
          <w:lang w:val="pl-PL"/>
        </w:rPr>
        <w:t xml:space="preserve">Jeśli którakolwiek z sytuacji wymienionych poniżej dotyczy pacjenta, to przed </w:t>
      </w:r>
      <w:r w:rsidR="001B7BDC">
        <w:rPr>
          <w:sz w:val="22"/>
          <w:lang w:val="pl-PL"/>
        </w:rPr>
        <w:t xml:space="preserve">przyjęciem </w:t>
      </w:r>
      <w:r>
        <w:rPr>
          <w:sz w:val="22"/>
          <w:lang w:val="pl-PL"/>
        </w:rPr>
        <w:t>leku Plavix powinien on poinformować o tym lekarza prowadzącego:</w:t>
      </w:r>
    </w:p>
    <w:p w:rsidR="008A79BE" w:rsidRDefault="008A79BE" w:rsidP="008A79BE">
      <w:pPr>
        <w:pStyle w:val="Footer"/>
        <w:numPr>
          <w:ilvl w:val="0"/>
          <w:numId w:val="19"/>
        </w:numPr>
        <w:rPr>
          <w:sz w:val="22"/>
          <w:lang w:val="pl-PL"/>
        </w:rPr>
      </w:pPr>
      <w:r>
        <w:rPr>
          <w:sz w:val="22"/>
          <w:lang w:val="pl-PL"/>
        </w:rPr>
        <w:t xml:space="preserve">jeśli występuje ryzyko </w:t>
      </w:r>
      <w:r w:rsidR="005A6633">
        <w:rPr>
          <w:sz w:val="22"/>
          <w:lang w:val="pl-PL"/>
        </w:rPr>
        <w:t>krwawienia</w:t>
      </w:r>
      <w:r>
        <w:rPr>
          <w:sz w:val="22"/>
          <w:lang w:val="pl-PL"/>
        </w:rPr>
        <w:t xml:space="preserve">, takie jak: </w:t>
      </w:r>
    </w:p>
    <w:p w:rsidR="001B7BDC" w:rsidRPr="001B7BDC" w:rsidRDefault="008A79BE" w:rsidP="00A64B0E">
      <w:pPr>
        <w:pStyle w:val="Footer"/>
        <w:numPr>
          <w:ilvl w:val="0"/>
          <w:numId w:val="57"/>
        </w:numPr>
        <w:tabs>
          <w:tab w:val="clear" w:pos="4320"/>
          <w:tab w:val="center" w:pos="1134"/>
        </w:tabs>
        <w:rPr>
          <w:sz w:val="22"/>
          <w:lang w:val="pl-PL"/>
        </w:rPr>
      </w:pPr>
      <w:r>
        <w:rPr>
          <w:sz w:val="22"/>
          <w:lang w:val="pl-PL"/>
        </w:rPr>
        <w:t xml:space="preserve">stan chorobowy, który powoduje ryzyko wewnętrznego krwawienia (np. wrzód żołądka) </w:t>
      </w:r>
      <w:r w:rsidRPr="001B7BDC">
        <w:rPr>
          <w:sz w:val="22"/>
          <w:lang w:val="pl-PL"/>
        </w:rPr>
        <w:t>zaburzenie krwi usposabiające do wewnętrznego krwawienia (krwawienie wewnątrz tkanek, narządów lub stawów ciała)</w:t>
      </w:r>
    </w:p>
    <w:p w:rsidR="001B7BDC" w:rsidRPr="00A64B0E" w:rsidRDefault="008A79BE" w:rsidP="00A64B0E">
      <w:pPr>
        <w:pStyle w:val="Footer"/>
        <w:numPr>
          <w:ilvl w:val="0"/>
          <w:numId w:val="57"/>
        </w:numPr>
        <w:tabs>
          <w:tab w:val="clear" w:pos="4320"/>
          <w:tab w:val="center" w:pos="1134"/>
        </w:tabs>
        <w:rPr>
          <w:sz w:val="22"/>
          <w:lang w:val="pl-PL"/>
        </w:rPr>
      </w:pPr>
      <w:r w:rsidRPr="00A64B0E">
        <w:rPr>
          <w:sz w:val="22"/>
          <w:lang w:val="pl-PL"/>
        </w:rPr>
        <w:t xml:space="preserve">ostatnio doznany ciężki uraz </w:t>
      </w:r>
    </w:p>
    <w:p w:rsidR="001B7BDC" w:rsidRPr="00A64B0E" w:rsidRDefault="008A79BE" w:rsidP="00A64B0E">
      <w:pPr>
        <w:pStyle w:val="Footer"/>
        <w:numPr>
          <w:ilvl w:val="0"/>
          <w:numId w:val="57"/>
        </w:numPr>
        <w:tabs>
          <w:tab w:val="clear" w:pos="4320"/>
          <w:tab w:val="center" w:pos="1134"/>
        </w:tabs>
        <w:rPr>
          <w:sz w:val="22"/>
          <w:lang w:val="pl-PL"/>
        </w:rPr>
      </w:pPr>
      <w:r w:rsidRPr="00A64B0E">
        <w:rPr>
          <w:sz w:val="22"/>
          <w:lang w:val="pl-PL"/>
        </w:rPr>
        <w:t>ostatnio przebyty zabieg chirurgiczny (włącznie z</w:t>
      </w:r>
      <w:r w:rsidR="001B7BDC">
        <w:rPr>
          <w:sz w:val="22"/>
          <w:lang w:val="pl-PL"/>
        </w:rPr>
        <w:t xml:space="preserve"> zabiegiem</w:t>
      </w:r>
      <w:r w:rsidRPr="00A64B0E">
        <w:rPr>
          <w:sz w:val="22"/>
          <w:lang w:val="pl-PL"/>
        </w:rPr>
        <w:t xml:space="preserve"> stomatologicznym)</w:t>
      </w:r>
    </w:p>
    <w:p w:rsidR="008A79BE" w:rsidRPr="00A64B0E" w:rsidRDefault="008A79BE" w:rsidP="00A64B0E">
      <w:pPr>
        <w:pStyle w:val="Footer"/>
        <w:numPr>
          <w:ilvl w:val="0"/>
          <w:numId w:val="57"/>
        </w:numPr>
        <w:tabs>
          <w:tab w:val="clear" w:pos="4320"/>
          <w:tab w:val="center" w:pos="1134"/>
        </w:tabs>
        <w:rPr>
          <w:sz w:val="22"/>
          <w:lang w:val="pl-PL"/>
        </w:rPr>
      </w:pPr>
      <w:r w:rsidRPr="00A64B0E">
        <w:rPr>
          <w:sz w:val="22"/>
          <w:lang w:val="pl-PL"/>
        </w:rPr>
        <w:t>planowany w następnych siedmiu dniach zabieg chirurgiczny (włącznie z</w:t>
      </w:r>
      <w:r w:rsidR="001B7BDC">
        <w:rPr>
          <w:sz w:val="22"/>
          <w:lang w:val="pl-PL"/>
        </w:rPr>
        <w:t xml:space="preserve"> zabiegiem</w:t>
      </w:r>
      <w:r w:rsidRPr="00A64B0E">
        <w:rPr>
          <w:sz w:val="22"/>
          <w:lang w:val="pl-PL"/>
        </w:rPr>
        <w:t xml:space="preserve"> stomatologicznym)</w:t>
      </w:r>
    </w:p>
    <w:p w:rsidR="008A79BE" w:rsidRDefault="008A79BE" w:rsidP="008A79BE">
      <w:pPr>
        <w:numPr>
          <w:ilvl w:val="0"/>
          <w:numId w:val="31"/>
        </w:numPr>
        <w:tabs>
          <w:tab w:val="clear" w:pos="993"/>
        </w:tabs>
        <w:ind w:left="540" w:hanging="540"/>
        <w:rPr>
          <w:sz w:val="22"/>
          <w:lang w:val="pl-PL"/>
        </w:rPr>
      </w:pPr>
      <w:r>
        <w:rPr>
          <w:sz w:val="22"/>
          <w:lang w:val="pl-PL"/>
        </w:rPr>
        <w:t>jeśli u pacjenta stwierdzono zakrzep w tętnicy mózgu (udar niedokrwienny), który wystąpił w</w:t>
      </w:r>
      <w:r w:rsidR="001B7BDC">
        <w:rPr>
          <w:sz w:val="22"/>
          <w:lang w:val="pl-PL"/>
        </w:rPr>
        <w:t> </w:t>
      </w:r>
      <w:r>
        <w:rPr>
          <w:sz w:val="22"/>
          <w:lang w:val="pl-PL"/>
        </w:rPr>
        <w:t xml:space="preserve">ciągu ostatnich siedmiu dni </w:t>
      </w:r>
    </w:p>
    <w:p w:rsidR="008A79BE" w:rsidRDefault="008A79BE" w:rsidP="008A79BE">
      <w:pPr>
        <w:numPr>
          <w:ilvl w:val="0"/>
          <w:numId w:val="20"/>
        </w:numPr>
        <w:rPr>
          <w:sz w:val="22"/>
          <w:lang w:val="pl-PL"/>
        </w:rPr>
      </w:pPr>
      <w:r>
        <w:rPr>
          <w:sz w:val="22"/>
          <w:lang w:val="pl-PL"/>
        </w:rPr>
        <w:t>jeśli u pacjenta występuje choroba nerek lub wątroby</w:t>
      </w:r>
    </w:p>
    <w:p w:rsidR="008A79BE" w:rsidRDefault="00D32572" w:rsidP="00D32572">
      <w:pPr>
        <w:numPr>
          <w:ilvl w:val="0"/>
          <w:numId w:val="20"/>
        </w:numPr>
        <w:rPr>
          <w:sz w:val="22"/>
          <w:lang w:val="pl-PL"/>
        </w:rPr>
      </w:pPr>
      <w:r>
        <w:rPr>
          <w:sz w:val="22"/>
          <w:lang w:val="pl-PL"/>
        </w:rPr>
        <w:t>jeśli pacjent miał w przeszłości alergię lub uczulenie na którykolwiek z leków stosowanych w leczeniu tej choroby</w:t>
      </w:r>
    </w:p>
    <w:p w:rsidR="003C5EAF" w:rsidRPr="00B867CD" w:rsidRDefault="003C5EAF" w:rsidP="003C5EAF">
      <w:pPr>
        <w:numPr>
          <w:ilvl w:val="0"/>
          <w:numId w:val="20"/>
        </w:numPr>
        <w:rPr>
          <w:sz w:val="22"/>
          <w:lang w:val="pl-PL"/>
        </w:rPr>
      </w:pPr>
      <w:r>
        <w:rPr>
          <w:sz w:val="22"/>
          <w:lang w:val="pl-PL"/>
        </w:rPr>
        <w:t xml:space="preserve">jeśli </w:t>
      </w:r>
      <w:r w:rsidR="00493E7B">
        <w:rPr>
          <w:sz w:val="22"/>
          <w:lang w:val="pl-PL"/>
        </w:rPr>
        <w:t xml:space="preserve">u </w:t>
      </w:r>
      <w:r>
        <w:rPr>
          <w:sz w:val="22"/>
          <w:lang w:val="pl-PL"/>
        </w:rPr>
        <w:t>pacjent</w:t>
      </w:r>
      <w:r w:rsidR="00493E7B">
        <w:rPr>
          <w:sz w:val="22"/>
          <w:lang w:val="pl-PL"/>
        </w:rPr>
        <w:t>a w przeszłości wystąpił</w:t>
      </w:r>
      <w:r>
        <w:rPr>
          <w:sz w:val="22"/>
          <w:lang w:val="pl-PL"/>
        </w:rPr>
        <w:t xml:space="preserve"> nieurazowy krwotok mózgowy.</w:t>
      </w:r>
    </w:p>
    <w:p w:rsidR="008A79BE" w:rsidRDefault="008A79BE" w:rsidP="008A79BE">
      <w:pPr>
        <w:rPr>
          <w:sz w:val="22"/>
          <w:lang w:val="pl-PL"/>
        </w:rPr>
      </w:pPr>
    </w:p>
    <w:p w:rsidR="008A79BE" w:rsidRDefault="008A79BE" w:rsidP="008A79BE">
      <w:pPr>
        <w:rPr>
          <w:sz w:val="22"/>
          <w:lang w:val="pl-PL"/>
        </w:rPr>
      </w:pPr>
      <w:r>
        <w:rPr>
          <w:sz w:val="22"/>
          <w:lang w:val="pl-PL"/>
        </w:rPr>
        <w:t>Podczas stosowania leku Plavix:</w:t>
      </w:r>
    </w:p>
    <w:p w:rsidR="008A79BE" w:rsidRDefault="008A79BE" w:rsidP="008A79BE">
      <w:pPr>
        <w:numPr>
          <w:ilvl w:val="0"/>
          <w:numId w:val="20"/>
        </w:numPr>
        <w:rPr>
          <w:sz w:val="22"/>
          <w:lang w:val="pl-PL"/>
        </w:rPr>
      </w:pPr>
      <w:r>
        <w:rPr>
          <w:sz w:val="22"/>
          <w:lang w:val="pl-PL"/>
        </w:rPr>
        <w:t xml:space="preserve">Należy poinformować lekarza, jeśli u pacjenta planowany jest zabieg </w:t>
      </w:r>
      <w:r w:rsidR="005A3E8E">
        <w:rPr>
          <w:sz w:val="22"/>
          <w:lang w:val="pl-PL"/>
        </w:rPr>
        <w:t>chirurgiczny</w:t>
      </w:r>
      <w:r>
        <w:rPr>
          <w:sz w:val="22"/>
          <w:lang w:val="pl-PL"/>
        </w:rPr>
        <w:t xml:space="preserve"> (w</w:t>
      </w:r>
      <w:r w:rsidR="002C2BDD">
        <w:rPr>
          <w:sz w:val="22"/>
          <w:lang w:val="pl-PL"/>
        </w:rPr>
        <w:t> </w:t>
      </w:r>
      <w:r>
        <w:rPr>
          <w:sz w:val="22"/>
          <w:lang w:val="pl-PL"/>
        </w:rPr>
        <w:t>tym</w:t>
      </w:r>
      <w:r w:rsidR="002C2BDD">
        <w:rPr>
          <w:sz w:val="22"/>
          <w:lang w:val="pl-PL"/>
        </w:rPr>
        <w:t> </w:t>
      </w:r>
      <w:r>
        <w:rPr>
          <w:sz w:val="22"/>
          <w:lang w:val="pl-PL"/>
        </w:rPr>
        <w:t>stomatologiczny).</w:t>
      </w:r>
    </w:p>
    <w:p w:rsidR="008A79BE" w:rsidRDefault="008A79BE" w:rsidP="008A79BE">
      <w:pPr>
        <w:numPr>
          <w:ilvl w:val="0"/>
          <w:numId w:val="20"/>
        </w:numPr>
        <w:rPr>
          <w:sz w:val="22"/>
          <w:lang w:val="pl-PL"/>
        </w:rPr>
      </w:pPr>
      <w:r>
        <w:rPr>
          <w:sz w:val="22"/>
          <w:lang w:val="pl-PL"/>
        </w:rPr>
        <w:t>Należy również niezwłocznie poinformować lekarza</w:t>
      </w:r>
      <w:r w:rsidR="00E315F9" w:rsidRPr="00E315F9">
        <w:rPr>
          <w:sz w:val="22"/>
          <w:lang w:val="pl-PL"/>
        </w:rPr>
        <w:t xml:space="preserve"> </w:t>
      </w:r>
      <w:r w:rsidR="00E315F9">
        <w:rPr>
          <w:sz w:val="22"/>
          <w:lang w:val="pl-PL"/>
        </w:rPr>
        <w:t xml:space="preserve">o występowaniu schorzenia (zwanego </w:t>
      </w:r>
      <w:r w:rsidR="005A3E8E">
        <w:rPr>
          <w:sz w:val="22"/>
          <w:lang w:val="pl-PL"/>
        </w:rPr>
        <w:t>z</w:t>
      </w:r>
      <w:r w:rsidR="00E315F9">
        <w:rPr>
          <w:sz w:val="22"/>
          <w:lang w:val="pl-PL"/>
        </w:rPr>
        <w:t xml:space="preserve">akrzepową </w:t>
      </w:r>
      <w:r w:rsidR="005A3E8E">
        <w:rPr>
          <w:sz w:val="22"/>
          <w:lang w:val="pl-PL"/>
        </w:rPr>
        <w:t>p</w:t>
      </w:r>
      <w:r w:rsidR="00E315F9">
        <w:rPr>
          <w:sz w:val="22"/>
          <w:lang w:val="pl-PL"/>
        </w:rPr>
        <w:t xml:space="preserve">lamicą </w:t>
      </w:r>
      <w:r w:rsidR="005A3E8E">
        <w:rPr>
          <w:sz w:val="22"/>
          <w:lang w:val="pl-PL"/>
        </w:rPr>
        <w:t>m</w:t>
      </w:r>
      <w:r w:rsidR="00E315F9">
        <w:rPr>
          <w:sz w:val="22"/>
          <w:lang w:val="pl-PL"/>
        </w:rPr>
        <w:t>ałopłytkową</w:t>
      </w:r>
      <w:r w:rsidR="00B107EB">
        <w:rPr>
          <w:sz w:val="22"/>
          <w:lang w:val="pl-PL"/>
        </w:rPr>
        <w:t xml:space="preserve"> </w:t>
      </w:r>
      <w:r w:rsidR="00E315F9">
        <w:rPr>
          <w:sz w:val="22"/>
          <w:lang w:val="pl-PL"/>
        </w:rPr>
        <w:t>-</w:t>
      </w:r>
      <w:r w:rsidR="00B107EB">
        <w:rPr>
          <w:sz w:val="22"/>
          <w:lang w:val="pl-PL"/>
        </w:rPr>
        <w:t xml:space="preserve"> </w:t>
      </w:r>
      <w:r w:rsidR="005A3E8E">
        <w:rPr>
          <w:sz w:val="22"/>
          <w:lang w:val="pl-PL"/>
        </w:rPr>
        <w:t>ang.</w:t>
      </w:r>
      <w:r w:rsidR="00184389" w:rsidRPr="00744BD4">
        <w:rPr>
          <w:i/>
          <w:sz w:val="22"/>
          <w:lang w:val="pl-PL"/>
        </w:rPr>
        <w:t xml:space="preserve"> </w:t>
      </w:r>
      <w:r w:rsidR="00E315F9" w:rsidRPr="001E79CA">
        <w:rPr>
          <w:sz w:val="22"/>
          <w:lang w:val="pl-PL"/>
        </w:rPr>
        <w:t>TTP</w:t>
      </w:r>
      <w:r w:rsidR="00B107EB" w:rsidRPr="002C2BDD">
        <w:rPr>
          <w:sz w:val="22"/>
          <w:lang w:val="pl-PL"/>
        </w:rPr>
        <w:t xml:space="preserve"> –</w:t>
      </w:r>
      <w:r w:rsidR="005A3E8E" w:rsidRPr="002C2BDD">
        <w:rPr>
          <w:sz w:val="22"/>
          <w:lang w:val="pl-PL"/>
        </w:rPr>
        <w:t xml:space="preserve"> </w:t>
      </w:r>
      <w:r w:rsidR="005A3E8E" w:rsidRPr="001E79CA">
        <w:rPr>
          <w:sz w:val="22"/>
          <w:lang w:val="pl-PL"/>
        </w:rPr>
        <w:t>Thrombotic Thrombocytopenic</w:t>
      </w:r>
      <w:r w:rsidR="005A3E8E" w:rsidRPr="002C2BDD">
        <w:rPr>
          <w:sz w:val="22"/>
          <w:lang w:val="pl-PL"/>
        </w:rPr>
        <w:t xml:space="preserve"> </w:t>
      </w:r>
      <w:r w:rsidR="005A3E8E" w:rsidRPr="001E79CA">
        <w:rPr>
          <w:sz w:val="22"/>
          <w:lang w:val="pl-PL"/>
        </w:rPr>
        <w:t>Purpura</w:t>
      </w:r>
      <w:r w:rsidR="00E315F9">
        <w:rPr>
          <w:sz w:val="22"/>
          <w:lang w:val="pl-PL"/>
        </w:rPr>
        <w:t xml:space="preserve">), objawiającego się gorączką i podskórnymi wybroczynami krwawymi, o wyglądzie czerwonych, </w:t>
      </w:r>
      <w:r>
        <w:rPr>
          <w:sz w:val="22"/>
          <w:lang w:val="pl-PL"/>
        </w:rPr>
        <w:t>punktowych plamek występujących z lub bez nie dającego się wyjaśnić uczucia skrajnego zmęczenia, stanem dezorientacji, zażółceniem skóry lub oczu (żółtaczka) (patrz</w:t>
      </w:r>
      <w:r w:rsidR="00B107EB" w:rsidRPr="00CD2AE9">
        <w:rPr>
          <w:sz w:val="22"/>
          <w:szCs w:val="22"/>
          <w:lang w:val="pl-PL"/>
        </w:rPr>
        <w:t> </w:t>
      </w:r>
      <w:r w:rsidR="00885586">
        <w:rPr>
          <w:sz w:val="22"/>
          <w:lang w:val="pl-PL"/>
        </w:rPr>
        <w:t>punkt</w:t>
      </w:r>
      <w:r w:rsidR="00B107EB" w:rsidRPr="00CD2AE9">
        <w:rPr>
          <w:sz w:val="22"/>
          <w:szCs w:val="22"/>
          <w:lang w:val="pl-PL"/>
        </w:rPr>
        <w:t> </w:t>
      </w:r>
      <w:r w:rsidR="00885586">
        <w:rPr>
          <w:sz w:val="22"/>
          <w:lang w:val="pl-PL"/>
        </w:rPr>
        <w:t>4</w:t>
      </w:r>
      <w:r w:rsidR="002C2BDD">
        <w:rPr>
          <w:sz w:val="22"/>
          <w:lang w:val="pl-PL"/>
        </w:rPr>
        <w:t> </w:t>
      </w:r>
      <w:r w:rsidR="00B107EB">
        <w:rPr>
          <w:sz w:val="22"/>
          <w:lang w:val="pl-PL"/>
        </w:rPr>
        <w:t>„</w:t>
      </w:r>
      <w:r w:rsidR="00B57745">
        <w:rPr>
          <w:sz w:val="22"/>
          <w:lang w:val="pl-PL"/>
        </w:rPr>
        <w:t>Możliwe działani</w:t>
      </w:r>
      <w:r w:rsidR="00C56F91">
        <w:rPr>
          <w:sz w:val="22"/>
          <w:lang w:val="pl-PL"/>
        </w:rPr>
        <w:t>a</w:t>
      </w:r>
      <w:r w:rsidR="00B57745">
        <w:rPr>
          <w:sz w:val="22"/>
          <w:lang w:val="pl-PL"/>
        </w:rPr>
        <w:t xml:space="preserve"> niepożądane</w:t>
      </w:r>
      <w:r w:rsidR="00B107EB">
        <w:rPr>
          <w:sz w:val="22"/>
          <w:lang w:val="pl-PL"/>
        </w:rPr>
        <w:t>”</w:t>
      </w:r>
      <w:r>
        <w:rPr>
          <w:sz w:val="22"/>
          <w:lang w:val="pl-PL"/>
        </w:rPr>
        <w:t>).</w:t>
      </w:r>
    </w:p>
    <w:p w:rsidR="008A79BE" w:rsidRDefault="008A79BE" w:rsidP="008A79BE">
      <w:pPr>
        <w:numPr>
          <w:ilvl w:val="0"/>
          <w:numId w:val="20"/>
        </w:numPr>
        <w:rPr>
          <w:sz w:val="22"/>
          <w:lang w:val="pl-PL"/>
        </w:rPr>
      </w:pPr>
      <w:r>
        <w:rPr>
          <w:sz w:val="22"/>
          <w:lang w:val="pl-PL"/>
        </w:rPr>
        <w:t>W przypadku skaleczenia lub zranienia, czas jaki upłynie zanim krwawienie ustanie, może być nieco dłuższy niż zwykle. Jest to związane ze sposobem działania leku</w:t>
      </w:r>
      <w:r w:rsidR="00E87D8C">
        <w:rPr>
          <w:sz w:val="22"/>
          <w:lang w:val="pl-PL"/>
        </w:rPr>
        <w:t>,</w:t>
      </w:r>
      <w:r w:rsidR="00E87D8C" w:rsidRPr="00E87D8C">
        <w:rPr>
          <w:sz w:val="22"/>
          <w:lang w:val="pl-PL"/>
        </w:rPr>
        <w:t xml:space="preserve"> </w:t>
      </w:r>
      <w:r w:rsidR="00E87D8C">
        <w:rPr>
          <w:sz w:val="22"/>
          <w:lang w:val="pl-PL"/>
        </w:rPr>
        <w:t xml:space="preserve">ponieważ zapobiega powstawaniu zakrzepów krwi. </w:t>
      </w:r>
      <w:r>
        <w:rPr>
          <w:sz w:val="22"/>
          <w:lang w:val="pl-PL"/>
        </w:rPr>
        <w:t xml:space="preserve">Nie sprawia to </w:t>
      </w:r>
      <w:r w:rsidR="00E87D8C">
        <w:rPr>
          <w:sz w:val="22"/>
          <w:lang w:val="pl-PL"/>
        </w:rPr>
        <w:t xml:space="preserve">zwykle </w:t>
      </w:r>
      <w:r>
        <w:rPr>
          <w:sz w:val="22"/>
          <w:lang w:val="pl-PL"/>
        </w:rPr>
        <w:t xml:space="preserve">kłopotów przy niewielkich skaleczeniach i zranieniach np. skaleczenia w czasie golenia. Tym niemniej, w przypadku </w:t>
      </w:r>
      <w:r w:rsidR="00D95DF4">
        <w:rPr>
          <w:sz w:val="22"/>
          <w:lang w:val="pl-PL"/>
        </w:rPr>
        <w:t>wystąpienia krwawienia</w:t>
      </w:r>
      <w:r w:rsidR="00DD31D8">
        <w:rPr>
          <w:sz w:val="22"/>
          <w:lang w:val="pl-PL"/>
        </w:rPr>
        <w:t>,</w:t>
      </w:r>
      <w:r>
        <w:rPr>
          <w:sz w:val="22"/>
          <w:lang w:val="pl-PL"/>
        </w:rPr>
        <w:t xml:space="preserve"> należy niezwłocznie skontaktować się z lekarzem prowadzącym (patrz</w:t>
      </w:r>
      <w:r w:rsidR="002C2BDD">
        <w:rPr>
          <w:sz w:val="22"/>
          <w:lang w:val="pl-PL"/>
        </w:rPr>
        <w:t> </w:t>
      </w:r>
      <w:r w:rsidR="00885586">
        <w:rPr>
          <w:sz w:val="22"/>
          <w:lang w:val="pl-PL"/>
        </w:rPr>
        <w:t>punkt</w:t>
      </w:r>
      <w:r w:rsidR="002C2BDD">
        <w:rPr>
          <w:sz w:val="22"/>
          <w:lang w:val="pl-PL"/>
        </w:rPr>
        <w:t> </w:t>
      </w:r>
      <w:r w:rsidR="00885586">
        <w:rPr>
          <w:sz w:val="22"/>
          <w:lang w:val="pl-PL"/>
        </w:rPr>
        <w:t>4</w:t>
      </w:r>
      <w:r w:rsidR="002C2BDD">
        <w:rPr>
          <w:sz w:val="22"/>
          <w:lang w:val="pl-PL"/>
        </w:rPr>
        <w:t> </w:t>
      </w:r>
      <w:r w:rsidR="00B107EB">
        <w:rPr>
          <w:sz w:val="22"/>
          <w:lang w:val="pl-PL"/>
        </w:rPr>
        <w:t>„</w:t>
      </w:r>
      <w:r w:rsidR="00B57745">
        <w:rPr>
          <w:sz w:val="22"/>
          <w:lang w:val="pl-PL"/>
        </w:rPr>
        <w:t>Możliwe działani</w:t>
      </w:r>
      <w:r w:rsidR="00C56F91">
        <w:rPr>
          <w:sz w:val="22"/>
          <w:lang w:val="pl-PL"/>
        </w:rPr>
        <w:t>a</w:t>
      </w:r>
      <w:r w:rsidR="00B57745">
        <w:rPr>
          <w:sz w:val="22"/>
          <w:lang w:val="pl-PL"/>
        </w:rPr>
        <w:t xml:space="preserve"> niepożądane</w:t>
      </w:r>
      <w:r w:rsidR="00B107EB">
        <w:rPr>
          <w:sz w:val="22"/>
          <w:lang w:val="pl-PL"/>
        </w:rPr>
        <w:t>”</w:t>
      </w:r>
      <w:r>
        <w:rPr>
          <w:sz w:val="22"/>
          <w:lang w:val="pl-PL"/>
        </w:rPr>
        <w:t>).</w:t>
      </w:r>
    </w:p>
    <w:p w:rsidR="008A79BE" w:rsidRDefault="008A79BE" w:rsidP="008A79BE">
      <w:pPr>
        <w:numPr>
          <w:ilvl w:val="0"/>
          <w:numId w:val="20"/>
        </w:numPr>
        <w:rPr>
          <w:sz w:val="22"/>
          <w:lang w:val="pl-PL"/>
        </w:rPr>
      </w:pPr>
      <w:r>
        <w:rPr>
          <w:sz w:val="22"/>
          <w:lang w:val="pl-PL"/>
        </w:rPr>
        <w:t>Lekarz prowadzący może zlecić przeprowadzenie badań krwi.</w:t>
      </w:r>
    </w:p>
    <w:p w:rsidR="008A79BE" w:rsidRDefault="008A79BE" w:rsidP="008A79BE">
      <w:pPr>
        <w:rPr>
          <w:sz w:val="22"/>
          <w:lang w:val="pl-PL"/>
        </w:rPr>
      </w:pPr>
    </w:p>
    <w:p w:rsidR="00B57745" w:rsidRPr="00B57745" w:rsidRDefault="00B57745" w:rsidP="008A79BE">
      <w:pPr>
        <w:rPr>
          <w:b/>
          <w:sz w:val="22"/>
          <w:lang w:val="pl-PL"/>
        </w:rPr>
      </w:pPr>
      <w:bookmarkStart w:id="31" w:name="OLE_LINK5"/>
      <w:bookmarkStart w:id="32" w:name="OLE_LINK6"/>
      <w:r w:rsidRPr="00B57745">
        <w:rPr>
          <w:b/>
          <w:sz w:val="22"/>
          <w:lang w:val="pl-PL"/>
        </w:rPr>
        <w:t>Dzieci i młodzież</w:t>
      </w:r>
    </w:p>
    <w:p w:rsidR="008A79BE" w:rsidRDefault="002E1689" w:rsidP="008A79BE">
      <w:pPr>
        <w:rPr>
          <w:sz w:val="22"/>
          <w:lang w:val="pl-PL"/>
        </w:rPr>
      </w:pPr>
      <w:r>
        <w:rPr>
          <w:sz w:val="22"/>
          <w:lang w:val="pl-PL"/>
        </w:rPr>
        <w:t xml:space="preserve">Nie należy </w:t>
      </w:r>
      <w:r w:rsidR="00D32572">
        <w:rPr>
          <w:sz w:val="22"/>
          <w:lang w:val="pl-PL"/>
        </w:rPr>
        <w:t xml:space="preserve">stosować </w:t>
      </w:r>
      <w:r>
        <w:rPr>
          <w:sz w:val="22"/>
          <w:lang w:val="pl-PL"/>
        </w:rPr>
        <w:t xml:space="preserve">tego leku </w:t>
      </w:r>
      <w:r w:rsidR="00D32572">
        <w:rPr>
          <w:sz w:val="22"/>
          <w:lang w:val="pl-PL"/>
        </w:rPr>
        <w:t xml:space="preserve">u </w:t>
      </w:r>
      <w:r>
        <w:rPr>
          <w:sz w:val="22"/>
          <w:lang w:val="pl-PL"/>
        </w:rPr>
        <w:t>dzieci</w:t>
      </w:r>
      <w:r w:rsidR="00322B30">
        <w:rPr>
          <w:sz w:val="22"/>
          <w:lang w:val="pl-PL"/>
        </w:rPr>
        <w:t>,</w:t>
      </w:r>
      <w:r>
        <w:rPr>
          <w:sz w:val="22"/>
          <w:lang w:val="pl-PL"/>
        </w:rPr>
        <w:t xml:space="preserve"> ponieważ nie wykazuje on działania leczniczego w tej grupie pacjentów.</w:t>
      </w:r>
      <w:bookmarkEnd w:id="31"/>
      <w:bookmarkEnd w:id="32"/>
    </w:p>
    <w:p w:rsidR="008A79BE" w:rsidRDefault="008A79BE" w:rsidP="008A79BE">
      <w:pPr>
        <w:rPr>
          <w:sz w:val="22"/>
          <w:lang w:val="pl-PL"/>
        </w:rPr>
      </w:pPr>
    </w:p>
    <w:p w:rsidR="008A79BE" w:rsidRDefault="001B7BDC" w:rsidP="00A64B0E">
      <w:pPr>
        <w:keepNext/>
        <w:rPr>
          <w:b/>
          <w:sz w:val="22"/>
          <w:lang w:val="pl-PL"/>
        </w:rPr>
      </w:pPr>
      <w:r>
        <w:rPr>
          <w:b/>
          <w:sz w:val="22"/>
          <w:lang w:val="pl-PL"/>
        </w:rPr>
        <w:t>Lek Plavix a i</w:t>
      </w:r>
      <w:r w:rsidR="008A79BE">
        <w:rPr>
          <w:b/>
          <w:sz w:val="22"/>
          <w:lang w:val="pl-PL"/>
        </w:rPr>
        <w:t>nn</w:t>
      </w:r>
      <w:r w:rsidR="00B57745">
        <w:rPr>
          <w:b/>
          <w:sz w:val="22"/>
          <w:lang w:val="pl-PL"/>
        </w:rPr>
        <w:t>e</w:t>
      </w:r>
      <w:r w:rsidR="008A79BE">
        <w:rPr>
          <w:b/>
          <w:sz w:val="22"/>
          <w:lang w:val="pl-PL"/>
        </w:rPr>
        <w:t xml:space="preserve"> lek</w:t>
      </w:r>
      <w:r w:rsidR="00B57745">
        <w:rPr>
          <w:b/>
          <w:sz w:val="22"/>
          <w:lang w:val="pl-PL"/>
        </w:rPr>
        <w:t>i</w:t>
      </w:r>
    </w:p>
    <w:p w:rsidR="008A79BE" w:rsidRDefault="008A79BE" w:rsidP="00A64B0E">
      <w:pPr>
        <w:keepNext/>
        <w:rPr>
          <w:sz w:val="22"/>
          <w:lang w:val="pl-PL"/>
        </w:rPr>
      </w:pPr>
      <w:r>
        <w:rPr>
          <w:sz w:val="22"/>
          <w:lang w:val="pl-PL"/>
        </w:rPr>
        <w:t xml:space="preserve">Należy powiedzieć lekarzowi </w:t>
      </w:r>
      <w:r w:rsidR="00D13CBD">
        <w:rPr>
          <w:sz w:val="22"/>
          <w:lang w:val="pl-PL"/>
        </w:rPr>
        <w:t xml:space="preserve">lub farmaceucie </w:t>
      </w:r>
      <w:r>
        <w:rPr>
          <w:sz w:val="22"/>
          <w:lang w:val="pl-PL"/>
        </w:rPr>
        <w:t xml:space="preserve">o wszystkich </w:t>
      </w:r>
      <w:r w:rsidR="00D13CBD">
        <w:rPr>
          <w:sz w:val="22"/>
          <w:lang w:val="pl-PL"/>
        </w:rPr>
        <w:t xml:space="preserve">lekach </w:t>
      </w:r>
      <w:r>
        <w:rPr>
          <w:sz w:val="22"/>
          <w:lang w:val="pl-PL"/>
        </w:rPr>
        <w:t xml:space="preserve">przyjmowanych </w:t>
      </w:r>
      <w:r w:rsidR="001B7BDC">
        <w:rPr>
          <w:sz w:val="22"/>
          <w:lang w:val="pl-PL"/>
        </w:rPr>
        <w:t xml:space="preserve">przez pacjenta </w:t>
      </w:r>
      <w:r w:rsidR="00D13CBD">
        <w:rPr>
          <w:sz w:val="22"/>
          <w:lang w:val="pl-PL"/>
        </w:rPr>
        <w:t>obecnie</w:t>
      </w:r>
      <w:r w:rsidR="005A3E8E">
        <w:rPr>
          <w:sz w:val="22"/>
          <w:lang w:val="pl-PL"/>
        </w:rPr>
        <w:t xml:space="preserve"> lub </w:t>
      </w:r>
      <w:r>
        <w:rPr>
          <w:sz w:val="22"/>
          <w:lang w:val="pl-PL"/>
        </w:rPr>
        <w:t xml:space="preserve">ostatnio, </w:t>
      </w:r>
      <w:r w:rsidR="00B57745">
        <w:rPr>
          <w:sz w:val="22"/>
          <w:lang w:val="pl-PL"/>
        </w:rPr>
        <w:t xml:space="preserve">a także o lekach, które pacjent planuje </w:t>
      </w:r>
      <w:r w:rsidR="001B7BDC">
        <w:rPr>
          <w:sz w:val="22"/>
          <w:lang w:val="pl-PL"/>
        </w:rPr>
        <w:t>przyjmowa</w:t>
      </w:r>
      <w:r w:rsidR="00B57745">
        <w:rPr>
          <w:sz w:val="22"/>
          <w:lang w:val="pl-PL"/>
        </w:rPr>
        <w:t xml:space="preserve">ć, </w:t>
      </w:r>
      <w:r>
        <w:rPr>
          <w:sz w:val="22"/>
          <w:lang w:val="pl-PL"/>
        </w:rPr>
        <w:t>również tych</w:t>
      </w:r>
      <w:r w:rsidR="00B107EB">
        <w:rPr>
          <w:sz w:val="22"/>
          <w:lang w:val="pl-PL"/>
        </w:rPr>
        <w:t>,</w:t>
      </w:r>
      <w:r>
        <w:rPr>
          <w:sz w:val="22"/>
          <w:lang w:val="pl-PL"/>
        </w:rPr>
        <w:t xml:space="preserve"> które wydawane </w:t>
      </w:r>
      <w:r w:rsidR="00F85658">
        <w:rPr>
          <w:sz w:val="22"/>
          <w:lang w:val="pl-PL"/>
        </w:rPr>
        <w:t>są bez</w:t>
      </w:r>
      <w:r>
        <w:rPr>
          <w:sz w:val="22"/>
          <w:lang w:val="pl-PL"/>
        </w:rPr>
        <w:t xml:space="preserve"> recepty.</w:t>
      </w:r>
    </w:p>
    <w:p w:rsidR="00E315F9" w:rsidRDefault="00E315F9" w:rsidP="00E315F9">
      <w:pPr>
        <w:rPr>
          <w:sz w:val="22"/>
          <w:lang w:val="pl-PL"/>
        </w:rPr>
      </w:pPr>
      <w:r>
        <w:rPr>
          <w:sz w:val="22"/>
          <w:lang w:val="pl-PL"/>
        </w:rPr>
        <w:t>Niektóre inne leki mogą wpływać na działanie leku Plavix i odwrotnie.</w:t>
      </w:r>
    </w:p>
    <w:p w:rsidR="00E315F9" w:rsidRDefault="00E315F9" w:rsidP="00E315F9">
      <w:pPr>
        <w:rPr>
          <w:sz w:val="22"/>
          <w:lang w:val="pl-PL"/>
        </w:rPr>
      </w:pPr>
    </w:p>
    <w:p w:rsidR="00E315F9" w:rsidRDefault="00E315F9" w:rsidP="00E315F9">
      <w:pPr>
        <w:rPr>
          <w:sz w:val="22"/>
          <w:lang w:val="pl-PL"/>
        </w:rPr>
      </w:pPr>
      <w:r>
        <w:rPr>
          <w:sz w:val="22"/>
          <w:lang w:val="pl-PL"/>
        </w:rPr>
        <w:t>W szczególności należy poinformować lekarza</w:t>
      </w:r>
      <w:r w:rsidR="001B7BDC">
        <w:rPr>
          <w:sz w:val="22"/>
          <w:lang w:val="pl-PL"/>
        </w:rPr>
        <w:t>, jeśli pacjent stosuje:</w:t>
      </w:r>
    </w:p>
    <w:p w:rsidR="0098661B" w:rsidRDefault="00E315F9" w:rsidP="00D050EB">
      <w:pPr>
        <w:tabs>
          <w:tab w:val="left" w:pos="567"/>
        </w:tabs>
        <w:ind w:left="567" w:hanging="567"/>
        <w:rPr>
          <w:sz w:val="22"/>
          <w:lang w:val="pl-PL"/>
        </w:rPr>
      </w:pPr>
      <w:r>
        <w:rPr>
          <w:sz w:val="22"/>
          <w:lang w:val="pl-PL"/>
        </w:rPr>
        <w:t>-</w:t>
      </w:r>
      <w:r>
        <w:rPr>
          <w:sz w:val="22"/>
          <w:lang w:val="pl-PL"/>
        </w:rPr>
        <w:tab/>
      </w:r>
      <w:r w:rsidR="0098661B">
        <w:rPr>
          <w:sz w:val="22"/>
          <w:lang w:val="pl-PL"/>
        </w:rPr>
        <w:t>leki mogące zwiększać ryzyko krwawienia, takie jak:</w:t>
      </w:r>
    </w:p>
    <w:p w:rsidR="00E315F9" w:rsidRDefault="00E315F9" w:rsidP="001E79CA">
      <w:pPr>
        <w:numPr>
          <w:ilvl w:val="0"/>
          <w:numId w:val="62"/>
        </w:numPr>
        <w:tabs>
          <w:tab w:val="left" w:pos="851"/>
        </w:tabs>
        <w:ind w:left="851" w:hanging="284"/>
        <w:rPr>
          <w:sz w:val="22"/>
          <w:lang w:val="pl-PL"/>
        </w:rPr>
      </w:pPr>
      <w:r>
        <w:rPr>
          <w:sz w:val="22"/>
          <w:lang w:val="pl-PL"/>
        </w:rPr>
        <w:t>doustne leki przeciwzakrzepowe, leki stosowane w celu hamowania procesu krzepnięcia</w:t>
      </w:r>
      <w:r w:rsidR="00B107EB">
        <w:rPr>
          <w:sz w:val="22"/>
          <w:lang w:val="pl-PL"/>
        </w:rPr>
        <w:t xml:space="preserve"> </w:t>
      </w:r>
      <w:r>
        <w:rPr>
          <w:sz w:val="22"/>
          <w:lang w:val="pl-PL"/>
        </w:rPr>
        <w:t>krwi,</w:t>
      </w:r>
    </w:p>
    <w:p w:rsidR="00E315F9" w:rsidRDefault="00E315F9" w:rsidP="001E79CA">
      <w:pPr>
        <w:numPr>
          <w:ilvl w:val="0"/>
          <w:numId w:val="62"/>
        </w:numPr>
        <w:tabs>
          <w:tab w:val="left" w:pos="851"/>
        </w:tabs>
        <w:ind w:left="851" w:hanging="284"/>
        <w:rPr>
          <w:sz w:val="22"/>
          <w:lang w:val="pl-PL"/>
        </w:rPr>
      </w:pPr>
      <w:r>
        <w:rPr>
          <w:sz w:val="22"/>
          <w:lang w:val="pl-PL"/>
        </w:rPr>
        <w:t xml:space="preserve">niesteroidowe leki przeciwzapalne, zwykle stosowane do leczenia stanów bólowych i (lub) stanów zapalnych mięśni lub stawów, </w:t>
      </w:r>
    </w:p>
    <w:p w:rsidR="00E315F9" w:rsidRDefault="00E315F9" w:rsidP="001E79CA">
      <w:pPr>
        <w:numPr>
          <w:ilvl w:val="0"/>
          <w:numId w:val="62"/>
        </w:numPr>
        <w:tabs>
          <w:tab w:val="left" w:pos="851"/>
        </w:tabs>
        <w:ind w:left="851" w:hanging="284"/>
        <w:rPr>
          <w:sz w:val="22"/>
          <w:lang w:val="pl-PL"/>
        </w:rPr>
      </w:pPr>
      <w:r>
        <w:rPr>
          <w:sz w:val="22"/>
          <w:lang w:val="pl-PL"/>
        </w:rPr>
        <w:t>heparyn</w:t>
      </w:r>
      <w:r w:rsidR="001B7BDC">
        <w:rPr>
          <w:sz w:val="22"/>
          <w:lang w:val="pl-PL"/>
        </w:rPr>
        <w:t>ę</w:t>
      </w:r>
      <w:r>
        <w:rPr>
          <w:sz w:val="22"/>
          <w:lang w:val="pl-PL"/>
        </w:rPr>
        <w:t xml:space="preserve"> lub inn</w:t>
      </w:r>
      <w:r w:rsidR="00413F9D">
        <w:rPr>
          <w:sz w:val="22"/>
          <w:lang w:val="pl-PL"/>
        </w:rPr>
        <w:t>e</w:t>
      </w:r>
      <w:r>
        <w:rPr>
          <w:sz w:val="22"/>
          <w:lang w:val="pl-PL"/>
        </w:rPr>
        <w:t xml:space="preserve"> lek</w:t>
      </w:r>
      <w:r w:rsidR="00413F9D">
        <w:rPr>
          <w:sz w:val="22"/>
          <w:lang w:val="pl-PL"/>
        </w:rPr>
        <w:t>i</w:t>
      </w:r>
      <w:r>
        <w:rPr>
          <w:sz w:val="22"/>
          <w:lang w:val="pl-PL"/>
        </w:rPr>
        <w:t xml:space="preserve"> stosowan</w:t>
      </w:r>
      <w:r w:rsidR="00413F9D">
        <w:rPr>
          <w:sz w:val="22"/>
          <w:lang w:val="pl-PL"/>
        </w:rPr>
        <w:t>e</w:t>
      </w:r>
      <w:r>
        <w:rPr>
          <w:sz w:val="22"/>
          <w:lang w:val="pl-PL"/>
        </w:rPr>
        <w:t xml:space="preserve"> w celu zmniejszenia krzepliwości krwi,</w:t>
      </w:r>
    </w:p>
    <w:p w:rsidR="0098661B" w:rsidRPr="001E79CA" w:rsidRDefault="0098661B" w:rsidP="0098661B">
      <w:pPr>
        <w:pStyle w:val="ListBullet2"/>
        <w:numPr>
          <w:ilvl w:val="0"/>
          <w:numId w:val="62"/>
        </w:numPr>
        <w:tabs>
          <w:tab w:val="left" w:pos="851"/>
        </w:tabs>
        <w:ind w:left="851" w:hanging="284"/>
        <w:rPr>
          <w:lang w:val="pl-PL"/>
        </w:rPr>
      </w:pPr>
      <w:r w:rsidRPr="001E79CA">
        <w:rPr>
          <w:lang w:val="pl-PL"/>
        </w:rPr>
        <w:t>tyklopidynę i inne leki przeciwpłytkowe,</w:t>
      </w:r>
    </w:p>
    <w:p w:rsidR="0098661B" w:rsidRDefault="0098661B" w:rsidP="001E79CA">
      <w:pPr>
        <w:pStyle w:val="ListBullet2"/>
        <w:numPr>
          <w:ilvl w:val="0"/>
          <w:numId w:val="62"/>
        </w:numPr>
        <w:tabs>
          <w:tab w:val="left" w:pos="851"/>
        </w:tabs>
        <w:ind w:left="851" w:hanging="284"/>
        <w:rPr>
          <w:lang w:val="pl-PL"/>
        </w:rPr>
      </w:pPr>
      <w:r w:rsidRPr="001E79CA">
        <w:rPr>
          <w:lang w:val="pl-PL"/>
        </w:rPr>
        <w:t xml:space="preserve">selektywne inhibitory wychwytu zwrotnego serotoniny (w tym, lecz nie tylko, fluoksetynę </w:t>
      </w:r>
      <w:r w:rsidR="00704411">
        <w:rPr>
          <w:lang w:val="pl-PL"/>
        </w:rPr>
        <w:t>lub</w:t>
      </w:r>
      <w:r w:rsidRPr="001E79CA">
        <w:rPr>
          <w:lang w:val="pl-PL"/>
        </w:rPr>
        <w:t> fluwoksaminę), leki stosowane zwykle w leczeniu depresji,</w:t>
      </w:r>
    </w:p>
    <w:p w:rsidR="0076493D" w:rsidRPr="001820F8" w:rsidRDefault="007C5608" w:rsidP="001820F8">
      <w:pPr>
        <w:pStyle w:val="ListBullet2"/>
        <w:numPr>
          <w:ilvl w:val="0"/>
          <w:numId w:val="62"/>
        </w:numPr>
        <w:tabs>
          <w:tab w:val="left" w:pos="851"/>
        </w:tabs>
        <w:ind w:left="851" w:hanging="284"/>
        <w:rPr>
          <w:lang w:val="pl-PL"/>
        </w:rPr>
      </w:pPr>
      <w:r>
        <w:rPr>
          <w:lang w:val="pl-PL"/>
        </w:rPr>
        <w:t>r</w:t>
      </w:r>
      <w:r w:rsidR="0076493D">
        <w:rPr>
          <w:lang w:val="pl-PL"/>
        </w:rPr>
        <w:t>y</w:t>
      </w:r>
      <w:r>
        <w:rPr>
          <w:lang w:val="pl-PL"/>
        </w:rPr>
        <w:t>fampicyna (stosowana w leczeniu ciężkich zakażeń)</w:t>
      </w:r>
    </w:p>
    <w:p w:rsidR="00413F9D" w:rsidRDefault="00E315F9" w:rsidP="00D050EB">
      <w:pPr>
        <w:tabs>
          <w:tab w:val="left" w:pos="567"/>
        </w:tabs>
        <w:ind w:left="567" w:hanging="567"/>
        <w:rPr>
          <w:sz w:val="22"/>
          <w:lang w:val="pl-PL"/>
        </w:rPr>
      </w:pPr>
      <w:r>
        <w:rPr>
          <w:sz w:val="22"/>
          <w:lang w:val="pl-PL"/>
        </w:rPr>
        <w:t>-</w:t>
      </w:r>
      <w:r>
        <w:rPr>
          <w:sz w:val="22"/>
          <w:lang w:val="pl-PL"/>
        </w:rPr>
        <w:tab/>
        <w:t>omeprazol</w:t>
      </w:r>
      <w:r w:rsidR="006E34AE">
        <w:rPr>
          <w:sz w:val="22"/>
          <w:lang w:val="pl-PL"/>
        </w:rPr>
        <w:t xml:space="preserve"> lub</w:t>
      </w:r>
      <w:r w:rsidR="00D9789E">
        <w:rPr>
          <w:sz w:val="22"/>
          <w:lang w:val="pl-PL"/>
        </w:rPr>
        <w:t xml:space="preserve"> </w:t>
      </w:r>
      <w:r w:rsidR="00B97185">
        <w:rPr>
          <w:sz w:val="22"/>
          <w:lang w:val="pl-PL"/>
        </w:rPr>
        <w:t>e</w:t>
      </w:r>
      <w:r w:rsidR="00233816">
        <w:rPr>
          <w:sz w:val="22"/>
          <w:lang w:val="pl-PL"/>
        </w:rPr>
        <w:t>z</w:t>
      </w:r>
      <w:r w:rsidR="00413F9D">
        <w:rPr>
          <w:sz w:val="22"/>
          <w:lang w:val="pl-PL"/>
        </w:rPr>
        <w:t>omeprazol,</w:t>
      </w:r>
      <w:r>
        <w:rPr>
          <w:sz w:val="22"/>
          <w:lang w:val="pl-PL"/>
        </w:rPr>
        <w:t xml:space="preserve"> </w:t>
      </w:r>
      <w:r w:rsidR="0081353C">
        <w:rPr>
          <w:sz w:val="22"/>
          <w:lang w:val="pl-PL"/>
        </w:rPr>
        <w:t xml:space="preserve">leki </w:t>
      </w:r>
      <w:r>
        <w:rPr>
          <w:sz w:val="22"/>
          <w:lang w:val="pl-PL"/>
        </w:rPr>
        <w:t>stosowane w leczeniu dolegliwoś</w:t>
      </w:r>
      <w:r w:rsidR="00413F9D">
        <w:rPr>
          <w:sz w:val="22"/>
          <w:lang w:val="pl-PL"/>
        </w:rPr>
        <w:t>ci żołądkowych</w:t>
      </w:r>
      <w:r w:rsidR="00CB2DE0">
        <w:rPr>
          <w:sz w:val="22"/>
          <w:lang w:val="pl-PL"/>
        </w:rPr>
        <w:t>,</w:t>
      </w:r>
    </w:p>
    <w:p w:rsidR="00E315F9" w:rsidRPr="00BD6C12" w:rsidRDefault="00E315F9" w:rsidP="001E79CA">
      <w:pPr>
        <w:pStyle w:val="ListBullet2"/>
        <w:rPr>
          <w:sz w:val="24"/>
          <w:szCs w:val="24"/>
          <w:lang w:val="pl-PL"/>
        </w:rPr>
      </w:pPr>
      <w:r w:rsidRPr="00BD6C12">
        <w:rPr>
          <w:lang w:val="pl-PL"/>
        </w:rPr>
        <w:t>flukonazol</w:t>
      </w:r>
      <w:r w:rsidR="006E34AE" w:rsidRPr="00BD6C12">
        <w:rPr>
          <w:lang w:val="pl-PL"/>
        </w:rPr>
        <w:t xml:space="preserve"> lub</w:t>
      </w:r>
      <w:r w:rsidRPr="00BD6C12">
        <w:rPr>
          <w:lang w:val="pl-PL"/>
        </w:rPr>
        <w:t xml:space="preserve"> worykonazol, leki stosowane w leczeniu</w:t>
      </w:r>
      <w:r w:rsidR="00B107EB" w:rsidRPr="00BD6C12">
        <w:rPr>
          <w:lang w:val="pl-PL"/>
        </w:rPr>
        <w:t xml:space="preserve"> </w:t>
      </w:r>
      <w:r w:rsidRPr="00BD6C12">
        <w:rPr>
          <w:lang w:val="pl-PL"/>
        </w:rPr>
        <w:t>zakażeń grzybiczych,</w:t>
      </w:r>
    </w:p>
    <w:p w:rsidR="0003461F" w:rsidRPr="00BD6C12" w:rsidRDefault="006E34AE" w:rsidP="001E79CA">
      <w:pPr>
        <w:pStyle w:val="ListBullet2"/>
        <w:rPr>
          <w:lang w:val="pl-PL"/>
        </w:rPr>
      </w:pPr>
      <w:r w:rsidRPr="00BD6C12">
        <w:rPr>
          <w:lang w:val="pl-PL"/>
        </w:rPr>
        <w:t>efawirenz</w:t>
      </w:r>
      <w:r w:rsidR="00013D40">
        <w:rPr>
          <w:lang w:val="pl-PL"/>
        </w:rPr>
        <w:t xml:space="preserve"> lub inne leki</w:t>
      </w:r>
      <w:r w:rsidR="00013D40" w:rsidRPr="00013D40">
        <w:rPr>
          <w:lang w:val="pl-PL"/>
        </w:rPr>
        <w:t xml:space="preserve"> przeciwretrowirusowe</w:t>
      </w:r>
      <w:r w:rsidR="00013D40">
        <w:rPr>
          <w:lang w:val="pl-PL"/>
        </w:rPr>
        <w:t xml:space="preserve"> (</w:t>
      </w:r>
      <w:r w:rsidRPr="00BD6C12">
        <w:rPr>
          <w:lang w:val="pl-PL"/>
        </w:rPr>
        <w:t>stosowan</w:t>
      </w:r>
      <w:r w:rsidR="00013D40">
        <w:rPr>
          <w:lang w:val="pl-PL"/>
        </w:rPr>
        <w:t>e</w:t>
      </w:r>
      <w:r w:rsidRPr="00BD6C12">
        <w:rPr>
          <w:lang w:val="pl-PL"/>
        </w:rPr>
        <w:t xml:space="preserve"> w leczeniu zakażenia HIV</w:t>
      </w:r>
      <w:r w:rsidR="00013D40">
        <w:rPr>
          <w:lang w:val="pl-PL"/>
        </w:rPr>
        <w:t>)</w:t>
      </w:r>
      <w:r w:rsidRPr="00BD6C12">
        <w:rPr>
          <w:lang w:val="pl-PL"/>
        </w:rPr>
        <w:t>,</w:t>
      </w:r>
    </w:p>
    <w:p w:rsidR="00E315F9" w:rsidRPr="00BD6C12" w:rsidRDefault="00E315F9" w:rsidP="001E79CA">
      <w:pPr>
        <w:pStyle w:val="ListBullet2"/>
        <w:rPr>
          <w:lang w:val="pl-PL"/>
        </w:rPr>
      </w:pPr>
      <w:r w:rsidRPr="00BD6C12">
        <w:rPr>
          <w:lang w:val="pl-PL"/>
        </w:rPr>
        <w:t>karbamazepin</w:t>
      </w:r>
      <w:r w:rsidR="001B7BDC" w:rsidRPr="00BD6C12">
        <w:rPr>
          <w:lang w:val="pl-PL"/>
        </w:rPr>
        <w:t>ę</w:t>
      </w:r>
      <w:r w:rsidRPr="00BD6C12">
        <w:rPr>
          <w:lang w:val="pl-PL"/>
        </w:rPr>
        <w:t>, lek stosowan</w:t>
      </w:r>
      <w:r w:rsidR="0003461F" w:rsidRPr="00BD6C12">
        <w:rPr>
          <w:lang w:val="pl-PL"/>
        </w:rPr>
        <w:t>y</w:t>
      </w:r>
      <w:r w:rsidRPr="00BD6C12">
        <w:rPr>
          <w:lang w:val="pl-PL"/>
        </w:rPr>
        <w:t xml:space="preserve"> w leczeniu niektórych rodzajów</w:t>
      </w:r>
      <w:r w:rsidR="00CB2DE0" w:rsidRPr="00BD6C12">
        <w:rPr>
          <w:lang w:val="pl-PL"/>
        </w:rPr>
        <w:t xml:space="preserve"> </w:t>
      </w:r>
      <w:r w:rsidRPr="00BD6C12">
        <w:rPr>
          <w:lang w:val="pl-PL"/>
        </w:rPr>
        <w:t>padaczki,</w:t>
      </w:r>
    </w:p>
    <w:p w:rsidR="00E315F9" w:rsidRDefault="001B7BDC" w:rsidP="001E79CA">
      <w:pPr>
        <w:pStyle w:val="ListBullet2"/>
        <w:rPr>
          <w:lang w:val="pl-PL"/>
        </w:rPr>
      </w:pPr>
      <w:r w:rsidRPr="001E79CA">
        <w:rPr>
          <w:lang w:val="pl-PL"/>
        </w:rPr>
        <w:t>moklobemid, lek stosowany w leczeniu depresji</w:t>
      </w:r>
      <w:r w:rsidR="0098661B" w:rsidRPr="001E79CA">
        <w:rPr>
          <w:lang w:val="pl-PL"/>
        </w:rPr>
        <w:t>,</w:t>
      </w:r>
    </w:p>
    <w:p w:rsidR="0098661B" w:rsidRPr="001E79CA" w:rsidRDefault="0098661B" w:rsidP="0098661B">
      <w:pPr>
        <w:pStyle w:val="ListBullet2"/>
        <w:rPr>
          <w:lang w:val="pl-PL"/>
        </w:rPr>
      </w:pPr>
      <w:r w:rsidRPr="001E79CA">
        <w:rPr>
          <w:lang w:val="pl-PL"/>
        </w:rPr>
        <w:t>repaglinid, lek stosowany w leczeniu cukrzycy,</w:t>
      </w:r>
    </w:p>
    <w:p w:rsidR="000437A5" w:rsidRDefault="0098661B" w:rsidP="0098661B">
      <w:pPr>
        <w:pStyle w:val="ListBullet2"/>
        <w:rPr>
          <w:lang w:val="pl-PL"/>
        </w:rPr>
      </w:pPr>
      <w:r w:rsidRPr="004D0AF3">
        <w:rPr>
          <w:lang w:val="pl-PL"/>
        </w:rPr>
        <w:t xml:space="preserve">paklitaksel, lek stosowany w leczeniu </w:t>
      </w:r>
      <w:r>
        <w:rPr>
          <w:lang w:val="pl-PL"/>
        </w:rPr>
        <w:t>raka</w:t>
      </w:r>
      <w:r w:rsidR="000437A5">
        <w:rPr>
          <w:lang w:val="pl-PL"/>
        </w:rPr>
        <w:t>,</w:t>
      </w:r>
    </w:p>
    <w:p w:rsidR="0098661B" w:rsidRPr="00C92E03" w:rsidRDefault="000437A5" w:rsidP="00C92E03">
      <w:pPr>
        <w:pStyle w:val="ListBullet2"/>
        <w:rPr>
          <w:lang w:val="pl-PL"/>
        </w:rPr>
      </w:pPr>
      <w:r w:rsidRPr="000437A5">
        <w:rPr>
          <w:lang w:val="pl-PL"/>
        </w:rPr>
        <w:t>opioidy: podczas leczenia klopidogrelem pacjent powinien poinformować lekarza przed przepisaniem jakiegokolwiek opioid</w:t>
      </w:r>
      <w:r w:rsidR="00421C67">
        <w:rPr>
          <w:lang w:val="pl-PL"/>
        </w:rPr>
        <w:t>u (leki stosowane w leczeniu silnego bólu)</w:t>
      </w:r>
      <w:r w:rsidRPr="000437A5">
        <w:rPr>
          <w:lang w:val="pl-PL"/>
        </w:rPr>
        <w:t>.</w:t>
      </w:r>
    </w:p>
    <w:p w:rsidR="008A79BE" w:rsidRDefault="008A79BE" w:rsidP="008A79BE">
      <w:pPr>
        <w:rPr>
          <w:sz w:val="22"/>
          <w:lang w:val="pl-PL"/>
        </w:rPr>
      </w:pPr>
    </w:p>
    <w:p w:rsidR="008A79BE" w:rsidRDefault="008A79BE" w:rsidP="008A79BE">
      <w:pPr>
        <w:rPr>
          <w:sz w:val="22"/>
          <w:lang w:val="pl-PL"/>
        </w:rPr>
      </w:pPr>
      <w:r>
        <w:rPr>
          <w:sz w:val="22"/>
          <w:lang w:val="pl-PL"/>
        </w:rPr>
        <w:t xml:space="preserve">Pacjenci, u których wystąpiły silne bóle w klatce piersiowej (niestabilna dławica piersiowa lub </w:t>
      </w:r>
      <w:r w:rsidR="002851C2">
        <w:rPr>
          <w:sz w:val="22"/>
          <w:lang w:val="pl-PL"/>
        </w:rPr>
        <w:t>zawał</w:t>
      </w:r>
      <w:r>
        <w:rPr>
          <w:sz w:val="22"/>
          <w:lang w:val="pl-PL"/>
        </w:rPr>
        <w:t xml:space="preserve"> serca)</w:t>
      </w:r>
      <w:r w:rsidR="00C055D0">
        <w:rPr>
          <w:sz w:val="22"/>
          <w:lang w:val="pl-PL"/>
        </w:rPr>
        <w:t>,</w:t>
      </w:r>
      <w:r w:rsidR="003C5EAF">
        <w:rPr>
          <w:sz w:val="22"/>
          <w:lang w:val="pl-PL"/>
        </w:rPr>
        <w:t xml:space="preserve"> </w:t>
      </w:r>
      <w:r w:rsidR="003C5EAF" w:rsidRPr="00CD7DC6">
        <w:rPr>
          <w:sz w:val="22"/>
          <w:lang w:val="pl-PL"/>
        </w:rPr>
        <w:t xml:space="preserve">przemijający </w:t>
      </w:r>
      <w:r w:rsidR="003F3890" w:rsidRPr="005A0077">
        <w:rPr>
          <w:sz w:val="22"/>
          <w:lang w:val="pl-PL"/>
        </w:rPr>
        <w:t>napad</w:t>
      </w:r>
      <w:r w:rsidR="003C5EAF" w:rsidRPr="00CD7DC6">
        <w:rPr>
          <w:sz w:val="22"/>
          <w:lang w:val="pl-PL"/>
        </w:rPr>
        <w:t xml:space="preserve"> niedokrwienny lub udar </w:t>
      </w:r>
      <w:r w:rsidR="003C5EAF">
        <w:rPr>
          <w:sz w:val="22"/>
          <w:lang w:val="pl-PL"/>
        </w:rPr>
        <w:t>o</w:t>
      </w:r>
      <w:r w:rsidR="003C5EAF" w:rsidRPr="00CD7DC6">
        <w:rPr>
          <w:sz w:val="22"/>
          <w:lang w:val="pl-PL"/>
        </w:rPr>
        <w:t xml:space="preserve"> łagodnym nasileniu</w:t>
      </w:r>
      <w:r w:rsidR="003C5EAF">
        <w:rPr>
          <w:sz w:val="22"/>
          <w:lang w:val="pl-PL"/>
        </w:rPr>
        <w:t xml:space="preserve">, </w:t>
      </w:r>
      <w:r>
        <w:rPr>
          <w:sz w:val="22"/>
          <w:lang w:val="pl-PL"/>
        </w:rPr>
        <w:t xml:space="preserve">mogą mieć przepisywany Plavix w skojarzeniu z kwasem acetylosalicylowym, substancją obecną w wielu lekach, stosowaną w celu łagodzenia bólu i obniżenia gorączki. Sporadyczne zastosowanie kwasu acetylosalicylowego (nie więcej niż 1000 mg w ciągu 24 godzin) nie powinno zazwyczaj powodować problemu, ale </w:t>
      </w:r>
      <w:r w:rsidR="005A3E8E">
        <w:rPr>
          <w:sz w:val="22"/>
          <w:lang w:val="pl-PL"/>
        </w:rPr>
        <w:t>długotrwałe</w:t>
      </w:r>
      <w:r>
        <w:rPr>
          <w:sz w:val="22"/>
          <w:lang w:val="pl-PL"/>
        </w:rPr>
        <w:t xml:space="preserve"> stosowanie w innych okolicznościach powinno być omówione z lekarzem prowadzącym.</w:t>
      </w:r>
    </w:p>
    <w:p w:rsidR="008A79BE" w:rsidRDefault="008A79BE" w:rsidP="008A79BE">
      <w:pPr>
        <w:rPr>
          <w:sz w:val="22"/>
          <w:lang w:val="pl-PL"/>
        </w:rPr>
      </w:pPr>
    </w:p>
    <w:p w:rsidR="008A79BE" w:rsidRDefault="00D01C54" w:rsidP="008A79BE">
      <w:pPr>
        <w:rPr>
          <w:b/>
          <w:sz w:val="22"/>
          <w:lang w:val="pl-PL"/>
        </w:rPr>
      </w:pPr>
      <w:r>
        <w:rPr>
          <w:b/>
          <w:sz w:val="22"/>
          <w:lang w:val="pl-PL"/>
        </w:rPr>
        <w:t>L</w:t>
      </w:r>
      <w:r w:rsidR="008A79BE">
        <w:rPr>
          <w:b/>
          <w:sz w:val="22"/>
          <w:lang w:val="pl-PL"/>
        </w:rPr>
        <w:t>ek Plavix z jedzeniem i piciem</w:t>
      </w:r>
    </w:p>
    <w:p w:rsidR="008A79BE" w:rsidRDefault="008A79BE" w:rsidP="008A79BE">
      <w:pPr>
        <w:rPr>
          <w:sz w:val="22"/>
          <w:lang w:val="pl-PL"/>
        </w:rPr>
      </w:pPr>
      <w:r>
        <w:rPr>
          <w:sz w:val="22"/>
          <w:lang w:val="pl-PL"/>
        </w:rPr>
        <w:t>Plavix moż</w:t>
      </w:r>
      <w:r w:rsidR="00653DD3">
        <w:rPr>
          <w:sz w:val="22"/>
          <w:lang w:val="pl-PL"/>
        </w:rPr>
        <w:t>na przyjmować</w:t>
      </w:r>
      <w:r>
        <w:rPr>
          <w:sz w:val="22"/>
          <w:lang w:val="pl-PL"/>
        </w:rPr>
        <w:t xml:space="preserve"> z jedzeniem lub bez jedzenia.</w:t>
      </w:r>
    </w:p>
    <w:p w:rsidR="008A79BE" w:rsidRDefault="008A79BE" w:rsidP="008A79BE">
      <w:pPr>
        <w:rPr>
          <w:sz w:val="22"/>
          <w:lang w:val="pl-PL"/>
        </w:rPr>
      </w:pPr>
    </w:p>
    <w:p w:rsidR="008A79BE" w:rsidRDefault="008A79BE" w:rsidP="008A79BE">
      <w:pPr>
        <w:rPr>
          <w:b/>
          <w:sz w:val="22"/>
          <w:lang w:val="pl-PL"/>
        </w:rPr>
      </w:pPr>
      <w:r>
        <w:rPr>
          <w:b/>
          <w:sz w:val="22"/>
          <w:lang w:val="pl-PL"/>
        </w:rPr>
        <w:t>Ciąża i karmienie piersią</w:t>
      </w:r>
    </w:p>
    <w:p w:rsidR="004A151F" w:rsidRDefault="00367BCC" w:rsidP="004A151F">
      <w:pPr>
        <w:rPr>
          <w:sz w:val="22"/>
          <w:szCs w:val="22"/>
          <w:lang w:val="pl-PL"/>
        </w:rPr>
      </w:pPr>
      <w:r>
        <w:rPr>
          <w:sz w:val="22"/>
          <w:szCs w:val="22"/>
          <w:lang w:val="pl-PL"/>
        </w:rPr>
        <w:t>Nie zaleca się stosowania</w:t>
      </w:r>
      <w:r w:rsidR="004A151F">
        <w:rPr>
          <w:sz w:val="22"/>
          <w:szCs w:val="22"/>
          <w:lang w:val="pl-PL"/>
        </w:rPr>
        <w:t xml:space="preserve"> tego leku </w:t>
      </w:r>
      <w:r w:rsidR="00653DD3">
        <w:rPr>
          <w:sz w:val="22"/>
          <w:szCs w:val="22"/>
          <w:lang w:val="pl-PL"/>
        </w:rPr>
        <w:t>w okresie ciąży.</w:t>
      </w:r>
    </w:p>
    <w:p w:rsidR="00CA3268" w:rsidRDefault="00CA3268" w:rsidP="008A79BE">
      <w:pPr>
        <w:rPr>
          <w:sz w:val="22"/>
          <w:szCs w:val="22"/>
          <w:lang w:val="pl-PL"/>
        </w:rPr>
      </w:pPr>
    </w:p>
    <w:p w:rsidR="008A79BE" w:rsidRPr="00293A51" w:rsidRDefault="008A79BE" w:rsidP="00A64B0E">
      <w:pPr>
        <w:rPr>
          <w:b/>
          <w:szCs w:val="22"/>
          <w:lang w:val="pl-PL"/>
        </w:rPr>
      </w:pPr>
      <w:r w:rsidRPr="00E30CCE">
        <w:rPr>
          <w:sz w:val="22"/>
          <w:szCs w:val="22"/>
          <w:lang w:val="pl-PL"/>
        </w:rPr>
        <w:t>Jeśli pacjentka jest w ciąży lub p</w:t>
      </w:r>
      <w:r w:rsidR="00653DD3" w:rsidRPr="00E30CCE">
        <w:rPr>
          <w:sz w:val="22"/>
          <w:szCs w:val="22"/>
          <w:lang w:val="pl-PL"/>
        </w:rPr>
        <w:t>rzypuszcza</w:t>
      </w:r>
      <w:r w:rsidRPr="00E30CCE">
        <w:rPr>
          <w:sz w:val="22"/>
          <w:szCs w:val="22"/>
          <w:lang w:val="pl-PL"/>
        </w:rPr>
        <w:t xml:space="preserve">, że </w:t>
      </w:r>
      <w:r w:rsidR="00653DD3" w:rsidRPr="00E30CCE">
        <w:rPr>
          <w:sz w:val="22"/>
          <w:szCs w:val="22"/>
          <w:lang w:val="pl-PL"/>
        </w:rPr>
        <w:t xml:space="preserve">może być </w:t>
      </w:r>
      <w:r w:rsidRPr="00E30CCE">
        <w:rPr>
          <w:sz w:val="22"/>
          <w:szCs w:val="22"/>
          <w:lang w:val="pl-PL"/>
        </w:rPr>
        <w:t xml:space="preserve">w ciąży, </w:t>
      </w:r>
      <w:r w:rsidR="00E30CCE" w:rsidRPr="00E30CCE">
        <w:rPr>
          <w:sz w:val="22"/>
          <w:szCs w:val="22"/>
          <w:lang w:val="pl-PL"/>
        </w:rPr>
        <w:t xml:space="preserve">powinna poradzić się </w:t>
      </w:r>
      <w:r w:rsidRPr="00E30CCE">
        <w:rPr>
          <w:sz w:val="22"/>
          <w:szCs w:val="22"/>
          <w:lang w:val="pl-PL"/>
        </w:rPr>
        <w:t>lekarza prowadzącego lub farmaceut</w:t>
      </w:r>
      <w:r w:rsidR="00E30CCE" w:rsidRPr="00E30CCE">
        <w:rPr>
          <w:sz w:val="22"/>
          <w:szCs w:val="22"/>
          <w:lang w:val="pl-PL"/>
        </w:rPr>
        <w:t>y przed zastosowaniem tego leku</w:t>
      </w:r>
      <w:r w:rsidRPr="00E30CCE">
        <w:rPr>
          <w:sz w:val="22"/>
          <w:szCs w:val="22"/>
          <w:lang w:val="pl-PL"/>
        </w:rPr>
        <w:t>. Jeśli pacjentka zajdzie w ciążę podczas</w:t>
      </w:r>
      <w:r w:rsidR="00E30CCE" w:rsidRPr="00E30CCE">
        <w:rPr>
          <w:sz w:val="22"/>
          <w:szCs w:val="22"/>
          <w:lang w:val="pl-PL"/>
        </w:rPr>
        <w:t xml:space="preserve"> </w:t>
      </w:r>
      <w:r w:rsidRPr="00A64B0E">
        <w:rPr>
          <w:sz w:val="22"/>
          <w:szCs w:val="22"/>
          <w:lang w:val="pl-PL"/>
        </w:rPr>
        <w:t xml:space="preserve">stosowania leku Plavix, </w:t>
      </w:r>
      <w:r w:rsidR="00E30CCE" w:rsidRPr="00A64B0E">
        <w:rPr>
          <w:sz w:val="22"/>
          <w:szCs w:val="22"/>
          <w:lang w:val="pl-PL"/>
        </w:rPr>
        <w:t xml:space="preserve">powinna </w:t>
      </w:r>
      <w:r w:rsidRPr="00A64B0E">
        <w:rPr>
          <w:sz w:val="22"/>
          <w:szCs w:val="22"/>
          <w:lang w:val="pl-PL"/>
        </w:rPr>
        <w:t>niezwłocznie skonsultować się z lekarzem prowadzącym, ponieważ stosowa</w:t>
      </w:r>
      <w:r w:rsidR="00367BCC" w:rsidRPr="00A64B0E">
        <w:rPr>
          <w:sz w:val="22"/>
          <w:szCs w:val="22"/>
          <w:lang w:val="pl-PL"/>
        </w:rPr>
        <w:t>nie</w:t>
      </w:r>
      <w:r w:rsidRPr="00A64B0E">
        <w:rPr>
          <w:sz w:val="22"/>
          <w:szCs w:val="22"/>
          <w:lang w:val="pl-PL"/>
        </w:rPr>
        <w:t xml:space="preserve"> klopidogrelu </w:t>
      </w:r>
      <w:r w:rsidR="00E30CCE" w:rsidRPr="00A64B0E">
        <w:rPr>
          <w:sz w:val="22"/>
          <w:szCs w:val="22"/>
          <w:lang w:val="pl-PL"/>
        </w:rPr>
        <w:t xml:space="preserve">w okresie </w:t>
      </w:r>
      <w:r w:rsidRPr="00A64B0E">
        <w:rPr>
          <w:sz w:val="22"/>
          <w:szCs w:val="22"/>
          <w:lang w:val="pl-PL"/>
        </w:rPr>
        <w:t>ciąży</w:t>
      </w:r>
      <w:r w:rsidR="00367BCC" w:rsidRPr="00A64B0E">
        <w:rPr>
          <w:sz w:val="22"/>
          <w:szCs w:val="22"/>
          <w:lang w:val="pl-PL"/>
        </w:rPr>
        <w:t xml:space="preserve"> nie jest zalecane</w:t>
      </w:r>
      <w:r w:rsidRPr="00A64B0E">
        <w:rPr>
          <w:sz w:val="22"/>
          <w:szCs w:val="22"/>
          <w:lang w:val="pl-PL"/>
        </w:rPr>
        <w:t>.</w:t>
      </w:r>
    </w:p>
    <w:p w:rsidR="008A79BE" w:rsidRDefault="008A79BE" w:rsidP="008A79BE">
      <w:pPr>
        <w:rPr>
          <w:b/>
          <w:sz w:val="22"/>
          <w:lang w:val="pl-PL"/>
        </w:rPr>
      </w:pPr>
    </w:p>
    <w:p w:rsidR="00413F9D" w:rsidRPr="009E41D6" w:rsidRDefault="00413F9D" w:rsidP="00413F9D">
      <w:pPr>
        <w:rPr>
          <w:sz w:val="22"/>
          <w:szCs w:val="22"/>
          <w:lang w:val="pl-PL"/>
        </w:rPr>
      </w:pPr>
      <w:r w:rsidRPr="009E41D6">
        <w:rPr>
          <w:sz w:val="22"/>
          <w:szCs w:val="22"/>
          <w:lang w:val="pl-PL"/>
        </w:rPr>
        <w:t xml:space="preserve">Nie </w:t>
      </w:r>
      <w:r w:rsidR="00CB2DE0">
        <w:rPr>
          <w:sz w:val="22"/>
          <w:szCs w:val="22"/>
          <w:lang w:val="pl-PL"/>
        </w:rPr>
        <w:t>należy</w:t>
      </w:r>
      <w:r w:rsidRPr="009E41D6">
        <w:rPr>
          <w:sz w:val="22"/>
          <w:szCs w:val="22"/>
          <w:lang w:val="pl-PL"/>
        </w:rPr>
        <w:t xml:space="preserve"> stosować </w:t>
      </w:r>
      <w:r w:rsidR="00E30CCE">
        <w:rPr>
          <w:sz w:val="22"/>
          <w:szCs w:val="22"/>
          <w:lang w:val="pl-PL"/>
        </w:rPr>
        <w:t xml:space="preserve">tego </w:t>
      </w:r>
      <w:r w:rsidRPr="009E41D6">
        <w:rPr>
          <w:sz w:val="22"/>
          <w:szCs w:val="22"/>
          <w:lang w:val="pl-PL"/>
        </w:rPr>
        <w:t xml:space="preserve">leku </w:t>
      </w:r>
      <w:r w:rsidR="002B4D33">
        <w:rPr>
          <w:sz w:val="22"/>
          <w:szCs w:val="22"/>
          <w:lang w:val="pl-PL"/>
        </w:rPr>
        <w:t xml:space="preserve">w okresie </w:t>
      </w:r>
      <w:r w:rsidRPr="009E41D6">
        <w:rPr>
          <w:sz w:val="22"/>
          <w:szCs w:val="22"/>
          <w:lang w:val="pl-PL"/>
        </w:rPr>
        <w:t>karmienia piersią.</w:t>
      </w:r>
    </w:p>
    <w:p w:rsidR="00413F9D" w:rsidRPr="009E41D6" w:rsidRDefault="00E30CCE" w:rsidP="00413F9D">
      <w:pPr>
        <w:rPr>
          <w:sz w:val="22"/>
          <w:szCs w:val="22"/>
          <w:lang w:val="pl-PL"/>
        </w:rPr>
      </w:pPr>
      <w:r>
        <w:rPr>
          <w:sz w:val="22"/>
          <w:szCs w:val="22"/>
          <w:lang w:val="pl-PL"/>
        </w:rPr>
        <w:t>Jeśli pacjent</w:t>
      </w:r>
      <w:r w:rsidR="003B486E">
        <w:rPr>
          <w:sz w:val="22"/>
          <w:szCs w:val="22"/>
          <w:lang w:val="pl-PL"/>
        </w:rPr>
        <w:t>k</w:t>
      </w:r>
      <w:r>
        <w:rPr>
          <w:sz w:val="22"/>
          <w:szCs w:val="22"/>
          <w:lang w:val="pl-PL"/>
        </w:rPr>
        <w:t xml:space="preserve">a karmi piersią lub gdy planuje karmić piersią, powinna poradzić się </w:t>
      </w:r>
      <w:r w:rsidR="00413F9D" w:rsidRPr="009E41D6">
        <w:rPr>
          <w:sz w:val="22"/>
          <w:szCs w:val="22"/>
          <w:lang w:val="pl-PL"/>
        </w:rPr>
        <w:t>lekarza prowadzącego</w:t>
      </w:r>
      <w:r>
        <w:rPr>
          <w:sz w:val="22"/>
          <w:szCs w:val="22"/>
          <w:lang w:val="pl-PL"/>
        </w:rPr>
        <w:t xml:space="preserve"> przed zastosowaniem tego leku.</w:t>
      </w:r>
    </w:p>
    <w:p w:rsidR="008A79BE" w:rsidRPr="009E41D6" w:rsidRDefault="008A79BE" w:rsidP="008A79BE">
      <w:pPr>
        <w:rPr>
          <w:sz w:val="22"/>
          <w:szCs w:val="22"/>
          <w:lang w:val="pl-PL"/>
        </w:rPr>
      </w:pPr>
    </w:p>
    <w:p w:rsidR="008A79BE" w:rsidRDefault="008A79BE" w:rsidP="008A79BE">
      <w:pPr>
        <w:pStyle w:val="BodyText3"/>
        <w:tabs>
          <w:tab w:val="clear" w:pos="567"/>
        </w:tabs>
        <w:rPr>
          <w:lang w:val="pl-PL"/>
        </w:rPr>
      </w:pPr>
      <w:r>
        <w:rPr>
          <w:lang w:val="pl-PL"/>
        </w:rPr>
        <w:t xml:space="preserve">Przed zastosowaniem </w:t>
      </w:r>
      <w:r w:rsidR="00CB2DE0">
        <w:rPr>
          <w:lang w:val="pl-PL"/>
        </w:rPr>
        <w:t xml:space="preserve">jakiegokolwiek </w:t>
      </w:r>
      <w:r>
        <w:rPr>
          <w:lang w:val="pl-PL"/>
        </w:rPr>
        <w:t>leku należy poradzić się lekarza lub farmaceuty.</w:t>
      </w:r>
    </w:p>
    <w:p w:rsidR="008A79BE" w:rsidRDefault="008A79BE" w:rsidP="008A79BE">
      <w:pPr>
        <w:rPr>
          <w:sz w:val="22"/>
          <w:lang w:val="pl-PL"/>
        </w:rPr>
      </w:pPr>
    </w:p>
    <w:p w:rsidR="008A79BE" w:rsidRDefault="008A79BE" w:rsidP="008A79BE">
      <w:pPr>
        <w:rPr>
          <w:b/>
          <w:sz w:val="22"/>
          <w:lang w:val="pl-PL"/>
        </w:rPr>
      </w:pPr>
      <w:r>
        <w:rPr>
          <w:b/>
          <w:sz w:val="22"/>
          <w:lang w:val="pl-PL"/>
        </w:rPr>
        <w:t>Prowadzenie pojazdów i obsług</w:t>
      </w:r>
      <w:r w:rsidR="00CB2DE0">
        <w:rPr>
          <w:b/>
          <w:sz w:val="22"/>
          <w:lang w:val="pl-PL"/>
        </w:rPr>
        <w:t>iwanie</w:t>
      </w:r>
      <w:r>
        <w:rPr>
          <w:b/>
          <w:sz w:val="22"/>
          <w:lang w:val="pl-PL"/>
        </w:rPr>
        <w:t xml:space="preserve"> maszyn</w:t>
      </w:r>
    </w:p>
    <w:p w:rsidR="008A79BE" w:rsidRDefault="008A79BE" w:rsidP="008A79BE">
      <w:pPr>
        <w:rPr>
          <w:sz w:val="22"/>
          <w:lang w:val="pl-PL"/>
        </w:rPr>
      </w:pPr>
      <w:r>
        <w:rPr>
          <w:sz w:val="22"/>
          <w:lang w:val="pl-PL"/>
        </w:rPr>
        <w:t>Plavix nie</w:t>
      </w:r>
      <w:r w:rsidR="00E30CCE">
        <w:rPr>
          <w:sz w:val="22"/>
          <w:lang w:val="pl-PL"/>
        </w:rPr>
        <w:t xml:space="preserve"> powinien</w:t>
      </w:r>
      <w:r>
        <w:rPr>
          <w:sz w:val="22"/>
          <w:lang w:val="pl-PL"/>
        </w:rPr>
        <w:t xml:space="preserve"> wpływa</w:t>
      </w:r>
      <w:r w:rsidR="00E30CCE">
        <w:rPr>
          <w:sz w:val="22"/>
          <w:lang w:val="pl-PL"/>
        </w:rPr>
        <w:t>ć</w:t>
      </w:r>
      <w:r>
        <w:rPr>
          <w:sz w:val="22"/>
          <w:lang w:val="pl-PL"/>
        </w:rPr>
        <w:t xml:space="preserve"> na zdolność prowadzenia pojazdów </w:t>
      </w:r>
      <w:r w:rsidR="00E30CCE">
        <w:rPr>
          <w:sz w:val="22"/>
          <w:lang w:val="pl-PL"/>
        </w:rPr>
        <w:t xml:space="preserve">i </w:t>
      </w:r>
      <w:r>
        <w:rPr>
          <w:sz w:val="22"/>
          <w:lang w:val="pl-PL"/>
        </w:rPr>
        <w:t>obsługi</w:t>
      </w:r>
      <w:r w:rsidR="00CB2DE0">
        <w:rPr>
          <w:sz w:val="22"/>
          <w:lang w:val="pl-PL"/>
        </w:rPr>
        <w:t>wania</w:t>
      </w:r>
      <w:r>
        <w:rPr>
          <w:sz w:val="22"/>
          <w:lang w:val="pl-PL"/>
        </w:rPr>
        <w:t xml:space="preserve"> maszyn.</w:t>
      </w:r>
    </w:p>
    <w:p w:rsidR="008A79BE" w:rsidRDefault="008A79BE" w:rsidP="008A79BE">
      <w:pPr>
        <w:rPr>
          <w:sz w:val="22"/>
          <w:lang w:val="pl-PL"/>
        </w:rPr>
      </w:pPr>
    </w:p>
    <w:p w:rsidR="00B57745" w:rsidRPr="00B57745" w:rsidRDefault="008A79BE" w:rsidP="00885586">
      <w:pPr>
        <w:pStyle w:val="EMEATableLeft"/>
        <w:keepLines w:val="0"/>
        <w:rPr>
          <w:b/>
          <w:lang w:val="pl-PL"/>
        </w:rPr>
      </w:pPr>
      <w:r w:rsidRPr="00B57745">
        <w:rPr>
          <w:b/>
          <w:lang w:val="pl-PL" w:eastAsia="pl-PL"/>
        </w:rPr>
        <w:t>Plavix zawiera laktozę</w:t>
      </w:r>
    </w:p>
    <w:p w:rsidR="00CA3268" w:rsidRPr="001875D1" w:rsidRDefault="00CA3268" w:rsidP="00885586">
      <w:pPr>
        <w:pStyle w:val="EMEATableLeft"/>
        <w:keepLines w:val="0"/>
        <w:rPr>
          <w:lang w:val="pl-PL"/>
        </w:rPr>
      </w:pPr>
      <w:r w:rsidRPr="001875D1">
        <w:rPr>
          <w:lang w:val="pl-PL"/>
        </w:rPr>
        <w:t>Jeżeli stwierdzono wcześniej u pacjenta nietolerancję niektórych cukrów</w:t>
      </w:r>
      <w:r w:rsidR="00885586" w:rsidRPr="001875D1">
        <w:rPr>
          <w:lang w:val="pl-PL"/>
        </w:rPr>
        <w:t xml:space="preserve"> (np.</w:t>
      </w:r>
      <w:r w:rsidR="00CB2DE0" w:rsidRPr="00CD2AE9">
        <w:rPr>
          <w:szCs w:val="22"/>
          <w:lang w:val="pl-PL"/>
        </w:rPr>
        <w:t> </w:t>
      </w:r>
      <w:r w:rsidR="00885586" w:rsidRPr="001875D1">
        <w:rPr>
          <w:lang w:val="pl-PL"/>
        </w:rPr>
        <w:t>laktozy)</w:t>
      </w:r>
      <w:r w:rsidRPr="001875D1">
        <w:rPr>
          <w:lang w:val="pl-PL"/>
        </w:rPr>
        <w:t>, pacjent powinien skontaktować się z lekarzem przed przyjęciem leku.</w:t>
      </w:r>
    </w:p>
    <w:p w:rsidR="00CA3268" w:rsidRDefault="00CA3268" w:rsidP="008A79BE">
      <w:pPr>
        <w:rPr>
          <w:sz w:val="22"/>
          <w:lang w:val="pl-PL"/>
        </w:rPr>
      </w:pPr>
    </w:p>
    <w:p w:rsidR="00B57745" w:rsidRPr="00B57745" w:rsidRDefault="00885586" w:rsidP="008A79BE">
      <w:pPr>
        <w:rPr>
          <w:b/>
          <w:sz w:val="22"/>
          <w:lang w:val="pl-PL"/>
        </w:rPr>
      </w:pPr>
      <w:r w:rsidRPr="00B57745">
        <w:rPr>
          <w:b/>
          <w:sz w:val="22"/>
          <w:lang w:val="pl-PL"/>
        </w:rPr>
        <w:t xml:space="preserve">Plavix zawiera </w:t>
      </w:r>
      <w:r w:rsidR="008A79BE" w:rsidRPr="00B57745">
        <w:rPr>
          <w:b/>
          <w:sz w:val="22"/>
          <w:lang w:val="pl-PL"/>
        </w:rPr>
        <w:t>olej rycynowy</w:t>
      </w:r>
      <w:r w:rsidR="00EF7990" w:rsidRPr="00EF7990">
        <w:rPr>
          <w:b/>
          <w:sz w:val="22"/>
          <w:lang w:val="pl-PL"/>
        </w:rPr>
        <w:t xml:space="preserve"> </w:t>
      </w:r>
      <w:r w:rsidR="00EF7990" w:rsidRPr="00B57745">
        <w:rPr>
          <w:b/>
          <w:sz w:val="22"/>
          <w:lang w:val="pl-PL"/>
        </w:rPr>
        <w:t>uwodorniony</w:t>
      </w:r>
    </w:p>
    <w:p w:rsidR="008A79BE" w:rsidRDefault="00B57745" w:rsidP="008A79BE">
      <w:pPr>
        <w:rPr>
          <w:sz w:val="22"/>
          <w:lang w:val="pl-PL"/>
        </w:rPr>
      </w:pPr>
      <w:r>
        <w:rPr>
          <w:sz w:val="22"/>
          <w:lang w:val="pl-PL"/>
        </w:rPr>
        <w:t>M</w:t>
      </w:r>
      <w:r w:rsidR="008A79BE">
        <w:rPr>
          <w:sz w:val="22"/>
          <w:lang w:val="pl-PL"/>
        </w:rPr>
        <w:t xml:space="preserve">oże </w:t>
      </w:r>
      <w:r w:rsidR="00E30CCE">
        <w:rPr>
          <w:sz w:val="22"/>
          <w:lang w:val="pl-PL"/>
        </w:rPr>
        <w:t>t</w:t>
      </w:r>
      <w:r>
        <w:rPr>
          <w:sz w:val="22"/>
          <w:lang w:val="pl-PL"/>
        </w:rPr>
        <w:t xml:space="preserve">o </w:t>
      </w:r>
      <w:r w:rsidR="008A79BE">
        <w:rPr>
          <w:sz w:val="22"/>
          <w:lang w:val="pl-PL"/>
        </w:rPr>
        <w:t>powodować niestrawność lub biegunkę.</w:t>
      </w:r>
    </w:p>
    <w:p w:rsidR="008A79BE" w:rsidRDefault="008A79BE" w:rsidP="008A79BE">
      <w:pPr>
        <w:rPr>
          <w:sz w:val="22"/>
          <w:lang w:val="pl-PL"/>
        </w:rPr>
      </w:pPr>
    </w:p>
    <w:p w:rsidR="008A79BE" w:rsidRDefault="008A79BE" w:rsidP="008A79BE">
      <w:pPr>
        <w:rPr>
          <w:sz w:val="22"/>
          <w:lang w:val="pl-PL"/>
        </w:rPr>
      </w:pPr>
    </w:p>
    <w:p w:rsidR="00B57745" w:rsidRPr="00B57745" w:rsidRDefault="00B57745" w:rsidP="001E79CA">
      <w:pPr>
        <w:pStyle w:val="Footer"/>
        <w:keepNext/>
        <w:numPr>
          <w:ilvl w:val="0"/>
          <w:numId w:val="56"/>
        </w:numPr>
        <w:tabs>
          <w:tab w:val="clear" w:pos="4320"/>
          <w:tab w:val="center" w:pos="567"/>
        </w:tabs>
        <w:ind w:left="567" w:hanging="567"/>
        <w:rPr>
          <w:b/>
          <w:sz w:val="22"/>
          <w:lang w:val="pl-PL"/>
        </w:rPr>
      </w:pPr>
      <w:r w:rsidRPr="00B57745">
        <w:rPr>
          <w:b/>
          <w:sz w:val="22"/>
          <w:lang w:val="pl-PL"/>
        </w:rPr>
        <w:t xml:space="preserve">Jak stosować </w:t>
      </w:r>
      <w:r w:rsidR="000A7440">
        <w:rPr>
          <w:b/>
          <w:sz w:val="22"/>
          <w:lang w:val="pl-PL"/>
        </w:rPr>
        <w:t xml:space="preserve">lek </w:t>
      </w:r>
      <w:r w:rsidRPr="00B57745">
        <w:rPr>
          <w:b/>
          <w:sz w:val="22"/>
          <w:lang w:val="pl-PL"/>
        </w:rPr>
        <w:t>Plavix</w:t>
      </w:r>
    </w:p>
    <w:p w:rsidR="008A79BE" w:rsidRPr="00022436" w:rsidRDefault="008A79BE" w:rsidP="00A64B0E">
      <w:pPr>
        <w:keepNext/>
        <w:tabs>
          <w:tab w:val="left" w:pos="540"/>
        </w:tabs>
        <w:rPr>
          <w:sz w:val="22"/>
          <w:lang w:val="pl-PL"/>
        </w:rPr>
      </w:pPr>
    </w:p>
    <w:p w:rsidR="008A79BE" w:rsidRPr="009E2542" w:rsidRDefault="00B57745" w:rsidP="00A64B0E">
      <w:pPr>
        <w:keepNext/>
        <w:rPr>
          <w:sz w:val="22"/>
          <w:lang w:val="pl-PL"/>
        </w:rPr>
      </w:pPr>
      <w:r>
        <w:rPr>
          <w:sz w:val="22"/>
          <w:lang w:val="pl-PL"/>
        </w:rPr>
        <w:t>Ten lek</w:t>
      </w:r>
      <w:r w:rsidR="008A79BE">
        <w:rPr>
          <w:sz w:val="22"/>
          <w:lang w:val="pl-PL"/>
        </w:rPr>
        <w:t xml:space="preserve"> należy zawsze stosować zgodnie z zaleceniami lekarza</w:t>
      </w:r>
      <w:r w:rsidR="00D13CBD">
        <w:rPr>
          <w:sz w:val="22"/>
          <w:lang w:val="pl-PL"/>
        </w:rPr>
        <w:t xml:space="preserve"> lub farmaceuty</w:t>
      </w:r>
      <w:r w:rsidR="008A79BE">
        <w:rPr>
          <w:sz w:val="22"/>
          <w:lang w:val="pl-PL"/>
        </w:rPr>
        <w:t xml:space="preserve">. W </w:t>
      </w:r>
      <w:r w:rsidR="00D13CBD">
        <w:rPr>
          <w:sz w:val="22"/>
          <w:lang w:val="pl-PL"/>
        </w:rPr>
        <w:t>razie</w:t>
      </w:r>
      <w:r w:rsidR="008A79BE">
        <w:rPr>
          <w:sz w:val="22"/>
          <w:lang w:val="pl-PL"/>
        </w:rPr>
        <w:t xml:space="preserve"> wątpliwości </w:t>
      </w:r>
      <w:r w:rsidR="008A79BE" w:rsidRPr="009E2542">
        <w:rPr>
          <w:sz w:val="22"/>
          <w:lang w:val="pl-PL"/>
        </w:rPr>
        <w:t xml:space="preserve">należy </w:t>
      </w:r>
      <w:r w:rsidR="00D13CBD" w:rsidRPr="009E2542">
        <w:rPr>
          <w:sz w:val="22"/>
          <w:lang w:val="pl-PL"/>
        </w:rPr>
        <w:t>zwrócić</w:t>
      </w:r>
      <w:r w:rsidR="008A79BE" w:rsidRPr="009E2542">
        <w:rPr>
          <w:sz w:val="22"/>
          <w:lang w:val="pl-PL"/>
        </w:rPr>
        <w:t xml:space="preserve"> się </w:t>
      </w:r>
      <w:r w:rsidR="00D13CBD" w:rsidRPr="009E2542">
        <w:rPr>
          <w:sz w:val="22"/>
          <w:lang w:val="pl-PL"/>
        </w:rPr>
        <w:t>do</w:t>
      </w:r>
      <w:r w:rsidR="008A79BE" w:rsidRPr="009E2542">
        <w:rPr>
          <w:sz w:val="22"/>
          <w:lang w:val="pl-PL"/>
        </w:rPr>
        <w:t xml:space="preserve"> lekarz</w:t>
      </w:r>
      <w:r w:rsidR="00D13CBD" w:rsidRPr="009E2542">
        <w:rPr>
          <w:sz w:val="22"/>
          <w:lang w:val="pl-PL"/>
        </w:rPr>
        <w:t>a</w:t>
      </w:r>
      <w:r w:rsidR="008A79BE" w:rsidRPr="009E2542">
        <w:rPr>
          <w:sz w:val="22"/>
          <w:lang w:val="pl-PL"/>
        </w:rPr>
        <w:t xml:space="preserve"> lub farmaceut</w:t>
      </w:r>
      <w:r w:rsidR="00D13CBD" w:rsidRPr="009E2542">
        <w:rPr>
          <w:sz w:val="22"/>
          <w:lang w:val="pl-PL"/>
        </w:rPr>
        <w:t>y</w:t>
      </w:r>
      <w:r w:rsidR="008A79BE" w:rsidRPr="009E2542">
        <w:rPr>
          <w:sz w:val="22"/>
          <w:lang w:val="pl-PL"/>
        </w:rPr>
        <w:t>.</w:t>
      </w:r>
    </w:p>
    <w:p w:rsidR="005E100A" w:rsidRPr="009E2542" w:rsidRDefault="005E100A" w:rsidP="00A64B0E">
      <w:pPr>
        <w:keepNext/>
        <w:rPr>
          <w:sz w:val="22"/>
          <w:lang w:val="pl-PL"/>
        </w:rPr>
      </w:pPr>
    </w:p>
    <w:p w:rsidR="005E100A" w:rsidRPr="009E2542" w:rsidRDefault="005E100A" w:rsidP="005E100A">
      <w:pPr>
        <w:rPr>
          <w:sz w:val="22"/>
          <w:lang w:val="pl-PL"/>
        </w:rPr>
      </w:pPr>
      <w:r w:rsidRPr="009E2542">
        <w:rPr>
          <w:sz w:val="22"/>
          <w:lang w:val="pl-PL"/>
        </w:rPr>
        <w:t>Zalecana dawka leku Plavix to 75 mg na dobę, przyjmowana doustnie o tej samej porze każdego dnia, z posiłkiem lub bez posiłku. Dawkowanie to dotyczy także pacjentów ze stanem zwanym „migotaniem przedsionków” (nieregularny rytm serca).</w:t>
      </w:r>
    </w:p>
    <w:p w:rsidR="008A79BE" w:rsidRPr="009E2542" w:rsidRDefault="008A79BE" w:rsidP="008A79BE">
      <w:pPr>
        <w:rPr>
          <w:sz w:val="22"/>
          <w:lang w:val="pl-PL"/>
        </w:rPr>
      </w:pPr>
    </w:p>
    <w:p w:rsidR="005E100A" w:rsidRPr="009E2542" w:rsidRDefault="008A79BE" w:rsidP="005E100A">
      <w:pPr>
        <w:rPr>
          <w:sz w:val="22"/>
          <w:lang w:val="pl-PL"/>
        </w:rPr>
      </w:pPr>
      <w:r w:rsidRPr="009E2542">
        <w:rPr>
          <w:sz w:val="22"/>
          <w:lang w:val="pl-PL"/>
        </w:rPr>
        <w:t>Jeśli u pacjenta wystąpiły silne bóle w klatce piersiowej</w:t>
      </w:r>
      <w:r w:rsidR="000E17D5" w:rsidRPr="009E2542">
        <w:rPr>
          <w:sz w:val="22"/>
          <w:lang w:val="pl-PL"/>
        </w:rPr>
        <w:t xml:space="preserve"> (niestabilna dławica piersiowa lub </w:t>
      </w:r>
      <w:r w:rsidR="002851C2">
        <w:rPr>
          <w:sz w:val="22"/>
          <w:lang w:val="pl-PL"/>
        </w:rPr>
        <w:t>zawał</w:t>
      </w:r>
      <w:r w:rsidR="000E17D5" w:rsidRPr="009E2542">
        <w:rPr>
          <w:sz w:val="22"/>
          <w:lang w:val="pl-PL"/>
        </w:rPr>
        <w:t xml:space="preserve"> serca)</w:t>
      </w:r>
      <w:r w:rsidRPr="009E2542">
        <w:rPr>
          <w:sz w:val="22"/>
          <w:lang w:val="pl-PL"/>
        </w:rPr>
        <w:t xml:space="preserve">, lekarz prowadzący może przepisać </w:t>
      </w:r>
      <w:r w:rsidR="000E17D5" w:rsidRPr="009E2542">
        <w:rPr>
          <w:sz w:val="22"/>
          <w:lang w:val="pl-PL"/>
        </w:rPr>
        <w:t xml:space="preserve">od razu </w:t>
      </w:r>
      <w:r w:rsidRPr="009E2542">
        <w:rPr>
          <w:sz w:val="22"/>
          <w:lang w:val="pl-PL"/>
        </w:rPr>
        <w:t>na rozpoczęcie leczenia 300 mg leku Plavix (1</w:t>
      </w:r>
      <w:r w:rsidR="00722ACB">
        <w:rPr>
          <w:sz w:val="22"/>
          <w:lang w:val="pl-PL"/>
        </w:rPr>
        <w:t> </w:t>
      </w:r>
      <w:r w:rsidRPr="009E2542">
        <w:rPr>
          <w:sz w:val="22"/>
          <w:lang w:val="pl-PL"/>
        </w:rPr>
        <w:t xml:space="preserve">tabletka po </w:t>
      </w:r>
      <w:r w:rsidRPr="009E2542">
        <w:rPr>
          <w:sz w:val="22"/>
          <w:szCs w:val="22"/>
          <w:lang w:val="pl-PL"/>
        </w:rPr>
        <w:t>300 mg</w:t>
      </w:r>
      <w:r w:rsidRPr="009E2542">
        <w:rPr>
          <w:lang w:val="pl-PL"/>
        </w:rPr>
        <w:t xml:space="preserve"> </w:t>
      </w:r>
      <w:r w:rsidRPr="009E2542">
        <w:rPr>
          <w:sz w:val="22"/>
          <w:szCs w:val="22"/>
          <w:lang w:val="pl-PL"/>
        </w:rPr>
        <w:t>lub 4 tabletki po 75 mg</w:t>
      </w:r>
      <w:r w:rsidRPr="009E2542">
        <w:rPr>
          <w:sz w:val="22"/>
          <w:lang w:val="pl-PL"/>
        </w:rPr>
        <w:t xml:space="preserve">). </w:t>
      </w:r>
      <w:r w:rsidR="005E100A" w:rsidRPr="009E2542">
        <w:rPr>
          <w:sz w:val="22"/>
          <w:lang w:val="pl-PL"/>
        </w:rPr>
        <w:t xml:space="preserve">Potem zalecana dawka leku Plavix to jedna tabletka 75 mg na dobę (jak powyżej). </w:t>
      </w:r>
    </w:p>
    <w:p w:rsidR="0098598B" w:rsidRDefault="0098598B" w:rsidP="005E100A">
      <w:pPr>
        <w:rPr>
          <w:lang w:val="pl-PL"/>
        </w:rPr>
      </w:pPr>
    </w:p>
    <w:p w:rsidR="003C5EAF" w:rsidRDefault="003C5EAF" w:rsidP="003C5EAF">
      <w:pPr>
        <w:rPr>
          <w:sz w:val="22"/>
          <w:lang w:val="pl-PL"/>
        </w:rPr>
      </w:pPr>
      <w:r w:rsidRPr="00FC511E">
        <w:rPr>
          <w:sz w:val="22"/>
          <w:lang w:val="pl-PL"/>
        </w:rPr>
        <w:t>Jeśli u pacjent</w:t>
      </w:r>
      <w:r w:rsidR="00CD5359">
        <w:rPr>
          <w:sz w:val="22"/>
          <w:lang w:val="pl-PL"/>
        </w:rPr>
        <w:t>a</w:t>
      </w:r>
      <w:r w:rsidRPr="00FC511E">
        <w:rPr>
          <w:sz w:val="22"/>
          <w:lang w:val="pl-PL"/>
        </w:rPr>
        <w:t xml:space="preserve"> wystąpiły objawy udaru, które ustępują w krótkim czasie (</w:t>
      </w:r>
      <w:bookmarkStart w:id="33" w:name="_Hlk60151039"/>
      <w:r>
        <w:rPr>
          <w:sz w:val="22"/>
          <w:lang w:val="pl-PL"/>
        </w:rPr>
        <w:t>nazywane również</w:t>
      </w:r>
      <w:r w:rsidRPr="00FC511E">
        <w:rPr>
          <w:sz w:val="22"/>
          <w:lang w:val="pl-PL"/>
        </w:rPr>
        <w:t xml:space="preserve"> </w:t>
      </w:r>
      <w:r w:rsidRPr="00D551FD">
        <w:rPr>
          <w:sz w:val="22"/>
          <w:lang w:val="pl-PL"/>
        </w:rPr>
        <w:t>przemijający</w:t>
      </w:r>
      <w:r w:rsidR="00CD5359" w:rsidRPr="00D551FD">
        <w:rPr>
          <w:sz w:val="22"/>
          <w:lang w:val="pl-PL"/>
        </w:rPr>
        <w:t>m</w:t>
      </w:r>
      <w:r w:rsidRPr="00D551FD">
        <w:rPr>
          <w:sz w:val="22"/>
          <w:lang w:val="pl-PL"/>
        </w:rPr>
        <w:t xml:space="preserve"> </w:t>
      </w:r>
      <w:r w:rsidR="003F3890" w:rsidRPr="005A0077">
        <w:rPr>
          <w:sz w:val="22"/>
          <w:lang w:val="pl-PL"/>
        </w:rPr>
        <w:t>napadem</w:t>
      </w:r>
      <w:r w:rsidRPr="00D551FD">
        <w:rPr>
          <w:sz w:val="22"/>
          <w:lang w:val="pl-PL"/>
        </w:rPr>
        <w:t xml:space="preserve"> niedokrwienny</w:t>
      </w:r>
      <w:r w:rsidR="00CD5359" w:rsidRPr="00D551FD">
        <w:rPr>
          <w:sz w:val="22"/>
          <w:lang w:val="pl-PL"/>
        </w:rPr>
        <w:t>m</w:t>
      </w:r>
      <w:bookmarkEnd w:id="33"/>
      <w:r w:rsidRPr="00FC511E">
        <w:rPr>
          <w:sz w:val="22"/>
          <w:lang w:val="pl-PL"/>
        </w:rPr>
        <w:t xml:space="preserve">) lub udar o łagodnym nasileniu, lekarz może </w:t>
      </w:r>
      <w:r w:rsidR="00CD5359">
        <w:rPr>
          <w:sz w:val="22"/>
          <w:lang w:val="pl-PL"/>
        </w:rPr>
        <w:t>przepisać</w:t>
      </w:r>
      <w:r w:rsidRPr="00FC511E">
        <w:rPr>
          <w:sz w:val="22"/>
          <w:lang w:val="pl-PL"/>
        </w:rPr>
        <w:t xml:space="preserve"> </w:t>
      </w:r>
      <w:bookmarkStart w:id="34" w:name="_Hlk60151052"/>
      <w:r w:rsidRPr="00D551FD">
        <w:rPr>
          <w:sz w:val="22"/>
          <w:lang w:val="pl-PL"/>
        </w:rPr>
        <w:t>pojedynczą dawkę</w:t>
      </w:r>
      <w:r>
        <w:rPr>
          <w:sz w:val="22"/>
          <w:lang w:val="pl-PL"/>
        </w:rPr>
        <w:t xml:space="preserve"> </w:t>
      </w:r>
      <w:bookmarkEnd w:id="34"/>
      <w:r w:rsidRPr="00FC511E">
        <w:rPr>
          <w:sz w:val="22"/>
          <w:lang w:val="pl-PL"/>
        </w:rPr>
        <w:t xml:space="preserve">300 mg </w:t>
      </w:r>
      <w:r>
        <w:rPr>
          <w:sz w:val="22"/>
          <w:lang w:val="pl-PL"/>
        </w:rPr>
        <w:t xml:space="preserve">leku </w:t>
      </w:r>
      <w:r w:rsidRPr="00FC511E">
        <w:rPr>
          <w:sz w:val="22"/>
          <w:lang w:val="pl-PL"/>
        </w:rPr>
        <w:t xml:space="preserve">Plavix (1 tabletka 300 mg lub 4 tabletki 75 mg) </w:t>
      </w:r>
      <w:r>
        <w:rPr>
          <w:sz w:val="22"/>
          <w:lang w:val="pl-PL"/>
        </w:rPr>
        <w:t xml:space="preserve">na </w:t>
      </w:r>
      <w:r w:rsidRPr="00FC511E">
        <w:rPr>
          <w:sz w:val="22"/>
          <w:lang w:val="pl-PL"/>
        </w:rPr>
        <w:t>początku leczenia. Następnie zalecana dawka to jedna tabletka</w:t>
      </w:r>
      <w:r>
        <w:rPr>
          <w:sz w:val="22"/>
          <w:lang w:val="pl-PL"/>
        </w:rPr>
        <w:t xml:space="preserve"> leku</w:t>
      </w:r>
      <w:r w:rsidRPr="00FC511E">
        <w:rPr>
          <w:sz w:val="22"/>
          <w:lang w:val="pl-PL"/>
        </w:rPr>
        <w:t xml:space="preserve"> Plavix 75 mg na dobę, jak opisano powyżej, z kwasem acetylosalicylowym przez 3 tygodnie. </w:t>
      </w:r>
      <w:r>
        <w:rPr>
          <w:sz w:val="22"/>
          <w:lang w:val="pl-PL"/>
        </w:rPr>
        <w:t xml:space="preserve">Następnie lekarz </w:t>
      </w:r>
      <w:bookmarkStart w:id="35" w:name="_Hlk60151164"/>
      <w:r w:rsidRPr="00D551FD">
        <w:rPr>
          <w:sz w:val="22"/>
          <w:lang w:val="pl-PL"/>
        </w:rPr>
        <w:t xml:space="preserve">może przepisać oddzielnie </w:t>
      </w:r>
      <w:bookmarkEnd w:id="35"/>
      <w:r w:rsidRPr="00D551FD">
        <w:rPr>
          <w:sz w:val="22"/>
          <w:lang w:val="pl-PL"/>
        </w:rPr>
        <w:t>lek Plavix lub kwas acetylosalic</w:t>
      </w:r>
      <w:r w:rsidR="00C055D0">
        <w:rPr>
          <w:sz w:val="22"/>
          <w:lang w:val="pl-PL"/>
        </w:rPr>
        <w:t>yl</w:t>
      </w:r>
      <w:r w:rsidRPr="00D551FD">
        <w:rPr>
          <w:sz w:val="22"/>
          <w:lang w:val="pl-PL"/>
        </w:rPr>
        <w:t>owy.</w:t>
      </w:r>
    </w:p>
    <w:p w:rsidR="003C5EAF" w:rsidRPr="009E2542" w:rsidRDefault="003C5EAF" w:rsidP="005E100A">
      <w:pPr>
        <w:rPr>
          <w:lang w:val="pl-PL"/>
        </w:rPr>
      </w:pPr>
    </w:p>
    <w:p w:rsidR="008A79BE" w:rsidRDefault="008A79BE" w:rsidP="008A79BE">
      <w:pPr>
        <w:pStyle w:val="BodyText3"/>
        <w:tabs>
          <w:tab w:val="clear" w:pos="567"/>
        </w:tabs>
        <w:rPr>
          <w:lang w:val="pl-PL"/>
        </w:rPr>
      </w:pPr>
      <w:r w:rsidRPr="009E2542">
        <w:rPr>
          <w:lang w:val="pl-PL"/>
        </w:rPr>
        <w:t>Plavix należy stosować</w:t>
      </w:r>
      <w:r>
        <w:rPr>
          <w:lang w:val="pl-PL"/>
        </w:rPr>
        <w:t xml:space="preserve"> tak długo, jak zalec</w:t>
      </w:r>
      <w:r w:rsidR="00E30CCE">
        <w:rPr>
          <w:lang w:val="pl-PL"/>
        </w:rPr>
        <w:t>ił</w:t>
      </w:r>
      <w:r>
        <w:rPr>
          <w:lang w:val="pl-PL"/>
        </w:rPr>
        <w:t xml:space="preserve"> lekarz prowadzący.</w:t>
      </w:r>
    </w:p>
    <w:p w:rsidR="00E30CCE" w:rsidRDefault="00E30CCE" w:rsidP="008A79BE">
      <w:pPr>
        <w:pStyle w:val="BodyText3"/>
        <w:tabs>
          <w:tab w:val="clear" w:pos="567"/>
        </w:tabs>
        <w:rPr>
          <w:lang w:val="pl-PL"/>
        </w:rPr>
      </w:pPr>
    </w:p>
    <w:p w:rsidR="008A79BE" w:rsidRDefault="00E30CCE" w:rsidP="008A79BE">
      <w:pPr>
        <w:rPr>
          <w:b/>
          <w:sz w:val="22"/>
          <w:lang w:val="pl-PL"/>
        </w:rPr>
      </w:pPr>
      <w:r>
        <w:rPr>
          <w:b/>
          <w:sz w:val="22"/>
          <w:lang w:val="pl-PL"/>
        </w:rPr>
        <w:t>Przyjęcie</w:t>
      </w:r>
      <w:r w:rsidR="008A79BE">
        <w:rPr>
          <w:b/>
          <w:sz w:val="22"/>
          <w:lang w:val="pl-PL"/>
        </w:rPr>
        <w:t xml:space="preserve"> większej niż zalecana dawki leku Plavix</w:t>
      </w:r>
    </w:p>
    <w:p w:rsidR="008A79BE" w:rsidRDefault="008A79BE" w:rsidP="008A79BE">
      <w:pPr>
        <w:pStyle w:val="Heading1"/>
        <w:spacing w:line="240" w:lineRule="auto"/>
        <w:rPr>
          <w:rFonts w:ascii="Times New Roman" w:hAnsi="Times New Roman"/>
          <w:sz w:val="22"/>
          <w:lang w:val="pl-PL"/>
        </w:rPr>
      </w:pPr>
      <w:r>
        <w:rPr>
          <w:rFonts w:ascii="Times New Roman" w:hAnsi="Times New Roman"/>
          <w:sz w:val="22"/>
          <w:lang w:val="pl-PL"/>
        </w:rPr>
        <w:t xml:space="preserve">Należy skontaktować się z lekarzem lub najbliższym </w:t>
      </w:r>
      <w:r w:rsidR="00E30CCE">
        <w:rPr>
          <w:rFonts w:ascii="Times New Roman" w:hAnsi="Times New Roman"/>
          <w:sz w:val="22"/>
          <w:lang w:val="pl-PL"/>
        </w:rPr>
        <w:t xml:space="preserve">szpitalnym </w:t>
      </w:r>
      <w:r>
        <w:rPr>
          <w:rFonts w:ascii="Times New Roman" w:hAnsi="Times New Roman"/>
          <w:sz w:val="22"/>
          <w:lang w:val="pl-PL"/>
        </w:rPr>
        <w:t xml:space="preserve">oddziałem </w:t>
      </w:r>
      <w:r w:rsidR="005A3E8E">
        <w:rPr>
          <w:rFonts w:ascii="Times New Roman" w:hAnsi="Times New Roman"/>
          <w:sz w:val="22"/>
          <w:lang w:val="pl-PL"/>
        </w:rPr>
        <w:t>ratunkowym</w:t>
      </w:r>
      <w:r>
        <w:rPr>
          <w:rFonts w:ascii="Times New Roman" w:hAnsi="Times New Roman"/>
          <w:sz w:val="22"/>
          <w:lang w:val="pl-PL"/>
        </w:rPr>
        <w:t xml:space="preserve"> z</w:t>
      </w:r>
      <w:r w:rsidR="00E30CCE">
        <w:rPr>
          <w:rFonts w:ascii="Times New Roman" w:hAnsi="Times New Roman"/>
          <w:sz w:val="22"/>
          <w:lang w:val="pl-PL"/>
        </w:rPr>
        <w:t xml:space="preserve">e względu na </w:t>
      </w:r>
      <w:r>
        <w:rPr>
          <w:rFonts w:ascii="Times New Roman" w:hAnsi="Times New Roman"/>
          <w:sz w:val="22"/>
          <w:lang w:val="pl-PL"/>
        </w:rPr>
        <w:t>zwiększone ryzyk</w:t>
      </w:r>
      <w:r w:rsidR="00E30CCE">
        <w:rPr>
          <w:rFonts w:ascii="Times New Roman" w:hAnsi="Times New Roman"/>
          <w:sz w:val="22"/>
          <w:lang w:val="pl-PL"/>
        </w:rPr>
        <w:t>o</w:t>
      </w:r>
      <w:r>
        <w:rPr>
          <w:rFonts w:ascii="Times New Roman" w:hAnsi="Times New Roman"/>
          <w:sz w:val="22"/>
          <w:lang w:val="pl-PL"/>
        </w:rPr>
        <w:t xml:space="preserve"> krwawienia.</w:t>
      </w:r>
    </w:p>
    <w:p w:rsidR="008A79BE" w:rsidRDefault="008A79BE" w:rsidP="008A79BE">
      <w:pPr>
        <w:rPr>
          <w:sz w:val="22"/>
          <w:lang w:val="pl-PL"/>
        </w:rPr>
      </w:pPr>
    </w:p>
    <w:p w:rsidR="008A79BE" w:rsidRDefault="008A79BE" w:rsidP="008A79BE">
      <w:pPr>
        <w:rPr>
          <w:sz w:val="22"/>
          <w:lang w:val="pl-PL"/>
        </w:rPr>
      </w:pPr>
      <w:r>
        <w:rPr>
          <w:sz w:val="22"/>
          <w:lang w:val="pl-PL"/>
        </w:rPr>
        <w:t xml:space="preserve">W razie </w:t>
      </w:r>
      <w:r w:rsidR="0091721A">
        <w:rPr>
          <w:sz w:val="22"/>
          <w:lang w:val="pl-PL"/>
        </w:rPr>
        <w:t xml:space="preserve">jakichkolwiek </w:t>
      </w:r>
      <w:r w:rsidR="002B4D33">
        <w:rPr>
          <w:sz w:val="22"/>
          <w:lang w:val="pl-PL"/>
        </w:rPr>
        <w:t xml:space="preserve">dalszych </w:t>
      </w:r>
      <w:r>
        <w:rPr>
          <w:sz w:val="22"/>
          <w:lang w:val="pl-PL"/>
        </w:rPr>
        <w:t>wątpliwości związanych ze stosowaniem</w:t>
      </w:r>
      <w:r w:rsidR="002B4D33">
        <w:rPr>
          <w:sz w:val="22"/>
          <w:lang w:val="pl-PL"/>
        </w:rPr>
        <w:t xml:space="preserve"> tego</w:t>
      </w:r>
      <w:r>
        <w:rPr>
          <w:sz w:val="22"/>
          <w:lang w:val="pl-PL"/>
        </w:rPr>
        <w:t xml:space="preserve"> leku</w:t>
      </w:r>
      <w:r w:rsidR="002B4D33">
        <w:rPr>
          <w:sz w:val="22"/>
          <w:lang w:val="pl-PL"/>
        </w:rPr>
        <w:t>,</w:t>
      </w:r>
      <w:r>
        <w:rPr>
          <w:sz w:val="22"/>
          <w:lang w:val="pl-PL"/>
        </w:rPr>
        <w:t xml:space="preserve"> należy zwrócić się do lekarza lub farmaceuty.</w:t>
      </w:r>
    </w:p>
    <w:p w:rsidR="008A79BE" w:rsidRDefault="008A79BE" w:rsidP="008A79BE">
      <w:pPr>
        <w:rPr>
          <w:sz w:val="22"/>
          <w:lang w:val="pl-PL"/>
        </w:rPr>
      </w:pPr>
    </w:p>
    <w:p w:rsidR="00E30CCE" w:rsidRDefault="00E30CCE" w:rsidP="008A79BE">
      <w:pPr>
        <w:rPr>
          <w:sz w:val="22"/>
          <w:lang w:val="pl-PL"/>
        </w:rPr>
      </w:pPr>
    </w:p>
    <w:p w:rsidR="00A24480" w:rsidRPr="00A24480" w:rsidRDefault="008A79BE" w:rsidP="00A24480">
      <w:pPr>
        <w:tabs>
          <w:tab w:val="left" w:pos="540"/>
        </w:tabs>
        <w:rPr>
          <w:b/>
          <w:sz w:val="22"/>
          <w:szCs w:val="22"/>
          <w:lang w:val="pl-PL"/>
        </w:rPr>
      </w:pPr>
      <w:r>
        <w:rPr>
          <w:b/>
          <w:sz w:val="22"/>
          <w:lang w:val="pl-PL"/>
        </w:rPr>
        <w:t>4.</w:t>
      </w:r>
      <w:r>
        <w:rPr>
          <w:b/>
          <w:sz w:val="22"/>
          <w:lang w:val="pl-PL"/>
        </w:rPr>
        <w:tab/>
      </w:r>
      <w:r w:rsidR="00A24480" w:rsidRPr="00A24480">
        <w:rPr>
          <w:b/>
          <w:sz w:val="22"/>
          <w:szCs w:val="22"/>
          <w:lang w:val="pl-PL"/>
        </w:rPr>
        <w:t>Możliwe działania niepożądane</w:t>
      </w:r>
    </w:p>
    <w:p w:rsidR="008A79BE" w:rsidRDefault="008A79BE" w:rsidP="008A79BE">
      <w:pPr>
        <w:rPr>
          <w:sz w:val="22"/>
          <w:lang w:val="pl-PL"/>
        </w:rPr>
      </w:pPr>
    </w:p>
    <w:p w:rsidR="008A79BE" w:rsidRDefault="008A79BE" w:rsidP="008A79BE">
      <w:pPr>
        <w:pStyle w:val="BodyText3"/>
        <w:tabs>
          <w:tab w:val="clear" w:pos="567"/>
        </w:tabs>
        <w:spacing w:after="40"/>
        <w:rPr>
          <w:lang w:val="pl-PL"/>
        </w:rPr>
      </w:pPr>
      <w:r>
        <w:rPr>
          <w:lang w:val="pl-PL"/>
        </w:rPr>
        <w:t xml:space="preserve">Jak każdy lek, </w:t>
      </w:r>
      <w:r w:rsidR="00A24480">
        <w:rPr>
          <w:lang w:val="pl-PL"/>
        </w:rPr>
        <w:t>lek ten</w:t>
      </w:r>
      <w:r>
        <w:rPr>
          <w:lang w:val="pl-PL"/>
        </w:rPr>
        <w:t xml:space="preserve"> może powodować działania niepożądane, chociaż nie u każdego one wystąpią.</w:t>
      </w:r>
    </w:p>
    <w:p w:rsidR="008A79BE" w:rsidRDefault="008A79BE" w:rsidP="008A79BE">
      <w:pPr>
        <w:pStyle w:val="BodyText3"/>
        <w:tabs>
          <w:tab w:val="clear" w:pos="567"/>
        </w:tabs>
        <w:spacing w:after="60"/>
        <w:rPr>
          <w:lang w:val="pl-PL"/>
        </w:rPr>
      </w:pPr>
    </w:p>
    <w:p w:rsidR="00B0190D" w:rsidRPr="00D872DC" w:rsidRDefault="00B0190D" w:rsidP="00B0190D">
      <w:pPr>
        <w:rPr>
          <w:b/>
          <w:sz w:val="22"/>
          <w:lang w:val="pl-PL"/>
        </w:rPr>
      </w:pPr>
      <w:r w:rsidRPr="00D872DC">
        <w:rPr>
          <w:b/>
          <w:sz w:val="22"/>
          <w:lang w:val="pl-PL"/>
        </w:rPr>
        <w:t xml:space="preserve">Należy niezwłocznie skontaktować się z lekarzem prowadzącym, jeśli </w:t>
      </w:r>
      <w:r w:rsidR="00157707">
        <w:rPr>
          <w:b/>
          <w:sz w:val="22"/>
          <w:lang w:val="pl-PL"/>
        </w:rPr>
        <w:t xml:space="preserve">u pacjenta </w:t>
      </w:r>
      <w:r w:rsidRPr="00D872DC">
        <w:rPr>
          <w:b/>
          <w:sz w:val="22"/>
          <w:lang w:val="pl-PL"/>
        </w:rPr>
        <w:t>wystąpi</w:t>
      </w:r>
      <w:r w:rsidR="00157707">
        <w:rPr>
          <w:b/>
          <w:sz w:val="22"/>
          <w:lang w:val="pl-PL"/>
        </w:rPr>
        <w:t>ą</w:t>
      </w:r>
      <w:r w:rsidRPr="00D872DC">
        <w:rPr>
          <w:b/>
          <w:sz w:val="22"/>
          <w:lang w:val="pl-PL"/>
        </w:rPr>
        <w:t>:</w:t>
      </w:r>
    </w:p>
    <w:p w:rsidR="00B0190D" w:rsidRDefault="00B0190D" w:rsidP="00D050EB">
      <w:pPr>
        <w:pStyle w:val="BodyText3"/>
        <w:numPr>
          <w:ilvl w:val="0"/>
          <w:numId w:val="58"/>
        </w:numPr>
        <w:tabs>
          <w:tab w:val="clear" w:pos="567"/>
        </w:tabs>
        <w:ind w:left="567" w:hanging="567"/>
        <w:rPr>
          <w:lang w:val="pl-PL"/>
        </w:rPr>
      </w:pPr>
      <w:r>
        <w:rPr>
          <w:lang w:val="pl-PL"/>
        </w:rPr>
        <w:t>gorączka, objawy zakażenia lub uczucie skrajnego zmęczenia. Może to być spowodowane rzadko występującym zmniejszeniem liczby niektórych krwinek.</w:t>
      </w:r>
    </w:p>
    <w:p w:rsidR="00157707" w:rsidRPr="0038735B" w:rsidRDefault="00B0190D" w:rsidP="00D050EB">
      <w:pPr>
        <w:pStyle w:val="BodyText3"/>
        <w:numPr>
          <w:ilvl w:val="0"/>
          <w:numId w:val="58"/>
        </w:numPr>
        <w:tabs>
          <w:tab w:val="clear" w:pos="567"/>
        </w:tabs>
        <w:ind w:left="567" w:hanging="567"/>
        <w:rPr>
          <w:lang w:val="pl-PL"/>
        </w:rPr>
      </w:pPr>
      <w:r>
        <w:rPr>
          <w:lang w:val="pl-PL"/>
        </w:rPr>
        <w:t>objawy zaburze</w:t>
      </w:r>
      <w:r w:rsidR="00157707">
        <w:rPr>
          <w:lang w:val="pl-PL"/>
        </w:rPr>
        <w:t>ń</w:t>
      </w:r>
      <w:r>
        <w:rPr>
          <w:lang w:val="pl-PL"/>
        </w:rPr>
        <w:t xml:space="preserve"> czynności wątroby, takie jak</w:t>
      </w:r>
      <w:r w:rsidR="00157707">
        <w:rPr>
          <w:lang w:val="pl-PL"/>
        </w:rPr>
        <w:t>:</w:t>
      </w:r>
      <w:r>
        <w:rPr>
          <w:lang w:val="pl-PL"/>
        </w:rPr>
        <w:t xml:space="preserve"> zażółcenie skóry i (lub) oczu (żółtaczka), związane lub nie z krwawieniem, które pojawia się pod skórą w postaci czerwonych punktowych plamek i (lub) stan dezorientacji (</w:t>
      </w:r>
      <w:r w:rsidR="004B6641">
        <w:rPr>
          <w:lang w:val="pl-PL"/>
        </w:rPr>
        <w:t>patrz punkt</w:t>
      </w:r>
      <w:r>
        <w:rPr>
          <w:lang w:val="pl-PL"/>
        </w:rPr>
        <w:t xml:space="preserve"> </w:t>
      </w:r>
      <w:r w:rsidR="003B486E">
        <w:rPr>
          <w:lang w:val="pl-PL"/>
        </w:rPr>
        <w:t xml:space="preserve">2 </w:t>
      </w:r>
      <w:r>
        <w:rPr>
          <w:lang w:val="pl-PL"/>
        </w:rPr>
        <w:t>„</w:t>
      </w:r>
      <w:r w:rsidR="00A24480">
        <w:rPr>
          <w:lang w:val="pl-PL"/>
        </w:rPr>
        <w:t>Ostrzeżenia i środki ostrożności</w:t>
      </w:r>
      <w:r>
        <w:rPr>
          <w:lang w:val="pl-PL"/>
        </w:rPr>
        <w:t>”)</w:t>
      </w:r>
      <w:r w:rsidR="00F073E2">
        <w:rPr>
          <w:lang w:val="pl-PL"/>
        </w:rPr>
        <w:t>.</w:t>
      </w:r>
    </w:p>
    <w:p w:rsidR="00B0190D" w:rsidRPr="00157707" w:rsidRDefault="00B0190D" w:rsidP="00D050EB">
      <w:pPr>
        <w:pStyle w:val="BodyText3"/>
        <w:numPr>
          <w:ilvl w:val="0"/>
          <w:numId w:val="58"/>
        </w:numPr>
        <w:tabs>
          <w:tab w:val="clear" w:pos="567"/>
        </w:tabs>
        <w:ind w:left="567" w:hanging="567"/>
        <w:rPr>
          <w:lang w:val="pl-PL"/>
        </w:rPr>
      </w:pPr>
      <w:r w:rsidRPr="00157707">
        <w:rPr>
          <w:lang w:val="pl-PL"/>
        </w:rPr>
        <w:t xml:space="preserve">obrzęk ust lub zaburzenia </w:t>
      </w:r>
      <w:r w:rsidR="00157707">
        <w:rPr>
          <w:lang w:val="pl-PL"/>
        </w:rPr>
        <w:t xml:space="preserve">dotyczące </w:t>
      </w:r>
      <w:r w:rsidRPr="00157707">
        <w:rPr>
          <w:lang w:val="pl-PL"/>
        </w:rPr>
        <w:t>skóry, takie jak</w:t>
      </w:r>
      <w:r w:rsidR="00157707">
        <w:rPr>
          <w:lang w:val="pl-PL"/>
        </w:rPr>
        <w:t>:</w:t>
      </w:r>
      <w:r w:rsidRPr="00157707">
        <w:rPr>
          <w:lang w:val="pl-PL"/>
        </w:rPr>
        <w:t xml:space="preserve"> wysypki i świąd, pęcherze skórne. Mo</w:t>
      </w:r>
      <w:r w:rsidR="00157707">
        <w:rPr>
          <w:lang w:val="pl-PL"/>
        </w:rPr>
        <w:t>gą</w:t>
      </w:r>
      <w:r w:rsidRPr="00157707">
        <w:rPr>
          <w:lang w:val="pl-PL"/>
        </w:rPr>
        <w:t xml:space="preserve"> to być objaw</w:t>
      </w:r>
      <w:r w:rsidR="00157707">
        <w:rPr>
          <w:lang w:val="pl-PL"/>
        </w:rPr>
        <w:t>y</w:t>
      </w:r>
      <w:r w:rsidRPr="00157707">
        <w:rPr>
          <w:lang w:val="pl-PL"/>
        </w:rPr>
        <w:t xml:space="preserve"> reakcji alergiczn</w:t>
      </w:r>
      <w:r w:rsidR="00157707">
        <w:rPr>
          <w:lang w:val="pl-PL"/>
        </w:rPr>
        <w:t>ej</w:t>
      </w:r>
      <w:r w:rsidRPr="00157707">
        <w:rPr>
          <w:lang w:val="pl-PL"/>
        </w:rPr>
        <w:t>.</w:t>
      </w:r>
    </w:p>
    <w:p w:rsidR="00D0247B" w:rsidRDefault="00D0247B" w:rsidP="008A79BE">
      <w:pPr>
        <w:pStyle w:val="BodyText3"/>
        <w:tabs>
          <w:tab w:val="clear" w:pos="567"/>
        </w:tabs>
        <w:spacing w:after="60"/>
        <w:rPr>
          <w:lang w:val="pl-PL"/>
        </w:rPr>
      </w:pPr>
    </w:p>
    <w:p w:rsidR="008A79BE" w:rsidRDefault="008A79BE" w:rsidP="008A79BE">
      <w:pPr>
        <w:pStyle w:val="BodyText3"/>
        <w:tabs>
          <w:tab w:val="clear" w:pos="567"/>
        </w:tabs>
        <w:spacing w:after="60"/>
        <w:rPr>
          <w:lang w:val="pl-PL"/>
        </w:rPr>
      </w:pPr>
      <w:r w:rsidRPr="00A45EF6">
        <w:rPr>
          <w:b/>
          <w:lang w:val="pl-PL"/>
        </w:rPr>
        <w:t>Najczęstszym działaniem niepożądanym</w:t>
      </w:r>
      <w:r>
        <w:rPr>
          <w:lang w:val="pl-PL"/>
        </w:rPr>
        <w:t xml:space="preserve"> </w:t>
      </w:r>
      <w:r w:rsidR="00F70943" w:rsidRPr="00F70943">
        <w:rPr>
          <w:b/>
          <w:lang w:val="pl-PL"/>
        </w:rPr>
        <w:t>zgłaszanym</w:t>
      </w:r>
      <w:r w:rsidR="00F70943">
        <w:rPr>
          <w:lang w:val="pl-PL"/>
        </w:rPr>
        <w:t xml:space="preserve"> </w:t>
      </w:r>
      <w:r w:rsidRPr="00A45EF6">
        <w:rPr>
          <w:b/>
          <w:lang w:val="pl-PL"/>
        </w:rPr>
        <w:t>podczas stosowania leku Plavix jest krwawienie</w:t>
      </w:r>
      <w:r w:rsidR="00F70943">
        <w:rPr>
          <w:b/>
          <w:lang w:val="pl-PL"/>
        </w:rPr>
        <w:t xml:space="preserve">. </w:t>
      </w:r>
      <w:r w:rsidR="00F70943" w:rsidRPr="00F70943">
        <w:rPr>
          <w:lang w:val="pl-PL"/>
        </w:rPr>
        <w:t>Krwawienie może wystąpić</w:t>
      </w:r>
      <w:r w:rsidR="00F70943">
        <w:rPr>
          <w:lang w:val="pl-PL"/>
        </w:rPr>
        <w:t xml:space="preserve"> jako krwawienie w żołądku lub jelitach</w:t>
      </w:r>
      <w:r w:rsidR="00F70943" w:rsidRPr="001E79CA">
        <w:rPr>
          <w:lang w:val="pl-PL"/>
        </w:rPr>
        <w:t xml:space="preserve">, </w:t>
      </w:r>
      <w:r w:rsidRPr="00F073E2">
        <w:rPr>
          <w:lang w:val="pl-PL"/>
        </w:rPr>
        <w:t>siniak</w:t>
      </w:r>
      <w:r>
        <w:rPr>
          <w:lang w:val="pl-PL"/>
        </w:rPr>
        <w:t>, krwiak (dziwne krwawienie lub zasinienie pod skórą), krwawienie z nosa, krew w moczu</w:t>
      </w:r>
      <w:r w:rsidR="00F70943">
        <w:rPr>
          <w:lang w:val="pl-PL"/>
        </w:rPr>
        <w:t xml:space="preserve">. </w:t>
      </w:r>
      <w:r>
        <w:rPr>
          <w:lang w:val="pl-PL"/>
        </w:rPr>
        <w:t>Donoszono także o</w:t>
      </w:r>
      <w:r w:rsidR="00F073E2">
        <w:rPr>
          <w:lang w:val="pl-PL"/>
        </w:rPr>
        <w:t> </w:t>
      </w:r>
      <w:r>
        <w:rPr>
          <w:lang w:val="pl-PL"/>
        </w:rPr>
        <w:t>małej liczbie przypadków krwawienia w oku, do wnętrza głowy, płuc lub stawów.</w:t>
      </w:r>
    </w:p>
    <w:p w:rsidR="00496D09" w:rsidRDefault="00496D09" w:rsidP="008A79BE">
      <w:pPr>
        <w:rPr>
          <w:sz w:val="22"/>
          <w:lang w:val="pl-PL"/>
        </w:rPr>
      </w:pPr>
    </w:p>
    <w:p w:rsidR="00496D09" w:rsidRPr="00657EF4" w:rsidRDefault="00496D09" w:rsidP="00496D09">
      <w:pPr>
        <w:pStyle w:val="BodyText3"/>
        <w:rPr>
          <w:b/>
          <w:szCs w:val="22"/>
          <w:lang w:val="pl-PL"/>
        </w:rPr>
      </w:pPr>
      <w:r w:rsidRPr="00657EF4">
        <w:rPr>
          <w:b/>
          <w:szCs w:val="22"/>
          <w:lang w:val="pl-PL"/>
        </w:rPr>
        <w:t xml:space="preserve">Jeśli wystąpi przedłużone krwawienie podczas stosowania leku </w:t>
      </w:r>
      <w:r>
        <w:rPr>
          <w:b/>
          <w:szCs w:val="22"/>
          <w:lang w:val="pl-PL"/>
        </w:rPr>
        <w:t>Plavix</w:t>
      </w:r>
    </w:p>
    <w:p w:rsidR="00496D09" w:rsidRPr="00657EF4" w:rsidRDefault="00496D09" w:rsidP="00496D09">
      <w:pPr>
        <w:rPr>
          <w:sz w:val="22"/>
          <w:szCs w:val="22"/>
          <w:lang w:val="pl-PL"/>
        </w:rPr>
      </w:pPr>
      <w:r w:rsidRPr="00657EF4">
        <w:rPr>
          <w:sz w:val="22"/>
          <w:szCs w:val="22"/>
          <w:lang w:val="pl-PL"/>
        </w:rPr>
        <w:t>W przypadku skaleczenia lub zranienia, czas jaki upłynie zanim krwawienie ustanie, może być nieco dłuższy niż zwykle. Jest to związane ze sposobem działania leku, ponieważ zapobiega powstawaniu zakrzepów krwi. Nie sprawia to zwykle kłopotów p</w:t>
      </w:r>
      <w:r w:rsidR="002B4D33">
        <w:rPr>
          <w:sz w:val="22"/>
          <w:szCs w:val="22"/>
          <w:lang w:val="pl-PL"/>
        </w:rPr>
        <w:t>rzy</w:t>
      </w:r>
      <w:r w:rsidRPr="00657EF4">
        <w:rPr>
          <w:sz w:val="22"/>
          <w:szCs w:val="22"/>
          <w:lang w:val="pl-PL"/>
        </w:rPr>
        <w:t xml:space="preserve"> niewielkich skaleczeniach i zranieniach np.</w:t>
      </w:r>
      <w:r w:rsidR="00CB2DE0" w:rsidRPr="00CD2AE9">
        <w:rPr>
          <w:sz w:val="22"/>
          <w:szCs w:val="22"/>
          <w:lang w:val="pl-PL"/>
        </w:rPr>
        <w:t> </w:t>
      </w:r>
      <w:r w:rsidRPr="00657EF4">
        <w:rPr>
          <w:sz w:val="22"/>
          <w:szCs w:val="22"/>
          <w:lang w:val="pl-PL"/>
        </w:rPr>
        <w:t xml:space="preserve">skaleczenia w czasie golenia. Tym niemniej, w przypadku wystąpienia krwawienia należy niezwłocznie skontaktować się z lekarzem prowadzącym (patrz punkt </w:t>
      </w:r>
      <w:r w:rsidR="003C2C1B">
        <w:rPr>
          <w:sz w:val="22"/>
          <w:szCs w:val="22"/>
          <w:lang w:val="pl-PL"/>
        </w:rPr>
        <w:t>2</w:t>
      </w:r>
      <w:r w:rsidRPr="00657EF4">
        <w:rPr>
          <w:sz w:val="22"/>
          <w:szCs w:val="22"/>
          <w:lang w:val="pl-PL"/>
        </w:rPr>
        <w:t xml:space="preserve"> „</w:t>
      </w:r>
      <w:r w:rsidR="00A24480" w:rsidRPr="00A24480">
        <w:rPr>
          <w:sz w:val="22"/>
          <w:szCs w:val="22"/>
          <w:lang w:val="pl-PL"/>
        </w:rPr>
        <w:t>Ostrzeżenia i środki ostrożności</w:t>
      </w:r>
      <w:r w:rsidR="00A24480">
        <w:rPr>
          <w:sz w:val="22"/>
          <w:szCs w:val="22"/>
          <w:lang w:val="pl-PL"/>
        </w:rPr>
        <w:t>”</w:t>
      </w:r>
      <w:r w:rsidRPr="00657EF4">
        <w:rPr>
          <w:sz w:val="22"/>
          <w:szCs w:val="22"/>
          <w:lang w:val="pl-PL"/>
        </w:rPr>
        <w:t>)</w:t>
      </w:r>
      <w:r>
        <w:rPr>
          <w:sz w:val="22"/>
          <w:szCs w:val="22"/>
          <w:lang w:val="pl-PL"/>
        </w:rPr>
        <w:t>.</w:t>
      </w:r>
    </w:p>
    <w:p w:rsidR="00496D09" w:rsidRDefault="00496D09" w:rsidP="008A79BE">
      <w:pPr>
        <w:rPr>
          <w:sz w:val="22"/>
          <w:lang w:val="pl-PL"/>
        </w:rPr>
      </w:pPr>
    </w:p>
    <w:p w:rsidR="008A79BE" w:rsidRPr="00496D09" w:rsidRDefault="008A79BE" w:rsidP="008A79BE">
      <w:pPr>
        <w:rPr>
          <w:b/>
          <w:sz w:val="22"/>
          <w:lang w:val="pl-PL"/>
        </w:rPr>
      </w:pPr>
      <w:r w:rsidRPr="00496D09">
        <w:rPr>
          <w:b/>
          <w:sz w:val="22"/>
          <w:lang w:val="pl-PL"/>
        </w:rPr>
        <w:t>Inne działania niepożądane to:</w:t>
      </w:r>
    </w:p>
    <w:p w:rsidR="00A24480" w:rsidRPr="00157707" w:rsidRDefault="00496D09" w:rsidP="008A79BE">
      <w:pPr>
        <w:rPr>
          <w:sz w:val="22"/>
          <w:szCs w:val="22"/>
          <w:lang w:val="pl-PL"/>
        </w:rPr>
      </w:pPr>
      <w:r w:rsidRPr="00157707">
        <w:rPr>
          <w:sz w:val="22"/>
          <w:szCs w:val="22"/>
          <w:lang w:val="pl-PL"/>
        </w:rPr>
        <w:t>C</w:t>
      </w:r>
      <w:r w:rsidR="008A79BE" w:rsidRPr="00157707">
        <w:rPr>
          <w:sz w:val="22"/>
          <w:szCs w:val="22"/>
          <w:lang w:val="pl-PL"/>
        </w:rPr>
        <w:t>zęste działania niepożądane</w:t>
      </w:r>
      <w:r w:rsidR="00A24480" w:rsidRPr="00157707">
        <w:rPr>
          <w:sz w:val="22"/>
          <w:szCs w:val="22"/>
          <w:lang w:val="pl-PL"/>
        </w:rPr>
        <w:t xml:space="preserve"> (</w:t>
      </w:r>
      <w:r w:rsidR="00322B30" w:rsidRPr="00A64B0E">
        <w:rPr>
          <w:sz w:val="22"/>
          <w:szCs w:val="22"/>
          <w:lang w:val="pl-PL"/>
        </w:rPr>
        <w:t xml:space="preserve">mogą dotyczyć </w:t>
      </w:r>
      <w:r w:rsidR="00A24480" w:rsidRPr="00157707">
        <w:rPr>
          <w:sz w:val="22"/>
          <w:szCs w:val="22"/>
          <w:lang w:val="pl-PL"/>
        </w:rPr>
        <w:t>1 na 10 pacjentów)</w:t>
      </w:r>
      <w:r w:rsidR="008A79BE" w:rsidRPr="00157707">
        <w:rPr>
          <w:sz w:val="22"/>
          <w:szCs w:val="22"/>
          <w:lang w:val="pl-PL"/>
        </w:rPr>
        <w:t>:</w:t>
      </w:r>
    </w:p>
    <w:p w:rsidR="008A79BE" w:rsidRPr="00293A51" w:rsidRDefault="008A79BE" w:rsidP="008A79BE">
      <w:pPr>
        <w:rPr>
          <w:sz w:val="22"/>
          <w:szCs w:val="22"/>
          <w:lang w:val="pl-PL"/>
        </w:rPr>
      </w:pPr>
      <w:r w:rsidRPr="00293A51">
        <w:rPr>
          <w:sz w:val="22"/>
          <w:szCs w:val="22"/>
          <w:lang w:val="pl-PL"/>
        </w:rPr>
        <w:t>Biegunka, bóle brzucha, niestrawność lub zgaga.</w:t>
      </w:r>
    </w:p>
    <w:p w:rsidR="008A79BE" w:rsidRPr="00687CFB" w:rsidRDefault="008A79BE" w:rsidP="008A79BE">
      <w:pPr>
        <w:rPr>
          <w:sz w:val="22"/>
          <w:szCs w:val="22"/>
          <w:lang w:val="pl-PL"/>
        </w:rPr>
      </w:pPr>
    </w:p>
    <w:p w:rsidR="00A24480" w:rsidRPr="00157707" w:rsidRDefault="00496D09" w:rsidP="00022436">
      <w:pPr>
        <w:keepNext/>
        <w:rPr>
          <w:sz w:val="22"/>
          <w:szCs w:val="22"/>
          <w:lang w:val="pl-PL"/>
        </w:rPr>
      </w:pPr>
      <w:r w:rsidRPr="00A52108">
        <w:rPr>
          <w:sz w:val="22"/>
          <w:szCs w:val="22"/>
          <w:lang w:val="pl-PL"/>
        </w:rPr>
        <w:t>N</w:t>
      </w:r>
      <w:r w:rsidR="008A79BE" w:rsidRPr="00A935D4">
        <w:rPr>
          <w:sz w:val="22"/>
          <w:szCs w:val="22"/>
          <w:lang w:val="pl-PL"/>
        </w:rPr>
        <w:t>iezbyt częste działania niepożądane</w:t>
      </w:r>
      <w:r w:rsidR="00A24480" w:rsidRPr="004363B4">
        <w:rPr>
          <w:sz w:val="22"/>
          <w:szCs w:val="22"/>
          <w:lang w:val="pl-PL"/>
        </w:rPr>
        <w:t xml:space="preserve"> (</w:t>
      </w:r>
      <w:r w:rsidR="00322B30" w:rsidRPr="00A64B0E">
        <w:rPr>
          <w:sz w:val="22"/>
          <w:szCs w:val="22"/>
          <w:lang w:val="pl-PL"/>
        </w:rPr>
        <w:t>mogą dotyczyć</w:t>
      </w:r>
      <w:r w:rsidR="00A24480" w:rsidRPr="00157707">
        <w:rPr>
          <w:sz w:val="22"/>
          <w:szCs w:val="22"/>
          <w:lang w:val="pl-PL"/>
        </w:rPr>
        <w:t xml:space="preserve"> 1 na 100 pacjentów)</w:t>
      </w:r>
      <w:r w:rsidR="008A79BE" w:rsidRPr="00157707">
        <w:rPr>
          <w:sz w:val="22"/>
          <w:szCs w:val="22"/>
          <w:lang w:val="pl-PL"/>
        </w:rPr>
        <w:t xml:space="preserve">: </w:t>
      </w:r>
    </w:p>
    <w:p w:rsidR="008A79BE" w:rsidRPr="002D096E" w:rsidRDefault="00F60900" w:rsidP="008A79BE">
      <w:pPr>
        <w:rPr>
          <w:sz w:val="22"/>
          <w:szCs w:val="22"/>
          <w:lang w:val="pl-PL"/>
        </w:rPr>
      </w:pPr>
      <w:r w:rsidRPr="00293A51">
        <w:rPr>
          <w:sz w:val="22"/>
          <w:szCs w:val="22"/>
          <w:lang w:val="pl-PL"/>
        </w:rPr>
        <w:t>B</w:t>
      </w:r>
      <w:r w:rsidR="008A79BE" w:rsidRPr="00293A51">
        <w:rPr>
          <w:sz w:val="22"/>
          <w:szCs w:val="22"/>
          <w:lang w:val="pl-PL"/>
        </w:rPr>
        <w:t xml:space="preserve">ól głowy, </w:t>
      </w:r>
      <w:r w:rsidR="005A3E8E" w:rsidRPr="00687CFB">
        <w:rPr>
          <w:sz w:val="22"/>
          <w:szCs w:val="22"/>
          <w:lang w:val="pl-PL"/>
        </w:rPr>
        <w:t>owrzodzenie</w:t>
      </w:r>
      <w:r w:rsidR="008A79BE" w:rsidRPr="00A52108">
        <w:rPr>
          <w:sz w:val="22"/>
          <w:szCs w:val="22"/>
          <w:lang w:val="pl-PL"/>
        </w:rPr>
        <w:t xml:space="preserve"> żołądka, wymioty, nudności, zaparcie, nadmiar gazów w żołądku lub jelitach, wysypki, świąd, zawroty głowy,</w:t>
      </w:r>
      <w:r w:rsidR="003C2C1B" w:rsidRPr="00A935D4">
        <w:rPr>
          <w:sz w:val="22"/>
          <w:szCs w:val="22"/>
          <w:lang w:val="pl-PL"/>
        </w:rPr>
        <w:t xml:space="preserve"> </w:t>
      </w:r>
      <w:r w:rsidR="006A2D79" w:rsidRPr="004363B4">
        <w:rPr>
          <w:sz w:val="22"/>
          <w:szCs w:val="22"/>
          <w:lang w:val="pl-PL"/>
        </w:rPr>
        <w:t>uczucie ścierpnięcia</w:t>
      </w:r>
      <w:r w:rsidR="003C2C1B" w:rsidRPr="002D096E">
        <w:rPr>
          <w:sz w:val="22"/>
          <w:szCs w:val="22"/>
          <w:lang w:val="pl-PL"/>
        </w:rPr>
        <w:t xml:space="preserve"> lub zdrętwieni</w:t>
      </w:r>
      <w:r w:rsidR="006A2D79" w:rsidRPr="002D096E">
        <w:rPr>
          <w:sz w:val="22"/>
          <w:szCs w:val="22"/>
          <w:lang w:val="pl-PL"/>
        </w:rPr>
        <w:t>a</w:t>
      </w:r>
      <w:r w:rsidR="008A79BE" w:rsidRPr="002D096E">
        <w:rPr>
          <w:sz w:val="22"/>
          <w:szCs w:val="22"/>
          <w:lang w:val="pl-PL"/>
        </w:rPr>
        <w:t>.</w:t>
      </w:r>
    </w:p>
    <w:p w:rsidR="008A79BE" w:rsidRPr="00B24946" w:rsidRDefault="008A79BE" w:rsidP="008A79BE">
      <w:pPr>
        <w:rPr>
          <w:sz w:val="22"/>
          <w:szCs w:val="22"/>
          <w:lang w:val="pl-PL"/>
        </w:rPr>
      </w:pPr>
    </w:p>
    <w:p w:rsidR="00A24480" w:rsidRPr="00157707" w:rsidRDefault="00BE3D56" w:rsidP="008A79BE">
      <w:pPr>
        <w:rPr>
          <w:sz w:val="22"/>
          <w:szCs w:val="22"/>
          <w:lang w:val="pl-PL"/>
        </w:rPr>
      </w:pPr>
      <w:r w:rsidRPr="00B24946">
        <w:rPr>
          <w:sz w:val="22"/>
          <w:szCs w:val="22"/>
          <w:lang w:val="pl-PL"/>
        </w:rPr>
        <w:t>R</w:t>
      </w:r>
      <w:r w:rsidR="008A79BE" w:rsidRPr="00B24946">
        <w:rPr>
          <w:sz w:val="22"/>
          <w:szCs w:val="22"/>
          <w:lang w:val="pl-PL"/>
        </w:rPr>
        <w:t>zadkie działania niepożądane</w:t>
      </w:r>
      <w:r w:rsidR="00A24480" w:rsidRPr="00B24946">
        <w:rPr>
          <w:sz w:val="22"/>
          <w:szCs w:val="22"/>
          <w:lang w:val="pl-PL"/>
        </w:rPr>
        <w:t xml:space="preserve"> (</w:t>
      </w:r>
      <w:r w:rsidR="00322B30" w:rsidRPr="00A64B0E">
        <w:rPr>
          <w:sz w:val="22"/>
          <w:szCs w:val="22"/>
          <w:lang w:val="pl-PL"/>
        </w:rPr>
        <w:t>mogą dotyczyć</w:t>
      </w:r>
      <w:r w:rsidR="00A24480" w:rsidRPr="00157707">
        <w:rPr>
          <w:sz w:val="22"/>
          <w:szCs w:val="22"/>
          <w:lang w:val="pl-PL"/>
        </w:rPr>
        <w:t xml:space="preserve"> 1 na 1000 </w:t>
      </w:r>
      <w:r w:rsidR="00322B30" w:rsidRPr="00157707">
        <w:rPr>
          <w:sz w:val="22"/>
          <w:szCs w:val="22"/>
          <w:lang w:val="pl-PL"/>
        </w:rPr>
        <w:t xml:space="preserve">pacjentów): </w:t>
      </w:r>
    </w:p>
    <w:p w:rsidR="008A79BE" w:rsidRPr="00687CFB" w:rsidRDefault="00A24480" w:rsidP="008A79BE">
      <w:pPr>
        <w:rPr>
          <w:sz w:val="22"/>
          <w:szCs w:val="22"/>
          <w:lang w:val="pl-PL"/>
        </w:rPr>
      </w:pPr>
      <w:r w:rsidRPr="00293A51">
        <w:rPr>
          <w:sz w:val="22"/>
          <w:szCs w:val="22"/>
          <w:lang w:val="pl-PL"/>
        </w:rPr>
        <w:t>Z</w:t>
      </w:r>
      <w:r w:rsidR="008A79BE" w:rsidRPr="00293A51">
        <w:rPr>
          <w:sz w:val="22"/>
          <w:szCs w:val="22"/>
          <w:lang w:val="pl-PL"/>
        </w:rPr>
        <w:t>awroty głowy pochodzenia błędnikowego</w:t>
      </w:r>
      <w:r w:rsidR="005E100A" w:rsidRPr="009E2542">
        <w:rPr>
          <w:sz w:val="22"/>
          <w:szCs w:val="22"/>
          <w:lang w:val="pl-PL"/>
        </w:rPr>
        <w:t>, powiększenie piersi u mężczyzn.</w:t>
      </w:r>
    </w:p>
    <w:p w:rsidR="008A79BE" w:rsidRDefault="008A79BE" w:rsidP="008A79BE">
      <w:pPr>
        <w:rPr>
          <w:sz w:val="22"/>
          <w:lang w:val="pl-PL"/>
        </w:rPr>
      </w:pPr>
    </w:p>
    <w:p w:rsidR="00A24480" w:rsidRPr="00871250" w:rsidRDefault="00BE3D56" w:rsidP="008A79BE">
      <w:pPr>
        <w:rPr>
          <w:sz w:val="22"/>
          <w:lang w:val="pl-PL"/>
        </w:rPr>
      </w:pPr>
      <w:r>
        <w:rPr>
          <w:sz w:val="22"/>
          <w:lang w:val="pl-PL"/>
        </w:rPr>
        <w:t>B</w:t>
      </w:r>
      <w:r w:rsidR="008A79BE">
        <w:rPr>
          <w:sz w:val="22"/>
          <w:lang w:val="pl-PL"/>
        </w:rPr>
        <w:t xml:space="preserve">ardzo rzadkie działania </w:t>
      </w:r>
      <w:r w:rsidR="008A79BE" w:rsidRPr="00157707">
        <w:rPr>
          <w:sz w:val="22"/>
          <w:szCs w:val="22"/>
          <w:lang w:val="pl-PL"/>
        </w:rPr>
        <w:t xml:space="preserve">niepożądane </w:t>
      </w:r>
      <w:r w:rsidR="00A24480" w:rsidRPr="00157707">
        <w:rPr>
          <w:sz w:val="22"/>
          <w:szCs w:val="22"/>
          <w:lang w:val="pl-PL"/>
        </w:rPr>
        <w:t>(</w:t>
      </w:r>
      <w:r w:rsidR="00322B30" w:rsidRPr="00A64B0E">
        <w:rPr>
          <w:sz w:val="22"/>
          <w:szCs w:val="22"/>
          <w:lang w:val="pl-PL"/>
        </w:rPr>
        <w:t xml:space="preserve">mogą dotyczyć </w:t>
      </w:r>
      <w:r w:rsidR="00A24480" w:rsidRPr="00871250">
        <w:rPr>
          <w:sz w:val="22"/>
          <w:szCs w:val="22"/>
          <w:lang w:val="pl-PL"/>
        </w:rPr>
        <w:t xml:space="preserve">1 </w:t>
      </w:r>
      <w:r w:rsidR="00E66E16" w:rsidRPr="00871250">
        <w:rPr>
          <w:sz w:val="22"/>
          <w:szCs w:val="22"/>
          <w:lang w:val="pl-PL"/>
        </w:rPr>
        <w:t>na 10 000 pacjentów</w:t>
      </w:r>
      <w:r w:rsidR="00A24480" w:rsidRPr="00871250">
        <w:rPr>
          <w:sz w:val="22"/>
          <w:szCs w:val="22"/>
          <w:lang w:val="pl-PL"/>
        </w:rPr>
        <w:t>)</w:t>
      </w:r>
      <w:r w:rsidR="008A79BE" w:rsidRPr="00871250">
        <w:rPr>
          <w:sz w:val="22"/>
          <w:szCs w:val="22"/>
          <w:lang w:val="pl-PL"/>
        </w:rPr>
        <w:t>:</w:t>
      </w:r>
      <w:r w:rsidR="008A79BE" w:rsidRPr="00871250">
        <w:rPr>
          <w:sz w:val="22"/>
          <w:lang w:val="pl-PL"/>
        </w:rPr>
        <w:t xml:space="preserve"> </w:t>
      </w:r>
    </w:p>
    <w:p w:rsidR="008A79BE" w:rsidRDefault="00B32623" w:rsidP="008A79BE">
      <w:pPr>
        <w:rPr>
          <w:sz w:val="22"/>
          <w:lang w:val="pl-PL"/>
        </w:rPr>
      </w:pPr>
      <w:r w:rsidRPr="00871250">
        <w:rPr>
          <w:sz w:val="22"/>
          <w:lang w:val="pl-PL"/>
        </w:rPr>
        <w:t>Ż</w:t>
      </w:r>
      <w:r w:rsidR="008A79BE" w:rsidRPr="00871250">
        <w:rPr>
          <w:sz w:val="22"/>
          <w:lang w:val="pl-PL"/>
        </w:rPr>
        <w:t>ółtaczka</w:t>
      </w:r>
      <w:r w:rsidR="00F073E2">
        <w:rPr>
          <w:sz w:val="22"/>
          <w:lang w:val="pl-PL"/>
        </w:rPr>
        <w:t>,</w:t>
      </w:r>
      <w:r w:rsidR="008A79BE" w:rsidRPr="00871250">
        <w:rPr>
          <w:sz w:val="22"/>
          <w:lang w:val="pl-PL"/>
        </w:rPr>
        <w:t xml:space="preserve"> silne bóle brzucha z lub bez bólu pleców</w:t>
      </w:r>
      <w:r w:rsidR="00F073E2">
        <w:rPr>
          <w:sz w:val="22"/>
          <w:lang w:val="pl-PL"/>
        </w:rPr>
        <w:t>,</w:t>
      </w:r>
      <w:r w:rsidR="008A79BE" w:rsidRPr="00871250">
        <w:rPr>
          <w:sz w:val="22"/>
          <w:lang w:val="pl-PL"/>
        </w:rPr>
        <w:t xml:space="preserve"> gorączka, trudności w oddychaniu, czasami skojarzone z kaszlem</w:t>
      </w:r>
      <w:r w:rsidR="00F073E2">
        <w:rPr>
          <w:sz w:val="22"/>
          <w:lang w:val="pl-PL"/>
        </w:rPr>
        <w:t>,</w:t>
      </w:r>
      <w:r w:rsidR="008A79BE" w:rsidRPr="00871250">
        <w:rPr>
          <w:sz w:val="22"/>
          <w:lang w:val="pl-PL"/>
        </w:rPr>
        <w:t xml:space="preserve"> uogólnione reakcje alergiczne</w:t>
      </w:r>
      <w:r w:rsidR="00A23124" w:rsidRPr="00871250">
        <w:rPr>
          <w:sz w:val="22"/>
          <w:lang w:val="pl-PL"/>
        </w:rPr>
        <w:t xml:space="preserve"> (na przykład, ogólne uczucie gorąca z nagłym ogólnym złym samopoczuciem aż do omdlenia)</w:t>
      </w:r>
      <w:r w:rsidR="00F073E2">
        <w:rPr>
          <w:sz w:val="22"/>
          <w:lang w:val="pl-PL"/>
        </w:rPr>
        <w:t>,</w:t>
      </w:r>
      <w:r w:rsidR="008A79BE" w:rsidRPr="00871250">
        <w:rPr>
          <w:sz w:val="22"/>
          <w:lang w:val="pl-PL"/>
        </w:rPr>
        <w:t xml:space="preserve"> obrzęk ust</w:t>
      </w:r>
      <w:r w:rsidR="00A16F36">
        <w:rPr>
          <w:sz w:val="22"/>
          <w:lang w:val="pl-PL"/>
        </w:rPr>
        <w:t>,</w:t>
      </w:r>
      <w:r w:rsidR="008A79BE" w:rsidRPr="00871250">
        <w:rPr>
          <w:sz w:val="22"/>
          <w:lang w:val="pl-PL"/>
        </w:rPr>
        <w:t xml:space="preserve"> pęcherze skórne</w:t>
      </w:r>
      <w:r w:rsidR="00F073E2">
        <w:rPr>
          <w:sz w:val="22"/>
          <w:lang w:val="pl-PL"/>
        </w:rPr>
        <w:t>,</w:t>
      </w:r>
      <w:r w:rsidR="008A79BE" w:rsidRPr="00871250">
        <w:rPr>
          <w:sz w:val="22"/>
          <w:lang w:val="pl-PL"/>
        </w:rPr>
        <w:t xml:space="preserve"> alergia skórna</w:t>
      </w:r>
      <w:r w:rsidR="00F073E2">
        <w:rPr>
          <w:sz w:val="22"/>
          <w:lang w:val="pl-PL"/>
        </w:rPr>
        <w:t>,</w:t>
      </w:r>
      <w:r w:rsidR="008A79BE" w:rsidRPr="00871250">
        <w:rPr>
          <w:sz w:val="22"/>
          <w:lang w:val="pl-PL"/>
        </w:rPr>
        <w:t xml:space="preserve"> zapalenie błony śluzowej jamy ustnej (zapalenie jamy ustnej)</w:t>
      </w:r>
      <w:r w:rsidR="00A16F36">
        <w:rPr>
          <w:sz w:val="22"/>
          <w:lang w:val="pl-PL"/>
        </w:rPr>
        <w:t>,</w:t>
      </w:r>
      <w:r w:rsidR="008A79BE" w:rsidRPr="00871250">
        <w:rPr>
          <w:sz w:val="22"/>
          <w:lang w:val="pl-PL"/>
        </w:rPr>
        <w:t xml:space="preserve"> obniżenie ciśnienia krwi</w:t>
      </w:r>
      <w:r w:rsidR="00A16F36">
        <w:rPr>
          <w:sz w:val="22"/>
          <w:lang w:val="pl-PL"/>
        </w:rPr>
        <w:t>,</w:t>
      </w:r>
      <w:r w:rsidR="008A79BE" w:rsidRPr="00871250">
        <w:rPr>
          <w:sz w:val="22"/>
          <w:lang w:val="pl-PL"/>
        </w:rPr>
        <w:t xml:space="preserve"> stan dezorientacji</w:t>
      </w:r>
      <w:r w:rsidR="00F073E2">
        <w:rPr>
          <w:sz w:val="22"/>
          <w:lang w:val="pl-PL"/>
        </w:rPr>
        <w:t>,</w:t>
      </w:r>
      <w:r w:rsidR="008A79BE" w:rsidRPr="00871250">
        <w:rPr>
          <w:sz w:val="22"/>
          <w:lang w:val="pl-PL"/>
        </w:rPr>
        <w:t xml:space="preserve"> omamy</w:t>
      </w:r>
      <w:r w:rsidR="00F073E2">
        <w:rPr>
          <w:sz w:val="22"/>
          <w:lang w:val="pl-PL"/>
        </w:rPr>
        <w:t>,</w:t>
      </w:r>
      <w:r w:rsidR="008A79BE" w:rsidRPr="00871250">
        <w:rPr>
          <w:sz w:val="22"/>
          <w:lang w:val="pl-PL"/>
        </w:rPr>
        <w:t xml:space="preserve"> bóle stawów</w:t>
      </w:r>
      <w:r w:rsidR="00F073E2">
        <w:rPr>
          <w:sz w:val="22"/>
          <w:lang w:val="pl-PL"/>
        </w:rPr>
        <w:t>,</w:t>
      </w:r>
      <w:r w:rsidR="008A79BE" w:rsidRPr="00871250">
        <w:rPr>
          <w:sz w:val="22"/>
          <w:lang w:val="pl-PL"/>
        </w:rPr>
        <w:t xml:space="preserve"> bóle mięśniowe</w:t>
      </w:r>
      <w:r w:rsidR="00F073E2">
        <w:rPr>
          <w:sz w:val="22"/>
          <w:lang w:val="pl-PL"/>
        </w:rPr>
        <w:t>,</w:t>
      </w:r>
      <w:r w:rsidR="008A79BE" w:rsidRPr="00871250">
        <w:rPr>
          <w:sz w:val="22"/>
          <w:lang w:val="pl-PL"/>
        </w:rPr>
        <w:t xml:space="preserve"> zaburzenia smaku</w:t>
      </w:r>
      <w:r w:rsidR="00001800">
        <w:rPr>
          <w:sz w:val="22"/>
          <w:lang w:val="pl-PL"/>
        </w:rPr>
        <w:t xml:space="preserve"> lub utrata smaku</w:t>
      </w:r>
      <w:r w:rsidR="008A79BE" w:rsidRPr="00871250">
        <w:rPr>
          <w:sz w:val="22"/>
          <w:lang w:val="pl-PL"/>
        </w:rPr>
        <w:t>.</w:t>
      </w:r>
    </w:p>
    <w:p w:rsidR="004426C6" w:rsidRDefault="004426C6" w:rsidP="008A79BE">
      <w:pPr>
        <w:rPr>
          <w:sz w:val="22"/>
          <w:lang w:val="pl-PL"/>
        </w:rPr>
      </w:pPr>
    </w:p>
    <w:p w:rsidR="004426C6" w:rsidRPr="004426C6" w:rsidRDefault="004426C6" w:rsidP="004426C6">
      <w:pPr>
        <w:rPr>
          <w:sz w:val="22"/>
          <w:lang w:val="pl-PL"/>
        </w:rPr>
      </w:pPr>
      <w:r w:rsidRPr="004426C6">
        <w:rPr>
          <w:sz w:val="22"/>
          <w:lang w:val="pl-PL"/>
        </w:rPr>
        <w:t>Działania niepożądane o nieznanej częstości (częstość nie może być określona na podstawie dostępnych danych):</w:t>
      </w:r>
    </w:p>
    <w:p w:rsidR="008A79BE" w:rsidRDefault="004426C6" w:rsidP="004426C6">
      <w:pPr>
        <w:rPr>
          <w:sz w:val="22"/>
          <w:lang w:val="pl-PL"/>
        </w:rPr>
      </w:pPr>
      <w:r w:rsidRPr="004426C6">
        <w:rPr>
          <w:sz w:val="22"/>
          <w:lang w:val="pl-PL"/>
        </w:rPr>
        <w:t>Reakcje nadwrażliwości z bólem w klatce piersiowej lub bólem brzucha</w:t>
      </w:r>
      <w:r w:rsidR="00EA7166">
        <w:rPr>
          <w:sz w:val="22"/>
          <w:lang w:val="pl-PL"/>
        </w:rPr>
        <w:t>, utrzymujące się objawy niskiego stężenia cukru we krwi</w:t>
      </w:r>
      <w:r w:rsidRPr="004426C6">
        <w:rPr>
          <w:sz w:val="22"/>
          <w:lang w:val="pl-PL"/>
        </w:rPr>
        <w:t>.</w:t>
      </w:r>
    </w:p>
    <w:p w:rsidR="004426C6" w:rsidRDefault="004426C6" w:rsidP="004426C6">
      <w:pPr>
        <w:rPr>
          <w:sz w:val="22"/>
          <w:lang w:val="pl-PL"/>
        </w:rPr>
      </w:pPr>
    </w:p>
    <w:p w:rsidR="008A79BE" w:rsidRDefault="008A79BE" w:rsidP="008A79BE">
      <w:pPr>
        <w:rPr>
          <w:sz w:val="22"/>
          <w:lang w:val="pl-PL"/>
        </w:rPr>
      </w:pPr>
      <w:r>
        <w:rPr>
          <w:sz w:val="22"/>
          <w:lang w:val="pl-PL"/>
        </w:rPr>
        <w:t xml:space="preserve">Ponadto lekarz prowadzący może wykryć zmiany w </w:t>
      </w:r>
      <w:r w:rsidR="00F60900">
        <w:rPr>
          <w:sz w:val="22"/>
          <w:lang w:val="pl-PL"/>
        </w:rPr>
        <w:t xml:space="preserve">wynikach </w:t>
      </w:r>
      <w:r>
        <w:rPr>
          <w:sz w:val="22"/>
          <w:lang w:val="pl-PL"/>
        </w:rPr>
        <w:t>bada</w:t>
      </w:r>
      <w:r w:rsidR="00F60900">
        <w:rPr>
          <w:sz w:val="22"/>
          <w:lang w:val="pl-PL"/>
        </w:rPr>
        <w:t>ń</w:t>
      </w:r>
      <w:r>
        <w:rPr>
          <w:sz w:val="22"/>
          <w:lang w:val="pl-PL"/>
        </w:rPr>
        <w:t xml:space="preserve"> krwi lub moczu.</w:t>
      </w:r>
    </w:p>
    <w:p w:rsidR="008A79BE" w:rsidRDefault="008A79BE" w:rsidP="008A79BE">
      <w:pPr>
        <w:rPr>
          <w:sz w:val="22"/>
          <w:lang w:val="pl-PL"/>
        </w:rPr>
      </w:pPr>
    </w:p>
    <w:p w:rsidR="00A00944" w:rsidRPr="000F7CD8" w:rsidRDefault="00A00944" w:rsidP="00A00944">
      <w:pPr>
        <w:rPr>
          <w:b/>
          <w:bCs/>
          <w:sz w:val="22"/>
          <w:szCs w:val="22"/>
          <w:lang w:val="pl-PL"/>
        </w:rPr>
      </w:pPr>
      <w:r w:rsidRPr="000F7CD8">
        <w:rPr>
          <w:b/>
          <w:bCs/>
          <w:sz w:val="22"/>
          <w:szCs w:val="22"/>
          <w:lang w:val="pl-PL"/>
        </w:rPr>
        <w:t>Zgłaszanie działań niepożądanych</w:t>
      </w:r>
    </w:p>
    <w:p w:rsidR="00A00944" w:rsidRPr="000F7CD8" w:rsidRDefault="00A00944" w:rsidP="00A00944">
      <w:pPr>
        <w:rPr>
          <w:sz w:val="22"/>
          <w:szCs w:val="22"/>
          <w:lang w:val="pl-PL"/>
        </w:rPr>
      </w:pPr>
      <w:r w:rsidRPr="000F7CD8">
        <w:rPr>
          <w:sz w:val="22"/>
          <w:szCs w:val="22"/>
          <w:lang w:val="pl-PL"/>
        </w:rPr>
        <w:t xml:space="preserve">Jeśli wystąpią jakiekolwiek objawy niepożądane, w tym wszelkie objawy niepożądane niewymienione w ulotce, należy powiedzieć o tym lekarzowi lub farmaceucie. Działania niepożądane można zgłaszać bezpośrednio do </w:t>
      </w:r>
      <w:r w:rsidRPr="00AE05B3">
        <w:rPr>
          <w:sz w:val="22"/>
          <w:szCs w:val="22"/>
          <w:highlight w:val="lightGray"/>
          <w:lang w:val="pl-PL"/>
        </w:rPr>
        <w:t xml:space="preserve">krajowego systemu zgłaszania wymienionego w </w:t>
      </w:r>
      <w:hyperlink r:id="rId13" w:history="1">
        <w:r w:rsidR="00ED6517" w:rsidRPr="00AE05B3">
          <w:rPr>
            <w:color w:val="0000FF"/>
            <w:sz w:val="22"/>
            <w:highlight w:val="lightGray"/>
            <w:u w:val="single"/>
            <w:lang w:val="pl-PL" w:eastAsia="en-US"/>
          </w:rPr>
          <w:t>załączniku V</w:t>
        </w:r>
      </w:hyperlink>
      <w:r w:rsidRPr="000F7CD8">
        <w:rPr>
          <w:sz w:val="22"/>
          <w:szCs w:val="22"/>
          <w:lang w:val="pl-PL"/>
        </w:rPr>
        <w:t>.</w:t>
      </w:r>
    </w:p>
    <w:p w:rsidR="00A00944" w:rsidRPr="000F7CD8" w:rsidRDefault="00A00944" w:rsidP="00A00944">
      <w:pPr>
        <w:rPr>
          <w:sz w:val="22"/>
          <w:szCs w:val="22"/>
          <w:lang w:val="pl-PL"/>
        </w:rPr>
      </w:pPr>
      <w:r w:rsidRPr="000F7CD8">
        <w:rPr>
          <w:sz w:val="22"/>
          <w:szCs w:val="22"/>
          <w:lang w:val="pl-PL"/>
        </w:rPr>
        <w:t>Dzięki zgłaszaniu działań niepożądanych można będzie zgromadzić więcej informacji na temat bezpieczeństwa stosowania leku.</w:t>
      </w:r>
    </w:p>
    <w:p w:rsidR="008A79BE" w:rsidRDefault="008A79BE" w:rsidP="008A79BE">
      <w:pPr>
        <w:rPr>
          <w:sz w:val="22"/>
          <w:lang w:val="pl-PL"/>
        </w:rPr>
      </w:pPr>
    </w:p>
    <w:p w:rsidR="00157707" w:rsidRDefault="00157707" w:rsidP="008A79BE">
      <w:pPr>
        <w:rPr>
          <w:sz w:val="22"/>
          <w:lang w:val="pl-PL"/>
        </w:rPr>
      </w:pPr>
    </w:p>
    <w:p w:rsidR="008A79BE" w:rsidRDefault="008A79BE" w:rsidP="008A79BE">
      <w:pPr>
        <w:tabs>
          <w:tab w:val="left" w:pos="540"/>
        </w:tabs>
        <w:rPr>
          <w:b/>
          <w:sz w:val="22"/>
          <w:lang w:val="pl-PL"/>
        </w:rPr>
      </w:pPr>
      <w:r>
        <w:rPr>
          <w:b/>
          <w:sz w:val="22"/>
          <w:lang w:val="pl-PL"/>
        </w:rPr>
        <w:t>5.</w:t>
      </w:r>
      <w:r>
        <w:rPr>
          <w:b/>
          <w:sz w:val="22"/>
          <w:lang w:val="pl-PL"/>
        </w:rPr>
        <w:tab/>
      </w:r>
      <w:r w:rsidR="00A24480">
        <w:rPr>
          <w:b/>
          <w:sz w:val="22"/>
          <w:lang w:val="pl-PL"/>
        </w:rPr>
        <w:t>Jak przechowywać lek Plavix</w:t>
      </w:r>
    </w:p>
    <w:p w:rsidR="00157707" w:rsidRDefault="00157707" w:rsidP="008A79BE">
      <w:pPr>
        <w:tabs>
          <w:tab w:val="left" w:pos="540"/>
        </w:tabs>
        <w:rPr>
          <w:b/>
          <w:sz w:val="22"/>
          <w:lang w:val="pl-PL"/>
        </w:rPr>
      </w:pPr>
    </w:p>
    <w:p w:rsidR="008A79BE" w:rsidRDefault="00157707" w:rsidP="008A79BE">
      <w:pPr>
        <w:rPr>
          <w:sz w:val="22"/>
          <w:lang w:val="pl-PL"/>
        </w:rPr>
      </w:pPr>
      <w:r>
        <w:rPr>
          <w:sz w:val="22"/>
          <w:lang w:val="pl-PL"/>
        </w:rPr>
        <w:t>Lek należy p</w:t>
      </w:r>
      <w:r w:rsidR="008A79BE">
        <w:rPr>
          <w:sz w:val="22"/>
          <w:lang w:val="pl-PL"/>
        </w:rPr>
        <w:t xml:space="preserve">rzechowywać w miejscu </w:t>
      </w:r>
      <w:r w:rsidR="002C7FAE">
        <w:rPr>
          <w:sz w:val="22"/>
          <w:lang w:val="pl-PL"/>
        </w:rPr>
        <w:t xml:space="preserve">niewidocznym i </w:t>
      </w:r>
      <w:r w:rsidR="008A79BE">
        <w:rPr>
          <w:sz w:val="22"/>
          <w:lang w:val="pl-PL"/>
        </w:rPr>
        <w:t xml:space="preserve">niedostępnym dla dzieci. </w:t>
      </w:r>
    </w:p>
    <w:p w:rsidR="002C7FAE" w:rsidRDefault="002C7FAE" w:rsidP="008A79BE">
      <w:pPr>
        <w:pStyle w:val="BodyText3"/>
        <w:tabs>
          <w:tab w:val="clear" w:pos="567"/>
        </w:tabs>
        <w:rPr>
          <w:lang w:val="pl-PL"/>
        </w:rPr>
      </w:pPr>
    </w:p>
    <w:p w:rsidR="00CB2DE0" w:rsidRDefault="008A79BE" w:rsidP="008A79BE">
      <w:pPr>
        <w:pStyle w:val="BodyText3"/>
        <w:tabs>
          <w:tab w:val="clear" w:pos="567"/>
        </w:tabs>
        <w:rPr>
          <w:lang w:val="pl-PL"/>
        </w:rPr>
      </w:pPr>
      <w:r>
        <w:rPr>
          <w:lang w:val="pl-PL"/>
        </w:rPr>
        <w:t xml:space="preserve">Nie stosować </w:t>
      </w:r>
      <w:r w:rsidR="002C7FAE">
        <w:rPr>
          <w:lang w:val="pl-PL"/>
        </w:rPr>
        <w:t xml:space="preserve">tego </w:t>
      </w:r>
      <w:r>
        <w:rPr>
          <w:lang w:val="pl-PL"/>
        </w:rPr>
        <w:t xml:space="preserve">leku po upływie terminu ważności zamieszczonego na </w:t>
      </w:r>
      <w:r w:rsidR="00005C73">
        <w:rPr>
          <w:lang w:val="pl-PL"/>
        </w:rPr>
        <w:t>pudełku</w:t>
      </w:r>
      <w:r>
        <w:rPr>
          <w:lang w:val="pl-PL"/>
        </w:rPr>
        <w:t xml:space="preserve"> </w:t>
      </w:r>
      <w:r w:rsidR="00157707">
        <w:rPr>
          <w:lang w:val="pl-PL"/>
        </w:rPr>
        <w:t>tekturowym oraz</w:t>
      </w:r>
      <w:r>
        <w:rPr>
          <w:lang w:val="pl-PL"/>
        </w:rPr>
        <w:t xml:space="preserve"> na</w:t>
      </w:r>
      <w:r w:rsidR="000C73DF">
        <w:rPr>
          <w:lang w:val="pl-PL"/>
        </w:rPr>
        <w:t xml:space="preserve"> blistrze</w:t>
      </w:r>
      <w:r>
        <w:rPr>
          <w:lang w:val="pl-PL"/>
        </w:rPr>
        <w:t xml:space="preserve"> </w:t>
      </w:r>
      <w:r w:rsidR="003D55C6" w:rsidRPr="00713C98">
        <w:rPr>
          <w:szCs w:val="22"/>
          <w:lang w:val="pl-PL"/>
        </w:rPr>
        <w:t xml:space="preserve">po </w:t>
      </w:r>
      <w:r w:rsidR="00D95D34">
        <w:rPr>
          <w:szCs w:val="22"/>
          <w:lang w:val="pl-PL"/>
        </w:rPr>
        <w:t>„Termin waż</w:t>
      </w:r>
      <w:r w:rsidR="003D55C6">
        <w:rPr>
          <w:szCs w:val="22"/>
          <w:lang w:val="pl-PL"/>
        </w:rPr>
        <w:t>ności</w:t>
      </w:r>
      <w:r w:rsidR="00322B30">
        <w:rPr>
          <w:lang w:val="pl-PL"/>
        </w:rPr>
        <w:t xml:space="preserve"> </w:t>
      </w:r>
      <w:r w:rsidR="00D95D34">
        <w:rPr>
          <w:lang w:val="pl-PL"/>
        </w:rPr>
        <w:t>(</w:t>
      </w:r>
      <w:r w:rsidR="00322B30">
        <w:rPr>
          <w:lang w:val="pl-PL"/>
        </w:rPr>
        <w:t>EXP</w:t>
      </w:r>
      <w:r w:rsidR="00D95D34">
        <w:rPr>
          <w:lang w:val="pl-PL"/>
        </w:rPr>
        <w:t>)</w:t>
      </w:r>
      <w:r w:rsidR="00206466">
        <w:rPr>
          <w:lang w:val="pl-PL"/>
        </w:rPr>
        <w:t>:</w:t>
      </w:r>
      <w:r w:rsidR="00D95D34">
        <w:rPr>
          <w:lang w:val="pl-PL"/>
        </w:rPr>
        <w:t>”</w:t>
      </w:r>
      <w:r>
        <w:rPr>
          <w:lang w:val="pl-PL"/>
        </w:rPr>
        <w:t>.</w:t>
      </w:r>
      <w:r w:rsidR="00322B30">
        <w:rPr>
          <w:lang w:val="pl-PL"/>
        </w:rPr>
        <w:t xml:space="preserve"> </w:t>
      </w:r>
      <w:r w:rsidR="002C7FAE">
        <w:rPr>
          <w:lang w:val="pl-PL"/>
        </w:rPr>
        <w:t>Termin ważności oznacza ostatni dzień podanego miesiąca.</w:t>
      </w:r>
    </w:p>
    <w:p w:rsidR="002C7FAE" w:rsidRDefault="002C7FAE" w:rsidP="008A79BE">
      <w:pPr>
        <w:pStyle w:val="BodyText3"/>
        <w:tabs>
          <w:tab w:val="clear" w:pos="567"/>
        </w:tabs>
        <w:rPr>
          <w:lang w:val="pl-PL"/>
        </w:rPr>
      </w:pPr>
    </w:p>
    <w:p w:rsidR="00026D0E" w:rsidRDefault="00026D0E" w:rsidP="008A79BE">
      <w:pPr>
        <w:pStyle w:val="Footer"/>
        <w:rPr>
          <w:sz w:val="22"/>
          <w:lang w:val="pl-PL"/>
        </w:rPr>
      </w:pPr>
      <w:r>
        <w:rPr>
          <w:sz w:val="22"/>
          <w:lang w:val="pl-PL"/>
        </w:rPr>
        <w:t>Brak specjalnych zaleceń dotyczących przechowywania leku.</w:t>
      </w:r>
    </w:p>
    <w:p w:rsidR="00026D0E" w:rsidRDefault="00026D0E" w:rsidP="008A79BE">
      <w:pPr>
        <w:pStyle w:val="Footer"/>
        <w:rPr>
          <w:sz w:val="22"/>
          <w:lang w:val="pl-PL"/>
        </w:rPr>
      </w:pPr>
    </w:p>
    <w:p w:rsidR="008A79BE" w:rsidRDefault="008A79BE" w:rsidP="008A79BE">
      <w:pPr>
        <w:pStyle w:val="Footer"/>
        <w:rPr>
          <w:sz w:val="22"/>
          <w:lang w:val="pl-PL"/>
        </w:rPr>
      </w:pPr>
      <w:r>
        <w:rPr>
          <w:sz w:val="22"/>
          <w:lang w:val="pl-PL"/>
        </w:rPr>
        <w:t xml:space="preserve">Nie stosować </w:t>
      </w:r>
      <w:r w:rsidR="00447D3D">
        <w:rPr>
          <w:sz w:val="22"/>
          <w:lang w:val="pl-PL"/>
        </w:rPr>
        <w:t xml:space="preserve">tego </w:t>
      </w:r>
      <w:r>
        <w:rPr>
          <w:sz w:val="22"/>
          <w:lang w:val="pl-PL"/>
        </w:rPr>
        <w:t xml:space="preserve">leku, jeśli </w:t>
      </w:r>
      <w:r w:rsidR="00D13CBD">
        <w:rPr>
          <w:sz w:val="22"/>
          <w:lang w:val="pl-PL"/>
        </w:rPr>
        <w:t xml:space="preserve">zauważy się </w:t>
      </w:r>
      <w:r>
        <w:rPr>
          <w:sz w:val="22"/>
          <w:lang w:val="pl-PL"/>
        </w:rPr>
        <w:t>widoczne oznaki zepsucia.</w:t>
      </w:r>
    </w:p>
    <w:p w:rsidR="008A79BE" w:rsidRDefault="008A79BE" w:rsidP="008A79BE">
      <w:pPr>
        <w:pStyle w:val="Footer"/>
        <w:rPr>
          <w:sz w:val="22"/>
          <w:lang w:val="pl-PL"/>
        </w:rPr>
      </w:pPr>
    </w:p>
    <w:p w:rsidR="008A79BE" w:rsidRDefault="008A79BE" w:rsidP="008A79BE">
      <w:pPr>
        <w:pStyle w:val="Footer"/>
        <w:rPr>
          <w:sz w:val="22"/>
          <w:lang w:val="pl-PL"/>
        </w:rPr>
      </w:pPr>
      <w:r>
        <w:rPr>
          <w:sz w:val="22"/>
          <w:lang w:val="pl-PL"/>
        </w:rPr>
        <w:t>Leków nie należy w</w:t>
      </w:r>
      <w:r w:rsidR="00104776">
        <w:rPr>
          <w:sz w:val="22"/>
          <w:lang w:val="pl-PL"/>
        </w:rPr>
        <w:t>y</w:t>
      </w:r>
      <w:r>
        <w:rPr>
          <w:sz w:val="22"/>
          <w:lang w:val="pl-PL"/>
        </w:rPr>
        <w:t xml:space="preserve">rzucać do kanalizacji </w:t>
      </w:r>
      <w:r w:rsidR="00D13CBD">
        <w:rPr>
          <w:sz w:val="22"/>
          <w:lang w:val="pl-PL"/>
        </w:rPr>
        <w:t>ani</w:t>
      </w:r>
      <w:r>
        <w:rPr>
          <w:sz w:val="22"/>
          <w:lang w:val="pl-PL"/>
        </w:rPr>
        <w:t xml:space="preserve"> domowych pojemników na odpadki. Należy zapytać farmaceutę</w:t>
      </w:r>
      <w:r w:rsidR="00157707">
        <w:rPr>
          <w:sz w:val="22"/>
          <w:lang w:val="pl-PL"/>
        </w:rPr>
        <w:t>,</w:t>
      </w:r>
      <w:r>
        <w:rPr>
          <w:sz w:val="22"/>
          <w:lang w:val="pl-PL"/>
        </w:rPr>
        <w:t xml:space="preserve"> </w:t>
      </w:r>
      <w:r w:rsidR="00D13CBD">
        <w:rPr>
          <w:sz w:val="22"/>
          <w:lang w:val="pl-PL"/>
        </w:rPr>
        <w:t>jak usunąć leki</w:t>
      </w:r>
      <w:r>
        <w:rPr>
          <w:sz w:val="22"/>
          <w:lang w:val="pl-PL"/>
        </w:rPr>
        <w:t>, których się już nie</w:t>
      </w:r>
      <w:r w:rsidR="00157707">
        <w:rPr>
          <w:sz w:val="22"/>
          <w:lang w:val="pl-PL"/>
        </w:rPr>
        <w:t xml:space="preserve"> używa</w:t>
      </w:r>
      <w:r>
        <w:rPr>
          <w:sz w:val="22"/>
          <w:lang w:val="pl-PL"/>
        </w:rPr>
        <w:t>. Takie postępowanie pomoże chronić środowisko.</w:t>
      </w:r>
    </w:p>
    <w:p w:rsidR="008A79BE" w:rsidRDefault="008A79BE" w:rsidP="008A79BE">
      <w:pPr>
        <w:pStyle w:val="BodyText"/>
        <w:jc w:val="left"/>
        <w:rPr>
          <w:rFonts w:ascii="Times New Roman" w:hAnsi="Times New Roman"/>
          <w:b/>
          <w:sz w:val="22"/>
        </w:rPr>
      </w:pPr>
    </w:p>
    <w:p w:rsidR="008A79BE" w:rsidRDefault="008A79BE" w:rsidP="008A79BE">
      <w:pPr>
        <w:pStyle w:val="BodyText"/>
        <w:jc w:val="left"/>
        <w:rPr>
          <w:rFonts w:ascii="Times New Roman" w:hAnsi="Times New Roman"/>
          <w:b/>
          <w:sz w:val="22"/>
        </w:rPr>
      </w:pPr>
    </w:p>
    <w:p w:rsidR="008A79BE" w:rsidRDefault="008A79BE" w:rsidP="00B00BB6">
      <w:pPr>
        <w:pStyle w:val="BodyText"/>
        <w:tabs>
          <w:tab w:val="left" w:pos="540"/>
        </w:tabs>
        <w:jc w:val="left"/>
        <w:rPr>
          <w:rFonts w:ascii="Times New Roman" w:hAnsi="Times New Roman"/>
          <w:b/>
          <w:sz w:val="22"/>
        </w:rPr>
      </w:pPr>
      <w:r>
        <w:rPr>
          <w:rFonts w:ascii="Times New Roman" w:hAnsi="Times New Roman"/>
          <w:b/>
          <w:sz w:val="22"/>
        </w:rPr>
        <w:t>6.</w:t>
      </w:r>
      <w:r>
        <w:rPr>
          <w:rFonts w:ascii="Times New Roman" w:hAnsi="Times New Roman"/>
          <w:b/>
          <w:sz w:val="22"/>
        </w:rPr>
        <w:tab/>
      </w:r>
      <w:r w:rsidR="002C7FAE">
        <w:rPr>
          <w:rFonts w:ascii="Times New Roman" w:hAnsi="Times New Roman"/>
          <w:b/>
          <w:sz w:val="22"/>
        </w:rPr>
        <w:t>Zawartość opakowania i inne informacje</w:t>
      </w:r>
    </w:p>
    <w:p w:rsidR="008A79BE" w:rsidRDefault="008A79BE" w:rsidP="00B00BB6">
      <w:pPr>
        <w:pStyle w:val="BodyText"/>
        <w:jc w:val="left"/>
        <w:rPr>
          <w:rFonts w:ascii="Times New Roman" w:hAnsi="Times New Roman"/>
          <w:b/>
          <w:sz w:val="22"/>
        </w:rPr>
      </w:pPr>
    </w:p>
    <w:p w:rsidR="008A79BE" w:rsidRDefault="008A79BE" w:rsidP="00B00BB6">
      <w:pPr>
        <w:pStyle w:val="BodyText"/>
        <w:jc w:val="left"/>
        <w:rPr>
          <w:rFonts w:ascii="Times New Roman" w:hAnsi="Times New Roman"/>
          <w:b/>
          <w:sz w:val="22"/>
        </w:rPr>
      </w:pPr>
      <w:r>
        <w:rPr>
          <w:rFonts w:ascii="Times New Roman" w:hAnsi="Times New Roman"/>
          <w:b/>
          <w:sz w:val="22"/>
        </w:rPr>
        <w:t>Co zawiera lek Plavix</w:t>
      </w:r>
    </w:p>
    <w:p w:rsidR="008A79BE" w:rsidRDefault="008A79BE" w:rsidP="00B00BB6">
      <w:pPr>
        <w:pStyle w:val="BodyText3"/>
        <w:tabs>
          <w:tab w:val="clear" w:pos="567"/>
        </w:tabs>
        <w:rPr>
          <w:lang w:val="pl-PL"/>
        </w:rPr>
      </w:pPr>
      <w:r>
        <w:rPr>
          <w:lang w:val="pl-PL"/>
        </w:rPr>
        <w:t>Substancją czynną leku jest klopidogrel. Każda tabletka zawiera 300 mg klopidogrelu (w</w:t>
      </w:r>
      <w:r w:rsidR="00CB2DE0" w:rsidRPr="00CD2AE9">
        <w:rPr>
          <w:szCs w:val="22"/>
          <w:lang w:val="pl-PL"/>
        </w:rPr>
        <w:t> </w:t>
      </w:r>
      <w:r>
        <w:rPr>
          <w:lang w:val="pl-PL"/>
        </w:rPr>
        <w:t>postaci</w:t>
      </w:r>
      <w:r w:rsidR="00CB2DE0" w:rsidRPr="00CD2AE9">
        <w:rPr>
          <w:szCs w:val="22"/>
          <w:lang w:val="pl-PL"/>
        </w:rPr>
        <w:t> </w:t>
      </w:r>
      <w:r>
        <w:rPr>
          <w:lang w:val="pl-PL"/>
        </w:rPr>
        <w:t>wodorosiarczanu).</w:t>
      </w:r>
    </w:p>
    <w:p w:rsidR="008A79BE" w:rsidRDefault="008A79BE" w:rsidP="00B00BB6">
      <w:pPr>
        <w:rPr>
          <w:sz w:val="22"/>
          <w:lang w:val="pl-PL"/>
        </w:rPr>
      </w:pPr>
    </w:p>
    <w:p w:rsidR="00B647D2" w:rsidRDefault="004D4634" w:rsidP="00B00BB6">
      <w:pPr>
        <w:tabs>
          <w:tab w:val="left" w:pos="567"/>
        </w:tabs>
        <w:rPr>
          <w:sz w:val="22"/>
          <w:lang w:val="pl-PL"/>
        </w:rPr>
      </w:pPr>
      <w:r>
        <w:rPr>
          <w:sz w:val="22"/>
          <w:lang w:val="pl-PL"/>
        </w:rPr>
        <w:t xml:space="preserve">Pozostałe </w:t>
      </w:r>
      <w:r w:rsidR="008A79BE">
        <w:rPr>
          <w:sz w:val="22"/>
          <w:lang w:val="pl-PL"/>
        </w:rPr>
        <w:t>składniki to</w:t>
      </w:r>
      <w:r w:rsidR="002C7FAE">
        <w:rPr>
          <w:sz w:val="22"/>
          <w:lang w:val="pl-PL"/>
        </w:rPr>
        <w:t xml:space="preserve"> (patrz punkt 2 „Plavix zawiera laktozę” i „Plavix zawiera olej rycynowy</w:t>
      </w:r>
      <w:r w:rsidR="00EF7990" w:rsidRPr="00EF7990">
        <w:rPr>
          <w:sz w:val="22"/>
          <w:lang w:val="pl-PL"/>
        </w:rPr>
        <w:t xml:space="preserve"> </w:t>
      </w:r>
      <w:r w:rsidR="00EF7990">
        <w:rPr>
          <w:sz w:val="22"/>
          <w:lang w:val="pl-PL"/>
        </w:rPr>
        <w:t>uwodorniony</w:t>
      </w:r>
      <w:r w:rsidR="002C7FAE">
        <w:rPr>
          <w:sz w:val="22"/>
          <w:lang w:val="pl-PL"/>
        </w:rPr>
        <w:t>”)</w:t>
      </w:r>
      <w:r w:rsidR="008A79BE">
        <w:rPr>
          <w:sz w:val="22"/>
          <w:lang w:val="pl-PL"/>
        </w:rPr>
        <w:t>:</w:t>
      </w:r>
    </w:p>
    <w:p w:rsidR="004D4634" w:rsidRDefault="004D4634" w:rsidP="00B00BB6">
      <w:pPr>
        <w:numPr>
          <w:ilvl w:val="0"/>
          <w:numId w:val="59"/>
        </w:numPr>
        <w:tabs>
          <w:tab w:val="left" w:pos="567"/>
        </w:tabs>
        <w:ind w:left="567" w:hanging="567"/>
        <w:rPr>
          <w:sz w:val="22"/>
          <w:lang w:val="pl-PL"/>
        </w:rPr>
      </w:pPr>
      <w:r>
        <w:rPr>
          <w:sz w:val="22"/>
          <w:lang w:val="pl-PL"/>
        </w:rPr>
        <w:t>R</w:t>
      </w:r>
      <w:r w:rsidR="00B647D2">
        <w:rPr>
          <w:sz w:val="22"/>
          <w:lang w:val="pl-PL"/>
        </w:rPr>
        <w:t>dze</w:t>
      </w:r>
      <w:r w:rsidR="00CB2DE0">
        <w:rPr>
          <w:sz w:val="22"/>
          <w:lang w:val="pl-PL"/>
        </w:rPr>
        <w:t>ń</w:t>
      </w:r>
      <w:r w:rsidR="00B647D2">
        <w:rPr>
          <w:sz w:val="22"/>
          <w:lang w:val="pl-PL"/>
        </w:rPr>
        <w:t xml:space="preserve"> tabletki: </w:t>
      </w:r>
      <w:r w:rsidR="008A79BE">
        <w:rPr>
          <w:sz w:val="22"/>
          <w:lang w:val="pl-PL"/>
        </w:rPr>
        <w:t>mannitol (E</w:t>
      </w:r>
      <w:r w:rsidR="00A21FD8">
        <w:rPr>
          <w:sz w:val="22"/>
          <w:lang w:val="pl-PL"/>
        </w:rPr>
        <w:t xml:space="preserve"> </w:t>
      </w:r>
      <w:r w:rsidR="008A79BE">
        <w:rPr>
          <w:sz w:val="22"/>
          <w:lang w:val="pl-PL"/>
        </w:rPr>
        <w:t>421), olej rycynowy uwodorniony, celuloza mikrokrystaliczna, makrogol 6000 i hydroksypropyloceluloza</w:t>
      </w:r>
      <w:r w:rsidR="00D9789E">
        <w:rPr>
          <w:sz w:val="22"/>
          <w:lang w:val="pl-PL"/>
        </w:rPr>
        <w:t xml:space="preserve"> </w:t>
      </w:r>
      <w:r w:rsidR="008A79BE">
        <w:rPr>
          <w:sz w:val="22"/>
          <w:lang w:val="pl-PL"/>
        </w:rPr>
        <w:t xml:space="preserve">niskopodstawiona, </w:t>
      </w:r>
    </w:p>
    <w:p w:rsidR="004D4634" w:rsidRPr="004D4634" w:rsidRDefault="004D4634" w:rsidP="00B00BB6">
      <w:pPr>
        <w:numPr>
          <w:ilvl w:val="0"/>
          <w:numId w:val="59"/>
        </w:numPr>
        <w:tabs>
          <w:tab w:val="left" w:pos="567"/>
        </w:tabs>
        <w:ind w:left="567" w:hanging="567"/>
        <w:rPr>
          <w:sz w:val="22"/>
          <w:lang w:val="pl-PL"/>
        </w:rPr>
      </w:pPr>
      <w:r>
        <w:rPr>
          <w:sz w:val="22"/>
          <w:lang w:val="pl-PL"/>
        </w:rPr>
        <w:t>O</w:t>
      </w:r>
      <w:r w:rsidR="00B647D2" w:rsidRPr="004D4634">
        <w:rPr>
          <w:sz w:val="22"/>
          <w:lang w:val="pl-PL"/>
        </w:rPr>
        <w:t xml:space="preserve">toczka: </w:t>
      </w:r>
      <w:r w:rsidR="008A79BE" w:rsidRPr="004D4634">
        <w:rPr>
          <w:sz w:val="22"/>
          <w:lang w:val="pl-PL"/>
        </w:rPr>
        <w:t xml:space="preserve">laktoza </w:t>
      </w:r>
      <w:r w:rsidR="00B647D2" w:rsidRPr="004D4634">
        <w:rPr>
          <w:sz w:val="22"/>
          <w:lang w:val="pl-PL"/>
        </w:rPr>
        <w:t xml:space="preserve">jednowodna </w:t>
      </w:r>
      <w:r w:rsidR="008A79BE" w:rsidRPr="004D4634">
        <w:rPr>
          <w:sz w:val="22"/>
          <w:lang w:val="pl-PL"/>
        </w:rPr>
        <w:t>(cukier mleczny), hypromeloza (E</w:t>
      </w:r>
      <w:r w:rsidR="00A21FD8" w:rsidRPr="004D4634">
        <w:rPr>
          <w:sz w:val="22"/>
          <w:lang w:val="pl-PL"/>
        </w:rPr>
        <w:t xml:space="preserve"> </w:t>
      </w:r>
      <w:r w:rsidR="008A79BE" w:rsidRPr="004D4634">
        <w:rPr>
          <w:sz w:val="22"/>
          <w:lang w:val="pl-PL"/>
        </w:rPr>
        <w:t>464), triacetyna (E</w:t>
      </w:r>
      <w:r w:rsidR="00A21FD8" w:rsidRPr="004D4634">
        <w:rPr>
          <w:sz w:val="22"/>
          <w:lang w:val="pl-PL"/>
        </w:rPr>
        <w:t xml:space="preserve"> </w:t>
      </w:r>
      <w:r w:rsidR="008A79BE" w:rsidRPr="004D4634">
        <w:rPr>
          <w:sz w:val="22"/>
          <w:lang w:val="pl-PL"/>
        </w:rPr>
        <w:t>1518), żelaza tlenek czerwony (E</w:t>
      </w:r>
      <w:r w:rsidR="00A21FD8" w:rsidRPr="004D4634">
        <w:rPr>
          <w:sz w:val="22"/>
          <w:lang w:val="pl-PL"/>
        </w:rPr>
        <w:t xml:space="preserve"> </w:t>
      </w:r>
      <w:r w:rsidR="008A79BE" w:rsidRPr="004D4634">
        <w:rPr>
          <w:sz w:val="22"/>
          <w:lang w:val="pl-PL"/>
        </w:rPr>
        <w:t>172), tytanu dwutlenek (E</w:t>
      </w:r>
      <w:r w:rsidR="00A21FD8" w:rsidRPr="00D0310C">
        <w:rPr>
          <w:sz w:val="22"/>
          <w:lang w:val="pl-PL"/>
        </w:rPr>
        <w:t xml:space="preserve"> </w:t>
      </w:r>
      <w:r w:rsidR="008A79BE" w:rsidRPr="00D0310C">
        <w:rPr>
          <w:sz w:val="22"/>
          <w:lang w:val="pl-PL"/>
        </w:rPr>
        <w:t>171)</w:t>
      </w:r>
      <w:r w:rsidR="00B647D2" w:rsidRPr="00D0310C">
        <w:rPr>
          <w:sz w:val="22"/>
          <w:lang w:val="pl-PL"/>
        </w:rPr>
        <w:t>,</w:t>
      </w:r>
    </w:p>
    <w:p w:rsidR="008A79BE" w:rsidRPr="004D4634" w:rsidRDefault="004D4634" w:rsidP="00B00BB6">
      <w:pPr>
        <w:numPr>
          <w:ilvl w:val="0"/>
          <w:numId w:val="59"/>
        </w:numPr>
        <w:tabs>
          <w:tab w:val="left" w:pos="567"/>
        </w:tabs>
        <w:ind w:left="567" w:hanging="567"/>
        <w:rPr>
          <w:sz w:val="22"/>
          <w:szCs w:val="22"/>
          <w:lang w:val="pl-PL"/>
        </w:rPr>
      </w:pPr>
      <w:r>
        <w:rPr>
          <w:sz w:val="22"/>
          <w:lang w:val="pl-PL"/>
        </w:rPr>
        <w:t>S</w:t>
      </w:r>
      <w:r w:rsidR="00B647D2" w:rsidRPr="004D4634">
        <w:rPr>
          <w:sz w:val="22"/>
          <w:lang w:val="pl-PL"/>
        </w:rPr>
        <w:t>ubstancja nabłyszczająca:</w:t>
      </w:r>
      <w:r w:rsidR="008A79BE" w:rsidRPr="004D4634">
        <w:rPr>
          <w:sz w:val="22"/>
          <w:szCs w:val="22"/>
          <w:lang w:val="pl-PL"/>
        </w:rPr>
        <w:t xml:space="preserve"> wosk </w:t>
      </w:r>
      <w:r w:rsidR="003B486E">
        <w:rPr>
          <w:sz w:val="22"/>
          <w:szCs w:val="22"/>
          <w:lang w:val="pl-PL"/>
        </w:rPr>
        <w:t>C</w:t>
      </w:r>
      <w:r w:rsidR="008A79BE" w:rsidRPr="004D4634">
        <w:rPr>
          <w:sz w:val="22"/>
          <w:szCs w:val="22"/>
          <w:lang w:val="pl-PL"/>
        </w:rPr>
        <w:t>arnauba.</w:t>
      </w:r>
    </w:p>
    <w:p w:rsidR="008A79BE" w:rsidRDefault="008A79BE" w:rsidP="008A79BE">
      <w:pPr>
        <w:pStyle w:val="BodyText"/>
        <w:jc w:val="left"/>
        <w:rPr>
          <w:rFonts w:ascii="Times New Roman" w:hAnsi="Times New Roman"/>
          <w:sz w:val="22"/>
        </w:rPr>
      </w:pPr>
    </w:p>
    <w:p w:rsidR="008A79BE" w:rsidRDefault="008A79BE" w:rsidP="00022436">
      <w:pPr>
        <w:pStyle w:val="BodyText"/>
        <w:keepNext/>
        <w:jc w:val="left"/>
        <w:rPr>
          <w:rFonts w:ascii="Times New Roman" w:hAnsi="Times New Roman"/>
          <w:b/>
          <w:bCs/>
          <w:sz w:val="22"/>
        </w:rPr>
      </w:pPr>
      <w:r>
        <w:rPr>
          <w:rFonts w:ascii="Times New Roman" w:hAnsi="Times New Roman"/>
          <w:b/>
          <w:bCs/>
          <w:sz w:val="22"/>
        </w:rPr>
        <w:t xml:space="preserve">Jak wygląda lek </w:t>
      </w:r>
      <w:r>
        <w:rPr>
          <w:rFonts w:ascii="Times New Roman" w:hAnsi="Times New Roman"/>
          <w:b/>
          <w:sz w:val="22"/>
        </w:rPr>
        <w:t>Plavix</w:t>
      </w:r>
      <w:r>
        <w:rPr>
          <w:rFonts w:ascii="Times New Roman" w:hAnsi="Times New Roman"/>
          <w:b/>
          <w:bCs/>
          <w:sz w:val="22"/>
        </w:rPr>
        <w:t xml:space="preserve"> i co zawiera opakowanie</w:t>
      </w:r>
    </w:p>
    <w:p w:rsidR="008A79BE" w:rsidRDefault="008A79BE" w:rsidP="00022436">
      <w:pPr>
        <w:pStyle w:val="BodyText"/>
        <w:keepNext/>
        <w:jc w:val="left"/>
        <w:rPr>
          <w:rFonts w:ascii="Times New Roman" w:hAnsi="Times New Roman"/>
          <w:b/>
          <w:bCs/>
          <w:sz w:val="22"/>
        </w:rPr>
      </w:pPr>
    </w:p>
    <w:p w:rsidR="0091721A" w:rsidRDefault="008A79BE" w:rsidP="008A79BE">
      <w:pPr>
        <w:rPr>
          <w:sz w:val="22"/>
          <w:lang w:val="pl-PL"/>
        </w:rPr>
      </w:pPr>
      <w:r>
        <w:rPr>
          <w:sz w:val="22"/>
          <w:lang w:val="pl-PL"/>
        </w:rPr>
        <w:t xml:space="preserve">Tabletki </w:t>
      </w:r>
      <w:r w:rsidR="005D2898">
        <w:rPr>
          <w:sz w:val="22"/>
          <w:lang w:val="pl-PL"/>
        </w:rPr>
        <w:t xml:space="preserve">powlekane </w:t>
      </w:r>
      <w:r>
        <w:rPr>
          <w:sz w:val="22"/>
          <w:lang w:val="pl-PL"/>
        </w:rPr>
        <w:t xml:space="preserve">leku Plavix 300 mg są podłużne, różowe, z wytłoczoną liczbą ‘300’ na jednej stronie i liczbą ‘1332’ na drugiej stronie. </w:t>
      </w:r>
      <w:r w:rsidR="005D2898">
        <w:rPr>
          <w:sz w:val="22"/>
          <w:lang w:val="pl-PL"/>
        </w:rPr>
        <w:t>Lek Plavix jest</w:t>
      </w:r>
      <w:r>
        <w:rPr>
          <w:sz w:val="22"/>
          <w:lang w:val="pl-PL"/>
        </w:rPr>
        <w:t xml:space="preserve"> pakowan</w:t>
      </w:r>
      <w:r w:rsidR="005D2898">
        <w:rPr>
          <w:sz w:val="22"/>
          <w:lang w:val="pl-PL"/>
        </w:rPr>
        <w:t>y</w:t>
      </w:r>
      <w:r>
        <w:rPr>
          <w:sz w:val="22"/>
          <w:lang w:val="pl-PL"/>
        </w:rPr>
        <w:t xml:space="preserve"> w pudełka tekturowe zawierające 4</w:t>
      </w:r>
      <w:r w:rsidR="00F33BCA">
        <w:rPr>
          <w:sz w:val="22"/>
          <w:lang w:val="pl-PL"/>
        </w:rPr>
        <w:t>x1</w:t>
      </w:r>
      <w:r>
        <w:rPr>
          <w:sz w:val="22"/>
          <w:lang w:val="pl-PL"/>
        </w:rPr>
        <w:t xml:space="preserve">, </w:t>
      </w:r>
      <w:r w:rsidR="001875D1">
        <w:rPr>
          <w:sz w:val="22"/>
          <w:lang w:val="pl-PL"/>
        </w:rPr>
        <w:t>10</w:t>
      </w:r>
      <w:r w:rsidR="00F33BCA">
        <w:rPr>
          <w:sz w:val="22"/>
          <w:lang w:val="pl-PL"/>
        </w:rPr>
        <w:t>x1</w:t>
      </w:r>
      <w:r w:rsidR="001875D1">
        <w:rPr>
          <w:sz w:val="22"/>
          <w:lang w:val="pl-PL"/>
        </w:rPr>
        <w:t xml:space="preserve">, </w:t>
      </w:r>
      <w:r>
        <w:rPr>
          <w:sz w:val="22"/>
          <w:lang w:val="pl-PL"/>
        </w:rPr>
        <w:t>30</w:t>
      </w:r>
      <w:r w:rsidR="00F33BCA">
        <w:rPr>
          <w:sz w:val="22"/>
          <w:lang w:val="pl-PL"/>
        </w:rPr>
        <w:t>x1</w:t>
      </w:r>
      <w:r>
        <w:rPr>
          <w:sz w:val="22"/>
          <w:lang w:val="pl-PL"/>
        </w:rPr>
        <w:t xml:space="preserve"> i 100</w:t>
      </w:r>
      <w:r w:rsidR="00F33BCA">
        <w:rPr>
          <w:sz w:val="22"/>
          <w:lang w:val="pl-PL"/>
        </w:rPr>
        <w:t>x1</w:t>
      </w:r>
      <w:r>
        <w:rPr>
          <w:sz w:val="22"/>
          <w:lang w:val="pl-PL"/>
        </w:rPr>
        <w:t xml:space="preserve"> tabletk</w:t>
      </w:r>
      <w:r w:rsidR="00F33BCA">
        <w:rPr>
          <w:sz w:val="22"/>
          <w:lang w:val="pl-PL"/>
        </w:rPr>
        <w:t>a</w:t>
      </w:r>
      <w:r>
        <w:rPr>
          <w:sz w:val="22"/>
          <w:lang w:val="pl-PL"/>
        </w:rPr>
        <w:t xml:space="preserve"> w jednostkowych blistrach z aluminium.</w:t>
      </w:r>
    </w:p>
    <w:p w:rsidR="0091721A" w:rsidRDefault="0091721A" w:rsidP="008A79BE">
      <w:pPr>
        <w:rPr>
          <w:sz w:val="22"/>
          <w:lang w:val="pl-PL"/>
        </w:rPr>
      </w:pPr>
    </w:p>
    <w:p w:rsidR="008A79BE" w:rsidRDefault="008A79BE" w:rsidP="008A79BE">
      <w:pPr>
        <w:rPr>
          <w:sz w:val="22"/>
          <w:lang w:val="pl-PL"/>
        </w:rPr>
      </w:pPr>
      <w:r>
        <w:rPr>
          <w:sz w:val="22"/>
          <w:lang w:val="pl-PL"/>
        </w:rPr>
        <w:t xml:space="preserve">Nie wszystkie </w:t>
      </w:r>
      <w:r w:rsidR="00D13CBD">
        <w:rPr>
          <w:sz w:val="22"/>
          <w:lang w:val="pl-PL"/>
        </w:rPr>
        <w:t>wielkości</w:t>
      </w:r>
      <w:r>
        <w:rPr>
          <w:sz w:val="22"/>
          <w:lang w:val="pl-PL"/>
        </w:rPr>
        <w:t xml:space="preserve"> opakowań muszą znajdować się w obrocie.</w:t>
      </w:r>
    </w:p>
    <w:p w:rsidR="008A79BE" w:rsidRDefault="008A79BE" w:rsidP="008A79BE">
      <w:pPr>
        <w:pStyle w:val="Heading5"/>
        <w:rPr>
          <w:bCs/>
        </w:rPr>
      </w:pPr>
    </w:p>
    <w:p w:rsidR="008A79BE" w:rsidRPr="00AB1A48" w:rsidRDefault="008A79BE" w:rsidP="008A79BE">
      <w:pPr>
        <w:pStyle w:val="Heading5"/>
        <w:rPr>
          <w:b w:val="0"/>
          <w:bCs/>
        </w:rPr>
      </w:pPr>
      <w:r w:rsidRPr="00A64B0E">
        <w:rPr>
          <w:bCs/>
        </w:rPr>
        <w:t>Podmiot odpowiedzialny</w:t>
      </w:r>
    </w:p>
    <w:p w:rsidR="008A79BE" w:rsidRPr="002E46E0" w:rsidRDefault="002E46E0" w:rsidP="008A79BE">
      <w:pPr>
        <w:rPr>
          <w:sz w:val="22"/>
        </w:rPr>
      </w:pPr>
      <w:r w:rsidRPr="00925BA3">
        <w:rPr>
          <w:sz w:val="22"/>
          <w:szCs w:val="22"/>
          <w:lang w:val="fr-FR"/>
        </w:rPr>
        <w:t>sanofi-aventis groupe</w:t>
      </w:r>
    </w:p>
    <w:p w:rsidR="00AF0AFC" w:rsidRDefault="00AF0AFC" w:rsidP="00AF0AFC">
      <w:pPr>
        <w:rPr>
          <w:sz w:val="22"/>
          <w:lang w:val="fr-FR"/>
        </w:rPr>
      </w:pPr>
      <w:r>
        <w:rPr>
          <w:sz w:val="22"/>
          <w:szCs w:val="22"/>
          <w:lang w:val="fr-FR"/>
        </w:rPr>
        <w:t>54, rue La Bo</w:t>
      </w:r>
      <w:r w:rsidRPr="00327821">
        <w:rPr>
          <w:sz w:val="22"/>
          <w:szCs w:val="22"/>
          <w:lang w:val="fr-FR"/>
        </w:rPr>
        <w:t>é</w:t>
      </w:r>
      <w:r>
        <w:rPr>
          <w:sz w:val="22"/>
          <w:szCs w:val="22"/>
          <w:lang w:val="fr-FR"/>
        </w:rPr>
        <w:t xml:space="preserve">tie F-75008 </w:t>
      </w:r>
      <w:r w:rsidR="003B486E">
        <w:rPr>
          <w:sz w:val="22"/>
          <w:lang w:val="fr-FR"/>
        </w:rPr>
        <w:t xml:space="preserve">Paris </w:t>
      </w:r>
    </w:p>
    <w:p w:rsidR="008A79BE" w:rsidRDefault="008A79BE" w:rsidP="00AF0AFC">
      <w:pPr>
        <w:rPr>
          <w:sz w:val="22"/>
          <w:lang w:val="fr-FR"/>
        </w:rPr>
      </w:pPr>
      <w:r>
        <w:rPr>
          <w:sz w:val="22"/>
          <w:lang w:val="fr-FR"/>
        </w:rPr>
        <w:t>Francja</w:t>
      </w:r>
    </w:p>
    <w:p w:rsidR="007225E0" w:rsidRPr="007225E0" w:rsidRDefault="007225E0" w:rsidP="007225E0">
      <w:pPr>
        <w:rPr>
          <w:lang w:val="fr-FR"/>
        </w:rPr>
      </w:pPr>
    </w:p>
    <w:p w:rsidR="008A79BE" w:rsidRPr="008A79BE" w:rsidRDefault="008A79BE" w:rsidP="008A79BE">
      <w:pPr>
        <w:pStyle w:val="Heading5"/>
        <w:rPr>
          <w:bCs/>
          <w:lang w:val="fr-FR"/>
        </w:rPr>
      </w:pPr>
      <w:r w:rsidRPr="008A79BE">
        <w:rPr>
          <w:bCs/>
          <w:lang w:val="fr-FR"/>
        </w:rPr>
        <w:t>Wytwórc</w:t>
      </w:r>
      <w:r w:rsidR="002C7FAE">
        <w:rPr>
          <w:bCs/>
          <w:lang w:val="fr-FR"/>
        </w:rPr>
        <w:t>a</w:t>
      </w:r>
    </w:p>
    <w:p w:rsidR="008A79BE" w:rsidRPr="00A26D01" w:rsidRDefault="008A79BE" w:rsidP="008A79BE">
      <w:pPr>
        <w:rPr>
          <w:sz w:val="22"/>
          <w:lang w:val="fr-FR"/>
        </w:rPr>
      </w:pPr>
      <w:r w:rsidRPr="00A26D01">
        <w:rPr>
          <w:sz w:val="22"/>
          <w:lang w:val="fr-FR"/>
        </w:rPr>
        <w:t>Sanofi Winthrop Industrie</w:t>
      </w:r>
    </w:p>
    <w:p w:rsidR="002C7FAE" w:rsidRDefault="008A79BE" w:rsidP="008A79BE">
      <w:pPr>
        <w:tabs>
          <w:tab w:val="left" w:pos="720"/>
        </w:tabs>
        <w:jc w:val="both"/>
        <w:rPr>
          <w:noProof/>
          <w:sz w:val="22"/>
          <w:lang w:val="fr-FR"/>
        </w:rPr>
      </w:pPr>
      <w:r>
        <w:rPr>
          <w:sz w:val="22"/>
          <w:lang w:val="fr-FR"/>
        </w:rPr>
        <w:t xml:space="preserve">1, Rue de </w:t>
      </w:r>
      <w:r w:rsidR="002C7FAE">
        <w:rPr>
          <w:sz w:val="22"/>
          <w:lang w:val="fr-FR"/>
        </w:rPr>
        <w:t>L</w:t>
      </w:r>
      <w:r>
        <w:rPr>
          <w:sz w:val="22"/>
          <w:lang w:val="fr-FR"/>
        </w:rPr>
        <w:t xml:space="preserve">a Vierge, </w:t>
      </w:r>
      <w:r>
        <w:rPr>
          <w:noProof/>
          <w:sz w:val="22"/>
          <w:lang w:val="fr-FR"/>
        </w:rPr>
        <w:t xml:space="preserve">Ambarès &amp; Lagrave, </w:t>
      </w:r>
    </w:p>
    <w:p w:rsidR="008A79BE" w:rsidRPr="006E245F" w:rsidRDefault="008A79BE" w:rsidP="008A79BE">
      <w:pPr>
        <w:tabs>
          <w:tab w:val="left" w:pos="720"/>
        </w:tabs>
        <w:jc w:val="both"/>
        <w:rPr>
          <w:sz w:val="22"/>
          <w:lang w:val="pl-PL"/>
        </w:rPr>
      </w:pPr>
      <w:r w:rsidRPr="006E245F">
        <w:rPr>
          <w:noProof/>
          <w:sz w:val="22"/>
          <w:lang w:val="pl-PL"/>
        </w:rPr>
        <w:t>F-</w:t>
      </w:r>
      <w:r w:rsidRPr="006E245F">
        <w:rPr>
          <w:color w:val="000000"/>
          <w:sz w:val="22"/>
          <w:lang w:val="pl-PL"/>
        </w:rPr>
        <w:t>33565 Carbon Blanc cedex</w:t>
      </w:r>
      <w:r w:rsidRPr="006E245F">
        <w:rPr>
          <w:sz w:val="22"/>
          <w:lang w:val="pl-PL"/>
        </w:rPr>
        <w:t xml:space="preserve">, Francja </w:t>
      </w:r>
    </w:p>
    <w:p w:rsidR="008A79BE" w:rsidRDefault="008A79BE" w:rsidP="008A79BE">
      <w:pPr>
        <w:jc w:val="both"/>
        <w:rPr>
          <w:sz w:val="22"/>
          <w:lang w:val="it-IT"/>
        </w:rPr>
      </w:pPr>
    </w:p>
    <w:p w:rsidR="008A79BE" w:rsidRDefault="008A79BE" w:rsidP="008A79BE">
      <w:pPr>
        <w:pStyle w:val="BodyText"/>
        <w:jc w:val="left"/>
        <w:rPr>
          <w:rFonts w:ascii="Times New Roman" w:hAnsi="Times New Roman"/>
          <w:sz w:val="22"/>
        </w:rPr>
      </w:pPr>
      <w:r>
        <w:rPr>
          <w:rFonts w:ascii="Times New Roman" w:hAnsi="Times New Roman"/>
          <w:sz w:val="22"/>
        </w:rPr>
        <w:t xml:space="preserve">W celu uzyskania bardziej szczegółowych informacji należy zwrócić się do </w:t>
      </w:r>
      <w:r w:rsidR="00CB2DE0">
        <w:rPr>
          <w:rFonts w:ascii="Times New Roman" w:hAnsi="Times New Roman"/>
          <w:sz w:val="22"/>
        </w:rPr>
        <w:t xml:space="preserve">miejscowego </w:t>
      </w:r>
      <w:r>
        <w:rPr>
          <w:rFonts w:ascii="Times New Roman" w:hAnsi="Times New Roman"/>
          <w:sz w:val="22"/>
        </w:rPr>
        <w:t>przedstawiciela podmiotu odpowiedzialnego:</w:t>
      </w:r>
    </w:p>
    <w:p w:rsidR="008A79BE" w:rsidRDefault="008A79BE" w:rsidP="008A79BE">
      <w:pPr>
        <w:pStyle w:val="BodyText"/>
        <w:jc w:val="left"/>
        <w:rPr>
          <w:rFonts w:ascii="Times New Roman" w:hAnsi="Times New Roman"/>
          <w:sz w:val="22"/>
        </w:rPr>
      </w:pPr>
    </w:p>
    <w:tbl>
      <w:tblPr>
        <w:tblW w:w="0" w:type="auto"/>
        <w:tblInd w:w="8" w:type="dxa"/>
        <w:tblLayout w:type="fixed"/>
        <w:tblCellMar>
          <w:left w:w="0" w:type="dxa"/>
          <w:right w:w="0" w:type="dxa"/>
        </w:tblCellMar>
        <w:tblLook w:val="0000" w:firstRow="0" w:lastRow="0" w:firstColumn="0" w:lastColumn="0" w:noHBand="0" w:noVBand="0"/>
      </w:tblPr>
      <w:tblGrid>
        <w:gridCol w:w="4536"/>
        <w:gridCol w:w="4536"/>
      </w:tblGrid>
      <w:tr w:rsidR="008A79BE" w:rsidTr="00935F6E">
        <w:trPr>
          <w:trHeight w:val="904"/>
        </w:trPr>
        <w:tc>
          <w:tcPr>
            <w:tcW w:w="4536" w:type="dxa"/>
          </w:tcPr>
          <w:p w:rsidR="008A79BE" w:rsidRDefault="008A79BE" w:rsidP="00935F6E">
            <w:pPr>
              <w:rPr>
                <w:b/>
                <w:bCs/>
                <w:sz w:val="22"/>
                <w:lang w:val="fr-BE"/>
              </w:rPr>
            </w:pPr>
            <w:r>
              <w:rPr>
                <w:b/>
                <w:bCs/>
                <w:sz w:val="22"/>
                <w:lang w:val="mt-MT"/>
              </w:rPr>
              <w:t>België</w:t>
            </w:r>
            <w:r>
              <w:rPr>
                <w:b/>
                <w:bCs/>
                <w:sz w:val="22"/>
                <w:lang w:val="cs-CZ"/>
              </w:rPr>
              <w:t>/Belgique</w:t>
            </w:r>
            <w:r>
              <w:rPr>
                <w:b/>
                <w:bCs/>
                <w:sz w:val="22"/>
                <w:lang w:val="mt-MT"/>
              </w:rPr>
              <w:t>/Belgien</w:t>
            </w:r>
          </w:p>
          <w:p w:rsidR="008A79BE" w:rsidRDefault="00E82CDC" w:rsidP="00935F6E">
            <w:pPr>
              <w:rPr>
                <w:sz w:val="22"/>
                <w:lang w:val="fr-BE"/>
              </w:rPr>
            </w:pPr>
            <w:r>
              <w:rPr>
                <w:snapToGrid w:val="0"/>
                <w:sz w:val="22"/>
                <w:lang w:val="fr-BE"/>
              </w:rPr>
              <w:t>S</w:t>
            </w:r>
            <w:r w:rsidR="008A79BE">
              <w:rPr>
                <w:snapToGrid w:val="0"/>
                <w:sz w:val="22"/>
                <w:lang w:val="fr-BE"/>
              </w:rPr>
              <w:t>anofi Belgium</w:t>
            </w:r>
          </w:p>
          <w:p w:rsidR="008A79BE" w:rsidRDefault="008A79BE" w:rsidP="00935F6E">
            <w:pPr>
              <w:rPr>
                <w:snapToGrid w:val="0"/>
                <w:sz w:val="22"/>
                <w:lang w:val="de-DE"/>
              </w:rPr>
            </w:pPr>
            <w:r>
              <w:rPr>
                <w:sz w:val="22"/>
                <w:lang w:val="de-DE"/>
              </w:rPr>
              <w:t xml:space="preserve">Tél/Tel: </w:t>
            </w:r>
            <w:r>
              <w:rPr>
                <w:snapToGrid w:val="0"/>
                <w:sz w:val="22"/>
                <w:lang w:val="de-DE"/>
              </w:rPr>
              <w:t>+32 (0)2 710 54 00</w:t>
            </w:r>
          </w:p>
          <w:p w:rsidR="008A79BE" w:rsidRDefault="008A79BE" w:rsidP="00935F6E">
            <w:pPr>
              <w:rPr>
                <w:sz w:val="22"/>
                <w:lang w:val="de-DE"/>
              </w:rPr>
            </w:pPr>
          </w:p>
        </w:tc>
        <w:tc>
          <w:tcPr>
            <w:tcW w:w="4536" w:type="dxa"/>
          </w:tcPr>
          <w:p w:rsidR="005C3B2E" w:rsidRDefault="005C3B2E" w:rsidP="005C3B2E">
            <w:pPr>
              <w:rPr>
                <w:b/>
                <w:bCs/>
                <w:sz w:val="22"/>
                <w:lang w:val="lt-LT"/>
              </w:rPr>
            </w:pPr>
            <w:r>
              <w:rPr>
                <w:b/>
                <w:bCs/>
                <w:sz w:val="22"/>
                <w:lang w:val="lt-LT"/>
              </w:rPr>
              <w:t>Lietuva</w:t>
            </w:r>
          </w:p>
          <w:p w:rsidR="005C3B2E" w:rsidRDefault="005C3B2E" w:rsidP="005C3B2E">
            <w:pPr>
              <w:rPr>
                <w:sz w:val="22"/>
                <w:lang w:val="fr-FR"/>
              </w:rPr>
            </w:pPr>
            <w:r>
              <w:rPr>
                <w:sz w:val="22"/>
                <w:lang w:val="cs-CZ"/>
              </w:rPr>
              <w:t xml:space="preserve">UAB </w:t>
            </w:r>
            <w:r w:rsidR="004426C6" w:rsidRPr="004426C6">
              <w:rPr>
                <w:sz w:val="22"/>
                <w:lang w:val="cs-CZ"/>
              </w:rPr>
              <w:t>«SANOFI-AVENTIS LIETUVA»</w:t>
            </w:r>
          </w:p>
          <w:p w:rsidR="005C3B2E" w:rsidRDefault="005C3B2E" w:rsidP="005C3B2E">
            <w:pPr>
              <w:rPr>
                <w:sz w:val="22"/>
                <w:lang w:val="cs-CZ"/>
              </w:rPr>
            </w:pPr>
            <w:r>
              <w:rPr>
                <w:sz w:val="22"/>
                <w:lang w:val="cs-CZ"/>
              </w:rPr>
              <w:t>Tel: +370 5 2755224</w:t>
            </w:r>
          </w:p>
          <w:p w:rsidR="008A79BE" w:rsidRDefault="008A79BE" w:rsidP="005C3B2E">
            <w:pPr>
              <w:rPr>
                <w:sz w:val="22"/>
                <w:lang w:val="fr-BE"/>
              </w:rPr>
            </w:pPr>
          </w:p>
        </w:tc>
      </w:tr>
      <w:tr w:rsidR="008A79BE" w:rsidRPr="00022436" w:rsidTr="00935F6E">
        <w:trPr>
          <w:trHeight w:val="892"/>
        </w:trPr>
        <w:tc>
          <w:tcPr>
            <w:tcW w:w="4536" w:type="dxa"/>
          </w:tcPr>
          <w:p w:rsidR="008A79BE" w:rsidRDefault="008A79BE" w:rsidP="00935F6E">
            <w:pPr>
              <w:rPr>
                <w:b/>
                <w:bCs/>
                <w:sz w:val="22"/>
                <w:lang w:val="it-IT"/>
              </w:rPr>
            </w:pPr>
            <w:r>
              <w:rPr>
                <w:b/>
                <w:bCs/>
                <w:sz w:val="22"/>
              </w:rPr>
              <w:t>България</w:t>
            </w:r>
          </w:p>
          <w:p w:rsidR="008A79BE" w:rsidRDefault="004426C6" w:rsidP="00935F6E">
            <w:pPr>
              <w:rPr>
                <w:noProof/>
                <w:sz w:val="22"/>
                <w:lang w:val="it-IT"/>
              </w:rPr>
            </w:pPr>
            <w:r w:rsidRPr="004426C6">
              <w:rPr>
                <w:noProof/>
                <w:sz w:val="22"/>
                <w:lang w:val="it-IT"/>
              </w:rPr>
              <w:t xml:space="preserve">SANOFI BULGARIA </w:t>
            </w:r>
            <w:r w:rsidR="008A79BE">
              <w:rPr>
                <w:noProof/>
                <w:sz w:val="22"/>
                <w:lang w:val="it-IT"/>
              </w:rPr>
              <w:t>EOOD</w:t>
            </w:r>
          </w:p>
          <w:p w:rsidR="008A79BE" w:rsidRDefault="008A79BE" w:rsidP="00935F6E">
            <w:pPr>
              <w:rPr>
                <w:sz w:val="22"/>
                <w:szCs w:val="22"/>
                <w:lang w:val="it-IT"/>
              </w:rPr>
            </w:pPr>
            <w:r>
              <w:rPr>
                <w:bCs/>
                <w:sz w:val="22"/>
                <w:szCs w:val="22"/>
                <w:lang w:val="bg-BG"/>
              </w:rPr>
              <w:t>Тел: +</w:t>
            </w:r>
            <w:r>
              <w:rPr>
                <w:bCs/>
                <w:sz w:val="22"/>
                <w:szCs w:val="22"/>
                <w:lang w:val="it-IT"/>
              </w:rPr>
              <w:t>359 (0)2</w:t>
            </w:r>
            <w:r>
              <w:rPr>
                <w:sz w:val="22"/>
                <w:szCs w:val="22"/>
                <w:lang w:val="it-IT"/>
              </w:rPr>
              <w:t xml:space="preserve"> 970 53 00</w:t>
            </w:r>
          </w:p>
          <w:p w:rsidR="008A79BE" w:rsidRDefault="008A79BE" w:rsidP="00935F6E">
            <w:pPr>
              <w:rPr>
                <w:sz w:val="22"/>
                <w:lang w:val="it-IT"/>
              </w:rPr>
            </w:pPr>
          </w:p>
        </w:tc>
        <w:tc>
          <w:tcPr>
            <w:tcW w:w="4536" w:type="dxa"/>
          </w:tcPr>
          <w:p w:rsidR="005C3B2E" w:rsidRDefault="005C3B2E" w:rsidP="005C3B2E">
            <w:pPr>
              <w:rPr>
                <w:b/>
                <w:bCs/>
                <w:sz w:val="22"/>
                <w:lang w:val="de-DE"/>
              </w:rPr>
            </w:pPr>
            <w:r>
              <w:rPr>
                <w:b/>
                <w:bCs/>
                <w:sz w:val="22"/>
                <w:lang w:val="de-DE"/>
              </w:rPr>
              <w:t>Luxembourg/Luxemburg</w:t>
            </w:r>
          </w:p>
          <w:p w:rsidR="005C3B2E" w:rsidRDefault="00E82CDC" w:rsidP="005C3B2E">
            <w:pPr>
              <w:rPr>
                <w:snapToGrid w:val="0"/>
                <w:sz w:val="22"/>
                <w:lang w:val="fr-BE"/>
              </w:rPr>
            </w:pPr>
            <w:r>
              <w:rPr>
                <w:snapToGrid w:val="0"/>
                <w:sz w:val="22"/>
                <w:lang w:val="fr-BE"/>
              </w:rPr>
              <w:t>S</w:t>
            </w:r>
            <w:r w:rsidR="005C3B2E">
              <w:rPr>
                <w:snapToGrid w:val="0"/>
                <w:sz w:val="22"/>
                <w:lang w:val="fr-BE"/>
              </w:rPr>
              <w:t xml:space="preserve">anofi Belgium </w:t>
            </w:r>
          </w:p>
          <w:p w:rsidR="005C3B2E" w:rsidRDefault="005C3B2E" w:rsidP="005C3B2E">
            <w:pPr>
              <w:rPr>
                <w:sz w:val="22"/>
                <w:lang w:val="fr-BE"/>
              </w:rPr>
            </w:pPr>
            <w:r>
              <w:rPr>
                <w:sz w:val="22"/>
                <w:lang w:val="fr-LU"/>
              </w:rPr>
              <w:t xml:space="preserve">Tél/Tel: </w:t>
            </w:r>
            <w:r>
              <w:rPr>
                <w:snapToGrid w:val="0"/>
                <w:sz w:val="22"/>
                <w:lang w:val="fr-BE"/>
              </w:rPr>
              <w:t>+32 (0)2 710 54 00 (</w:t>
            </w:r>
            <w:r>
              <w:rPr>
                <w:sz w:val="22"/>
                <w:lang w:val="fr-BE"/>
              </w:rPr>
              <w:t>Belgique/Belgien)</w:t>
            </w:r>
          </w:p>
          <w:p w:rsidR="008A79BE" w:rsidRDefault="008A79BE" w:rsidP="005C3B2E">
            <w:pPr>
              <w:rPr>
                <w:sz w:val="22"/>
                <w:lang w:val="cs-CZ"/>
              </w:rPr>
            </w:pPr>
          </w:p>
        </w:tc>
      </w:tr>
      <w:tr w:rsidR="008A79BE" w:rsidTr="00935F6E">
        <w:trPr>
          <w:trHeight w:val="904"/>
        </w:trPr>
        <w:tc>
          <w:tcPr>
            <w:tcW w:w="4536" w:type="dxa"/>
          </w:tcPr>
          <w:p w:rsidR="008A79BE" w:rsidRDefault="008A79BE" w:rsidP="00935F6E">
            <w:pPr>
              <w:rPr>
                <w:b/>
                <w:bCs/>
                <w:sz w:val="22"/>
                <w:lang w:val="cs-CZ"/>
              </w:rPr>
            </w:pPr>
            <w:r>
              <w:rPr>
                <w:b/>
                <w:bCs/>
                <w:sz w:val="22"/>
                <w:lang w:val="cs-CZ"/>
              </w:rPr>
              <w:t>Česká republika</w:t>
            </w:r>
          </w:p>
          <w:p w:rsidR="008A79BE" w:rsidRDefault="008A79BE" w:rsidP="00935F6E">
            <w:pPr>
              <w:rPr>
                <w:sz w:val="22"/>
                <w:lang w:val="cs-CZ"/>
              </w:rPr>
            </w:pPr>
            <w:r>
              <w:rPr>
                <w:sz w:val="22"/>
                <w:lang w:val="cs-CZ"/>
              </w:rPr>
              <w:t>sanofi-aventis, s.r.o.</w:t>
            </w:r>
          </w:p>
          <w:p w:rsidR="008A79BE" w:rsidRDefault="008A79BE" w:rsidP="00935F6E">
            <w:pPr>
              <w:rPr>
                <w:sz w:val="22"/>
                <w:lang w:val="cs-CZ"/>
              </w:rPr>
            </w:pPr>
            <w:r>
              <w:rPr>
                <w:sz w:val="22"/>
                <w:lang w:val="cs-CZ"/>
              </w:rPr>
              <w:t>Tel: +420 233 086 111</w:t>
            </w:r>
          </w:p>
          <w:p w:rsidR="008A79BE" w:rsidRDefault="008A79BE" w:rsidP="00935F6E">
            <w:pPr>
              <w:rPr>
                <w:sz w:val="22"/>
                <w:lang w:val="cs-CZ"/>
              </w:rPr>
            </w:pPr>
          </w:p>
        </w:tc>
        <w:tc>
          <w:tcPr>
            <w:tcW w:w="4536" w:type="dxa"/>
          </w:tcPr>
          <w:p w:rsidR="005C3B2E" w:rsidRDefault="005C3B2E" w:rsidP="005C3B2E">
            <w:pPr>
              <w:rPr>
                <w:b/>
                <w:bCs/>
                <w:sz w:val="22"/>
                <w:lang w:val="hu-HU"/>
              </w:rPr>
            </w:pPr>
            <w:r>
              <w:rPr>
                <w:b/>
                <w:bCs/>
                <w:sz w:val="22"/>
                <w:lang w:val="hu-HU"/>
              </w:rPr>
              <w:t>Magyarország</w:t>
            </w:r>
          </w:p>
          <w:p w:rsidR="005C3B2E" w:rsidRDefault="004426C6" w:rsidP="005C3B2E">
            <w:pPr>
              <w:rPr>
                <w:sz w:val="22"/>
                <w:lang w:val="cs-CZ"/>
              </w:rPr>
            </w:pPr>
            <w:r w:rsidRPr="004426C6">
              <w:rPr>
                <w:sz w:val="22"/>
                <w:lang w:val="cs-CZ"/>
              </w:rPr>
              <w:t>SANOFI-AVENTIS Zrt.</w:t>
            </w:r>
          </w:p>
          <w:p w:rsidR="005C3B2E" w:rsidRDefault="005C3B2E" w:rsidP="005C3B2E">
            <w:pPr>
              <w:rPr>
                <w:sz w:val="22"/>
                <w:lang w:val="hu-HU"/>
              </w:rPr>
            </w:pPr>
            <w:r>
              <w:rPr>
                <w:sz w:val="22"/>
                <w:lang w:val="cs-CZ"/>
              </w:rPr>
              <w:t>Tel</w:t>
            </w:r>
            <w:r w:rsidR="00C529D2">
              <w:rPr>
                <w:sz w:val="22"/>
                <w:lang w:val="cs-CZ"/>
              </w:rPr>
              <w:t>.</w:t>
            </w:r>
            <w:r>
              <w:rPr>
                <w:sz w:val="22"/>
                <w:lang w:val="cs-CZ"/>
              </w:rPr>
              <w:t xml:space="preserve">: +36 1 </w:t>
            </w:r>
            <w:r>
              <w:rPr>
                <w:sz w:val="22"/>
                <w:lang w:val="hu-HU"/>
              </w:rPr>
              <w:t>505 0050</w:t>
            </w:r>
          </w:p>
          <w:p w:rsidR="008A79BE" w:rsidRDefault="008A79BE" w:rsidP="00935F6E">
            <w:pPr>
              <w:rPr>
                <w:sz w:val="22"/>
                <w:lang w:val="da-DK"/>
              </w:rPr>
            </w:pPr>
          </w:p>
        </w:tc>
      </w:tr>
      <w:tr w:rsidR="008A79BE" w:rsidRPr="00CE6A17" w:rsidTr="00935F6E">
        <w:trPr>
          <w:trHeight w:val="904"/>
        </w:trPr>
        <w:tc>
          <w:tcPr>
            <w:tcW w:w="4536" w:type="dxa"/>
          </w:tcPr>
          <w:p w:rsidR="008A79BE" w:rsidRDefault="008A79BE" w:rsidP="00935F6E">
            <w:pPr>
              <w:rPr>
                <w:b/>
                <w:bCs/>
                <w:sz w:val="22"/>
                <w:lang w:val="cs-CZ"/>
              </w:rPr>
            </w:pPr>
            <w:r>
              <w:rPr>
                <w:b/>
                <w:bCs/>
                <w:sz w:val="22"/>
                <w:lang w:val="cs-CZ"/>
              </w:rPr>
              <w:t>Danmark</w:t>
            </w:r>
          </w:p>
          <w:p w:rsidR="008A79BE" w:rsidRDefault="00923018" w:rsidP="00935F6E">
            <w:pPr>
              <w:rPr>
                <w:sz w:val="22"/>
                <w:lang w:val="cs-CZ"/>
              </w:rPr>
            </w:pPr>
            <w:r>
              <w:rPr>
                <w:sz w:val="22"/>
                <w:lang w:val="cs-CZ"/>
              </w:rPr>
              <w:t>S</w:t>
            </w:r>
            <w:r w:rsidR="008A79BE">
              <w:rPr>
                <w:sz w:val="22"/>
                <w:lang w:val="cs-CZ"/>
              </w:rPr>
              <w:t>anofi A/S</w:t>
            </w:r>
          </w:p>
          <w:p w:rsidR="008A79BE" w:rsidRDefault="008A79BE" w:rsidP="00935F6E">
            <w:pPr>
              <w:rPr>
                <w:sz w:val="22"/>
                <w:lang w:val="cs-CZ"/>
              </w:rPr>
            </w:pPr>
            <w:r>
              <w:rPr>
                <w:sz w:val="22"/>
                <w:lang w:val="cs-CZ"/>
              </w:rPr>
              <w:t>Tlf: +45 45 16 70 00</w:t>
            </w:r>
          </w:p>
          <w:p w:rsidR="008A79BE" w:rsidRDefault="008A79BE" w:rsidP="00935F6E">
            <w:pPr>
              <w:rPr>
                <w:sz w:val="22"/>
                <w:lang w:val="en-GB"/>
              </w:rPr>
            </w:pPr>
          </w:p>
        </w:tc>
        <w:tc>
          <w:tcPr>
            <w:tcW w:w="4536" w:type="dxa"/>
          </w:tcPr>
          <w:p w:rsidR="005C3B2E" w:rsidRDefault="005C3B2E" w:rsidP="005C3B2E">
            <w:pPr>
              <w:rPr>
                <w:b/>
                <w:bCs/>
                <w:sz w:val="22"/>
                <w:lang w:val="mt-MT"/>
              </w:rPr>
            </w:pPr>
            <w:r>
              <w:rPr>
                <w:b/>
                <w:bCs/>
                <w:sz w:val="22"/>
                <w:lang w:val="mt-MT"/>
              </w:rPr>
              <w:t>Malta</w:t>
            </w:r>
          </w:p>
          <w:p w:rsidR="009E57FF" w:rsidRPr="00261654" w:rsidRDefault="009E57FF" w:rsidP="009E57FF">
            <w:pPr>
              <w:rPr>
                <w:sz w:val="22"/>
                <w:szCs w:val="22"/>
                <w:lang w:val="cs-CZ"/>
              </w:rPr>
            </w:pPr>
            <w:r w:rsidRPr="00261654">
              <w:rPr>
                <w:sz w:val="22"/>
                <w:szCs w:val="22"/>
                <w:lang w:val="cs-CZ"/>
              </w:rPr>
              <w:t>Sanofi S.</w:t>
            </w:r>
            <w:r w:rsidR="007C5608">
              <w:rPr>
                <w:sz w:val="22"/>
                <w:szCs w:val="22"/>
                <w:lang w:val="cs-CZ"/>
              </w:rPr>
              <w:t>r</w:t>
            </w:r>
            <w:r w:rsidRPr="00261654">
              <w:rPr>
                <w:sz w:val="22"/>
                <w:szCs w:val="22"/>
                <w:lang w:val="cs-CZ"/>
              </w:rPr>
              <w:t>.</w:t>
            </w:r>
            <w:r w:rsidR="007C5608">
              <w:rPr>
                <w:sz w:val="22"/>
                <w:szCs w:val="22"/>
                <w:lang w:val="cs-CZ"/>
              </w:rPr>
              <w:t>l</w:t>
            </w:r>
            <w:r w:rsidRPr="00261654">
              <w:rPr>
                <w:sz w:val="22"/>
                <w:szCs w:val="22"/>
                <w:lang w:val="cs-CZ"/>
              </w:rPr>
              <w:t>.</w:t>
            </w:r>
          </w:p>
          <w:p w:rsidR="008A79BE" w:rsidRDefault="009E57FF" w:rsidP="005C3B2E">
            <w:pPr>
              <w:rPr>
                <w:sz w:val="22"/>
                <w:lang w:val="es-ES"/>
              </w:rPr>
            </w:pPr>
            <w:r w:rsidRPr="00261654">
              <w:rPr>
                <w:sz w:val="22"/>
                <w:szCs w:val="22"/>
                <w:lang w:val="cs-CZ"/>
              </w:rPr>
              <w:t>Tel: +39 02 39394275</w:t>
            </w:r>
          </w:p>
        </w:tc>
      </w:tr>
      <w:tr w:rsidR="008A79BE" w:rsidTr="00935F6E">
        <w:trPr>
          <w:trHeight w:val="892"/>
        </w:trPr>
        <w:tc>
          <w:tcPr>
            <w:tcW w:w="4536" w:type="dxa"/>
          </w:tcPr>
          <w:p w:rsidR="008A79BE" w:rsidRDefault="008A79BE" w:rsidP="00935F6E">
            <w:pPr>
              <w:rPr>
                <w:b/>
                <w:bCs/>
                <w:sz w:val="22"/>
                <w:lang w:val="cs-CZ"/>
              </w:rPr>
            </w:pPr>
            <w:r>
              <w:rPr>
                <w:b/>
                <w:bCs/>
                <w:sz w:val="22"/>
                <w:lang w:val="cs-CZ"/>
              </w:rPr>
              <w:t>Deutschland</w:t>
            </w:r>
          </w:p>
          <w:p w:rsidR="008A79BE" w:rsidRDefault="008A79BE" w:rsidP="00935F6E">
            <w:pPr>
              <w:rPr>
                <w:sz w:val="22"/>
                <w:lang w:val="cs-CZ"/>
              </w:rPr>
            </w:pPr>
            <w:r>
              <w:rPr>
                <w:sz w:val="22"/>
                <w:lang w:val="cs-CZ"/>
              </w:rPr>
              <w:t>Sanofi-Aventis Deutschland GmbH</w:t>
            </w:r>
          </w:p>
          <w:p w:rsidR="00001800" w:rsidRPr="00001800" w:rsidRDefault="00001800" w:rsidP="00001800">
            <w:pPr>
              <w:rPr>
                <w:sz w:val="22"/>
                <w:szCs w:val="22"/>
                <w:lang w:val="de-DE" w:eastAsia="en-US"/>
              </w:rPr>
            </w:pPr>
            <w:r w:rsidRPr="00001800">
              <w:rPr>
                <w:sz w:val="22"/>
                <w:szCs w:val="22"/>
                <w:lang w:val="de-DE" w:eastAsia="en-US"/>
              </w:rPr>
              <w:t>Tel.: 0800 52 52 010</w:t>
            </w:r>
          </w:p>
          <w:p w:rsidR="008A79BE" w:rsidRDefault="008A79BE" w:rsidP="00935F6E">
            <w:pPr>
              <w:rPr>
                <w:sz w:val="22"/>
                <w:lang w:val="cs-CZ"/>
              </w:rPr>
            </w:pPr>
            <w:r>
              <w:rPr>
                <w:sz w:val="22"/>
                <w:lang w:val="cs-CZ"/>
              </w:rPr>
              <w:t>Tel</w:t>
            </w:r>
            <w:r w:rsidR="00001800">
              <w:rPr>
                <w:sz w:val="22"/>
                <w:lang w:val="cs-CZ"/>
              </w:rPr>
              <w:t>.</w:t>
            </w:r>
            <w:r w:rsidR="00001800">
              <w:rPr>
                <w:sz w:val="22"/>
                <w:szCs w:val="22"/>
                <w:lang w:val="de-DE"/>
              </w:rPr>
              <w:t xml:space="preserve"> aus dem Ausland:</w:t>
            </w:r>
            <w:r>
              <w:rPr>
                <w:sz w:val="22"/>
                <w:lang w:val="cs-CZ"/>
              </w:rPr>
              <w:t xml:space="preserve"> +49 </w:t>
            </w:r>
            <w:r w:rsidR="00001800">
              <w:rPr>
                <w:sz w:val="22"/>
                <w:lang w:val="cs-CZ"/>
              </w:rPr>
              <w:t>69 305 21 131</w:t>
            </w:r>
          </w:p>
          <w:p w:rsidR="008A79BE" w:rsidRPr="00677B2C" w:rsidRDefault="008A79BE" w:rsidP="00935F6E">
            <w:pPr>
              <w:rPr>
                <w:sz w:val="22"/>
                <w:lang w:val="de-DE"/>
              </w:rPr>
            </w:pPr>
          </w:p>
        </w:tc>
        <w:tc>
          <w:tcPr>
            <w:tcW w:w="4536" w:type="dxa"/>
          </w:tcPr>
          <w:p w:rsidR="005C3B2E" w:rsidRDefault="005C3B2E" w:rsidP="005C3B2E">
            <w:pPr>
              <w:rPr>
                <w:b/>
                <w:bCs/>
                <w:sz w:val="22"/>
                <w:lang w:val="cs-CZ"/>
              </w:rPr>
            </w:pPr>
            <w:r>
              <w:rPr>
                <w:b/>
                <w:bCs/>
                <w:sz w:val="22"/>
                <w:lang w:val="cs-CZ"/>
              </w:rPr>
              <w:t>Nederland</w:t>
            </w:r>
          </w:p>
          <w:p w:rsidR="005C3B2E" w:rsidRDefault="003C5EAF" w:rsidP="005C3B2E">
            <w:pPr>
              <w:rPr>
                <w:sz w:val="22"/>
                <w:lang w:val="cs-CZ"/>
              </w:rPr>
            </w:pPr>
            <w:r>
              <w:rPr>
                <w:sz w:val="22"/>
                <w:szCs w:val="22"/>
                <w:lang w:val="nl-NL"/>
              </w:rPr>
              <w:t xml:space="preserve">Genzyme Europe </w:t>
            </w:r>
            <w:r w:rsidR="005C3B2E">
              <w:rPr>
                <w:sz w:val="22"/>
                <w:lang w:val="cs-CZ"/>
              </w:rPr>
              <w:t>B.V.</w:t>
            </w:r>
          </w:p>
          <w:p w:rsidR="005C3B2E" w:rsidRDefault="005C3B2E" w:rsidP="005C3B2E">
            <w:pPr>
              <w:rPr>
                <w:sz w:val="22"/>
                <w:lang w:val="nl-NL"/>
              </w:rPr>
            </w:pPr>
            <w:r>
              <w:rPr>
                <w:sz w:val="22"/>
                <w:lang w:val="cs-CZ"/>
              </w:rPr>
              <w:t xml:space="preserve">Tel: +31 </w:t>
            </w:r>
            <w:r w:rsidR="00923018">
              <w:rPr>
                <w:sz w:val="22"/>
                <w:lang w:val="cs-CZ"/>
              </w:rPr>
              <w:t>20 245 4000</w:t>
            </w:r>
          </w:p>
          <w:p w:rsidR="008A79BE" w:rsidRDefault="008A79BE" w:rsidP="005C3B2E">
            <w:pPr>
              <w:rPr>
                <w:sz w:val="22"/>
                <w:lang w:val="nb-NO"/>
              </w:rPr>
            </w:pPr>
          </w:p>
        </w:tc>
      </w:tr>
      <w:tr w:rsidR="008A79BE" w:rsidTr="00935F6E">
        <w:trPr>
          <w:trHeight w:val="880"/>
        </w:trPr>
        <w:tc>
          <w:tcPr>
            <w:tcW w:w="4536" w:type="dxa"/>
          </w:tcPr>
          <w:p w:rsidR="008A79BE" w:rsidRDefault="008A79BE" w:rsidP="00935F6E">
            <w:pPr>
              <w:rPr>
                <w:b/>
                <w:bCs/>
                <w:sz w:val="22"/>
                <w:lang w:val="et-EE"/>
              </w:rPr>
            </w:pPr>
            <w:r>
              <w:rPr>
                <w:b/>
                <w:bCs/>
                <w:sz w:val="22"/>
                <w:lang w:val="et-EE"/>
              </w:rPr>
              <w:t>Eesti</w:t>
            </w:r>
          </w:p>
          <w:p w:rsidR="008A79BE" w:rsidRDefault="008A79BE" w:rsidP="00935F6E">
            <w:pPr>
              <w:rPr>
                <w:sz w:val="22"/>
                <w:lang w:val="cs-CZ"/>
              </w:rPr>
            </w:pPr>
            <w:r>
              <w:rPr>
                <w:sz w:val="22"/>
                <w:lang w:val="cs-CZ"/>
              </w:rPr>
              <w:t>sanofi-aventis Estonia OÜ</w:t>
            </w:r>
          </w:p>
          <w:p w:rsidR="008A79BE" w:rsidRDefault="008A79BE" w:rsidP="00935F6E">
            <w:pPr>
              <w:rPr>
                <w:sz w:val="22"/>
                <w:lang w:val="cs-CZ"/>
              </w:rPr>
            </w:pPr>
            <w:r>
              <w:rPr>
                <w:sz w:val="22"/>
                <w:lang w:val="cs-CZ"/>
              </w:rPr>
              <w:t>Tel: +372 627 3488</w:t>
            </w:r>
          </w:p>
          <w:p w:rsidR="008A79BE" w:rsidRDefault="008A79BE" w:rsidP="00935F6E">
            <w:pPr>
              <w:rPr>
                <w:sz w:val="22"/>
                <w:lang w:val="nb-NO"/>
              </w:rPr>
            </w:pPr>
          </w:p>
        </w:tc>
        <w:tc>
          <w:tcPr>
            <w:tcW w:w="4536" w:type="dxa"/>
          </w:tcPr>
          <w:p w:rsidR="005C3B2E" w:rsidRDefault="005C3B2E" w:rsidP="005C3B2E">
            <w:pPr>
              <w:rPr>
                <w:b/>
                <w:bCs/>
                <w:sz w:val="22"/>
                <w:lang w:val="cs-CZ"/>
              </w:rPr>
            </w:pPr>
            <w:r>
              <w:rPr>
                <w:b/>
                <w:bCs/>
                <w:sz w:val="22"/>
                <w:lang w:val="cs-CZ"/>
              </w:rPr>
              <w:t>Norge</w:t>
            </w:r>
          </w:p>
          <w:p w:rsidR="005C3B2E" w:rsidRDefault="005C3B2E" w:rsidP="005C3B2E">
            <w:pPr>
              <w:rPr>
                <w:sz w:val="22"/>
                <w:lang w:val="cs-CZ"/>
              </w:rPr>
            </w:pPr>
            <w:r>
              <w:rPr>
                <w:sz w:val="22"/>
                <w:lang w:val="cs-CZ"/>
              </w:rPr>
              <w:t>sanofi-aventis Norge AS</w:t>
            </w:r>
          </w:p>
          <w:p w:rsidR="005C3B2E" w:rsidRDefault="005C3B2E" w:rsidP="005C3B2E">
            <w:pPr>
              <w:rPr>
                <w:sz w:val="22"/>
                <w:lang w:val="cs-CZ"/>
              </w:rPr>
            </w:pPr>
            <w:r>
              <w:rPr>
                <w:sz w:val="22"/>
                <w:lang w:val="cs-CZ"/>
              </w:rPr>
              <w:t>Tlf: +47 67 10 71 00</w:t>
            </w:r>
          </w:p>
          <w:p w:rsidR="008A79BE" w:rsidRDefault="008A79BE" w:rsidP="005C3B2E">
            <w:pPr>
              <w:rPr>
                <w:sz w:val="22"/>
                <w:lang w:val="cs-CZ"/>
              </w:rPr>
            </w:pPr>
          </w:p>
        </w:tc>
      </w:tr>
      <w:tr w:rsidR="008A79BE" w:rsidRPr="00022436" w:rsidTr="00935F6E">
        <w:trPr>
          <w:trHeight w:val="952"/>
        </w:trPr>
        <w:tc>
          <w:tcPr>
            <w:tcW w:w="4536" w:type="dxa"/>
          </w:tcPr>
          <w:p w:rsidR="008A79BE" w:rsidRDefault="008A79BE" w:rsidP="00935F6E">
            <w:pPr>
              <w:rPr>
                <w:b/>
                <w:bCs/>
                <w:sz w:val="22"/>
                <w:lang w:val="cs-CZ"/>
              </w:rPr>
            </w:pPr>
            <w:r>
              <w:rPr>
                <w:b/>
                <w:bCs/>
                <w:sz w:val="22"/>
                <w:lang w:val="el-GR"/>
              </w:rPr>
              <w:t>Ελλάδα</w:t>
            </w:r>
          </w:p>
          <w:p w:rsidR="008A79BE" w:rsidRDefault="008A79BE" w:rsidP="00935F6E">
            <w:pPr>
              <w:rPr>
                <w:sz w:val="22"/>
                <w:lang w:val="et-EE"/>
              </w:rPr>
            </w:pPr>
            <w:r>
              <w:rPr>
                <w:sz w:val="22"/>
                <w:lang w:val="cs-CZ"/>
              </w:rPr>
              <w:t>sanofi-aventis AEBE</w:t>
            </w:r>
          </w:p>
          <w:p w:rsidR="008A79BE" w:rsidRDefault="008A79BE" w:rsidP="00935F6E">
            <w:pPr>
              <w:rPr>
                <w:sz w:val="22"/>
                <w:lang w:val="cs-CZ"/>
              </w:rPr>
            </w:pPr>
            <w:r>
              <w:rPr>
                <w:sz w:val="22"/>
                <w:lang w:val="el-GR"/>
              </w:rPr>
              <w:t>Τηλ</w:t>
            </w:r>
            <w:r>
              <w:rPr>
                <w:sz w:val="22"/>
                <w:lang w:val="cs-CZ"/>
              </w:rPr>
              <w:t>: +30 210 900 16 00</w:t>
            </w:r>
          </w:p>
          <w:p w:rsidR="008A79BE" w:rsidRPr="00906110" w:rsidRDefault="008A79BE" w:rsidP="00935F6E">
            <w:pPr>
              <w:rPr>
                <w:sz w:val="22"/>
                <w:lang w:val="fr-FR"/>
              </w:rPr>
            </w:pPr>
          </w:p>
        </w:tc>
        <w:tc>
          <w:tcPr>
            <w:tcW w:w="4536" w:type="dxa"/>
          </w:tcPr>
          <w:p w:rsidR="005C3B2E" w:rsidRDefault="005C3B2E" w:rsidP="005C3B2E">
            <w:pPr>
              <w:rPr>
                <w:b/>
                <w:bCs/>
                <w:sz w:val="22"/>
                <w:lang w:val="cs-CZ"/>
              </w:rPr>
            </w:pPr>
            <w:r>
              <w:rPr>
                <w:b/>
                <w:bCs/>
                <w:sz w:val="22"/>
                <w:lang w:val="cs-CZ"/>
              </w:rPr>
              <w:t>Österreich</w:t>
            </w:r>
          </w:p>
          <w:p w:rsidR="005C3B2E" w:rsidRDefault="005C3B2E" w:rsidP="005C3B2E">
            <w:pPr>
              <w:rPr>
                <w:sz w:val="22"/>
                <w:lang w:val="de-DE"/>
              </w:rPr>
            </w:pPr>
            <w:r>
              <w:rPr>
                <w:sz w:val="22"/>
                <w:lang w:val="de-DE"/>
              </w:rPr>
              <w:t>sanofi-aventis GmbH</w:t>
            </w:r>
          </w:p>
          <w:p w:rsidR="005C3B2E" w:rsidRDefault="005C3B2E" w:rsidP="005C3B2E">
            <w:pPr>
              <w:rPr>
                <w:sz w:val="22"/>
                <w:lang w:val="de-DE"/>
              </w:rPr>
            </w:pPr>
            <w:r>
              <w:rPr>
                <w:sz w:val="22"/>
                <w:lang w:val="de-DE"/>
              </w:rPr>
              <w:t>Tel: +43 1 80 185 – 0</w:t>
            </w:r>
          </w:p>
          <w:p w:rsidR="008A79BE" w:rsidRDefault="008A79BE" w:rsidP="005C3B2E">
            <w:pPr>
              <w:rPr>
                <w:sz w:val="22"/>
                <w:lang w:val="es-ES"/>
              </w:rPr>
            </w:pPr>
          </w:p>
        </w:tc>
      </w:tr>
      <w:tr w:rsidR="008A79BE" w:rsidTr="00935F6E">
        <w:trPr>
          <w:trHeight w:val="1252"/>
        </w:trPr>
        <w:tc>
          <w:tcPr>
            <w:tcW w:w="4536" w:type="dxa"/>
          </w:tcPr>
          <w:p w:rsidR="008A79BE" w:rsidRDefault="008A79BE" w:rsidP="00935F6E">
            <w:pPr>
              <w:rPr>
                <w:b/>
                <w:bCs/>
                <w:sz w:val="22"/>
                <w:lang w:val="es-ES"/>
              </w:rPr>
            </w:pPr>
            <w:r>
              <w:rPr>
                <w:b/>
                <w:bCs/>
                <w:sz w:val="22"/>
                <w:lang w:val="es-ES"/>
              </w:rPr>
              <w:t>España</w:t>
            </w:r>
          </w:p>
          <w:p w:rsidR="008A79BE" w:rsidRPr="00A26D01" w:rsidRDefault="008A79BE" w:rsidP="00935F6E">
            <w:pPr>
              <w:rPr>
                <w:smallCaps/>
                <w:sz w:val="22"/>
                <w:lang w:val="fr-FR"/>
              </w:rPr>
            </w:pPr>
            <w:r w:rsidRPr="00A26D01">
              <w:rPr>
                <w:sz w:val="22"/>
                <w:lang w:val="fr-FR"/>
              </w:rPr>
              <w:t>sanofi-aventis, S.A.</w:t>
            </w:r>
          </w:p>
          <w:p w:rsidR="008A79BE" w:rsidRDefault="008A79BE" w:rsidP="00935F6E">
            <w:pPr>
              <w:rPr>
                <w:sz w:val="22"/>
                <w:lang w:val="pt-PT"/>
              </w:rPr>
            </w:pPr>
            <w:r>
              <w:rPr>
                <w:sz w:val="22"/>
                <w:lang w:val="pt-PT"/>
              </w:rPr>
              <w:t>Tel: +34 93 485 94 00</w:t>
            </w:r>
          </w:p>
          <w:p w:rsidR="008A79BE" w:rsidRDefault="008A79BE" w:rsidP="00935F6E">
            <w:pPr>
              <w:rPr>
                <w:sz w:val="22"/>
                <w:lang w:val="fr-FR"/>
              </w:rPr>
            </w:pPr>
          </w:p>
        </w:tc>
        <w:tc>
          <w:tcPr>
            <w:tcW w:w="4536" w:type="dxa"/>
          </w:tcPr>
          <w:p w:rsidR="005C3B2E" w:rsidRDefault="005C3B2E" w:rsidP="005C3B2E">
            <w:pPr>
              <w:rPr>
                <w:b/>
                <w:bCs/>
                <w:sz w:val="22"/>
                <w:lang w:val="lv-LV"/>
              </w:rPr>
            </w:pPr>
            <w:r>
              <w:rPr>
                <w:b/>
                <w:bCs/>
                <w:sz w:val="22"/>
                <w:lang w:val="lv-LV"/>
              </w:rPr>
              <w:t>Polska</w:t>
            </w:r>
          </w:p>
          <w:p w:rsidR="005C3B2E" w:rsidRDefault="005C3B2E" w:rsidP="005C3B2E">
            <w:pPr>
              <w:rPr>
                <w:sz w:val="22"/>
                <w:lang w:val="sv-SE"/>
              </w:rPr>
            </w:pPr>
            <w:r>
              <w:rPr>
                <w:sz w:val="22"/>
                <w:lang w:val="sv-SE"/>
              </w:rPr>
              <w:t>sanofi-aventis Sp. z o.o.</w:t>
            </w:r>
          </w:p>
          <w:p w:rsidR="005C3B2E" w:rsidRDefault="005C3B2E" w:rsidP="005C3B2E">
            <w:pPr>
              <w:rPr>
                <w:sz w:val="22"/>
                <w:lang w:val="fr-FR"/>
              </w:rPr>
            </w:pPr>
            <w:r>
              <w:rPr>
                <w:sz w:val="22"/>
                <w:lang w:val="fr-FR"/>
              </w:rPr>
              <w:t>Tel: +48 22 280 00 00</w:t>
            </w:r>
          </w:p>
          <w:p w:rsidR="008A79BE" w:rsidRDefault="008A79BE" w:rsidP="005C3B2E">
            <w:pPr>
              <w:rPr>
                <w:sz w:val="22"/>
                <w:lang w:val="fr-FR"/>
              </w:rPr>
            </w:pPr>
          </w:p>
        </w:tc>
      </w:tr>
      <w:tr w:rsidR="008A79BE" w:rsidTr="00935F6E">
        <w:trPr>
          <w:trHeight w:val="892"/>
        </w:trPr>
        <w:tc>
          <w:tcPr>
            <w:tcW w:w="4536" w:type="dxa"/>
          </w:tcPr>
          <w:p w:rsidR="008A79BE" w:rsidRDefault="008A79BE" w:rsidP="00935F6E">
            <w:pPr>
              <w:rPr>
                <w:b/>
                <w:bCs/>
                <w:sz w:val="22"/>
                <w:lang w:val="fr-FR"/>
              </w:rPr>
            </w:pPr>
            <w:r>
              <w:rPr>
                <w:b/>
                <w:bCs/>
                <w:sz w:val="22"/>
                <w:lang w:val="fr-FR"/>
              </w:rPr>
              <w:t>France</w:t>
            </w:r>
          </w:p>
          <w:p w:rsidR="008A79BE" w:rsidRDefault="008A79BE" w:rsidP="00935F6E">
            <w:pPr>
              <w:rPr>
                <w:sz w:val="22"/>
                <w:lang w:val="fr-FR"/>
              </w:rPr>
            </w:pPr>
            <w:r>
              <w:rPr>
                <w:sz w:val="22"/>
                <w:lang w:val="fr-BE"/>
              </w:rPr>
              <w:t xml:space="preserve">sanofi-aventis </w:t>
            </w:r>
            <w:r w:rsidR="004A3A1C">
              <w:rPr>
                <w:sz w:val="22"/>
                <w:lang w:val="fr-BE"/>
              </w:rPr>
              <w:t>F</w:t>
            </w:r>
            <w:r>
              <w:rPr>
                <w:sz w:val="22"/>
                <w:lang w:val="fr-BE"/>
              </w:rPr>
              <w:t>rance</w:t>
            </w:r>
          </w:p>
          <w:p w:rsidR="008A79BE" w:rsidRPr="00A26D01" w:rsidRDefault="008A79BE" w:rsidP="00935F6E">
            <w:pPr>
              <w:rPr>
                <w:sz w:val="22"/>
                <w:lang w:val="fr-FR"/>
              </w:rPr>
            </w:pPr>
            <w:r w:rsidRPr="00A26D01">
              <w:rPr>
                <w:sz w:val="22"/>
                <w:lang w:val="fr-FR"/>
              </w:rPr>
              <w:t>Tél: 0 800 222 555</w:t>
            </w:r>
          </w:p>
          <w:p w:rsidR="008A79BE" w:rsidRDefault="008A79BE" w:rsidP="00935F6E">
            <w:pPr>
              <w:rPr>
                <w:sz w:val="22"/>
                <w:lang w:val="pt-PT"/>
              </w:rPr>
            </w:pPr>
            <w:r>
              <w:rPr>
                <w:sz w:val="22"/>
                <w:lang w:val="pt-PT"/>
              </w:rPr>
              <w:t>Appel depuis l’étranger : +33 1 57 63 23 23</w:t>
            </w:r>
          </w:p>
          <w:p w:rsidR="005C3B2E" w:rsidRDefault="005C3B2E" w:rsidP="00935F6E">
            <w:pPr>
              <w:rPr>
                <w:sz w:val="22"/>
                <w:lang w:val="es-ES"/>
              </w:rPr>
            </w:pPr>
          </w:p>
        </w:tc>
        <w:tc>
          <w:tcPr>
            <w:tcW w:w="4536" w:type="dxa"/>
          </w:tcPr>
          <w:p w:rsidR="005C3B2E" w:rsidRPr="00A26D01" w:rsidRDefault="005C3B2E" w:rsidP="005C3B2E">
            <w:pPr>
              <w:rPr>
                <w:b/>
                <w:bCs/>
                <w:sz w:val="22"/>
                <w:lang w:val="pt-BR"/>
              </w:rPr>
            </w:pPr>
            <w:r w:rsidRPr="00A26D01">
              <w:rPr>
                <w:b/>
                <w:bCs/>
                <w:sz w:val="22"/>
                <w:lang w:val="pt-BR"/>
              </w:rPr>
              <w:t>Portugal</w:t>
            </w:r>
          </w:p>
          <w:p w:rsidR="005C3B2E" w:rsidRDefault="005C3B2E" w:rsidP="005C3B2E">
            <w:pPr>
              <w:rPr>
                <w:sz w:val="22"/>
                <w:lang w:val="fr-FR"/>
              </w:rPr>
            </w:pPr>
            <w:r>
              <w:rPr>
                <w:sz w:val="22"/>
                <w:lang w:val="pt-BR"/>
              </w:rPr>
              <w:t>S</w:t>
            </w:r>
            <w:r w:rsidRPr="00A26D01">
              <w:rPr>
                <w:sz w:val="22"/>
                <w:lang w:val="pt-BR"/>
              </w:rPr>
              <w:t xml:space="preserve">anofi- Produtos Farmacêuticos, </w:t>
            </w:r>
            <w:r>
              <w:rPr>
                <w:sz w:val="22"/>
                <w:lang w:val="fr-FR"/>
              </w:rPr>
              <w:t>Lda</w:t>
            </w:r>
          </w:p>
          <w:p w:rsidR="005C3B2E" w:rsidRDefault="005C3B2E" w:rsidP="005C3B2E">
            <w:pPr>
              <w:rPr>
                <w:sz w:val="22"/>
                <w:lang w:val="fr-FR"/>
              </w:rPr>
            </w:pPr>
            <w:r>
              <w:rPr>
                <w:sz w:val="22"/>
                <w:lang w:val="fr-FR"/>
              </w:rPr>
              <w:t>Tel: +351 21 35 89 400</w:t>
            </w:r>
          </w:p>
          <w:p w:rsidR="008A79BE" w:rsidRDefault="008A79BE" w:rsidP="005C3B2E">
            <w:pPr>
              <w:rPr>
                <w:sz w:val="22"/>
                <w:lang w:val="fr-FR"/>
              </w:rPr>
            </w:pPr>
          </w:p>
        </w:tc>
      </w:tr>
      <w:tr w:rsidR="008A79BE" w:rsidRPr="00BD6C12" w:rsidTr="00935F6E">
        <w:trPr>
          <w:trHeight w:val="1000"/>
        </w:trPr>
        <w:tc>
          <w:tcPr>
            <w:tcW w:w="4536" w:type="dxa"/>
          </w:tcPr>
          <w:p w:rsidR="005C3B2E" w:rsidRPr="00A23182" w:rsidRDefault="005C3B2E" w:rsidP="005C3B2E">
            <w:pPr>
              <w:keepNext/>
              <w:rPr>
                <w:rFonts w:eastAsia="SimSun"/>
                <w:b/>
                <w:bCs/>
                <w:sz w:val="22"/>
                <w:szCs w:val="22"/>
                <w:lang w:val="it-IT" w:eastAsia="zh-CN"/>
              </w:rPr>
            </w:pPr>
            <w:r w:rsidRPr="00A23182">
              <w:rPr>
                <w:rFonts w:eastAsia="SimSun"/>
                <w:b/>
                <w:bCs/>
                <w:sz w:val="22"/>
                <w:szCs w:val="22"/>
                <w:lang w:val="it-IT" w:eastAsia="zh-CN"/>
              </w:rPr>
              <w:t>Hrvatska</w:t>
            </w:r>
          </w:p>
          <w:p w:rsidR="005C3B2E" w:rsidRPr="00A23182" w:rsidRDefault="005C3B2E" w:rsidP="005C3B2E">
            <w:pPr>
              <w:rPr>
                <w:rFonts w:eastAsia="SimSun"/>
                <w:sz w:val="22"/>
                <w:szCs w:val="22"/>
                <w:lang w:val="it-IT" w:eastAsia="zh-CN"/>
              </w:rPr>
            </w:pPr>
            <w:r w:rsidRPr="00A23182">
              <w:rPr>
                <w:rFonts w:eastAsia="SimSun"/>
                <w:sz w:val="22"/>
                <w:szCs w:val="22"/>
                <w:lang w:val="it-IT" w:eastAsia="zh-CN"/>
              </w:rPr>
              <w:t>sanofi-aventis Croatia d.o.o.</w:t>
            </w:r>
          </w:p>
          <w:p w:rsidR="008A79BE" w:rsidRDefault="005C3B2E" w:rsidP="005C3B2E">
            <w:pPr>
              <w:rPr>
                <w:sz w:val="22"/>
                <w:lang w:val="nl-NL"/>
              </w:rPr>
            </w:pPr>
            <w:r w:rsidRPr="00A23182">
              <w:rPr>
                <w:rFonts w:eastAsia="SimSun"/>
                <w:sz w:val="22"/>
                <w:szCs w:val="22"/>
                <w:lang w:val="fr-FR" w:eastAsia="zh-CN"/>
              </w:rPr>
              <w:t>Tel: +385 1 600 34 00</w:t>
            </w:r>
          </w:p>
        </w:tc>
        <w:tc>
          <w:tcPr>
            <w:tcW w:w="4536" w:type="dxa"/>
          </w:tcPr>
          <w:p w:rsidR="005C3B2E" w:rsidRPr="00906110" w:rsidRDefault="005C3B2E" w:rsidP="005C3B2E">
            <w:pPr>
              <w:tabs>
                <w:tab w:val="left" w:pos="-720"/>
                <w:tab w:val="left" w:pos="4536"/>
              </w:tabs>
              <w:suppressAutoHyphens/>
              <w:rPr>
                <w:b/>
                <w:noProof/>
                <w:sz w:val="22"/>
                <w:szCs w:val="22"/>
                <w:lang w:val="fr-FR"/>
              </w:rPr>
            </w:pPr>
            <w:r w:rsidRPr="00906110">
              <w:rPr>
                <w:b/>
                <w:noProof/>
                <w:sz w:val="22"/>
                <w:szCs w:val="22"/>
                <w:lang w:val="fr-FR"/>
              </w:rPr>
              <w:t>România</w:t>
            </w:r>
          </w:p>
          <w:p w:rsidR="005C3B2E" w:rsidRPr="00906110" w:rsidRDefault="00266FA0" w:rsidP="005C3B2E">
            <w:pPr>
              <w:tabs>
                <w:tab w:val="left" w:pos="-720"/>
                <w:tab w:val="left" w:pos="4536"/>
              </w:tabs>
              <w:suppressAutoHyphens/>
              <w:rPr>
                <w:noProof/>
                <w:sz w:val="22"/>
                <w:szCs w:val="22"/>
                <w:lang w:val="fr-FR"/>
              </w:rPr>
            </w:pPr>
            <w:r>
              <w:rPr>
                <w:bCs/>
                <w:sz w:val="22"/>
                <w:szCs w:val="22"/>
                <w:lang w:val="it-IT"/>
              </w:rPr>
              <w:t>S</w:t>
            </w:r>
            <w:r w:rsidR="005C3B2E">
              <w:rPr>
                <w:bCs/>
                <w:sz w:val="22"/>
                <w:szCs w:val="22"/>
                <w:lang w:val="it-IT"/>
              </w:rPr>
              <w:t>anofi Rom</w:t>
            </w:r>
            <w:r>
              <w:rPr>
                <w:bCs/>
                <w:sz w:val="22"/>
                <w:szCs w:val="22"/>
                <w:lang w:val="it-IT"/>
              </w:rPr>
              <w:t>a</w:t>
            </w:r>
            <w:r w:rsidR="005C3B2E">
              <w:rPr>
                <w:bCs/>
                <w:sz w:val="22"/>
                <w:szCs w:val="22"/>
                <w:lang w:val="it-IT"/>
              </w:rPr>
              <w:t>nia SRL</w:t>
            </w:r>
          </w:p>
          <w:p w:rsidR="005C3B2E" w:rsidRDefault="005C3B2E" w:rsidP="005C3B2E">
            <w:pPr>
              <w:rPr>
                <w:sz w:val="22"/>
                <w:szCs w:val="22"/>
                <w:lang w:val="fr-FR"/>
              </w:rPr>
            </w:pPr>
            <w:r>
              <w:rPr>
                <w:noProof/>
                <w:sz w:val="22"/>
                <w:szCs w:val="22"/>
                <w:lang w:val="pl-PL"/>
              </w:rPr>
              <w:t xml:space="preserve">Tel: +40 </w:t>
            </w:r>
            <w:r>
              <w:rPr>
                <w:sz w:val="22"/>
                <w:szCs w:val="22"/>
                <w:lang w:val="fr-FR"/>
              </w:rPr>
              <w:t>(0) 21 317 31 36</w:t>
            </w:r>
          </w:p>
          <w:p w:rsidR="008A79BE" w:rsidRDefault="008A79BE" w:rsidP="005C3B2E">
            <w:pPr>
              <w:rPr>
                <w:sz w:val="22"/>
                <w:lang w:val="pt-PT"/>
              </w:rPr>
            </w:pPr>
          </w:p>
        </w:tc>
      </w:tr>
      <w:tr w:rsidR="008A79BE" w:rsidTr="00935F6E">
        <w:trPr>
          <w:trHeight w:val="892"/>
        </w:trPr>
        <w:tc>
          <w:tcPr>
            <w:tcW w:w="4536" w:type="dxa"/>
          </w:tcPr>
          <w:p w:rsidR="005C3B2E" w:rsidRDefault="005C3B2E" w:rsidP="005C3B2E">
            <w:pPr>
              <w:rPr>
                <w:b/>
                <w:bCs/>
                <w:sz w:val="22"/>
                <w:lang w:val="fr-FR"/>
              </w:rPr>
            </w:pPr>
            <w:r>
              <w:rPr>
                <w:b/>
                <w:bCs/>
                <w:sz w:val="22"/>
                <w:lang w:val="fr-FR"/>
              </w:rPr>
              <w:t>Ireland</w:t>
            </w:r>
          </w:p>
          <w:p w:rsidR="005C3B2E" w:rsidRDefault="005C3B2E" w:rsidP="005C3B2E">
            <w:pPr>
              <w:rPr>
                <w:sz w:val="22"/>
                <w:lang w:val="fr-FR"/>
              </w:rPr>
            </w:pPr>
            <w:r>
              <w:rPr>
                <w:sz w:val="22"/>
                <w:lang w:val="fr-FR"/>
              </w:rPr>
              <w:t>sanofi-aventis Ireland</w:t>
            </w:r>
            <w:r>
              <w:rPr>
                <w:lang w:val="fr-FR"/>
              </w:rPr>
              <w:t xml:space="preserve"> </w:t>
            </w:r>
            <w:r>
              <w:rPr>
                <w:sz w:val="22"/>
                <w:lang w:val="fr-FR"/>
              </w:rPr>
              <w:t>Ltd.T/A SANOFI</w:t>
            </w:r>
          </w:p>
          <w:p w:rsidR="005C3B2E" w:rsidRDefault="005C3B2E" w:rsidP="005C3B2E">
            <w:pPr>
              <w:rPr>
                <w:sz w:val="22"/>
                <w:lang w:val="it-IT"/>
              </w:rPr>
            </w:pPr>
            <w:r>
              <w:rPr>
                <w:sz w:val="22"/>
                <w:lang w:val="it-IT"/>
              </w:rPr>
              <w:t>Tel: +353 (0) 1 403 56 00</w:t>
            </w:r>
          </w:p>
          <w:p w:rsidR="008A79BE" w:rsidRDefault="008A79BE" w:rsidP="005C3B2E">
            <w:pPr>
              <w:rPr>
                <w:sz w:val="22"/>
                <w:lang w:val="es-ES"/>
              </w:rPr>
            </w:pPr>
          </w:p>
        </w:tc>
        <w:tc>
          <w:tcPr>
            <w:tcW w:w="4536" w:type="dxa"/>
          </w:tcPr>
          <w:p w:rsidR="005C3B2E" w:rsidRDefault="005C3B2E" w:rsidP="005C3B2E">
            <w:pPr>
              <w:rPr>
                <w:b/>
                <w:bCs/>
                <w:sz w:val="22"/>
                <w:lang w:val="sl-SI"/>
              </w:rPr>
            </w:pPr>
            <w:r>
              <w:rPr>
                <w:b/>
                <w:bCs/>
                <w:sz w:val="22"/>
                <w:lang w:val="sl-SI"/>
              </w:rPr>
              <w:t>Slovenija</w:t>
            </w:r>
          </w:p>
          <w:p w:rsidR="005C3B2E" w:rsidRDefault="005C3B2E" w:rsidP="005C3B2E">
            <w:pPr>
              <w:rPr>
                <w:sz w:val="22"/>
                <w:lang w:val="cs-CZ"/>
              </w:rPr>
            </w:pPr>
            <w:r>
              <w:rPr>
                <w:sz w:val="22"/>
                <w:lang w:val="cs-CZ"/>
              </w:rPr>
              <w:t>sanofi-aventis d.o.o.</w:t>
            </w:r>
          </w:p>
          <w:p w:rsidR="005C3B2E" w:rsidRDefault="005C3B2E" w:rsidP="005C3B2E">
            <w:pPr>
              <w:rPr>
                <w:sz w:val="22"/>
                <w:lang w:val="cs-CZ"/>
              </w:rPr>
            </w:pPr>
            <w:r>
              <w:rPr>
                <w:sz w:val="22"/>
                <w:lang w:val="cs-CZ"/>
              </w:rPr>
              <w:t>Tel: +386 1 560 48 00</w:t>
            </w:r>
          </w:p>
          <w:p w:rsidR="008A79BE" w:rsidRPr="00A26D01" w:rsidRDefault="008A79BE" w:rsidP="005C3B2E">
            <w:pPr>
              <w:rPr>
                <w:sz w:val="22"/>
                <w:lang w:val="es-ES"/>
              </w:rPr>
            </w:pPr>
          </w:p>
        </w:tc>
      </w:tr>
      <w:tr w:rsidR="008A79BE" w:rsidTr="00935F6E">
        <w:trPr>
          <w:trHeight w:val="772"/>
        </w:trPr>
        <w:tc>
          <w:tcPr>
            <w:tcW w:w="4536" w:type="dxa"/>
          </w:tcPr>
          <w:p w:rsidR="005C3B2E" w:rsidRDefault="005C3B2E" w:rsidP="005C3B2E">
            <w:pPr>
              <w:rPr>
                <w:b/>
                <w:bCs/>
                <w:sz w:val="22"/>
                <w:lang w:val="is-IS"/>
              </w:rPr>
            </w:pPr>
            <w:r>
              <w:rPr>
                <w:b/>
                <w:bCs/>
                <w:sz w:val="22"/>
                <w:lang w:val="is-IS"/>
              </w:rPr>
              <w:t>Ísland</w:t>
            </w:r>
          </w:p>
          <w:p w:rsidR="005C3B2E" w:rsidRDefault="005C3B2E" w:rsidP="005C3B2E">
            <w:pPr>
              <w:rPr>
                <w:sz w:val="22"/>
                <w:lang w:val="is-IS"/>
              </w:rPr>
            </w:pPr>
            <w:r>
              <w:rPr>
                <w:sz w:val="22"/>
                <w:lang w:val="cs-CZ"/>
              </w:rPr>
              <w:t>Vistor hf.</w:t>
            </w:r>
          </w:p>
          <w:p w:rsidR="005C3B2E" w:rsidRDefault="005C3B2E" w:rsidP="005C3B2E">
            <w:pPr>
              <w:rPr>
                <w:sz w:val="22"/>
                <w:lang w:val="cs-CZ"/>
              </w:rPr>
            </w:pPr>
            <w:r>
              <w:rPr>
                <w:noProof/>
                <w:sz w:val="22"/>
                <w:lang w:val="it-IT"/>
              </w:rPr>
              <w:t>Sími</w:t>
            </w:r>
            <w:r>
              <w:rPr>
                <w:sz w:val="22"/>
                <w:lang w:val="cs-CZ"/>
              </w:rPr>
              <w:t>: +354 535 7000</w:t>
            </w:r>
          </w:p>
          <w:p w:rsidR="008A79BE" w:rsidRDefault="008A79BE" w:rsidP="005C3B2E">
            <w:pPr>
              <w:rPr>
                <w:sz w:val="22"/>
                <w:lang w:val="es-ES"/>
              </w:rPr>
            </w:pPr>
          </w:p>
        </w:tc>
        <w:tc>
          <w:tcPr>
            <w:tcW w:w="4536" w:type="dxa"/>
          </w:tcPr>
          <w:p w:rsidR="005C3B2E" w:rsidRDefault="005C3B2E" w:rsidP="005C3B2E">
            <w:pPr>
              <w:rPr>
                <w:b/>
                <w:bCs/>
                <w:sz w:val="22"/>
                <w:lang w:val="sk-SK"/>
              </w:rPr>
            </w:pPr>
            <w:r>
              <w:rPr>
                <w:b/>
                <w:bCs/>
                <w:sz w:val="22"/>
                <w:lang w:val="sk-SK"/>
              </w:rPr>
              <w:t>Slovenská republika</w:t>
            </w:r>
          </w:p>
          <w:p w:rsidR="005C3B2E" w:rsidRDefault="005C3B2E" w:rsidP="005C3B2E">
            <w:pPr>
              <w:rPr>
                <w:sz w:val="22"/>
                <w:lang w:val="cs-CZ"/>
              </w:rPr>
            </w:pPr>
            <w:r>
              <w:rPr>
                <w:sz w:val="22"/>
                <w:lang w:val="sk-SK"/>
              </w:rPr>
              <w:t>sanofi-</w:t>
            </w:r>
            <w:r>
              <w:rPr>
                <w:sz w:val="22"/>
                <w:lang w:val="cs-CZ"/>
              </w:rPr>
              <w:t xml:space="preserve">aventis Slovakia </w:t>
            </w:r>
            <w:r>
              <w:rPr>
                <w:sz w:val="22"/>
                <w:lang w:val="sk-SK"/>
              </w:rPr>
              <w:t>s.r.o.</w:t>
            </w:r>
          </w:p>
          <w:p w:rsidR="005C3B2E" w:rsidRDefault="005C3B2E" w:rsidP="005C3B2E">
            <w:pPr>
              <w:rPr>
                <w:sz w:val="22"/>
                <w:lang w:val="sk-SK"/>
              </w:rPr>
            </w:pPr>
            <w:r>
              <w:rPr>
                <w:sz w:val="22"/>
                <w:lang w:val="cs-CZ"/>
              </w:rPr>
              <w:t>Tel: +</w:t>
            </w:r>
            <w:r>
              <w:rPr>
                <w:sz w:val="22"/>
                <w:lang w:val="sk-SK"/>
              </w:rPr>
              <w:t>421 2 33 100 100</w:t>
            </w:r>
          </w:p>
          <w:p w:rsidR="008A79BE" w:rsidRDefault="008A79BE" w:rsidP="005C3B2E">
            <w:pPr>
              <w:rPr>
                <w:sz w:val="22"/>
                <w:lang w:val="es-ES"/>
              </w:rPr>
            </w:pPr>
          </w:p>
        </w:tc>
      </w:tr>
      <w:tr w:rsidR="008A79BE" w:rsidRPr="00022436" w:rsidTr="00935F6E">
        <w:trPr>
          <w:trHeight w:val="1264"/>
        </w:trPr>
        <w:tc>
          <w:tcPr>
            <w:tcW w:w="4536" w:type="dxa"/>
          </w:tcPr>
          <w:p w:rsidR="005C3B2E" w:rsidRDefault="005C3B2E" w:rsidP="005C3B2E">
            <w:pPr>
              <w:rPr>
                <w:b/>
                <w:bCs/>
                <w:sz w:val="22"/>
                <w:lang w:val="it-IT"/>
              </w:rPr>
            </w:pPr>
            <w:r>
              <w:rPr>
                <w:b/>
                <w:bCs/>
                <w:sz w:val="22"/>
                <w:lang w:val="it-IT"/>
              </w:rPr>
              <w:t>Italia</w:t>
            </w:r>
          </w:p>
          <w:p w:rsidR="005C3B2E" w:rsidRDefault="00117598" w:rsidP="005C3B2E">
            <w:pPr>
              <w:rPr>
                <w:sz w:val="22"/>
                <w:lang w:val="it-IT"/>
              </w:rPr>
            </w:pPr>
            <w:r>
              <w:rPr>
                <w:sz w:val="22"/>
                <w:lang w:val="it-IT"/>
              </w:rPr>
              <w:t>S</w:t>
            </w:r>
            <w:r w:rsidR="005C3B2E">
              <w:rPr>
                <w:sz w:val="22"/>
                <w:lang w:val="it-IT"/>
              </w:rPr>
              <w:t>anofi S.</w:t>
            </w:r>
            <w:r w:rsidR="007C5608">
              <w:rPr>
                <w:sz w:val="22"/>
                <w:lang w:val="it-IT"/>
              </w:rPr>
              <w:t>r</w:t>
            </w:r>
            <w:r w:rsidR="005C3B2E">
              <w:rPr>
                <w:sz w:val="22"/>
                <w:lang w:val="it-IT"/>
              </w:rPr>
              <w:t>.</w:t>
            </w:r>
            <w:r w:rsidR="007C5608">
              <w:rPr>
                <w:sz w:val="22"/>
                <w:lang w:val="it-IT"/>
              </w:rPr>
              <w:t>l</w:t>
            </w:r>
            <w:r w:rsidR="005C3B2E">
              <w:rPr>
                <w:sz w:val="22"/>
                <w:lang w:val="it-IT"/>
              </w:rPr>
              <w:t>.</w:t>
            </w:r>
          </w:p>
          <w:p w:rsidR="008A79BE" w:rsidRDefault="005C3B2E" w:rsidP="00935F6E">
            <w:pPr>
              <w:rPr>
                <w:sz w:val="22"/>
                <w:lang w:val="it-IT"/>
              </w:rPr>
            </w:pPr>
            <w:r>
              <w:rPr>
                <w:sz w:val="22"/>
                <w:lang w:val="it-IT"/>
              </w:rPr>
              <w:t xml:space="preserve">Tel: </w:t>
            </w:r>
            <w:r w:rsidR="00975C66" w:rsidRPr="00975C66">
              <w:rPr>
                <w:sz w:val="22"/>
                <w:lang w:val="it-IT"/>
              </w:rPr>
              <w:t>800</w:t>
            </w:r>
            <w:r w:rsidR="00783CC9">
              <w:rPr>
                <w:sz w:val="22"/>
                <w:lang w:val="it-IT"/>
              </w:rPr>
              <w:t xml:space="preserve"> </w:t>
            </w:r>
            <w:r w:rsidR="00975C66" w:rsidRPr="00975C66">
              <w:rPr>
                <w:sz w:val="22"/>
                <w:lang w:val="it-IT"/>
              </w:rPr>
              <w:t>536</w:t>
            </w:r>
            <w:r w:rsidR="005B7E83">
              <w:rPr>
                <w:sz w:val="22"/>
                <w:lang w:val="it-IT"/>
              </w:rPr>
              <w:t xml:space="preserve"> </w:t>
            </w:r>
            <w:r w:rsidR="00975C66" w:rsidRPr="00975C66">
              <w:rPr>
                <w:sz w:val="22"/>
                <w:lang w:val="it-IT"/>
              </w:rPr>
              <w:t>389</w:t>
            </w:r>
          </w:p>
          <w:p w:rsidR="008A79BE" w:rsidRDefault="008A79BE" w:rsidP="00935F6E">
            <w:pPr>
              <w:rPr>
                <w:sz w:val="22"/>
                <w:lang w:val="nl-NL"/>
              </w:rPr>
            </w:pPr>
          </w:p>
        </w:tc>
        <w:tc>
          <w:tcPr>
            <w:tcW w:w="4536" w:type="dxa"/>
          </w:tcPr>
          <w:p w:rsidR="005C3B2E" w:rsidRDefault="005C3B2E" w:rsidP="005C3B2E">
            <w:pPr>
              <w:rPr>
                <w:b/>
                <w:bCs/>
                <w:sz w:val="22"/>
                <w:lang w:val="it-IT"/>
              </w:rPr>
            </w:pPr>
            <w:r>
              <w:rPr>
                <w:b/>
                <w:bCs/>
                <w:sz w:val="22"/>
                <w:lang w:val="it-IT"/>
              </w:rPr>
              <w:t>Suomi/Finland</w:t>
            </w:r>
          </w:p>
          <w:p w:rsidR="005C3B2E" w:rsidRDefault="00D0310C" w:rsidP="005C3B2E">
            <w:pPr>
              <w:rPr>
                <w:sz w:val="22"/>
                <w:lang w:val="it-IT"/>
              </w:rPr>
            </w:pPr>
            <w:r>
              <w:rPr>
                <w:sz w:val="22"/>
                <w:lang w:val="it-IT"/>
              </w:rPr>
              <w:t>S</w:t>
            </w:r>
            <w:r w:rsidR="005C3B2E">
              <w:rPr>
                <w:sz w:val="22"/>
                <w:lang w:val="it-IT"/>
              </w:rPr>
              <w:t>anofi Oy</w:t>
            </w:r>
          </w:p>
          <w:p w:rsidR="005C3B2E" w:rsidRDefault="005C3B2E" w:rsidP="005C3B2E">
            <w:pPr>
              <w:rPr>
                <w:sz w:val="22"/>
                <w:lang w:val="it-IT"/>
              </w:rPr>
            </w:pPr>
            <w:r>
              <w:rPr>
                <w:sz w:val="22"/>
                <w:lang w:val="it-IT"/>
              </w:rPr>
              <w:t>Puh/Tel: +358 (0) 201 200 300</w:t>
            </w:r>
          </w:p>
          <w:p w:rsidR="008A79BE" w:rsidRDefault="008A79BE" w:rsidP="005C3B2E">
            <w:pPr>
              <w:rPr>
                <w:sz w:val="22"/>
                <w:lang w:val="es-ES"/>
              </w:rPr>
            </w:pPr>
          </w:p>
        </w:tc>
      </w:tr>
      <w:tr w:rsidR="008A79BE" w:rsidTr="00935F6E">
        <w:trPr>
          <w:trHeight w:val="1264"/>
        </w:trPr>
        <w:tc>
          <w:tcPr>
            <w:tcW w:w="4536" w:type="dxa"/>
          </w:tcPr>
          <w:p w:rsidR="005C3B2E" w:rsidRPr="00677B2C" w:rsidRDefault="005C3B2E" w:rsidP="005C3B2E">
            <w:pPr>
              <w:rPr>
                <w:b/>
                <w:bCs/>
                <w:sz w:val="22"/>
                <w:lang w:val="fr-FR"/>
              </w:rPr>
            </w:pPr>
            <w:r>
              <w:rPr>
                <w:b/>
                <w:bCs/>
                <w:sz w:val="22"/>
                <w:lang w:val="el-GR"/>
              </w:rPr>
              <w:t>Κύπρος</w:t>
            </w:r>
          </w:p>
          <w:p w:rsidR="005C3B2E" w:rsidRPr="00677B2C" w:rsidRDefault="005C3B2E" w:rsidP="005C3B2E">
            <w:pPr>
              <w:rPr>
                <w:sz w:val="22"/>
                <w:lang w:val="fr-FR"/>
              </w:rPr>
            </w:pPr>
            <w:r w:rsidRPr="00677B2C">
              <w:rPr>
                <w:sz w:val="22"/>
                <w:lang w:val="fr-FR"/>
              </w:rPr>
              <w:t>sanofi-aventis Cyprus Ltd.</w:t>
            </w:r>
          </w:p>
          <w:p w:rsidR="008A79BE" w:rsidRDefault="005C3B2E" w:rsidP="005C3B2E">
            <w:pPr>
              <w:rPr>
                <w:sz w:val="22"/>
                <w:lang w:val="es-ES"/>
              </w:rPr>
            </w:pPr>
            <w:r>
              <w:rPr>
                <w:sz w:val="22"/>
                <w:lang w:val="el-GR"/>
              </w:rPr>
              <w:t>Τηλ: +</w:t>
            </w:r>
            <w:r>
              <w:rPr>
                <w:sz w:val="22"/>
                <w:lang w:val="it-IT"/>
              </w:rPr>
              <w:t>357 22 871600</w:t>
            </w:r>
          </w:p>
        </w:tc>
        <w:tc>
          <w:tcPr>
            <w:tcW w:w="4536" w:type="dxa"/>
          </w:tcPr>
          <w:p w:rsidR="005C3B2E" w:rsidRDefault="005C3B2E" w:rsidP="005C3B2E">
            <w:pPr>
              <w:rPr>
                <w:b/>
                <w:bCs/>
                <w:sz w:val="22"/>
                <w:lang w:val="sv-SE"/>
              </w:rPr>
            </w:pPr>
            <w:r>
              <w:rPr>
                <w:b/>
                <w:bCs/>
                <w:sz w:val="22"/>
                <w:lang w:val="sv-SE"/>
              </w:rPr>
              <w:t>Sverige</w:t>
            </w:r>
          </w:p>
          <w:p w:rsidR="005C3B2E" w:rsidRDefault="00D0310C" w:rsidP="005C3B2E">
            <w:pPr>
              <w:rPr>
                <w:sz w:val="22"/>
                <w:lang w:val="sv-SE"/>
              </w:rPr>
            </w:pPr>
            <w:r>
              <w:rPr>
                <w:sz w:val="22"/>
                <w:lang w:val="sv-SE"/>
              </w:rPr>
              <w:t>S</w:t>
            </w:r>
            <w:r w:rsidR="005C3B2E">
              <w:rPr>
                <w:sz w:val="22"/>
                <w:lang w:val="sv-SE"/>
              </w:rPr>
              <w:t>anofi AB</w:t>
            </w:r>
          </w:p>
          <w:p w:rsidR="005C3B2E" w:rsidRDefault="005C3B2E" w:rsidP="005C3B2E">
            <w:pPr>
              <w:rPr>
                <w:sz w:val="22"/>
                <w:lang w:val="sv-SE"/>
              </w:rPr>
            </w:pPr>
            <w:r>
              <w:rPr>
                <w:sz w:val="22"/>
                <w:lang w:val="sv-SE"/>
              </w:rPr>
              <w:t>Tel: +46 (0)8 634 50 00</w:t>
            </w:r>
          </w:p>
          <w:p w:rsidR="008A79BE" w:rsidRDefault="008A79BE" w:rsidP="005C3B2E">
            <w:pPr>
              <w:rPr>
                <w:sz w:val="22"/>
              </w:rPr>
            </w:pPr>
          </w:p>
        </w:tc>
      </w:tr>
      <w:tr w:rsidR="008A79BE" w:rsidRPr="00A26D01" w:rsidTr="00935F6E">
        <w:trPr>
          <w:trHeight w:val="1264"/>
        </w:trPr>
        <w:tc>
          <w:tcPr>
            <w:tcW w:w="4536" w:type="dxa"/>
          </w:tcPr>
          <w:p w:rsidR="005C3B2E" w:rsidRDefault="005C3B2E" w:rsidP="005C3B2E">
            <w:pPr>
              <w:rPr>
                <w:b/>
                <w:bCs/>
                <w:sz w:val="22"/>
                <w:lang w:val="lv-LV"/>
              </w:rPr>
            </w:pPr>
            <w:r>
              <w:rPr>
                <w:b/>
                <w:bCs/>
                <w:sz w:val="22"/>
                <w:lang w:val="lv-LV"/>
              </w:rPr>
              <w:t>Latvija</w:t>
            </w:r>
          </w:p>
          <w:p w:rsidR="005C3B2E" w:rsidRDefault="005C3B2E" w:rsidP="005C3B2E">
            <w:pPr>
              <w:rPr>
                <w:sz w:val="22"/>
                <w:lang w:val="sv-SE"/>
              </w:rPr>
            </w:pPr>
            <w:r>
              <w:rPr>
                <w:sz w:val="22"/>
                <w:lang w:val="sv-SE"/>
              </w:rPr>
              <w:t>sanofi-aventis Latvia SIA</w:t>
            </w:r>
          </w:p>
          <w:p w:rsidR="005C3B2E" w:rsidRDefault="005C3B2E" w:rsidP="005C3B2E">
            <w:pPr>
              <w:rPr>
                <w:sz w:val="22"/>
                <w:lang w:val="sv-SE"/>
              </w:rPr>
            </w:pPr>
            <w:r>
              <w:rPr>
                <w:sz w:val="22"/>
                <w:lang w:val="sv-SE"/>
              </w:rPr>
              <w:t>Tel: +371 67 33 24 51</w:t>
            </w:r>
          </w:p>
          <w:p w:rsidR="008A79BE" w:rsidRDefault="008A79BE" w:rsidP="005C3B2E">
            <w:pPr>
              <w:rPr>
                <w:bCs/>
                <w:lang w:val="lt-LT"/>
              </w:rPr>
            </w:pPr>
          </w:p>
        </w:tc>
        <w:tc>
          <w:tcPr>
            <w:tcW w:w="4536" w:type="dxa"/>
          </w:tcPr>
          <w:p w:rsidR="005C3B2E" w:rsidRDefault="005C3B2E" w:rsidP="005C3B2E">
            <w:pPr>
              <w:rPr>
                <w:b/>
                <w:bCs/>
                <w:sz w:val="22"/>
                <w:lang w:val="sv-SE"/>
              </w:rPr>
            </w:pPr>
            <w:r>
              <w:rPr>
                <w:b/>
                <w:bCs/>
                <w:sz w:val="22"/>
                <w:lang w:val="sv-SE"/>
              </w:rPr>
              <w:t>United Kingdom</w:t>
            </w:r>
          </w:p>
          <w:p w:rsidR="005C3B2E" w:rsidRDefault="005C3B2E" w:rsidP="005C3B2E">
            <w:pPr>
              <w:rPr>
                <w:sz w:val="22"/>
                <w:lang w:val="sv-SE"/>
              </w:rPr>
            </w:pPr>
            <w:r>
              <w:rPr>
                <w:sz w:val="22"/>
                <w:lang w:val="sv-SE"/>
              </w:rPr>
              <w:t>Sanofi</w:t>
            </w:r>
          </w:p>
          <w:p w:rsidR="005C3B2E" w:rsidRDefault="005C3B2E" w:rsidP="005C3B2E">
            <w:pPr>
              <w:rPr>
                <w:sz w:val="22"/>
                <w:lang w:val="sv-SE"/>
              </w:rPr>
            </w:pPr>
            <w:r>
              <w:rPr>
                <w:sz w:val="22"/>
                <w:lang w:val="sv-SE"/>
              </w:rPr>
              <w:t xml:space="preserve">Tel: +44 (0) </w:t>
            </w:r>
            <w:r w:rsidR="00D0310C">
              <w:rPr>
                <w:sz w:val="22"/>
                <w:lang w:val="sv-SE"/>
              </w:rPr>
              <w:t>845 372 7101</w:t>
            </w:r>
          </w:p>
          <w:p w:rsidR="008A79BE" w:rsidRPr="00A26D01" w:rsidRDefault="008A79BE" w:rsidP="00935F6E">
            <w:pPr>
              <w:rPr>
                <w:sz w:val="22"/>
                <w:lang w:val="fr-FR"/>
              </w:rPr>
            </w:pPr>
          </w:p>
        </w:tc>
      </w:tr>
    </w:tbl>
    <w:p w:rsidR="008A79BE" w:rsidRPr="00022436" w:rsidRDefault="008A79BE" w:rsidP="008A79BE">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lang w:val="fr-FR"/>
        </w:rPr>
      </w:pPr>
    </w:p>
    <w:p w:rsidR="008A79BE" w:rsidRDefault="008A79BE" w:rsidP="008A79BE">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r>
        <w:t xml:space="preserve">Data </w:t>
      </w:r>
      <w:r w:rsidR="0093626A">
        <w:t xml:space="preserve">ostatniej aktualizacji </w:t>
      </w:r>
      <w:r>
        <w:t xml:space="preserve">ulotki: </w:t>
      </w:r>
    </w:p>
    <w:p w:rsidR="0093626A" w:rsidRPr="00022436" w:rsidRDefault="0093626A" w:rsidP="008A79BE">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rPr>
      </w:pPr>
    </w:p>
    <w:p w:rsidR="0093626A" w:rsidRDefault="0093626A" w:rsidP="008A79BE">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r>
        <w:t>Inne źródła informacji</w:t>
      </w:r>
    </w:p>
    <w:p w:rsidR="0093626A" w:rsidRPr="00022436" w:rsidRDefault="0093626A" w:rsidP="008A79BE">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rPr>
      </w:pPr>
    </w:p>
    <w:p w:rsidR="00585E61" w:rsidRPr="00585E61" w:rsidRDefault="008A79BE" w:rsidP="008A79BE">
      <w:pPr>
        <w:rPr>
          <w:bCs/>
          <w:sz w:val="22"/>
          <w:lang w:val="pl-PL"/>
        </w:rPr>
      </w:pPr>
      <w:r w:rsidRPr="00A26D01">
        <w:rPr>
          <w:bCs/>
          <w:sz w:val="22"/>
          <w:lang w:val="pl-PL"/>
        </w:rPr>
        <w:t>Szczegółow</w:t>
      </w:r>
      <w:r w:rsidR="0093626A">
        <w:rPr>
          <w:bCs/>
          <w:sz w:val="22"/>
          <w:lang w:val="pl-PL"/>
        </w:rPr>
        <w:t>e</w:t>
      </w:r>
      <w:r w:rsidRPr="00A26D01">
        <w:rPr>
          <w:bCs/>
          <w:sz w:val="22"/>
          <w:lang w:val="pl-PL"/>
        </w:rPr>
        <w:t xml:space="preserve"> informacj</w:t>
      </w:r>
      <w:r w:rsidR="0093626A">
        <w:rPr>
          <w:bCs/>
          <w:sz w:val="22"/>
          <w:lang w:val="pl-PL"/>
        </w:rPr>
        <w:t xml:space="preserve">e </w:t>
      </w:r>
      <w:r w:rsidRPr="00A26D01">
        <w:rPr>
          <w:bCs/>
          <w:sz w:val="22"/>
          <w:lang w:val="pl-PL"/>
        </w:rPr>
        <w:t xml:space="preserve">o tym leku </w:t>
      </w:r>
      <w:r w:rsidR="0093626A">
        <w:rPr>
          <w:bCs/>
          <w:sz w:val="22"/>
          <w:lang w:val="pl-PL"/>
        </w:rPr>
        <w:t>znajdują się</w:t>
      </w:r>
      <w:r w:rsidRPr="00A26D01">
        <w:rPr>
          <w:bCs/>
          <w:sz w:val="22"/>
          <w:lang w:val="pl-PL"/>
        </w:rPr>
        <w:t xml:space="preserve"> na stronie internetowej Europejskiej Agencji </w:t>
      </w:r>
      <w:r w:rsidR="005A3E8E">
        <w:rPr>
          <w:bCs/>
          <w:sz w:val="22"/>
          <w:lang w:val="pl-PL"/>
        </w:rPr>
        <w:t>Leków</w:t>
      </w:r>
      <w:r w:rsidRPr="00906110">
        <w:rPr>
          <w:bCs/>
          <w:sz w:val="22"/>
          <w:lang w:val="pl-PL"/>
        </w:rPr>
        <w:t xml:space="preserve"> </w:t>
      </w:r>
      <w:r w:rsidR="00585E61" w:rsidRPr="001E79CA">
        <w:rPr>
          <w:bCs/>
          <w:sz w:val="22"/>
          <w:lang w:val="pl-PL"/>
        </w:rPr>
        <w:t>http://www.ema.euro</w:t>
      </w:r>
      <w:r w:rsidR="00585E61" w:rsidRPr="001E79CA">
        <w:rPr>
          <w:bCs/>
          <w:sz w:val="22"/>
          <w:lang w:val="pl-PL"/>
        </w:rPr>
        <w:t>p</w:t>
      </w:r>
      <w:r w:rsidR="00585E61" w:rsidRPr="001E79CA">
        <w:rPr>
          <w:bCs/>
          <w:sz w:val="22"/>
          <w:lang w:val="pl-PL"/>
        </w:rPr>
        <w:t>a</w:t>
      </w:r>
      <w:r w:rsidR="00585E61" w:rsidRPr="001E79CA">
        <w:rPr>
          <w:bCs/>
          <w:sz w:val="22"/>
          <w:lang w:val="pl-PL"/>
        </w:rPr>
        <w:t>.eu</w:t>
      </w:r>
    </w:p>
    <w:p w:rsidR="008A79BE" w:rsidRPr="00585E61" w:rsidRDefault="008A79BE" w:rsidP="008A79BE">
      <w:pPr>
        <w:rPr>
          <w:bCs/>
          <w:sz w:val="22"/>
          <w:lang w:val="pl-PL"/>
        </w:rPr>
      </w:pPr>
      <w:r w:rsidRPr="00585E61">
        <w:rPr>
          <w:bCs/>
          <w:sz w:val="22"/>
          <w:lang w:val="pl-PL"/>
        </w:rPr>
        <w:t xml:space="preserve"> </w:t>
      </w:r>
    </w:p>
    <w:p w:rsidR="008A79BE" w:rsidRPr="002A2071" w:rsidRDefault="008A79BE" w:rsidP="008A79BE">
      <w:pPr>
        <w:rPr>
          <w:bCs/>
          <w:sz w:val="22"/>
          <w:lang w:val="pl-PL"/>
        </w:rPr>
      </w:pPr>
    </w:p>
    <w:p w:rsidR="008A79BE" w:rsidRPr="00316B15" w:rsidRDefault="008A79BE">
      <w:pPr>
        <w:rPr>
          <w:bCs/>
          <w:sz w:val="22"/>
          <w:lang w:val="pl-PL"/>
        </w:rPr>
      </w:pPr>
    </w:p>
    <w:sectPr w:rsidR="008A79BE" w:rsidRPr="00316B15" w:rsidSect="0006629F">
      <w:headerReference w:type="even" r:id="rId14"/>
      <w:headerReference w:type="default" r:id="rId15"/>
      <w:footerReference w:type="even" r:id="rId16"/>
      <w:footerReference w:type="default" r:id="rId17"/>
      <w:pgSz w:w="11906" w:h="16838"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4EE" w:rsidRDefault="00F064EE">
      <w:r>
        <w:separator/>
      </w:r>
    </w:p>
  </w:endnote>
  <w:endnote w:type="continuationSeparator" w:id="0">
    <w:p w:rsidR="00F064EE" w:rsidRDefault="00F064EE">
      <w:r>
        <w:continuationSeparator/>
      </w:r>
    </w:p>
  </w:endnote>
  <w:endnote w:type="continuationNotice" w:id="1">
    <w:p w:rsidR="00F064EE" w:rsidRDefault="00F06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PL">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49" w:rsidRDefault="00736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6149" w:rsidRDefault="007361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49" w:rsidRDefault="00736149">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6A5A75">
      <w:rPr>
        <w:rStyle w:val="PageNumber"/>
        <w:rFonts w:ascii="Arial" w:hAnsi="Arial"/>
        <w:noProof/>
        <w:sz w:val="16"/>
      </w:rPr>
      <w:t>3</w:t>
    </w:r>
    <w:r>
      <w:rPr>
        <w:rStyle w:val="PageNumber"/>
        <w:rFonts w:ascii="Arial" w:hAnsi="Arial"/>
        <w:sz w:val="16"/>
      </w:rPr>
      <w:fldChar w:fldCharType="end"/>
    </w:r>
  </w:p>
  <w:p w:rsidR="00736149" w:rsidRDefault="00736149">
    <w:pPr>
      <w:pStyle w:val="Footer"/>
      <w:framePr w:wrap="around" w:vAnchor="text" w:hAnchor="margin" w:xAlign="right" w:y="1"/>
      <w:rPr>
        <w:rStyle w:val="PageNumber"/>
      </w:rPr>
    </w:pPr>
  </w:p>
  <w:p w:rsidR="00736149" w:rsidRDefault="00736149">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4EE" w:rsidRDefault="00F064EE">
      <w:r>
        <w:separator/>
      </w:r>
    </w:p>
  </w:footnote>
  <w:footnote w:type="continuationSeparator" w:id="0">
    <w:p w:rsidR="00F064EE" w:rsidRDefault="00F064EE">
      <w:r>
        <w:continuationSeparator/>
      </w:r>
    </w:p>
  </w:footnote>
  <w:footnote w:type="continuationNotice" w:id="1">
    <w:p w:rsidR="00F064EE" w:rsidRDefault="00F064EE"/>
  </w:footnote>
  <w:footnote w:id="2">
    <w:p w:rsidR="00176E80" w:rsidRPr="00FF09BE" w:rsidRDefault="00176E80" w:rsidP="00176E80">
      <w:pPr>
        <w:pStyle w:val="FootnoteText"/>
        <w:rPr>
          <w:lang w:val="pl-PL"/>
        </w:rPr>
      </w:pPr>
      <w:r>
        <w:rPr>
          <w:rStyle w:val="FootnoteReference"/>
        </w:rPr>
        <w:footnoteRef/>
      </w:r>
      <w:r w:rsidRPr="00FF09BE">
        <w:rPr>
          <w:lang w:val="pl-PL"/>
        </w:rPr>
        <w:t xml:space="preserve"> Wiek</w:t>
      </w:r>
      <w:r>
        <w:rPr>
          <w:lang w:val="pl-PL"/>
        </w:rPr>
        <w:t>,</w:t>
      </w:r>
      <w:r w:rsidRPr="00FF09BE">
        <w:rPr>
          <w:lang w:val="pl-PL"/>
        </w:rPr>
        <w:t xml:space="preserve"> Ciśnienie tętnicze</w:t>
      </w:r>
      <w:r>
        <w:rPr>
          <w:lang w:val="pl-PL"/>
        </w:rPr>
        <w:t>,</w:t>
      </w:r>
      <w:r w:rsidRPr="00FF09BE">
        <w:rPr>
          <w:lang w:val="pl-PL"/>
        </w:rPr>
        <w:t xml:space="preserve"> </w:t>
      </w:r>
      <w:r w:rsidR="001F518A">
        <w:rPr>
          <w:lang w:val="pl-PL"/>
        </w:rPr>
        <w:t>Objawy</w:t>
      </w:r>
      <w:r w:rsidRPr="00FF09BE">
        <w:rPr>
          <w:lang w:val="pl-PL"/>
        </w:rPr>
        <w:t xml:space="preserve"> kliniczne</w:t>
      </w:r>
      <w:r>
        <w:rPr>
          <w:lang w:val="pl-PL"/>
        </w:rPr>
        <w:t>,</w:t>
      </w:r>
      <w:r w:rsidRPr="00FF09BE">
        <w:rPr>
          <w:lang w:val="pl-PL"/>
        </w:rPr>
        <w:t xml:space="preserve"> </w:t>
      </w:r>
      <w:r w:rsidR="006F6F4D">
        <w:rPr>
          <w:lang w:val="pl-PL"/>
        </w:rPr>
        <w:t>C</w:t>
      </w:r>
      <w:r w:rsidRPr="00FF09BE">
        <w:rPr>
          <w:lang w:val="pl-PL"/>
        </w:rPr>
        <w:t xml:space="preserve">zas trwania </w:t>
      </w:r>
      <w:r w:rsidR="001F518A">
        <w:rPr>
          <w:lang w:val="pl-PL"/>
        </w:rPr>
        <w:t>objawów, C</w:t>
      </w:r>
      <w:r w:rsidRPr="00FF09BE">
        <w:rPr>
          <w:lang w:val="pl-PL"/>
        </w:rPr>
        <w:t>ukrzyc</w:t>
      </w:r>
      <w:r w:rsidR="001F518A">
        <w:rPr>
          <w:lang w:val="pl-PL"/>
        </w:rPr>
        <w:t>a</w:t>
      </w:r>
    </w:p>
  </w:footnote>
  <w:footnote w:id="3">
    <w:p w:rsidR="00176E80" w:rsidRPr="00E8246B" w:rsidRDefault="00176E80" w:rsidP="00176E80">
      <w:pPr>
        <w:pStyle w:val="FootnoteText"/>
      </w:pPr>
      <w:r>
        <w:rPr>
          <w:rStyle w:val="FootnoteReference"/>
        </w:rPr>
        <w:footnoteRef/>
      </w:r>
      <w:r w:rsidRPr="00711757">
        <w:rPr>
          <w:lang w:val="pl-PL"/>
        </w:rPr>
        <w:t xml:space="preserve"> </w:t>
      </w:r>
      <w:r w:rsidR="001F518A">
        <w:rPr>
          <w:lang w:val="pl-PL"/>
        </w:rPr>
        <w:t xml:space="preserve">Skala Udarów Narodowego Instytutu Zdrowia (ang. </w:t>
      </w:r>
      <w:r w:rsidR="001F518A" w:rsidRPr="00973060">
        <w:rPr>
          <w:lang w:val="pl-PL"/>
        </w:rPr>
        <w:t>NIH</w:t>
      </w:r>
      <w:r w:rsidR="00E829E1" w:rsidRPr="00973060">
        <w:t>S</w:t>
      </w:r>
      <w:r w:rsidR="001F518A" w:rsidRPr="00973060">
        <w:rPr>
          <w:lang w:val="pl-PL"/>
        </w:rPr>
        <w:t>S</w:t>
      </w:r>
      <w:r w:rsidR="001F518A" w:rsidRPr="00711757">
        <w:t xml:space="preserve"> - </w:t>
      </w:r>
      <w:r w:rsidRPr="00E8246B">
        <w:t>National Institutes of Health Stroke Scale</w:t>
      </w:r>
      <w:r w:rsidR="001F518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49" w:rsidRDefault="00736149" w:rsidP="002A3419">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6149" w:rsidRDefault="00736149" w:rsidP="002A34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49" w:rsidRDefault="00736149" w:rsidP="002A3419">
    <w:pPr>
      <w:framePr w:wrap="around" w:vAnchor="text" w:hAnchor="margin" w:xAlign="center" w:y="1"/>
      <w:rPr>
        <w:rStyle w:val="PageNumber"/>
      </w:rPr>
    </w:pPr>
  </w:p>
  <w:p w:rsidR="00736149" w:rsidRDefault="00736149" w:rsidP="002A34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9D677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536BB"/>
    <w:multiLevelType w:val="hybridMultilevel"/>
    <w:tmpl w:val="BC3E3BC6"/>
    <w:lvl w:ilvl="0" w:tplc="E80CDBAA">
      <w:start w:val="1"/>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03951012"/>
    <w:multiLevelType w:val="hybridMultilevel"/>
    <w:tmpl w:val="A3AEDFF6"/>
    <w:lvl w:ilvl="0" w:tplc="EFC2AD4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3E35DCE"/>
    <w:multiLevelType w:val="hybridMultilevel"/>
    <w:tmpl w:val="FCF49F24"/>
    <w:lvl w:ilvl="0" w:tplc="93A4A754">
      <w:numFmt w:val="bullet"/>
      <w:lvlText w:val="-"/>
      <w:lvlJc w:val="left"/>
      <w:pPr>
        <w:ind w:left="720" w:hanging="360"/>
      </w:pPr>
      <w:rPr>
        <w:rFonts w:ascii="Arial" w:eastAsia="MS Mincho"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3EE7B1D"/>
    <w:multiLevelType w:val="multilevel"/>
    <w:tmpl w:val="C76C2BE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4183B13"/>
    <w:multiLevelType w:val="multilevel"/>
    <w:tmpl w:val="E9888E66"/>
    <w:lvl w:ilvl="0">
      <w:start w:val="15"/>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8" w15:restartNumberingAfterBreak="0">
    <w:nsid w:val="075751AA"/>
    <w:multiLevelType w:val="hybridMultilevel"/>
    <w:tmpl w:val="451E12A6"/>
    <w:lvl w:ilvl="0" w:tplc="93A4A754">
      <w:numFmt w:val="bullet"/>
      <w:lvlText w:val="-"/>
      <w:lvlJc w:val="left"/>
      <w:pPr>
        <w:ind w:left="720" w:hanging="360"/>
      </w:pPr>
      <w:rPr>
        <w:rFonts w:ascii="Arial" w:eastAsia="MS Mincho"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92D3AA4"/>
    <w:multiLevelType w:val="singleLevel"/>
    <w:tmpl w:val="FFB0C0B8"/>
    <w:lvl w:ilvl="0">
      <w:numFmt w:val="bullet"/>
      <w:lvlText w:val="-"/>
      <w:lvlJc w:val="left"/>
      <w:pPr>
        <w:tabs>
          <w:tab w:val="num" w:pos="360"/>
        </w:tabs>
        <w:ind w:left="360" w:hanging="360"/>
      </w:pPr>
      <w:rPr>
        <w:rFonts w:ascii="Times New Roman" w:hAnsi="Times New Roman" w:hint="default"/>
      </w:rPr>
    </w:lvl>
  </w:abstractNum>
  <w:abstractNum w:abstractNumId="10" w15:restartNumberingAfterBreak="0">
    <w:nsid w:val="096E7CA2"/>
    <w:multiLevelType w:val="hybridMultilevel"/>
    <w:tmpl w:val="95B0ECF4"/>
    <w:lvl w:ilvl="0" w:tplc="DA6E6CDC">
      <w:start w:val="3"/>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15:restartNumberingAfterBreak="0">
    <w:nsid w:val="09896E44"/>
    <w:multiLevelType w:val="hybridMultilevel"/>
    <w:tmpl w:val="7F986B88"/>
    <w:lvl w:ilvl="0" w:tplc="93A4A754">
      <w:numFmt w:val="bullet"/>
      <w:lvlText w:val="-"/>
      <w:lvlJc w:val="left"/>
      <w:pPr>
        <w:ind w:left="720" w:hanging="360"/>
      </w:pPr>
      <w:rPr>
        <w:rFonts w:ascii="Arial" w:eastAsia="MS Mincho"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0BFB4D64"/>
    <w:multiLevelType w:val="singleLevel"/>
    <w:tmpl w:val="456A47F6"/>
    <w:lvl w:ilvl="0">
      <w:start w:val="1"/>
      <w:numFmt w:val="bullet"/>
      <w:lvlText w:val=""/>
      <w:lvlJc w:val="left"/>
      <w:pPr>
        <w:tabs>
          <w:tab w:val="num" w:pos="567"/>
        </w:tabs>
        <w:ind w:left="567" w:hanging="567"/>
      </w:pPr>
      <w:rPr>
        <w:rFonts w:ascii="Symbol" w:hAnsi="Symbol" w:hint="default"/>
      </w:rPr>
    </w:lvl>
  </w:abstractNum>
  <w:abstractNum w:abstractNumId="13" w15:restartNumberingAfterBreak="0">
    <w:nsid w:val="0DE53643"/>
    <w:multiLevelType w:val="singleLevel"/>
    <w:tmpl w:val="2BF0F148"/>
    <w:lvl w:ilvl="0">
      <w:start w:val="1"/>
      <w:numFmt w:val="bullet"/>
      <w:lvlText w:val=""/>
      <w:lvlJc w:val="left"/>
      <w:pPr>
        <w:tabs>
          <w:tab w:val="num" w:pos="567"/>
        </w:tabs>
        <w:ind w:left="567" w:hanging="567"/>
      </w:pPr>
      <w:rPr>
        <w:rFonts w:ascii="Symbol" w:hAnsi="Symbol" w:hint="default"/>
      </w:rPr>
    </w:lvl>
  </w:abstractNum>
  <w:abstractNum w:abstractNumId="14" w15:restartNumberingAfterBreak="0">
    <w:nsid w:val="0EBB489A"/>
    <w:multiLevelType w:val="singleLevel"/>
    <w:tmpl w:val="F8B28B50"/>
    <w:lvl w:ilvl="0">
      <w:start w:val="2"/>
      <w:numFmt w:val="bullet"/>
      <w:lvlText w:val=""/>
      <w:lvlJc w:val="left"/>
      <w:pPr>
        <w:tabs>
          <w:tab w:val="num" w:pos="567"/>
        </w:tabs>
        <w:ind w:left="567" w:hanging="567"/>
      </w:pPr>
      <w:rPr>
        <w:rFonts w:ascii="Symbol" w:hAnsi="Symbol" w:hint="default"/>
      </w:rPr>
    </w:lvl>
  </w:abstractNum>
  <w:abstractNum w:abstractNumId="15" w15:restartNumberingAfterBreak="0">
    <w:nsid w:val="0F265E79"/>
    <w:multiLevelType w:val="singleLevel"/>
    <w:tmpl w:val="E6E2EC92"/>
    <w:lvl w:ilvl="0">
      <w:start w:val="1"/>
      <w:numFmt w:val="bullet"/>
      <w:lvlText w:val=""/>
      <w:lvlJc w:val="left"/>
      <w:pPr>
        <w:tabs>
          <w:tab w:val="num" w:pos="567"/>
        </w:tabs>
        <w:ind w:left="567" w:hanging="567"/>
      </w:pPr>
      <w:rPr>
        <w:rFonts w:ascii="Symbol" w:hAnsi="Symbol" w:hint="default"/>
      </w:rPr>
    </w:lvl>
  </w:abstractNum>
  <w:abstractNum w:abstractNumId="16" w15:restartNumberingAfterBreak="0">
    <w:nsid w:val="11D835B7"/>
    <w:multiLevelType w:val="multilevel"/>
    <w:tmpl w:val="CCFA5080"/>
    <w:lvl w:ilvl="0">
      <w:start w:val="1"/>
      <w:numFmt w:val="decimal"/>
      <w:lvlText w:val="%1."/>
      <w:lvlJc w:val="left"/>
      <w:pPr>
        <w:tabs>
          <w:tab w:val="num" w:pos="1137"/>
        </w:tabs>
        <w:ind w:left="1137" w:hanging="780"/>
      </w:pPr>
      <w:rPr>
        <w:rFonts w:hint="default"/>
      </w:rPr>
    </w:lvl>
    <w:lvl w:ilvl="1" w:tentative="1">
      <w:start w:val="1"/>
      <w:numFmt w:val="lowerLetter"/>
      <w:lvlText w:val="%2."/>
      <w:lvlJc w:val="left"/>
      <w:pPr>
        <w:tabs>
          <w:tab w:val="num" w:pos="1437"/>
        </w:tabs>
        <w:ind w:left="1437" w:hanging="360"/>
      </w:pPr>
    </w:lvl>
    <w:lvl w:ilvl="2" w:tentative="1">
      <w:start w:val="1"/>
      <w:numFmt w:val="lowerRoman"/>
      <w:lvlText w:val="%3."/>
      <w:lvlJc w:val="right"/>
      <w:pPr>
        <w:tabs>
          <w:tab w:val="num" w:pos="2157"/>
        </w:tabs>
        <w:ind w:left="2157" w:hanging="180"/>
      </w:pPr>
    </w:lvl>
    <w:lvl w:ilvl="3" w:tentative="1">
      <w:start w:val="1"/>
      <w:numFmt w:val="decimal"/>
      <w:lvlText w:val="%4."/>
      <w:lvlJc w:val="left"/>
      <w:pPr>
        <w:tabs>
          <w:tab w:val="num" w:pos="2877"/>
        </w:tabs>
        <w:ind w:left="2877" w:hanging="360"/>
      </w:pPr>
    </w:lvl>
    <w:lvl w:ilvl="4" w:tentative="1">
      <w:start w:val="1"/>
      <w:numFmt w:val="lowerLetter"/>
      <w:lvlText w:val="%5."/>
      <w:lvlJc w:val="left"/>
      <w:pPr>
        <w:tabs>
          <w:tab w:val="num" w:pos="3597"/>
        </w:tabs>
        <w:ind w:left="3597" w:hanging="360"/>
      </w:pPr>
    </w:lvl>
    <w:lvl w:ilvl="5" w:tentative="1">
      <w:start w:val="1"/>
      <w:numFmt w:val="lowerRoman"/>
      <w:lvlText w:val="%6."/>
      <w:lvlJc w:val="right"/>
      <w:pPr>
        <w:tabs>
          <w:tab w:val="num" w:pos="4317"/>
        </w:tabs>
        <w:ind w:left="4317" w:hanging="180"/>
      </w:pPr>
    </w:lvl>
    <w:lvl w:ilvl="6" w:tentative="1">
      <w:start w:val="1"/>
      <w:numFmt w:val="decimal"/>
      <w:lvlText w:val="%7."/>
      <w:lvlJc w:val="left"/>
      <w:pPr>
        <w:tabs>
          <w:tab w:val="num" w:pos="5037"/>
        </w:tabs>
        <w:ind w:left="5037" w:hanging="360"/>
      </w:pPr>
    </w:lvl>
    <w:lvl w:ilvl="7" w:tentative="1">
      <w:start w:val="1"/>
      <w:numFmt w:val="lowerLetter"/>
      <w:lvlText w:val="%8."/>
      <w:lvlJc w:val="left"/>
      <w:pPr>
        <w:tabs>
          <w:tab w:val="num" w:pos="5757"/>
        </w:tabs>
        <w:ind w:left="5757" w:hanging="360"/>
      </w:pPr>
    </w:lvl>
    <w:lvl w:ilvl="8" w:tentative="1">
      <w:start w:val="1"/>
      <w:numFmt w:val="lowerRoman"/>
      <w:lvlText w:val="%9."/>
      <w:lvlJc w:val="right"/>
      <w:pPr>
        <w:tabs>
          <w:tab w:val="num" w:pos="6477"/>
        </w:tabs>
        <w:ind w:left="6477" w:hanging="180"/>
      </w:pPr>
    </w:lvl>
  </w:abstractNum>
  <w:abstractNum w:abstractNumId="17" w15:restartNumberingAfterBreak="0">
    <w:nsid w:val="13B5299D"/>
    <w:multiLevelType w:val="hybridMultilevel"/>
    <w:tmpl w:val="5888AC52"/>
    <w:lvl w:ilvl="0" w:tplc="D54088BE">
      <w:start w:val="2"/>
      <w:numFmt w:val="decimal"/>
      <w:lvlText w:val="%1"/>
      <w:lvlJc w:val="left"/>
      <w:pPr>
        <w:tabs>
          <w:tab w:val="num" w:pos="720"/>
        </w:tabs>
        <w:ind w:left="720" w:hanging="360"/>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8" w15:restartNumberingAfterBreak="0">
    <w:nsid w:val="168515B1"/>
    <w:multiLevelType w:val="singleLevel"/>
    <w:tmpl w:val="C900AE52"/>
    <w:lvl w:ilvl="0">
      <w:start w:val="1"/>
      <w:numFmt w:val="bullet"/>
      <w:lvlText w:val=""/>
      <w:lvlJc w:val="left"/>
      <w:pPr>
        <w:tabs>
          <w:tab w:val="num" w:pos="567"/>
        </w:tabs>
        <w:ind w:left="567" w:hanging="567"/>
      </w:pPr>
      <w:rPr>
        <w:rFonts w:ascii="Symbol" w:hAnsi="Symbol" w:hint="default"/>
      </w:rPr>
    </w:lvl>
  </w:abstractNum>
  <w:abstractNum w:abstractNumId="19" w15:restartNumberingAfterBreak="0">
    <w:nsid w:val="180C2F2F"/>
    <w:multiLevelType w:val="hybridMultilevel"/>
    <w:tmpl w:val="906AA4D6"/>
    <w:lvl w:ilvl="0" w:tplc="93A4A754">
      <w:numFmt w:val="bullet"/>
      <w:lvlText w:val="-"/>
      <w:lvlJc w:val="left"/>
      <w:pPr>
        <w:ind w:left="1146" w:hanging="360"/>
      </w:pPr>
      <w:rPr>
        <w:rFonts w:ascii="Arial" w:eastAsia="MS Mincho" w:hAnsi="Aria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15:restartNumberingAfterBreak="0">
    <w:nsid w:val="193C50A8"/>
    <w:multiLevelType w:val="singleLevel"/>
    <w:tmpl w:val="2FDA33E8"/>
    <w:lvl w:ilvl="0">
      <w:start w:val="1"/>
      <w:numFmt w:val="upperLetter"/>
      <w:lvlText w:val="%1."/>
      <w:legacy w:legacy="1" w:legacySpace="0" w:legacyIndent="360"/>
      <w:lvlJc w:val="left"/>
      <w:pPr>
        <w:ind w:left="1494" w:hanging="360"/>
      </w:pPr>
    </w:lvl>
  </w:abstractNum>
  <w:abstractNum w:abstractNumId="21" w15:restartNumberingAfterBreak="0">
    <w:nsid w:val="19E34DFF"/>
    <w:multiLevelType w:val="hybridMultilevel"/>
    <w:tmpl w:val="FA24E45C"/>
    <w:lvl w:ilvl="0" w:tplc="93A4A754">
      <w:numFmt w:val="bullet"/>
      <w:lvlText w:val="-"/>
      <w:lvlJc w:val="left"/>
      <w:pPr>
        <w:ind w:left="720" w:hanging="360"/>
      </w:pPr>
      <w:rPr>
        <w:rFonts w:ascii="Arial" w:eastAsia="MS Mincho"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1E6B2B21"/>
    <w:multiLevelType w:val="singleLevel"/>
    <w:tmpl w:val="AB1E2ECE"/>
    <w:lvl w:ilvl="0">
      <w:start w:val="2"/>
      <w:numFmt w:val="decimal"/>
      <w:lvlText w:val="%1."/>
      <w:lvlJc w:val="left"/>
      <w:pPr>
        <w:tabs>
          <w:tab w:val="num" w:pos="570"/>
        </w:tabs>
        <w:ind w:left="570" w:hanging="570"/>
      </w:pPr>
      <w:rPr>
        <w:rFonts w:hint="default"/>
      </w:rPr>
    </w:lvl>
  </w:abstractNum>
  <w:abstractNum w:abstractNumId="23" w15:restartNumberingAfterBreak="0">
    <w:nsid w:val="1F6D5E79"/>
    <w:multiLevelType w:val="singleLevel"/>
    <w:tmpl w:val="06B8346A"/>
    <w:lvl w:ilvl="0">
      <w:start w:val="1"/>
      <w:numFmt w:val="bullet"/>
      <w:lvlText w:val=""/>
      <w:lvlJc w:val="left"/>
      <w:pPr>
        <w:tabs>
          <w:tab w:val="num" w:pos="567"/>
        </w:tabs>
        <w:ind w:left="567" w:hanging="567"/>
      </w:pPr>
      <w:rPr>
        <w:rFonts w:ascii="Symbol" w:hAnsi="Symbol" w:hint="default"/>
      </w:rPr>
    </w:lvl>
  </w:abstractNum>
  <w:abstractNum w:abstractNumId="24" w15:restartNumberingAfterBreak="0">
    <w:nsid w:val="24B271E5"/>
    <w:multiLevelType w:val="hybridMultilevel"/>
    <w:tmpl w:val="42E264C0"/>
    <w:lvl w:ilvl="0" w:tplc="114E54D8">
      <w:start w:val="3"/>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5" w15:restartNumberingAfterBreak="0">
    <w:nsid w:val="25B00205"/>
    <w:multiLevelType w:val="hybridMultilevel"/>
    <w:tmpl w:val="BC3E3BC6"/>
    <w:lvl w:ilvl="0" w:tplc="E80CDBAA">
      <w:start w:val="1"/>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260077C9"/>
    <w:multiLevelType w:val="hybridMultilevel"/>
    <w:tmpl w:val="4698A14E"/>
    <w:lvl w:ilvl="0" w:tplc="93A4A754">
      <w:numFmt w:val="bullet"/>
      <w:lvlText w:val="-"/>
      <w:lvlJc w:val="left"/>
      <w:pPr>
        <w:ind w:left="1146" w:hanging="360"/>
      </w:pPr>
      <w:rPr>
        <w:rFonts w:ascii="Arial" w:eastAsia="MS Mincho" w:hAnsi="Aria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7" w15:restartNumberingAfterBreak="0">
    <w:nsid w:val="27760BAA"/>
    <w:multiLevelType w:val="hybridMultilevel"/>
    <w:tmpl w:val="2EEEC4CA"/>
    <w:lvl w:ilvl="0" w:tplc="04090003">
      <w:start w:val="1"/>
      <w:numFmt w:val="bullet"/>
      <w:lvlText w:val="o"/>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DC52C0C"/>
    <w:multiLevelType w:val="hybridMultilevel"/>
    <w:tmpl w:val="6D245F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2EAB0D3D"/>
    <w:multiLevelType w:val="multilevel"/>
    <w:tmpl w:val="12A6AF18"/>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2EC168FE"/>
    <w:multiLevelType w:val="hybridMultilevel"/>
    <w:tmpl w:val="A7C47F24"/>
    <w:lvl w:ilvl="0" w:tplc="09EC1A52">
      <w:start w:val="3"/>
      <w:numFmt w:val="decimal"/>
      <w:lvlText w:val="%1."/>
      <w:lvlJc w:val="left"/>
      <w:pPr>
        <w:tabs>
          <w:tab w:val="num" w:pos="720"/>
        </w:tabs>
        <w:ind w:left="720" w:hanging="360"/>
      </w:pPr>
      <w:rPr>
        <w:rFonts w:hint="default"/>
      </w:rPr>
    </w:lvl>
    <w:lvl w:ilvl="1" w:tplc="344233F0">
      <w:numFmt w:val="none"/>
      <w:lvlText w:val=""/>
      <w:lvlJc w:val="left"/>
      <w:pPr>
        <w:tabs>
          <w:tab w:val="num" w:pos="360"/>
        </w:tabs>
      </w:pPr>
    </w:lvl>
    <w:lvl w:ilvl="2" w:tplc="0674E338">
      <w:numFmt w:val="none"/>
      <w:lvlText w:val=""/>
      <w:lvlJc w:val="left"/>
      <w:pPr>
        <w:tabs>
          <w:tab w:val="num" w:pos="360"/>
        </w:tabs>
      </w:pPr>
    </w:lvl>
    <w:lvl w:ilvl="3" w:tplc="7E3E85D2">
      <w:numFmt w:val="none"/>
      <w:lvlText w:val=""/>
      <w:lvlJc w:val="left"/>
      <w:pPr>
        <w:tabs>
          <w:tab w:val="num" w:pos="360"/>
        </w:tabs>
      </w:pPr>
    </w:lvl>
    <w:lvl w:ilvl="4" w:tplc="2B2477BE">
      <w:numFmt w:val="none"/>
      <w:lvlText w:val=""/>
      <w:lvlJc w:val="left"/>
      <w:pPr>
        <w:tabs>
          <w:tab w:val="num" w:pos="360"/>
        </w:tabs>
      </w:pPr>
    </w:lvl>
    <w:lvl w:ilvl="5" w:tplc="3914103C">
      <w:numFmt w:val="none"/>
      <w:lvlText w:val=""/>
      <w:lvlJc w:val="left"/>
      <w:pPr>
        <w:tabs>
          <w:tab w:val="num" w:pos="360"/>
        </w:tabs>
      </w:pPr>
    </w:lvl>
    <w:lvl w:ilvl="6" w:tplc="4EDE32B8">
      <w:numFmt w:val="none"/>
      <w:lvlText w:val=""/>
      <w:lvlJc w:val="left"/>
      <w:pPr>
        <w:tabs>
          <w:tab w:val="num" w:pos="360"/>
        </w:tabs>
      </w:pPr>
    </w:lvl>
    <w:lvl w:ilvl="7" w:tplc="238044F8">
      <w:numFmt w:val="none"/>
      <w:lvlText w:val=""/>
      <w:lvlJc w:val="left"/>
      <w:pPr>
        <w:tabs>
          <w:tab w:val="num" w:pos="360"/>
        </w:tabs>
      </w:pPr>
    </w:lvl>
    <w:lvl w:ilvl="8" w:tplc="73CE2DC8">
      <w:numFmt w:val="none"/>
      <w:lvlText w:val=""/>
      <w:lvlJc w:val="left"/>
      <w:pPr>
        <w:tabs>
          <w:tab w:val="num" w:pos="360"/>
        </w:tabs>
      </w:pPr>
    </w:lvl>
  </w:abstractNum>
  <w:abstractNum w:abstractNumId="31" w15:restartNumberingAfterBreak="0">
    <w:nsid w:val="2ED300FD"/>
    <w:multiLevelType w:val="singleLevel"/>
    <w:tmpl w:val="E4D67DD2"/>
    <w:lvl w:ilvl="0">
      <w:start w:val="1"/>
      <w:numFmt w:val="bullet"/>
      <w:lvlText w:val=""/>
      <w:lvlJc w:val="left"/>
      <w:pPr>
        <w:tabs>
          <w:tab w:val="num" w:pos="567"/>
        </w:tabs>
        <w:ind w:left="567" w:hanging="567"/>
      </w:pPr>
      <w:rPr>
        <w:rFonts w:ascii="Symbol" w:hAnsi="Symbol" w:hint="default"/>
      </w:rPr>
    </w:lvl>
  </w:abstractNum>
  <w:abstractNum w:abstractNumId="32" w15:restartNumberingAfterBreak="0">
    <w:nsid w:val="300E4BDE"/>
    <w:multiLevelType w:val="singleLevel"/>
    <w:tmpl w:val="932EF9A8"/>
    <w:lvl w:ilvl="0">
      <w:start w:val="1"/>
      <w:numFmt w:val="bullet"/>
      <w:lvlText w:val=""/>
      <w:lvlJc w:val="left"/>
      <w:pPr>
        <w:tabs>
          <w:tab w:val="num" w:pos="567"/>
        </w:tabs>
        <w:ind w:left="567" w:hanging="567"/>
      </w:pPr>
      <w:rPr>
        <w:rFonts w:ascii="Symbol" w:hAnsi="Symbol" w:hint="default"/>
      </w:rPr>
    </w:lvl>
  </w:abstractNum>
  <w:abstractNum w:abstractNumId="34" w15:restartNumberingAfterBreak="0">
    <w:nsid w:val="36703754"/>
    <w:multiLevelType w:val="hybridMultilevel"/>
    <w:tmpl w:val="E24E499E"/>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35" w15:restartNumberingAfterBreak="0">
    <w:nsid w:val="3D6A4A81"/>
    <w:multiLevelType w:val="hybridMultilevel"/>
    <w:tmpl w:val="1A664484"/>
    <w:lvl w:ilvl="0" w:tplc="456A47F6">
      <w:start w:val="1"/>
      <w:numFmt w:val="bullet"/>
      <w:lvlText w:val=""/>
      <w:lvlJc w:val="left"/>
      <w:pPr>
        <w:tabs>
          <w:tab w:val="num" w:pos="993"/>
        </w:tabs>
        <w:ind w:left="993" w:hanging="567"/>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6" w15:restartNumberingAfterBreak="0">
    <w:nsid w:val="3D77390E"/>
    <w:multiLevelType w:val="hybridMultilevel"/>
    <w:tmpl w:val="3FD8BCC4"/>
    <w:lvl w:ilvl="0" w:tplc="93A4A754">
      <w:numFmt w:val="bullet"/>
      <w:lvlText w:val="-"/>
      <w:lvlJc w:val="left"/>
      <w:pPr>
        <w:ind w:left="720" w:hanging="360"/>
      </w:pPr>
      <w:rPr>
        <w:rFonts w:ascii="Arial" w:eastAsia="MS Mincho"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3FE4468C"/>
    <w:multiLevelType w:val="singleLevel"/>
    <w:tmpl w:val="2FDA33E8"/>
    <w:lvl w:ilvl="0">
      <w:start w:val="1"/>
      <w:numFmt w:val="upperLetter"/>
      <w:lvlText w:val="%1."/>
      <w:legacy w:legacy="1" w:legacySpace="0" w:legacyIndent="360"/>
      <w:lvlJc w:val="left"/>
      <w:pPr>
        <w:ind w:left="1494" w:hanging="360"/>
      </w:pPr>
    </w:lvl>
  </w:abstractNum>
  <w:abstractNum w:abstractNumId="38" w15:restartNumberingAfterBreak="0">
    <w:nsid w:val="414B2DE4"/>
    <w:multiLevelType w:val="singleLevel"/>
    <w:tmpl w:val="04150015"/>
    <w:lvl w:ilvl="0">
      <w:start w:val="1"/>
      <w:numFmt w:val="upperLetter"/>
      <w:lvlText w:val="%1."/>
      <w:lvlJc w:val="left"/>
      <w:pPr>
        <w:tabs>
          <w:tab w:val="num" w:pos="360"/>
        </w:tabs>
        <w:ind w:left="360" w:hanging="360"/>
      </w:pPr>
      <w:rPr>
        <w:rFonts w:hint="default"/>
      </w:rPr>
    </w:lvl>
  </w:abstractNum>
  <w:abstractNum w:abstractNumId="39" w15:restartNumberingAfterBreak="0">
    <w:nsid w:val="429C29C3"/>
    <w:multiLevelType w:val="hybridMultilevel"/>
    <w:tmpl w:val="B50C37B0"/>
    <w:lvl w:ilvl="0" w:tplc="93A4A754">
      <w:numFmt w:val="bullet"/>
      <w:lvlText w:val="-"/>
      <w:lvlJc w:val="left"/>
      <w:pPr>
        <w:ind w:left="720" w:hanging="360"/>
      </w:pPr>
      <w:rPr>
        <w:rFonts w:ascii="Arial" w:eastAsia="MS Mincho"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48D2B27"/>
    <w:multiLevelType w:val="hybridMultilevel"/>
    <w:tmpl w:val="A4561E0C"/>
    <w:lvl w:ilvl="0" w:tplc="04070007">
      <w:start w:val="1"/>
      <w:numFmt w:val="bullet"/>
      <w:lvlText w:val="-"/>
      <w:lvlJc w:val="left"/>
      <w:pPr>
        <w:tabs>
          <w:tab w:val="num" w:pos="720"/>
        </w:tabs>
        <w:ind w:left="720" w:hanging="360"/>
      </w:pPr>
      <w:rPr>
        <w:rFonts w:hint="default"/>
        <w:sz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586586C"/>
    <w:multiLevelType w:val="hybridMultilevel"/>
    <w:tmpl w:val="BC3E3BC6"/>
    <w:lvl w:ilvl="0" w:tplc="E80CDBAA">
      <w:start w:val="1"/>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15:restartNumberingAfterBreak="0">
    <w:nsid w:val="45964C6F"/>
    <w:multiLevelType w:val="hybridMultilevel"/>
    <w:tmpl w:val="08BEAC20"/>
    <w:lvl w:ilvl="0" w:tplc="04090003">
      <w:start w:val="1"/>
      <w:numFmt w:val="bullet"/>
      <w:lvlText w:val="o"/>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46777687"/>
    <w:multiLevelType w:val="hybridMultilevel"/>
    <w:tmpl w:val="6488365C"/>
    <w:lvl w:ilvl="0" w:tplc="0415000F">
      <w:start w:val="13"/>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4" w15:restartNumberingAfterBreak="0">
    <w:nsid w:val="469F7F8D"/>
    <w:multiLevelType w:val="hybridMultilevel"/>
    <w:tmpl w:val="F03EFEB6"/>
    <w:lvl w:ilvl="0" w:tplc="EFA2A91A">
      <w:start w:val="3"/>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5" w15:restartNumberingAfterBreak="0">
    <w:nsid w:val="47165891"/>
    <w:multiLevelType w:val="multilevel"/>
    <w:tmpl w:val="853E09AA"/>
    <w:lvl w:ilvl="0">
      <w:start w:val="5"/>
      <w:numFmt w:val="decimal"/>
      <w:lvlText w:val="%1."/>
      <w:lvlJc w:val="left"/>
      <w:pPr>
        <w:tabs>
          <w:tab w:val="num" w:pos="1134"/>
        </w:tabs>
        <w:ind w:left="1134" w:hanging="360"/>
      </w:pPr>
      <w:rPr>
        <w:rFonts w:hint="default"/>
      </w:rPr>
    </w:lvl>
    <w:lvl w:ilvl="1" w:tentative="1">
      <w:start w:val="1"/>
      <w:numFmt w:val="lowerLetter"/>
      <w:lvlText w:val="%2."/>
      <w:lvlJc w:val="left"/>
      <w:pPr>
        <w:tabs>
          <w:tab w:val="num" w:pos="1854"/>
        </w:tabs>
        <w:ind w:left="1854" w:hanging="360"/>
      </w:pPr>
    </w:lvl>
    <w:lvl w:ilvl="2" w:tentative="1">
      <w:start w:val="1"/>
      <w:numFmt w:val="lowerRoman"/>
      <w:lvlText w:val="%3."/>
      <w:lvlJc w:val="right"/>
      <w:pPr>
        <w:tabs>
          <w:tab w:val="num" w:pos="2574"/>
        </w:tabs>
        <w:ind w:left="2574" w:hanging="180"/>
      </w:pPr>
    </w:lvl>
    <w:lvl w:ilvl="3" w:tentative="1">
      <w:start w:val="1"/>
      <w:numFmt w:val="decimal"/>
      <w:lvlText w:val="%4."/>
      <w:lvlJc w:val="left"/>
      <w:pPr>
        <w:tabs>
          <w:tab w:val="num" w:pos="3294"/>
        </w:tabs>
        <w:ind w:left="3294" w:hanging="360"/>
      </w:pPr>
    </w:lvl>
    <w:lvl w:ilvl="4" w:tentative="1">
      <w:start w:val="1"/>
      <w:numFmt w:val="lowerLetter"/>
      <w:lvlText w:val="%5."/>
      <w:lvlJc w:val="left"/>
      <w:pPr>
        <w:tabs>
          <w:tab w:val="num" w:pos="4014"/>
        </w:tabs>
        <w:ind w:left="4014" w:hanging="360"/>
      </w:pPr>
    </w:lvl>
    <w:lvl w:ilvl="5" w:tentative="1">
      <w:start w:val="1"/>
      <w:numFmt w:val="lowerRoman"/>
      <w:lvlText w:val="%6."/>
      <w:lvlJc w:val="right"/>
      <w:pPr>
        <w:tabs>
          <w:tab w:val="num" w:pos="4734"/>
        </w:tabs>
        <w:ind w:left="4734" w:hanging="180"/>
      </w:pPr>
    </w:lvl>
    <w:lvl w:ilvl="6" w:tentative="1">
      <w:start w:val="1"/>
      <w:numFmt w:val="decimal"/>
      <w:lvlText w:val="%7."/>
      <w:lvlJc w:val="left"/>
      <w:pPr>
        <w:tabs>
          <w:tab w:val="num" w:pos="5454"/>
        </w:tabs>
        <w:ind w:left="5454" w:hanging="360"/>
      </w:pPr>
    </w:lvl>
    <w:lvl w:ilvl="7" w:tentative="1">
      <w:start w:val="1"/>
      <w:numFmt w:val="lowerLetter"/>
      <w:lvlText w:val="%8."/>
      <w:lvlJc w:val="left"/>
      <w:pPr>
        <w:tabs>
          <w:tab w:val="num" w:pos="6174"/>
        </w:tabs>
        <w:ind w:left="6174" w:hanging="360"/>
      </w:pPr>
    </w:lvl>
    <w:lvl w:ilvl="8" w:tentative="1">
      <w:start w:val="1"/>
      <w:numFmt w:val="lowerRoman"/>
      <w:lvlText w:val="%9."/>
      <w:lvlJc w:val="right"/>
      <w:pPr>
        <w:tabs>
          <w:tab w:val="num" w:pos="6894"/>
        </w:tabs>
        <w:ind w:left="6894" w:hanging="180"/>
      </w:pPr>
    </w:lvl>
  </w:abstractNum>
  <w:abstractNum w:abstractNumId="46" w15:restartNumberingAfterBreak="0">
    <w:nsid w:val="47170F24"/>
    <w:multiLevelType w:val="multilevel"/>
    <w:tmpl w:val="FB92C1CC"/>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50227E98"/>
    <w:multiLevelType w:val="singleLevel"/>
    <w:tmpl w:val="77128102"/>
    <w:lvl w:ilvl="0">
      <w:start w:val="1"/>
      <w:numFmt w:val="bullet"/>
      <w:lvlText w:val=""/>
      <w:lvlJc w:val="left"/>
      <w:pPr>
        <w:tabs>
          <w:tab w:val="num" w:pos="567"/>
        </w:tabs>
        <w:ind w:left="567" w:hanging="567"/>
      </w:pPr>
      <w:rPr>
        <w:rFonts w:ascii="Symbol" w:hAnsi="Symbol" w:hint="default"/>
      </w:rPr>
    </w:lvl>
  </w:abstractNum>
  <w:abstractNum w:abstractNumId="48" w15:restartNumberingAfterBreak="0">
    <w:nsid w:val="548A707A"/>
    <w:multiLevelType w:val="singleLevel"/>
    <w:tmpl w:val="865871A0"/>
    <w:lvl w:ilvl="0">
      <w:numFmt w:val="bullet"/>
      <w:lvlText w:val="-"/>
      <w:lvlJc w:val="left"/>
      <w:pPr>
        <w:tabs>
          <w:tab w:val="num" w:pos="577"/>
        </w:tabs>
        <w:ind w:left="577" w:hanging="435"/>
      </w:pPr>
      <w:rPr>
        <w:rFonts w:hint="default"/>
      </w:rPr>
    </w:lvl>
  </w:abstractNum>
  <w:abstractNum w:abstractNumId="49" w15:restartNumberingAfterBreak="0">
    <w:nsid w:val="557A618E"/>
    <w:multiLevelType w:val="hybridMultilevel"/>
    <w:tmpl w:val="D148435A"/>
    <w:lvl w:ilvl="0" w:tplc="41362602">
      <w:start w:val="3"/>
      <w:numFmt w:val="bullet"/>
      <w:pStyle w:val="ListBullet2"/>
      <w:lvlText w:val="-"/>
      <w:lvlJc w:val="left"/>
      <w:pPr>
        <w:ind w:left="720" w:hanging="360"/>
      </w:p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57BC0F83"/>
    <w:multiLevelType w:val="multilevel"/>
    <w:tmpl w:val="2EB0680A"/>
    <w:lvl w:ilvl="0">
      <w:start w:val="1"/>
      <w:numFmt w:val="decimal"/>
      <w:lvlText w:val="%1."/>
      <w:lvlJc w:val="left"/>
      <w:pPr>
        <w:tabs>
          <w:tab w:val="num" w:pos="1140"/>
        </w:tabs>
        <w:ind w:left="1140" w:hanging="7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59531B8F"/>
    <w:multiLevelType w:val="hybridMultilevel"/>
    <w:tmpl w:val="BC3E3BC6"/>
    <w:lvl w:ilvl="0" w:tplc="E80CDBAA">
      <w:start w:val="1"/>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2" w15:restartNumberingAfterBreak="0">
    <w:nsid w:val="5E455332"/>
    <w:multiLevelType w:val="hybridMultilevel"/>
    <w:tmpl w:val="1EFE4CDA"/>
    <w:lvl w:ilvl="0" w:tplc="0415000F">
      <w:start w:val="2"/>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3"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54" w15:restartNumberingAfterBreak="0">
    <w:nsid w:val="61135AF8"/>
    <w:multiLevelType w:val="hybridMultilevel"/>
    <w:tmpl w:val="9F726BD2"/>
    <w:lvl w:ilvl="0" w:tplc="BEA20352">
      <w:start w:val="3"/>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5" w15:restartNumberingAfterBreak="0">
    <w:nsid w:val="644203D4"/>
    <w:multiLevelType w:val="hybridMultilevel"/>
    <w:tmpl w:val="9BF6D3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64E907EF"/>
    <w:multiLevelType w:val="singleLevel"/>
    <w:tmpl w:val="2D208B6A"/>
    <w:lvl w:ilvl="0">
      <w:start w:val="1"/>
      <w:numFmt w:val="bullet"/>
      <w:lvlText w:val=""/>
      <w:lvlJc w:val="left"/>
      <w:pPr>
        <w:tabs>
          <w:tab w:val="num" w:pos="567"/>
        </w:tabs>
        <w:ind w:left="567" w:hanging="567"/>
      </w:pPr>
      <w:rPr>
        <w:rFonts w:ascii="Symbol" w:hAnsi="Symbol" w:hint="default"/>
      </w:rPr>
    </w:lvl>
  </w:abstractNum>
  <w:abstractNum w:abstractNumId="57" w15:restartNumberingAfterBreak="0">
    <w:nsid w:val="686836F6"/>
    <w:multiLevelType w:val="multilevel"/>
    <w:tmpl w:val="816206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8" w15:restartNumberingAfterBreak="0">
    <w:nsid w:val="693147D7"/>
    <w:multiLevelType w:val="hybridMultilevel"/>
    <w:tmpl w:val="7A58DDA6"/>
    <w:lvl w:ilvl="0" w:tplc="93A4A754">
      <w:numFmt w:val="bullet"/>
      <w:lvlText w:val="-"/>
      <w:lvlJc w:val="left"/>
      <w:pPr>
        <w:ind w:left="720" w:hanging="360"/>
      </w:pPr>
      <w:rPr>
        <w:rFonts w:ascii="Arial" w:eastAsia="MS Mincho"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6F2D59D6"/>
    <w:multiLevelType w:val="multilevel"/>
    <w:tmpl w:val="73D410CA"/>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0" w15:restartNumberingAfterBreak="0">
    <w:nsid w:val="6F8929A5"/>
    <w:multiLevelType w:val="hybridMultilevel"/>
    <w:tmpl w:val="3F9EFC3E"/>
    <w:lvl w:ilvl="0" w:tplc="298E8D54">
      <w:start w:val="4"/>
      <w:numFmt w:val="upperLetter"/>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1" w15:restartNumberingAfterBreak="0">
    <w:nsid w:val="6F9337D0"/>
    <w:multiLevelType w:val="hybridMultilevel"/>
    <w:tmpl w:val="F8A69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5115246"/>
    <w:multiLevelType w:val="multilevel"/>
    <w:tmpl w:val="CED8B084"/>
    <w:lvl w:ilvl="0">
      <w:start w:val="13"/>
      <w:numFmt w:val="decimal"/>
      <w:lvlText w:val="%1."/>
      <w:lvlJc w:val="left"/>
      <w:pPr>
        <w:tabs>
          <w:tab w:val="num" w:pos="1260"/>
        </w:tabs>
        <w:ind w:left="1260" w:hanging="90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3" w15:restartNumberingAfterBreak="0">
    <w:nsid w:val="7B927480"/>
    <w:multiLevelType w:val="multilevel"/>
    <w:tmpl w:val="C3E4B046"/>
    <w:lvl w:ilvl="0">
      <w:start w:val="4"/>
      <w:numFmt w:val="decimal"/>
      <w:lvlText w:val="%1."/>
      <w:lvlJc w:val="left"/>
      <w:pPr>
        <w:tabs>
          <w:tab w:val="num" w:pos="390"/>
        </w:tabs>
        <w:ind w:left="390" w:hanging="390"/>
      </w:pPr>
      <w:rPr>
        <w:rFonts w:hint="default"/>
      </w:rPr>
    </w:lvl>
    <w:lvl w:ilvl="1">
      <w:start w:val="1"/>
      <w:numFmt w:val="decimal"/>
      <w:isLgl/>
      <w:lvlText w:val="%1.%2."/>
      <w:lvlJc w:val="left"/>
      <w:pPr>
        <w:tabs>
          <w:tab w:val="num" w:pos="465"/>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4" w15:restartNumberingAfterBreak="0">
    <w:nsid w:val="7D724EBE"/>
    <w:multiLevelType w:val="hybridMultilevel"/>
    <w:tmpl w:val="A7D8B4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15:restartNumberingAfterBreak="0">
    <w:nsid w:val="7DF15CC3"/>
    <w:multiLevelType w:val="singleLevel"/>
    <w:tmpl w:val="1E9CA742"/>
    <w:lvl w:ilvl="0">
      <w:start w:val="1"/>
      <w:numFmt w:val="bullet"/>
      <w:lvlText w:val=""/>
      <w:lvlJc w:val="left"/>
      <w:pPr>
        <w:tabs>
          <w:tab w:val="num" w:pos="567"/>
        </w:tabs>
        <w:ind w:left="567" w:hanging="567"/>
      </w:pPr>
      <w:rPr>
        <w:rFonts w:ascii="Symbol" w:hAnsi="Symbol" w:hint="default"/>
      </w:rPr>
    </w:lvl>
  </w:abstractNum>
  <w:num w:numId="1">
    <w:abstractNumId w:val="63"/>
  </w:num>
  <w:num w:numId="2">
    <w:abstractNumId w:val="5"/>
  </w:num>
  <w:num w:numId="3">
    <w:abstractNumId w:val="46"/>
  </w:num>
  <w:num w:numId="4">
    <w:abstractNumId w:val="29"/>
  </w:num>
  <w:num w:numId="5">
    <w:abstractNumId w:val="57"/>
  </w:num>
  <w:num w:numId="6">
    <w:abstractNumId w:val="59"/>
  </w:num>
  <w:num w:numId="7">
    <w:abstractNumId w:val="38"/>
  </w:num>
  <w:num w:numId="8">
    <w:abstractNumId w:val="31"/>
  </w:num>
  <w:num w:numId="9">
    <w:abstractNumId w:val="14"/>
  </w:num>
  <w:num w:numId="10">
    <w:abstractNumId w:val="18"/>
  </w:num>
  <w:num w:numId="11">
    <w:abstractNumId w:val="32"/>
  </w:num>
  <w:num w:numId="12">
    <w:abstractNumId w:val="47"/>
  </w:num>
  <w:num w:numId="13">
    <w:abstractNumId w:val="56"/>
  </w:num>
  <w:num w:numId="14">
    <w:abstractNumId w:val="13"/>
  </w:num>
  <w:num w:numId="15">
    <w:abstractNumId w:val="48"/>
  </w:num>
  <w:num w:numId="16">
    <w:abstractNumId w:val="9"/>
  </w:num>
  <w:num w:numId="17">
    <w:abstractNumId w:val="22"/>
  </w:num>
  <w:num w:numId="18">
    <w:abstractNumId w:val="65"/>
  </w:num>
  <w:num w:numId="19">
    <w:abstractNumId w:val="15"/>
  </w:num>
  <w:num w:numId="20">
    <w:abstractNumId w:val="12"/>
  </w:num>
  <w:num w:numId="21">
    <w:abstractNumId w:val="23"/>
  </w:num>
  <w:num w:numId="22">
    <w:abstractNumId w:val="16"/>
  </w:num>
  <w:num w:numId="23">
    <w:abstractNumId w:val="45"/>
  </w:num>
  <w:num w:numId="24">
    <w:abstractNumId w:val="62"/>
  </w:num>
  <w:num w:numId="25">
    <w:abstractNumId w:val="50"/>
  </w:num>
  <w:num w:numId="26">
    <w:abstractNumId w:val="6"/>
  </w:num>
  <w:num w:numId="27">
    <w:abstractNumId w:val="52"/>
  </w:num>
  <w:num w:numId="28">
    <w:abstractNumId w:val="7"/>
  </w:num>
  <w:num w:numId="2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40"/>
  </w:num>
  <w:num w:numId="31">
    <w:abstractNumId w:val="35"/>
  </w:num>
  <w:num w:numId="32">
    <w:abstractNumId w:val="17"/>
  </w:num>
  <w:num w:numId="33">
    <w:abstractNumId w:val="30"/>
  </w:num>
  <w:num w:numId="34">
    <w:abstractNumId w:val="43"/>
  </w:num>
  <w:num w:numId="35">
    <w:abstractNumId w:val="41"/>
  </w:num>
  <w:num w:numId="36">
    <w:abstractNumId w:val="53"/>
  </w:num>
  <w:num w:numId="37">
    <w:abstractNumId w:val="0"/>
  </w:num>
  <w:num w:numId="38">
    <w:abstractNumId w:val="20"/>
  </w:num>
  <w:num w:numId="39">
    <w:abstractNumId w:val="37"/>
  </w:num>
  <w:num w:numId="40">
    <w:abstractNumId w:val="24"/>
  </w:num>
  <w:num w:numId="41">
    <w:abstractNumId w:val="44"/>
  </w:num>
  <w:num w:numId="42">
    <w:abstractNumId w:val="10"/>
  </w:num>
  <w:num w:numId="43">
    <w:abstractNumId w:val="54"/>
  </w:num>
  <w:num w:numId="44">
    <w:abstractNumId w:val="61"/>
  </w:num>
  <w:num w:numId="45">
    <w:abstractNumId w:val="60"/>
  </w:num>
  <w:num w:numId="46">
    <w:abstractNumId w:val="51"/>
  </w:num>
  <w:num w:numId="47">
    <w:abstractNumId w:val="2"/>
  </w:num>
  <w:num w:numId="48">
    <w:abstractNumId w:val="25"/>
  </w:num>
  <w:num w:numId="49">
    <w:abstractNumId w:val="8"/>
  </w:num>
  <w:num w:numId="50">
    <w:abstractNumId w:val="55"/>
  </w:num>
  <w:num w:numId="51">
    <w:abstractNumId w:val="21"/>
  </w:num>
  <w:num w:numId="52">
    <w:abstractNumId w:val="26"/>
  </w:num>
  <w:num w:numId="53">
    <w:abstractNumId w:val="58"/>
  </w:num>
  <w:num w:numId="54">
    <w:abstractNumId w:val="39"/>
  </w:num>
  <w:num w:numId="55">
    <w:abstractNumId w:val="36"/>
  </w:num>
  <w:num w:numId="56">
    <w:abstractNumId w:val="3"/>
  </w:num>
  <w:num w:numId="57">
    <w:abstractNumId w:val="19"/>
  </w:num>
  <w:num w:numId="58">
    <w:abstractNumId w:val="11"/>
  </w:num>
  <w:num w:numId="59">
    <w:abstractNumId w:val="4"/>
  </w:num>
  <w:num w:numId="60">
    <w:abstractNumId w:val="49"/>
  </w:num>
  <w:num w:numId="61">
    <w:abstractNumId w:val="42"/>
  </w:num>
  <w:num w:numId="62">
    <w:abstractNumId w:val="27"/>
  </w:num>
  <w:num w:numId="66">
    <w:abstractNumId w:val="64"/>
  </w:num>
  <w:num w:numId="67">
    <w:abstractNumId w:val="28"/>
  </w:num>
  <w:num w:numId="68">
    <w:abstractNumId w:val="34"/>
    <w:lvlOverride w:ilvl="0"/>
    <w:lvlOverride w:ilvl="1"/>
    <w:lvlOverride w:ilvl="2"/>
    <w:lvlOverride w:ilvl="3"/>
    <w:lvlOverride w:ilvl="4"/>
    <w:lvlOverride w:ilvl="5"/>
    <w:lvlOverride w:ilvl="6"/>
    <w:lvlOverride w:ilvl="7"/>
    <w:lvlOverride w:ilvl="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2FCE"/>
    <w:rsid w:val="00000DA7"/>
    <w:rsid w:val="00001800"/>
    <w:rsid w:val="000019E1"/>
    <w:rsid w:val="0000324D"/>
    <w:rsid w:val="00003CA5"/>
    <w:rsid w:val="000057AC"/>
    <w:rsid w:val="00005C73"/>
    <w:rsid w:val="00005CDA"/>
    <w:rsid w:val="00007EA2"/>
    <w:rsid w:val="000104BB"/>
    <w:rsid w:val="00011328"/>
    <w:rsid w:val="0001263D"/>
    <w:rsid w:val="0001323D"/>
    <w:rsid w:val="00013397"/>
    <w:rsid w:val="00013D40"/>
    <w:rsid w:val="00013EFD"/>
    <w:rsid w:val="0001516C"/>
    <w:rsid w:val="00015CE8"/>
    <w:rsid w:val="000162A9"/>
    <w:rsid w:val="00022436"/>
    <w:rsid w:val="00023D43"/>
    <w:rsid w:val="0002533B"/>
    <w:rsid w:val="0002567D"/>
    <w:rsid w:val="00026306"/>
    <w:rsid w:val="00026D0E"/>
    <w:rsid w:val="000278FF"/>
    <w:rsid w:val="0003461F"/>
    <w:rsid w:val="000362AD"/>
    <w:rsid w:val="00036772"/>
    <w:rsid w:val="00042830"/>
    <w:rsid w:val="0004329B"/>
    <w:rsid w:val="000437A5"/>
    <w:rsid w:val="00045476"/>
    <w:rsid w:val="00045FEF"/>
    <w:rsid w:val="000472EC"/>
    <w:rsid w:val="00050B02"/>
    <w:rsid w:val="00054FCF"/>
    <w:rsid w:val="00055697"/>
    <w:rsid w:val="0006131F"/>
    <w:rsid w:val="00062AE8"/>
    <w:rsid w:val="00062B08"/>
    <w:rsid w:val="000634FA"/>
    <w:rsid w:val="0006629F"/>
    <w:rsid w:val="00067CAF"/>
    <w:rsid w:val="00067ECF"/>
    <w:rsid w:val="00070EF8"/>
    <w:rsid w:val="00071101"/>
    <w:rsid w:val="0007112A"/>
    <w:rsid w:val="000724B7"/>
    <w:rsid w:val="0007263E"/>
    <w:rsid w:val="00074398"/>
    <w:rsid w:val="000750DD"/>
    <w:rsid w:val="00080295"/>
    <w:rsid w:val="0008125C"/>
    <w:rsid w:val="000819E3"/>
    <w:rsid w:val="00082933"/>
    <w:rsid w:val="00082D5E"/>
    <w:rsid w:val="00083050"/>
    <w:rsid w:val="0008445B"/>
    <w:rsid w:val="00084C8F"/>
    <w:rsid w:val="00086A9B"/>
    <w:rsid w:val="00086F85"/>
    <w:rsid w:val="00092374"/>
    <w:rsid w:val="00093825"/>
    <w:rsid w:val="00093ADA"/>
    <w:rsid w:val="0009435A"/>
    <w:rsid w:val="00095A08"/>
    <w:rsid w:val="00095B93"/>
    <w:rsid w:val="00097A1A"/>
    <w:rsid w:val="000A1151"/>
    <w:rsid w:val="000A5453"/>
    <w:rsid w:val="000A5FF8"/>
    <w:rsid w:val="000A625E"/>
    <w:rsid w:val="000A7440"/>
    <w:rsid w:val="000A78AA"/>
    <w:rsid w:val="000B03DF"/>
    <w:rsid w:val="000B0592"/>
    <w:rsid w:val="000B05D3"/>
    <w:rsid w:val="000B34D7"/>
    <w:rsid w:val="000B35C3"/>
    <w:rsid w:val="000B42C3"/>
    <w:rsid w:val="000B4D84"/>
    <w:rsid w:val="000C02B5"/>
    <w:rsid w:val="000C050F"/>
    <w:rsid w:val="000C2613"/>
    <w:rsid w:val="000C3378"/>
    <w:rsid w:val="000C57C6"/>
    <w:rsid w:val="000C6EBD"/>
    <w:rsid w:val="000C73DF"/>
    <w:rsid w:val="000D01D1"/>
    <w:rsid w:val="000D0310"/>
    <w:rsid w:val="000D1FB2"/>
    <w:rsid w:val="000D39A9"/>
    <w:rsid w:val="000D422C"/>
    <w:rsid w:val="000D424D"/>
    <w:rsid w:val="000D4839"/>
    <w:rsid w:val="000D6069"/>
    <w:rsid w:val="000D7751"/>
    <w:rsid w:val="000D77AC"/>
    <w:rsid w:val="000E17D5"/>
    <w:rsid w:val="000E1F5E"/>
    <w:rsid w:val="000E4D7B"/>
    <w:rsid w:val="000E521C"/>
    <w:rsid w:val="000F11C4"/>
    <w:rsid w:val="000F6611"/>
    <w:rsid w:val="000F7CD8"/>
    <w:rsid w:val="000F7F86"/>
    <w:rsid w:val="001006E4"/>
    <w:rsid w:val="001010BE"/>
    <w:rsid w:val="0010248E"/>
    <w:rsid w:val="001042CA"/>
    <w:rsid w:val="00104776"/>
    <w:rsid w:val="00104975"/>
    <w:rsid w:val="00113B30"/>
    <w:rsid w:val="0011707A"/>
    <w:rsid w:val="00117598"/>
    <w:rsid w:val="00121FBF"/>
    <w:rsid w:val="00123047"/>
    <w:rsid w:val="001247FD"/>
    <w:rsid w:val="00131EF2"/>
    <w:rsid w:val="00133505"/>
    <w:rsid w:val="00137699"/>
    <w:rsid w:val="00140577"/>
    <w:rsid w:val="00144B44"/>
    <w:rsid w:val="00146ABB"/>
    <w:rsid w:val="001479F3"/>
    <w:rsid w:val="00152389"/>
    <w:rsid w:val="00153967"/>
    <w:rsid w:val="00154F94"/>
    <w:rsid w:val="00157707"/>
    <w:rsid w:val="00163E59"/>
    <w:rsid w:val="001661EB"/>
    <w:rsid w:val="0016672F"/>
    <w:rsid w:val="00166BD0"/>
    <w:rsid w:val="00170BA6"/>
    <w:rsid w:val="00171395"/>
    <w:rsid w:val="001721AF"/>
    <w:rsid w:val="00173385"/>
    <w:rsid w:val="00174543"/>
    <w:rsid w:val="00174779"/>
    <w:rsid w:val="00175C0C"/>
    <w:rsid w:val="00176E80"/>
    <w:rsid w:val="0017738B"/>
    <w:rsid w:val="001820F8"/>
    <w:rsid w:val="00182E80"/>
    <w:rsid w:val="00183B0F"/>
    <w:rsid w:val="00184389"/>
    <w:rsid w:val="00186446"/>
    <w:rsid w:val="001867D9"/>
    <w:rsid w:val="0018692E"/>
    <w:rsid w:val="001875D1"/>
    <w:rsid w:val="00187B95"/>
    <w:rsid w:val="00192342"/>
    <w:rsid w:val="001928FF"/>
    <w:rsid w:val="00193113"/>
    <w:rsid w:val="0019339F"/>
    <w:rsid w:val="00193AAF"/>
    <w:rsid w:val="00194CF8"/>
    <w:rsid w:val="00195344"/>
    <w:rsid w:val="001A1819"/>
    <w:rsid w:val="001A197D"/>
    <w:rsid w:val="001A474F"/>
    <w:rsid w:val="001A4B3C"/>
    <w:rsid w:val="001A4ECB"/>
    <w:rsid w:val="001A564E"/>
    <w:rsid w:val="001A693B"/>
    <w:rsid w:val="001B5862"/>
    <w:rsid w:val="001B5F49"/>
    <w:rsid w:val="001B65A3"/>
    <w:rsid w:val="001B7BDC"/>
    <w:rsid w:val="001C0300"/>
    <w:rsid w:val="001C25C0"/>
    <w:rsid w:val="001C4D46"/>
    <w:rsid w:val="001C593D"/>
    <w:rsid w:val="001C6AB9"/>
    <w:rsid w:val="001C73BB"/>
    <w:rsid w:val="001D20F7"/>
    <w:rsid w:val="001D220D"/>
    <w:rsid w:val="001D325C"/>
    <w:rsid w:val="001D398B"/>
    <w:rsid w:val="001D4D91"/>
    <w:rsid w:val="001D5ED1"/>
    <w:rsid w:val="001D77E5"/>
    <w:rsid w:val="001D7D47"/>
    <w:rsid w:val="001E6217"/>
    <w:rsid w:val="001E7702"/>
    <w:rsid w:val="001E79CA"/>
    <w:rsid w:val="001E7E05"/>
    <w:rsid w:val="001F518A"/>
    <w:rsid w:val="002003A7"/>
    <w:rsid w:val="0020099D"/>
    <w:rsid w:val="00200D7A"/>
    <w:rsid w:val="00200D9C"/>
    <w:rsid w:val="00205EEF"/>
    <w:rsid w:val="00206466"/>
    <w:rsid w:val="00206678"/>
    <w:rsid w:val="0021003A"/>
    <w:rsid w:val="0021047C"/>
    <w:rsid w:val="00214AE0"/>
    <w:rsid w:val="00216009"/>
    <w:rsid w:val="00216B1A"/>
    <w:rsid w:val="00217A52"/>
    <w:rsid w:val="00217BC2"/>
    <w:rsid w:val="00220AAD"/>
    <w:rsid w:val="00221A65"/>
    <w:rsid w:val="00222AAD"/>
    <w:rsid w:val="00223DCE"/>
    <w:rsid w:val="00224C6E"/>
    <w:rsid w:val="00226408"/>
    <w:rsid w:val="00227A77"/>
    <w:rsid w:val="00231168"/>
    <w:rsid w:val="00233816"/>
    <w:rsid w:val="00233DE8"/>
    <w:rsid w:val="00234407"/>
    <w:rsid w:val="002366FF"/>
    <w:rsid w:val="00236CE6"/>
    <w:rsid w:val="002449D7"/>
    <w:rsid w:val="00244C5D"/>
    <w:rsid w:val="0024738C"/>
    <w:rsid w:val="00253017"/>
    <w:rsid w:val="00253112"/>
    <w:rsid w:val="002531FA"/>
    <w:rsid w:val="002537F9"/>
    <w:rsid w:val="00253BDF"/>
    <w:rsid w:val="0025669E"/>
    <w:rsid w:val="002626F0"/>
    <w:rsid w:val="00263BD7"/>
    <w:rsid w:val="002641D8"/>
    <w:rsid w:val="00265521"/>
    <w:rsid w:val="00265799"/>
    <w:rsid w:val="002666EA"/>
    <w:rsid w:val="00266FA0"/>
    <w:rsid w:val="00271527"/>
    <w:rsid w:val="00276F3E"/>
    <w:rsid w:val="0028326F"/>
    <w:rsid w:val="00283FF0"/>
    <w:rsid w:val="00284771"/>
    <w:rsid w:val="002851C2"/>
    <w:rsid w:val="002859BC"/>
    <w:rsid w:val="0028710B"/>
    <w:rsid w:val="002911DA"/>
    <w:rsid w:val="00292B36"/>
    <w:rsid w:val="00293170"/>
    <w:rsid w:val="00293A51"/>
    <w:rsid w:val="00294437"/>
    <w:rsid w:val="0029530F"/>
    <w:rsid w:val="00296725"/>
    <w:rsid w:val="0029775E"/>
    <w:rsid w:val="002A0327"/>
    <w:rsid w:val="002A0693"/>
    <w:rsid w:val="002A08D9"/>
    <w:rsid w:val="002A0FB8"/>
    <w:rsid w:val="002A137A"/>
    <w:rsid w:val="002A3419"/>
    <w:rsid w:val="002A3C09"/>
    <w:rsid w:val="002A6DC3"/>
    <w:rsid w:val="002B0182"/>
    <w:rsid w:val="002B4D33"/>
    <w:rsid w:val="002B671A"/>
    <w:rsid w:val="002B69F3"/>
    <w:rsid w:val="002B75E1"/>
    <w:rsid w:val="002C0A55"/>
    <w:rsid w:val="002C211A"/>
    <w:rsid w:val="002C24DF"/>
    <w:rsid w:val="002C2BDD"/>
    <w:rsid w:val="002C6060"/>
    <w:rsid w:val="002C6101"/>
    <w:rsid w:val="002C7220"/>
    <w:rsid w:val="002C7A00"/>
    <w:rsid w:val="002C7FAE"/>
    <w:rsid w:val="002D096E"/>
    <w:rsid w:val="002D2FCE"/>
    <w:rsid w:val="002D684C"/>
    <w:rsid w:val="002E06D6"/>
    <w:rsid w:val="002E1689"/>
    <w:rsid w:val="002E46B2"/>
    <w:rsid w:val="002E46E0"/>
    <w:rsid w:val="002E7835"/>
    <w:rsid w:val="002F0720"/>
    <w:rsid w:val="002F09FB"/>
    <w:rsid w:val="002F13F9"/>
    <w:rsid w:val="002F17D0"/>
    <w:rsid w:val="002F2DB9"/>
    <w:rsid w:val="002F3095"/>
    <w:rsid w:val="002F3136"/>
    <w:rsid w:val="002F3AE5"/>
    <w:rsid w:val="002F4289"/>
    <w:rsid w:val="002F67C9"/>
    <w:rsid w:val="002F6D45"/>
    <w:rsid w:val="00303E63"/>
    <w:rsid w:val="003041E1"/>
    <w:rsid w:val="00311CC6"/>
    <w:rsid w:val="00311D81"/>
    <w:rsid w:val="0031310A"/>
    <w:rsid w:val="0031357F"/>
    <w:rsid w:val="003155CF"/>
    <w:rsid w:val="00316B15"/>
    <w:rsid w:val="00317A81"/>
    <w:rsid w:val="0032096B"/>
    <w:rsid w:val="00321BE7"/>
    <w:rsid w:val="00322688"/>
    <w:rsid w:val="00322B30"/>
    <w:rsid w:val="0032411F"/>
    <w:rsid w:val="0032595E"/>
    <w:rsid w:val="00331682"/>
    <w:rsid w:val="00331D02"/>
    <w:rsid w:val="00332EC4"/>
    <w:rsid w:val="00334203"/>
    <w:rsid w:val="003349A9"/>
    <w:rsid w:val="003367FA"/>
    <w:rsid w:val="0033747E"/>
    <w:rsid w:val="0033748D"/>
    <w:rsid w:val="00341BF9"/>
    <w:rsid w:val="0034359F"/>
    <w:rsid w:val="00344A8F"/>
    <w:rsid w:val="00345508"/>
    <w:rsid w:val="00345760"/>
    <w:rsid w:val="00345FA8"/>
    <w:rsid w:val="0034679F"/>
    <w:rsid w:val="00353B13"/>
    <w:rsid w:val="00354B10"/>
    <w:rsid w:val="00354BA5"/>
    <w:rsid w:val="00355F3B"/>
    <w:rsid w:val="00356576"/>
    <w:rsid w:val="00361746"/>
    <w:rsid w:val="00366C96"/>
    <w:rsid w:val="00366CDE"/>
    <w:rsid w:val="00367BCC"/>
    <w:rsid w:val="0037056D"/>
    <w:rsid w:val="00371A85"/>
    <w:rsid w:val="00373E2F"/>
    <w:rsid w:val="00377B32"/>
    <w:rsid w:val="003809F0"/>
    <w:rsid w:val="003812B7"/>
    <w:rsid w:val="003816E5"/>
    <w:rsid w:val="00381822"/>
    <w:rsid w:val="00382A72"/>
    <w:rsid w:val="00382C56"/>
    <w:rsid w:val="00384DA5"/>
    <w:rsid w:val="0038693E"/>
    <w:rsid w:val="0038735B"/>
    <w:rsid w:val="003903B6"/>
    <w:rsid w:val="003911FC"/>
    <w:rsid w:val="00393563"/>
    <w:rsid w:val="00394523"/>
    <w:rsid w:val="0039522A"/>
    <w:rsid w:val="00396B31"/>
    <w:rsid w:val="00396DDE"/>
    <w:rsid w:val="003A2947"/>
    <w:rsid w:val="003A5D0A"/>
    <w:rsid w:val="003A63AD"/>
    <w:rsid w:val="003B030F"/>
    <w:rsid w:val="003B0598"/>
    <w:rsid w:val="003B2E77"/>
    <w:rsid w:val="003B3A1E"/>
    <w:rsid w:val="003B486E"/>
    <w:rsid w:val="003B5365"/>
    <w:rsid w:val="003B7081"/>
    <w:rsid w:val="003C2C1B"/>
    <w:rsid w:val="003C4717"/>
    <w:rsid w:val="003C4A9E"/>
    <w:rsid w:val="003C5EAF"/>
    <w:rsid w:val="003D2F40"/>
    <w:rsid w:val="003D4E05"/>
    <w:rsid w:val="003D55C6"/>
    <w:rsid w:val="003D7031"/>
    <w:rsid w:val="003E464A"/>
    <w:rsid w:val="003E4C94"/>
    <w:rsid w:val="003E792E"/>
    <w:rsid w:val="003F0916"/>
    <w:rsid w:val="003F2CFB"/>
    <w:rsid w:val="003F3890"/>
    <w:rsid w:val="003F5B7C"/>
    <w:rsid w:val="003F6179"/>
    <w:rsid w:val="00400B5F"/>
    <w:rsid w:val="00402151"/>
    <w:rsid w:val="00402B62"/>
    <w:rsid w:val="00402EE0"/>
    <w:rsid w:val="00403763"/>
    <w:rsid w:val="004037A5"/>
    <w:rsid w:val="00404DCA"/>
    <w:rsid w:val="00407062"/>
    <w:rsid w:val="004126DB"/>
    <w:rsid w:val="00413F9D"/>
    <w:rsid w:val="00414D1B"/>
    <w:rsid w:val="00416B91"/>
    <w:rsid w:val="00416BF6"/>
    <w:rsid w:val="004200AB"/>
    <w:rsid w:val="004201D1"/>
    <w:rsid w:val="0042046D"/>
    <w:rsid w:val="00421C67"/>
    <w:rsid w:val="00422254"/>
    <w:rsid w:val="004231C3"/>
    <w:rsid w:val="004232C6"/>
    <w:rsid w:val="00423E47"/>
    <w:rsid w:val="0042431E"/>
    <w:rsid w:val="00425D4E"/>
    <w:rsid w:val="00427769"/>
    <w:rsid w:val="004330B9"/>
    <w:rsid w:val="00434D23"/>
    <w:rsid w:val="004363B4"/>
    <w:rsid w:val="00437DB6"/>
    <w:rsid w:val="004426C6"/>
    <w:rsid w:val="00444958"/>
    <w:rsid w:val="00445347"/>
    <w:rsid w:val="00447D3D"/>
    <w:rsid w:val="004505C6"/>
    <w:rsid w:val="0045174D"/>
    <w:rsid w:val="0045225A"/>
    <w:rsid w:val="00452621"/>
    <w:rsid w:val="0045271A"/>
    <w:rsid w:val="00455F93"/>
    <w:rsid w:val="004568E4"/>
    <w:rsid w:val="004611A0"/>
    <w:rsid w:val="00463BC3"/>
    <w:rsid w:val="00463DDD"/>
    <w:rsid w:val="00464B4C"/>
    <w:rsid w:val="00466A2E"/>
    <w:rsid w:val="00467044"/>
    <w:rsid w:val="00471C41"/>
    <w:rsid w:val="00471F44"/>
    <w:rsid w:val="004721A6"/>
    <w:rsid w:val="004723F2"/>
    <w:rsid w:val="004737A7"/>
    <w:rsid w:val="004739E9"/>
    <w:rsid w:val="00473E9E"/>
    <w:rsid w:val="0047488F"/>
    <w:rsid w:val="004748EE"/>
    <w:rsid w:val="004778C3"/>
    <w:rsid w:val="00481163"/>
    <w:rsid w:val="00482922"/>
    <w:rsid w:val="00484E4D"/>
    <w:rsid w:val="0049149D"/>
    <w:rsid w:val="00491C71"/>
    <w:rsid w:val="00492DE5"/>
    <w:rsid w:val="00493E7B"/>
    <w:rsid w:val="00493E7C"/>
    <w:rsid w:val="004954C3"/>
    <w:rsid w:val="0049591F"/>
    <w:rsid w:val="00495C39"/>
    <w:rsid w:val="00496D09"/>
    <w:rsid w:val="004A151F"/>
    <w:rsid w:val="004A2151"/>
    <w:rsid w:val="004A2F09"/>
    <w:rsid w:val="004A3A1C"/>
    <w:rsid w:val="004A48E5"/>
    <w:rsid w:val="004A48E6"/>
    <w:rsid w:val="004A56F7"/>
    <w:rsid w:val="004B10B7"/>
    <w:rsid w:val="004B1346"/>
    <w:rsid w:val="004B1F02"/>
    <w:rsid w:val="004B20AA"/>
    <w:rsid w:val="004B2A0E"/>
    <w:rsid w:val="004B4D8A"/>
    <w:rsid w:val="004B6641"/>
    <w:rsid w:val="004C1006"/>
    <w:rsid w:val="004C18CA"/>
    <w:rsid w:val="004C3192"/>
    <w:rsid w:val="004C3F73"/>
    <w:rsid w:val="004C6936"/>
    <w:rsid w:val="004C7449"/>
    <w:rsid w:val="004C7ED2"/>
    <w:rsid w:val="004D1428"/>
    <w:rsid w:val="004D4634"/>
    <w:rsid w:val="004D51A0"/>
    <w:rsid w:val="004D578D"/>
    <w:rsid w:val="004D71EF"/>
    <w:rsid w:val="004D7FD2"/>
    <w:rsid w:val="004E2AE3"/>
    <w:rsid w:val="004E47FE"/>
    <w:rsid w:val="004E65EF"/>
    <w:rsid w:val="004E69B8"/>
    <w:rsid w:val="004E79C9"/>
    <w:rsid w:val="004F252C"/>
    <w:rsid w:val="004F27D1"/>
    <w:rsid w:val="004F3662"/>
    <w:rsid w:val="004F4EC8"/>
    <w:rsid w:val="004F679D"/>
    <w:rsid w:val="0050183A"/>
    <w:rsid w:val="00502285"/>
    <w:rsid w:val="00502591"/>
    <w:rsid w:val="00503AF2"/>
    <w:rsid w:val="00504FB2"/>
    <w:rsid w:val="005057D5"/>
    <w:rsid w:val="0051124F"/>
    <w:rsid w:val="00511FAC"/>
    <w:rsid w:val="005121BF"/>
    <w:rsid w:val="00512B04"/>
    <w:rsid w:val="00513E37"/>
    <w:rsid w:val="00516954"/>
    <w:rsid w:val="0052135C"/>
    <w:rsid w:val="0052569C"/>
    <w:rsid w:val="0052612A"/>
    <w:rsid w:val="0052724E"/>
    <w:rsid w:val="00527F9F"/>
    <w:rsid w:val="00530645"/>
    <w:rsid w:val="00530D2F"/>
    <w:rsid w:val="0053198D"/>
    <w:rsid w:val="00532AAF"/>
    <w:rsid w:val="00533BAB"/>
    <w:rsid w:val="005352C1"/>
    <w:rsid w:val="00535CDA"/>
    <w:rsid w:val="00536F00"/>
    <w:rsid w:val="0053750D"/>
    <w:rsid w:val="00542800"/>
    <w:rsid w:val="00543213"/>
    <w:rsid w:val="0054365F"/>
    <w:rsid w:val="005468FD"/>
    <w:rsid w:val="00553754"/>
    <w:rsid w:val="005548ED"/>
    <w:rsid w:val="0055545D"/>
    <w:rsid w:val="00555583"/>
    <w:rsid w:val="0055790D"/>
    <w:rsid w:val="0056119D"/>
    <w:rsid w:val="00561F86"/>
    <w:rsid w:val="00564AC2"/>
    <w:rsid w:val="005653AD"/>
    <w:rsid w:val="0056686F"/>
    <w:rsid w:val="00566F40"/>
    <w:rsid w:val="005671F5"/>
    <w:rsid w:val="00572B78"/>
    <w:rsid w:val="00572D3C"/>
    <w:rsid w:val="005775EB"/>
    <w:rsid w:val="0058168B"/>
    <w:rsid w:val="00583B50"/>
    <w:rsid w:val="00583F62"/>
    <w:rsid w:val="0058447C"/>
    <w:rsid w:val="005849D4"/>
    <w:rsid w:val="00585BDB"/>
    <w:rsid w:val="00585E61"/>
    <w:rsid w:val="00586D72"/>
    <w:rsid w:val="0058781C"/>
    <w:rsid w:val="00591328"/>
    <w:rsid w:val="00592B24"/>
    <w:rsid w:val="00593693"/>
    <w:rsid w:val="005940BC"/>
    <w:rsid w:val="005957FC"/>
    <w:rsid w:val="00597F57"/>
    <w:rsid w:val="005A0077"/>
    <w:rsid w:val="005A052E"/>
    <w:rsid w:val="005A0A38"/>
    <w:rsid w:val="005A13EA"/>
    <w:rsid w:val="005A2844"/>
    <w:rsid w:val="005A3E8E"/>
    <w:rsid w:val="005A6633"/>
    <w:rsid w:val="005A6BD9"/>
    <w:rsid w:val="005B33FE"/>
    <w:rsid w:val="005B47CF"/>
    <w:rsid w:val="005B4C47"/>
    <w:rsid w:val="005B5A1B"/>
    <w:rsid w:val="005B7146"/>
    <w:rsid w:val="005B7E83"/>
    <w:rsid w:val="005C1D9E"/>
    <w:rsid w:val="005C3171"/>
    <w:rsid w:val="005C3B2E"/>
    <w:rsid w:val="005C3B58"/>
    <w:rsid w:val="005C4C5D"/>
    <w:rsid w:val="005C622E"/>
    <w:rsid w:val="005C7D91"/>
    <w:rsid w:val="005D2898"/>
    <w:rsid w:val="005D3A1D"/>
    <w:rsid w:val="005D3BDE"/>
    <w:rsid w:val="005D51D3"/>
    <w:rsid w:val="005D5272"/>
    <w:rsid w:val="005D5BD6"/>
    <w:rsid w:val="005D61BD"/>
    <w:rsid w:val="005D7A25"/>
    <w:rsid w:val="005E04A0"/>
    <w:rsid w:val="005E100A"/>
    <w:rsid w:val="005E10F3"/>
    <w:rsid w:val="005E178B"/>
    <w:rsid w:val="005E390C"/>
    <w:rsid w:val="005E5BF3"/>
    <w:rsid w:val="005E5DDD"/>
    <w:rsid w:val="005E63F0"/>
    <w:rsid w:val="005E70FF"/>
    <w:rsid w:val="005F022B"/>
    <w:rsid w:val="005F0D6B"/>
    <w:rsid w:val="005F1EFF"/>
    <w:rsid w:val="005F3F18"/>
    <w:rsid w:val="005F5BB5"/>
    <w:rsid w:val="005F6AF7"/>
    <w:rsid w:val="005F7669"/>
    <w:rsid w:val="00600A39"/>
    <w:rsid w:val="00600AB0"/>
    <w:rsid w:val="006012C7"/>
    <w:rsid w:val="006016D6"/>
    <w:rsid w:val="00603472"/>
    <w:rsid w:val="006046E1"/>
    <w:rsid w:val="00605674"/>
    <w:rsid w:val="00606899"/>
    <w:rsid w:val="00610B80"/>
    <w:rsid w:val="00611D28"/>
    <w:rsid w:val="00613DD8"/>
    <w:rsid w:val="00614213"/>
    <w:rsid w:val="0061421F"/>
    <w:rsid w:val="00614F06"/>
    <w:rsid w:val="00615E7B"/>
    <w:rsid w:val="00617A3F"/>
    <w:rsid w:val="006201B0"/>
    <w:rsid w:val="006212B2"/>
    <w:rsid w:val="006218B0"/>
    <w:rsid w:val="0062224B"/>
    <w:rsid w:val="00622551"/>
    <w:rsid w:val="00625448"/>
    <w:rsid w:val="00625B87"/>
    <w:rsid w:val="00626516"/>
    <w:rsid w:val="00626843"/>
    <w:rsid w:val="006278FD"/>
    <w:rsid w:val="00630589"/>
    <w:rsid w:val="006334C8"/>
    <w:rsid w:val="00633779"/>
    <w:rsid w:val="00635764"/>
    <w:rsid w:val="00641932"/>
    <w:rsid w:val="00642F0A"/>
    <w:rsid w:val="0064558D"/>
    <w:rsid w:val="0064662F"/>
    <w:rsid w:val="006469A9"/>
    <w:rsid w:val="00647658"/>
    <w:rsid w:val="006522F1"/>
    <w:rsid w:val="00653DD3"/>
    <w:rsid w:val="00654630"/>
    <w:rsid w:val="00654987"/>
    <w:rsid w:val="00657EF4"/>
    <w:rsid w:val="00660097"/>
    <w:rsid w:val="00660758"/>
    <w:rsid w:val="00664719"/>
    <w:rsid w:val="006650AF"/>
    <w:rsid w:val="00670D02"/>
    <w:rsid w:val="00670D9C"/>
    <w:rsid w:val="0067354B"/>
    <w:rsid w:val="00674DB0"/>
    <w:rsid w:val="00674E14"/>
    <w:rsid w:val="00676446"/>
    <w:rsid w:val="00680B14"/>
    <w:rsid w:val="00680BA6"/>
    <w:rsid w:val="00682C16"/>
    <w:rsid w:val="0068326B"/>
    <w:rsid w:val="006860ED"/>
    <w:rsid w:val="00687CFB"/>
    <w:rsid w:val="00687CFE"/>
    <w:rsid w:val="006903BA"/>
    <w:rsid w:val="006907E5"/>
    <w:rsid w:val="006910AC"/>
    <w:rsid w:val="006920CE"/>
    <w:rsid w:val="0069288B"/>
    <w:rsid w:val="0069411A"/>
    <w:rsid w:val="00697432"/>
    <w:rsid w:val="006974BB"/>
    <w:rsid w:val="006A1FE2"/>
    <w:rsid w:val="006A2D79"/>
    <w:rsid w:val="006A3B54"/>
    <w:rsid w:val="006A4CDC"/>
    <w:rsid w:val="006A5A75"/>
    <w:rsid w:val="006A7EB5"/>
    <w:rsid w:val="006B06B4"/>
    <w:rsid w:val="006B2C09"/>
    <w:rsid w:val="006B2FFD"/>
    <w:rsid w:val="006B32B1"/>
    <w:rsid w:val="006B49A5"/>
    <w:rsid w:val="006B4F30"/>
    <w:rsid w:val="006B54C8"/>
    <w:rsid w:val="006B71B0"/>
    <w:rsid w:val="006B7209"/>
    <w:rsid w:val="006C097C"/>
    <w:rsid w:val="006C3369"/>
    <w:rsid w:val="006D0372"/>
    <w:rsid w:val="006D0863"/>
    <w:rsid w:val="006D0C25"/>
    <w:rsid w:val="006D19CD"/>
    <w:rsid w:val="006D283E"/>
    <w:rsid w:val="006D2865"/>
    <w:rsid w:val="006D3024"/>
    <w:rsid w:val="006D425B"/>
    <w:rsid w:val="006D4850"/>
    <w:rsid w:val="006D5883"/>
    <w:rsid w:val="006E189D"/>
    <w:rsid w:val="006E245F"/>
    <w:rsid w:val="006E34AE"/>
    <w:rsid w:val="006E424D"/>
    <w:rsid w:val="006E5D0D"/>
    <w:rsid w:val="006E63A8"/>
    <w:rsid w:val="006E6EED"/>
    <w:rsid w:val="006E74D9"/>
    <w:rsid w:val="006F129D"/>
    <w:rsid w:val="006F229C"/>
    <w:rsid w:val="006F6B3E"/>
    <w:rsid w:val="006F6DDB"/>
    <w:rsid w:val="006F6F4D"/>
    <w:rsid w:val="00700354"/>
    <w:rsid w:val="00700B70"/>
    <w:rsid w:val="00700C1D"/>
    <w:rsid w:val="00701D33"/>
    <w:rsid w:val="00704411"/>
    <w:rsid w:val="0070463A"/>
    <w:rsid w:val="00704E33"/>
    <w:rsid w:val="007079CE"/>
    <w:rsid w:val="007100B6"/>
    <w:rsid w:val="007100C4"/>
    <w:rsid w:val="007107D9"/>
    <w:rsid w:val="00710E95"/>
    <w:rsid w:val="00711757"/>
    <w:rsid w:val="00712219"/>
    <w:rsid w:val="00713CF7"/>
    <w:rsid w:val="00714FB0"/>
    <w:rsid w:val="00716A19"/>
    <w:rsid w:val="007177F4"/>
    <w:rsid w:val="007202FC"/>
    <w:rsid w:val="00720EE6"/>
    <w:rsid w:val="00721051"/>
    <w:rsid w:val="00721CEC"/>
    <w:rsid w:val="007225E0"/>
    <w:rsid w:val="00722ACB"/>
    <w:rsid w:val="007232F3"/>
    <w:rsid w:val="0072511B"/>
    <w:rsid w:val="00725144"/>
    <w:rsid w:val="00725DF9"/>
    <w:rsid w:val="0072649F"/>
    <w:rsid w:val="00727513"/>
    <w:rsid w:val="00727B4D"/>
    <w:rsid w:val="00731833"/>
    <w:rsid w:val="00731E8F"/>
    <w:rsid w:val="00734396"/>
    <w:rsid w:val="0073524A"/>
    <w:rsid w:val="00735A10"/>
    <w:rsid w:val="00736149"/>
    <w:rsid w:val="00740024"/>
    <w:rsid w:val="0074110D"/>
    <w:rsid w:val="00741619"/>
    <w:rsid w:val="0074250C"/>
    <w:rsid w:val="00742A0D"/>
    <w:rsid w:val="0074342E"/>
    <w:rsid w:val="00744802"/>
    <w:rsid w:val="00744BD4"/>
    <w:rsid w:val="00745049"/>
    <w:rsid w:val="00746579"/>
    <w:rsid w:val="00750C5D"/>
    <w:rsid w:val="007522D9"/>
    <w:rsid w:val="00752642"/>
    <w:rsid w:val="00754C4D"/>
    <w:rsid w:val="0075595E"/>
    <w:rsid w:val="00755BAF"/>
    <w:rsid w:val="00756CCE"/>
    <w:rsid w:val="007572E5"/>
    <w:rsid w:val="0076257E"/>
    <w:rsid w:val="0076493D"/>
    <w:rsid w:val="007654E5"/>
    <w:rsid w:val="00765B94"/>
    <w:rsid w:val="00765F2B"/>
    <w:rsid w:val="007724A4"/>
    <w:rsid w:val="00773175"/>
    <w:rsid w:val="00773655"/>
    <w:rsid w:val="00774681"/>
    <w:rsid w:val="00774F38"/>
    <w:rsid w:val="007751BE"/>
    <w:rsid w:val="00775A74"/>
    <w:rsid w:val="00782FAF"/>
    <w:rsid w:val="00783CC9"/>
    <w:rsid w:val="00784255"/>
    <w:rsid w:val="00784ED8"/>
    <w:rsid w:val="007901C8"/>
    <w:rsid w:val="00790988"/>
    <w:rsid w:val="0079114B"/>
    <w:rsid w:val="00793EC3"/>
    <w:rsid w:val="007950FD"/>
    <w:rsid w:val="0079552E"/>
    <w:rsid w:val="007959DA"/>
    <w:rsid w:val="00796239"/>
    <w:rsid w:val="007A1FFB"/>
    <w:rsid w:val="007A2F2E"/>
    <w:rsid w:val="007A3102"/>
    <w:rsid w:val="007A40DB"/>
    <w:rsid w:val="007A71A4"/>
    <w:rsid w:val="007A7594"/>
    <w:rsid w:val="007B18B8"/>
    <w:rsid w:val="007B1E0A"/>
    <w:rsid w:val="007B225D"/>
    <w:rsid w:val="007B49F0"/>
    <w:rsid w:val="007B536E"/>
    <w:rsid w:val="007B55BF"/>
    <w:rsid w:val="007B5BB3"/>
    <w:rsid w:val="007C1D2A"/>
    <w:rsid w:val="007C3CC3"/>
    <w:rsid w:val="007C4A97"/>
    <w:rsid w:val="007C5608"/>
    <w:rsid w:val="007C5649"/>
    <w:rsid w:val="007C5FA9"/>
    <w:rsid w:val="007C67F4"/>
    <w:rsid w:val="007C736C"/>
    <w:rsid w:val="007C7F72"/>
    <w:rsid w:val="007D13F1"/>
    <w:rsid w:val="007D1764"/>
    <w:rsid w:val="007D2DBC"/>
    <w:rsid w:val="007D337D"/>
    <w:rsid w:val="007D6745"/>
    <w:rsid w:val="007D78F7"/>
    <w:rsid w:val="007D7BDA"/>
    <w:rsid w:val="007E0597"/>
    <w:rsid w:val="007E0B56"/>
    <w:rsid w:val="007E2F1E"/>
    <w:rsid w:val="007E2FA5"/>
    <w:rsid w:val="007E5CE1"/>
    <w:rsid w:val="007E61EE"/>
    <w:rsid w:val="007F0ADC"/>
    <w:rsid w:val="007F130F"/>
    <w:rsid w:val="007F3E49"/>
    <w:rsid w:val="007F4646"/>
    <w:rsid w:val="007F4AEC"/>
    <w:rsid w:val="007F7189"/>
    <w:rsid w:val="00801F86"/>
    <w:rsid w:val="00801FF5"/>
    <w:rsid w:val="00803252"/>
    <w:rsid w:val="0080364B"/>
    <w:rsid w:val="0080674E"/>
    <w:rsid w:val="0081353C"/>
    <w:rsid w:val="008140D3"/>
    <w:rsid w:val="0081426E"/>
    <w:rsid w:val="00814480"/>
    <w:rsid w:val="00815757"/>
    <w:rsid w:val="00815855"/>
    <w:rsid w:val="00816FEF"/>
    <w:rsid w:val="00820889"/>
    <w:rsid w:val="00823473"/>
    <w:rsid w:val="00825F43"/>
    <w:rsid w:val="008270C5"/>
    <w:rsid w:val="008301C3"/>
    <w:rsid w:val="00831759"/>
    <w:rsid w:val="00831CD0"/>
    <w:rsid w:val="008323B2"/>
    <w:rsid w:val="008364BB"/>
    <w:rsid w:val="00837E81"/>
    <w:rsid w:val="00840878"/>
    <w:rsid w:val="00841747"/>
    <w:rsid w:val="00841BBE"/>
    <w:rsid w:val="0084246C"/>
    <w:rsid w:val="0084417B"/>
    <w:rsid w:val="008451F2"/>
    <w:rsid w:val="00847D3F"/>
    <w:rsid w:val="008514DE"/>
    <w:rsid w:val="008566E8"/>
    <w:rsid w:val="0085784B"/>
    <w:rsid w:val="00857DD7"/>
    <w:rsid w:val="00860E51"/>
    <w:rsid w:val="008612B9"/>
    <w:rsid w:val="0086257D"/>
    <w:rsid w:val="008627DA"/>
    <w:rsid w:val="008669CB"/>
    <w:rsid w:val="008701A3"/>
    <w:rsid w:val="008707CB"/>
    <w:rsid w:val="00871250"/>
    <w:rsid w:val="00871FE7"/>
    <w:rsid w:val="0087337D"/>
    <w:rsid w:val="0087437F"/>
    <w:rsid w:val="00875AB7"/>
    <w:rsid w:val="00880DAB"/>
    <w:rsid w:val="00881B09"/>
    <w:rsid w:val="00885586"/>
    <w:rsid w:val="00885C1E"/>
    <w:rsid w:val="00887D23"/>
    <w:rsid w:val="00890E0C"/>
    <w:rsid w:val="00892D2A"/>
    <w:rsid w:val="00894180"/>
    <w:rsid w:val="008950FD"/>
    <w:rsid w:val="008A4680"/>
    <w:rsid w:val="008A4D3E"/>
    <w:rsid w:val="008A52CD"/>
    <w:rsid w:val="008A55D6"/>
    <w:rsid w:val="008A5859"/>
    <w:rsid w:val="008A5DAA"/>
    <w:rsid w:val="008A79BE"/>
    <w:rsid w:val="008A7B84"/>
    <w:rsid w:val="008B0219"/>
    <w:rsid w:val="008B297F"/>
    <w:rsid w:val="008B3477"/>
    <w:rsid w:val="008B3C3A"/>
    <w:rsid w:val="008B3DA5"/>
    <w:rsid w:val="008B424A"/>
    <w:rsid w:val="008B4612"/>
    <w:rsid w:val="008B4A07"/>
    <w:rsid w:val="008B5CAE"/>
    <w:rsid w:val="008B5CBA"/>
    <w:rsid w:val="008B6A33"/>
    <w:rsid w:val="008C0C30"/>
    <w:rsid w:val="008C1541"/>
    <w:rsid w:val="008C2FA0"/>
    <w:rsid w:val="008C44A7"/>
    <w:rsid w:val="008C6C20"/>
    <w:rsid w:val="008C6EF1"/>
    <w:rsid w:val="008C6EFC"/>
    <w:rsid w:val="008C6F9D"/>
    <w:rsid w:val="008D02DE"/>
    <w:rsid w:val="008D367A"/>
    <w:rsid w:val="008D68C4"/>
    <w:rsid w:val="008E3330"/>
    <w:rsid w:val="008E5E30"/>
    <w:rsid w:val="008E60AD"/>
    <w:rsid w:val="008E64F6"/>
    <w:rsid w:val="008E717F"/>
    <w:rsid w:val="008E7813"/>
    <w:rsid w:val="008F0473"/>
    <w:rsid w:val="008F0849"/>
    <w:rsid w:val="008F1272"/>
    <w:rsid w:val="008F1952"/>
    <w:rsid w:val="008F1FE6"/>
    <w:rsid w:val="008F24DC"/>
    <w:rsid w:val="008F51A9"/>
    <w:rsid w:val="008F5418"/>
    <w:rsid w:val="00902981"/>
    <w:rsid w:val="00902BA8"/>
    <w:rsid w:val="009032F7"/>
    <w:rsid w:val="00906110"/>
    <w:rsid w:val="00907F06"/>
    <w:rsid w:val="00911441"/>
    <w:rsid w:val="00914119"/>
    <w:rsid w:val="00914659"/>
    <w:rsid w:val="0091504A"/>
    <w:rsid w:val="0091721A"/>
    <w:rsid w:val="00923018"/>
    <w:rsid w:val="00924096"/>
    <w:rsid w:val="009265A0"/>
    <w:rsid w:val="009266D0"/>
    <w:rsid w:val="00926836"/>
    <w:rsid w:val="00926F72"/>
    <w:rsid w:val="00927E12"/>
    <w:rsid w:val="00932142"/>
    <w:rsid w:val="00932470"/>
    <w:rsid w:val="00935290"/>
    <w:rsid w:val="00935F6E"/>
    <w:rsid w:val="00936122"/>
    <w:rsid w:val="0093626A"/>
    <w:rsid w:val="00943B00"/>
    <w:rsid w:val="0094588D"/>
    <w:rsid w:val="0094595E"/>
    <w:rsid w:val="00946122"/>
    <w:rsid w:val="00946533"/>
    <w:rsid w:val="009522FE"/>
    <w:rsid w:val="00952484"/>
    <w:rsid w:val="00955724"/>
    <w:rsid w:val="0096077D"/>
    <w:rsid w:val="00960AA1"/>
    <w:rsid w:val="00961614"/>
    <w:rsid w:val="00961EA4"/>
    <w:rsid w:val="009621A3"/>
    <w:rsid w:val="00964A28"/>
    <w:rsid w:val="00964D19"/>
    <w:rsid w:val="00965D3A"/>
    <w:rsid w:val="00966316"/>
    <w:rsid w:val="00966D0C"/>
    <w:rsid w:val="009676F6"/>
    <w:rsid w:val="00967DD6"/>
    <w:rsid w:val="00971B81"/>
    <w:rsid w:val="00971C2E"/>
    <w:rsid w:val="00973060"/>
    <w:rsid w:val="00973E05"/>
    <w:rsid w:val="009749BB"/>
    <w:rsid w:val="00974BFD"/>
    <w:rsid w:val="00975C66"/>
    <w:rsid w:val="0097621B"/>
    <w:rsid w:val="009763BA"/>
    <w:rsid w:val="00977AFB"/>
    <w:rsid w:val="00980E3E"/>
    <w:rsid w:val="0098254E"/>
    <w:rsid w:val="00983AFE"/>
    <w:rsid w:val="00984757"/>
    <w:rsid w:val="00984C1F"/>
    <w:rsid w:val="0098598B"/>
    <w:rsid w:val="0098661B"/>
    <w:rsid w:val="00986BEB"/>
    <w:rsid w:val="009870B1"/>
    <w:rsid w:val="00992291"/>
    <w:rsid w:val="00992489"/>
    <w:rsid w:val="00992F14"/>
    <w:rsid w:val="00992F96"/>
    <w:rsid w:val="00993E49"/>
    <w:rsid w:val="009947B1"/>
    <w:rsid w:val="009949EC"/>
    <w:rsid w:val="009A0BFF"/>
    <w:rsid w:val="009A2059"/>
    <w:rsid w:val="009A3E53"/>
    <w:rsid w:val="009A4B26"/>
    <w:rsid w:val="009A5894"/>
    <w:rsid w:val="009A5A53"/>
    <w:rsid w:val="009A6150"/>
    <w:rsid w:val="009B0763"/>
    <w:rsid w:val="009B0AF4"/>
    <w:rsid w:val="009B0CB0"/>
    <w:rsid w:val="009B6511"/>
    <w:rsid w:val="009C2E67"/>
    <w:rsid w:val="009C358A"/>
    <w:rsid w:val="009C42F9"/>
    <w:rsid w:val="009C6C9E"/>
    <w:rsid w:val="009D0D2E"/>
    <w:rsid w:val="009D138D"/>
    <w:rsid w:val="009D2065"/>
    <w:rsid w:val="009D42AE"/>
    <w:rsid w:val="009D7667"/>
    <w:rsid w:val="009E018B"/>
    <w:rsid w:val="009E0D46"/>
    <w:rsid w:val="009E10F8"/>
    <w:rsid w:val="009E1107"/>
    <w:rsid w:val="009E2542"/>
    <w:rsid w:val="009E352E"/>
    <w:rsid w:val="009E41D6"/>
    <w:rsid w:val="009E4DF9"/>
    <w:rsid w:val="009E5518"/>
    <w:rsid w:val="009E57FF"/>
    <w:rsid w:val="009E5979"/>
    <w:rsid w:val="009E6C93"/>
    <w:rsid w:val="009E6E09"/>
    <w:rsid w:val="009E7944"/>
    <w:rsid w:val="009E7E10"/>
    <w:rsid w:val="009F0CD4"/>
    <w:rsid w:val="009F0EA0"/>
    <w:rsid w:val="009F34A3"/>
    <w:rsid w:val="009F47B3"/>
    <w:rsid w:val="009F4E87"/>
    <w:rsid w:val="009F526B"/>
    <w:rsid w:val="009F6680"/>
    <w:rsid w:val="00A00944"/>
    <w:rsid w:val="00A00E98"/>
    <w:rsid w:val="00A0257F"/>
    <w:rsid w:val="00A0496A"/>
    <w:rsid w:val="00A05B6B"/>
    <w:rsid w:val="00A068C1"/>
    <w:rsid w:val="00A07646"/>
    <w:rsid w:val="00A10963"/>
    <w:rsid w:val="00A14A0C"/>
    <w:rsid w:val="00A16F36"/>
    <w:rsid w:val="00A211D3"/>
    <w:rsid w:val="00A21FD8"/>
    <w:rsid w:val="00A23124"/>
    <w:rsid w:val="00A23753"/>
    <w:rsid w:val="00A24480"/>
    <w:rsid w:val="00A2580E"/>
    <w:rsid w:val="00A25DDD"/>
    <w:rsid w:val="00A2638A"/>
    <w:rsid w:val="00A27E48"/>
    <w:rsid w:val="00A27F2F"/>
    <w:rsid w:val="00A321FA"/>
    <w:rsid w:val="00A333E3"/>
    <w:rsid w:val="00A33416"/>
    <w:rsid w:val="00A35A96"/>
    <w:rsid w:val="00A367D0"/>
    <w:rsid w:val="00A36DFA"/>
    <w:rsid w:val="00A36FCB"/>
    <w:rsid w:val="00A408E2"/>
    <w:rsid w:val="00A409E2"/>
    <w:rsid w:val="00A43AD8"/>
    <w:rsid w:val="00A4441C"/>
    <w:rsid w:val="00A4508D"/>
    <w:rsid w:val="00A4521A"/>
    <w:rsid w:val="00A45CB5"/>
    <w:rsid w:val="00A45EF6"/>
    <w:rsid w:val="00A46DC8"/>
    <w:rsid w:val="00A50AF1"/>
    <w:rsid w:val="00A511C7"/>
    <w:rsid w:val="00A5177C"/>
    <w:rsid w:val="00A51A3D"/>
    <w:rsid w:val="00A52108"/>
    <w:rsid w:val="00A54A6C"/>
    <w:rsid w:val="00A56E4B"/>
    <w:rsid w:val="00A57077"/>
    <w:rsid w:val="00A60BC8"/>
    <w:rsid w:val="00A60DAA"/>
    <w:rsid w:val="00A63B36"/>
    <w:rsid w:val="00A64472"/>
    <w:rsid w:val="00A64B0E"/>
    <w:rsid w:val="00A66FF5"/>
    <w:rsid w:val="00A70B53"/>
    <w:rsid w:val="00A71832"/>
    <w:rsid w:val="00A71C6D"/>
    <w:rsid w:val="00A7336F"/>
    <w:rsid w:val="00A7368E"/>
    <w:rsid w:val="00A743D7"/>
    <w:rsid w:val="00A758C7"/>
    <w:rsid w:val="00A75DF5"/>
    <w:rsid w:val="00A8078A"/>
    <w:rsid w:val="00A807E6"/>
    <w:rsid w:val="00A856B6"/>
    <w:rsid w:val="00A90989"/>
    <w:rsid w:val="00A919E0"/>
    <w:rsid w:val="00A935A5"/>
    <w:rsid w:val="00A935D4"/>
    <w:rsid w:val="00A960FE"/>
    <w:rsid w:val="00A965F9"/>
    <w:rsid w:val="00AA1EC1"/>
    <w:rsid w:val="00AA61FC"/>
    <w:rsid w:val="00AA7B3E"/>
    <w:rsid w:val="00AB079B"/>
    <w:rsid w:val="00AB09F8"/>
    <w:rsid w:val="00AB1274"/>
    <w:rsid w:val="00AB4287"/>
    <w:rsid w:val="00AB59A3"/>
    <w:rsid w:val="00AB6555"/>
    <w:rsid w:val="00AB69FD"/>
    <w:rsid w:val="00AB6F2E"/>
    <w:rsid w:val="00AC00B4"/>
    <w:rsid w:val="00AC243B"/>
    <w:rsid w:val="00AC250F"/>
    <w:rsid w:val="00AC63B6"/>
    <w:rsid w:val="00AD0DD3"/>
    <w:rsid w:val="00AD1602"/>
    <w:rsid w:val="00AD1630"/>
    <w:rsid w:val="00AD1E90"/>
    <w:rsid w:val="00AD31DD"/>
    <w:rsid w:val="00AD3BAA"/>
    <w:rsid w:val="00AD5791"/>
    <w:rsid w:val="00AE0029"/>
    <w:rsid w:val="00AE02B1"/>
    <w:rsid w:val="00AE05B3"/>
    <w:rsid w:val="00AE09C2"/>
    <w:rsid w:val="00AE3B64"/>
    <w:rsid w:val="00AE6D15"/>
    <w:rsid w:val="00AE7DD8"/>
    <w:rsid w:val="00AF0AFC"/>
    <w:rsid w:val="00AF122F"/>
    <w:rsid w:val="00AF1472"/>
    <w:rsid w:val="00AF2FA0"/>
    <w:rsid w:val="00AF46DA"/>
    <w:rsid w:val="00AF490B"/>
    <w:rsid w:val="00AF5EA7"/>
    <w:rsid w:val="00AF6849"/>
    <w:rsid w:val="00AF7662"/>
    <w:rsid w:val="00B00BB6"/>
    <w:rsid w:val="00B0190D"/>
    <w:rsid w:val="00B01E54"/>
    <w:rsid w:val="00B01F99"/>
    <w:rsid w:val="00B03186"/>
    <w:rsid w:val="00B04330"/>
    <w:rsid w:val="00B070E6"/>
    <w:rsid w:val="00B105F6"/>
    <w:rsid w:val="00B107EB"/>
    <w:rsid w:val="00B11661"/>
    <w:rsid w:val="00B156E0"/>
    <w:rsid w:val="00B17CA0"/>
    <w:rsid w:val="00B17D2F"/>
    <w:rsid w:val="00B20D1E"/>
    <w:rsid w:val="00B2256F"/>
    <w:rsid w:val="00B22F83"/>
    <w:rsid w:val="00B2387E"/>
    <w:rsid w:val="00B24946"/>
    <w:rsid w:val="00B24D6E"/>
    <w:rsid w:val="00B27D19"/>
    <w:rsid w:val="00B3045F"/>
    <w:rsid w:val="00B304CE"/>
    <w:rsid w:val="00B30533"/>
    <w:rsid w:val="00B32623"/>
    <w:rsid w:val="00B35350"/>
    <w:rsid w:val="00B363D8"/>
    <w:rsid w:val="00B368D0"/>
    <w:rsid w:val="00B36B78"/>
    <w:rsid w:val="00B4082D"/>
    <w:rsid w:val="00B424B9"/>
    <w:rsid w:val="00B436C8"/>
    <w:rsid w:val="00B446B2"/>
    <w:rsid w:val="00B44943"/>
    <w:rsid w:val="00B46BD3"/>
    <w:rsid w:val="00B50952"/>
    <w:rsid w:val="00B524FD"/>
    <w:rsid w:val="00B52566"/>
    <w:rsid w:val="00B54EF1"/>
    <w:rsid w:val="00B55AB1"/>
    <w:rsid w:val="00B57745"/>
    <w:rsid w:val="00B60A79"/>
    <w:rsid w:val="00B61246"/>
    <w:rsid w:val="00B61CE2"/>
    <w:rsid w:val="00B6283D"/>
    <w:rsid w:val="00B647D2"/>
    <w:rsid w:val="00B65968"/>
    <w:rsid w:val="00B65E5F"/>
    <w:rsid w:val="00B71482"/>
    <w:rsid w:val="00B745D1"/>
    <w:rsid w:val="00B74AE0"/>
    <w:rsid w:val="00B7643B"/>
    <w:rsid w:val="00B7721E"/>
    <w:rsid w:val="00B773C2"/>
    <w:rsid w:val="00B80E23"/>
    <w:rsid w:val="00B80FB2"/>
    <w:rsid w:val="00B844A1"/>
    <w:rsid w:val="00B85B91"/>
    <w:rsid w:val="00B867CD"/>
    <w:rsid w:val="00B87D51"/>
    <w:rsid w:val="00B90632"/>
    <w:rsid w:val="00B928F0"/>
    <w:rsid w:val="00B92A21"/>
    <w:rsid w:val="00B939F1"/>
    <w:rsid w:val="00B94497"/>
    <w:rsid w:val="00B94A72"/>
    <w:rsid w:val="00B96911"/>
    <w:rsid w:val="00B97185"/>
    <w:rsid w:val="00B97DE5"/>
    <w:rsid w:val="00BA0BEC"/>
    <w:rsid w:val="00BA1185"/>
    <w:rsid w:val="00BA1D07"/>
    <w:rsid w:val="00BA322B"/>
    <w:rsid w:val="00BA4E75"/>
    <w:rsid w:val="00BA5848"/>
    <w:rsid w:val="00BB03C9"/>
    <w:rsid w:val="00BB1132"/>
    <w:rsid w:val="00BB11C0"/>
    <w:rsid w:val="00BB1841"/>
    <w:rsid w:val="00BB2F28"/>
    <w:rsid w:val="00BB517C"/>
    <w:rsid w:val="00BB5F91"/>
    <w:rsid w:val="00BC0831"/>
    <w:rsid w:val="00BC19F3"/>
    <w:rsid w:val="00BC1AA9"/>
    <w:rsid w:val="00BC2C01"/>
    <w:rsid w:val="00BC4936"/>
    <w:rsid w:val="00BC5A9B"/>
    <w:rsid w:val="00BC6066"/>
    <w:rsid w:val="00BD2FD0"/>
    <w:rsid w:val="00BD31D1"/>
    <w:rsid w:val="00BD4903"/>
    <w:rsid w:val="00BD5080"/>
    <w:rsid w:val="00BD5A35"/>
    <w:rsid w:val="00BD69B9"/>
    <w:rsid w:val="00BD6C12"/>
    <w:rsid w:val="00BD7574"/>
    <w:rsid w:val="00BD78B2"/>
    <w:rsid w:val="00BD7F84"/>
    <w:rsid w:val="00BE19BE"/>
    <w:rsid w:val="00BE3CCC"/>
    <w:rsid w:val="00BE3D56"/>
    <w:rsid w:val="00BE4B04"/>
    <w:rsid w:val="00BE5D0C"/>
    <w:rsid w:val="00BE64C2"/>
    <w:rsid w:val="00BE67C1"/>
    <w:rsid w:val="00BE6C18"/>
    <w:rsid w:val="00BF024C"/>
    <w:rsid w:val="00BF54CD"/>
    <w:rsid w:val="00BF55CB"/>
    <w:rsid w:val="00BF60EC"/>
    <w:rsid w:val="00BF79C7"/>
    <w:rsid w:val="00C0073E"/>
    <w:rsid w:val="00C027D1"/>
    <w:rsid w:val="00C055D0"/>
    <w:rsid w:val="00C05F4C"/>
    <w:rsid w:val="00C065D7"/>
    <w:rsid w:val="00C06CE6"/>
    <w:rsid w:val="00C12890"/>
    <w:rsid w:val="00C12EC1"/>
    <w:rsid w:val="00C13A8A"/>
    <w:rsid w:val="00C16361"/>
    <w:rsid w:val="00C16509"/>
    <w:rsid w:val="00C1658D"/>
    <w:rsid w:val="00C170E3"/>
    <w:rsid w:val="00C179CA"/>
    <w:rsid w:val="00C22471"/>
    <w:rsid w:val="00C22AAA"/>
    <w:rsid w:val="00C25F34"/>
    <w:rsid w:val="00C26D51"/>
    <w:rsid w:val="00C26E87"/>
    <w:rsid w:val="00C30C6A"/>
    <w:rsid w:val="00C30D5B"/>
    <w:rsid w:val="00C32CB2"/>
    <w:rsid w:val="00C332E0"/>
    <w:rsid w:val="00C35D81"/>
    <w:rsid w:val="00C408AD"/>
    <w:rsid w:val="00C43409"/>
    <w:rsid w:val="00C44F67"/>
    <w:rsid w:val="00C4572E"/>
    <w:rsid w:val="00C46A72"/>
    <w:rsid w:val="00C51D0A"/>
    <w:rsid w:val="00C52308"/>
    <w:rsid w:val="00C529D2"/>
    <w:rsid w:val="00C56829"/>
    <w:rsid w:val="00C56F91"/>
    <w:rsid w:val="00C57EEA"/>
    <w:rsid w:val="00C57F84"/>
    <w:rsid w:val="00C65433"/>
    <w:rsid w:val="00C65FC2"/>
    <w:rsid w:val="00C66DE9"/>
    <w:rsid w:val="00C70FC3"/>
    <w:rsid w:val="00C74270"/>
    <w:rsid w:val="00C757EF"/>
    <w:rsid w:val="00C7680E"/>
    <w:rsid w:val="00C76E4E"/>
    <w:rsid w:val="00C7762F"/>
    <w:rsid w:val="00C81AA4"/>
    <w:rsid w:val="00C82536"/>
    <w:rsid w:val="00C84DA7"/>
    <w:rsid w:val="00C86C19"/>
    <w:rsid w:val="00C86D64"/>
    <w:rsid w:val="00C90359"/>
    <w:rsid w:val="00C92B68"/>
    <w:rsid w:val="00C92D25"/>
    <w:rsid w:val="00C92E03"/>
    <w:rsid w:val="00C95FAC"/>
    <w:rsid w:val="00C9622E"/>
    <w:rsid w:val="00C96DFA"/>
    <w:rsid w:val="00C97D9B"/>
    <w:rsid w:val="00CA2AC5"/>
    <w:rsid w:val="00CA3268"/>
    <w:rsid w:val="00CA3C14"/>
    <w:rsid w:val="00CA3CA9"/>
    <w:rsid w:val="00CA3E74"/>
    <w:rsid w:val="00CA403E"/>
    <w:rsid w:val="00CA5324"/>
    <w:rsid w:val="00CA6F31"/>
    <w:rsid w:val="00CB0B94"/>
    <w:rsid w:val="00CB1717"/>
    <w:rsid w:val="00CB2DE0"/>
    <w:rsid w:val="00CB36AE"/>
    <w:rsid w:val="00CB5F81"/>
    <w:rsid w:val="00CB742B"/>
    <w:rsid w:val="00CC14AA"/>
    <w:rsid w:val="00CC14DE"/>
    <w:rsid w:val="00CC208D"/>
    <w:rsid w:val="00CC6996"/>
    <w:rsid w:val="00CD00EA"/>
    <w:rsid w:val="00CD2AE9"/>
    <w:rsid w:val="00CD38C5"/>
    <w:rsid w:val="00CD473A"/>
    <w:rsid w:val="00CD527F"/>
    <w:rsid w:val="00CD5359"/>
    <w:rsid w:val="00CD5D17"/>
    <w:rsid w:val="00CD6167"/>
    <w:rsid w:val="00CD68D2"/>
    <w:rsid w:val="00CD745C"/>
    <w:rsid w:val="00CD7CB9"/>
    <w:rsid w:val="00CD7DC6"/>
    <w:rsid w:val="00CE0939"/>
    <w:rsid w:val="00CE1DDE"/>
    <w:rsid w:val="00CE232E"/>
    <w:rsid w:val="00CE309D"/>
    <w:rsid w:val="00CE4A11"/>
    <w:rsid w:val="00CE5579"/>
    <w:rsid w:val="00CE6194"/>
    <w:rsid w:val="00CE61B7"/>
    <w:rsid w:val="00CE6A17"/>
    <w:rsid w:val="00CF099B"/>
    <w:rsid w:val="00CF370D"/>
    <w:rsid w:val="00CF4B3E"/>
    <w:rsid w:val="00CF58FB"/>
    <w:rsid w:val="00D00DAE"/>
    <w:rsid w:val="00D01C54"/>
    <w:rsid w:val="00D0247B"/>
    <w:rsid w:val="00D026DA"/>
    <w:rsid w:val="00D02D94"/>
    <w:rsid w:val="00D0310C"/>
    <w:rsid w:val="00D042DF"/>
    <w:rsid w:val="00D050EB"/>
    <w:rsid w:val="00D068D9"/>
    <w:rsid w:val="00D07B3F"/>
    <w:rsid w:val="00D104EA"/>
    <w:rsid w:val="00D10940"/>
    <w:rsid w:val="00D121F5"/>
    <w:rsid w:val="00D13CBD"/>
    <w:rsid w:val="00D14292"/>
    <w:rsid w:val="00D153F1"/>
    <w:rsid w:val="00D16878"/>
    <w:rsid w:val="00D17341"/>
    <w:rsid w:val="00D24E8F"/>
    <w:rsid w:val="00D25C03"/>
    <w:rsid w:val="00D26A32"/>
    <w:rsid w:val="00D27513"/>
    <w:rsid w:val="00D30863"/>
    <w:rsid w:val="00D32397"/>
    <w:rsid w:val="00D32572"/>
    <w:rsid w:val="00D3465D"/>
    <w:rsid w:val="00D34DCC"/>
    <w:rsid w:val="00D37845"/>
    <w:rsid w:val="00D41CCA"/>
    <w:rsid w:val="00D41E94"/>
    <w:rsid w:val="00D4382D"/>
    <w:rsid w:val="00D43C03"/>
    <w:rsid w:val="00D47631"/>
    <w:rsid w:val="00D50D24"/>
    <w:rsid w:val="00D51354"/>
    <w:rsid w:val="00D51A9B"/>
    <w:rsid w:val="00D551FD"/>
    <w:rsid w:val="00D5548F"/>
    <w:rsid w:val="00D55EEC"/>
    <w:rsid w:val="00D6162A"/>
    <w:rsid w:val="00D62F57"/>
    <w:rsid w:val="00D6326D"/>
    <w:rsid w:val="00D63462"/>
    <w:rsid w:val="00D63636"/>
    <w:rsid w:val="00D657CA"/>
    <w:rsid w:val="00D660C6"/>
    <w:rsid w:val="00D71C27"/>
    <w:rsid w:val="00D721DB"/>
    <w:rsid w:val="00D727FF"/>
    <w:rsid w:val="00D72916"/>
    <w:rsid w:val="00D742F1"/>
    <w:rsid w:val="00D80FA4"/>
    <w:rsid w:val="00D81EBC"/>
    <w:rsid w:val="00D82B1C"/>
    <w:rsid w:val="00D86FD0"/>
    <w:rsid w:val="00D872DC"/>
    <w:rsid w:val="00D8736B"/>
    <w:rsid w:val="00D90974"/>
    <w:rsid w:val="00D927C4"/>
    <w:rsid w:val="00D92E77"/>
    <w:rsid w:val="00D94548"/>
    <w:rsid w:val="00D9508A"/>
    <w:rsid w:val="00D95267"/>
    <w:rsid w:val="00D95D34"/>
    <w:rsid w:val="00D95DF4"/>
    <w:rsid w:val="00D96F4A"/>
    <w:rsid w:val="00D9774B"/>
    <w:rsid w:val="00D9789E"/>
    <w:rsid w:val="00DA023E"/>
    <w:rsid w:val="00DA0E56"/>
    <w:rsid w:val="00DA1ED3"/>
    <w:rsid w:val="00DA2234"/>
    <w:rsid w:val="00DA2603"/>
    <w:rsid w:val="00DA2FA7"/>
    <w:rsid w:val="00DA523F"/>
    <w:rsid w:val="00DB05E1"/>
    <w:rsid w:val="00DB0E5D"/>
    <w:rsid w:val="00DB0EB4"/>
    <w:rsid w:val="00DB1601"/>
    <w:rsid w:val="00DB2C5E"/>
    <w:rsid w:val="00DB34CC"/>
    <w:rsid w:val="00DB41CD"/>
    <w:rsid w:val="00DB579B"/>
    <w:rsid w:val="00DB6DD3"/>
    <w:rsid w:val="00DB717D"/>
    <w:rsid w:val="00DB767A"/>
    <w:rsid w:val="00DC11EA"/>
    <w:rsid w:val="00DC2DE2"/>
    <w:rsid w:val="00DC5016"/>
    <w:rsid w:val="00DC5DD9"/>
    <w:rsid w:val="00DC620C"/>
    <w:rsid w:val="00DC6BE4"/>
    <w:rsid w:val="00DC6F65"/>
    <w:rsid w:val="00DC7597"/>
    <w:rsid w:val="00DD1A73"/>
    <w:rsid w:val="00DD31D8"/>
    <w:rsid w:val="00DD4CF7"/>
    <w:rsid w:val="00DD59E8"/>
    <w:rsid w:val="00DE055D"/>
    <w:rsid w:val="00DE07C9"/>
    <w:rsid w:val="00DE3CA6"/>
    <w:rsid w:val="00DF02B7"/>
    <w:rsid w:val="00DF0E24"/>
    <w:rsid w:val="00DF2F73"/>
    <w:rsid w:val="00DF2FA1"/>
    <w:rsid w:val="00DF2FD8"/>
    <w:rsid w:val="00DF3928"/>
    <w:rsid w:val="00DF468D"/>
    <w:rsid w:val="00DF5CE0"/>
    <w:rsid w:val="00DF65F7"/>
    <w:rsid w:val="00DF6C4C"/>
    <w:rsid w:val="00E01015"/>
    <w:rsid w:val="00E07053"/>
    <w:rsid w:val="00E117C1"/>
    <w:rsid w:val="00E219C4"/>
    <w:rsid w:val="00E22CEE"/>
    <w:rsid w:val="00E24068"/>
    <w:rsid w:val="00E25841"/>
    <w:rsid w:val="00E27C1C"/>
    <w:rsid w:val="00E30CCE"/>
    <w:rsid w:val="00E315F9"/>
    <w:rsid w:val="00E31D8B"/>
    <w:rsid w:val="00E33102"/>
    <w:rsid w:val="00E356DB"/>
    <w:rsid w:val="00E357C8"/>
    <w:rsid w:val="00E35828"/>
    <w:rsid w:val="00E366CB"/>
    <w:rsid w:val="00E36878"/>
    <w:rsid w:val="00E36F25"/>
    <w:rsid w:val="00E3707B"/>
    <w:rsid w:val="00E3768A"/>
    <w:rsid w:val="00E37E72"/>
    <w:rsid w:val="00E41F20"/>
    <w:rsid w:val="00E43A6F"/>
    <w:rsid w:val="00E45702"/>
    <w:rsid w:val="00E45E69"/>
    <w:rsid w:val="00E47306"/>
    <w:rsid w:val="00E47886"/>
    <w:rsid w:val="00E51281"/>
    <w:rsid w:val="00E55C6B"/>
    <w:rsid w:val="00E57221"/>
    <w:rsid w:val="00E57632"/>
    <w:rsid w:val="00E57DD1"/>
    <w:rsid w:val="00E60623"/>
    <w:rsid w:val="00E611DF"/>
    <w:rsid w:val="00E62613"/>
    <w:rsid w:val="00E62A11"/>
    <w:rsid w:val="00E64229"/>
    <w:rsid w:val="00E64A65"/>
    <w:rsid w:val="00E655F1"/>
    <w:rsid w:val="00E66C57"/>
    <w:rsid w:val="00E66E16"/>
    <w:rsid w:val="00E7006F"/>
    <w:rsid w:val="00E71C2F"/>
    <w:rsid w:val="00E72869"/>
    <w:rsid w:val="00E73BFC"/>
    <w:rsid w:val="00E742AD"/>
    <w:rsid w:val="00E748CB"/>
    <w:rsid w:val="00E75276"/>
    <w:rsid w:val="00E75825"/>
    <w:rsid w:val="00E75922"/>
    <w:rsid w:val="00E76540"/>
    <w:rsid w:val="00E76819"/>
    <w:rsid w:val="00E80F40"/>
    <w:rsid w:val="00E8246B"/>
    <w:rsid w:val="00E829E1"/>
    <w:rsid w:val="00E82CDC"/>
    <w:rsid w:val="00E845B3"/>
    <w:rsid w:val="00E84636"/>
    <w:rsid w:val="00E8678B"/>
    <w:rsid w:val="00E8779B"/>
    <w:rsid w:val="00E87AA2"/>
    <w:rsid w:val="00E87B47"/>
    <w:rsid w:val="00E87D8C"/>
    <w:rsid w:val="00E935B1"/>
    <w:rsid w:val="00E96F75"/>
    <w:rsid w:val="00EA2210"/>
    <w:rsid w:val="00EA339A"/>
    <w:rsid w:val="00EA369F"/>
    <w:rsid w:val="00EA3AD4"/>
    <w:rsid w:val="00EA3D18"/>
    <w:rsid w:val="00EA6134"/>
    <w:rsid w:val="00EA6267"/>
    <w:rsid w:val="00EA7166"/>
    <w:rsid w:val="00EA7BC0"/>
    <w:rsid w:val="00EA7F00"/>
    <w:rsid w:val="00EB4B57"/>
    <w:rsid w:val="00EB74A5"/>
    <w:rsid w:val="00EC18F1"/>
    <w:rsid w:val="00EC346D"/>
    <w:rsid w:val="00EC6CE0"/>
    <w:rsid w:val="00EC73E4"/>
    <w:rsid w:val="00EC7E90"/>
    <w:rsid w:val="00ED1396"/>
    <w:rsid w:val="00ED2FB7"/>
    <w:rsid w:val="00ED5674"/>
    <w:rsid w:val="00ED593E"/>
    <w:rsid w:val="00ED6517"/>
    <w:rsid w:val="00ED77FD"/>
    <w:rsid w:val="00EE00C9"/>
    <w:rsid w:val="00EE3A9D"/>
    <w:rsid w:val="00EE3B41"/>
    <w:rsid w:val="00EE5FB2"/>
    <w:rsid w:val="00EE635C"/>
    <w:rsid w:val="00EE66CD"/>
    <w:rsid w:val="00EF414D"/>
    <w:rsid w:val="00EF4F42"/>
    <w:rsid w:val="00EF52AB"/>
    <w:rsid w:val="00EF5B9B"/>
    <w:rsid w:val="00EF7990"/>
    <w:rsid w:val="00F03375"/>
    <w:rsid w:val="00F05CBD"/>
    <w:rsid w:val="00F05FFE"/>
    <w:rsid w:val="00F064EE"/>
    <w:rsid w:val="00F073E2"/>
    <w:rsid w:val="00F11569"/>
    <w:rsid w:val="00F14932"/>
    <w:rsid w:val="00F14D42"/>
    <w:rsid w:val="00F17EDE"/>
    <w:rsid w:val="00F208A9"/>
    <w:rsid w:val="00F20BE9"/>
    <w:rsid w:val="00F2314B"/>
    <w:rsid w:val="00F25483"/>
    <w:rsid w:val="00F33BCA"/>
    <w:rsid w:val="00F34A16"/>
    <w:rsid w:val="00F3533D"/>
    <w:rsid w:val="00F35E29"/>
    <w:rsid w:val="00F41B83"/>
    <w:rsid w:val="00F431B2"/>
    <w:rsid w:val="00F44AD3"/>
    <w:rsid w:val="00F453E8"/>
    <w:rsid w:val="00F479D0"/>
    <w:rsid w:val="00F523E5"/>
    <w:rsid w:val="00F535B1"/>
    <w:rsid w:val="00F55846"/>
    <w:rsid w:val="00F55AE7"/>
    <w:rsid w:val="00F56A20"/>
    <w:rsid w:val="00F57D32"/>
    <w:rsid w:val="00F60900"/>
    <w:rsid w:val="00F6111E"/>
    <w:rsid w:val="00F67728"/>
    <w:rsid w:val="00F67E82"/>
    <w:rsid w:val="00F70943"/>
    <w:rsid w:val="00F70BDE"/>
    <w:rsid w:val="00F7287B"/>
    <w:rsid w:val="00F738F6"/>
    <w:rsid w:val="00F73ADA"/>
    <w:rsid w:val="00F74785"/>
    <w:rsid w:val="00F75873"/>
    <w:rsid w:val="00F75C42"/>
    <w:rsid w:val="00F75CC5"/>
    <w:rsid w:val="00F77B22"/>
    <w:rsid w:val="00F77DC5"/>
    <w:rsid w:val="00F82D61"/>
    <w:rsid w:val="00F845FA"/>
    <w:rsid w:val="00F84EE2"/>
    <w:rsid w:val="00F85658"/>
    <w:rsid w:val="00F8604F"/>
    <w:rsid w:val="00F86709"/>
    <w:rsid w:val="00F93D71"/>
    <w:rsid w:val="00F962B6"/>
    <w:rsid w:val="00F964B4"/>
    <w:rsid w:val="00FA08FC"/>
    <w:rsid w:val="00FA16E3"/>
    <w:rsid w:val="00FA2FCE"/>
    <w:rsid w:val="00FA4090"/>
    <w:rsid w:val="00FA44BC"/>
    <w:rsid w:val="00FA4EA6"/>
    <w:rsid w:val="00FA57BA"/>
    <w:rsid w:val="00FA66B0"/>
    <w:rsid w:val="00FB3950"/>
    <w:rsid w:val="00FB53FB"/>
    <w:rsid w:val="00FB575A"/>
    <w:rsid w:val="00FB5E17"/>
    <w:rsid w:val="00FC30AA"/>
    <w:rsid w:val="00FC43F1"/>
    <w:rsid w:val="00FC511E"/>
    <w:rsid w:val="00FD15B2"/>
    <w:rsid w:val="00FD1926"/>
    <w:rsid w:val="00FD2A26"/>
    <w:rsid w:val="00FD398F"/>
    <w:rsid w:val="00FD3F7F"/>
    <w:rsid w:val="00FD4E13"/>
    <w:rsid w:val="00FE30D2"/>
    <w:rsid w:val="00FF255F"/>
    <w:rsid w:val="00FF3985"/>
    <w:rsid w:val="00FF4539"/>
    <w:rsid w:val="00FF62CB"/>
    <w:rsid w:val="00FF6CC2"/>
    <w:rsid w:val="00FF6FEC"/>
    <w:rsid w:val="00FF7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6F6D71D-F980-4E46-A837-05EE767B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674"/>
    <w:rPr>
      <w:lang w:val="en-US" w:eastAsia="pl-PL"/>
    </w:rPr>
  </w:style>
  <w:style w:type="paragraph" w:styleId="Heading1">
    <w:name w:val="heading 1"/>
    <w:basedOn w:val="Normal"/>
    <w:next w:val="Normal"/>
    <w:qFormat/>
    <w:pPr>
      <w:keepNext/>
      <w:spacing w:line="360" w:lineRule="auto"/>
      <w:outlineLvl w:val="0"/>
    </w:pPr>
    <w:rPr>
      <w:rFonts w:ascii="Arial PL" w:hAnsi="Arial PL"/>
      <w:sz w:val="24"/>
    </w:rPr>
  </w:style>
  <w:style w:type="paragraph" w:styleId="Heading2">
    <w:name w:val="heading 2"/>
    <w:basedOn w:val="Normal"/>
    <w:next w:val="Normal"/>
    <w:qFormat/>
    <w:pPr>
      <w:keepNext/>
      <w:widowControl w:val="0"/>
      <w:spacing w:before="240" w:after="60"/>
      <w:outlineLvl w:val="1"/>
    </w:pPr>
    <w:rPr>
      <w:rFonts w:ascii="Arial" w:hAnsi="Arial"/>
      <w:b/>
      <w:i/>
      <w:sz w:val="24"/>
    </w:rPr>
  </w:style>
  <w:style w:type="paragraph" w:styleId="Heading3">
    <w:name w:val="heading 3"/>
    <w:basedOn w:val="Normal"/>
    <w:next w:val="Normal"/>
    <w:qFormat/>
    <w:pPr>
      <w:keepNext/>
      <w:widowControl w:val="0"/>
      <w:spacing w:before="240" w:after="60"/>
      <w:outlineLvl w:val="2"/>
    </w:pPr>
    <w:rPr>
      <w:rFonts w:ascii="Courier New" w:hAnsi="Courier New"/>
      <w:b/>
      <w:sz w:val="24"/>
    </w:rPr>
  </w:style>
  <w:style w:type="paragraph" w:styleId="Heading4">
    <w:name w:val="heading 4"/>
    <w:basedOn w:val="Normal"/>
    <w:next w:val="Normal"/>
    <w:qFormat/>
    <w:pPr>
      <w:keepNext/>
      <w:spacing w:line="360" w:lineRule="auto"/>
      <w:outlineLvl w:val="3"/>
    </w:pPr>
    <w:rPr>
      <w:rFonts w:ascii="Arial" w:hAnsi="Arial"/>
      <w:sz w:val="24"/>
      <w:u w:val="single"/>
      <w:lang w:val="pl-PL"/>
    </w:rPr>
  </w:style>
  <w:style w:type="paragraph" w:styleId="Heading5">
    <w:name w:val="heading 5"/>
    <w:basedOn w:val="Normal"/>
    <w:next w:val="Normal"/>
    <w:qFormat/>
    <w:pPr>
      <w:keepNext/>
      <w:outlineLvl w:val="4"/>
    </w:pPr>
    <w:rPr>
      <w:b/>
      <w:sz w:val="22"/>
      <w:lang w:val="pl-PL"/>
    </w:rPr>
  </w:style>
  <w:style w:type="paragraph" w:styleId="Heading6">
    <w:name w:val="heading 6"/>
    <w:basedOn w:val="Normal"/>
    <w:next w:val="Normal"/>
    <w:qFormat/>
    <w:pPr>
      <w:keepNext/>
      <w:pBdr>
        <w:top w:val="single" w:sz="4" w:space="1" w:color="auto"/>
        <w:left w:val="single" w:sz="4" w:space="4" w:color="auto"/>
        <w:bottom w:val="single" w:sz="4" w:space="1" w:color="auto"/>
        <w:right w:val="single" w:sz="4" w:space="4" w:color="auto"/>
      </w:pBdr>
      <w:outlineLvl w:val="5"/>
    </w:pPr>
    <w:rPr>
      <w:b/>
      <w:sz w:val="22"/>
      <w:lang w:val="pl-PL"/>
    </w:rPr>
  </w:style>
  <w:style w:type="paragraph" w:styleId="Heading7">
    <w:name w:val="heading 7"/>
    <w:basedOn w:val="Normal"/>
    <w:next w:val="Normal"/>
    <w:qFormat/>
    <w:pPr>
      <w:keepNext/>
      <w:ind w:right="70"/>
      <w:jc w:val="center"/>
      <w:outlineLvl w:val="6"/>
    </w:pPr>
    <w:rPr>
      <w:b/>
      <w:sz w:val="22"/>
      <w:lang w:val="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BodyText">
    <w:name w:val="Body Text"/>
    <w:basedOn w:val="Normal"/>
    <w:pPr>
      <w:widowControl w:val="0"/>
      <w:jc w:val="both"/>
    </w:pPr>
    <w:rPr>
      <w:rFonts w:ascii="Courier New" w:hAnsi="Courier New"/>
      <w:sz w:val="24"/>
      <w:lang w:val="pl-PL"/>
    </w:rPr>
  </w:style>
  <w:style w:type="paragraph" w:customStyle="1" w:styleId="1">
    <w:name w:val="1"/>
    <w:basedOn w:val="Normal"/>
    <w:next w:val="Header"/>
    <w:pPr>
      <w:widowControl w:val="0"/>
      <w:tabs>
        <w:tab w:val="center" w:pos="4536"/>
        <w:tab w:val="right" w:pos="9072"/>
      </w:tabs>
    </w:pPr>
    <w:rPr>
      <w:rFonts w:ascii="Courier New" w:hAnsi="Courier New"/>
      <w:sz w:val="24"/>
    </w:rPr>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320"/>
        <w:tab w:val="right" w:pos="8640"/>
      </w:tabs>
    </w:pPr>
  </w:style>
  <w:style w:type="paragraph" w:styleId="BodyText2">
    <w:name w:val="Body Text 2"/>
    <w:basedOn w:val="Normal"/>
    <w:link w:val="BodyText2Char"/>
    <w:pPr>
      <w:tabs>
        <w:tab w:val="left" w:pos="360"/>
      </w:tabs>
      <w:spacing w:line="360" w:lineRule="auto"/>
    </w:pPr>
    <w:rPr>
      <w:rFonts w:ascii="Arial PL" w:hAnsi="Arial PL"/>
      <w:sz w:val="24"/>
      <w:lang w:val="x-none"/>
    </w:rPr>
  </w:style>
  <w:style w:type="paragraph" w:styleId="BodyText3">
    <w:name w:val="Body Text 3"/>
    <w:basedOn w:val="Normal"/>
    <w:pPr>
      <w:tabs>
        <w:tab w:val="left" w:pos="567"/>
      </w:tabs>
    </w:pPr>
    <w:rPr>
      <w:sz w:val="22"/>
    </w:rPr>
  </w:style>
  <w:style w:type="paragraph" w:styleId="BodyTextIndent">
    <w:name w:val="Body Text Indent"/>
    <w:basedOn w:val="Normal"/>
    <w:pPr>
      <w:tabs>
        <w:tab w:val="left" w:pos="56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7" w:hanging="567"/>
    </w:pPr>
    <w:rPr>
      <w:b/>
      <w:sz w:val="22"/>
      <w:lang w:val="pl-PL"/>
    </w:rPr>
  </w:style>
  <w:style w:type="paragraph" w:styleId="BodyTextIndent2">
    <w:name w:val="Body Text Indent 2"/>
    <w:basedOn w:val="Normal"/>
    <w:pPr>
      <w:tabs>
        <w:tab w:val="left" w:pos="567"/>
      </w:tabs>
      <w:ind w:left="567"/>
    </w:pPr>
    <w:rPr>
      <w:sz w:val="22"/>
      <w:lang w:val="pl-PL"/>
    </w:rPr>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ind w:left="357"/>
    </w:pPr>
    <w:rPr>
      <w:b/>
      <w:sz w:val="22"/>
      <w:lang w:val="pl-PL"/>
    </w:rPr>
  </w:style>
  <w:style w:type="paragraph" w:styleId="BalloonText">
    <w:name w:val="Balloon Text"/>
    <w:basedOn w:val="Normal"/>
    <w:semiHidden/>
    <w:rPr>
      <w:rFonts w:ascii="Tahoma" w:hAnsi="Tahoma" w:cs="Tahoma"/>
      <w:sz w:val="16"/>
      <w:szCs w:val="16"/>
    </w:rPr>
  </w:style>
  <w:style w:type="paragraph" w:customStyle="1" w:styleId="EMEATableLeft">
    <w:name w:val="EMEA Table Left"/>
    <w:basedOn w:val="Normal"/>
    <w:pPr>
      <w:keepNext/>
      <w:keepLines/>
    </w:pPr>
    <w:rPr>
      <w:sz w:val="22"/>
      <w:lang w:val="en-GB" w:eastAsia="en-US"/>
    </w:rPr>
  </w:style>
  <w:style w:type="paragraph" w:customStyle="1" w:styleId="EMEAEnTableLeft">
    <w:name w:val="EMEA En Table Left"/>
    <w:basedOn w:val="Normal"/>
    <w:pPr>
      <w:keepNext/>
      <w:keepLines/>
    </w:pPr>
    <w:rPr>
      <w:lang w:val="fr-FR" w:eastAsia="en-US"/>
    </w:rPr>
  </w:style>
  <w:style w:type="paragraph" w:customStyle="1" w:styleId="Tekstprzypisukoncowego">
    <w:name w:val="Tekst przypisu koncowego"/>
    <w:basedOn w:val="Normal"/>
    <w:pPr>
      <w:tabs>
        <w:tab w:val="left" w:pos="567"/>
      </w:tabs>
      <w:autoSpaceDE w:val="0"/>
      <w:autoSpaceDN w:val="0"/>
    </w:pPr>
    <w:rPr>
      <w:rFonts w:ascii="Arial" w:hAnsi="Arial" w:cs="Arial"/>
      <w:sz w:val="22"/>
      <w:szCs w:val="22"/>
      <w:lang w:val="en-GB" w:eastAsia="en-US"/>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EndnoteText">
    <w:name w:val="endnote text"/>
    <w:basedOn w:val="Normal"/>
    <w:link w:val="EndnoteTextChar"/>
    <w:semiHidden/>
    <w:pPr>
      <w:tabs>
        <w:tab w:val="left" w:pos="567"/>
      </w:tabs>
    </w:pPr>
    <w:rPr>
      <w:sz w:val="22"/>
      <w:lang w:val="en-GB" w:eastAsia="en-US"/>
    </w:rPr>
  </w:style>
  <w:style w:type="table" w:styleId="TableGrid">
    <w:name w:val="Table Grid"/>
    <w:basedOn w:val="TableNormal"/>
    <w:rsid w:val="0040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8F1952"/>
    <w:rPr>
      <w:b/>
      <w:bCs/>
    </w:rPr>
  </w:style>
  <w:style w:type="paragraph" w:customStyle="1" w:styleId="TblTextCenter">
    <w:name w:val="Tbl Text Center"/>
    <w:basedOn w:val="Normal"/>
    <w:rsid w:val="001721AF"/>
    <w:pPr>
      <w:spacing w:before="60" w:after="60"/>
      <w:jc w:val="center"/>
    </w:pPr>
    <w:rPr>
      <w:rFonts w:ascii="Arial Narrow" w:hAnsi="Arial Narrow"/>
      <w:lang w:eastAsia="en-US"/>
    </w:rPr>
  </w:style>
  <w:style w:type="paragraph" w:customStyle="1" w:styleId="TblHeadingCenter">
    <w:name w:val="Tbl Heading Center"/>
    <w:basedOn w:val="Normal"/>
    <w:rsid w:val="001721AF"/>
    <w:pPr>
      <w:spacing w:before="60" w:after="60"/>
      <w:jc w:val="center"/>
    </w:pPr>
    <w:rPr>
      <w:rFonts w:ascii="Arial" w:hAnsi="Arial"/>
      <w:b/>
      <w:lang w:eastAsia="en-US"/>
    </w:rPr>
  </w:style>
  <w:style w:type="paragraph" w:customStyle="1" w:styleId="EMEA1">
    <w:name w:val="EMEA 1"/>
    <w:basedOn w:val="Heading2"/>
    <w:rsid w:val="001875D1"/>
    <w:pPr>
      <w:keepNext w:val="0"/>
      <w:tabs>
        <w:tab w:val="left" w:pos="567"/>
      </w:tabs>
      <w:spacing w:before="0" w:after="0"/>
      <w:jc w:val="center"/>
    </w:pPr>
    <w:rPr>
      <w:rFonts w:ascii="Times New Roman" w:hAnsi="Times New Roman"/>
      <w:i w:val="0"/>
      <w:sz w:val="22"/>
      <w:lang w:val="pl-PL"/>
    </w:rPr>
  </w:style>
  <w:style w:type="paragraph" w:customStyle="1" w:styleId="EMEA2">
    <w:name w:val="EMEA 2"/>
    <w:basedOn w:val="Normal"/>
    <w:rsid w:val="001875D1"/>
    <w:pPr>
      <w:ind w:left="567" w:hanging="567"/>
    </w:pPr>
    <w:rPr>
      <w:b/>
      <w:sz w:val="22"/>
      <w:lang w:val="pl-PL"/>
    </w:rPr>
  </w:style>
  <w:style w:type="paragraph" w:styleId="ListBullet2">
    <w:name w:val="List Bullet 2"/>
    <w:basedOn w:val="Normal"/>
    <w:autoRedefine/>
    <w:rsid w:val="0098661B"/>
    <w:pPr>
      <w:numPr>
        <w:numId w:val="60"/>
      </w:numPr>
      <w:ind w:left="567" w:hanging="567"/>
    </w:pPr>
    <w:rPr>
      <w:sz w:val="22"/>
      <w:lang w:val="en-GB" w:eastAsia="en-US"/>
    </w:rPr>
  </w:style>
  <w:style w:type="character" w:customStyle="1" w:styleId="EndnoteTextChar">
    <w:name w:val="Endnote Text Char"/>
    <w:link w:val="EndnoteText"/>
    <w:semiHidden/>
    <w:rsid w:val="006D0372"/>
    <w:rPr>
      <w:sz w:val="22"/>
      <w:lang w:val="en-GB" w:eastAsia="en-US"/>
    </w:rPr>
  </w:style>
  <w:style w:type="paragraph" w:styleId="ListBullet">
    <w:name w:val="List Bullet"/>
    <w:basedOn w:val="Normal"/>
    <w:rsid w:val="00635764"/>
    <w:pPr>
      <w:numPr>
        <w:numId w:val="37"/>
      </w:numPr>
      <w:contextualSpacing/>
    </w:pPr>
  </w:style>
  <w:style w:type="paragraph" w:styleId="PlainText">
    <w:name w:val="Plain Text"/>
    <w:basedOn w:val="Normal"/>
    <w:link w:val="PlainTextChar"/>
    <w:uiPriority w:val="99"/>
    <w:unhideWhenUsed/>
    <w:rsid w:val="00EE3B41"/>
    <w:pPr>
      <w:snapToGrid w:val="0"/>
    </w:pPr>
    <w:rPr>
      <w:rFonts w:ascii="Courier New" w:hAnsi="Courier New"/>
      <w:lang w:val="pl-PL"/>
    </w:rPr>
  </w:style>
  <w:style w:type="character" w:customStyle="1" w:styleId="PlainTextChar">
    <w:name w:val="Plain Text Char"/>
    <w:link w:val="PlainText"/>
    <w:uiPriority w:val="99"/>
    <w:rsid w:val="00EE3B41"/>
    <w:rPr>
      <w:rFonts w:ascii="Courier New" w:hAnsi="Courier New" w:cs="Courier New"/>
      <w:lang w:val="pl-PL" w:eastAsia="pl-PL"/>
    </w:rPr>
  </w:style>
  <w:style w:type="paragraph" w:styleId="ListParagraph">
    <w:name w:val="List Paragraph"/>
    <w:basedOn w:val="Normal"/>
    <w:uiPriority w:val="34"/>
    <w:qFormat/>
    <w:rsid w:val="0045271A"/>
    <w:pPr>
      <w:ind w:left="720"/>
    </w:pPr>
  </w:style>
  <w:style w:type="character" w:customStyle="1" w:styleId="hps">
    <w:name w:val="hps"/>
    <w:basedOn w:val="DefaultParagraphFont"/>
    <w:rsid w:val="000F7CD8"/>
  </w:style>
  <w:style w:type="character" w:customStyle="1" w:styleId="BodyText2Char">
    <w:name w:val="Body Text 2 Char"/>
    <w:link w:val="BodyText2"/>
    <w:rsid w:val="00A45CB5"/>
    <w:rPr>
      <w:rFonts w:ascii="Arial PL" w:hAnsi="Arial PL"/>
      <w:sz w:val="24"/>
      <w:lang w:eastAsia="pl-PL"/>
    </w:rPr>
  </w:style>
  <w:style w:type="paragraph" w:styleId="Revision">
    <w:name w:val="Revision"/>
    <w:hidden/>
    <w:uiPriority w:val="99"/>
    <w:semiHidden/>
    <w:rsid w:val="00742A0D"/>
    <w:rPr>
      <w:lang w:val="en-US" w:eastAsia="pl-PL"/>
    </w:rPr>
  </w:style>
  <w:style w:type="character" w:customStyle="1" w:styleId="HeaderChar">
    <w:name w:val="Header Char"/>
    <w:link w:val="Header"/>
    <w:rsid w:val="00EA7F00"/>
    <w:rPr>
      <w:lang w:val="en-US"/>
    </w:rPr>
  </w:style>
  <w:style w:type="character" w:styleId="FollowedHyperlink">
    <w:name w:val="FollowedHyperlink"/>
    <w:rsid w:val="00117598"/>
    <w:rPr>
      <w:color w:val="800080"/>
      <w:u w:val="single"/>
    </w:rPr>
  </w:style>
  <w:style w:type="paragraph" w:styleId="FootnoteText">
    <w:name w:val="footnote text"/>
    <w:basedOn w:val="Normal"/>
    <w:link w:val="FootnoteTextChar"/>
    <w:rsid w:val="00E8246B"/>
  </w:style>
  <w:style w:type="character" w:customStyle="1" w:styleId="FootnoteTextChar">
    <w:name w:val="Footnote Text Char"/>
    <w:link w:val="FootnoteText"/>
    <w:rsid w:val="00E8246B"/>
    <w:rPr>
      <w:lang w:val="en-US"/>
    </w:rPr>
  </w:style>
  <w:style w:type="character" w:styleId="FootnoteReference">
    <w:name w:val="footnote reference"/>
    <w:rsid w:val="00E824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773">
      <w:bodyDiv w:val="1"/>
      <w:marLeft w:val="0"/>
      <w:marRight w:val="0"/>
      <w:marTop w:val="0"/>
      <w:marBottom w:val="0"/>
      <w:divBdr>
        <w:top w:val="none" w:sz="0" w:space="0" w:color="auto"/>
        <w:left w:val="none" w:sz="0" w:space="0" w:color="auto"/>
        <w:bottom w:val="none" w:sz="0" w:space="0" w:color="auto"/>
        <w:right w:val="none" w:sz="0" w:space="0" w:color="auto"/>
      </w:divBdr>
    </w:div>
    <w:div w:id="407462421">
      <w:bodyDiv w:val="1"/>
      <w:marLeft w:val="0"/>
      <w:marRight w:val="0"/>
      <w:marTop w:val="0"/>
      <w:marBottom w:val="0"/>
      <w:divBdr>
        <w:top w:val="none" w:sz="0" w:space="0" w:color="auto"/>
        <w:left w:val="none" w:sz="0" w:space="0" w:color="auto"/>
        <w:bottom w:val="none" w:sz="0" w:space="0" w:color="auto"/>
        <w:right w:val="none" w:sz="0" w:space="0" w:color="auto"/>
      </w:divBdr>
    </w:div>
    <w:div w:id="729765372">
      <w:bodyDiv w:val="1"/>
      <w:marLeft w:val="0"/>
      <w:marRight w:val="0"/>
      <w:marTop w:val="0"/>
      <w:marBottom w:val="0"/>
      <w:divBdr>
        <w:top w:val="none" w:sz="0" w:space="0" w:color="auto"/>
        <w:left w:val="none" w:sz="0" w:space="0" w:color="auto"/>
        <w:bottom w:val="none" w:sz="0" w:space="0" w:color="auto"/>
        <w:right w:val="none" w:sz="0" w:space="0" w:color="auto"/>
      </w:divBdr>
    </w:div>
    <w:div w:id="1141464109">
      <w:bodyDiv w:val="1"/>
      <w:marLeft w:val="0"/>
      <w:marRight w:val="0"/>
      <w:marTop w:val="0"/>
      <w:marBottom w:val="0"/>
      <w:divBdr>
        <w:top w:val="none" w:sz="0" w:space="0" w:color="auto"/>
        <w:left w:val="none" w:sz="0" w:space="0" w:color="auto"/>
        <w:bottom w:val="none" w:sz="0" w:space="0" w:color="auto"/>
        <w:right w:val="none" w:sz="0" w:space="0" w:color="auto"/>
      </w:divBdr>
    </w:div>
    <w:div w:id="1143547309">
      <w:bodyDiv w:val="1"/>
      <w:marLeft w:val="0"/>
      <w:marRight w:val="0"/>
      <w:marTop w:val="0"/>
      <w:marBottom w:val="0"/>
      <w:divBdr>
        <w:top w:val="none" w:sz="0" w:space="0" w:color="auto"/>
        <w:left w:val="none" w:sz="0" w:space="0" w:color="auto"/>
        <w:bottom w:val="none" w:sz="0" w:space="0" w:color="auto"/>
        <w:right w:val="none" w:sz="0" w:space="0" w:color="auto"/>
      </w:divBdr>
    </w:div>
    <w:div w:id="1146968134">
      <w:bodyDiv w:val="1"/>
      <w:marLeft w:val="0"/>
      <w:marRight w:val="0"/>
      <w:marTop w:val="0"/>
      <w:marBottom w:val="0"/>
      <w:divBdr>
        <w:top w:val="none" w:sz="0" w:space="0" w:color="auto"/>
        <w:left w:val="none" w:sz="0" w:space="0" w:color="auto"/>
        <w:bottom w:val="none" w:sz="0" w:space="0" w:color="auto"/>
        <w:right w:val="none" w:sz="0" w:space="0" w:color="auto"/>
      </w:divBdr>
    </w:div>
    <w:div w:id="1210996065">
      <w:bodyDiv w:val="1"/>
      <w:marLeft w:val="0"/>
      <w:marRight w:val="0"/>
      <w:marTop w:val="0"/>
      <w:marBottom w:val="0"/>
      <w:divBdr>
        <w:top w:val="none" w:sz="0" w:space="0" w:color="auto"/>
        <w:left w:val="none" w:sz="0" w:space="0" w:color="auto"/>
        <w:bottom w:val="none" w:sz="0" w:space="0" w:color="auto"/>
        <w:right w:val="none" w:sz="0" w:space="0" w:color="auto"/>
      </w:divBdr>
    </w:div>
    <w:div w:id="1410274691">
      <w:bodyDiv w:val="1"/>
      <w:marLeft w:val="0"/>
      <w:marRight w:val="0"/>
      <w:marTop w:val="0"/>
      <w:marBottom w:val="0"/>
      <w:divBdr>
        <w:top w:val="none" w:sz="0" w:space="0" w:color="auto"/>
        <w:left w:val="none" w:sz="0" w:space="0" w:color="auto"/>
        <w:bottom w:val="none" w:sz="0" w:space="0" w:color="auto"/>
        <w:right w:val="none" w:sz="0" w:space="0" w:color="auto"/>
      </w:divBdr>
    </w:div>
    <w:div w:id="1513186207">
      <w:bodyDiv w:val="1"/>
      <w:marLeft w:val="0"/>
      <w:marRight w:val="0"/>
      <w:marTop w:val="0"/>
      <w:marBottom w:val="0"/>
      <w:divBdr>
        <w:top w:val="none" w:sz="0" w:space="0" w:color="auto"/>
        <w:left w:val="none" w:sz="0" w:space="0" w:color="auto"/>
        <w:bottom w:val="none" w:sz="0" w:space="0" w:color="auto"/>
        <w:right w:val="none" w:sz="0" w:space="0" w:color="auto"/>
      </w:divBdr>
    </w:div>
    <w:div w:id="1633973012">
      <w:bodyDiv w:val="1"/>
      <w:marLeft w:val="0"/>
      <w:marRight w:val="0"/>
      <w:marTop w:val="0"/>
      <w:marBottom w:val="0"/>
      <w:divBdr>
        <w:top w:val="none" w:sz="0" w:space="0" w:color="auto"/>
        <w:left w:val="none" w:sz="0" w:space="0" w:color="auto"/>
        <w:bottom w:val="none" w:sz="0" w:space="0" w:color="auto"/>
        <w:right w:val="none" w:sz="0" w:space="0" w:color="auto"/>
      </w:divBdr>
    </w:div>
    <w:div w:id="1801999892">
      <w:bodyDiv w:val="1"/>
      <w:marLeft w:val="0"/>
      <w:marRight w:val="0"/>
      <w:marTop w:val="0"/>
      <w:marBottom w:val="0"/>
      <w:divBdr>
        <w:top w:val="none" w:sz="0" w:space="0" w:color="auto"/>
        <w:left w:val="none" w:sz="0" w:space="0" w:color="auto"/>
        <w:bottom w:val="none" w:sz="0" w:space="0" w:color="auto"/>
        <w:right w:val="none" w:sz="0" w:space="0" w:color="auto"/>
      </w:divBdr>
    </w:div>
    <w:div w:id="1815101324">
      <w:bodyDiv w:val="1"/>
      <w:marLeft w:val="0"/>
      <w:marRight w:val="0"/>
      <w:marTop w:val="0"/>
      <w:marBottom w:val="0"/>
      <w:divBdr>
        <w:top w:val="none" w:sz="0" w:space="0" w:color="auto"/>
        <w:left w:val="none" w:sz="0" w:space="0" w:color="auto"/>
        <w:bottom w:val="none" w:sz="0" w:space="0" w:color="auto"/>
        <w:right w:val="none" w:sz="0" w:space="0" w:color="auto"/>
      </w:divBdr>
    </w:div>
    <w:div w:id="1976987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7F373-1B4F-45D4-8D88-642322182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F36D8A-408C-457B-8FE8-08B1D8C3BB2D}">
  <ds:schemaRefs>
    <ds:schemaRef ds:uri="http://schemas.microsoft.com/sharepoint/v3/contenttype/forms"/>
  </ds:schemaRefs>
</ds:datastoreItem>
</file>

<file path=customXml/itemProps3.xml><?xml version="1.0" encoding="utf-8"?>
<ds:datastoreItem xmlns:ds="http://schemas.openxmlformats.org/officeDocument/2006/customXml" ds:itemID="{AB187EB8-7EF5-4B95-AAC0-D862030023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DC9882-AE4D-49F0-B7C6-C6CA93879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18114</Words>
  <Characters>103254</Characters>
  <Application>Microsoft Office Word</Application>
  <DocSecurity>0</DocSecurity>
  <Lines>860</Lines>
  <Paragraphs>242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ANEKS I</vt:lpstr>
      <vt:lpstr>ANEKS I</vt:lpstr>
    </vt:vector>
  </TitlesOfParts>
  <Company>sanofi-aventis</Company>
  <LinksUpToDate>false</LinksUpToDate>
  <CharactersWithSpaces>121126</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ANEKS I</dc:title>
  <dc:subject>Product Information-EMEA/207780/2006</dc:subject>
  <dc:creator>Goscinska, Malgorzata PH/PL</dc:creator>
  <cp:keywords/>
  <cp:lastModifiedBy>Voutsas Achilleas</cp:lastModifiedBy>
  <cp:revision>2</cp:revision>
  <cp:lastPrinted>2018-04-26T13:16:00Z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Information-EMEA/207780/2006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Plavix-H-C-174-II-53-PI-pl</vt:lpwstr>
  </property>
  <property fmtid="{D5CDD505-2E9C-101B-9397-08002B2CF9AE}" pid="9" name="DM_Owner">
    <vt:lpwstr>Flaunoe Lise</vt:lpwstr>
  </property>
  <property fmtid="{D5CDD505-2E9C-101B-9397-08002B2CF9AE}" pid="10" name="DM_Creation_Date">
    <vt:lpwstr>02/06/2006 15:08:05</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14:34:53</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EMEA/207780/2006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207780</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Comments">
    <vt:lpwstr/>
  </property>
  <property fmtid="{D5CDD505-2E9C-101B-9397-08002B2CF9AE}" pid="42" name="MSIP_Label_0eea11ca-d417-4147-80ed-01a58412c458_Enabled">
    <vt:lpwstr>true</vt:lpwstr>
  </property>
  <property fmtid="{D5CDD505-2E9C-101B-9397-08002B2CF9AE}" pid="43" name="MSIP_Label_0eea11ca-d417-4147-80ed-01a58412c458_SetDate">
    <vt:lpwstr>2021-06-03T23:49:47Z</vt:lpwstr>
  </property>
  <property fmtid="{D5CDD505-2E9C-101B-9397-08002B2CF9AE}" pid="44" name="MSIP_Label_0eea11ca-d417-4147-80ed-01a58412c458_Method">
    <vt:lpwstr>Standard</vt:lpwstr>
  </property>
  <property fmtid="{D5CDD505-2E9C-101B-9397-08002B2CF9AE}" pid="45" name="MSIP_Label_0eea11ca-d417-4147-80ed-01a58412c458_Name">
    <vt:lpwstr>0eea11ca-d417-4147-80ed-01a58412c458</vt:lpwstr>
  </property>
  <property fmtid="{D5CDD505-2E9C-101B-9397-08002B2CF9AE}" pid="46" name="MSIP_Label_0eea11ca-d417-4147-80ed-01a58412c458_SiteId">
    <vt:lpwstr>bc9dc15c-61bc-4f03-b60b-e5b6d8922839</vt:lpwstr>
  </property>
  <property fmtid="{D5CDD505-2E9C-101B-9397-08002B2CF9AE}" pid="47" name="MSIP_Label_0eea11ca-d417-4147-80ed-01a58412c458_ActionId">
    <vt:lpwstr>70f4417b-75c8-4fba-b5f5-ddc217ba017f</vt:lpwstr>
  </property>
  <property fmtid="{D5CDD505-2E9C-101B-9397-08002B2CF9AE}" pid="48" name="MSIP_Label_0eea11ca-d417-4147-80ed-01a58412c458_ContentBits">
    <vt:lpwstr>2</vt:lpwstr>
  </property>
</Properties>
</file>